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59D3A" w14:textId="7B1E98F0" w:rsidR="002C3FD0" w:rsidRPr="008D5F7E" w:rsidRDefault="00AE5D52" w:rsidP="00AE5D52">
      <w:pPr>
        <w:spacing w:after="160" w:line="259" w:lineRule="auto"/>
        <w:jc w:val="center"/>
        <w:rPr>
          <w:b/>
          <w:sz w:val="28"/>
          <w:szCs w:val="28"/>
        </w:rPr>
      </w:pPr>
      <w:r w:rsidRPr="008D5F7E">
        <w:rPr>
          <w:b/>
          <w:sz w:val="28"/>
          <w:szCs w:val="28"/>
        </w:rPr>
        <w:t>Sleep quality, duration and associated sexual function at older age: findings from the English longitudinal Study of Ageing</w:t>
      </w:r>
    </w:p>
    <w:p w14:paraId="5E04FDD7" w14:textId="008AFA0D" w:rsidR="00445A09" w:rsidRPr="008D5F7E" w:rsidRDefault="00445A09">
      <w:pPr>
        <w:spacing w:after="160" w:line="259" w:lineRule="auto"/>
      </w:pPr>
    </w:p>
    <w:p w14:paraId="6EA76923" w14:textId="27794832" w:rsidR="00445A09" w:rsidRPr="008D5F7E" w:rsidRDefault="00445A09">
      <w:pPr>
        <w:spacing w:after="160" w:line="259" w:lineRule="auto"/>
      </w:pPr>
    </w:p>
    <w:p w14:paraId="6C2A4E7D" w14:textId="77777777" w:rsidR="00664EBB" w:rsidRPr="004C12F1" w:rsidRDefault="00664EBB" w:rsidP="00664EBB">
      <w:r w:rsidRPr="00AB2B94">
        <w:t>Lee Smith</w:t>
      </w:r>
      <w:r>
        <w:rPr>
          <w:vertAlign w:val="superscript"/>
        </w:rPr>
        <w:t>1</w:t>
      </w:r>
      <w:r>
        <w:t>, Igor Grabovac</w:t>
      </w:r>
      <w:r w:rsidRPr="00445A09">
        <w:rPr>
          <w:vertAlign w:val="superscript"/>
        </w:rPr>
        <w:t>2</w:t>
      </w:r>
      <w:r>
        <w:t>, Nicola Veronese</w:t>
      </w:r>
      <w:r w:rsidRPr="00445A09">
        <w:rPr>
          <w:vertAlign w:val="superscript"/>
        </w:rPr>
        <w:t>3</w:t>
      </w:r>
      <w:r>
        <w:t>, Pinar Soysal</w:t>
      </w:r>
      <w:r w:rsidRPr="00445A09">
        <w:rPr>
          <w:vertAlign w:val="superscript"/>
        </w:rPr>
        <w:t>4</w:t>
      </w:r>
      <w:r>
        <w:t xml:space="preserve">, Ahmet </w:t>
      </w:r>
      <w:proofErr w:type="spellStart"/>
      <w:r>
        <w:t>Turan</w:t>
      </w:r>
      <w:proofErr w:type="spellEnd"/>
      <w:r>
        <w:t xml:space="preserve"> ISIK</w:t>
      </w:r>
      <w:r w:rsidRPr="00106BD1">
        <w:rPr>
          <w:vertAlign w:val="superscript"/>
        </w:rPr>
        <w:t>5</w:t>
      </w:r>
      <w:r>
        <w:t>, Brendon Stubbs</w:t>
      </w:r>
      <w:r w:rsidRPr="00106BD1">
        <w:rPr>
          <w:vertAlign w:val="superscript"/>
        </w:rPr>
        <w:t>6</w:t>
      </w:r>
      <w:r>
        <w:t>, Lin Yang</w:t>
      </w:r>
      <w:r>
        <w:rPr>
          <w:vertAlign w:val="superscript"/>
        </w:rPr>
        <w:t>7</w:t>
      </w:r>
      <w:r>
        <w:t xml:space="preserve">, </w:t>
      </w:r>
      <w:r w:rsidRPr="00AB2B94">
        <w:t>Sarah E Jackson</w:t>
      </w:r>
      <w:r>
        <w:rPr>
          <w:vertAlign w:val="superscript"/>
        </w:rPr>
        <w:t>8</w:t>
      </w:r>
    </w:p>
    <w:p w14:paraId="2E11EFF9" w14:textId="77777777" w:rsidR="00664EBB" w:rsidRDefault="00664EBB" w:rsidP="00664EBB">
      <w:pPr>
        <w:spacing w:after="0"/>
      </w:pPr>
      <w:r>
        <w:rPr>
          <w:vertAlign w:val="superscript"/>
        </w:rPr>
        <w:t>1</w:t>
      </w:r>
      <w:r>
        <w:t xml:space="preserve"> </w:t>
      </w:r>
      <w:r w:rsidRPr="001B3FCB">
        <w:t>The Cambridge Centre for Sport and Exercise Sciences, Anglia Ruskin University, Cambridge</w:t>
      </w:r>
      <w:r>
        <w:t>, UK</w:t>
      </w:r>
    </w:p>
    <w:p w14:paraId="012FDFEE" w14:textId="77777777" w:rsidR="00664EBB" w:rsidRPr="00106BD1" w:rsidRDefault="00664EBB" w:rsidP="00664EBB">
      <w:pPr>
        <w:spacing w:after="0"/>
      </w:pPr>
      <w:r w:rsidRPr="00445A09">
        <w:rPr>
          <w:vertAlign w:val="superscript"/>
        </w:rPr>
        <w:t>2</w:t>
      </w:r>
      <w:r>
        <w:t xml:space="preserve"> Department of Social and Preventive Medicine, </w:t>
      </w:r>
      <w:proofErr w:type="spellStart"/>
      <w:r>
        <w:t>Center</w:t>
      </w:r>
      <w:proofErr w:type="spellEnd"/>
      <w:r>
        <w:t xml:space="preserve"> for Public Health, Medical University of Vienna, Vienna, Austria</w:t>
      </w:r>
    </w:p>
    <w:p w14:paraId="24AE50FB" w14:textId="77777777" w:rsidR="00664EBB" w:rsidRPr="00445A09" w:rsidRDefault="00664EBB" w:rsidP="00664EBB">
      <w:pPr>
        <w:spacing w:after="0"/>
        <w:rPr>
          <w:vertAlign w:val="superscript"/>
        </w:rPr>
      </w:pPr>
      <w:r w:rsidRPr="00445A09">
        <w:rPr>
          <w:vertAlign w:val="superscript"/>
        </w:rPr>
        <w:t>3.</w:t>
      </w:r>
      <w:r>
        <w:rPr>
          <w:vertAlign w:val="superscript"/>
        </w:rPr>
        <w:t xml:space="preserve"> </w:t>
      </w:r>
      <w:r w:rsidRPr="00C95602">
        <w:rPr>
          <w:lang w:val="en-US"/>
        </w:rPr>
        <w:t xml:space="preserve">National Research Council, </w:t>
      </w:r>
      <w:proofErr w:type="spellStart"/>
      <w:r w:rsidRPr="00C95602">
        <w:rPr>
          <w:lang w:val="en-US"/>
        </w:rPr>
        <w:t>Neruoscience</w:t>
      </w:r>
      <w:proofErr w:type="spellEnd"/>
      <w:r w:rsidRPr="00C95602">
        <w:rPr>
          <w:lang w:val="en-US"/>
        </w:rPr>
        <w:t xml:space="preserve"> Institute,</w:t>
      </w:r>
      <w:r>
        <w:rPr>
          <w:lang w:val="en-US"/>
        </w:rPr>
        <w:t xml:space="preserve"> Aging Branch, Padova, Italy</w:t>
      </w:r>
    </w:p>
    <w:p w14:paraId="4E656468" w14:textId="77777777" w:rsidR="00664EBB" w:rsidRPr="00445A09" w:rsidRDefault="00664EBB" w:rsidP="00664EBB">
      <w:pPr>
        <w:spacing w:after="0"/>
        <w:rPr>
          <w:vertAlign w:val="superscript"/>
        </w:rPr>
      </w:pPr>
      <w:r w:rsidRPr="00445A09">
        <w:rPr>
          <w:vertAlign w:val="superscript"/>
        </w:rPr>
        <w:t>4.</w:t>
      </w:r>
      <w:r w:rsidRPr="00627DEC">
        <w:rPr>
          <w:rFonts w:ascii="Arial" w:eastAsiaTheme="minorHAnsi" w:hAnsi="Arial" w:cs="Arial"/>
          <w:bCs/>
          <w:sz w:val="24"/>
          <w:szCs w:val="24"/>
          <w:lang w:val="en-US"/>
        </w:rPr>
        <w:t xml:space="preserve"> </w:t>
      </w:r>
      <w:r w:rsidRPr="00106BD1">
        <w:rPr>
          <w:bCs/>
          <w:lang w:val="en-US"/>
        </w:rPr>
        <w:t xml:space="preserve">Department of Geriatric Medicine, </w:t>
      </w:r>
      <w:proofErr w:type="spellStart"/>
      <w:r w:rsidRPr="00106BD1">
        <w:rPr>
          <w:bCs/>
          <w:lang w:val="en-US"/>
        </w:rPr>
        <w:t>Bezmialem</w:t>
      </w:r>
      <w:proofErr w:type="spellEnd"/>
      <w:r w:rsidRPr="00106BD1">
        <w:rPr>
          <w:bCs/>
          <w:lang w:val="en-US"/>
        </w:rPr>
        <w:t xml:space="preserve"> </w:t>
      </w:r>
      <w:proofErr w:type="spellStart"/>
      <w:r w:rsidRPr="00106BD1">
        <w:rPr>
          <w:bCs/>
          <w:lang w:val="en-US"/>
        </w:rPr>
        <w:t>Vakif</w:t>
      </w:r>
      <w:proofErr w:type="spellEnd"/>
      <w:r w:rsidRPr="00106BD1">
        <w:rPr>
          <w:bCs/>
          <w:lang w:val="en-US"/>
        </w:rPr>
        <w:t xml:space="preserve"> University, Faculty of Medicine, Istanbul, Turkey</w:t>
      </w:r>
    </w:p>
    <w:p w14:paraId="22C9CA1B" w14:textId="77777777" w:rsidR="00664EBB" w:rsidRDefault="00664EBB" w:rsidP="00664EBB">
      <w:pPr>
        <w:spacing w:after="0"/>
        <w:rPr>
          <w:vertAlign w:val="superscript"/>
        </w:rPr>
      </w:pPr>
      <w:r w:rsidRPr="00445A09">
        <w:rPr>
          <w:vertAlign w:val="superscript"/>
        </w:rPr>
        <w:t>5.</w:t>
      </w:r>
      <w:r>
        <w:rPr>
          <w:vertAlign w:val="superscript"/>
        </w:rPr>
        <w:t xml:space="preserve"> </w:t>
      </w:r>
      <w:r w:rsidRPr="00106BD1">
        <w:rPr>
          <w:bCs/>
          <w:lang w:val="en-US"/>
        </w:rPr>
        <w:t xml:space="preserve">Unit for Aging Brain and Dementia, Department of Geriatric Medicine, Faculty of Medicine, </w:t>
      </w:r>
      <w:proofErr w:type="spellStart"/>
      <w:r w:rsidRPr="00106BD1">
        <w:rPr>
          <w:bCs/>
          <w:lang w:val="en-US"/>
        </w:rPr>
        <w:t>Dokuz</w:t>
      </w:r>
      <w:proofErr w:type="spellEnd"/>
      <w:r w:rsidRPr="00106BD1">
        <w:rPr>
          <w:bCs/>
          <w:lang w:val="en-US"/>
        </w:rPr>
        <w:t xml:space="preserve"> </w:t>
      </w:r>
      <w:proofErr w:type="spellStart"/>
      <w:r w:rsidRPr="00106BD1">
        <w:rPr>
          <w:bCs/>
          <w:lang w:val="en-US"/>
        </w:rPr>
        <w:t>Eylul</w:t>
      </w:r>
      <w:proofErr w:type="spellEnd"/>
      <w:r w:rsidRPr="00106BD1">
        <w:rPr>
          <w:bCs/>
          <w:lang w:val="en-US"/>
        </w:rPr>
        <w:t xml:space="preserve"> University, Izmir, Turkey</w:t>
      </w:r>
    </w:p>
    <w:p w14:paraId="325B2136" w14:textId="77777777" w:rsidR="00664EBB" w:rsidRPr="00445A09" w:rsidRDefault="00664EBB" w:rsidP="00664EBB">
      <w:pPr>
        <w:spacing w:after="0"/>
        <w:rPr>
          <w:vertAlign w:val="superscript"/>
        </w:rPr>
      </w:pPr>
      <w:r>
        <w:rPr>
          <w:vertAlign w:val="superscript"/>
        </w:rPr>
        <w:t xml:space="preserve">6. </w:t>
      </w:r>
      <w:r w:rsidRPr="00106BD1">
        <w:rPr>
          <w:rFonts w:eastAsiaTheme="minorHAnsi" w:cstheme="minorHAnsi"/>
        </w:rPr>
        <w:t xml:space="preserve">Department of Psychological Medicine, Institute of Psychiatry, King’s College London, De </w:t>
      </w:r>
      <w:proofErr w:type="spellStart"/>
      <w:r w:rsidRPr="00106BD1">
        <w:rPr>
          <w:rFonts w:eastAsiaTheme="minorHAnsi" w:cstheme="minorHAnsi"/>
        </w:rPr>
        <w:t>Crespigny</w:t>
      </w:r>
      <w:proofErr w:type="spellEnd"/>
      <w:r w:rsidRPr="00106BD1">
        <w:rPr>
          <w:rFonts w:eastAsiaTheme="minorHAnsi" w:cstheme="minorHAnsi"/>
        </w:rPr>
        <w:t xml:space="preserve"> Park, London, United Kingdom</w:t>
      </w:r>
    </w:p>
    <w:p w14:paraId="6D15DF51" w14:textId="77777777" w:rsidR="00664EBB" w:rsidRDefault="00664EBB" w:rsidP="00664EBB">
      <w:pPr>
        <w:spacing w:after="0"/>
      </w:pPr>
      <w:r>
        <w:rPr>
          <w:vertAlign w:val="superscript"/>
        </w:rPr>
        <w:t xml:space="preserve">7 </w:t>
      </w:r>
      <w:bookmarkStart w:id="0" w:name="_Hlk526221274"/>
      <w:r>
        <w:t>Department of Behavioural Science and Health, University College London, London, UK</w:t>
      </w:r>
    </w:p>
    <w:bookmarkEnd w:id="0"/>
    <w:p w14:paraId="7B252A4C" w14:textId="77777777" w:rsidR="00664EBB" w:rsidRPr="00BF4584" w:rsidRDefault="00664EBB" w:rsidP="00664EBB"/>
    <w:p w14:paraId="5BD499D2" w14:textId="77777777" w:rsidR="00664EBB" w:rsidRDefault="00664EBB" w:rsidP="00664EBB">
      <w:pPr>
        <w:spacing w:after="0"/>
      </w:pPr>
      <w:r>
        <w:t xml:space="preserve">*Corresponding authors: Dr Sarah E. Jackson: </w:t>
      </w:r>
      <w:hyperlink r:id="rId4" w:history="1">
        <w:r w:rsidRPr="005B725F">
          <w:rPr>
            <w:rStyle w:val="Hyperlink"/>
          </w:rPr>
          <w:t>s.e.jackson@ucl.ac.uk</w:t>
        </w:r>
      </w:hyperlink>
      <w:r>
        <w:t xml:space="preserve">  Department of Behavioural Science and Health, University College London, London, UK; Dr</w:t>
      </w:r>
      <w:r w:rsidRPr="00BE0A4C">
        <w:t xml:space="preserve"> </w:t>
      </w:r>
      <w:r>
        <w:t xml:space="preserve">Lee Smith: </w:t>
      </w:r>
      <w:hyperlink r:id="rId5" w:history="1">
        <w:r w:rsidRPr="00214C19">
          <w:rPr>
            <w:rStyle w:val="Hyperlink"/>
          </w:rPr>
          <w:t>lee.smith@anglia.ac.uk</w:t>
        </w:r>
      </w:hyperlink>
      <w:r>
        <w:rPr>
          <w:rStyle w:val="Hyperlink"/>
        </w:rPr>
        <w:t xml:space="preserve"> </w:t>
      </w:r>
      <w:r w:rsidRPr="001B3FCB">
        <w:t>The Cambridge Centre for Sport and Exercise Sciences, Anglia Ruskin University, Cambridge</w:t>
      </w:r>
      <w:r>
        <w:t xml:space="preserve">, UK. </w:t>
      </w:r>
    </w:p>
    <w:p w14:paraId="72D37B81" w14:textId="3635FFCC" w:rsidR="00445A09" w:rsidRPr="008D5F7E" w:rsidRDefault="00445A09">
      <w:pPr>
        <w:spacing w:after="160" w:line="259" w:lineRule="auto"/>
      </w:pPr>
    </w:p>
    <w:p w14:paraId="50A2F95E" w14:textId="17457733" w:rsidR="00445A09" w:rsidRPr="008D5F7E" w:rsidRDefault="00445A09">
      <w:pPr>
        <w:spacing w:after="160" w:line="259" w:lineRule="auto"/>
      </w:pPr>
    </w:p>
    <w:p w14:paraId="5EFA9027" w14:textId="4D7923F3" w:rsidR="00445A09" w:rsidRPr="008D5F7E" w:rsidRDefault="00445A09">
      <w:pPr>
        <w:spacing w:after="160" w:line="259" w:lineRule="auto"/>
      </w:pPr>
    </w:p>
    <w:p w14:paraId="3B64FDD0" w14:textId="2C69FAEB" w:rsidR="00445A09" w:rsidRPr="008D5F7E" w:rsidRDefault="00445A09">
      <w:pPr>
        <w:spacing w:after="160" w:line="259" w:lineRule="auto"/>
      </w:pPr>
    </w:p>
    <w:p w14:paraId="78CBC17D" w14:textId="3BCADA7C" w:rsidR="00445A09" w:rsidRPr="008D5F7E" w:rsidRDefault="00445A09">
      <w:pPr>
        <w:spacing w:after="160" w:line="259" w:lineRule="auto"/>
      </w:pPr>
    </w:p>
    <w:p w14:paraId="702CAD79" w14:textId="7D07E068" w:rsidR="00445A09" w:rsidRPr="008D5F7E" w:rsidRDefault="00445A09">
      <w:pPr>
        <w:spacing w:after="160" w:line="259" w:lineRule="auto"/>
      </w:pPr>
    </w:p>
    <w:p w14:paraId="3238F3E3" w14:textId="4DF119EA" w:rsidR="00445A09" w:rsidRPr="008D5F7E" w:rsidRDefault="00445A09">
      <w:pPr>
        <w:spacing w:after="160" w:line="259" w:lineRule="auto"/>
      </w:pPr>
    </w:p>
    <w:p w14:paraId="357C06AB" w14:textId="72188DBC" w:rsidR="00445A09" w:rsidRPr="008D5F7E" w:rsidRDefault="00445A09">
      <w:pPr>
        <w:spacing w:after="160" w:line="259" w:lineRule="auto"/>
      </w:pPr>
    </w:p>
    <w:p w14:paraId="302F1D26" w14:textId="77777777" w:rsidR="00BE0A4C" w:rsidRPr="008D5F7E" w:rsidRDefault="00BE0A4C" w:rsidP="004B5827">
      <w:pPr>
        <w:spacing w:after="160"/>
      </w:pPr>
    </w:p>
    <w:p w14:paraId="4681ADB7" w14:textId="77777777" w:rsidR="00664EBB" w:rsidRDefault="00664EBB" w:rsidP="004B5827">
      <w:pPr>
        <w:spacing w:after="160"/>
        <w:rPr>
          <w:b/>
        </w:rPr>
      </w:pPr>
    </w:p>
    <w:p w14:paraId="36BFB800" w14:textId="3FA560DC" w:rsidR="00BE0A4C" w:rsidRPr="008D5F7E" w:rsidRDefault="00BE0A4C" w:rsidP="004B5827">
      <w:pPr>
        <w:spacing w:after="160"/>
        <w:rPr>
          <w:b/>
        </w:rPr>
      </w:pPr>
      <w:bookmarkStart w:id="1" w:name="_GoBack"/>
      <w:bookmarkEnd w:id="1"/>
      <w:r w:rsidRPr="008D5F7E">
        <w:rPr>
          <w:b/>
        </w:rPr>
        <w:lastRenderedPageBreak/>
        <w:t xml:space="preserve">Abstract </w:t>
      </w:r>
    </w:p>
    <w:p w14:paraId="0BADA958" w14:textId="1A7E0463" w:rsidR="002C3FD0" w:rsidRPr="008D5F7E" w:rsidRDefault="002C3FD0" w:rsidP="004B5827">
      <w:pPr>
        <w:spacing w:after="160"/>
        <w:rPr>
          <w:b/>
        </w:rPr>
      </w:pPr>
      <w:r w:rsidRPr="008D5F7E">
        <w:rPr>
          <w:b/>
        </w:rPr>
        <w:t>Background</w:t>
      </w:r>
    </w:p>
    <w:p w14:paraId="20463E55" w14:textId="4D5DE53A" w:rsidR="00E05045" w:rsidRPr="008D5F7E" w:rsidRDefault="006F39F3" w:rsidP="00106BD1">
      <w:pPr>
        <w:spacing w:after="160"/>
        <w:jc w:val="both"/>
      </w:pPr>
      <w:r w:rsidRPr="008D5F7E">
        <w:t>This</w:t>
      </w:r>
      <w:r w:rsidR="00E05045" w:rsidRPr="008D5F7E">
        <w:t xml:space="preserve"> study </w:t>
      </w:r>
      <w:r w:rsidRPr="008D5F7E">
        <w:t xml:space="preserve">aimed </w:t>
      </w:r>
      <w:r w:rsidR="00E05045" w:rsidRPr="008D5F7E">
        <w:t xml:space="preserve">to </w:t>
      </w:r>
      <w:r w:rsidRPr="008D5F7E">
        <w:t>explore associations</w:t>
      </w:r>
      <w:r w:rsidR="00AE5D52" w:rsidRPr="008D5F7E">
        <w:t xml:space="preserve"> between sleep quality, </w:t>
      </w:r>
      <w:r w:rsidR="00E05045" w:rsidRPr="008D5F7E">
        <w:t xml:space="preserve">duration </w:t>
      </w:r>
      <w:r w:rsidRPr="008D5F7E">
        <w:t xml:space="preserve">and </w:t>
      </w:r>
      <w:r w:rsidR="00E05045" w:rsidRPr="008D5F7E">
        <w:t xml:space="preserve">sexual </w:t>
      </w:r>
      <w:r w:rsidRPr="008D5F7E">
        <w:t xml:space="preserve">problems </w:t>
      </w:r>
      <w:r w:rsidR="00E05045" w:rsidRPr="008D5F7E">
        <w:t xml:space="preserve">(erectile dysfunction, </w:t>
      </w:r>
      <w:r w:rsidRPr="008D5F7E">
        <w:t xml:space="preserve">difficulty </w:t>
      </w:r>
      <w:r w:rsidR="00E05045" w:rsidRPr="008D5F7E">
        <w:t>becoming aroused, difficulty reaching orgasm) in a large</w:t>
      </w:r>
      <w:r w:rsidR="00431BDE" w:rsidRPr="008D5F7E">
        <w:t>,</w:t>
      </w:r>
      <w:r w:rsidR="00E05045" w:rsidRPr="008D5F7E">
        <w:t xml:space="preserve"> representative sample of older adults. </w:t>
      </w:r>
    </w:p>
    <w:p w14:paraId="41D2008C" w14:textId="77777777" w:rsidR="002C3FD0" w:rsidRPr="008D5F7E" w:rsidRDefault="002C3FD0" w:rsidP="00106BD1">
      <w:pPr>
        <w:spacing w:after="160"/>
        <w:jc w:val="both"/>
        <w:rPr>
          <w:b/>
        </w:rPr>
      </w:pPr>
      <w:r w:rsidRPr="008D5F7E">
        <w:rPr>
          <w:b/>
        </w:rPr>
        <w:t>Method</w:t>
      </w:r>
    </w:p>
    <w:p w14:paraId="306BC125" w14:textId="74112738" w:rsidR="00AF4D57" w:rsidRPr="008D5F7E" w:rsidRDefault="004B5827" w:rsidP="00106BD1">
      <w:pPr>
        <w:jc w:val="both"/>
        <w:rPr>
          <w:rFonts w:ascii="Calibri" w:hAnsi="Calibri"/>
          <w:shd w:val="clear" w:color="auto" w:fill="FFFFFF"/>
        </w:rPr>
      </w:pPr>
      <w:r w:rsidRPr="008D5F7E">
        <w:rPr>
          <w:rFonts w:ascii="Calibri" w:hAnsi="Calibri"/>
          <w:shd w:val="clear" w:color="auto" w:fill="FFFFFF"/>
        </w:rPr>
        <w:t xml:space="preserve">Data were from 2,568 men and 1,376 women </w:t>
      </w:r>
      <w:r w:rsidR="00F86762" w:rsidRPr="008D5F7E">
        <w:rPr>
          <w:rFonts w:ascii="Calibri" w:hAnsi="Calibri"/>
          <w:shd w:val="clear" w:color="auto" w:fill="FFFFFF"/>
        </w:rPr>
        <w:t>(age</w:t>
      </w:r>
      <w:r w:rsidR="00355185" w:rsidRPr="008D5F7E">
        <w:rPr>
          <w:rFonts w:ascii="Calibri" w:hAnsi="Calibri"/>
          <w:shd w:val="clear" w:color="auto" w:fill="FFFFFF"/>
        </w:rPr>
        <w:t xml:space="preserve"> </w:t>
      </w:r>
      <w:r w:rsidR="00355185" w:rsidRPr="008D5F7E">
        <w:rPr>
          <w:rFonts w:ascii="Calibri" w:hAnsi="Calibri" w:cs="Calibri"/>
          <w:shd w:val="clear" w:color="auto" w:fill="FFFFFF"/>
        </w:rPr>
        <w:t>≥</w:t>
      </w:r>
      <w:r w:rsidR="00355185" w:rsidRPr="008D5F7E">
        <w:rPr>
          <w:rFonts w:ascii="Calibri" w:hAnsi="Calibri"/>
          <w:shd w:val="clear" w:color="auto" w:fill="FFFFFF"/>
        </w:rPr>
        <w:t>50y</w:t>
      </w:r>
      <w:r w:rsidR="00F86762" w:rsidRPr="008D5F7E">
        <w:rPr>
          <w:rFonts w:ascii="Calibri" w:hAnsi="Calibri"/>
          <w:shd w:val="clear" w:color="auto" w:fill="FFFFFF"/>
        </w:rPr>
        <w:t xml:space="preserve">) </w:t>
      </w:r>
      <w:r w:rsidRPr="008D5F7E">
        <w:rPr>
          <w:rFonts w:ascii="Calibri" w:hAnsi="Calibri"/>
          <w:shd w:val="clear" w:color="auto" w:fill="FFFFFF"/>
        </w:rPr>
        <w:t>participating in Wave 6 of the English Longitudinal Study of Ageing (2012/13).</w:t>
      </w:r>
      <w:r w:rsidR="002D7CDB" w:rsidRPr="008D5F7E">
        <w:rPr>
          <w:rFonts w:ascii="Calibri" w:hAnsi="Calibri"/>
          <w:shd w:val="clear" w:color="auto" w:fill="FFFFFF"/>
        </w:rPr>
        <w:t xml:space="preserve"> Sleep quality, </w:t>
      </w:r>
      <w:r w:rsidR="00E706C8" w:rsidRPr="008D5F7E">
        <w:rPr>
          <w:rFonts w:ascii="Calibri" w:hAnsi="Calibri"/>
          <w:shd w:val="clear" w:color="auto" w:fill="FFFFFF"/>
        </w:rPr>
        <w:t>duration and problems with erectile function, sexual arousal and orgasmic exp</w:t>
      </w:r>
      <w:r w:rsidR="007C6E19" w:rsidRPr="008D5F7E">
        <w:rPr>
          <w:rFonts w:ascii="Calibri" w:hAnsi="Calibri"/>
          <w:shd w:val="clear" w:color="auto" w:fill="FFFFFF"/>
        </w:rPr>
        <w:t>erience were self-reported</w:t>
      </w:r>
      <w:r w:rsidR="00C05CC3" w:rsidRPr="008D5F7E">
        <w:rPr>
          <w:rFonts w:ascii="Calibri" w:hAnsi="Calibri"/>
          <w:shd w:val="clear" w:color="auto" w:fill="FFFFFF"/>
        </w:rPr>
        <w:t>,</w:t>
      </w:r>
      <w:r w:rsidR="00E706C8" w:rsidRPr="008D5F7E">
        <w:rPr>
          <w:rFonts w:ascii="Calibri" w:hAnsi="Calibri"/>
          <w:shd w:val="clear" w:color="auto" w:fill="FFFFFF"/>
        </w:rPr>
        <w:t xml:space="preserve"> and associations examined using logistic regression models. Covariates included age, ethnicity, partner status, wealth, limiting long-standing illness, smoking, alcohol consumption, physical activity and depressive symptoms.</w:t>
      </w:r>
    </w:p>
    <w:p w14:paraId="30DD6A74" w14:textId="77777777" w:rsidR="002C3FD0" w:rsidRPr="008D5F7E" w:rsidRDefault="002C3FD0" w:rsidP="004B5827">
      <w:pPr>
        <w:spacing w:after="160"/>
        <w:rPr>
          <w:b/>
        </w:rPr>
      </w:pPr>
      <w:r w:rsidRPr="008D5F7E">
        <w:rPr>
          <w:b/>
        </w:rPr>
        <w:t>Results</w:t>
      </w:r>
    </w:p>
    <w:p w14:paraId="3949BEF4" w14:textId="3DA68EFF" w:rsidR="001C68BB" w:rsidRPr="008D5F7E" w:rsidRDefault="001C68BB" w:rsidP="00106BD1">
      <w:pPr>
        <w:jc w:val="both"/>
        <w:rPr>
          <w:rFonts w:ascii="Calibri" w:hAnsi="Calibri"/>
          <w:shd w:val="clear" w:color="auto" w:fill="FFFFFF"/>
        </w:rPr>
      </w:pPr>
      <w:r w:rsidRPr="008D5F7E">
        <w:rPr>
          <w:rFonts w:ascii="Calibri" w:hAnsi="Calibri"/>
          <w:shd w:val="clear" w:color="auto" w:fill="FFFFFF"/>
        </w:rPr>
        <w:t xml:space="preserve">In women, moderate (OR=1.53, 95% CI 1.09-2.13, </w:t>
      </w:r>
      <w:r w:rsidRPr="008D5F7E">
        <w:rPr>
          <w:rFonts w:ascii="Calibri" w:hAnsi="Calibri"/>
          <w:i/>
          <w:shd w:val="clear" w:color="auto" w:fill="FFFFFF"/>
        </w:rPr>
        <w:t>p</w:t>
      </w:r>
      <w:r w:rsidRPr="008D5F7E">
        <w:rPr>
          <w:rFonts w:ascii="Calibri" w:hAnsi="Calibri"/>
          <w:shd w:val="clear" w:color="auto" w:fill="FFFFFF"/>
        </w:rPr>
        <w:t xml:space="preserve">=0.013) and low sleep quality (OR=1.70, 95% CI 1.24-2.32, </w:t>
      </w:r>
      <w:r w:rsidRPr="008D5F7E">
        <w:rPr>
          <w:rFonts w:ascii="Calibri" w:hAnsi="Calibri"/>
          <w:i/>
          <w:shd w:val="clear" w:color="auto" w:fill="FFFFFF"/>
        </w:rPr>
        <w:t>p</w:t>
      </w:r>
      <w:r w:rsidRPr="008D5F7E">
        <w:rPr>
          <w:rFonts w:ascii="Calibri" w:hAnsi="Calibri"/>
          <w:shd w:val="clear" w:color="auto" w:fill="FFFFFF"/>
        </w:rPr>
        <w:t xml:space="preserve">=0.001) were associated with increased odds of arousal problems relative to high sleep quality. In men, moderate sleep quality was associated with increased odds of erectile difficulties (OR=1.47, 95% CI 1.16-1.85, </w:t>
      </w:r>
      <w:r w:rsidRPr="008D5F7E">
        <w:rPr>
          <w:rFonts w:ascii="Calibri" w:hAnsi="Calibri"/>
          <w:i/>
          <w:shd w:val="clear" w:color="auto" w:fill="FFFFFF"/>
        </w:rPr>
        <w:t>p</w:t>
      </w:r>
      <w:r w:rsidR="008165D6" w:rsidRPr="008D5F7E">
        <w:rPr>
          <w:rFonts w:ascii="Calibri" w:hAnsi="Calibri"/>
          <w:shd w:val="clear" w:color="auto" w:fill="FFFFFF"/>
        </w:rPr>
        <w:t xml:space="preserve">=0.001), </w:t>
      </w:r>
      <w:r w:rsidRPr="008D5F7E">
        <w:rPr>
          <w:rFonts w:ascii="Calibri" w:hAnsi="Calibri"/>
          <w:shd w:val="clear" w:color="auto" w:fill="FFFFFF"/>
        </w:rPr>
        <w:t xml:space="preserve">the difference between low and high sleep quality did not reach statistical significance (OR=1.24, 95% CI 0.97-1.58, </w:t>
      </w:r>
      <w:r w:rsidRPr="008D5F7E">
        <w:rPr>
          <w:rFonts w:ascii="Calibri" w:hAnsi="Calibri"/>
          <w:i/>
          <w:shd w:val="clear" w:color="auto" w:fill="FFFFFF"/>
        </w:rPr>
        <w:t>p</w:t>
      </w:r>
      <w:r w:rsidRPr="008D5F7E">
        <w:rPr>
          <w:rFonts w:ascii="Calibri" w:hAnsi="Calibri"/>
          <w:shd w:val="clear" w:color="auto" w:fill="FFFFFF"/>
        </w:rPr>
        <w:t xml:space="preserve">=0.091). Sleep quality was not associated with difficulty achieving </w:t>
      </w:r>
      <w:r w:rsidR="00642CC8" w:rsidRPr="008D5F7E">
        <w:rPr>
          <w:rFonts w:ascii="Calibri" w:hAnsi="Calibri"/>
          <w:shd w:val="clear" w:color="auto" w:fill="FFFFFF"/>
        </w:rPr>
        <w:t xml:space="preserve">an </w:t>
      </w:r>
      <w:r w:rsidRPr="008D5F7E">
        <w:rPr>
          <w:rFonts w:ascii="Calibri" w:hAnsi="Calibri"/>
          <w:shd w:val="clear" w:color="auto" w:fill="FFFFFF"/>
        </w:rPr>
        <w:t xml:space="preserve">orgasm in men, but in women low sleep quality was associated with increased odds of orgasmic difficulty (OR=1.63, 95% CI 1.18-2.25, </w:t>
      </w:r>
      <w:r w:rsidRPr="008D5F7E">
        <w:rPr>
          <w:rFonts w:ascii="Calibri" w:hAnsi="Calibri"/>
          <w:i/>
          <w:shd w:val="clear" w:color="auto" w:fill="FFFFFF"/>
        </w:rPr>
        <w:t>p</w:t>
      </w:r>
      <w:r w:rsidRPr="008D5F7E">
        <w:rPr>
          <w:rFonts w:ascii="Calibri" w:hAnsi="Calibri"/>
          <w:shd w:val="clear" w:color="auto" w:fill="FFFFFF"/>
        </w:rPr>
        <w:t>=0.003). No associations between sleep duration and problems with sexual function were observed in women</w:t>
      </w:r>
      <w:r w:rsidR="008F190B" w:rsidRPr="008D5F7E">
        <w:rPr>
          <w:rFonts w:ascii="Calibri" w:hAnsi="Calibri"/>
          <w:shd w:val="clear" w:color="auto" w:fill="FFFFFF"/>
        </w:rPr>
        <w:t xml:space="preserve">, but </w:t>
      </w:r>
      <w:r w:rsidRPr="008D5F7E">
        <w:rPr>
          <w:rFonts w:ascii="Calibri" w:hAnsi="Calibri"/>
          <w:shd w:val="clear" w:color="auto" w:fill="FFFFFF"/>
        </w:rPr>
        <w:t>in men, long sleep wa</w:t>
      </w:r>
      <w:r w:rsidR="008165D6" w:rsidRPr="008D5F7E">
        <w:rPr>
          <w:rFonts w:ascii="Calibri" w:hAnsi="Calibri"/>
          <w:shd w:val="clear" w:color="auto" w:fill="FFFFFF"/>
        </w:rPr>
        <w:t xml:space="preserve">s associated with </w:t>
      </w:r>
      <w:r w:rsidRPr="008D5F7E">
        <w:rPr>
          <w:rFonts w:ascii="Calibri" w:hAnsi="Calibri"/>
          <w:shd w:val="clear" w:color="auto" w:fill="FFFFFF"/>
        </w:rPr>
        <w:t xml:space="preserve">higher odds of difficulty achieving orgasm (OR=1.75, 95% CI 1.04-2.95, </w:t>
      </w:r>
      <w:r w:rsidRPr="008D5F7E">
        <w:rPr>
          <w:rFonts w:ascii="Calibri" w:hAnsi="Calibri"/>
          <w:i/>
          <w:shd w:val="clear" w:color="auto" w:fill="FFFFFF"/>
        </w:rPr>
        <w:t>p</w:t>
      </w:r>
      <w:r w:rsidRPr="008D5F7E">
        <w:rPr>
          <w:rFonts w:ascii="Calibri" w:hAnsi="Calibri"/>
          <w:shd w:val="clear" w:color="auto" w:fill="FFFFFF"/>
        </w:rPr>
        <w:t>=0.036) relative to op</w:t>
      </w:r>
      <w:r w:rsidR="008165D6" w:rsidRPr="008D5F7E">
        <w:rPr>
          <w:rFonts w:ascii="Calibri" w:hAnsi="Calibri"/>
          <w:shd w:val="clear" w:color="auto" w:fill="FFFFFF"/>
        </w:rPr>
        <w:t>timal sleep duration</w:t>
      </w:r>
      <w:r w:rsidR="008F190B" w:rsidRPr="008D5F7E">
        <w:rPr>
          <w:rFonts w:ascii="Calibri" w:hAnsi="Calibri"/>
          <w:shd w:val="clear" w:color="auto" w:fill="FFFFFF"/>
        </w:rPr>
        <w:t>.</w:t>
      </w:r>
    </w:p>
    <w:p w14:paraId="29DA2211" w14:textId="6E135C1F" w:rsidR="00A72200" w:rsidRPr="008D5F7E" w:rsidRDefault="00277B5F" w:rsidP="00106BD1">
      <w:pPr>
        <w:jc w:val="both"/>
        <w:rPr>
          <w:rFonts w:ascii="Calibri" w:hAnsi="Calibri"/>
          <w:b/>
          <w:shd w:val="clear" w:color="auto" w:fill="FFFFFF"/>
        </w:rPr>
      </w:pPr>
      <w:r w:rsidRPr="008D5F7E">
        <w:rPr>
          <w:rFonts w:ascii="Calibri" w:hAnsi="Calibri"/>
          <w:b/>
          <w:shd w:val="clear" w:color="auto" w:fill="FFFFFF"/>
        </w:rPr>
        <w:t>Clinical Implications</w:t>
      </w:r>
    </w:p>
    <w:p w14:paraId="39C8A6DA" w14:textId="49CBC890" w:rsidR="004649C3" w:rsidRPr="008D5F7E" w:rsidRDefault="00666CF2" w:rsidP="00106BD1">
      <w:pPr>
        <w:jc w:val="both"/>
        <w:rPr>
          <w:rFonts w:ascii="Calibri" w:hAnsi="Calibri"/>
          <w:shd w:val="clear" w:color="auto" w:fill="FFFFFF"/>
        </w:rPr>
      </w:pPr>
      <w:r w:rsidRPr="008D5F7E">
        <w:rPr>
          <w:rFonts w:ascii="Calibri" w:hAnsi="Calibri"/>
          <w:shd w:val="clear" w:color="auto" w:fill="FFFFFF"/>
        </w:rPr>
        <w:t xml:space="preserve">Older adults presenting sleep problems should be screened for sexual dysfunction and vice versa. </w:t>
      </w:r>
    </w:p>
    <w:p w14:paraId="67D18B66" w14:textId="77777777" w:rsidR="00A72200" w:rsidRPr="008D5F7E" w:rsidRDefault="00A72200" w:rsidP="00106BD1">
      <w:pPr>
        <w:jc w:val="both"/>
        <w:rPr>
          <w:rFonts w:ascii="Calibri" w:hAnsi="Calibri"/>
          <w:b/>
          <w:shd w:val="clear" w:color="auto" w:fill="FFFFFF"/>
        </w:rPr>
      </w:pPr>
      <w:r w:rsidRPr="008D5F7E">
        <w:rPr>
          <w:rFonts w:ascii="Calibri" w:hAnsi="Calibri"/>
          <w:b/>
          <w:shd w:val="clear" w:color="auto" w:fill="FFFFFF"/>
        </w:rPr>
        <w:t>Strengths and Limitations</w:t>
      </w:r>
    </w:p>
    <w:p w14:paraId="1625F314" w14:textId="03B91884" w:rsidR="00666CF2" w:rsidRPr="008D5F7E" w:rsidRDefault="00666CF2" w:rsidP="00106BD1">
      <w:pPr>
        <w:jc w:val="both"/>
        <w:rPr>
          <w:rFonts w:ascii="Calibri" w:hAnsi="Calibri"/>
          <w:b/>
          <w:shd w:val="clear" w:color="auto" w:fill="FFFFFF"/>
        </w:rPr>
      </w:pPr>
      <w:r w:rsidRPr="008D5F7E">
        <w:rPr>
          <w:rFonts w:ascii="Calibri" w:hAnsi="Calibri"/>
          <w:shd w:val="clear" w:color="auto" w:fill="FFFFFF"/>
        </w:rPr>
        <w:t xml:space="preserve">Strengths of this study include the large representative sample of older English adults, the assessment of several aspects of sexual </w:t>
      </w:r>
      <w:r w:rsidR="005402A7" w:rsidRPr="008D5F7E">
        <w:rPr>
          <w:rFonts w:ascii="Calibri" w:hAnsi="Calibri"/>
          <w:shd w:val="clear" w:color="auto" w:fill="FFFFFF"/>
        </w:rPr>
        <w:t>dys</w:t>
      </w:r>
      <w:r w:rsidR="00A72200" w:rsidRPr="008D5F7E">
        <w:rPr>
          <w:rFonts w:ascii="Calibri" w:hAnsi="Calibri"/>
          <w:shd w:val="clear" w:color="auto" w:fill="FFFFFF"/>
        </w:rPr>
        <w:t xml:space="preserve">function </w:t>
      </w:r>
      <w:r w:rsidRPr="008D5F7E">
        <w:rPr>
          <w:rFonts w:ascii="Calibri" w:hAnsi="Calibri"/>
          <w:shd w:val="clear" w:color="auto" w:fill="FFFFFF"/>
        </w:rPr>
        <w:t xml:space="preserve">and sleep, and the inclusion of potentially important confounding variables into statistical models. However, </w:t>
      </w:r>
      <w:r w:rsidR="00A72200" w:rsidRPr="008D5F7E">
        <w:rPr>
          <w:rFonts w:ascii="Calibri" w:hAnsi="Calibri"/>
          <w:shd w:val="clear" w:color="auto" w:fill="FFFFFF"/>
        </w:rPr>
        <w:t>t</w:t>
      </w:r>
      <w:r w:rsidRPr="008D5F7E">
        <w:rPr>
          <w:rFonts w:ascii="Calibri" w:hAnsi="Calibri"/>
          <w:shd w:val="clear" w:color="auto" w:fill="FFFFFF"/>
        </w:rPr>
        <w:t>he study was cross-sectional, meaning we were unable to ascertain the direction of the observed associations.</w:t>
      </w:r>
    </w:p>
    <w:p w14:paraId="5D2F762C" w14:textId="77777777" w:rsidR="00ED5B04" w:rsidRPr="008D5F7E" w:rsidRDefault="002C3FD0" w:rsidP="004B5827">
      <w:pPr>
        <w:spacing w:after="160"/>
        <w:rPr>
          <w:b/>
        </w:rPr>
      </w:pPr>
      <w:r w:rsidRPr="008D5F7E">
        <w:rPr>
          <w:b/>
        </w:rPr>
        <w:lastRenderedPageBreak/>
        <w:t>Conclusion</w:t>
      </w:r>
    </w:p>
    <w:p w14:paraId="2705AFED" w14:textId="77777777" w:rsidR="00BE0A4C" w:rsidRPr="008D5F7E" w:rsidRDefault="00E05045" w:rsidP="00961785">
      <w:pPr>
        <w:spacing w:after="160"/>
      </w:pPr>
      <w:r w:rsidRPr="008D5F7E">
        <w:t>Sleep problems are associated with sexual dysfunction in older English adults</w:t>
      </w:r>
      <w:r w:rsidR="00642CC8" w:rsidRPr="008D5F7E">
        <w:t xml:space="preserve">, although some variation is noted </w:t>
      </w:r>
      <w:r w:rsidRPr="008D5F7E">
        <w:t>between men and women.</w:t>
      </w:r>
    </w:p>
    <w:p w14:paraId="00D56688" w14:textId="69F196D9" w:rsidR="00736100" w:rsidRPr="008D5F7E" w:rsidRDefault="00BE0A4C" w:rsidP="00961785">
      <w:pPr>
        <w:spacing w:after="160"/>
      </w:pPr>
      <w:r w:rsidRPr="008D5F7E">
        <w:rPr>
          <w:b/>
        </w:rPr>
        <w:t xml:space="preserve">Key words: </w:t>
      </w:r>
      <w:r w:rsidR="008165D6" w:rsidRPr="008D5F7E">
        <w:t>sexual activity;</w:t>
      </w:r>
      <w:r w:rsidR="008165D6" w:rsidRPr="008D5F7E">
        <w:rPr>
          <w:b/>
        </w:rPr>
        <w:t xml:space="preserve"> </w:t>
      </w:r>
      <w:r w:rsidRPr="008D5F7E">
        <w:t xml:space="preserve">sexual dysfunction; erectile dysfunction; </w:t>
      </w:r>
      <w:r w:rsidR="008165D6" w:rsidRPr="008D5F7E">
        <w:t>sleep problems; sleep duration</w:t>
      </w:r>
      <w:r w:rsidR="00736100" w:rsidRPr="008D5F7E">
        <w:br w:type="page"/>
      </w:r>
    </w:p>
    <w:p w14:paraId="15CB1C24" w14:textId="77777777" w:rsidR="00070E1E" w:rsidRPr="008D5F7E" w:rsidRDefault="00070E1E" w:rsidP="00793C9D">
      <w:pPr>
        <w:pStyle w:val="Heading2"/>
      </w:pPr>
      <w:r w:rsidRPr="008D5F7E">
        <w:lastRenderedPageBreak/>
        <w:t>Background</w:t>
      </w:r>
    </w:p>
    <w:p w14:paraId="2C03556A" w14:textId="5C4184D3" w:rsidR="00B05DD0" w:rsidRPr="008D5F7E" w:rsidRDefault="00D344DA" w:rsidP="00B56122">
      <w:r w:rsidRPr="008D5F7E">
        <w:t>Sexual activity</w:t>
      </w:r>
      <w:r w:rsidR="00740D88" w:rsidRPr="008D5F7E">
        <w:t xml:space="preserve">, </w:t>
      </w:r>
      <w:r w:rsidRPr="008D5F7E">
        <w:t>an important component of intimate relationships</w:t>
      </w:r>
      <w:r w:rsidR="00740D88" w:rsidRPr="008D5F7E">
        <w:t xml:space="preserve">, tends to decline as people get older </w:t>
      </w:r>
      <w:r w:rsidR="00740D88" w:rsidRPr="008D5F7E">
        <w:fldChar w:fldCharType="begin"/>
      </w:r>
      <w:r w:rsidR="00740D88" w:rsidRPr="008D5F7E">
        <w:instrText xml:space="preserve"> ADDIN ZOTERO_ITEM CSL_CITATION {"citationID":"KQnJsYhw","properties":{"formattedCitation":"(1)","plainCitation":"(1)","noteIndex":0},"citationItems":[{"id":1646,"uris":["http://zotero.org/users/446899/items/SI2ZZUMR"],"uri":["http://zotero.org/users/446899/items/SI2ZZUMR"],"itemData":{"id":1646,"type":"article-journal","title":"A Study of Sexuality and Health among Older Adults in the United States","container-title":"New England Journal of Medicine","page":"762-774","volume":"357","issue":"8","source":"Taylor and Francis+NEJM","abstract":"Little is known about sexuality among older persons in the United States, despite the aging of the population. Sexuality encompasses partnership, activity, behavior, attitudes, and function.1 Sexual activity is associated with health,2–4 and illness may considerably interfere with sexual health.5 A massive and growing market for drugs and devices to treat sexual problems targets older adults. Driven in part by the availability of drugs to treat erectile dysfunction, the demand for medical attention and services relating to sexual health is increasing. Yet there is limited information on sexual behavior among older adults and how sexual activities change with aging . . .","DOI":"10.1056/NEJMoa067423","ISSN":"0028-4793","note":"PMID: 17715410","author":[{"family":"Lindau","given":"Stacy Tessler"},{"family":"Schumm","given":"L. Philip"},{"family":"Laumann","given":"Edward O."},{"family":"Levinson","given":"Wendy"},{"family":"O'Muircheartaigh","given":"Colm A."},{"family":"Waite","given":"Linda J."}],"issued":{"date-parts":[["2007",8,23]]}}}],"schema":"https://github.com/citation-style-language/schema/raw/master/csl-citation.json"} </w:instrText>
      </w:r>
      <w:r w:rsidR="00740D88" w:rsidRPr="008D5F7E">
        <w:fldChar w:fldCharType="separate"/>
      </w:r>
      <w:r w:rsidR="00740D88" w:rsidRPr="008D5F7E">
        <w:rPr>
          <w:rFonts w:ascii="Calibri" w:hAnsi="Calibri" w:cs="Calibri"/>
        </w:rPr>
        <w:t>(1)</w:t>
      </w:r>
      <w:r w:rsidR="00740D88" w:rsidRPr="008D5F7E">
        <w:fldChar w:fldCharType="end"/>
      </w:r>
      <w:r w:rsidRPr="008D5F7E">
        <w:t xml:space="preserve">. </w:t>
      </w:r>
      <w:r w:rsidR="00740D88" w:rsidRPr="008D5F7E">
        <w:t xml:space="preserve">This is likely to be attributable, at least in part, to an age-related increase in </w:t>
      </w:r>
      <w:r w:rsidR="00303533" w:rsidRPr="008D5F7E">
        <w:t xml:space="preserve">sexual </w:t>
      </w:r>
      <w:r w:rsidR="00740D88" w:rsidRPr="008D5F7E">
        <w:t>problems</w:t>
      </w:r>
      <w:r w:rsidR="00303533" w:rsidRPr="008D5F7E">
        <w:t xml:space="preserve">, </w:t>
      </w:r>
      <w:r w:rsidR="003D195F" w:rsidRPr="008D5F7E">
        <w:t>including</w:t>
      </w:r>
      <w:r w:rsidR="00303533" w:rsidRPr="008D5F7E">
        <w:t xml:space="preserve"> </w:t>
      </w:r>
      <w:r w:rsidR="003D195F" w:rsidRPr="008D5F7E">
        <w:t>loss of</w:t>
      </w:r>
      <w:r w:rsidR="00303533" w:rsidRPr="008D5F7E">
        <w:t xml:space="preserve"> libido </w:t>
      </w:r>
      <w:r w:rsidR="008D79C8" w:rsidRPr="008D5F7E">
        <w:t>and</w:t>
      </w:r>
      <w:r w:rsidR="00303533" w:rsidRPr="008D5F7E">
        <w:t xml:space="preserve"> </w:t>
      </w:r>
      <w:r w:rsidR="003D195F" w:rsidRPr="008D5F7E">
        <w:t>disturbances in physiological or psychosocial</w:t>
      </w:r>
      <w:r w:rsidR="00424934" w:rsidRPr="008D5F7E">
        <w:t xml:space="preserve"> aspects of</w:t>
      </w:r>
      <w:r w:rsidR="003D195F" w:rsidRPr="008D5F7E">
        <w:t xml:space="preserve"> sexual </w:t>
      </w:r>
      <w:r w:rsidR="00424934" w:rsidRPr="008D5F7E">
        <w:t>function</w:t>
      </w:r>
      <w:r w:rsidR="00740D88" w:rsidRPr="008D5F7E">
        <w:t xml:space="preserve"> </w:t>
      </w:r>
      <w:r w:rsidR="00676CBA" w:rsidRPr="008D5F7E">
        <w:fldChar w:fldCharType="begin"/>
      </w:r>
      <w:r w:rsidR="00A6678D" w:rsidRPr="008D5F7E">
        <w:instrText xml:space="preserve"> ADDIN ZOTERO_ITEM CSL_CITATION {"citationID":"gif30GnY","properties":{"formattedCitation":"(2\\uc0\\u8211{}5)","plainCitation":"(2–5)","noteIndex":0},"citationItems":[{"id":5156,"uris":["http://zotero.org/users/446899/items/YGUJE4DP"],"uri":["http://zotero.org/users/446899/items/YGUJE4DP"],"itemData":{"id":5156,"type":"article-journal","title":"Sexual Dysfunction among Older Adults: Prevalence and Risk Factors from a Nationally Representative U.S. Probability Sample of Men and Women 57–85 Years of Age","container-title":"The journal of sexual medicine","page":"2300-2311","volume":"5","issue":"10","source":"PubMed Central","abstract":"Introduction\nDespite increasing demand for clinical interventions into sexual problems in an aging population, epidemiological data on the subject are scarce.\n\nAims\nTo examine the prevalence of sexual problems across different sociodemographic groups, and risk factors for these problems in multiple domains of life.\n\nMethods\nStatistical analysis of data from the 2005–2006 National Social Life, Health, and Aging Project (NSHAP), a nationally representative U.S. probability sample of 1,550 women and 1,455 men aged 57–85 at the time of interview.\n\nMain Outcome Measures\nLikelihood of experiencing sexual dysfunction in the preceding 12 months.\n\nResults\nSexual problems among the elderly are not an inevitable consequence of aging, but instead are responses to the presence of stressors in multiple life domains. This impact may partly be gender differentiated, with older women's sexual health more sensitive to their physical health than is true for men. The mechanism linking life stress with sexual problems is likely to be poor mental health and relationship dissatisfaction. The NSHAP results demonstrate the consistent impact of poor mental health on women's reports of sexual problems and the less consistent association with men's problems.\n\nConclusions\nThe results point to a need for physicians who are treating older adults experiencing sexual problems to take into account not simply their physical health, but also their psychosocial health and satisfaction with their intimate relationship.","DOI":"10.1111/j.1743-6109.2008.00974.x","ISSN":"1743-6095","note":"PMID: 18702640\nPMCID: PMC2756968","shortTitle":"Sexual Dysfunction among Older Adults","journalAbbreviation":"J Sex Med","author":[{"family":"Laumann","given":"Edward O."},{"family":"Das","given":"Aniruddha"},{"family":"Waite","given":"Linda J."}],"issued":{"date-parts":[["2008",10]]}}},{"id":5161,"uris":["http://zotero.org/users/446899/items/GWPLAZJJ"],"uri":["http://zotero.org/users/446899/items/GWPLAZJJ"],"itemData":{"id":5161,"type":"article-journal","title":"Sexual dysfunction in the United States: prevalence and predictors","container-title":"JAMA","page":"537-544","volume":"281","issue":"6","source":"PubMed","abstract":"CONTEXT: While recent pharmacological advances have generated increased public interest and demand for clinical services regarding erectile dysfunction, epidemiologic data on sexual dysfunction are relatively scant for both women and men.\nOBJECTIVE: To assess the prevalence and risk of experiencing sexual dysfunction across various social groups and examine the determinants and health consequences of these disorders.\nDESIGN: Analysis of data from the National Health and Social Life Survey, a probability sample study of sexual behavior in a demographically representative, 1992 cohort of US adults.\nPARTICIPANTS: A national probability sample of 1749 women and 1410 men aged 18 to 59 years at the time of the survey.\nMAIN OUTCOME MEASURES: Risk of experiencing sexual dysfunction as well as negative concomitant outcomes.\nRESULTS: Sexual dysfunction is more prevalent for women (43%) than men (31%) and is associated with various demographic characteristics, including age and educational attainment. Women of different racial groups demonstrate different patterns of sexual dysfunction. Differences among men are not as marked but generally consistent with women. Experience of sexual dysfunction is more likely among women and men with poor physical and emotional health. Moreover, sexual dysfunction is highly associated with negative experiences in sexual relationships and overall well-being.\nCONCLUSIONS: The results indicate that sexual dysfunction is an important public health concern, and emotional problems likely contribute to the experience of these problems.","ISSN":"0098-7484","note":"PMID: 10022110","shortTitle":"Sexual dysfunction in the United States","journalAbbreviation":"JAMA","language":"eng","author":[{"family":"Laumann","given":"E. O."},{"family":"Paik","given":"A."},{"family":"Rosen","given":"R. C."}],"issued":{"date-parts":[["1999",2,10]]}}},{"id":5159,"uris":["http://zotero.org/users/446899/items/BMHS77FP"],"uri":["http://zotero.org/users/446899/items/BMHS77FP"],"itemData":{"id":5159,"type":"article-journal","title":"Standards for clinical trials in male sexual dysfunction: erectile dysfunction and rapid ejaculation","container-title":"The Journal of Sexual Medicine","page":"87-91","volume":"1","issue":"1","source":"PubMed","abstract":"INTRODUCTION: The introduction of safe and effective therapies for sexual dysfunctions depend upon appropriate clinical protocol design, study procedures, data collection and analysis.\nAIM: To provide recommendations/guidelines concerning state-of-the-art knowledge for standards for clinical trials in sexual dysfunction in men, particularly in the areas of erectile dysfunction and rapid ejaculation.\nMETHODS: An International Consultation in collaboration with the major urology and sexual medicine associations assembled over 200 multidisciplinary experts from 60 countries into 17 committees. Committee members established specific objectives and scopes for various male and female sexual medicine topics. The recommendations concerning state-of-the-art knowledge in the respective sexual medicine topic represent the opinion of experts from five continents developed in a process over a 2-year period. Concerning the Standards for Clinical Trials in Male Sexual Dysfunction Committee, there were six experts from four countries.\nMAIN OUTCOME MEASURE: Expert opinion was based on grading of evidence-based medical literature, widespread internal committee discussion, public presentation and debate.\nRESULTS: Drug development requires a multiphased approach. Phase 1 studies investigate multiple-dose safety, tolerability and pharmacokinetic issues. Phase 2 programs explore dose ranging (lowest effective, maximally tolerated and toxic doses). Phase 3 trials provide the substantial evidence including drug-drug interaction data and studies in special populations. Clinical studies require validated outcome assessment instruments conducted in defined but representative patient populations. Daily diaries or per-event questionnaires are patient-reported outcomes that assist in retrospective questionnaire interpretation. A qualified biostatistician should calculate the sample power for the trial, type of statistical model and design employed, use of covariate or subgroup analyses, and calculation of effect sizes.\nCONCLUSIONS: More research is needed in developing standards for use in the development of clinical trials and outcomes assessment researching either erectile dysfunction or rapid ejaculation.","DOI":"10.1111/j.1743-6109.2004.10113.x","ISSN":"1743-6095","note":"PMID: 16422988","shortTitle":"Standards for clinical trials in male sexual dysfunction","journalAbbreviation":"J Sex Med","language":"eng","author":[{"family":"Hirsch","given":"Mark"},{"family":"Donatucci","given":"Craig"},{"family":"Glina","given":"Sidney"},{"family":"Montague","given":"Drogo"},{"family":"Montorsi","given":"Francesco"},{"family":"Wyllie","given":"Michael"}],"issued":{"date-parts":[["2004",7]]}}},{"id":5163,"uris":["http://zotero.org/users/446899/items/4C9QNL89"],"uri":["http://zotero.org/users/446899/items/4C9QNL89"],"itemData":{"id":5163,"type":"article-journal","title":"Sexual function in Britain: findings from the third National Survey of Sexual Attitudes and Lifestyles (Natsal-3)","container-title":"The Lancet","page":"1817-1829","volume":"382","issue":"9907","source":"ScienceDirect","abstract":"Summary\nBackground\nDespite its importance to sexual health and wellbeing, sexual function is given little attention in sexual health policy. Population-based studies are needed to understand sexual function across the life course.\nMethods\nWe undertook a probability sample survey (the third National Survey of Sexual Attitudes and Lifestyles [Natsal-3]) of 15 162 individuals aged 16–74 years who lived in Britain (England, Scotland, and Wales). Interviews were done between Sept 6, 2010, and Aug 31, 2012. We assessed the distribution of sexual function by use of a novel validated measure (the Natsal-SF), which assessed problems with individual sexual response, sexual function in a relationship context, and self-appraisal of sex life (17 items; 16 items per gender). We assess factors associated with low sexual function (defined as the lowest quintile of distribution of Natsal-SF scores) and the distribution of components of the measure. Participants reporting one or more sexual partner in the past year were given a score on the Natsal-SF (11 690 participants). 4122 of these participants were not in a relationship for all of the past year and we employed the full information maximum likelihood method to handle missing data on four relationship items.\nFindings\nWe obtained data for 4913 men and 6777 women for the Natsal-SF. For men and women, low sexual function was associated with increased age, and, after age-adjustment, with depression (adjusted odds ratio 3·70 [95% CI 2·90–4·72] for men and 4·11 [3·36–5·04] for women) and self-reported poor health status (2·63 [1·73–3·98] and 2·41 [1·72–3·39]). Low sexual function was also associated with experiencing the end of a relationship (1·52 [1·18–1·95] and 1·77 [1·44–2·17]), inability to talk easily about sex with a partner (2·36 [1·94–2·88] and 2·82 [2·28–3·48]), and not being happy in the relationship (2·89 [2·32–3·61] and 4·10 [3·39–4·97]). Associations were also noted with engaging in fewer than four sex acts in the past 4 weeks (3·13 [2·58–3·79] and 3·38 [2·80–4·09]), having had same sex partners (2·28 [1·56–3·35] and 1·60 [1·16–2·20]), paying for sex (in men only; 2·62 [1·46–4·71]), and higher numbers of lifetime sexual partners (in women only; 2·12 [1·68–2·67] for ten or more partners). Low sexual function was also associated with negative sexual health outcomes such as experience of non-volitional sex (1·98 [1·14–3·43] and 2·18 [1·79–2·66]) and STI diagnosis (1·50 [1·06–2·11] and 1·83 [1·35–2·47]). Among individuals reporting sex in the past year, problems with sexual response were common (41·6% of men and 51·2% of women reported one or more problem) but self-reported distress about sex lives was much less common (9·9% and 10·9%). For individuals in a sexual relationship for the past year, 23·4% of men and 27·4% of women reported an imbalance in level of interest in sex between partners, and 18·0% of men and 17·1% of women said that their partner had had sexual difficulties. Most participants who did not have sex in the past year were not dissatisfied, distressed, or avoiding sex because of sexual difficulties.\nInterpretation\nWide variability exists in the distribution of sexual function scores. Low sexual function is associated with negative sexual health outcomes, supporting calls for a greater emphasis on sexual function in sexual health policy and interventions.\nFunding\nGrants from the UK Medical Research Council and the Wellcome Trust, with support from the Economic and Social Research Council and the Department of Health.","DOI":"10.1016/S0140-6736(13)62366-1","ISSN":"0140-6736","shortTitle":"Sexual function in Britain","journalAbbreviation":"The Lancet","author":[{"family":"Mitchell","given":"Kirstin R"},{"family":"Mercer","given":"Catherine H"},{"family":"Ploubidis","given":"George B"},{"family":"Jones","given":"Kyle G"},{"family":"Datta","given":"Jessica"},{"family":"Field","given":"Nigel"},{"family":"Copas","given":"Andrew J"},{"family":"Tanton","given":"Clare"},{"family":"Erens","given":"Bob"},{"family":"Sonnenberg","given":"Pam"},{"family":"Clifton","given":"Soazig"},{"family":"Macdowall","given":"Wendy"},{"family":"Phelps","given":"Andrew"},{"family":"Johnson","given":"Anne M"},{"family":"Wellings","given":"Kaye"}],"issued":{"date-parts":[["2013",11,30]]}}}],"schema":"https://github.com/citation-style-language/schema/raw/master/csl-citation.json"} </w:instrText>
      </w:r>
      <w:r w:rsidR="00676CBA" w:rsidRPr="008D5F7E">
        <w:fldChar w:fldCharType="separate"/>
      </w:r>
      <w:r w:rsidR="00A6678D" w:rsidRPr="008D5F7E">
        <w:rPr>
          <w:rFonts w:ascii="Calibri" w:hAnsi="Calibri" w:cs="Calibri"/>
          <w:szCs w:val="24"/>
        </w:rPr>
        <w:t>(2–5)</w:t>
      </w:r>
      <w:r w:rsidR="00676CBA" w:rsidRPr="008D5F7E">
        <w:fldChar w:fldCharType="end"/>
      </w:r>
      <w:r w:rsidR="00740D88" w:rsidRPr="008D5F7E">
        <w:t>.</w:t>
      </w:r>
      <w:r w:rsidR="00676CBA" w:rsidRPr="008D5F7E">
        <w:t xml:space="preserve"> </w:t>
      </w:r>
      <w:r w:rsidR="000D57BC" w:rsidRPr="008D5F7E">
        <w:t>In</w:t>
      </w:r>
      <w:r w:rsidR="00A87A64" w:rsidRPr="008D5F7E">
        <w:t xml:space="preserve"> a large, representative survey of US adults aged 57 to 85</w:t>
      </w:r>
      <w:r w:rsidR="000D57BC" w:rsidRPr="008D5F7E">
        <w:t xml:space="preserve">, </w:t>
      </w:r>
      <w:r w:rsidR="00310AA1" w:rsidRPr="008D5F7E">
        <w:t xml:space="preserve">31-45% of men reported difficulty achieving or maintaining an erection and 36-44% of women reported difficulty with </w:t>
      </w:r>
      <w:r w:rsidR="00A64BA4" w:rsidRPr="008D5F7E">
        <w:t xml:space="preserve">vaginal </w:t>
      </w:r>
      <w:r w:rsidR="00310AA1" w:rsidRPr="008D5F7E">
        <w:t>lubrication</w:t>
      </w:r>
      <w:r w:rsidR="000D57BC" w:rsidRPr="008D5F7E">
        <w:t xml:space="preserve"> </w:t>
      </w:r>
      <w:r w:rsidR="000D57BC" w:rsidRPr="008D5F7E">
        <w:fldChar w:fldCharType="begin"/>
      </w:r>
      <w:r w:rsidR="000D57BC" w:rsidRPr="008D5F7E">
        <w:instrText xml:space="preserve"> ADDIN ZOTERO_ITEM CSL_CITATION {"citationID":"2JvdvXrT","properties":{"formattedCitation":"(1)","plainCitation":"(1)","noteIndex":0},"citationItems":[{"id":1646,"uris":["http://zotero.org/users/446899/items/SI2ZZUMR"],"uri":["http://zotero.org/users/446899/items/SI2ZZUMR"],"itemData":{"id":1646,"type":"article-journal","title":"A Study of Sexuality and Health among Older Adults in the United States","container-title":"New England Journal of Medicine","page":"762-774","volume":"357","issue":"8","source":"Taylor and Francis+NEJM","abstract":"Little is known about sexuality among older persons in the United States, despite the aging of the population. Sexuality encompasses partnership, activity, behavior, attitudes, and function.1 Sexual activity is associated with health,2–4 and illness may considerably interfere with sexual health.5 A massive and growing market for drugs and devices to treat sexual problems targets older adults. Driven in part by the availability of drugs to treat erectile dysfunction, the demand for medical attention and services relating to sexual health is increasing. Yet there is limited information on sexual behavior among older adults and how sexual activities change with aging . . .","DOI":"10.1056/NEJMoa067423","ISSN":"0028-4793","note":"PMID: 17715410","author":[{"family":"Lindau","given":"Stacy Tessler"},{"family":"Schumm","given":"L. Philip"},{"family":"Laumann","given":"Edward O."},{"family":"Levinson","given":"Wendy"},{"family":"O'Muircheartaigh","given":"Colm A."},{"family":"Waite","given":"Linda J."}],"issued":{"date-parts":[["2007",8,23]]}}}],"schema":"https://github.com/citation-style-language/schema/raw/master/csl-citation.json"} </w:instrText>
      </w:r>
      <w:r w:rsidR="000D57BC" w:rsidRPr="008D5F7E">
        <w:fldChar w:fldCharType="separate"/>
      </w:r>
      <w:r w:rsidR="000D57BC" w:rsidRPr="008D5F7E">
        <w:rPr>
          <w:rFonts w:ascii="Calibri" w:hAnsi="Calibri" w:cs="Calibri"/>
        </w:rPr>
        <w:t>(1)</w:t>
      </w:r>
      <w:r w:rsidR="000D57BC" w:rsidRPr="008D5F7E">
        <w:fldChar w:fldCharType="end"/>
      </w:r>
      <w:r w:rsidR="00310AA1" w:rsidRPr="008D5F7E">
        <w:t>. When engaging in sexual activity, 16-33% of men and 33-38% of women reported an inability to climax and 21-30% of men reported climaxing too quickly.</w:t>
      </w:r>
      <w:r w:rsidR="00D843F6" w:rsidRPr="008D5F7E">
        <w:t xml:space="preserve"> </w:t>
      </w:r>
      <w:r w:rsidR="00906F5F" w:rsidRPr="008D5F7E">
        <w:t>Sexual problems had a direct impact on participants’ sex lives</w:t>
      </w:r>
      <w:r w:rsidR="00F21F10" w:rsidRPr="008D5F7E">
        <w:t>,</w:t>
      </w:r>
      <w:r w:rsidR="00906F5F" w:rsidRPr="008D5F7E">
        <w:t xml:space="preserve"> with</w:t>
      </w:r>
      <w:r w:rsidR="00F21F10" w:rsidRPr="008D5F7E">
        <w:t xml:space="preserve"> </w:t>
      </w:r>
      <w:r w:rsidR="003A5705" w:rsidRPr="008D5F7E">
        <w:t xml:space="preserve">22-30% of men and 23-34% of women who </w:t>
      </w:r>
      <w:r w:rsidR="0037467A" w:rsidRPr="008D5F7E">
        <w:t>reported experiencing</w:t>
      </w:r>
      <w:r w:rsidR="003A5705" w:rsidRPr="008D5F7E">
        <w:t xml:space="preserve"> at least one sexual problem </w:t>
      </w:r>
      <w:r w:rsidR="0037467A" w:rsidRPr="008D5F7E">
        <w:t>sa</w:t>
      </w:r>
      <w:r w:rsidR="00906F5F" w:rsidRPr="008D5F7E">
        <w:t>ying</w:t>
      </w:r>
      <w:r w:rsidR="0037467A" w:rsidRPr="008D5F7E">
        <w:t xml:space="preserve"> they</w:t>
      </w:r>
      <w:r w:rsidR="003A5705" w:rsidRPr="008D5F7E">
        <w:t xml:space="preserve"> avoid</w:t>
      </w:r>
      <w:r w:rsidR="00906F5F" w:rsidRPr="008D5F7E">
        <w:t>ed</w:t>
      </w:r>
      <w:r w:rsidR="003A5705" w:rsidRPr="008D5F7E">
        <w:t xml:space="preserve"> sex as a result</w:t>
      </w:r>
      <w:r w:rsidR="000D57BC" w:rsidRPr="008D5F7E">
        <w:t xml:space="preserve"> </w:t>
      </w:r>
      <w:r w:rsidR="000D57BC" w:rsidRPr="008D5F7E">
        <w:fldChar w:fldCharType="begin"/>
      </w:r>
      <w:r w:rsidR="009A5C2B" w:rsidRPr="008D5F7E">
        <w:instrText xml:space="preserve"> ADDIN ZOTERO_ITEM CSL_CITATION {"citationID":"RRbuQf2E","properties":{"formattedCitation":"(1)","plainCitation":"(1)","noteIndex":0},"citationItems":[{"id":1646,"uris":["http://zotero.org/users/446899/items/SI2ZZUMR"],"uri":["http://zotero.org/users/446899/items/SI2ZZUMR"],"itemData":{"id":1646,"type":"article-journal","title":"A Study of Sexuality and Health among Older Adults in the United States","container-title":"New England Journal of Medicine","page":"762-774","volume":"357","issue":"8","source":"Taylor and Francis+NEJM","abstract":"Little is known about sexuality among older persons in the United States, despite the aging of the population. Sexuality encompasses partnership, activity, behavior, attitudes, and function.1 Sexual activity is associated with health,2–4 and illness may considerably interfere with sexual health.5 A massive and growing market for drugs and devices to treat sexual problems targets older adults. Driven in part by the availability of drugs to treat erectile dysfunction, the demand for medical attention and services relating to sexual health is increasing. Yet there is limited information on sexual behavior among older adults and how sexual activities change with aging . . .","DOI":"10.1056/NEJMoa067423","ISSN":"0028-4793","note":"PMID: 17715410","author":[{"family":"Lindau","given":"Stacy Tessler"},{"family":"Schumm","given":"L. Philip"},{"family":"Laumann","given":"Edward O."},{"family":"Levinson","given":"Wendy"},{"family":"O'Muircheartaigh","given":"Colm A."},{"family":"Waite","given":"Linda J."}],"issued":{"date-parts":[["2007",8,23]]}}}],"schema":"https://github.com/citation-style-language/schema/raw/master/csl-citation.json"} </w:instrText>
      </w:r>
      <w:r w:rsidR="000D57BC" w:rsidRPr="008D5F7E">
        <w:fldChar w:fldCharType="separate"/>
      </w:r>
      <w:r w:rsidR="000D57BC" w:rsidRPr="008D5F7E">
        <w:rPr>
          <w:rFonts w:ascii="Calibri" w:hAnsi="Calibri" w:cs="Calibri"/>
        </w:rPr>
        <w:t>(1)</w:t>
      </w:r>
      <w:r w:rsidR="000D57BC" w:rsidRPr="008D5F7E">
        <w:fldChar w:fldCharType="end"/>
      </w:r>
      <w:r w:rsidR="003A5705" w:rsidRPr="008D5F7E">
        <w:t xml:space="preserve">. </w:t>
      </w:r>
      <w:r w:rsidR="00B05DD0" w:rsidRPr="008D5F7E">
        <w:t xml:space="preserve">Importantly, problems with sexual function have </w:t>
      </w:r>
      <w:r w:rsidR="00F21F10" w:rsidRPr="008D5F7E">
        <w:t xml:space="preserve">also </w:t>
      </w:r>
      <w:r w:rsidR="00B05DD0" w:rsidRPr="008D5F7E">
        <w:t xml:space="preserve">been shown to be associated with a range of adverse mental and physical outcomes, including depression </w:t>
      </w:r>
      <w:r w:rsidR="00B05DD0" w:rsidRPr="008D5F7E">
        <w:fldChar w:fldCharType="begin"/>
      </w:r>
      <w:r w:rsidR="00A6678D" w:rsidRPr="008D5F7E">
        <w:instrText xml:space="preserve"> ADDIN ZOTERO_ITEM CSL_CITATION {"citationID":"6Qrz6zsj","properties":{"formattedCitation":"(6)","plainCitation":"(6)","noteIndex":0},"citationItems":[{"id":5154,"uris":["http://zotero.org/users/446899/items/DUVH7BQD"],"uri":["http://zotero.org/users/446899/items/DUVH7BQD"],"itemData":{"id":5154,"type":"article-journal","title":"Bidirectional Association Between Depression and Sexual Dysfunction: A Systematic Review and Meta-Analysis","container-title":"The Journal of Sexual Medicine","page":"1497-1507","volume":"9","issue":"6","source":"ScienceDirect","abstract":"Introduction\nDepression is frequently associated with sexual dysfunction in both men and women.\nAim\nTo examine whether depression predicts sexual dysfunction and, conversely, whether sexual dysfunction predicts depression.\nMethod\nA systematic review and meta-analysis was conducted. PubMed and EMBASE biomedical answers electronic databases were searched for relevant studies up to November 2011. Reference lists of relevant articles were hand-searched and expert opinions were sought. Studies identified for inclusion had to be prospective cohort studies in adult populations that reported an association between depression and sexual dysfunction variables.\nMain Outcome Measures\nOdds ratios (ORs), prioritized where available, or relative risks (RRs) were pooled across studies using random-effects meta-analysis models.\nResults\nEight citations included for review yielded six studies on depression and risk of sexual dysfunction in 3,285 participants followed for 2–9 years, and six studies on sexual dysfunction and risk of depression in 11,171 participants followed for 1–10 years. Depression increased the risk of sexual dysfunction in pooled unadjusted (RR/OR 1.52 with 95% confidence intervals [1.02, 2.26]) and adjusted (RR/OR 1.71 [1.05, 2.78]) meta-analyses but not in the partially adjusted model (RR/OR 1.41 [0.90, 2.23]). There was significant heterogeneity between studies, but after removal of a single outlying study was diminished and the pooled partially adjusted, RR/OR increased to 1.69 (1.15, 2.47). Sexual dysfunction increased the odds of depression in the pooled unadjusted (OR 2.30 [1.74, 3.03]), adjusted (OR 3.12 [1.66, 5.85]), and partially adjusted (OR 2.71 [1.93, 3.79]) meta-analyses; heterogeneity was significant only in the adjusted model. Meta-regression analyses did not detect significant sources of heterogeneity in either examination.\nConclusions\nClinicians should be aware of a bidirectional association between depression and sexual dysfunction. Patients reporting sexual dysfunction should be routinely screened for depression, whereas patients presenting with symptoms of depression should be routinely assessed for sexual dysfunction. Atlantis E and Sullivan T. Bidirectional association between depression and sexual dysfunction: A systematic review and meta-analysis. J Sex Med 2012;9:1497–1507.","DOI":"10.1111/j.1743-6109.2012.02709.x","ISSN":"1743-6095","shortTitle":"Bidirectional Association Between Depression and Sexual Dysfunction","journalAbbreviation":"The Journal of Sexual Medicine","author":[{"family":"Atlantis","given":"Evan"},{"family":"Sullivan","given":"Thomas"}],"issued":{"date-parts":[["2012",6,1]]}}}],"schema":"https://github.com/citation-style-language/schema/raw/master/csl-citation.json"} </w:instrText>
      </w:r>
      <w:r w:rsidR="00B05DD0" w:rsidRPr="008D5F7E">
        <w:fldChar w:fldCharType="separate"/>
      </w:r>
      <w:r w:rsidR="00A6678D" w:rsidRPr="008D5F7E">
        <w:rPr>
          <w:rFonts w:ascii="Calibri" w:hAnsi="Calibri" w:cs="Calibri"/>
        </w:rPr>
        <w:t>(6)</w:t>
      </w:r>
      <w:r w:rsidR="00B05DD0" w:rsidRPr="008D5F7E">
        <w:fldChar w:fldCharType="end"/>
      </w:r>
      <w:r w:rsidR="00B05DD0" w:rsidRPr="008D5F7E">
        <w:t xml:space="preserve"> and cardiovascular disease </w:t>
      </w:r>
      <w:r w:rsidR="00B05DD0" w:rsidRPr="008D5F7E">
        <w:fldChar w:fldCharType="begin"/>
      </w:r>
      <w:r w:rsidR="00A6678D" w:rsidRPr="008D5F7E">
        <w:instrText xml:space="preserve"> ADDIN ZOTERO_ITEM CSL_CITATION {"citationID":"dbG8fIVP","properties":{"formattedCitation":"(7)","plainCitation":"(7)","noteIndex":0},"citationItems":[{"id":5151,"uris":["http://zotero.org/users/446899/items/E2WWKEQ9"],"uri":["http://zotero.org/users/446899/items/E2WWKEQ9"],"itemData":{"id":5151,"type":"article-journal","title":"Erectile Dysfunction and Risk of Cardiovascular Disease: Meta-Analysis of Prospective Cohort Studies","container-title":"Journal of the American College of Cardiology","page":"1378-1385","volume":"58","issue":"13","source":"www.onlinejacc.org","abstract":"Objectives Our goal was to evaluate the association between erectile dysfunction (ED) and risk of cardiovascular disease (CVD) and all-cause mortality by conducting a meta-analysis of prospective cohort studies.\nBackground Observational studies suggest an association between ED and the incidence of CVD. However, whether ED is an independent risk factor of CVD remains controversial.\nMethods The PubMed database was searched through January 2011 to identify studies that met pre-stated inclusion criteria. Reference lists of retrieved articles were also reviewed. Two authors independently extracted information on the designs of the studies, the characteristics of the study participants, exposure and outcome assessments, and control for potential confounding factors. Either a fixed- or a random-effects model was used to calculate the overall combined risk estimates.\nResults Twelve prospective cohort studies involving 36,744 participants were included in the meta-analysis. The overall combined relative risks for men with ED compared with the reference group were 1.48 (95% confidence interval [CI]: 1.25 to 1.74) for CVD, 1.46 (95% CI: 1.31 to 1.63) for coronary heart disease, 1.35 (95% CI: 1.19 to 1.54) for stroke, and 1.19 (95% CI: 1.05 to 1.34) for all-cause mortality. Sensitivity analysis restricted to studies with control for conventional cardiovascular risk factors yielded similar results. No evidence of publication bias was observed.\nConclusions This meta-analysis of prospective cohort studies suggests that ED significantly increases the risk of CVD, coronary heart disease, stroke, and all-cause mortality, and the increase is probably independent of conventional cardiovascular risk factors.","DOI":"10.1016/j.jacc.2011.06.024","ISSN":"0735-1097, 1558-3597","shortTitle":"Erectile Dysfunction and Risk of Cardiovascular Disease","language":"en","author":[{"family":"Dong","given":"Jia-Yi"},{"family":"Zhang","given":"Yong-Hong"},{"family":"Qin","given":"Li-Qiang"}],"issued":{"date-parts":[["2011",9,20]]}}}],"schema":"https://github.com/citation-style-language/schema/raw/master/csl-citation.json"} </w:instrText>
      </w:r>
      <w:r w:rsidR="00B05DD0" w:rsidRPr="008D5F7E">
        <w:fldChar w:fldCharType="separate"/>
      </w:r>
      <w:r w:rsidR="00A6678D" w:rsidRPr="008D5F7E">
        <w:rPr>
          <w:rFonts w:ascii="Calibri" w:hAnsi="Calibri" w:cs="Calibri"/>
        </w:rPr>
        <w:t>(7)</w:t>
      </w:r>
      <w:r w:rsidR="00B05DD0" w:rsidRPr="008D5F7E">
        <w:fldChar w:fldCharType="end"/>
      </w:r>
      <w:r w:rsidR="00B05DD0" w:rsidRPr="008D5F7E">
        <w:t>.</w:t>
      </w:r>
      <w:r w:rsidR="00DF0236" w:rsidRPr="008D5F7E">
        <w:t xml:space="preserve"> Identifying modifiable correlates of </w:t>
      </w:r>
      <w:r w:rsidR="00A33D34" w:rsidRPr="008D5F7E">
        <w:t>sexual dysfunction</w:t>
      </w:r>
      <w:r w:rsidR="00DF0236" w:rsidRPr="008D5F7E">
        <w:t xml:space="preserve"> in older adults is important for informing the development of targeted interventions</w:t>
      </w:r>
      <w:r w:rsidR="007114D5" w:rsidRPr="008D5F7E">
        <w:t xml:space="preserve"> to improve sexual relationships, health and wellbeing in later life</w:t>
      </w:r>
      <w:r w:rsidR="00DF0236" w:rsidRPr="008D5F7E">
        <w:t>.</w:t>
      </w:r>
    </w:p>
    <w:p w14:paraId="279083EA" w14:textId="0E816C79" w:rsidR="007E0401" w:rsidRPr="008D5F7E" w:rsidRDefault="009A5C2B" w:rsidP="00CB61BD">
      <w:r w:rsidRPr="008D5F7E">
        <w:t xml:space="preserve">One factor that may plausibly be associated with sexual dysfunction is sleep disturbance. Like sexual problems, complaints of sleep disturbance increase with age </w:t>
      </w:r>
      <w:r w:rsidRPr="008D5F7E">
        <w:fldChar w:fldCharType="begin"/>
      </w:r>
      <w:r w:rsidRPr="008D5F7E">
        <w:instrText xml:space="preserve"> ADDIN ZOTERO_ITEM CSL_CITATION {"citationID":"Qt2VIdyd","properties":{"formattedCitation":"(8)","plainCitation":"(8)","noteIndex":0},"citationItems":[{"id":5141,"uris":["http://zotero.org/users/446899/items/NUXZ46UY"],"uri":["http://zotero.org/users/446899/items/NUXZ46UY"],"itemData":{"id":5141,"type":"article-journal","title":"ABC of sleep disorders. Sleep and sleep problems in elderly people.","container-title":"BMJ : British Medical Journal","page":"1468-1471","volume":"306","issue":"6890","source":"PubMed Central","abstract":"Images\nnull","ISSN":"0959-8138","note":"PMID: 8518648\nPMCID: PMC1677868","journalAbbreviation":"BMJ","author":[{"family":"Swift","given":"C G"},{"family":"Shapiro","given":"C M"}],"issued":{"date-parts":[["1993",5,29]]}}}],"schema":"https://github.com/citation-style-language/schema/raw/master/csl-citation.json"} </w:instrText>
      </w:r>
      <w:r w:rsidRPr="008D5F7E">
        <w:fldChar w:fldCharType="separate"/>
      </w:r>
      <w:r w:rsidRPr="008D5F7E">
        <w:rPr>
          <w:rFonts w:ascii="Calibri" w:hAnsi="Calibri" w:cs="Calibri"/>
        </w:rPr>
        <w:t>(8)</w:t>
      </w:r>
      <w:r w:rsidRPr="008D5F7E">
        <w:fldChar w:fldCharType="end"/>
      </w:r>
      <w:r w:rsidRPr="008D5F7E">
        <w:t xml:space="preserve"> and are commonly reported by older adults, with </w:t>
      </w:r>
      <w:r w:rsidR="00B56122" w:rsidRPr="008D5F7E">
        <w:t xml:space="preserve">approximately 23% to 34% of people aged 65 years and over </w:t>
      </w:r>
      <w:r w:rsidRPr="008D5F7E">
        <w:t>experiencing symptoms of insomnia</w:t>
      </w:r>
      <w:r w:rsidR="00B56122" w:rsidRPr="008D5F7E">
        <w:t xml:space="preserve"> </w:t>
      </w:r>
      <w:r w:rsidR="00C15F22" w:rsidRPr="008D5F7E">
        <w:fldChar w:fldCharType="begin"/>
      </w:r>
      <w:r w:rsidR="005F6D52" w:rsidRPr="008D5F7E">
        <w:instrText xml:space="preserve"> ADDIN ZOTERO_ITEM CSL_CITATION {"citationID":"NR6ekOfo","properties":{"formattedCitation":"(9,10)","plainCitation":"(9,10)","noteIndex":0},"citationItems":[{"id":5108,"uris":["http://zotero.org/users/446899/items/RE8D77PK"],"uri":["http://zotero.org/users/446899/items/RE8D77PK"],"itemData":{"id":5108,"type":"article-journal","title":"Sleep complaints in older adults: a racial comparison","container-title":"The Journals of Gerontology. Series A, Biological Sciences and Medical Sciences","page":"M280-284","volume":"50","issue":"5","source":"PubMed","abstract":"BACKGROUND: Sleep complaints have been reported in epidemiologic studies to be more frequent in late life, among females, among the physically impaired, and among persons experiencing psychiatric disorders. To date, however, no studies have reported a racial difference in sleep complaints among older persons in the United States.\nMETHOD: The Duke EPESE (Established Populations for Epidemiologic Studies of the Elderly) assessed 3,976 community-dwelling elders age 65+ for sleep complaints and relevant control variables.\nRESULTS: In bivariate analyses, sleep complaints were associated with female gender, White race, older age, cognitive impairment, lower education, presence of chronic health conditions, poor self-rated health, and higher scores on a self-rated depression scale (the CES-D). In logistic regression analysis, the association of White race and more sleep complaints persisted (p &lt; .001) when the above variables were simultaneously controlled.\nCONCLUSIONS: Fewer reported sleep complaints in community-dwelling Black elders compared to White elders remains unexplained, though it may be secondary to a higher threshold for Black elders reporting complaints.","ISSN":"1079-5006","note":"PMID: 7671031","shortTitle":"Sleep complaints in older adults","journalAbbreviation":"J. Gerontol. A Biol. Sci. Med. Sci.","language":"eng","author":[{"family":"Blazer","given":"D. G."},{"family":"Hays","given":"J. C."},{"family":"Foley","given":"D. J."}],"issued":{"date-parts":[["1995",9]]}}},{"id":5110,"uris":["http://zotero.org/users/446899/items/XDX2MTLY"],"uri":["http://zotero.org/users/446899/items/XDX2MTLY"],"itemData":{"id":5110,"type":"article-journal","title":"Sleep Complaints Among Elderly Persons: An Epidemiologic Study of Three Communities","container-title":"Sleep","page":"425-432","volume":"18","issue":"6","source":"academic.oup.com","abstract":"Summary:.  The frequencies of five common sleep complaints—trouble falling asleep, waking up, awaking too early, needing to nap and not feeling rested—were asse","DOI":"10.1093/sleep/18.6.425","ISSN":"0161-8105","shortTitle":"Sleep Complaints Among Elderly Persons","journalAbbreviation":"Sleep","language":"en","author":[{"family":"Foley","given":"Daniel J."},{"family":"Monjan","given":"Andrew A."},{"family":"Brown","given":"S. Lori"},{"family":"Simonsick","given":"Eleanor M."},{"family":"Wallace","given":"Robert B."},{"family":"Blazer","given":"Dan G."}],"issued":{"date-parts":[["1995",8,1]]}}}],"schema":"https://github.com/citation-style-language/schema/raw/master/csl-citation.json"} </w:instrText>
      </w:r>
      <w:r w:rsidR="00C15F22" w:rsidRPr="008D5F7E">
        <w:fldChar w:fldCharType="separate"/>
      </w:r>
      <w:r w:rsidR="005F6D52" w:rsidRPr="008D5F7E">
        <w:rPr>
          <w:rFonts w:ascii="Calibri" w:hAnsi="Calibri" w:cs="Calibri"/>
        </w:rPr>
        <w:t>(9,10)</w:t>
      </w:r>
      <w:r w:rsidR="00C15F22" w:rsidRPr="008D5F7E">
        <w:fldChar w:fldCharType="end"/>
      </w:r>
      <w:r w:rsidR="00B56122" w:rsidRPr="008D5F7E">
        <w:t xml:space="preserve">. </w:t>
      </w:r>
      <w:r w:rsidR="00C53B78" w:rsidRPr="008D5F7E">
        <w:t>Sleep problems also share some of the comorbidities associated with sexual dysfunction, including</w:t>
      </w:r>
      <w:r w:rsidR="00B56122" w:rsidRPr="008D5F7E">
        <w:t xml:space="preserve"> </w:t>
      </w:r>
      <w:r w:rsidR="004535D3" w:rsidRPr="008D5F7E">
        <w:t xml:space="preserve">depression and </w:t>
      </w:r>
      <w:r w:rsidR="00B56122" w:rsidRPr="008D5F7E">
        <w:t xml:space="preserve">cardiovascular disease. </w:t>
      </w:r>
      <w:r w:rsidR="00013540" w:rsidRPr="008D5F7E">
        <w:t>Meta-analyses have shown</w:t>
      </w:r>
      <w:r w:rsidR="00B56122" w:rsidRPr="008D5F7E">
        <w:t xml:space="preserve"> that </w:t>
      </w:r>
      <w:r w:rsidR="005F6D52" w:rsidRPr="008D5F7E">
        <w:t xml:space="preserve"> insomnia doubles the risk of incident depression </w:t>
      </w:r>
      <w:r w:rsidR="005F6D52" w:rsidRPr="008D5F7E">
        <w:fldChar w:fldCharType="begin"/>
      </w:r>
      <w:r w:rsidR="002E44C0" w:rsidRPr="008D5F7E">
        <w:instrText xml:space="preserve"> ADDIN ZOTERO_ITEM CSL_CITATION {"citationID":"ITbQkKJX","properties":{"formattedCitation":"(11)","plainCitation":"(11)","noteIndex":0},"citationItems":[{"id":5166,"uris":["http://zotero.org/users/446899/items/7DLBEVLH"],"uri":["http://zotero.org/users/446899/items/7DLBEVLH"],"itemData":{"id":5166,"type":"article-journal","title":"Insomnia as a predictor of depression: A meta-analytic evaluation of longitudinal epidemiological studies","container-title":"Journal of Affective Disorders","page":"10-19","volume":"135","issue":"1","source":"ScienceDirect","abstract":"Background\nIn many patients with depression, symptoms of insomnia herald the onset of the disorder and may persist into remission or recovery, even after adequate treatment. Several studies have raised the question whether insomniac symptoms may constitute an independent clinical predictor of depression. This meta-analysis is aimed at evaluating quantitatively if insomnia constitutes a predictor of depression.\nMethods\nPubMed, Medline, PsycInfo, and PsycArticles databases were searched from 1980 until 2010 to identify longitudinal epidemiological studies simultaneously investigating insomniac complaints and depressed psychopathology. Effects were summarized using the logarithms of the odds ratios for insomnia at baseline to predict depression at follow-up. Studies were pooled with both fixed- and random-effects meta-analytic models in order to evaluate the concordance. Heterogeneity test and sensitivity analysis were computed.\nResults\nTwenty-one studies met inclusion criteria. Considering all studies together, heterogeneity was found. The random-effects model showed an overall odds ratio for insomnia to predict depression of 2.60 (confidence interval [CI]: 1.98–3.42). When the analysis was adjusted for outliers, the studies were not longer heterogeneous. The fixed-effects model showed an overall odds ratio of 2.10 (CI: 1.86–2.38).\nLimitations\nThe main limit is that included studies did not always consider the role of other intervening variables.\nConclusions\nNon-depressed people with insomnia have a twofold risk to develop depression, compared to people with no sleep difficulties. Thus, early treatment programs for insomnia might reduce the risk for developing depression in the general population and be considered a helpful general preventive strategy in the area of mental health care.","DOI":"10.1016/j.jad.2011.01.011","ISSN":"0165-0327","shortTitle":"Insomnia as a predictor of depression","journalAbbreviation":"Journal of Affective Disorders","author":[{"family":"Baglioni","given":"Chiara"},{"family":"Battagliese","given":"Gemma"},{"family":"Feige","given":"Bernd"},{"family":"Spiegelhalder","given":"Kai"},{"family":"Nissen","given":"Christoph"},{"family":"Voderholzer","given":"Ulrich"},{"family":"Lombardo","given":"Caterina"},{"family":"Riemann","given":"Dieter"}],"issued":{"date-parts":[["2011",12,1]]}}}],"schema":"https://github.com/citation-style-language/schema/raw/master/csl-citation.json"} </w:instrText>
      </w:r>
      <w:r w:rsidR="005F6D52" w:rsidRPr="008D5F7E">
        <w:fldChar w:fldCharType="separate"/>
      </w:r>
      <w:r w:rsidR="002E44C0" w:rsidRPr="008D5F7E">
        <w:rPr>
          <w:rFonts w:ascii="Calibri" w:hAnsi="Calibri" w:cs="Calibri"/>
        </w:rPr>
        <w:t>(11)</w:t>
      </w:r>
      <w:r w:rsidR="005F6D52" w:rsidRPr="008D5F7E">
        <w:fldChar w:fldCharType="end"/>
      </w:r>
      <w:r w:rsidR="005F6D52" w:rsidRPr="008D5F7E">
        <w:t xml:space="preserve"> and </w:t>
      </w:r>
      <w:r w:rsidR="00B56122" w:rsidRPr="008D5F7E">
        <w:t xml:space="preserve">difficulty initiating sleep, difficulty maintaining sleep and non-restorative sleep </w:t>
      </w:r>
      <w:r w:rsidR="00013540" w:rsidRPr="008D5F7E">
        <w:t xml:space="preserve">are </w:t>
      </w:r>
      <w:r w:rsidR="00B56122" w:rsidRPr="008D5F7E">
        <w:t>associated with an increased risk of future cardio-cerebral vascular events</w:t>
      </w:r>
      <w:r w:rsidR="00C15F22" w:rsidRPr="008D5F7E">
        <w:t xml:space="preserve"> </w:t>
      </w:r>
      <w:r w:rsidR="00C15F22" w:rsidRPr="008D5F7E">
        <w:fldChar w:fldCharType="begin"/>
      </w:r>
      <w:r w:rsidR="002E44C0" w:rsidRPr="008D5F7E">
        <w:instrText xml:space="preserve"> ADDIN ZOTERO_ITEM CSL_CITATION {"citationID":"JTi7ypKa","properties":{"formattedCitation":"(12)","plainCitation":"(12)","noteIndex":0},"citationItems":[{"id":5115,"uris":["http://zotero.org/users/446899/items/6HQ9EHWI"],"uri":["http://zotero.org/users/446899/items/6HQ9EHWI"],"itemData":{"id":5115,"type":"article-journal","title":"The association between insomnia symptoms and risk of cardio-cerebral vascular events: A meta-analysis of prospective cohort studies","container-title":"European Journal of Preventive Cardiology","page":"1071-1082","volume":"24","issue":"10","source":"SAGE Journals","abstract":"BackgroundInsomnia symptoms have been suggested to be associated with the risk of cardio-cerebral events. However, the results of previous studies have been inconsistent. Therefore, we conducted a meta-analysis to examine whether there were associations between cardio-cerebral vascular events and insomnia symptoms, including difficulty initiating sleep, difficulty maintaining sleep, early-morning awakening or non-restorative sleep.DesignA meta-analysis of prospective cohort studies.MethodsPubMed, Web of science and the Cochrane Library were searched without language restriction. Prospective cohort studies of adults with at least a 2-year follow-up duration were included. Random effect models were used in order to pool the results for each insomnia symptom. Subgroup and sensitivity analyses were conducted in order to assess potential heterogeneity, and funnel plots and Egger?s tests were used in order to assess publication bias.ResultsFifteen studies (23 cohorts) were included. Positive associations were observed between difficulty initiating sleep, difficulty maintaining sleep and non-restorative sleep with risk of cardio-cerebral vascular events. The pooled relative risks and 95% confidence intervals were 1.27 (1.15?1.40), 1.11 (1.04?1.19) and 1.18 (1.05?1.33), respectively. However, less evidence existed to support the conclusions about the association between early-morning awakening and cardio-cerebral vascular events.ConclusionOur meta-analysis demonstrated that insomnia symptoms of difficulty initiating sleep, difficulty maintaining sleep and non-restorative sleep were associated with an increased risk of future cardio-cerebral vascular events.","DOI":"10.1177/2047487317702043","ISSN":"2047-4873","shortTitle":"The association between insomnia symptoms and risk of cardio-cerebral vascular events","journalAbbreviation":"Eur J Prev Cardiolog","language":"en","author":[{"family":"He","given":"Qiao"},{"family":"Zhang","given":"Peng"},{"family":"Li","given":"Guangxiao"},{"family":"Dai","given":"Huixu"},{"family":"Shi","given":"Jingpu"}],"issued":{"date-parts":[["2017",7,1]]}}}],"schema":"https://github.com/citation-style-language/schema/raw/master/csl-citation.json"} </w:instrText>
      </w:r>
      <w:r w:rsidR="00C15F22" w:rsidRPr="008D5F7E">
        <w:fldChar w:fldCharType="separate"/>
      </w:r>
      <w:r w:rsidR="002E44C0" w:rsidRPr="008D5F7E">
        <w:rPr>
          <w:rFonts w:ascii="Calibri" w:hAnsi="Calibri" w:cs="Calibri"/>
        </w:rPr>
        <w:t>(12)</w:t>
      </w:r>
      <w:r w:rsidR="00C15F22" w:rsidRPr="008D5F7E">
        <w:fldChar w:fldCharType="end"/>
      </w:r>
      <w:r w:rsidR="005F6D52" w:rsidRPr="008D5F7E">
        <w:t>.</w:t>
      </w:r>
      <w:r w:rsidR="00F862F5" w:rsidRPr="008D5F7E">
        <w:t xml:space="preserve"> </w:t>
      </w:r>
      <w:r w:rsidR="00D12739" w:rsidRPr="008D5F7E">
        <w:t>Indeed, previous literature has suggested that sleep quality may influence erectile function using small samples and varying age group</w:t>
      </w:r>
      <w:r w:rsidR="003D26E3" w:rsidRPr="008D5F7E">
        <w:t xml:space="preserve">s </w:t>
      </w:r>
      <w:r w:rsidR="003D26E3" w:rsidRPr="008D5F7E">
        <w:fldChar w:fldCharType="begin"/>
      </w:r>
      <w:r w:rsidR="003D26E3" w:rsidRPr="008D5F7E">
        <w:instrText xml:space="preserve"> ADDIN ZOTERO_ITEM CSL_CITATION {"citationID":"KTfRxT0n","properties":{"formattedCitation":"(13)","plainCitation":"(13)","noteIndex":0},"citationItems":[{"id":6167,"uris":["http://zotero.org/users/446899/items/6LC36M6S"],"uri":["http://zotero.org/users/446899/items/6LC36M6S"],"itemData":{"id":6167,"type":"article-journal","title":"Association between personal basic information, sleep quality, mental disorders and erectile function: a cross-sectional study among 334 Chinese outpatients","container-title":"Andrologia","page":"e12631","volume":"49","issue":"3","source":"Wiley Online Library","abstract":"Male erectile dysfunction (ED) may cause anxiety and depression, while mental disorders and sleep disturbances may also be closely related to ED. However, the exact nature of their relationship remains unclear, and whether personal basic background data affect erectile function is unknown. We conducted a cross-sectional study among Chinese outpatients with ED from January 2012 to December 2014. All the men answered a questionnaire collecting information about mental health status, sleep disturbances and personal data, underwent a physical examination and had a blood sample drawn. Sleep disturbances were assessed on the basis of a 19-item version of the Pittsburgh Sleep Quality Index, which includes questions on sleep patterns during the past month. Among the 462 patients, 128 patients with alcohol abuse, diabetes, hypertension, hyperlipidaemia, psychiatric drugs, neurologic injury or abnormal hormones were excluded from the study; 86.27% and 68.66% of the patients suffered from anxiety and depression respectively. Sleep quality and anxiety symptoms significantly affected erectile function, whereas personal income and education level had no significant effects. Our study suggested that it is necessary to pay attention to the psychological status of patients with ED, especially anxiety disorder. Sleep quality may be an important factor affecting erectile function according to the personal data.","DOI":"10.1111/and.12631","ISSN":"1439-0272","shortTitle":"Association between personal basic information, sleep quality, mental disorders and erectile function","language":"en","author":[{"family":"Cheng","given":"Q. S."},{"family":"Liu","given":"T."},{"family":"Huang","given":"H. B."},{"family":"Peng","given":"Y. F."},{"family":"Jiang","given":"S. C."},{"family":"Mei","given":"X. B."}],"issued":{"date-parts":[["2017",4,1]]}}}],"schema":"https://github.com/citation-style-language/schema/raw/master/csl-citation.json"} </w:instrText>
      </w:r>
      <w:r w:rsidR="003D26E3" w:rsidRPr="008D5F7E">
        <w:fldChar w:fldCharType="separate"/>
      </w:r>
      <w:r w:rsidR="003D26E3" w:rsidRPr="008D5F7E">
        <w:rPr>
          <w:rFonts w:ascii="Calibri" w:hAnsi="Calibri" w:cs="Calibri"/>
        </w:rPr>
        <w:t>(13)</w:t>
      </w:r>
      <w:r w:rsidR="003D26E3" w:rsidRPr="008D5F7E">
        <w:fldChar w:fldCharType="end"/>
      </w:r>
      <w:r w:rsidR="00D12739" w:rsidRPr="008D5F7E">
        <w:t xml:space="preserve">. Other literature has suggested that sleep </w:t>
      </w:r>
      <w:proofErr w:type="spellStart"/>
      <w:r w:rsidR="00D12739" w:rsidRPr="008D5F7E">
        <w:t>apnea</w:t>
      </w:r>
      <w:proofErr w:type="spellEnd"/>
      <w:r w:rsidR="00D12739" w:rsidRPr="008D5F7E">
        <w:t xml:space="preserve"> is associated with erectile dysfunction </w:t>
      </w:r>
      <w:r w:rsidR="003D26E3" w:rsidRPr="008D5F7E">
        <w:fldChar w:fldCharType="begin"/>
      </w:r>
      <w:r w:rsidR="003D26E3" w:rsidRPr="008D5F7E">
        <w:instrText xml:space="preserve"> ADDIN ZOTERO_ITEM CSL_CITATION {"citationID":"IiGeFa63","properties":{"formattedCitation":"(14\\uc0\\u8211{}16)","plainCitation":"(14–16)","noteIndex":0},"citationItems":[{"id":6169,"uris":["http://zotero.org/users/446899/items/LBUJZ9N2"],"uri":["http://zotero.org/users/446899/items/LBUJZ9N2"],"itemData":{"id":6169,"type":"article-journal","title":"Erectile dysfunction in obstructive sleep apnea patients: A randomized trial on the effects of Continuous Positive Airway Pressure (CPAP)","container-title":"PLOS ONE","page":"e0201930","volume":"13","issue":"8","source":"PLoS Journals","abstract":"Objectives Obstructive sleep apnea (OSA) is among the least studied risk factors for erectile dysfunction (ED). We aimed to determine ED prevalence in newly-diagnosed OSA patients, describe their main characteristics and assess continuous positive airway pressure (CPAP) effects on ED. Methods Cross-sectional study assessing ED prevalence in OSA patients and open-label, parallel, prospective randomized controlled trial evaluating 3-month CPAP treatment effects on sexual function, satisfaction, and psychological, hormonal and biochemical profiles. Male patients newly diagnosed with moderate/severe OSA (apnea-hypopnea index &gt;20 events·h−1), aged 18–70 years, attending the sleep unit of a Spanish hospital during 2013–2016 were considered. A total of 150 patients were recruited (75 randomized ED patients). ED was defined as scores &lt;25 on International Index Erectile Function 15 test. Wilcoxon’s matched-pairs signed-ranks and rank-sum tests were used. Results ED prevalence was 51%. Patients with ED were older (p&lt;0.001), had greater waist-to-hip ratios (p&lt;0.001), were more frequently undergoing pharmacological treatment (p&lt;0.001) and had higher glucose levels (p = 0.024) than non-ED patients. Although significant increases in erectile function (mean(SD) change: +4.6(7.9); p = 0.002), overall satisfaction (+1(2.2); p = 0.035), and sexual satisfaction (+2.1(4.3); p = 0.003) were found after CPAP treatment, only differences in sexual satisfaction (p = 0.027) and erectile function (p = 0.060) were found between study arms. CPAP treatment did not impact psychological, hormonal or biochemical profiles. Conclusions This study confirmed the relationship between OSA and ED, suggesting the potential usefulness of ED screening in OSA patients, but could not determine conclusively whether CPAP is an effective stand-alone ED treatment, regardless of positive results on sexual satisfaction. Trial registration ClinicalTrials.gov NCT03086122","DOI":"10.1371/journal.pone.0201930","ISSN":"1932-6203","shortTitle":"Erectile dysfunction in obstructive sleep apnea patients","journalAbbreviation":"PLOS ONE","language":"en","author":[{"family":"Pascual","given":"Mercè"},{"family":"Batlle","given":"Jordi","dropping-particle":"de"},{"family":"Barbé","given":"Ferran"},{"family":"Castro-Grattoni","given":"Anabel L."},{"family":"Auguet","given":"Josep M."},{"family":"Pascual","given":"Lydia"},{"family":"Vilà","given":"Manel"},{"family":"Cortijo","given":"Anunciación"},{"family":"Sánchez-de-la-Torre","given":"Manuel"}],"issued":{"date-parts":[["2018",8,8]]}}},{"id":6170,"uris":["http://zotero.org/users/446899/items/HW7N3X97"],"uri":["http://zotero.org/users/446899/items/HW7N3X97"],"itemData":{"id":6170,"type":"article-journal","title":"Prevalence of sleep apnea in men with erectile dysfunction","container-title":"Urology","page":"232-234","volume":"36","issue":"3","source":"www.goldjournal.net","DOI":"10.1016/0090-4295(90)80262-L","ISSN":"0090-4295, 1527-9995","journalAbbreviation":"Urology","language":"English","author":[{"family":"Hirshkowitz","given":"Max"},{"family":"Karacan","given":"Ismet"},{"family":"Arcasoy","given":"Murat O."},{"family":"Acik","given":"Guven"},{"family":"Narter","given":"Erdem M."},{"family":"Williams","given":"Robert L."}],"issued":{"date-parts":[["1990",9,1]]}}},{"id":6174,"uris":["http://zotero.org/users/446899/items/8R2XLL24"],"uri":["http://zotero.org/users/446899/items/8R2XLL24"],"itemData":{"id":6174,"type":"article-journal","title":"Erectile dysfunction, obstructive sleep apnea syndrome and nasal CPAP treatment","container-title":"Sleep Medicine","page":"333-339","volume":"6","issue":"4","source":"ScienceDirect","abstract":"Background and purpose\nTo evaluate the effect of one month of continuous positive airway pressure (CPAP) in a subgroup of obstructive sleep apnea (OSA) patients with erectile dysfunction (ED) and compare this subgroup with age- and body mass index (BMI)-matched OSA patients without ED.\nPatients and methods\nProspective general, sleep, psychiatric and sexologic evaluations were conducted. Epworth Sleepiness Scale (ESS), Beck Depression Inventory (BDI), Sleep Disorders Questionnaire (SDQ), Quality of Life SF-36, and polysomnography were used. Seventeen OSA patients with ED were compared prior to CPAP treatment and during CPAP treatment with age- and BMI-matched OSA patients without ED. Parametric and non-parametric statistics, chi-square, Fisher exact test and multiple regression analyses were performed.\nResults\nNinety-eight men (BMI=28.8kg/m2, apnea–hypopnea index (AHI)=49.6 events/h, ESS=14.8, BDI=8.4, and lowest SaO2=75.3%) were divided into subgroups of lowest SaO2&gt;80% (A) and lowest SaO2≤80% (B). (A) Forty-six men had a mean lowest SaO2 of 85.7%±2.9, AHI=29.5±17.6, age=46.3±9.3 years, ESS=13.6±4.2, BMI=25.8±4.8. Seven of the patients had ED. (B) Fifty-two men had a mean lowest SaO2=60.10±10.0%, AHI=67.4±24.5, BDI=9.0±6.9, age=47.4±9.4 years, ESS=16.2±4.4, BMI=31.4±5.1. Twenty-one of the patients had ED (χ2: P=0.006). Significant variables for ED were lowest SaO2 and age (r=0.17). CPAP-treated subgroup: ED subjects had significantly lower SaO2, ESS, BDI and SF-36 subscale scores than OSA controls. Nasal CPAP eliminated the differences between groups, and ED was resolved in 13 out of 17 cases.\nConclusions\nED in OSAS is related to nocturnal hypoxemia, and about 75% of OSAS patients with ED treated with nasal CPAP showed remission at one-month follow-up, resulting in significant improvement in quality of life.","DOI":"10.1016/j.sleep.2005.03.001","ISSN":"1389-9457","journalAbbreviation":"Sleep Medicine","author":[{"family":"Gonçalves","given":"M. A."},{"family":"Guilleminault","given":"C."},{"family":"Ramos","given":"E."},{"family":"Palha","given":"A."},{"family":"Paiva","given":"T."}],"issued":{"date-parts":[["2005",7,1]]}}}],"schema":"https://github.com/citation-style-language/schema/raw/master/csl-citation.json"} </w:instrText>
      </w:r>
      <w:r w:rsidR="003D26E3" w:rsidRPr="008D5F7E">
        <w:fldChar w:fldCharType="separate"/>
      </w:r>
      <w:r w:rsidR="003D26E3" w:rsidRPr="008D5F7E">
        <w:rPr>
          <w:rFonts w:ascii="Calibri" w:hAnsi="Calibri" w:cs="Calibri"/>
          <w:szCs w:val="24"/>
        </w:rPr>
        <w:t>(14–16)</w:t>
      </w:r>
      <w:r w:rsidR="003D26E3" w:rsidRPr="008D5F7E">
        <w:fldChar w:fldCharType="end"/>
      </w:r>
      <w:r w:rsidR="003D26E3" w:rsidRPr="008D5F7E">
        <w:t xml:space="preserve">. </w:t>
      </w:r>
      <w:r w:rsidR="00D12739" w:rsidRPr="008D5F7E">
        <w:t>However, t</w:t>
      </w:r>
      <w:r w:rsidR="007E0401" w:rsidRPr="008D5F7E">
        <w:t>o our knowledge</w:t>
      </w:r>
      <w:r w:rsidR="003147D9" w:rsidRPr="008D5F7E">
        <w:t>, just</w:t>
      </w:r>
      <w:r w:rsidR="007E0401" w:rsidRPr="008D5F7E">
        <w:t xml:space="preserve"> one previous study has investigated the association betwee</w:t>
      </w:r>
      <w:r w:rsidR="00CB61BD" w:rsidRPr="008D5F7E">
        <w:t>n sleep and sexual dysfunction</w:t>
      </w:r>
      <w:r w:rsidR="00AE5D52" w:rsidRPr="008D5F7E">
        <w:t xml:space="preserve"> in older adults only</w:t>
      </w:r>
      <w:r w:rsidR="003147D9" w:rsidRPr="008D5F7E">
        <w:t>;</w:t>
      </w:r>
      <w:r w:rsidR="00CB61BD" w:rsidRPr="008D5F7E">
        <w:t xml:space="preserve"> </w:t>
      </w:r>
      <w:r w:rsidR="00642CC8" w:rsidRPr="008D5F7E">
        <w:t>finding</w:t>
      </w:r>
      <w:r w:rsidR="00CB61BD" w:rsidRPr="008D5F7E">
        <w:t xml:space="preserve"> that poorer sleep quality was associated with higher levels of sexual dysfunction</w:t>
      </w:r>
      <w:r w:rsidR="00F463B0" w:rsidRPr="008D5F7E">
        <w:t xml:space="preserve"> (erectile dysfunction in men and arousal problems in women)</w:t>
      </w:r>
      <w:r w:rsidR="00C15F22" w:rsidRPr="008D5F7E">
        <w:t xml:space="preserve"> </w:t>
      </w:r>
      <w:r w:rsidR="00C15F22" w:rsidRPr="008D5F7E">
        <w:fldChar w:fldCharType="begin"/>
      </w:r>
      <w:r w:rsidR="003D26E3" w:rsidRPr="008D5F7E">
        <w:instrText xml:space="preserve"> ADDIN ZOTERO_ITEM CSL_CITATION {"citationID":"XQQ6acmC","properties":{"formattedCitation":"(17)","plainCitation":"(17)","noteIndex":0},"citationItems":[{"id":5104,"uris":["http://zotero.org/users/446899/items/W5849PU4"],"uri":["http://zotero.org/users/446899/items/W5849PU4"],"itemData":{"id":5104,"type":"article-journal","title":"Health-Related Lifestyle Factors and Sexual Functioning and Behavior in Older Adults","container-title":"International Journal of Sexual Health","page":"273-277","volume":"29","issue":"3","source":"Taylor and Francis+NEJM","abstract":"This study explored associations between health-related lifestyle factors and sexual functioning and behavior in 6,916 adults aged 50 and over. Results showed that an active lifestyle was associated with a higher sex drive, more sexual activity, and lower levels of sexual dysfunction (with stronger associations among men). Poor sleep was associated with less sexual activity, higher levels of sexual dissatisfaction, and higher levels of sexual dysfunction. A healthier diet and a higher alcohol intake were associated with more sexual activity and a higher sex drive. Taken together, these findings demonstrate that health-related lifestyle factors are important for sexual functioning and behavior in older adulthood.","DOI":"10.1080/19317611.2017.1307301","ISSN":"1931-7611","author":[{"family":"Allen","given":"Mark S."},{"family":"Desille","given":"Annelil E."}],"issued":{"date-parts":[["2017",7,3]]}}}],"schema":"https://github.com/citation-style-language/schema/raw/master/csl-citation.json"} </w:instrText>
      </w:r>
      <w:r w:rsidR="00C15F22" w:rsidRPr="008D5F7E">
        <w:fldChar w:fldCharType="separate"/>
      </w:r>
      <w:r w:rsidR="003D26E3" w:rsidRPr="008D5F7E">
        <w:rPr>
          <w:rFonts w:ascii="Calibri" w:hAnsi="Calibri" w:cs="Calibri"/>
        </w:rPr>
        <w:t>(17)</w:t>
      </w:r>
      <w:r w:rsidR="00C15F22" w:rsidRPr="008D5F7E">
        <w:fldChar w:fldCharType="end"/>
      </w:r>
      <w:r w:rsidR="00CB61BD" w:rsidRPr="008D5F7E">
        <w:t xml:space="preserve">. However, </w:t>
      </w:r>
      <w:r w:rsidR="0056434C" w:rsidRPr="008D5F7E">
        <w:t>while sociodemographic characteristics and health behaviours were controlled for, the analyses were not adjusted for other potentially important confounders known to be associated with both sleep and sexual problems</w:t>
      </w:r>
      <w:r w:rsidR="009318CD" w:rsidRPr="008D5F7E">
        <w:t xml:space="preserve"> (e.g. depressive symptoms and limiting </w:t>
      </w:r>
      <w:r w:rsidR="002C0CEA" w:rsidRPr="008D5F7E">
        <w:t>illness)</w:t>
      </w:r>
      <w:r w:rsidR="00CB61BD" w:rsidRPr="008D5F7E">
        <w:t xml:space="preserve">. </w:t>
      </w:r>
      <w:r w:rsidR="00165AF9" w:rsidRPr="008D5F7E">
        <w:t xml:space="preserve">There is a need for further investigation of the relationship between sleep quality and sexual dysfunction with a more comprehensive list of covariates. In addition, there is a lack of data on the association between sleep </w:t>
      </w:r>
      <w:r w:rsidR="00165AF9" w:rsidRPr="008D5F7E">
        <w:rPr>
          <w:i/>
        </w:rPr>
        <w:lastRenderedPageBreak/>
        <w:t>duration</w:t>
      </w:r>
      <w:r w:rsidR="00165AF9" w:rsidRPr="008D5F7E">
        <w:t xml:space="preserve"> and sexual dysfunction. With the duration of sleep arguably more easily modified than sleep quality (e.g. by going to bed earlier), investigation in this area is warranted. </w:t>
      </w:r>
    </w:p>
    <w:p w14:paraId="6E217E36" w14:textId="2A37F236" w:rsidR="00CB61BD" w:rsidRPr="008D5F7E" w:rsidRDefault="00CB61BD" w:rsidP="00CB61BD">
      <w:pPr>
        <w:spacing w:after="160"/>
      </w:pPr>
      <w:r w:rsidRPr="008D5F7E">
        <w:t xml:space="preserve">The present study </w:t>
      </w:r>
      <w:r w:rsidR="00165AF9" w:rsidRPr="008D5F7E">
        <w:t xml:space="preserve">therefore aimed </w:t>
      </w:r>
      <w:r w:rsidRPr="008D5F7E">
        <w:t>to address the</w:t>
      </w:r>
      <w:r w:rsidR="00165AF9" w:rsidRPr="008D5F7E">
        <w:t>se</w:t>
      </w:r>
      <w:r w:rsidRPr="008D5F7E">
        <w:t xml:space="preserve"> </w:t>
      </w:r>
      <w:r w:rsidR="00165AF9" w:rsidRPr="008D5F7E">
        <w:t>gaps in the literature</w:t>
      </w:r>
      <w:r w:rsidRPr="008D5F7E">
        <w:t xml:space="preserve"> </w:t>
      </w:r>
      <w:r w:rsidR="00165AF9" w:rsidRPr="008D5F7E">
        <w:t>by examining</w:t>
      </w:r>
      <w:r w:rsidRPr="008D5F7E">
        <w:t xml:space="preserve"> association</w:t>
      </w:r>
      <w:r w:rsidR="00165AF9" w:rsidRPr="008D5F7E">
        <w:t>s</w:t>
      </w:r>
      <w:r w:rsidR="00AE5D52" w:rsidRPr="008D5F7E">
        <w:t xml:space="preserve"> between sleep quality, </w:t>
      </w:r>
      <w:r w:rsidRPr="008D5F7E">
        <w:t xml:space="preserve">duration </w:t>
      </w:r>
      <w:r w:rsidR="00165AF9" w:rsidRPr="008D5F7E">
        <w:t xml:space="preserve">and a range of </w:t>
      </w:r>
      <w:r w:rsidRPr="008D5F7E">
        <w:t xml:space="preserve">sexual </w:t>
      </w:r>
      <w:r w:rsidR="00165AF9" w:rsidRPr="008D5F7E">
        <w:t xml:space="preserve">problems </w:t>
      </w:r>
      <w:r w:rsidRPr="008D5F7E">
        <w:t>(erectile dysfunction,</w:t>
      </w:r>
      <w:r w:rsidR="00165AF9" w:rsidRPr="008D5F7E">
        <w:t xml:space="preserve"> difficulty</w:t>
      </w:r>
      <w:r w:rsidRPr="008D5F7E">
        <w:t xml:space="preserve"> becoming aroused, difficulty reaching orgasm)</w:t>
      </w:r>
      <w:r w:rsidR="00165AF9" w:rsidRPr="008D5F7E">
        <w:t xml:space="preserve"> in a large, representative sample of older adults, with</w:t>
      </w:r>
      <w:r w:rsidRPr="008D5F7E">
        <w:t xml:space="preserve"> </w:t>
      </w:r>
      <w:r w:rsidR="00165AF9" w:rsidRPr="008D5F7E">
        <w:t xml:space="preserve">adjustment </w:t>
      </w:r>
      <w:r w:rsidRPr="008D5F7E">
        <w:t xml:space="preserve">for </w:t>
      </w:r>
      <w:proofErr w:type="gramStart"/>
      <w:r w:rsidRPr="008D5F7E">
        <w:t xml:space="preserve">a </w:t>
      </w:r>
      <w:r w:rsidR="00165AF9" w:rsidRPr="008D5F7E">
        <w:t xml:space="preserve">number </w:t>
      </w:r>
      <w:r w:rsidRPr="008D5F7E">
        <w:t>of</w:t>
      </w:r>
      <w:proofErr w:type="gramEnd"/>
      <w:r w:rsidRPr="008D5F7E">
        <w:t xml:space="preserve"> </w:t>
      </w:r>
      <w:r w:rsidR="00165AF9" w:rsidRPr="008D5F7E">
        <w:t xml:space="preserve">key </w:t>
      </w:r>
      <w:r w:rsidRPr="008D5F7E">
        <w:t xml:space="preserve">covariates. </w:t>
      </w:r>
    </w:p>
    <w:p w14:paraId="4490A598" w14:textId="38E82A2B" w:rsidR="00070E1E" w:rsidRPr="008D5F7E" w:rsidRDefault="004649C3" w:rsidP="00793C9D">
      <w:pPr>
        <w:pStyle w:val="Heading2"/>
      </w:pPr>
      <w:r w:rsidRPr="008D5F7E">
        <w:t xml:space="preserve">Materials and </w:t>
      </w:r>
      <w:r w:rsidR="00070E1E" w:rsidRPr="008D5F7E">
        <w:t>Method</w:t>
      </w:r>
      <w:r w:rsidRPr="008D5F7E">
        <w:t>s</w:t>
      </w:r>
    </w:p>
    <w:p w14:paraId="7C2D8AF0" w14:textId="77777777" w:rsidR="0057676B" w:rsidRPr="008D5F7E" w:rsidRDefault="0057676B" w:rsidP="0057676B">
      <w:pPr>
        <w:pStyle w:val="Heading3"/>
      </w:pPr>
      <w:r w:rsidRPr="008D5F7E">
        <w:t>Study population</w:t>
      </w:r>
    </w:p>
    <w:p w14:paraId="7A380767" w14:textId="6C4E7C77" w:rsidR="00DC4F3A" w:rsidRPr="008D5F7E" w:rsidRDefault="0032799C" w:rsidP="00DC4F3A">
      <w:pPr>
        <w:spacing w:afterLines="120" w:after="288"/>
        <w:rPr>
          <w:shd w:val="clear" w:color="auto" w:fill="FFFFFF"/>
        </w:rPr>
      </w:pPr>
      <w:r w:rsidRPr="008D5F7E">
        <w:rPr>
          <w:rFonts w:ascii="Calibri" w:hAnsi="Calibri"/>
        </w:rPr>
        <w:t xml:space="preserve">This </w:t>
      </w:r>
      <w:r w:rsidRPr="008D5F7E">
        <w:t>study uses data</w:t>
      </w:r>
      <w:r w:rsidR="00DC4F3A" w:rsidRPr="008D5F7E">
        <w:t xml:space="preserve"> from the English Longitudinal Study of Ageing (ELSA), a population-representative longitudinal panel study of men and women aged ≥50 years living in England </w:t>
      </w:r>
      <w:r w:rsidR="00DC4F3A" w:rsidRPr="008D5F7E">
        <w:fldChar w:fldCharType="begin"/>
      </w:r>
      <w:r w:rsidR="003D26E3" w:rsidRPr="008D5F7E">
        <w:instrText xml:space="preserve"> ADDIN ZOTERO_ITEM CSL_CITATION {"citationID":"a2nvQB3O","properties":{"formattedCitation":"(18)","plainCitation":"(18)","noteIndex":0},"citationItems":[{"id":1308,"uris":["http://zotero.org/users/446899/items/3CSP8CP4"],"uri":["http://zotero.org/users/446899/items/3CSP8CP4"],"itemData":{"id":1308,"type":"article-journal","title":"Cohort profile: the English Longitudinal Study of Ageing","container-title":"International journal of epidemiology","page":"1640-1648","volume":"42","issue":"6","source":"NCBI PubMed","abstract":"The English Longitudinal Study of Ageing (ELSA) is a panel study of a representative cohort of men and women living in England aged ≥50 years. It was designed as a sister study to the Health and Retirement Study in the USA and is multidisciplinary in orientation, involving the collection of economic, social, psychological, cognitive, health, biological and genetic data. The study commenced in 2002, and the sample has been followed up every 2 years. Data are collected using computer-assisted personal interviews and self-completion questionnaires, with additional nurse visits for the assessment of biomarkers every 4 years. The original sample consisted of 11 391 members ranging in age from 50 to 100 years. ELSA is harmonized with ageing studies in other countries to facilitate international comparisons, and is linked to financial and health registry data. The data set is openly available to researchers and analysts soon after collection (http://www.esds.ac.uk/longitudinal/access/elsa/l5050.asp).","DOI":"10.1093/ije/dys168","ISSN":"1464-3685","note":"PMID: 23143611 \nPMCID: PMC3900867","shortTitle":"Cohort profile","journalAbbreviation":"Int J Epidemiol","language":"eng","author":[{"family":"Steptoe","given":"Andrew"},{"family":"Breeze","given":"Elizabeth"},{"family":"Banks","given":"James"},{"family":"Nazroo","given":"James"}],"issued":{"date-parts":[["2013",12]]}}}],"schema":"https://github.com/citation-style-language/schema/raw/master/csl-citation.json"} </w:instrText>
      </w:r>
      <w:r w:rsidR="00DC4F3A" w:rsidRPr="008D5F7E">
        <w:fldChar w:fldCharType="separate"/>
      </w:r>
      <w:r w:rsidR="003D26E3" w:rsidRPr="008D5F7E">
        <w:rPr>
          <w:rFonts w:ascii="Calibri" w:hAnsi="Calibri" w:cs="Calibri"/>
        </w:rPr>
        <w:t>(18)</w:t>
      </w:r>
      <w:r w:rsidR="00DC4F3A" w:rsidRPr="008D5F7E">
        <w:fldChar w:fldCharType="end"/>
      </w:r>
      <w:r w:rsidR="00DC4F3A" w:rsidRPr="008D5F7E">
        <w:t xml:space="preserve">. </w:t>
      </w:r>
      <w:r w:rsidR="00741CC3" w:rsidRPr="008D5F7E">
        <w:t>ELSA began in 2002 (Wave 1)</w:t>
      </w:r>
      <w:r w:rsidR="00DC4F3A" w:rsidRPr="008D5F7E">
        <w:t xml:space="preserve"> </w:t>
      </w:r>
      <w:r w:rsidR="00741CC3" w:rsidRPr="008D5F7E">
        <w:t>and participants are followed up at two-year intervals. The sample is refreshed periodically to maintain representation of the younger end of the age spectrum</w:t>
      </w:r>
      <w:r w:rsidR="00DC4F3A" w:rsidRPr="008D5F7E">
        <w:t xml:space="preserve">. Data are collected via computer assisted personal interview (CAPI) conducted </w:t>
      </w:r>
      <w:r w:rsidR="00741CC3" w:rsidRPr="008D5F7E">
        <w:t>by a trained researcher</w:t>
      </w:r>
      <w:r w:rsidR="00DC4F3A" w:rsidRPr="008D5F7E">
        <w:t xml:space="preserve"> in the participant’s home or residence, </w:t>
      </w:r>
      <w:r w:rsidR="00741CC3" w:rsidRPr="008D5F7E">
        <w:t>and</w:t>
      </w:r>
      <w:r w:rsidR="00DC4F3A" w:rsidRPr="008D5F7E">
        <w:t xml:space="preserve"> additional self-completion questionnaires </w:t>
      </w:r>
      <w:r w:rsidR="00741CC3" w:rsidRPr="008D5F7E">
        <w:t xml:space="preserve">are </w:t>
      </w:r>
      <w:r w:rsidR="00DC4F3A" w:rsidRPr="008D5F7E">
        <w:t>returned by post after the CAPI.</w:t>
      </w:r>
      <w:r w:rsidR="00DC4F3A" w:rsidRPr="008D5F7E">
        <w:rPr>
          <w:rFonts w:ascii="Calibri" w:hAnsi="Calibri"/>
          <w:i/>
        </w:rPr>
        <w:t xml:space="preserve"> </w:t>
      </w:r>
      <w:r w:rsidR="00DC4F3A" w:rsidRPr="008D5F7E">
        <w:t xml:space="preserve">The present </w:t>
      </w:r>
      <w:r w:rsidR="00741CC3" w:rsidRPr="008D5F7E">
        <w:t>analyses are based on</w:t>
      </w:r>
      <w:r w:rsidR="00DC4F3A" w:rsidRPr="008D5F7E">
        <w:t xml:space="preserve"> data from Wave 6 (2012/13) as this is the only wave in which problems with sexual function have been assessed</w:t>
      </w:r>
      <w:r w:rsidR="00B012AA" w:rsidRPr="008D5F7E">
        <w:t xml:space="preserve">. </w:t>
      </w:r>
      <w:r w:rsidR="000546A8" w:rsidRPr="008D5F7E">
        <w:t>E</w:t>
      </w:r>
      <w:r w:rsidR="00DC4F3A" w:rsidRPr="008D5F7E">
        <w:t>thical approval was obtained from the London Multi‐C</w:t>
      </w:r>
      <w:r w:rsidR="000546A8" w:rsidRPr="008D5F7E">
        <w:t>entre Research Ethics Committee and all participants provided full informed consent to participate in the study.</w:t>
      </w:r>
    </w:p>
    <w:p w14:paraId="5281021D" w14:textId="77777777" w:rsidR="0057676B" w:rsidRPr="008D5F7E" w:rsidRDefault="0057676B" w:rsidP="0057676B">
      <w:pPr>
        <w:pStyle w:val="Heading3"/>
      </w:pPr>
      <w:r w:rsidRPr="008D5F7E">
        <w:t>Measurement of exposures: sleep quality and duration</w:t>
      </w:r>
    </w:p>
    <w:p w14:paraId="3A3AEA94" w14:textId="7F2A4CD8" w:rsidR="004960E3" w:rsidRPr="008D5F7E" w:rsidRDefault="004960E3" w:rsidP="004960E3">
      <w:pPr>
        <w:rPr>
          <w:i/>
        </w:rPr>
      </w:pPr>
      <w:r w:rsidRPr="008D5F7E">
        <w:t>Sleep quality was assessed with three items assessing the frequency with which respondents experienced (</w:t>
      </w:r>
      <w:proofErr w:type="spellStart"/>
      <w:r w:rsidRPr="008D5F7E">
        <w:t>i</w:t>
      </w:r>
      <w:proofErr w:type="spellEnd"/>
      <w:r w:rsidRPr="008D5F7E">
        <w:t xml:space="preserve">) delay in falling asleep, (ii) inability to stay asleep and (iii) waking up feeling tired (1=no difficulties, 2=less than once a week, 3=once or twice a week, 4=three times or more a week), and </w:t>
      </w:r>
      <w:r w:rsidR="002D154D" w:rsidRPr="008D5F7E">
        <w:t xml:space="preserve">one item that provided </w:t>
      </w:r>
      <w:r w:rsidRPr="008D5F7E">
        <w:t xml:space="preserve">an overall rating of sleep quality over the past month (1=very good, 2=good, 3=fairly bad, 4=very bad). </w:t>
      </w:r>
      <w:bookmarkStart w:id="2" w:name="_Hlk531463584"/>
      <w:r w:rsidRPr="008D5F7E">
        <w:t xml:space="preserve">Scores on the four items were summed and analysed as </w:t>
      </w:r>
      <w:proofErr w:type="spellStart"/>
      <w:r w:rsidRPr="008D5F7E">
        <w:t>tertiles</w:t>
      </w:r>
      <w:proofErr w:type="spellEnd"/>
      <w:r w:rsidRPr="008D5F7E">
        <w:t xml:space="preserve">, with the first (lowest) </w:t>
      </w:r>
      <w:proofErr w:type="spellStart"/>
      <w:r w:rsidRPr="008D5F7E">
        <w:t>tertile</w:t>
      </w:r>
      <w:proofErr w:type="spellEnd"/>
      <w:r w:rsidRPr="008D5F7E">
        <w:t xml:space="preserve"> representing the least sleep disturbance (i.e. highest sleep quality)</w:t>
      </w:r>
      <w:r w:rsidR="009669D0" w:rsidRPr="008D5F7E">
        <w:t>, the second (middle) tertial moderate sleep disturbance,</w:t>
      </w:r>
      <w:r w:rsidRPr="008D5F7E">
        <w:t xml:space="preserve"> and the third (highest) </w:t>
      </w:r>
      <w:proofErr w:type="spellStart"/>
      <w:r w:rsidRPr="008D5F7E">
        <w:t>tertile</w:t>
      </w:r>
      <w:proofErr w:type="spellEnd"/>
      <w:r w:rsidRPr="008D5F7E">
        <w:t xml:space="preserve"> the most sleep disturbance (i.e. lowest sleep quality) </w:t>
      </w:r>
      <w:r w:rsidRPr="008D5F7E">
        <w:fldChar w:fldCharType="begin"/>
      </w:r>
      <w:r w:rsidR="003D26E3" w:rsidRPr="008D5F7E">
        <w:instrText xml:space="preserve"> ADDIN ZOTERO_ITEM CSL_CITATION {"citationID":"TH0Hbc5W","properties":{"formattedCitation":"(19)","plainCitation":"(19)","noteIndex":0},"citationItems":[{"id":4963,"uris":["http://zotero.org/users/446899/items/AH4SWRKP"],"uri":["http://zotero.org/users/446899/items/AH4SWRKP"],"itemData":{"id":4963,"type":"article-journal","title":"Cross-Sectional Study of Sleep Quantity and Quality and Amnestic and Non-Amnestic Cognitive Function in an Ageing Population: The English Longitudinal Study of Ageing (ELSA)","container-title":"PLOS ONE","page":"e100991","volume":"9","issue":"6","source":"PLoS Journals","abstract":"Background The aim was to investigate the association between sleep disturbances and cognitive function in younger and older individuals from an ageing population. Methods 3,968 male and 4,821 female white participants, aged 50 years and over, from the English Longitudinal Study of Ageing (ELSA) were studied. Information on sleep quality and quantity as well as both amnestic (memory, ACF) and non-amnestic (non-memory, nACF) function was available at Wave 4 (2008). Analysis of covariance was used to evaluate the relationship between sleep and cognitive function. Results After adjustment for multiple confounders in the younger group (50–64 years) duration of sleep explained 15.2% of the variance in ACF (p = 0.003) and 20.6% of nACF (p = 0.010). In the older group (65+ years) the estimates were 21.3% (p&lt;0.001) and 25.6% (p&lt;0.001), respectively. For sleep quality, there was a statistically significant association between sleep quality and both ACF (p&lt;0.001) and nACF (p&lt;0.001) in the older age group, but not in the younger age group (p = 0.586 and p = 0.373, respectively; interaction between age and sleep quality in the study sample including both age groups: p&lt;0.001 for ACF and p = 0.018 for nACF). Sleep quality explained between 15.1% and 25.5% of the variance in cognition. The interaction with age was independent of duration of sleep. At any level of sleep duration there was a steeper association between sleep quality and ACF in the older than the younger group. Conclusions The associations between sleep disturbances and cognitive function vary between younger and older adults. Prospective studies will determine the temporal relationships between sleep disturbances and changes in cognition in different age groups.","DOI":"10.1371/journal.pone.0100991","ISSN":"1932-6203","shortTitle":"Cross-Sectional Study of Sleep Quantity and Quality and Amnestic and Non-Amnestic Cognitive Function in an Ageing Population","journalAbbreviation":"PLOS ONE","language":"en","author":[{"family":"Miller","given":"Michelle A."},{"family":"Wright","given":"Hayley"},{"family":"Ji","given":"Chen"},{"family":"Cappuccio","given":"Francesco P."}],"issued":{"date-parts":[["2014",6,26]]}}}],"schema":"https://github.com/citation-style-language/schema/raw/master/csl-citation.json"} </w:instrText>
      </w:r>
      <w:r w:rsidRPr="008D5F7E">
        <w:fldChar w:fldCharType="separate"/>
      </w:r>
      <w:r w:rsidR="003D26E3" w:rsidRPr="008D5F7E">
        <w:rPr>
          <w:rFonts w:ascii="Calibri" w:hAnsi="Calibri" w:cs="Calibri"/>
        </w:rPr>
        <w:t>(19)</w:t>
      </w:r>
      <w:r w:rsidRPr="008D5F7E">
        <w:fldChar w:fldCharType="end"/>
      </w:r>
      <w:r w:rsidRPr="008D5F7E">
        <w:t>.</w:t>
      </w:r>
      <w:bookmarkEnd w:id="2"/>
    </w:p>
    <w:p w14:paraId="0145F3A8" w14:textId="5278BF32" w:rsidR="00406019" w:rsidRPr="008D5F7E" w:rsidRDefault="009A1818" w:rsidP="008A00B1">
      <w:r w:rsidRPr="008D5F7E">
        <w:t xml:space="preserve">Sleep duration was assessed with an open-ended question </w:t>
      </w:r>
      <w:r w:rsidR="001B647B" w:rsidRPr="008D5F7E">
        <w:t>that asked</w:t>
      </w:r>
      <w:r w:rsidRPr="008D5F7E">
        <w:t xml:space="preserve"> </w:t>
      </w:r>
      <w:r w:rsidR="001B647B" w:rsidRPr="008D5F7E">
        <w:t>respondents</w:t>
      </w:r>
      <w:r w:rsidRPr="008D5F7E">
        <w:t xml:space="preserve"> </w:t>
      </w:r>
      <w:r w:rsidR="004960E3" w:rsidRPr="008D5F7E">
        <w:t xml:space="preserve">to report how many hours they </w:t>
      </w:r>
      <w:r w:rsidRPr="008D5F7E">
        <w:t xml:space="preserve">slept </w:t>
      </w:r>
      <w:r w:rsidR="004960E3" w:rsidRPr="008D5F7E">
        <w:t xml:space="preserve">per night </w:t>
      </w:r>
      <w:r w:rsidRPr="008D5F7E">
        <w:t xml:space="preserve">on average during the week. </w:t>
      </w:r>
      <w:r w:rsidR="008A00B1" w:rsidRPr="008D5F7E">
        <w:t>We categorised responses</w:t>
      </w:r>
      <w:r w:rsidR="00F43792" w:rsidRPr="008D5F7E">
        <w:t xml:space="preserve"> as</w:t>
      </w:r>
      <w:r w:rsidR="00354722" w:rsidRPr="008D5F7E">
        <w:t xml:space="preserve"> &lt;6</w:t>
      </w:r>
      <w:r w:rsidRPr="008D5F7E">
        <w:t xml:space="preserve"> (short </w:t>
      </w:r>
      <w:r w:rsidR="00354722" w:rsidRPr="008D5F7E">
        <w:t>sleep</w:t>
      </w:r>
      <w:r w:rsidRPr="008D5F7E">
        <w:t xml:space="preserve">), </w:t>
      </w:r>
      <w:r w:rsidR="00354722" w:rsidRPr="008D5F7E">
        <w:t>6</w:t>
      </w:r>
      <w:r w:rsidRPr="008D5F7E">
        <w:t xml:space="preserve">–8 (optimal sleep) and </w:t>
      </w:r>
      <w:r w:rsidR="00F43792" w:rsidRPr="008D5F7E">
        <w:t>&gt;8</w:t>
      </w:r>
      <w:r w:rsidRPr="008D5F7E">
        <w:t xml:space="preserve"> </w:t>
      </w:r>
      <w:r w:rsidR="00F43792" w:rsidRPr="008D5F7E">
        <w:t xml:space="preserve">hours </w:t>
      </w:r>
      <w:r w:rsidRPr="008D5F7E">
        <w:t xml:space="preserve">(long </w:t>
      </w:r>
      <w:r w:rsidR="00354722" w:rsidRPr="008D5F7E">
        <w:t>sleep</w:t>
      </w:r>
      <w:r w:rsidRPr="008D5F7E">
        <w:t>)</w:t>
      </w:r>
      <w:r w:rsidR="00F43792" w:rsidRPr="008D5F7E">
        <w:t xml:space="preserve"> for analysis</w:t>
      </w:r>
      <w:r w:rsidRPr="008D5F7E">
        <w:t xml:space="preserve"> </w:t>
      </w:r>
      <w:r w:rsidRPr="008D5F7E">
        <w:fldChar w:fldCharType="begin"/>
      </w:r>
      <w:r w:rsidR="003D26E3" w:rsidRPr="008D5F7E">
        <w:instrText xml:space="preserve"> ADDIN ZOTERO_ITEM CSL_CITATION {"citationID":"roQTqoob","properties":{"formattedCitation":"(19,20)","plainCitation":"(19,20)","noteIndex":0},"citationItems":[{"id":4964,"uris":["http://zotero.org/users/446899/items/BS2ZYZPP"],"uri":["http://zotero.org/users/446899/items/BS2ZYZPP"],"itemData":{"id":4964,"type":"article-journal","title":"Correlates of short and long sleep duration: a cross-cultural comparison between the United Kingdom and the United States: the Whitehall II Study and the Western New York Health Study","container-title":"American journal of epidemiology","page":"1353–1364","volume":"168","issue":"12","source":"Google Scholar","shortTitle":"Correlates of short and long sleep duration","author":[{"family":"Stranges","given":"Saverio"},{"family":"Dorn","given":"Joan M."},{"family":"Shipley","given":"Martin J."},{"family":"Kandala","given":"Ngianga-Bakwin"},{"family":"Trevisan","given":"Maurizio"},{"family":"Miller","given":"Michelle A."},{"family":"Donahue","given":"Richard P."},{"family":"Hovey","given":"Kathleen M."},{"family":"Ferrie","given":"Jane E."},{"family":"Marmot","given":"Michael G."}],"issued":{"date-parts":[["2008"]]}}},{"id":4963,"uris":["http://zotero.org/users/446899/items/AH4SWRKP"],"uri":["http://zotero.org/users/446899/items/AH4SWRKP"],"itemData":{"id":4963,"type":"article-journal","title":"Cross-Sectional Study of Sleep Quantity and Quality and Amnestic and Non-Amnestic Cognitive Function in an Ageing Population: The English Longitudinal Study of Ageing (ELSA)","container-title":"PLOS ONE","page":"e100991","volume":"9","issue":"6","source":"PLoS Journals","abstract":"Background The aim was to investigate the association between sleep disturbances and cognitive function in younger and older individuals from an ageing population. Methods 3,968 male and 4,821 female white participants, aged 50 years and over, from the English Longitudinal Study of Ageing (ELSA) were studied. Information on sleep quality and quantity as well as both amnestic (memory, ACF) and non-amnestic (non-memory, nACF) function was available at Wave 4 (2008). Analysis of covariance was used to evaluate the relationship between sleep and cognitive function. Results After adjustment for multiple confounders in the younger group (50–64 years) duration of sleep explained 15.2% of the variance in ACF (p = 0.003) and 20.6% of nACF (p = 0.010). In the older group (65+ years) the estimates were 21.3% (p&lt;0.001) and 25.6% (p&lt;0.001), respectively. For sleep quality, there was a statistically significant association between sleep quality and both ACF (p&lt;0.001) and nACF (p&lt;0.001) in the older age group, but not in the younger age group (p = 0.586 and p = 0.373, respectively; interaction between age and sleep quality in the study sample including both age groups: p&lt;0.001 for ACF and p = 0.018 for nACF). Sleep quality explained between 15.1% and 25.5% of the variance in cognition. The interaction with age was independent of duration of sleep. At any level of sleep duration there was a steeper association between sleep quality and ACF in the older than the younger group. Conclusions The associations between sleep disturbances and cognitive function vary between younger and older adults. Prospective studies will determine the temporal relationships between sleep disturbances and changes in cognition in different age groups.","DOI":"10.1371/journal.pone.0100991","ISSN":"1932-6203","shortTitle":"Cross-Sectional Study of Sleep Quantity and Quality and Amnestic and Non-Amnestic Cognitive Function in an Ageing Population","journalAbbreviation":"PLOS ONE","language":"en","author":[{"family":"Miller","given":"Michelle A."},{"family":"Wright","given":"Hayley"},{"family":"Ji","given":"Chen"},{"family":"Cappuccio","given":"Francesco P."}],"issued":{"date-parts":[["2014",6,26]]}}}],"schema":"https://github.com/citation-style-language/schema/raw/master/csl-citation.json"} </w:instrText>
      </w:r>
      <w:r w:rsidRPr="008D5F7E">
        <w:fldChar w:fldCharType="separate"/>
      </w:r>
      <w:r w:rsidR="003D26E3" w:rsidRPr="008D5F7E">
        <w:rPr>
          <w:rFonts w:ascii="Calibri" w:hAnsi="Calibri" w:cs="Calibri"/>
        </w:rPr>
        <w:t>(19,20)</w:t>
      </w:r>
      <w:r w:rsidRPr="008D5F7E">
        <w:fldChar w:fldCharType="end"/>
      </w:r>
      <w:r w:rsidR="00710A3A" w:rsidRPr="008D5F7E">
        <w:t>.</w:t>
      </w:r>
    </w:p>
    <w:p w14:paraId="4B30041D" w14:textId="77777777" w:rsidR="005F3975" w:rsidRPr="008D5F7E" w:rsidRDefault="005F3975" w:rsidP="008A00B1"/>
    <w:p w14:paraId="73A116DF" w14:textId="77777777" w:rsidR="0057676B" w:rsidRPr="008D5F7E" w:rsidRDefault="0057676B" w:rsidP="0057676B">
      <w:pPr>
        <w:pStyle w:val="Heading3"/>
      </w:pPr>
      <w:r w:rsidRPr="008D5F7E">
        <w:t>Measurement of outcomes: problems with sexual function</w:t>
      </w:r>
    </w:p>
    <w:p w14:paraId="05F7549D" w14:textId="77777777" w:rsidR="00185235" w:rsidRPr="008D5F7E" w:rsidRDefault="00185235" w:rsidP="0057676B">
      <w:pPr>
        <w:pStyle w:val="Heading3"/>
        <w:rPr>
          <w:u w:val="none"/>
        </w:rPr>
      </w:pPr>
      <w:r w:rsidRPr="008D5F7E">
        <w:rPr>
          <w:u w:val="none"/>
        </w:rPr>
        <w:t xml:space="preserve">All men were asked about their ability to get and keep an erection which would be good enough for sexual activity during the past month, </w:t>
      </w:r>
      <w:r w:rsidR="00DC51E6" w:rsidRPr="008D5F7E">
        <w:rPr>
          <w:u w:val="none"/>
        </w:rPr>
        <w:t xml:space="preserve">with the response options </w:t>
      </w:r>
      <w:r w:rsidR="00DC51E6" w:rsidRPr="008D5F7E">
        <w:rPr>
          <w:i/>
          <w:u w:val="none"/>
        </w:rPr>
        <w:t>always, usually,</w:t>
      </w:r>
      <w:r w:rsidR="001D19B6" w:rsidRPr="008D5F7E">
        <w:rPr>
          <w:i/>
          <w:u w:val="none"/>
        </w:rPr>
        <w:t xml:space="preserve"> sometimes, </w:t>
      </w:r>
      <w:r w:rsidR="001D19B6" w:rsidRPr="008D5F7E">
        <w:rPr>
          <w:u w:val="none"/>
        </w:rPr>
        <w:t xml:space="preserve">or </w:t>
      </w:r>
      <w:r w:rsidR="001D19B6" w:rsidRPr="008D5F7E">
        <w:rPr>
          <w:i/>
          <w:u w:val="none"/>
        </w:rPr>
        <w:t>n</w:t>
      </w:r>
      <w:r w:rsidR="00DC51E6" w:rsidRPr="008D5F7E">
        <w:rPr>
          <w:i/>
          <w:u w:val="none"/>
        </w:rPr>
        <w:t>ever</w:t>
      </w:r>
      <w:r w:rsidR="00DC51E6" w:rsidRPr="008D5F7E">
        <w:rPr>
          <w:u w:val="none"/>
        </w:rPr>
        <w:t>. We considered responses of</w:t>
      </w:r>
      <w:r w:rsidR="0049498E" w:rsidRPr="008D5F7E">
        <w:rPr>
          <w:u w:val="none"/>
        </w:rPr>
        <w:t xml:space="preserve"> </w:t>
      </w:r>
      <w:r w:rsidR="0049498E" w:rsidRPr="008D5F7E">
        <w:rPr>
          <w:i/>
          <w:u w:val="none"/>
        </w:rPr>
        <w:t>sometimes</w:t>
      </w:r>
      <w:r w:rsidR="0049498E" w:rsidRPr="008D5F7E">
        <w:rPr>
          <w:u w:val="none"/>
        </w:rPr>
        <w:t xml:space="preserve"> or </w:t>
      </w:r>
      <w:r w:rsidR="0049498E" w:rsidRPr="008D5F7E">
        <w:rPr>
          <w:i/>
          <w:u w:val="none"/>
        </w:rPr>
        <w:t>never</w:t>
      </w:r>
      <w:r w:rsidR="00DC51E6" w:rsidRPr="008D5F7E">
        <w:rPr>
          <w:u w:val="none"/>
        </w:rPr>
        <w:t xml:space="preserve"> indicative of difficulty getting and keeping an erection.</w:t>
      </w:r>
    </w:p>
    <w:p w14:paraId="7C75C3C1" w14:textId="77777777" w:rsidR="00185235" w:rsidRPr="008D5F7E" w:rsidRDefault="000D36DE" w:rsidP="000D36DE">
      <w:r w:rsidRPr="008D5F7E">
        <w:t>Women who reported any sexual activity (defined as sexual</w:t>
      </w:r>
      <w:r w:rsidR="00185235" w:rsidRPr="008D5F7E">
        <w:t xml:space="preserve"> intercourse, masturbation, petting or fondling</w:t>
      </w:r>
      <w:r w:rsidRPr="008D5F7E">
        <w:t>)</w:t>
      </w:r>
      <w:r w:rsidR="00185235" w:rsidRPr="008D5F7E">
        <w:t xml:space="preserve"> </w:t>
      </w:r>
      <w:r w:rsidRPr="008D5F7E">
        <w:t>in the past year were asked how often they felt sexually aroused during sexual activity during the past month.</w:t>
      </w:r>
      <w:r w:rsidR="00E20D91" w:rsidRPr="008D5F7E">
        <w:t xml:space="preserve"> Response options were </w:t>
      </w:r>
      <w:r w:rsidR="00E20D91" w:rsidRPr="008D5F7E">
        <w:rPr>
          <w:i/>
        </w:rPr>
        <w:t xml:space="preserve">almost never/never aroused, aroused a few times (much less than half the time), aroused sometimes (about half the time), aroused most of the time (much more than half the time), </w:t>
      </w:r>
      <w:r w:rsidR="00AD3EB4" w:rsidRPr="008D5F7E">
        <w:t xml:space="preserve">and </w:t>
      </w:r>
      <w:r w:rsidR="00E20D91" w:rsidRPr="008D5F7E">
        <w:rPr>
          <w:i/>
        </w:rPr>
        <w:t>almost always/always aroused.</w:t>
      </w:r>
      <w:r w:rsidR="004361B8" w:rsidRPr="008D5F7E">
        <w:t xml:space="preserve"> We considered responses of </w:t>
      </w:r>
      <w:r w:rsidR="004361B8" w:rsidRPr="008D5F7E">
        <w:rPr>
          <w:i/>
        </w:rPr>
        <w:t>almost never/never aroused</w:t>
      </w:r>
      <w:r w:rsidR="004361B8" w:rsidRPr="008D5F7E">
        <w:t xml:space="preserve"> and </w:t>
      </w:r>
      <w:r w:rsidR="004361B8" w:rsidRPr="008D5F7E">
        <w:rPr>
          <w:i/>
        </w:rPr>
        <w:t>aroused a few times (much less than half the time)</w:t>
      </w:r>
      <w:r w:rsidR="004361B8" w:rsidRPr="008D5F7E">
        <w:t xml:space="preserve"> </w:t>
      </w:r>
      <w:r w:rsidR="00A20B1D" w:rsidRPr="008D5F7E">
        <w:t>indicative of difficulty becoming sexually aroused.</w:t>
      </w:r>
    </w:p>
    <w:p w14:paraId="4CE3B035" w14:textId="77777777" w:rsidR="008E71B7" w:rsidRPr="008D5F7E" w:rsidRDefault="008E71B7" w:rsidP="000D36DE">
      <w:r w:rsidRPr="008D5F7E">
        <w:t xml:space="preserve">Men and women who reported any sexual activity in the past year were asked how </w:t>
      </w:r>
      <w:r w:rsidR="00E16E80" w:rsidRPr="008D5F7E">
        <w:t>difficult they found it to</w:t>
      </w:r>
      <w:r w:rsidRPr="008D5F7E">
        <w:t xml:space="preserve"> reach orgasm in response to sexual stimulation during the past month.</w:t>
      </w:r>
      <w:r w:rsidR="00E56D7B" w:rsidRPr="008D5F7E">
        <w:t xml:space="preserve"> </w:t>
      </w:r>
      <w:r w:rsidR="00E16E80" w:rsidRPr="008D5F7E">
        <w:t xml:space="preserve">Response options were </w:t>
      </w:r>
      <w:r w:rsidR="00125604" w:rsidRPr="008D5F7E">
        <w:rPr>
          <w:i/>
        </w:rPr>
        <w:t>extremely difficult/impossible, very difficult, moderately difficult, slightly difficult,</w:t>
      </w:r>
      <w:r w:rsidR="00125604" w:rsidRPr="008D5F7E">
        <w:t xml:space="preserve"> and</w:t>
      </w:r>
      <w:r w:rsidR="00125604" w:rsidRPr="008D5F7E">
        <w:rPr>
          <w:i/>
        </w:rPr>
        <w:t xml:space="preserve"> not at all difficult.</w:t>
      </w:r>
      <w:r w:rsidR="00D71459" w:rsidRPr="008D5F7E">
        <w:t xml:space="preserve"> We considered responses from </w:t>
      </w:r>
      <w:r w:rsidR="00D71459" w:rsidRPr="008D5F7E">
        <w:rPr>
          <w:i/>
        </w:rPr>
        <w:t xml:space="preserve">moderately difficult </w:t>
      </w:r>
      <w:r w:rsidR="00D71459" w:rsidRPr="008D5F7E">
        <w:t xml:space="preserve">to </w:t>
      </w:r>
      <w:r w:rsidR="00D71459" w:rsidRPr="008D5F7E">
        <w:rPr>
          <w:i/>
        </w:rPr>
        <w:t>extremely difficult/impossible</w:t>
      </w:r>
      <w:r w:rsidR="00D71459" w:rsidRPr="008D5F7E">
        <w:t xml:space="preserve"> indicative of difficulty reaching orgasm.</w:t>
      </w:r>
    </w:p>
    <w:p w14:paraId="55EBCD13" w14:textId="77777777" w:rsidR="0057676B" w:rsidRPr="008D5F7E" w:rsidRDefault="0057676B" w:rsidP="0057676B">
      <w:pPr>
        <w:pStyle w:val="Heading3"/>
      </w:pPr>
      <w:r w:rsidRPr="008D5F7E">
        <w:t>Measurement of covariates</w:t>
      </w:r>
    </w:p>
    <w:p w14:paraId="52273A5A" w14:textId="2EA47202" w:rsidR="00AD3A57" w:rsidRPr="008D5F7E" w:rsidRDefault="002E66D0" w:rsidP="00AD3A57">
      <w:pPr>
        <w:spacing w:afterLines="120" w:after="288"/>
        <w:rPr>
          <w:rFonts w:ascii="Calibri" w:hAnsi="Calibri"/>
          <w:shd w:val="clear" w:color="auto" w:fill="FFFFFF"/>
        </w:rPr>
      </w:pPr>
      <w:r w:rsidRPr="008D5F7E">
        <w:rPr>
          <w:rFonts w:ascii="Calibri" w:hAnsi="Calibri"/>
          <w:shd w:val="clear" w:color="auto" w:fill="FFFFFF"/>
        </w:rPr>
        <w:t xml:space="preserve">Participants reported their age, ethnicity (white vs. non-white) and partnership status (married/cohabiting, separated/divorced, widowed, or single/never married). Socio-economic status (SES) was indexed using household non-pension wealth (which is particularly relevant to health outcomes in this age group </w:t>
      </w:r>
      <w:r w:rsidRPr="008D5F7E">
        <w:rPr>
          <w:rFonts w:ascii="Calibri" w:hAnsi="Calibri"/>
          <w:shd w:val="clear" w:color="auto" w:fill="FFFFFF"/>
        </w:rPr>
        <w:fldChar w:fldCharType="begin"/>
      </w:r>
      <w:r w:rsidR="003D26E3" w:rsidRPr="008D5F7E">
        <w:rPr>
          <w:rFonts w:ascii="Calibri" w:hAnsi="Calibri"/>
          <w:shd w:val="clear" w:color="auto" w:fill="FFFFFF"/>
        </w:rPr>
        <w:instrText xml:space="preserve"> ADDIN ZOTERO_ITEM CSL_CITATION {"citationID":"lFvWGX6V","properties":{"formattedCitation":"(21)","plainCitation":"(21)","noteIndex":0},"citationItems":[{"id":1180,"uris":["http://zotero.org/users/446899/items/UCVHZBRV"],"uri":["http://zotero.org/users/446899/items/UCVHZBRV"],"itemData":{"id":1180,"type":"article-journal","title":"Socio-economic position","source":"Google Scholar","URL":"http://discovery.ucl.ac.uk/15366/1/15366.pdf","author":[{"family":"Banks","given":"James"},{"family":"Karlsen","given":"S."},{"family":"Oldfield","given":"Zoe"}],"issued":{"date-parts":[["2003"]]},"accessed":{"date-parts":[["2014",3,4]]}}}],"schema":"https://github.com/citation-style-language/schema/raw/master/csl-citation.json"} </w:instrText>
      </w:r>
      <w:r w:rsidRPr="008D5F7E">
        <w:rPr>
          <w:rFonts w:ascii="Calibri" w:hAnsi="Calibri"/>
          <w:shd w:val="clear" w:color="auto" w:fill="FFFFFF"/>
        </w:rPr>
        <w:fldChar w:fldCharType="separate"/>
      </w:r>
      <w:r w:rsidR="003D26E3" w:rsidRPr="008D5F7E">
        <w:rPr>
          <w:rFonts w:ascii="Calibri" w:hAnsi="Calibri" w:cs="Calibri"/>
        </w:rPr>
        <w:t>(21)</w:t>
      </w:r>
      <w:r w:rsidRPr="008D5F7E">
        <w:rPr>
          <w:rFonts w:ascii="Calibri" w:hAnsi="Calibri"/>
          <w:shd w:val="clear" w:color="auto" w:fill="FFFFFF"/>
        </w:rPr>
        <w:fldChar w:fldCharType="end"/>
      </w:r>
      <w:r w:rsidRPr="008D5F7E">
        <w:rPr>
          <w:rFonts w:ascii="Calibri" w:hAnsi="Calibri"/>
          <w:shd w:val="clear" w:color="auto" w:fill="FFFFFF"/>
        </w:rPr>
        <w:t>), categorised into quintiles across all Wave 6 ELSA participants.</w:t>
      </w:r>
      <w:r w:rsidR="00057BE3" w:rsidRPr="008D5F7E">
        <w:rPr>
          <w:rFonts w:ascii="Calibri" w:hAnsi="Calibri"/>
          <w:shd w:val="clear" w:color="auto" w:fill="FFFFFF"/>
        </w:rPr>
        <w:t xml:space="preserve"> </w:t>
      </w:r>
      <w:r w:rsidR="00AD3A57" w:rsidRPr="008D5F7E">
        <w:rPr>
          <w:rFonts w:ascii="Calibri" w:hAnsi="Calibri"/>
          <w:shd w:val="clear" w:color="auto" w:fill="FFFFFF"/>
        </w:rPr>
        <w:t xml:space="preserve">Smoking status was self-reported, (smoker or non-smoker) as was frequency of alcohol intake, categorised as never/rarely (never – once or twice a year), regularly (once every two months – twice a week), or frequently (3 days a week – almost every day) </w:t>
      </w:r>
      <w:r w:rsidR="00AD3A57" w:rsidRPr="008D5F7E">
        <w:rPr>
          <w:rFonts w:ascii="Calibri" w:hAnsi="Calibri"/>
          <w:shd w:val="clear" w:color="auto" w:fill="FFFFFF"/>
        </w:rPr>
        <w:fldChar w:fldCharType="begin"/>
      </w:r>
      <w:r w:rsidR="003D26E3" w:rsidRPr="008D5F7E">
        <w:rPr>
          <w:rFonts w:ascii="Calibri" w:hAnsi="Calibri"/>
          <w:shd w:val="clear" w:color="auto" w:fill="FFFFFF"/>
        </w:rPr>
        <w:instrText xml:space="preserve"> ADDIN ZOTERO_ITEM CSL_CITATION {"citationID":"quiKCQDC","properties":{"formattedCitation":"(22)","plainCitation":"(22)","noteIndex":0},"citationItems":[{"id":1683,"uris":["http://zotero.org/users/446899/items/2PHWCWFD"],"uri":["http://zotero.org/users/446899/items/2PHWCWFD"],"itemData":{"id":1683,"type":"article-journal","title":"Sexual Health and Well-being Among Older Men and Women in England: Findings from the English Longitudinal Study of Ageing","container-title":"Archives of Sexual Behavior","source":"NCBI PubMed","abstract":"We describe levels of sexual activity, problems with sexual functioning, and concerns about sexual health among older adults in the English Longitudinal Study of Ageing (ELSA), and associations with age, health, and partnership factors. Specifically, a total of 6,201 core ELSA participants (56 % women) aged 50 to &gt;90 completed a comprehensive Sexual Relationships and Activities questionnaire (SRA-Q) included in ELSA Wave 6 (2012/13). The prevalence of reporting any sexual activity in the last year declined with age, with women less likely than men at all ages to report being sexually active. Poorer health was associated with lower levels of sexual activity and a higher prevalence of problems with sexual functioning, particularly among men. Difficulties most frequently reported by sexually active women related to becoming sexually aroused (32 %) and achieving orgasm (27 %), while for men it was erectile function (39 %). Sexual health concerns most commonly reported by women related to their level of sexual desire (11 %) and frequency of sexual activities (8 %). Among men it was level of sexual desire (15 %) and erectile difficulties (14 %). While the likelihood of reporting sexual health concerns tended to decrease with age in women, the opposite was seen in men. Poor sexual functioning and disagreements with a partner about initiating and/or feeling obligated to have sex were associated with greater concerns about and dissatisfaction with overall sex life. Levels of sexual activity decline with increasing age, although a sizable minority of men and women remain sexually active until the eighth and ninth decades of life. Problems with sexual functioning were relatively common, but overall levels of sexual health concerns were much lower. Sexually active men reported higher levels of concern with their sexual health and sexual dissatisfaction than women at all ages. Older peoples' sexual health should be managed, not just in the context of their age, gender, and general health, but also within their existing sexual relationship.","DOI":"10.1007/s10508-014-0465-1","ISSN":"1573-2800","note":"PMID: 25624001","shortTitle":"Sexual Health and Well-being Among Older Men and Women in England","journalAbbreviation":"Arch Sex Behav","language":"ENG","author":[{"family":"Lee","given":"David M."},{"family":"Nazroo","given":"James"},{"family":"O'Connor","given":"Daryl B."},{"family":"Blake","given":"Margaret"},{"family":"Pendleton","given":"Neil"}],"issued":{"date-parts":[["2015",1,27]]}}}],"schema":"https://github.com/citation-style-language/schema/raw/master/csl-citation.json"} </w:instrText>
      </w:r>
      <w:r w:rsidR="00AD3A57" w:rsidRPr="008D5F7E">
        <w:rPr>
          <w:rFonts w:ascii="Calibri" w:hAnsi="Calibri"/>
          <w:shd w:val="clear" w:color="auto" w:fill="FFFFFF"/>
        </w:rPr>
        <w:fldChar w:fldCharType="separate"/>
      </w:r>
      <w:r w:rsidR="003D26E3" w:rsidRPr="008D5F7E">
        <w:rPr>
          <w:rFonts w:ascii="Calibri" w:hAnsi="Calibri" w:cs="Calibri"/>
        </w:rPr>
        <w:t>(22)</w:t>
      </w:r>
      <w:r w:rsidR="00AD3A57" w:rsidRPr="008D5F7E">
        <w:rPr>
          <w:rFonts w:ascii="Calibri" w:hAnsi="Calibri"/>
          <w:shd w:val="clear" w:color="auto" w:fill="FFFFFF"/>
        </w:rPr>
        <w:fldChar w:fldCharType="end"/>
      </w:r>
      <w:r w:rsidR="00AD3A57" w:rsidRPr="008D5F7E">
        <w:rPr>
          <w:rFonts w:ascii="Calibri" w:hAnsi="Calibri"/>
          <w:shd w:val="clear" w:color="auto" w:fill="FFFFFF"/>
        </w:rPr>
        <w:t xml:space="preserve">. Physical activity was assessed with three items that asked about frequency of participation in vigorous, moderate and low-intensity activities (more than once a week, once a week, 1-3 times a month, hardly ever/never), and responses were grouped into three categories, as previously described </w:t>
      </w:r>
      <w:r w:rsidR="00AD3A57" w:rsidRPr="008D5F7E">
        <w:rPr>
          <w:rFonts w:ascii="Calibri" w:hAnsi="Calibri"/>
          <w:shd w:val="clear" w:color="auto" w:fill="FFFFFF"/>
        </w:rPr>
        <w:fldChar w:fldCharType="begin"/>
      </w:r>
      <w:r w:rsidR="003D26E3" w:rsidRPr="008D5F7E">
        <w:rPr>
          <w:rFonts w:ascii="Calibri" w:hAnsi="Calibri"/>
          <w:shd w:val="clear" w:color="auto" w:fill="FFFFFF"/>
        </w:rPr>
        <w:instrText xml:space="preserve"> ADDIN ZOTERO_ITEM CSL_CITATION {"citationID":"tNqm41RC","properties":{"formattedCitation":"(23)","plainCitation":"(23)","noteIndex":0},"citationItems":[{"id":1546,"uris":["http://zotero.org/users/446899/items/3E7VIJE6"],"uri":["http://zotero.org/users/446899/items/3E7VIJE6"],"itemData":{"id":1546,"type":"article-journal","title":"Leisure time physical activity, risk of depressive symptoms, and inflammatory mediators: the English Longitudinal Study of Ageing","container-title":"Psychoneuroendocrinology","page":"1050-1055","volume":"34","issue":"7","source":"PubMed","abstract":"OBJECTIVES: To examine if inflammatory markers (CRP, fibrinogen) might partly explain the association between physical activity (PA) and risk of depression.\nDESIGN/SETTING: The English Longitudinal Study of Ageing, a prospective study of community dwelling older adults.\nPARTICIPANTS: 4323 men and women (aged 63.4+/-9.7 yrs) free from depression at baseline.\nMEASURES: Self reported leisure time PA levels and depressive symptoms (a score of &gt; or = 4 using the 8-item CES-D scale) were assessed at baseline and 4 yrs follow up. The inflammatory markers, CRP and fibrinogen, were assessed at a 2 yrs intermediate time point between baseline and follow up.\nRESULTS: At follow up 8% of the sample reported depressive symptomatology. In comparison with participants reporting none or light PA, the odds of depressive symptomatology for those reporting moderate or vigorous PA were 0.71 (95% CI, 0.54-0.95) and 0.58 (0.41-0.81), respectively, after adjustments for baseline CES-D score, age, gender, social-occupational class, smoking, alcohol, and chronic illness. Each standard unit increase in log CRP was associated with higher odds of depressive symptomatology at follow up (1.32, 1.13-1.55) and CRP was inversely associated with physical activity. The association between PA and depressive symptomatology was not, however, substantially modified by further adjustment for CRP (odds for none vs. vigorous PA=0.60, 0.43-0.84).\nCONCLUSIONS: These data suggest that low grade systemic inflammation, as indexed by CRP, is a risk marker for depressive symptomatology, although this mechanism explains only a modest (approximately 5%) amount of the association between PA and risk of depression.","DOI":"10.1016/j.psyneuen.2009.02.004","ISSN":"1873-3360","note":"PMID: 19272716","shortTitle":"Leisure time physical activity, risk of depressive symptoms, and inflammatory mediators","journalAbbreviation":"Psychoneuroendocrinology","language":"eng","author":[{"family":"Hamer","given":"Mark"},{"family":"Molloy","given":"Gerard J."},{"family":"Oliveira","given":"Cesar","non-dropping-particle":"de"},{"family":"Demakakos","given":"Panayotes"}],"issued":{"date-parts":[["2009",8]]}}}],"schema":"https://github.com/citation-style-language/schema/raw/master/csl-citation.json"} </w:instrText>
      </w:r>
      <w:r w:rsidR="00AD3A57" w:rsidRPr="008D5F7E">
        <w:rPr>
          <w:rFonts w:ascii="Calibri" w:hAnsi="Calibri"/>
          <w:shd w:val="clear" w:color="auto" w:fill="FFFFFF"/>
        </w:rPr>
        <w:fldChar w:fldCharType="separate"/>
      </w:r>
      <w:r w:rsidR="003D26E3" w:rsidRPr="008D5F7E">
        <w:rPr>
          <w:rFonts w:ascii="Calibri" w:hAnsi="Calibri" w:cs="Calibri"/>
        </w:rPr>
        <w:t>(23)</w:t>
      </w:r>
      <w:r w:rsidR="00AD3A57" w:rsidRPr="008D5F7E">
        <w:rPr>
          <w:rFonts w:ascii="Calibri" w:hAnsi="Calibri"/>
          <w:shd w:val="clear" w:color="auto" w:fill="FFFFFF"/>
        </w:rPr>
        <w:fldChar w:fldCharType="end"/>
      </w:r>
      <w:r w:rsidR="00AD3A57" w:rsidRPr="008D5F7E">
        <w:rPr>
          <w:rFonts w:ascii="Calibri" w:hAnsi="Calibri"/>
          <w:shd w:val="clear" w:color="auto" w:fill="FFFFFF"/>
        </w:rPr>
        <w:t xml:space="preserve">: inactive (no moderate/vigorous activity on a weekly basis); moderate activity at least once a week; and vigorous activity at least once a week. Limiting long-standing illness was self-reported in response to two </w:t>
      </w:r>
      <w:r w:rsidR="00AD3A57" w:rsidRPr="008D5F7E">
        <w:rPr>
          <w:rFonts w:ascii="Calibri" w:hAnsi="Calibri"/>
          <w:shd w:val="clear" w:color="auto" w:fill="FFFFFF"/>
        </w:rPr>
        <w:lastRenderedPageBreak/>
        <w:t>questions: (</w:t>
      </w:r>
      <w:proofErr w:type="spellStart"/>
      <w:r w:rsidR="00AD3A57" w:rsidRPr="008D5F7E">
        <w:rPr>
          <w:rFonts w:ascii="Calibri" w:hAnsi="Calibri"/>
          <w:shd w:val="clear" w:color="auto" w:fill="FFFFFF"/>
        </w:rPr>
        <w:t>i</w:t>
      </w:r>
      <w:proofErr w:type="spellEnd"/>
      <w:r w:rsidR="00AD3A57" w:rsidRPr="008D5F7E">
        <w:rPr>
          <w:rFonts w:ascii="Calibri" w:hAnsi="Calibri"/>
          <w:shd w:val="clear" w:color="auto" w:fill="FFFFFF"/>
        </w:rPr>
        <w:t>) “</w:t>
      </w:r>
      <w:r w:rsidR="00AD3A57" w:rsidRPr="008D5F7E">
        <w:rPr>
          <w:rFonts w:ascii="Calibri" w:hAnsi="Calibri"/>
          <w:i/>
          <w:shd w:val="clear" w:color="auto" w:fill="FFFFFF"/>
        </w:rPr>
        <w:t xml:space="preserve">Do you have any long-standing illness, disability, or infirmity? By long-standing I mean anything that has troubled you over </w:t>
      </w:r>
      <w:proofErr w:type="gramStart"/>
      <w:r w:rsidR="00AD3A57" w:rsidRPr="008D5F7E">
        <w:rPr>
          <w:rFonts w:ascii="Calibri" w:hAnsi="Calibri"/>
          <w:i/>
          <w:shd w:val="clear" w:color="auto" w:fill="FFFFFF"/>
        </w:rPr>
        <w:t>a period of time</w:t>
      </w:r>
      <w:proofErr w:type="gramEnd"/>
      <w:r w:rsidR="00AD3A57" w:rsidRPr="008D5F7E">
        <w:rPr>
          <w:rFonts w:ascii="Calibri" w:hAnsi="Calibri"/>
          <w:i/>
          <w:shd w:val="clear" w:color="auto" w:fill="FFFFFF"/>
        </w:rPr>
        <w:t xml:space="preserve"> or that is likely to affect you over a period of time</w:t>
      </w:r>
      <w:r w:rsidR="00AD3A57" w:rsidRPr="008D5F7E">
        <w:rPr>
          <w:rFonts w:ascii="Calibri" w:hAnsi="Calibri"/>
          <w:shd w:val="clear" w:color="auto" w:fill="FFFFFF"/>
        </w:rPr>
        <w:t>.” If yes, (ii) “</w:t>
      </w:r>
      <w:r w:rsidR="00AD3A57" w:rsidRPr="008D5F7E">
        <w:rPr>
          <w:rFonts w:ascii="Calibri" w:hAnsi="Calibri"/>
          <w:i/>
          <w:shd w:val="clear" w:color="auto" w:fill="FFFFFF"/>
        </w:rPr>
        <w:t>Does this illness or disability limit your activities in any way</w:t>
      </w:r>
      <w:r w:rsidR="00AD3A57" w:rsidRPr="008D5F7E">
        <w:rPr>
          <w:rFonts w:ascii="Calibri" w:hAnsi="Calibri"/>
          <w:shd w:val="clear" w:color="auto" w:fill="FFFFFF"/>
        </w:rPr>
        <w:t>?” Declaration of a long-standing illness and any form of limitation classified the participant as having a limiting long-standing illness.</w:t>
      </w:r>
      <w:r w:rsidR="00616C2D" w:rsidRPr="008D5F7E">
        <w:rPr>
          <w:rFonts w:ascii="Calibri" w:hAnsi="Calibri"/>
          <w:shd w:val="clear" w:color="auto" w:fill="FFFFFF"/>
        </w:rPr>
        <w:t xml:space="preserve"> Depressive symptoms were assessed using the 8-item </w:t>
      </w:r>
      <w:proofErr w:type="spellStart"/>
      <w:r w:rsidR="00616C2D" w:rsidRPr="008D5F7E">
        <w:rPr>
          <w:rFonts w:ascii="Calibri" w:hAnsi="Calibri"/>
          <w:shd w:val="clear" w:color="auto" w:fill="FFFFFF"/>
        </w:rPr>
        <w:t>Center</w:t>
      </w:r>
      <w:proofErr w:type="spellEnd"/>
      <w:r w:rsidR="00616C2D" w:rsidRPr="008D5F7E">
        <w:rPr>
          <w:rFonts w:ascii="Calibri" w:hAnsi="Calibri"/>
          <w:shd w:val="clear" w:color="auto" w:fill="FFFFFF"/>
        </w:rPr>
        <w:t xml:space="preserve"> for Epidemiologic Studies Depression Scale, a highly validated measure for use in this age group </w:t>
      </w:r>
      <w:r w:rsidR="00616C2D" w:rsidRPr="008D5F7E">
        <w:rPr>
          <w:rFonts w:ascii="Calibri" w:hAnsi="Calibri"/>
          <w:shd w:val="clear" w:color="auto" w:fill="FFFFFF"/>
        </w:rPr>
        <w:fldChar w:fldCharType="begin"/>
      </w:r>
      <w:r w:rsidR="003D26E3" w:rsidRPr="008D5F7E">
        <w:rPr>
          <w:rFonts w:ascii="Calibri" w:hAnsi="Calibri"/>
          <w:shd w:val="clear" w:color="auto" w:fill="FFFFFF"/>
        </w:rPr>
        <w:instrText xml:space="preserve"> ADDIN ZOTERO_ITEM CSL_CITATION {"citationID":"XKpGl0oR","properties":{"formattedCitation":"(24)","plainCitation":"(24)","noteIndex":0},"citationItems":[{"id":203,"uris":["http://zotero.org/users/446899/items/KSNSDFX5"],"uri":["http://zotero.org/users/446899/items/KSNSDFX5"],"itemData":{"id":203,"type":"article","title":"Documentation of affective functioning measures in the Health and Retirement Study","publisher":"HRS Documentation Report DR-005","author":[{"family":"Steffick","given":"D.E."}],"issued":{"date-parts":[["2000"]]}}}],"schema":"https://github.com/citation-style-language/schema/raw/master/csl-citation.json"} </w:instrText>
      </w:r>
      <w:r w:rsidR="00616C2D" w:rsidRPr="008D5F7E">
        <w:rPr>
          <w:rFonts w:ascii="Calibri" w:hAnsi="Calibri"/>
          <w:shd w:val="clear" w:color="auto" w:fill="FFFFFF"/>
        </w:rPr>
        <w:fldChar w:fldCharType="separate"/>
      </w:r>
      <w:r w:rsidR="003D26E3" w:rsidRPr="008D5F7E">
        <w:rPr>
          <w:rFonts w:ascii="Calibri" w:hAnsi="Calibri" w:cs="Calibri"/>
        </w:rPr>
        <w:t>(24)</w:t>
      </w:r>
      <w:r w:rsidR="00616C2D" w:rsidRPr="008D5F7E">
        <w:rPr>
          <w:rFonts w:ascii="Calibri" w:hAnsi="Calibri"/>
          <w:shd w:val="clear" w:color="auto" w:fill="FFFFFF"/>
        </w:rPr>
        <w:fldChar w:fldCharType="end"/>
      </w:r>
      <w:r w:rsidR="00616C2D" w:rsidRPr="008D5F7E">
        <w:rPr>
          <w:rFonts w:ascii="Calibri" w:hAnsi="Calibri"/>
          <w:shd w:val="clear" w:color="auto" w:fill="FFFFFF"/>
        </w:rPr>
        <w:t>.</w:t>
      </w:r>
    </w:p>
    <w:p w14:paraId="45F6707A" w14:textId="77777777" w:rsidR="0057676B" w:rsidRPr="008D5F7E" w:rsidRDefault="0057676B" w:rsidP="0057676B">
      <w:pPr>
        <w:pStyle w:val="Heading3"/>
      </w:pPr>
      <w:r w:rsidRPr="008D5F7E">
        <w:t>Statistical analyses</w:t>
      </w:r>
    </w:p>
    <w:p w14:paraId="1A45D3BC" w14:textId="23DCC4A9" w:rsidR="00D51F25" w:rsidRPr="008D5F7E" w:rsidRDefault="00D51F25" w:rsidP="00D51F25">
      <w:pPr>
        <w:spacing w:afterLines="120" w:after="288"/>
        <w:rPr>
          <w:rFonts w:ascii="Calibri" w:hAnsi="Calibri"/>
          <w:shd w:val="clear" w:color="auto" w:fill="FFFFFF"/>
        </w:rPr>
      </w:pPr>
      <w:r w:rsidRPr="008D5F7E">
        <w:rPr>
          <w:rFonts w:ascii="Calibri" w:hAnsi="Calibri"/>
          <w:shd w:val="clear" w:color="auto" w:fill="FFFFFF"/>
        </w:rPr>
        <w:t>Analyses were performed using IBM SPSS Statistics</w:t>
      </w:r>
      <w:r w:rsidR="00BE16E7" w:rsidRPr="008D5F7E">
        <w:rPr>
          <w:rFonts w:ascii="Calibri" w:hAnsi="Calibri"/>
          <w:shd w:val="clear" w:color="auto" w:fill="FFFFFF"/>
        </w:rPr>
        <w:t xml:space="preserve"> version</w:t>
      </w:r>
      <w:r w:rsidRPr="008D5F7E">
        <w:rPr>
          <w:rFonts w:ascii="Calibri" w:hAnsi="Calibri"/>
          <w:shd w:val="clear" w:color="auto" w:fill="FFFFFF"/>
        </w:rPr>
        <w:t xml:space="preserve"> 2</w:t>
      </w:r>
      <w:r w:rsidR="00C01663" w:rsidRPr="008D5F7E">
        <w:rPr>
          <w:rFonts w:ascii="Calibri" w:hAnsi="Calibri"/>
          <w:shd w:val="clear" w:color="auto" w:fill="FFFFFF"/>
        </w:rPr>
        <w:t>4</w:t>
      </w:r>
      <w:r w:rsidRPr="008D5F7E">
        <w:rPr>
          <w:rFonts w:ascii="Calibri" w:hAnsi="Calibri"/>
          <w:shd w:val="clear" w:color="auto" w:fill="FFFFFF"/>
        </w:rPr>
        <w:t>. We applied weights to the data to correct for sampling probabilities and for differential non-response and to calibrate back to the 2011 National Census populati</w:t>
      </w:r>
      <w:r w:rsidR="00402EB4" w:rsidRPr="008D5F7E">
        <w:rPr>
          <w:rFonts w:ascii="Calibri" w:hAnsi="Calibri"/>
          <w:shd w:val="clear" w:color="auto" w:fill="FFFFFF"/>
        </w:rPr>
        <w:t>on distributions for age and gender</w:t>
      </w:r>
      <w:r w:rsidRPr="008D5F7E">
        <w:rPr>
          <w:rFonts w:ascii="Calibri" w:hAnsi="Calibri"/>
          <w:shd w:val="clear" w:color="auto" w:fill="FFFFFF"/>
        </w:rPr>
        <w:t>. The weights accounted for the differential probability of being included in wave 6 of ELSA and for non-response to the SRA‐Q. Further details are available at </w:t>
      </w:r>
      <w:hyperlink r:id="rId6" w:history="1">
        <w:r w:rsidRPr="008D5F7E">
          <w:rPr>
            <w:rFonts w:ascii="Calibri" w:hAnsi="Calibri"/>
          </w:rPr>
          <w:t>http://doc.ukdataservice.ac.uk/doc/</w:t>
        </w:r>
      </w:hyperlink>
      <w:r w:rsidRPr="008D5F7E">
        <w:rPr>
          <w:rFonts w:ascii="Calibri" w:hAnsi="Calibri"/>
          <w:shd w:val="clear" w:color="auto" w:fill="FFFFFF"/>
        </w:rPr>
        <w:t>5050</w:t>
      </w:r>
      <w:hyperlink r:id="rId7" w:history="1">
        <w:r w:rsidRPr="008D5F7E">
          <w:rPr>
            <w:rFonts w:ascii="Calibri" w:hAnsi="Calibri"/>
          </w:rPr>
          <w:t>/mrdoc/pdf/</w:t>
        </w:r>
      </w:hyperlink>
      <w:r w:rsidRPr="008D5F7E">
        <w:rPr>
          <w:rFonts w:ascii="Calibri" w:hAnsi="Calibri"/>
          <w:shd w:val="clear" w:color="auto" w:fill="FFFFFF"/>
        </w:rPr>
        <w:t>5050</w:t>
      </w:r>
      <w:hyperlink r:id="rId8" w:history="1">
        <w:r w:rsidRPr="008D5F7E">
          <w:rPr>
            <w:rFonts w:ascii="Calibri" w:hAnsi="Calibri"/>
          </w:rPr>
          <w:t>_elsa_w6_technical_report_v1.pdf</w:t>
        </w:r>
      </w:hyperlink>
      <w:r w:rsidRPr="008D5F7E">
        <w:rPr>
          <w:rFonts w:ascii="Calibri" w:hAnsi="Calibri"/>
          <w:shd w:val="clear" w:color="auto" w:fill="FFFFFF"/>
        </w:rPr>
        <w:t>.</w:t>
      </w:r>
    </w:p>
    <w:p w14:paraId="282C83C5" w14:textId="02FCDA62" w:rsidR="00EF6B81" w:rsidRPr="008D5F7E" w:rsidRDefault="0031661A" w:rsidP="000C4DCC">
      <w:pPr>
        <w:rPr>
          <w:rFonts w:ascii="Calibri" w:hAnsi="Calibri"/>
          <w:shd w:val="clear" w:color="auto" w:fill="FFFFFF"/>
        </w:rPr>
      </w:pPr>
      <w:r w:rsidRPr="008D5F7E">
        <w:rPr>
          <w:rFonts w:ascii="Calibri" w:hAnsi="Calibri"/>
          <w:shd w:val="clear" w:color="auto" w:fill="FFFFFF"/>
        </w:rPr>
        <w:t>We used logistic regression to examine ass</w:t>
      </w:r>
      <w:r w:rsidR="002064CA" w:rsidRPr="008D5F7E">
        <w:rPr>
          <w:rFonts w:ascii="Calibri" w:hAnsi="Calibri"/>
          <w:shd w:val="clear" w:color="auto" w:fill="FFFFFF"/>
        </w:rPr>
        <w:t>ociations between the exposures</w:t>
      </w:r>
      <w:r w:rsidRPr="008D5F7E">
        <w:rPr>
          <w:rFonts w:ascii="Calibri" w:hAnsi="Calibri"/>
          <w:shd w:val="clear" w:color="auto" w:fill="FFFFFF"/>
        </w:rPr>
        <w:t xml:space="preserve"> and outcomes, adjusted for all covariates.</w:t>
      </w:r>
      <w:r w:rsidR="002064CA" w:rsidRPr="008D5F7E">
        <w:rPr>
          <w:rFonts w:ascii="Calibri" w:hAnsi="Calibri"/>
          <w:shd w:val="clear" w:color="auto" w:fill="FFFFFF"/>
        </w:rPr>
        <w:t xml:space="preserve"> </w:t>
      </w:r>
      <w:r w:rsidRPr="008D5F7E">
        <w:rPr>
          <w:rFonts w:ascii="Calibri" w:hAnsi="Calibri"/>
          <w:shd w:val="clear" w:color="auto" w:fill="FFFFFF"/>
        </w:rPr>
        <w:t xml:space="preserve">In </w:t>
      </w:r>
      <w:r w:rsidR="00463E8C" w:rsidRPr="008D5F7E">
        <w:rPr>
          <w:rFonts w:ascii="Calibri" w:hAnsi="Calibri"/>
          <w:shd w:val="clear" w:color="auto" w:fill="FFFFFF"/>
        </w:rPr>
        <w:t xml:space="preserve">models testing associations with sleep quality, the reference category was the first </w:t>
      </w:r>
      <w:proofErr w:type="spellStart"/>
      <w:r w:rsidR="00463E8C" w:rsidRPr="008D5F7E">
        <w:rPr>
          <w:rFonts w:ascii="Calibri" w:hAnsi="Calibri"/>
          <w:shd w:val="clear" w:color="auto" w:fill="FFFFFF"/>
        </w:rPr>
        <w:t>tertile</w:t>
      </w:r>
      <w:proofErr w:type="spellEnd"/>
      <w:r w:rsidR="00463E8C" w:rsidRPr="008D5F7E">
        <w:rPr>
          <w:rFonts w:ascii="Calibri" w:hAnsi="Calibri"/>
          <w:shd w:val="clear" w:color="auto" w:fill="FFFFFF"/>
        </w:rPr>
        <w:t xml:space="preserve"> (highest sleep quality). In models testing associations with sleep duration, the reference category was </w:t>
      </w:r>
      <w:r w:rsidR="00463E8C" w:rsidRPr="008D5F7E">
        <w:t>6–8 hours (optimal sleep duration).</w:t>
      </w:r>
      <w:r w:rsidR="002064CA" w:rsidRPr="008D5F7E">
        <w:t xml:space="preserve"> </w:t>
      </w:r>
      <w:r w:rsidRPr="008D5F7E">
        <w:rPr>
          <w:rFonts w:ascii="Calibri" w:hAnsi="Calibri"/>
          <w:shd w:val="clear" w:color="auto" w:fill="FFFFFF"/>
        </w:rPr>
        <w:t>Results are reported as odds ratios (ORs) and 95% confidence intervals (CIs) of reporting sexual problems.</w:t>
      </w:r>
      <w:r w:rsidR="002064CA" w:rsidRPr="008D5F7E">
        <w:rPr>
          <w:rFonts w:ascii="Calibri" w:hAnsi="Calibri"/>
          <w:shd w:val="clear" w:color="auto" w:fill="FFFFFF"/>
        </w:rPr>
        <w:t xml:space="preserve"> </w:t>
      </w:r>
      <w:r w:rsidR="00776CE7" w:rsidRPr="008D5F7E">
        <w:rPr>
          <w:rFonts w:ascii="Calibri" w:hAnsi="Calibri"/>
          <w:shd w:val="clear" w:color="auto" w:fill="FFFFFF"/>
        </w:rPr>
        <w:t xml:space="preserve">All analyses were performed on complete cases and conducted separately for men and women. </w:t>
      </w:r>
      <w:r w:rsidR="00044260" w:rsidRPr="008D5F7E">
        <w:rPr>
          <w:rFonts w:ascii="Calibri" w:hAnsi="Calibri"/>
          <w:shd w:val="clear" w:color="auto" w:fill="FFFFFF"/>
        </w:rPr>
        <w:t>A</w:t>
      </w:r>
      <w:r w:rsidR="001F0DEB" w:rsidRPr="008D5F7E">
        <w:rPr>
          <w:rFonts w:ascii="Calibri" w:hAnsi="Calibri"/>
          <w:shd w:val="clear" w:color="auto" w:fill="FFFFFF"/>
        </w:rPr>
        <w:t xml:space="preserve"> </w:t>
      </w:r>
      <w:r w:rsidR="001F0DEB" w:rsidRPr="008D5F7E">
        <w:rPr>
          <w:rFonts w:ascii="Calibri" w:hAnsi="Calibri"/>
          <w:i/>
          <w:shd w:val="clear" w:color="auto" w:fill="FFFFFF"/>
        </w:rPr>
        <w:t>p</w:t>
      </w:r>
      <w:r w:rsidR="001F0DEB" w:rsidRPr="008D5F7E">
        <w:rPr>
          <w:rFonts w:ascii="Calibri" w:hAnsi="Calibri"/>
          <w:shd w:val="clear" w:color="auto" w:fill="FFFFFF"/>
        </w:rPr>
        <w:t>-value &lt;0.05</w:t>
      </w:r>
      <w:r w:rsidR="00044260" w:rsidRPr="008D5F7E">
        <w:rPr>
          <w:rFonts w:ascii="Calibri" w:hAnsi="Calibri"/>
          <w:shd w:val="clear" w:color="auto" w:fill="FFFFFF"/>
        </w:rPr>
        <w:t xml:space="preserve"> was</w:t>
      </w:r>
      <w:r w:rsidR="001F0DEB" w:rsidRPr="008D5F7E">
        <w:rPr>
          <w:rFonts w:ascii="Calibri" w:hAnsi="Calibri"/>
          <w:shd w:val="clear" w:color="auto" w:fill="FFFFFF"/>
        </w:rPr>
        <w:t xml:space="preserve"> </w:t>
      </w:r>
      <w:r w:rsidR="00A34C45" w:rsidRPr="008D5F7E">
        <w:rPr>
          <w:rFonts w:ascii="Calibri" w:hAnsi="Calibri"/>
          <w:shd w:val="clear" w:color="auto" w:fill="FFFFFF"/>
        </w:rPr>
        <w:t>considered statistically significant</w:t>
      </w:r>
      <w:r w:rsidR="00FA164A" w:rsidRPr="008D5F7E">
        <w:rPr>
          <w:rFonts w:ascii="Calibri" w:hAnsi="Calibri"/>
          <w:shd w:val="clear" w:color="auto" w:fill="FFFFFF"/>
        </w:rPr>
        <w:t>.</w:t>
      </w:r>
    </w:p>
    <w:p w14:paraId="4EC7F2A9" w14:textId="77777777" w:rsidR="00070E1E" w:rsidRPr="008D5F7E" w:rsidRDefault="00070E1E" w:rsidP="00070E1E">
      <w:pPr>
        <w:pStyle w:val="Heading2"/>
      </w:pPr>
      <w:r w:rsidRPr="008D5F7E">
        <w:t>Results</w:t>
      </w:r>
    </w:p>
    <w:p w14:paraId="67B50BEB" w14:textId="77777777" w:rsidR="006C2A84" w:rsidRPr="008D5F7E" w:rsidRDefault="006C2A84" w:rsidP="006C2A84">
      <w:pPr>
        <w:rPr>
          <w:rFonts w:ascii="Calibri" w:hAnsi="Calibri"/>
          <w:shd w:val="clear" w:color="auto" w:fill="FFFFFF"/>
        </w:rPr>
      </w:pPr>
      <w:r w:rsidRPr="008D5F7E">
        <w:rPr>
          <w:rFonts w:ascii="Calibri" w:hAnsi="Calibri"/>
          <w:shd w:val="clear" w:color="auto" w:fill="FFFFFF"/>
        </w:rPr>
        <w:t xml:space="preserve">There were 10,601 individuals interviewed in </w:t>
      </w:r>
      <w:r w:rsidR="00D14C11" w:rsidRPr="008D5F7E">
        <w:rPr>
          <w:rFonts w:ascii="Calibri" w:hAnsi="Calibri"/>
          <w:shd w:val="clear" w:color="auto" w:fill="FFFFFF"/>
        </w:rPr>
        <w:t>W</w:t>
      </w:r>
      <w:r w:rsidRPr="008D5F7E">
        <w:rPr>
          <w:rFonts w:ascii="Calibri" w:hAnsi="Calibri"/>
          <w:shd w:val="clear" w:color="auto" w:fill="FFFFFF"/>
        </w:rPr>
        <w:t xml:space="preserve">ave 6 of ELSA, of whom 7,079 (67% of those eligible) completed the paper‐based questionnaire that included measures of sexual function. </w:t>
      </w:r>
      <w:r w:rsidR="00486CCD" w:rsidRPr="008D5F7E">
        <w:rPr>
          <w:rFonts w:ascii="Calibri" w:hAnsi="Calibri"/>
          <w:shd w:val="clear" w:color="auto" w:fill="FFFFFF"/>
        </w:rPr>
        <w:t xml:space="preserve">A total of </w:t>
      </w:r>
      <w:r w:rsidR="002843D8" w:rsidRPr="008D5F7E">
        <w:rPr>
          <w:rFonts w:ascii="Calibri" w:hAnsi="Calibri"/>
          <w:shd w:val="clear" w:color="auto" w:fill="FFFFFF"/>
        </w:rPr>
        <w:t>1,675</w:t>
      </w:r>
      <w:r w:rsidR="00486CCD" w:rsidRPr="008D5F7E">
        <w:rPr>
          <w:rFonts w:ascii="Calibri" w:hAnsi="Calibri"/>
          <w:shd w:val="clear" w:color="auto" w:fill="FFFFFF"/>
        </w:rPr>
        <w:t xml:space="preserve"> women reported no sexual activity in the last year and were therefore not asked about problems with sexual function. We also excluded </w:t>
      </w:r>
      <w:r w:rsidR="00665C2F" w:rsidRPr="008D5F7E">
        <w:rPr>
          <w:rFonts w:ascii="Calibri" w:hAnsi="Calibri"/>
          <w:shd w:val="clear" w:color="auto" w:fill="FFFFFF"/>
        </w:rPr>
        <w:t>1,460</w:t>
      </w:r>
      <w:r w:rsidRPr="008D5F7E">
        <w:rPr>
          <w:rFonts w:ascii="Calibri" w:hAnsi="Calibri"/>
          <w:shd w:val="clear" w:color="auto" w:fill="FFFFFF"/>
        </w:rPr>
        <w:t xml:space="preserve"> participants with missing data, leaving a final sample for analysis of </w:t>
      </w:r>
      <w:r w:rsidR="00607FD8" w:rsidRPr="008D5F7E">
        <w:rPr>
          <w:rFonts w:ascii="Calibri" w:hAnsi="Calibri"/>
          <w:shd w:val="clear" w:color="auto" w:fill="FFFFFF"/>
        </w:rPr>
        <w:t>3,944</w:t>
      </w:r>
      <w:r w:rsidRPr="008D5F7E">
        <w:rPr>
          <w:rFonts w:ascii="Calibri" w:hAnsi="Calibri"/>
          <w:shd w:val="clear" w:color="auto" w:fill="FFFFFF"/>
        </w:rPr>
        <w:t xml:space="preserve"> older adults (</w:t>
      </w:r>
      <w:r w:rsidR="00607FD8" w:rsidRPr="008D5F7E">
        <w:rPr>
          <w:rFonts w:ascii="Calibri" w:hAnsi="Calibri"/>
          <w:shd w:val="clear" w:color="auto" w:fill="FFFFFF"/>
        </w:rPr>
        <w:t>2,568</w:t>
      </w:r>
      <w:r w:rsidRPr="008D5F7E">
        <w:rPr>
          <w:rFonts w:ascii="Calibri" w:hAnsi="Calibri"/>
          <w:shd w:val="clear" w:color="auto" w:fill="FFFFFF"/>
        </w:rPr>
        <w:t xml:space="preserve"> men and </w:t>
      </w:r>
      <w:r w:rsidR="00607FD8" w:rsidRPr="008D5F7E">
        <w:rPr>
          <w:rFonts w:ascii="Calibri" w:hAnsi="Calibri"/>
          <w:shd w:val="clear" w:color="auto" w:fill="FFFFFF"/>
        </w:rPr>
        <w:t>1,376</w:t>
      </w:r>
      <w:r w:rsidRPr="008D5F7E">
        <w:rPr>
          <w:rFonts w:ascii="Calibri" w:hAnsi="Calibri"/>
          <w:shd w:val="clear" w:color="auto" w:fill="FFFFFF"/>
        </w:rPr>
        <w:t xml:space="preserve"> women)</w:t>
      </w:r>
      <w:r w:rsidR="00206C66" w:rsidRPr="008D5F7E">
        <w:rPr>
          <w:rFonts w:ascii="Calibri" w:hAnsi="Calibri"/>
          <w:shd w:val="clear" w:color="auto" w:fill="FFFFFF"/>
        </w:rPr>
        <w:t>.</w:t>
      </w:r>
    </w:p>
    <w:p w14:paraId="27971E00" w14:textId="34519DF2" w:rsidR="00D7330A" w:rsidRPr="008D5F7E" w:rsidRDefault="009E18AA" w:rsidP="00CC4163">
      <w:pPr>
        <w:rPr>
          <w:rFonts w:ascii="Calibri" w:hAnsi="Calibri"/>
          <w:shd w:val="clear" w:color="auto" w:fill="FFFFFF"/>
        </w:rPr>
      </w:pPr>
      <w:r w:rsidRPr="008D5F7E">
        <w:rPr>
          <w:rFonts w:ascii="Calibri" w:hAnsi="Calibri"/>
          <w:shd w:val="clear" w:color="auto" w:fill="FFFFFF"/>
        </w:rPr>
        <w:t>Descriptive characteristics are shown in Table 1.</w:t>
      </w:r>
      <w:r w:rsidR="002C669A" w:rsidRPr="008D5F7E">
        <w:rPr>
          <w:rFonts w:ascii="Calibri" w:hAnsi="Calibri"/>
          <w:shd w:val="clear" w:color="auto" w:fill="FFFFFF"/>
        </w:rPr>
        <w:t xml:space="preserve"> The mean ages of men and women were 64.3 and 60.7</w:t>
      </w:r>
      <w:r w:rsidR="00C81179" w:rsidRPr="008D5F7E">
        <w:rPr>
          <w:rFonts w:ascii="Calibri" w:hAnsi="Calibri"/>
          <w:shd w:val="clear" w:color="auto" w:fill="FFFFFF"/>
        </w:rPr>
        <w:t>,</w:t>
      </w:r>
      <w:r w:rsidR="002C669A" w:rsidRPr="008D5F7E">
        <w:rPr>
          <w:rFonts w:ascii="Calibri" w:hAnsi="Calibri"/>
          <w:shd w:val="clear" w:color="auto" w:fill="FFFFFF"/>
        </w:rPr>
        <w:t xml:space="preserve"> respectively.</w:t>
      </w:r>
      <w:r w:rsidR="00C4075D" w:rsidRPr="008D5F7E">
        <w:rPr>
          <w:rFonts w:ascii="Calibri" w:hAnsi="Calibri"/>
          <w:shd w:val="clear" w:color="auto" w:fill="FFFFFF"/>
        </w:rPr>
        <w:t xml:space="preserve"> The majority of participants were married or cohabiting (73.9% of men, 76.9% of women), white (93.8% of men, 97.2% of women), non-smokers (85.6% of men, 86.6% of women) who drank alcohol regularly or frequently (84.2% of men, 80.2% of women), participated in regular moderate or vigorous physical activity (80.2% of men, 73.9% of women) and were free of limiting </w:t>
      </w:r>
      <w:r w:rsidR="00C4075D" w:rsidRPr="008D5F7E">
        <w:rPr>
          <w:rFonts w:ascii="Calibri" w:hAnsi="Calibri"/>
          <w:shd w:val="clear" w:color="auto" w:fill="FFFFFF"/>
        </w:rPr>
        <w:lastRenderedPageBreak/>
        <w:t>long-standing illness (68.9% of men, 73.0% of women).</w:t>
      </w:r>
      <w:r w:rsidR="00D14C11" w:rsidRPr="008D5F7E">
        <w:rPr>
          <w:rFonts w:ascii="Calibri" w:hAnsi="Calibri"/>
          <w:shd w:val="clear" w:color="auto" w:fill="FFFFFF"/>
        </w:rPr>
        <w:t xml:space="preserve"> The sample overrepresented the upper quintiles of wealth, with 22.0% of men and 24.9% of women in the richest quintile of all Wave 6 ELSA participants.</w:t>
      </w:r>
    </w:p>
    <w:p w14:paraId="3A252DA6" w14:textId="4D269537" w:rsidR="00BF103D" w:rsidRPr="008D5F7E" w:rsidRDefault="00E74D52" w:rsidP="00CC4163">
      <w:pPr>
        <w:rPr>
          <w:rFonts w:ascii="Calibri" w:hAnsi="Calibri"/>
          <w:shd w:val="clear" w:color="auto" w:fill="FFFFFF"/>
        </w:rPr>
      </w:pPr>
      <w:r w:rsidRPr="008D5F7E">
        <w:rPr>
          <w:rFonts w:ascii="Calibri" w:hAnsi="Calibri"/>
          <w:shd w:val="clear" w:color="auto" w:fill="FFFFFF"/>
        </w:rPr>
        <w:t xml:space="preserve">Among men, 41.5% reported high sleep quality, 27.5% moderate sleep quality and 31.1% low sleep quality. Among women, the respective figures were 31.4%, 24.6% and 43.9%. </w:t>
      </w:r>
      <w:proofErr w:type="gramStart"/>
      <w:r w:rsidR="000143E9" w:rsidRPr="008D5F7E">
        <w:rPr>
          <w:rFonts w:ascii="Calibri" w:hAnsi="Calibri"/>
          <w:shd w:val="clear" w:color="auto" w:fill="FFFFFF"/>
        </w:rPr>
        <w:t>The majority of</w:t>
      </w:r>
      <w:proofErr w:type="gramEnd"/>
      <w:r w:rsidR="000143E9" w:rsidRPr="008D5F7E">
        <w:rPr>
          <w:rFonts w:ascii="Calibri" w:hAnsi="Calibri"/>
          <w:shd w:val="clear" w:color="auto" w:fill="FFFFFF"/>
        </w:rPr>
        <w:t xml:space="preserve"> men (80.4%) and women (78.1%) reported optimal sleep duration of 6-8 hours per night, but 13.5% of men and 15.2% of women reported short sleep (&lt;6 hours) and 6.1% of men and 6.7% of women reported long sleep (&gt;8 hours).</w:t>
      </w:r>
      <w:r w:rsidR="004622EF" w:rsidRPr="008D5F7E">
        <w:rPr>
          <w:rFonts w:ascii="Calibri" w:hAnsi="Calibri"/>
          <w:shd w:val="clear" w:color="auto" w:fill="FFFFFF"/>
        </w:rPr>
        <w:t xml:space="preserve"> </w:t>
      </w:r>
      <w:r w:rsidR="00AD5723" w:rsidRPr="008D5F7E">
        <w:rPr>
          <w:rFonts w:ascii="Calibri" w:hAnsi="Calibri"/>
          <w:shd w:val="clear" w:color="auto" w:fill="FFFFFF"/>
        </w:rPr>
        <w:t>Problems with erectile function were reported by 38.8% of men,</w:t>
      </w:r>
      <w:r w:rsidR="00495243" w:rsidRPr="008D5F7E">
        <w:rPr>
          <w:rFonts w:ascii="Calibri" w:hAnsi="Calibri"/>
          <w:shd w:val="clear" w:color="auto" w:fill="FFFFFF"/>
        </w:rPr>
        <w:t xml:space="preserve"> problems</w:t>
      </w:r>
      <w:r w:rsidR="00AD5723" w:rsidRPr="008D5F7E">
        <w:rPr>
          <w:rFonts w:ascii="Calibri" w:hAnsi="Calibri"/>
          <w:shd w:val="clear" w:color="auto" w:fill="FFFFFF"/>
        </w:rPr>
        <w:t xml:space="preserve"> with sexual arousal </w:t>
      </w:r>
      <w:r w:rsidR="00495243" w:rsidRPr="008D5F7E">
        <w:rPr>
          <w:rFonts w:ascii="Calibri" w:hAnsi="Calibri"/>
          <w:shd w:val="clear" w:color="auto" w:fill="FFFFFF"/>
        </w:rPr>
        <w:t xml:space="preserve">were reported </w:t>
      </w:r>
      <w:r w:rsidR="00AD5723" w:rsidRPr="008D5F7E">
        <w:rPr>
          <w:rFonts w:ascii="Calibri" w:hAnsi="Calibri"/>
          <w:shd w:val="clear" w:color="auto" w:fill="FFFFFF"/>
        </w:rPr>
        <w:t>by 32.0% of women</w:t>
      </w:r>
      <w:r w:rsidR="00A673E9" w:rsidRPr="008D5F7E">
        <w:rPr>
          <w:rFonts w:ascii="Calibri" w:hAnsi="Calibri"/>
          <w:shd w:val="clear" w:color="auto" w:fill="FFFFFF"/>
        </w:rPr>
        <w:t>,</w:t>
      </w:r>
      <w:r w:rsidR="00AD5723" w:rsidRPr="008D5F7E">
        <w:rPr>
          <w:rFonts w:ascii="Calibri" w:hAnsi="Calibri"/>
          <w:shd w:val="clear" w:color="auto" w:fill="FFFFFF"/>
        </w:rPr>
        <w:t xml:space="preserve"> and </w:t>
      </w:r>
      <w:r w:rsidR="00495243" w:rsidRPr="008D5F7E">
        <w:rPr>
          <w:rFonts w:ascii="Calibri" w:hAnsi="Calibri"/>
          <w:shd w:val="clear" w:color="auto" w:fill="FFFFFF"/>
        </w:rPr>
        <w:t xml:space="preserve">problems </w:t>
      </w:r>
      <w:r w:rsidR="00AD5723" w:rsidRPr="008D5F7E">
        <w:rPr>
          <w:rFonts w:ascii="Calibri" w:hAnsi="Calibri"/>
          <w:shd w:val="clear" w:color="auto" w:fill="FFFFFF"/>
        </w:rPr>
        <w:t>with orgasm</w:t>
      </w:r>
      <w:r w:rsidR="00495243" w:rsidRPr="008D5F7E">
        <w:rPr>
          <w:rFonts w:ascii="Calibri" w:hAnsi="Calibri"/>
          <w:shd w:val="clear" w:color="auto" w:fill="FFFFFF"/>
        </w:rPr>
        <w:t xml:space="preserve"> were reported</w:t>
      </w:r>
      <w:r w:rsidR="00AD5723" w:rsidRPr="008D5F7E">
        <w:rPr>
          <w:rFonts w:ascii="Calibri" w:hAnsi="Calibri"/>
          <w:shd w:val="clear" w:color="auto" w:fill="FFFFFF"/>
        </w:rPr>
        <w:t xml:space="preserve"> by 15.2% of men and 27.1% of women.</w:t>
      </w:r>
    </w:p>
    <w:p w14:paraId="6B66A17E" w14:textId="77777777" w:rsidR="00E438C5" w:rsidRPr="008D5F7E" w:rsidRDefault="00B0589E" w:rsidP="00CC4163">
      <w:pPr>
        <w:rPr>
          <w:rFonts w:ascii="Calibri" w:hAnsi="Calibri"/>
          <w:shd w:val="clear" w:color="auto" w:fill="FFFFFF"/>
        </w:rPr>
      </w:pPr>
      <w:r w:rsidRPr="008D5F7E">
        <w:rPr>
          <w:rFonts w:ascii="Calibri" w:hAnsi="Calibri"/>
          <w:shd w:val="clear" w:color="auto" w:fill="FFFFFF"/>
        </w:rPr>
        <w:t xml:space="preserve">Results of the logistic regression models are shown in Table 2. </w:t>
      </w:r>
      <w:r w:rsidR="008A4590" w:rsidRPr="008D5F7E">
        <w:rPr>
          <w:rFonts w:ascii="Calibri" w:hAnsi="Calibri"/>
          <w:shd w:val="clear" w:color="auto" w:fill="FFFFFF"/>
        </w:rPr>
        <w:t xml:space="preserve">In women, moderate (OR=1.53, 95% CI 1.09-2.13, </w:t>
      </w:r>
      <w:r w:rsidR="008A4590" w:rsidRPr="008D5F7E">
        <w:rPr>
          <w:rFonts w:ascii="Calibri" w:hAnsi="Calibri"/>
          <w:i/>
          <w:shd w:val="clear" w:color="auto" w:fill="FFFFFF"/>
        </w:rPr>
        <w:t>p</w:t>
      </w:r>
      <w:r w:rsidR="008A4590" w:rsidRPr="008D5F7E">
        <w:rPr>
          <w:rFonts w:ascii="Calibri" w:hAnsi="Calibri"/>
          <w:shd w:val="clear" w:color="auto" w:fill="FFFFFF"/>
        </w:rPr>
        <w:t xml:space="preserve">=0.013) and low sleep quality (OR=1.70, 95% CI 1.24-2.32, </w:t>
      </w:r>
      <w:r w:rsidR="008A4590" w:rsidRPr="008D5F7E">
        <w:rPr>
          <w:rFonts w:ascii="Calibri" w:hAnsi="Calibri"/>
          <w:i/>
          <w:shd w:val="clear" w:color="auto" w:fill="FFFFFF"/>
        </w:rPr>
        <w:t>p</w:t>
      </w:r>
      <w:r w:rsidR="008A4590" w:rsidRPr="008D5F7E">
        <w:rPr>
          <w:rFonts w:ascii="Calibri" w:hAnsi="Calibri"/>
          <w:shd w:val="clear" w:color="auto" w:fill="FFFFFF"/>
        </w:rPr>
        <w:t>=0.001) were associated with increased odds of arousal problems relative to high sleep quality.</w:t>
      </w:r>
      <w:r w:rsidR="00456E99" w:rsidRPr="008D5F7E">
        <w:rPr>
          <w:rFonts w:ascii="Calibri" w:hAnsi="Calibri"/>
          <w:shd w:val="clear" w:color="auto" w:fill="FFFFFF"/>
        </w:rPr>
        <w:t xml:space="preserve"> </w:t>
      </w:r>
      <w:r w:rsidR="00AE067C" w:rsidRPr="008D5F7E">
        <w:rPr>
          <w:rFonts w:ascii="Calibri" w:hAnsi="Calibri"/>
          <w:shd w:val="clear" w:color="auto" w:fill="FFFFFF"/>
        </w:rPr>
        <w:t xml:space="preserve">In men, moderate sleep quality was associated with increased odds of erectile difficulties (OR=1.47, 95% CI 1.16-1.85, </w:t>
      </w:r>
      <w:r w:rsidR="00AE067C" w:rsidRPr="008D5F7E">
        <w:rPr>
          <w:rFonts w:ascii="Calibri" w:hAnsi="Calibri"/>
          <w:i/>
          <w:shd w:val="clear" w:color="auto" w:fill="FFFFFF"/>
        </w:rPr>
        <w:t>p</w:t>
      </w:r>
      <w:r w:rsidR="00AE067C" w:rsidRPr="008D5F7E">
        <w:rPr>
          <w:rFonts w:ascii="Calibri" w:hAnsi="Calibri"/>
          <w:shd w:val="clear" w:color="auto" w:fill="FFFFFF"/>
        </w:rPr>
        <w:t xml:space="preserve">=0.001) relative to high sleep quality, but the difference between low and high sleep quality did not reach statistical significance (OR=1.24, 95% CI 0.97-1.58, </w:t>
      </w:r>
      <w:r w:rsidR="00AE067C" w:rsidRPr="008D5F7E">
        <w:rPr>
          <w:rFonts w:ascii="Calibri" w:hAnsi="Calibri"/>
          <w:i/>
          <w:shd w:val="clear" w:color="auto" w:fill="FFFFFF"/>
        </w:rPr>
        <w:t>p</w:t>
      </w:r>
      <w:r w:rsidR="00AE067C" w:rsidRPr="008D5F7E">
        <w:rPr>
          <w:rFonts w:ascii="Calibri" w:hAnsi="Calibri"/>
          <w:shd w:val="clear" w:color="auto" w:fill="FFFFFF"/>
        </w:rPr>
        <w:t xml:space="preserve">=0.091). </w:t>
      </w:r>
      <w:r w:rsidR="0082601F" w:rsidRPr="008D5F7E">
        <w:rPr>
          <w:rFonts w:ascii="Calibri" w:hAnsi="Calibri"/>
          <w:shd w:val="clear" w:color="auto" w:fill="FFFFFF"/>
        </w:rPr>
        <w:t>Sleep quality was not significantly associated with difficulty achieving orgasm in men, but in women low sleep quality was associated with increased odds of orgasmic difficulty (OR=1.63, 95% CI 1.18-2.25</w:t>
      </w:r>
      <w:r w:rsidR="00053F11" w:rsidRPr="008D5F7E">
        <w:rPr>
          <w:rFonts w:ascii="Calibri" w:hAnsi="Calibri"/>
          <w:shd w:val="clear" w:color="auto" w:fill="FFFFFF"/>
        </w:rPr>
        <w:t xml:space="preserve">, </w:t>
      </w:r>
      <w:r w:rsidR="00053F11" w:rsidRPr="008D5F7E">
        <w:rPr>
          <w:rFonts w:ascii="Calibri" w:hAnsi="Calibri"/>
          <w:i/>
          <w:shd w:val="clear" w:color="auto" w:fill="FFFFFF"/>
        </w:rPr>
        <w:t>p</w:t>
      </w:r>
      <w:r w:rsidR="00053F11" w:rsidRPr="008D5F7E">
        <w:rPr>
          <w:rFonts w:ascii="Calibri" w:hAnsi="Calibri"/>
          <w:shd w:val="clear" w:color="auto" w:fill="FFFFFF"/>
        </w:rPr>
        <w:t>=0.003</w:t>
      </w:r>
      <w:r w:rsidR="0082601F" w:rsidRPr="008D5F7E">
        <w:rPr>
          <w:rFonts w:ascii="Calibri" w:hAnsi="Calibri"/>
          <w:shd w:val="clear" w:color="auto" w:fill="FFFFFF"/>
        </w:rPr>
        <w:t>).</w:t>
      </w:r>
    </w:p>
    <w:p w14:paraId="64266209" w14:textId="1FBCD455" w:rsidR="0098438C" w:rsidRPr="008D5F7E" w:rsidRDefault="00E438C5" w:rsidP="00E7565F">
      <w:pPr>
        <w:rPr>
          <w:rFonts w:ascii="Calibri" w:hAnsi="Calibri"/>
          <w:shd w:val="clear" w:color="auto" w:fill="FFFFFF"/>
        </w:rPr>
      </w:pPr>
      <w:r w:rsidRPr="008D5F7E">
        <w:rPr>
          <w:rFonts w:ascii="Calibri" w:hAnsi="Calibri"/>
          <w:shd w:val="clear" w:color="auto" w:fill="FFFFFF"/>
        </w:rPr>
        <w:t>No significant associations between sleep duration and problems with sexual function were observed in women</w:t>
      </w:r>
      <w:r w:rsidR="00BE42BF" w:rsidRPr="008D5F7E">
        <w:rPr>
          <w:rFonts w:ascii="Calibri" w:hAnsi="Calibri"/>
          <w:shd w:val="clear" w:color="auto" w:fill="FFFFFF"/>
        </w:rPr>
        <w:t xml:space="preserve"> (Table 2)</w:t>
      </w:r>
      <w:r w:rsidR="004E4763" w:rsidRPr="008D5F7E">
        <w:rPr>
          <w:rFonts w:ascii="Calibri" w:hAnsi="Calibri"/>
          <w:shd w:val="clear" w:color="auto" w:fill="FFFFFF"/>
        </w:rPr>
        <w:t>.</w:t>
      </w:r>
      <w:r w:rsidRPr="008D5F7E">
        <w:rPr>
          <w:rFonts w:ascii="Calibri" w:hAnsi="Calibri"/>
          <w:shd w:val="clear" w:color="auto" w:fill="FFFFFF"/>
        </w:rPr>
        <w:t xml:space="preserve"> </w:t>
      </w:r>
      <w:r w:rsidR="004E4763" w:rsidRPr="008D5F7E">
        <w:rPr>
          <w:rFonts w:ascii="Calibri" w:hAnsi="Calibri"/>
          <w:shd w:val="clear" w:color="auto" w:fill="FFFFFF"/>
        </w:rPr>
        <w:t>However,</w:t>
      </w:r>
      <w:r w:rsidRPr="008D5F7E">
        <w:rPr>
          <w:rFonts w:ascii="Calibri" w:hAnsi="Calibri"/>
          <w:shd w:val="clear" w:color="auto" w:fill="FFFFFF"/>
        </w:rPr>
        <w:t xml:space="preserve"> in men</w:t>
      </w:r>
      <w:r w:rsidR="004E4763" w:rsidRPr="008D5F7E">
        <w:rPr>
          <w:rFonts w:ascii="Calibri" w:hAnsi="Calibri"/>
          <w:shd w:val="clear" w:color="auto" w:fill="FFFFFF"/>
        </w:rPr>
        <w:t>,</w:t>
      </w:r>
      <w:r w:rsidRPr="008D5F7E">
        <w:rPr>
          <w:rFonts w:ascii="Calibri" w:hAnsi="Calibri"/>
          <w:shd w:val="clear" w:color="auto" w:fill="FFFFFF"/>
        </w:rPr>
        <w:t xml:space="preserve"> long sleep (&gt;8 hours) was associated with significantly higher odds of difficulty achieving orgasm (OR=1.75, 95% CI 1.04-2.95, </w:t>
      </w:r>
      <w:r w:rsidRPr="008D5F7E">
        <w:rPr>
          <w:rFonts w:ascii="Calibri" w:hAnsi="Calibri"/>
          <w:i/>
          <w:shd w:val="clear" w:color="auto" w:fill="FFFFFF"/>
        </w:rPr>
        <w:t>p</w:t>
      </w:r>
      <w:r w:rsidRPr="008D5F7E">
        <w:rPr>
          <w:rFonts w:ascii="Calibri" w:hAnsi="Calibri"/>
          <w:shd w:val="clear" w:color="auto" w:fill="FFFFFF"/>
        </w:rPr>
        <w:t xml:space="preserve">=0.036) </w:t>
      </w:r>
      <w:r w:rsidR="004E4763" w:rsidRPr="008D5F7E">
        <w:rPr>
          <w:rFonts w:ascii="Calibri" w:hAnsi="Calibri"/>
          <w:shd w:val="clear" w:color="auto" w:fill="FFFFFF"/>
        </w:rPr>
        <w:t xml:space="preserve">relative to optimal sleep duration (6-8 hours), </w:t>
      </w:r>
      <w:r w:rsidRPr="008D5F7E">
        <w:rPr>
          <w:rFonts w:ascii="Calibri" w:hAnsi="Calibri"/>
          <w:shd w:val="clear" w:color="auto" w:fill="FFFFFF"/>
        </w:rPr>
        <w:t xml:space="preserve">and </w:t>
      </w:r>
      <w:r w:rsidR="004E4763" w:rsidRPr="008D5F7E">
        <w:rPr>
          <w:rFonts w:ascii="Calibri" w:hAnsi="Calibri"/>
          <w:shd w:val="clear" w:color="auto" w:fill="FFFFFF"/>
        </w:rPr>
        <w:t>there was a borderline significant association between long sleep and</w:t>
      </w:r>
      <w:r w:rsidRPr="008D5F7E">
        <w:rPr>
          <w:rFonts w:ascii="Calibri" w:hAnsi="Calibri"/>
          <w:shd w:val="clear" w:color="auto" w:fill="FFFFFF"/>
        </w:rPr>
        <w:t xml:space="preserve"> </w:t>
      </w:r>
      <w:r w:rsidR="004E4763" w:rsidRPr="008D5F7E">
        <w:rPr>
          <w:rFonts w:ascii="Calibri" w:hAnsi="Calibri"/>
          <w:shd w:val="clear" w:color="auto" w:fill="FFFFFF"/>
        </w:rPr>
        <w:t>increased</w:t>
      </w:r>
      <w:r w:rsidRPr="008D5F7E">
        <w:rPr>
          <w:rFonts w:ascii="Calibri" w:hAnsi="Calibri"/>
          <w:shd w:val="clear" w:color="auto" w:fill="FFFFFF"/>
        </w:rPr>
        <w:t xml:space="preserve"> odds of erectile difficulties (OR=1.41, 95% CI 0.97-2.04, </w:t>
      </w:r>
      <w:r w:rsidRPr="008D5F7E">
        <w:rPr>
          <w:rFonts w:ascii="Calibri" w:hAnsi="Calibri"/>
          <w:i/>
          <w:shd w:val="clear" w:color="auto" w:fill="FFFFFF"/>
        </w:rPr>
        <w:t>p</w:t>
      </w:r>
      <w:r w:rsidRPr="008D5F7E">
        <w:rPr>
          <w:rFonts w:ascii="Calibri" w:hAnsi="Calibri"/>
          <w:shd w:val="clear" w:color="auto" w:fill="FFFFFF"/>
        </w:rPr>
        <w:t>=0.071).</w:t>
      </w:r>
    </w:p>
    <w:p w14:paraId="2F8BF08D" w14:textId="77777777" w:rsidR="00793C9D" w:rsidRPr="008D5F7E" w:rsidRDefault="00793C9D" w:rsidP="00793C9D">
      <w:pPr>
        <w:pStyle w:val="Heading2"/>
      </w:pPr>
      <w:r w:rsidRPr="008D5F7E">
        <w:t>Discussion</w:t>
      </w:r>
    </w:p>
    <w:p w14:paraId="26981FAD" w14:textId="67E1A0FB" w:rsidR="00464C27" w:rsidRPr="008D5F7E" w:rsidRDefault="00DC4D11" w:rsidP="000B4569">
      <w:pPr>
        <w:spacing w:after="160"/>
        <w:rPr>
          <w:rFonts w:ascii="Calibri" w:hAnsi="Calibri"/>
          <w:shd w:val="clear" w:color="auto" w:fill="FFFFFF"/>
        </w:rPr>
      </w:pPr>
      <w:r w:rsidRPr="008D5F7E">
        <w:t>In this large</w:t>
      </w:r>
      <w:r w:rsidR="0086530A" w:rsidRPr="008D5F7E">
        <w:t>,</w:t>
      </w:r>
      <w:r w:rsidRPr="008D5F7E">
        <w:t xml:space="preserve"> representative sample of older English adults</w:t>
      </w:r>
      <w:r w:rsidR="0086530A" w:rsidRPr="008D5F7E">
        <w:t>,</w:t>
      </w:r>
      <w:r w:rsidRPr="008D5F7E">
        <w:t xml:space="preserve"> </w:t>
      </w:r>
      <w:r w:rsidR="0086530A" w:rsidRPr="008D5F7E">
        <w:rPr>
          <w:rFonts w:ascii="Calibri" w:hAnsi="Calibri"/>
          <w:shd w:val="clear" w:color="auto" w:fill="FFFFFF"/>
        </w:rPr>
        <w:t>we found evidence that reduced</w:t>
      </w:r>
      <w:r w:rsidRPr="008D5F7E">
        <w:rPr>
          <w:rFonts w:ascii="Calibri" w:hAnsi="Calibri"/>
          <w:shd w:val="clear" w:color="auto" w:fill="FFFFFF"/>
        </w:rPr>
        <w:t xml:space="preserve"> sleep quality </w:t>
      </w:r>
      <w:r w:rsidR="0086530A" w:rsidRPr="008D5F7E">
        <w:rPr>
          <w:rFonts w:ascii="Calibri" w:hAnsi="Calibri"/>
          <w:shd w:val="clear" w:color="auto" w:fill="FFFFFF"/>
        </w:rPr>
        <w:t xml:space="preserve">was </w:t>
      </w:r>
      <w:r w:rsidRPr="008D5F7E">
        <w:rPr>
          <w:rFonts w:ascii="Calibri" w:hAnsi="Calibri"/>
          <w:shd w:val="clear" w:color="auto" w:fill="FFFFFF"/>
        </w:rPr>
        <w:t>associated with increased odds of arousal problems</w:t>
      </w:r>
      <w:r w:rsidR="0086530A" w:rsidRPr="008D5F7E">
        <w:rPr>
          <w:rFonts w:ascii="Calibri" w:hAnsi="Calibri"/>
          <w:shd w:val="clear" w:color="auto" w:fill="FFFFFF"/>
        </w:rPr>
        <w:t xml:space="preserve"> and difficulty reaching orgasm in women, and </w:t>
      </w:r>
      <w:r w:rsidR="00464C27" w:rsidRPr="008D5F7E">
        <w:rPr>
          <w:rFonts w:ascii="Calibri" w:hAnsi="Calibri"/>
          <w:shd w:val="clear" w:color="auto" w:fill="FFFFFF"/>
        </w:rPr>
        <w:t xml:space="preserve">erectile difficulties </w:t>
      </w:r>
      <w:r w:rsidR="0086530A" w:rsidRPr="008D5F7E">
        <w:rPr>
          <w:rFonts w:ascii="Calibri" w:hAnsi="Calibri"/>
          <w:shd w:val="clear" w:color="auto" w:fill="FFFFFF"/>
        </w:rPr>
        <w:t>in men</w:t>
      </w:r>
      <w:r w:rsidR="00464C27" w:rsidRPr="008D5F7E">
        <w:rPr>
          <w:b/>
        </w:rPr>
        <w:t xml:space="preserve">. </w:t>
      </w:r>
      <w:r w:rsidR="00464C27" w:rsidRPr="008D5F7E">
        <w:rPr>
          <w:rFonts w:ascii="Calibri" w:hAnsi="Calibri"/>
          <w:shd w:val="clear" w:color="auto" w:fill="FFFFFF"/>
        </w:rPr>
        <w:t>No significant associations between sleep duration and problems with sexual function were observed in women. However, in men, long sleep was associated with significantly higher odds of difficulty achieving orgasm relative to optimal sleep duration, and there was a borderline significant association between long sleep and increased odds of erectile difficulties. Taken together</w:t>
      </w:r>
      <w:r w:rsidR="0086530A" w:rsidRPr="008D5F7E">
        <w:rPr>
          <w:rFonts w:ascii="Calibri" w:hAnsi="Calibri"/>
          <w:shd w:val="clear" w:color="auto" w:fill="FFFFFF"/>
        </w:rPr>
        <w:t>,</w:t>
      </w:r>
      <w:r w:rsidR="00464C27" w:rsidRPr="008D5F7E">
        <w:rPr>
          <w:rFonts w:ascii="Calibri" w:hAnsi="Calibri"/>
          <w:shd w:val="clear" w:color="auto" w:fill="FFFFFF"/>
        </w:rPr>
        <w:t xml:space="preserve"> these results suggest that sleep problems </w:t>
      </w:r>
      <w:r w:rsidR="0086530A" w:rsidRPr="008D5F7E">
        <w:rPr>
          <w:rFonts w:ascii="Calibri" w:hAnsi="Calibri"/>
          <w:shd w:val="clear" w:color="auto" w:fill="FFFFFF"/>
        </w:rPr>
        <w:t xml:space="preserve">may be </w:t>
      </w:r>
      <w:r w:rsidR="00464C27" w:rsidRPr="008D5F7E">
        <w:rPr>
          <w:rFonts w:ascii="Calibri" w:hAnsi="Calibri"/>
          <w:shd w:val="clear" w:color="auto" w:fill="FFFFFF"/>
        </w:rPr>
        <w:t>associated with sexual dysfunction</w:t>
      </w:r>
      <w:r w:rsidR="00E05045" w:rsidRPr="008D5F7E">
        <w:rPr>
          <w:rFonts w:ascii="Calibri" w:hAnsi="Calibri"/>
          <w:shd w:val="clear" w:color="auto" w:fill="FFFFFF"/>
        </w:rPr>
        <w:t xml:space="preserve"> in older English adults</w:t>
      </w:r>
      <w:r w:rsidR="00464C27" w:rsidRPr="008D5F7E">
        <w:rPr>
          <w:rFonts w:ascii="Calibri" w:hAnsi="Calibri"/>
          <w:shd w:val="clear" w:color="auto" w:fill="FFFFFF"/>
        </w:rPr>
        <w:t xml:space="preserve">. </w:t>
      </w:r>
    </w:p>
    <w:p w14:paraId="3503EA25" w14:textId="510498D2" w:rsidR="003D34BC" w:rsidRPr="008D5F7E" w:rsidRDefault="00464C27" w:rsidP="000B4569">
      <w:pPr>
        <w:spacing w:after="160"/>
        <w:jc w:val="both"/>
        <w:rPr>
          <w:rFonts w:ascii="Calibri" w:hAnsi="Calibri"/>
          <w:shd w:val="clear" w:color="auto" w:fill="FFFFFF"/>
        </w:rPr>
      </w:pPr>
      <w:r w:rsidRPr="008D5F7E">
        <w:rPr>
          <w:rFonts w:ascii="Calibri" w:hAnsi="Calibri"/>
          <w:shd w:val="clear" w:color="auto" w:fill="FFFFFF"/>
        </w:rPr>
        <w:lastRenderedPageBreak/>
        <w:t xml:space="preserve">These findings </w:t>
      </w:r>
      <w:r w:rsidR="003F6F97" w:rsidRPr="008D5F7E">
        <w:rPr>
          <w:rFonts w:ascii="Calibri" w:hAnsi="Calibri"/>
          <w:shd w:val="clear" w:color="auto" w:fill="FFFFFF"/>
        </w:rPr>
        <w:t>extend the existing</w:t>
      </w:r>
      <w:r w:rsidRPr="008D5F7E">
        <w:rPr>
          <w:rFonts w:ascii="Calibri" w:hAnsi="Calibri"/>
          <w:shd w:val="clear" w:color="auto" w:fill="FFFFFF"/>
        </w:rPr>
        <w:t xml:space="preserve"> literature</w:t>
      </w:r>
      <w:r w:rsidR="003F6F97" w:rsidRPr="008D5F7E">
        <w:rPr>
          <w:rFonts w:ascii="Calibri" w:hAnsi="Calibri"/>
          <w:shd w:val="clear" w:color="auto" w:fill="FFFFFF"/>
        </w:rPr>
        <w:t xml:space="preserve"> relating poor sleep quality</w:t>
      </w:r>
      <w:r w:rsidR="0006581F" w:rsidRPr="008D5F7E">
        <w:rPr>
          <w:rFonts w:ascii="Calibri" w:hAnsi="Calibri"/>
          <w:shd w:val="clear" w:color="auto" w:fill="FFFFFF"/>
        </w:rPr>
        <w:t xml:space="preserve"> and sleep conditions (i.e. sleep </w:t>
      </w:r>
      <w:proofErr w:type="spellStart"/>
      <w:r w:rsidR="0006581F" w:rsidRPr="008D5F7E">
        <w:rPr>
          <w:rFonts w:ascii="Calibri" w:hAnsi="Calibri"/>
          <w:shd w:val="clear" w:color="auto" w:fill="FFFFFF"/>
        </w:rPr>
        <w:t>apnea</w:t>
      </w:r>
      <w:proofErr w:type="spellEnd"/>
      <w:r w:rsidR="0006581F" w:rsidRPr="008D5F7E">
        <w:rPr>
          <w:rFonts w:ascii="Calibri" w:hAnsi="Calibri"/>
          <w:shd w:val="clear" w:color="auto" w:fill="FFFFFF"/>
        </w:rPr>
        <w:t>)</w:t>
      </w:r>
      <w:r w:rsidR="003F6F97" w:rsidRPr="008D5F7E">
        <w:rPr>
          <w:rFonts w:ascii="Calibri" w:hAnsi="Calibri"/>
          <w:shd w:val="clear" w:color="auto" w:fill="FFFFFF"/>
        </w:rPr>
        <w:t xml:space="preserve"> to greater sexual dysfunction.</w:t>
      </w:r>
      <w:r w:rsidRPr="008D5F7E">
        <w:rPr>
          <w:rFonts w:ascii="Calibri" w:hAnsi="Calibri"/>
          <w:shd w:val="clear" w:color="auto" w:fill="FFFFFF"/>
        </w:rPr>
        <w:t xml:space="preserve"> </w:t>
      </w:r>
      <w:r w:rsidR="003D34BC" w:rsidRPr="008D5F7E">
        <w:rPr>
          <w:rFonts w:ascii="Calibri" w:hAnsi="Calibri"/>
          <w:shd w:val="clear" w:color="auto" w:fill="FFFFFF"/>
        </w:rPr>
        <w:t xml:space="preserve">Our </w:t>
      </w:r>
      <w:r w:rsidR="00307AEB" w:rsidRPr="008D5F7E">
        <w:rPr>
          <w:rFonts w:ascii="Calibri" w:hAnsi="Calibri"/>
          <w:shd w:val="clear" w:color="auto" w:fill="FFFFFF"/>
        </w:rPr>
        <w:t xml:space="preserve">results indicate </w:t>
      </w:r>
      <w:r w:rsidR="003D34BC" w:rsidRPr="008D5F7E">
        <w:rPr>
          <w:rFonts w:ascii="Calibri" w:hAnsi="Calibri"/>
          <w:shd w:val="clear" w:color="auto" w:fill="FFFFFF"/>
        </w:rPr>
        <w:t xml:space="preserve">that the relationship between sleep problems and sexual dysfunction is not </w:t>
      </w:r>
      <w:r w:rsidR="00307AEB" w:rsidRPr="008D5F7E">
        <w:rPr>
          <w:rFonts w:ascii="Calibri" w:hAnsi="Calibri"/>
          <w:shd w:val="clear" w:color="auto" w:fill="FFFFFF"/>
        </w:rPr>
        <w:t xml:space="preserve">as </w:t>
      </w:r>
      <w:r w:rsidR="003D34BC" w:rsidRPr="008D5F7E">
        <w:rPr>
          <w:rFonts w:ascii="Calibri" w:hAnsi="Calibri"/>
          <w:shd w:val="clear" w:color="auto" w:fill="FFFFFF"/>
        </w:rPr>
        <w:t>simplistic as previously suggested</w:t>
      </w:r>
      <w:r w:rsidR="00E05045" w:rsidRPr="008D5F7E">
        <w:rPr>
          <w:rFonts w:ascii="Calibri" w:hAnsi="Calibri"/>
          <w:shd w:val="clear" w:color="auto" w:fill="FFFFFF"/>
        </w:rPr>
        <w:t xml:space="preserve"> (poorer quality sleep = greater dysfunction) </w:t>
      </w:r>
      <w:r w:rsidR="00C15F22" w:rsidRPr="008D5F7E">
        <w:rPr>
          <w:rFonts w:ascii="Calibri" w:hAnsi="Calibri"/>
          <w:shd w:val="clear" w:color="auto" w:fill="FFFFFF"/>
        </w:rPr>
        <w:fldChar w:fldCharType="begin"/>
      </w:r>
      <w:r w:rsidR="003D26E3" w:rsidRPr="008D5F7E">
        <w:rPr>
          <w:rFonts w:ascii="Calibri" w:hAnsi="Calibri"/>
          <w:shd w:val="clear" w:color="auto" w:fill="FFFFFF"/>
        </w:rPr>
        <w:instrText xml:space="preserve"> ADDIN ZOTERO_ITEM CSL_CITATION {"citationID":"cw7unZYP","properties":{"formattedCitation":"(17)","plainCitation":"(17)","noteIndex":0},"citationItems":[{"id":5104,"uris":["http://zotero.org/users/446899/items/W5849PU4"],"uri":["http://zotero.org/users/446899/items/W5849PU4"],"itemData":{"id":5104,"type":"article-journal","title":"Health-Related Lifestyle Factors and Sexual Functioning and Behavior in Older Adults","container-title":"International Journal of Sexual Health","page":"273-277","volume":"29","issue":"3","source":"Taylor and Francis+NEJM","abstract":"This study explored associations between health-related lifestyle factors and sexual functioning and behavior in 6,916 adults aged 50 and over. Results showed that an active lifestyle was associated with a higher sex drive, more sexual activity, and lower levels of sexual dysfunction (with stronger associations among men). Poor sleep was associated with less sexual activity, higher levels of sexual dissatisfaction, and higher levels of sexual dysfunction. A healthier diet and a higher alcohol intake were associated with more sexual activity and a higher sex drive. Taken together, these findings demonstrate that health-related lifestyle factors are important for sexual functioning and behavior in older adulthood.","DOI":"10.1080/19317611.2017.1307301","ISSN":"1931-7611","author":[{"family":"Allen","given":"Mark S."},{"family":"Desille","given":"Annelil E."}],"issued":{"date-parts":[["2017",7,3]]}}}],"schema":"https://github.com/citation-style-language/schema/raw/master/csl-citation.json"} </w:instrText>
      </w:r>
      <w:r w:rsidR="00C15F22" w:rsidRPr="008D5F7E">
        <w:rPr>
          <w:rFonts w:ascii="Calibri" w:hAnsi="Calibri"/>
          <w:shd w:val="clear" w:color="auto" w:fill="FFFFFF"/>
        </w:rPr>
        <w:fldChar w:fldCharType="separate"/>
      </w:r>
      <w:r w:rsidR="003D26E3" w:rsidRPr="008D5F7E">
        <w:rPr>
          <w:rFonts w:ascii="Calibri" w:hAnsi="Calibri" w:cs="Calibri"/>
        </w:rPr>
        <w:t>(17)</w:t>
      </w:r>
      <w:r w:rsidR="00C15F22" w:rsidRPr="008D5F7E">
        <w:rPr>
          <w:rFonts w:ascii="Calibri" w:hAnsi="Calibri"/>
          <w:shd w:val="clear" w:color="auto" w:fill="FFFFFF"/>
        </w:rPr>
        <w:fldChar w:fldCharType="end"/>
      </w:r>
      <w:r w:rsidR="00C15F22" w:rsidRPr="008D5F7E">
        <w:rPr>
          <w:rFonts w:ascii="Calibri" w:hAnsi="Calibri"/>
          <w:shd w:val="clear" w:color="auto" w:fill="FFFFFF"/>
        </w:rPr>
        <w:t xml:space="preserve">. </w:t>
      </w:r>
      <w:r w:rsidR="00307AEB" w:rsidRPr="008D5F7E">
        <w:rPr>
          <w:rFonts w:ascii="Calibri" w:hAnsi="Calibri"/>
          <w:shd w:val="clear" w:color="auto" w:fill="FFFFFF"/>
        </w:rPr>
        <w:t>Rather, when important potential confounding variables (e.g. depressive symptoms, chronic illness) are included in the statistical models and various indices of sleep are considered, t</w:t>
      </w:r>
      <w:r w:rsidR="003D34BC" w:rsidRPr="008D5F7E">
        <w:rPr>
          <w:rFonts w:ascii="Calibri" w:hAnsi="Calibri"/>
          <w:shd w:val="clear" w:color="auto" w:fill="FFFFFF"/>
        </w:rPr>
        <w:t>he relationship between sleep problems and sexual dysfunction is complex</w:t>
      </w:r>
      <w:r w:rsidR="00307AEB" w:rsidRPr="008D5F7E">
        <w:rPr>
          <w:rFonts w:ascii="Calibri" w:hAnsi="Calibri"/>
          <w:shd w:val="clear" w:color="auto" w:fill="FFFFFF"/>
        </w:rPr>
        <w:t>,</w:t>
      </w:r>
      <w:r w:rsidR="003D34BC" w:rsidRPr="008D5F7E">
        <w:rPr>
          <w:rFonts w:ascii="Calibri" w:hAnsi="Calibri"/>
          <w:shd w:val="clear" w:color="auto" w:fill="FFFFFF"/>
        </w:rPr>
        <w:t xml:space="preserve"> </w:t>
      </w:r>
      <w:r w:rsidR="00307AEB" w:rsidRPr="008D5F7E">
        <w:rPr>
          <w:rFonts w:ascii="Calibri" w:hAnsi="Calibri"/>
          <w:shd w:val="clear" w:color="auto" w:fill="FFFFFF"/>
        </w:rPr>
        <w:t>and differs according to gender, the</w:t>
      </w:r>
      <w:r w:rsidR="003D34BC" w:rsidRPr="008D5F7E">
        <w:rPr>
          <w:rFonts w:ascii="Calibri" w:hAnsi="Calibri"/>
          <w:shd w:val="clear" w:color="auto" w:fill="FFFFFF"/>
        </w:rPr>
        <w:t xml:space="preserve"> type of sleep problem (quality, duration)</w:t>
      </w:r>
      <w:r w:rsidR="00307AEB" w:rsidRPr="008D5F7E">
        <w:rPr>
          <w:rFonts w:ascii="Calibri" w:hAnsi="Calibri"/>
          <w:shd w:val="clear" w:color="auto" w:fill="FFFFFF"/>
        </w:rPr>
        <w:t>,</w:t>
      </w:r>
      <w:r w:rsidR="003D34BC" w:rsidRPr="008D5F7E">
        <w:rPr>
          <w:rFonts w:ascii="Calibri" w:hAnsi="Calibri"/>
          <w:shd w:val="clear" w:color="auto" w:fill="FFFFFF"/>
        </w:rPr>
        <w:t xml:space="preserve"> and type of </w:t>
      </w:r>
      <w:r w:rsidR="00307AEB" w:rsidRPr="008D5F7E">
        <w:rPr>
          <w:rFonts w:ascii="Calibri" w:hAnsi="Calibri"/>
          <w:shd w:val="clear" w:color="auto" w:fill="FFFFFF"/>
        </w:rPr>
        <w:t>sexual problem</w:t>
      </w:r>
      <w:r w:rsidR="003D34BC" w:rsidRPr="008D5F7E">
        <w:rPr>
          <w:rFonts w:ascii="Calibri" w:hAnsi="Calibri"/>
          <w:shd w:val="clear" w:color="auto" w:fill="FFFFFF"/>
        </w:rPr>
        <w:t xml:space="preserve">.  </w:t>
      </w:r>
    </w:p>
    <w:p w14:paraId="723A4D0E" w14:textId="3DF4AFC8" w:rsidR="00905160" w:rsidRPr="008D5F7E" w:rsidRDefault="006D6AAB" w:rsidP="000B4569">
      <w:pPr>
        <w:spacing w:after="160"/>
        <w:rPr>
          <w:rFonts w:ascii="Calibri" w:hAnsi="Calibri"/>
        </w:rPr>
      </w:pPr>
      <w:proofErr w:type="gramStart"/>
      <w:r w:rsidRPr="008D5F7E">
        <w:t>On the whole</w:t>
      </w:r>
      <w:proofErr w:type="gramEnd"/>
      <w:r w:rsidRPr="008D5F7E">
        <w:t xml:space="preserve">, our </w:t>
      </w:r>
      <w:r w:rsidR="00724708" w:rsidRPr="008D5F7E">
        <w:t>results</w:t>
      </w:r>
      <w:r w:rsidR="003D34BC" w:rsidRPr="008D5F7E">
        <w:t xml:space="preserve"> suggest that poorer sleep quality is associated with increased odds of sexual dysfunction in </w:t>
      </w:r>
      <w:r w:rsidR="00724708" w:rsidRPr="008D5F7E">
        <w:t xml:space="preserve">both </w:t>
      </w:r>
      <w:r w:rsidR="003D34BC" w:rsidRPr="008D5F7E">
        <w:t xml:space="preserve">men and women. </w:t>
      </w:r>
      <w:r w:rsidR="00BF798D" w:rsidRPr="008D5F7E">
        <w:t>On</w:t>
      </w:r>
      <w:r w:rsidR="00FD5652" w:rsidRPr="008D5F7E">
        <w:t>e</w:t>
      </w:r>
      <w:r w:rsidR="00BF798D" w:rsidRPr="008D5F7E">
        <w:t xml:space="preserve"> plausible explanation may be that </w:t>
      </w:r>
      <w:r w:rsidR="003D1C3B" w:rsidRPr="008D5F7E">
        <w:t xml:space="preserve">poor sleep and sexual problems are being driven by a common cause, such as </w:t>
      </w:r>
      <w:r w:rsidR="00BF798D" w:rsidRPr="008D5F7E">
        <w:t>cardiovascular disease</w:t>
      </w:r>
      <w:r w:rsidR="007D5EED" w:rsidRPr="008D5F7E">
        <w:t xml:space="preserve"> or depression</w:t>
      </w:r>
      <w:r w:rsidR="00BF798D" w:rsidRPr="008D5F7E">
        <w:t>. Indeed, cardiovascular disease</w:t>
      </w:r>
      <w:r w:rsidR="007D5EED" w:rsidRPr="008D5F7E">
        <w:t xml:space="preserve"> and depression</w:t>
      </w:r>
      <w:r w:rsidR="00BF798D" w:rsidRPr="008D5F7E">
        <w:t xml:space="preserve"> and </w:t>
      </w:r>
      <w:r w:rsidR="007D5EED" w:rsidRPr="008D5F7E">
        <w:t>their</w:t>
      </w:r>
      <w:r w:rsidR="003D1C3B" w:rsidRPr="008D5F7E">
        <w:t xml:space="preserve"> associated </w:t>
      </w:r>
      <w:r w:rsidR="00BF798D" w:rsidRPr="008D5F7E">
        <w:t>risk factors</w:t>
      </w:r>
      <w:r w:rsidR="00BB252B" w:rsidRPr="008D5F7E">
        <w:t xml:space="preserve">, such as </w:t>
      </w:r>
      <w:r w:rsidR="00BF798D" w:rsidRPr="008D5F7E">
        <w:t xml:space="preserve"> </w:t>
      </w:r>
      <w:r w:rsidR="007D5EED" w:rsidRPr="008D5F7E">
        <w:t>hypertension-lowering drugs or antidepressants</w:t>
      </w:r>
      <w:r w:rsidR="00BB252B" w:rsidRPr="008D5F7E">
        <w:t>,</w:t>
      </w:r>
      <w:r w:rsidR="007D5EED" w:rsidRPr="008D5F7E">
        <w:t xml:space="preserve"> </w:t>
      </w:r>
      <w:r w:rsidR="00BF798D" w:rsidRPr="008D5F7E">
        <w:t>have been shown to be associated with sleep problems</w:t>
      </w:r>
      <w:r w:rsidR="00FC0625" w:rsidRPr="008D5F7E">
        <w:t xml:space="preserve"> and also sexual dysfunction, specifically erectile dysfunction</w:t>
      </w:r>
      <w:r w:rsidR="00BF798D" w:rsidRPr="008D5F7E">
        <w:t xml:space="preserve"> </w:t>
      </w:r>
      <w:r w:rsidR="00C15F22" w:rsidRPr="008D5F7E">
        <w:fldChar w:fldCharType="begin"/>
      </w:r>
      <w:r w:rsidR="002E44C0" w:rsidRPr="008D5F7E">
        <w:instrText xml:space="preserve"> ADDIN ZOTERO_ITEM CSL_CITATION {"citationID":"tECEGcRg","properties":{"formattedCitation":"(12)","plainCitation":"(12)","noteIndex":0},"citationItems":[{"id":5115,"uris":["http://zotero.org/users/446899/items/6HQ9EHWI"],"uri":["http://zotero.org/users/446899/items/6HQ9EHWI"],"itemData":{"id":5115,"type":"article-journal","title":"The association between insomnia symptoms and risk of cardio-cerebral vascular events: A meta-analysis of prospective cohort studies","container-title":"European Journal of Preventive Cardiology","page":"1071-1082","volume":"24","issue":"10","source":"SAGE Journals","abstract":"BackgroundInsomnia symptoms have been suggested to be associated with the risk of cardio-cerebral events. However, the results of previous studies have been inconsistent. Therefore, we conducted a meta-analysis to examine whether there were associations between cardio-cerebral vascular events and insomnia symptoms, including difficulty initiating sleep, difficulty maintaining sleep, early-morning awakening or non-restorative sleep.DesignA meta-analysis of prospective cohort studies.MethodsPubMed, Web of science and the Cochrane Library were searched without language restriction. Prospective cohort studies of adults with at least a 2-year follow-up duration were included. Random effect models were used in order to pool the results for each insomnia symptom. Subgroup and sensitivity analyses were conducted in order to assess potential heterogeneity, and funnel plots and Egger?s tests were used in order to assess publication bias.ResultsFifteen studies (23 cohorts) were included. Positive associations were observed between difficulty initiating sleep, difficulty maintaining sleep and non-restorative sleep with risk of cardio-cerebral vascular events. The pooled relative risks and 95% confidence intervals were 1.27 (1.15?1.40), 1.11 (1.04?1.19) and 1.18 (1.05?1.33), respectively. However, less evidence existed to support the conclusions about the association between early-morning awakening and cardio-cerebral vascular events.ConclusionOur meta-analysis demonstrated that insomnia symptoms of difficulty initiating sleep, difficulty maintaining sleep and non-restorative sleep were associated with an increased risk of future cardio-cerebral vascular events.","DOI":"10.1177/2047487317702043","ISSN":"2047-4873","shortTitle":"The association between insomnia symptoms and risk of cardio-cerebral vascular events","journalAbbreviation":"Eur J Prev Cardiolog","language":"en","author":[{"family":"He","given":"Qiao"},{"family":"Zhang","given":"Peng"},{"family":"Li","given":"Guangxiao"},{"family":"Dai","given":"Huixu"},{"family":"Shi","given":"Jingpu"}],"issued":{"date-parts":[["2017",7,1]]}}}],"schema":"https://github.com/citation-style-language/schema/raw/master/csl-citation.json"} </w:instrText>
      </w:r>
      <w:r w:rsidR="00C15F22" w:rsidRPr="008D5F7E">
        <w:fldChar w:fldCharType="separate"/>
      </w:r>
      <w:r w:rsidR="002E44C0" w:rsidRPr="008D5F7E">
        <w:rPr>
          <w:rFonts w:ascii="Calibri" w:hAnsi="Calibri" w:cs="Calibri"/>
        </w:rPr>
        <w:t>(12)</w:t>
      </w:r>
      <w:r w:rsidR="00C15F22" w:rsidRPr="008D5F7E">
        <w:fldChar w:fldCharType="end"/>
      </w:r>
      <w:r w:rsidR="00BF798D" w:rsidRPr="008D5F7E">
        <w:t>. I</w:t>
      </w:r>
      <w:r w:rsidR="00BF798D" w:rsidRPr="008D5F7E">
        <w:rPr>
          <w:rFonts w:ascii="Calibri" w:hAnsi="Calibri"/>
        </w:rPr>
        <w:t>n women</w:t>
      </w:r>
      <w:r w:rsidR="009F7FB1" w:rsidRPr="008D5F7E">
        <w:rPr>
          <w:rFonts w:ascii="Calibri" w:hAnsi="Calibri"/>
        </w:rPr>
        <w:t>,</w:t>
      </w:r>
      <w:r w:rsidR="00BF798D" w:rsidRPr="008D5F7E">
        <w:rPr>
          <w:rFonts w:ascii="Calibri" w:hAnsi="Calibri"/>
        </w:rPr>
        <w:t xml:space="preserve"> the first sign of sexual arousal is an increase in th</w:t>
      </w:r>
      <w:r w:rsidR="000B4569" w:rsidRPr="008D5F7E">
        <w:rPr>
          <w:rFonts w:ascii="Calibri" w:hAnsi="Calibri"/>
        </w:rPr>
        <w:t>e blood flow to the vaginal wall</w:t>
      </w:r>
      <w:r w:rsidR="00C15F22" w:rsidRPr="008D5F7E">
        <w:rPr>
          <w:rFonts w:ascii="Calibri" w:hAnsi="Calibri"/>
        </w:rPr>
        <w:t xml:space="preserve"> </w:t>
      </w:r>
      <w:r w:rsidR="00C15F22" w:rsidRPr="008D5F7E">
        <w:rPr>
          <w:rFonts w:ascii="Calibri" w:hAnsi="Calibri"/>
        </w:rPr>
        <w:fldChar w:fldCharType="begin"/>
      </w:r>
      <w:r w:rsidR="003D26E3" w:rsidRPr="008D5F7E">
        <w:rPr>
          <w:rFonts w:ascii="Calibri" w:hAnsi="Calibri"/>
        </w:rPr>
        <w:instrText xml:space="preserve"> ADDIN ZOTERO_ITEM CSL_CITATION {"citationID":"T7Kc3NZE","properties":{"formattedCitation":"(25)","plainCitation":"(25)","noteIndex":0},"citationItems":[{"id":5148,"uris":["http://zotero.org/users/446899/items/FXZGCBTQ"],"uri":["http://zotero.org/users/446899/items/FXZGCBTQ"],"itemData":{"id":5148,"type":"article-journal","title":"VIP, vagina, clitoral and periurethral glans--an update on human female genital arousal","container-title":"Experimental and Clinical Endocrinology","page":"61-69","volume":"98","issue":"2","source":"PubMed","abstract":"The sexually quiescent human vagina is a just moist, potential space with a minimal blood flow and very low luminal oxygen tension. The first measurable sign of sexual arousal is an increase in the blood flow. This creates the engorged condition, elevates the luminal oxygen tension and stimulates the production of surface vaginal fluid by an increased plasma transudation that saturates the fluid reabsorptive capacity of the epithelium. The vaginal lubrication created allows painless penile penetration and coital movements. The mechanisms underlying the changes appear to be mediated by Vasoactive Intestinal Peptide (VIP). VIP is present in nerves closely applied to blood vessels in the vaginal wall. Administration of VIP either intravenously, or by subepithelial injection in the vaginal wall, increases vaginal blood flow and induces vaginal fluid production. Increases in vaginal blood flow by sexual arousal are not blocked by atropine injection indicating that cholinergic mechanisms are unimportant. All the present evidence suggests that the local vaginal release of VIP induces the vaginal changes of arousal. Discourse on vaginal and pudendal anatomy (Sevely, 1987) has proposed that the female glans of the clitoris is not the true homologue of the penile glans because it has no urethral opening. The speculative suggestion is that the true female glans is the area surrounding the urethral opening (which has no specific anatomical name). Preliminary studies indicate that the area of this tissue (periurethral glans) decreases on vaginal penile insertion and reappears on withdrawal indicating that it is moved during coitus. How important such movement is to stimulate erotic sensation and how sensitive this area is to erotic stimulation are unanswered questions.","DOI":"10.1055/s-0029-1211102","ISSN":"0232-7384","note":"PMID: 1778234","journalAbbreviation":"Exp. Clin. Endocrinol.","language":"eng","author":[{"family":"Levin","given":"R. J."}],"issued":{"date-parts":[["1991"]]}}}],"schema":"https://github.com/citation-style-language/schema/raw/master/csl-citation.json"} </w:instrText>
      </w:r>
      <w:r w:rsidR="00C15F22" w:rsidRPr="008D5F7E">
        <w:rPr>
          <w:rFonts w:ascii="Calibri" w:hAnsi="Calibri"/>
        </w:rPr>
        <w:fldChar w:fldCharType="separate"/>
      </w:r>
      <w:r w:rsidR="003D26E3" w:rsidRPr="008D5F7E">
        <w:rPr>
          <w:rFonts w:ascii="Calibri" w:hAnsi="Calibri" w:cs="Calibri"/>
        </w:rPr>
        <w:t>(25)</w:t>
      </w:r>
      <w:r w:rsidR="00C15F22" w:rsidRPr="008D5F7E">
        <w:rPr>
          <w:rFonts w:ascii="Calibri" w:hAnsi="Calibri"/>
        </w:rPr>
        <w:fldChar w:fldCharType="end"/>
      </w:r>
      <w:r w:rsidR="00C15F22" w:rsidRPr="008D5F7E">
        <w:rPr>
          <w:rFonts w:ascii="Calibri" w:hAnsi="Calibri"/>
        </w:rPr>
        <w:t xml:space="preserve">. </w:t>
      </w:r>
      <w:r w:rsidR="00BF798D" w:rsidRPr="008D5F7E">
        <w:rPr>
          <w:rFonts w:ascii="Calibri" w:hAnsi="Calibri"/>
        </w:rPr>
        <w:t xml:space="preserve">Diminished pelvic blood flow secondary to atherosclerotic disease leads to vaginal wall and clitoral smooth muscle fibrosis. This can ultimately result in symptoms of </w:t>
      </w:r>
      <w:r w:rsidR="000B4569" w:rsidRPr="008D5F7E">
        <w:rPr>
          <w:rFonts w:ascii="Calibri" w:hAnsi="Calibri"/>
        </w:rPr>
        <w:t>vaginal dryness and dyspareunia</w:t>
      </w:r>
      <w:r w:rsidR="00C15F22" w:rsidRPr="008D5F7E">
        <w:rPr>
          <w:rFonts w:ascii="Calibri" w:hAnsi="Calibri"/>
        </w:rPr>
        <w:t xml:space="preserve"> </w:t>
      </w:r>
      <w:r w:rsidR="00C15F22" w:rsidRPr="008D5F7E">
        <w:rPr>
          <w:rStyle w:val="Hyperlink"/>
          <w:rFonts w:ascii="Calibri" w:hAnsi="Calibri"/>
          <w:color w:val="auto"/>
        </w:rPr>
        <w:fldChar w:fldCharType="begin"/>
      </w:r>
      <w:r w:rsidR="003D26E3" w:rsidRPr="008D5F7E">
        <w:rPr>
          <w:rStyle w:val="Hyperlink"/>
          <w:rFonts w:ascii="Calibri" w:hAnsi="Calibri"/>
          <w:color w:val="auto"/>
        </w:rPr>
        <w:instrText xml:space="preserve"> ADDIN ZOTERO_ITEM CSL_CITATION {"citationID":"wcFbCdUM","properties":{"formattedCitation":"(26)","plainCitation":"(26)","noteIndex":0},"citationItems":[{"id":5145,"uris":["http://zotero.org/users/446899/items/BCK6F5GE"],"uri":["http://zotero.org/users/446899/items/BCK6F5GE"],"itemData":{"id":5145,"type":"article-journal","title":"Physiology of female sexual function and dysfunction","container-title":"International Journal of Impotence Research","page":"S44-S51","volume":"17","issue":"S1","source":"www.nature.com","abstract":"Female sexual dysfunction is age-related, progressive, and highly prevalent, affecting 30–50% of American women. While there are emotional and relational elements to female sexual function and response, female sexual dysfunction can occur secondary to medical problems and have an organic basis. This paper addresses anatomy and physiology of normal female sexual function as well as the pathophysiology of female sexual dysfunction. Although the female sexual response is inherently difficult to evaluate in the clinical setting, a variety of instruments have been developed for assessing subjective measures of sexual arousal and function. Objective measurements used in conjunction with the subjective assessment help diagnose potential physiologic/organic abnormalities. Therapeutic options for the treatment of female sexual dysfunction, including hormonal, and pharmacological, are also addressed.","DOI":"10.1038/sj.ijir.3901428","ISSN":"1476-5489","language":"en","author":[{"family":"Berman","given":"J. R."}],"issued":{"date-parts":[["2005",12,20]]}}}],"schema":"https://github.com/citation-style-language/schema/raw/master/csl-citation.json"} </w:instrText>
      </w:r>
      <w:r w:rsidR="00C15F22" w:rsidRPr="008D5F7E">
        <w:rPr>
          <w:rStyle w:val="Hyperlink"/>
          <w:rFonts w:ascii="Calibri" w:hAnsi="Calibri"/>
          <w:color w:val="auto"/>
        </w:rPr>
        <w:fldChar w:fldCharType="separate"/>
      </w:r>
      <w:r w:rsidR="003D26E3" w:rsidRPr="008D5F7E">
        <w:rPr>
          <w:rFonts w:ascii="Calibri" w:hAnsi="Calibri" w:cs="Calibri"/>
        </w:rPr>
        <w:t>(26)</w:t>
      </w:r>
      <w:r w:rsidR="00C15F22" w:rsidRPr="008D5F7E">
        <w:rPr>
          <w:rStyle w:val="Hyperlink"/>
          <w:rFonts w:ascii="Calibri" w:hAnsi="Calibri"/>
          <w:color w:val="auto"/>
        </w:rPr>
        <w:fldChar w:fldCharType="end"/>
      </w:r>
      <w:r w:rsidR="000B4569" w:rsidRPr="008D5F7E">
        <w:rPr>
          <w:rFonts w:ascii="Calibri" w:hAnsi="Calibri"/>
        </w:rPr>
        <w:t xml:space="preserve">, </w:t>
      </w:r>
      <w:r w:rsidR="00BF798D" w:rsidRPr="008D5F7E">
        <w:rPr>
          <w:rFonts w:ascii="Calibri" w:hAnsi="Calibri"/>
        </w:rPr>
        <w:t xml:space="preserve">which may result </w:t>
      </w:r>
      <w:r w:rsidR="00905160" w:rsidRPr="008D5F7E">
        <w:rPr>
          <w:rFonts w:ascii="Calibri" w:hAnsi="Calibri"/>
        </w:rPr>
        <w:t xml:space="preserve">in a decrease in sexual arousal problems and the ability to reach orgasm in women. </w:t>
      </w:r>
    </w:p>
    <w:p w14:paraId="65ECB6F9" w14:textId="1BAC73BB" w:rsidR="005F3F30" w:rsidRPr="008D5F7E" w:rsidRDefault="00905160" w:rsidP="000B4569">
      <w:pPr>
        <w:spacing w:after="160"/>
      </w:pPr>
      <w:r w:rsidRPr="008D5F7E">
        <w:rPr>
          <w:rFonts w:ascii="Calibri" w:hAnsi="Calibri"/>
        </w:rPr>
        <w:t>The finding that</w:t>
      </w:r>
      <w:r w:rsidR="004023D6" w:rsidRPr="008D5F7E">
        <w:rPr>
          <w:rFonts w:ascii="Calibri" w:hAnsi="Calibri"/>
        </w:rPr>
        <w:t xml:space="preserve"> in men,</w:t>
      </w:r>
      <w:r w:rsidRPr="008D5F7E">
        <w:rPr>
          <w:rFonts w:ascii="Calibri" w:hAnsi="Calibri"/>
        </w:rPr>
        <w:t xml:space="preserve"> </w:t>
      </w:r>
      <w:r w:rsidRPr="008D5F7E">
        <w:rPr>
          <w:rFonts w:ascii="Calibri" w:hAnsi="Calibri"/>
          <w:shd w:val="clear" w:color="auto" w:fill="FFFFFF"/>
        </w:rPr>
        <w:t>long sleep was associated with significantly higher odds of orgasm</w:t>
      </w:r>
      <w:r w:rsidR="004023D6" w:rsidRPr="008D5F7E">
        <w:rPr>
          <w:rFonts w:ascii="Calibri" w:hAnsi="Calibri"/>
          <w:shd w:val="clear" w:color="auto" w:fill="FFFFFF"/>
        </w:rPr>
        <w:t>ic difficulties</w:t>
      </w:r>
      <w:r w:rsidRPr="008D5F7E">
        <w:rPr>
          <w:rFonts w:ascii="Calibri" w:hAnsi="Calibri"/>
          <w:shd w:val="clear" w:color="auto" w:fill="FFFFFF"/>
        </w:rPr>
        <w:t xml:space="preserve"> and marginally increased odds of erectile difficulties</w:t>
      </w:r>
      <w:r w:rsidR="004023D6" w:rsidRPr="008D5F7E">
        <w:rPr>
          <w:rFonts w:ascii="Calibri" w:hAnsi="Calibri"/>
          <w:shd w:val="clear" w:color="auto" w:fill="FFFFFF"/>
        </w:rPr>
        <w:t xml:space="preserve"> relative to optimal sleep duration</w:t>
      </w:r>
      <w:r w:rsidRPr="008D5F7E">
        <w:rPr>
          <w:rFonts w:ascii="Calibri" w:hAnsi="Calibri"/>
          <w:shd w:val="clear" w:color="auto" w:fill="FFFFFF"/>
        </w:rPr>
        <w:t xml:space="preserve"> is interesting. </w:t>
      </w:r>
      <w:r w:rsidR="00BD1321" w:rsidRPr="008D5F7E">
        <w:rPr>
          <w:rFonts w:ascii="Calibri" w:hAnsi="Calibri"/>
          <w:shd w:val="clear" w:color="auto" w:fill="FFFFFF"/>
        </w:rPr>
        <w:t xml:space="preserve">Previous studies </w:t>
      </w:r>
      <w:r w:rsidRPr="008D5F7E">
        <w:rPr>
          <w:rFonts w:ascii="Calibri" w:hAnsi="Calibri"/>
          <w:shd w:val="clear" w:color="auto" w:fill="FFFFFF"/>
        </w:rPr>
        <w:t>ha</w:t>
      </w:r>
      <w:r w:rsidR="00BD1321" w:rsidRPr="008D5F7E">
        <w:rPr>
          <w:rFonts w:ascii="Calibri" w:hAnsi="Calibri"/>
          <w:shd w:val="clear" w:color="auto" w:fill="FFFFFF"/>
        </w:rPr>
        <w:t>ve</w:t>
      </w:r>
      <w:r w:rsidRPr="008D5F7E">
        <w:rPr>
          <w:rFonts w:ascii="Calibri" w:hAnsi="Calibri"/>
          <w:shd w:val="clear" w:color="auto" w:fill="FFFFFF"/>
        </w:rPr>
        <w:t xml:space="preserve"> shown that people who </w:t>
      </w:r>
      <w:r w:rsidR="00BD1321" w:rsidRPr="008D5F7E">
        <w:rPr>
          <w:rFonts w:ascii="Calibri" w:hAnsi="Calibri"/>
          <w:shd w:val="clear" w:color="auto" w:fill="FFFFFF"/>
        </w:rPr>
        <w:t>report prolonged sleep duration</w:t>
      </w:r>
      <w:r w:rsidR="00E05045" w:rsidRPr="008D5F7E">
        <w:rPr>
          <w:rFonts w:ascii="Calibri" w:hAnsi="Calibri"/>
          <w:shd w:val="clear" w:color="auto" w:fill="FFFFFF"/>
        </w:rPr>
        <w:t xml:space="preserve"> are at modestly</w:t>
      </w:r>
      <w:r w:rsidRPr="008D5F7E">
        <w:rPr>
          <w:rFonts w:ascii="Calibri" w:hAnsi="Calibri"/>
          <w:shd w:val="clear" w:color="auto" w:fill="FFFFFF"/>
        </w:rPr>
        <w:t xml:space="preserve"> increased risk of all‐cause mortality, cardiovascular disease, and developing symptomatic diabetes</w:t>
      </w:r>
      <w:r w:rsidR="00C15F22" w:rsidRPr="008D5F7E">
        <w:rPr>
          <w:rFonts w:ascii="Calibri" w:hAnsi="Calibri"/>
          <w:shd w:val="clear" w:color="auto" w:fill="FFFFFF"/>
        </w:rPr>
        <w:t xml:space="preserve"> </w:t>
      </w:r>
      <w:r w:rsidR="00C15F22" w:rsidRPr="008D5F7E">
        <w:rPr>
          <w:rFonts w:ascii="Calibri" w:hAnsi="Calibri"/>
          <w:shd w:val="clear" w:color="auto" w:fill="FFFFFF"/>
        </w:rPr>
        <w:fldChar w:fldCharType="begin"/>
      </w:r>
      <w:r w:rsidR="003D26E3" w:rsidRPr="008D5F7E">
        <w:rPr>
          <w:rFonts w:ascii="Calibri" w:hAnsi="Calibri"/>
          <w:shd w:val="clear" w:color="auto" w:fill="FFFFFF"/>
        </w:rPr>
        <w:instrText xml:space="preserve"> ADDIN ZOTERO_ITEM CSL_CITATION {"citationID":"f2JGa9fw","properties":{"formattedCitation":"(27\\uc0\\u8211{}29)","plainCitation":"(27–29)","noteIndex":0},"citationItems":[{"id":5139,"uris":["http://zotero.org/users/446899/items/GLGYRP2Z"],"uri":["http://zotero.org/users/446899/items/GLGYRP2Z"],"itemData":{"id":5139,"type":"article-journal","title":"The Impact of Daily Sleep Duration on Health: A Review of the Literature","container-title":"Progress in Cardiovascular Nursing","page":"56-59","volume":"19","issue":"2","source":"Wiley Online Library","abstract":"A healthy amount of sleep is paramount to leading a healthy and productive lifestyle. Although chronic sleep loss is common in today's society, many people are unaware of the potential adverse health effects of habitual sleep restriction. Under strict experimental conditions, short-term restriction of sleep results in a variety of adverse physiologic effects, including hypertension, activation of the sympathetic nervous system, impairment of glucose control, and increased inflammation. A variety of epidemiologic studies have also suggested an association between self-reported sleep duration and long-term health. Individuals who report both an increased (&gt;8 h/d) or reduced (&lt;7 h/d) sleep duration are at modestly increased risk of all-cause mortality, cardiovascular disease, and developing symptomatic diabetes. Although the data are not definitive, these studies suggest that sleep should not be considered a luxury, but an important component of a healthful lifestyle.","DOI":"10.1111/j.0889-7204.2004.02422.x","ISSN":"1751-7117","shortTitle":"The Impact of Daily Sleep Duration on Health","language":"en","author":[{"family":"Alvarez","given":"Gonzalo G."},{"family":"Ayas","given":"Najib T."}],"issued":{"date-parts":[["2004",3,1]]}}},{"id":5113,"uris":["http://zotero.org/users/446899/items/5LXLLCY5"],"uri":["http://zotero.org/users/446899/items/5LXLLCY5"],"itemData":{"id":5113,"type":"article-journal","title":"Sleep duration and risk of all-cause mortality: A flexible, non-linear, meta-regression of 40 prospective cohort studies","container-title":"Sleep Medicine Reviews","page":"28-36","volume":"32","source":"PubMed","abstract":"Approximately 27-37% of the general population experience prolonged sleep duration and 12-16% report shortened sleep duration. However, prolonged or shortened sleep duration may be associated with serious health problems. A comprehensive, flexible, non-linear meta-regression with restricted cubic spline (RCS) was used to investigate the dose-response relationship between sleep duration and all-cause mortality in adults. Medline (Ovid), Embase, EBSCOhost-PsycINFO, and EBSCOhost-CINAHL Plus databases, reference lists of relevant review articles, and included studies were searched up to Nov. 29, 2015. Prospective cohort studies investigating the association between sleep duration and all-cause mortality in adults with at least three categories of sleep duration were eligible for inclusion. We eventually included in our study 40 cohort studies enrolling 2,200,425 participants with 271,507 deaths. A J-shaped association between sleep duration and all-cause mortality was present: compared with 7 h of sleep (reference for 24-h sleep duration), both shortened and prolonged sleep durations were associated with increased risk of all-cause mortality (4 h: relative risk [RR] = 1.05; 95% confidence interval [CI] = 1.02-1.07; 5 h: RR = 1.06; 95% CI = 1.03-1.09; 6 h: RR = 1.04; 95% CI = 1.03-1.06; 8 h: RR = 1.03; 95% CI = 1.02-1.05; 9 h: RR = 1.13; 95% CI = 1.10-1.16; 10 h: RR = 1.25; 95% CI = 1.22-1.28; 11 h: RR = 1.38; 95% CI = 1.33-1.44; n = 29; P &lt; 0.01 for non-linear test). With regard to the night-sleep duration, prolonged night-sleep duration was associated with increased all-cause mortality (8 h: RR = 1.01; 95% CI = 0.99-1.02; 9 h: RR = 1.08; 95% CI = 1.05-1.11; 10 h: RR = 1.24; 95% CI = 1.21-1.28; n = 13; P &lt; 0.01 for non-linear test). Subgroup analysis showed females with short sleep duration a day (&lt;7 h) were at high risk of all-cause mortality (4 h: RR = 1.07; 95% CI = 1.02-1.13; 5 h: RR = 1.08; 95% CI = 1.03-1.14; 6 h: RR = 1.05; 95% CI = 1.02-1.09), but males were not (4 h: RR = 1.01; 95% CI = 0.96-1.06; 5 h: RR = 1.02; 95% CI = 0.97-1.08; 6 h: RR = 1.02; 95% CI = 0.98-1.06). The current evidence suggests that insufficient or prolonged sleep may increase all-cause mortality. Women may be more susceptible to short sleep duration on all-cause mortality.","DOI":"10.1016/j.smrv.2016.02.005","ISSN":"1532-2955","note":"PMID: 27067616","shortTitle":"Sleep duration and risk of all-cause mortality","journalAbbreviation":"Sleep Med Rev","language":"eng","author":[{"family":"Liu","given":"Tong-Zu"},{"family":"Xu","given":"Chang"},{"family":"Rota","given":"Matteo"},{"family":"Cai","given":"Hui"},{"family":"Zhang","given":"Chao"},{"family":"Shi","given":"Ming-Jun"},{"family":"Yuan","given":"Rui-Xia"},{"family":"Weng","given":"Hong"},{"family":"Meng","given":"Xiang-Yu"},{"family":"Kwong","given":"Joey S. W."},{"family":"Sun","given":"Xin"}],"issued":{"date-parts":[["2017"]]}}},{"id":6165,"uris":["http://zotero.org/users/446899/items/6FVFKYTE"],"uri":["http://zotero.org/users/446899/items/6FVFKYTE"],"itemData":{"id":6165,"type":"article-journal","title":"Sleep duration and cardiovascular disease: results from the National Health Interview Survey","container-title":"Sleep","page":"1037-1042","volume":"33","issue":"8","source":"PubMed","abstract":"BACKGROUND: Previous studies have shown that both short and long sleep durations are related to increased likelihood of diabetes and hypertension. However, the relation between sleep duration and cardiovascular disease (CVD) is not clear. We examined the hypothesis that compared with sleep duration of 7 hours, shorter and longer sleep durations are independently related to CVD.\nMETHODS: We conducted a cross-sectional study of 30,397 National Health Interview Survey 2005 participants &gt; or = 18 years of age (57.1% women). Sleep duration was categorized as &lt; or = 5 hours, 6 hours, 7 hours, 8 hours, and &gt; or = 9 hours. The main outcome of interest was the presence of any CVD (n = 2146), including myocardial infarction, angina, and stroke.\nRESULTS: We found both short and long sleep durations to be independently associated with CVD, independent of age, sex, race-ethnicity, smoking, alcohol intake, body mass index, physical activity, diabetes mellitus, hypertension, and depression. Compared with a sleep duration of 7 h (referent), the multivariate odds ratio (95% confidence interval) of CVD was 2.20 (1.78, 2.71), 1.33 (1.13, 1.57), 1.23 (1.06, 1.41), and 1.57 (1.31, 1.89) for sleep duration &lt; or = 5 h, 6 h, 8 h, and &gt; or = 9 h. This association persisted in subgroup analyses by gender, race-ethnicity, and body mass index categories. Also, similar associations were observed when we examined myocardial infarction and stroke separately.\nCONCLUSION: Compared with sleep duration of 7 h, there was a positive association between both shorter and longer sleep durations and CVD in a representative sample of US adults. These results suggest that sleep duration may be an important marker of CVD.","ISSN":"0161-8105","note":"PMID: 20815184\nPMCID: PMC2910533","shortTitle":"Sleep duration and cardiovascular disease","journalAbbreviation":"Sleep","language":"eng","author":[{"family":"Sabanayagam","given":"Charumathi"},{"family":"Shankar","given":"Anoop"}],"issued":{"date-parts":[["2010",8]]}}}],"schema":"https://github.com/citation-style-language/schema/raw/master/csl-citation.json"} </w:instrText>
      </w:r>
      <w:r w:rsidR="00C15F22" w:rsidRPr="008D5F7E">
        <w:rPr>
          <w:rFonts w:ascii="Calibri" w:hAnsi="Calibri"/>
          <w:shd w:val="clear" w:color="auto" w:fill="FFFFFF"/>
        </w:rPr>
        <w:fldChar w:fldCharType="separate"/>
      </w:r>
      <w:r w:rsidR="003D26E3" w:rsidRPr="008D5F7E">
        <w:rPr>
          <w:rFonts w:ascii="Calibri" w:hAnsi="Calibri" w:cs="Calibri"/>
          <w:szCs w:val="24"/>
        </w:rPr>
        <w:t>(27–29)</w:t>
      </w:r>
      <w:r w:rsidR="00C15F22" w:rsidRPr="008D5F7E">
        <w:rPr>
          <w:rFonts w:ascii="Calibri" w:hAnsi="Calibri"/>
          <w:shd w:val="clear" w:color="auto" w:fill="FFFFFF"/>
        </w:rPr>
        <w:fldChar w:fldCharType="end"/>
      </w:r>
      <w:r w:rsidR="002A768E" w:rsidRPr="008D5F7E">
        <w:rPr>
          <w:rFonts w:ascii="Calibri" w:hAnsi="Calibri"/>
          <w:shd w:val="clear" w:color="auto" w:fill="FFFFFF"/>
        </w:rPr>
        <w:t xml:space="preserve">. </w:t>
      </w:r>
      <w:r w:rsidRPr="008D5F7E">
        <w:rPr>
          <w:rFonts w:ascii="Calibri" w:hAnsi="Calibri"/>
          <w:shd w:val="clear" w:color="auto" w:fill="FFFFFF"/>
        </w:rPr>
        <w:t xml:space="preserve"> </w:t>
      </w:r>
      <w:r w:rsidR="002A768E" w:rsidRPr="008D5F7E">
        <w:rPr>
          <w:rFonts w:ascii="Calibri" w:hAnsi="Calibri"/>
          <w:shd w:val="clear" w:color="auto" w:fill="FFFFFF"/>
        </w:rPr>
        <w:t>This may be because long duration of sleep could be related to sleep disordered breathing or poor sleep qualit</w:t>
      </w:r>
      <w:r w:rsidR="001D5B83" w:rsidRPr="008D5F7E">
        <w:rPr>
          <w:rFonts w:ascii="Calibri" w:hAnsi="Calibri"/>
          <w:shd w:val="clear" w:color="auto" w:fill="FFFFFF"/>
        </w:rPr>
        <w:t xml:space="preserve">y </w:t>
      </w:r>
      <w:r w:rsidR="001D5B83" w:rsidRPr="008D5F7E">
        <w:rPr>
          <w:rFonts w:ascii="Calibri" w:hAnsi="Calibri"/>
          <w:shd w:val="clear" w:color="auto" w:fill="FFFFFF"/>
        </w:rPr>
        <w:fldChar w:fldCharType="begin"/>
      </w:r>
      <w:r w:rsidR="001D5B83" w:rsidRPr="008D5F7E">
        <w:rPr>
          <w:rFonts w:ascii="Calibri" w:hAnsi="Calibri"/>
          <w:shd w:val="clear" w:color="auto" w:fill="FFFFFF"/>
        </w:rPr>
        <w:instrText xml:space="preserve"> ADDIN ZOTERO_ITEM CSL_CITATION {"citationID":"i0QAToJU","properties":{"formattedCitation":"(30,31)","plainCitation":"(30,31)","noteIndex":0},"citationItems":[{"id":6176,"uris":["http://zotero.org/users/446899/items/2KPZ2JRR"],"uri":["http://zotero.org/users/446899/items/2KPZ2JRR"],"itemData":{"id":6176,"type":"article-journal","title":"A prospective study of sleep duration and mortality risk in women","container-title":"Sleep","page":"440-444","volume":"27","issue":"3","source":"PubMed","abstract":"STUDY OBJECTIVES: It is commonly believed that 8 hours of sleep per night is optimal for good health. However, recent studies suggest the risk of death is lower in those sleeping 7 hours. We prospectively examined the association between sleep duration and mortality in women to better understand the effect of sleep duration on health.\nDESIGN: Prospective observational study.\nSETTING: Community-based.\nPARTICIPANTS: Women in the Nurses Health Study who answered a mailed questionnaire asking about sleep duration in 1986.\nINTERVENTIONS: None.\nMEASUREMENTS AND RESULTS: Vital status was ascertained through questionnaires, contact with next of kin, and the National Death Index. During the 14 years of this study (1986-2000), 5409 deaths occurred in the 82,969 women who responded to the initial questionnaire. Mortality risk was lowest among nurses reporting 7 hours of sleep per night. After adjusting for age, smoking, alcohol, exercise, depression, snoring, obesity, and history of cancer and cardiovascular disease, sleeping less than 6 hours or more than 7 hours remained associated with an increased risk of death. The relative mortality risk for sleeping 5 hours or less was 1.15 (95% confidence interval [CI], 1.02-1.29) for 6 hours, 1.01 (95% CI, 0.94-1.08), for 7 hours, 1.00 (reference group), for 8 hours, 1.12 (95% CI, 1.05-1.20), and for 9 or more hours 1.42 (95% CI, 1.27-1.58).\nCONCLUSIONS: These results confirm previous findings that mortality risk in women is lowest among those sleeping 6 to 7 hours. Further research is needed to understand the mechanisms by which short and long sleep times can affect health.","ISSN":"0161-8105","note":"PMID: 15164896","journalAbbreviation":"Sleep","language":"eng","author":[{"family":"Patel","given":"Sanjay R."},{"family":"Ayas","given":"Najib T."},{"family":"Malhotra","given":"Mark R."},{"family":"White","given":"David P."},{"family":"Schernhammer","given":"Eva S."},{"family":"Speizer","given":"Frank E."},{"family":"Stampfer","given":"Meir J."},{"family":"Hu","given":"Frank B."}],"issued":{"date-parts":[["2004",5,1]]}}},{"id":6178,"uris":["http://zotero.org/users/446899/items/BMETX5LX"],"uri":["http://zotero.org/users/446899/items/BMETX5LX"],"itemData":{"id":6178,"type":"article-journal","title":"Sleep duration, sleep quality and cardiovascular disease mortality among the elderly: a population-based cohort study","container-title":"Preventive Medicine","page":"135-141","volume":"49","issue":"2-3","source":"PubMed","abstract":"OBJECTIVE: To investigate the associations between sleep duration and mortality in the elderly by controlling for sleep quality.\nMETHOD: Data were collected from participants in a cohort study in Shizuoka, Japan. A total of 14,001 elderly residents (aged 65-85 years), randomly chosen from all 74 municipalities in the prefecture, completed questionnaires that evaluated sleep duration, sleep complaints, and the use of hypnotics. Participants were followed from 1999 to 2006. We analyzed 11,395 subjects to estimate the hazard ratios (HR) for mortality from all causes and cardiovascular disease (CVD).\nRESULTS: With 60,252 person-years, 1004 deaths were identified. While short sleep duration and mortality were not associated, longer sleep duration was associated with higher risk of mortality in both sexes. Compared with those who slept 7 h, the multivariate HR and 95% confidence interval of CVD mortality for those who slept &gt; or =10 h was 1.95 (1.18-3.21) and, for those who slept &lt; or =5 h, it was 1.10 (0.62-1.93). Although no clear association was found between sleep quality and mortality, long sleep duration was associated with higher risk of CVD mortality among those with poor sleep quality.\nCONCLUSION: Long sleep duration is associated with higher risk of CVD mortality among the elderly with poor sleep quality.","DOI":"10.1016/j.ypmed.2009.06.016","ISSN":"1096-0260","note":"PMID: 19573557","shortTitle":"Sleep duration, sleep quality and cardiovascular disease mortality among the elderly","journalAbbreviation":"Prev Med","language":"eng","author":[{"family":"Suzuki","given":"Etsuji"},{"family":"Yorifuji","given":"Takashi"},{"family":"Ueshima","given":"Kazumune"},{"family":"Takao","given":"Soshi"},{"family":"Sugiyama","given":"Masumi"},{"family":"Ohta","given":"Toshiki"},{"family":"Ishikawa-Takata","given":"Kazuko"},{"family":"Doi","given":"Hiroyuki"}],"issued":{"date-parts":[["2009",9]]}}}],"schema":"https://github.com/citation-style-language/schema/raw/master/csl-citation.json"} </w:instrText>
      </w:r>
      <w:r w:rsidR="001D5B83" w:rsidRPr="008D5F7E">
        <w:rPr>
          <w:rFonts w:ascii="Calibri" w:hAnsi="Calibri"/>
          <w:shd w:val="clear" w:color="auto" w:fill="FFFFFF"/>
        </w:rPr>
        <w:fldChar w:fldCharType="separate"/>
      </w:r>
      <w:r w:rsidR="001D5B83" w:rsidRPr="008D5F7E">
        <w:rPr>
          <w:rFonts w:ascii="Calibri" w:hAnsi="Calibri" w:cs="Calibri"/>
        </w:rPr>
        <w:t>(30,31)</w:t>
      </w:r>
      <w:r w:rsidR="001D5B83" w:rsidRPr="008D5F7E">
        <w:rPr>
          <w:rFonts w:ascii="Calibri" w:hAnsi="Calibri"/>
          <w:shd w:val="clear" w:color="auto" w:fill="FFFFFF"/>
        </w:rPr>
        <w:fldChar w:fldCharType="end"/>
      </w:r>
      <w:r w:rsidR="002A768E" w:rsidRPr="008D5F7E">
        <w:rPr>
          <w:rFonts w:ascii="Calibri" w:hAnsi="Calibri"/>
          <w:shd w:val="clear" w:color="auto" w:fill="FFFFFF"/>
        </w:rPr>
        <w:t xml:space="preserve">. </w:t>
      </w:r>
      <w:r w:rsidR="00C15F22" w:rsidRPr="008D5F7E">
        <w:rPr>
          <w:rFonts w:ascii="Calibri" w:hAnsi="Calibri"/>
          <w:shd w:val="clear" w:color="auto" w:fill="FFFFFF"/>
        </w:rPr>
        <w:t>S</w:t>
      </w:r>
      <w:r w:rsidRPr="008D5F7E">
        <w:t xml:space="preserve">uch </w:t>
      </w:r>
      <w:r w:rsidR="000B4569" w:rsidRPr="008D5F7E">
        <w:t xml:space="preserve">underlying </w:t>
      </w:r>
      <w:r w:rsidRPr="008D5F7E">
        <w:t>conditions may</w:t>
      </w:r>
      <w:r w:rsidR="00BD1321" w:rsidRPr="008D5F7E">
        <w:t xml:space="preserve"> </w:t>
      </w:r>
      <w:r w:rsidRPr="008D5F7E">
        <w:t xml:space="preserve">be driving the association between </w:t>
      </w:r>
      <w:r w:rsidR="000B4569" w:rsidRPr="008D5F7E">
        <w:t>long sleep and sexual dysfunction in men</w:t>
      </w:r>
      <w:r w:rsidR="00AD2828" w:rsidRPr="008D5F7E">
        <w:t>.</w:t>
      </w:r>
      <w:r w:rsidR="00CD4B64" w:rsidRPr="008D5F7E">
        <w:t xml:space="preserve"> </w:t>
      </w:r>
      <w:r w:rsidR="002A768E" w:rsidRPr="008D5F7E">
        <w:t xml:space="preserve">Indeed, cardiovascular disease and diabetes have been shown to be associated with erectile dysfunction </w:t>
      </w:r>
      <w:r w:rsidR="001D5B83" w:rsidRPr="008D5F7E">
        <w:fldChar w:fldCharType="begin"/>
      </w:r>
      <w:r w:rsidR="001D5B83" w:rsidRPr="008D5F7E">
        <w:instrText xml:space="preserve"> ADDIN ZOTERO_ITEM CSL_CITATION {"citationID":"MX0kiRaK","properties":{"formattedCitation":"(32)","plainCitation":"(32)","noteIndex":0},"citationItems":[{"id":6180,"uris":["http://zotero.org/users/446899/items/FVFV9MH6"],"uri":["http://zotero.org/users/446899/items/FVFV9MH6"],"itemData":{"id":6180,"type":"article-journal","title":"Cardiovascular disease and male sexual dysfunction","container-title":"Asian Journal of Andrology","page":"3-4","volume":"17","issue":"1","source":"PubMed Central","abstract":"Erectile dysfunction (ED) is a form of sexual dysfunction that is estimated to affect &gt; 30% of men between the ages of 40 and 70. As a result of an improved understanding about the pathophysiology of ED and improved treatment options, an increasing number of men are presenting for evaluation than several decades ago. In fact, many of these men are visiting their health care professional for the first time with ED as their primary complaint. Most of these men are unaware of the link between ED and cardiovascular disease (CVD).","DOI":"10.4103/1008-682X.143753","ISSN":"1008-682X","note":"PMID: 25532581\nPMCID: PMC4291872","journalAbbreviation":"Asian J Androl","author":[{"family":"Miner","given":"Martin"},{"family":"Kim","given":"Edward D"}],"issued":{"date-parts":[["2015"]]}}}],"schema":"https://github.com/citation-style-language/schema/raw/master/csl-citation.json"} </w:instrText>
      </w:r>
      <w:r w:rsidR="001D5B83" w:rsidRPr="008D5F7E">
        <w:fldChar w:fldCharType="separate"/>
      </w:r>
      <w:r w:rsidR="001D5B83" w:rsidRPr="008D5F7E">
        <w:rPr>
          <w:rFonts w:ascii="Calibri" w:hAnsi="Calibri" w:cs="Calibri"/>
        </w:rPr>
        <w:t>(32)</w:t>
      </w:r>
      <w:r w:rsidR="001D5B83" w:rsidRPr="008D5F7E">
        <w:fldChar w:fldCharType="end"/>
      </w:r>
      <w:r w:rsidR="001D5B83" w:rsidRPr="008D5F7E">
        <w:t>.</w:t>
      </w:r>
    </w:p>
    <w:p w14:paraId="41AAF418" w14:textId="358EDDBF" w:rsidR="000B4569" w:rsidRPr="008D5F7E" w:rsidRDefault="005F3F30" w:rsidP="0006581F">
      <w:pPr>
        <w:spacing w:after="160"/>
      </w:pPr>
      <w:r w:rsidRPr="008D5F7E">
        <w:t>The null relationship between sleep duration and sexual function in women</w:t>
      </w:r>
      <w:r w:rsidR="0006581F" w:rsidRPr="008D5F7E">
        <w:t xml:space="preserve"> but not in men</w:t>
      </w:r>
      <w:r w:rsidRPr="008D5F7E">
        <w:t xml:space="preserve"> should be noted</w:t>
      </w:r>
      <w:r w:rsidR="000B4569" w:rsidRPr="008D5F7E">
        <w:t>.</w:t>
      </w:r>
      <w:r w:rsidR="0006581F" w:rsidRPr="008D5F7E">
        <w:t xml:space="preserve"> It is possible that the prevalence of specific sleep complications that likely influence sexual function are higher in men. For example, sleep </w:t>
      </w:r>
      <w:proofErr w:type="spellStart"/>
      <w:r w:rsidR="0006581F" w:rsidRPr="008D5F7E">
        <w:t>apnea</w:t>
      </w:r>
      <w:proofErr w:type="spellEnd"/>
      <w:r w:rsidR="0006581F" w:rsidRPr="008D5F7E">
        <w:t xml:space="preserve"> has been shown to influence sexual functio</w:t>
      </w:r>
      <w:r w:rsidR="00A2764D" w:rsidRPr="008D5F7E">
        <w:t xml:space="preserve">n </w:t>
      </w:r>
      <w:r w:rsidR="00A2764D" w:rsidRPr="008D5F7E">
        <w:fldChar w:fldCharType="begin"/>
      </w:r>
      <w:r w:rsidR="00A2764D" w:rsidRPr="008D5F7E">
        <w:instrText xml:space="preserve"> ADDIN ZOTERO_ITEM CSL_CITATION {"citationID":"DDR9CrUF","properties":{"formattedCitation":"(14\\uc0\\u8211{}16)","plainCitation":"(14–16)","noteIndex":0},"citationItems":[{"id":6169,"uris":["http://zotero.org/users/446899/items/LBUJZ9N2"],"uri":["http://zotero.org/users/446899/items/LBUJZ9N2"],"itemData":{"id":6169,"type":"article-journal","title":"Erectile dysfunction in obstructive sleep apnea patients: A randomized trial on the effects of Continuous Positive Airway Pressure (CPAP)","container-title":"PLOS ONE","page":"e0201930","volume":"13","issue":"8","source":"PLoS Journals","abstract":"Objectives Obstructive sleep apnea (OSA) is among the least studied risk factors for erectile dysfunction (ED). We aimed to determine ED prevalence in newly-diagnosed OSA patients, describe their main characteristics and assess continuous positive airway pressure (CPAP) effects on ED. Methods Cross-sectional study assessing ED prevalence in OSA patients and open-label, parallel, prospective randomized controlled trial evaluating 3-month CPAP treatment effects on sexual function, satisfaction, and psychological, hormonal and biochemical profiles. Male patients newly diagnosed with moderate/severe OSA (apnea-hypopnea index &gt;20 events·h−1), aged 18–70 years, attending the sleep unit of a Spanish hospital during 2013–2016 were considered. A total of 150 patients were recruited (75 randomized ED patients). ED was defined as scores &lt;25 on International Index Erectile Function 15 test. Wilcoxon’s matched-pairs signed-ranks and rank-sum tests were used. Results ED prevalence was 51%. Patients with ED were older (p&lt;0.001), had greater waist-to-hip ratios (p&lt;0.001), were more frequently undergoing pharmacological treatment (p&lt;0.001) and had higher glucose levels (p = 0.024) than non-ED patients. Although significant increases in erectile function (mean(SD) change: +4.6(7.9); p = 0.002), overall satisfaction (+1(2.2); p = 0.035), and sexual satisfaction (+2.1(4.3); p = 0.003) were found after CPAP treatment, only differences in sexual satisfaction (p = 0.027) and erectile function (p = 0.060) were found between study arms. CPAP treatment did not impact psychological, hormonal or biochemical profiles. Conclusions This study confirmed the relationship between OSA and ED, suggesting the potential usefulness of ED screening in OSA patients, but could not determine conclusively whether CPAP is an effective stand-alone ED treatment, regardless of positive results on sexual satisfaction. Trial registration ClinicalTrials.gov NCT03086122","DOI":"10.1371/journal.pone.0201930","ISSN":"1932-6203","shortTitle":"Erectile dysfunction in obstructive sleep apnea patients","journalAbbreviation":"PLOS ONE","language":"en","author":[{"family":"Pascual","given":"Mercè"},{"family":"Batlle","given":"Jordi","dropping-particle":"de"},{"family":"Barbé","given":"Ferran"},{"family":"Castro-Grattoni","given":"Anabel L."},{"family":"Auguet","given":"Josep M."},{"family":"Pascual","given":"Lydia"},{"family":"Vilà","given":"Manel"},{"family":"Cortijo","given":"Anunciación"},{"family":"Sánchez-de-la-Torre","given":"Manuel"}],"issued":{"date-parts":[["2018",8,8]]}}},{"id":6170,"uris":["http://zotero.org/users/446899/items/HW7N3X97"],"uri":["http://zotero.org/users/446899/items/HW7N3X97"],"itemData":{"id":6170,"type":"article-journal","title":"Prevalence of sleep apnea in men with erectile dysfunction","container-title":"Urology","page":"232-234","volume":"36","issue":"3","source":"www.goldjournal.net","DOI":"10.1016/0090-4295(90)80262-L","ISSN":"0090-4295, 1527-9995","journalAbbreviation":"Urology","language":"English","author":[{"family":"Hirshkowitz","given":"Max"},{"family":"Karacan","given":"Ismet"},{"family":"Arcasoy","given":"Murat O."},{"family":"Acik","given":"Guven"},{"family":"Narter","given":"Erdem M."},{"family":"Williams","given":"Robert L."}],"issued":{"date-parts":[["1990",9,1]]}}},{"id":6174,"uris":["http://zotero.org/users/446899/items/8R2XLL24"],"uri":["http://zotero.org/users/446899/items/8R2XLL24"],"itemData":{"id":6174,"type":"article-journal","title":"Erectile dysfunction, obstructive sleep apnea syndrome and nasal CPAP treatment","container-title":"Sleep Medicine","page":"333-339","volume":"6","issue":"4","source":"ScienceDirect","abstract":"Background and purpose\nTo evaluate the effect of one month of continuous positive airway pressure (CPAP) in a subgroup of obstructive sleep apnea (OSA) patients with erectile dysfunction (ED) and compare this subgroup with age- and body mass index (BMI)-matched OSA patients without ED.\nPatients and methods\nProspective general, sleep, psychiatric and sexologic evaluations were conducted. Epworth Sleepiness Scale (ESS), Beck Depression Inventory (BDI), Sleep Disorders Questionnaire (SDQ), Quality of Life SF-36, and polysomnography were used. Seventeen OSA patients with ED were compared prior to CPAP treatment and during CPAP treatment with age- and BMI-matched OSA patients without ED. Parametric and non-parametric statistics, chi-square, Fisher exact test and multiple regression analyses were performed.\nResults\nNinety-eight men (BMI=28.8kg/m2, apnea–hypopnea index (AHI)=49.6 events/h, ESS=14.8, BDI=8.4, and lowest SaO2=75.3%) were divided into subgroups of lowest SaO2&gt;80% (A) and lowest SaO2≤80% (B). (A) Forty-six men had a mean lowest SaO2 of 85.7%±2.9, AHI=29.5±17.6, age=46.3±9.3 years, ESS=13.6±4.2, BMI=25.8±4.8. Seven of the patients had ED. (B) Fifty-two men had a mean lowest SaO2=60.10±10.0%, AHI=67.4±24.5, BDI=9.0±6.9, age=47.4±9.4 years, ESS=16.2±4.4, BMI=31.4±5.1. Twenty-one of the patients had ED (χ2: P=0.006). Significant variables for ED were lowest SaO2 and age (r=0.17). CPAP-treated subgroup: ED subjects had significantly lower SaO2, ESS, BDI and SF-36 subscale scores than OSA controls. Nasal CPAP eliminated the differences between groups, and ED was resolved in 13 out of 17 cases.\nConclusions\nED in OSAS is related to nocturnal hypoxemia, and about 75% of OSAS patients with ED treated with nasal CPAP showed remission at one-month follow-up, resulting in significant improvement in quality of life.","DOI":"10.1016/j.sleep.2005.03.001","ISSN":"1389-9457","journalAbbreviation":"Sleep Medicine","author":[{"family":"Gonçalves","given":"M. A."},{"family":"Guilleminault","given":"C."},{"family":"Ramos","given":"E."},{"family":"Palha","given":"A."},{"family":"Paiva","given":"T."}],"issued":{"date-parts":[["2005",7,1]]}}}],"schema":"https://github.com/citation-style-language/schema/raw/master/csl-citation.json"} </w:instrText>
      </w:r>
      <w:r w:rsidR="00A2764D" w:rsidRPr="008D5F7E">
        <w:fldChar w:fldCharType="separate"/>
      </w:r>
      <w:r w:rsidR="00A2764D" w:rsidRPr="008D5F7E">
        <w:rPr>
          <w:rFonts w:ascii="Calibri" w:hAnsi="Calibri" w:cs="Calibri"/>
          <w:szCs w:val="24"/>
        </w:rPr>
        <w:t>(14–16)</w:t>
      </w:r>
      <w:r w:rsidR="00A2764D" w:rsidRPr="008D5F7E">
        <w:fldChar w:fldCharType="end"/>
      </w:r>
      <w:r w:rsidR="00A2764D" w:rsidRPr="008D5F7E">
        <w:t xml:space="preserve"> </w:t>
      </w:r>
      <w:r w:rsidR="0006581F" w:rsidRPr="008D5F7E">
        <w:t xml:space="preserve">and sleep </w:t>
      </w:r>
      <w:proofErr w:type="spellStart"/>
      <w:r w:rsidR="0006581F" w:rsidRPr="008D5F7E">
        <w:t>apn</w:t>
      </w:r>
      <w:r w:rsidR="00507B9C" w:rsidRPr="008D5F7E">
        <w:t>e</w:t>
      </w:r>
      <w:r w:rsidR="0006581F" w:rsidRPr="008D5F7E">
        <w:t>a</w:t>
      </w:r>
      <w:proofErr w:type="spellEnd"/>
      <w:r w:rsidR="0006581F" w:rsidRPr="008D5F7E">
        <w:t xml:space="preserve"> is more prevalent in men than wome</w:t>
      </w:r>
      <w:r w:rsidR="00A2764D" w:rsidRPr="008D5F7E">
        <w:t xml:space="preserve">n </w:t>
      </w:r>
      <w:r w:rsidR="00A2764D" w:rsidRPr="008D5F7E">
        <w:fldChar w:fldCharType="begin"/>
      </w:r>
      <w:r w:rsidR="00A2764D" w:rsidRPr="008D5F7E">
        <w:instrText xml:space="preserve"> ADDIN ZOTERO_ITEM CSL_CITATION {"citationID":"XolwFB4e","properties":{"formattedCitation":"(33)","plainCitation":"(33)","noteIndex":0},"citationItems":[{"id":6183,"uris":["http://zotero.org/users/446899/items/C6NIPVR3"],"uri":["http://zotero.org/users/446899/items/C6NIPVR3"],"itemData":{"id":6183,"type":"article-journal","title":"Gender Differences in Obstructive Sleep Apnea and Treatment Implications","container-title":"Sleep medicine reviews","page":"481-496","volume":"12","issue":"6","source":"PubMed Central","abstract":"Obstructive sleep apnea is a common cause of daytime sleepiness for millions of Americans. It is also a disease associated with an increased likelihood of hypertension, cardiovascular disease, stroke, daytime sleepiness, motor vehicle accidents, and diminished quality of life. A number of population based studies have shown that obstructive sleep apnea is more common in men than in women and this discrepancy is often evident in the clinical setting. There are a number of pathophysiological differences to suggest why men are more prone to the disease than women. Although the exact mechanisms are unknown, differences in obesity, upper airway anatomy, breathing control, hormones, and aging are all thought to play a role. The purpose of this review was to examine the literature on gender differences in obstructive sleep apnea and to analyze whether or not these differences in pathogenic mechanisms affect diagnosis or treatment.","DOI":"10.1016/j.smrv.2007.11.003","ISSN":"1087-0792","note":"PMID: 18951050\nPMCID: PMC2642982","journalAbbreviation":"Sleep Med Rev","author":[{"family":"Lin","given":"Christine M."},{"family":"Davidson","given":"Terence M."},{"family":"Ancoli-Israel","given":"Sonia"}],"issued":{"date-parts":[["2008",12]]}}}],"schema":"https://github.com/citation-style-language/schema/raw/master/csl-citation.json"} </w:instrText>
      </w:r>
      <w:r w:rsidR="00A2764D" w:rsidRPr="008D5F7E">
        <w:fldChar w:fldCharType="separate"/>
      </w:r>
      <w:r w:rsidR="00A2764D" w:rsidRPr="008D5F7E">
        <w:rPr>
          <w:rFonts w:ascii="Calibri" w:hAnsi="Calibri" w:cs="Calibri"/>
        </w:rPr>
        <w:t>(33)</w:t>
      </w:r>
      <w:r w:rsidR="00A2764D" w:rsidRPr="008D5F7E">
        <w:fldChar w:fldCharType="end"/>
      </w:r>
      <w:r w:rsidR="0006581F" w:rsidRPr="008D5F7E">
        <w:t xml:space="preserve">. There are </w:t>
      </w:r>
      <w:proofErr w:type="gramStart"/>
      <w:r w:rsidR="0006581F" w:rsidRPr="008D5F7E">
        <w:t>a number of</w:t>
      </w:r>
      <w:proofErr w:type="gramEnd"/>
      <w:r w:rsidR="0006581F" w:rsidRPr="008D5F7E">
        <w:t xml:space="preserve"> pathophysiological differences to suggest why men are more prone to sleep conditions than women. Although the exact mechanisms are unknown, differences in obesity, upper airway anatomy, breathing control, hormones, and aging are all thought to play a role</w:t>
      </w:r>
      <w:r w:rsidR="00A2764D" w:rsidRPr="008D5F7E">
        <w:t xml:space="preserve"> </w:t>
      </w:r>
      <w:r w:rsidR="00A2764D" w:rsidRPr="008D5F7E">
        <w:fldChar w:fldCharType="begin"/>
      </w:r>
      <w:r w:rsidR="00E93AF4" w:rsidRPr="008D5F7E">
        <w:instrText xml:space="preserve"> ADDIN ZOTERO_ITEM CSL_CITATION {"citationID":"yQQRLr62","properties":{"formattedCitation":"(33)","plainCitation":"(33)","noteIndex":0},"citationItems":[{"id":6183,"uris":["http://zotero.org/users/446899/items/C6NIPVR3"],"uri":["http://zotero.org/users/446899/items/C6NIPVR3"],"itemData":{"id":6183,"type":"article-journal","title":"Gender Differences in Obstructive Sleep Apnea and Treatment Implications","container-title":"Sleep medicine reviews","page":"481-496","volume":"12","issue":"6","source":"PubMed Central","abstract":"Obstructive sleep apnea is a common cause of daytime sleepiness for millions of Americans. It is also a disease associated with an increased likelihood of hypertension, cardiovascular disease, stroke, daytime sleepiness, motor vehicle accidents, and diminished quality of life. A number of population based studies have shown that obstructive sleep apnea is more common in men than in women and this discrepancy is often evident in the clinical setting. There are a number of pathophysiological differences to suggest why men are more prone to the disease than women. Although the exact mechanisms are unknown, differences in obesity, upper airway anatomy, breathing control, hormones, and aging are all thought to play a role. The purpose of this review was to examine the literature on gender differences in obstructive sleep apnea and to analyze whether or not these differences in pathogenic mechanisms affect diagnosis or treatment.","DOI":"10.1016/j.smrv.2007.11.003","ISSN":"1087-0792","note":"PMID: 18951050\nPMCID: PMC2642982","journalAbbreviation":"Sleep Med Rev","author":[{"family":"Lin","given":"Christine M."},{"family":"Davidson","given":"Terence M."},{"family":"Ancoli-Israel","given":"Sonia"}],"issued":{"date-parts":[["2008",12]]}}}],"schema":"https://github.com/citation-style-language/schema/raw/master/csl-citation.json"} </w:instrText>
      </w:r>
      <w:r w:rsidR="00A2764D" w:rsidRPr="008D5F7E">
        <w:fldChar w:fldCharType="separate"/>
      </w:r>
      <w:r w:rsidR="00A2764D" w:rsidRPr="008D5F7E">
        <w:rPr>
          <w:rFonts w:ascii="Calibri" w:hAnsi="Calibri" w:cs="Calibri"/>
        </w:rPr>
        <w:t>(33)</w:t>
      </w:r>
      <w:r w:rsidR="00A2764D" w:rsidRPr="008D5F7E">
        <w:fldChar w:fldCharType="end"/>
      </w:r>
      <w:r w:rsidR="0006581F" w:rsidRPr="008D5F7E">
        <w:t>.</w:t>
      </w:r>
      <w:r w:rsidR="002D7CDB" w:rsidRPr="008D5F7E">
        <w:t xml:space="preserve"> Moreover, </w:t>
      </w:r>
      <w:r w:rsidR="004C2605" w:rsidRPr="008D5F7E">
        <w:t xml:space="preserve">as a respiratory stimulant, </w:t>
      </w:r>
      <w:proofErr w:type="spellStart"/>
      <w:r w:rsidR="002D7CDB" w:rsidRPr="008D5F7E">
        <w:t>estrogen</w:t>
      </w:r>
      <w:proofErr w:type="spellEnd"/>
      <w:r w:rsidR="002D7CDB" w:rsidRPr="008D5F7E">
        <w:t xml:space="preserve"> protects </w:t>
      </w:r>
      <w:r w:rsidR="0031251F" w:rsidRPr="008D5F7E">
        <w:t>females against</w:t>
      </w:r>
      <w:r w:rsidR="002D7CDB" w:rsidRPr="008D5F7E">
        <w:t xml:space="preserve"> sleeping disorders such</w:t>
      </w:r>
      <w:r w:rsidR="0031251F" w:rsidRPr="008D5F7E">
        <w:t xml:space="preserve"> as sleep </w:t>
      </w:r>
      <w:proofErr w:type="spellStart"/>
      <w:r w:rsidR="0031251F" w:rsidRPr="008D5F7E">
        <w:t>apnea</w:t>
      </w:r>
      <w:proofErr w:type="spellEnd"/>
      <w:r w:rsidR="0031251F" w:rsidRPr="008D5F7E">
        <w:t xml:space="preserve"> </w:t>
      </w:r>
      <w:r w:rsidR="00C66169" w:rsidRPr="008D5F7E">
        <w:fldChar w:fldCharType="begin"/>
      </w:r>
      <w:r w:rsidR="00C66169" w:rsidRPr="008D5F7E">
        <w:instrText xml:space="preserve"> ADDIN ZOTERO_ITEM CSL_CITATION {"citationID":"aInUqKEX","properties":{"formattedCitation":"(34)","plainCitation":"(34)","noteIndex":0},"citationItems":[{"id":6543,"uris":["http://zotero.org/users/446899/items/LG32EJJ4"],"uri":["http://zotero.org/users/446899/items/LG32EJJ4"],"itemData":{"id":6543,"type":"article-journal","title":"Ovarian steroids act as respiratory stimulant and antioxidant against the causes and consequences of sleep-apnea in women","container-title":"Respiratory Physiology &amp; Neurobiology","page":"46-54","volume":"239","source":"ScienceDirect","abstract":"Evidence supports the importance of ovarian hormones as potential tools against sleep apneas in women. On one hand, progesterone is largely acknowledged as being a respiratory stimulant that reduces the frequency of apneas, but the underlying mechanisms remain poorly understood. Recent studies in mice showed that the respiratory effects of progesterone are mediated by at least two classes of progesterone receptors, including the nuclear (nPR) and membrane receptors (mPR). Some of these receptors (nPR) have sex-specific effects on the frequency of apneas recorded during sleep in mice, while mPRβ acts in males as well as in females. Moreover, sleep apnea is a condition that induces an “oxidative stress” response in several tissues, and this contributes to the deleterious consequences of sleep apneas, including the development of hypertension. While estradiol is recognized as an antioxidant hormone, its potential protective role has remained mostly ignored in the field. We will review recent data supporting an antioxidant role of estradiol in female rats exposed to intermittent hypoxia, a reliable animal model of sleep apnea. Since estradiol has two main receptors (ERα and ERβ) we will discuss their relative implications, and present new data showing a key role for ERα to prevent the hypertension induced by intermittent hypoxia. Overall this review highlights the fact that ovarian hormones could potentially be used as efficient tools against the causes (i.e. instabilities of the respiratory control system) and consequences (oxidative stress) of sleep apnea.","DOI":"10.1016/j.resp.2017.01.013","ISSN":"1569-9048","journalAbbreviation":"Respiratory Physiology &amp; Neurobiology","author":[{"family":"Boukari","given":"Ryma"},{"family":"Laouafa","given":"Sofien"},{"family":"Ribon-Demars","given":"Alexandra"},{"family":"Bairam","given":"Aida"},{"family":"Joseph","given":"Vincent"}],"issued":{"date-parts":[["2017",5,1]]}}}],"schema":"https://github.com/citation-style-language/schema/raw/master/csl-citation.json"} </w:instrText>
      </w:r>
      <w:r w:rsidR="00C66169" w:rsidRPr="008D5F7E">
        <w:fldChar w:fldCharType="separate"/>
      </w:r>
      <w:r w:rsidR="00C66169" w:rsidRPr="008D5F7E">
        <w:t>(34)</w:t>
      </w:r>
      <w:r w:rsidR="00C66169" w:rsidRPr="008D5F7E">
        <w:fldChar w:fldCharType="end"/>
      </w:r>
      <w:r w:rsidR="0031251F" w:rsidRPr="008D5F7E">
        <w:t xml:space="preserve">. This may </w:t>
      </w:r>
      <w:r w:rsidR="0031251F" w:rsidRPr="008D5F7E">
        <w:lastRenderedPageBreak/>
        <w:t>partially explain the lack of association observed between sleep duration and sexual function in women. However, women in the present study were aged on average 64.3 years</w:t>
      </w:r>
      <w:r w:rsidR="00C66169" w:rsidRPr="008D5F7E">
        <w:t>;</w:t>
      </w:r>
      <w:r w:rsidR="0031251F" w:rsidRPr="008D5F7E">
        <w:t xml:space="preserve"> well above the average age of onset </w:t>
      </w:r>
      <w:r w:rsidR="00C66169" w:rsidRPr="008D5F7E">
        <w:t xml:space="preserve">of </w:t>
      </w:r>
      <w:r w:rsidR="0031251F" w:rsidRPr="008D5F7E">
        <w:t xml:space="preserve">menopause in the UK </w:t>
      </w:r>
      <w:r w:rsidR="00C66169" w:rsidRPr="008D5F7E">
        <w:fldChar w:fldCharType="begin"/>
      </w:r>
      <w:r w:rsidR="00C66169" w:rsidRPr="008D5F7E">
        <w:instrText xml:space="preserve"> ADDIN ZOTERO_ITEM CSL_CITATION {"citationID":"Uue7RagH","properties":{"formattedCitation":"(35)","plainCitation":"(35)","noteIndex":0},"citationItems":[{"id":6545,"uris":["http://zotero.org/users/446899/items/EK65YMKX"],"uri":["http://zotero.org/users/446899/items/EK65YMKX"],"itemData":{"id":6545,"type":"webpage","title":"Menopause","container-title":"nhs.uk","abstract":"The menopause is when a woman stops having periods and is no longer able to get pregnant naturally. Read more about the symptoms, causes and treatments.","URL":"https://www.nhs.uk/conditions/menopause/","language":"en","issued":{"date-parts":[["2017",10,23]]},"accessed":{"date-parts":[["2018",12,29]]}}}],"schema":"https://github.com/citation-style-language/schema/raw/master/csl-citation.json"} </w:instrText>
      </w:r>
      <w:r w:rsidR="00C66169" w:rsidRPr="008D5F7E">
        <w:fldChar w:fldCharType="separate"/>
      </w:r>
      <w:r w:rsidR="00C66169" w:rsidRPr="008D5F7E">
        <w:t>(35)</w:t>
      </w:r>
      <w:r w:rsidR="00C66169" w:rsidRPr="008D5F7E">
        <w:fldChar w:fldCharType="end"/>
      </w:r>
      <w:r w:rsidR="0031251F" w:rsidRPr="008D5F7E">
        <w:t xml:space="preserve">. Future research should either control for menopause in statistical models or stratify analyses for menopausal status.  </w:t>
      </w:r>
    </w:p>
    <w:p w14:paraId="566306AC" w14:textId="44DDB2F1" w:rsidR="000B4569" w:rsidRPr="008D5F7E" w:rsidRDefault="000B4569" w:rsidP="008C5E9C">
      <w:pPr>
        <w:spacing w:after="160"/>
        <w:jc w:val="both"/>
      </w:pPr>
      <w:r w:rsidRPr="008D5F7E">
        <w:rPr>
          <w:rFonts w:ascii="Calibri" w:hAnsi="Calibri"/>
          <w:shd w:val="clear" w:color="auto" w:fill="FFFFFF"/>
        </w:rPr>
        <w:t xml:space="preserve">Clear strengths of this study include the large representative sample of older English adults, the </w:t>
      </w:r>
      <w:r w:rsidR="00D87B0A" w:rsidRPr="008D5F7E">
        <w:rPr>
          <w:rFonts w:ascii="Calibri" w:hAnsi="Calibri"/>
          <w:shd w:val="clear" w:color="auto" w:fill="FFFFFF"/>
        </w:rPr>
        <w:t xml:space="preserve">assessment </w:t>
      </w:r>
      <w:r w:rsidRPr="008D5F7E">
        <w:rPr>
          <w:rFonts w:ascii="Calibri" w:hAnsi="Calibri"/>
          <w:shd w:val="clear" w:color="auto" w:fill="FFFFFF"/>
        </w:rPr>
        <w:t xml:space="preserve">of several </w:t>
      </w:r>
      <w:r w:rsidR="00D87B0A" w:rsidRPr="008D5F7E">
        <w:rPr>
          <w:rFonts w:ascii="Calibri" w:hAnsi="Calibri"/>
          <w:shd w:val="clear" w:color="auto" w:fill="FFFFFF"/>
        </w:rPr>
        <w:t xml:space="preserve">aspects </w:t>
      </w:r>
      <w:r w:rsidRPr="008D5F7E">
        <w:rPr>
          <w:rFonts w:ascii="Calibri" w:hAnsi="Calibri"/>
          <w:shd w:val="clear" w:color="auto" w:fill="FFFFFF"/>
        </w:rPr>
        <w:t>of sexual dysfunction</w:t>
      </w:r>
      <w:r w:rsidR="00D87B0A" w:rsidRPr="008D5F7E">
        <w:rPr>
          <w:rFonts w:ascii="Calibri" w:hAnsi="Calibri"/>
          <w:shd w:val="clear" w:color="auto" w:fill="FFFFFF"/>
        </w:rPr>
        <w:t xml:space="preserve"> (erectile dysfunction, arousal problems, orgasmic difficulties) and sleep (quality and duration)</w:t>
      </w:r>
      <w:r w:rsidRPr="008D5F7E">
        <w:rPr>
          <w:rFonts w:ascii="Calibri" w:hAnsi="Calibri"/>
          <w:shd w:val="clear" w:color="auto" w:fill="FFFFFF"/>
        </w:rPr>
        <w:t>,</w:t>
      </w:r>
      <w:r w:rsidR="00D87B0A" w:rsidRPr="008D5F7E">
        <w:rPr>
          <w:rFonts w:ascii="Calibri" w:hAnsi="Calibri"/>
          <w:shd w:val="clear" w:color="auto" w:fill="FFFFFF"/>
        </w:rPr>
        <w:t xml:space="preserve"> and</w:t>
      </w:r>
      <w:r w:rsidRPr="008D5F7E">
        <w:rPr>
          <w:rFonts w:ascii="Calibri" w:hAnsi="Calibri"/>
          <w:shd w:val="clear" w:color="auto" w:fill="FFFFFF"/>
        </w:rPr>
        <w:t xml:space="preserve"> the inclusion of potentially important confounding variables into statistical models. However, the study must be interpreted </w:t>
      </w:r>
      <w:proofErr w:type="gramStart"/>
      <w:r w:rsidRPr="008D5F7E">
        <w:rPr>
          <w:rFonts w:ascii="Calibri" w:hAnsi="Calibri"/>
          <w:shd w:val="clear" w:color="auto" w:fill="FFFFFF"/>
        </w:rPr>
        <w:t>in light of</w:t>
      </w:r>
      <w:proofErr w:type="gramEnd"/>
      <w:r w:rsidRPr="008D5F7E">
        <w:rPr>
          <w:rFonts w:ascii="Calibri" w:hAnsi="Calibri"/>
          <w:shd w:val="clear" w:color="auto" w:fill="FFFFFF"/>
        </w:rPr>
        <w:t xml:space="preserve"> its limitations. The study was cross-sectional</w:t>
      </w:r>
      <w:r w:rsidR="00F05C15" w:rsidRPr="008D5F7E">
        <w:rPr>
          <w:rFonts w:ascii="Calibri" w:hAnsi="Calibri"/>
          <w:shd w:val="clear" w:color="auto" w:fill="FFFFFF"/>
        </w:rPr>
        <w:t>,</w:t>
      </w:r>
      <w:r w:rsidRPr="008D5F7E">
        <w:rPr>
          <w:rFonts w:ascii="Calibri" w:hAnsi="Calibri"/>
          <w:shd w:val="clear" w:color="auto" w:fill="FFFFFF"/>
        </w:rPr>
        <w:t xml:space="preserve"> </w:t>
      </w:r>
      <w:r w:rsidR="00F05C15" w:rsidRPr="008D5F7E">
        <w:rPr>
          <w:rFonts w:ascii="Calibri" w:hAnsi="Calibri"/>
          <w:shd w:val="clear" w:color="auto" w:fill="FFFFFF"/>
        </w:rPr>
        <w:t xml:space="preserve">meaning we were unable to ascertain </w:t>
      </w:r>
      <w:r w:rsidRPr="008D5F7E">
        <w:rPr>
          <w:rFonts w:ascii="Calibri" w:hAnsi="Calibri"/>
          <w:shd w:val="clear" w:color="auto" w:fill="FFFFFF"/>
        </w:rPr>
        <w:t>the direction of the observed associations.</w:t>
      </w:r>
      <w:r w:rsidR="007D5EED" w:rsidRPr="008D5F7E">
        <w:rPr>
          <w:rFonts w:ascii="Calibri" w:hAnsi="Calibri"/>
          <w:shd w:val="clear" w:color="auto" w:fill="FFFFFF"/>
        </w:rPr>
        <w:t xml:space="preserve"> For exampl</w:t>
      </w:r>
      <w:r w:rsidR="00E7565F" w:rsidRPr="008D5F7E">
        <w:rPr>
          <w:rFonts w:ascii="Calibri" w:hAnsi="Calibri"/>
          <w:shd w:val="clear" w:color="auto" w:fill="FFFFFF"/>
        </w:rPr>
        <w:t xml:space="preserve">e, it may be that people </w:t>
      </w:r>
      <w:r w:rsidR="007D5EED" w:rsidRPr="008D5F7E">
        <w:rPr>
          <w:rFonts w:ascii="Calibri" w:hAnsi="Calibri"/>
          <w:shd w:val="clear" w:color="auto" w:fill="FFFFFF"/>
        </w:rPr>
        <w:t>are anxious about sexual problems and this is causing sleep problems. Future longitudinal research is needed.</w:t>
      </w:r>
      <w:r w:rsidRPr="008D5F7E">
        <w:rPr>
          <w:rFonts w:ascii="Calibri" w:hAnsi="Calibri"/>
          <w:shd w:val="clear" w:color="auto" w:fill="FFFFFF"/>
        </w:rPr>
        <w:t xml:space="preserve"> </w:t>
      </w:r>
      <w:r w:rsidR="00F05C15" w:rsidRPr="008D5F7E">
        <w:rPr>
          <w:rFonts w:ascii="Calibri" w:hAnsi="Calibri"/>
        </w:rPr>
        <w:t>S</w:t>
      </w:r>
      <w:r w:rsidRPr="008D5F7E">
        <w:rPr>
          <w:rFonts w:ascii="Calibri" w:hAnsi="Calibri"/>
        </w:rPr>
        <w:t>elf-report</w:t>
      </w:r>
      <w:r w:rsidR="00F05C15" w:rsidRPr="008D5F7E">
        <w:rPr>
          <w:rFonts w:ascii="Calibri" w:hAnsi="Calibri"/>
        </w:rPr>
        <w:t xml:space="preserve">ing of </w:t>
      </w:r>
      <w:r w:rsidR="007D5EED" w:rsidRPr="008D5F7E">
        <w:rPr>
          <w:rFonts w:ascii="Calibri" w:hAnsi="Calibri"/>
        </w:rPr>
        <w:t xml:space="preserve">sleep and </w:t>
      </w:r>
      <w:r w:rsidR="00F05C15" w:rsidRPr="008D5F7E">
        <w:rPr>
          <w:rFonts w:ascii="Calibri" w:hAnsi="Calibri"/>
        </w:rPr>
        <w:t xml:space="preserve">sexual problems may have been subject to </w:t>
      </w:r>
      <w:r w:rsidR="000D7AC3" w:rsidRPr="008D5F7E">
        <w:rPr>
          <w:rFonts w:ascii="Calibri" w:hAnsi="Calibri"/>
        </w:rPr>
        <w:t>reporting bias</w:t>
      </w:r>
      <w:r w:rsidR="00F05C15" w:rsidRPr="008D5F7E">
        <w:rPr>
          <w:rFonts w:ascii="Calibri" w:hAnsi="Calibri"/>
        </w:rPr>
        <w:t>,</w:t>
      </w:r>
      <w:r w:rsidR="000D7AC3" w:rsidRPr="008D5F7E">
        <w:rPr>
          <w:rFonts w:ascii="Calibri" w:hAnsi="Calibri"/>
        </w:rPr>
        <w:t xml:space="preserve"> and it is possible that participants who were particularly embarrassed about sexual problems they were experiencing were more likely to have missing data on the variables of interest. However, steps were taken to try and maintain a sense of privacy, including assessing sexual problems via written questionnaire rather than in the face-to-face interview, and assuring every participant that responses would remain completely anonymous</w:t>
      </w:r>
      <w:r w:rsidR="009F3BAC" w:rsidRPr="008D5F7E">
        <w:rPr>
          <w:rFonts w:ascii="Calibri" w:hAnsi="Calibri"/>
        </w:rPr>
        <w:t>.</w:t>
      </w:r>
      <w:r w:rsidR="001C12BE" w:rsidRPr="008D5F7E">
        <w:rPr>
          <w:rFonts w:ascii="Calibri" w:hAnsi="Calibri"/>
        </w:rPr>
        <w:t xml:space="preserve"> The present study asked men about their ability to get and keep an erection which would be good enough for sexual activity during the past month. Therefore</w:t>
      </w:r>
      <w:r w:rsidR="0043401B" w:rsidRPr="008D5F7E">
        <w:rPr>
          <w:rFonts w:ascii="Calibri" w:hAnsi="Calibri"/>
        </w:rPr>
        <w:t>,</w:t>
      </w:r>
      <w:r w:rsidR="001C12BE" w:rsidRPr="008D5F7E">
        <w:rPr>
          <w:rFonts w:ascii="Calibri" w:hAnsi="Calibri"/>
        </w:rPr>
        <w:t xml:space="preserve"> our measure of erectile dysfunction did not consider </w:t>
      </w:r>
      <w:r w:rsidR="001453EB" w:rsidRPr="008D5F7E">
        <w:rPr>
          <w:rFonts w:ascii="Calibri" w:hAnsi="Calibri"/>
        </w:rPr>
        <w:t>sleep</w:t>
      </w:r>
      <w:r w:rsidR="005756F4" w:rsidRPr="008D5F7E">
        <w:rPr>
          <w:rFonts w:ascii="Calibri" w:hAnsi="Calibri"/>
        </w:rPr>
        <w:t>-</w:t>
      </w:r>
      <w:r w:rsidR="001453EB" w:rsidRPr="008D5F7E">
        <w:rPr>
          <w:rFonts w:ascii="Calibri" w:hAnsi="Calibri"/>
        </w:rPr>
        <w:t>related erection</w:t>
      </w:r>
      <w:r w:rsidR="0043401B" w:rsidRPr="008D5F7E">
        <w:rPr>
          <w:rFonts w:ascii="Calibri" w:hAnsi="Calibri"/>
        </w:rPr>
        <w:t>s</w:t>
      </w:r>
      <w:r w:rsidR="001453EB" w:rsidRPr="008D5F7E">
        <w:rPr>
          <w:rFonts w:ascii="Calibri" w:hAnsi="Calibri"/>
        </w:rPr>
        <w:t>. Indeed, for those in the present sample who reported a negative response to this question it is possible that they still experience sleep</w:t>
      </w:r>
      <w:r w:rsidR="005756F4" w:rsidRPr="008D5F7E">
        <w:rPr>
          <w:rFonts w:ascii="Calibri" w:hAnsi="Calibri"/>
        </w:rPr>
        <w:t>-</w:t>
      </w:r>
      <w:r w:rsidR="001453EB" w:rsidRPr="008D5F7E">
        <w:rPr>
          <w:rFonts w:ascii="Calibri" w:hAnsi="Calibri"/>
        </w:rPr>
        <w:t xml:space="preserve">related erections and thus future studies may </w:t>
      </w:r>
      <w:r w:rsidR="00707698" w:rsidRPr="008D5F7E">
        <w:rPr>
          <w:rFonts w:ascii="Calibri" w:hAnsi="Calibri"/>
        </w:rPr>
        <w:t>wish to investigate</w:t>
      </w:r>
      <w:r w:rsidR="001453EB" w:rsidRPr="008D5F7E">
        <w:rPr>
          <w:rFonts w:ascii="Calibri" w:hAnsi="Calibri"/>
        </w:rPr>
        <w:t xml:space="preserve"> this sleep</w:t>
      </w:r>
      <w:r w:rsidR="005756F4" w:rsidRPr="008D5F7E">
        <w:rPr>
          <w:rFonts w:ascii="Calibri" w:hAnsi="Calibri"/>
        </w:rPr>
        <w:t>-</w:t>
      </w:r>
      <w:r w:rsidR="001453EB" w:rsidRPr="008D5F7E">
        <w:rPr>
          <w:rFonts w:ascii="Calibri" w:hAnsi="Calibri"/>
        </w:rPr>
        <w:t>related physiological phenomen</w:t>
      </w:r>
      <w:r w:rsidR="005756F4" w:rsidRPr="008D5F7E">
        <w:rPr>
          <w:rFonts w:ascii="Calibri" w:hAnsi="Calibri"/>
        </w:rPr>
        <w:t>on</w:t>
      </w:r>
      <w:r w:rsidR="001453EB" w:rsidRPr="008D5F7E">
        <w:rPr>
          <w:rFonts w:ascii="Calibri" w:hAnsi="Calibri"/>
        </w:rPr>
        <w:t xml:space="preserve"> in relation to sleep quality and duration. </w:t>
      </w:r>
      <w:r w:rsidR="00445BF5" w:rsidRPr="008D5F7E">
        <w:t>It is possible that some participants in the present sample may be suffering from testosterone deficiency. Testosterone deficiency may lead to erectile dysfunctio</w:t>
      </w:r>
      <w:r w:rsidR="00E93AF4" w:rsidRPr="008D5F7E">
        <w:t xml:space="preserve">n </w:t>
      </w:r>
      <w:r w:rsidR="00E93AF4" w:rsidRPr="008D5F7E">
        <w:fldChar w:fldCharType="begin"/>
      </w:r>
      <w:r w:rsidR="00C66169" w:rsidRPr="008D5F7E">
        <w:instrText xml:space="preserve"> ADDIN ZOTERO_ITEM CSL_CITATION {"citationID":"S9p2i7GS","properties":{"formattedCitation":"(36)","plainCitation":"(36)","noteIndex":0},"citationItems":[{"id":6186,"uris":["http://zotero.org/users/446899/items/7A2JJLVV"],"uri":["http://zotero.org/users/446899/items/7A2JJLVV"],"itemData":{"id":6186,"type":"article-journal","title":"Prevalence of androgen deficiency in men with erectile dysfunction","container-title":"Urology","page":"693-697","volume":"71","issue":"4","source":"PubMed","abstract":"OBJECTIVES: Erectile dysfunction (ED) and androgen deficiency in aging men are two separate clinical entities that often overlap. Controversy exists regarding the most appropriate total testosterone level that defines androgen deficiency in aging men, and its prevalence in men with ED is still uncertain. We evaluated the prevalence and risk factors of low and low-normal testosterone levels in men presenting for an initial ED evaluation.\nMETHODS: The computerized charts from 1987 to 2002 of 2794 men aged 25 to 80 years and presenting with a primary complaint of ED who also had serum total testosterone levels measured were retrospectively reviewed. Multiple testosterone level cutpoints and a linear regression model (including age, diabetes, cholesterol, anemia, creatinine, and prostate-specific antigen) were used to analyze the factors that correlated with hypogonadism.\nRESULTS: The prevalence of androgen deficiency was 7%, 23%, 33%, and 47% for testosterone levels of less than 200, less than 300, less than 346, and less than 400 ng/dL, respectively. An abrupt increase in hypogonadism prevalence occurred in men aged 45 to 50, beyond which a plateau of prevalence was maintained until older than 80 years of age. Age, the presence of uncontrolled diabetes, high total cholesterol, and anemia all correlated with significantly decreased testosterone levels in men with ED. The prostate-specific antigen level and creatinine did not affect the testosterone levels.\nCONCLUSIONS: Androgen deficiency was quite common in men presenting with ED and correlated significantly with age, uncontrolled diabetes, hypercholesteremia, and anemia. Although additional prospective studies evaluating the effect of testosterone supplementation in this population are needed, clinicians, including urologists, should be keenly aware of the large overlap of patients with ED who might also have the entity, androgen deficiency in the aging male.","DOI":"10.1016/j.urology.2007.11.073","ISSN":"1527-9995","note":"PMID: 18313109","journalAbbreviation":"Urology","language":"eng","author":[{"family":"Köhler","given":"Tobias S."},{"family":"Kim","given":"Johnny"},{"family":"Feia","given":"Kendall"},{"family":"Bodie","given":"Josh"},{"family":"Johnson","given":"Nick"},{"family":"Makhlouf","given":"Antoine"},{"family":"Monga","given":"Manoj"}],"issued":{"date-parts":[["2008",4]]}}}],"schema":"https://github.com/citation-style-language/schema/raw/master/csl-citation.json"} </w:instrText>
      </w:r>
      <w:r w:rsidR="00E93AF4" w:rsidRPr="008D5F7E">
        <w:fldChar w:fldCharType="separate"/>
      </w:r>
      <w:r w:rsidR="00C66169" w:rsidRPr="008D5F7E">
        <w:rPr>
          <w:rFonts w:ascii="Calibri" w:hAnsi="Calibri" w:cs="Calibri"/>
        </w:rPr>
        <w:t>(36)</w:t>
      </w:r>
      <w:r w:rsidR="00E93AF4" w:rsidRPr="008D5F7E">
        <w:fldChar w:fldCharType="end"/>
      </w:r>
      <w:r w:rsidR="00E93AF4" w:rsidRPr="008D5F7E">
        <w:t xml:space="preserve"> </w:t>
      </w:r>
      <w:r w:rsidR="00445BF5" w:rsidRPr="008D5F7E">
        <w:t>and sleep complications. Data on testosterone deficiency was not available to be included in the analyses of the present study. However, estimates suggest that such deficiencies influence only a small proportion of European males, just 3.2% of males aged 60 to 69 years</w:t>
      </w:r>
      <w:r w:rsidR="00B450D9" w:rsidRPr="008D5F7E">
        <w:t xml:space="preserve"> </w:t>
      </w:r>
      <w:r w:rsidR="00B450D9" w:rsidRPr="008D5F7E">
        <w:fldChar w:fldCharType="begin"/>
      </w:r>
      <w:r w:rsidR="00C66169" w:rsidRPr="008D5F7E">
        <w:instrText xml:space="preserve"> ADDIN ZOTERO_ITEM CSL_CITATION {"citationID":"zPN5PrD2","properties":{"formattedCitation":"(37)","plainCitation":"(37)","noteIndex":0},"citationItems":[{"id":6188,"uris":["http://zotero.org/users/446899/items/J7R93VUH"],"uri":["http://zotero.org/users/446899/items/J7R93VUH"],"itemData":{"id":6188,"type":"article-journal","title":"British Society for Sexual Medicine Guidelines on Adult Testosterone Deficiency, With Statements for UK Practice","container-title":"The Journal of Sexual Medicine","page":"1504-1523","volume":"14","issue":"12","source":"PubMed","abstract":"BACKGROUND: Testosterone deficiency (TD) is an increasingly common problem with significant health implications, but its diagnosis and management can be challenging.\nAIM: To review the available literature on TD and provide evidence-based statements for UK clinical practice.\nMETHODS: Evidence was derived from Medline, EMBASE, and Cochrane searches on hypogonadism, testosterone (T) therapy, and cardiovascular safety from May 2005 to May 2015. Further searches continued until May 2017.\nOUTCOMES: To provide a guideline on diagnosing and managing TD, with levels of evidence and grades of recommendation, based on a critical review of the literature and consensus of the British Society of Sexual Medicine panel.\nRESULTS: 25 statements are provided, relating to 5 key areas: screening, diagnosis, initiating T therapy, benefits and risks of T therapy, and follow-up. 7 statements are supported by level 1, 8 by level 2, 5 by level 3, and 5 by level 4 evidence.\nCLINICAL IMPLICATIONS: To help guide UK practitioners on effectively diagnosing and managing primary and age-related TD.\nSTRENGTHS AND LIMITATIONS: A large amount of literature was carefully sourced and reviewed, presenting the best evidence available at the time. However, some statements provided are based on poor-quality evidence. This is a rapidly evolving area of research and recommendations are subject to change. Guidelines can never replace clinical expertise when making treatment decisions for individual patients, but rather help to focus decisions and take personal values and preferences and individual circumstances into account. Many issues remain controversial, but in the meantime, clinicians need to manage patient needs and clinical expectations armed with the best clinical evidence and the multidisciplinary expert opinion available.\nCONCLUSION: Improving the diagnosis and management of TD in adult men should provide somatic, sexual, and psychological benefits and subsequent improvements in quality of life. Hackett G, Kirby M, Edwards D, et al. British Society for Sexual Medicine Guidelines on Adult Testosterone Deficiency, With Statements for UK Practice. J Sex Med 2017;14:1504-1523.","DOI":"10.1016/j.jsxm.2017.10.067","ISSN":"1743-6109","note":"PMID: 29198507","journalAbbreviation":"J Sex Med","language":"eng","author":[{"family":"Hackett","given":"Geoff"},{"family":"Kirby","given":"Michael"},{"family":"Edwards","given":"David"},{"family":"Jones","given":"Thomas Hugh"},{"family":"Wylie","given":"Kevan"},{"family":"Ossei-Gerning","given":"Nick"},{"family":"David","given":"Janine"},{"family":"Muneer","given":"Asif"}],"issued":{"date-parts":[["2017",12]]}}}],"schema":"https://github.com/citation-style-language/schema/raw/master/csl-citation.json"} </w:instrText>
      </w:r>
      <w:r w:rsidR="00B450D9" w:rsidRPr="008D5F7E">
        <w:fldChar w:fldCharType="separate"/>
      </w:r>
      <w:r w:rsidR="00C66169" w:rsidRPr="008D5F7E">
        <w:rPr>
          <w:rFonts w:ascii="Calibri" w:hAnsi="Calibri" w:cs="Calibri"/>
        </w:rPr>
        <w:t>(37)</w:t>
      </w:r>
      <w:r w:rsidR="00B450D9" w:rsidRPr="008D5F7E">
        <w:fldChar w:fldCharType="end"/>
      </w:r>
      <w:r w:rsidR="00445BF5" w:rsidRPr="008D5F7E">
        <w:t>. This equates to approximately 82 men in the current analyses and thus unlikely to influence the present findings.</w:t>
      </w:r>
      <w:r w:rsidR="00EB5CF1" w:rsidRPr="008D5F7E">
        <w:t xml:space="preserve"> </w:t>
      </w:r>
      <w:r w:rsidR="00436FE0" w:rsidRPr="008D5F7E">
        <w:t xml:space="preserve">Finally, the present study investigated generic sleep problems. Such generic sleep variables have been used in previous work (e.g. </w:t>
      </w:r>
      <w:r w:rsidR="00EC1475" w:rsidRPr="008D5F7E">
        <w:t>s</w:t>
      </w:r>
      <w:r w:rsidR="00436FE0" w:rsidRPr="008D5F7E">
        <w:t>e</w:t>
      </w:r>
      <w:r w:rsidR="00EC1475" w:rsidRPr="008D5F7E">
        <w:t xml:space="preserve">e </w:t>
      </w:r>
      <w:r w:rsidR="00EC1475" w:rsidRPr="008D5F7E">
        <w:fldChar w:fldCharType="begin"/>
      </w:r>
      <w:r w:rsidR="00EC1475" w:rsidRPr="008D5F7E">
        <w:instrText xml:space="preserve"> ADDIN ZOTERO_ITEM CSL_CITATION {"citationID":"ZzPg52jW","properties":{"formattedCitation":"(13)","plainCitation":"(13)","noteIndex":0},"citationItems":[{"id":6167,"uris":["http://zotero.org/users/446899/items/6LC36M6S"],"uri":["http://zotero.org/users/446899/items/6LC36M6S"],"itemData":{"id":6167,"type":"article-journal","title":"Association between personal basic information, sleep quality, mental disorders and erectile function: a cross-sectional study among 334 Chinese outpatients","container-title":"Andrologia","page":"e12631","volume":"49","issue":"3","source":"Wiley Online Library","abstract":"Male erectile dysfunction (ED) may cause anxiety and depression, while mental disorders and sleep disturbances may also be closely related to ED. However, the exact nature of their relationship remains unclear, and whether personal basic background data affect erectile function is unknown. We conducted a cross-sectional study among Chinese outpatients with ED from January 2012 to December 2014. All the men answered a questionnaire collecting information about mental health status, sleep disturbances and personal data, underwent a physical examination and had a blood sample drawn. Sleep disturbances were assessed on the basis of a 19-item version of the Pittsburgh Sleep Quality Index, which includes questions on sleep patterns during the past month. Among the 462 patients, 128 patients with alcohol abuse, diabetes, hypertension, hyperlipidaemia, psychiatric drugs, neurologic injury or abnormal hormones were excluded from the study; 86.27% and 68.66% of the patients suffered from anxiety and depression respectively. Sleep quality and anxiety symptoms significantly affected erectile function, whereas personal income and education level had no significant effects. Our study suggested that it is necessary to pay attention to the psychological status of patients with ED, especially anxiety disorder. Sleep quality may be an important factor affecting erectile function according to the personal data.","DOI":"10.1111/and.12631","ISSN":"1439-0272","shortTitle":"Association between personal basic information, sleep quality, mental disorders and erectile function","language":"en","author":[{"family":"Cheng","given":"Q. S."},{"family":"Liu","given":"T."},{"family":"Huang","given":"H. B."},{"family":"Peng","given":"Y. F."},{"family":"Jiang","given":"S. C."},{"family":"Mei","given":"X. B."}],"issued":{"date-parts":[["2017",4,1]]}}}],"schema":"https://github.com/citation-style-language/schema/raw/master/csl-citation.json"} </w:instrText>
      </w:r>
      <w:r w:rsidR="00EC1475" w:rsidRPr="008D5F7E">
        <w:fldChar w:fldCharType="separate"/>
      </w:r>
      <w:r w:rsidR="00EC1475" w:rsidRPr="008D5F7E">
        <w:t>(13)</w:t>
      </w:r>
      <w:r w:rsidR="00EC1475" w:rsidRPr="008D5F7E">
        <w:fldChar w:fldCharType="end"/>
      </w:r>
      <w:r w:rsidR="00436FE0" w:rsidRPr="008D5F7E">
        <w:t>). Although the present work provides valuable information on the relationship between sleep problems and sexual function it should be noted that sleep problems can vary from hypersomnia to insomnia</w:t>
      </w:r>
      <w:r w:rsidR="00EC1475" w:rsidRPr="008D5F7E">
        <w:t>,</w:t>
      </w:r>
      <w:r w:rsidR="00436FE0" w:rsidRPr="008D5F7E">
        <w:t xml:space="preserve"> and insomnia can be differentiated into difficulties in falling asleep or awakening during night. Future research may wish to build on the present work to unpick the relationship between specific sleep conditions with the present sexual function variables or others. This future research will allow for more precise information to inform targeted interventions</w:t>
      </w:r>
      <w:r w:rsidR="00EC1475" w:rsidRPr="008D5F7E">
        <w:t>.</w:t>
      </w:r>
    </w:p>
    <w:p w14:paraId="7BED010D" w14:textId="77777777" w:rsidR="00F93B46" w:rsidRPr="008D5F7E" w:rsidRDefault="000B4569" w:rsidP="000B4569">
      <w:pPr>
        <w:spacing w:after="160"/>
        <w:rPr>
          <w:rFonts w:ascii="Calibri" w:hAnsi="Calibri"/>
        </w:rPr>
      </w:pPr>
      <w:r w:rsidRPr="008D5F7E">
        <w:lastRenderedPageBreak/>
        <w:t xml:space="preserve">In conclusion, </w:t>
      </w:r>
      <w:r w:rsidR="003B2C60" w:rsidRPr="008D5F7E">
        <w:t xml:space="preserve">the present results indicate that reduced quality and prolonged </w:t>
      </w:r>
      <w:r w:rsidRPr="008D5F7E">
        <w:t xml:space="preserve">sleep </w:t>
      </w:r>
      <w:r w:rsidR="00246988" w:rsidRPr="008D5F7E">
        <w:t>may be</w:t>
      </w:r>
      <w:r w:rsidRPr="008D5F7E">
        <w:t xml:space="preserve"> associated with sexual dysfunction in </w:t>
      </w:r>
      <w:r w:rsidR="00246988" w:rsidRPr="008D5F7E">
        <w:t>later life</w:t>
      </w:r>
      <w:r w:rsidRPr="008D5F7E">
        <w:t xml:space="preserve">. </w:t>
      </w:r>
      <w:r w:rsidRPr="008D5F7E">
        <w:rPr>
          <w:rFonts w:ascii="Calibri" w:hAnsi="Calibri"/>
        </w:rPr>
        <w:t xml:space="preserve">Observed associations vary between men and women. Further research of a longitudinal and experimental nature is needed to </w:t>
      </w:r>
      <w:r w:rsidR="00246988" w:rsidRPr="008D5F7E">
        <w:rPr>
          <w:rFonts w:ascii="Calibri" w:hAnsi="Calibri"/>
        </w:rPr>
        <w:t>provide further insight into</w:t>
      </w:r>
      <w:r w:rsidRPr="008D5F7E">
        <w:rPr>
          <w:rFonts w:ascii="Calibri" w:hAnsi="Calibri"/>
        </w:rPr>
        <w:t xml:space="preserve"> relationship</w:t>
      </w:r>
      <w:r w:rsidR="00246988" w:rsidRPr="008D5F7E">
        <w:rPr>
          <w:rFonts w:ascii="Calibri" w:hAnsi="Calibri"/>
        </w:rPr>
        <w:t>s</w:t>
      </w:r>
      <w:r w:rsidRPr="008D5F7E">
        <w:rPr>
          <w:rFonts w:ascii="Calibri" w:hAnsi="Calibri"/>
        </w:rPr>
        <w:t xml:space="preserve"> between sleep problems and sexual dysfunction</w:t>
      </w:r>
      <w:r w:rsidR="00246988" w:rsidRPr="008D5F7E">
        <w:rPr>
          <w:rFonts w:ascii="Calibri" w:hAnsi="Calibri"/>
        </w:rPr>
        <w:t xml:space="preserve"> and potential mechanisms driving these assoc</w:t>
      </w:r>
      <w:r w:rsidR="00376409" w:rsidRPr="008D5F7E">
        <w:rPr>
          <w:rFonts w:ascii="Calibri" w:hAnsi="Calibri"/>
        </w:rPr>
        <w:t>i</w:t>
      </w:r>
      <w:r w:rsidR="00246988" w:rsidRPr="008D5F7E">
        <w:rPr>
          <w:rFonts w:ascii="Calibri" w:hAnsi="Calibri"/>
        </w:rPr>
        <w:t>ations</w:t>
      </w:r>
      <w:r w:rsidRPr="008D5F7E">
        <w:rPr>
          <w:rFonts w:ascii="Calibri" w:hAnsi="Calibri"/>
        </w:rPr>
        <w:t xml:space="preserve">. </w:t>
      </w:r>
    </w:p>
    <w:p w14:paraId="129FF1D9" w14:textId="77777777" w:rsidR="008356C0" w:rsidRPr="008D5F7E" w:rsidRDefault="008356C0" w:rsidP="000B4569">
      <w:pPr>
        <w:spacing w:after="160"/>
        <w:rPr>
          <w:rFonts w:ascii="Calibri" w:hAnsi="Calibri"/>
        </w:rPr>
      </w:pPr>
      <w:r w:rsidRPr="008D5F7E">
        <w:rPr>
          <w:rFonts w:ascii="Calibri" w:hAnsi="Calibri"/>
          <w:b/>
        </w:rPr>
        <w:t>Declarations of Interest</w:t>
      </w:r>
      <w:r w:rsidRPr="008D5F7E">
        <w:rPr>
          <w:rFonts w:ascii="Calibri" w:hAnsi="Calibri"/>
        </w:rPr>
        <w:t xml:space="preserve"> </w:t>
      </w:r>
    </w:p>
    <w:p w14:paraId="2DB344F7" w14:textId="4D3320D3" w:rsidR="00F93B46" w:rsidRPr="008D5F7E" w:rsidRDefault="008356C0" w:rsidP="000B4569">
      <w:pPr>
        <w:spacing w:after="160"/>
        <w:rPr>
          <w:rFonts w:ascii="Calibri" w:hAnsi="Calibri"/>
        </w:rPr>
      </w:pPr>
      <w:r w:rsidRPr="008D5F7E">
        <w:rPr>
          <w:rFonts w:ascii="Calibri" w:hAnsi="Calibri"/>
        </w:rPr>
        <w:t xml:space="preserve">None. </w:t>
      </w:r>
    </w:p>
    <w:p w14:paraId="3D7F1A84" w14:textId="19806D15" w:rsidR="008B4FAC" w:rsidRPr="008D5F7E" w:rsidRDefault="008B4FAC" w:rsidP="000B4569">
      <w:pPr>
        <w:spacing w:after="160"/>
        <w:rPr>
          <w:rFonts w:ascii="Calibri" w:hAnsi="Calibri"/>
          <w:b/>
        </w:rPr>
      </w:pPr>
      <w:r w:rsidRPr="008D5F7E">
        <w:rPr>
          <w:rFonts w:ascii="Calibri" w:hAnsi="Calibri"/>
          <w:b/>
        </w:rPr>
        <w:t>Conflicts of Interest</w:t>
      </w:r>
    </w:p>
    <w:p w14:paraId="6EE580DE" w14:textId="0F5F3927" w:rsidR="008B4FAC" w:rsidRPr="008D5F7E" w:rsidRDefault="008B4FAC" w:rsidP="000B4569">
      <w:pPr>
        <w:spacing w:after="160"/>
        <w:rPr>
          <w:rFonts w:ascii="Calibri" w:hAnsi="Calibri"/>
        </w:rPr>
      </w:pPr>
      <w:r w:rsidRPr="008D5F7E">
        <w:rPr>
          <w:rFonts w:ascii="Calibri" w:hAnsi="Calibri"/>
        </w:rPr>
        <w:t>None.</w:t>
      </w:r>
    </w:p>
    <w:p w14:paraId="6C3844B3" w14:textId="77777777" w:rsidR="00F93B46" w:rsidRPr="008D5F7E" w:rsidRDefault="00F93B46" w:rsidP="000B4569">
      <w:pPr>
        <w:spacing w:after="160"/>
        <w:rPr>
          <w:rFonts w:ascii="Calibri" w:hAnsi="Calibri"/>
          <w:b/>
        </w:rPr>
      </w:pPr>
      <w:r w:rsidRPr="008D5F7E">
        <w:rPr>
          <w:rFonts w:ascii="Calibri" w:hAnsi="Calibri"/>
          <w:b/>
        </w:rPr>
        <w:t>Funding</w:t>
      </w:r>
    </w:p>
    <w:p w14:paraId="3951E183" w14:textId="77777777" w:rsidR="008356C0" w:rsidRPr="008D5F7E" w:rsidRDefault="00F93B46" w:rsidP="000B4569">
      <w:pPr>
        <w:spacing w:after="160"/>
      </w:pPr>
      <w:r w:rsidRPr="008D5F7E">
        <w:t xml:space="preserve">This research did not receive any specific grant from funding agencies in the public, commercial, or not-for-profit sectors. </w:t>
      </w:r>
    </w:p>
    <w:p w14:paraId="3003D90A" w14:textId="25BF5CA5" w:rsidR="00D40F9C" w:rsidRPr="008D5F7E" w:rsidRDefault="00D40F9C" w:rsidP="000B4569">
      <w:pPr>
        <w:spacing w:after="160"/>
      </w:pPr>
      <w:r w:rsidRPr="008D5F7E">
        <w:br w:type="page"/>
      </w:r>
    </w:p>
    <w:p w14:paraId="1EAA2555" w14:textId="77777777" w:rsidR="00D7330A" w:rsidRPr="00F26607" w:rsidRDefault="00F26607" w:rsidP="00793C9D">
      <w:pPr>
        <w:pStyle w:val="Heading2"/>
      </w:pPr>
      <w:r>
        <w:lastRenderedPageBreak/>
        <w:t>References</w:t>
      </w:r>
    </w:p>
    <w:p w14:paraId="16F75978" w14:textId="77777777" w:rsidR="00C66169" w:rsidRPr="00C66169" w:rsidRDefault="00AD6B6F" w:rsidP="00C66169">
      <w:pPr>
        <w:pStyle w:val="Bibliography"/>
        <w:rPr>
          <w:rFonts w:ascii="Calibri" w:hAnsi="Calibri" w:cs="Calibri"/>
        </w:rPr>
      </w:pPr>
      <w:r>
        <w:fldChar w:fldCharType="begin"/>
      </w:r>
      <w:r w:rsidR="00DC4F3A">
        <w:instrText xml:space="preserve"> ADDIN ZOTERO_BIBL {"uncited":[],"omitted":[],"custom":[]} CSL_BIBLIOGRAPHY </w:instrText>
      </w:r>
      <w:r>
        <w:fldChar w:fldCharType="separate"/>
      </w:r>
      <w:r w:rsidR="00C66169" w:rsidRPr="00C66169">
        <w:rPr>
          <w:rFonts w:ascii="Calibri" w:hAnsi="Calibri" w:cs="Calibri"/>
        </w:rPr>
        <w:t xml:space="preserve">1. </w:t>
      </w:r>
      <w:r w:rsidR="00C66169" w:rsidRPr="00C66169">
        <w:rPr>
          <w:rFonts w:ascii="Calibri" w:hAnsi="Calibri" w:cs="Calibri"/>
        </w:rPr>
        <w:tab/>
        <w:t xml:space="preserve">Lindau ST, Schumm LP, Laumann EO, Levinson W, O’Muircheartaigh CA, Waite LJ. A Study of Sexuality and Health among Older Adults in the United States. N Engl J Med. 2007 Aug 23;357(8):762–74. </w:t>
      </w:r>
    </w:p>
    <w:p w14:paraId="2A300BDD" w14:textId="77777777" w:rsidR="00C66169" w:rsidRPr="00C66169" w:rsidRDefault="00C66169" w:rsidP="00C66169">
      <w:pPr>
        <w:pStyle w:val="Bibliography"/>
        <w:rPr>
          <w:rFonts w:ascii="Calibri" w:hAnsi="Calibri" w:cs="Calibri"/>
        </w:rPr>
      </w:pPr>
      <w:r w:rsidRPr="00C66169">
        <w:rPr>
          <w:rFonts w:ascii="Calibri" w:hAnsi="Calibri" w:cs="Calibri"/>
        </w:rPr>
        <w:t xml:space="preserve">2. </w:t>
      </w:r>
      <w:r w:rsidRPr="00C66169">
        <w:rPr>
          <w:rFonts w:ascii="Calibri" w:hAnsi="Calibri" w:cs="Calibri"/>
        </w:rPr>
        <w:tab/>
        <w:t xml:space="preserve">Laumann EO, Das A, Waite LJ. Sexual Dysfunction among Older Adults: Prevalence and Risk Factors from a Nationally Representative U.S. Probability Sample of Men and Women 57–85 Years of Age. J Sex Med. 2008 Oct;5(10):2300–11. </w:t>
      </w:r>
    </w:p>
    <w:p w14:paraId="1043EAC4" w14:textId="77777777" w:rsidR="00C66169" w:rsidRPr="00C66169" w:rsidRDefault="00C66169" w:rsidP="00C66169">
      <w:pPr>
        <w:pStyle w:val="Bibliography"/>
        <w:rPr>
          <w:rFonts w:ascii="Calibri" w:hAnsi="Calibri" w:cs="Calibri"/>
        </w:rPr>
      </w:pPr>
      <w:r w:rsidRPr="00C66169">
        <w:rPr>
          <w:rFonts w:ascii="Calibri" w:hAnsi="Calibri" w:cs="Calibri"/>
        </w:rPr>
        <w:t xml:space="preserve">3. </w:t>
      </w:r>
      <w:r w:rsidRPr="00C66169">
        <w:rPr>
          <w:rFonts w:ascii="Calibri" w:hAnsi="Calibri" w:cs="Calibri"/>
        </w:rPr>
        <w:tab/>
        <w:t xml:space="preserve">Laumann EO, Paik A, Rosen RC. Sexual dysfunction in the United States: prevalence and predictors. JAMA. 1999 Feb 10;281(6):537–44. </w:t>
      </w:r>
    </w:p>
    <w:p w14:paraId="18920DA3" w14:textId="77777777" w:rsidR="00C66169" w:rsidRPr="00C66169" w:rsidRDefault="00C66169" w:rsidP="00C66169">
      <w:pPr>
        <w:pStyle w:val="Bibliography"/>
        <w:rPr>
          <w:rFonts w:ascii="Calibri" w:hAnsi="Calibri" w:cs="Calibri"/>
        </w:rPr>
      </w:pPr>
      <w:r w:rsidRPr="00C66169">
        <w:rPr>
          <w:rFonts w:ascii="Calibri" w:hAnsi="Calibri" w:cs="Calibri"/>
        </w:rPr>
        <w:t xml:space="preserve">4. </w:t>
      </w:r>
      <w:r w:rsidRPr="00C66169">
        <w:rPr>
          <w:rFonts w:ascii="Calibri" w:hAnsi="Calibri" w:cs="Calibri"/>
        </w:rPr>
        <w:tab/>
        <w:t xml:space="preserve">Hirsch M, Donatucci C, Glina S, Montague D, Montorsi F, Wyllie M. Standards for clinical trials in male sexual dysfunction: erectile dysfunction and rapid ejaculation. J Sex Med. 2004 Jul;1(1):87–91. </w:t>
      </w:r>
    </w:p>
    <w:p w14:paraId="3621F50A" w14:textId="77777777" w:rsidR="00C66169" w:rsidRPr="00C66169" w:rsidRDefault="00C66169" w:rsidP="00C66169">
      <w:pPr>
        <w:pStyle w:val="Bibliography"/>
        <w:rPr>
          <w:rFonts w:ascii="Calibri" w:hAnsi="Calibri" w:cs="Calibri"/>
        </w:rPr>
      </w:pPr>
      <w:r w:rsidRPr="00C66169">
        <w:rPr>
          <w:rFonts w:ascii="Calibri" w:hAnsi="Calibri" w:cs="Calibri"/>
        </w:rPr>
        <w:t xml:space="preserve">5. </w:t>
      </w:r>
      <w:r w:rsidRPr="00C66169">
        <w:rPr>
          <w:rFonts w:ascii="Calibri" w:hAnsi="Calibri" w:cs="Calibri"/>
        </w:rPr>
        <w:tab/>
        <w:t xml:space="preserve">Mitchell KR, Mercer CH, Ploubidis GB, Jones KG, Datta J, Field N, et al. Sexual function in Britain: findings from the third National Survey of Sexual Attitudes and Lifestyles (Natsal-3). The Lancet. 2013 Nov 30;382(9907):1817–29. </w:t>
      </w:r>
    </w:p>
    <w:p w14:paraId="4FC25DC5" w14:textId="77777777" w:rsidR="00C66169" w:rsidRPr="00C66169" w:rsidRDefault="00C66169" w:rsidP="00C66169">
      <w:pPr>
        <w:pStyle w:val="Bibliography"/>
        <w:rPr>
          <w:rFonts w:ascii="Calibri" w:hAnsi="Calibri" w:cs="Calibri"/>
        </w:rPr>
      </w:pPr>
      <w:r w:rsidRPr="00C66169">
        <w:rPr>
          <w:rFonts w:ascii="Calibri" w:hAnsi="Calibri" w:cs="Calibri"/>
        </w:rPr>
        <w:t xml:space="preserve">6. </w:t>
      </w:r>
      <w:r w:rsidRPr="00C66169">
        <w:rPr>
          <w:rFonts w:ascii="Calibri" w:hAnsi="Calibri" w:cs="Calibri"/>
        </w:rPr>
        <w:tab/>
        <w:t xml:space="preserve">Atlantis E, Sullivan T. Bidirectional Association Between Depression and Sexual Dysfunction: A Systematic Review and Meta-Analysis. J Sex Med. 2012 Jun 1;9(6):1497–507. </w:t>
      </w:r>
    </w:p>
    <w:p w14:paraId="6E941FF0" w14:textId="77777777" w:rsidR="00C66169" w:rsidRPr="00C66169" w:rsidRDefault="00C66169" w:rsidP="00C66169">
      <w:pPr>
        <w:pStyle w:val="Bibliography"/>
        <w:rPr>
          <w:rFonts w:ascii="Calibri" w:hAnsi="Calibri" w:cs="Calibri"/>
        </w:rPr>
      </w:pPr>
      <w:r w:rsidRPr="00C66169">
        <w:rPr>
          <w:rFonts w:ascii="Calibri" w:hAnsi="Calibri" w:cs="Calibri"/>
        </w:rPr>
        <w:t xml:space="preserve">7. </w:t>
      </w:r>
      <w:r w:rsidRPr="00C66169">
        <w:rPr>
          <w:rFonts w:ascii="Calibri" w:hAnsi="Calibri" w:cs="Calibri"/>
        </w:rPr>
        <w:tab/>
        <w:t xml:space="preserve">Dong J-Y, Zhang Y-H, Qin L-Q. Erectile Dysfunction and Risk of Cardiovascular Disease: Meta-Analysis of Prospective Cohort Studies. J Am Coll Cardiol. 2011 Sep 20;58(13):1378–85. </w:t>
      </w:r>
    </w:p>
    <w:p w14:paraId="439A1E11" w14:textId="77777777" w:rsidR="00C66169" w:rsidRPr="00C66169" w:rsidRDefault="00C66169" w:rsidP="00C66169">
      <w:pPr>
        <w:pStyle w:val="Bibliography"/>
        <w:rPr>
          <w:rFonts w:ascii="Calibri" w:hAnsi="Calibri" w:cs="Calibri"/>
        </w:rPr>
      </w:pPr>
      <w:r w:rsidRPr="00C66169">
        <w:rPr>
          <w:rFonts w:ascii="Calibri" w:hAnsi="Calibri" w:cs="Calibri"/>
        </w:rPr>
        <w:t xml:space="preserve">8. </w:t>
      </w:r>
      <w:r w:rsidRPr="00C66169">
        <w:rPr>
          <w:rFonts w:ascii="Calibri" w:hAnsi="Calibri" w:cs="Calibri"/>
        </w:rPr>
        <w:tab/>
        <w:t xml:space="preserve">Swift CG, Shapiro CM. ABC of sleep disorders. Sleep and sleep problems in elderly people. BMJ. 1993 May 29;306(6890):1468–71. </w:t>
      </w:r>
    </w:p>
    <w:p w14:paraId="0A8050F7" w14:textId="77777777" w:rsidR="00C66169" w:rsidRPr="00C66169" w:rsidRDefault="00C66169" w:rsidP="00C66169">
      <w:pPr>
        <w:pStyle w:val="Bibliography"/>
        <w:rPr>
          <w:rFonts w:ascii="Calibri" w:hAnsi="Calibri" w:cs="Calibri"/>
        </w:rPr>
      </w:pPr>
      <w:r w:rsidRPr="00C66169">
        <w:rPr>
          <w:rFonts w:ascii="Calibri" w:hAnsi="Calibri" w:cs="Calibri"/>
        </w:rPr>
        <w:t xml:space="preserve">9. </w:t>
      </w:r>
      <w:r w:rsidRPr="00C66169">
        <w:rPr>
          <w:rFonts w:ascii="Calibri" w:hAnsi="Calibri" w:cs="Calibri"/>
        </w:rPr>
        <w:tab/>
        <w:t xml:space="preserve">Blazer DG, Hays JC, Foley DJ. Sleep complaints in older adults: a racial comparison. J Gerontol A Biol Sci Med Sci. 1995 Sep;50(5):M280-284. </w:t>
      </w:r>
    </w:p>
    <w:p w14:paraId="77AEBE96" w14:textId="77777777" w:rsidR="00C66169" w:rsidRPr="00C66169" w:rsidRDefault="00C66169" w:rsidP="00C66169">
      <w:pPr>
        <w:pStyle w:val="Bibliography"/>
        <w:rPr>
          <w:rFonts w:ascii="Calibri" w:hAnsi="Calibri" w:cs="Calibri"/>
        </w:rPr>
      </w:pPr>
      <w:r w:rsidRPr="00C66169">
        <w:rPr>
          <w:rFonts w:ascii="Calibri" w:hAnsi="Calibri" w:cs="Calibri"/>
        </w:rPr>
        <w:t xml:space="preserve">10. </w:t>
      </w:r>
      <w:r w:rsidRPr="00C66169">
        <w:rPr>
          <w:rFonts w:ascii="Calibri" w:hAnsi="Calibri" w:cs="Calibri"/>
        </w:rPr>
        <w:tab/>
        <w:t xml:space="preserve">Foley DJ, Monjan AA, Brown SL, Simonsick EM, Wallace RB, Blazer DG. Sleep Complaints Among Elderly Persons: An Epidemiologic Study of Three Communities. Sleep. 1995 Aug 1;18(6):425–32. </w:t>
      </w:r>
    </w:p>
    <w:p w14:paraId="05D27CCD" w14:textId="77777777" w:rsidR="00C66169" w:rsidRPr="00C66169" w:rsidRDefault="00C66169" w:rsidP="00C66169">
      <w:pPr>
        <w:pStyle w:val="Bibliography"/>
        <w:rPr>
          <w:rFonts w:ascii="Calibri" w:hAnsi="Calibri" w:cs="Calibri"/>
        </w:rPr>
      </w:pPr>
      <w:r w:rsidRPr="00C66169">
        <w:rPr>
          <w:rFonts w:ascii="Calibri" w:hAnsi="Calibri" w:cs="Calibri"/>
        </w:rPr>
        <w:t xml:space="preserve">11. </w:t>
      </w:r>
      <w:r w:rsidRPr="00C66169">
        <w:rPr>
          <w:rFonts w:ascii="Calibri" w:hAnsi="Calibri" w:cs="Calibri"/>
        </w:rPr>
        <w:tab/>
        <w:t xml:space="preserve">Baglioni C, Battagliese G, Feige B, Spiegelhalder K, Nissen C, Voderholzer U, et al. Insomnia as a predictor of depression: A meta-analytic evaluation of longitudinal epidemiological studies. J Affect Disord. 2011 Dec 1;135(1):10–9. </w:t>
      </w:r>
    </w:p>
    <w:p w14:paraId="770A8522" w14:textId="77777777" w:rsidR="00C66169" w:rsidRPr="00C66169" w:rsidRDefault="00C66169" w:rsidP="00C66169">
      <w:pPr>
        <w:pStyle w:val="Bibliography"/>
        <w:rPr>
          <w:rFonts w:ascii="Calibri" w:hAnsi="Calibri" w:cs="Calibri"/>
        </w:rPr>
      </w:pPr>
      <w:r w:rsidRPr="00C66169">
        <w:rPr>
          <w:rFonts w:ascii="Calibri" w:hAnsi="Calibri" w:cs="Calibri"/>
        </w:rPr>
        <w:t xml:space="preserve">12. </w:t>
      </w:r>
      <w:r w:rsidRPr="00C66169">
        <w:rPr>
          <w:rFonts w:ascii="Calibri" w:hAnsi="Calibri" w:cs="Calibri"/>
        </w:rPr>
        <w:tab/>
        <w:t xml:space="preserve">He Q, Zhang P, Li G, Dai H, Shi J. The association between insomnia symptoms and risk of cardio-cerebral vascular events: A meta-analysis of prospective cohort studies. Eur J Prev Cardiol. 2017 Jul 1;24(10):1071–82. </w:t>
      </w:r>
    </w:p>
    <w:p w14:paraId="69A26030" w14:textId="77777777" w:rsidR="00C66169" w:rsidRPr="00C66169" w:rsidRDefault="00C66169" w:rsidP="00C66169">
      <w:pPr>
        <w:pStyle w:val="Bibliography"/>
        <w:rPr>
          <w:rFonts w:ascii="Calibri" w:hAnsi="Calibri" w:cs="Calibri"/>
        </w:rPr>
      </w:pPr>
      <w:r w:rsidRPr="00C66169">
        <w:rPr>
          <w:rFonts w:ascii="Calibri" w:hAnsi="Calibri" w:cs="Calibri"/>
        </w:rPr>
        <w:t xml:space="preserve">13. </w:t>
      </w:r>
      <w:r w:rsidRPr="00C66169">
        <w:rPr>
          <w:rFonts w:ascii="Calibri" w:hAnsi="Calibri" w:cs="Calibri"/>
        </w:rPr>
        <w:tab/>
        <w:t xml:space="preserve">Cheng QS, Liu T, Huang HB, Peng YF, Jiang SC, Mei XB. Association between personal basic information, sleep quality, mental disorders and erectile function: a cross-sectional study among 334 Chinese outpatients. Andrologia. 2017 Apr 1;49(3):e12631. </w:t>
      </w:r>
    </w:p>
    <w:p w14:paraId="1550EE94" w14:textId="77777777" w:rsidR="00C66169" w:rsidRPr="00C66169" w:rsidRDefault="00C66169" w:rsidP="00C66169">
      <w:pPr>
        <w:pStyle w:val="Bibliography"/>
        <w:rPr>
          <w:rFonts w:ascii="Calibri" w:hAnsi="Calibri" w:cs="Calibri"/>
        </w:rPr>
      </w:pPr>
      <w:r w:rsidRPr="00C66169">
        <w:rPr>
          <w:rFonts w:ascii="Calibri" w:hAnsi="Calibri" w:cs="Calibri"/>
        </w:rPr>
        <w:t xml:space="preserve">14. </w:t>
      </w:r>
      <w:r w:rsidRPr="00C66169">
        <w:rPr>
          <w:rFonts w:ascii="Calibri" w:hAnsi="Calibri" w:cs="Calibri"/>
        </w:rPr>
        <w:tab/>
        <w:t xml:space="preserve">Pascual M, Batlle J de, Barbé F, Castro-Grattoni AL, Auguet JM, Pascual L, et al. Erectile dysfunction in obstructive sleep apnea patients: A randomized trial on the effects of Continuous Positive Airway Pressure (CPAP). PLOS ONE. 2018 Aug 8;13(8):e0201930. </w:t>
      </w:r>
    </w:p>
    <w:p w14:paraId="5CDD4EC6" w14:textId="77777777" w:rsidR="00C66169" w:rsidRPr="00C66169" w:rsidRDefault="00C66169" w:rsidP="00C66169">
      <w:pPr>
        <w:pStyle w:val="Bibliography"/>
        <w:rPr>
          <w:rFonts w:ascii="Calibri" w:hAnsi="Calibri" w:cs="Calibri"/>
        </w:rPr>
      </w:pPr>
      <w:r w:rsidRPr="00C66169">
        <w:rPr>
          <w:rFonts w:ascii="Calibri" w:hAnsi="Calibri" w:cs="Calibri"/>
        </w:rPr>
        <w:lastRenderedPageBreak/>
        <w:t xml:space="preserve">15. </w:t>
      </w:r>
      <w:r w:rsidRPr="00C66169">
        <w:rPr>
          <w:rFonts w:ascii="Calibri" w:hAnsi="Calibri" w:cs="Calibri"/>
        </w:rPr>
        <w:tab/>
        <w:t xml:space="preserve">Hirshkowitz M, Karacan I, Arcasoy MO, Acik G, Narter EM, Williams RL. Prevalence of sleep apnea in men with erectile dysfunction. Urology. 1990 Sep 1;36(3):232–4. </w:t>
      </w:r>
    </w:p>
    <w:p w14:paraId="3123E5CF" w14:textId="77777777" w:rsidR="00C66169" w:rsidRPr="00C66169" w:rsidRDefault="00C66169" w:rsidP="00C66169">
      <w:pPr>
        <w:pStyle w:val="Bibliography"/>
        <w:rPr>
          <w:rFonts w:ascii="Calibri" w:hAnsi="Calibri" w:cs="Calibri"/>
        </w:rPr>
      </w:pPr>
      <w:r w:rsidRPr="00C66169">
        <w:rPr>
          <w:rFonts w:ascii="Calibri" w:hAnsi="Calibri" w:cs="Calibri"/>
        </w:rPr>
        <w:t xml:space="preserve">16. </w:t>
      </w:r>
      <w:r w:rsidRPr="00C66169">
        <w:rPr>
          <w:rFonts w:ascii="Calibri" w:hAnsi="Calibri" w:cs="Calibri"/>
        </w:rPr>
        <w:tab/>
        <w:t xml:space="preserve">Gonçalves MA, Guilleminault C, Ramos E, Palha A, Paiva T. Erectile dysfunction, obstructive sleep apnea syndrome and nasal CPAP treatment. Sleep Med. 2005 Jul 1;6(4):333–9. </w:t>
      </w:r>
    </w:p>
    <w:p w14:paraId="493414E9" w14:textId="77777777" w:rsidR="00C66169" w:rsidRPr="00C66169" w:rsidRDefault="00C66169" w:rsidP="00C66169">
      <w:pPr>
        <w:pStyle w:val="Bibliography"/>
        <w:rPr>
          <w:rFonts w:ascii="Calibri" w:hAnsi="Calibri" w:cs="Calibri"/>
        </w:rPr>
      </w:pPr>
      <w:r w:rsidRPr="00C66169">
        <w:rPr>
          <w:rFonts w:ascii="Calibri" w:hAnsi="Calibri" w:cs="Calibri"/>
        </w:rPr>
        <w:t xml:space="preserve">17. </w:t>
      </w:r>
      <w:r w:rsidRPr="00C66169">
        <w:rPr>
          <w:rFonts w:ascii="Calibri" w:hAnsi="Calibri" w:cs="Calibri"/>
        </w:rPr>
        <w:tab/>
        <w:t xml:space="preserve">Allen MS, Desille AE. Health-Related Lifestyle Factors and Sexual Functioning and Behavior in Older Adults. Int J Sex Health. 2017 Jul 3;29(3):273–7. </w:t>
      </w:r>
    </w:p>
    <w:p w14:paraId="6E12F8E5" w14:textId="77777777" w:rsidR="00C66169" w:rsidRPr="00C66169" w:rsidRDefault="00C66169" w:rsidP="00C66169">
      <w:pPr>
        <w:pStyle w:val="Bibliography"/>
        <w:rPr>
          <w:rFonts w:ascii="Calibri" w:hAnsi="Calibri" w:cs="Calibri"/>
        </w:rPr>
      </w:pPr>
      <w:r w:rsidRPr="00C66169">
        <w:rPr>
          <w:rFonts w:ascii="Calibri" w:hAnsi="Calibri" w:cs="Calibri"/>
        </w:rPr>
        <w:t xml:space="preserve">18. </w:t>
      </w:r>
      <w:r w:rsidRPr="00C66169">
        <w:rPr>
          <w:rFonts w:ascii="Calibri" w:hAnsi="Calibri" w:cs="Calibri"/>
        </w:rPr>
        <w:tab/>
        <w:t xml:space="preserve">Steptoe A, Breeze E, Banks J, Nazroo J. Cohort profile: the English Longitudinal Study of Ageing. Int J Epidemiol. 2013 Dec;42(6):1640–8. </w:t>
      </w:r>
    </w:p>
    <w:p w14:paraId="68E3699E" w14:textId="77777777" w:rsidR="00C66169" w:rsidRPr="00C66169" w:rsidRDefault="00C66169" w:rsidP="00C66169">
      <w:pPr>
        <w:pStyle w:val="Bibliography"/>
        <w:rPr>
          <w:rFonts w:ascii="Calibri" w:hAnsi="Calibri" w:cs="Calibri"/>
        </w:rPr>
      </w:pPr>
      <w:r w:rsidRPr="00C66169">
        <w:rPr>
          <w:rFonts w:ascii="Calibri" w:hAnsi="Calibri" w:cs="Calibri"/>
        </w:rPr>
        <w:t xml:space="preserve">19. </w:t>
      </w:r>
      <w:r w:rsidRPr="00C66169">
        <w:rPr>
          <w:rFonts w:ascii="Calibri" w:hAnsi="Calibri" w:cs="Calibri"/>
        </w:rPr>
        <w:tab/>
        <w:t xml:space="preserve">Miller MA, Wright H, Ji C, Cappuccio FP. Cross-Sectional Study of Sleep Quantity and Quality and Amnestic and Non-Amnestic Cognitive Function in an Ageing Population: The English Longitudinal Study of Ageing (ELSA). PLOS ONE. 2014 Jun 26;9(6):e100991. </w:t>
      </w:r>
    </w:p>
    <w:p w14:paraId="7757B91F" w14:textId="77777777" w:rsidR="00C66169" w:rsidRPr="00C66169" w:rsidRDefault="00C66169" w:rsidP="00C66169">
      <w:pPr>
        <w:pStyle w:val="Bibliography"/>
        <w:rPr>
          <w:rFonts w:ascii="Calibri" w:hAnsi="Calibri" w:cs="Calibri"/>
        </w:rPr>
      </w:pPr>
      <w:r w:rsidRPr="00C66169">
        <w:rPr>
          <w:rFonts w:ascii="Calibri" w:hAnsi="Calibri" w:cs="Calibri"/>
        </w:rPr>
        <w:t xml:space="preserve">20. </w:t>
      </w:r>
      <w:r w:rsidRPr="00C66169">
        <w:rPr>
          <w:rFonts w:ascii="Calibri" w:hAnsi="Calibri" w:cs="Calibri"/>
        </w:rPr>
        <w:tab/>
        <w:t xml:space="preserve">Stranges S, Dorn JM, Shipley MJ, Kandala N-B, Trevisan M, Miller MA, et al. Correlates of short and long sleep duration: a cross-cultural comparison between the United Kingdom and the United States: the Whitehall II Study and the Western New York Health Study. Am J Epidemiol. 2008;168(12):1353–1364. </w:t>
      </w:r>
    </w:p>
    <w:p w14:paraId="7B65DB96" w14:textId="77777777" w:rsidR="00C66169" w:rsidRPr="00C66169" w:rsidRDefault="00C66169" w:rsidP="00C66169">
      <w:pPr>
        <w:pStyle w:val="Bibliography"/>
        <w:rPr>
          <w:rFonts w:ascii="Calibri" w:hAnsi="Calibri" w:cs="Calibri"/>
        </w:rPr>
      </w:pPr>
      <w:r w:rsidRPr="00C66169">
        <w:rPr>
          <w:rFonts w:ascii="Calibri" w:hAnsi="Calibri" w:cs="Calibri"/>
        </w:rPr>
        <w:t xml:space="preserve">21. </w:t>
      </w:r>
      <w:r w:rsidRPr="00C66169">
        <w:rPr>
          <w:rFonts w:ascii="Calibri" w:hAnsi="Calibri" w:cs="Calibri"/>
        </w:rPr>
        <w:tab/>
        <w:t>Banks J, Karlsen S, Oldfield Z. Socio-economic position. 2003 [cited 2014 Mar 4]; Available from: http://discovery.ucl.ac.uk/15366/1/15366.pdf</w:t>
      </w:r>
    </w:p>
    <w:p w14:paraId="0DA5F71E" w14:textId="77777777" w:rsidR="00C66169" w:rsidRPr="00C66169" w:rsidRDefault="00C66169" w:rsidP="00C66169">
      <w:pPr>
        <w:pStyle w:val="Bibliography"/>
        <w:rPr>
          <w:rFonts w:ascii="Calibri" w:hAnsi="Calibri" w:cs="Calibri"/>
        </w:rPr>
      </w:pPr>
      <w:r w:rsidRPr="00C66169">
        <w:rPr>
          <w:rFonts w:ascii="Calibri" w:hAnsi="Calibri" w:cs="Calibri"/>
        </w:rPr>
        <w:t xml:space="preserve">22. </w:t>
      </w:r>
      <w:r w:rsidRPr="00C66169">
        <w:rPr>
          <w:rFonts w:ascii="Calibri" w:hAnsi="Calibri" w:cs="Calibri"/>
        </w:rPr>
        <w:tab/>
        <w:t xml:space="preserve">Lee DM, Nazroo J, O’Connor DB, Blake M, Pendleton N. Sexual Health and Well-being Among Older Men and Women in England: Findings from the English Longitudinal Study of Ageing. Arch Sex Behav. 2015 Jan 27; </w:t>
      </w:r>
    </w:p>
    <w:p w14:paraId="3305E37C" w14:textId="77777777" w:rsidR="00C66169" w:rsidRPr="00C66169" w:rsidRDefault="00C66169" w:rsidP="00C66169">
      <w:pPr>
        <w:pStyle w:val="Bibliography"/>
        <w:rPr>
          <w:rFonts w:ascii="Calibri" w:hAnsi="Calibri" w:cs="Calibri"/>
        </w:rPr>
      </w:pPr>
      <w:r w:rsidRPr="00C66169">
        <w:rPr>
          <w:rFonts w:ascii="Calibri" w:hAnsi="Calibri" w:cs="Calibri"/>
        </w:rPr>
        <w:t xml:space="preserve">23. </w:t>
      </w:r>
      <w:r w:rsidRPr="00C66169">
        <w:rPr>
          <w:rFonts w:ascii="Calibri" w:hAnsi="Calibri" w:cs="Calibri"/>
        </w:rPr>
        <w:tab/>
        <w:t xml:space="preserve">Hamer M, Molloy GJ, de Oliveira C, Demakakos P. Leisure time physical activity, risk of depressive symptoms, and inflammatory mediators: the English Longitudinal Study of Ageing. Psychoneuroendocrinology. 2009 Aug;34(7):1050–5. </w:t>
      </w:r>
    </w:p>
    <w:p w14:paraId="03F4DE9F" w14:textId="77777777" w:rsidR="00C66169" w:rsidRPr="00C66169" w:rsidRDefault="00C66169" w:rsidP="00C66169">
      <w:pPr>
        <w:pStyle w:val="Bibliography"/>
        <w:rPr>
          <w:rFonts w:ascii="Calibri" w:hAnsi="Calibri" w:cs="Calibri"/>
        </w:rPr>
      </w:pPr>
      <w:r w:rsidRPr="00C66169">
        <w:rPr>
          <w:rFonts w:ascii="Calibri" w:hAnsi="Calibri" w:cs="Calibri"/>
        </w:rPr>
        <w:t xml:space="preserve">24. </w:t>
      </w:r>
      <w:r w:rsidRPr="00C66169">
        <w:rPr>
          <w:rFonts w:ascii="Calibri" w:hAnsi="Calibri" w:cs="Calibri"/>
        </w:rPr>
        <w:tab/>
        <w:t xml:space="preserve">Steffick DE. Documentation of affective functioning measures in the Health and Retirement Study. HRS Documentation Report DR-005; 2000. </w:t>
      </w:r>
    </w:p>
    <w:p w14:paraId="640D33AE" w14:textId="77777777" w:rsidR="00C66169" w:rsidRPr="00C66169" w:rsidRDefault="00C66169" w:rsidP="00C66169">
      <w:pPr>
        <w:pStyle w:val="Bibliography"/>
        <w:rPr>
          <w:rFonts w:ascii="Calibri" w:hAnsi="Calibri" w:cs="Calibri"/>
        </w:rPr>
      </w:pPr>
      <w:r w:rsidRPr="00C66169">
        <w:rPr>
          <w:rFonts w:ascii="Calibri" w:hAnsi="Calibri" w:cs="Calibri"/>
        </w:rPr>
        <w:t xml:space="preserve">25. </w:t>
      </w:r>
      <w:r w:rsidRPr="00C66169">
        <w:rPr>
          <w:rFonts w:ascii="Calibri" w:hAnsi="Calibri" w:cs="Calibri"/>
        </w:rPr>
        <w:tab/>
        <w:t xml:space="preserve">Levin RJ. VIP, vagina, clitoral and periurethral glans--an update on human female genital arousal. Exp Clin Endocrinol. 1991;98(2):61–9. </w:t>
      </w:r>
    </w:p>
    <w:p w14:paraId="698483B5" w14:textId="77777777" w:rsidR="00C66169" w:rsidRPr="00C66169" w:rsidRDefault="00C66169" w:rsidP="00C66169">
      <w:pPr>
        <w:pStyle w:val="Bibliography"/>
        <w:rPr>
          <w:rFonts w:ascii="Calibri" w:hAnsi="Calibri" w:cs="Calibri"/>
        </w:rPr>
      </w:pPr>
      <w:r w:rsidRPr="00C66169">
        <w:rPr>
          <w:rFonts w:ascii="Calibri" w:hAnsi="Calibri" w:cs="Calibri"/>
        </w:rPr>
        <w:t xml:space="preserve">26. </w:t>
      </w:r>
      <w:r w:rsidRPr="00C66169">
        <w:rPr>
          <w:rFonts w:ascii="Calibri" w:hAnsi="Calibri" w:cs="Calibri"/>
        </w:rPr>
        <w:tab/>
        <w:t xml:space="preserve">Berman JR. Physiology of female sexual function and dysfunction. Int J Impot Res. 2005 Dec 20;17(S1):S44–51. </w:t>
      </w:r>
    </w:p>
    <w:p w14:paraId="1BBDAD5E" w14:textId="77777777" w:rsidR="00C66169" w:rsidRPr="00C66169" w:rsidRDefault="00C66169" w:rsidP="00C66169">
      <w:pPr>
        <w:pStyle w:val="Bibliography"/>
        <w:rPr>
          <w:rFonts w:ascii="Calibri" w:hAnsi="Calibri" w:cs="Calibri"/>
        </w:rPr>
      </w:pPr>
      <w:r w:rsidRPr="00C66169">
        <w:rPr>
          <w:rFonts w:ascii="Calibri" w:hAnsi="Calibri" w:cs="Calibri"/>
        </w:rPr>
        <w:t xml:space="preserve">27. </w:t>
      </w:r>
      <w:r w:rsidRPr="00C66169">
        <w:rPr>
          <w:rFonts w:ascii="Calibri" w:hAnsi="Calibri" w:cs="Calibri"/>
        </w:rPr>
        <w:tab/>
        <w:t xml:space="preserve">Alvarez GG, Ayas NT. The Impact of Daily Sleep Duration on Health: A Review of the Literature. Prog Cardiovasc Nurs. 2004 Mar 1;19(2):56–9. </w:t>
      </w:r>
    </w:p>
    <w:p w14:paraId="56B0B73A" w14:textId="77777777" w:rsidR="00C66169" w:rsidRPr="00C66169" w:rsidRDefault="00C66169" w:rsidP="00C66169">
      <w:pPr>
        <w:pStyle w:val="Bibliography"/>
        <w:rPr>
          <w:rFonts w:ascii="Calibri" w:hAnsi="Calibri" w:cs="Calibri"/>
        </w:rPr>
      </w:pPr>
      <w:r w:rsidRPr="00C66169">
        <w:rPr>
          <w:rFonts w:ascii="Calibri" w:hAnsi="Calibri" w:cs="Calibri"/>
        </w:rPr>
        <w:t xml:space="preserve">28. </w:t>
      </w:r>
      <w:r w:rsidRPr="00C66169">
        <w:rPr>
          <w:rFonts w:ascii="Calibri" w:hAnsi="Calibri" w:cs="Calibri"/>
        </w:rPr>
        <w:tab/>
        <w:t xml:space="preserve">Liu T-Z, Xu C, Rota M, Cai H, Zhang C, Shi M-J, et al. Sleep duration and risk of all-cause mortality: A flexible, non-linear, meta-regression of 40 prospective cohort studies. Sleep Med Rev. 2017;32:28–36. </w:t>
      </w:r>
    </w:p>
    <w:p w14:paraId="5472223B" w14:textId="77777777" w:rsidR="00C66169" w:rsidRPr="00C66169" w:rsidRDefault="00C66169" w:rsidP="00C66169">
      <w:pPr>
        <w:pStyle w:val="Bibliography"/>
        <w:rPr>
          <w:rFonts w:ascii="Calibri" w:hAnsi="Calibri" w:cs="Calibri"/>
        </w:rPr>
      </w:pPr>
      <w:r w:rsidRPr="00C66169">
        <w:rPr>
          <w:rFonts w:ascii="Calibri" w:hAnsi="Calibri" w:cs="Calibri"/>
        </w:rPr>
        <w:t xml:space="preserve">29. </w:t>
      </w:r>
      <w:r w:rsidRPr="00C66169">
        <w:rPr>
          <w:rFonts w:ascii="Calibri" w:hAnsi="Calibri" w:cs="Calibri"/>
        </w:rPr>
        <w:tab/>
        <w:t xml:space="preserve">Sabanayagam C, Shankar A. Sleep duration and cardiovascular disease: results from the National Health Interview Survey. Sleep. 2010 Aug;33(8):1037–42. </w:t>
      </w:r>
    </w:p>
    <w:p w14:paraId="39981C6F" w14:textId="77777777" w:rsidR="00C66169" w:rsidRPr="00C66169" w:rsidRDefault="00C66169" w:rsidP="00C66169">
      <w:pPr>
        <w:pStyle w:val="Bibliography"/>
        <w:rPr>
          <w:rFonts w:ascii="Calibri" w:hAnsi="Calibri" w:cs="Calibri"/>
        </w:rPr>
      </w:pPr>
      <w:r w:rsidRPr="00C66169">
        <w:rPr>
          <w:rFonts w:ascii="Calibri" w:hAnsi="Calibri" w:cs="Calibri"/>
        </w:rPr>
        <w:t xml:space="preserve">30. </w:t>
      </w:r>
      <w:r w:rsidRPr="00C66169">
        <w:rPr>
          <w:rFonts w:ascii="Calibri" w:hAnsi="Calibri" w:cs="Calibri"/>
        </w:rPr>
        <w:tab/>
        <w:t xml:space="preserve">Patel SR, Ayas NT, Malhotra MR, White DP, Schernhammer ES, Speizer FE, et al. A prospective study of sleep duration and mortality risk in women. Sleep. 2004 May 1;27(3):440–4. </w:t>
      </w:r>
    </w:p>
    <w:p w14:paraId="1B87907D" w14:textId="77777777" w:rsidR="00C66169" w:rsidRPr="00C66169" w:rsidRDefault="00C66169" w:rsidP="00C66169">
      <w:pPr>
        <w:pStyle w:val="Bibliography"/>
        <w:rPr>
          <w:rFonts w:ascii="Calibri" w:hAnsi="Calibri" w:cs="Calibri"/>
        </w:rPr>
      </w:pPr>
      <w:r w:rsidRPr="00C66169">
        <w:rPr>
          <w:rFonts w:ascii="Calibri" w:hAnsi="Calibri" w:cs="Calibri"/>
        </w:rPr>
        <w:lastRenderedPageBreak/>
        <w:t xml:space="preserve">31. </w:t>
      </w:r>
      <w:r w:rsidRPr="00C66169">
        <w:rPr>
          <w:rFonts w:ascii="Calibri" w:hAnsi="Calibri" w:cs="Calibri"/>
        </w:rPr>
        <w:tab/>
        <w:t xml:space="preserve">Suzuki E, Yorifuji T, Ueshima K, Takao S, Sugiyama M, Ohta T, et al. Sleep duration, sleep quality and cardiovascular disease mortality among the elderly: a population-based cohort study. Prev Med. 2009 Sep;49(2–3):135–41. </w:t>
      </w:r>
    </w:p>
    <w:p w14:paraId="3ABECDCC" w14:textId="77777777" w:rsidR="00C66169" w:rsidRPr="00C66169" w:rsidRDefault="00C66169" w:rsidP="00C66169">
      <w:pPr>
        <w:pStyle w:val="Bibliography"/>
        <w:rPr>
          <w:rFonts w:ascii="Calibri" w:hAnsi="Calibri" w:cs="Calibri"/>
        </w:rPr>
      </w:pPr>
      <w:r w:rsidRPr="00C66169">
        <w:rPr>
          <w:rFonts w:ascii="Calibri" w:hAnsi="Calibri" w:cs="Calibri"/>
        </w:rPr>
        <w:t xml:space="preserve">32. </w:t>
      </w:r>
      <w:r w:rsidRPr="00C66169">
        <w:rPr>
          <w:rFonts w:ascii="Calibri" w:hAnsi="Calibri" w:cs="Calibri"/>
        </w:rPr>
        <w:tab/>
        <w:t xml:space="preserve">Miner M, Kim ED. Cardiovascular disease and male sexual dysfunction. Asian J Androl. 2015;17(1):3–4. </w:t>
      </w:r>
    </w:p>
    <w:p w14:paraId="44E9E267" w14:textId="77777777" w:rsidR="00C66169" w:rsidRPr="00C66169" w:rsidRDefault="00C66169" w:rsidP="00C66169">
      <w:pPr>
        <w:pStyle w:val="Bibliography"/>
        <w:rPr>
          <w:rFonts w:ascii="Calibri" w:hAnsi="Calibri" w:cs="Calibri"/>
        </w:rPr>
      </w:pPr>
      <w:r w:rsidRPr="00C66169">
        <w:rPr>
          <w:rFonts w:ascii="Calibri" w:hAnsi="Calibri" w:cs="Calibri"/>
        </w:rPr>
        <w:t xml:space="preserve">33. </w:t>
      </w:r>
      <w:r w:rsidRPr="00C66169">
        <w:rPr>
          <w:rFonts w:ascii="Calibri" w:hAnsi="Calibri" w:cs="Calibri"/>
        </w:rPr>
        <w:tab/>
        <w:t xml:space="preserve">Lin CM, Davidson TM, Ancoli-Israel S. Gender Differences in Obstructive Sleep Apnea and Treatment Implications. Sleep Med Rev. 2008 Dec;12(6):481–96. </w:t>
      </w:r>
    </w:p>
    <w:p w14:paraId="5B9F5458" w14:textId="77777777" w:rsidR="00C66169" w:rsidRPr="00C66169" w:rsidRDefault="00C66169" w:rsidP="00C66169">
      <w:pPr>
        <w:pStyle w:val="Bibliography"/>
        <w:rPr>
          <w:rFonts w:ascii="Calibri" w:hAnsi="Calibri" w:cs="Calibri"/>
        </w:rPr>
      </w:pPr>
      <w:r w:rsidRPr="00C66169">
        <w:rPr>
          <w:rFonts w:ascii="Calibri" w:hAnsi="Calibri" w:cs="Calibri"/>
        </w:rPr>
        <w:t xml:space="preserve">34. </w:t>
      </w:r>
      <w:r w:rsidRPr="00C66169">
        <w:rPr>
          <w:rFonts w:ascii="Calibri" w:hAnsi="Calibri" w:cs="Calibri"/>
        </w:rPr>
        <w:tab/>
        <w:t xml:space="preserve">Boukari R, Laouafa S, Ribon-Demars A, Bairam A, Joseph V. Ovarian steroids act as respiratory stimulant and antioxidant against the causes and consequences of sleep-apnea in women. Respir Physiol Neurobiol. 2017 May 1;239:46–54. </w:t>
      </w:r>
    </w:p>
    <w:p w14:paraId="0A73A663" w14:textId="77777777" w:rsidR="00C66169" w:rsidRPr="00C66169" w:rsidRDefault="00C66169" w:rsidP="00C66169">
      <w:pPr>
        <w:pStyle w:val="Bibliography"/>
        <w:rPr>
          <w:rFonts w:ascii="Calibri" w:hAnsi="Calibri" w:cs="Calibri"/>
        </w:rPr>
      </w:pPr>
      <w:r w:rsidRPr="00C66169">
        <w:rPr>
          <w:rFonts w:ascii="Calibri" w:hAnsi="Calibri" w:cs="Calibri"/>
        </w:rPr>
        <w:t xml:space="preserve">35. </w:t>
      </w:r>
      <w:r w:rsidRPr="00C66169">
        <w:rPr>
          <w:rFonts w:ascii="Calibri" w:hAnsi="Calibri" w:cs="Calibri"/>
        </w:rPr>
        <w:tab/>
        <w:t>Menopause [Internet]. nhs.uk. 2017 [cited 2018 Dec 29]. Available from: https://www.nhs.uk/conditions/menopause/</w:t>
      </w:r>
    </w:p>
    <w:p w14:paraId="11C2E575" w14:textId="77777777" w:rsidR="00C66169" w:rsidRPr="00C66169" w:rsidRDefault="00C66169" w:rsidP="00C66169">
      <w:pPr>
        <w:pStyle w:val="Bibliography"/>
        <w:rPr>
          <w:rFonts w:ascii="Calibri" w:hAnsi="Calibri" w:cs="Calibri"/>
        </w:rPr>
      </w:pPr>
      <w:r w:rsidRPr="00C66169">
        <w:rPr>
          <w:rFonts w:ascii="Calibri" w:hAnsi="Calibri" w:cs="Calibri"/>
        </w:rPr>
        <w:t xml:space="preserve">36. </w:t>
      </w:r>
      <w:r w:rsidRPr="00C66169">
        <w:rPr>
          <w:rFonts w:ascii="Calibri" w:hAnsi="Calibri" w:cs="Calibri"/>
        </w:rPr>
        <w:tab/>
        <w:t xml:space="preserve">Köhler TS, Kim J, Feia K, Bodie J, Johnson N, Makhlouf A, et al. Prevalence of androgen deficiency in men with erectile dysfunction. Urology. 2008 Apr;71(4):693–7. </w:t>
      </w:r>
    </w:p>
    <w:p w14:paraId="7CE96389" w14:textId="77777777" w:rsidR="00C66169" w:rsidRPr="00C66169" w:rsidRDefault="00C66169" w:rsidP="00C66169">
      <w:pPr>
        <w:pStyle w:val="Bibliography"/>
        <w:rPr>
          <w:rFonts w:ascii="Calibri" w:hAnsi="Calibri" w:cs="Calibri"/>
        </w:rPr>
      </w:pPr>
      <w:r w:rsidRPr="00C66169">
        <w:rPr>
          <w:rFonts w:ascii="Calibri" w:hAnsi="Calibri" w:cs="Calibri"/>
        </w:rPr>
        <w:t xml:space="preserve">37. </w:t>
      </w:r>
      <w:r w:rsidRPr="00C66169">
        <w:rPr>
          <w:rFonts w:ascii="Calibri" w:hAnsi="Calibri" w:cs="Calibri"/>
        </w:rPr>
        <w:tab/>
        <w:t xml:space="preserve">Hackett G, Kirby M, Edwards D, Jones TH, Wylie K, Ossei-Gerning N, et al. British Society for Sexual Medicine Guidelines on Adult Testosterone Deficiency, With Statements for UK Practice. J Sex Med. 2017 Dec;14(12):1504–23. </w:t>
      </w:r>
    </w:p>
    <w:p w14:paraId="23FE93B3" w14:textId="2E2D4EBA" w:rsidR="00533316" w:rsidRDefault="00AD6B6F" w:rsidP="00C9094E">
      <w:pPr>
        <w:spacing w:afterLines="120" w:after="288"/>
      </w:pPr>
      <w:r>
        <w:fldChar w:fldCharType="end"/>
      </w:r>
    </w:p>
    <w:p w14:paraId="7874F5AB" w14:textId="77777777" w:rsidR="00533316" w:rsidRDefault="00533316" w:rsidP="00533316">
      <w:r>
        <w:br w:type="page"/>
      </w:r>
    </w:p>
    <w:p w14:paraId="3A019170" w14:textId="77777777" w:rsidR="00C9094E" w:rsidRDefault="00533316" w:rsidP="00533316">
      <w:pPr>
        <w:pStyle w:val="Heading2"/>
      </w:pPr>
      <w:r>
        <w:lastRenderedPageBreak/>
        <w:t>Tables</w:t>
      </w:r>
    </w:p>
    <w:tbl>
      <w:tblPr>
        <w:tblStyle w:val="TableGrid"/>
        <w:tblW w:w="7007" w:type="dxa"/>
        <w:tblInd w:w="14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84"/>
        <w:gridCol w:w="138"/>
        <w:gridCol w:w="1661"/>
        <w:gridCol w:w="1461"/>
        <w:gridCol w:w="1606"/>
        <w:gridCol w:w="1850"/>
        <w:gridCol w:w="7"/>
      </w:tblGrid>
      <w:tr w:rsidR="009069B1" w:rsidRPr="004A5B6D" w14:paraId="3ED6AD18" w14:textId="77777777" w:rsidTr="006E55E1">
        <w:trPr>
          <w:trHeight w:val="242"/>
        </w:trPr>
        <w:tc>
          <w:tcPr>
            <w:tcW w:w="7007" w:type="dxa"/>
            <w:gridSpan w:val="7"/>
            <w:tcBorders>
              <w:top w:val="nil"/>
              <w:bottom w:val="single" w:sz="4" w:space="0" w:color="auto"/>
              <w:right w:val="nil"/>
            </w:tcBorders>
          </w:tcPr>
          <w:p w14:paraId="69355A50" w14:textId="77777777" w:rsidR="009069B1" w:rsidRPr="00185CA3" w:rsidRDefault="009069B1" w:rsidP="006D6AAB">
            <w:pPr>
              <w:pStyle w:val="Beforetables"/>
              <w:spacing w:line="240" w:lineRule="auto"/>
              <w:rPr>
                <w:sz w:val="20"/>
                <w:szCs w:val="22"/>
              </w:rPr>
            </w:pPr>
            <w:r w:rsidRPr="00185CA3">
              <w:rPr>
                <w:b/>
                <w:sz w:val="20"/>
                <w:szCs w:val="22"/>
              </w:rPr>
              <w:t>Table 1</w:t>
            </w:r>
            <w:r w:rsidRPr="00185CA3">
              <w:rPr>
                <w:sz w:val="20"/>
                <w:szCs w:val="22"/>
              </w:rPr>
              <w:t xml:space="preserve"> Sample characteristics</w:t>
            </w:r>
          </w:p>
        </w:tc>
      </w:tr>
      <w:tr w:rsidR="009069B1" w:rsidRPr="009069B1" w14:paraId="0A2BA17C" w14:textId="77777777" w:rsidTr="006E55E1">
        <w:trPr>
          <w:gridAfter w:val="1"/>
          <w:wAfter w:w="7" w:type="dxa"/>
        </w:trPr>
        <w:tc>
          <w:tcPr>
            <w:tcW w:w="422" w:type="dxa"/>
            <w:gridSpan w:val="2"/>
            <w:tcBorders>
              <w:top w:val="nil"/>
              <w:bottom w:val="single" w:sz="8" w:space="0" w:color="auto"/>
              <w:right w:val="nil"/>
            </w:tcBorders>
            <w:vAlign w:val="center"/>
          </w:tcPr>
          <w:p w14:paraId="4CBB3920" w14:textId="77777777" w:rsidR="009069B1" w:rsidRPr="009069B1" w:rsidRDefault="009069B1" w:rsidP="006D6AAB">
            <w:pPr>
              <w:spacing w:after="0" w:line="240" w:lineRule="auto"/>
              <w:jc w:val="center"/>
              <w:rPr>
                <w:b/>
                <w:sz w:val="20"/>
                <w:szCs w:val="20"/>
              </w:rPr>
            </w:pPr>
          </w:p>
        </w:tc>
        <w:tc>
          <w:tcPr>
            <w:tcW w:w="1661" w:type="dxa"/>
            <w:tcBorders>
              <w:top w:val="nil"/>
              <w:left w:val="nil"/>
              <w:bottom w:val="single" w:sz="8" w:space="0" w:color="auto"/>
              <w:right w:val="nil"/>
            </w:tcBorders>
            <w:vAlign w:val="center"/>
          </w:tcPr>
          <w:p w14:paraId="458B5E6F" w14:textId="77777777" w:rsidR="009069B1" w:rsidRPr="009069B1" w:rsidRDefault="009069B1" w:rsidP="006D6AAB">
            <w:pPr>
              <w:spacing w:after="0" w:line="240" w:lineRule="auto"/>
              <w:jc w:val="center"/>
              <w:rPr>
                <w:b/>
                <w:sz w:val="20"/>
                <w:szCs w:val="20"/>
              </w:rPr>
            </w:pPr>
          </w:p>
        </w:tc>
        <w:tc>
          <w:tcPr>
            <w:tcW w:w="1461" w:type="dxa"/>
            <w:tcBorders>
              <w:top w:val="nil"/>
              <w:left w:val="nil"/>
              <w:bottom w:val="single" w:sz="8" w:space="0" w:color="auto"/>
              <w:right w:val="nil"/>
            </w:tcBorders>
            <w:vAlign w:val="center"/>
          </w:tcPr>
          <w:p w14:paraId="0EB2B20D" w14:textId="77777777" w:rsidR="009069B1" w:rsidRPr="009069B1" w:rsidRDefault="009069B1" w:rsidP="006D6AAB">
            <w:pPr>
              <w:spacing w:after="0" w:line="240" w:lineRule="auto"/>
              <w:jc w:val="center"/>
              <w:rPr>
                <w:b/>
                <w:sz w:val="20"/>
                <w:szCs w:val="20"/>
              </w:rPr>
            </w:pPr>
          </w:p>
        </w:tc>
        <w:tc>
          <w:tcPr>
            <w:tcW w:w="1606" w:type="dxa"/>
            <w:tcBorders>
              <w:top w:val="single" w:sz="4" w:space="0" w:color="auto"/>
              <w:left w:val="nil"/>
              <w:bottom w:val="single" w:sz="8" w:space="0" w:color="auto"/>
              <w:right w:val="nil"/>
            </w:tcBorders>
            <w:vAlign w:val="center"/>
          </w:tcPr>
          <w:p w14:paraId="78655B82" w14:textId="77777777" w:rsidR="009069B1" w:rsidRPr="009069B1" w:rsidRDefault="009069B1" w:rsidP="00185CA3">
            <w:pPr>
              <w:spacing w:after="0" w:line="240" w:lineRule="auto"/>
              <w:jc w:val="center"/>
              <w:rPr>
                <w:b/>
                <w:sz w:val="20"/>
                <w:szCs w:val="20"/>
              </w:rPr>
            </w:pPr>
            <w:r w:rsidRPr="009069B1">
              <w:rPr>
                <w:b/>
                <w:sz w:val="20"/>
                <w:szCs w:val="20"/>
              </w:rPr>
              <w:t>Men (</w:t>
            </w:r>
            <w:r w:rsidRPr="009069B1">
              <w:rPr>
                <w:b/>
                <w:i/>
                <w:sz w:val="20"/>
                <w:szCs w:val="20"/>
              </w:rPr>
              <w:t>n</w:t>
            </w:r>
            <w:r w:rsidRPr="009069B1">
              <w:rPr>
                <w:b/>
                <w:sz w:val="20"/>
                <w:szCs w:val="20"/>
              </w:rPr>
              <w:t>=</w:t>
            </w:r>
            <w:r w:rsidR="00185CA3">
              <w:rPr>
                <w:b/>
                <w:sz w:val="20"/>
                <w:szCs w:val="20"/>
              </w:rPr>
              <w:t>2,568</w:t>
            </w:r>
            <w:r w:rsidRPr="009069B1">
              <w:rPr>
                <w:b/>
                <w:sz w:val="20"/>
                <w:szCs w:val="20"/>
              </w:rPr>
              <w:t>)</w:t>
            </w:r>
          </w:p>
        </w:tc>
        <w:tc>
          <w:tcPr>
            <w:tcW w:w="1850" w:type="dxa"/>
            <w:tcBorders>
              <w:top w:val="single" w:sz="4" w:space="0" w:color="auto"/>
              <w:left w:val="nil"/>
              <w:bottom w:val="single" w:sz="8" w:space="0" w:color="auto"/>
              <w:right w:val="nil"/>
            </w:tcBorders>
            <w:vAlign w:val="center"/>
          </w:tcPr>
          <w:p w14:paraId="637492AB" w14:textId="77777777" w:rsidR="009069B1" w:rsidRPr="009069B1" w:rsidRDefault="009069B1" w:rsidP="00185CA3">
            <w:pPr>
              <w:spacing w:after="0" w:line="240" w:lineRule="auto"/>
              <w:jc w:val="center"/>
              <w:rPr>
                <w:b/>
                <w:sz w:val="20"/>
                <w:szCs w:val="20"/>
              </w:rPr>
            </w:pPr>
            <w:r w:rsidRPr="009069B1">
              <w:rPr>
                <w:b/>
                <w:sz w:val="20"/>
                <w:szCs w:val="20"/>
              </w:rPr>
              <w:t>Women (</w:t>
            </w:r>
            <w:r w:rsidRPr="009069B1">
              <w:rPr>
                <w:b/>
                <w:i/>
                <w:sz w:val="20"/>
                <w:szCs w:val="20"/>
              </w:rPr>
              <w:t>n</w:t>
            </w:r>
            <w:r w:rsidRPr="009069B1">
              <w:rPr>
                <w:b/>
                <w:sz w:val="20"/>
                <w:szCs w:val="20"/>
              </w:rPr>
              <w:t>=</w:t>
            </w:r>
            <w:r w:rsidR="00185CA3">
              <w:rPr>
                <w:b/>
                <w:sz w:val="20"/>
                <w:szCs w:val="20"/>
              </w:rPr>
              <w:t>1,376</w:t>
            </w:r>
            <w:r w:rsidRPr="009069B1">
              <w:rPr>
                <w:b/>
                <w:sz w:val="20"/>
                <w:szCs w:val="20"/>
              </w:rPr>
              <w:t>)</w:t>
            </w:r>
          </w:p>
        </w:tc>
      </w:tr>
      <w:tr w:rsidR="009069B1" w:rsidRPr="009069B1" w14:paraId="2D3E7C12" w14:textId="77777777" w:rsidTr="006E55E1">
        <w:trPr>
          <w:gridAfter w:val="1"/>
          <w:wAfter w:w="7" w:type="dxa"/>
        </w:trPr>
        <w:tc>
          <w:tcPr>
            <w:tcW w:w="3544" w:type="dxa"/>
            <w:gridSpan w:val="4"/>
            <w:tcBorders>
              <w:top w:val="nil"/>
              <w:bottom w:val="single" w:sz="4" w:space="0" w:color="auto"/>
              <w:right w:val="nil"/>
            </w:tcBorders>
          </w:tcPr>
          <w:p w14:paraId="46DED316" w14:textId="77777777" w:rsidR="009069B1" w:rsidRPr="009069B1" w:rsidRDefault="009069B1" w:rsidP="006D6AAB">
            <w:pPr>
              <w:spacing w:after="0" w:line="240" w:lineRule="auto"/>
              <w:rPr>
                <w:sz w:val="20"/>
                <w:szCs w:val="20"/>
              </w:rPr>
            </w:pPr>
            <w:r w:rsidRPr="009069B1">
              <w:rPr>
                <w:sz w:val="20"/>
                <w:szCs w:val="20"/>
              </w:rPr>
              <w:t>Age (mean [SD] years)</w:t>
            </w:r>
          </w:p>
        </w:tc>
        <w:tc>
          <w:tcPr>
            <w:tcW w:w="1606" w:type="dxa"/>
            <w:tcBorders>
              <w:top w:val="nil"/>
              <w:bottom w:val="single" w:sz="4" w:space="0" w:color="auto"/>
            </w:tcBorders>
          </w:tcPr>
          <w:p w14:paraId="6D54BFF1" w14:textId="77777777" w:rsidR="009069B1" w:rsidRPr="009069B1" w:rsidRDefault="00087420" w:rsidP="006D6AAB">
            <w:pPr>
              <w:spacing w:after="0" w:line="240" w:lineRule="auto"/>
              <w:jc w:val="center"/>
              <w:rPr>
                <w:sz w:val="20"/>
                <w:szCs w:val="20"/>
              </w:rPr>
            </w:pPr>
            <w:r>
              <w:rPr>
                <w:sz w:val="20"/>
                <w:szCs w:val="20"/>
              </w:rPr>
              <w:t>64.27 (9.72)</w:t>
            </w:r>
          </w:p>
        </w:tc>
        <w:tc>
          <w:tcPr>
            <w:tcW w:w="1850" w:type="dxa"/>
            <w:tcBorders>
              <w:top w:val="nil"/>
              <w:bottom w:val="single" w:sz="4" w:space="0" w:color="auto"/>
            </w:tcBorders>
          </w:tcPr>
          <w:p w14:paraId="67546F4B" w14:textId="77777777" w:rsidR="009069B1" w:rsidRPr="009069B1" w:rsidRDefault="00087420" w:rsidP="006D6AAB">
            <w:pPr>
              <w:spacing w:after="0" w:line="240" w:lineRule="auto"/>
              <w:jc w:val="center"/>
              <w:rPr>
                <w:sz w:val="20"/>
                <w:szCs w:val="20"/>
                <w:lang w:val="en-US"/>
              </w:rPr>
            </w:pPr>
            <w:r>
              <w:rPr>
                <w:sz w:val="20"/>
                <w:szCs w:val="20"/>
                <w:lang w:val="en-US"/>
              </w:rPr>
              <w:t>60.74 (7.95)</w:t>
            </w:r>
          </w:p>
        </w:tc>
      </w:tr>
      <w:tr w:rsidR="009069B1" w:rsidRPr="009069B1" w14:paraId="4181AD38" w14:textId="77777777" w:rsidTr="006E55E1">
        <w:trPr>
          <w:gridAfter w:val="1"/>
          <w:wAfter w:w="7" w:type="dxa"/>
        </w:trPr>
        <w:tc>
          <w:tcPr>
            <w:tcW w:w="3544" w:type="dxa"/>
            <w:gridSpan w:val="4"/>
            <w:tcBorders>
              <w:top w:val="single" w:sz="4" w:space="0" w:color="auto"/>
              <w:bottom w:val="nil"/>
              <w:right w:val="nil"/>
            </w:tcBorders>
          </w:tcPr>
          <w:p w14:paraId="512A80A0" w14:textId="77777777" w:rsidR="009069B1" w:rsidRPr="009069B1" w:rsidRDefault="009069B1" w:rsidP="006D6AAB">
            <w:pPr>
              <w:spacing w:after="0" w:line="240" w:lineRule="auto"/>
              <w:rPr>
                <w:sz w:val="20"/>
                <w:szCs w:val="20"/>
              </w:rPr>
            </w:pPr>
            <w:r w:rsidRPr="009069B1">
              <w:rPr>
                <w:sz w:val="20"/>
                <w:szCs w:val="20"/>
              </w:rPr>
              <w:t>Partner status</w:t>
            </w:r>
          </w:p>
        </w:tc>
        <w:tc>
          <w:tcPr>
            <w:tcW w:w="1606" w:type="dxa"/>
            <w:tcBorders>
              <w:top w:val="single" w:sz="4" w:space="0" w:color="auto"/>
              <w:bottom w:val="nil"/>
            </w:tcBorders>
          </w:tcPr>
          <w:p w14:paraId="66955BE8" w14:textId="77777777" w:rsidR="009069B1" w:rsidRPr="009069B1" w:rsidRDefault="009069B1" w:rsidP="006D6AAB">
            <w:pPr>
              <w:spacing w:after="0" w:line="240" w:lineRule="auto"/>
              <w:jc w:val="center"/>
              <w:rPr>
                <w:sz w:val="20"/>
                <w:szCs w:val="20"/>
              </w:rPr>
            </w:pPr>
          </w:p>
        </w:tc>
        <w:tc>
          <w:tcPr>
            <w:tcW w:w="1850" w:type="dxa"/>
            <w:tcBorders>
              <w:top w:val="single" w:sz="4" w:space="0" w:color="auto"/>
              <w:bottom w:val="nil"/>
            </w:tcBorders>
          </w:tcPr>
          <w:p w14:paraId="0AF3AEB3" w14:textId="77777777" w:rsidR="009069B1" w:rsidRPr="009069B1" w:rsidRDefault="009069B1" w:rsidP="006D6AAB">
            <w:pPr>
              <w:spacing w:after="0" w:line="240" w:lineRule="auto"/>
              <w:jc w:val="center"/>
              <w:rPr>
                <w:sz w:val="20"/>
                <w:szCs w:val="20"/>
              </w:rPr>
            </w:pPr>
          </w:p>
        </w:tc>
      </w:tr>
      <w:tr w:rsidR="009069B1" w:rsidRPr="009069B1" w14:paraId="7816E383" w14:textId="77777777" w:rsidTr="006E55E1">
        <w:trPr>
          <w:gridAfter w:val="1"/>
          <w:wAfter w:w="7" w:type="dxa"/>
        </w:trPr>
        <w:tc>
          <w:tcPr>
            <w:tcW w:w="284" w:type="dxa"/>
            <w:tcBorders>
              <w:top w:val="nil"/>
              <w:bottom w:val="nil"/>
              <w:right w:val="nil"/>
            </w:tcBorders>
          </w:tcPr>
          <w:p w14:paraId="26DF0CEB" w14:textId="77777777" w:rsidR="009069B1" w:rsidRPr="009069B1" w:rsidRDefault="009069B1" w:rsidP="006D6AAB">
            <w:pPr>
              <w:spacing w:after="0" w:line="240" w:lineRule="auto"/>
              <w:rPr>
                <w:sz w:val="20"/>
                <w:szCs w:val="20"/>
              </w:rPr>
            </w:pPr>
          </w:p>
        </w:tc>
        <w:tc>
          <w:tcPr>
            <w:tcW w:w="3260" w:type="dxa"/>
            <w:gridSpan w:val="3"/>
            <w:tcBorders>
              <w:top w:val="nil"/>
              <w:left w:val="nil"/>
              <w:bottom w:val="single" w:sz="4" w:space="0" w:color="auto"/>
              <w:right w:val="nil"/>
            </w:tcBorders>
            <w:vAlign w:val="center"/>
          </w:tcPr>
          <w:p w14:paraId="55FF6976" w14:textId="77777777" w:rsidR="009069B1" w:rsidRPr="009069B1" w:rsidRDefault="009069B1" w:rsidP="006D6AAB">
            <w:pPr>
              <w:spacing w:after="0" w:line="240" w:lineRule="auto"/>
              <w:rPr>
                <w:sz w:val="20"/>
                <w:szCs w:val="20"/>
              </w:rPr>
            </w:pPr>
            <w:r w:rsidRPr="009069B1">
              <w:rPr>
                <w:sz w:val="20"/>
                <w:szCs w:val="20"/>
              </w:rPr>
              <w:t>Married/cohabiting</w:t>
            </w:r>
          </w:p>
        </w:tc>
        <w:tc>
          <w:tcPr>
            <w:tcW w:w="1606" w:type="dxa"/>
            <w:tcBorders>
              <w:top w:val="nil"/>
              <w:left w:val="nil"/>
              <w:bottom w:val="single" w:sz="4" w:space="0" w:color="auto"/>
              <w:right w:val="nil"/>
            </w:tcBorders>
          </w:tcPr>
          <w:p w14:paraId="427DC8C1" w14:textId="77777777" w:rsidR="009069B1" w:rsidRPr="009069B1" w:rsidRDefault="00087420" w:rsidP="006D6AAB">
            <w:pPr>
              <w:spacing w:after="0" w:line="240" w:lineRule="auto"/>
              <w:jc w:val="center"/>
              <w:rPr>
                <w:sz w:val="20"/>
                <w:szCs w:val="20"/>
              </w:rPr>
            </w:pPr>
            <w:r>
              <w:rPr>
                <w:sz w:val="20"/>
                <w:szCs w:val="20"/>
              </w:rPr>
              <w:t>73.9</w:t>
            </w:r>
          </w:p>
        </w:tc>
        <w:tc>
          <w:tcPr>
            <w:tcW w:w="1850" w:type="dxa"/>
            <w:tcBorders>
              <w:top w:val="nil"/>
              <w:left w:val="nil"/>
              <w:bottom w:val="single" w:sz="4" w:space="0" w:color="auto"/>
              <w:right w:val="nil"/>
            </w:tcBorders>
          </w:tcPr>
          <w:p w14:paraId="6E8B7BBD" w14:textId="77777777" w:rsidR="009069B1" w:rsidRPr="009069B1" w:rsidRDefault="00087420" w:rsidP="006D6AAB">
            <w:pPr>
              <w:spacing w:after="0" w:line="240" w:lineRule="auto"/>
              <w:jc w:val="center"/>
              <w:rPr>
                <w:sz w:val="20"/>
                <w:szCs w:val="20"/>
              </w:rPr>
            </w:pPr>
            <w:r>
              <w:rPr>
                <w:sz w:val="20"/>
                <w:szCs w:val="20"/>
              </w:rPr>
              <w:t>76.9</w:t>
            </w:r>
          </w:p>
        </w:tc>
      </w:tr>
      <w:tr w:rsidR="009069B1" w:rsidRPr="009069B1" w14:paraId="5803206F" w14:textId="77777777" w:rsidTr="006E55E1">
        <w:trPr>
          <w:gridAfter w:val="1"/>
          <w:wAfter w:w="7" w:type="dxa"/>
        </w:trPr>
        <w:tc>
          <w:tcPr>
            <w:tcW w:w="284" w:type="dxa"/>
            <w:tcBorders>
              <w:top w:val="nil"/>
              <w:bottom w:val="nil"/>
              <w:right w:val="nil"/>
            </w:tcBorders>
          </w:tcPr>
          <w:p w14:paraId="2123217C" w14:textId="77777777" w:rsidR="009069B1" w:rsidRPr="009069B1" w:rsidRDefault="009069B1" w:rsidP="006D6AAB">
            <w:pPr>
              <w:spacing w:after="0" w:line="240" w:lineRule="auto"/>
              <w:rPr>
                <w:sz w:val="20"/>
                <w:szCs w:val="20"/>
              </w:rPr>
            </w:pPr>
          </w:p>
        </w:tc>
        <w:tc>
          <w:tcPr>
            <w:tcW w:w="3260" w:type="dxa"/>
            <w:gridSpan w:val="3"/>
            <w:tcBorders>
              <w:top w:val="single" w:sz="4" w:space="0" w:color="auto"/>
              <w:left w:val="nil"/>
              <w:bottom w:val="single" w:sz="4" w:space="0" w:color="auto"/>
              <w:right w:val="nil"/>
            </w:tcBorders>
            <w:vAlign w:val="center"/>
          </w:tcPr>
          <w:p w14:paraId="5BC8667D" w14:textId="77777777" w:rsidR="009069B1" w:rsidRPr="009069B1" w:rsidRDefault="009069B1" w:rsidP="006D6AAB">
            <w:pPr>
              <w:spacing w:after="0" w:line="240" w:lineRule="auto"/>
              <w:rPr>
                <w:sz w:val="20"/>
                <w:szCs w:val="20"/>
              </w:rPr>
            </w:pPr>
            <w:r w:rsidRPr="009069B1">
              <w:rPr>
                <w:sz w:val="20"/>
                <w:szCs w:val="20"/>
              </w:rPr>
              <w:t>Separated/divorced</w:t>
            </w:r>
          </w:p>
        </w:tc>
        <w:tc>
          <w:tcPr>
            <w:tcW w:w="1606" w:type="dxa"/>
            <w:tcBorders>
              <w:top w:val="single" w:sz="4" w:space="0" w:color="auto"/>
              <w:left w:val="nil"/>
              <w:bottom w:val="single" w:sz="4" w:space="0" w:color="auto"/>
              <w:right w:val="nil"/>
            </w:tcBorders>
          </w:tcPr>
          <w:p w14:paraId="3210BE73" w14:textId="77777777" w:rsidR="009069B1" w:rsidRPr="009069B1" w:rsidRDefault="00087420" w:rsidP="006D6AAB">
            <w:pPr>
              <w:spacing w:after="0" w:line="240" w:lineRule="auto"/>
              <w:jc w:val="center"/>
              <w:rPr>
                <w:sz w:val="20"/>
                <w:szCs w:val="20"/>
              </w:rPr>
            </w:pPr>
            <w:r>
              <w:rPr>
                <w:sz w:val="20"/>
                <w:szCs w:val="20"/>
              </w:rPr>
              <w:t>11.5</w:t>
            </w:r>
          </w:p>
        </w:tc>
        <w:tc>
          <w:tcPr>
            <w:tcW w:w="1850" w:type="dxa"/>
            <w:tcBorders>
              <w:top w:val="single" w:sz="4" w:space="0" w:color="auto"/>
              <w:left w:val="nil"/>
              <w:bottom w:val="single" w:sz="4" w:space="0" w:color="auto"/>
              <w:right w:val="nil"/>
            </w:tcBorders>
          </w:tcPr>
          <w:p w14:paraId="476710FA" w14:textId="77777777" w:rsidR="009069B1" w:rsidRPr="009069B1" w:rsidRDefault="00087420" w:rsidP="006D6AAB">
            <w:pPr>
              <w:spacing w:after="0" w:line="240" w:lineRule="auto"/>
              <w:jc w:val="center"/>
              <w:rPr>
                <w:sz w:val="20"/>
                <w:szCs w:val="20"/>
              </w:rPr>
            </w:pPr>
            <w:r>
              <w:rPr>
                <w:sz w:val="20"/>
                <w:szCs w:val="20"/>
              </w:rPr>
              <w:t>14.1</w:t>
            </w:r>
          </w:p>
        </w:tc>
      </w:tr>
      <w:tr w:rsidR="009069B1" w:rsidRPr="009069B1" w14:paraId="66E884BE" w14:textId="77777777" w:rsidTr="006E55E1">
        <w:trPr>
          <w:gridAfter w:val="1"/>
          <w:wAfter w:w="7" w:type="dxa"/>
        </w:trPr>
        <w:tc>
          <w:tcPr>
            <w:tcW w:w="284" w:type="dxa"/>
            <w:tcBorders>
              <w:top w:val="nil"/>
              <w:bottom w:val="nil"/>
              <w:right w:val="nil"/>
            </w:tcBorders>
          </w:tcPr>
          <w:p w14:paraId="0B002575" w14:textId="77777777" w:rsidR="009069B1" w:rsidRPr="009069B1" w:rsidRDefault="009069B1" w:rsidP="006D6AAB">
            <w:pPr>
              <w:spacing w:after="0" w:line="240" w:lineRule="auto"/>
              <w:rPr>
                <w:sz w:val="20"/>
                <w:szCs w:val="20"/>
              </w:rPr>
            </w:pPr>
          </w:p>
        </w:tc>
        <w:tc>
          <w:tcPr>
            <w:tcW w:w="3260" w:type="dxa"/>
            <w:gridSpan w:val="3"/>
            <w:tcBorders>
              <w:top w:val="single" w:sz="4" w:space="0" w:color="auto"/>
              <w:left w:val="nil"/>
              <w:bottom w:val="single" w:sz="4" w:space="0" w:color="auto"/>
              <w:right w:val="nil"/>
            </w:tcBorders>
            <w:vAlign w:val="center"/>
          </w:tcPr>
          <w:p w14:paraId="1FA9B8E5" w14:textId="77777777" w:rsidR="009069B1" w:rsidRPr="009069B1" w:rsidRDefault="009069B1" w:rsidP="006D6AAB">
            <w:pPr>
              <w:spacing w:after="0" w:line="240" w:lineRule="auto"/>
              <w:rPr>
                <w:sz w:val="20"/>
                <w:szCs w:val="20"/>
              </w:rPr>
            </w:pPr>
            <w:r w:rsidRPr="009069B1">
              <w:rPr>
                <w:sz w:val="20"/>
                <w:szCs w:val="20"/>
              </w:rPr>
              <w:t>Widowed</w:t>
            </w:r>
          </w:p>
        </w:tc>
        <w:tc>
          <w:tcPr>
            <w:tcW w:w="1606" w:type="dxa"/>
            <w:tcBorders>
              <w:top w:val="single" w:sz="4" w:space="0" w:color="auto"/>
              <w:left w:val="nil"/>
              <w:bottom w:val="single" w:sz="4" w:space="0" w:color="auto"/>
              <w:right w:val="nil"/>
            </w:tcBorders>
          </w:tcPr>
          <w:p w14:paraId="4D26F64B" w14:textId="77777777" w:rsidR="009069B1" w:rsidRPr="009069B1" w:rsidRDefault="00087420" w:rsidP="006D6AAB">
            <w:pPr>
              <w:spacing w:after="0" w:line="240" w:lineRule="auto"/>
              <w:jc w:val="center"/>
              <w:rPr>
                <w:sz w:val="20"/>
                <w:szCs w:val="20"/>
              </w:rPr>
            </w:pPr>
            <w:r>
              <w:rPr>
                <w:sz w:val="20"/>
                <w:szCs w:val="20"/>
              </w:rPr>
              <w:t>6.0</w:t>
            </w:r>
          </w:p>
        </w:tc>
        <w:tc>
          <w:tcPr>
            <w:tcW w:w="1850" w:type="dxa"/>
            <w:tcBorders>
              <w:top w:val="single" w:sz="4" w:space="0" w:color="auto"/>
              <w:left w:val="nil"/>
              <w:bottom w:val="single" w:sz="4" w:space="0" w:color="auto"/>
              <w:right w:val="nil"/>
            </w:tcBorders>
          </w:tcPr>
          <w:p w14:paraId="6AC37190" w14:textId="77777777" w:rsidR="009069B1" w:rsidRPr="009069B1" w:rsidRDefault="00087420" w:rsidP="006D6AAB">
            <w:pPr>
              <w:spacing w:after="0" w:line="240" w:lineRule="auto"/>
              <w:jc w:val="center"/>
              <w:rPr>
                <w:sz w:val="20"/>
                <w:szCs w:val="20"/>
              </w:rPr>
            </w:pPr>
            <w:r>
              <w:rPr>
                <w:sz w:val="20"/>
                <w:szCs w:val="20"/>
              </w:rPr>
              <w:t>4.4</w:t>
            </w:r>
          </w:p>
        </w:tc>
      </w:tr>
      <w:tr w:rsidR="009069B1" w:rsidRPr="009069B1" w14:paraId="2D634C66" w14:textId="77777777" w:rsidTr="006E55E1">
        <w:trPr>
          <w:gridAfter w:val="1"/>
          <w:wAfter w:w="7" w:type="dxa"/>
        </w:trPr>
        <w:tc>
          <w:tcPr>
            <w:tcW w:w="284" w:type="dxa"/>
            <w:tcBorders>
              <w:top w:val="nil"/>
              <w:bottom w:val="nil"/>
              <w:right w:val="nil"/>
            </w:tcBorders>
          </w:tcPr>
          <w:p w14:paraId="0139484A" w14:textId="77777777" w:rsidR="009069B1" w:rsidRPr="009069B1" w:rsidRDefault="009069B1" w:rsidP="006D6AAB">
            <w:pPr>
              <w:spacing w:after="0" w:line="240" w:lineRule="auto"/>
              <w:rPr>
                <w:sz w:val="20"/>
                <w:szCs w:val="20"/>
              </w:rPr>
            </w:pPr>
          </w:p>
        </w:tc>
        <w:tc>
          <w:tcPr>
            <w:tcW w:w="3260" w:type="dxa"/>
            <w:gridSpan w:val="3"/>
            <w:tcBorders>
              <w:top w:val="single" w:sz="4" w:space="0" w:color="auto"/>
              <w:left w:val="nil"/>
              <w:bottom w:val="nil"/>
              <w:right w:val="nil"/>
            </w:tcBorders>
            <w:vAlign w:val="center"/>
          </w:tcPr>
          <w:p w14:paraId="0D96FB81" w14:textId="77777777" w:rsidR="009069B1" w:rsidRPr="009069B1" w:rsidRDefault="009069B1" w:rsidP="006D6AAB">
            <w:pPr>
              <w:spacing w:after="0" w:line="240" w:lineRule="auto"/>
              <w:rPr>
                <w:sz w:val="20"/>
                <w:szCs w:val="20"/>
              </w:rPr>
            </w:pPr>
            <w:r w:rsidRPr="009069B1">
              <w:rPr>
                <w:sz w:val="20"/>
                <w:szCs w:val="20"/>
              </w:rPr>
              <w:t>Single/never married</w:t>
            </w:r>
          </w:p>
        </w:tc>
        <w:tc>
          <w:tcPr>
            <w:tcW w:w="1606" w:type="dxa"/>
            <w:tcBorders>
              <w:top w:val="single" w:sz="4" w:space="0" w:color="auto"/>
              <w:left w:val="nil"/>
              <w:bottom w:val="nil"/>
              <w:right w:val="nil"/>
            </w:tcBorders>
          </w:tcPr>
          <w:p w14:paraId="743B3550" w14:textId="77777777" w:rsidR="009069B1" w:rsidRPr="009069B1" w:rsidRDefault="00087420" w:rsidP="006D6AAB">
            <w:pPr>
              <w:spacing w:after="0" w:line="240" w:lineRule="auto"/>
              <w:jc w:val="center"/>
              <w:rPr>
                <w:sz w:val="20"/>
                <w:szCs w:val="20"/>
              </w:rPr>
            </w:pPr>
            <w:r>
              <w:rPr>
                <w:sz w:val="20"/>
                <w:szCs w:val="20"/>
              </w:rPr>
              <w:t>8.7</w:t>
            </w:r>
          </w:p>
        </w:tc>
        <w:tc>
          <w:tcPr>
            <w:tcW w:w="1850" w:type="dxa"/>
            <w:tcBorders>
              <w:top w:val="single" w:sz="4" w:space="0" w:color="auto"/>
              <w:left w:val="nil"/>
              <w:bottom w:val="nil"/>
              <w:right w:val="nil"/>
            </w:tcBorders>
          </w:tcPr>
          <w:p w14:paraId="1E794546" w14:textId="77777777" w:rsidR="009069B1" w:rsidRPr="009069B1" w:rsidRDefault="00087420" w:rsidP="006D6AAB">
            <w:pPr>
              <w:spacing w:after="0" w:line="240" w:lineRule="auto"/>
              <w:jc w:val="center"/>
              <w:rPr>
                <w:sz w:val="20"/>
                <w:szCs w:val="20"/>
              </w:rPr>
            </w:pPr>
            <w:r>
              <w:rPr>
                <w:sz w:val="20"/>
                <w:szCs w:val="20"/>
              </w:rPr>
              <w:t>4.6</w:t>
            </w:r>
          </w:p>
        </w:tc>
      </w:tr>
      <w:tr w:rsidR="009069B1" w:rsidRPr="009069B1" w14:paraId="2ED73CC4" w14:textId="77777777" w:rsidTr="006E55E1">
        <w:trPr>
          <w:gridAfter w:val="1"/>
          <w:wAfter w:w="7" w:type="dxa"/>
        </w:trPr>
        <w:tc>
          <w:tcPr>
            <w:tcW w:w="3544" w:type="dxa"/>
            <w:gridSpan w:val="4"/>
            <w:tcBorders>
              <w:top w:val="single" w:sz="4" w:space="0" w:color="auto"/>
              <w:bottom w:val="nil"/>
              <w:right w:val="nil"/>
            </w:tcBorders>
          </w:tcPr>
          <w:p w14:paraId="5576A0D9" w14:textId="77777777" w:rsidR="009069B1" w:rsidRPr="009069B1" w:rsidRDefault="009069B1" w:rsidP="006D6AAB">
            <w:pPr>
              <w:spacing w:after="0" w:line="240" w:lineRule="auto"/>
              <w:rPr>
                <w:sz w:val="20"/>
                <w:szCs w:val="20"/>
              </w:rPr>
            </w:pPr>
            <w:r w:rsidRPr="009069B1">
              <w:rPr>
                <w:sz w:val="20"/>
                <w:szCs w:val="20"/>
              </w:rPr>
              <w:t>Ethnicity</w:t>
            </w:r>
          </w:p>
        </w:tc>
        <w:tc>
          <w:tcPr>
            <w:tcW w:w="1606" w:type="dxa"/>
            <w:tcBorders>
              <w:top w:val="single" w:sz="4" w:space="0" w:color="auto"/>
              <w:bottom w:val="nil"/>
            </w:tcBorders>
          </w:tcPr>
          <w:p w14:paraId="43057CB9" w14:textId="77777777" w:rsidR="009069B1" w:rsidRPr="009069B1" w:rsidRDefault="009069B1" w:rsidP="006D6AAB">
            <w:pPr>
              <w:spacing w:after="0" w:line="240" w:lineRule="auto"/>
              <w:jc w:val="center"/>
              <w:rPr>
                <w:sz w:val="20"/>
                <w:szCs w:val="20"/>
              </w:rPr>
            </w:pPr>
          </w:p>
        </w:tc>
        <w:tc>
          <w:tcPr>
            <w:tcW w:w="1850" w:type="dxa"/>
            <w:tcBorders>
              <w:top w:val="single" w:sz="4" w:space="0" w:color="auto"/>
              <w:bottom w:val="nil"/>
            </w:tcBorders>
          </w:tcPr>
          <w:p w14:paraId="448EA185" w14:textId="77777777" w:rsidR="009069B1" w:rsidRPr="009069B1" w:rsidRDefault="009069B1" w:rsidP="006D6AAB">
            <w:pPr>
              <w:spacing w:after="0" w:line="240" w:lineRule="auto"/>
              <w:jc w:val="center"/>
              <w:rPr>
                <w:sz w:val="20"/>
                <w:szCs w:val="20"/>
              </w:rPr>
            </w:pPr>
          </w:p>
        </w:tc>
      </w:tr>
      <w:tr w:rsidR="009069B1" w:rsidRPr="009069B1" w14:paraId="4DE31584" w14:textId="77777777" w:rsidTr="006E55E1">
        <w:trPr>
          <w:gridAfter w:val="1"/>
          <w:wAfter w:w="7" w:type="dxa"/>
        </w:trPr>
        <w:tc>
          <w:tcPr>
            <w:tcW w:w="284" w:type="dxa"/>
            <w:tcBorders>
              <w:top w:val="nil"/>
              <w:bottom w:val="nil"/>
              <w:right w:val="nil"/>
            </w:tcBorders>
          </w:tcPr>
          <w:p w14:paraId="1242EFB1" w14:textId="77777777" w:rsidR="009069B1" w:rsidRPr="009069B1" w:rsidRDefault="009069B1" w:rsidP="006D6AAB">
            <w:pPr>
              <w:spacing w:after="0" w:line="240" w:lineRule="auto"/>
              <w:rPr>
                <w:sz w:val="20"/>
                <w:szCs w:val="20"/>
              </w:rPr>
            </w:pPr>
          </w:p>
        </w:tc>
        <w:tc>
          <w:tcPr>
            <w:tcW w:w="3260" w:type="dxa"/>
            <w:gridSpan w:val="3"/>
            <w:tcBorders>
              <w:top w:val="nil"/>
              <w:left w:val="nil"/>
              <w:bottom w:val="single" w:sz="4" w:space="0" w:color="auto"/>
              <w:right w:val="nil"/>
            </w:tcBorders>
            <w:vAlign w:val="center"/>
          </w:tcPr>
          <w:p w14:paraId="2CF20D87" w14:textId="77777777" w:rsidR="009069B1" w:rsidRPr="009069B1" w:rsidRDefault="009069B1" w:rsidP="006D6AAB">
            <w:pPr>
              <w:spacing w:after="0" w:line="240" w:lineRule="auto"/>
              <w:rPr>
                <w:sz w:val="20"/>
                <w:szCs w:val="20"/>
              </w:rPr>
            </w:pPr>
            <w:r w:rsidRPr="009069B1">
              <w:rPr>
                <w:sz w:val="20"/>
                <w:szCs w:val="20"/>
              </w:rPr>
              <w:t>White</w:t>
            </w:r>
          </w:p>
        </w:tc>
        <w:tc>
          <w:tcPr>
            <w:tcW w:w="1606" w:type="dxa"/>
            <w:tcBorders>
              <w:top w:val="nil"/>
              <w:left w:val="nil"/>
              <w:bottom w:val="single" w:sz="4" w:space="0" w:color="auto"/>
              <w:right w:val="nil"/>
            </w:tcBorders>
          </w:tcPr>
          <w:p w14:paraId="5CFDBEAC" w14:textId="77777777" w:rsidR="009069B1" w:rsidRPr="009069B1" w:rsidRDefault="00087420" w:rsidP="006D6AAB">
            <w:pPr>
              <w:spacing w:after="0" w:line="240" w:lineRule="auto"/>
              <w:jc w:val="center"/>
              <w:rPr>
                <w:sz w:val="20"/>
                <w:szCs w:val="20"/>
              </w:rPr>
            </w:pPr>
            <w:r>
              <w:rPr>
                <w:sz w:val="20"/>
                <w:szCs w:val="20"/>
              </w:rPr>
              <w:t>93.8</w:t>
            </w:r>
          </w:p>
        </w:tc>
        <w:tc>
          <w:tcPr>
            <w:tcW w:w="1850" w:type="dxa"/>
            <w:tcBorders>
              <w:top w:val="nil"/>
              <w:left w:val="nil"/>
              <w:bottom w:val="single" w:sz="4" w:space="0" w:color="auto"/>
              <w:right w:val="nil"/>
            </w:tcBorders>
          </w:tcPr>
          <w:p w14:paraId="0D88A308" w14:textId="77777777" w:rsidR="009069B1" w:rsidRPr="009069B1" w:rsidRDefault="00087420" w:rsidP="006D6AAB">
            <w:pPr>
              <w:spacing w:after="0" w:line="240" w:lineRule="auto"/>
              <w:jc w:val="center"/>
              <w:rPr>
                <w:sz w:val="20"/>
                <w:szCs w:val="20"/>
              </w:rPr>
            </w:pPr>
            <w:r>
              <w:rPr>
                <w:sz w:val="20"/>
                <w:szCs w:val="20"/>
              </w:rPr>
              <w:t>97.2</w:t>
            </w:r>
          </w:p>
        </w:tc>
      </w:tr>
      <w:tr w:rsidR="009069B1" w:rsidRPr="009069B1" w14:paraId="6ADCAF8D" w14:textId="77777777" w:rsidTr="006E55E1">
        <w:trPr>
          <w:gridAfter w:val="1"/>
          <w:wAfter w:w="7" w:type="dxa"/>
        </w:trPr>
        <w:tc>
          <w:tcPr>
            <w:tcW w:w="284" w:type="dxa"/>
            <w:tcBorders>
              <w:top w:val="nil"/>
              <w:bottom w:val="nil"/>
              <w:right w:val="nil"/>
            </w:tcBorders>
          </w:tcPr>
          <w:p w14:paraId="1BBD37DB" w14:textId="77777777" w:rsidR="009069B1" w:rsidRPr="009069B1" w:rsidRDefault="009069B1" w:rsidP="006D6AAB">
            <w:pPr>
              <w:spacing w:after="0" w:line="240" w:lineRule="auto"/>
              <w:rPr>
                <w:sz w:val="20"/>
                <w:szCs w:val="20"/>
              </w:rPr>
            </w:pPr>
          </w:p>
        </w:tc>
        <w:tc>
          <w:tcPr>
            <w:tcW w:w="3260" w:type="dxa"/>
            <w:gridSpan w:val="3"/>
            <w:tcBorders>
              <w:top w:val="single" w:sz="4" w:space="0" w:color="auto"/>
              <w:left w:val="nil"/>
              <w:bottom w:val="single" w:sz="4" w:space="0" w:color="auto"/>
              <w:right w:val="nil"/>
            </w:tcBorders>
            <w:vAlign w:val="center"/>
          </w:tcPr>
          <w:p w14:paraId="45148A4D" w14:textId="77777777" w:rsidR="009069B1" w:rsidRPr="009069B1" w:rsidRDefault="009069B1" w:rsidP="006D6AAB">
            <w:pPr>
              <w:spacing w:after="0" w:line="240" w:lineRule="auto"/>
              <w:rPr>
                <w:sz w:val="20"/>
                <w:szCs w:val="20"/>
              </w:rPr>
            </w:pPr>
            <w:r w:rsidRPr="009069B1">
              <w:rPr>
                <w:sz w:val="20"/>
                <w:szCs w:val="20"/>
              </w:rPr>
              <w:t>Non-white</w:t>
            </w:r>
          </w:p>
        </w:tc>
        <w:tc>
          <w:tcPr>
            <w:tcW w:w="1606" w:type="dxa"/>
            <w:tcBorders>
              <w:top w:val="single" w:sz="4" w:space="0" w:color="auto"/>
              <w:left w:val="nil"/>
              <w:bottom w:val="single" w:sz="4" w:space="0" w:color="auto"/>
              <w:right w:val="nil"/>
            </w:tcBorders>
          </w:tcPr>
          <w:p w14:paraId="400A7939" w14:textId="77777777" w:rsidR="009069B1" w:rsidRPr="009069B1" w:rsidRDefault="00087420" w:rsidP="006D6AAB">
            <w:pPr>
              <w:spacing w:after="0" w:line="240" w:lineRule="auto"/>
              <w:jc w:val="center"/>
              <w:rPr>
                <w:sz w:val="20"/>
                <w:szCs w:val="20"/>
              </w:rPr>
            </w:pPr>
            <w:r>
              <w:rPr>
                <w:sz w:val="20"/>
                <w:szCs w:val="20"/>
              </w:rPr>
              <w:t>6.2</w:t>
            </w:r>
          </w:p>
        </w:tc>
        <w:tc>
          <w:tcPr>
            <w:tcW w:w="1850" w:type="dxa"/>
            <w:tcBorders>
              <w:top w:val="single" w:sz="4" w:space="0" w:color="auto"/>
              <w:left w:val="nil"/>
              <w:bottom w:val="single" w:sz="4" w:space="0" w:color="auto"/>
              <w:right w:val="nil"/>
            </w:tcBorders>
          </w:tcPr>
          <w:p w14:paraId="6CD963F5" w14:textId="77777777" w:rsidR="009069B1" w:rsidRPr="009069B1" w:rsidRDefault="00087420" w:rsidP="006D6AAB">
            <w:pPr>
              <w:spacing w:after="0" w:line="240" w:lineRule="auto"/>
              <w:jc w:val="center"/>
              <w:rPr>
                <w:sz w:val="20"/>
                <w:szCs w:val="20"/>
              </w:rPr>
            </w:pPr>
            <w:r>
              <w:rPr>
                <w:sz w:val="20"/>
                <w:szCs w:val="20"/>
              </w:rPr>
              <w:t>2.8</w:t>
            </w:r>
          </w:p>
        </w:tc>
      </w:tr>
      <w:tr w:rsidR="009069B1" w:rsidRPr="009069B1" w14:paraId="6A97B9B3" w14:textId="77777777" w:rsidTr="006E55E1">
        <w:trPr>
          <w:gridAfter w:val="1"/>
          <w:wAfter w:w="7" w:type="dxa"/>
        </w:trPr>
        <w:tc>
          <w:tcPr>
            <w:tcW w:w="3544" w:type="dxa"/>
            <w:gridSpan w:val="4"/>
            <w:tcBorders>
              <w:top w:val="single" w:sz="4" w:space="0" w:color="auto"/>
              <w:bottom w:val="nil"/>
              <w:right w:val="nil"/>
            </w:tcBorders>
          </w:tcPr>
          <w:p w14:paraId="2F47B6AD" w14:textId="77777777" w:rsidR="009069B1" w:rsidRPr="009069B1" w:rsidRDefault="009069B1" w:rsidP="006D6AAB">
            <w:pPr>
              <w:spacing w:after="0" w:line="240" w:lineRule="auto"/>
              <w:rPr>
                <w:sz w:val="20"/>
                <w:szCs w:val="20"/>
              </w:rPr>
            </w:pPr>
            <w:r w:rsidRPr="009069B1">
              <w:rPr>
                <w:sz w:val="20"/>
                <w:szCs w:val="20"/>
              </w:rPr>
              <w:t>Wealth quintile</w:t>
            </w:r>
          </w:p>
        </w:tc>
        <w:tc>
          <w:tcPr>
            <w:tcW w:w="1606" w:type="dxa"/>
            <w:tcBorders>
              <w:top w:val="single" w:sz="4" w:space="0" w:color="auto"/>
              <w:bottom w:val="nil"/>
            </w:tcBorders>
          </w:tcPr>
          <w:p w14:paraId="6D37C776" w14:textId="77777777" w:rsidR="009069B1" w:rsidRPr="009069B1" w:rsidRDefault="009069B1" w:rsidP="006D6AAB">
            <w:pPr>
              <w:spacing w:after="0" w:line="240" w:lineRule="auto"/>
              <w:jc w:val="center"/>
              <w:rPr>
                <w:sz w:val="20"/>
                <w:szCs w:val="20"/>
              </w:rPr>
            </w:pPr>
          </w:p>
        </w:tc>
        <w:tc>
          <w:tcPr>
            <w:tcW w:w="1850" w:type="dxa"/>
            <w:tcBorders>
              <w:top w:val="single" w:sz="4" w:space="0" w:color="auto"/>
              <w:bottom w:val="nil"/>
            </w:tcBorders>
          </w:tcPr>
          <w:p w14:paraId="0FEBF80D" w14:textId="77777777" w:rsidR="009069B1" w:rsidRPr="009069B1" w:rsidRDefault="009069B1" w:rsidP="006D6AAB">
            <w:pPr>
              <w:spacing w:after="0" w:line="240" w:lineRule="auto"/>
              <w:jc w:val="center"/>
              <w:rPr>
                <w:sz w:val="20"/>
                <w:szCs w:val="20"/>
              </w:rPr>
            </w:pPr>
          </w:p>
        </w:tc>
      </w:tr>
      <w:tr w:rsidR="009069B1" w:rsidRPr="009069B1" w14:paraId="3D36CFD5" w14:textId="77777777" w:rsidTr="006E55E1">
        <w:trPr>
          <w:gridAfter w:val="1"/>
          <w:wAfter w:w="7" w:type="dxa"/>
        </w:trPr>
        <w:tc>
          <w:tcPr>
            <w:tcW w:w="284" w:type="dxa"/>
            <w:tcBorders>
              <w:top w:val="nil"/>
              <w:bottom w:val="nil"/>
              <w:right w:val="nil"/>
            </w:tcBorders>
          </w:tcPr>
          <w:p w14:paraId="59BC03F5" w14:textId="77777777" w:rsidR="009069B1" w:rsidRPr="009069B1" w:rsidRDefault="009069B1" w:rsidP="006D6AAB">
            <w:pPr>
              <w:spacing w:after="0" w:line="240" w:lineRule="auto"/>
              <w:rPr>
                <w:sz w:val="20"/>
                <w:szCs w:val="20"/>
              </w:rPr>
            </w:pPr>
          </w:p>
        </w:tc>
        <w:tc>
          <w:tcPr>
            <w:tcW w:w="3260" w:type="dxa"/>
            <w:gridSpan w:val="3"/>
            <w:tcBorders>
              <w:top w:val="nil"/>
              <w:left w:val="nil"/>
              <w:bottom w:val="single" w:sz="4" w:space="0" w:color="auto"/>
              <w:right w:val="nil"/>
            </w:tcBorders>
            <w:vAlign w:val="center"/>
          </w:tcPr>
          <w:p w14:paraId="1CF0B87B" w14:textId="77777777" w:rsidR="009069B1" w:rsidRPr="009069B1" w:rsidRDefault="009069B1" w:rsidP="006D6AAB">
            <w:pPr>
              <w:spacing w:after="0" w:line="240" w:lineRule="auto"/>
              <w:rPr>
                <w:sz w:val="20"/>
                <w:szCs w:val="20"/>
              </w:rPr>
            </w:pPr>
            <w:r w:rsidRPr="009069B1">
              <w:rPr>
                <w:sz w:val="20"/>
                <w:szCs w:val="20"/>
              </w:rPr>
              <w:t>1 (poorest)</w:t>
            </w:r>
          </w:p>
        </w:tc>
        <w:tc>
          <w:tcPr>
            <w:tcW w:w="1606" w:type="dxa"/>
            <w:tcBorders>
              <w:top w:val="nil"/>
              <w:left w:val="nil"/>
              <w:bottom w:val="single" w:sz="4" w:space="0" w:color="auto"/>
              <w:right w:val="nil"/>
            </w:tcBorders>
          </w:tcPr>
          <w:p w14:paraId="59E1FE6E" w14:textId="77777777" w:rsidR="009069B1" w:rsidRPr="009069B1" w:rsidRDefault="00087420" w:rsidP="006D6AAB">
            <w:pPr>
              <w:spacing w:after="0" w:line="240" w:lineRule="auto"/>
              <w:jc w:val="center"/>
              <w:rPr>
                <w:sz w:val="20"/>
                <w:szCs w:val="20"/>
              </w:rPr>
            </w:pPr>
            <w:r>
              <w:rPr>
                <w:sz w:val="20"/>
                <w:szCs w:val="20"/>
              </w:rPr>
              <w:t>17.2</w:t>
            </w:r>
          </w:p>
        </w:tc>
        <w:tc>
          <w:tcPr>
            <w:tcW w:w="1850" w:type="dxa"/>
            <w:tcBorders>
              <w:top w:val="nil"/>
              <w:left w:val="nil"/>
              <w:bottom w:val="single" w:sz="4" w:space="0" w:color="auto"/>
              <w:right w:val="nil"/>
            </w:tcBorders>
          </w:tcPr>
          <w:p w14:paraId="4DEAA132" w14:textId="77777777" w:rsidR="009069B1" w:rsidRPr="009069B1" w:rsidRDefault="00087420" w:rsidP="006D6AAB">
            <w:pPr>
              <w:spacing w:after="0" w:line="240" w:lineRule="auto"/>
              <w:jc w:val="center"/>
              <w:rPr>
                <w:sz w:val="20"/>
                <w:szCs w:val="20"/>
              </w:rPr>
            </w:pPr>
            <w:r>
              <w:rPr>
                <w:sz w:val="20"/>
                <w:szCs w:val="20"/>
              </w:rPr>
              <w:t>12.7</w:t>
            </w:r>
          </w:p>
        </w:tc>
      </w:tr>
      <w:tr w:rsidR="009069B1" w:rsidRPr="009069B1" w14:paraId="51A9DA63" w14:textId="77777777" w:rsidTr="006E55E1">
        <w:trPr>
          <w:gridAfter w:val="1"/>
          <w:wAfter w:w="7" w:type="dxa"/>
        </w:trPr>
        <w:tc>
          <w:tcPr>
            <w:tcW w:w="284" w:type="dxa"/>
            <w:tcBorders>
              <w:top w:val="nil"/>
              <w:bottom w:val="nil"/>
              <w:right w:val="nil"/>
            </w:tcBorders>
          </w:tcPr>
          <w:p w14:paraId="7AD001F5" w14:textId="77777777" w:rsidR="009069B1" w:rsidRPr="009069B1" w:rsidRDefault="009069B1" w:rsidP="006D6AAB">
            <w:pPr>
              <w:spacing w:after="0" w:line="240" w:lineRule="auto"/>
              <w:rPr>
                <w:sz w:val="20"/>
                <w:szCs w:val="20"/>
              </w:rPr>
            </w:pPr>
          </w:p>
        </w:tc>
        <w:tc>
          <w:tcPr>
            <w:tcW w:w="3260" w:type="dxa"/>
            <w:gridSpan w:val="3"/>
            <w:tcBorders>
              <w:top w:val="single" w:sz="4" w:space="0" w:color="auto"/>
              <w:left w:val="nil"/>
              <w:bottom w:val="single" w:sz="4" w:space="0" w:color="auto"/>
              <w:right w:val="nil"/>
            </w:tcBorders>
            <w:vAlign w:val="center"/>
          </w:tcPr>
          <w:p w14:paraId="18E7FD35" w14:textId="77777777" w:rsidR="009069B1" w:rsidRPr="009069B1" w:rsidRDefault="009069B1" w:rsidP="006D6AAB">
            <w:pPr>
              <w:spacing w:after="0" w:line="240" w:lineRule="auto"/>
              <w:rPr>
                <w:sz w:val="20"/>
                <w:szCs w:val="20"/>
              </w:rPr>
            </w:pPr>
            <w:r w:rsidRPr="009069B1">
              <w:rPr>
                <w:sz w:val="20"/>
                <w:szCs w:val="20"/>
              </w:rPr>
              <w:t>2</w:t>
            </w:r>
          </w:p>
        </w:tc>
        <w:tc>
          <w:tcPr>
            <w:tcW w:w="1606" w:type="dxa"/>
            <w:tcBorders>
              <w:top w:val="single" w:sz="4" w:space="0" w:color="auto"/>
              <w:left w:val="nil"/>
              <w:bottom w:val="single" w:sz="4" w:space="0" w:color="auto"/>
              <w:right w:val="nil"/>
            </w:tcBorders>
          </w:tcPr>
          <w:p w14:paraId="16E98EA2" w14:textId="77777777" w:rsidR="009069B1" w:rsidRPr="009069B1" w:rsidRDefault="00087420" w:rsidP="006D6AAB">
            <w:pPr>
              <w:spacing w:after="0" w:line="240" w:lineRule="auto"/>
              <w:jc w:val="center"/>
              <w:rPr>
                <w:sz w:val="20"/>
                <w:szCs w:val="20"/>
              </w:rPr>
            </w:pPr>
            <w:r>
              <w:rPr>
                <w:sz w:val="20"/>
                <w:szCs w:val="20"/>
              </w:rPr>
              <w:t>19.0</w:t>
            </w:r>
          </w:p>
        </w:tc>
        <w:tc>
          <w:tcPr>
            <w:tcW w:w="1850" w:type="dxa"/>
            <w:tcBorders>
              <w:top w:val="single" w:sz="4" w:space="0" w:color="auto"/>
              <w:left w:val="nil"/>
              <w:bottom w:val="single" w:sz="4" w:space="0" w:color="auto"/>
              <w:right w:val="nil"/>
            </w:tcBorders>
          </w:tcPr>
          <w:p w14:paraId="19118F0E" w14:textId="77777777" w:rsidR="009069B1" w:rsidRPr="009069B1" w:rsidRDefault="00087420" w:rsidP="006D6AAB">
            <w:pPr>
              <w:spacing w:after="0" w:line="240" w:lineRule="auto"/>
              <w:jc w:val="center"/>
              <w:rPr>
                <w:sz w:val="20"/>
                <w:szCs w:val="20"/>
              </w:rPr>
            </w:pPr>
            <w:r>
              <w:rPr>
                <w:sz w:val="20"/>
                <w:szCs w:val="20"/>
              </w:rPr>
              <w:t>17.8</w:t>
            </w:r>
          </w:p>
        </w:tc>
      </w:tr>
      <w:tr w:rsidR="009069B1" w:rsidRPr="009069B1" w14:paraId="115807B7" w14:textId="77777777" w:rsidTr="006E55E1">
        <w:trPr>
          <w:gridAfter w:val="1"/>
          <w:wAfter w:w="7" w:type="dxa"/>
        </w:trPr>
        <w:tc>
          <w:tcPr>
            <w:tcW w:w="284" w:type="dxa"/>
            <w:tcBorders>
              <w:top w:val="nil"/>
              <w:bottom w:val="nil"/>
              <w:right w:val="nil"/>
            </w:tcBorders>
          </w:tcPr>
          <w:p w14:paraId="7C2BDAAF" w14:textId="77777777" w:rsidR="009069B1" w:rsidRPr="009069B1" w:rsidRDefault="009069B1" w:rsidP="006D6AAB">
            <w:pPr>
              <w:spacing w:after="0" w:line="240" w:lineRule="auto"/>
              <w:rPr>
                <w:sz w:val="20"/>
                <w:szCs w:val="20"/>
              </w:rPr>
            </w:pPr>
          </w:p>
        </w:tc>
        <w:tc>
          <w:tcPr>
            <w:tcW w:w="3260" w:type="dxa"/>
            <w:gridSpan w:val="3"/>
            <w:tcBorders>
              <w:top w:val="single" w:sz="4" w:space="0" w:color="auto"/>
              <w:left w:val="nil"/>
              <w:bottom w:val="single" w:sz="4" w:space="0" w:color="auto"/>
              <w:right w:val="nil"/>
            </w:tcBorders>
            <w:vAlign w:val="center"/>
          </w:tcPr>
          <w:p w14:paraId="397159CB" w14:textId="77777777" w:rsidR="009069B1" w:rsidRPr="009069B1" w:rsidRDefault="009069B1" w:rsidP="006D6AAB">
            <w:pPr>
              <w:spacing w:after="0" w:line="240" w:lineRule="auto"/>
              <w:rPr>
                <w:sz w:val="20"/>
                <w:szCs w:val="20"/>
              </w:rPr>
            </w:pPr>
            <w:r w:rsidRPr="009069B1">
              <w:rPr>
                <w:sz w:val="20"/>
                <w:szCs w:val="20"/>
              </w:rPr>
              <w:t>3</w:t>
            </w:r>
          </w:p>
        </w:tc>
        <w:tc>
          <w:tcPr>
            <w:tcW w:w="1606" w:type="dxa"/>
            <w:tcBorders>
              <w:top w:val="single" w:sz="4" w:space="0" w:color="auto"/>
              <w:left w:val="nil"/>
              <w:bottom w:val="single" w:sz="4" w:space="0" w:color="auto"/>
              <w:right w:val="nil"/>
            </w:tcBorders>
          </w:tcPr>
          <w:p w14:paraId="4C8EA214" w14:textId="77777777" w:rsidR="009069B1" w:rsidRPr="009069B1" w:rsidRDefault="00087420" w:rsidP="006D6AAB">
            <w:pPr>
              <w:spacing w:after="0" w:line="240" w:lineRule="auto"/>
              <w:jc w:val="center"/>
              <w:rPr>
                <w:sz w:val="20"/>
                <w:szCs w:val="20"/>
              </w:rPr>
            </w:pPr>
            <w:r>
              <w:rPr>
                <w:sz w:val="20"/>
                <w:szCs w:val="20"/>
              </w:rPr>
              <w:t>19.9</w:t>
            </w:r>
          </w:p>
        </w:tc>
        <w:tc>
          <w:tcPr>
            <w:tcW w:w="1850" w:type="dxa"/>
            <w:tcBorders>
              <w:top w:val="single" w:sz="4" w:space="0" w:color="auto"/>
              <w:left w:val="nil"/>
              <w:bottom w:val="single" w:sz="4" w:space="0" w:color="auto"/>
              <w:right w:val="nil"/>
            </w:tcBorders>
          </w:tcPr>
          <w:p w14:paraId="16ECB13C" w14:textId="77777777" w:rsidR="009069B1" w:rsidRPr="009069B1" w:rsidRDefault="00087420" w:rsidP="006D6AAB">
            <w:pPr>
              <w:spacing w:after="0" w:line="240" w:lineRule="auto"/>
              <w:jc w:val="center"/>
              <w:rPr>
                <w:sz w:val="20"/>
                <w:szCs w:val="20"/>
              </w:rPr>
            </w:pPr>
            <w:r>
              <w:rPr>
                <w:sz w:val="20"/>
                <w:szCs w:val="20"/>
              </w:rPr>
              <w:t>20.6</w:t>
            </w:r>
          </w:p>
        </w:tc>
      </w:tr>
      <w:tr w:rsidR="009069B1" w:rsidRPr="009069B1" w14:paraId="34BD1BEA" w14:textId="77777777" w:rsidTr="006E55E1">
        <w:trPr>
          <w:gridAfter w:val="1"/>
          <w:wAfter w:w="7" w:type="dxa"/>
        </w:trPr>
        <w:tc>
          <w:tcPr>
            <w:tcW w:w="284" w:type="dxa"/>
            <w:tcBorders>
              <w:top w:val="nil"/>
              <w:bottom w:val="nil"/>
              <w:right w:val="nil"/>
            </w:tcBorders>
          </w:tcPr>
          <w:p w14:paraId="792CC4CE" w14:textId="77777777" w:rsidR="009069B1" w:rsidRPr="009069B1" w:rsidRDefault="009069B1" w:rsidP="006D6AAB">
            <w:pPr>
              <w:spacing w:after="0" w:line="240" w:lineRule="auto"/>
              <w:rPr>
                <w:sz w:val="20"/>
                <w:szCs w:val="20"/>
              </w:rPr>
            </w:pPr>
          </w:p>
        </w:tc>
        <w:tc>
          <w:tcPr>
            <w:tcW w:w="3260" w:type="dxa"/>
            <w:gridSpan w:val="3"/>
            <w:tcBorders>
              <w:top w:val="single" w:sz="4" w:space="0" w:color="auto"/>
              <w:left w:val="nil"/>
              <w:bottom w:val="single" w:sz="4" w:space="0" w:color="auto"/>
              <w:right w:val="nil"/>
            </w:tcBorders>
            <w:vAlign w:val="center"/>
          </w:tcPr>
          <w:p w14:paraId="4586FE0F" w14:textId="77777777" w:rsidR="009069B1" w:rsidRPr="009069B1" w:rsidRDefault="009069B1" w:rsidP="006D6AAB">
            <w:pPr>
              <w:spacing w:after="0" w:line="240" w:lineRule="auto"/>
              <w:rPr>
                <w:sz w:val="20"/>
                <w:szCs w:val="20"/>
              </w:rPr>
            </w:pPr>
            <w:r w:rsidRPr="009069B1">
              <w:rPr>
                <w:sz w:val="20"/>
                <w:szCs w:val="20"/>
              </w:rPr>
              <w:t>4</w:t>
            </w:r>
          </w:p>
        </w:tc>
        <w:tc>
          <w:tcPr>
            <w:tcW w:w="1606" w:type="dxa"/>
            <w:tcBorders>
              <w:top w:val="single" w:sz="4" w:space="0" w:color="auto"/>
              <w:left w:val="nil"/>
              <w:bottom w:val="single" w:sz="4" w:space="0" w:color="auto"/>
              <w:right w:val="nil"/>
            </w:tcBorders>
          </w:tcPr>
          <w:p w14:paraId="66CD5C97" w14:textId="77777777" w:rsidR="009069B1" w:rsidRPr="009069B1" w:rsidRDefault="00087420" w:rsidP="006D6AAB">
            <w:pPr>
              <w:spacing w:after="0" w:line="240" w:lineRule="auto"/>
              <w:jc w:val="center"/>
              <w:rPr>
                <w:sz w:val="20"/>
                <w:szCs w:val="20"/>
              </w:rPr>
            </w:pPr>
            <w:r>
              <w:rPr>
                <w:sz w:val="20"/>
                <w:szCs w:val="20"/>
              </w:rPr>
              <w:t>21.9</w:t>
            </w:r>
          </w:p>
        </w:tc>
        <w:tc>
          <w:tcPr>
            <w:tcW w:w="1850" w:type="dxa"/>
            <w:tcBorders>
              <w:top w:val="single" w:sz="4" w:space="0" w:color="auto"/>
              <w:left w:val="nil"/>
              <w:bottom w:val="single" w:sz="4" w:space="0" w:color="auto"/>
              <w:right w:val="nil"/>
            </w:tcBorders>
          </w:tcPr>
          <w:p w14:paraId="6F65F035" w14:textId="77777777" w:rsidR="009069B1" w:rsidRPr="009069B1" w:rsidRDefault="00087420" w:rsidP="006D6AAB">
            <w:pPr>
              <w:spacing w:after="0" w:line="240" w:lineRule="auto"/>
              <w:jc w:val="center"/>
              <w:rPr>
                <w:sz w:val="20"/>
                <w:szCs w:val="20"/>
              </w:rPr>
            </w:pPr>
            <w:r>
              <w:rPr>
                <w:sz w:val="20"/>
                <w:szCs w:val="20"/>
              </w:rPr>
              <w:t>24.1</w:t>
            </w:r>
          </w:p>
        </w:tc>
      </w:tr>
      <w:tr w:rsidR="009069B1" w:rsidRPr="009069B1" w14:paraId="209D5A9E" w14:textId="77777777" w:rsidTr="006E55E1">
        <w:trPr>
          <w:gridAfter w:val="1"/>
          <w:wAfter w:w="7" w:type="dxa"/>
        </w:trPr>
        <w:tc>
          <w:tcPr>
            <w:tcW w:w="284" w:type="dxa"/>
            <w:tcBorders>
              <w:top w:val="nil"/>
              <w:bottom w:val="nil"/>
              <w:right w:val="nil"/>
            </w:tcBorders>
          </w:tcPr>
          <w:p w14:paraId="55E4A0D2" w14:textId="77777777" w:rsidR="009069B1" w:rsidRPr="009069B1" w:rsidRDefault="009069B1" w:rsidP="006D6AAB">
            <w:pPr>
              <w:spacing w:after="0" w:line="240" w:lineRule="auto"/>
              <w:rPr>
                <w:sz w:val="20"/>
                <w:szCs w:val="20"/>
              </w:rPr>
            </w:pPr>
          </w:p>
        </w:tc>
        <w:tc>
          <w:tcPr>
            <w:tcW w:w="3260" w:type="dxa"/>
            <w:gridSpan w:val="3"/>
            <w:tcBorders>
              <w:top w:val="single" w:sz="4" w:space="0" w:color="auto"/>
              <w:left w:val="nil"/>
              <w:bottom w:val="nil"/>
              <w:right w:val="nil"/>
            </w:tcBorders>
            <w:vAlign w:val="center"/>
          </w:tcPr>
          <w:p w14:paraId="3EFA76B3" w14:textId="77777777" w:rsidR="009069B1" w:rsidRPr="009069B1" w:rsidRDefault="009069B1" w:rsidP="006D6AAB">
            <w:pPr>
              <w:spacing w:after="0" w:line="240" w:lineRule="auto"/>
              <w:rPr>
                <w:sz w:val="20"/>
                <w:szCs w:val="20"/>
              </w:rPr>
            </w:pPr>
            <w:r w:rsidRPr="009069B1">
              <w:rPr>
                <w:sz w:val="20"/>
                <w:szCs w:val="20"/>
              </w:rPr>
              <w:t>5 (richest)</w:t>
            </w:r>
          </w:p>
        </w:tc>
        <w:tc>
          <w:tcPr>
            <w:tcW w:w="1606" w:type="dxa"/>
            <w:tcBorders>
              <w:top w:val="single" w:sz="4" w:space="0" w:color="auto"/>
              <w:left w:val="nil"/>
              <w:bottom w:val="nil"/>
              <w:right w:val="nil"/>
            </w:tcBorders>
          </w:tcPr>
          <w:p w14:paraId="29A885C6" w14:textId="77777777" w:rsidR="009069B1" w:rsidRPr="009069B1" w:rsidRDefault="00087420" w:rsidP="006D6AAB">
            <w:pPr>
              <w:spacing w:after="0" w:line="240" w:lineRule="auto"/>
              <w:jc w:val="center"/>
              <w:rPr>
                <w:sz w:val="20"/>
                <w:szCs w:val="20"/>
              </w:rPr>
            </w:pPr>
            <w:r>
              <w:rPr>
                <w:sz w:val="20"/>
                <w:szCs w:val="20"/>
              </w:rPr>
              <w:t>22.0</w:t>
            </w:r>
          </w:p>
        </w:tc>
        <w:tc>
          <w:tcPr>
            <w:tcW w:w="1850" w:type="dxa"/>
            <w:tcBorders>
              <w:top w:val="single" w:sz="4" w:space="0" w:color="auto"/>
              <w:left w:val="nil"/>
              <w:bottom w:val="nil"/>
              <w:right w:val="nil"/>
            </w:tcBorders>
          </w:tcPr>
          <w:p w14:paraId="4120C11D" w14:textId="77777777" w:rsidR="009069B1" w:rsidRPr="009069B1" w:rsidRDefault="00087420" w:rsidP="006D6AAB">
            <w:pPr>
              <w:spacing w:after="0" w:line="240" w:lineRule="auto"/>
              <w:jc w:val="center"/>
              <w:rPr>
                <w:sz w:val="20"/>
                <w:szCs w:val="20"/>
              </w:rPr>
            </w:pPr>
            <w:r>
              <w:rPr>
                <w:sz w:val="20"/>
                <w:szCs w:val="20"/>
              </w:rPr>
              <w:t>24.9</w:t>
            </w:r>
          </w:p>
        </w:tc>
      </w:tr>
      <w:tr w:rsidR="009069B1" w:rsidRPr="009069B1" w14:paraId="09EFED6D" w14:textId="77777777" w:rsidTr="006E55E1">
        <w:trPr>
          <w:gridAfter w:val="1"/>
          <w:wAfter w:w="7" w:type="dxa"/>
        </w:trPr>
        <w:tc>
          <w:tcPr>
            <w:tcW w:w="3544" w:type="dxa"/>
            <w:gridSpan w:val="4"/>
            <w:tcBorders>
              <w:top w:val="single" w:sz="4" w:space="0" w:color="auto"/>
              <w:bottom w:val="nil"/>
              <w:right w:val="nil"/>
            </w:tcBorders>
          </w:tcPr>
          <w:p w14:paraId="4FAA1426" w14:textId="77777777" w:rsidR="009069B1" w:rsidRPr="009069B1" w:rsidRDefault="009069B1" w:rsidP="006D6AAB">
            <w:pPr>
              <w:spacing w:after="0" w:line="240" w:lineRule="auto"/>
              <w:rPr>
                <w:sz w:val="20"/>
                <w:szCs w:val="20"/>
              </w:rPr>
            </w:pPr>
            <w:r w:rsidRPr="009069B1">
              <w:rPr>
                <w:sz w:val="20"/>
                <w:szCs w:val="20"/>
              </w:rPr>
              <w:t>Limiting long-standing illness</w:t>
            </w:r>
          </w:p>
        </w:tc>
        <w:tc>
          <w:tcPr>
            <w:tcW w:w="1606" w:type="dxa"/>
            <w:tcBorders>
              <w:top w:val="single" w:sz="4" w:space="0" w:color="auto"/>
              <w:bottom w:val="nil"/>
            </w:tcBorders>
          </w:tcPr>
          <w:p w14:paraId="4AD3CAD9" w14:textId="77777777" w:rsidR="009069B1" w:rsidRPr="009069B1" w:rsidRDefault="009069B1" w:rsidP="006D6AAB">
            <w:pPr>
              <w:spacing w:after="0" w:line="240" w:lineRule="auto"/>
              <w:jc w:val="center"/>
              <w:rPr>
                <w:sz w:val="20"/>
                <w:szCs w:val="20"/>
              </w:rPr>
            </w:pPr>
          </w:p>
        </w:tc>
        <w:tc>
          <w:tcPr>
            <w:tcW w:w="1850" w:type="dxa"/>
            <w:tcBorders>
              <w:top w:val="single" w:sz="4" w:space="0" w:color="auto"/>
              <w:bottom w:val="nil"/>
            </w:tcBorders>
          </w:tcPr>
          <w:p w14:paraId="3A19C6E4" w14:textId="77777777" w:rsidR="009069B1" w:rsidRPr="009069B1" w:rsidRDefault="009069B1" w:rsidP="006D6AAB">
            <w:pPr>
              <w:spacing w:after="0" w:line="240" w:lineRule="auto"/>
              <w:jc w:val="center"/>
              <w:rPr>
                <w:sz w:val="20"/>
                <w:szCs w:val="20"/>
              </w:rPr>
            </w:pPr>
          </w:p>
        </w:tc>
      </w:tr>
      <w:tr w:rsidR="009069B1" w:rsidRPr="009069B1" w14:paraId="55F8E5DD" w14:textId="77777777" w:rsidTr="006E55E1">
        <w:trPr>
          <w:gridAfter w:val="1"/>
          <w:wAfter w:w="7" w:type="dxa"/>
        </w:trPr>
        <w:tc>
          <w:tcPr>
            <w:tcW w:w="284" w:type="dxa"/>
            <w:tcBorders>
              <w:top w:val="nil"/>
              <w:bottom w:val="nil"/>
              <w:right w:val="nil"/>
            </w:tcBorders>
          </w:tcPr>
          <w:p w14:paraId="547424D8" w14:textId="77777777" w:rsidR="009069B1" w:rsidRPr="009069B1" w:rsidRDefault="009069B1" w:rsidP="006D6AAB">
            <w:pPr>
              <w:spacing w:after="0" w:line="240" w:lineRule="auto"/>
              <w:rPr>
                <w:sz w:val="20"/>
                <w:szCs w:val="20"/>
              </w:rPr>
            </w:pPr>
          </w:p>
        </w:tc>
        <w:tc>
          <w:tcPr>
            <w:tcW w:w="3260" w:type="dxa"/>
            <w:gridSpan w:val="3"/>
            <w:tcBorders>
              <w:top w:val="nil"/>
              <w:left w:val="nil"/>
              <w:bottom w:val="single" w:sz="4" w:space="0" w:color="auto"/>
              <w:right w:val="nil"/>
            </w:tcBorders>
            <w:vAlign w:val="center"/>
          </w:tcPr>
          <w:p w14:paraId="06B65FCB" w14:textId="77777777" w:rsidR="009069B1" w:rsidRPr="009069B1" w:rsidRDefault="009069B1" w:rsidP="006D6AAB">
            <w:pPr>
              <w:spacing w:after="0" w:line="240" w:lineRule="auto"/>
              <w:rPr>
                <w:sz w:val="20"/>
                <w:szCs w:val="20"/>
              </w:rPr>
            </w:pPr>
            <w:r w:rsidRPr="009069B1">
              <w:rPr>
                <w:sz w:val="20"/>
                <w:szCs w:val="20"/>
              </w:rPr>
              <w:t>Yes</w:t>
            </w:r>
          </w:p>
        </w:tc>
        <w:tc>
          <w:tcPr>
            <w:tcW w:w="1606" w:type="dxa"/>
            <w:tcBorders>
              <w:top w:val="nil"/>
              <w:left w:val="nil"/>
              <w:bottom w:val="single" w:sz="4" w:space="0" w:color="auto"/>
              <w:right w:val="nil"/>
            </w:tcBorders>
          </w:tcPr>
          <w:p w14:paraId="1D85A2C0" w14:textId="77777777" w:rsidR="009069B1" w:rsidRPr="009069B1" w:rsidRDefault="00087420" w:rsidP="006D6AAB">
            <w:pPr>
              <w:spacing w:after="0" w:line="240" w:lineRule="auto"/>
              <w:jc w:val="center"/>
              <w:rPr>
                <w:sz w:val="20"/>
                <w:szCs w:val="20"/>
              </w:rPr>
            </w:pPr>
            <w:r>
              <w:rPr>
                <w:sz w:val="20"/>
                <w:szCs w:val="20"/>
              </w:rPr>
              <w:t>31.1</w:t>
            </w:r>
          </w:p>
        </w:tc>
        <w:tc>
          <w:tcPr>
            <w:tcW w:w="1850" w:type="dxa"/>
            <w:tcBorders>
              <w:top w:val="nil"/>
              <w:left w:val="nil"/>
              <w:bottom w:val="single" w:sz="4" w:space="0" w:color="auto"/>
              <w:right w:val="nil"/>
            </w:tcBorders>
          </w:tcPr>
          <w:p w14:paraId="2AC1557A" w14:textId="77777777" w:rsidR="009069B1" w:rsidRPr="009069B1" w:rsidRDefault="00087420" w:rsidP="006D6AAB">
            <w:pPr>
              <w:spacing w:after="0" w:line="240" w:lineRule="auto"/>
              <w:jc w:val="center"/>
              <w:rPr>
                <w:sz w:val="20"/>
                <w:szCs w:val="20"/>
              </w:rPr>
            </w:pPr>
            <w:r>
              <w:rPr>
                <w:sz w:val="20"/>
                <w:szCs w:val="20"/>
              </w:rPr>
              <w:t>27.0</w:t>
            </w:r>
          </w:p>
        </w:tc>
      </w:tr>
      <w:tr w:rsidR="009069B1" w:rsidRPr="009069B1" w14:paraId="4DE3CD8B" w14:textId="77777777" w:rsidTr="006E55E1">
        <w:trPr>
          <w:gridAfter w:val="1"/>
          <w:wAfter w:w="7" w:type="dxa"/>
        </w:trPr>
        <w:tc>
          <w:tcPr>
            <w:tcW w:w="284" w:type="dxa"/>
            <w:tcBorders>
              <w:top w:val="nil"/>
              <w:bottom w:val="nil"/>
              <w:right w:val="nil"/>
            </w:tcBorders>
          </w:tcPr>
          <w:p w14:paraId="48972022" w14:textId="77777777" w:rsidR="009069B1" w:rsidRPr="009069B1" w:rsidRDefault="009069B1" w:rsidP="006D6AAB">
            <w:pPr>
              <w:spacing w:after="0" w:line="240" w:lineRule="auto"/>
              <w:rPr>
                <w:sz w:val="20"/>
                <w:szCs w:val="20"/>
              </w:rPr>
            </w:pPr>
          </w:p>
        </w:tc>
        <w:tc>
          <w:tcPr>
            <w:tcW w:w="3260" w:type="dxa"/>
            <w:gridSpan w:val="3"/>
            <w:tcBorders>
              <w:top w:val="single" w:sz="4" w:space="0" w:color="auto"/>
              <w:left w:val="nil"/>
              <w:bottom w:val="single" w:sz="4" w:space="0" w:color="auto"/>
              <w:right w:val="nil"/>
            </w:tcBorders>
            <w:vAlign w:val="center"/>
          </w:tcPr>
          <w:p w14:paraId="68B891D0" w14:textId="77777777" w:rsidR="009069B1" w:rsidRPr="009069B1" w:rsidRDefault="009069B1" w:rsidP="006D6AAB">
            <w:pPr>
              <w:spacing w:after="0" w:line="240" w:lineRule="auto"/>
              <w:rPr>
                <w:sz w:val="20"/>
                <w:szCs w:val="20"/>
              </w:rPr>
            </w:pPr>
            <w:r w:rsidRPr="009069B1">
              <w:rPr>
                <w:sz w:val="20"/>
                <w:szCs w:val="20"/>
              </w:rPr>
              <w:t>No</w:t>
            </w:r>
          </w:p>
        </w:tc>
        <w:tc>
          <w:tcPr>
            <w:tcW w:w="1606" w:type="dxa"/>
            <w:tcBorders>
              <w:top w:val="single" w:sz="4" w:space="0" w:color="auto"/>
              <w:left w:val="nil"/>
              <w:bottom w:val="single" w:sz="4" w:space="0" w:color="auto"/>
              <w:right w:val="nil"/>
            </w:tcBorders>
          </w:tcPr>
          <w:p w14:paraId="0BBED41F" w14:textId="77777777" w:rsidR="009069B1" w:rsidRPr="009069B1" w:rsidRDefault="00087420" w:rsidP="006D6AAB">
            <w:pPr>
              <w:spacing w:after="0" w:line="240" w:lineRule="auto"/>
              <w:jc w:val="center"/>
              <w:rPr>
                <w:sz w:val="20"/>
                <w:szCs w:val="20"/>
              </w:rPr>
            </w:pPr>
            <w:r>
              <w:rPr>
                <w:sz w:val="20"/>
                <w:szCs w:val="20"/>
              </w:rPr>
              <w:t>68.9</w:t>
            </w:r>
          </w:p>
        </w:tc>
        <w:tc>
          <w:tcPr>
            <w:tcW w:w="1850" w:type="dxa"/>
            <w:tcBorders>
              <w:top w:val="single" w:sz="4" w:space="0" w:color="auto"/>
              <w:left w:val="nil"/>
              <w:bottom w:val="single" w:sz="4" w:space="0" w:color="auto"/>
              <w:right w:val="nil"/>
            </w:tcBorders>
          </w:tcPr>
          <w:p w14:paraId="32DC70E5" w14:textId="77777777" w:rsidR="009069B1" w:rsidRPr="009069B1" w:rsidRDefault="00087420" w:rsidP="006D6AAB">
            <w:pPr>
              <w:spacing w:after="0" w:line="240" w:lineRule="auto"/>
              <w:jc w:val="center"/>
              <w:rPr>
                <w:sz w:val="20"/>
                <w:szCs w:val="20"/>
              </w:rPr>
            </w:pPr>
            <w:r>
              <w:rPr>
                <w:sz w:val="20"/>
                <w:szCs w:val="20"/>
              </w:rPr>
              <w:t>73.0</w:t>
            </w:r>
          </w:p>
        </w:tc>
      </w:tr>
      <w:tr w:rsidR="009069B1" w:rsidRPr="009069B1" w14:paraId="6062E9CF" w14:textId="77777777" w:rsidTr="006E55E1">
        <w:trPr>
          <w:gridAfter w:val="1"/>
          <w:wAfter w:w="7" w:type="dxa"/>
        </w:trPr>
        <w:tc>
          <w:tcPr>
            <w:tcW w:w="3544" w:type="dxa"/>
            <w:gridSpan w:val="4"/>
            <w:tcBorders>
              <w:top w:val="single" w:sz="4" w:space="0" w:color="auto"/>
              <w:bottom w:val="nil"/>
              <w:right w:val="nil"/>
            </w:tcBorders>
          </w:tcPr>
          <w:p w14:paraId="37512ADC" w14:textId="77777777" w:rsidR="009069B1" w:rsidRPr="009069B1" w:rsidRDefault="009069B1" w:rsidP="006D6AAB">
            <w:pPr>
              <w:spacing w:after="0" w:line="240" w:lineRule="auto"/>
              <w:rPr>
                <w:sz w:val="20"/>
                <w:szCs w:val="20"/>
              </w:rPr>
            </w:pPr>
            <w:r w:rsidRPr="009069B1">
              <w:rPr>
                <w:sz w:val="20"/>
                <w:szCs w:val="20"/>
              </w:rPr>
              <w:t>Smoking status</w:t>
            </w:r>
          </w:p>
        </w:tc>
        <w:tc>
          <w:tcPr>
            <w:tcW w:w="1606" w:type="dxa"/>
            <w:tcBorders>
              <w:top w:val="single" w:sz="4" w:space="0" w:color="auto"/>
              <w:bottom w:val="nil"/>
            </w:tcBorders>
          </w:tcPr>
          <w:p w14:paraId="3FE5F9D6" w14:textId="77777777" w:rsidR="009069B1" w:rsidRPr="009069B1" w:rsidRDefault="009069B1" w:rsidP="006D6AAB">
            <w:pPr>
              <w:spacing w:after="0" w:line="240" w:lineRule="auto"/>
              <w:jc w:val="center"/>
              <w:rPr>
                <w:sz w:val="20"/>
                <w:szCs w:val="20"/>
              </w:rPr>
            </w:pPr>
          </w:p>
        </w:tc>
        <w:tc>
          <w:tcPr>
            <w:tcW w:w="1850" w:type="dxa"/>
            <w:tcBorders>
              <w:top w:val="single" w:sz="4" w:space="0" w:color="auto"/>
              <w:bottom w:val="nil"/>
            </w:tcBorders>
          </w:tcPr>
          <w:p w14:paraId="74AE5E41" w14:textId="77777777" w:rsidR="009069B1" w:rsidRPr="009069B1" w:rsidRDefault="009069B1" w:rsidP="006D6AAB">
            <w:pPr>
              <w:spacing w:after="0" w:line="240" w:lineRule="auto"/>
              <w:jc w:val="center"/>
              <w:rPr>
                <w:sz w:val="20"/>
                <w:szCs w:val="20"/>
              </w:rPr>
            </w:pPr>
          </w:p>
        </w:tc>
      </w:tr>
      <w:tr w:rsidR="009069B1" w:rsidRPr="009069B1" w14:paraId="47DA1961" w14:textId="77777777" w:rsidTr="006E55E1">
        <w:trPr>
          <w:gridAfter w:val="1"/>
          <w:wAfter w:w="7" w:type="dxa"/>
        </w:trPr>
        <w:tc>
          <w:tcPr>
            <w:tcW w:w="284" w:type="dxa"/>
            <w:tcBorders>
              <w:top w:val="nil"/>
              <w:bottom w:val="nil"/>
              <w:right w:val="nil"/>
            </w:tcBorders>
          </w:tcPr>
          <w:p w14:paraId="4DB09053" w14:textId="77777777" w:rsidR="009069B1" w:rsidRPr="009069B1" w:rsidRDefault="009069B1" w:rsidP="006D6AAB">
            <w:pPr>
              <w:spacing w:after="0" w:line="240" w:lineRule="auto"/>
              <w:rPr>
                <w:sz w:val="20"/>
                <w:szCs w:val="20"/>
              </w:rPr>
            </w:pPr>
          </w:p>
        </w:tc>
        <w:tc>
          <w:tcPr>
            <w:tcW w:w="3260" w:type="dxa"/>
            <w:gridSpan w:val="3"/>
            <w:tcBorders>
              <w:top w:val="nil"/>
              <w:left w:val="nil"/>
              <w:bottom w:val="single" w:sz="4" w:space="0" w:color="auto"/>
              <w:right w:val="nil"/>
            </w:tcBorders>
            <w:vAlign w:val="center"/>
          </w:tcPr>
          <w:p w14:paraId="099DB019" w14:textId="77777777" w:rsidR="009069B1" w:rsidRPr="009069B1" w:rsidRDefault="009069B1" w:rsidP="006D6AAB">
            <w:pPr>
              <w:spacing w:after="0" w:line="240" w:lineRule="auto"/>
              <w:rPr>
                <w:sz w:val="20"/>
                <w:szCs w:val="20"/>
              </w:rPr>
            </w:pPr>
            <w:r w:rsidRPr="009069B1">
              <w:rPr>
                <w:sz w:val="20"/>
                <w:szCs w:val="20"/>
              </w:rPr>
              <w:t>Smoker</w:t>
            </w:r>
          </w:p>
        </w:tc>
        <w:tc>
          <w:tcPr>
            <w:tcW w:w="1606" w:type="dxa"/>
            <w:tcBorders>
              <w:top w:val="nil"/>
              <w:left w:val="nil"/>
              <w:bottom w:val="single" w:sz="4" w:space="0" w:color="auto"/>
              <w:right w:val="nil"/>
            </w:tcBorders>
          </w:tcPr>
          <w:p w14:paraId="017970CC" w14:textId="77777777" w:rsidR="009069B1" w:rsidRPr="009069B1" w:rsidRDefault="00087420" w:rsidP="006D6AAB">
            <w:pPr>
              <w:spacing w:after="0" w:line="240" w:lineRule="auto"/>
              <w:jc w:val="center"/>
              <w:rPr>
                <w:sz w:val="20"/>
                <w:szCs w:val="20"/>
              </w:rPr>
            </w:pPr>
            <w:r>
              <w:rPr>
                <w:sz w:val="20"/>
                <w:szCs w:val="20"/>
              </w:rPr>
              <w:t>14.4</w:t>
            </w:r>
          </w:p>
        </w:tc>
        <w:tc>
          <w:tcPr>
            <w:tcW w:w="1850" w:type="dxa"/>
            <w:tcBorders>
              <w:top w:val="nil"/>
              <w:left w:val="nil"/>
              <w:bottom w:val="single" w:sz="4" w:space="0" w:color="auto"/>
              <w:right w:val="nil"/>
            </w:tcBorders>
          </w:tcPr>
          <w:p w14:paraId="2AE9010D" w14:textId="77777777" w:rsidR="009069B1" w:rsidRPr="009069B1" w:rsidRDefault="00087420" w:rsidP="006D6AAB">
            <w:pPr>
              <w:spacing w:after="0" w:line="240" w:lineRule="auto"/>
              <w:jc w:val="center"/>
              <w:rPr>
                <w:sz w:val="20"/>
                <w:szCs w:val="20"/>
              </w:rPr>
            </w:pPr>
            <w:r>
              <w:rPr>
                <w:sz w:val="20"/>
                <w:szCs w:val="20"/>
              </w:rPr>
              <w:t>13.4</w:t>
            </w:r>
          </w:p>
        </w:tc>
      </w:tr>
      <w:tr w:rsidR="009069B1" w:rsidRPr="009069B1" w14:paraId="0A3CB692" w14:textId="77777777" w:rsidTr="006E55E1">
        <w:trPr>
          <w:gridAfter w:val="1"/>
          <w:wAfter w:w="7" w:type="dxa"/>
        </w:trPr>
        <w:tc>
          <w:tcPr>
            <w:tcW w:w="284" w:type="dxa"/>
            <w:tcBorders>
              <w:top w:val="nil"/>
              <w:bottom w:val="nil"/>
              <w:right w:val="nil"/>
            </w:tcBorders>
          </w:tcPr>
          <w:p w14:paraId="150C726C" w14:textId="77777777" w:rsidR="009069B1" w:rsidRPr="009069B1" w:rsidRDefault="009069B1" w:rsidP="006D6AAB">
            <w:pPr>
              <w:spacing w:after="0" w:line="240" w:lineRule="auto"/>
              <w:rPr>
                <w:sz w:val="20"/>
                <w:szCs w:val="20"/>
              </w:rPr>
            </w:pPr>
          </w:p>
        </w:tc>
        <w:tc>
          <w:tcPr>
            <w:tcW w:w="3260" w:type="dxa"/>
            <w:gridSpan w:val="3"/>
            <w:tcBorders>
              <w:top w:val="single" w:sz="4" w:space="0" w:color="auto"/>
              <w:left w:val="nil"/>
              <w:bottom w:val="single" w:sz="4" w:space="0" w:color="auto"/>
              <w:right w:val="nil"/>
            </w:tcBorders>
            <w:vAlign w:val="center"/>
          </w:tcPr>
          <w:p w14:paraId="198E62AB" w14:textId="77777777" w:rsidR="009069B1" w:rsidRPr="009069B1" w:rsidRDefault="009069B1" w:rsidP="006D6AAB">
            <w:pPr>
              <w:spacing w:after="0" w:line="240" w:lineRule="auto"/>
              <w:rPr>
                <w:sz w:val="20"/>
                <w:szCs w:val="20"/>
              </w:rPr>
            </w:pPr>
            <w:r w:rsidRPr="009069B1">
              <w:rPr>
                <w:sz w:val="20"/>
                <w:szCs w:val="20"/>
              </w:rPr>
              <w:t>Non-smoker</w:t>
            </w:r>
          </w:p>
        </w:tc>
        <w:tc>
          <w:tcPr>
            <w:tcW w:w="1606" w:type="dxa"/>
            <w:tcBorders>
              <w:top w:val="single" w:sz="4" w:space="0" w:color="auto"/>
              <w:left w:val="nil"/>
              <w:bottom w:val="single" w:sz="4" w:space="0" w:color="auto"/>
              <w:right w:val="nil"/>
            </w:tcBorders>
          </w:tcPr>
          <w:p w14:paraId="066BEDE6" w14:textId="77777777" w:rsidR="009069B1" w:rsidRPr="009069B1" w:rsidRDefault="00087420" w:rsidP="006D6AAB">
            <w:pPr>
              <w:spacing w:after="0" w:line="240" w:lineRule="auto"/>
              <w:jc w:val="center"/>
              <w:rPr>
                <w:sz w:val="20"/>
                <w:szCs w:val="20"/>
              </w:rPr>
            </w:pPr>
            <w:r>
              <w:rPr>
                <w:sz w:val="20"/>
                <w:szCs w:val="20"/>
              </w:rPr>
              <w:t>85.6</w:t>
            </w:r>
          </w:p>
        </w:tc>
        <w:tc>
          <w:tcPr>
            <w:tcW w:w="1850" w:type="dxa"/>
            <w:tcBorders>
              <w:top w:val="single" w:sz="4" w:space="0" w:color="auto"/>
              <w:left w:val="nil"/>
              <w:bottom w:val="single" w:sz="4" w:space="0" w:color="auto"/>
              <w:right w:val="nil"/>
            </w:tcBorders>
          </w:tcPr>
          <w:p w14:paraId="759257BC" w14:textId="77777777" w:rsidR="009069B1" w:rsidRPr="009069B1" w:rsidRDefault="00087420" w:rsidP="006D6AAB">
            <w:pPr>
              <w:spacing w:after="0" w:line="240" w:lineRule="auto"/>
              <w:jc w:val="center"/>
              <w:rPr>
                <w:sz w:val="20"/>
                <w:szCs w:val="20"/>
              </w:rPr>
            </w:pPr>
            <w:r>
              <w:rPr>
                <w:sz w:val="20"/>
                <w:szCs w:val="20"/>
              </w:rPr>
              <w:t>86.6</w:t>
            </w:r>
          </w:p>
        </w:tc>
      </w:tr>
      <w:tr w:rsidR="009069B1" w:rsidRPr="009069B1" w14:paraId="4985DD02" w14:textId="77777777" w:rsidTr="006E55E1">
        <w:trPr>
          <w:gridAfter w:val="1"/>
          <w:wAfter w:w="7" w:type="dxa"/>
        </w:trPr>
        <w:tc>
          <w:tcPr>
            <w:tcW w:w="3544" w:type="dxa"/>
            <w:gridSpan w:val="4"/>
            <w:tcBorders>
              <w:top w:val="single" w:sz="4" w:space="0" w:color="auto"/>
              <w:bottom w:val="nil"/>
              <w:right w:val="nil"/>
            </w:tcBorders>
          </w:tcPr>
          <w:p w14:paraId="5634A879" w14:textId="77777777" w:rsidR="009069B1" w:rsidRPr="009069B1" w:rsidRDefault="009069B1" w:rsidP="006D6AAB">
            <w:pPr>
              <w:spacing w:after="0" w:line="240" w:lineRule="auto"/>
              <w:rPr>
                <w:sz w:val="20"/>
                <w:szCs w:val="20"/>
              </w:rPr>
            </w:pPr>
            <w:r w:rsidRPr="009069B1">
              <w:rPr>
                <w:sz w:val="20"/>
                <w:szCs w:val="20"/>
              </w:rPr>
              <w:t>Alcohol intake</w:t>
            </w:r>
            <w:r w:rsidRPr="009069B1">
              <w:rPr>
                <w:rFonts w:cstheme="minorHAnsi"/>
                <w:sz w:val="20"/>
                <w:szCs w:val="20"/>
              </w:rPr>
              <w:t>¹</w:t>
            </w:r>
          </w:p>
        </w:tc>
        <w:tc>
          <w:tcPr>
            <w:tcW w:w="1606" w:type="dxa"/>
            <w:tcBorders>
              <w:top w:val="single" w:sz="4" w:space="0" w:color="auto"/>
              <w:bottom w:val="nil"/>
            </w:tcBorders>
          </w:tcPr>
          <w:p w14:paraId="3D3014F5" w14:textId="77777777" w:rsidR="009069B1" w:rsidRPr="009069B1" w:rsidRDefault="009069B1" w:rsidP="006D6AAB">
            <w:pPr>
              <w:spacing w:after="0" w:line="240" w:lineRule="auto"/>
              <w:jc w:val="center"/>
              <w:rPr>
                <w:sz w:val="20"/>
                <w:szCs w:val="20"/>
              </w:rPr>
            </w:pPr>
          </w:p>
        </w:tc>
        <w:tc>
          <w:tcPr>
            <w:tcW w:w="1850" w:type="dxa"/>
            <w:tcBorders>
              <w:top w:val="single" w:sz="4" w:space="0" w:color="auto"/>
              <w:bottom w:val="nil"/>
            </w:tcBorders>
          </w:tcPr>
          <w:p w14:paraId="78A0BD2A" w14:textId="77777777" w:rsidR="009069B1" w:rsidRPr="009069B1" w:rsidRDefault="009069B1" w:rsidP="006D6AAB">
            <w:pPr>
              <w:spacing w:after="0" w:line="240" w:lineRule="auto"/>
              <w:jc w:val="center"/>
              <w:rPr>
                <w:sz w:val="20"/>
                <w:szCs w:val="20"/>
              </w:rPr>
            </w:pPr>
          </w:p>
        </w:tc>
      </w:tr>
      <w:tr w:rsidR="009069B1" w:rsidRPr="009069B1" w14:paraId="7453CF44" w14:textId="77777777" w:rsidTr="006E55E1">
        <w:trPr>
          <w:gridAfter w:val="1"/>
          <w:wAfter w:w="7" w:type="dxa"/>
        </w:trPr>
        <w:tc>
          <w:tcPr>
            <w:tcW w:w="284" w:type="dxa"/>
            <w:tcBorders>
              <w:top w:val="nil"/>
              <w:bottom w:val="nil"/>
              <w:right w:val="nil"/>
            </w:tcBorders>
          </w:tcPr>
          <w:p w14:paraId="2F7C6D2B" w14:textId="77777777" w:rsidR="009069B1" w:rsidRPr="009069B1" w:rsidRDefault="009069B1" w:rsidP="006D6AAB">
            <w:pPr>
              <w:spacing w:after="0" w:line="240" w:lineRule="auto"/>
              <w:rPr>
                <w:sz w:val="20"/>
                <w:szCs w:val="20"/>
              </w:rPr>
            </w:pPr>
          </w:p>
        </w:tc>
        <w:tc>
          <w:tcPr>
            <w:tcW w:w="3260" w:type="dxa"/>
            <w:gridSpan w:val="3"/>
            <w:tcBorders>
              <w:top w:val="nil"/>
              <w:left w:val="nil"/>
              <w:bottom w:val="single" w:sz="4" w:space="0" w:color="auto"/>
              <w:right w:val="nil"/>
            </w:tcBorders>
            <w:vAlign w:val="center"/>
          </w:tcPr>
          <w:p w14:paraId="5374E37C" w14:textId="77777777" w:rsidR="009069B1" w:rsidRPr="009069B1" w:rsidRDefault="009069B1" w:rsidP="006D6AAB">
            <w:pPr>
              <w:spacing w:after="0" w:line="240" w:lineRule="auto"/>
              <w:rPr>
                <w:sz w:val="20"/>
                <w:szCs w:val="20"/>
              </w:rPr>
            </w:pPr>
            <w:r w:rsidRPr="009069B1">
              <w:rPr>
                <w:sz w:val="20"/>
                <w:szCs w:val="20"/>
              </w:rPr>
              <w:t>Never/rarely</w:t>
            </w:r>
          </w:p>
        </w:tc>
        <w:tc>
          <w:tcPr>
            <w:tcW w:w="1606" w:type="dxa"/>
            <w:tcBorders>
              <w:top w:val="nil"/>
              <w:left w:val="nil"/>
              <w:bottom w:val="single" w:sz="4" w:space="0" w:color="auto"/>
              <w:right w:val="nil"/>
            </w:tcBorders>
          </w:tcPr>
          <w:p w14:paraId="4647F638" w14:textId="77777777" w:rsidR="009069B1" w:rsidRPr="009069B1" w:rsidRDefault="00087420" w:rsidP="006D6AAB">
            <w:pPr>
              <w:spacing w:after="0" w:line="240" w:lineRule="auto"/>
              <w:jc w:val="center"/>
              <w:rPr>
                <w:sz w:val="20"/>
                <w:szCs w:val="20"/>
              </w:rPr>
            </w:pPr>
            <w:r>
              <w:rPr>
                <w:sz w:val="20"/>
                <w:szCs w:val="20"/>
              </w:rPr>
              <w:t>15.8</w:t>
            </w:r>
          </w:p>
        </w:tc>
        <w:tc>
          <w:tcPr>
            <w:tcW w:w="1850" w:type="dxa"/>
            <w:tcBorders>
              <w:top w:val="nil"/>
              <w:left w:val="nil"/>
              <w:bottom w:val="single" w:sz="4" w:space="0" w:color="auto"/>
              <w:right w:val="nil"/>
            </w:tcBorders>
          </w:tcPr>
          <w:p w14:paraId="51BDAAF1" w14:textId="77777777" w:rsidR="009069B1" w:rsidRPr="009069B1" w:rsidRDefault="00087420" w:rsidP="006D6AAB">
            <w:pPr>
              <w:spacing w:after="0" w:line="240" w:lineRule="auto"/>
              <w:jc w:val="center"/>
              <w:rPr>
                <w:sz w:val="20"/>
                <w:szCs w:val="20"/>
              </w:rPr>
            </w:pPr>
            <w:r>
              <w:rPr>
                <w:sz w:val="20"/>
                <w:szCs w:val="20"/>
              </w:rPr>
              <w:t>19.8</w:t>
            </w:r>
          </w:p>
        </w:tc>
      </w:tr>
      <w:tr w:rsidR="009069B1" w:rsidRPr="009069B1" w14:paraId="0C38F7AC" w14:textId="77777777" w:rsidTr="006E55E1">
        <w:trPr>
          <w:gridAfter w:val="1"/>
          <w:wAfter w:w="7" w:type="dxa"/>
        </w:trPr>
        <w:tc>
          <w:tcPr>
            <w:tcW w:w="284" w:type="dxa"/>
            <w:tcBorders>
              <w:top w:val="nil"/>
              <w:bottom w:val="nil"/>
              <w:right w:val="nil"/>
            </w:tcBorders>
          </w:tcPr>
          <w:p w14:paraId="4E435D3C" w14:textId="77777777" w:rsidR="009069B1" w:rsidRPr="009069B1" w:rsidRDefault="009069B1" w:rsidP="006D6AAB">
            <w:pPr>
              <w:spacing w:after="0" w:line="240" w:lineRule="auto"/>
              <w:rPr>
                <w:sz w:val="20"/>
                <w:szCs w:val="20"/>
              </w:rPr>
            </w:pPr>
          </w:p>
        </w:tc>
        <w:tc>
          <w:tcPr>
            <w:tcW w:w="3260" w:type="dxa"/>
            <w:gridSpan w:val="3"/>
            <w:tcBorders>
              <w:top w:val="nil"/>
              <w:left w:val="nil"/>
              <w:bottom w:val="single" w:sz="4" w:space="0" w:color="auto"/>
              <w:right w:val="nil"/>
            </w:tcBorders>
            <w:vAlign w:val="center"/>
          </w:tcPr>
          <w:p w14:paraId="095CB89E" w14:textId="77777777" w:rsidR="009069B1" w:rsidRPr="009069B1" w:rsidRDefault="009069B1" w:rsidP="006D6AAB">
            <w:pPr>
              <w:spacing w:after="0" w:line="240" w:lineRule="auto"/>
              <w:rPr>
                <w:sz w:val="20"/>
                <w:szCs w:val="20"/>
              </w:rPr>
            </w:pPr>
            <w:r w:rsidRPr="009069B1">
              <w:rPr>
                <w:sz w:val="20"/>
                <w:szCs w:val="20"/>
              </w:rPr>
              <w:t>Regularly</w:t>
            </w:r>
          </w:p>
        </w:tc>
        <w:tc>
          <w:tcPr>
            <w:tcW w:w="1606" w:type="dxa"/>
            <w:tcBorders>
              <w:top w:val="nil"/>
              <w:left w:val="nil"/>
              <w:bottom w:val="single" w:sz="4" w:space="0" w:color="auto"/>
              <w:right w:val="nil"/>
            </w:tcBorders>
          </w:tcPr>
          <w:p w14:paraId="45233581" w14:textId="77777777" w:rsidR="009069B1" w:rsidRPr="009069B1" w:rsidRDefault="00087420" w:rsidP="006D6AAB">
            <w:pPr>
              <w:spacing w:after="0" w:line="240" w:lineRule="auto"/>
              <w:jc w:val="center"/>
              <w:rPr>
                <w:sz w:val="20"/>
                <w:szCs w:val="20"/>
              </w:rPr>
            </w:pPr>
            <w:r>
              <w:rPr>
                <w:sz w:val="20"/>
                <w:szCs w:val="20"/>
              </w:rPr>
              <w:t>42.2</w:t>
            </w:r>
          </w:p>
        </w:tc>
        <w:tc>
          <w:tcPr>
            <w:tcW w:w="1850" w:type="dxa"/>
            <w:tcBorders>
              <w:top w:val="nil"/>
              <w:left w:val="nil"/>
              <w:bottom w:val="single" w:sz="4" w:space="0" w:color="auto"/>
              <w:right w:val="nil"/>
            </w:tcBorders>
          </w:tcPr>
          <w:p w14:paraId="72C860DD" w14:textId="77777777" w:rsidR="009069B1" w:rsidRPr="009069B1" w:rsidRDefault="00087420" w:rsidP="006D6AAB">
            <w:pPr>
              <w:spacing w:after="0" w:line="240" w:lineRule="auto"/>
              <w:jc w:val="center"/>
              <w:rPr>
                <w:sz w:val="20"/>
                <w:szCs w:val="20"/>
              </w:rPr>
            </w:pPr>
            <w:r>
              <w:rPr>
                <w:sz w:val="20"/>
                <w:szCs w:val="20"/>
              </w:rPr>
              <w:t>46.8</w:t>
            </w:r>
          </w:p>
        </w:tc>
      </w:tr>
      <w:tr w:rsidR="009069B1" w:rsidRPr="009069B1" w14:paraId="0458CE65" w14:textId="77777777" w:rsidTr="006E55E1">
        <w:trPr>
          <w:gridAfter w:val="1"/>
          <w:wAfter w:w="7" w:type="dxa"/>
        </w:trPr>
        <w:tc>
          <w:tcPr>
            <w:tcW w:w="284" w:type="dxa"/>
            <w:tcBorders>
              <w:top w:val="nil"/>
              <w:bottom w:val="nil"/>
              <w:right w:val="nil"/>
            </w:tcBorders>
          </w:tcPr>
          <w:p w14:paraId="00823EDB" w14:textId="77777777" w:rsidR="009069B1" w:rsidRPr="009069B1" w:rsidRDefault="009069B1" w:rsidP="006D6AAB">
            <w:pPr>
              <w:spacing w:after="0" w:line="240" w:lineRule="auto"/>
              <w:rPr>
                <w:sz w:val="20"/>
                <w:szCs w:val="20"/>
              </w:rPr>
            </w:pPr>
          </w:p>
        </w:tc>
        <w:tc>
          <w:tcPr>
            <w:tcW w:w="3260" w:type="dxa"/>
            <w:gridSpan w:val="3"/>
            <w:tcBorders>
              <w:top w:val="single" w:sz="4" w:space="0" w:color="auto"/>
              <w:left w:val="nil"/>
              <w:bottom w:val="single" w:sz="4" w:space="0" w:color="auto"/>
              <w:right w:val="nil"/>
            </w:tcBorders>
            <w:vAlign w:val="center"/>
          </w:tcPr>
          <w:p w14:paraId="1FB201F8" w14:textId="77777777" w:rsidR="009069B1" w:rsidRPr="009069B1" w:rsidRDefault="009069B1" w:rsidP="006D6AAB">
            <w:pPr>
              <w:spacing w:after="0" w:line="240" w:lineRule="auto"/>
              <w:rPr>
                <w:sz w:val="20"/>
                <w:szCs w:val="20"/>
              </w:rPr>
            </w:pPr>
            <w:r w:rsidRPr="009069B1">
              <w:rPr>
                <w:sz w:val="20"/>
                <w:szCs w:val="20"/>
              </w:rPr>
              <w:t>Frequently</w:t>
            </w:r>
          </w:p>
        </w:tc>
        <w:tc>
          <w:tcPr>
            <w:tcW w:w="1606" w:type="dxa"/>
            <w:tcBorders>
              <w:top w:val="single" w:sz="4" w:space="0" w:color="auto"/>
              <w:left w:val="nil"/>
              <w:bottom w:val="single" w:sz="4" w:space="0" w:color="auto"/>
              <w:right w:val="nil"/>
            </w:tcBorders>
          </w:tcPr>
          <w:p w14:paraId="0B025998" w14:textId="77777777" w:rsidR="009069B1" w:rsidRPr="009069B1" w:rsidRDefault="00087420" w:rsidP="006D6AAB">
            <w:pPr>
              <w:spacing w:after="0" w:line="240" w:lineRule="auto"/>
              <w:jc w:val="center"/>
              <w:rPr>
                <w:sz w:val="20"/>
                <w:szCs w:val="20"/>
              </w:rPr>
            </w:pPr>
            <w:r>
              <w:rPr>
                <w:sz w:val="20"/>
                <w:szCs w:val="20"/>
              </w:rPr>
              <w:t>42.0</w:t>
            </w:r>
          </w:p>
        </w:tc>
        <w:tc>
          <w:tcPr>
            <w:tcW w:w="1850" w:type="dxa"/>
            <w:tcBorders>
              <w:top w:val="single" w:sz="4" w:space="0" w:color="auto"/>
              <w:left w:val="nil"/>
              <w:bottom w:val="single" w:sz="4" w:space="0" w:color="auto"/>
              <w:right w:val="nil"/>
            </w:tcBorders>
          </w:tcPr>
          <w:p w14:paraId="7433DAAB" w14:textId="77777777" w:rsidR="009069B1" w:rsidRPr="009069B1" w:rsidRDefault="00087420" w:rsidP="006D6AAB">
            <w:pPr>
              <w:spacing w:after="0" w:line="240" w:lineRule="auto"/>
              <w:jc w:val="center"/>
              <w:rPr>
                <w:sz w:val="20"/>
                <w:szCs w:val="20"/>
              </w:rPr>
            </w:pPr>
            <w:r>
              <w:rPr>
                <w:sz w:val="20"/>
                <w:szCs w:val="20"/>
              </w:rPr>
              <w:t>33.4</w:t>
            </w:r>
          </w:p>
        </w:tc>
      </w:tr>
      <w:tr w:rsidR="009069B1" w:rsidRPr="009069B1" w14:paraId="0E4DB6E5" w14:textId="77777777" w:rsidTr="006E55E1">
        <w:trPr>
          <w:gridAfter w:val="1"/>
          <w:wAfter w:w="7" w:type="dxa"/>
        </w:trPr>
        <w:tc>
          <w:tcPr>
            <w:tcW w:w="3544" w:type="dxa"/>
            <w:gridSpan w:val="4"/>
            <w:tcBorders>
              <w:top w:val="single" w:sz="4" w:space="0" w:color="auto"/>
              <w:bottom w:val="nil"/>
              <w:right w:val="nil"/>
            </w:tcBorders>
          </w:tcPr>
          <w:p w14:paraId="5DF2A2BA" w14:textId="77777777" w:rsidR="009069B1" w:rsidRPr="009069B1" w:rsidRDefault="009069B1" w:rsidP="006D6AAB">
            <w:pPr>
              <w:spacing w:after="0" w:line="240" w:lineRule="auto"/>
              <w:rPr>
                <w:sz w:val="20"/>
                <w:szCs w:val="20"/>
              </w:rPr>
            </w:pPr>
            <w:r>
              <w:rPr>
                <w:sz w:val="20"/>
                <w:szCs w:val="20"/>
              </w:rPr>
              <w:t>Physical activity</w:t>
            </w:r>
          </w:p>
        </w:tc>
        <w:tc>
          <w:tcPr>
            <w:tcW w:w="1606" w:type="dxa"/>
            <w:tcBorders>
              <w:top w:val="single" w:sz="4" w:space="0" w:color="auto"/>
              <w:bottom w:val="nil"/>
            </w:tcBorders>
          </w:tcPr>
          <w:p w14:paraId="40598F97" w14:textId="77777777" w:rsidR="009069B1" w:rsidRPr="009069B1" w:rsidRDefault="009069B1" w:rsidP="006D6AAB">
            <w:pPr>
              <w:spacing w:after="0" w:line="240" w:lineRule="auto"/>
              <w:jc w:val="center"/>
              <w:rPr>
                <w:sz w:val="20"/>
                <w:szCs w:val="20"/>
              </w:rPr>
            </w:pPr>
          </w:p>
        </w:tc>
        <w:tc>
          <w:tcPr>
            <w:tcW w:w="1850" w:type="dxa"/>
            <w:tcBorders>
              <w:top w:val="single" w:sz="4" w:space="0" w:color="auto"/>
              <w:bottom w:val="nil"/>
            </w:tcBorders>
          </w:tcPr>
          <w:p w14:paraId="46E65B69" w14:textId="77777777" w:rsidR="009069B1" w:rsidRPr="009069B1" w:rsidRDefault="009069B1" w:rsidP="006D6AAB">
            <w:pPr>
              <w:spacing w:after="0" w:line="240" w:lineRule="auto"/>
              <w:jc w:val="center"/>
              <w:rPr>
                <w:sz w:val="20"/>
                <w:szCs w:val="20"/>
              </w:rPr>
            </w:pPr>
          </w:p>
        </w:tc>
      </w:tr>
      <w:tr w:rsidR="009069B1" w:rsidRPr="009069B1" w14:paraId="572738F1" w14:textId="77777777" w:rsidTr="006E55E1">
        <w:trPr>
          <w:gridAfter w:val="1"/>
          <w:wAfter w:w="7" w:type="dxa"/>
        </w:trPr>
        <w:tc>
          <w:tcPr>
            <w:tcW w:w="284" w:type="dxa"/>
            <w:tcBorders>
              <w:top w:val="nil"/>
              <w:bottom w:val="nil"/>
              <w:right w:val="nil"/>
            </w:tcBorders>
          </w:tcPr>
          <w:p w14:paraId="566E2A4F" w14:textId="77777777" w:rsidR="009069B1" w:rsidRPr="009069B1" w:rsidRDefault="009069B1" w:rsidP="006D6AAB">
            <w:pPr>
              <w:spacing w:after="0" w:line="240" w:lineRule="auto"/>
              <w:rPr>
                <w:sz w:val="20"/>
                <w:szCs w:val="20"/>
              </w:rPr>
            </w:pPr>
          </w:p>
        </w:tc>
        <w:tc>
          <w:tcPr>
            <w:tcW w:w="3260" w:type="dxa"/>
            <w:gridSpan w:val="3"/>
            <w:tcBorders>
              <w:top w:val="nil"/>
              <w:left w:val="nil"/>
              <w:bottom w:val="single" w:sz="4" w:space="0" w:color="auto"/>
              <w:right w:val="nil"/>
            </w:tcBorders>
            <w:vAlign w:val="center"/>
          </w:tcPr>
          <w:p w14:paraId="5B59FE9A" w14:textId="77777777" w:rsidR="009069B1" w:rsidRPr="009069B1" w:rsidRDefault="009069B1" w:rsidP="006D6AAB">
            <w:pPr>
              <w:spacing w:after="0" w:line="240" w:lineRule="auto"/>
              <w:rPr>
                <w:sz w:val="20"/>
                <w:szCs w:val="20"/>
              </w:rPr>
            </w:pPr>
            <w:r>
              <w:rPr>
                <w:sz w:val="20"/>
                <w:szCs w:val="20"/>
              </w:rPr>
              <w:t>Inactive</w:t>
            </w:r>
          </w:p>
        </w:tc>
        <w:tc>
          <w:tcPr>
            <w:tcW w:w="1606" w:type="dxa"/>
            <w:tcBorders>
              <w:top w:val="nil"/>
              <w:left w:val="nil"/>
              <w:bottom w:val="single" w:sz="4" w:space="0" w:color="auto"/>
              <w:right w:val="nil"/>
            </w:tcBorders>
          </w:tcPr>
          <w:p w14:paraId="268934FC" w14:textId="77777777" w:rsidR="009069B1" w:rsidRPr="009069B1" w:rsidRDefault="00087420" w:rsidP="006D6AAB">
            <w:pPr>
              <w:spacing w:after="0" w:line="240" w:lineRule="auto"/>
              <w:jc w:val="center"/>
              <w:rPr>
                <w:sz w:val="20"/>
                <w:szCs w:val="20"/>
              </w:rPr>
            </w:pPr>
            <w:r>
              <w:rPr>
                <w:sz w:val="20"/>
                <w:szCs w:val="20"/>
              </w:rPr>
              <w:t>19.8</w:t>
            </w:r>
          </w:p>
        </w:tc>
        <w:tc>
          <w:tcPr>
            <w:tcW w:w="1850" w:type="dxa"/>
            <w:tcBorders>
              <w:top w:val="nil"/>
              <w:left w:val="nil"/>
              <w:bottom w:val="single" w:sz="4" w:space="0" w:color="auto"/>
              <w:right w:val="nil"/>
            </w:tcBorders>
          </w:tcPr>
          <w:p w14:paraId="78C2759E" w14:textId="77777777" w:rsidR="009069B1" w:rsidRPr="009069B1" w:rsidRDefault="00087420" w:rsidP="006D6AAB">
            <w:pPr>
              <w:spacing w:after="0" w:line="240" w:lineRule="auto"/>
              <w:jc w:val="center"/>
              <w:rPr>
                <w:sz w:val="20"/>
                <w:szCs w:val="20"/>
              </w:rPr>
            </w:pPr>
            <w:r>
              <w:rPr>
                <w:sz w:val="20"/>
                <w:szCs w:val="20"/>
              </w:rPr>
              <w:t>16.1</w:t>
            </w:r>
          </w:p>
        </w:tc>
      </w:tr>
      <w:tr w:rsidR="009069B1" w:rsidRPr="009069B1" w14:paraId="27481A2F" w14:textId="77777777" w:rsidTr="006E55E1">
        <w:trPr>
          <w:gridAfter w:val="1"/>
          <w:wAfter w:w="7" w:type="dxa"/>
        </w:trPr>
        <w:tc>
          <w:tcPr>
            <w:tcW w:w="284" w:type="dxa"/>
            <w:tcBorders>
              <w:top w:val="nil"/>
              <w:bottom w:val="nil"/>
              <w:right w:val="nil"/>
            </w:tcBorders>
          </w:tcPr>
          <w:p w14:paraId="16C049D9" w14:textId="77777777" w:rsidR="009069B1" w:rsidRPr="009069B1" w:rsidRDefault="009069B1" w:rsidP="006D6AAB">
            <w:pPr>
              <w:spacing w:after="0" w:line="240" w:lineRule="auto"/>
              <w:rPr>
                <w:sz w:val="20"/>
                <w:szCs w:val="20"/>
              </w:rPr>
            </w:pPr>
          </w:p>
        </w:tc>
        <w:tc>
          <w:tcPr>
            <w:tcW w:w="3260" w:type="dxa"/>
            <w:gridSpan w:val="3"/>
            <w:tcBorders>
              <w:top w:val="nil"/>
              <w:left w:val="nil"/>
              <w:bottom w:val="single" w:sz="4" w:space="0" w:color="auto"/>
              <w:right w:val="nil"/>
            </w:tcBorders>
            <w:vAlign w:val="center"/>
          </w:tcPr>
          <w:p w14:paraId="69DDCA91" w14:textId="77777777" w:rsidR="009069B1" w:rsidRPr="009069B1" w:rsidRDefault="009069B1" w:rsidP="006D6AAB">
            <w:pPr>
              <w:spacing w:after="0" w:line="240" w:lineRule="auto"/>
              <w:rPr>
                <w:sz w:val="20"/>
                <w:szCs w:val="20"/>
              </w:rPr>
            </w:pPr>
            <w:r>
              <w:rPr>
                <w:sz w:val="20"/>
                <w:szCs w:val="20"/>
              </w:rPr>
              <w:t>Moderate at least once a week</w:t>
            </w:r>
          </w:p>
        </w:tc>
        <w:tc>
          <w:tcPr>
            <w:tcW w:w="1606" w:type="dxa"/>
            <w:tcBorders>
              <w:top w:val="nil"/>
              <w:left w:val="nil"/>
              <w:bottom w:val="single" w:sz="4" w:space="0" w:color="auto"/>
              <w:right w:val="nil"/>
            </w:tcBorders>
          </w:tcPr>
          <w:p w14:paraId="7CB11A7A" w14:textId="77777777" w:rsidR="009069B1" w:rsidRPr="009069B1" w:rsidRDefault="00087420" w:rsidP="006D6AAB">
            <w:pPr>
              <w:spacing w:after="0" w:line="240" w:lineRule="auto"/>
              <w:jc w:val="center"/>
              <w:rPr>
                <w:sz w:val="20"/>
                <w:szCs w:val="20"/>
              </w:rPr>
            </w:pPr>
            <w:r>
              <w:rPr>
                <w:sz w:val="20"/>
                <w:szCs w:val="20"/>
              </w:rPr>
              <w:t>43.4</w:t>
            </w:r>
          </w:p>
        </w:tc>
        <w:tc>
          <w:tcPr>
            <w:tcW w:w="1850" w:type="dxa"/>
            <w:tcBorders>
              <w:top w:val="nil"/>
              <w:left w:val="nil"/>
              <w:bottom w:val="single" w:sz="4" w:space="0" w:color="auto"/>
              <w:right w:val="nil"/>
            </w:tcBorders>
          </w:tcPr>
          <w:p w14:paraId="3151B98D" w14:textId="77777777" w:rsidR="009069B1" w:rsidRPr="009069B1" w:rsidRDefault="00087420" w:rsidP="006D6AAB">
            <w:pPr>
              <w:spacing w:after="0" w:line="240" w:lineRule="auto"/>
              <w:jc w:val="center"/>
              <w:rPr>
                <w:sz w:val="20"/>
                <w:szCs w:val="20"/>
              </w:rPr>
            </w:pPr>
            <w:r>
              <w:rPr>
                <w:sz w:val="20"/>
                <w:szCs w:val="20"/>
              </w:rPr>
              <w:t>49.6</w:t>
            </w:r>
          </w:p>
        </w:tc>
      </w:tr>
      <w:tr w:rsidR="009069B1" w:rsidRPr="009069B1" w14:paraId="64B7E322" w14:textId="77777777" w:rsidTr="006E55E1">
        <w:trPr>
          <w:gridAfter w:val="1"/>
          <w:wAfter w:w="7" w:type="dxa"/>
        </w:trPr>
        <w:tc>
          <w:tcPr>
            <w:tcW w:w="284" w:type="dxa"/>
            <w:tcBorders>
              <w:top w:val="nil"/>
              <w:bottom w:val="nil"/>
              <w:right w:val="nil"/>
            </w:tcBorders>
          </w:tcPr>
          <w:p w14:paraId="14214D40" w14:textId="77777777" w:rsidR="009069B1" w:rsidRPr="009069B1" w:rsidRDefault="009069B1" w:rsidP="006D6AAB">
            <w:pPr>
              <w:spacing w:after="0" w:line="240" w:lineRule="auto"/>
              <w:rPr>
                <w:sz w:val="20"/>
                <w:szCs w:val="20"/>
              </w:rPr>
            </w:pPr>
          </w:p>
        </w:tc>
        <w:tc>
          <w:tcPr>
            <w:tcW w:w="3260" w:type="dxa"/>
            <w:gridSpan w:val="3"/>
            <w:tcBorders>
              <w:top w:val="single" w:sz="4" w:space="0" w:color="auto"/>
              <w:left w:val="nil"/>
              <w:bottom w:val="single" w:sz="4" w:space="0" w:color="auto"/>
              <w:right w:val="nil"/>
            </w:tcBorders>
            <w:vAlign w:val="center"/>
          </w:tcPr>
          <w:p w14:paraId="5C9D515C" w14:textId="77777777" w:rsidR="009069B1" w:rsidRPr="009069B1" w:rsidRDefault="009069B1" w:rsidP="006D6AAB">
            <w:pPr>
              <w:spacing w:after="0" w:line="240" w:lineRule="auto"/>
              <w:rPr>
                <w:sz w:val="20"/>
                <w:szCs w:val="20"/>
              </w:rPr>
            </w:pPr>
            <w:r>
              <w:rPr>
                <w:sz w:val="20"/>
                <w:szCs w:val="20"/>
              </w:rPr>
              <w:t>Vigorous at least once a week</w:t>
            </w:r>
          </w:p>
        </w:tc>
        <w:tc>
          <w:tcPr>
            <w:tcW w:w="1606" w:type="dxa"/>
            <w:tcBorders>
              <w:top w:val="single" w:sz="4" w:space="0" w:color="auto"/>
              <w:left w:val="nil"/>
              <w:bottom w:val="single" w:sz="4" w:space="0" w:color="auto"/>
              <w:right w:val="nil"/>
            </w:tcBorders>
          </w:tcPr>
          <w:p w14:paraId="1A4730B5" w14:textId="77777777" w:rsidR="009069B1" w:rsidRPr="009069B1" w:rsidRDefault="00087420" w:rsidP="006D6AAB">
            <w:pPr>
              <w:spacing w:after="0" w:line="240" w:lineRule="auto"/>
              <w:jc w:val="center"/>
              <w:rPr>
                <w:sz w:val="20"/>
                <w:szCs w:val="20"/>
              </w:rPr>
            </w:pPr>
            <w:r>
              <w:rPr>
                <w:sz w:val="20"/>
                <w:szCs w:val="20"/>
              </w:rPr>
              <w:t>36.8</w:t>
            </w:r>
          </w:p>
        </w:tc>
        <w:tc>
          <w:tcPr>
            <w:tcW w:w="1850" w:type="dxa"/>
            <w:tcBorders>
              <w:top w:val="single" w:sz="4" w:space="0" w:color="auto"/>
              <w:left w:val="nil"/>
              <w:bottom w:val="single" w:sz="4" w:space="0" w:color="auto"/>
              <w:right w:val="nil"/>
            </w:tcBorders>
          </w:tcPr>
          <w:p w14:paraId="38245404" w14:textId="77777777" w:rsidR="009069B1" w:rsidRPr="009069B1" w:rsidRDefault="00087420" w:rsidP="006D6AAB">
            <w:pPr>
              <w:spacing w:after="0" w:line="240" w:lineRule="auto"/>
              <w:jc w:val="center"/>
              <w:rPr>
                <w:sz w:val="20"/>
                <w:szCs w:val="20"/>
              </w:rPr>
            </w:pPr>
            <w:r>
              <w:rPr>
                <w:sz w:val="20"/>
                <w:szCs w:val="20"/>
              </w:rPr>
              <w:t>34.3</w:t>
            </w:r>
          </w:p>
        </w:tc>
      </w:tr>
      <w:tr w:rsidR="009069B1" w:rsidRPr="009069B1" w14:paraId="7EE211AA" w14:textId="77777777" w:rsidTr="006E55E1">
        <w:trPr>
          <w:gridAfter w:val="1"/>
          <w:wAfter w:w="7" w:type="dxa"/>
        </w:trPr>
        <w:tc>
          <w:tcPr>
            <w:tcW w:w="3544" w:type="dxa"/>
            <w:gridSpan w:val="4"/>
            <w:tcBorders>
              <w:top w:val="single" w:sz="4" w:space="0" w:color="auto"/>
              <w:bottom w:val="single" w:sz="4" w:space="0" w:color="auto"/>
              <w:right w:val="nil"/>
            </w:tcBorders>
          </w:tcPr>
          <w:p w14:paraId="7D918CB4" w14:textId="77777777" w:rsidR="009069B1" w:rsidRPr="009069B1" w:rsidRDefault="009069B1" w:rsidP="006D6AAB">
            <w:pPr>
              <w:spacing w:after="0" w:line="240" w:lineRule="auto"/>
              <w:rPr>
                <w:sz w:val="20"/>
                <w:szCs w:val="20"/>
              </w:rPr>
            </w:pPr>
            <w:r w:rsidRPr="009069B1">
              <w:rPr>
                <w:sz w:val="20"/>
                <w:szCs w:val="20"/>
              </w:rPr>
              <w:t>Depressive symptoms (0-8) (mean [SD])</w:t>
            </w:r>
          </w:p>
        </w:tc>
        <w:tc>
          <w:tcPr>
            <w:tcW w:w="1606" w:type="dxa"/>
            <w:tcBorders>
              <w:top w:val="single" w:sz="4" w:space="0" w:color="auto"/>
              <w:bottom w:val="single" w:sz="4" w:space="0" w:color="auto"/>
              <w:right w:val="nil"/>
            </w:tcBorders>
          </w:tcPr>
          <w:p w14:paraId="53CFD12C" w14:textId="77777777" w:rsidR="009069B1" w:rsidRPr="009069B1" w:rsidRDefault="00087420" w:rsidP="006D6AAB">
            <w:pPr>
              <w:spacing w:after="0" w:line="240" w:lineRule="auto"/>
              <w:jc w:val="center"/>
              <w:rPr>
                <w:sz w:val="20"/>
                <w:szCs w:val="20"/>
              </w:rPr>
            </w:pPr>
            <w:r>
              <w:rPr>
                <w:sz w:val="20"/>
                <w:szCs w:val="20"/>
              </w:rPr>
              <w:t>1.13 (1.82)</w:t>
            </w:r>
          </w:p>
        </w:tc>
        <w:tc>
          <w:tcPr>
            <w:tcW w:w="1850" w:type="dxa"/>
            <w:tcBorders>
              <w:top w:val="single" w:sz="4" w:space="0" w:color="auto"/>
              <w:left w:val="nil"/>
              <w:bottom w:val="single" w:sz="4" w:space="0" w:color="auto"/>
              <w:right w:val="nil"/>
            </w:tcBorders>
          </w:tcPr>
          <w:p w14:paraId="66986185" w14:textId="77777777" w:rsidR="009069B1" w:rsidRPr="009069B1" w:rsidRDefault="00087420" w:rsidP="006D6AAB">
            <w:pPr>
              <w:spacing w:after="0" w:line="240" w:lineRule="auto"/>
              <w:jc w:val="center"/>
              <w:rPr>
                <w:sz w:val="20"/>
                <w:szCs w:val="20"/>
              </w:rPr>
            </w:pPr>
            <w:r>
              <w:rPr>
                <w:sz w:val="20"/>
                <w:szCs w:val="20"/>
              </w:rPr>
              <w:t>1.32 (1.86)</w:t>
            </w:r>
          </w:p>
        </w:tc>
      </w:tr>
    </w:tbl>
    <w:p w14:paraId="41CCAB9B" w14:textId="77777777" w:rsidR="009069B1" w:rsidRPr="009069B1" w:rsidRDefault="009069B1" w:rsidP="009069B1">
      <w:pPr>
        <w:pStyle w:val="Beforetables"/>
        <w:spacing w:line="240" w:lineRule="auto"/>
        <w:rPr>
          <w:sz w:val="20"/>
          <w:szCs w:val="20"/>
        </w:rPr>
      </w:pPr>
    </w:p>
    <w:p w14:paraId="63E03518" w14:textId="77777777" w:rsidR="009069B1" w:rsidRPr="009069B1" w:rsidRDefault="009069B1" w:rsidP="009069B1">
      <w:pPr>
        <w:spacing w:after="0" w:line="240" w:lineRule="auto"/>
        <w:rPr>
          <w:sz w:val="20"/>
          <w:szCs w:val="20"/>
          <w:lang w:val="en-US"/>
        </w:rPr>
      </w:pPr>
      <w:r w:rsidRPr="009069B1">
        <w:rPr>
          <w:sz w:val="20"/>
          <w:szCs w:val="20"/>
          <w:lang w:val="en-US"/>
        </w:rPr>
        <w:t xml:space="preserve">Values are percentages unless otherwise stated. </w:t>
      </w:r>
    </w:p>
    <w:p w14:paraId="2B61C71E" w14:textId="77777777" w:rsidR="009069B1" w:rsidRPr="009069B1" w:rsidRDefault="009069B1" w:rsidP="009069B1">
      <w:pPr>
        <w:spacing w:after="0" w:line="240" w:lineRule="auto"/>
        <w:rPr>
          <w:sz w:val="20"/>
          <w:szCs w:val="20"/>
          <w:lang w:val="en-US"/>
        </w:rPr>
      </w:pPr>
      <w:r w:rsidRPr="009069B1">
        <w:rPr>
          <w:sz w:val="20"/>
          <w:szCs w:val="20"/>
          <w:lang w:val="en-US"/>
        </w:rPr>
        <w:t>All figures are weighted for sampling probabilities and differential non-response.</w:t>
      </w:r>
    </w:p>
    <w:p w14:paraId="612084DE" w14:textId="77777777" w:rsidR="009069B1" w:rsidRPr="009069B1" w:rsidRDefault="009069B1" w:rsidP="009069B1">
      <w:pPr>
        <w:spacing w:after="0" w:line="240" w:lineRule="auto"/>
        <w:rPr>
          <w:sz w:val="20"/>
          <w:szCs w:val="20"/>
          <w:lang w:val="en-US"/>
        </w:rPr>
      </w:pPr>
      <w:r w:rsidRPr="009069B1">
        <w:rPr>
          <w:sz w:val="20"/>
          <w:szCs w:val="20"/>
          <w:lang w:val="en-US"/>
        </w:rPr>
        <w:t>SD = standard deviation.</w:t>
      </w:r>
    </w:p>
    <w:p w14:paraId="3796109D" w14:textId="77777777" w:rsidR="009069B1" w:rsidRPr="009069B1" w:rsidRDefault="009069B1" w:rsidP="009069B1">
      <w:pPr>
        <w:spacing w:after="0" w:line="240" w:lineRule="auto"/>
        <w:rPr>
          <w:sz w:val="20"/>
          <w:szCs w:val="20"/>
          <w:lang w:val="en-US"/>
        </w:rPr>
      </w:pPr>
      <w:r w:rsidRPr="009069B1">
        <w:rPr>
          <w:rFonts w:cstheme="minorHAnsi"/>
          <w:sz w:val="20"/>
          <w:szCs w:val="20"/>
          <w:lang w:val="en-US"/>
        </w:rPr>
        <w:t xml:space="preserve">¹ </w:t>
      </w:r>
      <w:r w:rsidRPr="009069B1">
        <w:rPr>
          <w:sz w:val="20"/>
          <w:szCs w:val="20"/>
          <w:lang w:val="en-US"/>
        </w:rPr>
        <w:t xml:space="preserve">Never/rarely = never – once or twice </w:t>
      </w:r>
      <w:r>
        <w:rPr>
          <w:sz w:val="20"/>
          <w:szCs w:val="20"/>
          <w:lang w:val="en-US"/>
        </w:rPr>
        <w:t>a year; regularly = once every couple of</w:t>
      </w:r>
      <w:r w:rsidRPr="009069B1">
        <w:rPr>
          <w:sz w:val="20"/>
          <w:szCs w:val="20"/>
          <w:lang w:val="en-US"/>
        </w:rPr>
        <w:t xml:space="preserve"> months – twice a week; frequently = 3 days a week – almost every day.</w:t>
      </w:r>
    </w:p>
    <w:p w14:paraId="13083A51" w14:textId="77777777" w:rsidR="009069B1" w:rsidRPr="004A5B6D" w:rsidRDefault="009069B1" w:rsidP="009069B1">
      <w:pPr>
        <w:spacing w:after="0" w:line="240" w:lineRule="auto"/>
      </w:pPr>
    </w:p>
    <w:p w14:paraId="3DB202C1" w14:textId="77777777" w:rsidR="00C23564" w:rsidRDefault="00C23564" w:rsidP="00C9094E">
      <w:pPr>
        <w:spacing w:afterLines="120" w:after="288"/>
      </w:pPr>
    </w:p>
    <w:p w14:paraId="71206AF8" w14:textId="77777777" w:rsidR="00616CC7" w:rsidRDefault="00616CC7">
      <w:pPr>
        <w:spacing w:after="160" w:line="259" w:lineRule="auto"/>
        <w:rPr>
          <w:b/>
        </w:rPr>
      </w:pPr>
      <w:r>
        <w:rPr>
          <w:b/>
        </w:rPr>
        <w:br w:type="page"/>
      </w:r>
    </w:p>
    <w:p w14:paraId="03B4A987" w14:textId="77777777" w:rsidR="00FF6C69" w:rsidRDefault="00FF6C69" w:rsidP="00793C9D">
      <w:pPr>
        <w:pStyle w:val="Heading2"/>
        <w:sectPr w:rsidR="00FF6C69">
          <w:pgSz w:w="11906" w:h="16838"/>
          <w:pgMar w:top="1440" w:right="1440" w:bottom="1440" w:left="1440" w:header="708" w:footer="708" w:gutter="0"/>
          <w:cols w:space="708"/>
          <w:docGrid w:linePitch="360"/>
        </w:sectPr>
      </w:pPr>
    </w:p>
    <w:tbl>
      <w:tblPr>
        <w:tblStyle w:val="TableGrid"/>
        <w:tblW w:w="12380" w:type="dxa"/>
        <w:tblInd w:w="-14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76"/>
        <w:gridCol w:w="2131"/>
        <w:gridCol w:w="1560"/>
        <w:gridCol w:w="710"/>
        <w:gridCol w:w="236"/>
        <w:gridCol w:w="1560"/>
        <w:gridCol w:w="708"/>
        <w:gridCol w:w="283"/>
        <w:gridCol w:w="1560"/>
        <w:gridCol w:w="708"/>
        <w:gridCol w:w="236"/>
        <w:gridCol w:w="1560"/>
        <w:gridCol w:w="852"/>
      </w:tblGrid>
      <w:tr w:rsidR="0023247E" w:rsidRPr="002772B7" w14:paraId="3A706255" w14:textId="77777777" w:rsidTr="0023247E">
        <w:tc>
          <w:tcPr>
            <w:tcW w:w="12380" w:type="dxa"/>
            <w:gridSpan w:val="13"/>
            <w:tcBorders>
              <w:top w:val="nil"/>
            </w:tcBorders>
          </w:tcPr>
          <w:p w14:paraId="44D85637" w14:textId="77777777" w:rsidR="0023247E" w:rsidRPr="00D0617D" w:rsidRDefault="0023247E" w:rsidP="00CE6449">
            <w:pPr>
              <w:spacing w:after="0" w:line="240" w:lineRule="auto"/>
              <w:rPr>
                <w:rFonts w:eastAsia="Times New Roman"/>
                <w:b/>
                <w:sz w:val="20"/>
              </w:rPr>
            </w:pPr>
            <w:r w:rsidRPr="00D0617D">
              <w:rPr>
                <w:rFonts w:eastAsia="Times New Roman"/>
                <w:b/>
                <w:sz w:val="20"/>
              </w:rPr>
              <w:lastRenderedPageBreak/>
              <w:t xml:space="preserve">Table </w:t>
            </w:r>
            <w:proofErr w:type="gramStart"/>
            <w:r>
              <w:rPr>
                <w:rFonts w:eastAsia="Times New Roman"/>
                <w:b/>
                <w:sz w:val="20"/>
              </w:rPr>
              <w:t>2</w:t>
            </w:r>
            <w:r w:rsidRPr="00D0617D">
              <w:rPr>
                <w:rFonts w:eastAsia="Times New Roman"/>
                <w:sz w:val="20"/>
              </w:rPr>
              <w:t xml:space="preserve">  </w:t>
            </w:r>
            <w:r>
              <w:rPr>
                <w:rFonts w:eastAsia="Times New Roman"/>
                <w:sz w:val="20"/>
                <w:shd w:val="clear" w:color="auto" w:fill="FFFFFF"/>
              </w:rPr>
              <w:t>Adjusted</w:t>
            </w:r>
            <w:proofErr w:type="gramEnd"/>
            <w:r>
              <w:rPr>
                <w:rFonts w:eastAsia="Times New Roman"/>
                <w:sz w:val="20"/>
                <w:shd w:val="clear" w:color="auto" w:fill="FFFFFF"/>
              </w:rPr>
              <w:t xml:space="preserve"> associations between sleep and problems with sexual function in older men and women</w:t>
            </w:r>
          </w:p>
        </w:tc>
      </w:tr>
      <w:tr w:rsidR="0023247E" w:rsidRPr="002772B7" w14:paraId="5F2F234A" w14:textId="77777777" w:rsidTr="0023247E">
        <w:tc>
          <w:tcPr>
            <w:tcW w:w="276" w:type="dxa"/>
            <w:tcBorders>
              <w:bottom w:val="nil"/>
            </w:tcBorders>
          </w:tcPr>
          <w:p w14:paraId="0479355E" w14:textId="77777777" w:rsidR="0023247E" w:rsidRPr="002772B7" w:rsidRDefault="0023247E" w:rsidP="006D6AAB">
            <w:pPr>
              <w:spacing w:after="0" w:line="240" w:lineRule="auto"/>
              <w:jc w:val="center"/>
              <w:rPr>
                <w:b/>
                <w:sz w:val="20"/>
                <w:szCs w:val="20"/>
              </w:rPr>
            </w:pPr>
          </w:p>
        </w:tc>
        <w:tc>
          <w:tcPr>
            <w:tcW w:w="2131" w:type="dxa"/>
            <w:tcBorders>
              <w:bottom w:val="nil"/>
            </w:tcBorders>
          </w:tcPr>
          <w:p w14:paraId="39010C80" w14:textId="77777777" w:rsidR="0023247E" w:rsidRPr="002772B7" w:rsidRDefault="0023247E" w:rsidP="006D6AAB">
            <w:pPr>
              <w:spacing w:after="0" w:line="240" w:lineRule="auto"/>
              <w:jc w:val="center"/>
              <w:rPr>
                <w:b/>
                <w:sz w:val="20"/>
                <w:szCs w:val="20"/>
              </w:rPr>
            </w:pPr>
          </w:p>
        </w:tc>
        <w:tc>
          <w:tcPr>
            <w:tcW w:w="4774" w:type="dxa"/>
            <w:gridSpan w:val="5"/>
          </w:tcPr>
          <w:p w14:paraId="78494A90" w14:textId="77777777" w:rsidR="0023247E" w:rsidRPr="002772B7" w:rsidRDefault="0023247E" w:rsidP="006D6AAB">
            <w:pPr>
              <w:spacing w:after="0" w:line="240" w:lineRule="auto"/>
              <w:jc w:val="center"/>
              <w:rPr>
                <w:b/>
                <w:sz w:val="20"/>
                <w:szCs w:val="20"/>
              </w:rPr>
            </w:pPr>
            <w:r>
              <w:rPr>
                <w:b/>
                <w:sz w:val="20"/>
                <w:szCs w:val="20"/>
              </w:rPr>
              <w:t>Men</w:t>
            </w:r>
          </w:p>
        </w:tc>
        <w:tc>
          <w:tcPr>
            <w:tcW w:w="283" w:type="dxa"/>
            <w:tcBorders>
              <w:top w:val="nil"/>
              <w:bottom w:val="nil"/>
            </w:tcBorders>
          </w:tcPr>
          <w:p w14:paraId="2EBE5BC4" w14:textId="77777777" w:rsidR="0023247E" w:rsidRPr="002772B7" w:rsidRDefault="0023247E" w:rsidP="006D6AAB">
            <w:pPr>
              <w:spacing w:after="0" w:line="240" w:lineRule="auto"/>
              <w:jc w:val="center"/>
              <w:rPr>
                <w:b/>
                <w:sz w:val="20"/>
                <w:szCs w:val="20"/>
              </w:rPr>
            </w:pPr>
          </w:p>
        </w:tc>
        <w:tc>
          <w:tcPr>
            <w:tcW w:w="4916" w:type="dxa"/>
            <w:gridSpan w:val="5"/>
          </w:tcPr>
          <w:p w14:paraId="57D345F1" w14:textId="77777777" w:rsidR="0023247E" w:rsidRDefault="0023247E" w:rsidP="006D6AAB">
            <w:pPr>
              <w:spacing w:after="0" w:line="240" w:lineRule="auto"/>
              <w:jc w:val="center"/>
              <w:rPr>
                <w:b/>
                <w:sz w:val="20"/>
                <w:szCs w:val="20"/>
              </w:rPr>
            </w:pPr>
            <w:r>
              <w:rPr>
                <w:b/>
                <w:sz w:val="20"/>
                <w:szCs w:val="20"/>
              </w:rPr>
              <w:t>Women</w:t>
            </w:r>
          </w:p>
        </w:tc>
      </w:tr>
      <w:tr w:rsidR="0023247E" w:rsidRPr="002772B7" w14:paraId="7C46790E" w14:textId="77777777" w:rsidTr="0023247E">
        <w:tc>
          <w:tcPr>
            <w:tcW w:w="276" w:type="dxa"/>
            <w:tcBorders>
              <w:top w:val="nil"/>
              <w:bottom w:val="nil"/>
            </w:tcBorders>
          </w:tcPr>
          <w:p w14:paraId="2E69A793" w14:textId="77777777" w:rsidR="0023247E" w:rsidRPr="002772B7" w:rsidRDefault="0023247E" w:rsidP="006D6AAB">
            <w:pPr>
              <w:spacing w:after="0" w:line="240" w:lineRule="auto"/>
              <w:jc w:val="center"/>
              <w:rPr>
                <w:b/>
                <w:sz w:val="20"/>
                <w:szCs w:val="20"/>
              </w:rPr>
            </w:pPr>
          </w:p>
        </w:tc>
        <w:tc>
          <w:tcPr>
            <w:tcW w:w="2131" w:type="dxa"/>
            <w:tcBorders>
              <w:top w:val="nil"/>
              <w:bottom w:val="nil"/>
            </w:tcBorders>
          </w:tcPr>
          <w:p w14:paraId="264E7624" w14:textId="77777777" w:rsidR="0023247E" w:rsidRPr="002772B7" w:rsidRDefault="0023247E" w:rsidP="006D6AAB">
            <w:pPr>
              <w:spacing w:after="0" w:line="240" w:lineRule="auto"/>
              <w:jc w:val="center"/>
              <w:rPr>
                <w:b/>
                <w:sz w:val="20"/>
                <w:szCs w:val="20"/>
              </w:rPr>
            </w:pPr>
          </w:p>
        </w:tc>
        <w:tc>
          <w:tcPr>
            <w:tcW w:w="2270" w:type="dxa"/>
            <w:gridSpan w:val="2"/>
            <w:tcBorders>
              <w:top w:val="nil"/>
              <w:bottom w:val="single" w:sz="4" w:space="0" w:color="auto"/>
            </w:tcBorders>
          </w:tcPr>
          <w:p w14:paraId="2B16FE59" w14:textId="77777777" w:rsidR="0023247E" w:rsidRDefault="0023247E" w:rsidP="006D6AAB">
            <w:pPr>
              <w:spacing w:after="0" w:line="240" w:lineRule="auto"/>
              <w:jc w:val="center"/>
              <w:rPr>
                <w:b/>
                <w:sz w:val="20"/>
                <w:szCs w:val="20"/>
              </w:rPr>
            </w:pPr>
            <w:r>
              <w:rPr>
                <w:b/>
                <w:sz w:val="20"/>
                <w:szCs w:val="20"/>
              </w:rPr>
              <w:t>Difficulty having/ keeping an erection</w:t>
            </w:r>
          </w:p>
        </w:tc>
        <w:tc>
          <w:tcPr>
            <w:tcW w:w="236" w:type="dxa"/>
            <w:tcBorders>
              <w:top w:val="nil"/>
              <w:bottom w:val="nil"/>
            </w:tcBorders>
          </w:tcPr>
          <w:p w14:paraId="2C2869CF" w14:textId="77777777" w:rsidR="0023247E" w:rsidRDefault="0023247E" w:rsidP="006D6AAB">
            <w:pPr>
              <w:spacing w:after="0" w:line="240" w:lineRule="auto"/>
              <w:jc w:val="center"/>
              <w:rPr>
                <w:b/>
                <w:sz w:val="20"/>
                <w:szCs w:val="20"/>
              </w:rPr>
            </w:pPr>
          </w:p>
        </w:tc>
        <w:tc>
          <w:tcPr>
            <w:tcW w:w="2268" w:type="dxa"/>
            <w:gridSpan w:val="2"/>
            <w:tcBorders>
              <w:top w:val="nil"/>
              <w:bottom w:val="single" w:sz="4" w:space="0" w:color="auto"/>
            </w:tcBorders>
          </w:tcPr>
          <w:p w14:paraId="256FFCFF" w14:textId="77777777" w:rsidR="0023247E" w:rsidRPr="002772B7" w:rsidRDefault="0023247E" w:rsidP="006D6AAB">
            <w:pPr>
              <w:spacing w:after="0" w:line="240" w:lineRule="auto"/>
              <w:jc w:val="center"/>
              <w:rPr>
                <w:b/>
                <w:sz w:val="20"/>
                <w:szCs w:val="20"/>
              </w:rPr>
            </w:pPr>
            <w:r>
              <w:rPr>
                <w:b/>
                <w:sz w:val="20"/>
                <w:szCs w:val="20"/>
              </w:rPr>
              <w:t>Difficulty achieving orgasm</w:t>
            </w:r>
          </w:p>
        </w:tc>
        <w:tc>
          <w:tcPr>
            <w:tcW w:w="283" w:type="dxa"/>
            <w:tcBorders>
              <w:top w:val="nil"/>
              <w:bottom w:val="nil"/>
            </w:tcBorders>
          </w:tcPr>
          <w:p w14:paraId="54499176" w14:textId="77777777" w:rsidR="0023247E" w:rsidRPr="002772B7" w:rsidRDefault="0023247E" w:rsidP="006D6AAB">
            <w:pPr>
              <w:spacing w:after="0" w:line="240" w:lineRule="auto"/>
              <w:jc w:val="center"/>
              <w:rPr>
                <w:b/>
                <w:sz w:val="20"/>
                <w:szCs w:val="20"/>
              </w:rPr>
            </w:pPr>
          </w:p>
        </w:tc>
        <w:tc>
          <w:tcPr>
            <w:tcW w:w="2268" w:type="dxa"/>
            <w:gridSpan w:val="2"/>
            <w:tcBorders>
              <w:bottom w:val="single" w:sz="4" w:space="0" w:color="auto"/>
            </w:tcBorders>
          </w:tcPr>
          <w:p w14:paraId="255E3901" w14:textId="77777777" w:rsidR="0023247E" w:rsidRDefault="0023247E" w:rsidP="006D6AAB">
            <w:pPr>
              <w:spacing w:after="0" w:line="240" w:lineRule="auto"/>
              <w:jc w:val="center"/>
              <w:rPr>
                <w:b/>
                <w:sz w:val="20"/>
                <w:szCs w:val="20"/>
              </w:rPr>
            </w:pPr>
            <w:r>
              <w:rPr>
                <w:b/>
                <w:sz w:val="20"/>
                <w:szCs w:val="20"/>
              </w:rPr>
              <w:t>Difficulty becoming aroused</w:t>
            </w:r>
          </w:p>
        </w:tc>
        <w:tc>
          <w:tcPr>
            <w:tcW w:w="236" w:type="dxa"/>
            <w:tcBorders>
              <w:bottom w:val="nil"/>
            </w:tcBorders>
          </w:tcPr>
          <w:p w14:paraId="2ABDACBD" w14:textId="77777777" w:rsidR="0023247E" w:rsidRDefault="0023247E" w:rsidP="006D6AAB">
            <w:pPr>
              <w:spacing w:after="0" w:line="240" w:lineRule="auto"/>
              <w:jc w:val="center"/>
              <w:rPr>
                <w:b/>
                <w:sz w:val="20"/>
                <w:szCs w:val="20"/>
              </w:rPr>
            </w:pPr>
          </w:p>
        </w:tc>
        <w:tc>
          <w:tcPr>
            <w:tcW w:w="2412" w:type="dxa"/>
            <w:gridSpan w:val="2"/>
            <w:tcBorders>
              <w:bottom w:val="single" w:sz="4" w:space="0" w:color="auto"/>
            </w:tcBorders>
          </w:tcPr>
          <w:p w14:paraId="49988C2D" w14:textId="77777777" w:rsidR="0023247E" w:rsidRDefault="0023247E" w:rsidP="006D6AAB">
            <w:pPr>
              <w:spacing w:after="0" w:line="240" w:lineRule="auto"/>
              <w:jc w:val="center"/>
              <w:rPr>
                <w:b/>
                <w:sz w:val="20"/>
                <w:szCs w:val="20"/>
              </w:rPr>
            </w:pPr>
            <w:r>
              <w:rPr>
                <w:b/>
                <w:sz w:val="20"/>
                <w:szCs w:val="20"/>
              </w:rPr>
              <w:t>Difficulty achieving orgasm</w:t>
            </w:r>
          </w:p>
        </w:tc>
      </w:tr>
      <w:tr w:rsidR="0023247E" w:rsidRPr="002772B7" w14:paraId="2D0D31B6" w14:textId="77777777" w:rsidTr="0023247E">
        <w:tc>
          <w:tcPr>
            <w:tcW w:w="276" w:type="dxa"/>
            <w:tcBorders>
              <w:top w:val="nil"/>
            </w:tcBorders>
          </w:tcPr>
          <w:p w14:paraId="369EFEB4" w14:textId="77777777" w:rsidR="0023247E" w:rsidRPr="002772B7" w:rsidRDefault="0023247E" w:rsidP="001B1AD0">
            <w:pPr>
              <w:spacing w:after="0" w:line="240" w:lineRule="auto"/>
              <w:jc w:val="center"/>
              <w:rPr>
                <w:b/>
                <w:sz w:val="20"/>
                <w:szCs w:val="20"/>
              </w:rPr>
            </w:pPr>
          </w:p>
        </w:tc>
        <w:tc>
          <w:tcPr>
            <w:tcW w:w="2131" w:type="dxa"/>
            <w:tcBorders>
              <w:top w:val="nil"/>
            </w:tcBorders>
          </w:tcPr>
          <w:p w14:paraId="0C9E1988" w14:textId="77777777" w:rsidR="0023247E" w:rsidRPr="002772B7" w:rsidRDefault="0023247E" w:rsidP="001B1AD0">
            <w:pPr>
              <w:spacing w:after="0" w:line="240" w:lineRule="auto"/>
              <w:jc w:val="center"/>
              <w:rPr>
                <w:b/>
                <w:sz w:val="20"/>
                <w:szCs w:val="20"/>
              </w:rPr>
            </w:pPr>
          </w:p>
        </w:tc>
        <w:tc>
          <w:tcPr>
            <w:tcW w:w="1560" w:type="dxa"/>
            <w:tcBorders>
              <w:top w:val="single" w:sz="4" w:space="0" w:color="auto"/>
            </w:tcBorders>
          </w:tcPr>
          <w:p w14:paraId="28463D97" w14:textId="77777777" w:rsidR="0023247E" w:rsidRPr="002772B7" w:rsidRDefault="0023247E" w:rsidP="001B1AD0">
            <w:pPr>
              <w:spacing w:after="0" w:line="240" w:lineRule="auto"/>
              <w:jc w:val="center"/>
              <w:rPr>
                <w:b/>
                <w:sz w:val="20"/>
                <w:szCs w:val="20"/>
              </w:rPr>
            </w:pPr>
            <w:r>
              <w:rPr>
                <w:b/>
                <w:sz w:val="20"/>
                <w:szCs w:val="20"/>
              </w:rPr>
              <w:t>OR [95% CI]</w:t>
            </w:r>
          </w:p>
        </w:tc>
        <w:tc>
          <w:tcPr>
            <w:tcW w:w="710" w:type="dxa"/>
            <w:tcBorders>
              <w:top w:val="single" w:sz="4" w:space="0" w:color="auto"/>
            </w:tcBorders>
          </w:tcPr>
          <w:p w14:paraId="29B592C3" w14:textId="77777777" w:rsidR="0023247E" w:rsidRPr="001B1AD0" w:rsidRDefault="0023247E" w:rsidP="001B1AD0">
            <w:pPr>
              <w:spacing w:after="0" w:line="240" w:lineRule="auto"/>
              <w:jc w:val="center"/>
              <w:rPr>
                <w:b/>
                <w:sz w:val="20"/>
                <w:szCs w:val="20"/>
              </w:rPr>
            </w:pPr>
            <w:r>
              <w:rPr>
                <w:b/>
                <w:i/>
                <w:sz w:val="20"/>
                <w:szCs w:val="20"/>
              </w:rPr>
              <w:t>p</w:t>
            </w:r>
          </w:p>
        </w:tc>
        <w:tc>
          <w:tcPr>
            <w:tcW w:w="236" w:type="dxa"/>
            <w:tcBorders>
              <w:top w:val="nil"/>
            </w:tcBorders>
          </w:tcPr>
          <w:p w14:paraId="35CC1291" w14:textId="77777777" w:rsidR="0023247E" w:rsidRDefault="0023247E" w:rsidP="001B1AD0">
            <w:pPr>
              <w:spacing w:after="0" w:line="240" w:lineRule="auto"/>
              <w:jc w:val="center"/>
              <w:rPr>
                <w:b/>
                <w:sz w:val="20"/>
                <w:szCs w:val="20"/>
              </w:rPr>
            </w:pPr>
          </w:p>
        </w:tc>
        <w:tc>
          <w:tcPr>
            <w:tcW w:w="1560" w:type="dxa"/>
            <w:tcBorders>
              <w:top w:val="single" w:sz="4" w:space="0" w:color="auto"/>
            </w:tcBorders>
          </w:tcPr>
          <w:p w14:paraId="70F10257" w14:textId="77777777" w:rsidR="0023247E" w:rsidRPr="002772B7" w:rsidRDefault="0023247E" w:rsidP="001B1AD0">
            <w:pPr>
              <w:spacing w:after="0" w:line="240" w:lineRule="auto"/>
              <w:jc w:val="center"/>
              <w:rPr>
                <w:b/>
                <w:sz w:val="20"/>
                <w:szCs w:val="20"/>
              </w:rPr>
            </w:pPr>
            <w:r>
              <w:rPr>
                <w:b/>
                <w:sz w:val="20"/>
                <w:szCs w:val="20"/>
              </w:rPr>
              <w:t>OR [95% CI]</w:t>
            </w:r>
          </w:p>
        </w:tc>
        <w:tc>
          <w:tcPr>
            <w:tcW w:w="708" w:type="dxa"/>
            <w:tcBorders>
              <w:top w:val="single" w:sz="4" w:space="0" w:color="auto"/>
            </w:tcBorders>
          </w:tcPr>
          <w:p w14:paraId="68F3B040" w14:textId="77777777" w:rsidR="0023247E" w:rsidRPr="001B1AD0" w:rsidRDefault="0023247E" w:rsidP="001B1AD0">
            <w:pPr>
              <w:spacing w:after="0" w:line="240" w:lineRule="auto"/>
              <w:jc w:val="center"/>
              <w:rPr>
                <w:b/>
                <w:sz w:val="20"/>
                <w:szCs w:val="20"/>
              </w:rPr>
            </w:pPr>
            <w:r>
              <w:rPr>
                <w:b/>
                <w:i/>
                <w:sz w:val="20"/>
                <w:szCs w:val="20"/>
              </w:rPr>
              <w:t>p</w:t>
            </w:r>
          </w:p>
        </w:tc>
        <w:tc>
          <w:tcPr>
            <w:tcW w:w="283" w:type="dxa"/>
            <w:tcBorders>
              <w:top w:val="nil"/>
            </w:tcBorders>
          </w:tcPr>
          <w:p w14:paraId="67BD6FC6" w14:textId="77777777" w:rsidR="0023247E" w:rsidRPr="002772B7" w:rsidRDefault="0023247E" w:rsidP="001B1AD0">
            <w:pPr>
              <w:spacing w:after="0" w:line="240" w:lineRule="auto"/>
              <w:jc w:val="center"/>
              <w:rPr>
                <w:b/>
                <w:sz w:val="20"/>
                <w:szCs w:val="20"/>
              </w:rPr>
            </w:pPr>
          </w:p>
        </w:tc>
        <w:tc>
          <w:tcPr>
            <w:tcW w:w="1560" w:type="dxa"/>
            <w:tcBorders>
              <w:top w:val="single" w:sz="4" w:space="0" w:color="auto"/>
            </w:tcBorders>
          </w:tcPr>
          <w:p w14:paraId="6975E7AD" w14:textId="77777777" w:rsidR="0023247E" w:rsidRPr="002772B7" w:rsidRDefault="0023247E" w:rsidP="001B1AD0">
            <w:pPr>
              <w:spacing w:after="0" w:line="240" w:lineRule="auto"/>
              <w:jc w:val="center"/>
              <w:rPr>
                <w:b/>
                <w:sz w:val="20"/>
                <w:szCs w:val="20"/>
              </w:rPr>
            </w:pPr>
            <w:r>
              <w:rPr>
                <w:b/>
                <w:sz w:val="20"/>
                <w:szCs w:val="20"/>
              </w:rPr>
              <w:t>OR [95% CI]</w:t>
            </w:r>
          </w:p>
        </w:tc>
        <w:tc>
          <w:tcPr>
            <w:tcW w:w="708" w:type="dxa"/>
            <w:tcBorders>
              <w:top w:val="single" w:sz="4" w:space="0" w:color="auto"/>
            </w:tcBorders>
          </w:tcPr>
          <w:p w14:paraId="6B45D580" w14:textId="77777777" w:rsidR="0023247E" w:rsidRPr="001B1AD0" w:rsidRDefault="0023247E" w:rsidP="001B1AD0">
            <w:pPr>
              <w:spacing w:after="0" w:line="240" w:lineRule="auto"/>
              <w:jc w:val="center"/>
              <w:rPr>
                <w:b/>
                <w:sz w:val="20"/>
                <w:szCs w:val="20"/>
              </w:rPr>
            </w:pPr>
            <w:r>
              <w:rPr>
                <w:b/>
                <w:i/>
                <w:sz w:val="20"/>
                <w:szCs w:val="20"/>
              </w:rPr>
              <w:t>p</w:t>
            </w:r>
          </w:p>
        </w:tc>
        <w:tc>
          <w:tcPr>
            <w:tcW w:w="236" w:type="dxa"/>
            <w:tcBorders>
              <w:top w:val="nil"/>
            </w:tcBorders>
          </w:tcPr>
          <w:p w14:paraId="711C80CA" w14:textId="77777777" w:rsidR="0023247E" w:rsidRDefault="0023247E" w:rsidP="001B1AD0">
            <w:pPr>
              <w:spacing w:after="0" w:line="240" w:lineRule="auto"/>
              <w:jc w:val="center"/>
              <w:rPr>
                <w:b/>
                <w:sz w:val="20"/>
                <w:szCs w:val="20"/>
              </w:rPr>
            </w:pPr>
          </w:p>
        </w:tc>
        <w:tc>
          <w:tcPr>
            <w:tcW w:w="1560" w:type="dxa"/>
            <w:tcBorders>
              <w:top w:val="single" w:sz="4" w:space="0" w:color="auto"/>
            </w:tcBorders>
          </w:tcPr>
          <w:p w14:paraId="6D85B7CC" w14:textId="77777777" w:rsidR="0023247E" w:rsidRPr="002772B7" w:rsidRDefault="0023247E" w:rsidP="001B1AD0">
            <w:pPr>
              <w:spacing w:after="0" w:line="240" w:lineRule="auto"/>
              <w:jc w:val="center"/>
              <w:rPr>
                <w:b/>
                <w:sz w:val="20"/>
                <w:szCs w:val="20"/>
              </w:rPr>
            </w:pPr>
            <w:r>
              <w:rPr>
                <w:b/>
                <w:sz w:val="20"/>
                <w:szCs w:val="20"/>
              </w:rPr>
              <w:t>OR [95% CI]</w:t>
            </w:r>
          </w:p>
        </w:tc>
        <w:tc>
          <w:tcPr>
            <w:tcW w:w="852" w:type="dxa"/>
            <w:tcBorders>
              <w:top w:val="single" w:sz="4" w:space="0" w:color="auto"/>
            </w:tcBorders>
          </w:tcPr>
          <w:p w14:paraId="3DE8F509" w14:textId="77777777" w:rsidR="0023247E" w:rsidRPr="001B1AD0" w:rsidRDefault="0023247E" w:rsidP="001B1AD0">
            <w:pPr>
              <w:spacing w:after="0" w:line="240" w:lineRule="auto"/>
              <w:jc w:val="center"/>
              <w:rPr>
                <w:b/>
                <w:sz w:val="20"/>
                <w:szCs w:val="20"/>
              </w:rPr>
            </w:pPr>
            <w:r>
              <w:rPr>
                <w:b/>
                <w:i/>
                <w:sz w:val="20"/>
                <w:szCs w:val="20"/>
              </w:rPr>
              <w:t>p</w:t>
            </w:r>
          </w:p>
        </w:tc>
      </w:tr>
      <w:tr w:rsidR="0023247E" w:rsidRPr="002772B7" w14:paraId="490DEC63" w14:textId="77777777" w:rsidTr="0023247E">
        <w:tc>
          <w:tcPr>
            <w:tcW w:w="2407" w:type="dxa"/>
            <w:gridSpan w:val="2"/>
            <w:tcBorders>
              <w:bottom w:val="nil"/>
            </w:tcBorders>
          </w:tcPr>
          <w:p w14:paraId="6E38EBFB" w14:textId="77777777" w:rsidR="0023247E" w:rsidRPr="002772B7" w:rsidRDefault="0023247E" w:rsidP="001B1AD0">
            <w:pPr>
              <w:spacing w:after="0" w:line="240" w:lineRule="auto"/>
              <w:rPr>
                <w:sz w:val="20"/>
                <w:szCs w:val="20"/>
              </w:rPr>
            </w:pPr>
            <w:r>
              <w:rPr>
                <w:sz w:val="20"/>
                <w:szCs w:val="20"/>
              </w:rPr>
              <w:t>Sleep quality</w:t>
            </w:r>
          </w:p>
        </w:tc>
        <w:tc>
          <w:tcPr>
            <w:tcW w:w="1560" w:type="dxa"/>
            <w:tcBorders>
              <w:bottom w:val="nil"/>
            </w:tcBorders>
          </w:tcPr>
          <w:p w14:paraId="18C1E65C" w14:textId="77777777" w:rsidR="0023247E" w:rsidRPr="002772B7" w:rsidRDefault="0023247E" w:rsidP="001B1AD0">
            <w:pPr>
              <w:spacing w:after="0" w:line="240" w:lineRule="auto"/>
              <w:jc w:val="center"/>
              <w:rPr>
                <w:sz w:val="20"/>
                <w:szCs w:val="20"/>
              </w:rPr>
            </w:pPr>
          </w:p>
        </w:tc>
        <w:tc>
          <w:tcPr>
            <w:tcW w:w="710" w:type="dxa"/>
            <w:tcBorders>
              <w:bottom w:val="nil"/>
            </w:tcBorders>
          </w:tcPr>
          <w:p w14:paraId="61AF19BB" w14:textId="77777777" w:rsidR="0023247E" w:rsidRPr="002772B7" w:rsidRDefault="0023247E" w:rsidP="001B1AD0">
            <w:pPr>
              <w:spacing w:after="0" w:line="240" w:lineRule="auto"/>
              <w:jc w:val="center"/>
              <w:rPr>
                <w:sz w:val="20"/>
                <w:szCs w:val="20"/>
              </w:rPr>
            </w:pPr>
          </w:p>
        </w:tc>
        <w:tc>
          <w:tcPr>
            <w:tcW w:w="236" w:type="dxa"/>
            <w:tcBorders>
              <w:bottom w:val="nil"/>
            </w:tcBorders>
          </w:tcPr>
          <w:p w14:paraId="157B119F" w14:textId="77777777" w:rsidR="0023247E" w:rsidRPr="002772B7" w:rsidRDefault="0023247E" w:rsidP="001B1AD0">
            <w:pPr>
              <w:spacing w:after="0" w:line="240" w:lineRule="auto"/>
              <w:jc w:val="center"/>
              <w:rPr>
                <w:sz w:val="20"/>
                <w:szCs w:val="20"/>
              </w:rPr>
            </w:pPr>
          </w:p>
        </w:tc>
        <w:tc>
          <w:tcPr>
            <w:tcW w:w="1560" w:type="dxa"/>
            <w:tcBorders>
              <w:bottom w:val="nil"/>
            </w:tcBorders>
          </w:tcPr>
          <w:p w14:paraId="2D5FCFD0" w14:textId="77777777" w:rsidR="0023247E" w:rsidRPr="002772B7" w:rsidRDefault="0023247E" w:rsidP="001B1AD0">
            <w:pPr>
              <w:spacing w:after="0" w:line="240" w:lineRule="auto"/>
              <w:jc w:val="center"/>
              <w:rPr>
                <w:sz w:val="20"/>
                <w:szCs w:val="20"/>
              </w:rPr>
            </w:pPr>
          </w:p>
        </w:tc>
        <w:tc>
          <w:tcPr>
            <w:tcW w:w="708" w:type="dxa"/>
            <w:tcBorders>
              <w:bottom w:val="nil"/>
            </w:tcBorders>
          </w:tcPr>
          <w:p w14:paraId="4FB42A3D" w14:textId="77777777" w:rsidR="0023247E" w:rsidRPr="002772B7" w:rsidRDefault="0023247E" w:rsidP="001B1AD0">
            <w:pPr>
              <w:spacing w:after="0" w:line="240" w:lineRule="auto"/>
              <w:jc w:val="center"/>
              <w:rPr>
                <w:sz w:val="20"/>
                <w:szCs w:val="20"/>
              </w:rPr>
            </w:pPr>
          </w:p>
        </w:tc>
        <w:tc>
          <w:tcPr>
            <w:tcW w:w="283" w:type="dxa"/>
            <w:tcBorders>
              <w:bottom w:val="nil"/>
            </w:tcBorders>
          </w:tcPr>
          <w:p w14:paraId="4DC55188" w14:textId="77777777" w:rsidR="0023247E" w:rsidRPr="002772B7" w:rsidRDefault="0023247E" w:rsidP="001B1AD0">
            <w:pPr>
              <w:spacing w:after="0" w:line="240" w:lineRule="auto"/>
              <w:jc w:val="center"/>
              <w:rPr>
                <w:sz w:val="20"/>
                <w:szCs w:val="20"/>
              </w:rPr>
            </w:pPr>
          </w:p>
        </w:tc>
        <w:tc>
          <w:tcPr>
            <w:tcW w:w="1560" w:type="dxa"/>
            <w:tcBorders>
              <w:bottom w:val="nil"/>
            </w:tcBorders>
          </w:tcPr>
          <w:p w14:paraId="25D5B369" w14:textId="77777777" w:rsidR="0023247E" w:rsidRPr="002772B7" w:rsidRDefault="0023247E" w:rsidP="001B1AD0">
            <w:pPr>
              <w:spacing w:after="0" w:line="240" w:lineRule="auto"/>
              <w:jc w:val="center"/>
              <w:rPr>
                <w:sz w:val="20"/>
                <w:szCs w:val="20"/>
              </w:rPr>
            </w:pPr>
          </w:p>
        </w:tc>
        <w:tc>
          <w:tcPr>
            <w:tcW w:w="708" w:type="dxa"/>
            <w:tcBorders>
              <w:bottom w:val="nil"/>
            </w:tcBorders>
          </w:tcPr>
          <w:p w14:paraId="1250974B" w14:textId="77777777" w:rsidR="0023247E" w:rsidRPr="002772B7" w:rsidRDefault="0023247E" w:rsidP="001B1AD0">
            <w:pPr>
              <w:spacing w:after="0" w:line="240" w:lineRule="auto"/>
              <w:jc w:val="center"/>
              <w:rPr>
                <w:sz w:val="20"/>
                <w:szCs w:val="20"/>
              </w:rPr>
            </w:pPr>
          </w:p>
        </w:tc>
        <w:tc>
          <w:tcPr>
            <w:tcW w:w="236" w:type="dxa"/>
            <w:tcBorders>
              <w:bottom w:val="nil"/>
            </w:tcBorders>
          </w:tcPr>
          <w:p w14:paraId="38C8CB0C" w14:textId="77777777" w:rsidR="0023247E" w:rsidRPr="002772B7" w:rsidRDefault="0023247E" w:rsidP="001B1AD0">
            <w:pPr>
              <w:spacing w:after="0" w:line="240" w:lineRule="auto"/>
              <w:jc w:val="center"/>
              <w:rPr>
                <w:sz w:val="20"/>
                <w:szCs w:val="20"/>
              </w:rPr>
            </w:pPr>
          </w:p>
        </w:tc>
        <w:tc>
          <w:tcPr>
            <w:tcW w:w="1560" w:type="dxa"/>
            <w:tcBorders>
              <w:bottom w:val="nil"/>
            </w:tcBorders>
          </w:tcPr>
          <w:p w14:paraId="0A226B0C" w14:textId="77777777" w:rsidR="0023247E" w:rsidRPr="002772B7" w:rsidRDefault="0023247E" w:rsidP="001B1AD0">
            <w:pPr>
              <w:spacing w:after="0" w:line="240" w:lineRule="auto"/>
              <w:jc w:val="center"/>
              <w:rPr>
                <w:sz w:val="20"/>
                <w:szCs w:val="20"/>
              </w:rPr>
            </w:pPr>
          </w:p>
        </w:tc>
        <w:tc>
          <w:tcPr>
            <w:tcW w:w="852" w:type="dxa"/>
            <w:tcBorders>
              <w:bottom w:val="nil"/>
            </w:tcBorders>
          </w:tcPr>
          <w:p w14:paraId="65715D1C" w14:textId="77777777" w:rsidR="0023247E" w:rsidRPr="002772B7" w:rsidRDefault="0023247E" w:rsidP="001B1AD0">
            <w:pPr>
              <w:spacing w:after="0" w:line="240" w:lineRule="auto"/>
              <w:jc w:val="center"/>
              <w:rPr>
                <w:sz w:val="20"/>
                <w:szCs w:val="20"/>
              </w:rPr>
            </w:pPr>
          </w:p>
        </w:tc>
      </w:tr>
      <w:tr w:rsidR="0023247E" w:rsidRPr="002772B7" w14:paraId="1FCAAF1B" w14:textId="77777777" w:rsidTr="0023247E">
        <w:tc>
          <w:tcPr>
            <w:tcW w:w="276" w:type="dxa"/>
            <w:tcBorders>
              <w:top w:val="nil"/>
              <w:bottom w:val="nil"/>
            </w:tcBorders>
          </w:tcPr>
          <w:p w14:paraId="36327D6A" w14:textId="77777777" w:rsidR="0023247E" w:rsidRPr="002772B7" w:rsidRDefault="0023247E" w:rsidP="001B1AD0">
            <w:pPr>
              <w:spacing w:after="0" w:line="240" w:lineRule="auto"/>
              <w:rPr>
                <w:sz w:val="20"/>
                <w:szCs w:val="20"/>
              </w:rPr>
            </w:pPr>
          </w:p>
        </w:tc>
        <w:tc>
          <w:tcPr>
            <w:tcW w:w="2131" w:type="dxa"/>
            <w:tcBorders>
              <w:top w:val="nil"/>
            </w:tcBorders>
            <w:vAlign w:val="center"/>
          </w:tcPr>
          <w:p w14:paraId="4A02111E" w14:textId="77777777" w:rsidR="0023247E" w:rsidRPr="002772B7" w:rsidRDefault="0023247E" w:rsidP="001B1AD0">
            <w:pPr>
              <w:spacing w:after="0" w:line="240" w:lineRule="auto"/>
              <w:rPr>
                <w:sz w:val="20"/>
                <w:szCs w:val="20"/>
              </w:rPr>
            </w:pPr>
            <w:r>
              <w:rPr>
                <w:sz w:val="20"/>
                <w:szCs w:val="20"/>
              </w:rPr>
              <w:t>High</w:t>
            </w:r>
          </w:p>
        </w:tc>
        <w:tc>
          <w:tcPr>
            <w:tcW w:w="1560" w:type="dxa"/>
            <w:tcBorders>
              <w:top w:val="nil"/>
            </w:tcBorders>
          </w:tcPr>
          <w:p w14:paraId="4C577BEC" w14:textId="77777777" w:rsidR="0023247E" w:rsidRPr="002772B7" w:rsidRDefault="0023247E" w:rsidP="001B1AD0">
            <w:pPr>
              <w:spacing w:after="0" w:line="240" w:lineRule="auto"/>
              <w:jc w:val="center"/>
              <w:rPr>
                <w:sz w:val="20"/>
                <w:szCs w:val="20"/>
              </w:rPr>
            </w:pPr>
            <w:r>
              <w:rPr>
                <w:sz w:val="20"/>
                <w:szCs w:val="20"/>
              </w:rPr>
              <w:t>1.00</w:t>
            </w:r>
          </w:p>
        </w:tc>
        <w:tc>
          <w:tcPr>
            <w:tcW w:w="710" w:type="dxa"/>
            <w:tcBorders>
              <w:top w:val="nil"/>
            </w:tcBorders>
          </w:tcPr>
          <w:p w14:paraId="5339E646" w14:textId="77777777" w:rsidR="0023247E" w:rsidRDefault="0023247E" w:rsidP="001B1AD0">
            <w:pPr>
              <w:spacing w:after="0" w:line="240" w:lineRule="auto"/>
              <w:jc w:val="center"/>
              <w:rPr>
                <w:sz w:val="20"/>
                <w:szCs w:val="20"/>
              </w:rPr>
            </w:pPr>
          </w:p>
        </w:tc>
        <w:tc>
          <w:tcPr>
            <w:tcW w:w="236" w:type="dxa"/>
            <w:tcBorders>
              <w:top w:val="nil"/>
            </w:tcBorders>
          </w:tcPr>
          <w:p w14:paraId="6F43E797" w14:textId="77777777" w:rsidR="0023247E" w:rsidRDefault="0023247E" w:rsidP="001B1AD0">
            <w:pPr>
              <w:spacing w:after="0" w:line="240" w:lineRule="auto"/>
              <w:jc w:val="center"/>
              <w:rPr>
                <w:sz w:val="20"/>
                <w:szCs w:val="20"/>
              </w:rPr>
            </w:pPr>
          </w:p>
        </w:tc>
        <w:tc>
          <w:tcPr>
            <w:tcW w:w="1560" w:type="dxa"/>
            <w:tcBorders>
              <w:top w:val="nil"/>
            </w:tcBorders>
          </w:tcPr>
          <w:p w14:paraId="1B1875BB" w14:textId="77777777" w:rsidR="0023247E" w:rsidRPr="002772B7" w:rsidRDefault="0023247E" w:rsidP="001B1AD0">
            <w:pPr>
              <w:spacing w:after="0" w:line="240" w:lineRule="auto"/>
              <w:jc w:val="center"/>
              <w:rPr>
                <w:sz w:val="20"/>
                <w:szCs w:val="20"/>
              </w:rPr>
            </w:pPr>
            <w:r>
              <w:rPr>
                <w:sz w:val="20"/>
                <w:szCs w:val="20"/>
              </w:rPr>
              <w:t>1.00</w:t>
            </w:r>
          </w:p>
        </w:tc>
        <w:tc>
          <w:tcPr>
            <w:tcW w:w="708" w:type="dxa"/>
            <w:tcBorders>
              <w:top w:val="nil"/>
            </w:tcBorders>
          </w:tcPr>
          <w:p w14:paraId="146953BD" w14:textId="77777777" w:rsidR="0023247E" w:rsidRPr="002772B7" w:rsidRDefault="0023247E" w:rsidP="001B1AD0">
            <w:pPr>
              <w:spacing w:after="0" w:line="240" w:lineRule="auto"/>
              <w:jc w:val="center"/>
              <w:rPr>
                <w:sz w:val="20"/>
                <w:szCs w:val="20"/>
              </w:rPr>
            </w:pPr>
          </w:p>
        </w:tc>
        <w:tc>
          <w:tcPr>
            <w:tcW w:w="283" w:type="dxa"/>
            <w:tcBorders>
              <w:top w:val="nil"/>
            </w:tcBorders>
          </w:tcPr>
          <w:p w14:paraId="27BE341B" w14:textId="77777777" w:rsidR="0023247E" w:rsidRPr="002772B7" w:rsidRDefault="0023247E" w:rsidP="001B1AD0">
            <w:pPr>
              <w:spacing w:after="0" w:line="240" w:lineRule="auto"/>
              <w:jc w:val="center"/>
              <w:rPr>
                <w:sz w:val="20"/>
                <w:szCs w:val="20"/>
              </w:rPr>
            </w:pPr>
          </w:p>
        </w:tc>
        <w:tc>
          <w:tcPr>
            <w:tcW w:w="1560" w:type="dxa"/>
            <w:tcBorders>
              <w:top w:val="nil"/>
            </w:tcBorders>
          </w:tcPr>
          <w:p w14:paraId="46E1BD5C" w14:textId="77777777" w:rsidR="0023247E" w:rsidRPr="002772B7" w:rsidRDefault="0023247E" w:rsidP="001B1AD0">
            <w:pPr>
              <w:spacing w:after="0" w:line="240" w:lineRule="auto"/>
              <w:jc w:val="center"/>
              <w:rPr>
                <w:sz w:val="20"/>
                <w:szCs w:val="20"/>
              </w:rPr>
            </w:pPr>
            <w:r>
              <w:rPr>
                <w:sz w:val="20"/>
                <w:szCs w:val="20"/>
              </w:rPr>
              <w:t>1.00</w:t>
            </w:r>
          </w:p>
        </w:tc>
        <w:tc>
          <w:tcPr>
            <w:tcW w:w="708" w:type="dxa"/>
            <w:tcBorders>
              <w:top w:val="nil"/>
            </w:tcBorders>
          </w:tcPr>
          <w:p w14:paraId="5D2A4C2F" w14:textId="77777777" w:rsidR="0023247E" w:rsidRDefault="0023247E" w:rsidP="001B1AD0">
            <w:pPr>
              <w:spacing w:after="0" w:line="240" w:lineRule="auto"/>
              <w:jc w:val="center"/>
              <w:rPr>
                <w:sz w:val="20"/>
                <w:szCs w:val="20"/>
              </w:rPr>
            </w:pPr>
          </w:p>
        </w:tc>
        <w:tc>
          <w:tcPr>
            <w:tcW w:w="236" w:type="dxa"/>
            <w:tcBorders>
              <w:top w:val="nil"/>
            </w:tcBorders>
          </w:tcPr>
          <w:p w14:paraId="3AB99824" w14:textId="77777777" w:rsidR="0023247E" w:rsidRDefault="0023247E" w:rsidP="001B1AD0">
            <w:pPr>
              <w:spacing w:after="0" w:line="240" w:lineRule="auto"/>
              <w:jc w:val="center"/>
              <w:rPr>
                <w:sz w:val="20"/>
                <w:szCs w:val="20"/>
              </w:rPr>
            </w:pPr>
          </w:p>
        </w:tc>
        <w:tc>
          <w:tcPr>
            <w:tcW w:w="1560" w:type="dxa"/>
            <w:tcBorders>
              <w:top w:val="nil"/>
            </w:tcBorders>
          </w:tcPr>
          <w:p w14:paraId="7D0E7A96" w14:textId="77777777" w:rsidR="0023247E" w:rsidRPr="002772B7" w:rsidRDefault="0023247E" w:rsidP="001B1AD0">
            <w:pPr>
              <w:spacing w:after="0" w:line="240" w:lineRule="auto"/>
              <w:jc w:val="center"/>
              <w:rPr>
                <w:sz w:val="20"/>
                <w:szCs w:val="20"/>
              </w:rPr>
            </w:pPr>
            <w:r>
              <w:rPr>
                <w:sz w:val="20"/>
                <w:szCs w:val="20"/>
              </w:rPr>
              <w:t>1.00</w:t>
            </w:r>
          </w:p>
        </w:tc>
        <w:tc>
          <w:tcPr>
            <w:tcW w:w="852" w:type="dxa"/>
            <w:tcBorders>
              <w:top w:val="nil"/>
            </w:tcBorders>
          </w:tcPr>
          <w:p w14:paraId="2F81C0B5" w14:textId="77777777" w:rsidR="0023247E" w:rsidRDefault="0023247E" w:rsidP="001B1AD0">
            <w:pPr>
              <w:spacing w:after="0" w:line="240" w:lineRule="auto"/>
              <w:jc w:val="center"/>
              <w:rPr>
                <w:sz w:val="20"/>
                <w:szCs w:val="20"/>
              </w:rPr>
            </w:pPr>
          </w:p>
        </w:tc>
      </w:tr>
      <w:tr w:rsidR="0023247E" w:rsidRPr="002772B7" w14:paraId="31B86E65" w14:textId="77777777" w:rsidTr="0023247E">
        <w:tc>
          <w:tcPr>
            <w:tcW w:w="276" w:type="dxa"/>
            <w:tcBorders>
              <w:top w:val="nil"/>
              <w:bottom w:val="nil"/>
            </w:tcBorders>
          </w:tcPr>
          <w:p w14:paraId="3DAC5FFF" w14:textId="77777777" w:rsidR="0023247E" w:rsidRPr="002772B7" w:rsidRDefault="0023247E" w:rsidP="001B1AD0">
            <w:pPr>
              <w:spacing w:after="0" w:line="240" w:lineRule="auto"/>
              <w:rPr>
                <w:sz w:val="20"/>
                <w:szCs w:val="20"/>
              </w:rPr>
            </w:pPr>
          </w:p>
        </w:tc>
        <w:tc>
          <w:tcPr>
            <w:tcW w:w="2131" w:type="dxa"/>
            <w:tcBorders>
              <w:top w:val="nil"/>
            </w:tcBorders>
            <w:vAlign w:val="center"/>
          </w:tcPr>
          <w:p w14:paraId="18EB9487" w14:textId="77777777" w:rsidR="0023247E" w:rsidRDefault="0023247E" w:rsidP="001B1AD0">
            <w:pPr>
              <w:spacing w:after="0" w:line="240" w:lineRule="auto"/>
              <w:rPr>
                <w:sz w:val="20"/>
                <w:szCs w:val="20"/>
              </w:rPr>
            </w:pPr>
            <w:r>
              <w:rPr>
                <w:sz w:val="20"/>
                <w:szCs w:val="20"/>
              </w:rPr>
              <w:t>Moderate</w:t>
            </w:r>
          </w:p>
        </w:tc>
        <w:tc>
          <w:tcPr>
            <w:tcW w:w="1560" w:type="dxa"/>
            <w:tcBorders>
              <w:top w:val="nil"/>
            </w:tcBorders>
          </w:tcPr>
          <w:p w14:paraId="20ADBF2F" w14:textId="77777777" w:rsidR="0023247E" w:rsidRDefault="00F07AC0" w:rsidP="001B1AD0">
            <w:pPr>
              <w:spacing w:after="0" w:line="240" w:lineRule="auto"/>
              <w:jc w:val="center"/>
              <w:rPr>
                <w:sz w:val="20"/>
                <w:szCs w:val="20"/>
              </w:rPr>
            </w:pPr>
            <w:r>
              <w:rPr>
                <w:sz w:val="20"/>
                <w:szCs w:val="20"/>
              </w:rPr>
              <w:t>1.47 [1.16-1.85]</w:t>
            </w:r>
          </w:p>
        </w:tc>
        <w:tc>
          <w:tcPr>
            <w:tcW w:w="710" w:type="dxa"/>
            <w:tcBorders>
              <w:top w:val="nil"/>
            </w:tcBorders>
          </w:tcPr>
          <w:p w14:paraId="448C3422" w14:textId="77777777" w:rsidR="0023247E" w:rsidRDefault="00F07AC0" w:rsidP="001B1AD0">
            <w:pPr>
              <w:spacing w:after="0" w:line="240" w:lineRule="auto"/>
              <w:jc w:val="center"/>
              <w:rPr>
                <w:sz w:val="20"/>
                <w:szCs w:val="20"/>
              </w:rPr>
            </w:pPr>
            <w:r>
              <w:rPr>
                <w:sz w:val="20"/>
                <w:szCs w:val="20"/>
              </w:rPr>
              <w:t>0.001</w:t>
            </w:r>
          </w:p>
        </w:tc>
        <w:tc>
          <w:tcPr>
            <w:tcW w:w="236" w:type="dxa"/>
            <w:tcBorders>
              <w:top w:val="nil"/>
            </w:tcBorders>
          </w:tcPr>
          <w:p w14:paraId="51B8CFD2" w14:textId="77777777" w:rsidR="0023247E" w:rsidRDefault="0023247E" w:rsidP="001B1AD0">
            <w:pPr>
              <w:spacing w:after="0" w:line="240" w:lineRule="auto"/>
              <w:jc w:val="center"/>
              <w:rPr>
                <w:sz w:val="20"/>
                <w:szCs w:val="20"/>
              </w:rPr>
            </w:pPr>
          </w:p>
        </w:tc>
        <w:tc>
          <w:tcPr>
            <w:tcW w:w="1560" w:type="dxa"/>
            <w:tcBorders>
              <w:top w:val="nil"/>
            </w:tcBorders>
          </w:tcPr>
          <w:p w14:paraId="3A099277" w14:textId="77777777" w:rsidR="0023247E" w:rsidRDefault="00A77360" w:rsidP="001B1AD0">
            <w:pPr>
              <w:spacing w:after="0" w:line="240" w:lineRule="auto"/>
              <w:jc w:val="center"/>
              <w:rPr>
                <w:sz w:val="20"/>
                <w:szCs w:val="20"/>
              </w:rPr>
            </w:pPr>
            <w:r>
              <w:rPr>
                <w:sz w:val="20"/>
                <w:szCs w:val="20"/>
              </w:rPr>
              <w:t>1.34 [0.96-1.87]</w:t>
            </w:r>
          </w:p>
        </w:tc>
        <w:tc>
          <w:tcPr>
            <w:tcW w:w="708" w:type="dxa"/>
            <w:tcBorders>
              <w:top w:val="nil"/>
            </w:tcBorders>
          </w:tcPr>
          <w:p w14:paraId="1C44BDA5" w14:textId="77777777" w:rsidR="0023247E" w:rsidRPr="002772B7" w:rsidRDefault="00A77360" w:rsidP="001B1AD0">
            <w:pPr>
              <w:spacing w:after="0" w:line="240" w:lineRule="auto"/>
              <w:jc w:val="center"/>
              <w:rPr>
                <w:sz w:val="20"/>
                <w:szCs w:val="20"/>
              </w:rPr>
            </w:pPr>
            <w:r>
              <w:rPr>
                <w:sz w:val="20"/>
                <w:szCs w:val="20"/>
              </w:rPr>
              <w:t>0.091</w:t>
            </w:r>
          </w:p>
        </w:tc>
        <w:tc>
          <w:tcPr>
            <w:tcW w:w="283" w:type="dxa"/>
            <w:tcBorders>
              <w:top w:val="nil"/>
            </w:tcBorders>
          </w:tcPr>
          <w:p w14:paraId="142C1153" w14:textId="77777777" w:rsidR="0023247E" w:rsidRPr="002772B7" w:rsidRDefault="0023247E" w:rsidP="001B1AD0">
            <w:pPr>
              <w:spacing w:after="0" w:line="240" w:lineRule="auto"/>
              <w:jc w:val="center"/>
              <w:rPr>
                <w:sz w:val="20"/>
                <w:szCs w:val="20"/>
              </w:rPr>
            </w:pPr>
          </w:p>
        </w:tc>
        <w:tc>
          <w:tcPr>
            <w:tcW w:w="1560" w:type="dxa"/>
            <w:tcBorders>
              <w:top w:val="nil"/>
            </w:tcBorders>
          </w:tcPr>
          <w:p w14:paraId="79A16155" w14:textId="77777777" w:rsidR="0023247E" w:rsidRDefault="00497132" w:rsidP="001B1AD0">
            <w:pPr>
              <w:spacing w:after="0" w:line="240" w:lineRule="auto"/>
              <w:jc w:val="center"/>
              <w:rPr>
                <w:sz w:val="20"/>
                <w:szCs w:val="20"/>
              </w:rPr>
            </w:pPr>
            <w:r>
              <w:rPr>
                <w:sz w:val="20"/>
                <w:szCs w:val="20"/>
              </w:rPr>
              <w:t>1.53 [1.09-2.13]</w:t>
            </w:r>
          </w:p>
        </w:tc>
        <w:tc>
          <w:tcPr>
            <w:tcW w:w="708" w:type="dxa"/>
            <w:tcBorders>
              <w:top w:val="nil"/>
            </w:tcBorders>
          </w:tcPr>
          <w:p w14:paraId="3F200552" w14:textId="77777777" w:rsidR="0023247E" w:rsidRDefault="00497132" w:rsidP="001B1AD0">
            <w:pPr>
              <w:spacing w:after="0" w:line="240" w:lineRule="auto"/>
              <w:jc w:val="center"/>
              <w:rPr>
                <w:sz w:val="20"/>
                <w:szCs w:val="20"/>
              </w:rPr>
            </w:pPr>
            <w:r>
              <w:rPr>
                <w:sz w:val="20"/>
                <w:szCs w:val="20"/>
              </w:rPr>
              <w:t>0.013</w:t>
            </w:r>
          </w:p>
        </w:tc>
        <w:tc>
          <w:tcPr>
            <w:tcW w:w="236" w:type="dxa"/>
            <w:tcBorders>
              <w:top w:val="nil"/>
            </w:tcBorders>
          </w:tcPr>
          <w:p w14:paraId="4A78F5FA" w14:textId="77777777" w:rsidR="0023247E" w:rsidRDefault="0023247E" w:rsidP="001B1AD0">
            <w:pPr>
              <w:spacing w:after="0" w:line="240" w:lineRule="auto"/>
              <w:jc w:val="center"/>
              <w:rPr>
                <w:sz w:val="20"/>
                <w:szCs w:val="20"/>
              </w:rPr>
            </w:pPr>
          </w:p>
        </w:tc>
        <w:tc>
          <w:tcPr>
            <w:tcW w:w="1560" w:type="dxa"/>
            <w:tcBorders>
              <w:top w:val="nil"/>
            </w:tcBorders>
          </w:tcPr>
          <w:p w14:paraId="1D8153D6" w14:textId="77777777" w:rsidR="0023247E" w:rsidRDefault="00A77360" w:rsidP="001B1AD0">
            <w:pPr>
              <w:spacing w:after="0" w:line="240" w:lineRule="auto"/>
              <w:jc w:val="center"/>
              <w:rPr>
                <w:sz w:val="20"/>
                <w:szCs w:val="20"/>
              </w:rPr>
            </w:pPr>
            <w:r>
              <w:rPr>
                <w:sz w:val="20"/>
                <w:szCs w:val="20"/>
              </w:rPr>
              <w:t>1.24 [0.87-1.77]</w:t>
            </w:r>
          </w:p>
        </w:tc>
        <w:tc>
          <w:tcPr>
            <w:tcW w:w="852" w:type="dxa"/>
            <w:tcBorders>
              <w:top w:val="nil"/>
            </w:tcBorders>
          </w:tcPr>
          <w:p w14:paraId="0579EE52" w14:textId="77777777" w:rsidR="0023247E" w:rsidRDefault="00A77360" w:rsidP="001B1AD0">
            <w:pPr>
              <w:spacing w:after="0" w:line="240" w:lineRule="auto"/>
              <w:jc w:val="center"/>
              <w:rPr>
                <w:sz w:val="20"/>
                <w:szCs w:val="20"/>
              </w:rPr>
            </w:pPr>
            <w:r>
              <w:rPr>
                <w:sz w:val="20"/>
                <w:szCs w:val="20"/>
              </w:rPr>
              <w:t>0.229</w:t>
            </w:r>
          </w:p>
        </w:tc>
      </w:tr>
      <w:tr w:rsidR="0023247E" w:rsidRPr="002772B7" w14:paraId="369FA762" w14:textId="77777777" w:rsidTr="0023247E">
        <w:tc>
          <w:tcPr>
            <w:tcW w:w="276" w:type="dxa"/>
            <w:tcBorders>
              <w:top w:val="nil"/>
              <w:bottom w:val="nil"/>
            </w:tcBorders>
          </w:tcPr>
          <w:p w14:paraId="0B6FF1C9" w14:textId="77777777" w:rsidR="0023247E" w:rsidRPr="002772B7" w:rsidRDefault="0023247E" w:rsidP="001B1AD0">
            <w:pPr>
              <w:spacing w:after="0" w:line="240" w:lineRule="auto"/>
              <w:rPr>
                <w:sz w:val="20"/>
                <w:szCs w:val="20"/>
              </w:rPr>
            </w:pPr>
          </w:p>
        </w:tc>
        <w:tc>
          <w:tcPr>
            <w:tcW w:w="2131" w:type="dxa"/>
            <w:vAlign w:val="center"/>
          </w:tcPr>
          <w:p w14:paraId="609B5E5F" w14:textId="77777777" w:rsidR="0023247E" w:rsidRPr="002772B7" w:rsidRDefault="0023247E" w:rsidP="001B1AD0">
            <w:pPr>
              <w:spacing w:after="0" w:line="240" w:lineRule="auto"/>
              <w:rPr>
                <w:sz w:val="20"/>
                <w:szCs w:val="20"/>
              </w:rPr>
            </w:pPr>
            <w:r>
              <w:rPr>
                <w:sz w:val="20"/>
                <w:szCs w:val="20"/>
              </w:rPr>
              <w:t>Low</w:t>
            </w:r>
          </w:p>
        </w:tc>
        <w:tc>
          <w:tcPr>
            <w:tcW w:w="1560" w:type="dxa"/>
          </w:tcPr>
          <w:p w14:paraId="43803EC0" w14:textId="77777777" w:rsidR="0023247E" w:rsidRPr="002772B7" w:rsidRDefault="00F07AC0" w:rsidP="001B1AD0">
            <w:pPr>
              <w:spacing w:after="0" w:line="240" w:lineRule="auto"/>
              <w:jc w:val="center"/>
              <w:rPr>
                <w:sz w:val="20"/>
                <w:szCs w:val="20"/>
              </w:rPr>
            </w:pPr>
            <w:r>
              <w:rPr>
                <w:sz w:val="20"/>
                <w:szCs w:val="20"/>
              </w:rPr>
              <w:t>1.24 [0.97-1.58]</w:t>
            </w:r>
          </w:p>
        </w:tc>
        <w:tc>
          <w:tcPr>
            <w:tcW w:w="710" w:type="dxa"/>
          </w:tcPr>
          <w:p w14:paraId="29F4163B" w14:textId="77777777" w:rsidR="0023247E" w:rsidRPr="002772B7" w:rsidRDefault="00F07AC0" w:rsidP="001B1AD0">
            <w:pPr>
              <w:spacing w:after="0" w:line="240" w:lineRule="auto"/>
              <w:jc w:val="center"/>
              <w:rPr>
                <w:sz w:val="20"/>
                <w:szCs w:val="20"/>
              </w:rPr>
            </w:pPr>
            <w:r>
              <w:rPr>
                <w:sz w:val="20"/>
                <w:szCs w:val="20"/>
              </w:rPr>
              <w:t>0.091</w:t>
            </w:r>
          </w:p>
        </w:tc>
        <w:tc>
          <w:tcPr>
            <w:tcW w:w="236" w:type="dxa"/>
          </w:tcPr>
          <w:p w14:paraId="14059E0B" w14:textId="77777777" w:rsidR="0023247E" w:rsidRDefault="0023247E" w:rsidP="001B1AD0">
            <w:pPr>
              <w:spacing w:after="0" w:line="240" w:lineRule="auto"/>
              <w:jc w:val="center"/>
              <w:rPr>
                <w:sz w:val="20"/>
                <w:szCs w:val="20"/>
              </w:rPr>
            </w:pPr>
          </w:p>
        </w:tc>
        <w:tc>
          <w:tcPr>
            <w:tcW w:w="1560" w:type="dxa"/>
          </w:tcPr>
          <w:p w14:paraId="368CBFD9" w14:textId="77777777" w:rsidR="0023247E" w:rsidRPr="002772B7" w:rsidRDefault="00A77360" w:rsidP="001B1AD0">
            <w:pPr>
              <w:spacing w:after="0" w:line="240" w:lineRule="auto"/>
              <w:jc w:val="center"/>
              <w:rPr>
                <w:sz w:val="20"/>
                <w:szCs w:val="20"/>
              </w:rPr>
            </w:pPr>
            <w:r>
              <w:rPr>
                <w:sz w:val="20"/>
                <w:szCs w:val="20"/>
              </w:rPr>
              <w:t>1.05 [0.73-1.51]</w:t>
            </w:r>
          </w:p>
        </w:tc>
        <w:tc>
          <w:tcPr>
            <w:tcW w:w="708" w:type="dxa"/>
          </w:tcPr>
          <w:p w14:paraId="50A8B5FB" w14:textId="77777777" w:rsidR="0023247E" w:rsidRPr="002772B7" w:rsidRDefault="00A77360" w:rsidP="001B1AD0">
            <w:pPr>
              <w:spacing w:after="0" w:line="240" w:lineRule="auto"/>
              <w:jc w:val="center"/>
              <w:rPr>
                <w:sz w:val="20"/>
                <w:szCs w:val="20"/>
              </w:rPr>
            </w:pPr>
            <w:r>
              <w:rPr>
                <w:sz w:val="20"/>
                <w:szCs w:val="20"/>
              </w:rPr>
              <w:t>0.801</w:t>
            </w:r>
          </w:p>
        </w:tc>
        <w:tc>
          <w:tcPr>
            <w:tcW w:w="283" w:type="dxa"/>
          </w:tcPr>
          <w:p w14:paraId="735A4954" w14:textId="77777777" w:rsidR="0023247E" w:rsidRPr="002772B7" w:rsidRDefault="0023247E" w:rsidP="001B1AD0">
            <w:pPr>
              <w:spacing w:after="0" w:line="240" w:lineRule="auto"/>
              <w:jc w:val="center"/>
              <w:rPr>
                <w:sz w:val="20"/>
                <w:szCs w:val="20"/>
              </w:rPr>
            </w:pPr>
          </w:p>
        </w:tc>
        <w:tc>
          <w:tcPr>
            <w:tcW w:w="1560" w:type="dxa"/>
          </w:tcPr>
          <w:p w14:paraId="69BC11FA" w14:textId="77777777" w:rsidR="0023247E" w:rsidRPr="002772B7" w:rsidRDefault="00497132" w:rsidP="001B1AD0">
            <w:pPr>
              <w:spacing w:after="0" w:line="240" w:lineRule="auto"/>
              <w:jc w:val="center"/>
              <w:rPr>
                <w:sz w:val="20"/>
                <w:szCs w:val="20"/>
              </w:rPr>
            </w:pPr>
            <w:r>
              <w:rPr>
                <w:sz w:val="20"/>
                <w:szCs w:val="20"/>
              </w:rPr>
              <w:t>1.70 [1.24-2.32]</w:t>
            </w:r>
          </w:p>
        </w:tc>
        <w:tc>
          <w:tcPr>
            <w:tcW w:w="708" w:type="dxa"/>
          </w:tcPr>
          <w:p w14:paraId="6F0A8466" w14:textId="77777777" w:rsidR="0023247E" w:rsidRPr="002772B7" w:rsidRDefault="00497132" w:rsidP="001B1AD0">
            <w:pPr>
              <w:spacing w:after="0" w:line="240" w:lineRule="auto"/>
              <w:jc w:val="center"/>
              <w:rPr>
                <w:sz w:val="20"/>
                <w:szCs w:val="20"/>
              </w:rPr>
            </w:pPr>
            <w:r>
              <w:rPr>
                <w:sz w:val="20"/>
                <w:szCs w:val="20"/>
              </w:rPr>
              <w:t>0.001</w:t>
            </w:r>
          </w:p>
        </w:tc>
        <w:tc>
          <w:tcPr>
            <w:tcW w:w="236" w:type="dxa"/>
          </w:tcPr>
          <w:p w14:paraId="0186426E" w14:textId="77777777" w:rsidR="0023247E" w:rsidRDefault="0023247E" w:rsidP="001B1AD0">
            <w:pPr>
              <w:spacing w:after="0" w:line="240" w:lineRule="auto"/>
              <w:jc w:val="center"/>
              <w:rPr>
                <w:sz w:val="20"/>
                <w:szCs w:val="20"/>
              </w:rPr>
            </w:pPr>
          </w:p>
        </w:tc>
        <w:tc>
          <w:tcPr>
            <w:tcW w:w="1560" w:type="dxa"/>
          </w:tcPr>
          <w:p w14:paraId="16AF35BA" w14:textId="77777777" w:rsidR="0023247E" w:rsidRPr="002772B7" w:rsidRDefault="00A77360" w:rsidP="001B1AD0">
            <w:pPr>
              <w:spacing w:after="0" w:line="240" w:lineRule="auto"/>
              <w:jc w:val="center"/>
              <w:rPr>
                <w:sz w:val="20"/>
                <w:szCs w:val="20"/>
              </w:rPr>
            </w:pPr>
            <w:r>
              <w:rPr>
                <w:sz w:val="20"/>
                <w:szCs w:val="20"/>
              </w:rPr>
              <w:t>1.63 [1.18-2.25]</w:t>
            </w:r>
          </w:p>
        </w:tc>
        <w:tc>
          <w:tcPr>
            <w:tcW w:w="852" w:type="dxa"/>
          </w:tcPr>
          <w:p w14:paraId="5AACEA26" w14:textId="77777777" w:rsidR="0023247E" w:rsidRPr="002772B7" w:rsidRDefault="00A77360" w:rsidP="001B1AD0">
            <w:pPr>
              <w:spacing w:after="0" w:line="240" w:lineRule="auto"/>
              <w:jc w:val="center"/>
              <w:rPr>
                <w:sz w:val="20"/>
                <w:szCs w:val="20"/>
              </w:rPr>
            </w:pPr>
            <w:r>
              <w:rPr>
                <w:sz w:val="20"/>
                <w:szCs w:val="20"/>
              </w:rPr>
              <w:t>0.003</w:t>
            </w:r>
          </w:p>
        </w:tc>
      </w:tr>
      <w:tr w:rsidR="0023247E" w:rsidRPr="002772B7" w14:paraId="1534668A" w14:textId="77777777" w:rsidTr="0023247E">
        <w:tc>
          <w:tcPr>
            <w:tcW w:w="2407" w:type="dxa"/>
            <w:gridSpan w:val="2"/>
            <w:tcBorders>
              <w:bottom w:val="nil"/>
            </w:tcBorders>
          </w:tcPr>
          <w:p w14:paraId="25E5283B" w14:textId="77777777" w:rsidR="0023247E" w:rsidRPr="002772B7" w:rsidRDefault="0023247E" w:rsidP="001B1AD0">
            <w:pPr>
              <w:spacing w:after="0" w:line="240" w:lineRule="auto"/>
              <w:rPr>
                <w:sz w:val="20"/>
                <w:szCs w:val="20"/>
              </w:rPr>
            </w:pPr>
            <w:r>
              <w:rPr>
                <w:sz w:val="20"/>
                <w:szCs w:val="20"/>
              </w:rPr>
              <w:t>Sleep duration (hours)</w:t>
            </w:r>
          </w:p>
        </w:tc>
        <w:tc>
          <w:tcPr>
            <w:tcW w:w="1560" w:type="dxa"/>
            <w:tcBorders>
              <w:bottom w:val="nil"/>
            </w:tcBorders>
          </w:tcPr>
          <w:p w14:paraId="634519CD" w14:textId="77777777" w:rsidR="0023247E" w:rsidRPr="002772B7" w:rsidRDefault="0023247E" w:rsidP="001B1AD0">
            <w:pPr>
              <w:spacing w:after="0" w:line="240" w:lineRule="auto"/>
              <w:jc w:val="center"/>
              <w:rPr>
                <w:sz w:val="20"/>
                <w:szCs w:val="20"/>
              </w:rPr>
            </w:pPr>
          </w:p>
        </w:tc>
        <w:tc>
          <w:tcPr>
            <w:tcW w:w="710" w:type="dxa"/>
            <w:tcBorders>
              <w:bottom w:val="nil"/>
            </w:tcBorders>
          </w:tcPr>
          <w:p w14:paraId="6CFBBA6A" w14:textId="77777777" w:rsidR="0023247E" w:rsidRPr="002772B7" w:rsidRDefault="0023247E" w:rsidP="001B1AD0">
            <w:pPr>
              <w:spacing w:after="0" w:line="240" w:lineRule="auto"/>
              <w:jc w:val="center"/>
              <w:rPr>
                <w:sz w:val="20"/>
                <w:szCs w:val="20"/>
              </w:rPr>
            </w:pPr>
          </w:p>
        </w:tc>
        <w:tc>
          <w:tcPr>
            <w:tcW w:w="236" w:type="dxa"/>
            <w:tcBorders>
              <w:bottom w:val="nil"/>
            </w:tcBorders>
          </w:tcPr>
          <w:p w14:paraId="102B78C2" w14:textId="77777777" w:rsidR="0023247E" w:rsidRPr="002772B7" w:rsidRDefault="0023247E" w:rsidP="001B1AD0">
            <w:pPr>
              <w:spacing w:after="0" w:line="240" w:lineRule="auto"/>
              <w:jc w:val="center"/>
              <w:rPr>
                <w:sz w:val="20"/>
                <w:szCs w:val="20"/>
              </w:rPr>
            </w:pPr>
          </w:p>
        </w:tc>
        <w:tc>
          <w:tcPr>
            <w:tcW w:w="1560" w:type="dxa"/>
            <w:tcBorders>
              <w:bottom w:val="nil"/>
            </w:tcBorders>
          </w:tcPr>
          <w:p w14:paraId="6EC474E1" w14:textId="77777777" w:rsidR="0023247E" w:rsidRPr="002772B7" w:rsidRDefault="0023247E" w:rsidP="001B1AD0">
            <w:pPr>
              <w:spacing w:after="0" w:line="240" w:lineRule="auto"/>
              <w:jc w:val="center"/>
              <w:rPr>
                <w:sz w:val="20"/>
                <w:szCs w:val="20"/>
              </w:rPr>
            </w:pPr>
          </w:p>
        </w:tc>
        <w:tc>
          <w:tcPr>
            <w:tcW w:w="708" w:type="dxa"/>
            <w:tcBorders>
              <w:bottom w:val="nil"/>
            </w:tcBorders>
          </w:tcPr>
          <w:p w14:paraId="01C4C3BE" w14:textId="77777777" w:rsidR="0023247E" w:rsidRPr="002772B7" w:rsidRDefault="0023247E" w:rsidP="001B1AD0">
            <w:pPr>
              <w:spacing w:after="0" w:line="240" w:lineRule="auto"/>
              <w:jc w:val="center"/>
              <w:rPr>
                <w:sz w:val="20"/>
                <w:szCs w:val="20"/>
              </w:rPr>
            </w:pPr>
          </w:p>
        </w:tc>
        <w:tc>
          <w:tcPr>
            <w:tcW w:w="283" w:type="dxa"/>
            <w:tcBorders>
              <w:bottom w:val="nil"/>
            </w:tcBorders>
          </w:tcPr>
          <w:p w14:paraId="749607FE" w14:textId="77777777" w:rsidR="0023247E" w:rsidRPr="002772B7" w:rsidRDefault="0023247E" w:rsidP="001B1AD0">
            <w:pPr>
              <w:spacing w:after="0" w:line="240" w:lineRule="auto"/>
              <w:jc w:val="center"/>
              <w:rPr>
                <w:sz w:val="20"/>
                <w:szCs w:val="20"/>
              </w:rPr>
            </w:pPr>
          </w:p>
        </w:tc>
        <w:tc>
          <w:tcPr>
            <w:tcW w:w="1560" w:type="dxa"/>
            <w:tcBorders>
              <w:bottom w:val="nil"/>
            </w:tcBorders>
          </w:tcPr>
          <w:p w14:paraId="3ABD8F6A" w14:textId="77777777" w:rsidR="0023247E" w:rsidRPr="002772B7" w:rsidRDefault="0023247E" w:rsidP="001B1AD0">
            <w:pPr>
              <w:spacing w:after="0" w:line="240" w:lineRule="auto"/>
              <w:jc w:val="center"/>
              <w:rPr>
                <w:sz w:val="20"/>
                <w:szCs w:val="20"/>
              </w:rPr>
            </w:pPr>
          </w:p>
        </w:tc>
        <w:tc>
          <w:tcPr>
            <w:tcW w:w="708" w:type="dxa"/>
            <w:tcBorders>
              <w:bottom w:val="nil"/>
            </w:tcBorders>
          </w:tcPr>
          <w:p w14:paraId="1533B4E5" w14:textId="77777777" w:rsidR="0023247E" w:rsidRPr="002772B7" w:rsidRDefault="0023247E" w:rsidP="001B1AD0">
            <w:pPr>
              <w:spacing w:after="0" w:line="240" w:lineRule="auto"/>
              <w:jc w:val="center"/>
              <w:rPr>
                <w:sz w:val="20"/>
                <w:szCs w:val="20"/>
              </w:rPr>
            </w:pPr>
          </w:p>
        </w:tc>
        <w:tc>
          <w:tcPr>
            <w:tcW w:w="236" w:type="dxa"/>
            <w:tcBorders>
              <w:bottom w:val="nil"/>
            </w:tcBorders>
          </w:tcPr>
          <w:p w14:paraId="7BAF716E" w14:textId="77777777" w:rsidR="0023247E" w:rsidRPr="002772B7" w:rsidRDefault="0023247E" w:rsidP="001B1AD0">
            <w:pPr>
              <w:spacing w:after="0" w:line="240" w:lineRule="auto"/>
              <w:jc w:val="center"/>
              <w:rPr>
                <w:sz w:val="20"/>
                <w:szCs w:val="20"/>
              </w:rPr>
            </w:pPr>
          </w:p>
        </w:tc>
        <w:tc>
          <w:tcPr>
            <w:tcW w:w="1560" w:type="dxa"/>
            <w:tcBorders>
              <w:bottom w:val="nil"/>
            </w:tcBorders>
          </w:tcPr>
          <w:p w14:paraId="149F8AAA" w14:textId="77777777" w:rsidR="0023247E" w:rsidRPr="002772B7" w:rsidRDefault="0023247E" w:rsidP="001B1AD0">
            <w:pPr>
              <w:spacing w:after="0" w:line="240" w:lineRule="auto"/>
              <w:jc w:val="center"/>
              <w:rPr>
                <w:sz w:val="20"/>
                <w:szCs w:val="20"/>
              </w:rPr>
            </w:pPr>
          </w:p>
        </w:tc>
        <w:tc>
          <w:tcPr>
            <w:tcW w:w="852" w:type="dxa"/>
            <w:tcBorders>
              <w:bottom w:val="nil"/>
            </w:tcBorders>
          </w:tcPr>
          <w:p w14:paraId="47975F6B" w14:textId="77777777" w:rsidR="0023247E" w:rsidRPr="002772B7" w:rsidRDefault="0023247E" w:rsidP="001B1AD0">
            <w:pPr>
              <w:spacing w:after="0" w:line="240" w:lineRule="auto"/>
              <w:jc w:val="center"/>
              <w:rPr>
                <w:sz w:val="20"/>
                <w:szCs w:val="20"/>
              </w:rPr>
            </w:pPr>
          </w:p>
        </w:tc>
      </w:tr>
      <w:tr w:rsidR="0023247E" w:rsidRPr="002772B7" w14:paraId="6E4E57D0" w14:textId="77777777" w:rsidTr="0023247E">
        <w:tc>
          <w:tcPr>
            <w:tcW w:w="276" w:type="dxa"/>
            <w:tcBorders>
              <w:top w:val="nil"/>
              <w:bottom w:val="nil"/>
            </w:tcBorders>
          </w:tcPr>
          <w:p w14:paraId="164E675F" w14:textId="77777777" w:rsidR="0023247E" w:rsidRPr="002772B7" w:rsidRDefault="0023247E" w:rsidP="001B1AD0">
            <w:pPr>
              <w:spacing w:after="0" w:line="240" w:lineRule="auto"/>
              <w:rPr>
                <w:sz w:val="20"/>
                <w:szCs w:val="20"/>
              </w:rPr>
            </w:pPr>
          </w:p>
        </w:tc>
        <w:tc>
          <w:tcPr>
            <w:tcW w:w="2131" w:type="dxa"/>
            <w:tcBorders>
              <w:top w:val="nil"/>
            </w:tcBorders>
            <w:vAlign w:val="center"/>
          </w:tcPr>
          <w:p w14:paraId="58E05392" w14:textId="77777777" w:rsidR="0023247E" w:rsidRPr="002772B7" w:rsidRDefault="002F3C80" w:rsidP="001B1AD0">
            <w:pPr>
              <w:spacing w:after="0" w:line="240" w:lineRule="auto"/>
              <w:rPr>
                <w:sz w:val="20"/>
                <w:szCs w:val="20"/>
              </w:rPr>
            </w:pPr>
            <w:r>
              <w:rPr>
                <w:sz w:val="20"/>
                <w:szCs w:val="20"/>
              </w:rPr>
              <w:t>6-8</w:t>
            </w:r>
          </w:p>
        </w:tc>
        <w:tc>
          <w:tcPr>
            <w:tcW w:w="1560" w:type="dxa"/>
            <w:tcBorders>
              <w:top w:val="nil"/>
            </w:tcBorders>
          </w:tcPr>
          <w:p w14:paraId="30F2DA63" w14:textId="77777777" w:rsidR="0023247E" w:rsidRPr="002772B7" w:rsidRDefault="0023247E" w:rsidP="001B1AD0">
            <w:pPr>
              <w:spacing w:after="0" w:line="240" w:lineRule="auto"/>
              <w:jc w:val="center"/>
              <w:rPr>
                <w:sz w:val="20"/>
                <w:szCs w:val="20"/>
              </w:rPr>
            </w:pPr>
            <w:r>
              <w:rPr>
                <w:sz w:val="20"/>
                <w:szCs w:val="20"/>
              </w:rPr>
              <w:t>1.00</w:t>
            </w:r>
          </w:p>
        </w:tc>
        <w:tc>
          <w:tcPr>
            <w:tcW w:w="710" w:type="dxa"/>
            <w:tcBorders>
              <w:top w:val="nil"/>
            </w:tcBorders>
          </w:tcPr>
          <w:p w14:paraId="6FB0D357" w14:textId="77777777" w:rsidR="0023247E" w:rsidRDefault="0023247E" w:rsidP="001B1AD0">
            <w:pPr>
              <w:spacing w:after="0" w:line="240" w:lineRule="auto"/>
              <w:jc w:val="center"/>
              <w:rPr>
                <w:sz w:val="20"/>
                <w:szCs w:val="20"/>
              </w:rPr>
            </w:pPr>
          </w:p>
        </w:tc>
        <w:tc>
          <w:tcPr>
            <w:tcW w:w="236" w:type="dxa"/>
            <w:tcBorders>
              <w:top w:val="nil"/>
            </w:tcBorders>
          </w:tcPr>
          <w:p w14:paraId="6DA8A677" w14:textId="77777777" w:rsidR="0023247E" w:rsidRDefault="0023247E" w:rsidP="001B1AD0">
            <w:pPr>
              <w:spacing w:after="0" w:line="240" w:lineRule="auto"/>
              <w:jc w:val="center"/>
              <w:rPr>
                <w:sz w:val="20"/>
                <w:szCs w:val="20"/>
              </w:rPr>
            </w:pPr>
          </w:p>
        </w:tc>
        <w:tc>
          <w:tcPr>
            <w:tcW w:w="1560" w:type="dxa"/>
            <w:tcBorders>
              <w:top w:val="nil"/>
            </w:tcBorders>
          </w:tcPr>
          <w:p w14:paraId="7A0718CA" w14:textId="77777777" w:rsidR="0023247E" w:rsidRPr="002772B7" w:rsidRDefault="0023247E" w:rsidP="001B1AD0">
            <w:pPr>
              <w:spacing w:after="0" w:line="240" w:lineRule="auto"/>
              <w:jc w:val="center"/>
              <w:rPr>
                <w:sz w:val="20"/>
                <w:szCs w:val="20"/>
              </w:rPr>
            </w:pPr>
            <w:r>
              <w:rPr>
                <w:sz w:val="20"/>
                <w:szCs w:val="20"/>
              </w:rPr>
              <w:t>1.00</w:t>
            </w:r>
          </w:p>
        </w:tc>
        <w:tc>
          <w:tcPr>
            <w:tcW w:w="708" w:type="dxa"/>
            <w:tcBorders>
              <w:top w:val="nil"/>
            </w:tcBorders>
          </w:tcPr>
          <w:p w14:paraId="7D4EFD6F" w14:textId="77777777" w:rsidR="0023247E" w:rsidRPr="002772B7" w:rsidRDefault="0023247E" w:rsidP="001B1AD0">
            <w:pPr>
              <w:spacing w:after="0" w:line="240" w:lineRule="auto"/>
              <w:jc w:val="center"/>
              <w:rPr>
                <w:sz w:val="20"/>
                <w:szCs w:val="20"/>
              </w:rPr>
            </w:pPr>
          </w:p>
        </w:tc>
        <w:tc>
          <w:tcPr>
            <w:tcW w:w="283" w:type="dxa"/>
            <w:tcBorders>
              <w:top w:val="nil"/>
            </w:tcBorders>
          </w:tcPr>
          <w:p w14:paraId="5A5D757F" w14:textId="77777777" w:rsidR="0023247E" w:rsidRPr="002772B7" w:rsidRDefault="0023247E" w:rsidP="001B1AD0">
            <w:pPr>
              <w:spacing w:after="0" w:line="240" w:lineRule="auto"/>
              <w:jc w:val="center"/>
              <w:rPr>
                <w:sz w:val="20"/>
                <w:szCs w:val="20"/>
              </w:rPr>
            </w:pPr>
          </w:p>
        </w:tc>
        <w:tc>
          <w:tcPr>
            <w:tcW w:w="1560" w:type="dxa"/>
            <w:tcBorders>
              <w:top w:val="nil"/>
            </w:tcBorders>
          </w:tcPr>
          <w:p w14:paraId="4E7171D0" w14:textId="77777777" w:rsidR="0023247E" w:rsidRPr="002772B7" w:rsidRDefault="0023247E" w:rsidP="001B1AD0">
            <w:pPr>
              <w:spacing w:after="0" w:line="240" w:lineRule="auto"/>
              <w:jc w:val="center"/>
              <w:rPr>
                <w:sz w:val="20"/>
                <w:szCs w:val="20"/>
              </w:rPr>
            </w:pPr>
            <w:r>
              <w:rPr>
                <w:sz w:val="20"/>
                <w:szCs w:val="20"/>
              </w:rPr>
              <w:t>1.00</w:t>
            </w:r>
          </w:p>
        </w:tc>
        <w:tc>
          <w:tcPr>
            <w:tcW w:w="708" w:type="dxa"/>
            <w:tcBorders>
              <w:top w:val="nil"/>
            </w:tcBorders>
          </w:tcPr>
          <w:p w14:paraId="712808E2" w14:textId="77777777" w:rsidR="0023247E" w:rsidRDefault="0023247E" w:rsidP="001B1AD0">
            <w:pPr>
              <w:spacing w:after="0" w:line="240" w:lineRule="auto"/>
              <w:jc w:val="center"/>
              <w:rPr>
                <w:sz w:val="20"/>
                <w:szCs w:val="20"/>
              </w:rPr>
            </w:pPr>
          </w:p>
        </w:tc>
        <w:tc>
          <w:tcPr>
            <w:tcW w:w="236" w:type="dxa"/>
            <w:tcBorders>
              <w:top w:val="nil"/>
            </w:tcBorders>
          </w:tcPr>
          <w:p w14:paraId="27E9BB84" w14:textId="77777777" w:rsidR="0023247E" w:rsidRDefault="0023247E" w:rsidP="001B1AD0">
            <w:pPr>
              <w:spacing w:after="0" w:line="240" w:lineRule="auto"/>
              <w:jc w:val="center"/>
              <w:rPr>
                <w:sz w:val="20"/>
                <w:szCs w:val="20"/>
              </w:rPr>
            </w:pPr>
          </w:p>
        </w:tc>
        <w:tc>
          <w:tcPr>
            <w:tcW w:w="1560" w:type="dxa"/>
            <w:tcBorders>
              <w:top w:val="nil"/>
            </w:tcBorders>
          </w:tcPr>
          <w:p w14:paraId="4CCB82B5" w14:textId="77777777" w:rsidR="0023247E" w:rsidRPr="002772B7" w:rsidRDefault="0023247E" w:rsidP="001B1AD0">
            <w:pPr>
              <w:spacing w:after="0" w:line="240" w:lineRule="auto"/>
              <w:jc w:val="center"/>
              <w:rPr>
                <w:sz w:val="20"/>
                <w:szCs w:val="20"/>
              </w:rPr>
            </w:pPr>
            <w:r>
              <w:rPr>
                <w:sz w:val="20"/>
                <w:szCs w:val="20"/>
              </w:rPr>
              <w:t>1.00</w:t>
            </w:r>
          </w:p>
        </w:tc>
        <w:tc>
          <w:tcPr>
            <w:tcW w:w="852" w:type="dxa"/>
            <w:tcBorders>
              <w:top w:val="nil"/>
            </w:tcBorders>
          </w:tcPr>
          <w:p w14:paraId="366225BB" w14:textId="77777777" w:rsidR="0023247E" w:rsidRDefault="0023247E" w:rsidP="001B1AD0">
            <w:pPr>
              <w:spacing w:after="0" w:line="240" w:lineRule="auto"/>
              <w:jc w:val="center"/>
              <w:rPr>
                <w:sz w:val="20"/>
                <w:szCs w:val="20"/>
              </w:rPr>
            </w:pPr>
          </w:p>
        </w:tc>
      </w:tr>
      <w:tr w:rsidR="0023247E" w:rsidRPr="002772B7" w14:paraId="76752489" w14:textId="77777777" w:rsidTr="0023247E">
        <w:tc>
          <w:tcPr>
            <w:tcW w:w="276" w:type="dxa"/>
            <w:tcBorders>
              <w:top w:val="nil"/>
              <w:bottom w:val="nil"/>
            </w:tcBorders>
          </w:tcPr>
          <w:p w14:paraId="4E8BC172" w14:textId="77777777" w:rsidR="0023247E" w:rsidRPr="002772B7" w:rsidRDefault="0023247E" w:rsidP="001B1AD0">
            <w:pPr>
              <w:spacing w:after="0" w:line="240" w:lineRule="auto"/>
              <w:rPr>
                <w:sz w:val="20"/>
                <w:szCs w:val="20"/>
              </w:rPr>
            </w:pPr>
          </w:p>
        </w:tc>
        <w:tc>
          <w:tcPr>
            <w:tcW w:w="2131" w:type="dxa"/>
            <w:tcBorders>
              <w:top w:val="nil"/>
            </w:tcBorders>
            <w:vAlign w:val="center"/>
          </w:tcPr>
          <w:p w14:paraId="6289080E" w14:textId="77777777" w:rsidR="0023247E" w:rsidRDefault="002F3C80" w:rsidP="001B1AD0">
            <w:pPr>
              <w:spacing w:after="0" w:line="240" w:lineRule="auto"/>
              <w:rPr>
                <w:sz w:val="20"/>
                <w:szCs w:val="20"/>
              </w:rPr>
            </w:pPr>
            <w:r>
              <w:rPr>
                <w:sz w:val="20"/>
                <w:szCs w:val="20"/>
              </w:rPr>
              <w:t>&lt;6</w:t>
            </w:r>
          </w:p>
        </w:tc>
        <w:tc>
          <w:tcPr>
            <w:tcW w:w="1560" w:type="dxa"/>
            <w:tcBorders>
              <w:top w:val="nil"/>
            </w:tcBorders>
          </w:tcPr>
          <w:p w14:paraId="3E06F287" w14:textId="77777777" w:rsidR="0023247E" w:rsidRDefault="006B792B" w:rsidP="001B1AD0">
            <w:pPr>
              <w:spacing w:after="0" w:line="240" w:lineRule="auto"/>
              <w:jc w:val="center"/>
              <w:rPr>
                <w:sz w:val="20"/>
                <w:szCs w:val="20"/>
              </w:rPr>
            </w:pPr>
            <w:r>
              <w:rPr>
                <w:sz w:val="20"/>
                <w:szCs w:val="20"/>
              </w:rPr>
              <w:t>0.90 [0.68-1.20]</w:t>
            </w:r>
          </w:p>
        </w:tc>
        <w:tc>
          <w:tcPr>
            <w:tcW w:w="710" w:type="dxa"/>
            <w:tcBorders>
              <w:top w:val="nil"/>
            </w:tcBorders>
          </w:tcPr>
          <w:p w14:paraId="2B92FF09" w14:textId="77777777" w:rsidR="0023247E" w:rsidRDefault="006B792B" w:rsidP="001B1AD0">
            <w:pPr>
              <w:spacing w:after="0" w:line="240" w:lineRule="auto"/>
              <w:jc w:val="center"/>
              <w:rPr>
                <w:sz w:val="20"/>
                <w:szCs w:val="20"/>
              </w:rPr>
            </w:pPr>
            <w:r>
              <w:rPr>
                <w:sz w:val="20"/>
                <w:szCs w:val="20"/>
              </w:rPr>
              <w:t>0.468</w:t>
            </w:r>
          </w:p>
        </w:tc>
        <w:tc>
          <w:tcPr>
            <w:tcW w:w="236" w:type="dxa"/>
            <w:tcBorders>
              <w:top w:val="nil"/>
            </w:tcBorders>
          </w:tcPr>
          <w:p w14:paraId="414EB584" w14:textId="77777777" w:rsidR="0023247E" w:rsidRDefault="0023247E" w:rsidP="001B1AD0">
            <w:pPr>
              <w:spacing w:after="0" w:line="240" w:lineRule="auto"/>
              <w:jc w:val="center"/>
              <w:rPr>
                <w:sz w:val="20"/>
                <w:szCs w:val="20"/>
              </w:rPr>
            </w:pPr>
          </w:p>
        </w:tc>
        <w:tc>
          <w:tcPr>
            <w:tcW w:w="1560" w:type="dxa"/>
            <w:tcBorders>
              <w:top w:val="nil"/>
            </w:tcBorders>
          </w:tcPr>
          <w:p w14:paraId="03965A1B" w14:textId="77777777" w:rsidR="0023247E" w:rsidRDefault="00BA4C88" w:rsidP="001B1AD0">
            <w:pPr>
              <w:spacing w:after="0" w:line="240" w:lineRule="auto"/>
              <w:jc w:val="center"/>
              <w:rPr>
                <w:sz w:val="20"/>
                <w:szCs w:val="20"/>
              </w:rPr>
            </w:pPr>
            <w:r>
              <w:rPr>
                <w:sz w:val="20"/>
                <w:szCs w:val="20"/>
              </w:rPr>
              <w:t>1.21 [0.81-1.81]</w:t>
            </w:r>
          </w:p>
        </w:tc>
        <w:tc>
          <w:tcPr>
            <w:tcW w:w="708" w:type="dxa"/>
            <w:tcBorders>
              <w:top w:val="nil"/>
            </w:tcBorders>
          </w:tcPr>
          <w:p w14:paraId="3A0B666C" w14:textId="77777777" w:rsidR="0023247E" w:rsidRPr="002772B7" w:rsidRDefault="00BA4C88" w:rsidP="001B1AD0">
            <w:pPr>
              <w:spacing w:after="0" w:line="240" w:lineRule="auto"/>
              <w:jc w:val="center"/>
              <w:rPr>
                <w:sz w:val="20"/>
                <w:szCs w:val="20"/>
              </w:rPr>
            </w:pPr>
            <w:r>
              <w:rPr>
                <w:sz w:val="20"/>
                <w:szCs w:val="20"/>
              </w:rPr>
              <w:t>0.361</w:t>
            </w:r>
          </w:p>
        </w:tc>
        <w:tc>
          <w:tcPr>
            <w:tcW w:w="283" w:type="dxa"/>
            <w:tcBorders>
              <w:top w:val="nil"/>
            </w:tcBorders>
          </w:tcPr>
          <w:p w14:paraId="626501F1" w14:textId="77777777" w:rsidR="0023247E" w:rsidRPr="002772B7" w:rsidRDefault="0023247E" w:rsidP="001B1AD0">
            <w:pPr>
              <w:spacing w:after="0" w:line="240" w:lineRule="auto"/>
              <w:jc w:val="center"/>
              <w:rPr>
                <w:sz w:val="20"/>
                <w:szCs w:val="20"/>
              </w:rPr>
            </w:pPr>
          </w:p>
        </w:tc>
        <w:tc>
          <w:tcPr>
            <w:tcW w:w="1560" w:type="dxa"/>
            <w:tcBorders>
              <w:top w:val="nil"/>
            </w:tcBorders>
          </w:tcPr>
          <w:p w14:paraId="58086A0B" w14:textId="77777777" w:rsidR="0023247E" w:rsidRDefault="00462764" w:rsidP="001B1AD0">
            <w:pPr>
              <w:spacing w:after="0" w:line="240" w:lineRule="auto"/>
              <w:jc w:val="center"/>
              <w:rPr>
                <w:sz w:val="20"/>
                <w:szCs w:val="20"/>
              </w:rPr>
            </w:pPr>
            <w:r>
              <w:rPr>
                <w:sz w:val="20"/>
                <w:szCs w:val="20"/>
              </w:rPr>
              <w:t>0.87 [0.61-1.25]</w:t>
            </w:r>
          </w:p>
        </w:tc>
        <w:tc>
          <w:tcPr>
            <w:tcW w:w="708" w:type="dxa"/>
            <w:tcBorders>
              <w:top w:val="nil"/>
            </w:tcBorders>
          </w:tcPr>
          <w:p w14:paraId="55D90CA0" w14:textId="77777777" w:rsidR="0023247E" w:rsidRDefault="00462764" w:rsidP="001B1AD0">
            <w:pPr>
              <w:spacing w:after="0" w:line="240" w:lineRule="auto"/>
              <w:jc w:val="center"/>
              <w:rPr>
                <w:sz w:val="20"/>
                <w:szCs w:val="20"/>
              </w:rPr>
            </w:pPr>
            <w:r>
              <w:rPr>
                <w:sz w:val="20"/>
                <w:szCs w:val="20"/>
              </w:rPr>
              <w:t>0.461</w:t>
            </w:r>
          </w:p>
        </w:tc>
        <w:tc>
          <w:tcPr>
            <w:tcW w:w="236" w:type="dxa"/>
            <w:tcBorders>
              <w:top w:val="nil"/>
            </w:tcBorders>
          </w:tcPr>
          <w:p w14:paraId="02C62DCC" w14:textId="77777777" w:rsidR="0023247E" w:rsidRDefault="0023247E" w:rsidP="001B1AD0">
            <w:pPr>
              <w:spacing w:after="0" w:line="240" w:lineRule="auto"/>
              <w:jc w:val="center"/>
              <w:rPr>
                <w:sz w:val="20"/>
                <w:szCs w:val="20"/>
              </w:rPr>
            </w:pPr>
          </w:p>
        </w:tc>
        <w:tc>
          <w:tcPr>
            <w:tcW w:w="1560" w:type="dxa"/>
            <w:tcBorders>
              <w:top w:val="nil"/>
            </w:tcBorders>
          </w:tcPr>
          <w:p w14:paraId="07D78C28" w14:textId="77777777" w:rsidR="0023247E" w:rsidRDefault="00F65B02" w:rsidP="001B1AD0">
            <w:pPr>
              <w:spacing w:after="0" w:line="240" w:lineRule="auto"/>
              <w:jc w:val="center"/>
              <w:rPr>
                <w:sz w:val="20"/>
                <w:szCs w:val="20"/>
              </w:rPr>
            </w:pPr>
            <w:r>
              <w:rPr>
                <w:sz w:val="20"/>
                <w:szCs w:val="20"/>
              </w:rPr>
              <w:t>1.33 [0.93-1.91]</w:t>
            </w:r>
          </w:p>
        </w:tc>
        <w:tc>
          <w:tcPr>
            <w:tcW w:w="852" w:type="dxa"/>
            <w:tcBorders>
              <w:top w:val="nil"/>
            </w:tcBorders>
          </w:tcPr>
          <w:p w14:paraId="732891FA" w14:textId="77777777" w:rsidR="0023247E" w:rsidRDefault="00F65B02" w:rsidP="001B1AD0">
            <w:pPr>
              <w:spacing w:after="0" w:line="240" w:lineRule="auto"/>
              <w:jc w:val="center"/>
              <w:rPr>
                <w:sz w:val="20"/>
                <w:szCs w:val="20"/>
              </w:rPr>
            </w:pPr>
            <w:r>
              <w:rPr>
                <w:sz w:val="20"/>
                <w:szCs w:val="20"/>
              </w:rPr>
              <w:t>0.117</w:t>
            </w:r>
          </w:p>
        </w:tc>
      </w:tr>
      <w:tr w:rsidR="0023247E" w:rsidRPr="002772B7" w14:paraId="08B325C4" w14:textId="77777777" w:rsidTr="0023247E">
        <w:tc>
          <w:tcPr>
            <w:tcW w:w="276" w:type="dxa"/>
            <w:tcBorders>
              <w:top w:val="nil"/>
              <w:bottom w:val="nil"/>
            </w:tcBorders>
          </w:tcPr>
          <w:p w14:paraId="07078F17" w14:textId="77777777" w:rsidR="0023247E" w:rsidRPr="002772B7" w:rsidRDefault="0023247E" w:rsidP="001B1AD0">
            <w:pPr>
              <w:spacing w:after="0" w:line="240" w:lineRule="auto"/>
              <w:rPr>
                <w:sz w:val="20"/>
                <w:szCs w:val="20"/>
              </w:rPr>
            </w:pPr>
          </w:p>
        </w:tc>
        <w:tc>
          <w:tcPr>
            <w:tcW w:w="2131" w:type="dxa"/>
            <w:vAlign w:val="center"/>
          </w:tcPr>
          <w:p w14:paraId="48090773" w14:textId="77777777" w:rsidR="0023247E" w:rsidRPr="002772B7" w:rsidRDefault="0023247E" w:rsidP="001B1AD0">
            <w:pPr>
              <w:spacing w:after="0" w:line="240" w:lineRule="auto"/>
              <w:rPr>
                <w:sz w:val="20"/>
                <w:szCs w:val="20"/>
              </w:rPr>
            </w:pPr>
            <w:r>
              <w:rPr>
                <w:sz w:val="20"/>
                <w:szCs w:val="20"/>
              </w:rPr>
              <w:t>&gt;8</w:t>
            </w:r>
          </w:p>
        </w:tc>
        <w:tc>
          <w:tcPr>
            <w:tcW w:w="1560" w:type="dxa"/>
          </w:tcPr>
          <w:p w14:paraId="1D6F930F" w14:textId="77777777" w:rsidR="0023247E" w:rsidRPr="002772B7" w:rsidRDefault="006B792B" w:rsidP="001B1AD0">
            <w:pPr>
              <w:spacing w:after="0" w:line="240" w:lineRule="auto"/>
              <w:jc w:val="center"/>
              <w:rPr>
                <w:sz w:val="20"/>
                <w:szCs w:val="20"/>
              </w:rPr>
            </w:pPr>
            <w:r>
              <w:rPr>
                <w:sz w:val="20"/>
                <w:szCs w:val="20"/>
              </w:rPr>
              <w:t>1.41 [0.97-2.04]</w:t>
            </w:r>
          </w:p>
        </w:tc>
        <w:tc>
          <w:tcPr>
            <w:tcW w:w="710" w:type="dxa"/>
          </w:tcPr>
          <w:p w14:paraId="5C69567A" w14:textId="77777777" w:rsidR="0023247E" w:rsidRPr="002772B7" w:rsidRDefault="006B792B" w:rsidP="001B1AD0">
            <w:pPr>
              <w:spacing w:after="0" w:line="240" w:lineRule="auto"/>
              <w:jc w:val="center"/>
              <w:rPr>
                <w:sz w:val="20"/>
                <w:szCs w:val="20"/>
              </w:rPr>
            </w:pPr>
            <w:r>
              <w:rPr>
                <w:sz w:val="20"/>
                <w:szCs w:val="20"/>
              </w:rPr>
              <w:t>0.071</w:t>
            </w:r>
          </w:p>
        </w:tc>
        <w:tc>
          <w:tcPr>
            <w:tcW w:w="236" w:type="dxa"/>
          </w:tcPr>
          <w:p w14:paraId="502770B8" w14:textId="77777777" w:rsidR="0023247E" w:rsidRDefault="0023247E" w:rsidP="001B1AD0">
            <w:pPr>
              <w:spacing w:after="0" w:line="240" w:lineRule="auto"/>
              <w:jc w:val="center"/>
              <w:rPr>
                <w:sz w:val="20"/>
                <w:szCs w:val="20"/>
              </w:rPr>
            </w:pPr>
          </w:p>
        </w:tc>
        <w:tc>
          <w:tcPr>
            <w:tcW w:w="1560" w:type="dxa"/>
          </w:tcPr>
          <w:p w14:paraId="141C19FD" w14:textId="77777777" w:rsidR="0023247E" w:rsidRPr="002772B7" w:rsidRDefault="00BA4C88" w:rsidP="001B1AD0">
            <w:pPr>
              <w:spacing w:after="0" w:line="240" w:lineRule="auto"/>
              <w:jc w:val="center"/>
              <w:rPr>
                <w:sz w:val="20"/>
                <w:szCs w:val="20"/>
              </w:rPr>
            </w:pPr>
            <w:r>
              <w:rPr>
                <w:sz w:val="20"/>
                <w:szCs w:val="20"/>
              </w:rPr>
              <w:t>1.75 [1.04-2.95]</w:t>
            </w:r>
          </w:p>
        </w:tc>
        <w:tc>
          <w:tcPr>
            <w:tcW w:w="708" w:type="dxa"/>
          </w:tcPr>
          <w:p w14:paraId="151DBBE8" w14:textId="77777777" w:rsidR="0023247E" w:rsidRPr="002772B7" w:rsidRDefault="00BA4C88" w:rsidP="001B1AD0">
            <w:pPr>
              <w:spacing w:after="0" w:line="240" w:lineRule="auto"/>
              <w:jc w:val="center"/>
              <w:rPr>
                <w:sz w:val="20"/>
                <w:szCs w:val="20"/>
              </w:rPr>
            </w:pPr>
            <w:r>
              <w:rPr>
                <w:sz w:val="20"/>
                <w:szCs w:val="20"/>
              </w:rPr>
              <w:t>0.036</w:t>
            </w:r>
          </w:p>
        </w:tc>
        <w:tc>
          <w:tcPr>
            <w:tcW w:w="283" w:type="dxa"/>
          </w:tcPr>
          <w:p w14:paraId="30BE6137" w14:textId="77777777" w:rsidR="0023247E" w:rsidRPr="002772B7" w:rsidRDefault="0023247E" w:rsidP="001B1AD0">
            <w:pPr>
              <w:spacing w:after="0" w:line="240" w:lineRule="auto"/>
              <w:jc w:val="center"/>
              <w:rPr>
                <w:sz w:val="20"/>
                <w:szCs w:val="20"/>
              </w:rPr>
            </w:pPr>
          </w:p>
        </w:tc>
        <w:tc>
          <w:tcPr>
            <w:tcW w:w="1560" w:type="dxa"/>
          </w:tcPr>
          <w:p w14:paraId="12A43BB9" w14:textId="77777777" w:rsidR="0023247E" w:rsidRPr="002772B7" w:rsidRDefault="00462764" w:rsidP="001B1AD0">
            <w:pPr>
              <w:spacing w:after="0" w:line="240" w:lineRule="auto"/>
              <w:jc w:val="center"/>
              <w:rPr>
                <w:sz w:val="20"/>
                <w:szCs w:val="20"/>
              </w:rPr>
            </w:pPr>
            <w:r>
              <w:rPr>
                <w:sz w:val="20"/>
                <w:szCs w:val="20"/>
              </w:rPr>
              <w:t>1.13 [0.71-1.80]</w:t>
            </w:r>
          </w:p>
        </w:tc>
        <w:tc>
          <w:tcPr>
            <w:tcW w:w="708" w:type="dxa"/>
          </w:tcPr>
          <w:p w14:paraId="4193D949" w14:textId="77777777" w:rsidR="0023247E" w:rsidRPr="002772B7" w:rsidRDefault="00462764" w:rsidP="001B1AD0">
            <w:pPr>
              <w:spacing w:after="0" w:line="240" w:lineRule="auto"/>
              <w:jc w:val="center"/>
              <w:rPr>
                <w:sz w:val="20"/>
                <w:szCs w:val="20"/>
              </w:rPr>
            </w:pPr>
            <w:r>
              <w:rPr>
                <w:sz w:val="20"/>
                <w:szCs w:val="20"/>
              </w:rPr>
              <w:t>0.603</w:t>
            </w:r>
          </w:p>
        </w:tc>
        <w:tc>
          <w:tcPr>
            <w:tcW w:w="236" w:type="dxa"/>
          </w:tcPr>
          <w:p w14:paraId="60039E62" w14:textId="77777777" w:rsidR="0023247E" w:rsidRDefault="0023247E" w:rsidP="001B1AD0">
            <w:pPr>
              <w:spacing w:after="0" w:line="240" w:lineRule="auto"/>
              <w:jc w:val="center"/>
              <w:rPr>
                <w:sz w:val="20"/>
                <w:szCs w:val="20"/>
              </w:rPr>
            </w:pPr>
          </w:p>
        </w:tc>
        <w:tc>
          <w:tcPr>
            <w:tcW w:w="1560" w:type="dxa"/>
          </w:tcPr>
          <w:p w14:paraId="05DFFFC7" w14:textId="77777777" w:rsidR="0023247E" w:rsidRPr="002772B7" w:rsidRDefault="00F65B02" w:rsidP="001B1AD0">
            <w:pPr>
              <w:spacing w:after="0" w:line="240" w:lineRule="auto"/>
              <w:jc w:val="center"/>
              <w:rPr>
                <w:sz w:val="20"/>
                <w:szCs w:val="20"/>
              </w:rPr>
            </w:pPr>
            <w:r>
              <w:rPr>
                <w:sz w:val="20"/>
                <w:szCs w:val="20"/>
              </w:rPr>
              <w:t>0.85 [0.50-1.46]</w:t>
            </w:r>
          </w:p>
        </w:tc>
        <w:tc>
          <w:tcPr>
            <w:tcW w:w="852" w:type="dxa"/>
          </w:tcPr>
          <w:p w14:paraId="7D643787" w14:textId="77777777" w:rsidR="0023247E" w:rsidRPr="002772B7" w:rsidRDefault="00F65B02" w:rsidP="001B1AD0">
            <w:pPr>
              <w:spacing w:after="0" w:line="240" w:lineRule="auto"/>
              <w:jc w:val="center"/>
              <w:rPr>
                <w:sz w:val="20"/>
                <w:szCs w:val="20"/>
              </w:rPr>
            </w:pPr>
            <w:r>
              <w:rPr>
                <w:sz w:val="20"/>
                <w:szCs w:val="20"/>
              </w:rPr>
              <w:t>0.560</w:t>
            </w:r>
          </w:p>
        </w:tc>
      </w:tr>
      <w:tr w:rsidR="0023247E" w:rsidRPr="002772B7" w14:paraId="75EA2C27" w14:textId="77777777" w:rsidTr="0023247E">
        <w:tc>
          <w:tcPr>
            <w:tcW w:w="12380" w:type="dxa"/>
            <w:gridSpan w:val="13"/>
            <w:tcBorders>
              <w:top w:val="single" w:sz="4" w:space="0" w:color="auto"/>
              <w:bottom w:val="nil"/>
            </w:tcBorders>
          </w:tcPr>
          <w:p w14:paraId="5BBC7D15" w14:textId="77777777" w:rsidR="0023247E" w:rsidRPr="004E3654" w:rsidRDefault="0023247E" w:rsidP="001B1AD0">
            <w:pPr>
              <w:spacing w:after="0" w:line="240" w:lineRule="auto"/>
              <w:rPr>
                <w:rFonts w:cs="Arial"/>
                <w:sz w:val="20"/>
                <w:szCs w:val="20"/>
                <w:lang w:val="en-US"/>
              </w:rPr>
            </w:pPr>
            <w:r>
              <w:rPr>
                <w:rFonts w:cs="Arial"/>
                <w:sz w:val="20"/>
                <w:szCs w:val="20"/>
                <w:lang w:val="en-US"/>
              </w:rPr>
              <w:t>OR = odds ratio; CI = confidence interval.</w:t>
            </w:r>
          </w:p>
          <w:p w14:paraId="69178743" w14:textId="77777777" w:rsidR="0023247E" w:rsidRDefault="0023247E" w:rsidP="001B1AD0">
            <w:pPr>
              <w:spacing w:after="0" w:line="240" w:lineRule="auto"/>
              <w:rPr>
                <w:rFonts w:cs="Arial"/>
                <w:sz w:val="20"/>
                <w:szCs w:val="20"/>
                <w:lang w:val="en-US"/>
              </w:rPr>
            </w:pPr>
            <w:r w:rsidRPr="0093659C">
              <w:rPr>
                <w:rFonts w:cs="Arial"/>
                <w:sz w:val="20"/>
                <w:szCs w:val="20"/>
                <w:lang w:val="en-US"/>
              </w:rPr>
              <w:t xml:space="preserve">All figures are </w:t>
            </w:r>
            <w:r>
              <w:rPr>
                <w:rFonts w:cs="Arial"/>
                <w:sz w:val="20"/>
                <w:szCs w:val="20"/>
                <w:lang w:val="en-US"/>
              </w:rPr>
              <w:t xml:space="preserve">adjusted for </w:t>
            </w:r>
            <w:r w:rsidRPr="00241B91">
              <w:rPr>
                <w:rFonts w:cs="Arial"/>
                <w:sz w:val="20"/>
                <w:szCs w:val="20"/>
                <w:lang w:val="en-US"/>
              </w:rPr>
              <w:t xml:space="preserve">age, ethnicity, </w:t>
            </w:r>
            <w:r>
              <w:rPr>
                <w:rFonts w:cs="Arial"/>
                <w:sz w:val="20"/>
                <w:szCs w:val="20"/>
                <w:lang w:val="en-US"/>
              </w:rPr>
              <w:t>partner</w:t>
            </w:r>
            <w:r w:rsidRPr="00241B91">
              <w:rPr>
                <w:rFonts w:cs="Arial"/>
                <w:sz w:val="20"/>
                <w:szCs w:val="20"/>
                <w:lang w:val="en-US"/>
              </w:rPr>
              <w:t xml:space="preserve"> status, wealth, </w:t>
            </w:r>
            <w:r>
              <w:rPr>
                <w:rFonts w:cs="Arial"/>
                <w:sz w:val="20"/>
                <w:szCs w:val="20"/>
                <w:lang w:val="en-US"/>
              </w:rPr>
              <w:t>s</w:t>
            </w:r>
            <w:r w:rsidRPr="00241B91">
              <w:rPr>
                <w:rFonts w:cs="Arial"/>
                <w:sz w:val="20"/>
                <w:szCs w:val="20"/>
                <w:lang w:val="en-US"/>
              </w:rPr>
              <w:t>moking, alcohol consumption, physical activity, depressive symptoms and limiting long-standing illness</w:t>
            </w:r>
            <w:r>
              <w:rPr>
                <w:rFonts w:cs="Arial"/>
                <w:sz w:val="20"/>
                <w:szCs w:val="20"/>
                <w:lang w:val="en-US"/>
              </w:rPr>
              <w:t xml:space="preserve">, and </w:t>
            </w:r>
            <w:r w:rsidRPr="0093659C">
              <w:rPr>
                <w:rFonts w:cs="Arial"/>
                <w:sz w:val="20"/>
                <w:szCs w:val="20"/>
                <w:lang w:val="en-US"/>
              </w:rPr>
              <w:t>weighted for sampling probabilities and differential non-response.</w:t>
            </w:r>
          </w:p>
          <w:p w14:paraId="46AD001D" w14:textId="77777777" w:rsidR="0023247E" w:rsidRDefault="0023247E" w:rsidP="001B1AD0">
            <w:pPr>
              <w:spacing w:after="0" w:line="240" w:lineRule="auto"/>
              <w:rPr>
                <w:rFonts w:cs="Arial"/>
                <w:sz w:val="20"/>
                <w:szCs w:val="20"/>
                <w:lang w:val="en-US"/>
              </w:rPr>
            </w:pPr>
          </w:p>
        </w:tc>
      </w:tr>
    </w:tbl>
    <w:p w14:paraId="50E5D609" w14:textId="0E675D72" w:rsidR="00C11262" w:rsidRDefault="00C11262">
      <w:pPr>
        <w:spacing w:after="160" w:line="259" w:lineRule="auto"/>
        <w:rPr>
          <w:b/>
        </w:rPr>
      </w:pPr>
    </w:p>
    <w:sectPr w:rsidR="00C11262" w:rsidSect="00FF6C6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C9094E"/>
    <w:rsid w:val="00005515"/>
    <w:rsid w:val="00013540"/>
    <w:rsid w:val="000143E9"/>
    <w:rsid w:val="000356A8"/>
    <w:rsid w:val="00044260"/>
    <w:rsid w:val="00044A4C"/>
    <w:rsid w:val="00046F0F"/>
    <w:rsid w:val="00047473"/>
    <w:rsid w:val="00053F11"/>
    <w:rsid w:val="000546A8"/>
    <w:rsid w:val="000567D4"/>
    <w:rsid w:val="00057BE3"/>
    <w:rsid w:val="0006581F"/>
    <w:rsid w:val="00067A2E"/>
    <w:rsid w:val="000706C4"/>
    <w:rsid w:val="00070E1E"/>
    <w:rsid w:val="0007492E"/>
    <w:rsid w:val="000833F5"/>
    <w:rsid w:val="00087420"/>
    <w:rsid w:val="000A4FB9"/>
    <w:rsid w:val="000B0764"/>
    <w:rsid w:val="000B4569"/>
    <w:rsid w:val="000B66C2"/>
    <w:rsid w:val="000B68E3"/>
    <w:rsid w:val="000C4DCC"/>
    <w:rsid w:val="000C5A0E"/>
    <w:rsid w:val="000D36DE"/>
    <w:rsid w:val="000D57BC"/>
    <w:rsid w:val="000D7AC3"/>
    <w:rsid w:val="000E486B"/>
    <w:rsid w:val="000E7B6C"/>
    <w:rsid w:val="000F0854"/>
    <w:rsid w:val="000F6297"/>
    <w:rsid w:val="000F7A30"/>
    <w:rsid w:val="000F7C8D"/>
    <w:rsid w:val="001007CF"/>
    <w:rsid w:val="00101306"/>
    <w:rsid w:val="00103095"/>
    <w:rsid w:val="001040E0"/>
    <w:rsid w:val="00105BB5"/>
    <w:rsid w:val="00106BD1"/>
    <w:rsid w:val="0011502A"/>
    <w:rsid w:val="00125604"/>
    <w:rsid w:val="001265A1"/>
    <w:rsid w:val="00132854"/>
    <w:rsid w:val="00141F3F"/>
    <w:rsid w:val="00143338"/>
    <w:rsid w:val="001453EB"/>
    <w:rsid w:val="001461A3"/>
    <w:rsid w:val="00165AF9"/>
    <w:rsid w:val="0018237F"/>
    <w:rsid w:val="00185235"/>
    <w:rsid w:val="00185CA3"/>
    <w:rsid w:val="00185E6D"/>
    <w:rsid w:val="00185FE0"/>
    <w:rsid w:val="00193500"/>
    <w:rsid w:val="0019644C"/>
    <w:rsid w:val="001A1036"/>
    <w:rsid w:val="001A120E"/>
    <w:rsid w:val="001A5FCF"/>
    <w:rsid w:val="001B1AD0"/>
    <w:rsid w:val="001B4ACF"/>
    <w:rsid w:val="001B647B"/>
    <w:rsid w:val="001C12BE"/>
    <w:rsid w:val="001C68BB"/>
    <w:rsid w:val="001C7C82"/>
    <w:rsid w:val="001D19B6"/>
    <w:rsid w:val="001D2827"/>
    <w:rsid w:val="001D4AA8"/>
    <w:rsid w:val="001D5B83"/>
    <w:rsid w:val="001D631D"/>
    <w:rsid w:val="001D71DD"/>
    <w:rsid w:val="001F0DEB"/>
    <w:rsid w:val="001F15EB"/>
    <w:rsid w:val="001F6FAA"/>
    <w:rsid w:val="00200B61"/>
    <w:rsid w:val="00204553"/>
    <w:rsid w:val="002064CA"/>
    <w:rsid w:val="00206C66"/>
    <w:rsid w:val="0020791F"/>
    <w:rsid w:val="00215314"/>
    <w:rsid w:val="00216553"/>
    <w:rsid w:val="00230630"/>
    <w:rsid w:val="00231A44"/>
    <w:rsid w:val="0023247E"/>
    <w:rsid w:val="002345A1"/>
    <w:rsid w:val="00241B91"/>
    <w:rsid w:val="00246988"/>
    <w:rsid w:val="00254FD5"/>
    <w:rsid w:val="00270DB9"/>
    <w:rsid w:val="00277B5F"/>
    <w:rsid w:val="002843D8"/>
    <w:rsid w:val="00293AA4"/>
    <w:rsid w:val="002A05AF"/>
    <w:rsid w:val="002A3991"/>
    <w:rsid w:val="002A6DE8"/>
    <w:rsid w:val="002A768E"/>
    <w:rsid w:val="002B2B56"/>
    <w:rsid w:val="002B3AAE"/>
    <w:rsid w:val="002B570C"/>
    <w:rsid w:val="002B58C7"/>
    <w:rsid w:val="002B6F5E"/>
    <w:rsid w:val="002C0CEA"/>
    <w:rsid w:val="002C3FD0"/>
    <w:rsid w:val="002C669A"/>
    <w:rsid w:val="002C7910"/>
    <w:rsid w:val="002D1479"/>
    <w:rsid w:val="002D154D"/>
    <w:rsid w:val="002D7CDB"/>
    <w:rsid w:val="002E0C11"/>
    <w:rsid w:val="002E1666"/>
    <w:rsid w:val="002E44C0"/>
    <w:rsid w:val="002E6138"/>
    <w:rsid w:val="002E66D0"/>
    <w:rsid w:val="002F1AA1"/>
    <w:rsid w:val="002F3C80"/>
    <w:rsid w:val="002F4079"/>
    <w:rsid w:val="002F5E0B"/>
    <w:rsid w:val="002F721B"/>
    <w:rsid w:val="002F78AA"/>
    <w:rsid w:val="002F7ABF"/>
    <w:rsid w:val="0030021F"/>
    <w:rsid w:val="00303533"/>
    <w:rsid w:val="0030555D"/>
    <w:rsid w:val="00307AEB"/>
    <w:rsid w:val="00310AA1"/>
    <w:rsid w:val="0031251F"/>
    <w:rsid w:val="003147D9"/>
    <w:rsid w:val="0031661A"/>
    <w:rsid w:val="00317A07"/>
    <w:rsid w:val="003254E1"/>
    <w:rsid w:val="0032799C"/>
    <w:rsid w:val="00334ED6"/>
    <w:rsid w:val="00336F28"/>
    <w:rsid w:val="00342CBA"/>
    <w:rsid w:val="0034648F"/>
    <w:rsid w:val="00350CB7"/>
    <w:rsid w:val="00352159"/>
    <w:rsid w:val="00354722"/>
    <w:rsid w:val="00355185"/>
    <w:rsid w:val="00366232"/>
    <w:rsid w:val="0037467A"/>
    <w:rsid w:val="00376409"/>
    <w:rsid w:val="003778B0"/>
    <w:rsid w:val="003843E8"/>
    <w:rsid w:val="00384CC6"/>
    <w:rsid w:val="00390242"/>
    <w:rsid w:val="003A1005"/>
    <w:rsid w:val="003A5705"/>
    <w:rsid w:val="003B2B1C"/>
    <w:rsid w:val="003B2C60"/>
    <w:rsid w:val="003B2F8F"/>
    <w:rsid w:val="003B3E65"/>
    <w:rsid w:val="003B6747"/>
    <w:rsid w:val="003C642D"/>
    <w:rsid w:val="003D195F"/>
    <w:rsid w:val="003D1C3B"/>
    <w:rsid w:val="003D26E3"/>
    <w:rsid w:val="003D34BC"/>
    <w:rsid w:val="003D3512"/>
    <w:rsid w:val="003D5ED5"/>
    <w:rsid w:val="003F0398"/>
    <w:rsid w:val="003F11EE"/>
    <w:rsid w:val="003F298A"/>
    <w:rsid w:val="003F6F97"/>
    <w:rsid w:val="004023D6"/>
    <w:rsid w:val="00402EB4"/>
    <w:rsid w:val="00406019"/>
    <w:rsid w:val="00410741"/>
    <w:rsid w:val="00411FA1"/>
    <w:rsid w:val="00424934"/>
    <w:rsid w:val="00431AB8"/>
    <w:rsid w:val="00431BDE"/>
    <w:rsid w:val="0043401B"/>
    <w:rsid w:val="004361B8"/>
    <w:rsid w:val="00436FE0"/>
    <w:rsid w:val="0043785B"/>
    <w:rsid w:val="00440C12"/>
    <w:rsid w:val="004453CC"/>
    <w:rsid w:val="00445A09"/>
    <w:rsid w:val="00445BF5"/>
    <w:rsid w:val="00452FD1"/>
    <w:rsid w:val="004535D3"/>
    <w:rsid w:val="00454200"/>
    <w:rsid w:val="00456B50"/>
    <w:rsid w:val="00456E99"/>
    <w:rsid w:val="004622EF"/>
    <w:rsid w:val="00462764"/>
    <w:rsid w:val="00463E8C"/>
    <w:rsid w:val="004649C3"/>
    <w:rsid w:val="00464C27"/>
    <w:rsid w:val="00466C4D"/>
    <w:rsid w:val="00474FA7"/>
    <w:rsid w:val="004802BA"/>
    <w:rsid w:val="00486CCD"/>
    <w:rsid w:val="00493E72"/>
    <w:rsid w:val="0049498E"/>
    <w:rsid w:val="00495243"/>
    <w:rsid w:val="004960E3"/>
    <w:rsid w:val="00497132"/>
    <w:rsid w:val="004A02FE"/>
    <w:rsid w:val="004B1E57"/>
    <w:rsid w:val="004B5827"/>
    <w:rsid w:val="004C12F1"/>
    <w:rsid w:val="004C2605"/>
    <w:rsid w:val="004C6A62"/>
    <w:rsid w:val="004E34E7"/>
    <w:rsid w:val="004E4763"/>
    <w:rsid w:val="00507B9C"/>
    <w:rsid w:val="00507E18"/>
    <w:rsid w:val="005171BD"/>
    <w:rsid w:val="00526FC4"/>
    <w:rsid w:val="00527B8A"/>
    <w:rsid w:val="00533316"/>
    <w:rsid w:val="005402A7"/>
    <w:rsid w:val="00547178"/>
    <w:rsid w:val="0055450C"/>
    <w:rsid w:val="0056434C"/>
    <w:rsid w:val="005662B2"/>
    <w:rsid w:val="005756F4"/>
    <w:rsid w:val="0057676B"/>
    <w:rsid w:val="005A648D"/>
    <w:rsid w:val="005B4FC4"/>
    <w:rsid w:val="005C4EA0"/>
    <w:rsid w:val="005D56B8"/>
    <w:rsid w:val="005D764C"/>
    <w:rsid w:val="005D7F20"/>
    <w:rsid w:val="005F0156"/>
    <w:rsid w:val="005F1E58"/>
    <w:rsid w:val="005F3975"/>
    <w:rsid w:val="005F3F30"/>
    <w:rsid w:val="005F4192"/>
    <w:rsid w:val="005F6D52"/>
    <w:rsid w:val="0060169C"/>
    <w:rsid w:val="00607FD8"/>
    <w:rsid w:val="006128C1"/>
    <w:rsid w:val="00616C2D"/>
    <w:rsid w:val="00616CC7"/>
    <w:rsid w:val="0062235C"/>
    <w:rsid w:val="0062456F"/>
    <w:rsid w:val="00627DEC"/>
    <w:rsid w:val="00633891"/>
    <w:rsid w:val="00641D7B"/>
    <w:rsid w:val="00642CC8"/>
    <w:rsid w:val="00654A7C"/>
    <w:rsid w:val="0065519F"/>
    <w:rsid w:val="00655259"/>
    <w:rsid w:val="00660804"/>
    <w:rsid w:val="0066140A"/>
    <w:rsid w:val="00664EBB"/>
    <w:rsid w:val="00665C2F"/>
    <w:rsid w:val="00666CF2"/>
    <w:rsid w:val="00676CBA"/>
    <w:rsid w:val="00693CD1"/>
    <w:rsid w:val="006956AC"/>
    <w:rsid w:val="006A14FB"/>
    <w:rsid w:val="006B792B"/>
    <w:rsid w:val="006C2A84"/>
    <w:rsid w:val="006C2E19"/>
    <w:rsid w:val="006C688E"/>
    <w:rsid w:val="006D1E49"/>
    <w:rsid w:val="006D24E2"/>
    <w:rsid w:val="006D6AAB"/>
    <w:rsid w:val="006E0AA2"/>
    <w:rsid w:val="006E55E1"/>
    <w:rsid w:val="006F0D50"/>
    <w:rsid w:val="006F2BE3"/>
    <w:rsid w:val="006F39F3"/>
    <w:rsid w:val="006F5B87"/>
    <w:rsid w:val="00700AB8"/>
    <w:rsid w:val="00701F71"/>
    <w:rsid w:val="00707698"/>
    <w:rsid w:val="00710A3A"/>
    <w:rsid w:val="007114D5"/>
    <w:rsid w:val="00711D17"/>
    <w:rsid w:val="00724708"/>
    <w:rsid w:val="00725E20"/>
    <w:rsid w:val="00732849"/>
    <w:rsid w:val="00736100"/>
    <w:rsid w:val="00740D88"/>
    <w:rsid w:val="00741CC3"/>
    <w:rsid w:val="00744441"/>
    <w:rsid w:val="00746481"/>
    <w:rsid w:val="00747131"/>
    <w:rsid w:val="0075387E"/>
    <w:rsid w:val="00755658"/>
    <w:rsid w:val="00755841"/>
    <w:rsid w:val="00757610"/>
    <w:rsid w:val="007576A6"/>
    <w:rsid w:val="00770E30"/>
    <w:rsid w:val="00776CE7"/>
    <w:rsid w:val="00793C9D"/>
    <w:rsid w:val="00793E91"/>
    <w:rsid w:val="007949C3"/>
    <w:rsid w:val="0079697D"/>
    <w:rsid w:val="007A5D22"/>
    <w:rsid w:val="007B6863"/>
    <w:rsid w:val="007B762F"/>
    <w:rsid w:val="007B7FAB"/>
    <w:rsid w:val="007C6E19"/>
    <w:rsid w:val="007D33AA"/>
    <w:rsid w:val="007D5EED"/>
    <w:rsid w:val="007E0401"/>
    <w:rsid w:val="007F4426"/>
    <w:rsid w:val="00807422"/>
    <w:rsid w:val="008165D6"/>
    <w:rsid w:val="0082601F"/>
    <w:rsid w:val="008276EA"/>
    <w:rsid w:val="008356C0"/>
    <w:rsid w:val="008413B6"/>
    <w:rsid w:val="008444BC"/>
    <w:rsid w:val="00851D1E"/>
    <w:rsid w:val="00852FCE"/>
    <w:rsid w:val="00861563"/>
    <w:rsid w:val="0086530A"/>
    <w:rsid w:val="008713CE"/>
    <w:rsid w:val="008717D4"/>
    <w:rsid w:val="00877E46"/>
    <w:rsid w:val="00892A24"/>
    <w:rsid w:val="008A00B1"/>
    <w:rsid w:val="008A405B"/>
    <w:rsid w:val="008A4590"/>
    <w:rsid w:val="008B4FAC"/>
    <w:rsid w:val="008B72E2"/>
    <w:rsid w:val="008C0FCA"/>
    <w:rsid w:val="008C5E9C"/>
    <w:rsid w:val="008C7291"/>
    <w:rsid w:val="008D5F7E"/>
    <w:rsid w:val="008D79C8"/>
    <w:rsid w:val="008E14D4"/>
    <w:rsid w:val="008E71B7"/>
    <w:rsid w:val="008F190B"/>
    <w:rsid w:val="008F4D09"/>
    <w:rsid w:val="00903483"/>
    <w:rsid w:val="00905160"/>
    <w:rsid w:val="009069B1"/>
    <w:rsid w:val="00906F5F"/>
    <w:rsid w:val="009118B9"/>
    <w:rsid w:val="00912DEA"/>
    <w:rsid w:val="00917799"/>
    <w:rsid w:val="009236F9"/>
    <w:rsid w:val="009318CD"/>
    <w:rsid w:val="0094032E"/>
    <w:rsid w:val="0094696E"/>
    <w:rsid w:val="00952E38"/>
    <w:rsid w:val="00955CF6"/>
    <w:rsid w:val="00961785"/>
    <w:rsid w:val="009669D0"/>
    <w:rsid w:val="00971B11"/>
    <w:rsid w:val="0098438C"/>
    <w:rsid w:val="0099027C"/>
    <w:rsid w:val="009A1818"/>
    <w:rsid w:val="009A474D"/>
    <w:rsid w:val="009A5C2B"/>
    <w:rsid w:val="009B0B47"/>
    <w:rsid w:val="009C4A14"/>
    <w:rsid w:val="009E18AA"/>
    <w:rsid w:val="009E6736"/>
    <w:rsid w:val="009E6AB7"/>
    <w:rsid w:val="009E7F5F"/>
    <w:rsid w:val="009F3BAC"/>
    <w:rsid w:val="009F7FB1"/>
    <w:rsid w:val="00A1365B"/>
    <w:rsid w:val="00A16BBE"/>
    <w:rsid w:val="00A20B1D"/>
    <w:rsid w:val="00A21490"/>
    <w:rsid w:val="00A22F07"/>
    <w:rsid w:val="00A2764D"/>
    <w:rsid w:val="00A33D34"/>
    <w:rsid w:val="00A3410D"/>
    <w:rsid w:val="00A34247"/>
    <w:rsid w:val="00A3444B"/>
    <w:rsid w:val="00A34C45"/>
    <w:rsid w:val="00A355B4"/>
    <w:rsid w:val="00A3588E"/>
    <w:rsid w:val="00A413C1"/>
    <w:rsid w:val="00A4375E"/>
    <w:rsid w:val="00A44518"/>
    <w:rsid w:val="00A44DD4"/>
    <w:rsid w:val="00A52292"/>
    <w:rsid w:val="00A63632"/>
    <w:rsid w:val="00A64BA4"/>
    <w:rsid w:val="00A6678D"/>
    <w:rsid w:val="00A673E9"/>
    <w:rsid w:val="00A67D8D"/>
    <w:rsid w:val="00A72200"/>
    <w:rsid w:val="00A77360"/>
    <w:rsid w:val="00A87A64"/>
    <w:rsid w:val="00A93257"/>
    <w:rsid w:val="00A95C56"/>
    <w:rsid w:val="00A96447"/>
    <w:rsid w:val="00AB2B94"/>
    <w:rsid w:val="00AC289A"/>
    <w:rsid w:val="00AC6A3B"/>
    <w:rsid w:val="00AD2828"/>
    <w:rsid w:val="00AD384A"/>
    <w:rsid w:val="00AD3A57"/>
    <w:rsid w:val="00AD3EB4"/>
    <w:rsid w:val="00AD5723"/>
    <w:rsid w:val="00AD6B6F"/>
    <w:rsid w:val="00AE067C"/>
    <w:rsid w:val="00AE2688"/>
    <w:rsid w:val="00AE54FF"/>
    <w:rsid w:val="00AE5D52"/>
    <w:rsid w:val="00AF4D57"/>
    <w:rsid w:val="00AF53E4"/>
    <w:rsid w:val="00B00859"/>
    <w:rsid w:val="00B012AA"/>
    <w:rsid w:val="00B02AFE"/>
    <w:rsid w:val="00B03ECE"/>
    <w:rsid w:val="00B04824"/>
    <w:rsid w:val="00B04C80"/>
    <w:rsid w:val="00B0589E"/>
    <w:rsid w:val="00B05DD0"/>
    <w:rsid w:val="00B1165F"/>
    <w:rsid w:val="00B12768"/>
    <w:rsid w:val="00B139BB"/>
    <w:rsid w:val="00B13B4C"/>
    <w:rsid w:val="00B1669B"/>
    <w:rsid w:val="00B3044A"/>
    <w:rsid w:val="00B32FEC"/>
    <w:rsid w:val="00B450D9"/>
    <w:rsid w:val="00B461FA"/>
    <w:rsid w:val="00B56122"/>
    <w:rsid w:val="00B5719F"/>
    <w:rsid w:val="00B7447E"/>
    <w:rsid w:val="00B82A19"/>
    <w:rsid w:val="00B86486"/>
    <w:rsid w:val="00B92A90"/>
    <w:rsid w:val="00B94E47"/>
    <w:rsid w:val="00BA0C6A"/>
    <w:rsid w:val="00BA0D3A"/>
    <w:rsid w:val="00BA4C88"/>
    <w:rsid w:val="00BB252B"/>
    <w:rsid w:val="00BC4C86"/>
    <w:rsid w:val="00BD0400"/>
    <w:rsid w:val="00BD1321"/>
    <w:rsid w:val="00BE0A4C"/>
    <w:rsid w:val="00BE16E7"/>
    <w:rsid w:val="00BE419B"/>
    <w:rsid w:val="00BE42BF"/>
    <w:rsid w:val="00BF103D"/>
    <w:rsid w:val="00BF4584"/>
    <w:rsid w:val="00BF798D"/>
    <w:rsid w:val="00C01663"/>
    <w:rsid w:val="00C02659"/>
    <w:rsid w:val="00C03508"/>
    <w:rsid w:val="00C05CC3"/>
    <w:rsid w:val="00C11262"/>
    <w:rsid w:val="00C151BB"/>
    <w:rsid w:val="00C15F22"/>
    <w:rsid w:val="00C23564"/>
    <w:rsid w:val="00C24500"/>
    <w:rsid w:val="00C269CB"/>
    <w:rsid w:val="00C30EF7"/>
    <w:rsid w:val="00C3646A"/>
    <w:rsid w:val="00C3648D"/>
    <w:rsid w:val="00C4075D"/>
    <w:rsid w:val="00C44CAE"/>
    <w:rsid w:val="00C53B78"/>
    <w:rsid w:val="00C5747B"/>
    <w:rsid w:val="00C60CF3"/>
    <w:rsid w:val="00C6223D"/>
    <w:rsid w:val="00C66169"/>
    <w:rsid w:val="00C66258"/>
    <w:rsid w:val="00C76217"/>
    <w:rsid w:val="00C81179"/>
    <w:rsid w:val="00C82310"/>
    <w:rsid w:val="00C83B97"/>
    <w:rsid w:val="00C85C0A"/>
    <w:rsid w:val="00C9094E"/>
    <w:rsid w:val="00C91131"/>
    <w:rsid w:val="00C939FF"/>
    <w:rsid w:val="00C93C6A"/>
    <w:rsid w:val="00CA49F8"/>
    <w:rsid w:val="00CB39A9"/>
    <w:rsid w:val="00CB61BD"/>
    <w:rsid w:val="00CC4163"/>
    <w:rsid w:val="00CD1C54"/>
    <w:rsid w:val="00CD4B64"/>
    <w:rsid w:val="00CE3406"/>
    <w:rsid w:val="00CE6449"/>
    <w:rsid w:val="00CF3E11"/>
    <w:rsid w:val="00CF480A"/>
    <w:rsid w:val="00CF5350"/>
    <w:rsid w:val="00CF62A2"/>
    <w:rsid w:val="00D0216C"/>
    <w:rsid w:val="00D040A7"/>
    <w:rsid w:val="00D1125A"/>
    <w:rsid w:val="00D12739"/>
    <w:rsid w:val="00D14C11"/>
    <w:rsid w:val="00D2102A"/>
    <w:rsid w:val="00D25B4A"/>
    <w:rsid w:val="00D30512"/>
    <w:rsid w:val="00D3091F"/>
    <w:rsid w:val="00D32F8F"/>
    <w:rsid w:val="00D344DA"/>
    <w:rsid w:val="00D40F9C"/>
    <w:rsid w:val="00D5101A"/>
    <w:rsid w:val="00D51F25"/>
    <w:rsid w:val="00D71459"/>
    <w:rsid w:val="00D7330A"/>
    <w:rsid w:val="00D75ACA"/>
    <w:rsid w:val="00D7764F"/>
    <w:rsid w:val="00D843F6"/>
    <w:rsid w:val="00D84AD2"/>
    <w:rsid w:val="00D863C8"/>
    <w:rsid w:val="00D87B0A"/>
    <w:rsid w:val="00D9333F"/>
    <w:rsid w:val="00DB1AFF"/>
    <w:rsid w:val="00DB54DC"/>
    <w:rsid w:val="00DB61BD"/>
    <w:rsid w:val="00DC4D11"/>
    <w:rsid w:val="00DC4F3A"/>
    <w:rsid w:val="00DC51E6"/>
    <w:rsid w:val="00DC6A78"/>
    <w:rsid w:val="00DE36D2"/>
    <w:rsid w:val="00DE7036"/>
    <w:rsid w:val="00DE7AE8"/>
    <w:rsid w:val="00DE7E28"/>
    <w:rsid w:val="00DF0236"/>
    <w:rsid w:val="00DF6F76"/>
    <w:rsid w:val="00E012AE"/>
    <w:rsid w:val="00E01F9E"/>
    <w:rsid w:val="00E05045"/>
    <w:rsid w:val="00E126EA"/>
    <w:rsid w:val="00E1333E"/>
    <w:rsid w:val="00E16E80"/>
    <w:rsid w:val="00E17DCC"/>
    <w:rsid w:val="00E20D91"/>
    <w:rsid w:val="00E22115"/>
    <w:rsid w:val="00E30484"/>
    <w:rsid w:val="00E323B2"/>
    <w:rsid w:val="00E438C5"/>
    <w:rsid w:val="00E539F1"/>
    <w:rsid w:val="00E545F8"/>
    <w:rsid w:val="00E56D7B"/>
    <w:rsid w:val="00E573EB"/>
    <w:rsid w:val="00E61BFE"/>
    <w:rsid w:val="00E64271"/>
    <w:rsid w:val="00E65B8C"/>
    <w:rsid w:val="00E706C8"/>
    <w:rsid w:val="00E710E6"/>
    <w:rsid w:val="00E74D52"/>
    <w:rsid w:val="00E7565F"/>
    <w:rsid w:val="00E93AF4"/>
    <w:rsid w:val="00E9445C"/>
    <w:rsid w:val="00EA21E4"/>
    <w:rsid w:val="00EB34B7"/>
    <w:rsid w:val="00EB5CF1"/>
    <w:rsid w:val="00EC1475"/>
    <w:rsid w:val="00ED00AD"/>
    <w:rsid w:val="00ED5B04"/>
    <w:rsid w:val="00ED6E0B"/>
    <w:rsid w:val="00EE240E"/>
    <w:rsid w:val="00EF6B81"/>
    <w:rsid w:val="00F05C15"/>
    <w:rsid w:val="00F07AC0"/>
    <w:rsid w:val="00F1139A"/>
    <w:rsid w:val="00F12584"/>
    <w:rsid w:val="00F135B5"/>
    <w:rsid w:val="00F21F10"/>
    <w:rsid w:val="00F26607"/>
    <w:rsid w:val="00F27D61"/>
    <w:rsid w:val="00F43792"/>
    <w:rsid w:val="00F463B0"/>
    <w:rsid w:val="00F57CF6"/>
    <w:rsid w:val="00F64510"/>
    <w:rsid w:val="00F65B02"/>
    <w:rsid w:val="00F73447"/>
    <w:rsid w:val="00F763BE"/>
    <w:rsid w:val="00F76AA7"/>
    <w:rsid w:val="00F76FB2"/>
    <w:rsid w:val="00F862F5"/>
    <w:rsid w:val="00F86762"/>
    <w:rsid w:val="00F867E7"/>
    <w:rsid w:val="00F91743"/>
    <w:rsid w:val="00F928E9"/>
    <w:rsid w:val="00F93B46"/>
    <w:rsid w:val="00F94305"/>
    <w:rsid w:val="00F95CA8"/>
    <w:rsid w:val="00FA164A"/>
    <w:rsid w:val="00FA170C"/>
    <w:rsid w:val="00FA47E7"/>
    <w:rsid w:val="00FA6A5C"/>
    <w:rsid w:val="00FB43D6"/>
    <w:rsid w:val="00FB613E"/>
    <w:rsid w:val="00FB617D"/>
    <w:rsid w:val="00FB6A19"/>
    <w:rsid w:val="00FC0625"/>
    <w:rsid w:val="00FC2A26"/>
    <w:rsid w:val="00FD0B5E"/>
    <w:rsid w:val="00FD2BCB"/>
    <w:rsid w:val="00FD5652"/>
    <w:rsid w:val="00FE5534"/>
    <w:rsid w:val="00FE7C75"/>
    <w:rsid w:val="00FE7DF8"/>
    <w:rsid w:val="00FF18E6"/>
    <w:rsid w:val="00FF3A69"/>
    <w:rsid w:val="00FF6628"/>
    <w:rsid w:val="00FF6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817F5"/>
  <w15:chartTrackingRefBased/>
  <w15:docId w15:val="{B111EEE2-EDFB-4521-B589-C3B878D7F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94E"/>
    <w:pPr>
      <w:spacing w:after="240" w:line="360" w:lineRule="auto"/>
    </w:pPr>
    <w:rPr>
      <w:rFonts w:eastAsiaTheme="minorEastAsia"/>
    </w:rPr>
  </w:style>
  <w:style w:type="paragraph" w:styleId="Heading1">
    <w:name w:val="heading 1"/>
    <w:basedOn w:val="Heading2"/>
    <w:next w:val="Normal"/>
    <w:link w:val="Heading1Char"/>
    <w:uiPriority w:val="9"/>
    <w:qFormat/>
    <w:rsid w:val="00793C9D"/>
    <w:pPr>
      <w:outlineLvl w:val="0"/>
    </w:pPr>
  </w:style>
  <w:style w:type="paragraph" w:styleId="Heading2">
    <w:name w:val="heading 2"/>
    <w:basedOn w:val="Normal"/>
    <w:next w:val="Normal"/>
    <w:link w:val="Heading2Char"/>
    <w:uiPriority w:val="9"/>
    <w:unhideWhenUsed/>
    <w:qFormat/>
    <w:rsid w:val="00070E1E"/>
    <w:pPr>
      <w:outlineLvl w:val="1"/>
    </w:pPr>
    <w:rPr>
      <w:b/>
      <w:shd w:val="clear" w:color="auto" w:fill="FFFFFF"/>
    </w:rPr>
  </w:style>
  <w:style w:type="paragraph" w:styleId="Heading3">
    <w:name w:val="heading 3"/>
    <w:basedOn w:val="Normal"/>
    <w:next w:val="Normal"/>
    <w:link w:val="Heading3Char"/>
    <w:uiPriority w:val="9"/>
    <w:unhideWhenUsed/>
    <w:qFormat/>
    <w:rsid w:val="0057676B"/>
    <w:pPr>
      <w:outlineLvl w:val="2"/>
    </w:pPr>
    <w:rPr>
      <w:rFonts w:ascii="Calibri" w:hAnsi="Calibri"/>
      <w:u w:val="single"/>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D7330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7330A"/>
    <w:rPr>
      <w:rFonts w:ascii="Calibri" w:eastAsiaTheme="minorEastAsia" w:hAnsi="Calibri" w:cs="Calibri"/>
      <w:noProof/>
      <w:lang w:val="en-US"/>
    </w:rPr>
  </w:style>
  <w:style w:type="paragraph" w:customStyle="1" w:styleId="EndNoteBibliography">
    <w:name w:val="EndNote Bibliography"/>
    <w:basedOn w:val="Normal"/>
    <w:link w:val="EndNoteBibliographyChar"/>
    <w:rsid w:val="00D7330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7330A"/>
    <w:rPr>
      <w:rFonts w:ascii="Calibri" w:eastAsiaTheme="minorEastAsia" w:hAnsi="Calibri" w:cs="Calibri"/>
      <w:noProof/>
      <w:lang w:val="en-US"/>
    </w:rPr>
  </w:style>
  <w:style w:type="paragraph" w:styleId="NormalWeb">
    <w:name w:val="Normal (Web)"/>
    <w:basedOn w:val="Normal"/>
    <w:uiPriority w:val="99"/>
    <w:semiHidden/>
    <w:unhideWhenUsed/>
    <w:rsid w:val="009A18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A1818"/>
    <w:rPr>
      <w:color w:val="0000FF"/>
      <w:u w:val="single"/>
    </w:rPr>
  </w:style>
  <w:style w:type="character" w:customStyle="1" w:styleId="Heading1Char">
    <w:name w:val="Heading 1 Char"/>
    <w:basedOn w:val="DefaultParagraphFont"/>
    <w:link w:val="Heading1"/>
    <w:uiPriority w:val="9"/>
    <w:rsid w:val="00793C9D"/>
    <w:rPr>
      <w:rFonts w:eastAsiaTheme="minorEastAsia"/>
      <w:b/>
    </w:rPr>
  </w:style>
  <w:style w:type="paragraph" w:styleId="Bibliography">
    <w:name w:val="Bibliography"/>
    <w:basedOn w:val="Normal"/>
    <w:next w:val="Normal"/>
    <w:uiPriority w:val="37"/>
    <w:unhideWhenUsed/>
    <w:rsid w:val="00AD6B6F"/>
    <w:pPr>
      <w:tabs>
        <w:tab w:val="left" w:pos="384"/>
      </w:tabs>
      <w:spacing w:line="240" w:lineRule="auto"/>
      <w:ind w:left="384" w:hanging="384"/>
    </w:pPr>
  </w:style>
  <w:style w:type="character" w:customStyle="1" w:styleId="Heading2Char">
    <w:name w:val="Heading 2 Char"/>
    <w:basedOn w:val="DefaultParagraphFont"/>
    <w:link w:val="Heading2"/>
    <w:uiPriority w:val="9"/>
    <w:rsid w:val="00070E1E"/>
    <w:rPr>
      <w:rFonts w:eastAsiaTheme="minorEastAsia"/>
      <w:b/>
    </w:rPr>
  </w:style>
  <w:style w:type="table" w:styleId="TableGrid">
    <w:name w:val="Table Grid"/>
    <w:basedOn w:val="TableNormal"/>
    <w:uiPriority w:val="59"/>
    <w:rsid w:val="00C235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7676B"/>
    <w:rPr>
      <w:rFonts w:ascii="Calibri" w:eastAsiaTheme="minorEastAsia" w:hAnsi="Calibri"/>
      <w:u w:val="single"/>
    </w:rPr>
  </w:style>
  <w:style w:type="paragraph" w:customStyle="1" w:styleId="Beforetables">
    <w:name w:val="Before tables"/>
    <w:basedOn w:val="Normal"/>
    <w:link w:val="BeforetablesChar"/>
    <w:qFormat/>
    <w:rsid w:val="009069B1"/>
    <w:pPr>
      <w:spacing w:after="0"/>
    </w:pPr>
    <w:rPr>
      <w:rFonts w:ascii="Calibri" w:hAnsi="Calibri"/>
      <w:sz w:val="8"/>
      <w:szCs w:val="8"/>
    </w:rPr>
  </w:style>
  <w:style w:type="character" w:customStyle="1" w:styleId="BeforetablesChar">
    <w:name w:val="Before tables Char"/>
    <w:basedOn w:val="DefaultParagraphFont"/>
    <w:link w:val="Beforetables"/>
    <w:rsid w:val="009069B1"/>
    <w:rPr>
      <w:rFonts w:ascii="Calibri" w:eastAsiaTheme="minorEastAsia" w:hAnsi="Calibri"/>
      <w:sz w:val="8"/>
      <w:szCs w:val="8"/>
    </w:rPr>
  </w:style>
  <w:style w:type="character" w:styleId="FollowedHyperlink">
    <w:name w:val="FollowedHyperlink"/>
    <w:basedOn w:val="DefaultParagraphFont"/>
    <w:uiPriority w:val="99"/>
    <w:semiHidden/>
    <w:unhideWhenUsed/>
    <w:rsid w:val="00B56122"/>
    <w:rPr>
      <w:color w:val="954F72" w:themeColor="followedHyperlink"/>
      <w:u w:val="single"/>
    </w:rPr>
  </w:style>
  <w:style w:type="paragraph" w:styleId="BalloonText">
    <w:name w:val="Balloon Text"/>
    <w:basedOn w:val="Normal"/>
    <w:link w:val="BalloonTextChar"/>
    <w:uiPriority w:val="99"/>
    <w:semiHidden/>
    <w:unhideWhenUsed/>
    <w:rsid w:val="00676C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CBA"/>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BD1321"/>
    <w:rPr>
      <w:sz w:val="16"/>
      <w:szCs w:val="16"/>
    </w:rPr>
  </w:style>
  <w:style w:type="paragraph" w:styleId="CommentText">
    <w:name w:val="annotation text"/>
    <w:basedOn w:val="Normal"/>
    <w:link w:val="CommentTextChar"/>
    <w:uiPriority w:val="99"/>
    <w:semiHidden/>
    <w:unhideWhenUsed/>
    <w:rsid w:val="00BD1321"/>
    <w:pPr>
      <w:spacing w:line="240" w:lineRule="auto"/>
    </w:pPr>
    <w:rPr>
      <w:sz w:val="20"/>
      <w:szCs w:val="20"/>
    </w:rPr>
  </w:style>
  <w:style w:type="character" w:customStyle="1" w:styleId="CommentTextChar">
    <w:name w:val="Comment Text Char"/>
    <w:basedOn w:val="DefaultParagraphFont"/>
    <w:link w:val="CommentText"/>
    <w:uiPriority w:val="99"/>
    <w:semiHidden/>
    <w:rsid w:val="00BD132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D1321"/>
    <w:rPr>
      <w:b/>
      <w:bCs/>
    </w:rPr>
  </w:style>
  <w:style w:type="character" w:customStyle="1" w:styleId="CommentSubjectChar">
    <w:name w:val="Comment Subject Char"/>
    <w:basedOn w:val="CommentTextChar"/>
    <w:link w:val="CommentSubject"/>
    <w:uiPriority w:val="99"/>
    <w:semiHidden/>
    <w:rsid w:val="00BD1321"/>
    <w:rPr>
      <w:rFonts w:eastAsiaTheme="minorEastAsia"/>
      <w:b/>
      <w:bCs/>
      <w:sz w:val="20"/>
      <w:szCs w:val="20"/>
    </w:rPr>
  </w:style>
  <w:style w:type="character" w:customStyle="1" w:styleId="UnresolvedMention1">
    <w:name w:val="Unresolved Mention1"/>
    <w:basedOn w:val="DefaultParagraphFont"/>
    <w:uiPriority w:val="99"/>
    <w:semiHidden/>
    <w:unhideWhenUsed/>
    <w:rsid w:val="00BE0A4C"/>
    <w:rPr>
      <w:color w:val="808080"/>
      <w:shd w:val="clear" w:color="auto" w:fill="E6E6E6"/>
    </w:rPr>
  </w:style>
  <w:style w:type="character" w:styleId="UnresolvedMention">
    <w:name w:val="Unresolved Mention"/>
    <w:basedOn w:val="DefaultParagraphFont"/>
    <w:uiPriority w:val="99"/>
    <w:semiHidden/>
    <w:unhideWhenUsed/>
    <w:rsid w:val="003125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50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_elsa_w6_technical_report_v1.pdf/" TargetMode="External"/><Relationship Id="rId3" Type="http://schemas.openxmlformats.org/officeDocument/2006/relationships/webSettings" Target="webSettings.xml"/><Relationship Id="rId7" Type="http://schemas.openxmlformats.org/officeDocument/2006/relationships/hyperlink" Target="http://mrdoc/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ukdataservice.ac.uk/doc/" TargetMode="External"/><Relationship Id="rId5" Type="http://schemas.openxmlformats.org/officeDocument/2006/relationships/hyperlink" Target="mailto:lee.smith@anglia.ac.uk" TargetMode="External"/><Relationship Id="rId10" Type="http://schemas.openxmlformats.org/officeDocument/2006/relationships/theme" Target="theme/theme1.xml"/><Relationship Id="rId4" Type="http://schemas.openxmlformats.org/officeDocument/2006/relationships/hyperlink" Target="mailto:s.e.jackson@ucl.ac.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20880</Words>
  <Characters>119022</Characters>
  <Application>Microsoft Office Word</Application>
  <DocSecurity>0</DocSecurity>
  <Lines>991</Lines>
  <Paragraphs>279</Paragraphs>
  <ScaleCrop>false</ScaleCrop>
  <HeadingPairs>
    <vt:vector size="6" baseType="variant">
      <vt:variant>
        <vt:lpstr>Title</vt:lpstr>
      </vt:variant>
      <vt:variant>
        <vt:i4>1</vt:i4>
      </vt:variant>
      <vt:variant>
        <vt:lpstr>Konu Başlığı</vt:lpstr>
      </vt:variant>
      <vt:variant>
        <vt:i4>1</vt:i4>
      </vt:variant>
      <vt:variant>
        <vt:lpstr>Titel</vt:lpstr>
      </vt:variant>
      <vt:variant>
        <vt:i4>1</vt:i4>
      </vt:variant>
    </vt:vector>
  </HeadingPairs>
  <TitlesOfParts>
    <vt:vector size="3" baseType="lpstr">
      <vt:lpstr/>
      <vt:lpstr/>
      <vt:lpstr/>
    </vt:vector>
  </TitlesOfParts>
  <Company>University College London</Company>
  <LinksUpToDate>false</LinksUpToDate>
  <CharactersWithSpaces>139623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Jackson</dc:creator>
  <cp:keywords/>
  <dc:description/>
  <cp:lastModifiedBy>Lee Smith</cp:lastModifiedBy>
  <cp:revision>3</cp:revision>
  <dcterms:created xsi:type="dcterms:W3CDTF">2018-12-30T16:09:00Z</dcterms:created>
  <dcterms:modified xsi:type="dcterms:W3CDTF">2019-01-04T20:04:00Z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id="ulCacTs5"/&gt;&lt;style id="http://www.zotero.org/styles/vancouver" locale="en-US" hasBibliography="1" bibliographyStyleHasBeenSet="1"/&gt;&lt;prefs&gt;&lt;pref name="fieldType" value="Field"/&gt;&lt;pref name="storeRef</vt:lpwstr>
  </property>
  <property fmtid="{D5CDD505-2E9C-101B-9397-08002B2CF9AE}" pid="3" name="ZOTERO_PREF_2">
    <vt:lpwstr>erences" value="true"/&gt;&lt;pref name="automaticJournalAbbreviations" value="true"/&gt;&lt;/prefs&gt;&lt;/data&gt;</vt:lpwstr>
  </property>
</Properties>
</file>