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54" w:rsidRPr="00EB42CE" w:rsidRDefault="00DB4CFB" w:rsidP="00DB4CFB">
      <w:pPr>
        <w:spacing w:after="0" w:line="480" w:lineRule="auto"/>
        <w:jc w:val="center"/>
        <w:rPr>
          <w:rFonts w:ascii="Arial" w:hAnsi="Arial" w:cs="Arial"/>
          <w:b/>
          <w:sz w:val="24"/>
          <w:szCs w:val="24"/>
        </w:rPr>
      </w:pPr>
      <w:bookmarkStart w:id="0" w:name="_GoBack"/>
      <w:bookmarkEnd w:id="0"/>
      <w:r w:rsidRPr="00EB42CE">
        <w:rPr>
          <w:rFonts w:ascii="Arial" w:hAnsi="Arial" w:cs="Arial"/>
          <w:b/>
          <w:sz w:val="24"/>
          <w:szCs w:val="24"/>
        </w:rPr>
        <w:t xml:space="preserve">NATIONAL SURVEY: </w:t>
      </w:r>
      <w:r w:rsidR="007E4A53">
        <w:rPr>
          <w:rFonts w:ascii="Arial" w:hAnsi="Arial" w:cs="Arial"/>
          <w:b/>
          <w:sz w:val="24"/>
          <w:szCs w:val="24"/>
        </w:rPr>
        <w:t xml:space="preserve">DEVELOPING A COMMON APPROACH TO </w:t>
      </w:r>
      <w:r w:rsidRPr="00EB42CE">
        <w:rPr>
          <w:rFonts w:ascii="Arial" w:hAnsi="Arial" w:cs="Arial"/>
          <w:b/>
          <w:sz w:val="24"/>
          <w:szCs w:val="24"/>
        </w:rPr>
        <w:t xml:space="preserve">GRADING OF PRACTICE IN PRE-REGISTRATION MIDWIFERY </w:t>
      </w:r>
    </w:p>
    <w:p w:rsidR="0054448B" w:rsidRDefault="0054448B" w:rsidP="0054448B">
      <w:pPr>
        <w:spacing w:after="0" w:line="480" w:lineRule="auto"/>
        <w:rPr>
          <w:rFonts w:ascii="Arial" w:eastAsia="SimHei" w:hAnsi="Arial" w:cs="Arial"/>
          <w:b/>
          <w:sz w:val="24"/>
          <w:lang w:eastAsia="zh-CN"/>
        </w:rPr>
      </w:pPr>
    </w:p>
    <w:p w:rsidR="0054448B" w:rsidRDefault="0054448B" w:rsidP="0054448B">
      <w:pPr>
        <w:spacing w:after="0" w:line="480" w:lineRule="auto"/>
        <w:rPr>
          <w:rFonts w:ascii="Arial" w:eastAsia="SimHei" w:hAnsi="Arial" w:cs="Arial"/>
          <w:b/>
          <w:sz w:val="24"/>
          <w:lang w:eastAsia="zh-CN"/>
        </w:rPr>
      </w:pPr>
    </w:p>
    <w:p w:rsidR="0054448B" w:rsidRDefault="0054448B" w:rsidP="0054448B">
      <w:pPr>
        <w:spacing w:after="0" w:line="480" w:lineRule="auto"/>
        <w:rPr>
          <w:rFonts w:ascii="Arial" w:eastAsia="SimHei" w:hAnsi="Arial" w:cs="Arial"/>
          <w:sz w:val="24"/>
          <w:lang w:eastAsia="zh-CN"/>
        </w:rPr>
      </w:pPr>
      <w:r w:rsidRPr="0054448B">
        <w:rPr>
          <w:rFonts w:ascii="Arial" w:eastAsia="SimHei" w:hAnsi="Arial" w:cs="Arial"/>
          <w:b/>
          <w:sz w:val="24"/>
          <w:lang w:eastAsia="zh-CN"/>
        </w:rPr>
        <w:t xml:space="preserve">Word count </w:t>
      </w:r>
      <w:r w:rsidRPr="0054448B">
        <w:rPr>
          <w:rFonts w:ascii="Arial" w:eastAsia="SimHei" w:hAnsi="Arial" w:cs="Arial"/>
          <w:sz w:val="24"/>
          <w:lang w:eastAsia="zh-CN"/>
        </w:rPr>
        <w:t>of article, including abstract, key words, in-text references and bibliographic reference list =</w:t>
      </w:r>
      <w:r w:rsidRPr="0054448B">
        <w:rPr>
          <w:rFonts w:ascii="Arial" w:eastAsia="SimHei" w:hAnsi="Arial" w:cs="Arial"/>
          <w:b/>
          <w:sz w:val="24"/>
          <w:lang w:eastAsia="zh-CN"/>
        </w:rPr>
        <w:t xml:space="preserve"> </w:t>
      </w:r>
      <w:r w:rsidR="00FF2019">
        <w:rPr>
          <w:rFonts w:ascii="Arial" w:eastAsia="SimHei" w:hAnsi="Arial" w:cs="Arial"/>
          <w:sz w:val="24"/>
          <w:lang w:eastAsia="zh-CN"/>
        </w:rPr>
        <w:t>5986 (meeting</w:t>
      </w:r>
      <w:r w:rsidRPr="0054448B">
        <w:rPr>
          <w:rFonts w:ascii="Arial" w:eastAsia="SimHei" w:hAnsi="Arial" w:cs="Arial"/>
          <w:sz w:val="24"/>
          <w:lang w:eastAsia="zh-CN"/>
        </w:rPr>
        <w:t xml:space="preserve"> 22</w:t>
      </w:r>
      <w:r w:rsidRPr="0054448B">
        <w:rPr>
          <w:rFonts w:ascii="Arial" w:eastAsia="SimHei" w:hAnsi="Arial" w:cs="Arial"/>
          <w:sz w:val="24"/>
          <w:vertAlign w:val="superscript"/>
          <w:lang w:eastAsia="zh-CN"/>
        </w:rPr>
        <w:t>nd</w:t>
      </w:r>
      <w:r w:rsidRPr="0054448B">
        <w:rPr>
          <w:rFonts w:ascii="Arial" w:eastAsia="SimHei" w:hAnsi="Arial" w:cs="Arial"/>
          <w:sz w:val="24"/>
          <w:lang w:eastAsia="zh-CN"/>
        </w:rPr>
        <w:t xml:space="preserve"> Se</w:t>
      </w:r>
      <w:r>
        <w:rPr>
          <w:rFonts w:ascii="Arial" w:eastAsia="SimHei" w:hAnsi="Arial" w:cs="Arial"/>
          <w:sz w:val="24"/>
          <w:lang w:eastAsia="zh-CN"/>
        </w:rPr>
        <w:t>ptember 2018 author guidelines)</w:t>
      </w:r>
    </w:p>
    <w:p w:rsidR="0054448B" w:rsidRDefault="0054448B" w:rsidP="0054448B">
      <w:pPr>
        <w:spacing w:after="0" w:line="480" w:lineRule="auto"/>
        <w:jc w:val="center"/>
        <w:rPr>
          <w:rFonts w:ascii="Arial" w:eastAsia="SimHei" w:hAnsi="Arial" w:cs="Arial"/>
          <w:b/>
          <w:bCs/>
          <w:sz w:val="24"/>
          <w:u w:val="single"/>
          <w:lang w:eastAsia="zh-CN"/>
        </w:rPr>
      </w:pPr>
    </w:p>
    <w:p w:rsidR="0054448B" w:rsidRDefault="0054448B" w:rsidP="0054448B">
      <w:pPr>
        <w:spacing w:after="0" w:line="480" w:lineRule="auto"/>
        <w:jc w:val="center"/>
        <w:rPr>
          <w:rFonts w:ascii="Arial" w:eastAsia="SimHei" w:hAnsi="Arial" w:cs="Arial"/>
          <w:b/>
          <w:bCs/>
          <w:sz w:val="24"/>
          <w:u w:val="single"/>
          <w:lang w:eastAsia="zh-CN"/>
        </w:rPr>
      </w:pPr>
    </w:p>
    <w:p w:rsidR="0054448B" w:rsidRDefault="0054448B" w:rsidP="0054448B">
      <w:pPr>
        <w:spacing w:after="0" w:line="480" w:lineRule="auto"/>
        <w:jc w:val="center"/>
        <w:rPr>
          <w:rFonts w:ascii="Arial" w:eastAsia="SimHei" w:hAnsi="Arial" w:cs="Arial"/>
          <w:b/>
          <w:bCs/>
          <w:sz w:val="24"/>
          <w:u w:val="single"/>
          <w:lang w:eastAsia="zh-CN"/>
        </w:rPr>
      </w:pPr>
      <w:r w:rsidRPr="0054448B">
        <w:rPr>
          <w:rFonts w:ascii="Arial" w:eastAsia="SimHei" w:hAnsi="Arial" w:cs="Arial"/>
          <w:b/>
          <w:bCs/>
          <w:sz w:val="24"/>
          <w:u w:val="single"/>
          <w:lang w:eastAsia="zh-CN"/>
        </w:rPr>
        <w:t>KEYWORDS</w:t>
      </w:r>
    </w:p>
    <w:p w:rsidR="0054448B" w:rsidRPr="0054448B" w:rsidRDefault="0054448B" w:rsidP="0054448B">
      <w:pPr>
        <w:spacing w:after="0" w:line="480" w:lineRule="auto"/>
        <w:jc w:val="center"/>
        <w:rPr>
          <w:rFonts w:ascii="Arial" w:eastAsia="SimHei" w:hAnsi="Arial" w:cs="Arial"/>
          <w:b/>
          <w:bCs/>
          <w:sz w:val="24"/>
          <w:u w:val="single"/>
          <w:lang w:eastAsia="zh-CN"/>
        </w:rPr>
      </w:pPr>
    </w:p>
    <w:p w:rsidR="0054448B" w:rsidRPr="0054448B" w:rsidRDefault="0054448B" w:rsidP="0054448B">
      <w:pPr>
        <w:spacing w:after="0" w:line="480" w:lineRule="auto"/>
        <w:rPr>
          <w:rFonts w:ascii="Arial" w:eastAsia="SimHei" w:hAnsi="Arial" w:cs="Arial"/>
          <w:sz w:val="24"/>
          <w:lang w:eastAsia="zh-CN"/>
        </w:rPr>
      </w:pPr>
      <w:r w:rsidRPr="0054448B">
        <w:rPr>
          <w:rFonts w:ascii="Arial" w:eastAsia="SimHei" w:hAnsi="Arial" w:cs="Arial"/>
          <w:sz w:val="24"/>
          <w:lang w:eastAsia="zh-CN"/>
        </w:rPr>
        <w:t xml:space="preserve">assessment; grading; practice; midwifery </w:t>
      </w:r>
    </w:p>
    <w:p w:rsidR="0054448B" w:rsidRPr="0054448B" w:rsidRDefault="0054448B" w:rsidP="0054448B">
      <w:pPr>
        <w:spacing w:after="0" w:line="480" w:lineRule="auto"/>
        <w:rPr>
          <w:rFonts w:ascii="Arial" w:eastAsia="SimHei" w:hAnsi="Arial" w:cs="Arial"/>
          <w:sz w:val="24"/>
          <w:lang w:eastAsia="zh-CN"/>
        </w:rPr>
      </w:pPr>
    </w:p>
    <w:p w:rsidR="0054448B" w:rsidRDefault="0054448B" w:rsidP="0054448B">
      <w:pPr>
        <w:spacing w:after="0" w:line="480" w:lineRule="auto"/>
        <w:rPr>
          <w:rFonts w:ascii="Arial" w:eastAsia="SimHei" w:hAnsi="Arial" w:cs="Arial"/>
          <w:b/>
          <w:bCs/>
          <w:sz w:val="24"/>
          <w:lang w:eastAsia="zh-CN"/>
        </w:rPr>
      </w:pPr>
    </w:p>
    <w:p w:rsidR="0054448B" w:rsidRPr="00E72847" w:rsidRDefault="0054448B" w:rsidP="0054448B">
      <w:pPr>
        <w:spacing w:after="0" w:line="480" w:lineRule="auto"/>
        <w:rPr>
          <w:rFonts w:ascii="Arial" w:eastAsia="SimHei" w:hAnsi="Arial" w:cs="Arial"/>
          <w:b/>
          <w:bCs/>
          <w:sz w:val="24"/>
          <w:lang w:eastAsia="zh-CN"/>
        </w:rPr>
      </w:pPr>
      <w:r w:rsidRPr="00E72847">
        <w:rPr>
          <w:rFonts w:ascii="Arial" w:eastAsia="SimHei" w:hAnsi="Arial" w:cs="Arial"/>
          <w:b/>
          <w:bCs/>
          <w:sz w:val="24"/>
          <w:lang w:eastAsia="zh-CN"/>
        </w:rPr>
        <w:t>Declarations of interest: none</w:t>
      </w:r>
    </w:p>
    <w:p w:rsidR="0054448B" w:rsidRDefault="0054448B" w:rsidP="0054448B">
      <w:pPr>
        <w:spacing w:after="0" w:line="480" w:lineRule="auto"/>
        <w:rPr>
          <w:rFonts w:ascii="Arial" w:eastAsia="SimHei" w:hAnsi="Arial" w:cs="Arial"/>
          <w:sz w:val="24"/>
          <w:lang w:eastAsia="zh-CN"/>
        </w:rPr>
      </w:pPr>
    </w:p>
    <w:p w:rsidR="0054448B" w:rsidRPr="0054448B" w:rsidRDefault="0054448B" w:rsidP="0054448B">
      <w:pPr>
        <w:spacing w:after="200" w:line="276" w:lineRule="auto"/>
        <w:jc w:val="center"/>
        <w:rPr>
          <w:rFonts w:ascii="Arial" w:eastAsia="SimHei" w:hAnsi="Arial" w:cs="Arial"/>
          <w:b/>
          <w:bCs/>
          <w:sz w:val="24"/>
          <w:u w:val="single"/>
          <w:lang w:eastAsia="zh-CN"/>
        </w:rPr>
      </w:pPr>
      <w:r w:rsidRPr="0054448B">
        <w:rPr>
          <w:rFonts w:ascii="Arial" w:eastAsia="SimHei" w:hAnsi="Arial" w:cs="Arial"/>
          <w:b/>
          <w:bCs/>
          <w:sz w:val="24"/>
          <w:u w:val="single"/>
          <w:lang w:eastAsia="zh-CN"/>
        </w:rPr>
        <w:t>ACKNOWLEDGEMENTS</w:t>
      </w:r>
    </w:p>
    <w:p w:rsidR="0054448B" w:rsidRPr="0054448B" w:rsidRDefault="0054448B" w:rsidP="0054448B">
      <w:pPr>
        <w:spacing w:after="0" w:line="480" w:lineRule="auto"/>
        <w:rPr>
          <w:rFonts w:ascii="Arial" w:eastAsia="SimHei" w:hAnsi="Arial" w:cs="Arial"/>
          <w:b/>
          <w:bCs/>
          <w:sz w:val="24"/>
          <w:u w:val="single"/>
          <w:lang w:eastAsia="zh-CN"/>
        </w:rPr>
      </w:pPr>
    </w:p>
    <w:p w:rsidR="0054448B" w:rsidRPr="0054448B" w:rsidRDefault="0054448B" w:rsidP="0054448B">
      <w:pPr>
        <w:spacing w:after="0" w:line="480" w:lineRule="auto"/>
        <w:rPr>
          <w:rFonts w:ascii="Arial" w:eastAsia="SimHei" w:hAnsi="Arial" w:cs="Arial"/>
          <w:sz w:val="24"/>
          <w:lang w:eastAsia="zh-CN"/>
        </w:rPr>
      </w:pPr>
      <w:r w:rsidRPr="0054448B">
        <w:rPr>
          <w:rFonts w:ascii="Arial" w:eastAsia="SimHei" w:hAnsi="Arial" w:cs="Arial"/>
          <w:bCs/>
          <w:sz w:val="24"/>
          <w:lang w:eastAsia="zh-CN"/>
        </w:rPr>
        <w:t xml:space="preserve">The research team would like to thank the </w:t>
      </w:r>
      <w:r w:rsidRPr="0054448B">
        <w:rPr>
          <w:rFonts w:ascii="Arial" w:eastAsia="SimHei" w:hAnsi="Arial" w:cs="Arial"/>
          <w:sz w:val="24"/>
          <w:lang w:eastAsia="zh-CN"/>
        </w:rPr>
        <w:t xml:space="preserve">members of the Lead Midwife for Education United Kingdom Executive (LME-UK) for their support as ‘gatekeepers’ to the survey and ongoing contributions throughout this national project. We are also grateful to all those midwifery and nursing colleagues and students who took the time to respond to the survey and test our proposed tools – adding valuable insights to the pool of evidence around assessment and grading of practice in the UK and beyond. </w:t>
      </w:r>
    </w:p>
    <w:p w:rsidR="0054448B" w:rsidRPr="00EB42CE" w:rsidRDefault="0054448B" w:rsidP="0054448B">
      <w:pPr>
        <w:spacing w:after="0" w:line="480" w:lineRule="auto"/>
        <w:rPr>
          <w:rFonts w:ascii="Arial" w:hAnsi="Arial" w:cs="Arial"/>
          <w:b/>
          <w:sz w:val="24"/>
          <w:szCs w:val="24"/>
        </w:rPr>
      </w:pPr>
    </w:p>
    <w:p w:rsidR="00341743" w:rsidRPr="00341743" w:rsidRDefault="00341743" w:rsidP="00341743">
      <w:pPr>
        <w:jc w:val="center"/>
        <w:rPr>
          <w:rFonts w:ascii="Arial" w:hAnsi="Arial" w:cs="Arial"/>
          <w:sz w:val="24"/>
          <w:szCs w:val="24"/>
        </w:rPr>
      </w:pPr>
      <w:r w:rsidRPr="00341743">
        <w:rPr>
          <w:rFonts w:ascii="Arial" w:eastAsia="SimHei" w:hAnsi="Arial" w:cs="Arial"/>
          <w:b/>
          <w:bCs/>
          <w:sz w:val="24"/>
          <w:u w:val="single"/>
          <w:lang w:eastAsia="zh-CN"/>
        </w:rPr>
        <w:lastRenderedPageBreak/>
        <w:t>ABSTRACT</w:t>
      </w:r>
    </w:p>
    <w:p w:rsidR="00341743" w:rsidRPr="00341743" w:rsidRDefault="00341743" w:rsidP="00341743">
      <w:pPr>
        <w:spacing w:after="0" w:line="480" w:lineRule="auto"/>
        <w:jc w:val="center"/>
        <w:rPr>
          <w:rFonts w:ascii="Arial" w:eastAsia="SimHei" w:hAnsi="Arial" w:cs="Arial"/>
          <w:b/>
          <w:bCs/>
          <w:sz w:val="24"/>
          <w:u w:val="single"/>
          <w:lang w:eastAsia="zh-CN"/>
        </w:rPr>
      </w:pPr>
    </w:p>
    <w:p w:rsidR="00341743" w:rsidRPr="00341743" w:rsidRDefault="00341743" w:rsidP="00341743">
      <w:pPr>
        <w:spacing w:after="0" w:line="480" w:lineRule="auto"/>
        <w:rPr>
          <w:rFonts w:ascii="Arial" w:eastAsia="SimHei" w:hAnsi="Arial" w:cs="Arial"/>
          <w:sz w:val="24"/>
          <w:szCs w:val="24"/>
          <w:lang w:eastAsia="zh-CN"/>
        </w:rPr>
      </w:pPr>
      <w:r w:rsidRPr="00341743">
        <w:rPr>
          <w:rFonts w:ascii="Arial" w:eastAsia="SimHei" w:hAnsi="Arial" w:cs="Arial"/>
          <w:b/>
          <w:sz w:val="24"/>
          <w:szCs w:val="24"/>
          <w:lang w:eastAsia="zh-CN"/>
        </w:rPr>
        <w:t>Aim</w:t>
      </w:r>
      <w:r w:rsidRPr="00341743">
        <w:rPr>
          <w:rFonts w:ascii="Arial" w:eastAsia="SimHei" w:hAnsi="Arial" w:cs="Arial"/>
          <w:sz w:val="24"/>
          <w:szCs w:val="24"/>
          <w:lang w:eastAsia="zh-CN"/>
        </w:rPr>
        <w:t>: To develop a generic framework for grading practice in pre-registration midwifery programmes, enhancing standardisation while enabling flexibility in application of current and new educational standards.</w:t>
      </w:r>
    </w:p>
    <w:p w:rsidR="00341743" w:rsidRPr="00341743" w:rsidRDefault="00341743" w:rsidP="00341743">
      <w:pPr>
        <w:spacing w:after="0" w:line="480" w:lineRule="auto"/>
        <w:rPr>
          <w:rFonts w:ascii="Arial" w:eastAsia="SimHei" w:hAnsi="Arial" w:cs="Arial"/>
          <w:sz w:val="24"/>
          <w:szCs w:val="24"/>
          <w:lang w:eastAsia="zh-CN"/>
        </w:rPr>
      </w:pPr>
      <w:r w:rsidRPr="00341743">
        <w:rPr>
          <w:rFonts w:ascii="Arial" w:eastAsia="SimHei" w:hAnsi="Arial" w:cs="Arial"/>
          <w:b/>
          <w:sz w:val="24"/>
          <w:szCs w:val="24"/>
          <w:lang w:eastAsia="zh-CN"/>
        </w:rPr>
        <w:t>Background</w:t>
      </w:r>
      <w:r w:rsidRPr="00341743">
        <w:rPr>
          <w:rFonts w:ascii="Arial" w:eastAsia="SimHei" w:hAnsi="Arial" w:cs="Arial"/>
          <w:sz w:val="24"/>
          <w:szCs w:val="24"/>
          <w:lang w:eastAsia="zh-CN"/>
        </w:rPr>
        <w:t>: This is the final phase of a national project exploring grading of practice in programmes leading to registration as a midwife in the United Kingdom.</w:t>
      </w:r>
    </w:p>
    <w:p w:rsidR="00341743" w:rsidRPr="00341743" w:rsidRDefault="00341743" w:rsidP="00341743">
      <w:pPr>
        <w:spacing w:after="0" w:line="480" w:lineRule="auto"/>
        <w:rPr>
          <w:rFonts w:ascii="Arial" w:eastAsia="SimHei" w:hAnsi="Arial" w:cs="Arial"/>
          <w:sz w:val="24"/>
          <w:szCs w:val="24"/>
          <w:lang w:eastAsia="zh-CN"/>
        </w:rPr>
      </w:pPr>
      <w:r w:rsidRPr="00341743">
        <w:rPr>
          <w:rFonts w:ascii="Arial" w:eastAsia="SimHei" w:hAnsi="Arial" w:cs="Arial"/>
          <w:b/>
          <w:sz w:val="24"/>
          <w:szCs w:val="24"/>
          <w:lang w:eastAsia="zh-CN"/>
        </w:rPr>
        <w:t>Methods:</w:t>
      </w:r>
      <w:r w:rsidRPr="00341743">
        <w:rPr>
          <w:rFonts w:ascii="Arial" w:eastAsia="SimHei" w:hAnsi="Arial" w:cs="Arial"/>
          <w:sz w:val="24"/>
          <w:szCs w:val="24"/>
          <w:lang w:eastAsia="zh-CN"/>
        </w:rPr>
        <w:t xml:space="preserve"> A mixed method on-line survey considered existing practice assessment tools, factors contributing to robust and reliable assessment and perceptions of two assessment tools developed by the research team: a </w:t>
      </w:r>
      <w:r w:rsidRPr="00341743">
        <w:rPr>
          <w:rFonts w:ascii="Arial" w:eastAsia="SimHei" w:hAnsi="Arial" w:cs="Arial"/>
          <w:i/>
          <w:sz w:val="24"/>
          <w:szCs w:val="24"/>
          <w:lang w:eastAsia="zh-CN"/>
        </w:rPr>
        <w:t>‘Lexicon Framework’</w:t>
      </w:r>
      <w:r w:rsidRPr="00341743">
        <w:rPr>
          <w:rFonts w:ascii="Arial" w:eastAsia="SimHei" w:hAnsi="Arial" w:cs="Arial"/>
          <w:sz w:val="24"/>
          <w:szCs w:val="24"/>
          <w:lang w:eastAsia="zh-CN"/>
        </w:rPr>
        <w:t xml:space="preserve"> and </w:t>
      </w:r>
      <w:r w:rsidRPr="00341743">
        <w:rPr>
          <w:rFonts w:ascii="Arial" w:eastAsia="SimHei" w:hAnsi="Arial" w:cs="Arial"/>
          <w:i/>
          <w:sz w:val="24"/>
          <w:szCs w:val="24"/>
          <w:lang w:eastAsia="zh-CN"/>
        </w:rPr>
        <w:t>‘Rubric’</w:t>
      </w:r>
      <w:r w:rsidRPr="00341743">
        <w:rPr>
          <w:rFonts w:ascii="Arial" w:eastAsia="SimHei" w:hAnsi="Arial" w:cs="Arial"/>
          <w:sz w:val="24"/>
          <w:szCs w:val="24"/>
          <w:lang w:eastAsia="zh-CN"/>
        </w:rPr>
        <w:t>, which were tested through scenarios.</w:t>
      </w:r>
    </w:p>
    <w:p w:rsidR="00341743" w:rsidRPr="00341743" w:rsidRDefault="00341743" w:rsidP="00341743">
      <w:pPr>
        <w:spacing w:after="0" w:line="480" w:lineRule="auto"/>
        <w:rPr>
          <w:rFonts w:ascii="Arial" w:eastAsia="SimHei" w:hAnsi="Arial" w:cs="Arial"/>
          <w:sz w:val="24"/>
          <w:szCs w:val="24"/>
          <w:lang w:eastAsia="zh-CN"/>
        </w:rPr>
      </w:pPr>
      <w:r w:rsidRPr="00341743">
        <w:rPr>
          <w:rFonts w:ascii="Arial" w:eastAsia="SimHei" w:hAnsi="Arial" w:cs="Arial"/>
          <w:b/>
          <w:sz w:val="24"/>
          <w:szCs w:val="24"/>
          <w:lang w:eastAsia="zh-CN"/>
        </w:rPr>
        <w:t>Findings</w:t>
      </w:r>
      <w:r w:rsidRPr="00341743">
        <w:rPr>
          <w:rFonts w:ascii="Arial" w:eastAsia="SimHei" w:hAnsi="Arial" w:cs="Arial"/>
          <w:sz w:val="24"/>
          <w:szCs w:val="24"/>
          <w:lang w:eastAsia="zh-CN"/>
        </w:rPr>
        <w:t>: Participants included 170 midwifery and nursing academics, clinicians and students, representing 20 universities in the UK. Seven key themes emerged, from which an ‘Evidence Based Model for Professional Practice Assessment’ was developed. The proposed tools were overall positively evaluated and demonstrated a good level of reliability. Scope for transferability to nursing was identified.</w:t>
      </w:r>
    </w:p>
    <w:p w:rsidR="00341743" w:rsidRPr="00341743" w:rsidRDefault="00341743" w:rsidP="00341743">
      <w:pPr>
        <w:spacing w:after="0" w:line="480" w:lineRule="auto"/>
        <w:rPr>
          <w:rFonts w:ascii="Arial" w:eastAsia="SimHei" w:hAnsi="Arial" w:cs="Arial"/>
          <w:sz w:val="24"/>
          <w:szCs w:val="24"/>
          <w:lang w:eastAsia="zh-CN"/>
        </w:rPr>
      </w:pPr>
      <w:r w:rsidRPr="00341743">
        <w:rPr>
          <w:rFonts w:ascii="Arial" w:eastAsia="SimHei" w:hAnsi="Arial" w:cs="Arial"/>
          <w:b/>
          <w:sz w:val="24"/>
          <w:szCs w:val="24"/>
          <w:lang w:eastAsia="zh-CN"/>
        </w:rPr>
        <w:t>Recommendations</w:t>
      </w:r>
      <w:r w:rsidRPr="00341743">
        <w:rPr>
          <w:rFonts w:ascii="Arial" w:eastAsia="SimHei" w:hAnsi="Arial" w:cs="Arial"/>
          <w:sz w:val="24"/>
          <w:szCs w:val="24"/>
          <w:lang w:eastAsia="zh-CN"/>
        </w:rPr>
        <w:t xml:space="preserve">: A national tool to standardise midwifery practice assessment is recommended. Key stakeholders should engage in development of practice assessment documentation. The professional purpose of grading practice should be central to the process. A set of key principles for assessing practice is presented. </w:t>
      </w:r>
    </w:p>
    <w:p w:rsidR="0054448B" w:rsidRDefault="0054448B" w:rsidP="006717AD">
      <w:pPr>
        <w:spacing w:after="0" w:line="480" w:lineRule="auto"/>
        <w:rPr>
          <w:rFonts w:ascii="Arial" w:hAnsi="Arial" w:cs="Arial"/>
          <w:i/>
          <w:sz w:val="24"/>
          <w:szCs w:val="24"/>
        </w:rPr>
      </w:pPr>
    </w:p>
    <w:p w:rsidR="0054448B" w:rsidRDefault="0054448B" w:rsidP="006717AD">
      <w:pPr>
        <w:spacing w:after="0" w:line="480" w:lineRule="auto"/>
        <w:rPr>
          <w:rFonts w:ascii="Arial" w:hAnsi="Arial" w:cs="Arial"/>
          <w:i/>
          <w:sz w:val="24"/>
          <w:szCs w:val="24"/>
        </w:rPr>
      </w:pPr>
    </w:p>
    <w:p w:rsidR="005E6D9C" w:rsidRPr="0054448B" w:rsidRDefault="0054448B" w:rsidP="006717AD">
      <w:pPr>
        <w:spacing w:after="0" w:line="480" w:lineRule="auto"/>
        <w:rPr>
          <w:rFonts w:ascii="Arial" w:hAnsi="Arial" w:cs="Arial"/>
          <w:i/>
          <w:sz w:val="24"/>
          <w:szCs w:val="24"/>
        </w:rPr>
      </w:pPr>
      <w:r w:rsidRPr="0054448B">
        <w:rPr>
          <w:rFonts w:ascii="Arial" w:hAnsi="Arial" w:cs="Arial"/>
          <w:i/>
          <w:sz w:val="24"/>
          <w:szCs w:val="24"/>
        </w:rPr>
        <w:t xml:space="preserve">[Word count: 188] </w:t>
      </w:r>
    </w:p>
    <w:p w:rsidR="00C65C18" w:rsidRDefault="00C65C18" w:rsidP="006717AD">
      <w:pPr>
        <w:spacing w:after="0" w:line="480" w:lineRule="auto"/>
        <w:rPr>
          <w:rFonts w:ascii="Arial" w:hAnsi="Arial" w:cs="Arial"/>
          <w:i/>
          <w:sz w:val="24"/>
          <w:szCs w:val="24"/>
          <w:highlight w:val="cyan"/>
        </w:rPr>
      </w:pPr>
    </w:p>
    <w:p w:rsidR="0054448B" w:rsidRDefault="0054448B" w:rsidP="006717AD">
      <w:pPr>
        <w:spacing w:after="0" w:line="480" w:lineRule="auto"/>
        <w:rPr>
          <w:rFonts w:ascii="Arial" w:hAnsi="Arial" w:cs="Arial"/>
          <w:i/>
          <w:sz w:val="24"/>
          <w:szCs w:val="24"/>
          <w:highlight w:val="cyan"/>
        </w:rPr>
      </w:pPr>
    </w:p>
    <w:p w:rsidR="0054448B" w:rsidRPr="0054448B" w:rsidRDefault="0054448B" w:rsidP="0054448B">
      <w:pPr>
        <w:spacing w:after="0" w:line="480" w:lineRule="auto"/>
        <w:jc w:val="center"/>
        <w:rPr>
          <w:rFonts w:ascii="Arial" w:hAnsi="Arial" w:cs="Arial"/>
          <w:i/>
          <w:sz w:val="24"/>
          <w:szCs w:val="24"/>
        </w:rPr>
      </w:pPr>
      <w:r w:rsidRPr="0054448B">
        <w:rPr>
          <w:rFonts w:ascii="Arial" w:hAnsi="Arial" w:cs="Arial"/>
          <w:b/>
          <w:sz w:val="24"/>
          <w:szCs w:val="24"/>
          <w:u w:val="single"/>
        </w:rPr>
        <w:lastRenderedPageBreak/>
        <w:t>HIGHLIGHTS</w:t>
      </w:r>
      <w:r w:rsidRPr="0054448B">
        <w:rPr>
          <w:rFonts w:ascii="Arial" w:hAnsi="Arial" w:cs="Arial"/>
          <w:i/>
          <w:sz w:val="24"/>
          <w:szCs w:val="24"/>
        </w:rPr>
        <w:t xml:space="preserve"> </w:t>
      </w:r>
    </w:p>
    <w:p w:rsidR="0054448B" w:rsidRPr="0054448B" w:rsidRDefault="0054448B" w:rsidP="0054448B">
      <w:pPr>
        <w:spacing w:after="0" w:line="480" w:lineRule="auto"/>
        <w:ind w:left="720"/>
        <w:contextualSpacing/>
        <w:rPr>
          <w:rFonts w:ascii="Arial" w:hAnsi="Arial" w:cs="Arial"/>
          <w:sz w:val="24"/>
          <w:szCs w:val="24"/>
        </w:rPr>
      </w:pPr>
    </w:p>
    <w:p w:rsidR="0054448B" w:rsidRPr="0054448B" w:rsidRDefault="0054448B" w:rsidP="0054448B">
      <w:pPr>
        <w:numPr>
          <w:ilvl w:val="0"/>
          <w:numId w:val="11"/>
        </w:numPr>
        <w:spacing w:after="0" w:line="480" w:lineRule="auto"/>
        <w:contextualSpacing/>
        <w:rPr>
          <w:rFonts w:ascii="Arial" w:hAnsi="Arial" w:cs="Arial"/>
          <w:sz w:val="24"/>
          <w:szCs w:val="24"/>
        </w:rPr>
      </w:pPr>
      <w:r w:rsidRPr="0054448B">
        <w:rPr>
          <w:rFonts w:ascii="Arial" w:hAnsi="Arial" w:cs="Arial"/>
          <w:sz w:val="24"/>
          <w:szCs w:val="24"/>
        </w:rPr>
        <w:t>A national tool to standardise midwifery practice assessment is recommended</w:t>
      </w:r>
    </w:p>
    <w:p w:rsidR="0054448B" w:rsidRPr="0054448B" w:rsidRDefault="0054448B" w:rsidP="0054448B">
      <w:pPr>
        <w:numPr>
          <w:ilvl w:val="0"/>
          <w:numId w:val="11"/>
        </w:numPr>
        <w:spacing w:after="0" w:line="480" w:lineRule="auto"/>
        <w:contextualSpacing/>
        <w:rPr>
          <w:rFonts w:ascii="Arial" w:hAnsi="Arial" w:cs="Arial"/>
          <w:sz w:val="24"/>
          <w:szCs w:val="24"/>
        </w:rPr>
      </w:pPr>
      <w:r w:rsidRPr="0054448B">
        <w:rPr>
          <w:rFonts w:ascii="Arial" w:hAnsi="Arial" w:cs="Arial"/>
          <w:sz w:val="24"/>
          <w:szCs w:val="24"/>
        </w:rPr>
        <w:t>Key stakeholders should engage in development of practice assessment documentation</w:t>
      </w:r>
    </w:p>
    <w:p w:rsidR="0054448B" w:rsidRPr="0054448B" w:rsidRDefault="0054448B" w:rsidP="0054448B">
      <w:pPr>
        <w:numPr>
          <w:ilvl w:val="0"/>
          <w:numId w:val="11"/>
        </w:numPr>
        <w:spacing w:after="0" w:line="480" w:lineRule="auto"/>
        <w:contextualSpacing/>
        <w:rPr>
          <w:rFonts w:ascii="Arial" w:hAnsi="Arial" w:cs="Arial"/>
          <w:sz w:val="24"/>
          <w:szCs w:val="24"/>
        </w:rPr>
      </w:pPr>
      <w:r w:rsidRPr="0054448B">
        <w:rPr>
          <w:rFonts w:ascii="Arial" w:hAnsi="Arial" w:cs="Arial"/>
          <w:sz w:val="24"/>
          <w:szCs w:val="24"/>
        </w:rPr>
        <w:t>The professional purpose of grading practice should be central to the process</w:t>
      </w:r>
    </w:p>
    <w:p w:rsidR="0054448B" w:rsidRPr="0054448B" w:rsidRDefault="0054448B" w:rsidP="0054448B">
      <w:pPr>
        <w:numPr>
          <w:ilvl w:val="0"/>
          <w:numId w:val="11"/>
        </w:numPr>
        <w:spacing w:after="0" w:line="480" w:lineRule="auto"/>
        <w:contextualSpacing/>
        <w:rPr>
          <w:rFonts w:ascii="Arial" w:hAnsi="Arial" w:cs="Arial"/>
          <w:sz w:val="24"/>
          <w:szCs w:val="24"/>
        </w:rPr>
      </w:pPr>
      <w:r w:rsidRPr="0054448B">
        <w:rPr>
          <w:rFonts w:ascii="Arial" w:hAnsi="Arial" w:cs="Arial"/>
          <w:sz w:val="24"/>
          <w:szCs w:val="24"/>
        </w:rPr>
        <w:t>Key principles and an evidence based model for assessing practice are presented</w:t>
      </w:r>
    </w:p>
    <w:p w:rsidR="0054448B" w:rsidRPr="0054448B" w:rsidRDefault="0054448B" w:rsidP="0054448B">
      <w:pPr>
        <w:numPr>
          <w:ilvl w:val="0"/>
          <w:numId w:val="11"/>
        </w:numPr>
        <w:spacing w:after="0" w:line="480" w:lineRule="auto"/>
        <w:contextualSpacing/>
        <w:rPr>
          <w:rFonts w:ascii="Arial" w:hAnsi="Arial" w:cs="Arial"/>
          <w:sz w:val="24"/>
          <w:szCs w:val="24"/>
        </w:rPr>
      </w:pPr>
      <w:r w:rsidRPr="0054448B">
        <w:rPr>
          <w:rFonts w:ascii="Arial" w:hAnsi="Arial" w:cs="Arial"/>
          <w:sz w:val="24"/>
          <w:szCs w:val="24"/>
        </w:rPr>
        <w:t>A toolkit of generic resources supporting practice assessment is near completion</w:t>
      </w:r>
    </w:p>
    <w:p w:rsidR="0054448B" w:rsidRPr="0054448B" w:rsidRDefault="0054448B" w:rsidP="0054448B"/>
    <w:p w:rsidR="0054448B" w:rsidRDefault="0054448B" w:rsidP="0054448B">
      <w:pPr>
        <w:spacing w:after="0" w:line="480" w:lineRule="auto"/>
        <w:rPr>
          <w:rFonts w:ascii="Arial" w:hAnsi="Arial" w:cs="Arial"/>
          <w:i/>
          <w:sz w:val="24"/>
          <w:szCs w:val="24"/>
          <w:highlight w:val="cyan"/>
        </w:rPr>
      </w:pPr>
    </w:p>
    <w:p w:rsidR="00DB4CFB" w:rsidRPr="00026AA4" w:rsidRDefault="00D65909" w:rsidP="00DF335B">
      <w:pPr>
        <w:spacing w:after="0" w:line="480" w:lineRule="auto"/>
        <w:jc w:val="center"/>
        <w:rPr>
          <w:rFonts w:ascii="Arial" w:hAnsi="Arial" w:cs="Arial"/>
          <w:b/>
          <w:sz w:val="24"/>
          <w:szCs w:val="24"/>
          <w:u w:val="single"/>
        </w:rPr>
      </w:pPr>
      <w:r w:rsidRPr="00026AA4">
        <w:rPr>
          <w:rFonts w:ascii="Arial" w:hAnsi="Arial" w:cs="Arial"/>
          <w:b/>
          <w:sz w:val="24"/>
          <w:szCs w:val="24"/>
          <w:u w:val="single"/>
        </w:rPr>
        <w:t xml:space="preserve">1. </w:t>
      </w:r>
      <w:r w:rsidR="00DB4CFB" w:rsidRPr="00026AA4">
        <w:rPr>
          <w:rFonts w:ascii="Arial" w:hAnsi="Arial" w:cs="Arial"/>
          <w:b/>
          <w:sz w:val="24"/>
          <w:szCs w:val="24"/>
          <w:u w:val="single"/>
        </w:rPr>
        <w:t>INTRODUCTION</w:t>
      </w:r>
    </w:p>
    <w:p w:rsidR="00DF335B" w:rsidRPr="00026AA4" w:rsidRDefault="00DF335B" w:rsidP="00DF335B">
      <w:pPr>
        <w:spacing w:after="0" w:line="480" w:lineRule="auto"/>
        <w:jc w:val="center"/>
        <w:rPr>
          <w:rFonts w:ascii="Arial" w:hAnsi="Arial" w:cs="Arial"/>
          <w:b/>
          <w:sz w:val="24"/>
          <w:szCs w:val="24"/>
          <w:u w:val="single"/>
        </w:rPr>
      </w:pPr>
    </w:p>
    <w:p w:rsidR="00C108E0" w:rsidRPr="00026AA4" w:rsidRDefault="000C00C8" w:rsidP="00DF335B">
      <w:pPr>
        <w:tabs>
          <w:tab w:val="right" w:leader="underscore" w:pos="8630"/>
        </w:tabs>
        <w:spacing w:after="0" w:line="480" w:lineRule="auto"/>
        <w:jc w:val="both"/>
        <w:rPr>
          <w:rFonts w:ascii="Arial" w:hAnsi="Arial" w:cs="Arial"/>
          <w:sz w:val="24"/>
          <w:szCs w:val="24"/>
        </w:rPr>
      </w:pPr>
      <w:r w:rsidRPr="00026AA4">
        <w:rPr>
          <w:rFonts w:ascii="Arial" w:hAnsi="Arial" w:cs="Arial"/>
          <w:sz w:val="24"/>
          <w:szCs w:val="24"/>
        </w:rPr>
        <w:t>This</w:t>
      </w:r>
      <w:r w:rsidR="00677E39" w:rsidRPr="00026AA4">
        <w:rPr>
          <w:rFonts w:ascii="Arial" w:hAnsi="Arial" w:cs="Arial"/>
          <w:sz w:val="24"/>
          <w:szCs w:val="24"/>
        </w:rPr>
        <w:t xml:space="preserve"> paper</w:t>
      </w:r>
      <w:r w:rsidRPr="00026AA4">
        <w:rPr>
          <w:rFonts w:ascii="Arial" w:hAnsi="Arial" w:cs="Arial"/>
          <w:sz w:val="24"/>
          <w:szCs w:val="24"/>
        </w:rPr>
        <w:t xml:space="preserve"> presents the findings from the third and fi</w:t>
      </w:r>
      <w:r w:rsidR="008809F3" w:rsidRPr="00026AA4">
        <w:rPr>
          <w:rFonts w:ascii="Arial" w:hAnsi="Arial" w:cs="Arial"/>
          <w:sz w:val="24"/>
          <w:szCs w:val="24"/>
        </w:rPr>
        <w:t>nal phase of a national project</w:t>
      </w:r>
      <w:r w:rsidRPr="00026AA4">
        <w:rPr>
          <w:rFonts w:ascii="Arial" w:hAnsi="Arial" w:cs="Arial"/>
          <w:sz w:val="24"/>
          <w:szCs w:val="24"/>
        </w:rPr>
        <w:t xml:space="preserve"> conducted by and on behalf of the Lead Midwife for Education United Kingdom Executive (LME-UK)</w:t>
      </w:r>
      <w:r w:rsidR="008809F3" w:rsidRPr="00026AA4">
        <w:rPr>
          <w:rFonts w:ascii="Arial" w:hAnsi="Arial" w:cs="Arial"/>
          <w:sz w:val="24"/>
          <w:szCs w:val="24"/>
        </w:rPr>
        <w:t>, comprising</w:t>
      </w:r>
      <w:r w:rsidR="00AA151F" w:rsidRPr="00026AA4">
        <w:rPr>
          <w:rFonts w:ascii="Arial" w:hAnsi="Arial" w:cs="Arial"/>
          <w:sz w:val="24"/>
          <w:szCs w:val="24"/>
        </w:rPr>
        <w:t xml:space="preserve"> a group of senior midwife academics appointed by each</w:t>
      </w:r>
      <w:r w:rsidR="00984E92" w:rsidRPr="00026AA4">
        <w:rPr>
          <w:rFonts w:ascii="Arial" w:hAnsi="Arial" w:cs="Arial"/>
          <w:sz w:val="24"/>
          <w:szCs w:val="24"/>
        </w:rPr>
        <w:t xml:space="preserve"> of the 55 universities</w:t>
      </w:r>
      <w:r w:rsidR="00AA151F" w:rsidRPr="00026AA4">
        <w:rPr>
          <w:rFonts w:ascii="Arial" w:hAnsi="Arial" w:cs="Arial"/>
          <w:sz w:val="24"/>
          <w:szCs w:val="24"/>
        </w:rPr>
        <w:t xml:space="preserve"> in the UK </w:t>
      </w:r>
      <w:r w:rsidR="008809F3" w:rsidRPr="00026AA4">
        <w:rPr>
          <w:rFonts w:ascii="Arial" w:hAnsi="Arial" w:cs="Arial"/>
          <w:sz w:val="24"/>
          <w:szCs w:val="24"/>
        </w:rPr>
        <w:t xml:space="preserve">delivering </w:t>
      </w:r>
      <w:r w:rsidR="00AA151F" w:rsidRPr="00026AA4">
        <w:rPr>
          <w:rFonts w:ascii="Arial" w:hAnsi="Arial" w:cs="Arial"/>
          <w:sz w:val="24"/>
          <w:szCs w:val="24"/>
        </w:rPr>
        <w:t>pre-registration midwifery education – a requirement of the regulatory body, the Nur</w:t>
      </w:r>
      <w:r w:rsidR="002E2A4F" w:rsidRPr="00026AA4">
        <w:rPr>
          <w:rFonts w:ascii="Arial" w:hAnsi="Arial" w:cs="Arial"/>
          <w:sz w:val="24"/>
          <w:szCs w:val="24"/>
        </w:rPr>
        <w:t>sing and Midwifery Council (NMC, 2017a)</w:t>
      </w:r>
      <w:r w:rsidR="00AA151F" w:rsidRPr="00026AA4">
        <w:rPr>
          <w:rFonts w:ascii="Arial" w:hAnsi="Arial" w:cs="Arial"/>
          <w:sz w:val="24"/>
          <w:szCs w:val="24"/>
        </w:rPr>
        <w:t xml:space="preserve">. </w:t>
      </w:r>
      <w:r w:rsidR="00610D99" w:rsidRPr="00026AA4">
        <w:rPr>
          <w:rFonts w:ascii="Arial" w:hAnsi="Arial" w:cs="Arial"/>
          <w:sz w:val="24"/>
          <w:szCs w:val="24"/>
        </w:rPr>
        <w:t>Our</w:t>
      </w:r>
      <w:r w:rsidR="00AA151F" w:rsidRPr="00026AA4">
        <w:rPr>
          <w:rFonts w:ascii="Arial" w:hAnsi="Arial" w:cs="Arial"/>
          <w:sz w:val="24"/>
          <w:szCs w:val="24"/>
        </w:rPr>
        <w:t xml:space="preserve"> </w:t>
      </w:r>
      <w:r w:rsidR="008809F3" w:rsidRPr="00026AA4">
        <w:rPr>
          <w:rFonts w:ascii="Arial" w:hAnsi="Arial" w:cs="Arial"/>
          <w:sz w:val="24"/>
          <w:szCs w:val="24"/>
        </w:rPr>
        <w:t>five</w:t>
      </w:r>
      <w:r w:rsidR="00667D56" w:rsidRPr="00026AA4">
        <w:rPr>
          <w:rFonts w:ascii="Arial" w:hAnsi="Arial" w:cs="Arial"/>
          <w:sz w:val="24"/>
          <w:szCs w:val="24"/>
        </w:rPr>
        <w:t xml:space="preserve">-year </w:t>
      </w:r>
      <w:r w:rsidR="00AA151F" w:rsidRPr="00026AA4">
        <w:rPr>
          <w:rFonts w:ascii="Arial" w:hAnsi="Arial" w:cs="Arial"/>
          <w:sz w:val="24"/>
          <w:szCs w:val="24"/>
        </w:rPr>
        <w:t>project</w:t>
      </w:r>
      <w:r w:rsidRPr="00026AA4">
        <w:rPr>
          <w:rFonts w:ascii="Arial" w:hAnsi="Arial" w:cs="Arial"/>
          <w:sz w:val="24"/>
          <w:szCs w:val="24"/>
        </w:rPr>
        <w:t xml:space="preserve"> has explored grading of practice </w:t>
      </w:r>
      <w:r w:rsidR="002E2A4F" w:rsidRPr="00026AA4">
        <w:rPr>
          <w:rFonts w:ascii="Arial" w:hAnsi="Arial" w:cs="Arial"/>
          <w:sz w:val="24"/>
          <w:szCs w:val="24"/>
        </w:rPr>
        <w:t xml:space="preserve">in </w:t>
      </w:r>
      <w:r w:rsidR="008809F3" w:rsidRPr="00026AA4">
        <w:rPr>
          <w:rFonts w:ascii="Arial" w:hAnsi="Arial" w:cs="Arial"/>
          <w:sz w:val="24"/>
          <w:szCs w:val="24"/>
        </w:rPr>
        <w:t xml:space="preserve">educational </w:t>
      </w:r>
      <w:r w:rsidR="00AA151F" w:rsidRPr="00026AA4">
        <w:rPr>
          <w:rFonts w:ascii="Arial" w:hAnsi="Arial" w:cs="Arial"/>
          <w:sz w:val="24"/>
          <w:szCs w:val="24"/>
        </w:rPr>
        <w:t>progr</w:t>
      </w:r>
      <w:r w:rsidR="002E2A4F" w:rsidRPr="00026AA4">
        <w:rPr>
          <w:rFonts w:ascii="Arial" w:hAnsi="Arial" w:cs="Arial"/>
          <w:sz w:val="24"/>
          <w:szCs w:val="24"/>
        </w:rPr>
        <w:t>ammes lead</w:t>
      </w:r>
      <w:r w:rsidR="008809F3" w:rsidRPr="00026AA4">
        <w:rPr>
          <w:rFonts w:ascii="Arial" w:hAnsi="Arial" w:cs="Arial"/>
          <w:sz w:val="24"/>
          <w:szCs w:val="24"/>
        </w:rPr>
        <w:t>ing</w:t>
      </w:r>
      <w:r w:rsidR="002E2A4F" w:rsidRPr="00026AA4">
        <w:rPr>
          <w:rFonts w:ascii="Arial" w:hAnsi="Arial" w:cs="Arial"/>
          <w:sz w:val="24"/>
          <w:szCs w:val="24"/>
        </w:rPr>
        <w:t xml:space="preserve"> to qualification</w:t>
      </w:r>
      <w:r w:rsidR="00AA151F" w:rsidRPr="00026AA4">
        <w:rPr>
          <w:rFonts w:ascii="Arial" w:hAnsi="Arial" w:cs="Arial"/>
          <w:sz w:val="24"/>
          <w:szCs w:val="24"/>
        </w:rPr>
        <w:t xml:space="preserve"> as a midwife </w:t>
      </w:r>
      <w:r w:rsidR="00D02D8B" w:rsidRPr="00026AA4">
        <w:rPr>
          <w:rFonts w:ascii="Arial" w:hAnsi="Arial" w:cs="Arial"/>
          <w:sz w:val="24"/>
          <w:szCs w:val="24"/>
        </w:rPr>
        <w:t>(LME-UK Executive, 2018</w:t>
      </w:r>
      <w:r w:rsidR="002E2A4F" w:rsidRPr="00026AA4">
        <w:rPr>
          <w:rFonts w:ascii="Arial" w:hAnsi="Arial" w:cs="Arial"/>
          <w:sz w:val="24"/>
          <w:szCs w:val="24"/>
        </w:rPr>
        <w:t>)</w:t>
      </w:r>
      <w:r w:rsidR="008809F3" w:rsidRPr="00026AA4">
        <w:rPr>
          <w:rFonts w:ascii="Arial" w:hAnsi="Arial" w:cs="Arial"/>
          <w:sz w:val="24"/>
          <w:szCs w:val="24"/>
        </w:rPr>
        <w:t xml:space="preserve">, using a cyclical participatory action research process in which collaboration is key to achieving the end-goal (O’Brien, 1998).  </w:t>
      </w:r>
      <w:r w:rsidR="00AA151F" w:rsidRPr="00026AA4">
        <w:rPr>
          <w:rFonts w:ascii="Arial" w:hAnsi="Arial" w:cs="Arial"/>
          <w:sz w:val="24"/>
          <w:szCs w:val="24"/>
        </w:rPr>
        <w:t>The first two phases have</w:t>
      </w:r>
      <w:r w:rsidR="00677E39" w:rsidRPr="00026AA4">
        <w:rPr>
          <w:rFonts w:ascii="Arial" w:hAnsi="Arial" w:cs="Arial"/>
          <w:sz w:val="24"/>
          <w:szCs w:val="24"/>
        </w:rPr>
        <w:t xml:space="preserve"> previously</w:t>
      </w:r>
      <w:r w:rsidR="00AA151F" w:rsidRPr="00026AA4">
        <w:rPr>
          <w:rFonts w:ascii="Arial" w:hAnsi="Arial" w:cs="Arial"/>
          <w:sz w:val="24"/>
          <w:szCs w:val="24"/>
        </w:rPr>
        <w:t xml:space="preserve"> been</w:t>
      </w:r>
      <w:r w:rsidR="00677E39" w:rsidRPr="00026AA4">
        <w:rPr>
          <w:rFonts w:ascii="Arial" w:hAnsi="Arial" w:cs="Arial"/>
          <w:sz w:val="24"/>
          <w:szCs w:val="24"/>
        </w:rPr>
        <w:t xml:space="preserve"> published in this journal</w:t>
      </w:r>
      <w:r w:rsidR="00043E44" w:rsidRPr="00026AA4">
        <w:rPr>
          <w:rFonts w:ascii="Arial" w:hAnsi="Arial" w:cs="Arial"/>
          <w:sz w:val="24"/>
          <w:szCs w:val="24"/>
        </w:rPr>
        <w:t xml:space="preserve"> (Authors, </w:t>
      </w:r>
      <w:r w:rsidR="00CB049C" w:rsidRPr="00026AA4">
        <w:rPr>
          <w:rFonts w:ascii="Arial" w:hAnsi="Arial" w:cs="Arial"/>
          <w:sz w:val="24"/>
          <w:szCs w:val="24"/>
        </w:rPr>
        <w:t>2017a</w:t>
      </w:r>
      <w:r w:rsidR="00E545E4" w:rsidRPr="00026AA4">
        <w:rPr>
          <w:rFonts w:ascii="Arial" w:hAnsi="Arial" w:cs="Arial"/>
          <w:sz w:val="24"/>
          <w:szCs w:val="24"/>
        </w:rPr>
        <w:t xml:space="preserve">; </w:t>
      </w:r>
      <w:r w:rsidR="00043E44" w:rsidRPr="00026AA4">
        <w:rPr>
          <w:rFonts w:ascii="Arial" w:hAnsi="Arial" w:cs="Arial"/>
          <w:sz w:val="24"/>
          <w:szCs w:val="24"/>
        </w:rPr>
        <w:t>2017b)</w:t>
      </w:r>
      <w:r w:rsidR="008809F3" w:rsidRPr="00026AA4">
        <w:rPr>
          <w:rFonts w:ascii="Arial" w:hAnsi="Arial" w:cs="Arial"/>
          <w:sz w:val="24"/>
          <w:szCs w:val="24"/>
        </w:rPr>
        <w:t xml:space="preserve">. </w:t>
      </w:r>
      <w:r w:rsidR="00CB049C" w:rsidRPr="00026AA4">
        <w:rPr>
          <w:rFonts w:ascii="Arial" w:hAnsi="Arial" w:cs="Arial"/>
          <w:sz w:val="24"/>
          <w:szCs w:val="24"/>
        </w:rPr>
        <w:t>This final</w:t>
      </w:r>
      <w:r w:rsidR="00AA151F" w:rsidRPr="00026AA4">
        <w:rPr>
          <w:rFonts w:ascii="Arial" w:hAnsi="Arial" w:cs="Arial"/>
          <w:sz w:val="24"/>
          <w:szCs w:val="24"/>
        </w:rPr>
        <w:t xml:space="preserve"> phase </w:t>
      </w:r>
      <w:r w:rsidR="00CB049C" w:rsidRPr="00026AA4">
        <w:rPr>
          <w:rFonts w:ascii="Arial" w:hAnsi="Arial" w:cs="Arial"/>
          <w:sz w:val="24"/>
          <w:szCs w:val="24"/>
        </w:rPr>
        <w:t xml:space="preserve">comprised </w:t>
      </w:r>
      <w:r w:rsidR="00AA151F" w:rsidRPr="00026AA4">
        <w:rPr>
          <w:rFonts w:ascii="Arial" w:hAnsi="Arial" w:cs="Arial"/>
          <w:sz w:val="24"/>
          <w:szCs w:val="24"/>
        </w:rPr>
        <w:t>a</w:t>
      </w:r>
      <w:r w:rsidR="008809F3" w:rsidRPr="00026AA4">
        <w:rPr>
          <w:rFonts w:ascii="Arial" w:hAnsi="Arial" w:cs="Arial"/>
          <w:sz w:val="24"/>
          <w:szCs w:val="24"/>
        </w:rPr>
        <w:t>n</w:t>
      </w:r>
      <w:r w:rsidR="008513F1" w:rsidRPr="00026AA4">
        <w:rPr>
          <w:rFonts w:ascii="Arial" w:hAnsi="Arial" w:cs="Arial"/>
          <w:sz w:val="24"/>
          <w:szCs w:val="24"/>
        </w:rPr>
        <w:t xml:space="preserve"> on-line survey of</w:t>
      </w:r>
      <w:r w:rsidR="008809F3" w:rsidRPr="00026AA4">
        <w:rPr>
          <w:rFonts w:ascii="Arial" w:hAnsi="Arial" w:cs="Arial"/>
          <w:sz w:val="24"/>
          <w:szCs w:val="24"/>
        </w:rPr>
        <w:t xml:space="preserve"> </w:t>
      </w:r>
      <w:r w:rsidR="00AA151F" w:rsidRPr="00026AA4">
        <w:rPr>
          <w:rFonts w:ascii="Arial" w:hAnsi="Arial" w:cs="Arial"/>
          <w:sz w:val="24"/>
          <w:szCs w:val="24"/>
        </w:rPr>
        <w:t xml:space="preserve">midwifery and nursing </w:t>
      </w:r>
      <w:r w:rsidR="00610D99" w:rsidRPr="00026AA4">
        <w:rPr>
          <w:rFonts w:ascii="Arial" w:hAnsi="Arial" w:cs="Arial"/>
          <w:sz w:val="24"/>
          <w:szCs w:val="24"/>
        </w:rPr>
        <w:t>students, clinicians and academics across the UK.</w:t>
      </w:r>
    </w:p>
    <w:p w:rsidR="00C108E0" w:rsidRPr="00026AA4" w:rsidRDefault="00C108E0" w:rsidP="00DF335B">
      <w:pPr>
        <w:tabs>
          <w:tab w:val="right" w:leader="underscore" w:pos="8630"/>
        </w:tabs>
        <w:spacing w:after="0" w:line="480" w:lineRule="auto"/>
        <w:jc w:val="both"/>
        <w:rPr>
          <w:rFonts w:ascii="Arial" w:hAnsi="Arial" w:cs="Arial"/>
          <w:sz w:val="24"/>
          <w:szCs w:val="24"/>
        </w:rPr>
      </w:pPr>
    </w:p>
    <w:p w:rsidR="000C00C8" w:rsidRPr="00026AA4" w:rsidRDefault="000C00C8" w:rsidP="00DF335B">
      <w:pPr>
        <w:tabs>
          <w:tab w:val="right" w:leader="underscore" w:pos="8630"/>
        </w:tabs>
        <w:spacing w:after="0" w:line="480" w:lineRule="auto"/>
        <w:jc w:val="both"/>
        <w:rPr>
          <w:rFonts w:ascii="Arial" w:hAnsi="Arial" w:cs="Arial"/>
          <w:sz w:val="24"/>
          <w:szCs w:val="24"/>
        </w:rPr>
      </w:pPr>
      <w:r w:rsidRPr="00026AA4">
        <w:rPr>
          <w:rFonts w:ascii="Arial" w:hAnsi="Arial" w:cs="Arial"/>
          <w:sz w:val="24"/>
          <w:szCs w:val="24"/>
        </w:rPr>
        <w:t>Our findings and recommendations</w:t>
      </w:r>
      <w:r w:rsidR="007E4A53" w:rsidRPr="00026AA4">
        <w:rPr>
          <w:rFonts w:ascii="Arial" w:hAnsi="Arial" w:cs="Arial"/>
          <w:sz w:val="24"/>
          <w:szCs w:val="24"/>
        </w:rPr>
        <w:t xml:space="preserve"> contribute to the evidence-base informing</w:t>
      </w:r>
      <w:r w:rsidRPr="00026AA4">
        <w:rPr>
          <w:rFonts w:ascii="Arial" w:hAnsi="Arial" w:cs="Arial"/>
          <w:sz w:val="24"/>
          <w:szCs w:val="24"/>
        </w:rPr>
        <w:t xml:space="preserve"> new standards for pre-registration midwifery education</w:t>
      </w:r>
      <w:r w:rsidR="00C108E0" w:rsidRPr="00026AA4">
        <w:rPr>
          <w:rFonts w:ascii="Arial" w:hAnsi="Arial" w:cs="Arial"/>
          <w:sz w:val="24"/>
          <w:szCs w:val="24"/>
        </w:rPr>
        <w:t xml:space="preserve"> in the UK</w:t>
      </w:r>
      <w:r w:rsidR="00CB049C" w:rsidRPr="00026AA4">
        <w:rPr>
          <w:rFonts w:ascii="Arial" w:hAnsi="Arial" w:cs="Arial"/>
          <w:sz w:val="24"/>
          <w:szCs w:val="24"/>
        </w:rPr>
        <w:t xml:space="preserve"> </w:t>
      </w:r>
      <w:r w:rsidR="00E00220" w:rsidRPr="00026AA4">
        <w:rPr>
          <w:rFonts w:ascii="Arial" w:hAnsi="Arial" w:cs="Arial"/>
          <w:sz w:val="24"/>
          <w:szCs w:val="24"/>
        </w:rPr>
        <w:t>(NMC, 2017b</w:t>
      </w:r>
      <w:r w:rsidR="00CB049C" w:rsidRPr="00026AA4">
        <w:rPr>
          <w:rFonts w:ascii="Arial" w:hAnsi="Arial" w:cs="Arial"/>
          <w:sz w:val="24"/>
          <w:szCs w:val="24"/>
        </w:rPr>
        <w:t>).</w:t>
      </w:r>
      <w:r w:rsidRPr="00026AA4">
        <w:rPr>
          <w:rFonts w:ascii="Arial" w:hAnsi="Arial" w:cs="Arial"/>
          <w:sz w:val="24"/>
          <w:szCs w:val="24"/>
        </w:rPr>
        <w:t xml:space="preserve"> </w:t>
      </w:r>
      <w:r w:rsidR="00CB049C" w:rsidRPr="00026AA4">
        <w:rPr>
          <w:rFonts w:ascii="Arial" w:hAnsi="Arial" w:cs="Arial"/>
          <w:sz w:val="24"/>
          <w:szCs w:val="24"/>
        </w:rPr>
        <w:t>T</w:t>
      </w:r>
      <w:r w:rsidR="00D02D8B" w:rsidRPr="00026AA4">
        <w:rPr>
          <w:rFonts w:ascii="Arial" w:hAnsi="Arial" w:cs="Arial"/>
          <w:sz w:val="24"/>
          <w:szCs w:val="24"/>
        </w:rPr>
        <w:t>hey</w:t>
      </w:r>
      <w:r w:rsidR="00610D99" w:rsidRPr="00026AA4">
        <w:rPr>
          <w:rFonts w:ascii="Arial" w:hAnsi="Arial" w:cs="Arial"/>
          <w:sz w:val="24"/>
          <w:szCs w:val="24"/>
        </w:rPr>
        <w:t xml:space="preserve"> </w:t>
      </w:r>
      <w:r w:rsidRPr="00026AA4">
        <w:rPr>
          <w:rFonts w:ascii="Arial" w:hAnsi="Arial" w:cs="Arial"/>
          <w:sz w:val="24"/>
          <w:szCs w:val="24"/>
        </w:rPr>
        <w:t xml:space="preserve">have resonance in </w:t>
      </w:r>
      <w:r w:rsidR="00CB049C" w:rsidRPr="00026AA4">
        <w:rPr>
          <w:rFonts w:ascii="Arial" w:hAnsi="Arial" w:cs="Arial"/>
          <w:sz w:val="24"/>
          <w:szCs w:val="24"/>
        </w:rPr>
        <w:t xml:space="preserve">nursing </w:t>
      </w:r>
      <w:r w:rsidR="007E4A53" w:rsidRPr="00026AA4">
        <w:rPr>
          <w:rFonts w:ascii="Arial" w:hAnsi="Arial" w:cs="Arial"/>
          <w:sz w:val="24"/>
          <w:szCs w:val="24"/>
        </w:rPr>
        <w:t xml:space="preserve">and internationally </w:t>
      </w:r>
      <w:r w:rsidR="00C108E0" w:rsidRPr="00026AA4">
        <w:rPr>
          <w:rFonts w:ascii="Arial" w:hAnsi="Arial" w:cs="Arial"/>
          <w:sz w:val="24"/>
          <w:szCs w:val="24"/>
        </w:rPr>
        <w:t xml:space="preserve">for </w:t>
      </w:r>
      <w:r w:rsidR="008513F1" w:rsidRPr="00026AA4">
        <w:rPr>
          <w:rFonts w:ascii="Arial" w:hAnsi="Arial" w:cs="Arial"/>
          <w:sz w:val="24"/>
          <w:szCs w:val="24"/>
        </w:rPr>
        <w:t>academics and</w:t>
      </w:r>
      <w:r w:rsidR="00C108E0" w:rsidRPr="00026AA4">
        <w:rPr>
          <w:rFonts w:ascii="Arial" w:hAnsi="Arial" w:cs="Arial"/>
          <w:sz w:val="24"/>
          <w:szCs w:val="24"/>
        </w:rPr>
        <w:t xml:space="preserve"> clinicians who develop assessment documentatio</w:t>
      </w:r>
      <w:r w:rsidR="007E4A53" w:rsidRPr="00026AA4">
        <w:rPr>
          <w:rFonts w:ascii="Arial" w:hAnsi="Arial" w:cs="Arial"/>
          <w:sz w:val="24"/>
          <w:szCs w:val="24"/>
        </w:rPr>
        <w:t>n, facilitate learning or determine</w:t>
      </w:r>
      <w:r w:rsidR="00C108E0" w:rsidRPr="00026AA4">
        <w:rPr>
          <w:rFonts w:ascii="Arial" w:hAnsi="Arial" w:cs="Arial"/>
          <w:sz w:val="24"/>
          <w:szCs w:val="24"/>
        </w:rPr>
        <w:t xml:space="preserve"> students’ progress in </w:t>
      </w:r>
      <w:r w:rsidR="00810DD1" w:rsidRPr="00026AA4">
        <w:rPr>
          <w:rFonts w:ascii="Arial" w:hAnsi="Arial" w:cs="Arial"/>
          <w:sz w:val="24"/>
          <w:szCs w:val="24"/>
        </w:rPr>
        <w:t xml:space="preserve">professional </w:t>
      </w:r>
      <w:r w:rsidR="00C108E0" w:rsidRPr="00026AA4">
        <w:rPr>
          <w:rFonts w:ascii="Arial" w:hAnsi="Arial" w:cs="Arial"/>
          <w:sz w:val="24"/>
          <w:szCs w:val="24"/>
        </w:rPr>
        <w:t>practice settings.</w:t>
      </w:r>
      <w:r w:rsidRPr="00026AA4">
        <w:rPr>
          <w:rFonts w:ascii="Arial" w:hAnsi="Arial" w:cs="Arial"/>
          <w:sz w:val="24"/>
          <w:szCs w:val="24"/>
        </w:rPr>
        <w:t xml:space="preserve"> </w:t>
      </w:r>
    </w:p>
    <w:p w:rsidR="005E6D9C" w:rsidRPr="00026AA4" w:rsidRDefault="005E6D9C" w:rsidP="00DF335B">
      <w:pPr>
        <w:spacing w:after="0" w:line="480" w:lineRule="auto"/>
        <w:rPr>
          <w:rFonts w:ascii="Arial" w:hAnsi="Arial" w:cs="Arial"/>
          <w:b/>
          <w:sz w:val="24"/>
          <w:szCs w:val="24"/>
          <w:u w:val="single"/>
        </w:rPr>
      </w:pPr>
    </w:p>
    <w:p w:rsidR="00DB4CFB" w:rsidRPr="00026AA4" w:rsidRDefault="00D65909" w:rsidP="00DF335B">
      <w:pPr>
        <w:spacing w:after="0" w:line="480" w:lineRule="auto"/>
        <w:jc w:val="center"/>
        <w:rPr>
          <w:rFonts w:ascii="Arial" w:hAnsi="Arial" w:cs="Arial"/>
          <w:b/>
          <w:sz w:val="24"/>
          <w:szCs w:val="24"/>
          <w:u w:val="single"/>
        </w:rPr>
      </w:pPr>
      <w:r w:rsidRPr="00026AA4">
        <w:rPr>
          <w:rFonts w:ascii="Arial" w:hAnsi="Arial" w:cs="Arial"/>
          <w:b/>
          <w:sz w:val="24"/>
          <w:szCs w:val="24"/>
          <w:u w:val="single"/>
        </w:rPr>
        <w:t xml:space="preserve">2. </w:t>
      </w:r>
      <w:r w:rsidR="00DB4CFB" w:rsidRPr="00026AA4">
        <w:rPr>
          <w:rFonts w:ascii="Arial" w:hAnsi="Arial" w:cs="Arial"/>
          <w:b/>
          <w:sz w:val="24"/>
          <w:szCs w:val="24"/>
          <w:u w:val="single"/>
        </w:rPr>
        <w:t>BACKGROUND</w:t>
      </w:r>
    </w:p>
    <w:p w:rsidR="00EB42CE" w:rsidRPr="00026AA4" w:rsidRDefault="00EB42CE" w:rsidP="00DF335B">
      <w:pPr>
        <w:spacing w:after="0" w:line="480" w:lineRule="auto"/>
        <w:jc w:val="both"/>
        <w:rPr>
          <w:rFonts w:ascii="Arial" w:hAnsi="Arial" w:cs="Arial"/>
          <w:b/>
          <w:sz w:val="24"/>
          <w:szCs w:val="24"/>
          <w:u w:val="single"/>
        </w:rPr>
      </w:pPr>
    </w:p>
    <w:p w:rsidR="000027DB" w:rsidRPr="00026AA4" w:rsidRDefault="00D65909" w:rsidP="00DF335B">
      <w:pPr>
        <w:spacing w:after="0" w:line="480" w:lineRule="auto"/>
        <w:jc w:val="both"/>
        <w:rPr>
          <w:rFonts w:ascii="Arial" w:hAnsi="Arial" w:cs="Arial"/>
          <w:b/>
          <w:sz w:val="24"/>
          <w:szCs w:val="24"/>
          <w:u w:val="single"/>
        </w:rPr>
      </w:pPr>
      <w:r w:rsidRPr="00026AA4">
        <w:rPr>
          <w:rFonts w:ascii="Arial" w:hAnsi="Arial" w:cs="Arial"/>
          <w:b/>
          <w:sz w:val="24"/>
          <w:szCs w:val="24"/>
          <w:u w:val="single"/>
        </w:rPr>
        <w:t xml:space="preserve">2.1 </w:t>
      </w:r>
      <w:r w:rsidR="000027DB" w:rsidRPr="00026AA4">
        <w:rPr>
          <w:rFonts w:ascii="Arial" w:hAnsi="Arial" w:cs="Arial"/>
          <w:b/>
          <w:sz w:val="24"/>
          <w:szCs w:val="24"/>
          <w:u w:val="single"/>
        </w:rPr>
        <w:t>The professional context for grading of practice:</w:t>
      </w:r>
    </w:p>
    <w:p w:rsidR="00FC2624" w:rsidRPr="00026AA4" w:rsidRDefault="00764D5E" w:rsidP="00DF335B">
      <w:pPr>
        <w:spacing w:after="0" w:line="480" w:lineRule="auto"/>
        <w:jc w:val="both"/>
        <w:rPr>
          <w:rFonts w:ascii="Arial" w:hAnsi="Arial" w:cs="Arial"/>
          <w:sz w:val="24"/>
          <w:szCs w:val="24"/>
        </w:rPr>
      </w:pPr>
      <w:r w:rsidRPr="00026AA4">
        <w:rPr>
          <w:rFonts w:ascii="Arial" w:hAnsi="Arial" w:cs="Arial"/>
          <w:sz w:val="24"/>
          <w:szCs w:val="24"/>
        </w:rPr>
        <w:t xml:space="preserve">Globally, both the World Health Organisation (WHO, 2009) and International Confederation of Midwives (ICM, 2013) stipulate a balance of theory and practice to ensure that essential competencies for basic </w:t>
      </w:r>
      <w:r w:rsidR="008513F1" w:rsidRPr="00026AA4">
        <w:rPr>
          <w:rFonts w:ascii="Arial" w:hAnsi="Arial" w:cs="Arial"/>
          <w:sz w:val="24"/>
          <w:szCs w:val="24"/>
        </w:rPr>
        <w:t>midwifery practice are achieved, and t</w:t>
      </w:r>
      <w:r w:rsidR="008809F3" w:rsidRPr="00026AA4">
        <w:rPr>
          <w:rFonts w:ascii="Arial" w:hAnsi="Arial" w:cs="Arial"/>
          <w:sz w:val="24"/>
          <w:szCs w:val="24"/>
        </w:rPr>
        <w:t xml:space="preserve">he UK and other </w:t>
      </w:r>
      <w:r w:rsidRPr="00026AA4">
        <w:rPr>
          <w:rFonts w:ascii="Arial" w:hAnsi="Arial" w:cs="Arial"/>
          <w:sz w:val="24"/>
          <w:szCs w:val="24"/>
        </w:rPr>
        <w:t>27 members of the European U</w:t>
      </w:r>
      <w:r w:rsidR="008809F3" w:rsidRPr="00026AA4">
        <w:rPr>
          <w:rFonts w:ascii="Arial" w:hAnsi="Arial" w:cs="Arial"/>
          <w:sz w:val="24"/>
          <w:szCs w:val="24"/>
        </w:rPr>
        <w:t xml:space="preserve">nion, Australia and New Zealand </w:t>
      </w:r>
      <w:r w:rsidRPr="00026AA4">
        <w:rPr>
          <w:rFonts w:ascii="Arial" w:hAnsi="Arial" w:cs="Arial"/>
          <w:sz w:val="24"/>
          <w:szCs w:val="24"/>
        </w:rPr>
        <w:t>have adopted</w:t>
      </w:r>
      <w:r w:rsidR="00AD0627" w:rsidRPr="00026AA4">
        <w:rPr>
          <w:rFonts w:ascii="Arial" w:hAnsi="Arial" w:cs="Arial"/>
          <w:sz w:val="24"/>
          <w:szCs w:val="24"/>
        </w:rPr>
        <w:t xml:space="preserve"> these standards</w:t>
      </w:r>
      <w:r w:rsidRPr="00026AA4">
        <w:rPr>
          <w:rFonts w:ascii="Arial" w:hAnsi="Arial" w:cs="Arial"/>
          <w:sz w:val="24"/>
          <w:szCs w:val="24"/>
        </w:rPr>
        <w:t xml:space="preserve"> (Australian Nursing and Midwifery Accreditation Council, 2014; </w:t>
      </w:r>
      <w:r w:rsidR="00FE1685" w:rsidRPr="00026AA4">
        <w:rPr>
          <w:rFonts w:ascii="Arial" w:hAnsi="Arial" w:cs="Arial"/>
          <w:sz w:val="24"/>
          <w:szCs w:val="24"/>
        </w:rPr>
        <w:t xml:space="preserve">European Parliament, 2005; </w:t>
      </w:r>
      <w:r w:rsidRPr="00026AA4">
        <w:rPr>
          <w:rFonts w:ascii="Arial" w:hAnsi="Arial" w:cs="Arial"/>
          <w:sz w:val="24"/>
          <w:szCs w:val="24"/>
        </w:rPr>
        <w:t>Midwif</w:t>
      </w:r>
      <w:r w:rsidR="00026AA4" w:rsidRPr="00026AA4">
        <w:rPr>
          <w:rFonts w:ascii="Arial" w:hAnsi="Arial" w:cs="Arial"/>
          <w:sz w:val="24"/>
          <w:szCs w:val="24"/>
        </w:rPr>
        <w:t>ery Council of New Zealand, 2018</w:t>
      </w:r>
      <w:r w:rsidRPr="00026AA4">
        <w:rPr>
          <w:rFonts w:ascii="Arial" w:hAnsi="Arial" w:cs="Arial"/>
          <w:sz w:val="24"/>
          <w:szCs w:val="24"/>
        </w:rPr>
        <w:t>).</w:t>
      </w:r>
    </w:p>
    <w:p w:rsidR="00FC2624" w:rsidRPr="00026AA4" w:rsidRDefault="00FC2624" w:rsidP="00DF335B">
      <w:pPr>
        <w:spacing w:after="0" w:line="480" w:lineRule="auto"/>
        <w:jc w:val="both"/>
        <w:rPr>
          <w:rFonts w:ascii="Arial" w:hAnsi="Arial" w:cs="Arial"/>
          <w:sz w:val="24"/>
          <w:szCs w:val="24"/>
        </w:rPr>
      </w:pPr>
    </w:p>
    <w:p w:rsidR="008864F6" w:rsidRPr="00026AA4" w:rsidRDefault="00AD0627" w:rsidP="008864F6">
      <w:pPr>
        <w:spacing w:after="0" w:line="480" w:lineRule="auto"/>
        <w:jc w:val="both"/>
        <w:rPr>
          <w:rFonts w:ascii="Arial" w:hAnsi="Arial" w:cs="Arial"/>
          <w:sz w:val="24"/>
          <w:szCs w:val="24"/>
        </w:rPr>
      </w:pPr>
      <w:r w:rsidRPr="00026AA4">
        <w:rPr>
          <w:rFonts w:ascii="Arial" w:hAnsi="Arial" w:cs="Arial"/>
          <w:sz w:val="24"/>
          <w:szCs w:val="24"/>
        </w:rPr>
        <w:t>G</w:t>
      </w:r>
      <w:r w:rsidR="008864F6" w:rsidRPr="00026AA4">
        <w:rPr>
          <w:rFonts w:ascii="Arial" w:hAnsi="Arial" w:cs="Arial"/>
          <w:sz w:val="24"/>
          <w:szCs w:val="24"/>
        </w:rPr>
        <w:t>rading of practice</w:t>
      </w:r>
      <w:r w:rsidRPr="00026AA4">
        <w:rPr>
          <w:rFonts w:ascii="Arial" w:hAnsi="Arial" w:cs="Arial"/>
          <w:sz w:val="24"/>
          <w:szCs w:val="24"/>
        </w:rPr>
        <w:t>, contributing to degree classification,</w:t>
      </w:r>
      <w:r w:rsidR="008864F6" w:rsidRPr="00026AA4">
        <w:rPr>
          <w:rFonts w:ascii="Arial" w:hAnsi="Arial" w:cs="Arial"/>
          <w:sz w:val="24"/>
          <w:szCs w:val="24"/>
        </w:rPr>
        <w:t xml:space="preserve"> is </w:t>
      </w:r>
      <w:r w:rsidRPr="00026AA4">
        <w:rPr>
          <w:rFonts w:ascii="Arial" w:hAnsi="Arial" w:cs="Arial"/>
          <w:sz w:val="24"/>
          <w:szCs w:val="24"/>
        </w:rPr>
        <w:t xml:space="preserve">currently </w:t>
      </w:r>
      <w:r w:rsidR="008864F6" w:rsidRPr="00026AA4">
        <w:rPr>
          <w:rFonts w:ascii="Arial" w:hAnsi="Arial" w:cs="Arial"/>
          <w:sz w:val="24"/>
          <w:szCs w:val="24"/>
        </w:rPr>
        <w:t xml:space="preserve">mandatory </w:t>
      </w:r>
      <w:r w:rsidRPr="00026AA4">
        <w:rPr>
          <w:rFonts w:ascii="Arial" w:hAnsi="Arial" w:cs="Arial"/>
          <w:sz w:val="24"/>
          <w:szCs w:val="24"/>
        </w:rPr>
        <w:t xml:space="preserve">in UK </w:t>
      </w:r>
      <w:r w:rsidR="008864F6" w:rsidRPr="00026AA4">
        <w:rPr>
          <w:rFonts w:ascii="Arial" w:hAnsi="Arial" w:cs="Arial"/>
          <w:sz w:val="24"/>
          <w:szCs w:val="24"/>
        </w:rPr>
        <w:t>pre-registration midwifery programmes (NMC, 2009),</w:t>
      </w:r>
      <w:r w:rsidRPr="00026AA4">
        <w:rPr>
          <w:rFonts w:ascii="Arial" w:hAnsi="Arial" w:cs="Arial"/>
          <w:sz w:val="24"/>
          <w:szCs w:val="24"/>
        </w:rPr>
        <w:t xml:space="preserve"> but this is not the case in nursing </w:t>
      </w:r>
      <w:r w:rsidR="008513F1" w:rsidRPr="00026AA4">
        <w:rPr>
          <w:rFonts w:ascii="Arial" w:hAnsi="Arial" w:cs="Arial"/>
          <w:sz w:val="24"/>
          <w:szCs w:val="24"/>
        </w:rPr>
        <w:t>(NMC, 2010; 2018a</w:t>
      </w:r>
      <w:r w:rsidRPr="00026AA4">
        <w:rPr>
          <w:rFonts w:ascii="Arial" w:hAnsi="Arial" w:cs="Arial"/>
          <w:sz w:val="24"/>
          <w:szCs w:val="24"/>
        </w:rPr>
        <w:t>).</w:t>
      </w:r>
      <w:r w:rsidR="008864F6" w:rsidRPr="00026AA4">
        <w:rPr>
          <w:rFonts w:ascii="Arial" w:hAnsi="Arial" w:cs="Arial"/>
          <w:sz w:val="24"/>
          <w:szCs w:val="24"/>
        </w:rPr>
        <w:t xml:space="preserve"> The education standards specific to midwifery are currently under review </w:t>
      </w:r>
      <w:r w:rsidR="00E00220" w:rsidRPr="00026AA4">
        <w:rPr>
          <w:rFonts w:ascii="Arial" w:hAnsi="Arial" w:cs="Arial"/>
          <w:sz w:val="24"/>
          <w:szCs w:val="24"/>
        </w:rPr>
        <w:t>(NMC, 2017b</w:t>
      </w:r>
      <w:r w:rsidR="008864F6" w:rsidRPr="00026AA4">
        <w:rPr>
          <w:rFonts w:ascii="Arial" w:hAnsi="Arial" w:cs="Arial"/>
          <w:sz w:val="24"/>
          <w:szCs w:val="24"/>
        </w:rPr>
        <w:t>), and it is unknown whether grading will continue to be stipulated</w:t>
      </w:r>
      <w:r w:rsidRPr="00026AA4">
        <w:rPr>
          <w:rFonts w:ascii="Arial" w:hAnsi="Arial" w:cs="Arial"/>
          <w:sz w:val="24"/>
          <w:szCs w:val="24"/>
        </w:rPr>
        <w:t xml:space="preserve"> by the regulatory body</w:t>
      </w:r>
      <w:r w:rsidR="008864F6" w:rsidRPr="00026AA4">
        <w:rPr>
          <w:rFonts w:ascii="Arial" w:hAnsi="Arial" w:cs="Arial"/>
          <w:sz w:val="24"/>
          <w:szCs w:val="24"/>
        </w:rPr>
        <w:t xml:space="preserve"> or become optional</w:t>
      </w:r>
      <w:r w:rsidRPr="00026AA4">
        <w:rPr>
          <w:rFonts w:ascii="Arial" w:hAnsi="Arial" w:cs="Arial"/>
          <w:sz w:val="24"/>
          <w:szCs w:val="24"/>
        </w:rPr>
        <w:t>.</w:t>
      </w:r>
      <w:r w:rsidR="008864F6" w:rsidRPr="00026AA4">
        <w:rPr>
          <w:rFonts w:ascii="Arial" w:hAnsi="Arial" w:cs="Arial"/>
          <w:sz w:val="24"/>
          <w:szCs w:val="24"/>
        </w:rPr>
        <w:t xml:space="preserve"> </w:t>
      </w:r>
    </w:p>
    <w:p w:rsidR="00AD0627" w:rsidRPr="00026AA4" w:rsidRDefault="00AD0627" w:rsidP="008864F6">
      <w:pPr>
        <w:spacing w:after="0" w:line="480" w:lineRule="auto"/>
        <w:jc w:val="both"/>
        <w:rPr>
          <w:rFonts w:ascii="Arial" w:hAnsi="Arial" w:cs="Arial"/>
          <w:sz w:val="24"/>
          <w:szCs w:val="24"/>
        </w:rPr>
      </w:pPr>
    </w:p>
    <w:p w:rsidR="008864F6" w:rsidRPr="00026AA4" w:rsidRDefault="00AD0627" w:rsidP="008864F6">
      <w:pPr>
        <w:spacing w:after="0" w:line="480" w:lineRule="auto"/>
        <w:jc w:val="both"/>
        <w:rPr>
          <w:rFonts w:ascii="Arial" w:hAnsi="Arial" w:cs="Arial"/>
          <w:sz w:val="24"/>
          <w:szCs w:val="24"/>
        </w:rPr>
      </w:pPr>
      <w:r w:rsidRPr="00026AA4">
        <w:rPr>
          <w:rFonts w:ascii="Arial" w:hAnsi="Arial" w:cs="Arial"/>
          <w:sz w:val="24"/>
          <w:szCs w:val="24"/>
        </w:rPr>
        <w:t>M</w:t>
      </w:r>
      <w:r w:rsidR="008864F6" w:rsidRPr="00026AA4">
        <w:rPr>
          <w:rFonts w:ascii="Arial" w:hAnsi="Arial" w:cs="Arial"/>
          <w:sz w:val="24"/>
          <w:szCs w:val="24"/>
        </w:rPr>
        <w:t>idwifery practice in the</w:t>
      </w:r>
      <w:r w:rsidRPr="00026AA4">
        <w:rPr>
          <w:rFonts w:ascii="Arial" w:hAnsi="Arial" w:cs="Arial"/>
          <w:sz w:val="24"/>
          <w:szCs w:val="24"/>
        </w:rPr>
        <w:t xml:space="preserve"> UK must currently be assessed</w:t>
      </w:r>
      <w:r w:rsidR="008864F6" w:rsidRPr="00026AA4">
        <w:rPr>
          <w:rFonts w:ascii="Arial" w:hAnsi="Arial" w:cs="Arial"/>
          <w:sz w:val="24"/>
          <w:szCs w:val="24"/>
        </w:rPr>
        <w:t xml:space="preserve"> by registrants who have received specific preparation, annual </w:t>
      </w:r>
      <w:r w:rsidRPr="00026AA4">
        <w:rPr>
          <w:rFonts w:ascii="Arial" w:hAnsi="Arial" w:cs="Arial"/>
          <w:sz w:val="24"/>
          <w:szCs w:val="24"/>
        </w:rPr>
        <w:t>updates</w:t>
      </w:r>
      <w:r w:rsidR="008864F6" w:rsidRPr="00026AA4">
        <w:rPr>
          <w:rFonts w:ascii="Arial" w:hAnsi="Arial" w:cs="Arial"/>
          <w:sz w:val="24"/>
          <w:szCs w:val="24"/>
        </w:rPr>
        <w:t xml:space="preserve"> and have worked on a regular basis with </w:t>
      </w:r>
      <w:r w:rsidR="008864F6" w:rsidRPr="00026AA4">
        <w:rPr>
          <w:rFonts w:ascii="Arial" w:hAnsi="Arial" w:cs="Arial"/>
          <w:sz w:val="24"/>
          <w:szCs w:val="24"/>
        </w:rPr>
        <w:lastRenderedPageBreak/>
        <w:t xml:space="preserve">the student – termed ‘sign-off mentors’ (NMC, 2008). Roles for those supporting and assessing midwifery and nursing students in practice will, however, </w:t>
      </w:r>
      <w:r w:rsidRPr="00026AA4">
        <w:rPr>
          <w:rFonts w:ascii="Arial" w:hAnsi="Arial" w:cs="Arial"/>
          <w:sz w:val="24"/>
          <w:szCs w:val="24"/>
        </w:rPr>
        <w:t>soon be changing</w:t>
      </w:r>
      <w:r w:rsidR="00485939" w:rsidRPr="00026AA4">
        <w:rPr>
          <w:rFonts w:ascii="Arial" w:hAnsi="Arial" w:cs="Arial"/>
          <w:sz w:val="24"/>
          <w:szCs w:val="24"/>
        </w:rPr>
        <w:t>. ‘P</w:t>
      </w:r>
      <w:r w:rsidR="008864F6" w:rsidRPr="00026AA4">
        <w:rPr>
          <w:rFonts w:ascii="Arial" w:hAnsi="Arial" w:cs="Arial"/>
          <w:sz w:val="24"/>
          <w:szCs w:val="24"/>
        </w:rPr>
        <w:t xml:space="preserve">ractice supervisors’ from the same or another profession will </w:t>
      </w:r>
      <w:r w:rsidRPr="00026AA4">
        <w:rPr>
          <w:rFonts w:ascii="Arial" w:hAnsi="Arial" w:cs="Arial"/>
          <w:sz w:val="24"/>
          <w:szCs w:val="24"/>
        </w:rPr>
        <w:t>support and facilitate</w:t>
      </w:r>
      <w:r w:rsidR="008864F6" w:rsidRPr="00026AA4">
        <w:rPr>
          <w:rFonts w:ascii="Arial" w:hAnsi="Arial" w:cs="Arial"/>
          <w:sz w:val="24"/>
          <w:szCs w:val="24"/>
        </w:rPr>
        <w:t xml:space="preserve"> learning in t</w:t>
      </w:r>
      <w:r w:rsidR="00485939" w:rsidRPr="00026AA4">
        <w:rPr>
          <w:rFonts w:ascii="Arial" w:hAnsi="Arial" w:cs="Arial"/>
          <w:sz w:val="24"/>
          <w:szCs w:val="24"/>
        </w:rPr>
        <w:t>he relevant setting, recording</w:t>
      </w:r>
      <w:r w:rsidR="008864F6" w:rsidRPr="00026AA4">
        <w:rPr>
          <w:rFonts w:ascii="Arial" w:hAnsi="Arial" w:cs="Arial"/>
          <w:sz w:val="24"/>
          <w:szCs w:val="24"/>
        </w:rPr>
        <w:t xml:space="preserve"> the student’s progress</w:t>
      </w:r>
      <w:r w:rsidR="00485939" w:rsidRPr="00026AA4">
        <w:rPr>
          <w:rFonts w:ascii="Arial" w:hAnsi="Arial" w:cs="Arial"/>
          <w:sz w:val="24"/>
          <w:szCs w:val="24"/>
        </w:rPr>
        <w:t>. A suitabl</w:t>
      </w:r>
      <w:r w:rsidR="00D45B65" w:rsidRPr="00026AA4">
        <w:rPr>
          <w:rFonts w:ascii="Arial" w:hAnsi="Arial" w:cs="Arial"/>
          <w:sz w:val="24"/>
          <w:szCs w:val="24"/>
        </w:rPr>
        <w:t xml:space="preserve">y prepared ‘practice assessor’, </w:t>
      </w:r>
      <w:r w:rsidR="008864F6" w:rsidRPr="00026AA4">
        <w:rPr>
          <w:rFonts w:ascii="Arial" w:hAnsi="Arial" w:cs="Arial"/>
          <w:sz w:val="24"/>
          <w:szCs w:val="24"/>
        </w:rPr>
        <w:t xml:space="preserve">from the same profession </w:t>
      </w:r>
      <w:r w:rsidR="00485939" w:rsidRPr="00026AA4">
        <w:rPr>
          <w:rFonts w:ascii="Arial" w:hAnsi="Arial" w:cs="Arial"/>
          <w:sz w:val="24"/>
          <w:szCs w:val="24"/>
        </w:rPr>
        <w:t>as the student, will determine achievement based on this evidence</w:t>
      </w:r>
      <w:r w:rsidR="008864F6" w:rsidRPr="00026AA4">
        <w:rPr>
          <w:rFonts w:ascii="Arial" w:hAnsi="Arial" w:cs="Arial"/>
          <w:sz w:val="24"/>
          <w:szCs w:val="24"/>
        </w:rPr>
        <w:t xml:space="preserve"> </w:t>
      </w:r>
      <w:r w:rsidR="00F53F6C" w:rsidRPr="00026AA4">
        <w:rPr>
          <w:rFonts w:ascii="Arial" w:hAnsi="Arial" w:cs="Arial"/>
          <w:sz w:val="24"/>
          <w:szCs w:val="24"/>
        </w:rPr>
        <w:t>(NMC, 2018c</w:t>
      </w:r>
      <w:r w:rsidR="008864F6" w:rsidRPr="00026AA4">
        <w:rPr>
          <w:rFonts w:ascii="Arial" w:hAnsi="Arial" w:cs="Arial"/>
          <w:sz w:val="24"/>
          <w:szCs w:val="24"/>
        </w:rPr>
        <w:t xml:space="preserve">). For the purposes of this paper, its international readership and the current educational context, the terms ‘mentor’ and ‘assessor’ </w:t>
      </w:r>
      <w:r w:rsidR="00D45B65" w:rsidRPr="00026AA4">
        <w:rPr>
          <w:rFonts w:ascii="Arial" w:hAnsi="Arial" w:cs="Arial"/>
          <w:sz w:val="24"/>
          <w:szCs w:val="24"/>
        </w:rPr>
        <w:t>are used interchangeably</w:t>
      </w:r>
      <w:r w:rsidR="008864F6" w:rsidRPr="00026AA4">
        <w:rPr>
          <w:rFonts w:ascii="Arial" w:hAnsi="Arial" w:cs="Arial"/>
          <w:sz w:val="24"/>
          <w:szCs w:val="24"/>
        </w:rPr>
        <w:t xml:space="preserve"> to reflect the person accountable fo</w:t>
      </w:r>
      <w:r w:rsidR="003834AA" w:rsidRPr="00026AA4">
        <w:rPr>
          <w:rFonts w:ascii="Arial" w:hAnsi="Arial" w:cs="Arial"/>
          <w:sz w:val="24"/>
          <w:szCs w:val="24"/>
        </w:rPr>
        <w:t>r judging performance in practice</w:t>
      </w:r>
      <w:r w:rsidR="008864F6" w:rsidRPr="00026AA4">
        <w:rPr>
          <w:rFonts w:ascii="Arial" w:hAnsi="Arial" w:cs="Arial"/>
          <w:sz w:val="24"/>
          <w:szCs w:val="24"/>
        </w:rPr>
        <w:t xml:space="preserve">. </w:t>
      </w:r>
    </w:p>
    <w:p w:rsidR="008864F6" w:rsidRPr="00026AA4" w:rsidRDefault="008864F6" w:rsidP="00DF335B">
      <w:pPr>
        <w:spacing w:after="0" w:line="480" w:lineRule="auto"/>
        <w:jc w:val="both"/>
        <w:rPr>
          <w:rFonts w:ascii="Arial" w:hAnsi="Arial" w:cs="Arial"/>
          <w:color w:val="000000"/>
          <w:kern w:val="24"/>
          <w:sz w:val="24"/>
          <w:szCs w:val="24"/>
        </w:rPr>
      </w:pPr>
    </w:p>
    <w:p w:rsidR="00FC2624" w:rsidRPr="00EB42CE" w:rsidRDefault="00485939" w:rsidP="00FC2624">
      <w:pPr>
        <w:spacing w:after="0" w:line="480" w:lineRule="auto"/>
        <w:jc w:val="both"/>
        <w:rPr>
          <w:rFonts w:ascii="Arial" w:hAnsi="Arial" w:cs="Arial"/>
          <w:sz w:val="24"/>
          <w:szCs w:val="24"/>
        </w:rPr>
      </w:pPr>
      <w:r w:rsidRPr="00026AA4">
        <w:rPr>
          <w:rFonts w:ascii="Arial" w:hAnsi="Arial" w:cs="Arial"/>
          <w:color w:val="000000"/>
          <w:kern w:val="24"/>
          <w:sz w:val="24"/>
          <w:szCs w:val="24"/>
        </w:rPr>
        <w:t>Application of the standards set by the NMC</w:t>
      </w:r>
      <w:r w:rsidR="00EB42CE" w:rsidRPr="00026AA4">
        <w:rPr>
          <w:rFonts w:ascii="Arial" w:hAnsi="Arial" w:cs="Arial"/>
          <w:color w:val="000000"/>
          <w:kern w:val="24"/>
          <w:sz w:val="24"/>
          <w:szCs w:val="24"/>
        </w:rPr>
        <w:t xml:space="preserve"> </w:t>
      </w:r>
      <w:r w:rsidR="000027DB" w:rsidRPr="00026AA4">
        <w:rPr>
          <w:rFonts w:ascii="Arial" w:hAnsi="Arial" w:cs="Arial"/>
          <w:color w:val="000000"/>
          <w:kern w:val="24"/>
          <w:sz w:val="24"/>
          <w:szCs w:val="24"/>
        </w:rPr>
        <w:t>is the responsibility of the individual academic teams in collaboration with clinical colleagues and subject to their higher education institution’s regulations.</w:t>
      </w:r>
      <w:r w:rsidRPr="00026AA4">
        <w:rPr>
          <w:rFonts w:ascii="Arial" w:hAnsi="Arial" w:cs="Arial"/>
          <w:sz w:val="24"/>
          <w:szCs w:val="24"/>
        </w:rPr>
        <w:t xml:space="preserve"> </w:t>
      </w:r>
      <w:r w:rsidR="003B3045" w:rsidRPr="00026AA4">
        <w:rPr>
          <w:rFonts w:ascii="Arial" w:hAnsi="Arial" w:cs="Arial"/>
          <w:sz w:val="24"/>
          <w:szCs w:val="24"/>
        </w:rPr>
        <w:t xml:space="preserve">In 2013, the </w:t>
      </w:r>
      <w:r w:rsidR="00EB42CE" w:rsidRPr="00026AA4">
        <w:rPr>
          <w:rFonts w:ascii="Arial" w:hAnsi="Arial" w:cs="Arial"/>
          <w:sz w:val="24"/>
          <w:szCs w:val="24"/>
        </w:rPr>
        <w:t>LME-UK Executive</w:t>
      </w:r>
      <w:r w:rsidR="003B3045" w:rsidRPr="00026AA4">
        <w:rPr>
          <w:rFonts w:ascii="Arial" w:hAnsi="Arial" w:cs="Arial"/>
          <w:sz w:val="24"/>
          <w:szCs w:val="24"/>
        </w:rPr>
        <w:t xml:space="preserve"> </w:t>
      </w:r>
      <w:r w:rsidR="00984E92" w:rsidRPr="00026AA4">
        <w:rPr>
          <w:rFonts w:ascii="Arial" w:hAnsi="Arial" w:cs="Arial"/>
          <w:sz w:val="24"/>
          <w:szCs w:val="24"/>
        </w:rPr>
        <w:t>identified</w:t>
      </w:r>
      <w:r w:rsidRPr="00026AA4">
        <w:rPr>
          <w:rFonts w:ascii="Arial" w:hAnsi="Arial" w:cs="Arial"/>
          <w:sz w:val="24"/>
          <w:szCs w:val="24"/>
        </w:rPr>
        <w:t xml:space="preserve"> </w:t>
      </w:r>
      <w:r w:rsidR="00984E92" w:rsidRPr="00026AA4">
        <w:rPr>
          <w:rFonts w:ascii="Arial" w:hAnsi="Arial" w:cs="Arial"/>
          <w:sz w:val="24"/>
          <w:szCs w:val="24"/>
        </w:rPr>
        <w:t xml:space="preserve">that a wide range of approaches and interpretations of the NMC (2009) standards for pre-registration midwifery education was evident across the UK, reflecting </w:t>
      </w:r>
      <w:r w:rsidR="00FC2624" w:rsidRPr="00026AA4">
        <w:rPr>
          <w:rFonts w:ascii="Arial" w:hAnsi="Arial" w:cs="Arial"/>
          <w:sz w:val="24"/>
          <w:szCs w:val="24"/>
        </w:rPr>
        <w:t>experiences in other health professions (</w:t>
      </w:r>
      <w:r w:rsidR="00FE1685" w:rsidRPr="00026AA4">
        <w:rPr>
          <w:rFonts w:ascii="Arial" w:hAnsi="Arial" w:cs="Arial"/>
          <w:sz w:val="24"/>
          <w:szCs w:val="24"/>
        </w:rPr>
        <w:t>Lauder et al, 2008; Mallik and McGowan, 2007</w:t>
      </w:r>
      <w:r w:rsidR="00FC2624" w:rsidRPr="00026AA4">
        <w:rPr>
          <w:rFonts w:ascii="Arial" w:hAnsi="Arial" w:cs="Arial"/>
          <w:sz w:val="24"/>
          <w:szCs w:val="24"/>
        </w:rPr>
        <w:t xml:space="preserve">). </w:t>
      </w:r>
      <w:r w:rsidR="003B3045" w:rsidRPr="00026AA4">
        <w:rPr>
          <w:rFonts w:ascii="Arial" w:hAnsi="Arial" w:cs="Arial"/>
          <w:sz w:val="24"/>
          <w:szCs w:val="24"/>
        </w:rPr>
        <w:t xml:space="preserve"> The </w:t>
      </w:r>
      <w:r w:rsidR="00EB42CE" w:rsidRPr="00026AA4">
        <w:rPr>
          <w:rFonts w:ascii="Arial" w:hAnsi="Arial" w:cs="Arial"/>
          <w:sz w:val="24"/>
          <w:szCs w:val="24"/>
        </w:rPr>
        <w:t xml:space="preserve">group </w:t>
      </w:r>
      <w:r w:rsidR="003B3045" w:rsidRPr="00026AA4">
        <w:rPr>
          <w:rFonts w:ascii="Arial" w:hAnsi="Arial" w:cs="Arial"/>
          <w:sz w:val="24"/>
          <w:szCs w:val="24"/>
        </w:rPr>
        <w:t xml:space="preserve">sought </w:t>
      </w:r>
      <w:r w:rsidR="00984E92" w:rsidRPr="00026AA4">
        <w:rPr>
          <w:rFonts w:ascii="Arial" w:hAnsi="Arial" w:cs="Arial"/>
          <w:sz w:val="24"/>
          <w:szCs w:val="24"/>
        </w:rPr>
        <w:t>to reduce these variations,</w:t>
      </w:r>
      <w:r w:rsidR="00886FCA" w:rsidRPr="00026AA4">
        <w:rPr>
          <w:rFonts w:ascii="Arial" w:hAnsi="Arial" w:cs="Arial"/>
          <w:sz w:val="24"/>
          <w:szCs w:val="24"/>
        </w:rPr>
        <w:t xml:space="preserve"> focusing on achieving</w:t>
      </w:r>
      <w:r w:rsidR="003B3045" w:rsidRPr="00026AA4">
        <w:rPr>
          <w:rFonts w:ascii="Arial" w:hAnsi="Arial" w:cs="Arial"/>
          <w:sz w:val="24"/>
          <w:szCs w:val="24"/>
        </w:rPr>
        <w:t xml:space="preserve"> greater consistency </w:t>
      </w:r>
      <w:r w:rsidR="00984E92" w:rsidRPr="00026AA4">
        <w:rPr>
          <w:rFonts w:ascii="Arial" w:hAnsi="Arial" w:cs="Arial"/>
          <w:sz w:val="24"/>
          <w:szCs w:val="24"/>
        </w:rPr>
        <w:t>in grading practice across educational programmes leading to qualification as a midwife. A</w:t>
      </w:r>
      <w:r w:rsidR="00FC2624" w:rsidRPr="00026AA4">
        <w:rPr>
          <w:rFonts w:ascii="Arial" w:hAnsi="Arial" w:cs="Arial"/>
          <w:sz w:val="24"/>
          <w:szCs w:val="24"/>
        </w:rPr>
        <w:t xml:space="preserve"> ‘National Grading of Practice in Pre-registration Midwifery Project’</w:t>
      </w:r>
      <w:r w:rsidR="00984E92" w:rsidRPr="00026AA4">
        <w:rPr>
          <w:rFonts w:ascii="Arial" w:hAnsi="Arial" w:cs="Arial"/>
          <w:sz w:val="24"/>
          <w:szCs w:val="24"/>
        </w:rPr>
        <w:t xml:space="preserve"> </w:t>
      </w:r>
      <w:r w:rsidR="00F507AE" w:rsidRPr="00026AA4">
        <w:rPr>
          <w:rFonts w:ascii="Arial" w:hAnsi="Arial" w:cs="Arial"/>
          <w:sz w:val="24"/>
          <w:szCs w:val="24"/>
        </w:rPr>
        <w:t>(</w:t>
      </w:r>
      <w:r w:rsidR="00F507AE" w:rsidRPr="00026AA4">
        <w:rPr>
          <w:rFonts w:ascii="Arial" w:hAnsi="Arial" w:cs="Arial"/>
          <w:i/>
          <w:sz w:val="24"/>
          <w:szCs w:val="24"/>
        </w:rPr>
        <w:t>Figure 1)</w:t>
      </w:r>
      <w:r w:rsidR="00F507AE" w:rsidRPr="00026AA4">
        <w:rPr>
          <w:rFonts w:ascii="Arial" w:hAnsi="Arial" w:cs="Arial"/>
          <w:sz w:val="24"/>
          <w:szCs w:val="24"/>
        </w:rPr>
        <w:t xml:space="preserve"> </w:t>
      </w:r>
      <w:r w:rsidR="00984E92" w:rsidRPr="00026AA4">
        <w:rPr>
          <w:rFonts w:ascii="Arial" w:hAnsi="Arial" w:cs="Arial"/>
          <w:sz w:val="24"/>
          <w:szCs w:val="24"/>
        </w:rPr>
        <w:t>has therefore been undertaken by a team of previous and current LMEs with a common inte</w:t>
      </w:r>
      <w:r w:rsidR="00F507AE" w:rsidRPr="00026AA4">
        <w:rPr>
          <w:rFonts w:ascii="Arial" w:hAnsi="Arial" w:cs="Arial"/>
          <w:sz w:val="24"/>
          <w:szCs w:val="24"/>
        </w:rPr>
        <w:t>rest in practice assessment</w:t>
      </w:r>
      <w:r w:rsidR="00984E92" w:rsidRPr="00026AA4">
        <w:rPr>
          <w:rFonts w:ascii="Arial" w:hAnsi="Arial" w:cs="Arial"/>
          <w:sz w:val="24"/>
          <w:szCs w:val="24"/>
        </w:rPr>
        <w:t xml:space="preserve"> (LME-UK Executive, 2018).</w:t>
      </w:r>
    </w:p>
    <w:p w:rsidR="00FC2624" w:rsidRDefault="00FC2624" w:rsidP="00FC2624">
      <w:pPr>
        <w:tabs>
          <w:tab w:val="right" w:leader="underscore" w:pos="8630"/>
        </w:tabs>
        <w:spacing w:after="0" w:line="240" w:lineRule="auto"/>
        <w:jc w:val="both"/>
        <w:rPr>
          <w:rFonts w:ascii="Calibri" w:hAnsi="Calibri" w:cs="Calibri"/>
          <w:b/>
          <w:color w:val="2E74B5" w:themeColor="accent1" w:themeShade="BF"/>
          <w:sz w:val="24"/>
          <w:szCs w:val="24"/>
        </w:rPr>
      </w:pPr>
    </w:p>
    <w:p w:rsidR="00FC2624" w:rsidRDefault="00FC2624" w:rsidP="00FC2624">
      <w:pPr>
        <w:tabs>
          <w:tab w:val="right" w:leader="underscore" w:pos="8630"/>
        </w:tabs>
        <w:spacing w:after="0" w:line="240" w:lineRule="auto"/>
        <w:jc w:val="center"/>
        <w:rPr>
          <w:rFonts w:ascii="Calibri" w:hAnsi="Calibri" w:cs="Calibri"/>
          <w:b/>
          <w:color w:val="2E74B5" w:themeColor="accent1" w:themeShade="BF"/>
          <w:sz w:val="24"/>
          <w:szCs w:val="24"/>
        </w:rPr>
      </w:pPr>
      <w:r>
        <w:rPr>
          <w:rFonts w:ascii="Calibri" w:hAnsi="Calibri" w:cs="Calibri"/>
          <w:b/>
          <w:noProof/>
          <w:color w:val="2E74B5" w:themeColor="accent1" w:themeShade="BF"/>
          <w:sz w:val="24"/>
          <w:szCs w:val="24"/>
          <w:lang w:eastAsia="en-GB"/>
        </w:rPr>
        <w:lastRenderedPageBreak/>
        <w:drawing>
          <wp:inline distT="0" distB="0" distL="0" distR="0" wp14:anchorId="43E57483" wp14:editId="54B391CA">
            <wp:extent cx="4928260" cy="264266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3484" cy="2688369"/>
                    </a:xfrm>
                    <a:prstGeom prst="rect">
                      <a:avLst/>
                    </a:prstGeom>
                    <a:noFill/>
                  </pic:spPr>
                </pic:pic>
              </a:graphicData>
            </a:graphic>
          </wp:inline>
        </w:drawing>
      </w:r>
    </w:p>
    <w:p w:rsidR="003B3045" w:rsidRPr="005E6D9C" w:rsidRDefault="00FC2624" w:rsidP="005E6D9C">
      <w:pPr>
        <w:jc w:val="center"/>
        <w:rPr>
          <w:sz w:val="20"/>
          <w:szCs w:val="20"/>
          <w:u w:val="single"/>
        </w:rPr>
      </w:pPr>
      <w:r w:rsidRPr="00850546">
        <w:rPr>
          <w:i/>
          <w:sz w:val="20"/>
          <w:szCs w:val="20"/>
          <w:u w:val="single"/>
        </w:rPr>
        <w:t xml:space="preserve">Figure 1: </w:t>
      </w:r>
      <w:r w:rsidRPr="00850546">
        <w:rPr>
          <w:sz w:val="20"/>
          <w:szCs w:val="20"/>
          <w:u w:val="single"/>
        </w:rPr>
        <w:t>National Grading of Practice in Pre-registration Midwifery Project</w:t>
      </w:r>
    </w:p>
    <w:p w:rsidR="008E420D" w:rsidRPr="00DF335B" w:rsidRDefault="008E420D" w:rsidP="00DF335B">
      <w:pPr>
        <w:spacing w:after="0" w:line="480" w:lineRule="auto"/>
        <w:jc w:val="both"/>
        <w:rPr>
          <w:rFonts w:ascii="Arial" w:hAnsi="Arial" w:cs="Arial"/>
          <w:sz w:val="24"/>
          <w:szCs w:val="24"/>
        </w:rPr>
      </w:pPr>
    </w:p>
    <w:p w:rsidR="000027DB" w:rsidRPr="00026AA4" w:rsidRDefault="00D65909" w:rsidP="00DF335B">
      <w:pPr>
        <w:spacing w:after="0" w:line="480" w:lineRule="auto"/>
        <w:jc w:val="both"/>
        <w:rPr>
          <w:rFonts w:ascii="Arial" w:hAnsi="Arial" w:cs="Arial"/>
          <w:b/>
          <w:sz w:val="24"/>
          <w:szCs w:val="24"/>
          <w:u w:val="single"/>
        </w:rPr>
      </w:pPr>
      <w:r w:rsidRPr="00026AA4">
        <w:rPr>
          <w:rFonts w:ascii="Arial" w:hAnsi="Arial" w:cs="Arial"/>
          <w:b/>
          <w:sz w:val="24"/>
          <w:szCs w:val="24"/>
          <w:u w:val="single"/>
        </w:rPr>
        <w:t xml:space="preserve">2.2 </w:t>
      </w:r>
      <w:r w:rsidR="000027DB" w:rsidRPr="00026AA4">
        <w:rPr>
          <w:rFonts w:ascii="Arial" w:hAnsi="Arial" w:cs="Arial"/>
          <w:b/>
          <w:sz w:val="24"/>
          <w:szCs w:val="24"/>
          <w:u w:val="single"/>
        </w:rPr>
        <w:t>Rationale for the final phase:</w:t>
      </w:r>
    </w:p>
    <w:p w:rsidR="00F507AE" w:rsidRPr="00026AA4" w:rsidRDefault="000027DB" w:rsidP="00DF335B">
      <w:pPr>
        <w:spacing w:after="0" w:line="480" w:lineRule="auto"/>
        <w:jc w:val="both"/>
        <w:rPr>
          <w:rFonts w:ascii="Arial" w:hAnsi="Arial" w:cs="Arial"/>
          <w:sz w:val="24"/>
          <w:szCs w:val="24"/>
        </w:rPr>
      </w:pPr>
      <w:r w:rsidRPr="00026AA4">
        <w:rPr>
          <w:rFonts w:ascii="Arial" w:hAnsi="Arial" w:cs="Arial"/>
          <w:sz w:val="24"/>
          <w:szCs w:val="24"/>
        </w:rPr>
        <w:t>The complexity of ensuring consistency, reliability and validity in practice assessment too</w:t>
      </w:r>
      <w:r w:rsidR="00E770FD" w:rsidRPr="00026AA4">
        <w:rPr>
          <w:rFonts w:ascii="Arial" w:hAnsi="Arial" w:cs="Arial"/>
          <w:sz w:val="24"/>
          <w:szCs w:val="24"/>
        </w:rPr>
        <w:t>ls and approaches is challenging (Dalton et al, 2009; Fisher et al, 2011</w:t>
      </w:r>
      <w:r w:rsidR="00FE1685" w:rsidRPr="00026AA4">
        <w:rPr>
          <w:rFonts w:ascii="Arial" w:hAnsi="Arial" w:cs="Arial"/>
          <w:sz w:val="24"/>
          <w:szCs w:val="24"/>
        </w:rPr>
        <w:t>; Seldomridge and Walsh, 2006</w:t>
      </w:r>
      <w:r w:rsidR="00E770FD" w:rsidRPr="00026AA4">
        <w:rPr>
          <w:rFonts w:ascii="Arial" w:hAnsi="Arial" w:cs="Arial"/>
          <w:sz w:val="24"/>
          <w:szCs w:val="24"/>
        </w:rPr>
        <w:t>)</w:t>
      </w:r>
      <w:r w:rsidR="000C5DF0" w:rsidRPr="00026AA4">
        <w:rPr>
          <w:rFonts w:ascii="Arial" w:hAnsi="Arial" w:cs="Arial"/>
          <w:sz w:val="24"/>
          <w:szCs w:val="24"/>
        </w:rPr>
        <w:t xml:space="preserve">, and </w:t>
      </w:r>
      <w:r w:rsidR="00E770FD" w:rsidRPr="00026AA4">
        <w:rPr>
          <w:rFonts w:ascii="Arial" w:hAnsi="Arial" w:cs="Arial"/>
          <w:sz w:val="24"/>
          <w:szCs w:val="24"/>
        </w:rPr>
        <w:t xml:space="preserve">Maxted et al (2004) has identified </w:t>
      </w:r>
      <w:r w:rsidR="000C5DF0" w:rsidRPr="00026AA4">
        <w:rPr>
          <w:rFonts w:ascii="Arial" w:hAnsi="Arial" w:cs="Arial"/>
          <w:sz w:val="24"/>
          <w:szCs w:val="24"/>
        </w:rPr>
        <w:t xml:space="preserve">a need to develop </w:t>
      </w:r>
      <w:r w:rsidR="00DF335B" w:rsidRPr="00026AA4">
        <w:rPr>
          <w:rFonts w:ascii="Arial" w:hAnsi="Arial" w:cs="Arial"/>
          <w:sz w:val="24"/>
          <w:szCs w:val="24"/>
        </w:rPr>
        <w:t xml:space="preserve">robust </w:t>
      </w:r>
      <w:r w:rsidR="000C5DF0" w:rsidRPr="00026AA4">
        <w:rPr>
          <w:rFonts w:ascii="Arial" w:hAnsi="Arial" w:cs="Arial"/>
          <w:sz w:val="24"/>
          <w:szCs w:val="24"/>
        </w:rPr>
        <w:t xml:space="preserve">new methods with </w:t>
      </w:r>
      <w:r w:rsidR="00DF335B" w:rsidRPr="00026AA4">
        <w:rPr>
          <w:rFonts w:ascii="Arial" w:hAnsi="Arial" w:cs="Arial"/>
          <w:sz w:val="24"/>
          <w:szCs w:val="24"/>
        </w:rPr>
        <w:t>greater</w:t>
      </w:r>
      <w:r w:rsidR="000C5DF0" w:rsidRPr="00026AA4">
        <w:rPr>
          <w:rFonts w:ascii="Arial" w:hAnsi="Arial" w:cs="Arial"/>
          <w:sz w:val="24"/>
          <w:szCs w:val="24"/>
        </w:rPr>
        <w:t xml:space="preserve"> predictive power</w:t>
      </w:r>
      <w:r w:rsidR="005C4BE3" w:rsidRPr="00026AA4">
        <w:rPr>
          <w:rFonts w:ascii="Arial" w:hAnsi="Arial" w:cs="Arial"/>
          <w:sz w:val="24"/>
          <w:szCs w:val="24"/>
        </w:rPr>
        <w:t xml:space="preserve"> and authenticity</w:t>
      </w:r>
      <w:r w:rsidRPr="00026AA4">
        <w:rPr>
          <w:rFonts w:ascii="Arial" w:hAnsi="Arial" w:cs="Arial"/>
          <w:sz w:val="24"/>
          <w:szCs w:val="24"/>
        </w:rPr>
        <w:t xml:space="preserve">. </w:t>
      </w:r>
      <w:r w:rsidR="000C5DF0" w:rsidRPr="00026AA4">
        <w:rPr>
          <w:rFonts w:ascii="Arial" w:hAnsi="Arial" w:cs="Arial"/>
          <w:sz w:val="24"/>
          <w:szCs w:val="24"/>
        </w:rPr>
        <w:t xml:space="preserve"> </w:t>
      </w:r>
    </w:p>
    <w:p w:rsidR="00F507AE" w:rsidRPr="00026AA4" w:rsidRDefault="00F507AE" w:rsidP="00DF335B">
      <w:pPr>
        <w:spacing w:after="0" w:line="480" w:lineRule="auto"/>
        <w:jc w:val="both"/>
        <w:rPr>
          <w:rFonts w:ascii="Arial" w:hAnsi="Arial" w:cs="Arial"/>
          <w:sz w:val="24"/>
          <w:szCs w:val="24"/>
        </w:rPr>
      </w:pPr>
    </w:p>
    <w:p w:rsidR="000C00C8" w:rsidRPr="00026AA4" w:rsidRDefault="000C5DF0" w:rsidP="00DF335B">
      <w:pPr>
        <w:spacing w:after="0" w:line="480" w:lineRule="auto"/>
        <w:jc w:val="both"/>
        <w:rPr>
          <w:rFonts w:ascii="Arial" w:hAnsi="Arial" w:cs="Arial"/>
          <w:sz w:val="24"/>
          <w:szCs w:val="24"/>
        </w:rPr>
      </w:pPr>
      <w:r w:rsidRPr="00026AA4">
        <w:rPr>
          <w:rFonts w:ascii="Arial" w:hAnsi="Arial" w:cs="Arial"/>
          <w:sz w:val="24"/>
          <w:szCs w:val="24"/>
        </w:rPr>
        <w:t>T</w:t>
      </w:r>
      <w:r w:rsidR="000C00C8" w:rsidRPr="00026AA4">
        <w:rPr>
          <w:rFonts w:ascii="Arial" w:hAnsi="Arial" w:cs="Arial"/>
          <w:sz w:val="24"/>
          <w:szCs w:val="24"/>
        </w:rPr>
        <w:t xml:space="preserve">he findings </w:t>
      </w:r>
      <w:r w:rsidR="000027DB" w:rsidRPr="00026AA4">
        <w:rPr>
          <w:rFonts w:ascii="Arial" w:hAnsi="Arial" w:cs="Arial"/>
          <w:sz w:val="24"/>
          <w:szCs w:val="24"/>
        </w:rPr>
        <w:t>from the</w:t>
      </w:r>
      <w:r w:rsidR="00E770FD" w:rsidRPr="00026AA4">
        <w:rPr>
          <w:rFonts w:ascii="Arial" w:hAnsi="Arial" w:cs="Arial"/>
          <w:sz w:val="24"/>
          <w:szCs w:val="24"/>
        </w:rPr>
        <w:t xml:space="preserve"> </w:t>
      </w:r>
      <w:r w:rsidR="00CB7E3E" w:rsidRPr="00026AA4">
        <w:rPr>
          <w:rFonts w:ascii="Arial" w:hAnsi="Arial" w:cs="Arial"/>
          <w:sz w:val="24"/>
          <w:szCs w:val="24"/>
        </w:rPr>
        <w:t>scoping study</w:t>
      </w:r>
      <w:r w:rsidR="00F507AE" w:rsidRPr="00026AA4">
        <w:rPr>
          <w:rFonts w:ascii="Arial" w:hAnsi="Arial" w:cs="Arial"/>
          <w:sz w:val="24"/>
          <w:szCs w:val="24"/>
        </w:rPr>
        <w:t xml:space="preserve"> in the first phase of our project </w:t>
      </w:r>
      <w:r w:rsidR="00F507AE" w:rsidRPr="00026AA4">
        <w:rPr>
          <w:rFonts w:ascii="Arial" w:hAnsi="Arial" w:cs="Arial"/>
          <w:i/>
          <w:sz w:val="24"/>
          <w:szCs w:val="24"/>
        </w:rPr>
        <w:t>(Figure 1)</w:t>
      </w:r>
      <w:r w:rsidR="000027DB" w:rsidRPr="00026AA4">
        <w:rPr>
          <w:rFonts w:ascii="Arial" w:hAnsi="Arial" w:cs="Arial"/>
          <w:sz w:val="24"/>
          <w:szCs w:val="24"/>
        </w:rPr>
        <w:t xml:space="preserve"> </w:t>
      </w:r>
      <w:r w:rsidR="000C00C8" w:rsidRPr="00026AA4">
        <w:rPr>
          <w:rFonts w:ascii="Arial" w:hAnsi="Arial" w:cs="Arial"/>
          <w:sz w:val="24"/>
          <w:szCs w:val="24"/>
        </w:rPr>
        <w:t xml:space="preserve">supported a move to reducing variations in approach to practice assessment, </w:t>
      </w:r>
      <w:r w:rsidR="00D45B65" w:rsidRPr="00026AA4">
        <w:rPr>
          <w:rFonts w:ascii="Arial" w:hAnsi="Arial" w:cs="Arial"/>
          <w:sz w:val="24"/>
          <w:szCs w:val="24"/>
        </w:rPr>
        <w:t xml:space="preserve">thus </w:t>
      </w:r>
      <w:r w:rsidR="00DF335B" w:rsidRPr="00026AA4">
        <w:rPr>
          <w:rFonts w:ascii="Arial" w:hAnsi="Arial" w:cs="Arial"/>
          <w:sz w:val="24"/>
          <w:szCs w:val="24"/>
        </w:rPr>
        <w:t>strengthening the rigour</w:t>
      </w:r>
      <w:r w:rsidR="000C00C8" w:rsidRPr="00026AA4">
        <w:rPr>
          <w:rFonts w:ascii="Arial" w:hAnsi="Arial" w:cs="Arial"/>
          <w:sz w:val="24"/>
          <w:szCs w:val="24"/>
        </w:rPr>
        <w:t xml:space="preserve"> of the process</w:t>
      </w:r>
      <w:r w:rsidR="00E770FD" w:rsidRPr="00026AA4">
        <w:rPr>
          <w:rFonts w:ascii="Arial" w:hAnsi="Arial" w:cs="Arial"/>
          <w:sz w:val="24"/>
          <w:szCs w:val="24"/>
        </w:rPr>
        <w:t xml:space="preserve"> (Authors, 2017a)</w:t>
      </w:r>
      <w:r w:rsidR="000C00C8" w:rsidRPr="00026AA4">
        <w:rPr>
          <w:rFonts w:ascii="Arial" w:hAnsi="Arial" w:cs="Arial"/>
          <w:sz w:val="24"/>
          <w:szCs w:val="24"/>
        </w:rPr>
        <w:t xml:space="preserve">. </w:t>
      </w:r>
    </w:p>
    <w:p w:rsidR="000C00C8" w:rsidRPr="00026AA4" w:rsidRDefault="000C00C8" w:rsidP="00DF335B">
      <w:pPr>
        <w:spacing w:after="0" w:line="480" w:lineRule="auto"/>
        <w:jc w:val="both"/>
        <w:textAlignment w:val="baseline"/>
        <w:rPr>
          <w:rFonts w:ascii="Arial" w:hAnsi="Arial" w:cs="Arial"/>
          <w:sz w:val="24"/>
          <w:szCs w:val="24"/>
        </w:rPr>
      </w:pPr>
    </w:p>
    <w:p w:rsidR="000C5DF0" w:rsidRPr="00026AA4" w:rsidRDefault="000C5DF0" w:rsidP="003324C8">
      <w:pPr>
        <w:spacing w:after="0" w:line="480" w:lineRule="auto"/>
        <w:jc w:val="both"/>
        <w:textAlignment w:val="baseline"/>
        <w:rPr>
          <w:rFonts w:ascii="Arial" w:hAnsi="Arial" w:cs="Arial"/>
          <w:sz w:val="24"/>
          <w:szCs w:val="24"/>
        </w:rPr>
      </w:pPr>
      <w:r w:rsidRPr="00026AA4">
        <w:rPr>
          <w:rFonts w:ascii="Arial" w:hAnsi="Arial" w:cs="Arial"/>
          <w:sz w:val="24"/>
          <w:szCs w:val="24"/>
        </w:rPr>
        <w:t xml:space="preserve">In the second phase, </w:t>
      </w:r>
      <w:r w:rsidR="00F507AE" w:rsidRPr="00026AA4">
        <w:rPr>
          <w:rFonts w:ascii="Arial" w:hAnsi="Arial" w:cs="Arial"/>
          <w:sz w:val="24"/>
          <w:szCs w:val="24"/>
        </w:rPr>
        <w:t>a Mini-Delphi process</w:t>
      </w:r>
      <w:r w:rsidR="00CB7E3E" w:rsidRPr="00026AA4">
        <w:rPr>
          <w:rFonts w:ascii="Arial" w:hAnsi="Arial" w:cs="Arial"/>
          <w:sz w:val="24"/>
          <w:szCs w:val="24"/>
        </w:rPr>
        <w:t xml:space="preserve"> (Green et al, 2007) </w:t>
      </w:r>
      <w:r w:rsidR="000C00C8" w:rsidRPr="00026AA4">
        <w:rPr>
          <w:rFonts w:ascii="Arial" w:hAnsi="Arial" w:cs="Arial"/>
          <w:sz w:val="24"/>
          <w:szCs w:val="24"/>
        </w:rPr>
        <w:t xml:space="preserve">achieved consensus on a set of 11 core principles </w:t>
      </w:r>
      <w:r w:rsidR="00D45B65" w:rsidRPr="00026AA4">
        <w:rPr>
          <w:rFonts w:ascii="Arial" w:hAnsi="Arial" w:cs="Arial"/>
          <w:sz w:val="24"/>
          <w:szCs w:val="24"/>
        </w:rPr>
        <w:t xml:space="preserve">drawn from these findings </w:t>
      </w:r>
      <w:r w:rsidR="00F507AE" w:rsidRPr="00026AA4">
        <w:rPr>
          <w:rFonts w:ascii="Arial" w:hAnsi="Arial" w:cs="Arial"/>
          <w:sz w:val="24"/>
          <w:szCs w:val="24"/>
        </w:rPr>
        <w:t>(Authors, 2017b)</w:t>
      </w:r>
      <w:r w:rsidR="000C00C8" w:rsidRPr="00026AA4">
        <w:rPr>
          <w:rFonts w:ascii="Arial" w:hAnsi="Arial" w:cs="Arial"/>
          <w:sz w:val="24"/>
          <w:szCs w:val="24"/>
        </w:rPr>
        <w:t xml:space="preserve">. One </w:t>
      </w:r>
      <w:r w:rsidR="00CB7E3E" w:rsidRPr="00026AA4">
        <w:rPr>
          <w:rFonts w:ascii="Arial" w:hAnsi="Arial" w:cs="Arial"/>
          <w:sz w:val="24"/>
          <w:szCs w:val="24"/>
        </w:rPr>
        <w:t xml:space="preserve">has led </w:t>
      </w:r>
      <w:r w:rsidR="003324C8" w:rsidRPr="00026AA4">
        <w:rPr>
          <w:rFonts w:ascii="Arial" w:hAnsi="Arial" w:cs="Arial"/>
          <w:sz w:val="24"/>
          <w:szCs w:val="24"/>
        </w:rPr>
        <w:t xml:space="preserve">to </w:t>
      </w:r>
      <w:r w:rsidR="00F507AE" w:rsidRPr="00026AA4">
        <w:rPr>
          <w:rFonts w:ascii="Arial" w:hAnsi="Arial" w:cs="Arial"/>
          <w:sz w:val="24"/>
          <w:szCs w:val="24"/>
        </w:rPr>
        <w:t>the third and final phase of our</w:t>
      </w:r>
      <w:r w:rsidR="003324C8" w:rsidRPr="00026AA4">
        <w:rPr>
          <w:rFonts w:ascii="Arial" w:hAnsi="Arial" w:cs="Arial"/>
          <w:sz w:val="24"/>
          <w:szCs w:val="24"/>
        </w:rPr>
        <w:t xml:space="preserve"> project: </w:t>
      </w:r>
    </w:p>
    <w:p w:rsidR="000C00C8" w:rsidRPr="00026AA4" w:rsidRDefault="000C00C8" w:rsidP="00DF335B">
      <w:pPr>
        <w:spacing w:after="0" w:line="480" w:lineRule="auto"/>
        <w:ind w:left="720"/>
        <w:jc w:val="both"/>
        <w:rPr>
          <w:rFonts w:ascii="Arial" w:hAnsi="Arial" w:cs="Arial"/>
          <w:bCs/>
          <w:sz w:val="24"/>
          <w:szCs w:val="24"/>
          <w:lang w:val="en-US"/>
        </w:rPr>
      </w:pPr>
      <w:r w:rsidRPr="00026AA4">
        <w:rPr>
          <w:rFonts w:ascii="Arial" w:hAnsi="Arial" w:cs="Arial"/>
          <w:i/>
          <w:sz w:val="24"/>
          <w:szCs w:val="24"/>
        </w:rPr>
        <w:t>“</w:t>
      </w:r>
      <w:r w:rsidRPr="00026AA4">
        <w:rPr>
          <w:rFonts w:ascii="Arial" w:hAnsi="Arial" w:cs="Arial"/>
          <w:bCs/>
          <w:i/>
          <w:sz w:val="24"/>
          <w:szCs w:val="24"/>
          <w:lang w:val="en-US"/>
        </w:rPr>
        <w:t xml:space="preserve">A common set of grading criteria comprising qualitative comments which would attract different types of scoring (eg: %, mark, A-F etc depending on institutional requirements and programme preferences) will be developed to enhance </w:t>
      </w:r>
      <w:r w:rsidRPr="00026AA4">
        <w:rPr>
          <w:rFonts w:ascii="Arial" w:hAnsi="Arial" w:cs="Arial"/>
          <w:bCs/>
          <w:i/>
          <w:sz w:val="24"/>
          <w:szCs w:val="24"/>
          <w:lang w:val="en-US"/>
        </w:rPr>
        <w:lastRenderedPageBreak/>
        <w:t>standardisation of the measure of competence/ performance in midwifery practice across the UK”</w:t>
      </w:r>
      <w:r w:rsidRPr="00026AA4">
        <w:rPr>
          <w:rFonts w:ascii="Arial" w:hAnsi="Arial" w:cs="Arial"/>
          <w:bCs/>
          <w:sz w:val="24"/>
          <w:szCs w:val="24"/>
          <w:lang w:val="en-US"/>
        </w:rPr>
        <w:t xml:space="preserve"> (</w:t>
      </w:r>
      <w:r w:rsidR="00395C8C" w:rsidRPr="00026AA4">
        <w:rPr>
          <w:rFonts w:ascii="Arial" w:hAnsi="Arial" w:cs="Arial"/>
          <w:bCs/>
          <w:sz w:val="24"/>
          <w:szCs w:val="24"/>
          <w:lang w:val="en-US"/>
        </w:rPr>
        <w:t xml:space="preserve">Authors, 2017b, </w:t>
      </w:r>
      <w:r w:rsidRPr="00026AA4">
        <w:rPr>
          <w:rFonts w:ascii="Arial" w:hAnsi="Arial" w:cs="Arial"/>
          <w:bCs/>
          <w:sz w:val="24"/>
          <w:szCs w:val="24"/>
          <w:lang w:val="en-US"/>
        </w:rPr>
        <w:t xml:space="preserve">p58). </w:t>
      </w:r>
    </w:p>
    <w:p w:rsidR="005E6D9C" w:rsidRPr="00026AA4" w:rsidRDefault="005E6D9C" w:rsidP="000C00C8">
      <w:pPr>
        <w:tabs>
          <w:tab w:val="right" w:leader="underscore" w:pos="8630"/>
        </w:tabs>
        <w:spacing w:after="0" w:line="240" w:lineRule="auto"/>
        <w:jc w:val="both"/>
        <w:rPr>
          <w:rFonts w:ascii="Calibri" w:hAnsi="Calibri" w:cs="Calibri"/>
          <w:b/>
          <w:color w:val="2E74B5" w:themeColor="accent1" w:themeShade="BF"/>
        </w:rPr>
      </w:pPr>
    </w:p>
    <w:p w:rsidR="005E6D9C" w:rsidRPr="00026AA4" w:rsidRDefault="005E6D9C" w:rsidP="000C00C8">
      <w:pPr>
        <w:tabs>
          <w:tab w:val="right" w:leader="underscore" w:pos="8630"/>
        </w:tabs>
        <w:spacing w:after="0" w:line="240" w:lineRule="auto"/>
        <w:jc w:val="both"/>
        <w:rPr>
          <w:rFonts w:ascii="Calibri" w:hAnsi="Calibri" w:cs="Calibri"/>
          <w:b/>
          <w:color w:val="2E74B5" w:themeColor="accent1" w:themeShade="BF"/>
        </w:rPr>
      </w:pPr>
    </w:p>
    <w:p w:rsidR="000C00C8" w:rsidRPr="00026AA4" w:rsidRDefault="000C00C8" w:rsidP="000C00C8">
      <w:pPr>
        <w:tabs>
          <w:tab w:val="right" w:leader="underscore" w:pos="8630"/>
        </w:tabs>
        <w:spacing w:after="0" w:line="240" w:lineRule="auto"/>
        <w:jc w:val="both"/>
        <w:rPr>
          <w:rFonts w:ascii="Calibri" w:hAnsi="Calibri" w:cs="Calibri"/>
          <w:b/>
          <w:color w:val="2E74B5" w:themeColor="accent1" w:themeShade="BF"/>
          <w:sz w:val="24"/>
          <w:szCs w:val="24"/>
        </w:rPr>
      </w:pPr>
    </w:p>
    <w:p w:rsidR="00DB4CFB" w:rsidRPr="00026AA4" w:rsidRDefault="00D65909" w:rsidP="00A83FA7">
      <w:pPr>
        <w:spacing w:after="0" w:line="480" w:lineRule="auto"/>
        <w:jc w:val="center"/>
        <w:rPr>
          <w:rFonts w:ascii="Arial" w:hAnsi="Arial" w:cs="Arial"/>
          <w:b/>
          <w:sz w:val="24"/>
          <w:szCs w:val="24"/>
          <w:u w:val="single"/>
        </w:rPr>
      </w:pPr>
      <w:r w:rsidRPr="00026AA4">
        <w:rPr>
          <w:rFonts w:ascii="Arial" w:hAnsi="Arial" w:cs="Arial"/>
          <w:b/>
          <w:sz w:val="24"/>
          <w:szCs w:val="24"/>
          <w:u w:val="single"/>
        </w:rPr>
        <w:t xml:space="preserve">3. </w:t>
      </w:r>
      <w:r w:rsidR="00DB4CFB" w:rsidRPr="00026AA4">
        <w:rPr>
          <w:rFonts w:ascii="Arial" w:hAnsi="Arial" w:cs="Arial"/>
          <w:b/>
          <w:sz w:val="24"/>
          <w:szCs w:val="24"/>
          <w:u w:val="single"/>
        </w:rPr>
        <w:t>METHODS</w:t>
      </w:r>
    </w:p>
    <w:p w:rsidR="00DB4CFB" w:rsidRPr="00026AA4" w:rsidRDefault="00DB4CFB" w:rsidP="00A83FA7">
      <w:pPr>
        <w:spacing w:after="0" w:line="480" w:lineRule="auto"/>
        <w:jc w:val="both"/>
        <w:rPr>
          <w:rFonts w:ascii="Arial" w:hAnsi="Arial" w:cs="Arial"/>
          <w:b/>
          <w:sz w:val="24"/>
          <w:szCs w:val="24"/>
          <w:u w:val="single"/>
        </w:rPr>
      </w:pPr>
    </w:p>
    <w:p w:rsidR="00DB4CFB" w:rsidRPr="00026AA4" w:rsidRDefault="00D65909" w:rsidP="00A83FA7">
      <w:pPr>
        <w:spacing w:after="0" w:line="480" w:lineRule="auto"/>
        <w:jc w:val="both"/>
        <w:rPr>
          <w:rFonts w:ascii="Arial" w:hAnsi="Arial" w:cs="Arial"/>
          <w:b/>
          <w:sz w:val="24"/>
          <w:szCs w:val="24"/>
          <w:u w:val="single"/>
        </w:rPr>
      </w:pPr>
      <w:r w:rsidRPr="00026AA4">
        <w:rPr>
          <w:rFonts w:ascii="Arial" w:hAnsi="Arial" w:cs="Arial"/>
          <w:b/>
          <w:sz w:val="24"/>
          <w:szCs w:val="24"/>
          <w:u w:val="single"/>
        </w:rPr>
        <w:t xml:space="preserve">3.1 </w:t>
      </w:r>
      <w:r w:rsidR="00DB4CFB" w:rsidRPr="00026AA4">
        <w:rPr>
          <w:rFonts w:ascii="Arial" w:hAnsi="Arial" w:cs="Arial"/>
          <w:b/>
          <w:sz w:val="24"/>
          <w:szCs w:val="24"/>
          <w:u w:val="single"/>
        </w:rPr>
        <w:t>Aim:</w:t>
      </w:r>
    </w:p>
    <w:p w:rsidR="000C00C8" w:rsidRPr="00026AA4" w:rsidRDefault="000C00C8" w:rsidP="001308CD">
      <w:pPr>
        <w:spacing w:after="0" w:line="480" w:lineRule="auto"/>
        <w:jc w:val="both"/>
        <w:rPr>
          <w:rFonts w:ascii="Arial" w:hAnsi="Arial" w:cs="Arial"/>
          <w:sz w:val="24"/>
          <w:szCs w:val="24"/>
        </w:rPr>
      </w:pPr>
      <w:r w:rsidRPr="00026AA4">
        <w:rPr>
          <w:rFonts w:ascii="Arial" w:hAnsi="Arial" w:cs="Arial"/>
          <w:sz w:val="24"/>
          <w:szCs w:val="24"/>
        </w:rPr>
        <w:t>Th</w:t>
      </w:r>
      <w:r w:rsidR="00F507AE" w:rsidRPr="00026AA4">
        <w:rPr>
          <w:rFonts w:ascii="Arial" w:hAnsi="Arial" w:cs="Arial"/>
          <w:sz w:val="24"/>
          <w:szCs w:val="24"/>
        </w:rPr>
        <w:t>e aim of the</w:t>
      </w:r>
      <w:r w:rsidR="007051C0" w:rsidRPr="00026AA4">
        <w:rPr>
          <w:rFonts w:ascii="Arial" w:hAnsi="Arial" w:cs="Arial"/>
          <w:sz w:val="24"/>
          <w:szCs w:val="24"/>
        </w:rPr>
        <w:t xml:space="preserve"> final phase of our</w:t>
      </w:r>
      <w:r w:rsidR="00F507AE" w:rsidRPr="00026AA4">
        <w:rPr>
          <w:rFonts w:ascii="Arial" w:hAnsi="Arial" w:cs="Arial"/>
          <w:sz w:val="24"/>
          <w:szCs w:val="24"/>
        </w:rPr>
        <w:t xml:space="preserve"> </w:t>
      </w:r>
      <w:r w:rsidRPr="00026AA4">
        <w:rPr>
          <w:rFonts w:ascii="Arial" w:hAnsi="Arial" w:cs="Arial"/>
          <w:sz w:val="24"/>
          <w:szCs w:val="24"/>
        </w:rPr>
        <w:t xml:space="preserve">project was to develop </w:t>
      </w:r>
      <w:r w:rsidR="003324C8" w:rsidRPr="00026AA4">
        <w:rPr>
          <w:rFonts w:ascii="Arial" w:hAnsi="Arial" w:cs="Arial"/>
          <w:sz w:val="24"/>
          <w:szCs w:val="24"/>
        </w:rPr>
        <w:t xml:space="preserve">a </w:t>
      </w:r>
      <w:r w:rsidR="00A83FA7" w:rsidRPr="00026AA4">
        <w:rPr>
          <w:rFonts w:ascii="Arial" w:hAnsi="Arial" w:cs="Arial"/>
          <w:sz w:val="24"/>
          <w:szCs w:val="24"/>
        </w:rPr>
        <w:t xml:space="preserve">generic </w:t>
      </w:r>
      <w:r w:rsidRPr="00026AA4">
        <w:rPr>
          <w:rFonts w:ascii="Arial" w:hAnsi="Arial" w:cs="Arial"/>
          <w:sz w:val="24"/>
          <w:szCs w:val="24"/>
        </w:rPr>
        <w:t xml:space="preserve">framework </w:t>
      </w:r>
      <w:r w:rsidR="00F507AE" w:rsidRPr="00026AA4">
        <w:rPr>
          <w:rFonts w:ascii="Arial" w:hAnsi="Arial" w:cs="Arial"/>
          <w:sz w:val="24"/>
          <w:szCs w:val="24"/>
        </w:rPr>
        <w:t>for grading practice in</w:t>
      </w:r>
      <w:r w:rsidR="001308CD" w:rsidRPr="00026AA4">
        <w:rPr>
          <w:rFonts w:ascii="Arial" w:hAnsi="Arial" w:cs="Arial"/>
          <w:sz w:val="24"/>
          <w:szCs w:val="24"/>
        </w:rPr>
        <w:t xml:space="preserve"> pre-regi</w:t>
      </w:r>
      <w:r w:rsidR="00F507AE" w:rsidRPr="00026AA4">
        <w:rPr>
          <w:rFonts w:ascii="Arial" w:hAnsi="Arial" w:cs="Arial"/>
          <w:sz w:val="24"/>
          <w:szCs w:val="24"/>
        </w:rPr>
        <w:t>stration midwifery</w:t>
      </w:r>
      <w:r w:rsidRPr="00026AA4">
        <w:rPr>
          <w:rFonts w:ascii="Arial" w:hAnsi="Arial" w:cs="Arial"/>
          <w:sz w:val="24"/>
          <w:szCs w:val="24"/>
        </w:rPr>
        <w:t xml:space="preserve">, </w:t>
      </w:r>
      <w:r w:rsidR="001308CD" w:rsidRPr="00026AA4">
        <w:rPr>
          <w:rFonts w:ascii="Arial" w:hAnsi="Arial" w:cs="Arial"/>
          <w:sz w:val="24"/>
          <w:szCs w:val="24"/>
        </w:rPr>
        <w:t>enhancing</w:t>
      </w:r>
      <w:r w:rsidRPr="00026AA4">
        <w:rPr>
          <w:rFonts w:ascii="Arial" w:hAnsi="Arial" w:cs="Arial"/>
          <w:sz w:val="24"/>
          <w:szCs w:val="24"/>
        </w:rPr>
        <w:t xml:space="preserve"> standardisation while enabling flexibility regarding the awarding of specific grades or broader indicators of levels of attainment.  </w:t>
      </w:r>
      <w:r w:rsidR="00A83FA7" w:rsidRPr="00026AA4">
        <w:rPr>
          <w:rFonts w:ascii="Arial" w:hAnsi="Arial" w:cs="Arial"/>
          <w:sz w:val="24"/>
          <w:szCs w:val="24"/>
        </w:rPr>
        <w:t xml:space="preserve">This would </w:t>
      </w:r>
      <w:r w:rsidR="003324C8" w:rsidRPr="00026AA4">
        <w:rPr>
          <w:rFonts w:ascii="Arial" w:hAnsi="Arial" w:cs="Arial"/>
          <w:sz w:val="24"/>
          <w:szCs w:val="24"/>
        </w:rPr>
        <w:t>accommodate variations</w:t>
      </w:r>
      <w:r w:rsidR="00A83FA7" w:rsidRPr="00026AA4">
        <w:rPr>
          <w:rFonts w:ascii="Arial" w:hAnsi="Arial" w:cs="Arial"/>
          <w:sz w:val="24"/>
          <w:szCs w:val="24"/>
        </w:rPr>
        <w:t xml:space="preserve"> and </w:t>
      </w:r>
      <w:r w:rsidR="003324C8" w:rsidRPr="00026AA4">
        <w:rPr>
          <w:rFonts w:ascii="Arial" w:hAnsi="Arial" w:cs="Arial"/>
          <w:sz w:val="24"/>
          <w:szCs w:val="24"/>
        </w:rPr>
        <w:t>future-</w:t>
      </w:r>
      <w:r w:rsidR="00A83FA7" w:rsidRPr="00026AA4">
        <w:rPr>
          <w:rFonts w:ascii="Arial" w:hAnsi="Arial" w:cs="Arial"/>
          <w:sz w:val="24"/>
          <w:szCs w:val="24"/>
        </w:rPr>
        <w:t>proof</w:t>
      </w:r>
      <w:r w:rsidR="003324C8" w:rsidRPr="00026AA4">
        <w:rPr>
          <w:rFonts w:ascii="Arial" w:hAnsi="Arial" w:cs="Arial"/>
          <w:sz w:val="24"/>
          <w:szCs w:val="24"/>
        </w:rPr>
        <w:t xml:space="preserve"> against changes to </w:t>
      </w:r>
      <w:r w:rsidR="001308CD" w:rsidRPr="00026AA4">
        <w:rPr>
          <w:rFonts w:ascii="Arial" w:hAnsi="Arial" w:cs="Arial"/>
          <w:sz w:val="24"/>
          <w:szCs w:val="24"/>
        </w:rPr>
        <w:t xml:space="preserve">regulatory requirements, </w:t>
      </w:r>
      <w:r w:rsidR="003324C8" w:rsidRPr="00026AA4">
        <w:rPr>
          <w:rFonts w:ascii="Arial" w:hAnsi="Arial" w:cs="Arial"/>
          <w:sz w:val="24"/>
          <w:szCs w:val="24"/>
        </w:rPr>
        <w:t xml:space="preserve">or </w:t>
      </w:r>
      <w:r w:rsidR="001308CD" w:rsidRPr="00026AA4">
        <w:rPr>
          <w:rFonts w:ascii="Arial" w:hAnsi="Arial" w:cs="Arial"/>
          <w:sz w:val="24"/>
          <w:szCs w:val="24"/>
        </w:rPr>
        <w:t>institutional preferences,</w:t>
      </w:r>
      <w:r w:rsidR="003324C8" w:rsidRPr="00026AA4">
        <w:rPr>
          <w:rFonts w:ascii="Arial" w:hAnsi="Arial" w:cs="Arial"/>
          <w:sz w:val="24"/>
          <w:szCs w:val="24"/>
        </w:rPr>
        <w:t xml:space="preserve"> for graded or </w:t>
      </w:r>
      <w:r w:rsidR="001308CD" w:rsidRPr="00026AA4">
        <w:rPr>
          <w:rFonts w:ascii="Arial" w:hAnsi="Arial" w:cs="Arial"/>
          <w:sz w:val="24"/>
          <w:szCs w:val="24"/>
        </w:rPr>
        <w:t>non-graded practice assessment.</w:t>
      </w:r>
    </w:p>
    <w:p w:rsidR="001308CD" w:rsidRPr="00026AA4" w:rsidRDefault="001308CD" w:rsidP="001308CD">
      <w:pPr>
        <w:spacing w:after="0" w:line="480" w:lineRule="auto"/>
        <w:jc w:val="both"/>
        <w:rPr>
          <w:rFonts w:ascii="Arial" w:hAnsi="Arial" w:cs="Arial"/>
          <w:sz w:val="24"/>
          <w:szCs w:val="24"/>
        </w:rPr>
      </w:pPr>
    </w:p>
    <w:p w:rsidR="003324C8" w:rsidRPr="00026AA4" w:rsidRDefault="001308CD" w:rsidP="00A83FA7">
      <w:pPr>
        <w:spacing w:after="0" w:line="480" w:lineRule="auto"/>
        <w:jc w:val="both"/>
        <w:rPr>
          <w:rFonts w:ascii="Arial" w:hAnsi="Arial" w:cs="Arial"/>
          <w:sz w:val="24"/>
          <w:szCs w:val="24"/>
        </w:rPr>
      </w:pPr>
      <w:r w:rsidRPr="00026AA4">
        <w:rPr>
          <w:rFonts w:ascii="Arial" w:hAnsi="Arial" w:cs="Arial"/>
          <w:sz w:val="24"/>
          <w:szCs w:val="24"/>
        </w:rPr>
        <w:t>It was proposed that the framework</w:t>
      </w:r>
      <w:r w:rsidR="000C00C8" w:rsidRPr="00026AA4">
        <w:rPr>
          <w:rFonts w:ascii="Arial" w:hAnsi="Arial" w:cs="Arial"/>
          <w:sz w:val="24"/>
          <w:szCs w:val="24"/>
        </w:rPr>
        <w:t xml:space="preserve"> would be suitable for use throughout all midwifery programmes</w:t>
      </w:r>
      <w:r w:rsidRPr="00026AA4">
        <w:rPr>
          <w:rFonts w:ascii="Arial" w:hAnsi="Arial" w:cs="Arial"/>
          <w:sz w:val="24"/>
          <w:szCs w:val="24"/>
        </w:rPr>
        <w:t xml:space="preserve"> nationally </w:t>
      </w:r>
      <w:r w:rsidR="000C00C8" w:rsidRPr="00026AA4">
        <w:rPr>
          <w:rFonts w:ascii="Arial" w:hAnsi="Arial" w:cs="Arial"/>
          <w:sz w:val="24"/>
          <w:szCs w:val="24"/>
        </w:rPr>
        <w:t xml:space="preserve">and with any practice assessment tool, </w:t>
      </w:r>
      <w:r w:rsidRPr="00026AA4">
        <w:rPr>
          <w:rFonts w:ascii="Arial" w:hAnsi="Arial" w:cs="Arial"/>
          <w:sz w:val="24"/>
          <w:szCs w:val="24"/>
        </w:rPr>
        <w:t>with potential to adapt it</w:t>
      </w:r>
      <w:r w:rsidR="000C00C8" w:rsidRPr="00026AA4">
        <w:rPr>
          <w:rFonts w:ascii="Arial" w:hAnsi="Arial" w:cs="Arial"/>
          <w:sz w:val="24"/>
          <w:szCs w:val="24"/>
        </w:rPr>
        <w:t xml:space="preserve"> to other professions</w:t>
      </w:r>
      <w:r w:rsidRPr="00026AA4">
        <w:rPr>
          <w:rFonts w:ascii="Arial" w:hAnsi="Arial" w:cs="Arial"/>
          <w:sz w:val="24"/>
          <w:szCs w:val="24"/>
        </w:rPr>
        <w:t xml:space="preserve"> or countries</w:t>
      </w:r>
      <w:r w:rsidR="000C00C8" w:rsidRPr="00026AA4">
        <w:rPr>
          <w:rFonts w:ascii="Arial" w:hAnsi="Arial" w:cs="Arial"/>
          <w:sz w:val="24"/>
          <w:szCs w:val="24"/>
        </w:rPr>
        <w:t xml:space="preserve">.  </w:t>
      </w:r>
    </w:p>
    <w:p w:rsidR="005E6D9C" w:rsidRPr="00026AA4" w:rsidRDefault="005E6D9C" w:rsidP="000C00C8">
      <w:pPr>
        <w:spacing w:after="0" w:line="480" w:lineRule="auto"/>
      </w:pPr>
    </w:p>
    <w:p w:rsidR="003324C8" w:rsidRPr="00026AA4" w:rsidRDefault="00D65909" w:rsidP="00EC2A0E">
      <w:pPr>
        <w:spacing w:after="0" w:line="480" w:lineRule="auto"/>
        <w:rPr>
          <w:rFonts w:ascii="Arial" w:hAnsi="Arial" w:cs="Arial"/>
          <w:b/>
          <w:sz w:val="24"/>
          <w:szCs w:val="24"/>
          <w:u w:val="single"/>
        </w:rPr>
      </w:pPr>
      <w:r w:rsidRPr="00026AA4">
        <w:rPr>
          <w:rFonts w:ascii="Arial" w:hAnsi="Arial" w:cs="Arial"/>
          <w:b/>
          <w:sz w:val="24"/>
          <w:szCs w:val="24"/>
          <w:u w:val="single"/>
        </w:rPr>
        <w:t xml:space="preserve">3.2 </w:t>
      </w:r>
      <w:r w:rsidR="003324C8" w:rsidRPr="00026AA4">
        <w:rPr>
          <w:rFonts w:ascii="Arial" w:hAnsi="Arial" w:cs="Arial"/>
          <w:b/>
          <w:sz w:val="24"/>
          <w:szCs w:val="24"/>
          <w:u w:val="single"/>
        </w:rPr>
        <w:t>Study design:</w:t>
      </w:r>
    </w:p>
    <w:p w:rsidR="000C00C8" w:rsidRPr="00026AA4" w:rsidRDefault="00A83FA7" w:rsidP="00EC2A0E">
      <w:pPr>
        <w:spacing w:after="0" w:line="480" w:lineRule="auto"/>
        <w:jc w:val="both"/>
        <w:rPr>
          <w:rFonts w:ascii="Arial" w:hAnsi="Arial" w:cs="Arial"/>
          <w:sz w:val="24"/>
          <w:szCs w:val="24"/>
        </w:rPr>
      </w:pPr>
      <w:r w:rsidRPr="00026AA4">
        <w:rPr>
          <w:rFonts w:ascii="Arial" w:hAnsi="Arial" w:cs="Arial"/>
          <w:sz w:val="24"/>
          <w:szCs w:val="24"/>
        </w:rPr>
        <w:t xml:space="preserve">This </w:t>
      </w:r>
      <w:r w:rsidR="000C00C8" w:rsidRPr="00026AA4">
        <w:rPr>
          <w:rFonts w:ascii="Arial" w:hAnsi="Arial" w:cs="Arial"/>
          <w:sz w:val="24"/>
          <w:szCs w:val="24"/>
        </w:rPr>
        <w:t xml:space="preserve">descriptive study </w:t>
      </w:r>
      <w:r w:rsidRPr="00026AA4">
        <w:rPr>
          <w:rFonts w:ascii="Arial" w:hAnsi="Arial" w:cs="Arial"/>
          <w:sz w:val="24"/>
          <w:szCs w:val="24"/>
        </w:rPr>
        <w:t xml:space="preserve">comprised a mixed method on-line survey </w:t>
      </w:r>
      <w:r w:rsidR="00D65909" w:rsidRPr="00026AA4">
        <w:rPr>
          <w:rFonts w:ascii="Arial" w:hAnsi="Arial" w:cs="Arial"/>
          <w:sz w:val="24"/>
          <w:szCs w:val="24"/>
        </w:rPr>
        <w:t xml:space="preserve">exploring </w:t>
      </w:r>
      <w:r w:rsidRPr="00026AA4">
        <w:rPr>
          <w:rFonts w:ascii="Arial" w:hAnsi="Arial" w:cs="Arial"/>
          <w:sz w:val="24"/>
          <w:szCs w:val="24"/>
        </w:rPr>
        <w:t>participant views of their existing practice assess</w:t>
      </w:r>
      <w:r w:rsidR="00774D5A" w:rsidRPr="00026AA4">
        <w:rPr>
          <w:rFonts w:ascii="Arial" w:hAnsi="Arial" w:cs="Arial"/>
          <w:sz w:val="24"/>
          <w:szCs w:val="24"/>
        </w:rPr>
        <w:t>ment tool, consideration of factors contributing</w:t>
      </w:r>
      <w:r w:rsidRPr="00026AA4">
        <w:rPr>
          <w:rFonts w:ascii="Arial" w:hAnsi="Arial" w:cs="Arial"/>
          <w:sz w:val="24"/>
          <w:szCs w:val="24"/>
        </w:rPr>
        <w:t xml:space="preserve"> to a robust and reliable assessment process and perceptions of two proposed assessment tools developed by the research team: a </w:t>
      </w:r>
      <w:r w:rsidR="00B1466B" w:rsidRPr="00026AA4">
        <w:rPr>
          <w:rFonts w:ascii="Arial" w:hAnsi="Arial" w:cs="Arial"/>
          <w:i/>
          <w:sz w:val="24"/>
          <w:szCs w:val="24"/>
        </w:rPr>
        <w:t>‘</w:t>
      </w:r>
      <w:r w:rsidRPr="00026AA4">
        <w:rPr>
          <w:rFonts w:ascii="Arial" w:hAnsi="Arial" w:cs="Arial"/>
          <w:i/>
          <w:sz w:val="24"/>
          <w:szCs w:val="24"/>
        </w:rPr>
        <w:t>Lexicon Framework</w:t>
      </w:r>
      <w:r w:rsidR="00B1466B" w:rsidRPr="00026AA4">
        <w:rPr>
          <w:rFonts w:ascii="Arial" w:hAnsi="Arial" w:cs="Arial"/>
          <w:i/>
          <w:sz w:val="24"/>
          <w:szCs w:val="24"/>
        </w:rPr>
        <w:t>’</w:t>
      </w:r>
      <w:r w:rsidRPr="00026AA4">
        <w:rPr>
          <w:rFonts w:ascii="Arial" w:hAnsi="Arial" w:cs="Arial"/>
          <w:sz w:val="24"/>
          <w:szCs w:val="24"/>
        </w:rPr>
        <w:t xml:space="preserve"> and </w:t>
      </w:r>
      <w:r w:rsidR="00B1466B" w:rsidRPr="00026AA4">
        <w:rPr>
          <w:rFonts w:ascii="Arial" w:hAnsi="Arial" w:cs="Arial"/>
          <w:i/>
          <w:sz w:val="24"/>
          <w:szCs w:val="24"/>
        </w:rPr>
        <w:t>‘</w:t>
      </w:r>
      <w:r w:rsidRPr="00026AA4">
        <w:rPr>
          <w:rFonts w:ascii="Arial" w:hAnsi="Arial" w:cs="Arial"/>
          <w:i/>
          <w:sz w:val="24"/>
          <w:szCs w:val="24"/>
        </w:rPr>
        <w:t>Rubric</w:t>
      </w:r>
      <w:r w:rsidR="00B1466B" w:rsidRPr="00026AA4">
        <w:rPr>
          <w:rFonts w:ascii="Arial" w:hAnsi="Arial" w:cs="Arial"/>
          <w:i/>
          <w:sz w:val="24"/>
          <w:szCs w:val="24"/>
        </w:rPr>
        <w:t>’</w:t>
      </w:r>
      <w:r w:rsidRPr="00026AA4">
        <w:rPr>
          <w:rFonts w:ascii="Arial" w:hAnsi="Arial" w:cs="Arial"/>
          <w:sz w:val="24"/>
          <w:szCs w:val="24"/>
        </w:rPr>
        <w:t xml:space="preserve">. </w:t>
      </w:r>
      <w:r w:rsidR="00EC2A0E" w:rsidRPr="00026AA4">
        <w:rPr>
          <w:rFonts w:ascii="Arial" w:hAnsi="Arial" w:cs="Arial"/>
          <w:sz w:val="24"/>
          <w:szCs w:val="24"/>
        </w:rPr>
        <w:t>Although the primary aim was to explore their application to midwifery, the research team decided</w:t>
      </w:r>
      <w:r w:rsidR="001308CD" w:rsidRPr="00026AA4">
        <w:rPr>
          <w:rFonts w:ascii="Arial" w:hAnsi="Arial" w:cs="Arial"/>
          <w:sz w:val="24"/>
          <w:szCs w:val="24"/>
        </w:rPr>
        <w:t xml:space="preserve"> to include nursing participants so that potential for transferability could be determined. </w:t>
      </w:r>
      <w:r w:rsidR="00D65909" w:rsidRPr="00026AA4">
        <w:rPr>
          <w:rFonts w:ascii="Arial" w:hAnsi="Arial" w:cs="Arial"/>
          <w:sz w:val="24"/>
          <w:szCs w:val="24"/>
        </w:rPr>
        <w:t>I</w:t>
      </w:r>
      <w:r w:rsidR="00EC2A0E" w:rsidRPr="00026AA4">
        <w:rPr>
          <w:rFonts w:ascii="Arial" w:hAnsi="Arial" w:cs="Arial"/>
          <w:sz w:val="24"/>
          <w:szCs w:val="24"/>
        </w:rPr>
        <w:t xml:space="preserve">nformation about professional registration and </w:t>
      </w:r>
      <w:r w:rsidR="00EC2A0E" w:rsidRPr="00026AA4">
        <w:rPr>
          <w:rFonts w:ascii="Arial" w:hAnsi="Arial" w:cs="Arial"/>
          <w:sz w:val="24"/>
          <w:szCs w:val="24"/>
        </w:rPr>
        <w:lastRenderedPageBreak/>
        <w:t>stakeholder categories</w:t>
      </w:r>
      <w:r w:rsidR="007051C0" w:rsidRPr="00026AA4">
        <w:rPr>
          <w:rFonts w:ascii="Arial" w:hAnsi="Arial" w:cs="Arial"/>
          <w:sz w:val="24"/>
          <w:szCs w:val="24"/>
        </w:rPr>
        <w:t xml:space="preserve"> of academics, clinicians and students</w:t>
      </w:r>
      <w:r w:rsidR="00EC2A0E" w:rsidRPr="00026AA4">
        <w:rPr>
          <w:rFonts w:ascii="Arial" w:hAnsi="Arial" w:cs="Arial"/>
          <w:sz w:val="24"/>
          <w:szCs w:val="24"/>
        </w:rPr>
        <w:t xml:space="preserve"> was identified at the start of the s</w:t>
      </w:r>
      <w:r w:rsidR="001308CD" w:rsidRPr="00026AA4">
        <w:rPr>
          <w:rFonts w:ascii="Arial" w:hAnsi="Arial" w:cs="Arial"/>
          <w:sz w:val="24"/>
          <w:szCs w:val="24"/>
        </w:rPr>
        <w:t>urvey.</w:t>
      </w:r>
    </w:p>
    <w:p w:rsidR="0083009E" w:rsidRPr="00026AA4" w:rsidRDefault="0083009E" w:rsidP="0083009E">
      <w:pPr>
        <w:spacing w:after="0" w:line="480" w:lineRule="auto"/>
        <w:jc w:val="both"/>
        <w:rPr>
          <w:rFonts w:ascii="Arial" w:hAnsi="Arial" w:cs="Arial"/>
          <w:sz w:val="24"/>
          <w:szCs w:val="24"/>
        </w:rPr>
      </w:pPr>
    </w:p>
    <w:p w:rsidR="0036241C" w:rsidRPr="00026AA4" w:rsidRDefault="001308CD" w:rsidP="0036241C">
      <w:pPr>
        <w:spacing w:after="0" w:line="480" w:lineRule="auto"/>
        <w:jc w:val="both"/>
        <w:rPr>
          <w:rFonts w:ascii="Arial" w:hAnsi="Arial" w:cs="Arial"/>
          <w:b/>
          <w:sz w:val="24"/>
          <w:szCs w:val="24"/>
          <w:u w:val="single"/>
        </w:rPr>
      </w:pPr>
      <w:r w:rsidRPr="00026AA4">
        <w:rPr>
          <w:rFonts w:ascii="Arial" w:hAnsi="Arial" w:cs="Arial"/>
          <w:b/>
          <w:sz w:val="24"/>
          <w:szCs w:val="24"/>
          <w:u w:val="single"/>
        </w:rPr>
        <w:t>3.3</w:t>
      </w:r>
      <w:r w:rsidR="00D65909" w:rsidRPr="00026AA4">
        <w:rPr>
          <w:rFonts w:ascii="Arial" w:hAnsi="Arial" w:cs="Arial"/>
          <w:b/>
          <w:sz w:val="24"/>
          <w:szCs w:val="24"/>
          <w:u w:val="single"/>
        </w:rPr>
        <w:t xml:space="preserve"> </w:t>
      </w:r>
      <w:r w:rsidR="007051C0" w:rsidRPr="00026AA4">
        <w:rPr>
          <w:rFonts w:ascii="Arial" w:hAnsi="Arial" w:cs="Arial"/>
          <w:b/>
          <w:sz w:val="24"/>
          <w:szCs w:val="24"/>
          <w:u w:val="single"/>
        </w:rPr>
        <w:t>Development of the assessment</w:t>
      </w:r>
      <w:r w:rsidR="0083009E" w:rsidRPr="00026AA4">
        <w:rPr>
          <w:rFonts w:ascii="Arial" w:hAnsi="Arial" w:cs="Arial"/>
          <w:b/>
          <w:sz w:val="24"/>
          <w:szCs w:val="24"/>
          <w:u w:val="single"/>
        </w:rPr>
        <w:t xml:space="preserve"> tools</w:t>
      </w:r>
      <w:r w:rsidR="00385A53" w:rsidRPr="00026AA4">
        <w:rPr>
          <w:rFonts w:ascii="Arial" w:hAnsi="Arial" w:cs="Arial"/>
          <w:b/>
          <w:sz w:val="24"/>
          <w:szCs w:val="24"/>
          <w:u w:val="single"/>
        </w:rPr>
        <w:t xml:space="preserve"> – Lexicon Frameworks and Rubrics</w:t>
      </w:r>
      <w:r w:rsidR="0083009E" w:rsidRPr="00026AA4">
        <w:rPr>
          <w:rFonts w:ascii="Arial" w:hAnsi="Arial" w:cs="Arial"/>
          <w:b/>
          <w:sz w:val="24"/>
          <w:szCs w:val="24"/>
          <w:u w:val="single"/>
        </w:rPr>
        <w:t>:</w:t>
      </w:r>
    </w:p>
    <w:p w:rsidR="000C00C8" w:rsidRPr="00BC6904" w:rsidRDefault="0036241C" w:rsidP="0036241C">
      <w:pPr>
        <w:spacing w:after="0" w:line="480" w:lineRule="auto"/>
        <w:jc w:val="both"/>
        <w:rPr>
          <w:rFonts w:ascii="Arial" w:hAnsi="Arial" w:cs="Arial"/>
          <w:b/>
          <w:sz w:val="24"/>
          <w:szCs w:val="24"/>
          <w:u w:val="single"/>
        </w:rPr>
      </w:pPr>
      <w:r w:rsidRPr="00026AA4">
        <w:rPr>
          <w:rFonts w:ascii="Arial" w:hAnsi="Arial" w:cs="Arial"/>
          <w:sz w:val="24"/>
          <w:szCs w:val="24"/>
        </w:rPr>
        <w:t>Twenty-eight</w:t>
      </w:r>
      <w:r w:rsidR="000C00C8" w:rsidRPr="00026AA4">
        <w:rPr>
          <w:rFonts w:ascii="Arial" w:hAnsi="Arial" w:cs="Arial"/>
          <w:sz w:val="24"/>
          <w:szCs w:val="24"/>
        </w:rPr>
        <w:t xml:space="preserve"> </w:t>
      </w:r>
      <w:r w:rsidRPr="00026AA4">
        <w:rPr>
          <w:rFonts w:ascii="Arial" w:hAnsi="Arial" w:cs="Arial"/>
          <w:sz w:val="24"/>
          <w:szCs w:val="24"/>
        </w:rPr>
        <w:t xml:space="preserve">practice assessment documents </w:t>
      </w:r>
      <w:r w:rsidR="000C00C8" w:rsidRPr="00026AA4">
        <w:rPr>
          <w:rFonts w:ascii="Arial" w:hAnsi="Arial" w:cs="Arial"/>
          <w:sz w:val="24"/>
          <w:szCs w:val="24"/>
        </w:rPr>
        <w:t>were received</w:t>
      </w:r>
      <w:r w:rsidRPr="00026AA4">
        <w:rPr>
          <w:rFonts w:ascii="Arial" w:hAnsi="Arial" w:cs="Arial"/>
          <w:sz w:val="24"/>
          <w:szCs w:val="24"/>
        </w:rPr>
        <w:t xml:space="preserve"> from the LMEs</w:t>
      </w:r>
      <w:r w:rsidR="007051C0" w:rsidRPr="00026AA4">
        <w:rPr>
          <w:rFonts w:ascii="Arial" w:hAnsi="Arial" w:cs="Arial"/>
          <w:sz w:val="24"/>
          <w:szCs w:val="24"/>
        </w:rPr>
        <w:t>,</w:t>
      </w:r>
      <w:r w:rsidRPr="00026AA4">
        <w:rPr>
          <w:rFonts w:ascii="Arial" w:hAnsi="Arial" w:cs="Arial"/>
          <w:sz w:val="24"/>
          <w:szCs w:val="24"/>
        </w:rPr>
        <w:t xml:space="preserve"> </w:t>
      </w:r>
      <w:r w:rsidR="00BD1901" w:rsidRPr="00026AA4">
        <w:rPr>
          <w:rFonts w:ascii="Arial" w:hAnsi="Arial" w:cs="Arial"/>
          <w:sz w:val="24"/>
          <w:szCs w:val="24"/>
        </w:rPr>
        <w:t>representing 37</w:t>
      </w:r>
      <w:r w:rsidRPr="00026AA4">
        <w:rPr>
          <w:rFonts w:ascii="Arial" w:hAnsi="Arial" w:cs="Arial"/>
          <w:sz w:val="24"/>
          <w:szCs w:val="24"/>
        </w:rPr>
        <w:t xml:space="preserve"> of the 55</w:t>
      </w:r>
      <w:r w:rsidR="007051C0" w:rsidRPr="00026AA4">
        <w:rPr>
          <w:rFonts w:ascii="Arial" w:hAnsi="Arial" w:cs="Arial"/>
          <w:sz w:val="24"/>
          <w:szCs w:val="24"/>
        </w:rPr>
        <w:t xml:space="preserve"> universities</w:t>
      </w:r>
      <w:r w:rsidR="00D45B65" w:rsidRPr="00026AA4">
        <w:rPr>
          <w:rFonts w:ascii="Arial" w:hAnsi="Arial" w:cs="Arial"/>
          <w:sz w:val="24"/>
          <w:szCs w:val="24"/>
        </w:rPr>
        <w:t xml:space="preserve"> (67.2%)</w:t>
      </w:r>
      <w:r w:rsidR="007051C0" w:rsidRPr="00026AA4">
        <w:rPr>
          <w:rFonts w:ascii="Arial" w:hAnsi="Arial" w:cs="Arial"/>
          <w:sz w:val="24"/>
          <w:szCs w:val="24"/>
        </w:rPr>
        <w:t xml:space="preserve"> </w:t>
      </w:r>
      <w:r w:rsidR="00D45B65" w:rsidRPr="00026AA4">
        <w:rPr>
          <w:rFonts w:ascii="Arial" w:hAnsi="Arial" w:cs="Arial"/>
          <w:sz w:val="24"/>
          <w:szCs w:val="24"/>
        </w:rPr>
        <w:t xml:space="preserve">as </w:t>
      </w:r>
      <w:r w:rsidR="000C00C8" w:rsidRPr="00026AA4">
        <w:rPr>
          <w:rFonts w:ascii="Arial" w:hAnsi="Arial" w:cs="Arial"/>
          <w:sz w:val="24"/>
          <w:szCs w:val="24"/>
        </w:rPr>
        <w:t xml:space="preserve">common </w:t>
      </w:r>
      <w:r w:rsidRPr="00026AA4">
        <w:rPr>
          <w:rFonts w:ascii="Arial" w:hAnsi="Arial" w:cs="Arial"/>
          <w:sz w:val="24"/>
          <w:szCs w:val="24"/>
        </w:rPr>
        <w:t xml:space="preserve">regional </w:t>
      </w:r>
      <w:r w:rsidR="000C00C8" w:rsidRPr="00026AA4">
        <w:rPr>
          <w:rFonts w:ascii="Arial" w:hAnsi="Arial" w:cs="Arial"/>
          <w:sz w:val="24"/>
          <w:szCs w:val="24"/>
        </w:rPr>
        <w:t xml:space="preserve">assessment tools </w:t>
      </w:r>
      <w:r w:rsidR="00D45B65" w:rsidRPr="00026AA4">
        <w:rPr>
          <w:rFonts w:ascii="Arial" w:hAnsi="Arial" w:cs="Arial"/>
          <w:sz w:val="24"/>
          <w:szCs w:val="24"/>
        </w:rPr>
        <w:t xml:space="preserve">were used </w:t>
      </w:r>
      <w:r w:rsidR="000C00C8" w:rsidRPr="00026AA4">
        <w:rPr>
          <w:rFonts w:ascii="Arial" w:hAnsi="Arial" w:cs="Arial"/>
          <w:sz w:val="24"/>
          <w:szCs w:val="24"/>
        </w:rPr>
        <w:t xml:space="preserve">in Yorkshire and Humberside and </w:t>
      </w:r>
      <w:r w:rsidR="007051C0" w:rsidRPr="00026AA4">
        <w:rPr>
          <w:rFonts w:ascii="Arial" w:hAnsi="Arial" w:cs="Arial"/>
          <w:sz w:val="24"/>
          <w:szCs w:val="24"/>
        </w:rPr>
        <w:t>‘</w:t>
      </w:r>
      <w:r w:rsidR="000C00C8" w:rsidRPr="00026AA4">
        <w:rPr>
          <w:rFonts w:ascii="Arial" w:hAnsi="Arial" w:cs="Arial"/>
          <w:sz w:val="24"/>
          <w:szCs w:val="24"/>
        </w:rPr>
        <w:t>PAN London</w:t>
      </w:r>
      <w:r w:rsidR="007051C0" w:rsidRPr="00026AA4">
        <w:rPr>
          <w:rFonts w:ascii="Arial" w:hAnsi="Arial" w:cs="Arial"/>
          <w:sz w:val="24"/>
          <w:szCs w:val="24"/>
        </w:rPr>
        <w:t>’ institutions (</w:t>
      </w:r>
      <w:r w:rsidR="00FE1685" w:rsidRPr="00026AA4">
        <w:rPr>
          <w:rFonts w:ascii="Arial" w:hAnsi="Arial" w:cs="Arial"/>
          <w:sz w:val="24"/>
          <w:szCs w:val="24"/>
        </w:rPr>
        <w:t xml:space="preserve">Authors, 2017a; </w:t>
      </w:r>
      <w:r w:rsidR="007051C0" w:rsidRPr="00026AA4">
        <w:rPr>
          <w:rFonts w:ascii="Arial" w:hAnsi="Arial" w:cs="Arial"/>
          <w:sz w:val="24"/>
          <w:szCs w:val="24"/>
        </w:rPr>
        <w:t>Gillman, 2014;)</w:t>
      </w:r>
      <w:r w:rsidR="000B6BEF" w:rsidRPr="00026AA4">
        <w:rPr>
          <w:rFonts w:ascii="Arial" w:hAnsi="Arial" w:cs="Arial"/>
          <w:sz w:val="24"/>
          <w:szCs w:val="24"/>
        </w:rPr>
        <w:t xml:space="preserve">. </w:t>
      </w:r>
      <w:r w:rsidR="007051C0" w:rsidRPr="00026AA4">
        <w:rPr>
          <w:rFonts w:ascii="Arial" w:hAnsi="Arial" w:cs="Arial"/>
          <w:sz w:val="24"/>
          <w:szCs w:val="24"/>
        </w:rPr>
        <w:t xml:space="preserve">Terminology used was collated into a matrix for each </w:t>
      </w:r>
      <w:r w:rsidR="00384F79" w:rsidRPr="00026AA4">
        <w:rPr>
          <w:rFonts w:ascii="Arial" w:hAnsi="Arial" w:cs="Arial"/>
          <w:sz w:val="24"/>
          <w:szCs w:val="24"/>
        </w:rPr>
        <w:t>academic l</w:t>
      </w:r>
      <w:r w:rsidR="007051C0" w:rsidRPr="00026AA4">
        <w:rPr>
          <w:rFonts w:ascii="Arial" w:hAnsi="Arial" w:cs="Arial"/>
          <w:sz w:val="24"/>
          <w:szCs w:val="24"/>
        </w:rPr>
        <w:t>evel and the range of</w:t>
      </w:r>
      <w:r w:rsidR="000C00C8" w:rsidRPr="00026AA4">
        <w:rPr>
          <w:rFonts w:ascii="Arial" w:hAnsi="Arial" w:cs="Arial"/>
          <w:sz w:val="24"/>
          <w:szCs w:val="24"/>
        </w:rPr>
        <w:t xml:space="preserve"> </w:t>
      </w:r>
      <w:r w:rsidR="00384F79" w:rsidRPr="00026AA4">
        <w:rPr>
          <w:rFonts w:ascii="Arial" w:hAnsi="Arial" w:cs="Arial"/>
          <w:sz w:val="24"/>
          <w:szCs w:val="24"/>
        </w:rPr>
        <w:t>level descriptors</w:t>
      </w:r>
      <w:r w:rsidR="000C00C8" w:rsidRPr="00026AA4">
        <w:rPr>
          <w:rFonts w:ascii="Arial" w:hAnsi="Arial" w:cs="Arial"/>
          <w:sz w:val="24"/>
          <w:szCs w:val="24"/>
        </w:rPr>
        <w:t xml:space="preserve"> for performance.</w:t>
      </w:r>
      <w:r w:rsidR="00CE521C" w:rsidRPr="00026AA4">
        <w:rPr>
          <w:rFonts w:ascii="Arial" w:hAnsi="Arial" w:cs="Arial"/>
          <w:sz w:val="24"/>
          <w:szCs w:val="24"/>
        </w:rPr>
        <w:t xml:space="preserve"> The UK Q</w:t>
      </w:r>
      <w:r w:rsidR="007051C0" w:rsidRPr="00026AA4">
        <w:rPr>
          <w:rFonts w:ascii="Arial" w:hAnsi="Arial" w:cs="Arial"/>
          <w:sz w:val="24"/>
          <w:szCs w:val="24"/>
        </w:rPr>
        <w:t xml:space="preserve">uality Code for Higher Education (QAA, 2014) </w:t>
      </w:r>
      <w:r w:rsidR="00384F79" w:rsidRPr="00026AA4">
        <w:rPr>
          <w:rFonts w:ascii="Arial" w:hAnsi="Arial" w:cs="Arial"/>
          <w:sz w:val="24"/>
          <w:szCs w:val="24"/>
        </w:rPr>
        <w:t>defines level descriptors as</w:t>
      </w:r>
      <w:r w:rsidR="00384F79" w:rsidRPr="00026AA4">
        <w:rPr>
          <w:rFonts w:ascii="Arial" w:hAnsi="Arial" w:cs="Arial"/>
          <w:i/>
          <w:sz w:val="24"/>
          <w:szCs w:val="24"/>
        </w:rPr>
        <w:t xml:space="preserve"> “A statement of the generic characteristics of outcomes of learning at a specific level of a qualifications framework” (p1).</w:t>
      </w:r>
      <w:r w:rsidR="002D1E4B" w:rsidRPr="00026AA4">
        <w:rPr>
          <w:rFonts w:ascii="Arial" w:hAnsi="Arial" w:cs="Arial"/>
          <w:sz w:val="24"/>
          <w:szCs w:val="24"/>
        </w:rPr>
        <w:t xml:space="preserve"> The</w:t>
      </w:r>
      <w:r w:rsidR="007051C0" w:rsidRPr="00026AA4">
        <w:rPr>
          <w:rFonts w:ascii="Arial" w:hAnsi="Arial" w:cs="Arial"/>
          <w:sz w:val="24"/>
          <w:szCs w:val="24"/>
        </w:rPr>
        <w:t>se</w:t>
      </w:r>
      <w:r w:rsidR="002D1E4B" w:rsidRPr="00026AA4">
        <w:rPr>
          <w:rFonts w:ascii="Arial" w:hAnsi="Arial" w:cs="Arial"/>
          <w:sz w:val="24"/>
          <w:szCs w:val="24"/>
        </w:rPr>
        <w:t xml:space="preserve"> frameworks </w:t>
      </w:r>
      <w:r w:rsidR="00927CF7" w:rsidRPr="00026AA4">
        <w:rPr>
          <w:rFonts w:ascii="Arial" w:hAnsi="Arial" w:cs="Arial"/>
          <w:sz w:val="24"/>
          <w:szCs w:val="24"/>
        </w:rPr>
        <w:t xml:space="preserve">provide international comparability of academic standards and </w:t>
      </w:r>
      <w:r w:rsidR="002D1E4B" w:rsidRPr="00026AA4">
        <w:rPr>
          <w:rFonts w:ascii="Arial" w:hAnsi="Arial" w:cs="Arial"/>
          <w:sz w:val="24"/>
          <w:szCs w:val="24"/>
        </w:rPr>
        <w:t>are used by professional regulatory bodies (such as the NMC)</w:t>
      </w:r>
      <w:r w:rsidR="00927CF7" w:rsidRPr="00026AA4">
        <w:rPr>
          <w:rFonts w:ascii="Arial" w:hAnsi="Arial" w:cs="Arial"/>
          <w:sz w:val="24"/>
          <w:szCs w:val="24"/>
        </w:rPr>
        <w:t xml:space="preserve"> to recognise qualifications</w:t>
      </w:r>
      <w:r w:rsidR="002D1E4B" w:rsidRPr="00026AA4">
        <w:rPr>
          <w:rFonts w:ascii="Arial" w:hAnsi="Arial" w:cs="Arial"/>
          <w:sz w:val="24"/>
          <w:szCs w:val="24"/>
        </w:rPr>
        <w:t>; they are, however, deliberately broad to enable flexibility for awarding institutions.</w:t>
      </w:r>
      <w:r w:rsidR="00927CF7" w:rsidRPr="00026AA4">
        <w:rPr>
          <w:rFonts w:ascii="Arial" w:hAnsi="Arial" w:cs="Arial"/>
          <w:sz w:val="24"/>
          <w:szCs w:val="24"/>
        </w:rPr>
        <w:t xml:space="preserve"> T</w:t>
      </w:r>
      <w:r w:rsidR="00384F79" w:rsidRPr="00026AA4">
        <w:rPr>
          <w:rFonts w:ascii="Arial" w:hAnsi="Arial" w:cs="Arial"/>
          <w:sz w:val="24"/>
          <w:szCs w:val="24"/>
        </w:rPr>
        <w:t>here are two parallel frameworks for higher education qualifications – one for Scotlan</w:t>
      </w:r>
      <w:r w:rsidR="00B00782" w:rsidRPr="00026AA4">
        <w:rPr>
          <w:rFonts w:ascii="Arial" w:hAnsi="Arial" w:cs="Arial"/>
          <w:sz w:val="24"/>
          <w:szCs w:val="24"/>
        </w:rPr>
        <w:t>d an</w:t>
      </w:r>
      <w:r w:rsidR="00927CF7" w:rsidRPr="00026AA4">
        <w:rPr>
          <w:rFonts w:ascii="Arial" w:hAnsi="Arial" w:cs="Arial"/>
          <w:sz w:val="24"/>
          <w:szCs w:val="24"/>
        </w:rPr>
        <w:t>d one for the rest of the UK</w:t>
      </w:r>
      <w:r w:rsidR="00B00782" w:rsidRPr="00026AA4">
        <w:rPr>
          <w:rFonts w:ascii="Arial" w:hAnsi="Arial" w:cs="Arial"/>
          <w:sz w:val="24"/>
          <w:szCs w:val="24"/>
        </w:rPr>
        <w:t>. A</w:t>
      </w:r>
      <w:r w:rsidR="00384F79" w:rsidRPr="00026AA4">
        <w:rPr>
          <w:rFonts w:ascii="Arial" w:hAnsi="Arial" w:cs="Arial"/>
          <w:sz w:val="24"/>
          <w:szCs w:val="24"/>
        </w:rPr>
        <w:t>cademic</w:t>
      </w:r>
      <w:r w:rsidR="00B00782" w:rsidRPr="00026AA4">
        <w:rPr>
          <w:rFonts w:ascii="Arial" w:hAnsi="Arial" w:cs="Arial"/>
          <w:sz w:val="24"/>
          <w:szCs w:val="24"/>
        </w:rPr>
        <w:t xml:space="preserve"> levels for pre-registration midwifery qualifications are distinguished as levels 4-7 for England, Wales and Northern Ireland, equating to Scottish Credit and Qualifications Framework (SCQF) 7-10</w:t>
      </w:r>
      <w:r w:rsidR="00927CF7" w:rsidRPr="00026AA4">
        <w:rPr>
          <w:rFonts w:ascii="Arial" w:hAnsi="Arial" w:cs="Arial"/>
          <w:sz w:val="24"/>
          <w:szCs w:val="24"/>
        </w:rPr>
        <w:t>/11 (QAA, 2014).</w:t>
      </w:r>
      <w:r w:rsidRPr="00026AA4">
        <w:rPr>
          <w:rFonts w:ascii="Arial" w:hAnsi="Arial" w:cs="Arial"/>
          <w:i/>
          <w:sz w:val="24"/>
          <w:szCs w:val="24"/>
        </w:rPr>
        <w:t xml:space="preserve"> Table 1 </w:t>
      </w:r>
      <w:r w:rsidRPr="00026AA4">
        <w:rPr>
          <w:rFonts w:ascii="Arial" w:hAnsi="Arial" w:cs="Arial"/>
          <w:sz w:val="24"/>
          <w:szCs w:val="24"/>
        </w:rPr>
        <w:t xml:space="preserve">shows </w:t>
      </w:r>
      <w:r w:rsidR="002D1E4B" w:rsidRPr="00026AA4">
        <w:rPr>
          <w:rFonts w:ascii="Arial" w:hAnsi="Arial" w:cs="Arial"/>
          <w:sz w:val="24"/>
          <w:szCs w:val="24"/>
        </w:rPr>
        <w:t>the range of scoring systems</w:t>
      </w:r>
      <w:r w:rsidR="00385A53" w:rsidRPr="00026AA4">
        <w:rPr>
          <w:rFonts w:ascii="Arial" w:hAnsi="Arial" w:cs="Arial"/>
          <w:sz w:val="24"/>
          <w:szCs w:val="24"/>
        </w:rPr>
        <w:t xml:space="preserve"> </w:t>
      </w:r>
      <w:r w:rsidR="002D1E4B" w:rsidRPr="00026AA4">
        <w:rPr>
          <w:rFonts w:ascii="Arial" w:hAnsi="Arial" w:cs="Arial"/>
          <w:sz w:val="24"/>
          <w:szCs w:val="24"/>
        </w:rPr>
        <w:t xml:space="preserve">used </w:t>
      </w:r>
      <w:r w:rsidR="00927CF7" w:rsidRPr="00026AA4">
        <w:rPr>
          <w:rFonts w:ascii="Arial" w:hAnsi="Arial" w:cs="Arial"/>
          <w:sz w:val="24"/>
          <w:szCs w:val="24"/>
        </w:rPr>
        <w:t xml:space="preserve">in the documentation provided by the LMEs, </w:t>
      </w:r>
      <w:r w:rsidRPr="00026AA4">
        <w:rPr>
          <w:rFonts w:ascii="Arial" w:hAnsi="Arial" w:cs="Arial"/>
          <w:sz w:val="24"/>
          <w:szCs w:val="24"/>
        </w:rPr>
        <w:t xml:space="preserve">and the </w:t>
      </w:r>
      <w:r w:rsidR="00927CF7" w:rsidRPr="00026AA4">
        <w:rPr>
          <w:rFonts w:ascii="Arial" w:hAnsi="Arial" w:cs="Arial"/>
          <w:sz w:val="24"/>
          <w:szCs w:val="24"/>
        </w:rPr>
        <w:t xml:space="preserve">generic </w:t>
      </w:r>
      <w:r w:rsidRPr="00026AA4">
        <w:rPr>
          <w:rFonts w:ascii="Arial" w:hAnsi="Arial" w:cs="Arial"/>
          <w:sz w:val="24"/>
          <w:szCs w:val="24"/>
        </w:rPr>
        <w:t>categorisat</w:t>
      </w:r>
      <w:r w:rsidR="002D1E4B" w:rsidRPr="00026AA4">
        <w:rPr>
          <w:rFonts w:ascii="Arial" w:hAnsi="Arial" w:cs="Arial"/>
          <w:sz w:val="24"/>
          <w:szCs w:val="24"/>
        </w:rPr>
        <w:t xml:space="preserve">ion </w:t>
      </w:r>
      <w:r w:rsidR="00385A53" w:rsidRPr="00026AA4">
        <w:rPr>
          <w:rFonts w:ascii="Arial" w:hAnsi="Arial" w:cs="Arial"/>
          <w:sz w:val="24"/>
          <w:szCs w:val="24"/>
        </w:rPr>
        <w:t xml:space="preserve">adopted </w:t>
      </w:r>
      <w:r w:rsidRPr="00026AA4">
        <w:rPr>
          <w:rFonts w:ascii="Arial" w:hAnsi="Arial" w:cs="Arial"/>
          <w:sz w:val="24"/>
          <w:szCs w:val="24"/>
        </w:rPr>
        <w:t>by the research team</w:t>
      </w:r>
      <w:r w:rsidR="00385A53" w:rsidRPr="00026AA4">
        <w:rPr>
          <w:rFonts w:ascii="Arial" w:hAnsi="Arial" w:cs="Arial"/>
          <w:sz w:val="24"/>
          <w:szCs w:val="24"/>
        </w:rPr>
        <w:t xml:space="preserve"> for the new assessment tools</w:t>
      </w:r>
      <w:r w:rsidRPr="00026AA4">
        <w:rPr>
          <w:rFonts w:ascii="Arial" w:hAnsi="Arial" w:cs="Arial"/>
          <w:sz w:val="24"/>
          <w:szCs w:val="24"/>
        </w:rPr>
        <w:t>, using terms such as ‘fail’, ‘good’, ‘exce</w:t>
      </w:r>
      <w:r w:rsidR="002D1E4B" w:rsidRPr="00026AA4">
        <w:rPr>
          <w:rFonts w:ascii="Arial" w:hAnsi="Arial" w:cs="Arial"/>
          <w:sz w:val="24"/>
          <w:szCs w:val="24"/>
        </w:rPr>
        <w:t>llent’ for the level descriptors</w:t>
      </w:r>
      <w:r w:rsidRPr="00026AA4">
        <w:rPr>
          <w:rFonts w:ascii="Arial" w:hAnsi="Arial" w:cs="Arial"/>
          <w:sz w:val="24"/>
          <w:szCs w:val="24"/>
        </w:rPr>
        <w:t>.</w:t>
      </w:r>
      <w:r w:rsidR="00BC6904" w:rsidRPr="00BC6904">
        <w:rPr>
          <w:rFonts w:ascii="Arial" w:hAnsi="Arial" w:cs="Arial"/>
          <w:sz w:val="24"/>
          <w:szCs w:val="24"/>
        </w:rPr>
        <w:t xml:space="preserve"> </w:t>
      </w:r>
    </w:p>
    <w:p w:rsidR="000C00C8" w:rsidRPr="000C00C8" w:rsidRDefault="000C00C8" w:rsidP="000C00C8">
      <w:pPr>
        <w:spacing w:after="0" w:line="240" w:lineRule="auto"/>
        <w:jc w:val="both"/>
        <w:rPr>
          <w:rFonts w:cstheme="minorHAnsi"/>
        </w:rPr>
      </w:pPr>
    </w:p>
    <w:p w:rsidR="000C00C8" w:rsidRPr="00385A53" w:rsidRDefault="00385A53" w:rsidP="00385A53">
      <w:pPr>
        <w:spacing w:after="200" w:line="276" w:lineRule="auto"/>
        <w:jc w:val="center"/>
        <w:rPr>
          <w:sz w:val="20"/>
          <w:szCs w:val="20"/>
        </w:rPr>
      </w:pPr>
      <w:r>
        <w:rPr>
          <w:noProof/>
          <w:lang w:eastAsia="en-GB"/>
        </w:rPr>
        <w:lastRenderedPageBreak/>
        <w:drawing>
          <wp:inline distT="0" distB="0" distL="0" distR="0" wp14:anchorId="0609CBFD" wp14:editId="40E365C1">
            <wp:extent cx="54489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935" cy="3429635"/>
                    </a:xfrm>
                    <a:prstGeom prst="rect">
                      <a:avLst/>
                    </a:prstGeom>
                    <a:noFill/>
                  </pic:spPr>
                </pic:pic>
              </a:graphicData>
            </a:graphic>
          </wp:inline>
        </w:drawing>
      </w:r>
    </w:p>
    <w:p w:rsidR="000C00C8" w:rsidRPr="000C00C8" w:rsidRDefault="000C00C8" w:rsidP="000C00C8">
      <w:pPr>
        <w:spacing w:after="200" w:line="276" w:lineRule="auto"/>
        <w:ind w:firstLine="720"/>
        <w:jc w:val="center"/>
        <w:rPr>
          <w:sz w:val="20"/>
          <w:szCs w:val="20"/>
          <w:u w:val="single"/>
        </w:rPr>
      </w:pPr>
      <w:r w:rsidRPr="000C00C8">
        <w:rPr>
          <w:i/>
          <w:sz w:val="20"/>
          <w:szCs w:val="20"/>
          <w:u w:val="single"/>
        </w:rPr>
        <w:t>Table 1:</w:t>
      </w:r>
      <w:r w:rsidRPr="000C00C8">
        <w:rPr>
          <w:sz w:val="20"/>
          <w:szCs w:val="20"/>
          <w:u w:val="single"/>
        </w:rPr>
        <w:t xml:space="preserve"> Categorisation according to scoring systems in midwifery across UK universities</w:t>
      </w:r>
    </w:p>
    <w:p w:rsidR="00F20632" w:rsidRDefault="00F20632" w:rsidP="00BC6904">
      <w:pPr>
        <w:spacing w:after="0" w:line="480" w:lineRule="auto"/>
        <w:jc w:val="both"/>
        <w:rPr>
          <w:rFonts w:ascii="Arial" w:hAnsi="Arial" w:cs="Arial"/>
          <w:sz w:val="24"/>
          <w:szCs w:val="24"/>
        </w:rPr>
      </w:pPr>
    </w:p>
    <w:p w:rsidR="00BD1901" w:rsidRPr="00385A53" w:rsidRDefault="00BC6904" w:rsidP="00385A53">
      <w:pPr>
        <w:spacing w:after="0" w:line="480" w:lineRule="auto"/>
        <w:jc w:val="both"/>
        <w:rPr>
          <w:rFonts w:ascii="Arial" w:hAnsi="Arial" w:cs="Arial"/>
          <w:sz w:val="24"/>
          <w:szCs w:val="24"/>
        </w:rPr>
      </w:pPr>
      <w:r w:rsidRPr="00026AA4">
        <w:rPr>
          <w:rFonts w:ascii="Arial" w:hAnsi="Arial" w:cs="Arial"/>
          <w:sz w:val="24"/>
          <w:szCs w:val="24"/>
        </w:rPr>
        <w:t>A</w:t>
      </w:r>
      <w:r w:rsidR="000C00C8" w:rsidRPr="00026AA4">
        <w:rPr>
          <w:rFonts w:ascii="Arial" w:hAnsi="Arial" w:cs="Arial"/>
          <w:sz w:val="24"/>
          <w:szCs w:val="24"/>
        </w:rPr>
        <w:t xml:space="preserve"> visual representation of the frequency w</w:t>
      </w:r>
      <w:r w:rsidR="00385A53" w:rsidRPr="00026AA4">
        <w:rPr>
          <w:rFonts w:ascii="Arial" w:hAnsi="Arial" w:cs="Arial"/>
          <w:sz w:val="24"/>
          <w:szCs w:val="24"/>
        </w:rPr>
        <w:t xml:space="preserve">ords appeared in each </w:t>
      </w:r>
      <w:r w:rsidR="00927CF7" w:rsidRPr="00026AA4">
        <w:rPr>
          <w:rFonts w:ascii="Arial" w:hAnsi="Arial" w:cs="Arial"/>
          <w:sz w:val="24"/>
          <w:szCs w:val="24"/>
        </w:rPr>
        <w:t>category</w:t>
      </w:r>
      <w:r w:rsidR="00385A53" w:rsidRPr="00026AA4">
        <w:rPr>
          <w:rFonts w:ascii="Arial" w:hAnsi="Arial" w:cs="Arial"/>
          <w:sz w:val="24"/>
          <w:szCs w:val="24"/>
        </w:rPr>
        <w:t xml:space="preserve"> </w:t>
      </w:r>
      <w:r w:rsidRPr="00026AA4">
        <w:rPr>
          <w:rFonts w:ascii="Arial" w:hAnsi="Arial" w:cs="Arial"/>
          <w:sz w:val="24"/>
          <w:szCs w:val="24"/>
        </w:rPr>
        <w:t xml:space="preserve">was </w:t>
      </w:r>
      <w:r w:rsidR="00385A53" w:rsidRPr="00026AA4">
        <w:rPr>
          <w:rFonts w:ascii="Arial" w:hAnsi="Arial" w:cs="Arial"/>
          <w:sz w:val="24"/>
          <w:szCs w:val="24"/>
        </w:rPr>
        <w:t xml:space="preserve">initially </w:t>
      </w:r>
      <w:r w:rsidRPr="00026AA4">
        <w:rPr>
          <w:rFonts w:ascii="Arial" w:hAnsi="Arial" w:cs="Arial"/>
          <w:sz w:val="24"/>
          <w:szCs w:val="24"/>
        </w:rPr>
        <w:t>create</w:t>
      </w:r>
      <w:r w:rsidR="00927CF7" w:rsidRPr="00026AA4">
        <w:rPr>
          <w:rFonts w:ascii="Arial" w:hAnsi="Arial" w:cs="Arial"/>
          <w:sz w:val="24"/>
          <w:szCs w:val="24"/>
        </w:rPr>
        <w:t xml:space="preserve">d in ‘Wordles’ or ‘Word-clouds’ (Feinberg, 2014) </w:t>
      </w:r>
      <w:r w:rsidRPr="00026AA4">
        <w:rPr>
          <w:rFonts w:ascii="Arial" w:hAnsi="Arial" w:cs="Arial"/>
          <w:sz w:val="24"/>
          <w:szCs w:val="24"/>
        </w:rPr>
        <w:t xml:space="preserve">- </w:t>
      </w:r>
      <w:r w:rsidR="000C00C8" w:rsidRPr="00026AA4">
        <w:rPr>
          <w:rFonts w:ascii="Arial" w:hAnsi="Arial" w:cs="Arial"/>
          <w:sz w:val="24"/>
          <w:szCs w:val="24"/>
        </w:rPr>
        <w:t xml:space="preserve">see </w:t>
      </w:r>
      <w:r w:rsidR="00BD1901" w:rsidRPr="00026AA4">
        <w:rPr>
          <w:rFonts w:ascii="Arial" w:hAnsi="Arial" w:cs="Arial"/>
          <w:i/>
          <w:sz w:val="24"/>
          <w:szCs w:val="24"/>
        </w:rPr>
        <w:t xml:space="preserve">Figure </w:t>
      </w:r>
      <w:r w:rsidR="000C00C8" w:rsidRPr="00026AA4">
        <w:rPr>
          <w:rFonts w:ascii="Arial" w:hAnsi="Arial" w:cs="Arial"/>
          <w:i/>
          <w:sz w:val="24"/>
          <w:szCs w:val="24"/>
        </w:rPr>
        <w:t>2</w:t>
      </w:r>
      <w:r w:rsidR="000C00C8" w:rsidRPr="00026AA4">
        <w:rPr>
          <w:rFonts w:ascii="Arial" w:hAnsi="Arial" w:cs="Arial"/>
          <w:sz w:val="24"/>
          <w:szCs w:val="24"/>
        </w:rPr>
        <w:t xml:space="preserve">. </w:t>
      </w:r>
      <w:r w:rsidR="00B1466B" w:rsidRPr="00026AA4">
        <w:rPr>
          <w:rFonts w:ascii="Arial" w:hAnsi="Arial" w:cs="Arial"/>
          <w:sz w:val="24"/>
          <w:szCs w:val="24"/>
        </w:rPr>
        <w:t>T</w:t>
      </w:r>
      <w:r w:rsidR="000C00C8" w:rsidRPr="00026AA4">
        <w:rPr>
          <w:rFonts w:ascii="Arial" w:hAnsi="Arial" w:cs="Arial"/>
          <w:sz w:val="24"/>
          <w:szCs w:val="24"/>
        </w:rPr>
        <w:t>he</w:t>
      </w:r>
      <w:r w:rsidR="00B1466B" w:rsidRPr="00026AA4">
        <w:rPr>
          <w:rFonts w:ascii="Arial" w:hAnsi="Arial" w:cs="Arial"/>
          <w:sz w:val="24"/>
          <w:szCs w:val="24"/>
        </w:rPr>
        <w:t>y</w:t>
      </w:r>
      <w:r w:rsidR="000C00C8" w:rsidRPr="00026AA4">
        <w:rPr>
          <w:rFonts w:ascii="Arial" w:hAnsi="Arial" w:cs="Arial"/>
          <w:sz w:val="24"/>
          <w:szCs w:val="24"/>
        </w:rPr>
        <w:t xml:space="preserve"> were nex</w:t>
      </w:r>
      <w:r w:rsidR="00927CF7" w:rsidRPr="00026AA4">
        <w:rPr>
          <w:rFonts w:ascii="Arial" w:hAnsi="Arial" w:cs="Arial"/>
          <w:sz w:val="24"/>
          <w:szCs w:val="24"/>
        </w:rPr>
        <w:t>t ranked using ‘Word Count Tool’ (Word Counter, 2017)</w:t>
      </w:r>
      <w:r w:rsidR="000C00C8" w:rsidRPr="00026AA4">
        <w:rPr>
          <w:rFonts w:ascii="Arial" w:hAnsi="Arial" w:cs="Arial"/>
          <w:sz w:val="24"/>
          <w:szCs w:val="24"/>
        </w:rPr>
        <w:t xml:space="preserve">, with each word collated into its root form and derivatives. </w:t>
      </w:r>
      <w:r w:rsidR="00B1466B" w:rsidRPr="00026AA4">
        <w:rPr>
          <w:rFonts w:ascii="Arial" w:hAnsi="Arial" w:cs="Arial"/>
          <w:sz w:val="24"/>
          <w:szCs w:val="24"/>
        </w:rPr>
        <w:t>Those with highest frequency</w:t>
      </w:r>
      <w:r w:rsidR="000C00C8" w:rsidRPr="00026AA4">
        <w:rPr>
          <w:rFonts w:ascii="Arial" w:hAnsi="Arial" w:cs="Arial"/>
          <w:sz w:val="24"/>
          <w:szCs w:val="24"/>
        </w:rPr>
        <w:t xml:space="preserve"> were transferred to a </w:t>
      </w:r>
      <w:r w:rsidR="00B1466B" w:rsidRPr="00026AA4">
        <w:rPr>
          <w:rFonts w:ascii="Arial" w:hAnsi="Arial" w:cs="Arial"/>
          <w:sz w:val="24"/>
          <w:szCs w:val="24"/>
        </w:rPr>
        <w:t>‘</w:t>
      </w:r>
      <w:r w:rsidR="000C00C8" w:rsidRPr="00026AA4">
        <w:rPr>
          <w:rFonts w:ascii="Arial" w:hAnsi="Arial" w:cs="Arial"/>
          <w:i/>
          <w:sz w:val="24"/>
          <w:szCs w:val="24"/>
        </w:rPr>
        <w:t>Lexicon Framework</w:t>
      </w:r>
      <w:r w:rsidR="00B1466B" w:rsidRPr="00026AA4">
        <w:rPr>
          <w:rFonts w:ascii="Arial" w:hAnsi="Arial" w:cs="Arial"/>
          <w:i/>
          <w:sz w:val="24"/>
          <w:szCs w:val="24"/>
        </w:rPr>
        <w:t>’</w:t>
      </w:r>
      <w:r w:rsidR="000C00C8" w:rsidRPr="00026AA4">
        <w:rPr>
          <w:rFonts w:ascii="Arial" w:hAnsi="Arial" w:cs="Arial"/>
          <w:b/>
          <w:sz w:val="24"/>
          <w:szCs w:val="24"/>
        </w:rPr>
        <w:t xml:space="preserve"> </w:t>
      </w:r>
      <w:r w:rsidR="000C00C8" w:rsidRPr="00026AA4">
        <w:rPr>
          <w:rFonts w:ascii="Arial" w:hAnsi="Arial" w:cs="Arial"/>
          <w:sz w:val="24"/>
          <w:szCs w:val="24"/>
        </w:rPr>
        <w:t xml:space="preserve">and categorised according to their parts of speech: nouns (further segregated into their relevance to knowledge, skills, </w:t>
      </w:r>
      <w:r w:rsidR="00927CF7" w:rsidRPr="00026AA4">
        <w:rPr>
          <w:rFonts w:ascii="Arial" w:hAnsi="Arial" w:cs="Arial"/>
          <w:sz w:val="24"/>
          <w:szCs w:val="24"/>
        </w:rPr>
        <w:t>attitudes or ‘other’</w:t>
      </w:r>
      <w:r w:rsidR="000C00C8" w:rsidRPr="00026AA4">
        <w:rPr>
          <w:rFonts w:ascii="Arial" w:hAnsi="Arial" w:cs="Arial"/>
          <w:sz w:val="24"/>
          <w:szCs w:val="24"/>
        </w:rPr>
        <w:t xml:space="preserve">), adjectives, verbs, adverbs and prepositions. A pragmatic approach was taken to categorisation when derivatives could be used in different contexts; the most common category of usage was </w:t>
      </w:r>
      <w:r w:rsidR="00222006" w:rsidRPr="00026AA4">
        <w:rPr>
          <w:rFonts w:ascii="Arial" w:hAnsi="Arial" w:cs="Arial"/>
          <w:sz w:val="24"/>
          <w:szCs w:val="24"/>
        </w:rPr>
        <w:t>applied,</w:t>
      </w:r>
      <w:r w:rsidR="000C00C8" w:rsidRPr="00026AA4">
        <w:rPr>
          <w:rFonts w:ascii="Arial" w:hAnsi="Arial" w:cs="Arial"/>
          <w:sz w:val="24"/>
          <w:szCs w:val="24"/>
        </w:rPr>
        <w:t xml:space="preserve"> ensuring that this was consistent within and between academic levels.</w:t>
      </w:r>
      <w:r w:rsidRPr="00026AA4">
        <w:rPr>
          <w:rFonts w:ascii="Arial" w:hAnsi="Arial" w:cs="Arial"/>
          <w:sz w:val="24"/>
          <w:szCs w:val="24"/>
        </w:rPr>
        <w:t xml:space="preserve"> Key words were identified i</w:t>
      </w:r>
      <w:r w:rsidR="000C00C8" w:rsidRPr="00026AA4">
        <w:rPr>
          <w:rFonts w:ascii="Arial" w:hAnsi="Arial" w:cs="Arial"/>
          <w:sz w:val="24"/>
          <w:szCs w:val="24"/>
        </w:rPr>
        <w:t>n a banner above each part of speech</w:t>
      </w:r>
      <w:r w:rsidRPr="00026AA4">
        <w:rPr>
          <w:rFonts w:ascii="Arial" w:hAnsi="Arial" w:cs="Arial"/>
          <w:sz w:val="24"/>
          <w:szCs w:val="24"/>
        </w:rPr>
        <w:t xml:space="preserve"> if they</w:t>
      </w:r>
      <w:r w:rsidR="000C00C8" w:rsidRPr="00026AA4">
        <w:rPr>
          <w:rFonts w:ascii="Arial" w:hAnsi="Arial" w:cs="Arial"/>
          <w:sz w:val="24"/>
          <w:szCs w:val="24"/>
        </w:rPr>
        <w:t xml:space="preserve"> appeared in at least six of the seven level descriptors (Levels 4-6/ SCQF 7-9) </w:t>
      </w:r>
      <w:r w:rsidRPr="00026AA4">
        <w:rPr>
          <w:rFonts w:ascii="Arial" w:hAnsi="Arial" w:cs="Arial"/>
          <w:sz w:val="24"/>
          <w:szCs w:val="24"/>
        </w:rPr>
        <w:t>or all five of the descriptors in Level 7 (</w:t>
      </w:r>
      <w:r w:rsidR="000C00C8" w:rsidRPr="00026AA4">
        <w:rPr>
          <w:rFonts w:ascii="Arial" w:hAnsi="Arial" w:cs="Arial"/>
          <w:sz w:val="24"/>
          <w:szCs w:val="24"/>
        </w:rPr>
        <w:t>SCQ</w:t>
      </w:r>
      <w:r w:rsidRPr="00026AA4">
        <w:rPr>
          <w:rFonts w:ascii="Arial" w:hAnsi="Arial" w:cs="Arial"/>
          <w:sz w:val="24"/>
          <w:szCs w:val="24"/>
        </w:rPr>
        <w:t>F 10</w:t>
      </w:r>
      <w:r w:rsidR="00385A53" w:rsidRPr="00026AA4">
        <w:rPr>
          <w:rFonts w:ascii="Arial" w:hAnsi="Arial" w:cs="Arial"/>
          <w:sz w:val="24"/>
          <w:szCs w:val="24"/>
        </w:rPr>
        <w:t>/11</w:t>
      </w:r>
      <w:r w:rsidRPr="00026AA4">
        <w:rPr>
          <w:rFonts w:ascii="Arial" w:hAnsi="Arial" w:cs="Arial"/>
          <w:sz w:val="24"/>
          <w:szCs w:val="24"/>
        </w:rPr>
        <w:t>).</w:t>
      </w:r>
    </w:p>
    <w:p w:rsidR="00E2354E" w:rsidRDefault="00E2354E" w:rsidP="00BD1901">
      <w:pPr>
        <w:tabs>
          <w:tab w:val="left" w:pos="3675"/>
        </w:tabs>
        <w:spacing w:after="0" w:line="240" w:lineRule="auto"/>
        <w:jc w:val="center"/>
      </w:pPr>
      <w:r>
        <w:rPr>
          <w:noProof/>
          <w:lang w:eastAsia="en-GB"/>
        </w:rPr>
        <w:lastRenderedPageBreak/>
        <w:drawing>
          <wp:inline distT="0" distB="0" distL="0" distR="0" wp14:anchorId="4458D87E">
            <wp:extent cx="4348716" cy="288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6929" cy="2914983"/>
                    </a:xfrm>
                    <a:prstGeom prst="rect">
                      <a:avLst/>
                    </a:prstGeom>
                    <a:noFill/>
                  </pic:spPr>
                </pic:pic>
              </a:graphicData>
            </a:graphic>
          </wp:inline>
        </w:drawing>
      </w:r>
    </w:p>
    <w:p w:rsidR="00DB4CFB" w:rsidRDefault="00BD1901" w:rsidP="0036241C">
      <w:pPr>
        <w:jc w:val="center"/>
        <w:rPr>
          <w:rFonts w:cstheme="minorHAnsi"/>
          <w:sz w:val="20"/>
          <w:szCs w:val="20"/>
          <w:u w:val="single"/>
        </w:rPr>
      </w:pPr>
      <w:r w:rsidRPr="00BD1901">
        <w:rPr>
          <w:rFonts w:cstheme="minorHAnsi"/>
          <w:i/>
          <w:sz w:val="20"/>
          <w:szCs w:val="20"/>
          <w:u w:val="single"/>
        </w:rPr>
        <w:t>Figure 2:</w:t>
      </w:r>
      <w:r w:rsidRPr="00BD1901">
        <w:rPr>
          <w:rFonts w:cstheme="minorHAnsi"/>
          <w:sz w:val="20"/>
          <w:szCs w:val="20"/>
          <w:u w:val="single"/>
        </w:rPr>
        <w:t xml:space="preserve"> ‘Wordle’ depicting frequency of words used in the category ‘Outstanding’ for Level 5 (SCQF 8)</w:t>
      </w:r>
    </w:p>
    <w:p w:rsidR="0036241C" w:rsidRDefault="0036241C" w:rsidP="0082248E">
      <w:pPr>
        <w:jc w:val="both"/>
        <w:rPr>
          <w:rFonts w:cstheme="minorHAnsi"/>
          <w:sz w:val="20"/>
          <w:szCs w:val="20"/>
          <w:u w:val="single"/>
        </w:rPr>
      </w:pPr>
    </w:p>
    <w:p w:rsidR="008E7139" w:rsidRPr="00026AA4" w:rsidRDefault="0082248E" w:rsidP="008E7139">
      <w:pPr>
        <w:tabs>
          <w:tab w:val="left" w:pos="3675"/>
        </w:tabs>
        <w:spacing w:after="0" w:line="480" w:lineRule="auto"/>
        <w:jc w:val="both"/>
        <w:rPr>
          <w:rFonts w:ascii="Arial" w:hAnsi="Arial" w:cs="Arial"/>
          <w:sz w:val="24"/>
          <w:szCs w:val="24"/>
        </w:rPr>
      </w:pPr>
      <w:r w:rsidRPr="00026AA4">
        <w:rPr>
          <w:rFonts w:ascii="Arial" w:hAnsi="Arial" w:cs="Arial"/>
          <w:sz w:val="24"/>
          <w:szCs w:val="24"/>
        </w:rPr>
        <w:t>The sets of words in the Lexicon Frameworks were then converted to a generic range of statements relevant to ‘Knowledge’, ‘Skills’ and ‘Attitudes’ appropriate to the descriptor l</w:t>
      </w:r>
      <w:r w:rsidR="00927CF7" w:rsidRPr="00026AA4">
        <w:rPr>
          <w:rFonts w:ascii="Arial" w:hAnsi="Arial" w:cs="Arial"/>
          <w:sz w:val="24"/>
          <w:szCs w:val="24"/>
        </w:rPr>
        <w:t>evels within each academic level</w:t>
      </w:r>
      <w:r w:rsidR="008B2D23" w:rsidRPr="00026AA4">
        <w:rPr>
          <w:rFonts w:ascii="Arial" w:hAnsi="Arial" w:cs="Arial"/>
          <w:sz w:val="24"/>
          <w:szCs w:val="24"/>
        </w:rPr>
        <w:t>, forming</w:t>
      </w:r>
      <w:r w:rsidR="008E7139" w:rsidRPr="00026AA4">
        <w:rPr>
          <w:rFonts w:ascii="Arial" w:hAnsi="Arial" w:cs="Arial"/>
          <w:sz w:val="24"/>
          <w:szCs w:val="24"/>
        </w:rPr>
        <w:t xml:space="preserve"> the </w:t>
      </w:r>
      <w:r w:rsidR="008E7139" w:rsidRPr="00026AA4">
        <w:rPr>
          <w:rFonts w:ascii="Arial" w:hAnsi="Arial" w:cs="Arial"/>
          <w:i/>
          <w:sz w:val="24"/>
          <w:szCs w:val="24"/>
        </w:rPr>
        <w:t>‘Rubrics’</w:t>
      </w:r>
      <w:r w:rsidR="00927CF7" w:rsidRPr="00026AA4">
        <w:rPr>
          <w:rFonts w:ascii="Arial" w:hAnsi="Arial" w:cs="Arial"/>
          <w:i/>
          <w:sz w:val="24"/>
          <w:szCs w:val="24"/>
        </w:rPr>
        <w:t>,</w:t>
      </w:r>
      <w:r w:rsidR="008E7139" w:rsidRPr="00026AA4">
        <w:rPr>
          <w:rFonts w:ascii="Arial" w:hAnsi="Arial" w:cs="Arial"/>
          <w:sz w:val="24"/>
          <w:szCs w:val="24"/>
        </w:rPr>
        <w:t xml:space="preserve"> for example: </w:t>
      </w:r>
      <w:r w:rsidR="00927CF7" w:rsidRPr="00026AA4">
        <w:rPr>
          <w:rFonts w:ascii="Arial" w:hAnsi="Arial" w:cs="Arial"/>
          <w:i/>
          <w:sz w:val="24"/>
          <w:szCs w:val="24"/>
        </w:rPr>
        <w:t>“Student demonstrates very good communication skills to underpin professional care and team-work”</w:t>
      </w:r>
      <w:r w:rsidR="008E7139" w:rsidRPr="00026AA4">
        <w:rPr>
          <w:rFonts w:ascii="Arial" w:hAnsi="Arial" w:cs="Arial"/>
          <w:i/>
          <w:sz w:val="24"/>
          <w:szCs w:val="24"/>
        </w:rPr>
        <w:t xml:space="preserve"> </w:t>
      </w:r>
      <w:r w:rsidR="008E7139" w:rsidRPr="00026AA4">
        <w:rPr>
          <w:rFonts w:ascii="Arial" w:hAnsi="Arial" w:cs="Arial"/>
          <w:sz w:val="24"/>
          <w:szCs w:val="24"/>
        </w:rPr>
        <w:t>(‘Skills’, level 5/ SCQF 8, ‘Very good’).</w:t>
      </w:r>
      <w:r w:rsidR="008E7139" w:rsidRPr="00026AA4">
        <w:rPr>
          <w:rFonts w:ascii="Arial" w:hAnsi="Arial" w:cs="Arial"/>
        </w:rPr>
        <w:t xml:space="preserve"> </w:t>
      </w:r>
    </w:p>
    <w:p w:rsidR="00262CA1" w:rsidRPr="00026AA4" w:rsidRDefault="00262CA1" w:rsidP="00262CA1">
      <w:pPr>
        <w:tabs>
          <w:tab w:val="left" w:pos="3675"/>
        </w:tabs>
        <w:spacing w:after="0" w:line="480" w:lineRule="auto"/>
        <w:jc w:val="both"/>
        <w:rPr>
          <w:rFonts w:ascii="Arial" w:hAnsi="Arial" w:cs="Arial"/>
          <w:sz w:val="24"/>
          <w:szCs w:val="24"/>
        </w:rPr>
      </w:pPr>
    </w:p>
    <w:p w:rsidR="00262CA1" w:rsidRPr="00026AA4" w:rsidRDefault="00262CA1" w:rsidP="00262CA1">
      <w:pPr>
        <w:tabs>
          <w:tab w:val="left" w:pos="3675"/>
        </w:tabs>
        <w:spacing w:after="0" w:line="480" w:lineRule="auto"/>
        <w:jc w:val="both"/>
        <w:rPr>
          <w:rFonts w:ascii="Arial" w:hAnsi="Arial" w:cs="Arial"/>
          <w:sz w:val="24"/>
          <w:szCs w:val="24"/>
        </w:rPr>
      </w:pPr>
      <w:r w:rsidRPr="00026AA4">
        <w:rPr>
          <w:rFonts w:ascii="Arial" w:hAnsi="Arial" w:cs="Arial"/>
          <w:sz w:val="24"/>
          <w:szCs w:val="24"/>
        </w:rPr>
        <w:t>The sets of Lexicon Frameworks and Rubrics were uploaded to the project website for participants to access during the survey.</w:t>
      </w:r>
    </w:p>
    <w:p w:rsidR="008E420D" w:rsidRPr="00026AA4" w:rsidRDefault="008E420D" w:rsidP="008E420D">
      <w:pPr>
        <w:tabs>
          <w:tab w:val="left" w:pos="3675"/>
        </w:tabs>
        <w:spacing w:after="0" w:line="480" w:lineRule="auto"/>
        <w:jc w:val="both"/>
        <w:rPr>
          <w:rFonts w:ascii="Arial" w:hAnsi="Arial" w:cs="Arial"/>
          <w:sz w:val="24"/>
          <w:szCs w:val="24"/>
        </w:rPr>
      </w:pPr>
    </w:p>
    <w:p w:rsidR="001308CD" w:rsidRPr="00026AA4" w:rsidRDefault="001308CD" w:rsidP="001308CD">
      <w:pPr>
        <w:spacing w:after="0" w:line="480" w:lineRule="auto"/>
        <w:rPr>
          <w:rFonts w:ascii="Arial" w:hAnsi="Arial" w:cs="Arial"/>
          <w:b/>
          <w:sz w:val="24"/>
          <w:szCs w:val="24"/>
          <w:u w:val="single"/>
        </w:rPr>
      </w:pPr>
      <w:r w:rsidRPr="00026AA4">
        <w:rPr>
          <w:rFonts w:ascii="Arial" w:hAnsi="Arial" w:cs="Arial"/>
          <w:b/>
          <w:sz w:val="24"/>
          <w:szCs w:val="24"/>
          <w:u w:val="single"/>
        </w:rPr>
        <w:t>3.4 Participants and ethical considerations:</w:t>
      </w:r>
    </w:p>
    <w:p w:rsidR="001308CD" w:rsidRPr="00026AA4" w:rsidRDefault="001308CD" w:rsidP="001308CD">
      <w:pPr>
        <w:spacing w:after="0" w:line="480" w:lineRule="auto"/>
        <w:jc w:val="both"/>
        <w:rPr>
          <w:rFonts w:ascii="Arial" w:hAnsi="Arial" w:cs="Arial"/>
          <w:sz w:val="24"/>
          <w:szCs w:val="24"/>
        </w:rPr>
      </w:pPr>
      <w:r w:rsidRPr="00026AA4">
        <w:rPr>
          <w:rFonts w:ascii="Arial" w:hAnsi="Arial" w:cs="Arial"/>
          <w:sz w:val="24"/>
          <w:szCs w:val="24"/>
        </w:rPr>
        <w:t xml:space="preserve">The survey was approved for national implementation by the ethics committee at the host university. </w:t>
      </w:r>
      <w:r w:rsidR="00222006" w:rsidRPr="00026AA4">
        <w:rPr>
          <w:rFonts w:ascii="Arial" w:hAnsi="Arial" w:cs="Arial"/>
          <w:sz w:val="24"/>
          <w:szCs w:val="24"/>
        </w:rPr>
        <w:t xml:space="preserve">It was confirmed that </w:t>
      </w:r>
      <w:r w:rsidR="00ED7232" w:rsidRPr="00026AA4">
        <w:rPr>
          <w:rFonts w:ascii="Arial" w:hAnsi="Arial" w:cs="Arial"/>
          <w:sz w:val="24"/>
          <w:szCs w:val="24"/>
        </w:rPr>
        <w:t xml:space="preserve">Health Research Authority (2018) approval </w:t>
      </w:r>
      <w:r w:rsidR="00222006" w:rsidRPr="00026AA4">
        <w:rPr>
          <w:rFonts w:ascii="Arial" w:hAnsi="Arial" w:cs="Arial"/>
          <w:sz w:val="24"/>
          <w:szCs w:val="24"/>
        </w:rPr>
        <w:t xml:space="preserve">was not required as clinical representatives were approached via university databases. </w:t>
      </w:r>
      <w:r w:rsidRPr="00026AA4">
        <w:rPr>
          <w:rFonts w:ascii="Arial" w:hAnsi="Arial" w:cs="Arial"/>
          <w:sz w:val="24"/>
          <w:szCs w:val="24"/>
        </w:rPr>
        <w:t>The approval reference was made available on all survey documentation and the project website</w:t>
      </w:r>
      <w:r w:rsidR="008B2D23" w:rsidRPr="00026AA4">
        <w:rPr>
          <w:rFonts w:ascii="Arial" w:hAnsi="Arial" w:cs="Arial"/>
          <w:sz w:val="24"/>
          <w:szCs w:val="24"/>
        </w:rPr>
        <w:t>.</w:t>
      </w:r>
    </w:p>
    <w:p w:rsidR="001308CD" w:rsidRPr="00026AA4" w:rsidRDefault="001308CD" w:rsidP="001308CD">
      <w:pPr>
        <w:spacing w:after="0" w:line="480" w:lineRule="auto"/>
        <w:jc w:val="both"/>
        <w:rPr>
          <w:rFonts w:ascii="Arial" w:hAnsi="Arial" w:cs="Arial"/>
          <w:b/>
          <w:color w:val="2E74B5" w:themeColor="accent1" w:themeShade="BF"/>
          <w:sz w:val="24"/>
          <w:szCs w:val="24"/>
        </w:rPr>
      </w:pPr>
    </w:p>
    <w:p w:rsidR="001308CD" w:rsidRPr="00026AA4" w:rsidRDefault="001308CD" w:rsidP="001308CD">
      <w:pPr>
        <w:spacing w:after="0" w:line="480" w:lineRule="auto"/>
        <w:jc w:val="both"/>
        <w:rPr>
          <w:rFonts w:ascii="Arial" w:hAnsi="Arial" w:cs="Arial"/>
          <w:sz w:val="24"/>
          <w:szCs w:val="24"/>
        </w:rPr>
      </w:pPr>
      <w:r w:rsidRPr="00026AA4">
        <w:rPr>
          <w:rFonts w:ascii="Arial" w:hAnsi="Arial" w:cs="Arial"/>
          <w:sz w:val="24"/>
          <w:szCs w:val="24"/>
        </w:rPr>
        <w:lastRenderedPageBreak/>
        <w:t xml:space="preserve">The LMEs acted as gatekeepers in their institutions across the UK, inviting midwifery and nursing </w:t>
      </w:r>
      <w:r w:rsidR="008B2D23" w:rsidRPr="00026AA4">
        <w:rPr>
          <w:rFonts w:ascii="Arial" w:hAnsi="Arial" w:cs="Arial"/>
          <w:sz w:val="24"/>
          <w:szCs w:val="24"/>
        </w:rPr>
        <w:t>participation</w:t>
      </w:r>
      <w:r w:rsidRPr="00026AA4">
        <w:rPr>
          <w:rFonts w:ascii="Arial" w:hAnsi="Arial" w:cs="Arial"/>
          <w:sz w:val="24"/>
          <w:szCs w:val="24"/>
        </w:rPr>
        <w:t xml:space="preserve"> from academics, clinicians involved in supporting and assessing learners and pre-registration students. </w:t>
      </w:r>
    </w:p>
    <w:p w:rsidR="001308CD" w:rsidRPr="00026AA4" w:rsidRDefault="001308CD" w:rsidP="008E420D">
      <w:pPr>
        <w:tabs>
          <w:tab w:val="left" w:pos="3675"/>
        </w:tabs>
        <w:spacing w:after="0" w:line="480" w:lineRule="auto"/>
        <w:jc w:val="both"/>
        <w:rPr>
          <w:rFonts w:ascii="Arial" w:hAnsi="Arial" w:cs="Arial"/>
          <w:sz w:val="24"/>
          <w:szCs w:val="24"/>
        </w:rPr>
      </w:pPr>
    </w:p>
    <w:p w:rsidR="008E7139" w:rsidRPr="00026AA4" w:rsidRDefault="00D65909" w:rsidP="00F20632">
      <w:pPr>
        <w:spacing w:after="0" w:line="480" w:lineRule="auto"/>
        <w:rPr>
          <w:rFonts w:ascii="Arial" w:hAnsi="Arial" w:cs="Arial"/>
          <w:b/>
          <w:sz w:val="24"/>
          <w:szCs w:val="24"/>
          <w:u w:val="single"/>
        </w:rPr>
      </w:pPr>
      <w:r w:rsidRPr="00026AA4">
        <w:rPr>
          <w:rFonts w:ascii="Arial" w:hAnsi="Arial" w:cs="Arial"/>
          <w:b/>
          <w:sz w:val="24"/>
          <w:szCs w:val="24"/>
          <w:u w:val="single"/>
        </w:rPr>
        <w:t xml:space="preserve">3.5 </w:t>
      </w:r>
      <w:r w:rsidR="0083009E" w:rsidRPr="00026AA4">
        <w:rPr>
          <w:rFonts w:ascii="Arial" w:hAnsi="Arial" w:cs="Arial"/>
          <w:b/>
          <w:sz w:val="24"/>
          <w:szCs w:val="24"/>
          <w:u w:val="single"/>
        </w:rPr>
        <w:t>Data collection and analysis</w:t>
      </w:r>
      <w:r w:rsidR="00DB4CFB" w:rsidRPr="00026AA4">
        <w:rPr>
          <w:rFonts w:ascii="Arial" w:hAnsi="Arial" w:cs="Arial"/>
          <w:b/>
          <w:sz w:val="24"/>
          <w:szCs w:val="24"/>
          <w:u w:val="single"/>
        </w:rPr>
        <w:t>:</w:t>
      </w:r>
    </w:p>
    <w:p w:rsidR="0083009E" w:rsidRPr="00026AA4" w:rsidRDefault="0083009E" w:rsidP="00F20632">
      <w:pPr>
        <w:tabs>
          <w:tab w:val="left" w:pos="3675"/>
        </w:tabs>
        <w:spacing w:after="0" w:line="480" w:lineRule="auto"/>
        <w:jc w:val="both"/>
        <w:rPr>
          <w:rFonts w:ascii="Arial" w:hAnsi="Arial" w:cs="Arial"/>
          <w:sz w:val="24"/>
          <w:szCs w:val="24"/>
        </w:rPr>
      </w:pPr>
      <w:r w:rsidRPr="00026AA4">
        <w:rPr>
          <w:rFonts w:ascii="Arial" w:hAnsi="Arial" w:cs="Arial"/>
          <w:sz w:val="24"/>
          <w:szCs w:val="24"/>
        </w:rPr>
        <w:t>An on-line survey qu</w:t>
      </w:r>
      <w:r w:rsidR="008E7139" w:rsidRPr="00026AA4">
        <w:rPr>
          <w:rFonts w:ascii="Arial" w:hAnsi="Arial" w:cs="Arial"/>
          <w:sz w:val="24"/>
          <w:szCs w:val="24"/>
        </w:rPr>
        <w:t>estionnaire using ‘SurveyMonkey’ (Finley and Finley, 1999)</w:t>
      </w:r>
      <w:r w:rsidRPr="00026AA4">
        <w:rPr>
          <w:rFonts w:ascii="Arial" w:hAnsi="Arial" w:cs="Arial"/>
          <w:sz w:val="24"/>
          <w:szCs w:val="24"/>
        </w:rPr>
        <w:t xml:space="preserve"> included quantitative questions, qualitative comments</w:t>
      </w:r>
      <w:r w:rsidR="008B2D23" w:rsidRPr="00026AA4">
        <w:rPr>
          <w:rFonts w:ascii="Arial" w:hAnsi="Arial" w:cs="Arial"/>
          <w:sz w:val="24"/>
          <w:szCs w:val="24"/>
        </w:rPr>
        <w:t xml:space="preserve"> and</w:t>
      </w:r>
      <w:r w:rsidRPr="00026AA4">
        <w:rPr>
          <w:rFonts w:ascii="Arial" w:hAnsi="Arial" w:cs="Arial"/>
          <w:sz w:val="24"/>
          <w:szCs w:val="24"/>
        </w:rPr>
        <w:t xml:space="preserve"> </w:t>
      </w:r>
      <w:r w:rsidR="008B2D23" w:rsidRPr="00026AA4">
        <w:rPr>
          <w:rFonts w:ascii="Arial" w:hAnsi="Arial" w:cs="Arial"/>
          <w:sz w:val="24"/>
          <w:szCs w:val="24"/>
        </w:rPr>
        <w:t>application of the Rubrics to grading</w:t>
      </w:r>
      <w:r w:rsidRPr="00026AA4">
        <w:rPr>
          <w:rFonts w:ascii="Arial" w:hAnsi="Arial" w:cs="Arial"/>
          <w:sz w:val="24"/>
          <w:szCs w:val="24"/>
        </w:rPr>
        <w:t xml:space="preserve"> scenarios. </w:t>
      </w:r>
    </w:p>
    <w:p w:rsidR="000C00C8" w:rsidRPr="00026AA4" w:rsidRDefault="000C00C8" w:rsidP="00F20632">
      <w:pPr>
        <w:spacing w:after="0" w:line="480" w:lineRule="auto"/>
        <w:jc w:val="both"/>
        <w:rPr>
          <w:rFonts w:ascii="Arial" w:hAnsi="Arial" w:cs="Arial"/>
          <w:sz w:val="24"/>
          <w:szCs w:val="24"/>
        </w:rPr>
      </w:pPr>
    </w:p>
    <w:p w:rsidR="001308CD" w:rsidRPr="00026AA4" w:rsidRDefault="001308CD" w:rsidP="001308CD">
      <w:pPr>
        <w:spacing w:after="0" w:line="480" w:lineRule="auto"/>
        <w:jc w:val="both"/>
        <w:rPr>
          <w:rFonts w:ascii="Arial" w:hAnsi="Arial" w:cs="Arial"/>
          <w:sz w:val="24"/>
          <w:szCs w:val="24"/>
        </w:rPr>
      </w:pPr>
      <w:r w:rsidRPr="00026AA4">
        <w:rPr>
          <w:rFonts w:ascii="Arial" w:hAnsi="Arial" w:cs="Arial"/>
          <w:sz w:val="24"/>
          <w:szCs w:val="24"/>
        </w:rPr>
        <w:t>The survey and assessment tools were piloted and refined with representatives from the stakeh</w:t>
      </w:r>
      <w:r w:rsidR="008B2D23" w:rsidRPr="00026AA4">
        <w:rPr>
          <w:rFonts w:ascii="Arial" w:hAnsi="Arial" w:cs="Arial"/>
          <w:sz w:val="24"/>
          <w:szCs w:val="24"/>
        </w:rPr>
        <w:t>older groups; all pilot data were</w:t>
      </w:r>
      <w:r w:rsidRPr="00026AA4">
        <w:rPr>
          <w:rFonts w:ascii="Arial" w:hAnsi="Arial" w:cs="Arial"/>
          <w:sz w:val="24"/>
          <w:szCs w:val="24"/>
        </w:rPr>
        <w:t xml:space="preserve"> excluded from the main survey.</w:t>
      </w:r>
    </w:p>
    <w:p w:rsidR="001308CD" w:rsidRPr="00026AA4" w:rsidRDefault="001308CD" w:rsidP="00F20632">
      <w:pPr>
        <w:spacing w:after="0" w:line="480" w:lineRule="auto"/>
        <w:jc w:val="both"/>
        <w:rPr>
          <w:rFonts w:ascii="Arial" w:hAnsi="Arial" w:cs="Arial"/>
          <w:sz w:val="24"/>
          <w:szCs w:val="24"/>
        </w:rPr>
      </w:pPr>
    </w:p>
    <w:p w:rsidR="000C00C8" w:rsidRPr="00026AA4" w:rsidRDefault="001308CD" w:rsidP="00F20632">
      <w:pPr>
        <w:spacing w:after="0" w:line="480" w:lineRule="auto"/>
        <w:jc w:val="both"/>
        <w:rPr>
          <w:rFonts w:ascii="Arial" w:hAnsi="Arial" w:cs="Arial"/>
          <w:sz w:val="24"/>
          <w:szCs w:val="24"/>
        </w:rPr>
      </w:pPr>
      <w:r w:rsidRPr="00026AA4">
        <w:rPr>
          <w:rFonts w:ascii="Arial" w:hAnsi="Arial" w:cs="Arial"/>
          <w:sz w:val="24"/>
          <w:szCs w:val="24"/>
        </w:rPr>
        <w:t>Data were</w:t>
      </w:r>
      <w:r w:rsidR="00F20632" w:rsidRPr="00026AA4">
        <w:rPr>
          <w:rFonts w:ascii="Arial" w:hAnsi="Arial" w:cs="Arial"/>
          <w:sz w:val="24"/>
          <w:szCs w:val="24"/>
        </w:rPr>
        <w:t xml:space="preserve"> filtered according to </w:t>
      </w:r>
      <w:r w:rsidR="000C00C8" w:rsidRPr="00026AA4">
        <w:rPr>
          <w:rFonts w:ascii="Arial" w:hAnsi="Arial" w:cs="Arial"/>
          <w:sz w:val="24"/>
          <w:szCs w:val="24"/>
        </w:rPr>
        <w:t xml:space="preserve">the </w:t>
      </w:r>
      <w:r w:rsidR="00F20632" w:rsidRPr="00026AA4">
        <w:rPr>
          <w:rFonts w:ascii="Arial" w:hAnsi="Arial" w:cs="Arial"/>
          <w:sz w:val="24"/>
          <w:szCs w:val="24"/>
        </w:rPr>
        <w:t xml:space="preserve">stakeholder </w:t>
      </w:r>
      <w:r w:rsidR="000C00C8" w:rsidRPr="00026AA4">
        <w:rPr>
          <w:rFonts w:ascii="Arial" w:hAnsi="Arial" w:cs="Arial"/>
          <w:sz w:val="24"/>
          <w:szCs w:val="24"/>
        </w:rPr>
        <w:t>categories</w:t>
      </w:r>
      <w:r w:rsidR="00F20632" w:rsidRPr="00026AA4">
        <w:rPr>
          <w:rFonts w:ascii="Arial" w:hAnsi="Arial" w:cs="Arial"/>
          <w:sz w:val="24"/>
          <w:szCs w:val="24"/>
        </w:rPr>
        <w:t xml:space="preserve"> and professions, </w:t>
      </w:r>
      <w:r w:rsidRPr="00026AA4">
        <w:rPr>
          <w:rFonts w:ascii="Arial" w:hAnsi="Arial" w:cs="Arial"/>
          <w:sz w:val="24"/>
          <w:szCs w:val="24"/>
        </w:rPr>
        <w:t>enabling</w:t>
      </w:r>
      <w:r w:rsidR="00F20632" w:rsidRPr="00026AA4">
        <w:rPr>
          <w:rFonts w:ascii="Arial" w:hAnsi="Arial" w:cs="Arial"/>
          <w:sz w:val="24"/>
          <w:szCs w:val="24"/>
        </w:rPr>
        <w:t xml:space="preserve"> comparisons to be made within and between groups.</w:t>
      </w:r>
      <w:r w:rsidR="000C00C8" w:rsidRPr="00026AA4">
        <w:rPr>
          <w:rFonts w:ascii="Arial" w:hAnsi="Arial" w:cs="Arial"/>
          <w:sz w:val="24"/>
          <w:szCs w:val="24"/>
        </w:rPr>
        <w:t xml:space="preserve"> </w:t>
      </w:r>
      <w:r w:rsidR="00F20632" w:rsidRPr="00026AA4">
        <w:rPr>
          <w:rFonts w:ascii="Arial" w:hAnsi="Arial" w:cs="Arial"/>
          <w:sz w:val="24"/>
          <w:szCs w:val="24"/>
        </w:rPr>
        <w:t>Manual cleansing was undertaken</w:t>
      </w:r>
      <w:r w:rsidR="0082248E" w:rsidRPr="00026AA4">
        <w:rPr>
          <w:rFonts w:ascii="Arial" w:hAnsi="Arial" w:cs="Arial"/>
          <w:sz w:val="24"/>
          <w:szCs w:val="24"/>
        </w:rPr>
        <w:t xml:space="preserve"> where</w:t>
      </w:r>
      <w:r w:rsidRPr="00026AA4">
        <w:rPr>
          <w:rFonts w:ascii="Arial" w:hAnsi="Arial" w:cs="Arial"/>
          <w:sz w:val="24"/>
          <w:szCs w:val="24"/>
        </w:rPr>
        <w:t xml:space="preserve"> any</w:t>
      </w:r>
      <w:r w:rsidR="0082248E" w:rsidRPr="00026AA4">
        <w:rPr>
          <w:rFonts w:ascii="Arial" w:hAnsi="Arial" w:cs="Arial"/>
          <w:sz w:val="24"/>
          <w:szCs w:val="24"/>
        </w:rPr>
        <w:t xml:space="preserve"> discrepancies occurred</w:t>
      </w:r>
      <w:r w:rsidR="00F20632" w:rsidRPr="00026AA4">
        <w:rPr>
          <w:rFonts w:ascii="Arial" w:hAnsi="Arial" w:cs="Arial"/>
          <w:sz w:val="24"/>
          <w:szCs w:val="24"/>
        </w:rPr>
        <w:t>.</w:t>
      </w:r>
    </w:p>
    <w:p w:rsidR="000C00C8" w:rsidRPr="00026AA4" w:rsidRDefault="000C00C8" w:rsidP="00F20632">
      <w:pPr>
        <w:spacing w:after="0" w:line="480" w:lineRule="auto"/>
        <w:jc w:val="both"/>
        <w:rPr>
          <w:rFonts w:ascii="Arial" w:hAnsi="Arial" w:cs="Arial"/>
          <w:sz w:val="24"/>
          <w:szCs w:val="24"/>
        </w:rPr>
      </w:pPr>
    </w:p>
    <w:p w:rsidR="005E6D9C" w:rsidRPr="00026AA4" w:rsidRDefault="000C00C8" w:rsidP="00FF2019">
      <w:pPr>
        <w:spacing w:after="0" w:line="480" w:lineRule="auto"/>
        <w:jc w:val="both"/>
        <w:rPr>
          <w:rFonts w:ascii="Arial" w:hAnsi="Arial" w:cs="Arial"/>
          <w:sz w:val="24"/>
          <w:szCs w:val="24"/>
        </w:rPr>
      </w:pPr>
      <w:r w:rsidRPr="00026AA4">
        <w:rPr>
          <w:rFonts w:ascii="Arial" w:hAnsi="Arial" w:cs="Arial"/>
          <w:sz w:val="24"/>
          <w:szCs w:val="24"/>
        </w:rPr>
        <w:t xml:space="preserve">Descriptive statistical analysis of quantitative components (giving numbers and percentages) </w:t>
      </w:r>
      <w:r w:rsidR="00F20632" w:rsidRPr="00026AA4">
        <w:rPr>
          <w:rFonts w:ascii="Arial" w:hAnsi="Arial" w:cs="Arial"/>
          <w:sz w:val="24"/>
          <w:szCs w:val="24"/>
        </w:rPr>
        <w:t xml:space="preserve">and thematic content analysis of qualitative data was undertaken independently by </w:t>
      </w:r>
      <w:r w:rsidR="008E7139" w:rsidRPr="00026AA4">
        <w:rPr>
          <w:rFonts w:ascii="Arial" w:hAnsi="Arial" w:cs="Arial"/>
          <w:sz w:val="24"/>
          <w:szCs w:val="24"/>
        </w:rPr>
        <w:t xml:space="preserve">the research </w:t>
      </w:r>
      <w:r w:rsidR="00F20632" w:rsidRPr="00026AA4">
        <w:rPr>
          <w:rFonts w:ascii="Arial" w:hAnsi="Arial" w:cs="Arial"/>
          <w:sz w:val="24"/>
          <w:szCs w:val="24"/>
        </w:rPr>
        <w:t>team</w:t>
      </w:r>
      <w:r w:rsidR="0082248E" w:rsidRPr="00026AA4">
        <w:rPr>
          <w:rFonts w:ascii="Arial" w:hAnsi="Arial" w:cs="Arial"/>
          <w:sz w:val="24"/>
          <w:szCs w:val="24"/>
        </w:rPr>
        <w:t xml:space="preserve"> members and then cross-checked</w:t>
      </w:r>
      <w:r w:rsidR="00F20632" w:rsidRPr="00026AA4">
        <w:rPr>
          <w:rFonts w:ascii="Arial" w:hAnsi="Arial" w:cs="Arial"/>
          <w:sz w:val="24"/>
          <w:szCs w:val="24"/>
        </w:rPr>
        <w:t>.</w:t>
      </w:r>
      <w:r w:rsidRPr="00026AA4">
        <w:rPr>
          <w:rFonts w:ascii="Arial" w:hAnsi="Arial" w:cs="Arial"/>
          <w:sz w:val="24"/>
          <w:szCs w:val="24"/>
        </w:rPr>
        <w:t xml:space="preserve"> </w:t>
      </w:r>
      <w:r w:rsidR="00F20632" w:rsidRPr="00026AA4">
        <w:rPr>
          <w:rFonts w:ascii="Arial" w:hAnsi="Arial" w:cs="Arial"/>
          <w:sz w:val="24"/>
          <w:szCs w:val="24"/>
        </w:rPr>
        <w:t>Codes,</w:t>
      </w:r>
      <w:r w:rsidRPr="00026AA4">
        <w:rPr>
          <w:rFonts w:ascii="Arial" w:hAnsi="Arial" w:cs="Arial"/>
          <w:sz w:val="24"/>
          <w:szCs w:val="24"/>
        </w:rPr>
        <w:t xml:space="preserve"> themes</w:t>
      </w:r>
      <w:r w:rsidR="00F20632" w:rsidRPr="00026AA4">
        <w:rPr>
          <w:rFonts w:ascii="Arial" w:hAnsi="Arial" w:cs="Arial"/>
          <w:sz w:val="24"/>
          <w:szCs w:val="24"/>
        </w:rPr>
        <w:t xml:space="preserve"> and key findings</w:t>
      </w:r>
      <w:r w:rsidRPr="00026AA4">
        <w:rPr>
          <w:rFonts w:ascii="Arial" w:hAnsi="Arial" w:cs="Arial"/>
          <w:sz w:val="24"/>
          <w:szCs w:val="24"/>
        </w:rPr>
        <w:t xml:space="preserve"> were agreed</w:t>
      </w:r>
      <w:r w:rsidR="00F20632" w:rsidRPr="00026AA4">
        <w:rPr>
          <w:rFonts w:ascii="Arial" w:hAnsi="Arial" w:cs="Arial"/>
          <w:sz w:val="24"/>
          <w:szCs w:val="24"/>
        </w:rPr>
        <w:t xml:space="preserve"> by the full </w:t>
      </w:r>
      <w:r w:rsidR="008E7139" w:rsidRPr="00026AA4">
        <w:rPr>
          <w:rFonts w:ascii="Arial" w:hAnsi="Arial" w:cs="Arial"/>
          <w:sz w:val="24"/>
          <w:szCs w:val="24"/>
        </w:rPr>
        <w:t xml:space="preserve">project </w:t>
      </w:r>
      <w:r w:rsidR="00F20632" w:rsidRPr="00026AA4">
        <w:rPr>
          <w:rFonts w:ascii="Arial" w:hAnsi="Arial" w:cs="Arial"/>
          <w:sz w:val="24"/>
          <w:szCs w:val="24"/>
        </w:rPr>
        <w:t>team</w:t>
      </w:r>
      <w:r w:rsidRPr="00026AA4">
        <w:rPr>
          <w:rFonts w:ascii="Arial" w:hAnsi="Arial" w:cs="Arial"/>
          <w:sz w:val="24"/>
          <w:szCs w:val="24"/>
        </w:rPr>
        <w:t xml:space="preserve"> at </w:t>
      </w:r>
      <w:r w:rsidR="00F20632" w:rsidRPr="00026AA4">
        <w:rPr>
          <w:rFonts w:ascii="Arial" w:hAnsi="Arial" w:cs="Arial"/>
          <w:sz w:val="24"/>
          <w:szCs w:val="24"/>
        </w:rPr>
        <w:t xml:space="preserve">a </w:t>
      </w:r>
      <w:r w:rsidRPr="00026AA4">
        <w:rPr>
          <w:rFonts w:ascii="Arial" w:hAnsi="Arial" w:cs="Arial"/>
          <w:sz w:val="24"/>
          <w:szCs w:val="24"/>
        </w:rPr>
        <w:t xml:space="preserve">face-to-face </w:t>
      </w:r>
      <w:r w:rsidR="00F20632" w:rsidRPr="00026AA4">
        <w:rPr>
          <w:rFonts w:ascii="Arial" w:hAnsi="Arial" w:cs="Arial"/>
          <w:sz w:val="24"/>
          <w:szCs w:val="24"/>
        </w:rPr>
        <w:t>meeting and follow-up email correspondence.</w:t>
      </w:r>
      <w:r w:rsidR="00FF2019">
        <w:rPr>
          <w:rFonts w:ascii="Arial" w:hAnsi="Arial" w:cs="Arial"/>
          <w:sz w:val="24"/>
          <w:szCs w:val="24"/>
        </w:rPr>
        <w:t xml:space="preserve"> </w:t>
      </w:r>
    </w:p>
    <w:p w:rsidR="005E6D9C" w:rsidRPr="00026AA4" w:rsidRDefault="005E6D9C" w:rsidP="00DB4CFB">
      <w:pPr>
        <w:spacing w:after="0" w:line="480" w:lineRule="auto"/>
        <w:rPr>
          <w:rFonts w:ascii="Arial" w:hAnsi="Arial" w:cs="Arial"/>
          <w:sz w:val="24"/>
          <w:szCs w:val="24"/>
        </w:rPr>
      </w:pPr>
    </w:p>
    <w:p w:rsidR="00DB4CFB" w:rsidRPr="00026AA4" w:rsidRDefault="00D65909" w:rsidP="00DB4CFB">
      <w:pPr>
        <w:spacing w:after="0" w:line="480" w:lineRule="auto"/>
        <w:jc w:val="center"/>
        <w:rPr>
          <w:rFonts w:ascii="Arial" w:hAnsi="Arial" w:cs="Arial"/>
          <w:b/>
          <w:sz w:val="24"/>
          <w:szCs w:val="24"/>
          <w:u w:val="single"/>
        </w:rPr>
      </w:pPr>
      <w:r w:rsidRPr="00026AA4">
        <w:rPr>
          <w:rFonts w:ascii="Arial" w:hAnsi="Arial" w:cs="Arial"/>
          <w:b/>
          <w:sz w:val="24"/>
          <w:szCs w:val="24"/>
          <w:u w:val="single"/>
        </w:rPr>
        <w:t xml:space="preserve">4. </w:t>
      </w:r>
      <w:r w:rsidR="00DB4CFB" w:rsidRPr="00026AA4">
        <w:rPr>
          <w:rFonts w:ascii="Arial" w:hAnsi="Arial" w:cs="Arial"/>
          <w:b/>
          <w:sz w:val="24"/>
          <w:szCs w:val="24"/>
          <w:u w:val="single"/>
        </w:rPr>
        <w:t>FINDINGS</w:t>
      </w:r>
    </w:p>
    <w:p w:rsidR="000C00C8" w:rsidRPr="00026AA4" w:rsidRDefault="000C00C8" w:rsidP="000C00C8">
      <w:pPr>
        <w:tabs>
          <w:tab w:val="right" w:leader="underscore" w:pos="8630"/>
        </w:tabs>
        <w:spacing w:after="0" w:line="240" w:lineRule="auto"/>
        <w:jc w:val="both"/>
        <w:rPr>
          <w:rFonts w:ascii="Calibri" w:hAnsi="Calibri" w:cs="Calibri"/>
        </w:rPr>
      </w:pPr>
    </w:p>
    <w:p w:rsidR="008E7139" w:rsidRPr="008E7139" w:rsidRDefault="00D65909" w:rsidP="008E7139">
      <w:pPr>
        <w:tabs>
          <w:tab w:val="right" w:leader="underscore" w:pos="8630"/>
        </w:tabs>
        <w:spacing w:after="0" w:line="480" w:lineRule="auto"/>
        <w:jc w:val="both"/>
        <w:rPr>
          <w:rFonts w:ascii="Arial" w:hAnsi="Arial" w:cs="Arial"/>
          <w:sz w:val="24"/>
          <w:szCs w:val="24"/>
        </w:rPr>
      </w:pPr>
      <w:r w:rsidRPr="00026AA4">
        <w:rPr>
          <w:rFonts w:ascii="Arial" w:hAnsi="Arial" w:cs="Arial"/>
          <w:sz w:val="24"/>
          <w:szCs w:val="24"/>
        </w:rPr>
        <w:t>K</w:t>
      </w:r>
      <w:r w:rsidR="00555227" w:rsidRPr="00026AA4">
        <w:rPr>
          <w:rFonts w:ascii="Arial" w:hAnsi="Arial" w:cs="Arial"/>
          <w:sz w:val="24"/>
          <w:szCs w:val="24"/>
        </w:rPr>
        <w:t>ey findings in each section</w:t>
      </w:r>
      <w:r w:rsidRPr="00026AA4">
        <w:rPr>
          <w:rFonts w:ascii="Arial" w:hAnsi="Arial" w:cs="Arial"/>
          <w:sz w:val="24"/>
          <w:szCs w:val="24"/>
        </w:rPr>
        <w:t xml:space="preserve"> of the survey are</w:t>
      </w:r>
      <w:r w:rsidR="00555227" w:rsidRPr="00026AA4">
        <w:rPr>
          <w:rFonts w:ascii="Arial" w:hAnsi="Arial" w:cs="Arial"/>
          <w:sz w:val="24"/>
          <w:szCs w:val="24"/>
        </w:rPr>
        <w:t xml:space="preserve"> presented, comprising both quantitative and qualitative elements. Where appropriate, participant quotations have been </w:t>
      </w:r>
      <w:r w:rsidR="00555227" w:rsidRPr="00026AA4">
        <w:rPr>
          <w:rFonts w:ascii="Arial" w:hAnsi="Arial" w:cs="Arial"/>
          <w:sz w:val="24"/>
          <w:szCs w:val="24"/>
        </w:rPr>
        <w:lastRenderedPageBreak/>
        <w:t xml:space="preserve">included, and coding of stakeholder categories is identified in </w:t>
      </w:r>
      <w:r w:rsidR="000C00C8" w:rsidRPr="00026AA4">
        <w:rPr>
          <w:rFonts w:ascii="Arial" w:hAnsi="Arial" w:cs="Arial"/>
          <w:i/>
          <w:sz w:val="24"/>
          <w:szCs w:val="24"/>
        </w:rPr>
        <w:t>Table 2</w:t>
      </w:r>
      <w:r w:rsidR="00555227" w:rsidRPr="00026AA4">
        <w:rPr>
          <w:rFonts w:ascii="Arial" w:hAnsi="Arial" w:cs="Arial"/>
          <w:sz w:val="24"/>
          <w:szCs w:val="24"/>
        </w:rPr>
        <w:t>.</w:t>
      </w:r>
      <w:r w:rsidRPr="00026AA4">
        <w:rPr>
          <w:rFonts w:ascii="Arial" w:hAnsi="Arial" w:cs="Arial"/>
          <w:sz w:val="24"/>
          <w:szCs w:val="24"/>
        </w:rPr>
        <w:t xml:space="preserve"> Detailed findings are available</w:t>
      </w:r>
      <w:r w:rsidR="00555227" w:rsidRPr="00026AA4">
        <w:rPr>
          <w:rFonts w:ascii="Arial" w:hAnsi="Arial" w:cs="Arial"/>
          <w:sz w:val="24"/>
          <w:szCs w:val="24"/>
        </w:rPr>
        <w:t xml:space="preserve"> in the full report from the final phase </w:t>
      </w:r>
      <w:r w:rsidRPr="00026AA4">
        <w:rPr>
          <w:rFonts w:ascii="Arial" w:hAnsi="Arial" w:cs="Arial"/>
          <w:sz w:val="24"/>
          <w:szCs w:val="24"/>
        </w:rPr>
        <w:t xml:space="preserve">located </w:t>
      </w:r>
      <w:r w:rsidR="008E7139" w:rsidRPr="00026AA4">
        <w:rPr>
          <w:rFonts w:ascii="Arial" w:hAnsi="Arial" w:cs="Arial"/>
          <w:sz w:val="24"/>
          <w:szCs w:val="24"/>
        </w:rPr>
        <w:t>on the project website (Authors, 2018)</w:t>
      </w:r>
      <w:r w:rsidR="00555227" w:rsidRPr="00026AA4">
        <w:rPr>
          <w:rFonts w:ascii="Arial" w:hAnsi="Arial" w:cs="Arial"/>
          <w:sz w:val="24"/>
          <w:szCs w:val="24"/>
        </w:rPr>
        <w:t>.</w:t>
      </w:r>
    </w:p>
    <w:tbl>
      <w:tblPr>
        <w:tblStyle w:val="TableGrid"/>
        <w:tblW w:w="9634" w:type="dxa"/>
        <w:tblLook w:val="04A0" w:firstRow="1" w:lastRow="0" w:firstColumn="1" w:lastColumn="0" w:noHBand="0" w:noVBand="1"/>
      </w:tblPr>
      <w:tblGrid>
        <w:gridCol w:w="988"/>
        <w:gridCol w:w="1417"/>
        <w:gridCol w:w="7229"/>
      </w:tblGrid>
      <w:tr w:rsidR="000C00C8" w:rsidRPr="000C00C8" w:rsidTr="00FE1685">
        <w:tc>
          <w:tcPr>
            <w:tcW w:w="988" w:type="dxa"/>
            <w:shd w:val="clear" w:color="auto" w:fill="auto"/>
          </w:tcPr>
          <w:p w:rsidR="000C00C8" w:rsidRPr="00FE1685" w:rsidRDefault="000C00C8" w:rsidP="000C00C8">
            <w:pPr>
              <w:tabs>
                <w:tab w:val="right" w:leader="underscore" w:pos="8630"/>
              </w:tabs>
              <w:jc w:val="both"/>
              <w:rPr>
                <w:rFonts w:ascii="Calibri" w:hAnsi="Calibri" w:cs="Calibri"/>
                <w:b/>
              </w:rPr>
            </w:pPr>
            <w:r w:rsidRPr="00FE1685">
              <w:rPr>
                <w:rFonts w:ascii="Calibri" w:hAnsi="Calibri" w:cs="Calibri"/>
                <w:b/>
              </w:rPr>
              <w:t>Symbol</w:t>
            </w:r>
          </w:p>
        </w:tc>
        <w:tc>
          <w:tcPr>
            <w:tcW w:w="1417" w:type="dxa"/>
            <w:shd w:val="clear" w:color="auto" w:fill="auto"/>
          </w:tcPr>
          <w:p w:rsidR="000C00C8" w:rsidRPr="00FE1685" w:rsidRDefault="000C00C8" w:rsidP="000C00C8">
            <w:pPr>
              <w:tabs>
                <w:tab w:val="right" w:leader="underscore" w:pos="8630"/>
              </w:tabs>
              <w:rPr>
                <w:rFonts w:ascii="Calibri" w:hAnsi="Calibri" w:cs="Calibri"/>
                <w:b/>
              </w:rPr>
            </w:pPr>
            <w:r w:rsidRPr="00FE1685">
              <w:rPr>
                <w:rFonts w:ascii="Calibri" w:hAnsi="Calibri" w:cs="Calibri"/>
                <w:b/>
              </w:rPr>
              <w:t>Status or area of work</w:t>
            </w:r>
          </w:p>
        </w:tc>
        <w:tc>
          <w:tcPr>
            <w:tcW w:w="7229" w:type="dxa"/>
            <w:shd w:val="clear" w:color="auto" w:fill="auto"/>
          </w:tcPr>
          <w:p w:rsidR="000C00C8" w:rsidRPr="00FE1685" w:rsidRDefault="000C00C8" w:rsidP="000C00C8">
            <w:pPr>
              <w:tabs>
                <w:tab w:val="right" w:leader="underscore" w:pos="8630"/>
              </w:tabs>
              <w:jc w:val="both"/>
              <w:rPr>
                <w:rFonts w:ascii="Calibri" w:hAnsi="Calibri" w:cs="Calibri"/>
                <w:b/>
              </w:rPr>
            </w:pPr>
            <w:r w:rsidRPr="00FE1685">
              <w:rPr>
                <w:rFonts w:ascii="Calibri" w:hAnsi="Calibri" w:cs="Calibri"/>
                <w:b/>
              </w:rPr>
              <w:t>Examples</w:t>
            </w:r>
          </w:p>
        </w:tc>
      </w:tr>
      <w:tr w:rsidR="000C00C8" w:rsidRPr="000C00C8" w:rsidTr="00FE1685">
        <w:tc>
          <w:tcPr>
            <w:tcW w:w="988" w:type="dxa"/>
            <w:shd w:val="clear" w:color="auto" w:fill="auto"/>
          </w:tcPr>
          <w:p w:rsidR="000C00C8" w:rsidRPr="00FE1685" w:rsidRDefault="000C00C8" w:rsidP="000C00C8">
            <w:pPr>
              <w:tabs>
                <w:tab w:val="right" w:leader="underscore" w:pos="8630"/>
              </w:tabs>
              <w:jc w:val="both"/>
              <w:rPr>
                <w:rFonts w:ascii="Calibri" w:hAnsi="Calibri" w:cs="Calibri"/>
                <w:sz w:val="20"/>
                <w:szCs w:val="20"/>
              </w:rPr>
            </w:pPr>
            <w:r w:rsidRPr="00FE1685">
              <w:rPr>
                <w:rFonts w:ascii="Calibri" w:hAnsi="Calibri" w:cs="Calibri"/>
                <w:sz w:val="20"/>
                <w:szCs w:val="20"/>
              </w:rPr>
              <w:t>M</w:t>
            </w:r>
          </w:p>
        </w:tc>
        <w:tc>
          <w:tcPr>
            <w:tcW w:w="1417" w:type="dxa"/>
            <w:shd w:val="clear" w:color="auto" w:fill="auto"/>
          </w:tcPr>
          <w:p w:rsidR="000C00C8" w:rsidRPr="00FE1685" w:rsidRDefault="000C00C8" w:rsidP="000C00C8">
            <w:pPr>
              <w:tabs>
                <w:tab w:val="right" w:leader="underscore" w:pos="8630"/>
              </w:tabs>
              <w:jc w:val="both"/>
              <w:rPr>
                <w:rFonts w:ascii="Calibri" w:hAnsi="Calibri" w:cs="Calibri"/>
                <w:sz w:val="20"/>
                <w:szCs w:val="20"/>
              </w:rPr>
            </w:pPr>
            <w:r w:rsidRPr="00FE1685">
              <w:rPr>
                <w:rFonts w:ascii="Calibri" w:hAnsi="Calibri" w:cs="Calibri"/>
                <w:sz w:val="20"/>
                <w:szCs w:val="20"/>
              </w:rPr>
              <w:t>Midwife</w:t>
            </w:r>
          </w:p>
        </w:tc>
        <w:tc>
          <w:tcPr>
            <w:tcW w:w="7229" w:type="dxa"/>
            <w:vMerge w:val="restart"/>
            <w:shd w:val="clear" w:color="auto" w:fill="auto"/>
          </w:tcPr>
          <w:p w:rsidR="000C00C8" w:rsidRPr="00FE1685" w:rsidRDefault="000C00C8" w:rsidP="000C00C8">
            <w:pPr>
              <w:tabs>
                <w:tab w:val="right" w:leader="underscore" w:pos="8630"/>
              </w:tabs>
              <w:jc w:val="both"/>
              <w:rPr>
                <w:rFonts w:ascii="Calibri" w:hAnsi="Calibri" w:cs="Calibri"/>
                <w:sz w:val="20"/>
                <w:szCs w:val="20"/>
              </w:rPr>
            </w:pPr>
            <w:r w:rsidRPr="00FE1685">
              <w:rPr>
                <w:rFonts w:ascii="Calibri" w:hAnsi="Calibri" w:cs="Calibri"/>
                <w:i/>
                <w:sz w:val="20"/>
                <w:szCs w:val="20"/>
              </w:rPr>
              <w:t>RMA6</w:t>
            </w:r>
            <w:r w:rsidRPr="00FE1685">
              <w:rPr>
                <w:rFonts w:ascii="Calibri" w:hAnsi="Calibri" w:cs="Calibri"/>
                <w:sz w:val="20"/>
                <w:szCs w:val="20"/>
              </w:rPr>
              <w:t xml:space="preserve"> = Registered midwife employed by the university as a lecturer/ academic member of staff</w:t>
            </w:r>
          </w:p>
          <w:p w:rsidR="000C00C8" w:rsidRPr="00FE1685" w:rsidRDefault="000C00C8" w:rsidP="000C00C8">
            <w:pPr>
              <w:tabs>
                <w:tab w:val="right" w:leader="underscore" w:pos="8630"/>
              </w:tabs>
              <w:jc w:val="both"/>
              <w:rPr>
                <w:rFonts w:ascii="Calibri" w:hAnsi="Calibri" w:cs="Calibri"/>
                <w:sz w:val="20"/>
                <w:szCs w:val="20"/>
              </w:rPr>
            </w:pPr>
            <w:r w:rsidRPr="00FE1685">
              <w:rPr>
                <w:rFonts w:ascii="Calibri" w:hAnsi="Calibri" w:cs="Calibri"/>
                <w:i/>
                <w:sz w:val="20"/>
                <w:szCs w:val="20"/>
              </w:rPr>
              <w:t>RNC4</w:t>
            </w:r>
            <w:r w:rsidRPr="00FE1685">
              <w:rPr>
                <w:rFonts w:ascii="Calibri" w:hAnsi="Calibri" w:cs="Calibri"/>
                <w:sz w:val="20"/>
                <w:szCs w:val="20"/>
              </w:rPr>
              <w:t xml:space="preserve"> = Registered nurse working in the clinical setting and employed by a hospital or community trust/ government/ private and voluntary sector/ other or is self employed</w:t>
            </w:r>
          </w:p>
          <w:p w:rsidR="000C00C8" w:rsidRPr="00FE1685" w:rsidRDefault="000C00C8" w:rsidP="000C00C8">
            <w:pPr>
              <w:tabs>
                <w:tab w:val="right" w:leader="underscore" w:pos="8630"/>
              </w:tabs>
              <w:jc w:val="both"/>
              <w:rPr>
                <w:rFonts w:ascii="Calibri" w:hAnsi="Calibri" w:cs="Calibri"/>
                <w:sz w:val="20"/>
                <w:szCs w:val="20"/>
              </w:rPr>
            </w:pPr>
            <w:r w:rsidRPr="00FE1685">
              <w:rPr>
                <w:rFonts w:ascii="Calibri" w:hAnsi="Calibri" w:cs="Calibri"/>
                <w:i/>
                <w:sz w:val="20"/>
                <w:szCs w:val="20"/>
              </w:rPr>
              <w:t>SM7</w:t>
            </w:r>
            <w:r w:rsidRPr="00FE1685">
              <w:rPr>
                <w:rFonts w:ascii="Calibri" w:hAnsi="Calibri" w:cs="Calibri"/>
                <w:sz w:val="20"/>
                <w:szCs w:val="20"/>
              </w:rPr>
              <w:t xml:space="preserve"> = Student undertaking a programme in preparation for registration as a midwife</w:t>
            </w:r>
          </w:p>
          <w:p w:rsidR="000C00C8" w:rsidRPr="00FE1685" w:rsidRDefault="000C00C8" w:rsidP="000C00C8">
            <w:pPr>
              <w:tabs>
                <w:tab w:val="right" w:leader="underscore" w:pos="8630"/>
              </w:tabs>
              <w:jc w:val="both"/>
              <w:rPr>
                <w:rFonts w:ascii="Calibri" w:hAnsi="Calibri" w:cs="Calibri"/>
                <w:sz w:val="20"/>
                <w:szCs w:val="20"/>
              </w:rPr>
            </w:pPr>
            <w:r w:rsidRPr="00FE1685">
              <w:rPr>
                <w:rFonts w:ascii="Calibri" w:hAnsi="Calibri" w:cs="Calibri"/>
                <w:i/>
                <w:sz w:val="20"/>
                <w:szCs w:val="20"/>
              </w:rPr>
              <w:t>SN2</w:t>
            </w:r>
            <w:r w:rsidRPr="00FE1685">
              <w:rPr>
                <w:rFonts w:ascii="Calibri" w:hAnsi="Calibri" w:cs="Calibri"/>
                <w:sz w:val="20"/>
                <w:szCs w:val="20"/>
              </w:rPr>
              <w:t xml:space="preserve"> = Student undertaking a programme in preparation for registration as a nurse</w:t>
            </w:r>
          </w:p>
        </w:tc>
      </w:tr>
      <w:tr w:rsidR="000C00C8" w:rsidRPr="000C00C8" w:rsidTr="00FE1685">
        <w:tc>
          <w:tcPr>
            <w:tcW w:w="988" w:type="dxa"/>
            <w:shd w:val="clear" w:color="auto" w:fill="auto"/>
          </w:tcPr>
          <w:p w:rsidR="000C00C8" w:rsidRPr="000C00C8" w:rsidRDefault="000C00C8" w:rsidP="000C00C8">
            <w:pPr>
              <w:tabs>
                <w:tab w:val="right" w:leader="underscore" w:pos="8630"/>
              </w:tabs>
              <w:jc w:val="both"/>
              <w:rPr>
                <w:rFonts w:ascii="Calibri" w:hAnsi="Calibri" w:cs="Calibri"/>
                <w:sz w:val="20"/>
                <w:szCs w:val="20"/>
              </w:rPr>
            </w:pPr>
            <w:r w:rsidRPr="000C00C8">
              <w:rPr>
                <w:rFonts w:ascii="Calibri" w:hAnsi="Calibri" w:cs="Calibri"/>
                <w:sz w:val="20"/>
                <w:szCs w:val="20"/>
              </w:rPr>
              <w:t>N</w:t>
            </w:r>
          </w:p>
        </w:tc>
        <w:tc>
          <w:tcPr>
            <w:tcW w:w="1417" w:type="dxa"/>
            <w:shd w:val="clear" w:color="auto" w:fill="auto"/>
          </w:tcPr>
          <w:p w:rsidR="000C00C8" w:rsidRPr="000C00C8" w:rsidRDefault="000C00C8" w:rsidP="000C00C8">
            <w:pPr>
              <w:tabs>
                <w:tab w:val="right" w:leader="underscore" w:pos="8630"/>
              </w:tabs>
              <w:jc w:val="both"/>
              <w:rPr>
                <w:rFonts w:ascii="Calibri" w:hAnsi="Calibri" w:cs="Calibri"/>
                <w:sz w:val="20"/>
                <w:szCs w:val="20"/>
              </w:rPr>
            </w:pPr>
            <w:r w:rsidRPr="000C00C8">
              <w:rPr>
                <w:rFonts w:ascii="Calibri" w:hAnsi="Calibri" w:cs="Calibri"/>
                <w:sz w:val="20"/>
                <w:szCs w:val="20"/>
              </w:rPr>
              <w:t>Nurse</w:t>
            </w:r>
          </w:p>
        </w:tc>
        <w:tc>
          <w:tcPr>
            <w:tcW w:w="7229" w:type="dxa"/>
            <w:vMerge/>
            <w:shd w:val="clear" w:color="auto" w:fill="F2F2F2" w:themeFill="background1" w:themeFillShade="F2"/>
          </w:tcPr>
          <w:p w:rsidR="000C00C8" w:rsidRPr="000C00C8" w:rsidRDefault="000C00C8" w:rsidP="000C00C8">
            <w:pPr>
              <w:tabs>
                <w:tab w:val="right" w:leader="underscore" w:pos="8630"/>
              </w:tabs>
              <w:jc w:val="both"/>
              <w:rPr>
                <w:rFonts w:ascii="Calibri" w:hAnsi="Calibri" w:cs="Calibri"/>
                <w:sz w:val="20"/>
                <w:szCs w:val="20"/>
              </w:rPr>
            </w:pPr>
          </w:p>
        </w:tc>
      </w:tr>
      <w:tr w:rsidR="000C00C8" w:rsidRPr="000C00C8" w:rsidTr="00FE1685">
        <w:tc>
          <w:tcPr>
            <w:tcW w:w="988" w:type="dxa"/>
            <w:shd w:val="clear" w:color="auto" w:fill="auto"/>
          </w:tcPr>
          <w:p w:rsidR="000C00C8" w:rsidRPr="000C00C8" w:rsidRDefault="000C00C8" w:rsidP="000C00C8">
            <w:pPr>
              <w:tabs>
                <w:tab w:val="right" w:leader="underscore" w:pos="8630"/>
              </w:tabs>
              <w:jc w:val="both"/>
              <w:rPr>
                <w:rFonts w:ascii="Calibri" w:hAnsi="Calibri" w:cs="Calibri"/>
                <w:sz w:val="20"/>
                <w:szCs w:val="20"/>
              </w:rPr>
            </w:pPr>
            <w:r w:rsidRPr="000C00C8">
              <w:rPr>
                <w:rFonts w:ascii="Calibri" w:hAnsi="Calibri" w:cs="Calibri"/>
                <w:sz w:val="20"/>
                <w:szCs w:val="20"/>
              </w:rPr>
              <w:t>R</w:t>
            </w:r>
          </w:p>
        </w:tc>
        <w:tc>
          <w:tcPr>
            <w:tcW w:w="1417" w:type="dxa"/>
            <w:shd w:val="clear" w:color="auto" w:fill="auto"/>
          </w:tcPr>
          <w:p w:rsidR="000C00C8" w:rsidRPr="000C00C8" w:rsidRDefault="000C00C8" w:rsidP="000C00C8">
            <w:pPr>
              <w:tabs>
                <w:tab w:val="right" w:leader="underscore" w:pos="8630"/>
              </w:tabs>
              <w:jc w:val="both"/>
              <w:rPr>
                <w:rFonts w:ascii="Calibri" w:hAnsi="Calibri" w:cs="Calibri"/>
                <w:sz w:val="20"/>
                <w:szCs w:val="20"/>
              </w:rPr>
            </w:pPr>
            <w:r w:rsidRPr="000C00C8">
              <w:rPr>
                <w:rFonts w:ascii="Calibri" w:hAnsi="Calibri" w:cs="Calibri"/>
                <w:sz w:val="20"/>
                <w:szCs w:val="20"/>
              </w:rPr>
              <w:t>Registered</w:t>
            </w:r>
          </w:p>
        </w:tc>
        <w:tc>
          <w:tcPr>
            <w:tcW w:w="7229" w:type="dxa"/>
            <w:vMerge/>
            <w:shd w:val="clear" w:color="auto" w:fill="F2F2F2" w:themeFill="background1" w:themeFillShade="F2"/>
          </w:tcPr>
          <w:p w:rsidR="000C00C8" w:rsidRPr="000C00C8" w:rsidRDefault="000C00C8" w:rsidP="000C00C8">
            <w:pPr>
              <w:tabs>
                <w:tab w:val="right" w:leader="underscore" w:pos="8630"/>
              </w:tabs>
              <w:jc w:val="both"/>
              <w:rPr>
                <w:rFonts w:ascii="Calibri" w:hAnsi="Calibri" w:cs="Calibri"/>
                <w:sz w:val="20"/>
                <w:szCs w:val="20"/>
              </w:rPr>
            </w:pPr>
          </w:p>
        </w:tc>
      </w:tr>
      <w:tr w:rsidR="000C00C8" w:rsidRPr="000C00C8" w:rsidTr="00FE1685">
        <w:tc>
          <w:tcPr>
            <w:tcW w:w="988" w:type="dxa"/>
            <w:shd w:val="clear" w:color="auto" w:fill="auto"/>
          </w:tcPr>
          <w:p w:rsidR="000C00C8" w:rsidRPr="000C00C8" w:rsidRDefault="000C00C8" w:rsidP="000C00C8">
            <w:pPr>
              <w:tabs>
                <w:tab w:val="right" w:leader="underscore" w:pos="8630"/>
              </w:tabs>
              <w:jc w:val="both"/>
              <w:rPr>
                <w:rFonts w:ascii="Calibri" w:hAnsi="Calibri" w:cs="Calibri"/>
                <w:sz w:val="20"/>
                <w:szCs w:val="20"/>
              </w:rPr>
            </w:pPr>
            <w:r w:rsidRPr="000C00C8">
              <w:rPr>
                <w:rFonts w:ascii="Calibri" w:hAnsi="Calibri" w:cs="Calibri"/>
                <w:sz w:val="20"/>
                <w:szCs w:val="20"/>
              </w:rPr>
              <w:t>S</w:t>
            </w:r>
          </w:p>
        </w:tc>
        <w:tc>
          <w:tcPr>
            <w:tcW w:w="1417" w:type="dxa"/>
            <w:shd w:val="clear" w:color="auto" w:fill="auto"/>
          </w:tcPr>
          <w:p w:rsidR="000C00C8" w:rsidRPr="000C00C8" w:rsidRDefault="000C00C8" w:rsidP="000C00C8">
            <w:pPr>
              <w:tabs>
                <w:tab w:val="right" w:leader="underscore" w:pos="8630"/>
              </w:tabs>
              <w:jc w:val="both"/>
              <w:rPr>
                <w:rFonts w:ascii="Calibri" w:hAnsi="Calibri" w:cs="Calibri"/>
                <w:sz w:val="20"/>
                <w:szCs w:val="20"/>
              </w:rPr>
            </w:pPr>
            <w:r w:rsidRPr="000C00C8">
              <w:rPr>
                <w:rFonts w:ascii="Calibri" w:hAnsi="Calibri" w:cs="Calibri"/>
                <w:sz w:val="20"/>
                <w:szCs w:val="20"/>
              </w:rPr>
              <w:t>Student</w:t>
            </w:r>
          </w:p>
        </w:tc>
        <w:tc>
          <w:tcPr>
            <w:tcW w:w="7229" w:type="dxa"/>
            <w:vMerge/>
            <w:shd w:val="clear" w:color="auto" w:fill="F2F2F2" w:themeFill="background1" w:themeFillShade="F2"/>
          </w:tcPr>
          <w:p w:rsidR="000C00C8" w:rsidRPr="000C00C8" w:rsidRDefault="000C00C8" w:rsidP="000C00C8">
            <w:pPr>
              <w:tabs>
                <w:tab w:val="right" w:leader="underscore" w:pos="8630"/>
              </w:tabs>
              <w:jc w:val="both"/>
              <w:rPr>
                <w:rFonts w:ascii="Calibri" w:hAnsi="Calibri" w:cs="Calibri"/>
                <w:sz w:val="20"/>
                <w:szCs w:val="20"/>
              </w:rPr>
            </w:pPr>
          </w:p>
        </w:tc>
      </w:tr>
      <w:tr w:rsidR="000C00C8" w:rsidRPr="000C00C8" w:rsidTr="00FE1685">
        <w:tc>
          <w:tcPr>
            <w:tcW w:w="988" w:type="dxa"/>
            <w:shd w:val="clear" w:color="auto" w:fill="auto"/>
          </w:tcPr>
          <w:p w:rsidR="000C00C8" w:rsidRPr="000C00C8" w:rsidRDefault="000C00C8" w:rsidP="000C00C8">
            <w:pPr>
              <w:tabs>
                <w:tab w:val="right" w:leader="underscore" w:pos="8630"/>
              </w:tabs>
              <w:jc w:val="both"/>
              <w:rPr>
                <w:rFonts w:ascii="Calibri" w:hAnsi="Calibri" w:cs="Calibri"/>
                <w:sz w:val="20"/>
                <w:szCs w:val="20"/>
              </w:rPr>
            </w:pPr>
            <w:r w:rsidRPr="000C00C8">
              <w:rPr>
                <w:rFonts w:ascii="Calibri" w:hAnsi="Calibri" w:cs="Calibri"/>
                <w:sz w:val="20"/>
                <w:szCs w:val="20"/>
              </w:rPr>
              <w:t>A</w:t>
            </w:r>
          </w:p>
        </w:tc>
        <w:tc>
          <w:tcPr>
            <w:tcW w:w="1417" w:type="dxa"/>
            <w:shd w:val="clear" w:color="auto" w:fill="auto"/>
          </w:tcPr>
          <w:p w:rsidR="000C00C8" w:rsidRPr="000C00C8" w:rsidRDefault="000C00C8" w:rsidP="000C00C8">
            <w:pPr>
              <w:tabs>
                <w:tab w:val="right" w:leader="underscore" w:pos="8630"/>
              </w:tabs>
              <w:jc w:val="both"/>
              <w:rPr>
                <w:rFonts w:ascii="Calibri" w:hAnsi="Calibri" w:cs="Calibri"/>
                <w:sz w:val="20"/>
                <w:szCs w:val="20"/>
              </w:rPr>
            </w:pPr>
            <w:r w:rsidRPr="000C00C8">
              <w:rPr>
                <w:rFonts w:ascii="Calibri" w:hAnsi="Calibri" w:cs="Calibri"/>
                <w:sz w:val="20"/>
                <w:szCs w:val="20"/>
              </w:rPr>
              <w:t>Academic</w:t>
            </w:r>
          </w:p>
        </w:tc>
        <w:tc>
          <w:tcPr>
            <w:tcW w:w="7229" w:type="dxa"/>
            <w:vMerge/>
            <w:shd w:val="clear" w:color="auto" w:fill="F2F2F2" w:themeFill="background1" w:themeFillShade="F2"/>
          </w:tcPr>
          <w:p w:rsidR="000C00C8" w:rsidRPr="000C00C8" w:rsidRDefault="000C00C8" w:rsidP="000C00C8">
            <w:pPr>
              <w:tabs>
                <w:tab w:val="right" w:leader="underscore" w:pos="8630"/>
              </w:tabs>
              <w:jc w:val="both"/>
              <w:rPr>
                <w:rFonts w:ascii="Calibri" w:hAnsi="Calibri" w:cs="Calibri"/>
                <w:sz w:val="20"/>
                <w:szCs w:val="20"/>
              </w:rPr>
            </w:pPr>
          </w:p>
        </w:tc>
      </w:tr>
      <w:tr w:rsidR="000C00C8" w:rsidRPr="000C00C8" w:rsidTr="00FE1685">
        <w:tc>
          <w:tcPr>
            <w:tcW w:w="988" w:type="dxa"/>
            <w:shd w:val="clear" w:color="auto" w:fill="auto"/>
          </w:tcPr>
          <w:p w:rsidR="000C00C8" w:rsidRPr="000C00C8" w:rsidRDefault="000C00C8" w:rsidP="000C00C8">
            <w:pPr>
              <w:tabs>
                <w:tab w:val="right" w:leader="underscore" w:pos="8630"/>
              </w:tabs>
              <w:jc w:val="both"/>
              <w:rPr>
                <w:rFonts w:ascii="Calibri" w:hAnsi="Calibri" w:cs="Calibri"/>
                <w:sz w:val="20"/>
                <w:szCs w:val="20"/>
              </w:rPr>
            </w:pPr>
            <w:r w:rsidRPr="000C00C8">
              <w:rPr>
                <w:rFonts w:ascii="Calibri" w:hAnsi="Calibri" w:cs="Calibri"/>
                <w:sz w:val="20"/>
                <w:szCs w:val="20"/>
              </w:rPr>
              <w:t>C</w:t>
            </w:r>
          </w:p>
        </w:tc>
        <w:tc>
          <w:tcPr>
            <w:tcW w:w="1417" w:type="dxa"/>
            <w:shd w:val="clear" w:color="auto" w:fill="auto"/>
          </w:tcPr>
          <w:p w:rsidR="000C00C8" w:rsidRPr="000C00C8" w:rsidRDefault="000C00C8" w:rsidP="000C00C8">
            <w:pPr>
              <w:tabs>
                <w:tab w:val="right" w:leader="underscore" w:pos="8630"/>
              </w:tabs>
              <w:jc w:val="both"/>
              <w:rPr>
                <w:rFonts w:ascii="Calibri" w:hAnsi="Calibri" w:cs="Calibri"/>
                <w:sz w:val="20"/>
                <w:szCs w:val="20"/>
              </w:rPr>
            </w:pPr>
            <w:r w:rsidRPr="000C00C8">
              <w:rPr>
                <w:rFonts w:ascii="Calibri" w:hAnsi="Calibri" w:cs="Calibri"/>
                <w:sz w:val="20"/>
                <w:szCs w:val="20"/>
              </w:rPr>
              <w:t>Clinician</w:t>
            </w:r>
          </w:p>
        </w:tc>
        <w:tc>
          <w:tcPr>
            <w:tcW w:w="7229" w:type="dxa"/>
            <w:vMerge/>
            <w:shd w:val="clear" w:color="auto" w:fill="F2F2F2" w:themeFill="background1" w:themeFillShade="F2"/>
          </w:tcPr>
          <w:p w:rsidR="000C00C8" w:rsidRPr="000C00C8" w:rsidRDefault="000C00C8" w:rsidP="000C00C8">
            <w:pPr>
              <w:tabs>
                <w:tab w:val="right" w:leader="underscore" w:pos="8630"/>
              </w:tabs>
              <w:jc w:val="both"/>
              <w:rPr>
                <w:rFonts w:ascii="Calibri" w:hAnsi="Calibri" w:cs="Calibri"/>
                <w:sz w:val="20"/>
                <w:szCs w:val="20"/>
              </w:rPr>
            </w:pPr>
          </w:p>
        </w:tc>
      </w:tr>
    </w:tbl>
    <w:p w:rsidR="000C00C8" w:rsidRPr="000C00C8" w:rsidRDefault="000C00C8" w:rsidP="000C00C8">
      <w:pPr>
        <w:tabs>
          <w:tab w:val="right" w:leader="underscore" w:pos="8630"/>
        </w:tabs>
        <w:spacing w:after="0" w:line="240" w:lineRule="auto"/>
        <w:jc w:val="both"/>
        <w:rPr>
          <w:rFonts w:ascii="Calibri" w:hAnsi="Calibri" w:cs="Calibri"/>
          <w:i/>
          <w:u w:val="single"/>
        </w:rPr>
      </w:pPr>
    </w:p>
    <w:p w:rsidR="005E6D9C" w:rsidRPr="00262CA1" w:rsidRDefault="000C00C8" w:rsidP="00262CA1">
      <w:pPr>
        <w:tabs>
          <w:tab w:val="right" w:leader="underscore" w:pos="8630"/>
        </w:tabs>
        <w:spacing w:after="0" w:line="240" w:lineRule="auto"/>
        <w:jc w:val="center"/>
        <w:rPr>
          <w:rFonts w:ascii="Calibri" w:hAnsi="Calibri" w:cs="Calibri"/>
          <w:sz w:val="20"/>
          <w:szCs w:val="20"/>
          <w:u w:val="single"/>
        </w:rPr>
      </w:pPr>
      <w:r w:rsidRPr="00262CA1">
        <w:rPr>
          <w:rFonts w:ascii="Calibri" w:hAnsi="Calibri" w:cs="Calibri"/>
          <w:i/>
          <w:sz w:val="20"/>
          <w:szCs w:val="20"/>
          <w:u w:val="single"/>
        </w:rPr>
        <w:t xml:space="preserve">Table 2: </w:t>
      </w:r>
      <w:r w:rsidRPr="00262CA1">
        <w:rPr>
          <w:rFonts w:ascii="Calibri" w:hAnsi="Calibri" w:cs="Calibri"/>
          <w:sz w:val="20"/>
          <w:szCs w:val="20"/>
          <w:u w:val="single"/>
        </w:rPr>
        <w:t>Key for qualitative codes</w:t>
      </w:r>
    </w:p>
    <w:p w:rsidR="008E7139" w:rsidRDefault="008E7139" w:rsidP="00D65909">
      <w:pPr>
        <w:tabs>
          <w:tab w:val="right" w:leader="underscore" w:pos="8630"/>
        </w:tabs>
        <w:spacing w:after="0" w:line="240" w:lineRule="auto"/>
        <w:jc w:val="center"/>
        <w:rPr>
          <w:rFonts w:ascii="Calibri" w:hAnsi="Calibri" w:cs="Calibri"/>
          <w:u w:val="single"/>
        </w:rPr>
      </w:pPr>
    </w:p>
    <w:p w:rsidR="00D65909" w:rsidRPr="00E75953" w:rsidRDefault="00E75953" w:rsidP="00E75953">
      <w:pPr>
        <w:tabs>
          <w:tab w:val="right" w:leader="underscore" w:pos="8630"/>
        </w:tabs>
        <w:spacing w:after="0" w:line="480" w:lineRule="auto"/>
        <w:jc w:val="both"/>
        <w:rPr>
          <w:rFonts w:ascii="Arial" w:hAnsi="Arial" w:cs="Arial"/>
          <w:b/>
          <w:sz w:val="24"/>
          <w:szCs w:val="24"/>
          <w:u w:val="single"/>
        </w:rPr>
      </w:pPr>
      <w:r>
        <w:rPr>
          <w:rFonts w:ascii="Arial" w:hAnsi="Arial" w:cs="Arial"/>
          <w:b/>
          <w:sz w:val="24"/>
          <w:szCs w:val="24"/>
          <w:u w:val="single"/>
        </w:rPr>
        <w:t>4.1 Profile</w:t>
      </w:r>
      <w:r w:rsidR="00D65909" w:rsidRPr="00E75953">
        <w:rPr>
          <w:rFonts w:ascii="Arial" w:hAnsi="Arial" w:cs="Arial"/>
          <w:b/>
          <w:sz w:val="24"/>
          <w:szCs w:val="24"/>
          <w:u w:val="single"/>
        </w:rPr>
        <w:t xml:space="preserve"> of participants:</w:t>
      </w:r>
    </w:p>
    <w:p w:rsidR="000C00C8" w:rsidRPr="00E75953" w:rsidRDefault="00AC205F" w:rsidP="00E75953">
      <w:pPr>
        <w:tabs>
          <w:tab w:val="right" w:leader="underscore" w:pos="8630"/>
        </w:tabs>
        <w:spacing w:after="0" w:line="480" w:lineRule="auto"/>
        <w:jc w:val="both"/>
        <w:rPr>
          <w:rFonts w:ascii="Arial" w:hAnsi="Arial" w:cs="Arial"/>
          <w:sz w:val="24"/>
          <w:szCs w:val="24"/>
        </w:rPr>
      </w:pPr>
      <w:r>
        <w:rPr>
          <w:rFonts w:ascii="Arial" w:hAnsi="Arial" w:cs="Arial"/>
          <w:sz w:val="24"/>
          <w:szCs w:val="24"/>
        </w:rPr>
        <w:t>There were</w:t>
      </w:r>
      <w:r w:rsidR="00D65909" w:rsidRPr="00E75953">
        <w:rPr>
          <w:rFonts w:ascii="Arial" w:hAnsi="Arial" w:cs="Arial"/>
          <w:sz w:val="24"/>
          <w:szCs w:val="24"/>
        </w:rPr>
        <w:t xml:space="preserve"> 170 participants (following data cleansing)</w:t>
      </w:r>
      <w:r w:rsidR="008E7139">
        <w:rPr>
          <w:rFonts w:ascii="Arial" w:hAnsi="Arial" w:cs="Arial"/>
          <w:sz w:val="24"/>
          <w:szCs w:val="24"/>
        </w:rPr>
        <w:t xml:space="preserve"> </w:t>
      </w:r>
      <w:r>
        <w:rPr>
          <w:rFonts w:ascii="Arial" w:hAnsi="Arial" w:cs="Arial"/>
          <w:sz w:val="24"/>
          <w:szCs w:val="24"/>
        </w:rPr>
        <w:t xml:space="preserve">from </w:t>
      </w:r>
      <w:r w:rsidR="00E75953" w:rsidRPr="00E75953">
        <w:rPr>
          <w:rFonts w:ascii="Arial" w:hAnsi="Arial" w:cs="Arial"/>
          <w:sz w:val="24"/>
          <w:szCs w:val="24"/>
        </w:rPr>
        <w:t>20 of the 55 higher education institutions</w:t>
      </w:r>
      <w:r w:rsidR="000C00C8" w:rsidRPr="00E75953">
        <w:rPr>
          <w:rFonts w:ascii="Arial" w:hAnsi="Arial" w:cs="Arial"/>
          <w:sz w:val="24"/>
          <w:szCs w:val="24"/>
        </w:rPr>
        <w:t xml:space="preserve"> and associated practice plac</w:t>
      </w:r>
      <w:r w:rsidR="00E75953" w:rsidRPr="00E75953">
        <w:rPr>
          <w:rFonts w:ascii="Arial" w:hAnsi="Arial" w:cs="Arial"/>
          <w:sz w:val="24"/>
          <w:szCs w:val="24"/>
        </w:rPr>
        <w:t>ements across the UK</w:t>
      </w:r>
      <w:r w:rsidR="000C00C8" w:rsidRPr="00E75953">
        <w:rPr>
          <w:rFonts w:ascii="Arial" w:hAnsi="Arial" w:cs="Arial"/>
          <w:sz w:val="24"/>
          <w:szCs w:val="24"/>
        </w:rPr>
        <w:t xml:space="preserve"> (36.36% </w:t>
      </w:r>
      <w:r w:rsidR="00E75953" w:rsidRPr="00E75953">
        <w:rPr>
          <w:rFonts w:ascii="Arial" w:hAnsi="Arial" w:cs="Arial"/>
          <w:sz w:val="24"/>
          <w:szCs w:val="24"/>
        </w:rPr>
        <w:t xml:space="preserve">institutional </w:t>
      </w:r>
      <w:r w:rsidR="008E7139">
        <w:rPr>
          <w:rFonts w:ascii="Arial" w:hAnsi="Arial" w:cs="Arial"/>
          <w:sz w:val="24"/>
          <w:szCs w:val="24"/>
        </w:rPr>
        <w:t>representation</w:t>
      </w:r>
      <w:r w:rsidR="000C00C8" w:rsidRPr="00E75953">
        <w:rPr>
          <w:rFonts w:ascii="Arial" w:hAnsi="Arial" w:cs="Arial"/>
          <w:sz w:val="24"/>
          <w:szCs w:val="24"/>
        </w:rPr>
        <w:t xml:space="preserve">). </w:t>
      </w:r>
      <w:r w:rsidR="00E75953" w:rsidRPr="00E75953">
        <w:rPr>
          <w:rFonts w:ascii="Arial" w:hAnsi="Arial" w:cs="Arial"/>
          <w:sz w:val="24"/>
          <w:szCs w:val="24"/>
        </w:rPr>
        <w:t>The distribution of p</w:t>
      </w:r>
      <w:r w:rsidR="000C00C8" w:rsidRPr="00E75953">
        <w:rPr>
          <w:rFonts w:ascii="Arial" w:hAnsi="Arial" w:cs="Arial"/>
          <w:sz w:val="24"/>
          <w:szCs w:val="24"/>
        </w:rPr>
        <w:t xml:space="preserve">articipants </w:t>
      </w:r>
      <w:r>
        <w:rPr>
          <w:rFonts w:ascii="Arial" w:hAnsi="Arial" w:cs="Arial"/>
          <w:sz w:val="24"/>
          <w:szCs w:val="24"/>
        </w:rPr>
        <w:t>across England, Scotland and Wales</w:t>
      </w:r>
      <w:r w:rsidR="00E75953" w:rsidRPr="00E75953">
        <w:rPr>
          <w:rFonts w:ascii="Arial" w:hAnsi="Arial" w:cs="Arial"/>
          <w:sz w:val="24"/>
          <w:szCs w:val="24"/>
        </w:rPr>
        <w:t xml:space="preserve"> is shown in </w:t>
      </w:r>
      <w:r w:rsidR="00E75953" w:rsidRPr="00E75953">
        <w:rPr>
          <w:rFonts w:ascii="Arial" w:hAnsi="Arial" w:cs="Arial"/>
          <w:i/>
          <w:sz w:val="24"/>
          <w:szCs w:val="24"/>
        </w:rPr>
        <w:t>Figure 3.</w:t>
      </w:r>
      <w:r w:rsidR="00E75953">
        <w:rPr>
          <w:rFonts w:ascii="Arial" w:hAnsi="Arial" w:cs="Arial"/>
          <w:sz w:val="24"/>
          <w:szCs w:val="24"/>
        </w:rPr>
        <w:t xml:space="preserve"> There were no respondents from Northern Ireland.</w:t>
      </w:r>
    </w:p>
    <w:p w:rsidR="000C00C8" w:rsidRPr="000C00C8" w:rsidRDefault="000C00C8" w:rsidP="000C00C8">
      <w:pPr>
        <w:spacing w:after="0" w:line="240" w:lineRule="auto"/>
        <w:ind w:left="720"/>
        <w:contextualSpacing/>
        <w:jc w:val="both"/>
        <w:rPr>
          <w:rFonts w:ascii="Calibri" w:hAnsi="Calibri" w:cs="Calibri"/>
        </w:rPr>
      </w:pPr>
    </w:p>
    <w:p w:rsidR="000C00C8" w:rsidRPr="000C00C8" w:rsidRDefault="00A60023" w:rsidP="000C00C8">
      <w:pPr>
        <w:ind w:left="720"/>
        <w:contextualSpacing/>
        <w:jc w:val="center"/>
        <w:rPr>
          <w:rFonts w:ascii="Calibri" w:hAnsi="Calibri" w:cs="Calibri"/>
          <w:noProof/>
          <w:sz w:val="24"/>
          <w:szCs w:val="24"/>
          <w:lang w:eastAsia="en-GB"/>
        </w:rPr>
      </w:pPr>
      <w:r>
        <w:rPr>
          <w:rFonts w:ascii="Calibri" w:hAnsi="Calibri" w:cs="Calibri"/>
          <w:noProof/>
          <w:sz w:val="24"/>
          <w:szCs w:val="24"/>
          <w:lang w:eastAsia="en-GB"/>
        </w:rPr>
        <w:drawing>
          <wp:inline distT="0" distB="0" distL="0" distR="0" wp14:anchorId="0327720D">
            <wp:extent cx="4123427" cy="226491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1741" cy="2274974"/>
                    </a:xfrm>
                    <a:prstGeom prst="rect">
                      <a:avLst/>
                    </a:prstGeom>
                    <a:noFill/>
                  </pic:spPr>
                </pic:pic>
              </a:graphicData>
            </a:graphic>
          </wp:inline>
        </w:drawing>
      </w:r>
    </w:p>
    <w:p w:rsidR="00D432A5" w:rsidRDefault="00D432A5" w:rsidP="000C00C8">
      <w:pPr>
        <w:ind w:left="720"/>
        <w:contextualSpacing/>
        <w:jc w:val="center"/>
        <w:rPr>
          <w:rFonts w:ascii="Calibri" w:hAnsi="Calibri" w:cs="Calibri"/>
          <w:i/>
          <w:noProof/>
          <w:sz w:val="20"/>
          <w:szCs w:val="20"/>
          <w:u w:val="single"/>
          <w:lang w:eastAsia="en-GB"/>
        </w:rPr>
      </w:pPr>
    </w:p>
    <w:p w:rsidR="000C00C8" w:rsidRPr="000C00C8" w:rsidRDefault="000C00C8" w:rsidP="000C00C8">
      <w:pPr>
        <w:ind w:left="720"/>
        <w:contextualSpacing/>
        <w:jc w:val="center"/>
        <w:rPr>
          <w:rFonts w:ascii="Calibri" w:hAnsi="Calibri" w:cs="Calibri"/>
          <w:noProof/>
          <w:sz w:val="20"/>
          <w:szCs w:val="20"/>
          <w:u w:val="single"/>
          <w:lang w:eastAsia="en-GB"/>
        </w:rPr>
      </w:pPr>
      <w:r w:rsidRPr="000C00C8">
        <w:rPr>
          <w:rFonts w:ascii="Calibri" w:hAnsi="Calibri" w:cs="Calibri"/>
          <w:i/>
          <w:noProof/>
          <w:sz w:val="20"/>
          <w:szCs w:val="20"/>
          <w:u w:val="single"/>
          <w:lang w:eastAsia="en-GB"/>
        </w:rPr>
        <w:t>Figure 3:</w:t>
      </w:r>
      <w:r w:rsidRPr="000C00C8">
        <w:rPr>
          <w:rFonts w:ascii="Calibri" w:hAnsi="Calibri" w:cs="Calibri"/>
          <w:noProof/>
          <w:sz w:val="20"/>
          <w:szCs w:val="20"/>
          <w:u w:val="single"/>
          <w:lang w:eastAsia="en-GB"/>
        </w:rPr>
        <w:t xml:space="preserve"> Country in the UK in which participants were practising or studying</w:t>
      </w:r>
    </w:p>
    <w:p w:rsidR="000C00C8" w:rsidRDefault="000C00C8" w:rsidP="000C00C8">
      <w:pPr>
        <w:ind w:left="720"/>
        <w:contextualSpacing/>
        <w:jc w:val="center"/>
        <w:rPr>
          <w:rFonts w:ascii="Calibri" w:hAnsi="Calibri" w:cs="Calibri"/>
          <w:noProof/>
          <w:sz w:val="24"/>
          <w:szCs w:val="24"/>
          <w:lang w:eastAsia="en-GB"/>
        </w:rPr>
      </w:pPr>
    </w:p>
    <w:p w:rsidR="005E6D9C" w:rsidRDefault="005E6D9C" w:rsidP="00E75953">
      <w:pPr>
        <w:spacing w:after="0" w:line="480" w:lineRule="auto"/>
        <w:contextualSpacing/>
        <w:jc w:val="both"/>
        <w:rPr>
          <w:rFonts w:ascii="Arial" w:hAnsi="Arial" w:cs="Arial"/>
          <w:noProof/>
          <w:sz w:val="24"/>
          <w:szCs w:val="24"/>
          <w:lang w:eastAsia="en-GB"/>
        </w:rPr>
      </w:pPr>
    </w:p>
    <w:p w:rsidR="00E75953" w:rsidRPr="00E75953" w:rsidRDefault="00E75953" w:rsidP="00E75953">
      <w:pPr>
        <w:spacing w:after="0" w:line="480" w:lineRule="auto"/>
        <w:contextualSpacing/>
        <w:jc w:val="both"/>
        <w:rPr>
          <w:rFonts w:ascii="Arial" w:hAnsi="Arial" w:cs="Arial"/>
          <w:noProof/>
          <w:sz w:val="24"/>
          <w:szCs w:val="24"/>
          <w:lang w:eastAsia="en-GB"/>
        </w:rPr>
      </w:pPr>
      <w:r>
        <w:rPr>
          <w:rFonts w:ascii="Arial" w:hAnsi="Arial" w:cs="Arial"/>
          <w:noProof/>
          <w:sz w:val="24"/>
          <w:szCs w:val="24"/>
          <w:lang w:eastAsia="en-GB"/>
        </w:rPr>
        <w:t xml:space="preserve">There were 134 midwifery and 36 nursing participants.  </w:t>
      </w:r>
      <w:r w:rsidRPr="00E75953">
        <w:rPr>
          <w:rFonts w:ascii="Arial" w:hAnsi="Arial" w:cs="Arial"/>
          <w:i/>
          <w:noProof/>
          <w:sz w:val="24"/>
          <w:szCs w:val="24"/>
          <w:lang w:eastAsia="en-GB"/>
        </w:rPr>
        <w:t>Table 3</w:t>
      </w:r>
      <w:r>
        <w:rPr>
          <w:rFonts w:ascii="Arial" w:hAnsi="Arial" w:cs="Arial"/>
          <w:noProof/>
          <w:sz w:val="24"/>
          <w:szCs w:val="24"/>
          <w:lang w:eastAsia="en-GB"/>
        </w:rPr>
        <w:t xml:space="preserve"> depicts the st</w:t>
      </w:r>
      <w:r w:rsidR="008E420D">
        <w:rPr>
          <w:rFonts w:ascii="Arial" w:hAnsi="Arial" w:cs="Arial"/>
          <w:noProof/>
          <w:sz w:val="24"/>
          <w:szCs w:val="24"/>
          <w:lang w:eastAsia="en-GB"/>
        </w:rPr>
        <w:t>akeholder categories</w:t>
      </w:r>
      <w:r w:rsidR="008E7139">
        <w:rPr>
          <w:rFonts w:ascii="Arial" w:hAnsi="Arial" w:cs="Arial"/>
          <w:noProof/>
          <w:sz w:val="24"/>
          <w:szCs w:val="24"/>
          <w:lang w:eastAsia="en-GB"/>
        </w:rPr>
        <w:t xml:space="preserve"> (N=170)</w:t>
      </w:r>
      <w:r>
        <w:rPr>
          <w:rFonts w:ascii="Arial" w:hAnsi="Arial" w:cs="Arial"/>
          <w:noProof/>
          <w:sz w:val="24"/>
          <w:szCs w:val="24"/>
          <w:lang w:eastAsia="en-GB"/>
        </w:rPr>
        <w:t>.</w:t>
      </w:r>
    </w:p>
    <w:p w:rsidR="000C00C8" w:rsidRPr="000C00C8" w:rsidRDefault="000C00C8" w:rsidP="000C00C8">
      <w:pPr>
        <w:ind w:left="360"/>
        <w:contextualSpacing/>
        <w:rPr>
          <w:rFonts w:ascii="Calibri" w:hAnsi="Calibri" w:cs="Calibri"/>
        </w:rPr>
      </w:pPr>
    </w:p>
    <w:tbl>
      <w:tblPr>
        <w:tblStyle w:val="TableGrid"/>
        <w:tblW w:w="9634" w:type="dxa"/>
        <w:tblInd w:w="-5" w:type="dxa"/>
        <w:tblLook w:val="04A0" w:firstRow="1" w:lastRow="0" w:firstColumn="1" w:lastColumn="0" w:noHBand="0" w:noVBand="1"/>
      </w:tblPr>
      <w:tblGrid>
        <w:gridCol w:w="1701"/>
        <w:gridCol w:w="1134"/>
        <w:gridCol w:w="3012"/>
        <w:gridCol w:w="1099"/>
        <w:gridCol w:w="2688"/>
      </w:tblGrid>
      <w:tr w:rsidR="000C00C8" w:rsidRPr="000C00C8" w:rsidTr="00FE1685">
        <w:trPr>
          <w:trHeight w:val="327"/>
        </w:trPr>
        <w:tc>
          <w:tcPr>
            <w:tcW w:w="1701" w:type="dxa"/>
          </w:tcPr>
          <w:p w:rsidR="000C00C8" w:rsidRPr="000C00C8" w:rsidRDefault="000C00C8" w:rsidP="000C00C8">
            <w:pPr>
              <w:contextualSpacing/>
              <w:rPr>
                <w:rFonts w:ascii="Calibri" w:hAnsi="Calibri" w:cs="Calibri"/>
                <w:sz w:val="24"/>
                <w:szCs w:val="24"/>
              </w:rPr>
            </w:pPr>
          </w:p>
        </w:tc>
        <w:tc>
          <w:tcPr>
            <w:tcW w:w="4146" w:type="dxa"/>
            <w:gridSpan w:val="2"/>
            <w:shd w:val="clear" w:color="auto" w:fill="auto"/>
          </w:tcPr>
          <w:p w:rsidR="000C00C8" w:rsidRPr="000C00C8" w:rsidRDefault="000C00C8" w:rsidP="000C00C8">
            <w:pPr>
              <w:contextualSpacing/>
              <w:jc w:val="center"/>
              <w:rPr>
                <w:rFonts w:ascii="Calibri" w:hAnsi="Calibri" w:cs="Calibri"/>
                <w:b/>
              </w:rPr>
            </w:pPr>
            <w:r w:rsidRPr="000C00C8">
              <w:rPr>
                <w:rFonts w:ascii="Calibri" w:hAnsi="Calibri" w:cs="Calibri"/>
                <w:b/>
              </w:rPr>
              <w:t>MIDWIFERY (n=134)</w:t>
            </w:r>
          </w:p>
        </w:tc>
        <w:tc>
          <w:tcPr>
            <w:tcW w:w="3787" w:type="dxa"/>
            <w:gridSpan w:val="2"/>
            <w:shd w:val="clear" w:color="auto" w:fill="auto"/>
          </w:tcPr>
          <w:p w:rsidR="000C00C8" w:rsidRPr="000C00C8" w:rsidRDefault="000C00C8" w:rsidP="000C00C8">
            <w:pPr>
              <w:contextualSpacing/>
              <w:jc w:val="center"/>
              <w:rPr>
                <w:rFonts w:ascii="Calibri" w:hAnsi="Calibri" w:cs="Calibri"/>
                <w:b/>
              </w:rPr>
            </w:pPr>
            <w:r w:rsidRPr="000C00C8">
              <w:rPr>
                <w:rFonts w:ascii="Calibri" w:hAnsi="Calibri" w:cs="Calibri"/>
                <w:b/>
              </w:rPr>
              <w:t>NURSING (n=36)</w:t>
            </w:r>
          </w:p>
        </w:tc>
      </w:tr>
      <w:tr w:rsidR="000C00C8" w:rsidRPr="000C00C8" w:rsidTr="00FE1685">
        <w:trPr>
          <w:trHeight w:val="327"/>
        </w:trPr>
        <w:tc>
          <w:tcPr>
            <w:tcW w:w="1701" w:type="dxa"/>
          </w:tcPr>
          <w:p w:rsidR="000C00C8" w:rsidRPr="000C00C8" w:rsidRDefault="000C00C8" w:rsidP="000C00C8">
            <w:pPr>
              <w:contextualSpacing/>
              <w:rPr>
                <w:rFonts w:ascii="Calibri" w:hAnsi="Calibri" w:cs="Calibri"/>
                <w:b/>
                <w:sz w:val="24"/>
                <w:szCs w:val="24"/>
              </w:rPr>
            </w:pPr>
            <w:r w:rsidRPr="000C00C8">
              <w:rPr>
                <w:rFonts w:ascii="Calibri" w:hAnsi="Calibri" w:cs="Calibri"/>
                <w:b/>
                <w:sz w:val="24"/>
                <w:szCs w:val="24"/>
              </w:rPr>
              <w:t>Academics</w:t>
            </w:r>
          </w:p>
        </w:tc>
        <w:tc>
          <w:tcPr>
            <w:tcW w:w="1134" w:type="dxa"/>
            <w:shd w:val="clear" w:color="auto" w:fill="auto"/>
          </w:tcPr>
          <w:p w:rsidR="000C00C8" w:rsidRPr="000C00C8" w:rsidRDefault="000C00C8" w:rsidP="000C00C8">
            <w:pPr>
              <w:contextualSpacing/>
              <w:rPr>
                <w:rFonts w:ascii="Calibri" w:hAnsi="Calibri" w:cs="Calibri"/>
              </w:rPr>
            </w:pPr>
            <w:r w:rsidRPr="000C00C8">
              <w:rPr>
                <w:rFonts w:ascii="Calibri" w:hAnsi="Calibri" w:cs="Calibri"/>
              </w:rPr>
              <w:t xml:space="preserve">64 </w:t>
            </w:r>
          </w:p>
        </w:tc>
        <w:tc>
          <w:tcPr>
            <w:tcW w:w="3012" w:type="dxa"/>
            <w:shd w:val="clear" w:color="auto" w:fill="auto"/>
          </w:tcPr>
          <w:p w:rsidR="000C00C8" w:rsidRPr="000C00C8" w:rsidRDefault="000C00C8" w:rsidP="000C00C8">
            <w:pPr>
              <w:contextualSpacing/>
              <w:rPr>
                <w:rFonts w:ascii="Calibri" w:hAnsi="Calibri" w:cs="Calibri"/>
              </w:rPr>
            </w:pPr>
            <w:r w:rsidRPr="000C00C8">
              <w:rPr>
                <w:rFonts w:ascii="Calibri" w:hAnsi="Calibri" w:cs="Calibri"/>
              </w:rPr>
              <w:t>n=47.76% (37.65% of N)</w:t>
            </w:r>
          </w:p>
        </w:tc>
        <w:tc>
          <w:tcPr>
            <w:tcW w:w="1099" w:type="dxa"/>
            <w:shd w:val="clear" w:color="auto" w:fill="auto"/>
          </w:tcPr>
          <w:p w:rsidR="000C00C8" w:rsidRPr="000C00C8" w:rsidRDefault="000C00C8" w:rsidP="000C00C8">
            <w:pPr>
              <w:contextualSpacing/>
              <w:rPr>
                <w:rFonts w:ascii="Calibri" w:hAnsi="Calibri" w:cs="Calibri"/>
              </w:rPr>
            </w:pPr>
            <w:r w:rsidRPr="000C00C8">
              <w:rPr>
                <w:rFonts w:ascii="Calibri" w:hAnsi="Calibri" w:cs="Calibri"/>
              </w:rPr>
              <w:t>15</w:t>
            </w:r>
          </w:p>
        </w:tc>
        <w:tc>
          <w:tcPr>
            <w:tcW w:w="2688" w:type="dxa"/>
            <w:shd w:val="clear" w:color="auto" w:fill="auto"/>
          </w:tcPr>
          <w:p w:rsidR="000C00C8" w:rsidRPr="000C00C8" w:rsidRDefault="000C00C8" w:rsidP="000C00C8">
            <w:pPr>
              <w:contextualSpacing/>
              <w:rPr>
                <w:rFonts w:ascii="Calibri" w:hAnsi="Calibri" w:cs="Calibri"/>
              </w:rPr>
            </w:pPr>
            <w:r w:rsidRPr="000C00C8">
              <w:rPr>
                <w:rFonts w:ascii="Calibri" w:hAnsi="Calibri" w:cs="Calibri"/>
              </w:rPr>
              <w:t>n=41.67% (8.82% of N)</w:t>
            </w:r>
          </w:p>
        </w:tc>
      </w:tr>
      <w:tr w:rsidR="000C00C8" w:rsidRPr="000C00C8" w:rsidTr="00FE1685">
        <w:trPr>
          <w:trHeight w:val="344"/>
        </w:trPr>
        <w:tc>
          <w:tcPr>
            <w:tcW w:w="1701" w:type="dxa"/>
          </w:tcPr>
          <w:p w:rsidR="000C00C8" w:rsidRPr="000C00C8" w:rsidRDefault="000C00C8" w:rsidP="000C00C8">
            <w:pPr>
              <w:contextualSpacing/>
              <w:rPr>
                <w:rFonts w:ascii="Calibri" w:hAnsi="Calibri" w:cs="Calibri"/>
                <w:b/>
                <w:sz w:val="24"/>
                <w:szCs w:val="24"/>
              </w:rPr>
            </w:pPr>
            <w:r w:rsidRPr="000C00C8">
              <w:rPr>
                <w:rFonts w:ascii="Calibri" w:hAnsi="Calibri" w:cs="Calibri"/>
                <w:b/>
                <w:sz w:val="24"/>
                <w:szCs w:val="24"/>
              </w:rPr>
              <w:t>Clinicians</w:t>
            </w:r>
          </w:p>
        </w:tc>
        <w:tc>
          <w:tcPr>
            <w:tcW w:w="1134" w:type="dxa"/>
            <w:shd w:val="clear" w:color="auto" w:fill="auto"/>
          </w:tcPr>
          <w:p w:rsidR="000C00C8" w:rsidRPr="000C00C8" w:rsidRDefault="000C00C8" w:rsidP="000C00C8">
            <w:pPr>
              <w:contextualSpacing/>
              <w:rPr>
                <w:rFonts w:ascii="Calibri" w:hAnsi="Calibri" w:cs="Calibri"/>
              </w:rPr>
            </w:pPr>
            <w:r w:rsidRPr="000C00C8">
              <w:rPr>
                <w:rFonts w:ascii="Calibri" w:hAnsi="Calibri" w:cs="Calibri"/>
              </w:rPr>
              <w:t xml:space="preserve">14 </w:t>
            </w:r>
          </w:p>
        </w:tc>
        <w:tc>
          <w:tcPr>
            <w:tcW w:w="3012" w:type="dxa"/>
            <w:shd w:val="clear" w:color="auto" w:fill="auto"/>
          </w:tcPr>
          <w:p w:rsidR="000C00C8" w:rsidRPr="000C00C8" w:rsidRDefault="000C00C8" w:rsidP="000C00C8">
            <w:pPr>
              <w:contextualSpacing/>
              <w:rPr>
                <w:rFonts w:ascii="Calibri" w:hAnsi="Calibri" w:cs="Calibri"/>
              </w:rPr>
            </w:pPr>
            <w:r w:rsidRPr="000C00C8">
              <w:rPr>
                <w:rFonts w:ascii="Calibri" w:hAnsi="Calibri" w:cs="Calibri"/>
              </w:rPr>
              <w:t>n=10.45% (8.24% of N)</w:t>
            </w:r>
          </w:p>
        </w:tc>
        <w:tc>
          <w:tcPr>
            <w:tcW w:w="1099" w:type="dxa"/>
            <w:shd w:val="clear" w:color="auto" w:fill="auto"/>
          </w:tcPr>
          <w:p w:rsidR="000C00C8" w:rsidRPr="000C00C8" w:rsidRDefault="000C00C8" w:rsidP="000C00C8">
            <w:pPr>
              <w:contextualSpacing/>
              <w:rPr>
                <w:rFonts w:ascii="Calibri" w:hAnsi="Calibri" w:cs="Calibri"/>
              </w:rPr>
            </w:pPr>
            <w:r w:rsidRPr="000C00C8">
              <w:rPr>
                <w:rFonts w:ascii="Calibri" w:hAnsi="Calibri" w:cs="Calibri"/>
              </w:rPr>
              <w:t>8</w:t>
            </w:r>
          </w:p>
        </w:tc>
        <w:tc>
          <w:tcPr>
            <w:tcW w:w="2688" w:type="dxa"/>
            <w:shd w:val="clear" w:color="auto" w:fill="auto"/>
          </w:tcPr>
          <w:p w:rsidR="000C00C8" w:rsidRPr="000C00C8" w:rsidRDefault="000C00C8" w:rsidP="000C00C8">
            <w:pPr>
              <w:contextualSpacing/>
              <w:rPr>
                <w:rFonts w:ascii="Calibri" w:hAnsi="Calibri" w:cs="Calibri"/>
              </w:rPr>
            </w:pPr>
            <w:r w:rsidRPr="000C00C8">
              <w:rPr>
                <w:rFonts w:ascii="Calibri" w:hAnsi="Calibri" w:cs="Calibri"/>
              </w:rPr>
              <w:t>n=22.22% (4.71% of N)</w:t>
            </w:r>
          </w:p>
        </w:tc>
      </w:tr>
      <w:tr w:rsidR="000C00C8" w:rsidRPr="000C00C8" w:rsidTr="00FE1685">
        <w:trPr>
          <w:trHeight w:val="310"/>
        </w:trPr>
        <w:tc>
          <w:tcPr>
            <w:tcW w:w="1701" w:type="dxa"/>
          </w:tcPr>
          <w:p w:rsidR="000C00C8" w:rsidRPr="000C00C8" w:rsidRDefault="000C00C8" w:rsidP="000C00C8">
            <w:pPr>
              <w:contextualSpacing/>
              <w:rPr>
                <w:rFonts w:ascii="Calibri" w:hAnsi="Calibri" w:cs="Calibri"/>
                <w:b/>
                <w:sz w:val="24"/>
                <w:szCs w:val="24"/>
              </w:rPr>
            </w:pPr>
            <w:r w:rsidRPr="000C00C8">
              <w:rPr>
                <w:rFonts w:ascii="Calibri" w:hAnsi="Calibri" w:cs="Calibri"/>
                <w:b/>
                <w:sz w:val="24"/>
                <w:szCs w:val="24"/>
              </w:rPr>
              <w:t>Students</w:t>
            </w:r>
          </w:p>
        </w:tc>
        <w:tc>
          <w:tcPr>
            <w:tcW w:w="1134" w:type="dxa"/>
            <w:shd w:val="clear" w:color="auto" w:fill="auto"/>
          </w:tcPr>
          <w:p w:rsidR="000C00C8" w:rsidRPr="000C00C8" w:rsidRDefault="000C00C8" w:rsidP="000C00C8">
            <w:pPr>
              <w:contextualSpacing/>
              <w:rPr>
                <w:rFonts w:ascii="Calibri" w:hAnsi="Calibri" w:cs="Calibri"/>
              </w:rPr>
            </w:pPr>
            <w:r w:rsidRPr="000C00C8">
              <w:rPr>
                <w:rFonts w:ascii="Calibri" w:hAnsi="Calibri" w:cs="Calibri"/>
              </w:rPr>
              <w:t>56</w:t>
            </w:r>
          </w:p>
        </w:tc>
        <w:tc>
          <w:tcPr>
            <w:tcW w:w="3012" w:type="dxa"/>
            <w:shd w:val="clear" w:color="auto" w:fill="auto"/>
          </w:tcPr>
          <w:p w:rsidR="000C00C8" w:rsidRPr="000C00C8" w:rsidRDefault="000C00C8" w:rsidP="000C00C8">
            <w:pPr>
              <w:contextualSpacing/>
              <w:rPr>
                <w:rFonts w:ascii="Calibri" w:hAnsi="Calibri" w:cs="Calibri"/>
              </w:rPr>
            </w:pPr>
            <w:r w:rsidRPr="000C00C8">
              <w:rPr>
                <w:rFonts w:ascii="Calibri" w:hAnsi="Calibri" w:cs="Calibri"/>
              </w:rPr>
              <w:t>n=41.79% (32.94% of N)</w:t>
            </w:r>
          </w:p>
        </w:tc>
        <w:tc>
          <w:tcPr>
            <w:tcW w:w="1099" w:type="dxa"/>
            <w:shd w:val="clear" w:color="auto" w:fill="auto"/>
          </w:tcPr>
          <w:p w:rsidR="000C00C8" w:rsidRPr="000C00C8" w:rsidRDefault="000C00C8" w:rsidP="000C00C8">
            <w:pPr>
              <w:contextualSpacing/>
              <w:rPr>
                <w:rFonts w:ascii="Calibri" w:hAnsi="Calibri" w:cs="Calibri"/>
              </w:rPr>
            </w:pPr>
            <w:r w:rsidRPr="000C00C8">
              <w:rPr>
                <w:rFonts w:ascii="Calibri" w:hAnsi="Calibri" w:cs="Calibri"/>
              </w:rPr>
              <w:t>13</w:t>
            </w:r>
          </w:p>
        </w:tc>
        <w:tc>
          <w:tcPr>
            <w:tcW w:w="2688" w:type="dxa"/>
            <w:shd w:val="clear" w:color="auto" w:fill="auto"/>
          </w:tcPr>
          <w:p w:rsidR="000C00C8" w:rsidRPr="000C00C8" w:rsidRDefault="000C00C8" w:rsidP="000C00C8">
            <w:pPr>
              <w:contextualSpacing/>
              <w:rPr>
                <w:rFonts w:ascii="Calibri" w:hAnsi="Calibri" w:cs="Calibri"/>
              </w:rPr>
            </w:pPr>
            <w:r w:rsidRPr="000C00C8">
              <w:rPr>
                <w:rFonts w:ascii="Calibri" w:hAnsi="Calibri" w:cs="Calibri"/>
              </w:rPr>
              <w:t>n=36.11% (7.65% of N)</w:t>
            </w:r>
          </w:p>
        </w:tc>
      </w:tr>
    </w:tbl>
    <w:p w:rsidR="00D432A5" w:rsidRDefault="00D432A5" w:rsidP="000C00C8">
      <w:pPr>
        <w:jc w:val="center"/>
        <w:rPr>
          <w:rFonts w:ascii="Calibri" w:hAnsi="Calibri" w:cs="Calibri"/>
          <w:i/>
          <w:sz w:val="20"/>
          <w:szCs w:val="20"/>
          <w:u w:val="single"/>
        </w:rPr>
      </w:pPr>
    </w:p>
    <w:p w:rsidR="000C00C8" w:rsidRPr="0019196E" w:rsidRDefault="000C00C8" w:rsidP="0019196E">
      <w:pPr>
        <w:jc w:val="center"/>
        <w:rPr>
          <w:rFonts w:ascii="Calibri" w:hAnsi="Calibri" w:cs="Calibri"/>
          <w:sz w:val="20"/>
          <w:szCs w:val="20"/>
          <w:u w:val="single"/>
        </w:rPr>
      </w:pPr>
      <w:r w:rsidRPr="000C00C8">
        <w:rPr>
          <w:rFonts w:ascii="Calibri" w:hAnsi="Calibri" w:cs="Calibri"/>
          <w:i/>
          <w:sz w:val="20"/>
          <w:szCs w:val="20"/>
          <w:u w:val="single"/>
        </w:rPr>
        <w:t xml:space="preserve">Table 3: </w:t>
      </w:r>
      <w:r w:rsidR="0019196E">
        <w:rPr>
          <w:rFonts w:ascii="Calibri" w:hAnsi="Calibri" w:cs="Calibri"/>
          <w:sz w:val="20"/>
          <w:szCs w:val="20"/>
          <w:u w:val="single"/>
        </w:rPr>
        <w:t>Categories of participants</w:t>
      </w:r>
    </w:p>
    <w:p w:rsidR="00FF2019" w:rsidRDefault="00FF2019" w:rsidP="008547E9">
      <w:pPr>
        <w:spacing w:after="0" w:line="480" w:lineRule="auto"/>
        <w:contextualSpacing/>
        <w:jc w:val="both"/>
        <w:rPr>
          <w:rFonts w:ascii="Arial" w:hAnsi="Arial" w:cs="Arial"/>
          <w:b/>
          <w:sz w:val="24"/>
          <w:szCs w:val="24"/>
          <w:u w:val="single"/>
        </w:rPr>
      </w:pPr>
    </w:p>
    <w:p w:rsidR="008547E9" w:rsidRPr="008547E9" w:rsidRDefault="008547E9" w:rsidP="008547E9">
      <w:pPr>
        <w:spacing w:after="0" w:line="480" w:lineRule="auto"/>
        <w:contextualSpacing/>
        <w:jc w:val="both"/>
        <w:rPr>
          <w:rFonts w:ascii="Arial" w:hAnsi="Arial" w:cs="Arial"/>
          <w:b/>
          <w:sz w:val="24"/>
          <w:szCs w:val="24"/>
          <w:u w:val="single"/>
        </w:rPr>
      </w:pPr>
      <w:r w:rsidRPr="008547E9">
        <w:rPr>
          <w:rFonts w:ascii="Arial" w:hAnsi="Arial" w:cs="Arial"/>
          <w:b/>
          <w:sz w:val="24"/>
          <w:szCs w:val="24"/>
          <w:u w:val="single"/>
        </w:rPr>
        <w:t>4.2 Main themes:</w:t>
      </w:r>
    </w:p>
    <w:p w:rsidR="0003515B" w:rsidRPr="008547E9" w:rsidRDefault="0003515B" w:rsidP="008547E9">
      <w:pPr>
        <w:spacing w:after="0" w:line="480" w:lineRule="auto"/>
        <w:jc w:val="both"/>
        <w:rPr>
          <w:rFonts w:ascii="Arial" w:hAnsi="Arial" w:cs="Arial"/>
          <w:sz w:val="24"/>
          <w:szCs w:val="24"/>
        </w:rPr>
      </w:pPr>
      <w:r w:rsidRPr="008547E9">
        <w:rPr>
          <w:rFonts w:ascii="Arial" w:hAnsi="Arial" w:cs="Arial"/>
          <w:sz w:val="24"/>
          <w:szCs w:val="24"/>
        </w:rPr>
        <w:t>Seven main themes were iden</w:t>
      </w:r>
      <w:r w:rsidR="008E7139">
        <w:rPr>
          <w:rFonts w:ascii="Arial" w:hAnsi="Arial" w:cs="Arial"/>
          <w:sz w:val="24"/>
          <w:szCs w:val="24"/>
        </w:rPr>
        <w:t>tified from the qualitative data</w:t>
      </w:r>
      <w:r w:rsidR="008547E9" w:rsidRPr="008547E9">
        <w:rPr>
          <w:rFonts w:ascii="Arial" w:hAnsi="Arial" w:cs="Arial"/>
          <w:sz w:val="24"/>
          <w:szCs w:val="24"/>
        </w:rPr>
        <w:t>. These are mapped to the</w:t>
      </w:r>
      <w:r w:rsidR="008E7139">
        <w:rPr>
          <w:rFonts w:ascii="Arial" w:hAnsi="Arial" w:cs="Arial"/>
          <w:sz w:val="24"/>
          <w:szCs w:val="24"/>
        </w:rPr>
        <w:t xml:space="preserve"> relevant</w:t>
      </w:r>
      <w:r w:rsidR="008547E9" w:rsidRPr="008547E9">
        <w:rPr>
          <w:rFonts w:ascii="Arial" w:hAnsi="Arial" w:cs="Arial"/>
          <w:sz w:val="24"/>
          <w:szCs w:val="24"/>
        </w:rPr>
        <w:t xml:space="preserve"> sections of the survey in </w:t>
      </w:r>
      <w:r w:rsidR="008547E9" w:rsidRPr="008547E9">
        <w:rPr>
          <w:rFonts w:ascii="Arial" w:hAnsi="Arial" w:cs="Arial"/>
          <w:i/>
          <w:sz w:val="24"/>
          <w:szCs w:val="24"/>
        </w:rPr>
        <w:t>Table 4</w:t>
      </w:r>
      <w:r w:rsidR="008547E9" w:rsidRPr="008547E9">
        <w:rPr>
          <w:rFonts w:ascii="Arial" w:hAnsi="Arial" w:cs="Arial"/>
          <w:sz w:val="24"/>
          <w:szCs w:val="24"/>
        </w:rPr>
        <w:t>, and comprised</w:t>
      </w:r>
      <w:r w:rsidRPr="008547E9">
        <w:rPr>
          <w:rFonts w:ascii="Arial" w:hAnsi="Arial" w:cs="Arial"/>
          <w:sz w:val="24"/>
          <w:szCs w:val="24"/>
        </w:rPr>
        <w:t>:</w:t>
      </w:r>
    </w:p>
    <w:p w:rsidR="0003515B" w:rsidRPr="008547E9" w:rsidRDefault="0003515B" w:rsidP="0019196E">
      <w:pPr>
        <w:numPr>
          <w:ilvl w:val="0"/>
          <w:numId w:val="13"/>
        </w:numPr>
        <w:spacing w:after="0" w:line="480" w:lineRule="auto"/>
        <w:contextualSpacing/>
        <w:jc w:val="both"/>
        <w:rPr>
          <w:rFonts w:ascii="Arial" w:hAnsi="Arial" w:cs="Arial"/>
          <w:i/>
          <w:sz w:val="24"/>
          <w:szCs w:val="24"/>
        </w:rPr>
      </w:pPr>
      <w:r w:rsidRPr="008547E9">
        <w:rPr>
          <w:rFonts w:ascii="Arial" w:hAnsi="Arial" w:cs="Arial"/>
          <w:i/>
          <w:sz w:val="24"/>
          <w:szCs w:val="24"/>
        </w:rPr>
        <w:t>Human factors</w:t>
      </w:r>
    </w:p>
    <w:p w:rsidR="0003515B" w:rsidRPr="008547E9" w:rsidRDefault="0003515B" w:rsidP="0019196E">
      <w:pPr>
        <w:numPr>
          <w:ilvl w:val="0"/>
          <w:numId w:val="13"/>
        </w:numPr>
        <w:spacing w:after="0" w:line="480" w:lineRule="auto"/>
        <w:contextualSpacing/>
        <w:jc w:val="both"/>
        <w:rPr>
          <w:rFonts w:ascii="Arial" w:hAnsi="Arial" w:cs="Arial"/>
          <w:i/>
          <w:sz w:val="24"/>
          <w:szCs w:val="24"/>
        </w:rPr>
      </w:pPr>
      <w:r w:rsidRPr="008547E9">
        <w:rPr>
          <w:rFonts w:ascii="Arial" w:hAnsi="Arial" w:cs="Arial"/>
          <w:i/>
          <w:sz w:val="24"/>
          <w:szCs w:val="24"/>
        </w:rPr>
        <w:t>Art of mentoring</w:t>
      </w:r>
    </w:p>
    <w:p w:rsidR="0003515B" w:rsidRPr="008547E9" w:rsidRDefault="0003515B" w:rsidP="0019196E">
      <w:pPr>
        <w:numPr>
          <w:ilvl w:val="0"/>
          <w:numId w:val="13"/>
        </w:numPr>
        <w:spacing w:after="0" w:line="480" w:lineRule="auto"/>
        <w:contextualSpacing/>
        <w:jc w:val="both"/>
        <w:rPr>
          <w:rFonts w:ascii="Arial" w:hAnsi="Arial" w:cs="Arial"/>
          <w:i/>
          <w:sz w:val="24"/>
          <w:szCs w:val="24"/>
        </w:rPr>
      </w:pPr>
      <w:r w:rsidRPr="008547E9">
        <w:rPr>
          <w:rFonts w:ascii="Arial" w:hAnsi="Arial" w:cs="Arial"/>
          <w:i/>
          <w:sz w:val="24"/>
          <w:szCs w:val="24"/>
        </w:rPr>
        <w:t>Structure of the tool</w:t>
      </w:r>
    </w:p>
    <w:p w:rsidR="0003515B" w:rsidRPr="008547E9" w:rsidRDefault="0003515B" w:rsidP="0019196E">
      <w:pPr>
        <w:numPr>
          <w:ilvl w:val="0"/>
          <w:numId w:val="13"/>
        </w:numPr>
        <w:spacing w:after="0" w:line="480" w:lineRule="auto"/>
        <w:contextualSpacing/>
        <w:jc w:val="both"/>
        <w:rPr>
          <w:rFonts w:ascii="Arial" w:hAnsi="Arial" w:cs="Arial"/>
          <w:i/>
          <w:sz w:val="24"/>
          <w:szCs w:val="24"/>
        </w:rPr>
      </w:pPr>
      <w:r w:rsidRPr="008547E9">
        <w:rPr>
          <w:rFonts w:ascii="Arial" w:hAnsi="Arial" w:cs="Arial"/>
          <w:i/>
          <w:sz w:val="24"/>
          <w:szCs w:val="24"/>
        </w:rPr>
        <w:t>Ongoing guidance and support of the assessor</w:t>
      </w:r>
    </w:p>
    <w:p w:rsidR="0003515B" w:rsidRPr="008547E9" w:rsidRDefault="0003515B" w:rsidP="0019196E">
      <w:pPr>
        <w:numPr>
          <w:ilvl w:val="0"/>
          <w:numId w:val="13"/>
        </w:numPr>
        <w:spacing w:after="0" w:line="480" w:lineRule="auto"/>
        <w:contextualSpacing/>
        <w:jc w:val="both"/>
        <w:rPr>
          <w:rFonts w:ascii="Arial" w:hAnsi="Arial" w:cs="Arial"/>
          <w:i/>
          <w:sz w:val="24"/>
          <w:szCs w:val="24"/>
        </w:rPr>
      </w:pPr>
      <w:r w:rsidRPr="008547E9">
        <w:rPr>
          <w:rFonts w:ascii="Arial" w:hAnsi="Arial" w:cs="Arial"/>
          <w:i/>
          <w:sz w:val="24"/>
          <w:szCs w:val="24"/>
        </w:rPr>
        <w:t>Other factors</w:t>
      </w:r>
    </w:p>
    <w:p w:rsidR="0003515B" w:rsidRPr="008547E9" w:rsidRDefault="0003515B" w:rsidP="0019196E">
      <w:pPr>
        <w:numPr>
          <w:ilvl w:val="0"/>
          <w:numId w:val="13"/>
        </w:numPr>
        <w:spacing w:after="0" w:line="480" w:lineRule="auto"/>
        <w:contextualSpacing/>
        <w:jc w:val="both"/>
        <w:rPr>
          <w:rFonts w:ascii="Arial" w:hAnsi="Arial" w:cs="Arial"/>
          <w:i/>
          <w:sz w:val="24"/>
          <w:szCs w:val="24"/>
        </w:rPr>
      </w:pPr>
      <w:r w:rsidRPr="008547E9">
        <w:rPr>
          <w:rFonts w:ascii="Arial" w:hAnsi="Arial" w:cs="Arial"/>
          <w:i/>
          <w:sz w:val="24"/>
          <w:szCs w:val="24"/>
        </w:rPr>
        <w:t>Purpose of assessment</w:t>
      </w:r>
    </w:p>
    <w:p w:rsidR="0003515B" w:rsidRPr="008547E9" w:rsidRDefault="0003515B" w:rsidP="0019196E">
      <w:pPr>
        <w:numPr>
          <w:ilvl w:val="0"/>
          <w:numId w:val="13"/>
        </w:numPr>
        <w:spacing w:after="0" w:line="480" w:lineRule="auto"/>
        <w:contextualSpacing/>
        <w:jc w:val="both"/>
        <w:rPr>
          <w:rFonts w:ascii="Arial" w:hAnsi="Arial" w:cs="Arial"/>
          <w:i/>
          <w:sz w:val="24"/>
          <w:szCs w:val="24"/>
        </w:rPr>
      </w:pPr>
      <w:r w:rsidRPr="008547E9">
        <w:rPr>
          <w:rFonts w:ascii="Arial" w:hAnsi="Arial" w:cs="Arial"/>
          <w:i/>
          <w:sz w:val="24"/>
          <w:szCs w:val="24"/>
        </w:rPr>
        <w:t>Standardisation</w:t>
      </w:r>
    </w:p>
    <w:p w:rsidR="0003515B" w:rsidRPr="0003515B" w:rsidRDefault="0003515B" w:rsidP="0003515B">
      <w:pPr>
        <w:spacing w:after="0" w:line="240" w:lineRule="auto"/>
        <w:ind w:left="720"/>
        <w:rPr>
          <w:rFonts w:ascii="Calibri" w:hAnsi="Calibri" w:cs="Calibri"/>
        </w:rPr>
      </w:pPr>
    </w:p>
    <w:tbl>
      <w:tblPr>
        <w:tblStyle w:val="TableGrid1"/>
        <w:tblW w:w="9214" w:type="dxa"/>
        <w:tblInd w:w="279" w:type="dxa"/>
        <w:tblLayout w:type="fixed"/>
        <w:tblLook w:val="04A0" w:firstRow="1" w:lastRow="0" w:firstColumn="1" w:lastColumn="0" w:noHBand="0" w:noVBand="1"/>
      </w:tblPr>
      <w:tblGrid>
        <w:gridCol w:w="2126"/>
        <w:gridCol w:w="2552"/>
        <w:gridCol w:w="1275"/>
        <w:gridCol w:w="1276"/>
        <w:gridCol w:w="851"/>
        <w:gridCol w:w="1134"/>
      </w:tblGrid>
      <w:tr w:rsidR="0003515B" w:rsidRPr="0003515B" w:rsidTr="00FE1685">
        <w:tc>
          <w:tcPr>
            <w:tcW w:w="2126" w:type="dxa"/>
            <w:shd w:val="clear" w:color="auto" w:fill="auto"/>
          </w:tcPr>
          <w:p w:rsidR="0003515B" w:rsidRPr="0003515B" w:rsidRDefault="0003515B" w:rsidP="0003515B">
            <w:pPr>
              <w:jc w:val="center"/>
              <w:rPr>
                <w:b/>
              </w:rPr>
            </w:pPr>
            <w:r w:rsidRPr="0003515B">
              <w:rPr>
                <w:b/>
              </w:rPr>
              <w:t>MAIN THEMES</w:t>
            </w:r>
          </w:p>
        </w:tc>
        <w:tc>
          <w:tcPr>
            <w:tcW w:w="2552" w:type="dxa"/>
            <w:shd w:val="clear" w:color="auto" w:fill="auto"/>
          </w:tcPr>
          <w:p w:rsidR="0003515B" w:rsidRPr="0003515B" w:rsidRDefault="0003515B" w:rsidP="0003515B">
            <w:pPr>
              <w:jc w:val="center"/>
              <w:rPr>
                <w:b/>
              </w:rPr>
            </w:pPr>
            <w:r w:rsidRPr="0003515B">
              <w:rPr>
                <w:b/>
              </w:rPr>
              <w:t>SUB-THEMES</w:t>
            </w:r>
          </w:p>
        </w:tc>
        <w:tc>
          <w:tcPr>
            <w:tcW w:w="1275" w:type="dxa"/>
            <w:shd w:val="clear" w:color="auto" w:fill="auto"/>
          </w:tcPr>
          <w:p w:rsidR="0003515B" w:rsidRPr="0003515B" w:rsidRDefault="0003515B" w:rsidP="0003515B">
            <w:pPr>
              <w:rPr>
                <w:b/>
                <w:sz w:val="20"/>
                <w:szCs w:val="20"/>
              </w:rPr>
            </w:pPr>
            <w:r w:rsidRPr="0003515B">
              <w:rPr>
                <w:b/>
                <w:sz w:val="20"/>
                <w:szCs w:val="20"/>
              </w:rPr>
              <w:t>Current Assessment Tool</w:t>
            </w:r>
            <w:r w:rsidR="008547E9">
              <w:rPr>
                <w:b/>
                <w:sz w:val="20"/>
                <w:szCs w:val="20"/>
              </w:rPr>
              <w:t>s</w:t>
            </w:r>
          </w:p>
        </w:tc>
        <w:tc>
          <w:tcPr>
            <w:tcW w:w="1276" w:type="dxa"/>
            <w:shd w:val="clear" w:color="auto" w:fill="auto"/>
          </w:tcPr>
          <w:p w:rsidR="0003515B" w:rsidRPr="008547E9" w:rsidRDefault="008547E9" w:rsidP="0003515B">
            <w:pPr>
              <w:rPr>
                <w:b/>
                <w:i/>
                <w:sz w:val="20"/>
                <w:szCs w:val="20"/>
              </w:rPr>
            </w:pPr>
            <w:r>
              <w:rPr>
                <w:b/>
                <w:i/>
                <w:sz w:val="20"/>
                <w:szCs w:val="20"/>
              </w:rPr>
              <w:t xml:space="preserve"> </w:t>
            </w:r>
            <w:r w:rsidR="0003515B" w:rsidRPr="0003515B">
              <w:rPr>
                <w:b/>
                <w:sz w:val="20"/>
                <w:szCs w:val="20"/>
              </w:rPr>
              <w:t>Lexicon Frameworks</w:t>
            </w:r>
          </w:p>
        </w:tc>
        <w:tc>
          <w:tcPr>
            <w:tcW w:w="851" w:type="dxa"/>
            <w:shd w:val="clear" w:color="auto" w:fill="auto"/>
          </w:tcPr>
          <w:p w:rsidR="0003515B" w:rsidRPr="0003515B" w:rsidRDefault="0003515B" w:rsidP="0003515B">
            <w:pPr>
              <w:rPr>
                <w:b/>
                <w:sz w:val="20"/>
                <w:szCs w:val="20"/>
              </w:rPr>
            </w:pPr>
            <w:r w:rsidRPr="0003515B">
              <w:rPr>
                <w:b/>
                <w:sz w:val="20"/>
                <w:szCs w:val="20"/>
              </w:rPr>
              <w:t>Rubrics</w:t>
            </w:r>
          </w:p>
        </w:tc>
        <w:tc>
          <w:tcPr>
            <w:tcW w:w="1134" w:type="dxa"/>
            <w:shd w:val="clear" w:color="auto" w:fill="auto"/>
          </w:tcPr>
          <w:p w:rsidR="0003515B" w:rsidRPr="0003515B" w:rsidRDefault="0003515B" w:rsidP="0003515B">
            <w:pPr>
              <w:rPr>
                <w:b/>
                <w:sz w:val="20"/>
                <w:szCs w:val="20"/>
              </w:rPr>
            </w:pPr>
            <w:r w:rsidRPr="0003515B">
              <w:rPr>
                <w:b/>
                <w:sz w:val="20"/>
                <w:szCs w:val="20"/>
              </w:rPr>
              <w:t>Additional Comments</w:t>
            </w:r>
          </w:p>
        </w:tc>
      </w:tr>
      <w:tr w:rsidR="0003515B" w:rsidRPr="0003515B" w:rsidTr="00FE1685">
        <w:tc>
          <w:tcPr>
            <w:tcW w:w="2126" w:type="dxa"/>
            <w:vMerge w:val="restart"/>
            <w:shd w:val="clear" w:color="auto" w:fill="auto"/>
          </w:tcPr>
          <w:p w:rsidR="0003515B" w:rsidRPr="0003515B" w:rsidRDefault="0003515B" w:rsidP="0003515B">
            <w:pPr>
              <w:rPr>
                <w:b/>
              </w:rPr>
            </w:pPr>
            <w:r w:rsidRPr="0003515B">
              <w:rPr>
                <w:b/>
              </w:rPr>
              <w:t>(i) Human factors</w:t>
            </w:r>
          </w:p>
        </w:tc>
        <w:tc>
          <w:tcPr>
            <w:tcW w:w="2552" w:type="dxa"/>
            <w:shd w:val="clear" w:color="auto" w:fill="auto"/>
          </w:tcPr>
          <w:p w:rsidR="0003515B" w:rsidRPr="0003515B" w:rsidRDefault="0003515B" w:rsidP="0003515B">
            <w:r w:rsidRPr="0003515B">
              <w:t>Subjectivity</w:t>
            </w:r>
          </w:p>
        </w:tc>
        <w:tc>
          <w:tcPr>
            <w:tcW w:w="1275" w:type="dxa"/>
            <w:shd w:val="clear" w:color="auto" w:fill="auto"/>
          </w:tcPr>
          <w:p w:rsidR="0003515B" w:rsidRPr="0003515B" w:rsidRDefault="0003515B" w:rsidP="0003515B">
            <w:pPr>
              <w:rPr>
                <w:sz w:val="20"/>
                <w:szCs w:val="20"/>
              </w:rPr>
            </w:pPr>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Personal interpretation</w:t>
            </w:r>
          </w:p>
        </w:tc>
        <w:tc>
          <w:tcPr>
            <w:tcW w:w="1275" w:type="dxa"/>
            <w:shd w:val="clear" w:color="auto" w:fill="auto"/>
          </w:tcPr>
          <w:p w:rsidR="0003515B" w:rsidRPr="0003515B" w:rsidRDefault="0003515B" w:rsidP="0003515B">
            <w:pPr>
              <w:rPr>
                <w:sz w:val="20"/>
                <w:szCs w:val="20"/>
              </w:rPr>
            </w:pPr>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Mentor-student relationship</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Student’s experience</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tc>
        <w:tc>
          <w:tcPr>
            <w:tcW w:w="851" w:type="dxa"/>
            <w:shd w:val="clear" w:color="auto" w:fill="auto"/>
          </w:tcPr>
          <w:p w:rsidR="0003515B" w:rsidRPr="0003515B" w:rsidRDefault="0003515B" w:rsidP="0003515B"/>
        </w:tc>
        <w:tc>
          <w:tcPr>
            <w:tcW w:w="1134" w:type="dxa"/>
            <w:shd w:val="clear" w:color="auto" w:fill="auto"/>
          </w:tcPr>
          <w:p w:rsidR="0003515B" w:rsidRPr="0003515B" w:rsidRDefault="0003515B" w:rsidP="0003515B"/>
        </w:tc>
      </w:tr>
      <w:tr w:rsidR="0003515B" w:rsidRPr="0003515B" w:rsidTr="00FE1685">
        <w:tc>
          <w:tcPr>
            <w:tcW w:w="2126" w:type="dxa"/>
            <w:vMerge w:val="restart"/>
            <w:shd w:val="clear" w:color="auto" w:fill="auto"/>
          </w:tcPr>
          <w:p w:rsidR="0003515B" w:rsidRPr="0003515B" w:rsidRDefault="0003515B" w:rsidP="0003515B">
            <w:pPr>
              <w:rPr>
                <w:b/>
              </w:rPr>
            </w:pPr>
            <w:r w:rsidRPr="0003515B">
              <w:rPr>
                <w:b/>
              </w:rPr>
              <w:t>(ii) Art of mentoring</w:t>
            </w:r>
          </w:p>
        </w:tc>
        <w:tc>
          <w:tcPr>
            <w:tcW w:w="2552" w:type="dxa"/>
            <w:shd w:val="clear" w:color="auto" w:fill="auto"/>
          </w:tcPr>
          <w:p w:rsidR="0003515B" w:rsidRPr="0003515B" w:rsidRDefault="0003515B" w:rsidP="0003515B">
            <w:r w:rsidRPr="0003515B">
              <w:t>Understanding</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851" w:type="dxa"/>
            <w:shd w:val="clear" w:color="auto" w:fill="auto"/>
          </w:tcPr>
          <w:p w:rsidR="0003515B" w:rsidRPr="0003515B" w:rsidRDefault="0003515B" w:rsidP="0003515B"/>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Application</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Accountability of role</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tc>
        <w:tc>
          <w:tcPr>
            <w:tcW w:w="851" w:type="dxa"/>
            <w:shd w:val="clear" w:color="auto" w:fill="auto"/>
          </w:tcPr>
          <w:p w:rsidR="0003515B" w:rsidRPr="0003515B" w:rsidRDefault="0003515B" w:rsidP="0003515B"/>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val="restart"/>
            <w:shd w:val="clear" w:color="auto" w:fill="auto"/>
          </w:tcPr>
          <w:p w:rsidR="0003515B" w:rsidRPr="0003515B" w:rsidRDefault="0003515B" w:rsidP="0003515B">
            <w:pPr>
              <w:rPr>
                <w:b/>
              </w:rPr>
            </w:pPr>
            <w:r w:rsidRPr="0003515B">
              <w:rPr>
                <w:b/>
              </w:rPr>
              <w:t>(iii) Structure of the tool</w:t>
            </w:r>
          </w:p>
        </w:tc>
        <w:tc>
          <w:tcPr>
            <w:tcW w:w="2552" w:type="dxa"/>
            <w:shd w:val="clear" w:color="auto" w:fill="auto"/>
          </w:tcPr>
          <w:p w:rsidR="0003515B" w:rsidRPr="0003515B" w:rsidRDefault="0003515B" w:rsidP="0003515B">
            <w:r w:rsidRPr="0003515B">
              <w:t>Simplification</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Differentiation</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Quality assurance</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Accessibility</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tc>
      </w:tr>
      <w:tr w:rsidR="0003515B" w:rsidRPr="0003515B" w:rsidTr="00FE1685">
        <w:tc>
          <w:tcPr>
            <w:tcW w:w="2126" w:type="dxa"/>
            <w:vMerge w:val="restart"/>
            <w:shd w:val="clear" w:color="auto" w:fill="auto"/>
          </w:tcPr>
          <w:p w:rsidR="0003515B" w:rsidRPr="0003515B" w:rsidRDefault="0003515B" w:rsidP="0003515B">
            <w:pPr>
              <w:rPr>
                <w:b/>
              </w:rPr>
            </w:pPr>
            <w:r w:rsidRPr="0003515B">
              <w:rPr>
                <w:b/>
              </w:rPr>
              <w:t>(iv) Ongoing guidance and support of the assessor</w:t>
            </w:r>
          </w:p>
        </w:tc>
        <w:tc>
          <w:tcPr>
            <w:tcW w:w="2552" w:type="dxa"/>
            <w:shd w:val="clear" w:color="auto" w:fill="auto"/>
          </w:tcPr>
          <w:p w:rsidR="0003515B" w:rsidRPr="0003515B" w:rsidRDefault="0003515B" w:rsidP="0003515B">
            <w:r w:rsidRPr="0003515B">
              <w:t>Clarification and guidance</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Preparation</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Support</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tc>
        <w:tc>
          <w:tcPr>
            <w:tcW w:w="851" w:type="dxa"/>
            <w:shd w:val="clear" w:color="auto" w:fill="auto"/>
          </w:tcPr>
          <w:p w:rsidR="0003515B" w:rsidRPr="0003515B" w:rsidRDefault="0003515B" w:rsidP="0003515B"/>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val="restart"/>
            <w:shd w:val="clear" w:color="auto" w:fill="auto"/>
          </w:tcPr>
          <w:p w:rsidR="0003515B" w:rsidRPr="0003515B" w:rsidRDefault="0003515B" w:rsidP="0003515B">
            <w:pPr>
              <w:rPr>
                <w:b/>
              </w:rPr>
            </w:pPr>
            <w:r w:rsidRPr="0003515B">
              <w:rPr>
                <w:b/>
              </w:rPr>
              <w:lastRenderedPageBreak/>
              <w:t>(v) Other factors</w:t>
            </w:r>
          </w:p>
        </w:tc>
        <w:tc>
          <w:tcPr>
            <w:tcW w:w="2552" w:type="dxa"/>
            <w:shd w:val="clear" w:color="auto" w:fill="auto"/>
          </w:tcPr>
          <w:p w:rsidR="0003515B" w:rsidRPr="0003515B" w:rsidRDefault="0003515B" w:rsidP="0003515B">
            <w:r w:rsidRPr="0003515B">
              <w:t>Constraints</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Involvement of others</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val="restart"/>
            <w:shd w:val="clear" w:color="auto" w:fill="auto"/>
          </w:tcPr>
          <w:p w:rsidR="0003515B" w:rsidRPr="0003515B" w:rsidRDefault="0003515B" w:rsidP="0003515B">
            <w:pPr>
              <w:rPr>
                <w:b/>
              </w:rPr>
            </w:pPr>
            <w:r w:rsidRPr="0003515B">
              <w:rPr>
                <w:b/>
              </w:rPr>
              <w:t>(vi) Purpose of assessment</w:t>
            </w:r>
          </w:p>
        </w:tc>
        <w:tc>
          <w:tcPr>
            <w:tcW w:w="2552" w:type="dxa"/>
            <w:shd w:val="clear" w:color="auto" w:fill="auto"/>
          </w:tcPr>
          <w:p w:rsidR="0003515B" w:rsidRPr="0003515B" w:rsidRDefault="0003515B" w:rsidP="0003515B">
            <w:r w:rsidRPr="0003515B">
              <w:t>Safe practice</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What to assess</w:t>
            </w:r>
          </w:p>
        </w:tc>
        <w:tc>
          <w:tcPr>
            <w:tcW w:w="1275"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276"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Learning</w:t>
            </w:r>
          </w:p>
        </w:tc>
        <w:tc>
          <w:tcPr>
            <w:tcW w:w="1275" w:type="dxa"/>
            <w:shd w:val="clear" w:color="auto" w:fill="auto"/>
          </w:tcPr>
          <w:p w:rsidR="0003515B" w:rsidRPr="0003515B" w:rsidRDefault="0003515B" w:rsidP="0003515B"/>
        </w:tc>
        <w:tc>
          <w:tcPr>
            <w:tcW w:w="1276" w:type="dxa"/>
            <w:shd w:val="clear" w:color="auto" w:fill="auto"/>
          </w:tcPr>
          <w:p w:rsidR="0003515B" w:rsidRPr="0003515B" w:rsidRDefault="0003515B" w:rsidP="0003515B"/>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val="restart"/>
            <w:shd w:val="clear" w:color="auto" w:fill="auto"/>
          </w:tcPr>
          <w:p w:rsidR="0003515B" w:rsidRPr="0003515B" w:rsidRDefault="0003515B" w:rsidP="0003515B">
            <w:pPr>
              <w:rPr>
                <w:b/>
              </w:rPr>
            </w:pPr>
            <w:r w:rsidRPr="0003515B">
              <w:rPr>
                <w:b/>
              </w:rPr>
              <w:t>(vii) Standardisation</w:t>
            </w:r>
          </w:p>
        </w:tc>
        <w:tc>
          <w:tcPr>
            <w:tcW w:w="2552" w:type="dxa"/>
            <w:shd w:val="clear" w:color="auto" w:fill="auto"/>
          </w:tcPr>
          <w:p w:rsidR="0003515B" w:rsidRPr="0003515B" w:rsidRDefault="0003515B" w:rsidP="0003515B">
            <w:r w:rsidRPr="0003515B">
              <w:t>Transferability</w:t>
            </w:r>
          </w:p>
        </w:tc>
        <w:tc>
          <w:tcPr>
            <w:tcW w:w="1275" w:type="dxa"/>
            <w:shd w:val="clear" w:color="auto" w:fill="auto"/>
          </w:tcPr>
          <w:p w:rsidR="0003515B" w:rsidRPr="0003515B" w:rsidRDefault="0003515B" w:rsidP="0003515B"/>
        </w:tc>
        <w:tc>
          <w:tcPr>
            <w:tcW w:w="1276"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r w:rsidR="0003515B" w:rsidRPr="0003515B" w:rsidTr="00FE1685">
        <w:tc>
          <w:tcPr>
            <w:tcW w:w="2126" w:type="dxa"/>
            <w:vMerge/>
            <w:shd w:val="clear" w:color="auto" w:fill="auto"/>
          </w:tcPr>
          <w:p w:rsidR="0003515B" w:rsidRPr="0003515B" w:rsidRDefault="0003515B" w:rsidP="0003515B"/>
        </w:tc>
        <w:tc>
          <w:tcPr>
            <w:tcW w:w="2552" w:type="dxa"/>
            <w:shd w:val="clear" w:color="auto" w:fill="auto"/>
          </w:tcPr>
          <w:p w:rsidR="0003515B" w:rsidRPr="0003515B" w:rsidRDefault="0003515B" w:rsidP="0003515B">
            <w:r w:rsidRPr="0003515B">
              <w:t>Consistency</w:t>
            </w:r>
          </w:p>
        </w:tc>
        <w:tc>
          <w:tcPr>
            <w:tcW w:w="1275" w:type="dxa"/>
            <w:shd w:val="clear" w:color="auto" w:fill="auto"/>
          </w:tcPr>
          <w:p w:rsidR="0003515B" w:rsidRPr="0003515B" w:rsidRDefault="0003515B" w:rsidP="0003515B"/>
        </w:tc>
        <w:tc>
          <w:tcPr>
            <w:tcW w:w="1276" w:type="dxa"/>
            <w:shd w:val="clear" w:color="auto" w:fill="auto"/>
          </w:tcPr>
          <w:p w:rsidR="0003515B" w:rsidRPr="0003515B" w:rsidRDefault="0003515B" w:rsidP="0003515B"/>
        </w:tc>
        <w:tc>
          <w:tcPr>
            <w:tcW w:w="851"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c>
          <w:tcPr>
            <w:tcW w:w="1134" w:type="dxa"/>
            <w:shd w:val="clear" w:color="auto" w:fill="auto"/>
          </w:tcPr>
          <w:p w:rsidR="0003515B" w:rsidRPr="0003515B" w:rsidRDefault="0003515B" w:rsidP="0003515B">
            <w:r w:rsidRPr="0003515B">
              <w:rPr>
                <w:rFonts w:ascii="Segoe UI Symbol" w:hAnsi="Segoe UI Symbol" w:cs="Segoe UI Symbol"/>
                <w:color w:val="222222"/>
                <w:sz w:val="20"/>
                <w:szCs w:val="20"/>
                <w:shd w:val="clear" w:color="auto" w:fill="FFFFFF"/>
              </w:rPr>
              <w:t>✔</w:t>
            </w:r>
          </w:p>
        </w:tc>
      </w:tr>
    </w:tbl>
    <w:p w:rsidR="00D432A5" w:rsidRDefault="00D432A5" w:rsidP="008547E9">
      <w:pPr>
        <w:jc w:val="center"/>
        <w:rPr>
          <w:i/>
          <w:sz w:val="20"/>
          <w:szCs w:val="20"/>
          <w:u w:val="single"/>
          <w:lang w:eastAsia="en-GB"/>
        </w:rPr>
      </w:pPr>
    </w:p>
    <w:p w:rsidR="008E7139" w:rsidRPr="008E7139" w:rsidRDefault="008547E9" w:rsidP="008E7139">
      <w:pPr>
        <w:jc w:val="center"/>
        <w:rPr>
          <w:b/>
          <w:i/>
          <w:sz w:val="20"/>
          <w:szCs w:val="20"/>
          <w:lang w:eastAsia="en-GB"/>
        </w:rPr>
      </w:pPr>
      <w:r>
        <w:rPr>
          <w:i/>
          <w:sz w:val="20"/>
          <w:szCs w:val="20"/>
          <w:u w:val="single"/>
          <w:lang w:eastAsia="en-GB"/>
        </w:rPr>
        <w:t>Table 4</w:t>
      </w:r>
      <w:r w:rsidR="0003515B" w:rsidRPr="0003515B">
        <w:rPr>
          <w:i/>
          <w:sz w:val="20"/>
          <w:szCs w:val="20"/>
          <w:u w:val="single"/>
          <w:lang w:eastAsia="en-GB"/>
        </w:rPr>
        <w:t>:</w:t>
      </w:r>
      <w:r w:rsidR="0003515B" w:rsidRPr="0003515B">
        <w:rPr>
          <w:b/>
          <w:i/>
          <w:sz w:val="20"/>
          <w:szCs w:val="20"/>
          <w:u w:val="single"/>
          <w:lang w:eastAsia="en-GB"/>
        </w:rPr>
        <w:t xml:space="preserve"> </w:t>
      </w:r>
      <w:r w:rsidR="0003515B" w:rsidRPr="0003515B">
        <w:rPr>
          <w:sz w:val="20"/>
          <w:szCs w:val="20"/>
          <w:u w:val="single"/>
          <w:lang w:eastAsia="en-GB"/>
        </w:rPr>
        <w:t>Mapping of</w:t>
      </w:r>
      <w:r w:rsidR="0003515B" w:rsidRPr="0003515B">
        <w:rPr>
          <w:b/>
          <w:sz w:val="20"/>
          <w:szCs w:val="20"/>
          <w:u w:val="single"/>
          <w:lang w:eastAsia="en-GB"/>
        </w:rPr>
        <w:t xml:space="preserve"> </w:t>
      </w:r>
      <w:r w:rsidR="0003515B" w:rsidRPr="0003515B">
        <w:rPr>
          <w:sz w:val="20"/>
          <w:szCs w:val="20"/>
          <w:u w:val="single"/>
          <w:lang w:eastAsia="en-GB"/>
        </w:rPr>
        <w:t>thematic analysis</w:t>
      </w:r>
    </w:p>
    <w:p w:rsidR="00FF2019" w:rsidRDefault="00FF2019" w:rsidP="00E43757">
      <w:pPr>
        <w:spacing w:after="0" w:line="480" w:lineRule="auto"/>
        <w:jc w:val="both"/>
        <w:rPr>
          <w:rFonts w:ascii="Arial" w:eastAsia="Calibri" w:hAnsi="Arial" w:cs="Arial"/>
          <w:b/>
          <w:sz w:val="24"/>
          <w:szCs w:val="24"/>
          <w:u w:val="single"/>
        </w:rPr>
      </w:pPr>
    </w:p>
    <w:p w:rsidR="008547E9" w:rsidRPr="00026AA4" w:rsidRDefault="008547E9" w:rsidP="00E43757">
      <w:pPr>
        <w:spacing w:after="0" w:line="480" w:lineRule="auto"/>
        <w:jc w:val="both"/>
        <w:rPr>
          <w:rFonts w:ascii="Arial" w:eastAsia="Calibri" w:hAnsi="Arial" w:cs="Arial"/>
          <w:b/>
          <w:sz w:val="24"/>
          <w:szCs w:val="24"/>
          <w:u w:val="single"/>
        </w:rPr>
      </w:pPr>
      <w:r w:rsidRPr="00026AA4">
        <w:rPr>
          <w:rFonts w:ascii="Arial" w:eastAsia="Calibri" w:hAnsi="Arial" w:cs="Arial"/>
          <w:b/>
          <w:sz w:val="24"/>
          <w:szCs w:val="24"/>
          <w:u w:val="single"/>
        </w:rPr>
        <w:t>4.3 Current assessment tools:</w:t>
      </w:r>
    </w:p>
    <w:p w:rsidR="0003515B" w:rsidRPr="00026AA4" w:rsidRDefault="0003515B" w:rsidP="00E43757">
      <w:pPr>
        <w:spacing w:after="0" w:line="480" w:lineRule="auto"/>
        <w:jc w:val="both"/>
        <w:rPr>
          <w:rFonts w:ascii="Arial" w:eastAsia="Calibri" w:hAnsi="Arial" w:cs="Arial"/>
          <w:sz w:val="24"/>
          <w:szCs w:val="24"/>
        </w:rPr>
      </w:pPr>
      <w:r w:rsidRPr="00026AA4">
        <w:rPr>
          <w:rFonts w:ascii="Arial" w:eastAsia="Calibri" w:hAnsi="Arial" w:cs="Arial"/>
          <w:sz w:val="24"/>
          <w:szCs w:val="24"/>
        </w:rPr>
        <w:t>A fairly low level of confidence in the validity and reliability of existing assessment tools was</w:t>
      </w:r>
      <w:r w:rsidR="008E7139" w:rsidRPr="00026AA4">
        <w:rPr>
          <w:rFonts w:ascii="Arial" w:eastAsia="Calibri" w:hAnsi="Arial" w:cs="Arial"/>
          <w:sz w:val="24"/>
          <w:szCs w:val="24"/>
        </w:rPr>
        <w:t xml:space="preserve"> reported, especially the latter.</w:t>
      </w:r>
      <w:r w:rsidRPr="00026AA4">
        <w:rPr>
          <w:rFonts w:ascii="Arial" w:eastAsia="Calibri" w:hAnsi="Arial" w:cs="Arial"/>
          <w:sz w:val="24"/>
          <w:szCs w:val="24"/>
        </w:rPr>
        <w:t xml:space="preserve"> Midwifery participants</w:t>
      </w:r>
      <w:r w:rsidR="00612403" w:rsidRPr="00026AA4">
        <w:rPr>
          <w:rFonts w:ascii="Arial" w:eastAsia="Calibri" w:hAnsi="Arial" w:cs="Arial"/>
          <w:sz w:val="24"/>
          <w:szCs w:val="24"/>
        </w:rPr>
        <w:t xml:space="preserve"> (48.51%)</w:t>
      </w:r>
      <w:r w:rsidRPr="00026AA4">
        <w:rPr>
          <w:rFonts w:ascii="Arial" w:eastAsia="Calibri" w:hAnsi="Arial" w:cs="Arial"/>
          <w:sz w:val="24"/>
          <w:szCs w:val="24"/>
        </w:rPr>
        <w:t xml:space="preserve"> were more confident in their existing assessment tools than nursing counterparts</w:t>
      </w:r>
      <w:r w:rsidR="00612403" w:rsidRPr="00026AA4">
        <w:rPr>
          <w:rFonts w:ascii="Arial" w:eastAsia="Calibri" w:hAnsi="Arial" w:cs="Arial"/>
          <w:sz w:val="24"/>
          <w:szCs w:val="24"/>
        </w:rPr>
        <w:t xml:space="preserve"> (27.78%)</w:t>
      </w:r>
      <w:r w:rsidRPr="00026AA4">
        <w:rPr>
          <w:rFonts w:ascii="Arial" w:eastAsia="Calibri" w:hAnsi="Arial" w:cs="Arial"/>
          <w:sz w:val="24"/>
          <w:szCs w:val="24"/>
        </w:rPr>
        <w:t xml:space="preserve">; clinicians in both professions were the most </w:t>
      </w:r>
      <w:r w:rsidR="00612403" w:rsidRPr="00026AA4">
        <w:rPr>
          <w:rFonts w:ascii="Arial" w:eastAsia="Calibri" w:hAnsi="Arial" w:cs="Arial"/>
          <w:sz w:val="24"/>
          <w:szCs w:val="24"/>
        </w:rPr>
        <w:t>confident and students the least</w:t>
      </w:r>
      <w:r w:rsidRPr="00026AA4">
        <w:rPr>
          <w:rFonts w:ascii="Arial" w:eastAsia="Calibri" w:hAnsi="Arial" w:cs="Arial"/>
          <w:sz w:val="24"/>
          <w:szCs w:val="24"/>
        </w:rPr>
        <w:t xml:space="preserve">. </w:t>
      </w:r>
    </w:p>
    <w:p w:rsidR="00612403" w:rsidRPr="00026AA4" w:rsidRDefault="00612403" w:rsidP="00E43757">
      <w:pPr>
        <w:spacing w:after="0" w:line="480" w:lineRule="auto"/>
        <w:jc w:val="both"/>
        <w:rPr>
          <w:rFonts w:ascii="Arial" w:eastAsia="Calibri" w:hAnsi="Arial" w:cs="Arial"/>
          <w:sz w:val="24"/>
          <w:szCs w:val="24"/>
        </w:rPr>
      </w:pPr>
    </w:p>
    <w:p w:rsidR="0003515B" w:rsidRPr="00026AA4" w:rsidRDefault="00E43757" w:rsidP="00E43757">
      <w:pPr>
        <w:spacing w:after="0" w:line="480" w:lineRule="auto"/>
        <w:jc w:val="both"/>
        <w:rPr>
          <w:rFonts w:ascii="Arial" w:eastAsia="Calibri" w:hAnsi="Arial" w:cs="Arial"/>
          <w:sz w:val="24"/>
          <w:szCs w:val="24"/>
        </w:rPr>
      </w:pPr>
      <w:r w:rsidRPr="00026AA4">
        <w:rPr>
          <w:rFonts w:ascii="Arial" w:eastAsia="Calibri" w:hAnsi="Arial" w:cs="Arial"/>
          <w:sz w:val="24"/>
          <w:szCs w:val="24"/>
        </w:rPr>
        <w:t xml:space="preserve">Participants were generally </w:t>
      </w:r>
      <w:r w:rsidR="0003515B" w:rsidRPr="00026AA4">
        <w:rPr>
          <w:rFonts w:ascii="Arial" w:eastAsia="Calibri" w:hAnsi="Arial" w:cs="Arial"/>
          <w:sz w:val="24"/>
          <w:szCs w:val="24"/>
        </w:rPr>
        <w:t>positive about the contribution of o</w:t>
      </w:r>
      <w:r w:rsidR="003834AA" w:rsidRPr="00026AA4">
        <w:rPr>
          <w:rFonts w:ascii="Arial" w:eastAsia="Calibri" w:hAnsi="Arial" w:cs="Arial"/>
          <w:sz w:val="24"/>
          <w:szCs w:val="24"/>
        </w:rPr>
        <w:t>thers to the assessment process</w:t>
      </w:r>
      <w:r w:rsidR="0003515B" w:rsidRPr="00026AA4">
        <w:rPr>
          <w:rFonts w:ascii="Arial" w:eastAsia="Calibri" w:hAnsi="Arial" w:cs="Arial"/>
          <w:sz w:val="24"/>
          <w:szCs w:val="24"/>
        </w:rPr>
        <w:t>,</w:t>
      </w:r>
      <w:r w:rsidR="003834AA" w:rsidRPr="00026AA4">
        <w:rPr>
          <w:rFonts w:ascii="Arial" w:eastAsia="Calibri" w:hAnsi="Arial" w:cs="Arial"/>
          <w:sz w:val="24"/>
          <w:szCs w:val="24"/>
        </w:rPr>
        <w:t xml:space="preserve"> although</w:t>
      </w:r>
      <w:r w:rsidR="0003515B" w:rsidRPr="00026AA4">
        <w:rPr>
          <w:rFonts w:ascii="Arial" w:eastAsia="Calibri" w:hAnsi="Arial" w:cs="Arial"/>
          <w:sz w:val="24"/>
          <w:szCs w:val="24"/>
        </w:rPr>
        <w:t xml:space="preserve"> five midwifery participants suggested that </w:t>
      </w:r>
      <w:r w:rsidR="00395C8C" w:rsidRPr="00026AA4">
        <w:rPr>
          <w:rFonts w:ascii="Arial" w:eastAsia="Calibri" w:hAnsi="Arial" w:cs="Arial"/>
          <w:sz w:val="24"/>
          <w:szCs w:val="24"/>
        </w:rPr>
        <w:t>fewer people should be involved.</w:t>
      </w:r>
      <w:r w:rsidR="0003515B" w:rsidRPr="00026AA4">
        <w:rPr>
          <w:rFonts w:ascii="Arial" w:eastAsia="Calibri" w:hAnsi="Arial" w:cs="Arial"/>
          <w:sz w:val="24"/>
          <w:szCs w:val="24"/>
        </w:rPr>
        <w:t xml:space="preserve"> </w:t>
      </w:r>
      <w:r w:rsidR="00B10808" w:rsidRPr="00026AA4">
        <w:rPr>
          <w:rFonts w:ascii="Arial" w:eastAsia="Calibri" w:hAnsi="Arial" w:cs="Arial"/>
          <w:sz w:val="24"/>
          <w:szCs w:val="24"/>
        </w:rPr>
        <w:t>Nursing parti</w:t>
      </w:r>
      <w:r w:rsidR="00395C8C" w:rsidRPr="00026AA4">
        <w:rPr>
          <w:rFonts w:ascii="Arial" w:eastAsia="Calibri" w:hAnsi="Arial" w:cs="Arial"/>
          <w:sz w:val="24"/>
          <w:szCs w:val="24"/>
        </w:rPr>
        <w:t>cipants were particularly keen</w:t>
      </w:r>
      <w:r w:rsidR="00B10808" w:rsidRPr="00026AA4">
        <w:rPr>
          <w:rFonts w:ascii="Arial" w:eastAsia="Calibri" w:hAnsi="Arial" w:cs="Arial"/>
          <w:sz w:val="24"/>
          <w:szCs w:val="24"/>
        </w:rPr>
        <w:t xml:space="preserve"> </w:t>
      </w:r>
      <w:r w:rsidR="003834AA" w:rsidRPr="00026AA4">
        <w:rPr>
          <w:rFonts w:ascii="Arial" w:eastAsia="Calibri" w:hAnsi="Arial" w:cs="Arial"/>
          <w:sz w:val="24"/>
          <w:szCs w:val="24"/>
        </w:rPr>
        <w:t xml:space="preserve">for </w:t>
      </w:r>
      <w:r w:rsidR="00B10808" w:rsidRPr="00026AA4">
        <w:rPr>
          <w:rFonts w:ascii="Arial" w:eastAsia="Calibri" w:hAnsi="Arial" w:cs="Arial"/>
          <w:sz w:val="24"/>
          <w:szCs w:val="24"/>
        </w:rPr>
        <w:t>additional people</w:t>
      </w:r>
      <w:r w:rsidR="003834AA" w:rsidRPr="00026AA4">
        <w:rPr>
          <w:rFonts w:ascii="Arial" w:eastAsia="Calibri" w:hAnsi="Arial" w:cs="Arial"/>
          <w:sz w:val="24"/>
          <w:szCs w:val="24"/>
        </w:rPr>
        <w:t xml:space="preserve"> to contribute</w:t>
      </w:r>
      <w:r w:rsidR="00B10808" w:rsidRPr="00026AA4">
        <w:rPr>
          <w:rFonts w:ascii="Arial" w:eastAsia="Calibri" w:hAnsi="Arial" w:cs="Arial"/>
          <w:sz w:val="24"/>
          <w:szCs w:val="24"/>
        </w:rPr>
        <w:t xml:space="preserve"> to practice assessment.</w:t>
      </w:r>
    </w:p>
    <w:p w:rsidR="0003515B" w:rsidRPr="00026AA4" w:rsidRDefault="0003515B" w:rsidP="00E43757">
      <w:pPr>
        <w:spacing w:after="0" w:line="480" w:lineRule="auto"/>
        <w:ind w:left="1440" w:hanging="720"/>
        <w:jc w:val="both"/>
        <w:rPr>
          <w:rFonts w:ascii="Arial" w:eastAsia="Calibri" w:hAnsi="Arial" w:cs="Arial"/>
          <w:sz w:val="24"/>
          <w:szCs w:val="24"/>
        </w:rPr>
      </w:pPr>
    </w:p>
    <w:p w:rsidR="00B10808" w:rsidRPr="00026AA4" w:rsidRDefault="00395C8C" w:rsidP="00B10808">
      <w:pPr>
        <w:spacing w:after="0" w:line="480" w:lineRule="auto"/>
        <w:contextualSpacing/>
        <w:jc w:val="both"/>
        <w:rPr>
          <w:rFonts w:ascii="Arial" w:hAnsi="Arial" w:cs="Arial"/>
          <w:i/>
          <w:sz w:val="24"/>
          <w:szCs w:val="24"/>
          <w:lang w:eastAsia="en-GB"/>
        </w:rPr>
      </w:pPr>
      <w:r w:rsidRPr="00026AA4">
        <w:rPr>
          <w:rFonts w:ascii="Arial" w:hAnsi="Arial" w:cs="Arial"/>
          <w:sz w:val="24"/>
          <w:szCs w:val="24"/>
          <w:lang w:eastAsia="en-GB"/>
        </w:rPr>
        <w:t xml:space="preserve">A total of 55.88% participants agreed with the statement that </w:t>
      </w:r>
      <w:r w:rsidRPr="00026AA4">
        <w:rPr>
          <w:rFonts w:ascii="Arial" w:hAnsi="Arial" w:cs="Arial"/>
          <w:i/>
          <w:sz w:val="24"/>
          <w:szCs w:val="24"/>
          <w:lang w:eastAsia="en-GB"/>
        </w:rPr>
        <w:t>‘wording needs to be clearer/ less ambiguous’</w:t>
      </w:r>
      <w:r w:rsidRPr="00026AA4">
        <w:rPr>
          <w:rFonts w:ascii="Arial" w:hAnsi="Arial" w:cs="Arial"/>
          <w:sz w:val="24"/>
          <w:szCs w:val="24"/>
          <w:lang w:eastAsia="en-GB"/>
        </w:rPr>
        <w:t>, however this</w:t>
      </w:r>
      <w:r w:rsidR="0003515B" w:rsidRPr="00026AA4">
        <w:rPr>
          <w:rFonts w:ascii="Arial" w:hAnsi="Arial" w:cs="Arial"/>
          <w:sz w:val="24"/>
          <w:szCs w:val="24"/>
          <w:lang w:eastAsia="en-GB"/>
        </w:rPr>
        <w:t xml:space="preserve"> was </w:t>
      </w:r>
      <w:r w:rsidR="003834AA" w:rsidRPr="00026AA4">
        <w:rPr>
          <w:rFonts w:ascii="Arial" w:hAnsi="Arial" w:cs="Arial"/>
          <w:sz w:val="24"/>
          <w:szCs w:val="24"/>
          <w:lang w:eastAsia="en-GB"/>
        </w:rPr>
        <w:t xml:space="preserve">rated by more </w:t>
      </w:r>
      <w:r w:rsidR="0003515B" w:rsidRPr="00026AA4">
        <w:rPr>
          <w:rFonts w:ascii="Arial" w:hAnsi="Arial" w:cs="Arial"/>
          <w:sz w:val="24"/>
          <w:szCs w:val="24"/>
          <w:lang w:eastAsia="en-GB"/>
        </w:rPr>
        <w:t>clinici</w:t>
      </w:r>
      <w:r w:rsidR="00612403" w:rsidRPr="00026AA4">
        <w:rPr>
          <w:rFonts w:ascii="Arial" w:hAnsi="Arial" w:cs="Arial"/>
          <w:sz w:val="24"/>
          <w:szCs w:val="24"/>
          <w:lang w:eastAsia="en-GB"/>
        </w:rPr>
        <w:t xml:space="preserve">ans and students than academics. Of the total participants, 58.82% identified that </w:t>
      </w:r>
      <w:r w:rsidR="00E43757" w:rsidRPr="00026AA4">
        <w:rPr>
          <w:rFonts w:ascii="Arial" w:hAnsi="Arial" w:cs="Arial"/>
          <w:i/>
          <w:sz w:val="24"/>
          <w:szCs w:val="24"/>
          <w:lang w:eastAsia="en-GB"/>
        </w:rPr>
        <w:t>‘</w:t>
      </w:r>
      <w:r w:rsidR="00612403" w:rsidRPr="00026AA4">
        <w:rPr>
          <w:rFonts w:ascii="Arial" w:hAnsi="Arial" w:cs="Arial"/>
          <w:i/>
          <w:sz w:val="24"/>
          <w:szCs w:val="24"/>
          <w:lang w:eastAsia="en-GB"/>
        </w:rPr>
        <w:t>there needs to be a clearer written explanation of how to award the grade/ identify the level of performance</w:t>
      </w:r>
      <w:r w:rsidR="00E43757" w:rsidRPr="00026AA4">
        <w:rPr>
          <w:rFonts w:ascii="Arial" w:hAnsi="Arial" w:cs="Arial"/>
          <w:i/>
          <w:sz w:val="24"/>
          <w:szCs w:val="24"/>
          <w:lang w:eastAsia="en-GB"/>
        </w:rPr>
        <w:t>’</w:t>
      </w:r>
      <w:r w:rsidR="00B10808" w:rsidRPr="00026AA4">
        <w:rPr>
          <w:rFonts w:ascii="Arial" w:hAnsi="Arial" w:cs="Arial"/>
          <w:i/>
          <w:sz w:val="24"/>
          <w:szCs w:val="24"/>
          <w:lang w:eastAsia="en-GB"/>
        </w:rPr>
        <w:t>:</w:t>
      </w:r>
    </w:p>
    <w:p w:rsidR="00B10808" w:rsidRPr="00026AA4" w:rsidRDefault="00B10808" w:rsidP="009A4041">
      <w:pPr>
        <w:spacing w:after="0" w:line="480" w:lineRule="auto"/>
        <w:ind w:left="720"/>
        <w:contextualSpacing/>
        <w:jc w:val="both"/>
        <w:rPr>
          <w:rFonts w:ascii="Arial" w:hAnsi="Arial" w:cs="Arial"/>
          <w:i/>
          <w:iCs/>
          <w:sz w:val="20"/>
          <w:szCs w:val="20"/>
          <w:lang w:eastAsia="en-GB"/>
        </w:rPr>
      </w:pPr>
      <w:r w:rsidRPr="00026AA4">
        <w:rPr>
          <w:rFonts w:ascii="Arial" w:hAnsi="Arial" w:cs="Arial"/>
          <w:i/>
          <w:iCs/>
          <w:sz w:val="20"/>
          <w:szCs w:val="20"/>
          <w:lang w:eastAsia="en-GB"/>
        </w:rPr>
        <w:t>“Reliability can be impaired by individual differences of opinion. In order to i</w:t>
      </w:r>
      <w:r w:rsidR="003834AA" w:rsidRPr="00026AA4">
        <w:rPr>
          <w:rFonts w:ascii="Arial" w:hAnsi="Arial" w:cs="Arial"/>
          <w:i/>
          <w:iCs/>
          <w:sz w:val="20"/>
          <w:szCs w:val="20"/>
          <w:lang w:eastAsia="en-GB"/>
        </w:rPr>
        <w:t xml:space="preserve">mprove this, </w:t>
      </w:r>
      <w:r w:rsidRPr="00026AA4">
        <w:rPr>
          <w:rFonts w:ascii="Arial" w:hAnsi="Arial" w:cs="Arial"/>
          <w:i/>
          <w:iCs/>
          <w:sz w:val="20"/>
          <w:szCs w:val="20"/>
          <w:lang w:eastAsia="en-GB"/>
        </w:rPr>
        <w:t>the documentation needs to be more robust with less subjective areas – however, this is difficult as we are dealing with individuals and a lot of potential variables.” (RMA62)</w:t>
      </w:r>
    </w:p>
    <w:p w:rsidR="00B10808" w:rsidRPr="00026AA4" w:rsidRDefault="00B10808" w:rsidP="00B10808">
      <w:pPr>
        <w:spacing w:after="0" w:line="480" w:lineRule="auto"/>
        <w:contextualSpacing/>
        <w:jc w:val="both"/>
        <w:rPr>
          <w:rFonts w:ascii="Arial" w:hAnsi="Arial" w:cs="Arial"/>
          <w:i/>
          <w:sz w:val="24"/>
          <w:szCs w:val="24"/>
          <w:lang w:eastAsia="en-GB"/>
        </w:rPr>
      </w:pPr>
    </w:p>
    <w:p w:rsidR="0003515B" w:rsidRPr="00026AA4" w:rsidRDefault="00395C8C" w:rsidP="00B10808">
      <w:pPr>
        <w:spacing w:after="0" w:line="480" w:lineRule="auto"/>
        <w:contextualSpacing/>
        <w:jc w:val="both"/>
        <w:rPr>
          <w:rFonts w:ascii="Arial" w:hAnsi="Arial" w:cs="Arial"/>
          <w:sz w:val="24"/>
          <w:szCs w:val="24"/>
          <w:lang w:eastAsia="en-GB"/>
        </w:rPr>
      </w:pPr>
      <w:r w:rsidRPr="00026AA4">
        <w:rPr>
          <w:rFonts w:ascii="Arial" w:hAnsi="Arial" w:cs="Arial"/>
          <w:i/>
          <w:sz w:val="24"/>
          <w:szCs w:val="24"/>
          <w:lang w:eastAsia="en-GB"/>
        </w:rPr>
        <w:lastRenderedPageBreak/>
        <w:t>‘M</w:t>
      </w:r>
      <w:r w:rsidR="00E43757" w:rsidRPr="00026AA4">
        <w:rPr>
          <w:rFonts w:ascii="Arial" w:hAnsi="Arial" w:cs="Arial"/>
          <w:i/>
          <w:sz w:val="24"/>
          <w:szCs w:val="24"/>
          <w:lang w:eastAsia="en-GB"/>
        </w:rPr>
        <w:t xml:space="preserve">ore preparation is needed for those who are assessing practice’ </w:t>
      </w:r>
      <w:r w:rsidRPr="00026AA4">
        <w:rPr>
          <w:rFonts w:ascii="Arial" w:hAnsi="Arial" w:cs="Arial"/>
          <w:sz w:val="24"/>
          <w:szCs w:val="24"/>
          <w:lang w:eastAsia="en-GB"/>
        </w:rPr>
        <w:t>was also popular (N= 55.29%), particularly with academics (53.13</w:t>
      </w:r>
      <w:r w:rsidR="00E43757" w:rsidRPr="00026AA4">
        <w:rPr>
          <w:rFonts w:ascii="Arial" w:hAnsi="Arial" w:cs="Arial"/>
          <w:sz w:val="24"/>
          <w:szCs w:val="24"/>
          <w:lang w:eastAsia="en-GB"/>
        </w:rPr>
        <w:t>%</w:t>
      </w:r>
      <w:r w:rsidRPr="00026AA4">
        <w:rPr>
          <w:rFonts w:ascii="Arial" w:hAnsi="Arial" w:cs="Arial"/>
          <w:sz w:val="24"/>
          <w:szCs w:val="24"/>
          <w:lang w:eastAsia="en-GB"/>
        </w:rPr>
        <w:t xml:space="preserve"> midwifery and 80% nursing</w:t>
      </w:r>
      <w:r w:rsidR="00E43757" w:rsidRPr="00026AA4">
        <w:rPr>
          <w:rFonts w:ascii="Arial" w:hAnsi="Arial" w:cs="Arial"/>
          <w:sz w:val="24"/>
          <w:szCs w:val="24"/>
          <w:lang w:eastAsia="en-GB"/>
        </w:rPr>
        <w:t>).</w:t>
      </w:r>
      <w:r w:rsidR="00B10808" w:rsidRPr="00026AA4">
        <w:rPr>
          <w:rFonts w:ascii="Arial" w:hAnsi="Arial" w:cs="Arial"/>
          <w:sz w:val="24"/>
          <w:szCs w:val="24"/>
          <w:lang w:eastAsia="en-GB"/>
        </w:rPr>
        <w:t xml:space="preserve"> I</w:t>
      </w:r>
      <w:r w:rsidRPr="00026AA4">
        <w:rPr>
          <w:rFonts w:ascii="Arial" w:hAnsi="Arial" w:cs="Arial"/>
          <w:sz w:val="24"/>
          <w:szCs w:val="24"/>
          <w:lang w:eastAsia="en-GB"/>
        </w:rPr>
        <w:t xml:space="preserve">t was suggested that </w:t>
      </w:r>
      <w:r w:rsidR="003834AA" w:rsidRPr="00026AA4">
        <w:rPr>
          <w:rFonts w:ascii="Arial" w:hAnsi="Arial" w:cs="Arial"/>
          <w:sz w:val="24"/>
          <w:szCs w:val="24"/>
          <w:lang w:eastAsia="en-GB"/>
        </w:rPr>
        <w:t>constant reinforcement</w:t>
      </w:r>
      <w:r w:rsidR="00B10808" w:rsidRPr="00026AA4">
        <w:rPr>
          <w:rFonts w:ascii="Arial" w:hAnsi="Arial" w:cs="Arial"/>
          <w:sz w:val="24"/>
          <w:szCs w:val="24"/>
          <w:lang w:eastAsia="en-GB"/>
        </w:rPr>
        <w:t xml:space="preserve"> could reduce variations in grading. It was also highlighted that mentors needed </w:t>
      </w:r>
      <w:r w:rsidR="0003515B" w:rsidRPr="00026AA4">
        <w:rPr>
          <w:rFonts w:ascii="Arial" w:hAnsi="Arial" w:cs="Arial"/>
          <w:sz w:val="24"/>
          <w:szCs w:val="24"/>
          <w:lang w:eastAsia="en-GB"/>
        </w:rPr>
        <w:t>to understand the importance of assessing the student’s abilities at that point in their programme</w:t>
      </w:r>
      <w:r w:rsidR="00B10808" w:rsidRPr="00026AA4">
        <w:rPr>
          <w:rFonts w:ascii="Arial" w:hAnsi="Arial" w:cs="Arial"/>
          <w:sz w:val="24"/>
          <w:szCs w:val="24"/>
          <w:lang w:eastAsia="en-GB"/>
        </w:rPr>
        <w:t xml:space="preserve"> and not as a qualified midwife:</w:t>
      </w:r>
    </w:p>
    <w:p w:rsidR="009A4041" w:rsidRPr="00026AA4" w:rsidRDefault="00B10808" w:rsidP="009A4041">
      <w:pPr>
        <w:spacing w:after="0" w:line="480" w:lineRule="auto"/>
        <w:ind w:left="720"/>
        <w:contextualSpacing/>
        <w:jc w:val="both"/>
        <w:rPr>
          <w:rFonts w:ascii="Arial" w:hAnsi="Arial" w:cs="Arial"/>
          <w:i/>
          <w:iCs/>
          <w:sz w:val="20"/>
          <w:szCs w:val="20"/>
          <w:lang w:eastAsia="en-GB"/>
        </w:rPr>
      </w:pPr>
      <w:r w:rsidRPr="00026AA4">
        <w:rPr>
          <w:rFonts w:ascii="Arial" w:hAnsi="Arial" w:cs="Arial"/>
          <w:i/>
          <w:iCs/>
          <w:sz w:val="20"/>
          <w:szCs w:val="20"/>
          <w:lang w:eastAsia="en-GB"/>
        </w:rPr>
        <w:t>“Some mentors are unaware of how the grading criteria should be applied to students</w:t>
      </w:r>
      <w:r w:rsidR="009A4041" w:rsidRPr="00026AA4">
        <w:rPr>
          <w:rFonts w:ascii="Arial" w:hAnsi="Arial" w:cs="Arial"/>
          <w:i/>
          <w:iCs/>
          <w:sz w:val="20"/>
          <w:szCs w:val="20"/>
          <w:lang w:eastAsia="en-GB"/>
        </w:rPr>
        <w:t>’</w:t>
      </w:r>
      <w:r w:rsidRPr="00026AA4">
        <w:rPr>
          <w:rFonts w:ascii="Arial" w:hAnsi="Arial" w:cs="Arial"/>
          <w:i/>
          <w:iCs/>
          <w:sz w:val="20"/>
          <w:szCs w:val="20"/>
          <w:lang w:eastAsia="en-GB"/>
        </w:rPr>
        <w:t xml:space="preserve"> clinical practice therefore grading students lower in first year thinking they are unable to achieve a high grade.”(SM39)</w:t>
      </w:r>
    </w:p>
    <w:p w:rsidR="009A4041" w:rsidRPr="00026AA4" w:rsidRDefault="009A4041" w:rsidP="00F62C0E">
      <w:pPr>
        <w:spacing w:after="0" w:line="480" w:lineRule="auto"/>
        <w:contextualSpacing/>
        <w:jc w:val="both"/>
        <w:rPr>
          <w:rFonts w:ascii="Arial" w:hAnsi="Arial" w:cs="Arial"/>
          <w:i/>
          <w:iCs/>
          <w:sz w:val="20"/>
          <w:szCs w:val="20"/>
          <w:lang w:eastAsia="en-GB"/>
        </w:rPr>
      </w:pPr>
    </w:p>
    <w:p w:rsidR="0003515B" w:rsidRPr="009A4041" w:rsidRDefault="003834AA" w:rsidP="009A4041">
      <w:pPr>
        <w:spacing w:after="0" w:line="480" w:lineRule="auto"/>
        <w:contextualSpacing/>
        <w:jc w:val="both"/>
        <w:rPr>
          <w:rFonts w:ascii="Arial" w:eastAsia="Calibri" w:hAnsi="Arial" w:cs="Arial"/>
          <w:sz w:val="24"/>
          <w:szCs w:val="24"/>
        </w:rPr>
      </w:pPr>
      <w:r w:rsidRPr="00026AA4">
        <w:rPr>
          <w:rFonts w:ascii="Arial" w:eastAsia="Calibri" w:hAnsi="Arial" w:cs="Arial"/>
          <w:sz w:val="24"/>
          <w:szCs w:val="24"/>
        </w:rPr>
        <w:t>F</w:t>
      </w:r>
      <w:r w:rsidR="0003515B" w:rsidRPr="00026AA4">
        <w:rPr>
          <w:rFonts w:ascii="Arial" w:eastAsia="Calibri" w:hAnsi="Arial" w:cs="Arial"/>
          <w:sz w:val="24"/>
          <w:szCs w:val="24"/>
        </w:rPr>
        <w:t>actors which may contribute to a more reliable and valid assessment</w:t>
      </w:r>
      <w:r w:rsidR="00395C8C" w:rsidRPr="00026AA4">
        <w:rPr>
          <w:rFonts w:ascii="Arial" w:eastAsia="Calibri" w:hAnsi="Arial" w:cs="Arial"/>
          <w:sz w:val="24"/>
          <w:szCs w:val="24"/>
        </w:rPr>
        <w:t>, drawn predominantly from the core principles in the second phase of the project (Authors, 2017b)</w:t>
      </w:r>
      <w:r w:rsidRPr="00026AA4">
        <w:rPr>
          <w:rFonts w:ascii="Arial" w:eastAsia="Calibri" w:hAnsi="Arial" w:cs="Arial"/>
          <w:sz w:val="24"/>
          <w:szCs w:val="24"/>
        </w:rPr>
        <w:t>, were ranked</w:t>
      </w:r>
      <w:r w:rsidR="009A4041" w:rsidRPr="00026AA4">
        <w:rPr>
          <w:rFonts w:ascii="Arial" w:eastAsia="Calibri" w:hAnsi="Arial" w:cs="Arial"/>
          <w:i/>
          <w:sz w:val="24"/>
          <w:szCs w:val="24"/>
        </w:rPr>
        <w:t xml:space="preserve"> </w:t>
      </w:r>
      <w:r w:rsidRPr="00026AA4">
        <w:rPr>
          <w:rFonts w:ascii="Arial" w:eastAsia="Calibri" w:hAnsi="Arial" w:cs="Arial"/>
          <w:sz w:val="24"/>
          <w:szCs w:val="24"/>
        </w:rPr>
        <w:t>as</w:t>
      </w:r>
      <w:r w:rsidR="00395C8C" w:rsidRPr="00026AA4">
        <w:rPr>
          <w:rFonts w:ascii="Arial" w:eastAsia="Calibri" w:hAnsi="Arial" w:cs="Arial"/>
          <w:sz w:val="24"/>
          <w:szCs w:val="24"/>
        </w:rPr>
        <w:t xml:space="preserve"> shown</w:t>
      </w:r>
      <w:r w:rsidR="009A4041" w:rsidRPr="00026AA4">
        <w:rPr>
          <w:rFonts w:ascii="Arial" w:eastAsia="Calibri" w:hAnsi="Arial" w:cs="Arial"/>
          <w:sz w:val="24"/>
          <w:szCs w:val="24"/>
        </w:rPr>
        <w:t xml:space="preserve"> in </w:t>
      </w:r>
      <w:r w:rsidR="009A4041" w:rsidRPr="00026AA4">
        <w:rPr>
          <w:rFonts w:ascii="Arial" w:eastAsia="Calibri" w:hAnsi="Arial" w:cs="Arial"/>
          <w:i/>
          <w:sz w:val="24"/>
          <w:szCs w:val="24"/>
        </w:rPr>
        <w:t>Table 5</w:t>
      </w:r>
      <w:r w:rsidR="009A4041" w:rsidRPr="00026AA4">
        <w:rPr>
          <w:rFonts w:ascii="Arial" w:eastAsia="Calibri" w:hAnsi="Arial" w:cs="Arial"/>
          <w:sz w:val="24"/>
          <w:szCs w:val="24"/>
        </w:rPr>
        <w:t>.</w:t>
      </w:r>
    </w:p>
    <w:tbl>
      <w:tblPr>
        <w:tblStyle w:val="TableGrid"/>
        <w:tblW w:w="9852" w:type="dxa"/>
        <w:tblLayout w:type="fixed"/>
        <w:tblLook w:val="04A0" w:firstRow="1" w:lastRow="0" w:firstColumn="1" w:lastColumn="0" w:noHBand="0" w:noVBand="1"/>
      </w:tblPr>
      <w:tblGrid>
        <w:gridCol w:w="5910"/>
        <w:gridCol w:w="1213"/>
        <w:gridCol w:w="1516"/>
        <w:gridCol w:w="1213"/>
      </w:tblGrid>
      <w:tr w:rsidR="009A4041" w:rsidTr="00FE1685">
        <w:trPr>
          <w:trHeight w:val="482"/>
        </w:trPr>
        <w:tc>
          <w:tcPr>
            <w:tcW w:w="5910" w:type="dxa"/>
            <w:shd w:val="clear" w:color="auto" w:fill="auto"/>
          </w:tcPr>
          <w:p w:rsidR="009A4041" w:rsidRPr="00776210" w:rsidRDefault="009A4041" w:rsidP="008E420D">
            <w:pPr>
              <w:jc w:val="center"/>
              <w:rPr>
                <w:b/>
                <w:sz w:val="21"/>
                <w:szCs w:val="21"/>
                <w:lang w:eastAsia="en-GB"/>
              </w:rPr>
            </w:pPr>
            <w:r w:rsidRPr="00776210">
              <w:rPr>
                <w:b/>
                <w:sz w:val="21"/>
                <w:szCs w:val="21"/>
                <w:lang w:eastAsia="en-GB"/>
              </w:rPr>
              <w:t>STATEMENTS</w:t>
            </w:r>
          </w:p>
        </w:tc>
        <w:tc>
          <w:tcPr>
            <w:tcW w:w="1213" w:type="dxa"/>
            <w:shd w:val="clear" w:color="auto" w:fill="auto"/>
          </w:tcPr>
          <w:p w:rsidR="009A4041" w:rsidRPr="00776210" w:rsidRDefault="009A4041" w:rsidP="008E420D">
            <w:pPr>
              <w:jc w:val="center"/>
              <w:rPr>
                <w:b/>
                <w:sz w:val="21"/>
                <w:szCs w:val="21"/>
                <w:lang w:eastAsia="en-GB"/>
              </w:rPr>
            </w:pPr>
            <w:r w:rsidRPr="00776210">
              <w:rPr>
                <w:b/>
                <w:sz w:val="21"/>
                <w:szCs w:val="21"/>
                <w:lang w:eastAsia="en-GB"/>
              </w:rPr>
              <w:t>OVERALL RANKING</w:t>
            </w:r>
          </w:p>
        </w:tc>
        <w:tc>
          <w:tcPr>
            <w:tcW w:w="1516" w:type="dxa"/>
            <w:shd w:val="clear" w:color="auto" w:fill="auto"/>
          </w:tcPr>
          <w:p w:rsidR="009A4041" w:rsidRPr="00776210" w:rsidRDefault="009A4041" w:rsidP="008E420D">
            <w:pPr>
              <w:jc w:val="center"/>
              <w:rPr>
                <w:b/>
                <w:sz w:val="21"/>
                <w:szCs w:val="21"/>
                <w:lang w:eastAsia="en-GB"/>
              </w:rPr>
            </w:pPr>
            <w:r w:rsidRPr="00776210">
              <w:rPr>
                <w:b/>
                <w:sz w:val="21"/>
                <w:szCs w:val="21"/>
                <w:lang w:eastAsia="en-GB"/>
              </w:rPr>
              <w:t>MIDWIFERY</w:t>
            </w:r>
          </w:p>
        </w:tc>
        <w:tc>
          <w:tcPr>
            <w:tcW w:w="1213" w:type="dxa"/>
            <w:shd w:val="clear" w:color="auto" w:fill="auto"/>
          </w:tcPr>
          <w:p w:rsidR="009A4041" w:rsidRPr="00776210" w:rsidRDefault="009A4041" w:rsidP="008E420D">
            <w:pPr>
              <w:jc w:val="center"/>
              <w:rPr>
                <w:b/>
                <w:sz w:val="21"/>
                <w:szCs w:val="21"/>
                <w:lang w:eastAsia="en-GB"/>
              </w:rPr>
            </w:pPr>
            <w:r w:rsidRPr="00776210">
              <w:rPr>
                <w:b/>
                <w:sz w:val="21"/>
                <w:szCs w:val="21"/>
                <w:lang w:eastAsia="en-GB"/>
              </w:rPr>
              <w:t>NURSING</w:t>
            </w:r>
          </w:p>
          <w:p w:rsidR="009A4041" w:rsidRPr="00776210" w:rsidRDefault="009A4041" w:rsidP="008E420D">
            <w:pPr>
              <w:jc w:val="center"/>
              <w:rPr>
                <w:sz w:val="21"/>
                <w:szCs w:val="21"/>
                <w:lang w:eastAsia="en-GB"/>
              </w:rPr>
            </w:pPr>
          </w:p>
        </w:tc>
      </w:tr>
      <w:tr w:rsidR="009A4041" w:rsidTr="00FE1685">
        <w:trPr>
          <w:trHeight w:val="964"/>
        </w:trPr>
        <w:tc>
          <w:tcPr>
            <w:tcW w:w="5910" w:type="dxa"/>
            <w:shd w:val="clear" w:color="auto" w:fill="auto"/>
          </w:tcPr>
          <w:p w:rsidR="009A4041" w:rsidRPr="00776210" w:rsidRDefault="009A4041" w:rsidP="008E420D">
            <w:pPr>
              <w:jc w:val="center"/>
              <w:rPr>
                <w:sz w:val="21"/>
                <w:szCs w:val="21"/>
                <w:lang w:eastAsia="en-GB"/>
              </w:rPr>
            </w:pPr>
            <w:r w:rsidRPr="00776210">
              <w:rPr>
                <w:sz w:val="21"/>
                <w:szCs w:val="21"/>
                <w:lang w:eastAsia="en-GB"/>
              </w:rPr>
              <w:t>The focus should be on objectively assessing the student’s performance in relation to knowledge, skills and personal attributes in the context of professional behaviour against set criteria, rather than just a subjective judgement of the individual</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1</w:t>
            </w:r>
          </w:p>
        </w:tc>
        <w:tc>
          <w:tcPr>
            <w:tcW w:w="1516" w:type="dxa"/>
            <w:shd w:val="clear" w:color="auto" w:fill="auto"/>
          </w:tcPr>
          <w:p w:rsidR="009A4041" w:rsidRPr="00776210" w:rsidRDefault="009A4041" w:rsidP="008E420D">
            <w:pPr>
              <w:jc w:val="center"/>
              <w:rPr>
                <w:sz w:val="21"/>
                <w:szCs w:val="21"/>
                <w:lang w:eastAsia="en-GB"/>
              </w:rPr>
            </w:pPr>
            <w:r w:rsidRPr="00776210">
              <w:rPr>
                <w:sz w:val="21"/>
                <w:szCs w:val="21"/>
                <w:lang w:eastAsia="en-GB"/>
              </w:rPr>
              <w:t>1</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1</w:t>
            </w:r>
          </w:p>
        </w:tc>
      </w:tr>
      <w:tr w:rsidR="009A4041" w:rsidTr="00FE1685">
        <w:trPr>
          <w:trHeight w:val="732"/>
        </w:trPr>
        <w:tc>
          <w:tcPr>
            <w:tcW w:w="5910" w:type="dxa"/>
            <w:shd w:val="clear" w:color="auto" w:fill="auto"/>
          </w:tcPr>
          <w:p w:rsidR="009A4041" w:rsidRPr="00776210" w:rsidRDefault="009A4041" w:rsidP="008E420D">
            <w:pPr>
              <w:jc w:val="center"/>
              <w:rPr>
                <w:sz w:val="21"/>
                <w:szCs w:val="21"/>
                <w:lang w:eastAsia="en-GB"/>
              </w:rPr>
            </w:pPr>
            <w:r w:rsidRPr="00776210">
              <w:rPr>
                <w:sz w:val="21"/>
                <w:szCs w:val="21"/>
                <w:lang w:eastAsia="en-GB"/>
              </w:rPr>
              <w:t>A clear set of statements needs to be provided, which is linked to specific grades/ descriptors/ symbols indicating level of performance (ie: a rubric)</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2</w:t>
            </w:r>
          </w:p>
        </w:tc>
        <w:tc>
          <w:tcPr>
            <w:tcW w:w="1516" w:type="dxa"/>
            <w:shd w:val="clear" w:color="auto" w:fill="auto"/>
          </w:tcPr>
          <w:p w:rsidR="009A4041" w:rsidRPr="00776210" w:rsidRDefault="009A4041" w:rsidP="008E420D">
            <w:pPr>
              <w:jc w:val="center"/>
              <w:rPr>
                <w:sz w:val="21"/>
                <w:szCs w:val="21"/>
                <w:lang w:eastAsia="en-GB"/>
              </w:rPr>
            </w:pPr>
            <w:r w:rsidRPr="00776210">
              <w:rPr>
                <w:sz w:val="21"/>
                <w:szCs w:val="21"/>
                <w:lang w:eastAsia="en-GB"/>
              </w:rPr>
              <w:t>2</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4</w:t>
            </w:r>
          </w:p>
        </w:tc>
      </w:tr>
      <w:tr w:rsidR="009A4041" w:rsidTr="00FE1685">
        <w:trPr>
          <w:trHeight w:val="482"/>
        </w:trPr>
        <w:tc>
          <w:tcPr>
            <w:tcW w:w="5910" w:type="dxa"/>
            <w:shd w:val="clear" w:color="auto" w:fill="auto"/>
          </w:tcPr>
          <w:p w:rsidR="009A4041" w:rsidRPr="00776210" w:rsidRDefault="009A4041" w:rsidP="008E420D">
            <w:pPr>
              <w:jc w:val="center"/>
              <w:rPr>
                <w:sz w:val="21"/>
                <w:szCs w:val="21"/>
                <w:lang w:eastAsia="en-GB"/>
              </w:rPr>
            </w:pPr>
            <w:r w:rsidRPr="00776210">
              <w:rPr>
                <w:sz w:val="21"/>
                <w:szCs w:val="21"/>
                <w:lang w:eastAsia="en-GB"/>
              </w:rPr>
              <w:t>The same assessment tool should be used nationally so that there is consistency</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3</w:t>
            </w:r>
          </w:p>
        </w:tc>
        <w:tc>
          <w:tcPr>
            <w:tcW w:w="1516" w:type="dxa"/>
            <w:shd w:val="clear" w:color="auto" w:fill="auto"/>
          </w:tcPr>
          <w:p w:rsidR="009A4041" w:rsidRPr="00776210" w:rsidRDefault="009A4041" w:rsidP="008E420D">
            <w:pPr>
              <w:jc w:val="center"/>
              <w:rPr>
                <w:sz w:val="21"/>
                <w:szCs w:val="21"/>
                <w:lang w:eastAsia="en-GB"/>
              </w:rPr>
            </w:pPr>
            <w:r w:rsidRPr="00776210">
              <w:rPr>
                <w:sz w:val="21"/>
                <w:szCs w:val="21"/>
                <w:lang w:eastAsia="en-GB"/>
              </w:rPr>
              <w:t>3</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2</w:t>
            </w:r>
          </w:p>
        </w:tc>
      </w:tr>
      <w:tr w:rsidR="009A4041" w:rsidTr="00FE1685">
        <w:trPr>
          <w:trHeight w:val="482"/>
        </w:trPr>
        <w:tc>
          <w:tcPr>
            <w:tcW w:w="5910" w:type="dxa"/>
            <w:shd w:val="clear" w:color="auto" w:fill="auto"/>
          </w:tcPr>
          <w:p w:rsidR="009A4041" w:rsidRPr="00776210" w:rsidRDefault="009A4041" w:rsidP="008E420D">
            <w:pPr>
              <w:jc w:val="center"/>
              <w:rPr>
                <w:sz w:val="21"/>
                <w:szCs w:val="21"/>
                <w:lang w:eastAsia="en-GB"/>
              </w:rPr>
            </w:pPr>
            <w:r w:rsidRPr="00776210">
              <w:rPr>
                <w:sz w:val="21"/>
                <w:szCs w:val="21"/>
                <w:lang w:eastAsia="en-GB"/>
              </w:rPr>
              <w:t>The assessment tool should be developed and reviewed by a team of key stakeholders (e.g.: clinicians, academics, students)</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4</w:t>
            </w:r>
          </w:p>
        </w:tc>
        <w:tc>
          <w:tcPr>
            <w:tcW w:w="1516" w:type="dxa"/>
            <w:shd w:val="clear" w:color="auto" w:fill="auto"/>
          </w:tcPr>
          <w:p w:rsidR="009A4041" w:rsidRPr="00776210" w:rsidRDefault="009A4041" w:rsidP="008E420D">
            <w:pPr>
              <w:jc w:val="center"/>
              <w:rPr>
                <w:sz w:val="21"/>
                <w:szCs w:val="21"/>
                <w:lang w:eastAsia="en-GB"/>
              </w:rPr>
            </w:pPr>
            <w:r w:rsidRPr="00776210">
              <w:rPr>
                <w:sz w:val="21"/>
                <w:szCs w:val="21"/>
                <w:lang w:eastAsia="en-GB"/>
              </w:rPr>
              <w:t>3</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3</w:t>
            </w:r>
          </w:p>
        </w:tc>
      </w:tr>
      <w:tr w:rsidR="009A4041" w:rsidTr="00FE1685">
        <w:trPr>
          <w:trHeight w:val="482"/>
        </w:trPr>
        <w:tc>
          <w:tcPr>
            <w:tcW w:w="5910" w:type="dxa"/>
            <w:shd w:val="clear" w:color="auto" w:fill="auto"/>
          </w:tcPr>
          <w:p w:rsidR="009A4041" w:rsidRPr="00776210" w:rsidRDefault="009A4041" w:rsidP="008E420D">
            <w:pPr>
              <w:jc w:val="center"/>
              <w:rPr>
                <w:sz w:val="21"/>
                <w:szCs w:val="21"/>
                <w:lang w:eastAsia="en-GB"/>
              </w:rPr>
            </w:pPr>
            <w:r w:rsidRPr="00776210">
              <w:rPr>
                <w:sz w:val="21"/>
                <w:szCs w:val="21"/>
                <w:lang w:eastAsia="en-GB"/>
              </w:rPr>
              <w:t>Academics should provide support to the clinicians who are responsible for assessing practice</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5</w:t>
            </w:r>
          </w:p>
        </w:tc>
        <w:tc>
          <w:tcPr>
            <w:tcW w:w="1516" w:type="dxa"/>
            <w:shd w:val="clear" w:color="auto" w:fill="auto"/>
          </w:tcPr>
          <w:p w:rsidR="009A4041" w:rsidRPr="00776210" w:rsidRDefault="009A4041" w:rsidP="008E420D">
            <w:pPr>
              <w:jc w:val="center"/>
              <w:rPr>
                <w:sz w:val="21"/>
                <w:szCs w:val="21"/>
                <w:lang w:eastAsia="en-GB"/>
              </w:rPr>
            </w:pPr>
            <w:r w:rsidRPr="00776210">
              <w:rPr>
                <w:sz w:val="21"/>
                <w:szCs w:val="21"/>
                <w:lang w:eastAsia="en-GB"/>
              </w:rPr>
              <w:t>5</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5</w:t>
            </w:r>
          </w:p>
        </w:tc>
      </w:tr>
      <w:tr w:rsidR="009A4041" w:rsidTr="00FE1685">
        <w:trPr>
          <w:trHeight w:val="232"/>
        </w:trPr>
        <w:tc>
          <w:tcPr>
            <w:tcW w:w="5910" w:type="dxa"/>
            <w:shd w:val="clear" w:color="auto" w:fill="auto"/>
          </w:tcPr>
          <w:p w:rsidR="009A4041" w:rsidRPr="00776210" w:rsidRDefault="009A4041" w:rsidP="008E420D">
            <w:pPr>
              <w:jc w:val="center"/>
              <w:rPr>
                <w:sz w:val="21"/>
                <w:szCs w:val="21"/>
                <w:lang w:eastAsia="en-GB"/>
              </w:rPr>
            </w:pPr>
            <w:r w:rsidRPr="00776210">
              <w:rPr>
                <w:sz w:val="21"/>
                <w:szCs w:val="21"/>
                <w:lang w:eastAsia="en-GB"/>
              </w:rPr>
              <w:t>Specific grades or symbols should be awarded, rather than pass/ refer</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6</w:t>
            </w:r>
          </w:p>
        </w:tc>
        <w:tc>
          <w:tcPr>
            <w:tcW w:w="1516" w:type="dxa"/>
            <w:shd w:val="clear" w:color="auto" w:fill="auto"/>
          </w:tcPr>
          <w:p w:rsidR="009A4041" w:rsidRPr="00776210" w:rsidRDefault="009A4041" w:rsidP="008E420D">
            <w:pPr>
              <w:jc w:val="center"/>
              <w:rPr>
                <w:sz w:val="21"/>
                <w:szCs w:val="21"/>
                <w:lang w:eastAsia="en-GB"/>
              </w:rPr>
            </w:pPr>
            <w:r w:rsidRPr="00776210">
              <w:rPr>
                <w:sz w:val="21"/>
                <w:szCs w:val="21"/>
                <w:lang w:eastAsia="en-GB"/>
              </w:rPr>
              <w:t>8</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6</w:t>
            </w:r>
          </w:p>
        </w:tc>
      </w:tr>
      <w:tr w:rsidR="009A4041" w:rsidTr="00FE1685">
        <w:trPr>
          <w:trHeight w:val="482"/>
        </w:trPr>
        <w:tc>
          <w:tcPr>
            <w:tcW w:w="5910" w:type="dxa"/>
            <w:shd w:val="clear" w:color="auto" w:fill="auto"/>
          </w:tcPr>
          <w:p w:rsidR="009A4041" w:rsidRPr="00776210" w:rsidRDefault="009A4041" w:rsidP="008E420D">
            <w:pPr>
              <w:jc w:val="center"/>
              <w:rPr>
                <w:sz w:val="21"/>
                <w:szCs w:val="21"/>
                <w:lang w:eastAsia="en-GB"/>
              </w:rPr>
            </w:pPr>
            <w:r w:rsidRPr="00776210">
              <w:rPr>
                <w:sz w:val="21"/>
                <w:szCs w:val="21"/>
                <w:lang w:eastAsia="en-GB"/>
              </w:rPr>
              <w:t>Those responsible for assessing students should apply the NMC Code (2015) to the process</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6</w:t>
            </w:r>
          </w:p>
        </w:tc>
        <w:tc>
          <w:tcPr>
            <w:tcW w:w="1516" w:type="dxa"/>
            <w:shd w:val="clear" w:color="auto" w:fill="auto"/>
          </w:tcPr>
          <w:p w:rsidR="009A4041" w:rsidRPr="00776210" w:rsidRDefault="009A4041" w:rsidP="008E420D">
            <w:pPr>
              <w:jc w:val="center"/>
              <w:rPr>
                <w:sz w:val="21"/>
                <w:szCs w:val="21"/>
                <w:lang w:eastAsia="en-GB"/>
              </w:rPr>
            </w:pPr>
            <w:r w:rsidRPr="00776210">
              <w:rPr>
                <w:sz w:val="21"/>
                <w:szCs w:val="21"/>
                <w:lang w:eastAsia="en-GB"/>
              </w:rPr>
              <w:t>7</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7</w:t>
            </w:r>
          </w:p>
        </w:tc>
      </w:tr>
      <w:tr w:rsidR="009A4041" w:rsidTr="00FE1685">
        <w:trPr>
          <w:trHeight w:val="232"/>
        </w:trPr>
        <w:tc>
          <w:tcPr>
            <w:tcW w:w="5910" w:type="dxa"/>
            <w:shd w:val="clear" w:color="auto" w:fill="auto"/>
          </w:tcPr>
          <w:p w:rsidR="009A4041" w:rsidRPr="00776210" w:rsidRDefault="009A4041" w:rsidP="008E420D">
            <w:pPr>
              <w:jc w:val="center"/>
              <w:rPr>
                <w:sz w:val="21"/>
                <w:szCs w:val="21"/>
                <w:lang w:eastAsia="en-GB"/>
              </w:rPr>
            </w:pPr>
            <w:r w:rsidRPr="00776210">
              <w:rPr>
                <w:sz w:val="21"/>
                <w:szCs w:val="21"/>
                <w:lang w:eastAsia="en-GB"/>
              </w:rPr>
              <w:t>Students should contribute to their own assessment</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6</w:t>
            </w:r>
          </w:p>
        </w:tc>
        <w:tc>
          <w:tcPr>
            <w:tcW w:w="1516" w:type="dxa"/>
            <w:shd w:val="clear" w:color="auto" w:fill="auto"/>
          </w:tcPr>
          <w:p w:rsidR="009A4041" w:rsidRPr="00776210" w:rsidRDefault="009A4041" w:rsidP="008E420D">
            <w:pPr>
              <w:jc w:val="center"/>
              <w:rPr>
                <w:sz w:val="21"/>
                <w:szCs w:val="21"/>
                <w:lang w:eastAsia="en-GB"/>
              </w:rPr>
            </w:pPr>
            <w:r w:rsidRPr="00776210">
              <w:rPr>
                <w:sz w:val="21"/>
                <w:szCs w:val="21"/>
                <w:lang w:eastAsia="en-GB"/>
              </w:rPr>
              <w:t>6</w:t>
            </w:r>
          </w:p>
        </w:tc>
        <w:tc>
          <w:tcPr>
            <w:tcW w:w="1213" w:type="dxa"/>
            <w:shd w:val="clear" w:color="auto" w:fill="auto"/>
          </w:tcPr>
          <w:p w:rsidR="009A4041" w:rsidRPr="00776210" w:rsidRDefault="009A4041" w:rsidP="008E420D">
            <w:pPr>
              <w:jc w:val="center"/>
              <w:rPr>
                <w:sz w:val="21"/>
                <w:szCs w:val="21"/>
                <w:lang w:eastAsia="en-GB"/>
              </w:rPr>
            </w:pPr>
            <w:r w:rsidRPr="00776210">
              <w:rPr>
                <w:sz w:val="21"/>
                <w:szCs w:val="21"/>
                <w:lang w:eastAsia="en-GB"/>
              </w:rPr>
              <w:t>8</w:t>
            </w:r>
          </w:p>
        </w:tc>
      </w:tr>
    </w:tbl>
    <w:p w:rsidR="00D432A5" w:rsidRDefault="00D432A5" w:rsidP="009A4041">
      <w:pPr>
        <w:jc w:val="center"/>
        <w:rPr>
          <w:i/>
          <w:sz w:val="20"/>
          <w:szCs w:val="20"/>
          <w:u w:val="single"/>
          <w:lang w:eastAsia="en-GB"/>
        </w:rPr>
      </w:pPr>
    </w:p>
    <w:p w:rsidR="00C53FC9" w:rsidRDefault="009A4041" w:rsidP="00395C8C">
      <w:pPr>
        <w:jc w:val="center"/>
        <w:rPr>
          <w:sz w:val="20"/>
          <w:szCs w:val="20"/>
          <w:u w:val="single"/>
          <w:lang w:eastAsia="en-GB"/>
        </w:rPr>
      </w:pPr>
      <w:r>
        <w:rPr>
          <w:i/>
          <w:sz w:val="20"/>
          <w:szCs w:val="20"/>
          <w:u w:val="single"/>
          <w:lang w:eastAsia="en-GB"/>
        </w:rPr>
        <w:t>Table 5</w:t>
      </w:r>
      <w:r w:rsidRPr="00166C7A">
        <w:rPr>
          <w:b/>
          <w:i/>
          <w:sz w:val="20"/>
          <w:szCs w:val="20"/>
          <w:u w:val="single"/>
          <w:lang w:eastAsia="en-GB"/>
        </w:rPr>
        <w:t xml:space="preserve">: </w:t>
      </w:r>
      <w:r w:rsidRPr="00166C7A">
        <w:rPr>
          <w:sz w:val="20"/>
          <w:szCs w:val="20"/>
          <w:u w:val="single"/>
          <w:lang w:eastAsia="en-GB"/>
        </w:rPr>
        <w:t>Comparative ranking of factors contributing to</w:t>
      </w:r>
      <w:r w:rsidR="00395C8C">
        <w:rPr>
          <w:sz w:val="20"/>
          <w:szCs w:val="20"/>
          <w:u w:val="single"/>
          <w:lang w:eastAsia="en-GB"/>
        </w:rPr>
        <w:t xml:space="preserve"> robust and reliable assessment</w:t>
      </w:r>
    </w:p>
    <w:p w:rsidR="00395C8C" w:rsidRPr="00395C8C" w:rsidRDefault="00395C8C" w:rsidP="00395C8C">
      <w:pPr>
        <w:jc w:val="center"/>
        <w:rPr>
          <w:sz w:val="20"/>
          <w:szCs w:val="20"/>
          <w:u w:val="single"/>
          <w:lang w:eastAsia="en-GB"/>
        </w:rPr>
      </w:pPr>
    </w:p>
    <w:p w:rsidR="0003515B" w:rsidRPr="00C53FC9" w:rsidRDefault="0003515B" w:rsidP="00C53FC9">
      <w:pPr>
        <w:spacing w:after="0" w:line="480" w:lineRule="auto"/>
        <w:contextualSpacing/>
        <w:jc w:val="both"/>
        <w:rPr>
          <w:rFonts w:ascii="Arial" w:eastAsia="Calibri" w:hAnsi="Arial" w:cs="Arial"/>
          <w:sz w:val="24"/>
          <w:szCs w:val="24"/>
        </w:rPr>
      </w:pPr>
      <w:r w:rsidRPr="00C53FC9">
        <w:rPr>
          <w:rFonts w:ascii="Arial" w:eastAsia="Calibri" w:hAnsi="Arial" w:cs="Arial"/>
          <w:sz w:val="24"/>
          <w:szCs w:val="24"/>
        </w:rPr>
        <w:t>Assessing professional performance against set criteria rather than judgement of the individual</w:t>
      </w:r>
      <w:r w:rsidRPr="00C53FC9">
        <w:rPr>
          <w:rFonts w:ascii="Arial" w:eastAsia="Calibri" w:hAnsi="Arial" w:cs="Arial"/>
          <w:b/>
          <w:sz w:val="24"/>
          <w:szCs w:val="24"/>
        </w:rPr>
        <w:t xml:space="preserve"> </w:t>
      </w:r>
      <w:r w:rsidRPr="00C53FC9">
        <w:rPr>
          <w:rFonts w:ascii="Arial" w:eastAsia="Calibri" w:hAnsi="Arial" w:cs="Arial"/>
          <w:sz w:val="24"/>
          <w:szCs w:val="24"/>
        </w:rPr>
        <w:t>was unanimously ranked highest</w:t>
      </w:r>
      <w:r w:rsidR="009A4041" w:rsidRPr="00C53FC9">
        <w:rPr>
          <w:rFonts w:ascii="Arial" w:eastAsia="Calibri" w:hAnsi="Arial" w:cs="Arial"/>
          <w:sz w:val="24"/>
          <w:szCs w:val="24"/>
        </w:rPr>
        <w:t xml:space="preserve"> in all stakeholder categories and both </w:t>
      </w:r>
      <w:r w:rsidR="009A4041" w:rsidRPr="00C53FC9">
        <w:rPr>
          <w:rFonts w:ascii="Arial" w:eastAsia="Calibri" w:hAnsi="Arial" w:cs="Arial"/>
          <w:sz w:val="24"/>
          <w:szCs w:val="24"/>
        </w:rPr>
        <w:lastRenderedPageBreak/>
        <w:t>professions</w:t>
      </w:r>
      <w:r w:rsidR="006E40C1">
        <w:rPr>
          <w:rFonts w:ascii="Arial" w:eastAsia="Calibri" w:hAnsi="Arial" w:cs="Arial"/>
          <w:sz w:val="24"/>
          <w:szCs w:val="24"/>
        </w:rPr>
        <w:t xml:space="preserve">. Provision </w:t>
      </w:r>
      <w:r w:rsidRPr="00C53FC9">
        <w:rPr>
          <w:rFonts w:ascii="Arial" w:eastAsia="Calibri" w:hAnsi="Arial" w:cs="Arial"/>
          <w:sz w:val="24"/>
          <w:szCs w:val="24"/>
        </w:rPr>
        <w:t xml:space="preserve">of a clear set of statements linked to specific grades, </w:t>
      </w:r>
      <w:r w:rsidR="006E40C1">
        <w:rPr>
          <w:rFonts w:ascii="Arial" w:eastAsia="Calibri" w:hAnsi="Arial" w:cs="Arial"/>
          <w:sz w:val="24"/>
          <w:szCs w:val="24"/>
        </w:rPr>
        <w:t xml:space="preserve">symbols or other </w:t>
      </w:r>
      <w:r w:rsidRPr="00C53FC9">
        <w:rPr>
          <w:rFonts w:ascii="Arial" w:eastAsia="Calibri" w:hAnsi="Arial" w:cs="Arial"/>
          <w:sz w:val="24"/>
          <w:szCs w:val="24"/>
        </w:rPr>
        <w:t xml:space="preserve">descriptors </w:t>
      </w:r>
      <w:r w:rsidR="006E40C1">
        <w:rPr>
          <w:rFonts w:ascii="Arial" w:eastAsia="Calibri" w:hAnsi="Arial" w:cs="Arial"/>
          <w:sz w:val="24"/>
          <w:szCs w:val="24"/>
        </w:rPr>
        <w:t xml:space="preserve">of </w:t>
      </w:r>
      <w:r w:rsidRPr="00C53FC9">
        <w:rPr>
          <w:rFonts w:ascii="Arial" w:eastAsia="Calibri" w:hAnsi="Arial" w:cs="Arial"/>
          <w:sz w:val="24"/>
          <w:szCs w:val="24"/>
        </w:rPr>
        <w:t>performance</w:t>
      </w:r>
      <w:r w:rsidR="006E40C1">
        <w:rPr>
          <w:rFonts w:ascii="Arial" w:eastAsia="Calibri" w:hAnsi="Arial" w:cs="Arial"/>
          <w:sz w:val="24"/>
          <w:szCs w:val="24"/>
        </w:rPr>
        <w:t xml:space="preserve"> levels</w:t>
      </w:r>
      <w:r w:rsidRPr="00C53FC9">
        <w:rPr>
          <w:rFonts w:ascii="Arial" w:eastAsia="Calibri" w:hAnsi="Arial" w:cs="Arial"/>
          <w:sz w:val="24"/>
          <w:szCs w:val="24"/>
        </w:rPr>
        <w:t xml:space="preserve"> was ranked second highest overall and by midwifery participants. Introduction of a national tool was popular in both nursing and midwifery</w:t>
      </w:r>
      <w:r w:rsidR="0019196E">
        <w:rPr>
          <w:rFonts w:ascii="Arial" w:eastAsia="Calibri" w:hAnsi="Arial" w:cs="Arial"/>
          <w:sz w:val="24"/>
          <w:szCs w:val="24"/>
        </w:rPr>
        <w:t xml:space="preserve">. </w:t>
      </w:r>
      <w:r w:rsidRPr="00C53FC9">
        <w:rPr>
          <w:rFonts w:ascii="Arial" w:eastAsia="Calibri" w:hAnsi="Arial" w:cs="Arial"/>
          <w:sz w:val="24"/>
          <w:szCs w:val="24"/>
        </w:rPr>
        <w:t>Involvement of key stakeholders in the development and review of assessment tools was also ranked highly in all categories</w:t>
      </w:r>
      <w:r w:rsidR="00886FCA" w:rsidRPr="00C53FC9">
        <w:rPr>
          <w:rFonts w:ascii="Arial" w:eastAsia="Calibri" w:hAnsi="Arial" w:cs="Arial"/>
          <w:sz w:val="24"/>
          <w:szCs w:val="24"/>
        </w:rPr>
        <w:t>.</w:t>
      </w:r>
      <w:r w:rsidRPr="00C53FC9">
        <w:rPr>
          <w:rFonts w:ascii="Arial" w:eastAsia="Calibri" w:hAnsi="Arial" w:cs="Arial"/>
          <w:sz w:val="24"/>
          <w:szCs w:val="24"/>
        </w:rPr>
        <w:t xml:space="preserve"> </w:t>
      </w:r>
    </w:p>
    <w:p w:rsidR="0003515B" w:rsidRPr="0003515B" w:rsidRDefault="0003515B" w:rsidP="0003515B">
      <w:pPr>
        <w:spacing w:after="0" w:line="240" w:lineRule="auto"/>
        <w:ind w:left="1440" w:hanging="360"/>
        <w:jc w:val="both"/>
        <w:rPr>
          <w:rFonts w:ascii="Calibri" w:eastAsia="Calibri" w:hAnsi="Calibri" w:cs="Calibri"/>
        </w:rPr>
      </w:pPr>
    </w:p>
    <w:p w:rsidR="00C53FC9" w:rsidRPr="00C53FC9" w:rsidRDefault="00395C8C" w:rsidP="00C53FC9">
      <w:pPr>
        <w:spacing w:after="0" w:line="480" w:lineRule="auto"/>
        <w:jc w:val="both"/>
        <w:rPr>
          <w:rFonts w:ascii="Arial" w:eastAsia="Calibri" w:hAnsi="Arial" w:cs="Arial"/>
          <w:sz w:val="24"/>
          <w:szCs w:val="24"/>
        </w:rPr>
      </w:pPr>
      <w:r>
        <w:rPr>
          <w:rFonts w:ascii="Arial" w:eastAsia="Calibri" w:hAnsi="Arial" w:cs="Arial"/>
          <w:sz w:val="24"/>
          <w:szCs w:val="24"/>
        </w:rPr>
        <w:t>V</w:t>
      </w:r>
      <w:r w:rsidR="008C6506">
        <w:rPr>
          <w:rFonts w:ascii="Arial" w:eastAsia="Calibri" w:hAnsi="Arial" w:cs="Arial"/>
          <w:sz w:val="24"/>
          <w:szCs w:val="24"/>
        </w:rPr>
        <w:t xml:space="preserve">iews on </w:t>
      </w:r>
      <w:r w:rsidR="0003515B" w:rsidRPr="00C53FC9">
        <w:rPr>
          <w:rFonts w:ascii="Arial" w:eastAsia="Calibri" w:hAnsi="Arial" w:cs="Arial"/>
          <w:sz w:val="24"/>
          <w:szCs w:val="24"/>
        </w:rPr>
        <w:t>grading</w:t>
      </w:r>
      <w:r w:rsidR="008C6506">
        <w:rPr>
          <w:rFonts w:ascii="Arial" w:eastAsia="Calibri" w:hAnsi="Arial" w:cs="Arial"/>
          <w:sz w:val="24"/>
          <w:szCs w:val="24"/>
        </w:rPr>
        <w:t xml:space="preserve"> of</w:t>
      </w:r>
      <w:r w:rsidR="0003515B" w:rsidRPr="00C53FC9">
        <w:rPr>
          <w:rFonts w:ascii="Arial" w:eastAsia="Calibri" w:hAnsi="Arial" w:cs="Arial"/>
          <w:sz w:val="24"/>
          <w:szCs w:val="24"/>
        </w:rPr>
        <w:t xml:space="preserve"> practice</w:t>
      </w:r>
      <w:r>
        <w:rPr>
          <w:rFonts w:ascii="Arial" w:eastAsia="Calibri" w:hAnsi="Arial" w:cs="Arial"/>
          <w:sz w:val="24"/>
          <w:szCs w:val="24"/>
        </w:rPr>
        <w:t xml:space="preserve"> were mixed</w:t>
      </w:r>
      <w:r w:rsidR="00886FCA" w:rsidRPr="00C53FC9">
        <w:rPr>
          <w:rFonts w:ascii="Arial" w:eastAsia="Calibri" w:hAnsi="Arial" w:cs="Arial"/>
          <w:sz w:val="24"/>
          <w:szCs w:val="24"/>
        </w:rPr>
        <w:t xml:space="preserve">, </w:t>
      </w:r>
      <w:r>
        <w:rPr>
          <w:rFonts w:ascii="Arial" w:eastAsia="Calibri" w:hAnsi="Arial" w:cs="Arial"/>
          <w:sz w:val="24"/>
          <w:szCs w:val="24"/>
        </w:rPr>
        <w:t>receiving a particularly low score</w:t>
      </w:r>
      <w:r w:rsidR="00886FCA" w:rsidRPr="00C53FC9">
        <w:rPr>
          <w:rFonts w:ascii="Arial" w:eastAsia="Calibri" w:hAnsi="Arial" w:cs="Arial"/>
          <w:sz w:val="24"/>
          <w:szCs w:val="24"/>
        </w:rPr>
        <w:t xml:space="preserve"> in midwifery</w:t>
      </w:r>
      <w:r w:rsidR="0019196E">
        <w:rPr>
          <w:rFonts w:ascii="Arial" w:eastAsia="Calibri" w:hAnsi="Arial" w:cs="Arial"/>
          <w:sz w:val="24"/>
          <w:szCs w:val="24"/>
        </w:rPr>
        <w:t xml:space="preserve">. Some participants </w:t>
      </w:r>
      <w:r w:rsidR="008E420D">
        <w:rPr>
          <w:rFonts w:ascii="Arial" w:eastAsia="Calibri" w:hAnsi="Arial" w:cs="Arial"/>
          <w:sz w:val="24"/>
          <w:szCs w:val="24"/>
        </w:rPr>
        <w:t xml:space="preserve">suggested that a pass or </w:t>
      </w:r>
      <w:r w:rsidR="00C53FC9" w:rsidRPr="00C53FC9">
        <w:rPr>
          <w:rFonts w:ascii="Arial" w:eastAsia="Calibri" w:hAnsi="Arial" w:cs="Arial"/>
          <w:sz w:val="24"/>
          <w:szCs w:val="24"/>
        </w:rPr>
        <w:t xml:space="preserve">fail approach may be preferable, </w:t>
      </w:r>
      <w:r w:rsidR="008C6506">
        <w:rPr>
          <w:rFonts w:ascii="Arial" w:eastAsia="Calibri" w:hAnsi="Arial" w:cs="Arial"/>
          <w:sz w:val="24"/>
          <w:szCs w:val="24"/>
        </w:rPr>
        <w:t>and others referred to the tendency towards grade inflation</w:t>
      </w:r>
      <w:r w:rsidR="00C53FC9" w:rsidRPr="00C53FC9">
        <w:rPr>
          <w:rFonts w:ascii="Arial" w:eastAsia="Calibri" w:hAnsi="Arial" w:cs="Arial"/>
          <w:sz w:val="24"/>
          <w:szCs w:val="24"/>
        </w:rPr>
        <w:t>:</w:t>
      </w:r>
    </w:p>
    <w:p w:rsidR="00C53FC9" w:rsidRPr="00C53FC9" w:rsidRDefault="00C53FC9" w:rsidP="00C53FC9">
      <w:pPr>
        <w:spacing w:after="0" w:line="480" w:lineRule="auto"/>
        <w:ind w:left="720"/>
        <w:jc w:val="both"/>
        <w:rPr>
          <w:rFonts w:ascii="Arial" w:eastAsia="Calibri" w:hAnsi="Arial" w:cs="Arial"/>
          <w:i/>
          <w:iCs/>
          <w:sz w:val="20"/>
          <w:szCs w:val="20"/>
        </w:rPr>
      </w:pPr>
      <w:r w:rsidRPr="00C53FC9">
        <w:rPr>
          <w:rFonts w:ascii="Arial" w:eastAsia="Calibri" w:hAnsi="Arial" w:cs="Arial"/>
          <w:i/>
          <w:iCs/>
          <w:sz w:val="20"/>
          <w:szCs w:val="20"/>
        </w:rPr>
        <w:t>“There continue to be problems with mentors ‘failing to fail’ in practice and excessively high marks given when grading is used.” (RNA8)</w:t>
      </w:r>
    </w:p>
    <w:p w:rsidR="0003515B" w:rsidRPr="0003515B" w:rsidRDefault="0003515B" w:rsidP="00C53FC9">
      <w:pPr>
        <w:spacing w:after="0" w:line="480" w:lineRule="auto"/>
        <w:jc w:val="both"/>
        <w:rPr>
          <w:rFonts w:ascii="Calibri" w:eastAsia="Calibri" w:hAnsi="Calibri" w:cs="Calibri"/>
        </w:rPr>
      </w:pPr>
    </w:p>
    <w:p w:rsidR="0003515B" w:rsidRPr="00C53FC9" w:rsidRDefault="00C53FC9" w:rsidP="00C53FC9">
      <w:pPr>
        <w:spacing w:after="0" w:line="480" w:lineRule="auto"/>
        <w:jc w:val="both"/>
        <w:rPr>
          <w:rFonts w:ascii="Arial" w:eastAsia="Calibri" w:hAnsi="Arial" w:cs="Arial"/>
          <w:sz w:val="24"/>
          <w:szCs w:val="24"/>
        </w:rPr>
      </w:pPr>
      <w:r w:rsidRPr="00C53FC9">
        <w:rPr>
          <w:rFonts w:ascii="Arial" w:eastAsia="Calibri" w:hAnsi="Arial" w:cs="Arial"/>
          <w:sz w:val="24"/>
          <w:szCs w:val="24"/>
        </w:rPr>
        <w:t xml:space="preserve">However, grading </w:t>
      </w:r>
      <w:r w:rsidR="008C6506">
        <w:rPr>
          <w:rFonts w:ascii="Arial" w:eastAsia="Calibri" w:hAnsi="Arial" w:cs="Arial"/>
          <w:sz w:val="24"/>
          <w:szCs w:val="24"/>
        </w:rPr>
        <w:t xml:space="preserve">was also </w:t>
      </w:r>
      <w:r w:rsidRPr="00C53FC9">
        <w:rPr>
          <w:rFonts w:ascii="Arial" w:eastAsia="Calibri" w:hAnsi="Arial" w:cs="Arial"/>
          <w:sz w:val="24"/>
          <w:szCs w:val="24"/>
        </w:rPr>
        <w:t>perceived to assist in identifying a poorly-achieving student:</w:t>
      </w:r>
    </w:p>
    <w:p w:rsidR="00C53FC9" w:rsidRPr="00C53FC9" w:rsidRDefault="00C53FC9" w:rsidP="00C53FC9">
      <w:pPr>
        <w:spacing w:after="0" w:line="480" w:lineRule="auto"/>
        <w:ind w:left="720"/>
        <w:jc w:val="both"/>
        <w:rPr>
          <w:rFonts w:ascii="Arial" w:eastAsia="Calibri" w:hAnsi="Arial" w:cs="Arial"/>
          <w:i/>
          <w:iCs/>
          <w:sz w:val="20"/>
          <w:szCs w:val="20"/>
        </w:rPr>
      </w:pPr>
      <w:r w:rsidRPr="00C53FC9">
        <w:rPr>
          <w:rFonts w:ascii="Arial" w:eastAsia="Calibri" w:hAnsi="Arial" w:cs="Arial"/>
          <w:i/>
          <w:iCs/>
          <w:sz w:val="20"/>
          <w:szCs w:val="20"/>
        </w:rPr>
        <w:t>“When a student is good/ passing mentors decide what grade they want to give without reviewing the criteria. It is only when a student isn’t doing as well as the mentor thinks they should that the crit</w:t>
      </w:r>
      <w:r w:rsidR="008C6506">
        <w:rPr>
          <w:rFonts w:ascii="Arial" w:eastAsia="Calibri" w:hAnsi="Arial" w:cs="Arial"/>
          <w:i/>
          <w:iCs/>
          <w:sz w:val="20"/>
          <w:szCs w:val="20"/>
        </w:rPr>
        <w:t xml:space="preserve">eria comes into focus for them.” </w:t>
      </w:r>
      <w:r w:rsidRPr="00C53FC9">
        <w:rPr>
          <w:rFonts w:ascii="Arial" w:eastAsia="Calibri" w:hAnsi="Arial" w:cs="Arial"/>
          <w:i/>
          <w:iCs/>
          <w:sz w:val="20"/>
          <w:szCs w:val="20"/>
        </w:rPr>
        <w:t>(RMA61)</w:t>
      </w:r>
    </w:p>
    <w:p w:rsidR="008E420D" w:rsidRDefault="008E420D" w:rsidP="006102E8">
      <w:pPr>
        <w:spacing w:after="0" w:line="480" w:lineRule="auto"/>
        <w:jc w:val="both"/>
        <w:rPr>
          <w:rFonts w:ascii="Arial" w:eastAsia="Calibri" w:hAnsi="Arial" w:cs="Arial"/>
          <w:b/>
          <w:sz w:val="24"/>
          <w:szCs w:val="24"/>
          <w:u w:val="single"/>
        </w:rPr>
      </w:pPr>
    </w:p>
    <w:p w:rsidR="00C53FC9" w:rsidRPr="006102E8" w:rsidRDefault="00C53FC9" w:rsidP="006102E8">
      <w:pPr>
        <w:spacing w:after="0" w:line="480" w:lineRule="auto"/>
        <w:jc w:val="both"/>
        <w:rPr>
          <w:rFonts w:ascii="Arial" w:eastAsia="Calibri" w:hAnsi="Arial" w:cs="Arial"/>
          <w:b/>
          <w:sz w:val="24"/>
          <w:szCs w:val="24"/>
          <w:u w:val="single"/>
        </w:rPr>
      </w:pPr>
      <w:r w:rsidRPr="006102E8">
        <w:rPr>
          <w:rFonts w:ascii="Arial" w:eastAsia="Calibri" w:hAnsi="Arial" w:cs="Arial"/>
          <w:b/>
          <w:sz w:val="24"/>
          <w:szCs w:val="24"/>
          <w:u w:val="single"/>
        </w:rPr>
        <w:t>4.4 Lexicon Frameworks:</w:t>
      </w:r>
    </w:p>
    <w:p w:rsidR="008C6506" w:rsidRDefault="0003515B" w:rsidP="00D90BC6">
      <w:pPr>
        <w:spacing w:after="0" w:line="480" w:lineRule="auto"/>
        <w:jc w:val="both"/>
        <w:rPr>
          <w:rFonts w:ascii="Arial" w:eastAsia="Calibri" w:hAnsi="Arial" w:cs="Arial"/>
          <w:sz w:val="24"/>
          <w:szCs w:val="24"/>
        </w:rPr>
      </w:pPr>
      <w:r w:rsidRPr="006102E8">
        <w:rPr>
          <w:rFonts w:ascii="Arial" w:eastAsia="Calibri" w:hAnsi="Arial" w:cs="Arial"/>
          <w:sz w:val="24"/>
          <w:szCs w:val="24"/>
        </w:rPr>
        <w:t xml:space="preserve">The majority of participants indicated that there was scope for use of the Lexicon Frameworks. Clinicians were particularly positive about the potential to use them, either as the main tool for grading </w:t>
      </w:r>
      <w:r w:rsidR="00C53FC9" w:rsidRPr="006102E8">
        <w:rPr>
          <w:rFonts w:ascii="Arial" w:eastAsia="Calibri" w:hAnsi="Arial" w:cs="Arial"/>
          <w:sz w:val="24"/>
          <w:szCs w:val="24"/>
        </w:rPr>
        <w:t>(80%</w:t>
      </w:r>
      <w:r w:rsidR="006102E8" w:rsidRPr="006102E8">
        <w:rPr>
          <w:rFonts w:ascii="Arial" w:eastAsia="Calibri" w:hAnsi="Arial" w:cs="Arial"/>
          <w:sz w:val="24"/>
          <w:szCs w:val="24"/>
        </w:rPr>
        <w:t xml:space="preserve"> midwifery</w:t>
      </w:r>
      <w:r w:rsidR="00C53FC9" w:rsidRPr="006102E8">
        <w:rPr>
          <w:rFonts w:ascii="Arial" w:eastAsia="Calibri" w:hAnsi="Arial" w:cs="Arial"/>
          <w:sz w:val="24"/>
          <w:szCs w:val="24"/>
        </w:rPr>
        <w:t xml:space="preserve">) </w:t>
      </w:r>
      <w:r w:rsidRPr="006102E8">
        <w:rPr>
          <w:rFonts w:ascii="Arial" w:eastAsia="Calibri" w:hAnsi="Arial" w:cs="Arial"/>
          <w:sz w:val="24"/>
          <w:szCs w:val="24"/>
        </w:rPr>
        <w:t xml:space="preserve">or when writing </w:t>
      </w:r>
      <w:r w:rsidR="008C6506">
        <w:rPr>
          <w:rFonts w:ascii="Arial" w:eastAsia="Calibri" w:hAnsi="Arial" w:cs="Arial"/>
          <w:sz w:val="24"/>
          <w:szCs w:val="24"/>
        </w:rPr>
        <w:t>evidence to support</w:t>
      </w:r>
      <w:r w:rsidRPr="006102E8">
        <w:rPr>
          <w:rFonts w:ascii="Arial" w:eastAsia="Calibri" w:hAnsi="Arial" w:cs="Arial"/>
          <w:sz w:val="24"/>
          <w:szCs w:val="24"/>
        </w:rPr>
        <w:t xml:space="preserve"> assessment </w:t>
      </w:r>
      <w:r w:rsidR="00C53FC9" w:rsidRPr="006102E8">
        <w:rPr>
          <w:rFonts w:ascii="Arial" w:eastAsia="Calibri" w:hAnsi="Arial" w:cs="Arial"/>
          <w:sz w:val="24"/>
          <w:szCs w:val="24"/>
        </w:rPr>
        <w:t>(70%</w:t>
      </w:r>
      <w:r w:rsidR="006102E8" w:rsidRPr="006102E8">
        <w:rPr>
          <w:rFonts w:ascii="Arial" w:eastAsia="Calibri" w:hAnsi="Arial" w:cs="Arial"/>
          <w:sz w:val="24"/>
          <w:szCs w:val="24"/>
        </w:rPr>
        <w:t xml:space="preserve"> midwifery, 71.43% nursing</w:t>
      </w:r>
      <w:r w:rsidR="00C53FC9" w:rsidRPr="006102E8">
        <w:rPr>
          <w:rFonts w:ascii="Arial" w:eastAsia="Calibri" w:hAnsi="Arial" w:cs="Arial"/>
          <w:sz w:val="24"/>
          <w:szCs w:val="24"/>
        </w:rPr>
        <w:t>)</w:t>
      </w:r>
      <w:r w:rsidRPr="006102E8">
        <w:rPr>
          <w:rFonts w:ascii="Arial" w:eastAsia="Calibri" w:hAnsi="Arial" w:cs="Arial"/>
          <w:i/>
          <w:sz w:val="24"/>
          <w:szCs w:val="24"/>
        </w:rPr>
        <w:t>.</w:t>
      </w:r>
      <w:r w:rsidRPr="006102E8">
        <w:rPr>
          <w:rFonts w:ascii="Arial" w:eastAsia="Calibri" w:hAnsi="Arial" w:cs="Arial"/>
          <w:sz w:val="24"/>
          <w:szCs w:val="24"/>
        </w:rPr>
        <w:t xml:space="preserve"> Students were similarly positive about using the Lexicon Frameworks either when mentors or they themselves were writing evidence to support assessment</w:t>
      </w:r>
      <w:r w:rsidR="008C6506">
        <w:rPr>
          <w:rFonts w:ascii="Arial" w:eastAsia="Calibri" w:hAnsi="Arial" w:cs="Arial"/>
          <w:sz w:val="24"/>
          <w:szCs w:val="24"/>
        </w:rPr>
        <w:t xml:space="preserve"> of progress</w:t>
      </w:r>
      <w:r w:rsidR="006102E8" w:rsidRPr="006102E8">
        <w:rPr>
          <w:rFonts w:ascii="Arial" w:eastAsia="Calibri" w:hAnsi="Arial" w:cs="Arial"/>
          <w:sz w:val="24"/>
          <w:szCs w:val="24"/>
        </w:rPr>
        <w:t xml:space="preserve"> (48.74% and 44.68% respectively for midwifery and 50%</w:t>
      </w:r>
      <w:r w:rsidR="008C6506">
        <w:rPr>
          <w:rFonts w:ascii="Arial" w:eastAsia="Calibri" w:hAnsi="Arial" w:cs="Arial"/>
          <w:sz w:val="24"/>
          <w:szCs w:val="24"/>
        </w:rPr>
        <w:t xml:space="preserve"> for each in </w:t>
      </w:r>
      <w:r w:rsidR="006102E8" w:rsidRPr="006102E8">
        <w:rPr>
          <w:rFonts w:ascii="Arial" w:eastAsia="Calibri" w:hAnsi="Arial" w:cs="Arial"/>
          <w:sz w:val="24"/>
          <w:szCs w:val="24"/>
        </w:rPr>
        <w:t>nursing)</w:t>
      </w:r>
      <w:r w:rsidRPr="006102E8">
        <w:rPr>
          <w:rFonts w:ascii="Arial" w:eastAsia="Calibri" w:hAnsi="Arial" w:cs="Arial"/>
          <w:sz w:val="24"/>
          <w:szCs w:val="24"/>
        </w:rPr>
        <w:t xml:space="preserve">. </w:t>
      </w:r>
      <w:r w:rsidR="008C6506">
        <w:rPr>
          <w:rFonts w:ascii="Arial" w:eastAsia="Calibri" w:hAnsi="Arial" w:cs="Arial"/>
          <w:sz w:val="24"/>
          <w:szCs w:val="24"/>
        </w:rPr>
        <w:t xml:space="preserve"> Some academics expressed confusion</w:t>
      </w:r>
      <w:r w:rsidR="00FE3F2E">
        <w:rPr>
          <w:rFonts w:ascii="Arial" w:eastAsia="Calibri" w:hAnsi="Arial" w:cs="Arial"/>
          <w:sz w:val="24"/>
          <w:szCs w:val="24"/>
        </w:rPr>
        <w:t xml:space="preserve"> about their purpose, </w:t>
      </w:r>
      <w:r w:rsidRPr="006102E8">
        <w:rPr>
          <w:rFonts w:ascii="Arial" w:eastAsia="Calibri" w:hAnsi="Arial" w:cs="Arial"/>
          <w:sz w:val="24"/>
          <w:szCs w:val="24"/>
        </w:rPr>
        <w:t xml:space="preserve">although </w:t>
      </w:r>
      <w:r w:rsidR="006102E8" w:rsidRPr="006102E8">
        <w:rPr>
          <w:rFonts w:ascii="Arial" w:eastAsia="Calibri" w:hAnsi="Arial" w:cs="Arial"/>
          <w:sz w:val="24"/>
          <w:szCs w:val="24"/>
        </w:rPr>
        <w:t>77.19% midwifery and 75% nursing academics</w:t>
      </w:r>
      <w:r w:rsidR="00FE3F2E">
        <w:rPr>
          <w:rFonts w:ascii="Arial" w:eastAsia="Calibri" w:hAnsi="Arial" w:cs="Arial"/>
          <w:sz w:val="24"/>
          <w:szCs w:val="24"/>
        </w:rPr>
        <w:t xml:space="preserve"> considered</w:t>
      </w:r>
      <w:r w:rsidRPr="006102E8">
        <w:rPr>
          <w:rFonts w:ascii="Arial" w:eastAsia="Calibri" w:hAnsi="Arial" w:cs="Arial"/>
          <w:sz w:val="24"/>
          <w:szCs w:val="24"/>
        </w:rPr>
        <w:t xml:space="preserve"> </w:t>
      </w:r>
      <w:r w:rsidRPr="006102E8">
        <w:rPr>
          <w:rFonts w:ascii="Arial" w:eastAsia="Calibri" w:hAnsi="Arial" w:cs="Arial"/>
          <w:sz w:val="24"/>
          <w:szCs w:val="24"/>
        </w:rPr>
        <w:lastRenderedPageBreak/>
        <w:t>they would be useful when developing new</w:t>
      </w:r>
      <w:r w:rsidR="008C6506">
        <w:rPr>
          <w:rFonts w:ascii="Arial" w:eastAsia="Calibri" w:hAnsi="Arial" w:cs="Arial"/>
          <w:sz w:val="24"/>
          <w:szCs w:val="24"/>
        </w:rPr>
        <w:t xml:space="preserve"> pre-registration</w:t>
      </w:r>
      <w:r w:rsidR="0019196E">
        <w:rPr>
          <w:rFonts w:ascii="Arial" w:eastAsia="Calibri" w:hAnsi="Arial" w:cs="Arial"/>
          <w:sz w:val="24"/>
          <w:szCs w:val="24"/>
        </w:rPr>
        <w:t xml:space="preserve"> programmes. </w:t>
      </w:r>
      <w:r w:rsidR="0017776E" w:rsidRPr="00D90BC6">
        <w:rPr>
          <w:rFonts w:ascii="Arial" w:eastAsia="Calibri" w:hAnsi="Arial" w:cs="Arial"/>
          <w:sz w:val="24"/>
          <w:szCs w:val="24"/>
        </w:rPr>
        <w:t xml:space="preserve">Some participants suggested that the Lexicon Frameworks would ensure a fairer grade and help promote standardisation. </w:t>
      </w:r>
    </w:p>
    <w:p w:rsidR="008C6506" w:rsidRDefault="008C6506" w:rsidP="00D90BC6">
      <w:pPr>
        <w:spacing w:after="0" w:line="480" w:lineRule="auto"/>
        <w:jc w:val="both"/>
        <w:rPr>
          <w:rFonts w:ascii="Arial" w:eastAsia="Calibri" w:hAnsi="Arial" w:cs="Arial"/>
          <w:sz w:val="24"/>
          <w:szCs w:val="24"/>
        </w:rPr>
      </w:pPr>
    </w:p>
    <w:p w:rsidR="0017776E" w:rsidRPr="00D90BC6" w:rsidRDefault="0017776E" w:rsidP="00D90BC6">
      <w:pPr>
        <w:spacing w:after="0" w:line="480" w:lineRule="auto"/>
        <w:jc w:val="both"/>
        <w:rPr>
          <w:rFonts w:ascii="Arial" w:eastAsia="Calibri" w:hAnsi="Arial" w:cs="Arial"/>
          <w:sz w:val="24"/>
          <w:szCs w:val="24"/>
        </w:rPr>
      </w:pPr>
      <w:r w:rsidRPr="00D90BC6">
        <w:rPr>
          <w:rFonts w:ascii="Arial" w:eastAsia="Calibri" w:hAnsi="Arial" w:cs="Arial"/>
          <w:sz w:val="24"/>
          <w:szCs w:val="24"/>
        </w:rPr>
        <w:t xml:space="preserve">Suggestions were made to improve the Lexicon Frameworks further, including simplification, more discrete terminology for </w:t>
      </w:r>
      <w:r w:rsidR="00295CFA">
        <w:rPr>
          <w:rFonts w:ascii="Arial" w:eastAsia="Calibri" w:hAnsi="Arial" w:cs="Arial"/>
          <w:sz w:val="24"/>
          <w:szCs w:val="24"/>
        </w:rPr>
        <w:t>each level descriptor</w:t>
      </w:r>
      <w:r w:rsidRPr="00D90BC6">
        <w:rPr>
          <w:rFonts w:ascii="Arial" w:eastAsia="Calibri" w:hAnsi="Arial" w:cs="Arial"/>
          <w:sz w:val="24"/>
          <w:szCs w:val="24"/>
        </w:rPr>
        <w:t xml:space="preserve"> and providing examples. Value was seen in providing these electronically for wider use:</w:t>
      </w:r>
    </w:p>
    <w:p w:rsidR="0017776E" w:rsidRDefault="0017776E" w:rsidP="00D90BC6">
      <w:pPr>
        <w:spacing w:after="0" w:line="480" w:lineRule="auto"/>
        <w:ind w:left="720" w:firstLine="45"/>
        <w:jc w:val="both"/>
        <w:rPr>
          <w:rFonts w:ascii="Arial" w:eastAsia="Calibri" w:hAnsi="Arial" w:cs="Arial"/>
          <w:i/>
          <w:iCs/>
          <w:sz w:val="20"/>
          <w:szCs w:val="20"/>
        </w:rPr>
      </w:pPr>
      <w:r w:rsidRPr="00D90BC6">
        <w:rPr>
          <w:rFonts w:ascii="Arial" w:eastAsia="Calibri" w:hAnsi="Arial" w:cs="Arial"/>
          <w:i/>
          <w:iCs/>
          <w:sz w:val="20"/>
          <w:szCs w:val="20"/>
        </w:rPr>
        <w:t>“Transforming the lexicon frameworks into a digital tool which students/assessors can access to evaluate work would be advantageous as this would encourage self-improvement in students and assist assessors in grading consistently.” (SM26)</w:t>
      </w:r>
    </w:p>
    <w:p w:rsidR="00D90BC6" w:rsidRDefault="00D90BC6" w:rsidP="00D90BC6">
      <w:pPr>
        <w:spacing w:after="0" w:line="480" w:lineRule="auto"/>
        <w:jc w:val="both"/>
        <w:rPr>
          <w:rFonts w:ascii="Arial" w:eastAsia="Calibri" w:hAnsi="Arial" w:cs="Arial"/>
          <w:i/>
          <w:iCs/>
          <w:sz w:val="24"/>
          <w:szCs w:val="24"/>
        </w:rPr>
      </w:pPr>
    </w:p>
    <w:p w:rsidR="00D90BC6" w:rsidRPr="00FE3F2E" w:rsidRDefault="00D90BC6" w:rsidP="00D90BC6">
      <w:pPr>
        <w:spacing w:after="0" w:line="480" w:lineRule="auto"/>
        <w:jc w:val="both"/>
        <w:rPr>
          <w:rFonts w:ascii="Arial" w:eastAsia="Calibri" w:hAnsi="Arial" w:cs="Arial"/>
          <w:b/>
          <w:iCs/>
          <w:sz w:val="24"/>
          <w:szCs w:val="24"/>
          <w:u w:val="single"/>
        </w:rPr>
      </w:pPr>
      <w:r w:rsidRPr="00FE3F2E">
        <w:rPr>
          <w:rFonts w:ascii="Arial" w:eastAsia="Calibri" w:hAnsi="Arial" w:cs="Arial"/>
          <w:b/>
          <w:iCs/>
          <w:sz w:val="24"/>
          <w:szCs w:val="24"/>
          <w:u w:val="single"/>
        </w:rPr>
        <w:t>4.5 Rubrics:</w:t>
      </w:r>
    </w:p>
    <w:p w:rsidR="0003515B" w:rsidRPr="00FE3F2E" w:rsidRDefault="0003515B" w:rsidP="00D90BC6">
      <w:pPr>
        <w:spacing w:after="0" w:line="480" w:lineRule="auto"/>
        <w:jc w:val="both"/>
        <w:rPr>
          <w:rFonts w:ascii="Arial" w:eastAsia="Calibri" w:hAnsi="Arial" w:cs="Arial"/>
          <w:sz w:val="24"/>
          <w:szCs w:val="24"/>
        </w:rPr>
      </w:pPr>
      <w:r w:rsidRPr="00FE3F2E">
        <w:rPr>
          <w:rFonts w:ascii="Arial" w:eastAsia="Calibri" w:hAnsi="Arial" w:cs="Arial"/>
          <w:sz w:val="24"/>
          <w:szCs w:val="24"/>
        </w:rPr>
        <w:t>Most participants found the Rubrics easy to use</w:t>
      </w:r>
      <w:r w:rsidR="00D90BC6" w:rsidRPr="00FE3F2E">
        <w:rPr>
          <w:rFonts w:ascii="Arial" w:eastAsia="Calibri" w:hAnsi="Arial" w:cs="Arial"/>
          <w:sz w:val="24"/>
          <w:szCs w:val="24"/>
        </w:rPr>
        <w:t xml:space="preserve"> (midwifery 71.42%, nursing 66.66%). They were presented with four scenarios reflecting </w:t>
      </w:r>
      <w:r w:rsidR="008C6506">
        <w:rPr>
          <w:rFonts w:ascii="Arial" w:eastAsia="Calibri" w:hAnsi="Arial" w:cs="Arial"/>
          <w:sz w:val="24"/>
          <w:szCs w:val="24"/>
        </w:rPr>
        <w:t>academic levels 4-7 (SCQF 7-10/11)</w:t>
      </w:r>
      <w:r w:rsidR="00D90BC6" w:rsidRPr="00FE3F2E">
        <w:rPr>
          <w:rFonts w:ascii="Arial" w:eastAsia="Calibri" w:hAnsi="Arial" w:cs="Arial"/>
          <w:sz w:val="24"/>
          <w:szCs w:val="24"/>
        </w:rPr>
        <w:t xml:space="preserve">. An example is shown in </w:t>
      </w:r>
      <w:r w:rsidR="00D90BC6" w:rsidRPr="00FE3F2E">
        <w:rPr>
          <w:rFonts w:ascii="Arial" w:eastAsia="Calibri" w:hAnsi="Arial" w:cs="Arial"/>
          <w:i/>
          <w:sz w:val="24"/>
          <w:szCs w:val="24"/>
        </w:rPr>
        <w:t>Figure 4</w:t>
      </w:r>
      <w:r w:rsidR="00D90BC6" w:rsidRPr="00FE3F2E">
        <w:rPr>
          <w:rFonts w:ascii="Arial" w:eastAsia="Calibri" w:hAnsi="Arial" w:cs="Arial"/>
          <w:sz w:val="24"/>
          <w:szCs w:val="24"/>
        </w:rPr>
        <w:t>, together with the comparative results</w:t>
      </w:r>
      <w:r w:rsidR="008C6506">
        <w:rPr>
          <w:rFonts w:ascii="Arial" w:eastAsia="Calibri" w:hAnsi="Arial" w:cs="Arial"/>
          <w:sz w:val="24"/>
          <w:szCs w:val="24"/>
        </w:rPr>
        <w:t xml:space="preserve"> from participants’ grading.</w:t>
      </w:r>
    </w:p>
    <w:p w:rsidR="00D90BC6" w:rsidRPr="00D90BC6" w:rsidRDefault="00FB4029" w:rsidP="00D90BC6">
      <w:pPr>
        <w:jc w:val="center"/>
      </w:pPr>
      <w:r>
        <w:rPr>
          <w:i/>
          <w:noProof/>
          <w:sz w:val="20"/>
          <w:szCs w:val="20"/>
          <w:u w:val="single"/>
          <w:lang w:eastAsia="en-GB"/>
        </w:rPr>
        <w:drawing>
          <wp:inline distT="0" distB="0" distL="0" distR="0" wp14:anchorId="55E64A55" wp14:editId="7EBE86CD">
            <wp:extent cx="3025420" cy="301523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508" cy="3067147"/>
                    </a:xfrm>
                    <a:prstGeom prst="rect">
                      <a:avLst/>
                    </a:prstGeom>
                    <a:noFill/>
                  </pic:spPr>
                </pic:pic>
              </a:graphicData>
            </a:graphic>
          </wp:inline>
        </w:drawing>
      </w:r>
    </w:p>
    <w:p w:rsidR="00D90BC6" w:rsidRPr="00FB4029" w:rsidRDefault="00D90BC6" w:rsidP="00FB4029">
      <w:pPr>
        <w:jc w:val="center"/>
        <w:rPr>
          <w:sz w:val="20"/>
          <w:szCs w:val="20"/>
          <w:u w:val="single"/>
          <w:lang w:eastAsia="en-GB"/>
        </w:rPr>
      </w:pPr>
      <w:r>
        <w:rPr>
          <w:i/>
          <w:noProof/>
          <w:sz w:val="20"/>
          <w:szCs w:val="20"/>
          <w:u w:val="single"/>
          <w:lang w:eastAsia="en-GB"/>
        </w:rPr>
        <w:t>Figure 4</w:t>
      </w:r>
      <w:r w:rsidRPr="00D90BC6">
        <w:rPr>
          <w:i/>
          <w:noProof/>
          <w:sz w:val="20"/>
          <w:szCs w:val="20"/>
          <w:u w:val="single"/>
          <w:lang w:eastAsia="en-GB"/>
        </w:rPr>
        <w:t>:</w:t>
      </w:r>
      <w:r w:rsidRPr="00D90BC6">
        <w:rPr>
          <w:noProof/>
          <w:sz w:val="20"/>
          <w:szCs w:val="20"/>
          <w:u w:val="single"/>
          <w:lang w:eastAsia="en-GB"/>
        </w:rPr>
        <w:t xml:space="preserve"> Comparison between midwifery and nursing: Scenario 2 - Phoebe</w:t>
      </w:r>
    </w:p>
    <w:p w:rsidR="00FF2019" w:rsidRDefault="00FF2019" w:rsidP="00CA7508">
      <w:pPr>
        <w:spacing w:after="0" w:line="480" w:lineRule="auto"/>
        <w:jc w:val="both"/>
        <w:rPr>
          <w:rFonts w:ascii="Arial" w:eastAsia="Calibri" w:hAnsi="Arial" w:cs="Arial"/>
          <w:sz w:val="24"/>
          <w:szCs w:val="24"/>
        </w:rPr>
      </w:pPr>
    </w:p>
    <w:p w:rsidR="003015A3" w:rsidRDefault="00FE3F2E" w:rsidP="00CA7508">
      <w:pPr>
        <w:spacing w:after="0" w:line="480" w:lineRule="auto"/>
        <w:jc w:val="both"/>
        <w:rPr>
          <w:rFonts w:ascii="Arial" w:eastAsia="Calibri" w:hAnsi="Arial" w:cs="Arial"/>
          <w:sz w:val="24"/>
          <w:szCs w:val="24"/>
        </w:rPr>
      </w:pPr>
      <w:r w:rsidRPr="00CA7508">
        <w:rPr>
          <w:rFonts w:ascii="Arial" w:eastAsia="Calibri" w:hAnsi="Arial" w:cs="Arial"/>
          <w:sz w:val="24"/>
          <w:szCs w:val="24"/>
        </w:rPr>
        <w:t>The</w:t>
      </w:r>
      <w:r w:rsidR="0003515B" w:rsidRPr="00CA7508">
        <w:rPr>
          <w:rFonts w:ascii="Arial" w:eastAsia="Calibri" w:hAnsi="Arial" w:cs="Arial"/>
          <w:sz w:val="24"/>
          <w:szCs w:val="24"/>
        </w:rPr>
        <w:t xml:space="preserve"> majority</w:t>
      </w:r>
      <w:r w:rsidRPr="00CA7508">
        <w:rPr>
          <w:rFonts w:ascii="Arial" w:eastAsia="Calibri" w:hAnsi="Arial" w:cs="Arial"/>
          <w:sz w:val="24"/>
          <w:szCs w:val="24"/>
        </w:rPr>
        <w:t xml:space="preserve"> of participants</w:t>
      </w:r>
      <w:r w:rsidR="0003515B" w:rsidRPr="00CA7508">
        <w:rPr>
          <w:rFonts w:ascii="Arial" w:eastAsia="Calibri" w:hAnsi="Arial" w:cs="Arial"/>
          <w:sz w:val="24"/>
          <w:szCs w:val="24"/>
        </w:rPr>
        <w:t xml:space="preserve"> aligned with the grade intended</w:t>
      </w:r>
      <w:r w:rsidRPr="00CA7508">
        <w:rPr>
          <w:rFonts w:ascii="Arial" w:eastAsia="Calibri" w:hAnsi="Arial" w:cs="Arial"/>
          <w:sz w:val="24"/>
          <w:szCs w:val="24"/>
        </w:rPr>
        <w:t xml:space="preserve"> in</w:t>
      </w:r>
      <w:r w:rsidR="008C6506">
        <w:rPr>
          <w:rFonts w:ascii="Arial" w:eastAsia="Calibri" w:hAnsi="Arial" w:cs="Arial"/>
          <w:sz w:val="24"/>
          <w:szCs w:val="24"/>
        </w:rPr>
        <w:t xml:space="preserve"> the three scenarios for levels 4-6 (SCQF 7-9)</w:t>
      </w:r>
      <w:r w:rsidR="0003515B" w:rsidRPr="00CA7508">
        <w:rPr>
          <w:rFonts w:ascii="Arial" w:eastAsia="Calibri" w:hAnsi="Arial" w:cs="Arial"/>
          <w:sz w:val="24"/>
          <w:szCs w:val="24"/>
        </w:rPr>
        <w:t>, demonstrating a good level of validity and inter-assessor reliability</w:t>
      </w:r>
      <w:r w:rsidR="00564CAA" w:rsidRPr="00CA7508">
        <w:rPr>
          <w:rFonts w:ascii="Arial" w:eastAsia="Calibri" w:hAnsi="Arial" w:cs="Arial"/>
          <w:sz w:val="24"/>
          <w:szCs w:val="24"/>
        </w:rPr>
        <w:t xml:space="preserve"> overall</w:t>
      </w:r>
      <w:r w:rsidR="0003515B" w:rsidRPr="00CA7508">
        <w:rPr>
          <w:rFonts w:ascii="Arial" w:eastAsia="Calibri" w:hAnsi="Arial" w:cs="Arial"/>
          <w:sz w:val="24"/>
          <w:szCs w:val="24"/>
        </w:rPr>
        <w:t xml:space="preserve">. </w:t>
      </w:r>
      <w:r w:rsidRPr="00CA7508">
        <w:rPr>
          <w:rFonts w:ascii="Arial" w:eastAsia="Calibri" w:hAnsi="Arial" w:cs="Arial"/>
          <w:sz w:val="24"/>
          <w:szCs w:val="24"/>
        </w:rPr>
        <w:t>Challenges were, however,</w:t>
      </w:r>
      <w:r w:rsidR="00564CAA" w:rsidRPr="00CA7508">
        <w:rPr>
          <w:rFonts w:ascii="Arial" w:eastAsia="Calibri" w:hAnsi="Arial" w:cs="Arial"/>
          <w:sz w:val="24"/>
          <w:szCs w:val="24"/>
        </w:rPr>
        <w:t xml:space="preserve"> evident </w:t>
      </w:r>
      <w:r w:rsidRPr="00CA7508">
        <w:rPr>
          <w:rFonts w:ascii="Arial" w:eastAsia="Calibri" w:hAnsi="Arial" w:cs="Arial"/>
          <w:sz w:val="24"/>
          <w:szCs w:val="24"/>
        </w:rPr>
        <w:t xml:space="preserve">in </w:t>
      </w:r>
      <w:r w:rsidR="00D432A5">
        <w:rPr>
          <w:rFonts w:ascii="Arial" w:eastAsia="Calibri" w:hAnsi="Arial" w:cs="Arial"/>
          <w:sz w:val="24"/>
          <w:szCs w:val="24"/>
        </w:rPr>
        <w:t xml:space="preserve">assessing </w:t>
      </w:r>
      <w:r w:rsidRPr="00CA7508">
        <w:rPr>
          <w:rFonts w:ascii="Arial" w:eastAsia="Calibri" w:hAnsi="Arial" w:cs="Arial"/>
          <w:sz w:val="24"/>
          <w:szCs w:val="24"/>
        </w:rPr>
        <w:t>‘Alba’</w:t>
      </w:r>
      <w:r w:rsidR="00D432A5">
        <w:rPr>
          <w:rFonts w:ascii="Arial" w:eastAsia="Calibri" w:hAnsi="Arial" w:cs="Arial"/>
          <w:sz w:val="24"/>
          <w:szCs w:val="24"/>
        </w:rPr>
        <w:t xml:space="preserve"> at masters level</w:t>
      </w:r>
      <w:r w:rsidR="008C6506">
        <w:rPr>
          <w:rFonts w:ascii="Arial" w:eastAsia="Calibri" w:hAnsi="Arial" w:cs="Arial"/>
          <w:sz w:val="24"/>
          <w:szCs w:val="24"/>
        </w:rPr>
        <w:t xml:space="preserve"> (level 7; SCQF 10/11), with a wider</w:t>
      </w:r>
      <w:r w:rsidR="00CF0AC8" w:rsidRPr="00CA7508">
        <w:rPr>
          <w:rFonts w:ascii="Arial" w:eastAsia="Calibri" w:hAnsi="Arial" w:cs="Arial"/>
          <w:sz w:val="24"/>
          <w:szCs w:val="24"/>
        </w:rPr>
        <w:t xml:space="preserve"> range of grades being awarded</w:t>
      </w:r>
      <w:r w:rsidR="006E40C1">
        <w:rPr>
          <w:rFonts w:ascii="Arial" w:eastAsia="Calibri" w:hAnsi="Arial" w:cs="Arial"/>
          <w:sz w:val="24"/>
          <w:szCs w:val="24"/>
        </w:rPr>
        <w:t xml:space="preserve"> </w:t>
      </w:r>
      <w:r w:rsidR="006E40C1" w:rsidRPr="006E40C1">
        <w:rPr>
          <w:rFonts w:ascii="Arial" w:eastAsia="Calibri" w:hAnsi="Arial" w:cs="Arial"/>
          <w:i/>
          <w:sz w:val="24"/>
          <w:szCs w:val="24"/>
        </w:rPr>
        <w:t>(Figure 5)</w:t>
      </w:r>
      <w:r w:rsidRPr="006E40C1">
        <w:rPr>
          <w:rFonts w:ascii="Arial" w:eastAsia="Calibri" w:hAnsi="Arial" w:cs="Arial"/>
          <w:i/>
          <w:sz w:val="24"/>
          <w:szCs w:val="24"/>
        </w:rPr>
        <w:t>.</w:t>
      </w:r>
      <w:r w:rsidRPr="00CA7508">
        <w:rPr>
          <w:rFonts w:ascii="Arial" w:eastAsia="Calibri" w:hAnsi="Arial" w:cs="Arial"/>
          <w:sz w:val="24"/>
          <w:szCs w:val="24"/>
        </w:rPr>
        <w:t xml:space="preserve"> </w:t>
      </w:r>
      <w:r w:rsidR="008C6506">
        <w:rPr>
          <w:rFonts w:ascii="Arial" w:eastAsia="Calibri" w:hAnsi="Arial" w:cs="Arial"/>
          <w:sz w:val="24"/>
          <w:szCs w:val="24"/>
        </w:rPr>
        <w:t>It was concerning that 11 (19.64%) midwifery students</w:t>
      </w:r>
      <w:r w:rsidR="00564CAA" w:rsidRPr="00CA7508">
        <w:rPr>
          <w:rFonts w:ascii="Arial" w:eastAsia="Calibri" w:hAnsi="Arial" w:cs="Arial"/>
          <w:sz w:val="24"/>
          <w:szCs w:val="24"/>
        </w:rPr>
        <w:t xml:space="preserve"> failed to fail student ‘Grace’ at the end of her third and final year</w:t>
      </w:r>
      <w:r w:rsidR="008C6506">
        <w:rPr>
          <w:rFonts w:ascii="Arial" w:eastAsia="Calibri" w:hAnsi="Arial" w:cs="Arial"/>
          <w:sz w:val="24"/>
          <w:szCs w:val="24"/>
        </w:rPr>
        <w:t xml:space="preserve"> (level 6; SCQF 9)</w:t>
      </w:r>
      <w:r w:rsidR="00564CAA" w:rsidRPr="00CA7508">
        <w:rPr>
          <w:rFonts w:ascii="Arial" w:eastAsia="Calibri" w:hAnsi="Arial" w:cs="Arial"/>
          <w:sz w:val="24"/>
          <w:szCs w:val="24"/>
        </w:rPr>
        <w:t>, despite it being evident that her practice did not meet requ</w:t>
      </w:r>
      <w:r w:rsidR="006E3868">
        <w:rPr>
          <w:rFonts w:ascii="Arial" w:eastAsia="Calibri" w:hAnsi="Arial" w:cs="Arial"/>
          <w:sz w:val="24"/>
          <w:szCs w:val="24"/>
        </w:rPr>
        <w:t>irements and was clearly unsafe;</w:t>
      </w:r>
      <w:r w:rsidR="008C6506">
        <w:rPr>
          <w:rFonts w:ascii="Arial" w:eastAsia="Calibri" w:hAnsi="Arial" w:cs="Arial"/>
          <w:sz w:val="24"/>
          <w:szCs w:val="24"/>
        </w:rPr>
        <w:t xml:space="preserve"> </w:t>
      </w:r>
      <w:r w:rsidR="00564CAA" w:rsidRPr="00CA7508">
        <w:rPr>
          <w:rFonts w:ascii="Arial" w:eastAsia="Calibri" w:hAnsi="Arial" w:cs="Arial"/>
          <w:sz w:val="24"/>
          <w:szCs w:val="24"/>
        </w:rPr>
        <w:t xml:space="preserve"> one mid</w:t>
      </w:r>
      <w:r w:rsidR="008C6506">
        <w:rPr>
          <w:rFonts w:ascii="Arial" w:eastAsia="Calibri" w:hAnsi="Arial" w:cs="Arial"/>
          <w:sz w:val="24"/>
          <w:szCs w:val="24"/>
        </w:rPr>
        <w:t>wifery academic also passed her. ‘Grace’</w:t>
      </w:r>
      <w:r w:rsidR="00564CAA" w:rsidRPr="00CA7508">
        <w:rPr>
          <w:rFonts w:ascii="Arial" w:eastAsia="Calibri" w:hAnsi="Arial" w:cs="Arial"/>
          <w:sz w:val="24"/>
          <w:szCs w:val="24"/>
        </w:rPr>
        <w:t xml:space="preserve"> was, however, failed by 88.57% midwifery and 85.71% nursing participants</w:t>
      </w:r>
      <w:r w:rsidR="006E40C1">
        <w:rPr>
          <w:rFonts w:ascii="Arial" w:eastAsia="Calibri" w:hAnsi="Arial" w:cs="Arial"/>
          <w:sz w:val="24"/>
          <w:szCs w:val="24"/>
        </w:rPr>
        <w:t xml:space="preserve"> </w:t>
      </w:r>
      <w:r w:rsidR="006E40C1" w:rsidRPr="006E40C1">
        <w:rPr>
          <w:rFonts w:ascii="Arial" w:eastAsia="Calibri" w:hAnsi="Arial" w:cs="Arial"/>
          <w:i/>
          <w:sz w:val="24"/>
          <w:szCs w:val="24"/>
        </w:rPr>
        <w:t>(Figure 6)</w:t>
      </w:r>
      <w:r w:rsidR="00564CAA" w:rsidRPr="00CA7508">
        <w:rPr>
          <w:rFonts w:ascii="Arial" w:eastAsia="Calibri" w:hAnsi="Arial" w:cs="Arial"/>
          <w:sz w:val="24"/>
          <w:szCs w:val="24"/>
        </w:rPr>
        <w:t>.</w:t>
      </w:r>
    </w:p>
    <w:p w:rsidR="00FF2019" w:rsidRDefault="00FF2019" w:rsidP="00CA7508">
      <w:pPr>
        <w:spacing w:after="0" w:line="480" w:lineRule="auto"/>
        <w:jc w:val="both"/>
        <w:rPr>
          <w:rFonts w:ascii="Arial" w:eastAsia="Calibri" w:hAnsi="Arial" w:cs="Arial"/>
          <w:sz w:val="24"/>
          <w:szCs w:val="24"/>
        </w:rPr>
      </w:pPr>
      <w:r w:rsidRPr="00FF2019">
        <w:rPr>
          <w:i/>
          <w:noProof/>
          <w:sz w:val="20"/>
          <w:szCs w:val="20"/>
          <w:u w:val="single"/>
          <w:lang w:eastAsia="en-GB"/>
        </w:rPr>
        <mc:AlternateContent>
          <mc:Choice Requires="wps">
            <w:drawing>
              <wp:anchor distT="45720" distB="45720" distL="114300" distR="114300" simplePos="0" relativeHeight="251659264" behindDoc="0" locked="0" layoutInCell="1" allowOverlap="1" wp14:anchorId="75A5A68B" wp14:editId="6EF313A3">
                <wp:simplePos x="0" y="0"/>
                <wp:positionH relativeFrom="margin">
                  <wp:posOffset>3086735</wp:posOffset>
                </wp:positionH>
                <wp:positionV relativeFrom="paragraph">
                  <wp:posOffset>7239</wp:posOffset>
                </wp:positionV>
                <wp:extent cx="3196590" cy="4381500"/>
                <wp:effectExtent l="0" t="0" r="228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4381500"/>
                        </a:xfrm>
                        <a:prstGeom prst="rect">
                          <a:avLst/>
                        </a:prstGeom>
                        <a:solidFill>
                          <a:srgbClr val="FFFFFF"/>
                        </a:solidFill>
                        <a:ln w="9525">
                          <a:solidFill>
                            <a:srgbClr val="000000"/>
                          </a:solidFill>
                          <a:miter lim="800000"/>
                          <a:headEnd/>
                          <a:tailEnd/>
                        </a:ln>
                      </wps:spPr>
                      <wps:txbx>
                        <w:txbxContent>
                          <w:p w:rsidR="00FF2019" w:rsidRPr="006A48E3" w:rsidRDefault="00FF2019" w:rsidP="00FF2019">
                            <w:pPr>
                              <w:rPr>
                                <w:rFonts w:eastAsia="Times New Roman" w:cstheme="minorHAnsi"/>
                                <w:b/>
                                <w:i/>
                                <w:kern w:val="36"/>
                                <w:sz w:val="20"/>
                                <w:szCs w:val="20"/>
                                <w:lang w:eastAsia="en-GB"/>
                              </w:rPr>
                            </w:pPr>
                            <w:r w:rsidRPr="006A48E3">
                              <w:rPr>
                                <w:rFonts w:cstheme="minorHAnsi"/>
                                <w:b/>
                                <w:sz w:val="20"/>
                                <w:szCs w:val="20"/>
                                <w:u w:val="single"/>
                                <w:lang w:eastAsia="en-GB"/>
                              </w:rPr>
                              <w:t>Scenario 3:</w:t>
                            </w:r>
                            <w:r w:rsidRPr="006A48E3">
                              <w:rPr>
                                <w:rFonts w:cstheme="minorHAnsi"/>
                                <w:b/>
                                <w:sz w:val="20"/>
                                <w:szCs w:val="20"/>
                                <w:lang w:eastAsia="en-GB"/>
                              </w:rPr>
                              <w:t xml:space="preserve"> </w:t>
                            </w:r>
                            <w:r w:rsidRPr="006A48E3">
                              <w:rPr>
                                <w:rFonts w:eastAsia="Times New Roman" w:cstheme="minorHAnsi"/>
                                <w:b/>
                                <w:i/>
                                <w:kern w:val="36"/>
                                <w:sz w:val="20"/>
                                <w:szCs w:val="20"/>
                                <w:lang w:eastAsia="en-GB"/>
                              </w:rPr>
                              <w:t>In her final placement Grace, a third-year student, has forgotten to listen to the fetal heart when admitting women in labour on three separate occasions.  The mentor, Tim, has had to remind Grace to undertake this care. On one occasion Grace had not anticipated birth despite changes in the woman's behaviour, and this resulted in a formal complaint.  This has made Tim hesitant to leave Grace unsupervised with women.  Tim does, however, note that Grace is always kind and compassionate to the women and works well within the team. What overall grade would you give this student, using the rubric for academic level 6 (SCQF 9)?</w:t>
                            </w:r>
                          </w:p>
                          <w:p w:rsidR="00FF2019" w:rsidRDefault="00FF2019" w:rsidP="00FF2019">
                            <w:r>
                              <w:rPr>
                                <w:noProof/>
                                <w:lang w:eastAsia="en-GB"/>
                              </w:rPr>
                              <w:drawing>
                                <wp:inline distT="0" distB="0" distL="0" distR="0" wp14:anchorId="3030AA11" wp14:editId="55F91821">
                                  <wp:extent cx="2994282" cy="1897524"/>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5585" cy="1987070"/>
                                          </a:xfrm>
                                          <a:prstGeom prst="rect">
                                            <a:avLst/>
                                          </a:prstGeom>
                                          <a:noFill/>
                                        </pic:spPr>
                                      </pic:pic>
                                    </a:graphicData>
                                  </a:graphic>
                                </wp:inline>
                              </w:drawing>
                            </w:r>
                          </w:p>
                          <w:p w:rsidR="00FF2019" w:rsidRDefault="00FF2019" w:rsidP="00FF20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A5A68B" id="_x0000_t202" coordsize="21600,21600" o:spt="202" path="m,l,21600r21600,l21600,xe">
                <v:stroke joinstyle="miter"/>
                <v:path gradientshapeok="t" o:connecttype="rect"/>
              </v:shapetype>
              <v:shape id="Text Box 2" o:spid="_x0000_s1026" type="#_x0000_t202" style="position:absolute;left:0;text-align:left;margin-left:243.05pt;margin-top:.55pt;width:251.7pt;height:3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zjIwIAAEYEAAAOAAAAZHJzL2Uyb0RvYy54bWysU9uO2yAQfa/Uf0C8N7azyTax4qy22aaq&#10;tL1Iu/0AjHGMCgwFEjv9+h1wNo227UtVHhDDDIeZc2ZWN4NW5CCcl2AqWkxySoTh0Eizq+i3x+2b&#10;BSU+MNMwBUZU9Cg8vVm/frXqbSmm0IFqhCMIYnzZ24p2IdgyyzzvhGZ+AlYYdLbgNAtoul3WONYj&#10;ulbZNM+vsx5cYx1w4T3e3o1Ouk74bSt4+NK2XgSiKoq5hbS7tNdxz9YrVu4cs53kpzTYP2ShmTT4&#10;6RnqjgVG9k7+BqUld+ChDRMOOoO2lVykGrCaIn9RzUPHrEi1IDnenmny/w+Wfz58dUQ2qF1BiWEa&#10;NXoUQyDvYCDTSE9vfYlRDxbjwoDXGJpK9fYe+HdPDGw6Znbi1jnoO8EaTK+IL7OLpyOOjyB1/wka&#10;/IbtAySgoXU6codsEERHmY5naWIqHC+viuX1fIkujr7Z1aKY50m8jJXPz63z4YMATeKhog61T/Ds&#10;cO9DTIeVzyHxNw9KNlupVDLcrt4oRw4M+2SbVqrgRZgypK/ocj6djwz8FSJP608QWgZseCV1RRfn&#10;IFZG3t6bJrVjYFKNZ0xZmRORkbuRxTDUw0mYGpojUupgbGwcRDx04H5S0mNTV9T/2DMnKFEfDcqy&#10;LGazOAXJmM3fTtFwl5760sMMR6iKBkrG4yakyYmEGbhF+VqZiI06j5mccsVmTXyfBitOw6Wdon6N&#10;//oJAAD//wMAUEsDBBQABgAIAAAAIQAbKEAM3gAAAAkBAAAPAAAAZHJzL2Rvd25yZXYueG1sTI9B&#10;T8MwDIXvSPyHyEhcEEsHo7Sl6YSQQHCDgeCaNV5bkTglybry7zEnOFn2e3r+Xr2enRUThjh4UrBc&#10;ZCCQWm8G6hS8vd6fFyBi0mS09YQKvjHCujk+qnVl/IFecNqkTnAIxUor6FMaKylj26PTceFHJNZ2&#10;PjideA2dNEEfONxZeZFluXR6IP7Q6xHvemw/N3unoFg9Th/x6fL5vc13tkxn19PDV1Dq9GS+vQGR&#10;cE5/ZvjFZ3RomGnr92SisApWRb5kKws8WC+L8grEVkFe8kU2tfzfoPkBAAD//wMAUEsBAi0AFAAG&#10;AAgAAAAhALaDOJL+AAAA4QEAABMAAAAAAAAAAAAAAAAAAAAAAFtDb250ZW50X1R5cGVzXS54bWxQ&#10;SwECLQAUAAYACAAAACEAOP0h/9YAAACUAQAACwAAAAAAAAAAAAAAAAAvAQAAX3JlbHMvLnJlbHNQ&#10;SwECLQAUAAYACAAAACEAdxcc4yMCAABGBAAADgAAAAAAAAAAAAAAAAAuAgAAZHJzL2Uyb0RvYy54&#10;bWxQSwECLQAUAAYACAAAACEAGyhADN4AAAAJAQAADwAAAAAAAAAAAAAAAAB9BAAAZHJzL2Rvd25y&#10;ZXYueG1sUEsFBgAAAAAEAAQA8wAAAIgFAAAAAA==&#10;">
                <v:textbox>
                  <w:txbxContent>
                    <w:p w:rsidR="00FF2019" w:rsidRPr="006A48E3" w:rsidRDefault="00FF2019" w:rsidP="00FF2019">
                      <w:pPr>
                        <w:rPr>
                          <w:rFonts w:eastAsia="Times New Roman" w:cstheme="minorHAnsi"/>
                          <w:b/>
                          <w:i/>
                          <w:kern w:val="36"/>
                          <w:sz w:val="20"/>
                          <w:szCs w:val="20"/>
                          <w:lang w:eastAsia="en-GB"/>
                        </w:rPr>
                      </w:pPr>
                      <w:r w:rsidRPr="006A48E3">
                        <w:rPr>
                          <w:rFonts w:cstheme="minorHAnsi"/>
                          <w:b/>
                          <w:sz w:val="20"/>
                          <w:szCs w:val="20"/>
                          <w:u w:val="single"/>
                          <w:lang w:eastAsia="en-GB"/>
                        </w:rPr>
                        <w:t>Scenario 3:</w:t>
                      </w:r>
                      <w:r w:rsidRPr="006A48E3">
                        <w:rPr>
                          <w:rFonts w:cstheme="minorHAnsi"/>
                          <w:b/>
                          <w:sz w:val="20"/>
                          <w:szCs w:val="20"/>
                          <w:lang w:eastAsia="en-GB"/>
                        </w:rPr>
                        <w:t xml:space="preserve"> </w:t>
                      </w:r>
                      <w:r w:rsidRPr="006A48E3">
                        <w:rPr>
                          <w:rFonts w:eastAsia="Times New Roman" w:cstheme="minorHAnsi"/>
                          <w:b/>
                          <w:i/>
                          <w:kern w:val="36"/>
                          <w:sz w:val="20"/>
                          <w:szCs w:val="20"/>
                          <w:lang w:eastAsia="en-GB"/>
                        </w:rPr>
                        <w:t>In her final placement Grace, a third-year student, has forgotten to listen to the fetal heart when admitting women in labour on three separate occasions.  The mentor, Tim, has had to remind Grace to undertake this care. On one occasion Grace had not anticipated birth despite changes in the woman's behaviour, and this resulted in a formal complaint.  This has made Tim hesitant to leave Grace unsupervised with women.  Tim does, however, note that Grace is always kind and compassionate to the women and works well within the team. What overall grade would you give this student, using the rubric for academic level 6 (SCQF 9)?</w:t>
                      </w:r>
                    </w:p>
                    <w:p w:rsidR="00FF2019" w:rsidRDefault="00FF2019" w:rsidP="00FF2019">
                      <w:r>
                        <w:rPr>
                          <w:noProof/>
                          <w:lang w:eastAsia="en-GB"/>
                        </w:rPr>
                        <w:drawing>
                          <wp:inline distT="0" distB="0" distL="0" distR="0" wp14:anchorId="3030AA11" wp14:editId="55F91821">
                            <wp:extent cx="2994282" cy="1897524"/>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5585" cy="1987070"/>
                                    </a:xfrm>
                                    <a:prstGeom prst="rect">
                                      <a:avLst/>
                                    </a:prstGeom>
                                    <a:noFill/>
                                  </pic:spPr>
                                </pic:pic>
                              </a:graphicData>
                            </a:graphic>
                          </wp:inline>
                        </w:drawing>
                      </w:r>
                    </w:p>
                    <w:p w:rsidR="00FF2019" w:rsidRDefault="00FF2019" w:rsidP="00FF2019"/>
                  </w:txbxContent>
                </v:textbox>
                <w10:wrap type="square" anchorx="margin"/>
              </v:shape>
            </w:pict>
          </mc:Fallback>
        </mc:AlternateContent>
      </w:r>
      <w:r>
        <w:rPr>
          <w:i/>
          <w:noProof/>
          <w:sz w:val="20"/>
          <w:szCs w:val="20"/>
          <w:lang w:eastAsia="en-GB"/>
        </w:rPr>
        <w:drawing>
          <wp:inline distT="0" distB="0" distL="0" distR="0" wp14:anchorId="0E1AFA8A" wp14:editId="3C0A25E6">
            <wp:extent cx="2953385" cy="441106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4545" cy="4427734"/>
                    </a:xfrm>
                    <a:prstGeom prst="rect">
                      <a:avLst/>
                    </a:prstGeom>
                    <a:noFill/>
                  </pic:spPr>
                </pic:pic>
              </a:graphicData>
            </a:graphic>
          </wp:inline>
        </w:drawing>
      </w:r>
    </w:p>
    <w:p w:rsidR="0006573F" w:rsidRPr="00FB4029" w:rsidRDefault="0006573F" w:rsidP="0006573F">
      <w:pPr>
        <w:jc w:val="center"/>
        <w:rPr>
          <w:sz w:val="20"/>
          <w:szCs w:val="20"/>
          <w:u w:val="single"/>
          <w:lang w:eastAsia="en-GB"/>
        </w:rPr>
      </w:pPr>
      <w:r w:rsidRPr="0006573F">
        <w:rPr>
          <w:i/>
          <w:noProof/>
          <w:sz w:val="20"/>
          <w:szCs w:val="20"/>
          <w:lang w:eastAsia="en-GB"/>
        </w:rPr>
        <w:t xml:space="preserve">    </w:t>
      </w:r>
      <w:r>
        <w:rPr>
          <w:i/>
          <w:noProof/>
          <w:sz w:val="20"/>
          <w:szCs w:val="20"/>
          <w:u w:val="single"/>
          <w:lang w:eastAsia="en-GB"/>
        </w:rPr>
        <w:t>Figure 5</w:t>
      </w:r>
      <w:r w:rsidRPr="00D90BC6">
        <w:rPr>
          <w:i/>
          <w:noProof/>
          <w:sz w:val="20"/>
          <w:szCs w:val="20"/>
          <w:u w:val="single"/>
          <w:lang w:eastAsia="en-GB"/>
        </w:rPr>
        <w:t>:</w:t>
      </w:r>
      <w:r w:rsidRPr="00D90BC6">
        <w:rPr>
          <w:noProof/>
          <w:sz w:val="20"/>
          <w:szCs w:val="20"/>
          <w:u w:val="single"/>
          <w:lang w:eastAsia="en-GB"/>
        </w:rPr>
        <w:t xml:space="preserve"> </w:t>
      </w:r>
      <w:r>
        <w:rPr>
          <w:noProof/>
          <w:sz w:val="20"/>
          <w:szCs w:val="20"/>
          <w:u w:val="single"/>
          <w:lang w:eastAsia="en-GB"/>
        </w:rPr>
        <w:t xml:space="preserve"> Alba</w:t>
      </w:r>
      <w:r w:rsidRPr="0006573F">
        <w:rPr>
          <w:noProof/>
          <w:sz w:val="20"/>
          <w:szCs w:val="20"/>
          <w:lang w:eastAsia="en-GB"/>
        </w:rPr>
        <w:t xml:space="preserve">                                                                        </w:t>
      </w:r>
      <w:r>
        <w:rPr>
          <w:noProof/>
          <w:sz w:val="20"/>
          <w:szCs w:val="20"/>
          <w:lang w:eastAsia="en-GB"/>
        </w:rPr>
        <w:t xml:space="preserve">                     </w:t>
      </w:r>
      <w:r w:rsidRPr="0006573F">
        <w:rPr>
          <w:noProof/>
          <w:sz w:val="20"/>
          <w:szCs w:val="20"/>
          <w:lang w:eastAsia="en-GB"/>
        </w:rPr>
        <w:t xml:space="preserve"> </w:t>
      </w:r>
      <w:r>
        <w:rPr>
          <w:i/>
          <w:noProof/>
          <w:sz w:val="20"/>
          <w:szCs w:val="20"/>
          <w:u w:val="single"/>
          <w:lang w:eastAsia="en-GB"/>
        </w:rPr>
        <w:t>Figure 6</w:t>
      </w:r>
      <w:r w:rsidRPr="00D90BC6">
        <w:rPr>
          <w:i/>
          <w:noProof/>
          <w:sz w:val="20"/>
          <w:szCs w:val="20"/>
          <w:u w:val="single"/>
          <w:lang w:eastAsia="en-GB"/>
        </w:rPr>
        <w:t>:</w:t>
      </w:r>
      <w:r w:rsidRPr="00D90BC6">
        <w:rPr>
          <w:noProof/>
          <w:sz w:val="20"/>
          <w:szCs w:val="20"/>
          <w:u w:val="single"/>
          <w:lang w:eastAsia="en-GB"/>
        </w:rPr>
        <w:t xml:space="preserve"> </w:t>
      </w:r>
      <w:r>
        <w:rPr>
          <w:noProof/>
          <w:sz w:val="20"/>
          <w:szCs w:val="20"/>
          <w:u w:val="single"/>
          <w:lang w:eastAsia="en-GB"/>
        </w:rPr>
        <w:t xml:space="preserve"> Grace</w:t>
      </w:r>
    </w:p>
    <w:p w:rsidR="0006573F" w:rsidRPr="00FB4029" w:rsidRDefault="0006573F" w:rsidP="0006573F">
      <w:pPr>
        <w:rPr>
          <w:sz w:val="20"/>
          <w:szCs w:val="20"/>
          <w:u w:val="single"/>
          <w:lang w:eastAsia="en-GB"/>
        </w:rPr>
      </w:pPr>
    </w:p>
    <w:p w:rsidR="0003515B" w:rsidRDefault="0003515B" w:rsidP="00CA7508">
      <w:pPr>
        <w:spacing w:after="0" w:line="480" w:lineRule="auto"/>
        <w:contextualSpacing/>
        <w:jc w:val="both"/>
        <w:rPr>
          <w:rFonts w:ascii="Arial" w:eastAsia="Calibri" w:hAnsi="Arial" w:cs="Arial"/>
          <w:sz w:val="24"/>
          <w:szCs w:val="24"/>
        </w:rPr>
      </w:pPr>
      <w:r w:rsidRPr="00CA7508">
        <w:rPr>
          <w:rFonts w:ascii="Arial" w:eastAsia="Calibri" w:hAnsi="Arial" w:cs="Arial"/>
          <w:sz w:val="24"/>
          <w:szCs w:val="24"/>
        </w:rPr>
        <w:lastRenderedPageBreak/>
        <w:t>Findings suggested that grading using the Ru</w:t>
      </w:r>
      <w:r w:rsidR="00FE3F2E" w:rsidRPr="00CA7508">
        <w:rPr>
          <w:rFonts w:ascii="Arial" w:eastAsia="Calibri" w:hAnsi="Arial" w:cs="Arial"/>
          <w:sz w:val="24"/>
          <w:szCs w:val="24"/>
        </w:rPr>
        <w:t xml:space="preserve">brics could be fairly reliable, </w:t>
      </w:r>
      <w:r w:rsidRPr="00CA7508">
        <w:rPr>
          <w:rFonts w:ascii="Arial" w:eastAsia="Calibri" w:hAnsi="Arial" w:cs="Arial"/>
          <w:sz w:val="24"/>
          <w:szCs w:val="24"/>
        </w:rPr>
        <w:t xml:space="preserve">even if the assessor </w:t>
      </w:r>
      <w:r w:rsidR="00FE3F2E" w:rsidRPr="00CA7508">
        <w:rPr>
          <w:rFonts w:ascii="Arial" w:eastAsia="Calibri" w:hAnsi="Arial" w:cs="Arial"/>
          <w:sz w:val="24"/>
          <w:szCs w:val="24"/>
        </w:rPr>
        <w:t>had not worked with the student</w:t>
      </w:r>
      <w:r w:rsidR="00564CAA" w:rsidRPr="00CA7508">
        <w:rPr>
          <w:rFonts w:ascii="Arial" w:eastAsia="Calibri" w:hAnsi="Arial" w:cs="Arial"/>
          <w:sz w:val="24"/>
          <w:szCs w:val="24"/>
        </w:rPr>
        <w:t xml:space="preserve"> – noting that the scenarios were hypothetical</w:t>
      </w:r>
      <w:r w:rsidR="00FE3F2E" w:rsidRPr="00CA7508">
        <w:rPr>
          <w:rFonts w:ascii="Arial" w:eastAsia="Calibri" w:hAnsi="Arial" w:cs="Arial"/>
          <w:sz w:val="24"/>
          <w:szCs w:val="24"/>
        </w:rPr>
        <w:t>.</w:t>
      </w:r>
      <w:r w:rsidRPr="00CA7508">
        <w:rPr>
          <w:rFonts w:ascii="Arial" w:eastAsia="Calibri" w:hAnsi="Arial" w:cs="Arial"/>
          <w:sz w:val="24"/>
          <w:szCs w:val="24"/>
        </w:rPr>
        <w:t xml:space="preserve"> </w:t>
      </w:r>
      <w:r w:rsidR="006E3868">
        <w:rPr>
          <w:rFonts w:ascii="Arial" w:eastAsia="Calibri" w:hAnsi="Arial" w:cs="Arial"/>
          <w:sz w:val="24"/>
          <w:szCs w:val="24"/>
        </w:rPr>
        <w:t>T</w:t>
      </w:r>
      <w:r w:rsidRPr="00CA7508">
        <w:rPr>
          <w:rFonts w:ascii="Arial" w:eastAsia="Calibri" w:hAnsi="Arial" w:cs="Arial"/>
          <w:sz w:val="24"/>
          <w:szCs w:val="24"/>
        </w:rPr>
        <w:t>he distribution of grades was similar in both midwifery and nursing</w:t>
      </w:r>
      <w:r w:rsidR="006E3868">
        <w:rPr>
          <w:rFonts w:ascii="Arial" w:eastAsia="Calibri" w:hAnsi="Arial" w:cs="Arial"/>
          <w:sz w:val="24"/>
          <w:szCs w:val="24"/>
        </w:rPr>
        <w:t>, supporting the potential for other professions to contribute to assessment</w:t>
      </w:r>
      <w:r w:rsidR="00FE3F2E" w:rsidRPr="00CA7508">
        <w:rPr>
          <w:rFonts w:ascii="Arial" w:eastAsia="Calibri" w:hAnsi="Arial" w:cs="Arial"/>
          <w:sz w:val="24"/>
          <w:szCs w:val="24"/>
        </w:rPr>
        <w:t xml:space="preserve">. </w:t>
      </w:r>
    </w:p>
    <w:p w:rsidR="00CA462A" w:rsidRPr="00CA7508" w:rsidRDefault="00CA462A" w:rsidP="00CA7508">
      <w:pPr>
        <w:spacing w:after="0" w:line="480" w:lineRule="auto"/>
        <w:contextualSpacing/>
        <w:jc w:val="both"/>
        <w:rPr>
          <w:rFonts w:ascii="Arial" w:eastAsia="Calibri" w:hAnsi="Arial" w:cs="Arial"/>
          <w:sz w:val="24"/>
          <w:szCs w:val="24"/>
        </w:rPr>
      </w:pPr>
    </w:p>
    <w:p w:rsidR="00FF2019" w:rsidRPr="005E6D9C" w:rsidRDefault="008C6506" w:rsidP="005E6D9C">
      <w:pPr>
        <w:spacing w:after="0" w:line="480" w:lineRule="auto"/>
        <w:jc w:val="both"/>
        <w:rPr>
          <w:rFonts w:ascii="Arial" w:eastAsia="Calibri" w:hAnsi="Arial" w:cs="Arial"/>
          <w:sz w:val="24"/>
          <w:szCs w:val="24"/>
        </w:rPr>
      </w:pPr>
      <w:r>
        <w:rPr>
          <w:rFonts w:ascii="Arial" w:eastAsia="Calibri" w:hAnsi="Arial" w:cs="Arial"/>
          <w:sz w:val="24"/>
          <w:szCs w:val="24"/>
        </w:rPr>
        <w:t>R</w:t>
      </w:r>
      <w:r w:rsidR="00A95463">
        <w:rPr>
          <w:rFonts w:ascii="Arial" w:eastAsia="Calibri" w:hAnsi="Arial" w:cs="Arial"/>
          <w:sz w:val="24"/>
          <w:szCs w:val="24"/>
        </w:rPr>
        <w:t>espons</w:t>
      </w:r>
      <w:r>
        <w:rPr>
          <w:rFonts w:ascii="Arial" w:eastAsia="Calibri" w:hAnsi="Arial" w:cs="Arial"/>
          <w:sz w:val="24"/>
          <w:szCs w:val="24"/>
        </w:rPr>
        <w:t xml:space="preserve">es were predominantly positive about the potential for the Rubrics to be used in both midwifery and nursing (see </w:t>
      </w:r>
      <w:r w:rsidR="00A95463" w:rsidRPr="00A95463">
        <w:rPr>
          <w:rFonts w:ascii="Arial" w:eastAsia="Calibri" w:hAnsi="Arial" w:cs="Arial"/>
          <w:i/>
          <w:sz w:val="24"/>
          <w:szCs w:val="24"/>
        </w:rPr>
        <w:t>Table 6</w:t>
      </w:r>
      <w:r>
        <w:rPr>
          <w:rFonts w:ascii="Arial" w:eastAsia="Calibri" w:hAnsi="Arial" w:cs="Arial"/>
          <w:sz w:val="24"/>
          <w:szCs w:val="24"/>
        </w:rPr>
        <w:t>)</w:t>
      </w:r>
      <w:r w:rsidR="004B5174">
        <w:rPr>
          <w:rFonts w:ascii="Arial" w:eastAsia="Calibri" w:hAnsi="Arial" w:cs="Arial"/>
          <w:sz w:val="24"/>
          <w:szCs w:val="24"/>
        </w:rPr>
        <w:t xml:space="preserve">, particularly their scope for transferability </w:t>
      </w:r>
      <w:r w:rsidR="00A95463">
        <w:rPr>
          <w:rFonts w:ascii="Arial" w:eastAsia="Calibri" w:hAnsi="Arial" w:cs="Arial"/>
          <w:sz w:val="24"/>
          <w:szCs w:val="24"/>
        </w:rPr>
        <w:t>across all in</w:t>
      </w:r>
      <w:r w:rsidR="004B5174">
        <w:rPr>
          <w:rFonts w:ascii="Arial" w:eastAsia="Calibri" w:hAnsi="Arial" w:cs="Arial"/>
          <w:sz w:val="24"/>
          <w:szCs w:val="24"/>
        </w:rPr>
        <w:t>stitutions or programmes (</w:t>
      </w:r>
      <w:r w:rsidR="00A95463">
        <w:rPr>
          <w:rFonts w:ascii="Arial" w:eastAsia="Calibri" w:hAnsi="Arial" w:cs="Arial"/>
          <w:sz w:val="24"/>
          <w:szCs w:val="24"/>
        </w:rPr>
        <w:t>73.33% midwifery and 71.43% nursing par</w:t>
      </w:r>
      <w:r w:rsidR="004B5174">
        <w:rPr>
          <w:rFonts w:ascii="Arial" w:eastAsia="Calibri" w:hAnsi="Arial" w:cs="Arial"/>
          <w:sz w:val="24"/>
          <w:szCs w:val="24"/>
        </w:rPr>
        <w:t>ticipants)</w:t>
      </w:r>
      <w:r w:rsidR="00BE1F31">
        <w:rPr>
          <w:rFonts w:ascii="Arial" w:eastAsia="Calibri" w:hAnsi="Arial" w:cs="Arial"/>
          <w:sz w:val="24"/>
          <w:szCs w:val="24"/>
        </w:rPr>
        <w:t>.</w:t>
      </w:r>
    </w:p>
    <w:tbl>
      <w:tblPr>
        <w:tblStyle w:val="TableGrid"/>
        <w:tblW w:w="9634" w:type="dxa"/>
        <w:tblInd w:w="-5" w:type="dxa"/>
        <w:tblLook w:val="04A0" w:firstRow="1" w:lastRow="0" w:firstColumn="1" w:lastColumn="0" w:noHBand="0" w:noVBand="1"/>
      </w:tblPr>
      <w:tblGrid>
        <w:gridCol w:w="4369"/>
        <w:gridCol w:w="875"/>
        <w:gridCol w:w="875"/>
        <w:gridCol w:w="875"/>
        <w:gridCol w:w="875"/>
        <w:gridCol w:w="875"/>
        <w:gridCol w:w="890"/>
      </w:tblGrid>
      <w:tr w:rsidR="00A95463" w:rsidRPr="000C00C8" w:rsidTr="00FE1685">
        <w:trPr>
          <w:trHeight w:val="327"/>
        </w:trPr>
        <w:tc>
          <w:tcPr>
            <w:tcW w:w="4369" w:type="dxa"/>
            <w:vMerge w:val="restart"/>
            <w:shd w:val="clear" w:color="auto" w:fill="auto"/>
          </w:tcPr>
          <w:p w:rsidR="00A95463" w:rsidRPr="00C96DCE" w:rsidRDefault="00A95463" w:rsidP="008E420D">
            <w:pPr>
              <w:contextualSpacing/>
              <w:rPr>
                <w:rFonts w:ascii="Calibri" w:hAnsi="Calibri" w:cs="Calibri"/>
                <w:b/>
                <w:sz w:val="24"/>
                <w:szCs w:val="24"/>
              </w:rPr>
            </w:pPr>
            <w:r w:rsidRPr="00C96DCE">
              <w:rPr>
                <w:rFonts w:ascii="Calibri" w:hAnsi="Calibri" w:cs="Calibri"/>
                <w:b/>
                <w:sz w:val="24"/>
                <w:szCs w:val="24"/>
              </w:rPr>
              <w:t>Potential use of Rubrics…</w:t>
            </w:r>
          </w:p>
        </w:tc>
        <w:tc>
          <w:tcPr>
            <w:tcW w:w="2625" w:type="dxa"/>
            <w:gridSpan w:val="3"/>
            <w:shd w:val="clear" w:color="auto" w:fill="auto"/>
          </w:tcPr>
          <w:p w:rsidR="00A95463" w:rsidRPr="000C00C8" w:rsidRDefault="00A95463" w:rsidP="008E420D">
            <w:pPr>
              <w:contextualSpacing/>
              <w:jc w:val="center"/>
              <w:rPr>
                <w:rFonts w:ascii="Calibri" w:hAnsi="Calibri" w:cs="Calibri"/>
                <w:b/>
              </w:rPr>
            </w:pPr>
            <w:r w:rsidRPr="000C00C8">
              <w:rPr>
                <w:rFonts w:ascii="Calibri" w:hAnsi="Calibri" w:cs="Calibri"/>
                <w:b/>
              </w:rPr>
              <w:t>MIDWIFERY (n=134)</w:t>
            </w:r>
          </w:p>
        </w:tc>
        <w:tc>
          <w:tcPr>
            <w:tcW w:w="2640" w:type="dxa"/>
            <w:gridSpan w:val="3"/>
            <w:shd w:val="clear" w:color="auto" w:fill="auto"/>
          </w:tcPr>
          <w:p w:rsidR="00A95463" w:rsidRPr="000C00C8" w:rsidRDefault="00A95463" w:rsidP="008E420D">
            <w:pPr>
              <w:contextualSpacing/>
              <w:jc w:val="center"/>
              <w:rPr>
                <w:rFonts w:ascii="Calibri" w:hAnsi="Calibri" w:cs="Calibri"/>
                <w:b/>
              </w:rPr>
            </w:pPr>
            <w:r w:rsidRPr="000C00C8">
              <w:rPr>
                <w:rFonts w:ascii="Calibri" w:hAnsi="Calibri" w:cs="Calibri"/>
                <w:b/>
              </w:rPr>
              <w:t>NURSING (n=36)</w:t>
            </w:r>
          </w:p>
        </w:tc>
      </w:tr>
      <w:tr w:rsidR="00A95463" w:rsidRPr="000C00C8" w:rsidTr="00FE1685">
        <w:trPr>
          <w:trHeight w:val="327"/>
        </w:trPr>
        <w:tc>
          <w:tcPr>
            <w:tcW w:w="4369" w:type="dxa"/>
            <w:vMerge/>
            <w:shd w:val="clear" w:color="auto" w:fill="auto"/>
          </w:tcPr>
          <w:p w:rsidR="00A95463" w:rsidRPr="00C96DCE" w:rsidRDefault="00A95463" w:rsidP="008E420D">
            <w:pPr>
              <w:contextualSpacing/>
              <w:rPr>
                <w:rFonts w:ascii="Calibri" w:hAnsi="Calibri" w:cs="Calibri"/>
                <w:b/>
                <w:sz w:val="24"/>
                <w:szCs w:val="24"/>
              </w:rPr>
            </w:pPr>
          </w:p>
        </w:tc>
        <w:tc>
          <w:tcPr>
            <w:tcW w:w="875" w:type="dxa"/>
            <w:shd w:val="clear" w:color="auto" w:fill="auto"/>
          </w:tcPr>
          <w:p w:rsidR="00A95463" w:rsidRPr="000C00C8" w:rsidRDefault="00A95463" w:rsidP="008E420D">
            <w:pPr>
              <w:contextualSpacing/>
              <w:jc w:val="center"/>
              <w:rPr>
                <w:rFonts w:ascii="Calibri" w:hAnsi="Calibri" w:cs="Calibri"/>
                <w:b/>
              </w:rPr>
            </w:pPr>
            <w:r>
              <w:rPr>
                <w:rFonts w:ascii="Calibri" w:hAnsi="Calibri" w:cs="Calibri"/>
                <w:b/>
              </w:rPr>
              <w:t>Yes</w:t>
            </w:r>
          </w:p>
        </w:tc>
        <w:tc>
          <w:tcPr>
            <w:tcW w:w="875" w:type="dxa"/>
            <w:shd w:val="clear" w:color="auto" w:fill="auto"/>
          </w:tcPr>
          <w:p w:rsidR="00A95463" w:rsidRPr="000C00C8" w:rsidRDefault="00A95463" w:rsidP="008E420D">
            <w:pPr>
              <w:contextualSpacing/>
              <w:jc w:val="center"/>
              <w:rPr>
                <w:rFonts w:ascii="Calibri" w:hAnsi="Calibri" w:cs="Calibri"/>
                <w:b/>
              </w:rPr>
            </w:pPr>
            <w:r>
              <w:rPr>
                <w:rFonts w:ascii="Calibri" w:hAnsi="Calibri" w:cs="Calibri"/>
                <w:b/>
              </w:rPr>
              <w:t>Maybe</w:t>
            </w:r>
          </w:p>
        </w:tc>
        <w:tc>
          <w:tcPr>
            <w:tcW w:w="875" w:type="dxa"/>
            <w:shd w:val="clear" w:color="auto" w:fill="auto"/>
          </w:tcPr>
          <w:p w:rsidR="00A95463" w:rsidRPr="000C00C8" w:rsidRDefault="00A95463" w:rsidP="008E420D">
            <w:pPr>
              <w:contextualSpacing/>
              <w:jc w:val="center"/>
              <w:rPr>
                <w:rFonts w:ascii="Calibri" w:hAnsi="Calibri" w:cs="Calibri"/>
                <w:b/>
              </w:rPr>
            </w:pPr>
            <w:r>
              <w:rPr>
                <w:rFonts w:ascii="Calibri" w:hAnsi="Calibri" w:cs="Calibri"/>
                <w:b/>
              </w:rPr>
              <w:t>No</w:t>
            </w:r>
          </w:p>
        </w:tc>
        <w:tc>
          <w:tcPr>
            <w:tcW w:w="875" w:type="dxa"/>
            <w:shd w:val="clear" w:color="auto" w:fill="auto"/>
          </w:tcPr>
          <w:p w:rsidR="00A95463" w:rsidRPr="000C00C8" w:rsidRDefault="00A95463" w:rsidP="008E420D">
            <w:pPr>
              <w:contextualSpacing/>
              <w:jc w:val="center"/>
              <w:rPr>
                <w:rFonts w:ascii="Calibri" w:hAnsi="Calibri" w:cs="Calibri"/>
                <w:b/>
              </w:rPr>
            </w:pPr>
            <w:r>
              <w:rPr>
                <w:rFonts w:ascii="Calibri" w:hAnsi="Calibri" w:cs="Calibri"/>
                <w:b/>
              </w:rPr>
              <w:t>Yes</w:t>
            </w:r>
          </w:p>
        </w:tc>
        <w:tc>
          <w:tcPr>
            <w:tcW w:w="875" w:type="dxa"/>
            <w:shd w:val="clear" w:color="auto" w:fill="auto"/>
          </w:tcPr>
          <w:p w:rsidR="00A95463" w:rsidRPr="000C00C8" w:rsidRDefault="00A95463" w:rsidP="008E420D">
            <w:pPr>
              <w:contextualSpacing/>
              <w:jc w:val="center"/>
              <w:rPr>
                <w:rFonts w:ascii="Calibri" w:hAnsi="Calibri" w:cs="Calibri"/>
                <w:b/>
              </w:rPr>
            </w:pPr>
            <w:r>
              <w:rPr>
                <w:rFonts w:ascii="Calibri" w:hAnsi="Calibri" w:cs="Calibri"/>
                <w:b/>
              </w:rPr>
              <w:t>Maybe</w:t>
            </w:r>
          </w:p>
        </w:tc>
        <w:tc>
          <w:tcPr>
            <w:tcW w:w="890" w:type="dxa"/>
            <w:shd w:val="clear" w:color="auto" w:fill="auto"/>
          </w:tcPr>
          <w:p w:rsidR="00A95463" w:rsidRPr="000C00C8" w:rsidRDefault="00A95463" w:rsidP="008E420D">
            <w:pPr>
              <w:contextualSpacing/>
              <w:jc w:val="center"/>
              <w:rPr>
                <w:rFonts w:ascii="Calibri" w:hAnsi="Calibri" w:cs="Calibri"/>
                <w:b/>
              </w:rPr>
            </w:pPr>
            <w:r>
              <w:rPr>
                <w:rFonts w:ascii="Calibri" w:hAnsi="Calibri" w:cs="Calibri"/>
                <w:b/>
              </w:rPr>
              <w:t>No</w:t>
            </w:r>
          </w:p>
        </w:tc>
      </w:tr>
      <w:tr w:rsidR="00A95463" w:rsidRPr="000C00C8" w:rsidTr="00FE1685">
        <w:trPr>
          <w:trHeight w:val="327"/>
        </w:trPr>
        <w:tc>
          <w:tcPr>
            <w:tcW w:w="4369" w:type="dxa"/>
            <w:shd w:val="clear" w:color="auto" w:fill="auto"/>
          </w:tcPr>
          <w:p w:rsidR="00A95463" w:rsidRPr="00C96DCE" w:rsidRDefault="00A95463" w:rsidP="008E420D">
            <w:pPr>
              <w:contextualSpacing/>
              <w:rPr>
                <w:rFonts w:ascii="Calibri" w:hAnsi="Calibri" w:cs="Calibri"/>
                <w:sz w:val="24"/>
                <w:szCs w:val="24"/>
              </w:rPr>
            </w:pPr>
            <w:r w:rsidRPr="00C96DCE">
              <w:rPr>
                <w:rFonts w:ascii="Calibri" w:hAnsi="Calibri" w:cs="Calibri"/>
                <w:sz w:val="24"/>
                <w:szCs w:val="24"/>
              </w:rPr>
              <w:t>As a ‘stand-alone’ practice assessment tool</w:t>
            </w:r>
          </w:p>
        </w:tc>
        <w:tc>
          <w:tcPr>
            <w:tcW w:w="875" w:type="dxa"/>
            <w:shd w:val="clear" w:color="auto" w:fill="auto"/>
          </w:tcPr>
          <w:p w:rsidR="00A95463" w:rsidRPr="000C00C8" w:rsidRDefault="00A95463" w:rsidP="008E420D">
            <w:pPr>
              <w:contextualSpacing/>
              <w:rPr>
                <w:rFonts w:ascii="Calibri" w:hAnsi="Calibri" w:cs="Calibri"/>
              </w:rPr>
            </w:pPr>
            <w:r>
              <w:rPr>
                <w:rFonts w:ascii="Calibri" w:hAnsi="Calibri" w:cs="Calibri"/>
              </w:rPr>
              <w:t>45.71%</w:t>
            </w:r>
          </w:p>
        </w:tc>
        <w:tc>
          <w:tcPr>
            <w:tcW w:w="875" w:type="dxa"/>
            <w:shd w:val="clear" w:color="auto" w:fill="auto"/>
          </w:tcPr>
          <w:p w:rsidR="00A95463" w:rsidRPr="000C00C8" w:rsidRDefault="00A95463" w:rsidP="008E420D">
            <w:pPr>
              <w:contextualSpacing/>
              <w:rPr>
                <w:rFonts w:ascii="Calibri" w:hAnsi="Calibri" w:cs="Calibri"/>
              </w:rPr>
            </w:pPr>
            <w:r>
              <w:rPr>
                <w:rFonts w:ascii="Calibri" w:hAnsi="Calibri" w:cs="Calibri"/>
              </w:rPr>
              <w:t>35.24%</w:t>
            </w:r>
          </w:p>
        </w:tc>
        <w:tc>
          <w:tcPr>
            <w:tcW w:w="875" w:type="dxa"/>
            <w:shd w:val="clear" w:color="auto" w:fill="auto"/>
          </w:tcPr>
          <w:p w:rsidR="00A95463" w:rsidRPr="000C00C8" w:rsidRDefault="00A95463" w:rsidP="008E420D">
            <w:pPr>
              <w:contextualSpacing/>
              <w:rPr>
                <w:rFonts w:ascii="Calibri" w:hAnsi="Calibri" w:cs="Calibri"/>
              </w:rPr>
            </w:pPr>
            <w:r>
              <w:rPr>
                <w:rFonts w:ascii="Calibri" w:hAnsi="Calibri" w:cs="Calibri"/>
              </w:rPr>
              <w:t>19.05%</w:t>
            </w:r>
          </w:p>
        </w:tc>
        <w:tc>
          <w:tcPr>
            <w:tcW w:w="875" w:type="dxa"/>
            <w:shd w:val="clear" w:color="auto" w:fill="auto"/>
          </w:tcPr>
          <w:p w:rsidR="00A95463" w:rsidRPr="000C00C8" w:rsidRDefault="00A95463" w:rsidP="008E420D">
            <w:pPr>
              <w:contextualSpacing/>
              <w:rPr>
                <w:rFonts w:ascii="Calibri" w:hAnsi="Calibri" w:cs="Calibri"/>
              </w:rPr>
            </w:pPr>
            <w:r>
              <w:rPr>
                <w:rFonts w:ascii="Calibri" w:hAnsi="Calibri" w:cs="Calibri"/>
              </w:rPr>
              <w:t>52.38%</w:t>
            </w:r>
          </w:p>
        </w:tc>
        <w:tc>
          <w:tcPr>
            <w:tcW w:w="875" w:type="dxa"/>
            <w:shd w:val="clear" w:color="auto" w:fill="auto"/>
          </w:tcPr>
          <w:p w:rsidR="00A95463" w:rsidRPr="000C00C8" w:rsidRDefault="00A95463" w:rsidP="008E420D">
            <w:pPr>
              <w:contextualSpacing/>
              <w:rPr>
                <w:rFonts w:ascii="Calibri" w:hAnsi="Calibri" w:cs="Calibri"/>
              </w:rPr>
            </w:pPr>
            <w:r>
              <w:rPr>
                <w:rFonts w:ascii="Calibri" w:hAnsi="Calibri" w:cs="Calibri"/>
              </w:rPr>
              <w:t>28.57%</w:t>
            </w:r>
          </w:p>
        </w:tc>
        <w:tc>
          <w:tcPr>
            <w:tcW w:w="890" w:type="dxa"/>
            <w:shd w:val="clear" w:color="auto" w:fill="auto"/>
          </w:tcPr>
          <w:p w:rsidR="00A95463" w:rsidRPr="000C00C8" w:rsidRDefault="00A95463" w:rsidP="008E420D">
            <w:pPr>
              <w:contextualSpacing/>
              <w:rPr>
                <w:rFonts w:ascii="Calibri" w:hAnsi="Calibri" w:cs="Calibri"/>
              </w:rPr>
            </w:pPr>
            <w:r>
              <w:rPr>
                <w:rFonts w:ascii="Calibri" w:hAnsi="Calibri" w:cs="Calibri"/>
              </w:rPr>
              <w:t>19.05%</w:t>
            </w:r>
          </w:p>
        </w:tc>
      </w:tr>
      <w:tr w:rsidR="00A95463" w:rsidRPr="000C00C8" w:rsidTr="00FE1685">
        <w:trPr>
          <w:trHeight w:val="344"/>
        </w:trPr>
        <w:tc>
          <w:tcPr>
            <w:tcW w:w="4369" w:type="dxa"/>
            <w:shd w:val="clear" w:color="auto" w:fill="auto"/>
          </w:tcPr>
          <w:p w:rsidR="00A95463" w:rsidRPr="00C96DCE" w:rsidRDefault="00A95463" w:rsidP="008E420D">
            <w:pPr>
              <w:contextualSpacing/>
              <w:rPr>
                <w:rFonts w:ascii="Calibri" w:hAnsi="Calibri" w:cs="Calibri"/>
                <w:sz w:val="24"/>
                <w:szCs w:val="24"/>
              </w:rPr>
            </w:pPr>
            <w:r w:rsidRPr="00C96DCE">
              <w:rPr>
                <w:rFonts w:ascii="Calibri" w:hAnsi="Calibri" w:cs="Calibri"/>
                <w:sz w:val="24"/>
                <w:szCs w:val="24"/>
              </w:rPr>
              <w:t>In combination with existing tool</w:t>
            </w:r>
          </w:p>
        </w:tc>
        <w:tc>
          <w:tcPr>
            <w:tcW w:w="875" w:type="dxa"/>
            <w:shd w:val="clear" w:color="auto" w:fill="auto"/>
          </w:tcPr>
          <w:p w:rsidR="00A95463" w:rsidRPr="000C00C8" w:rsidRDefault="00A95463" w:rsidP="008E420D">
            <w:pPr>
              <w:contextualSpacing/>
              <w:jc w:val="center"/>
              <w:rPr>
                <w:rFonts w:ascii="Calibri" w:hAnsi="Calibri" w:cs="Calibri"/>
              </w:rPr>
            </w:pPr>
            <w:r>
              <w:rPr>
                <w:rFonts w:ascii="Calibri" w:hAnsi="Calibri" w:cs="Calibri"/>
              </w:rPr>
              <w:t>65.71%</w:t>
            </w:r>
          </w:p>
        </w:tc>
        <w:tc>
          <w:tcPr>
            <w:tcW w:w="875" w:type="dxa"/>
            <w:shd w:val="clear" w:color="auto" w:fill="auto"/>
          </w:tcPr>
          <w:p w:rsidR="00A95463" w:rsidRPr="000C00C8" w:rsidRDefault="00A95463" w:rsidP="008E420D">
            <w:pPr>
              <w:contextualSpacing/>
              <w:jc w:val="center"/>
              <w:rPr>
                <w:rFonts w:ascii="Calibri" w:hAnsi="Calibri" w:cs="Calibri"/>
              </w:rPr>
            </w:pPr>
            <w:r>
              <w:rPr>
                <w:rFonts w:ascii="Calibri" w:hAnsi="Calibri" w:cs="Calibri"/>
              </w:rPr>
              <w:t>26.67%</w:t>
            </w:r>
          </w:p>
        </w:tc>
        <w:tc>
          <w:tcPr>
            <w:tcW w:w="875" w:type="dxa"/>
            <w:shd w:val="clear" w:color="auto" w:fill="auto"/>
          </w:tcPr>
          <w:p w:rsidR="00A95463" w:rsidRPr="000C00C8" w:rsidRDefault="00A95463" w:rsidP="008E420D">
            <w:pPr>
              <w:contextualSpacing/>
              <w:jc w:val="center"/>
              <w:rPr>
                <w:rFonts w:ascii="Calibri" w:hAnsi="Calibri" w:cs="Calibri"/>
              </w:rPr>
            </w:pPr>
            <w:r>
              <w:rPr>
                <w:rFonts w:ascii="Calibri" w:hAnsi="Calibri" w:cs="Calibri"/>
              </w:rPr>
              <w:t>7.62%</w:t>
            </w:r>
          </w:p>
        </w:tc>
        <w:tc>
          <w:tcPr>
            <w:tcW w:w="875" w:type="dxa"/>
            <w:shd w:val="clear" w:color="auto" w:fill="auto"/>
          </w:tcPr>
          <w:p w:rsidR="00A95463" w:rsidRPr="000C00C8" w:rsidRDefault="00A95463" w:rsidP="008E420D">
            <w:pPr>
              <w:contextualSpacing/>
              <w:rPr>
                <w:rFonts w:ascii="Calibri" w:hAnsi="Calibri" w:cs="Calibri"/>
              </w:rPr>
            </w:pPr>
            <w:r>
              <w:rPr>
                <w:rFonts w:ascii="Calibri" w:hAnsi="Calibri" w:cs="Calibri"/>
              </w:rPr>
              <w:t>66.67%</w:t>
            </w:r>
          </w:p>
        </w:tc>
        <w:tc>
          <w:tcPr>
            <w:tcW w:w="875" w:type="dxa"/>
            <w:shd w:val="clear" w:color="auto" w:fill="auto"/>
          </w:tcPr>
          <w:p w:rsidR="00A95463" w:rsidRPr="000C00C8" w:rsidRDefault="00A95463" w:rsidP="008E420D">
            <w:pPr>
              <w:contextualSpacing/>
              <w:rPr>
                <w:rFonts w:ascii="Calibri" w:hAnsi="Calibri" w:cs="Calibri"/>
              </w:rPr>
            </w:pPr>
            <w:r>
              <w:rPr>
                <w:rFonts w:ascii="Calibri" w:hAnsi="Calibri" w:cs="Calibri"/>
              </w:rPr>
              <w:t>28.57%</w:t>
            </w:r>
          </w:p>
        </w:tc>
        <w:tc>
          <w:tcPr>
            <w:tcW w:w="890" w:type="dxa"/>
            <w:shd w:val="clear" w:color="auto" w:fill="auto"/>
          </w:tcPr>
          <w:p w:rsidR="00A95463" w:rsidRPr="000C00C8" w:rsidRDefault="00A95463" w:rsidP="008E420D">
            <w:pPr>
              <w:contextualSpacing/>
              <w:rPr>
                <w:rFonts w:ascii="Calibri" w:hAnsi="Calibri" w:cs="Calibri"/>
              </w:rPr>
            </w:pPr>
            <w:r>
              <w:rPr>
                <w:rFonts w:ascii="Calibri" w:hAnsi="Calibri" w:cs="Calibri"/>
              </w:rPr>
              <w:t>4.76%</w:t>
            </w:r>
          </w:p>
        </w:tc>
      </w:tr>
      <w:tr w:rsidR="00A95463" w:rsidRPr="000C00C8" w:rsidTr="00FE1685">
        <w:trPr>
          <w:trHeight w:val="344"/>
        </w:trPr>
        <w:tc>
          <w:tcPr>
            <w:tcW w:w="4369" w:type="dxa"/>
            <w:shd w:val="clear" w:color="auto" w:fill="auto"/>
          </w:tcPr>
          <w:p w:rsidR="00A95463" w:rsidRPr="00C96DCE" w:rsidRDefault="00A95463" w:rsidP="008E420D">
            <w:pPr>
              <w:contextualSpacing/>
              <w:rPr>
                <w:rFonts w:ascii="Calibri" w:hAnsi="Calibri" w:cs="Calibri"/>
                <w:sz w:val="24"/>
                <w:szCs w:val="24"/>
              </w:rPr>
            </w:pPr>
            <w:r>
              <w:rPr>
                <w:rFonts w:ascii="Calibri" w:hAnsi="Calibri" w:cs="Calibri"/>
                <w:sz w:val="24"/>
                <w:szCs w:val="24"/>
              </w:rPr>
              <w:t>Across all institutions or programmes</w:t>
            </w:r>
          </w:p>
        </w:tc>
        <w:tc>
          <w:tcPr>
            <w:tcW w:w="875" w:type="dxa"/>
            <w:shd w:val="clear" w:color="auto" w:fill="auto"/>
          </w:tcPr>
          <w:p w:rsidR="00A95463" w:rsidRDefault="00A95463" w:rsidP="008E420D">
            <w:pPr>
              <w:contextualSpacing/>
              <w:jc w:val="center"/>
              <w:rPr>
                <w:rFonts w:ascii="Calibri" w:hAnsi="Calibri" w:cs="Calibri"/>
              </w:rPr>
            </w:pPr>
            <w:r>
              <w:rPr>
                <w:rFonts w:ascii="Calibri" w:hAnsi="Calibri" w:cs="Calibri"/>
              </w:rPr>
              <w:t>73.33%</w:t>
            </w:r>
          </w:p>
        </w:tc>
        <w:tc>
          <w:tcPr>
            <w:tcW w:w="875" w:type="dxa"/>
            <w:shd w:val="clear" w:color="auto" w:fill="auto"/>
          </w:tcPr>
          <w:p w:rsidR="00A95463" w:rsidRDefault="00A95463" w:rsidP="008E420D">
            <w:pPr>
              <w:contextualSpacing/>
              <w:jc w:val="center"/>
              <w:rPr>
                <w:rFonts w:ascii="Calibri" w:hAnsi="Calibri" w:cs="Calibri"/>
              </w:rPr>
            </w:pPr>
            <w:r>
              <w:rPr>
                <w:rFonts w:ascii="Calibri" w:hAnsi="Calibri" w:cs="Calibri"/>
              </w:rPr>
              <w:t>20%</w:t>
            </w:r>
          </w:p>
          <w:p w:rsidR="00A95463" w:rsidRDefault="00A95463" w:rsidP="008E420D">
            <w:pPr>
              <w:contextualSpacing/>
              <w:jc w:val="center"/>
              <w:rPr>
                <w:rFonts w:ascii="Calibri" w:hAnsi="Calibri" w:cs="Calibri"/>
              </w:rPr>
            </w:pPr>
          </w:p>
        </w:tc>
        <w:tc>
          <w:tcPr>
            <w:tcW w:w="875" w:type="dxa"/>
            <w:shd w:val="clear" w:color="auto" w:fill="auto"/>
          </w:tcPr>
          <w:p w:rsidR="00A95463" w:rsidRDefault="00A95463" w:rsidP="008E420D">
            <w:pPr>
              <w:contextualSpacing/>
              <w:jc w:val="center"/>
              <w:rPr>
                <w:rFonts w:ascii="Calibri" w:hAnsi="Calibri" w:cs="Calibri"/>
              </w:rPr>
            </w:pPr>
            <w:r>
              <w:rPr>
                <w:rFonts w:ascii="Calibri" w:hAnsi="Calibri" w:cs="Calibri"/>
              </w:rPr>
              <w:t>2.86%</w:t>
            </w:r>
          </w:p>
        </w:tc>
        <w:tc>
          <w:tcPr>
            <w:tcW w:w="875" w:type="dxa"/>
            <w:shd w:val="clear" w:color="auto" w:fill="auto"/>
          </w:tcPr>
          <w:p w:rsidR="00A95463" w:rsidRDefault="00A95463" w:rsidP="008E420D">
            <w:pPr>
              <w:contextualSpacing/>
              <w:rPr>
                <w:rFonts w:ascii="Calibri" w:hAnsi="Calibri" w:cs="Calibri"/>
              </w:rPr>
            </w:pPr>
            <w:r>
              <w:rPr>
                <w:rFonts w:ascii="Calibri" w:hAnsi="Calibri" w:cs="Calibri"/>
              </w:rPr>
              <w:t>71.43%</w:t>
            </w:r>
          </w:p>
        </w:tc>
        <w:tc>
          <w:tcPr>
            <w:tcW w:w="875" w:type="dxa"/>
            <w:shd w:val="clear" w:color="auto" w:fill="auto"/>
          </w:tcPr>
          <w:p w:rsidR="00A95463" w:rsidRDefault="00A95463" w:rsidP="008E420D">
            <w:pPr>
              <w:contextualSpacing/>
              <w:rPr>
                <w:rFonts w:ascii="Calibri" w:hAnsi="Calibri" w:cs="Calibri"/>
              </w:rPr>
            </w:pPr>
            <w:r>
              <w:rPr>
                <w:rFonts w:ascii="Calibri" w:hAnsi="Calibri" w:cs="Calibri"/>
              </w:rPr>
              <w:t>1.90%</w:t>
            </w:r>
          </w:p>
        </w:tc>
        <w:tc>
          <w:tcPr>
            <w:tcW w:w="890" w:type="dxa"/>
            <w:shd w:val="clear" w:color="auto" w:fill="auto"/>
          </w:tcPr>
          <w:p w:rsidR="00A95463" w:rsidRDefault="00A95463" w:rsidP="008E420D">
            <w:pPr>
              <w:contextualSpacing/>
              <w:rPr>
                <w:rFonts w:ascii="Calibri" w:hAnsi="Calibri" w:cs="Calibri"/>
              </w:rPr>
            </w:pPr>
            <w:r>
              <w:rPr>
                <w:rFonts w:ascii="Calibri" w:hAnsi="Calibri" w:cs="Calibri"/>
              </w:rPr>
              <w:t>0.95%</w:t>
            </w:r>
          </w:p>
        </w:tc>
      </w:tr>
    </w:tbl>
    <w:p w:rsidR="00CA7508" w:rsidRDefault="00CA7508" w:rsidP="00564CAA">
      <w:pPr>
        <w:spacing w:after="0" w:line="240" w:lineRule="auto"/>
        <w:jc w:val="both"/>
        <w:rPr>
          <w:rFonts w:ascii="Calibri" w:eastAsia="Calibri" w:hAnsi="Calibri" w:cs="Calibri"/>
        </w:rPr>
      </w:pPr>
    </w:p>
    <w:p w:rsidR="00CA7508" w:rsidRPr="00A95463" w:rsidRDefault="00CA7508" w:rsidP="00A95463">
      <w:pPr>
        <w:jc w:val="center"/>
        <w:rPr>
          <w:rFonts w:ascii="Calibri" w:hAnsi="Calibri" w:cs="Calibri"/>
          <w:sz w:val="20"/>
          <w:szCs w:val="20"/>
          <w:u w:val="single"/>
        </w:rPr>
      </w:pPr>
      <w:r>
        <w:rPr>
          <w:rFonts w:ascii="Calibri" w:hAnsi="Calibri" w:cs="Calibri"/>
          <w:i/>
          <w:sz w:val="20"/>
          <w:szCs w:val="20"/>
          <w:u w:val="single"/>
        </w:rPr>
        <w:t>Table 6</w:t>
      </w:r>
      <w:r w:rsidRPr="000C00C8">
        <w:rPr>
          <w:rFonts w:ascii="Calibri" w:hAnsi="Calibri" w:cs="Calibri"/>
          <w:i/>
          <w:sz w:val="20"/>
          <w:szCs w:val="20"/>
          <w:u w:val="single"/>
        </w:rPr>
        <w:t xml:space="preserve">: </w:t>
      </w:r>
      <w:r>
        <w:rPr>
          <w:rFonts w:ascii="Calibri" w:hAnsi="Calibri" w:cs="Calibri"/>
          <w:sz w:val="20"/>
          <w:szCs w:val="20"/>
          <w:u w:val="single"/>
        </w:rPr>
        <w:t>Comparison between midwifery and nursing: Potential use of Rubrics</w:t>
      </w:r>
    </w:p>
    <w:p w:rsidR="0003515B" w:rsidRDefault="0003515B" w:rsidP="0003515B">
      <w:pPr>
        <w:spacing w:after="0" w:line="240" w:lineRule="auto"/>
        <w:ind w:left="1440" w:hanging="720"/>
        <w:jc w:val="both"/>
        <w:rPr>
          <w:rFonts w:ascii="Calibri" w:eastAsia="Calibri" w:hAnsi="Calibri" w:cs="Calibri"/>
        </w:rPr>
      </w:pPr>
    </w:p>
    <w:p w:rsidR="00FF2019" w:rsidRPr="0003515B" w:rsidRDefault="00FF2019" w:rsidP="0003515B">
      <w:pPr>
        <w:spacing w:after="0" w:line="240" w:lineRule="auto"/>
        <w:ind w:left="1440" w:hanging="720"/>
        <w:jc w:val="both"/>
        <w:rPr>
          <w:rFonts w:ascii="Calibri" w:eastAsia="Calibri" w:hAnsi="Calibri" w:cs="Calibri"/>
        </w:rPr>
      </w:pPr>
    </w:p>
    <w:p w:rsidR="00A95463" w:rsidRPr="00FF2019" w:rsidRDefault="0003515B" w:rsidP="00295CFA">
      <w:pPr>
        <w:spacing w:after="0" w:line="480" w:lineRule="auto"/>
        <w:jc w:val="both"/>
        <w:rPr>
          <w:rFonts w:ascii="Arial" w:eastAsia="Calibri" w:hAnsi="Arial" w:cs="Arial"/>
          <w:sz w:val="24"/>
          <w:szCs w:val="24"/>
        </w:rPr>
      </w:pPr>
      <w:r w:rsidRPr="00FF2019">
        <w:rPr>
          <w:rFonts w:ascii="Arial" w:eastAsia="Calibri" w:hAnsi="Arial" w:cs="Arial"/>
          <w:sz w:val="24"/>
          <w:szCs w:val="24"/>
        </w:rPr>
        <w:t xml:space="preserve">Participants again </w:t>
      </w:r>
      <w:r w:rsidR="004B5174" w:rsidRPr="00FF2019">
        <w:rPr>
          <w:rFonts w:ascii="Arial" w:eastAsia="Calibri" w:hAnsi="Arial" w:cs="Arial"/>
          <w:sz w:val="24"/>
          <w:szCs w:val="24"/>
        </w:rPr>
        <w:t>expre</w:t>
      </w:r>
      <w:r w:rsidR="00CA462A" w:rsidRPr="00FF2019">
        <w:rPr>
          <w:rFonts w:ascii="Arial" w:eastAsia="Calibri" w:hAnsi="Arial" w:cs="Arial"/>
          <w:sz w:val="24"/>
          <w:szCs w:val="24"/>
        </w:rPr>
        <w:t>ssed an interest in introducing</w:t>
      </w:r>
      <w:r w:rsidRPr="00FF2019">
        <w:rPr>
          <w:rFonts w:ascii="Arial" w:eastAsia="Calibri" w:hAnsi="Arial" w:cs="Arial"/>
          <w:sz w:val="24"/>
          <w:szCs w:val="24"/>
        </w:rPr>
        <w:t xml:space="preserve"> national assessme</w:t>
      </w:r>
      <w:r w:rsidR="004B5174" w:rsidRPr="00FF2019">
        <w:rPr>
          <w:rFonts w:ascii="Arial" w:eastAsia="Calibri" w:hAnsi="Arial" w:cs="Arial"/>
          <w:sz w:val="24"/>
          <w:szCs w:val="24"/>
        </w:rPr>
        <w:t>nt tool</w:t>
      </w:r>
      <w:r w:rsidR="00CA462A" w:rsidRPr="00FF2019">
        <w:rPr>
          <w:rFonts w:ascii="Arial" w:eastAsia="Calibri" w:hAnsi="Arial" w:cs="Arial"/>
          <w:sz w:val="24"/>
          <w:szCs w:val="24"/>
        </w:rPr>
        <w:t>s for</w:t>
      </w:r>
      <w:r w:rsidRPr="00FF2019">
        <w:rPr>
          <w:rFonts w:ascii="Arial" w:eastAsia="Calibri" w:hAnsi="Arial" w:cs="Arial"/>
          <w:sz w:val="24"/>
          <w:szCs w:val="24"/>
        </w:rPr>
        <w:t xml:space="preserve"> midwifery and nursing</w:t>
      </w:r>
      <w:r w:rsidR="00A95463" w:rsidRPr="00FF2019">
        <w:rPr>
          <w:rFonts w:ascii="Arial" w:eastAsia="Calibri" w:hAnsi="Arial" w:cs="Arial"/>
          <w:sz w:val="24"/>
          <w:szCs w:val="24"/>
        </w:rPr>
        <w:t xml:space="preserve">, </w:t>
      </w:r>
      <w:r w:rsidR="004B5174" w:rsidRPr="00FF2019">
        <w:rPr>
          <w:rFonts w:ascii="Arial" w:eastAsia="Calibri" w:hAnsi="Arial" w:cs="Arial"/>
          <w:sz w:val="24"/>
          <w:szCs w:val="24"/>
        </w:rPr>
        <w:t xml:space="preserve">and positive comments were made about </w:t>
      </w:r>
      <w:r w:rsidR="00295CFA" w:rsidRPr="00FF2019">
        <w:rPr>
          <w:rFonts w:ascii="Arial" w:eastAsia="Calibri" w:hAnsi="Arial" w:cs="Arial"/>
          <w:sz w:val="24"/>
          <w:szCs w:val="24"/>
        </w:rPr>
        <w:t>the potential for the Lexicon Frameworks a</w:t>
      </w:r>
      <w:r w:rsidR="00CA462A" w:rsidRPr="00FF2019">
        <w:rPr>
          <w:rFonts w:ascii="Arial" w:eastAsia="Calibri" w:hAnsi="Arial" w:cs="Arial"/>
          <w:sz w:val="24"/>
          <w:szCs w:val="24"/>
        </w:rPr>
        <w:t>nd Rubrics to contribute to these</w:t>
      </w:r>
      <w:r w:rsidR="00A95463" w:rsidRPr="00FF2019">
        <w:rPr>
          <w:rFonts w:ascii="Arial" w:eastAsia="Calibri" w:hAnsi="Arial" w:cs="Arial"/>
          <w:sz w:val="24"/>
          <w:szCs w:val="24"/>
        </w:rPr>
        <w:t xml:space="preserve">:  </w:t>
      </w:r>
      <w:r w:rsidRPr="00FF2019">
        <w:rPr>
          <w:rFonts w:ascii="Arial" w:eastAsia="Calibri" w:hAnsi="Arial" w:cs="Arial"/>
          <w:sz w:val="24"/>
          <w:szCs w:val="24"/>
        </w:rPr>
        <w:t xml:space="preserve"> </w:t>
      </w:r>
    </w:p>
    <w:p w:rsidR="00A95463" w:rsidRPr="00FF2019" w:rsidRDefault="00A95463" w:rsidP="00295CFA">
      <w:pPr>
        <w:spacing w:after="0" w:line="480" w:lineRule="auto"/>
        <w:ind w:left="720"/>
        <w:jc w:val="both"/>
        <w:rPr>
          <w:rFonts w:ascii="Calibri" w:eastAsia="Calibri" w:hAnsi="Calibri" w:cs="Calibri"/>
          <w:i/>
          <w:iCs/>
        </w:rPr>
      </w:pPr>
      <w:r w:rsidRPr="00FF2019">
        <w:rPr>
          <w:rFonts w:ascii="Calibri" w:eastAsia="Calibri" w:hAnsi="Calibri" w:cs="Calibri"/>
          <w:i/>
          <w:iCs/>
        </w:rPr>
        <w:t>“I think that standardisation of the marking procedure is vital.  I’m currently on placement in a hospital that takes students from other institutions, and the difference between how we are graded is significant.” (SM37)</w:t>
      </w:r>
    </w:p>
    <w:p w:rsidR="00295CFA" w:rsidRPr="00FF2019" w:rsidRDefault="00295CFA" w:rsidP="00295CFA">
      <w:pPr>
        <w:spacing w:after="0" w:line="480" w:lineRule="auto"/>
        <w:ind w:left="720" w:firstLine="45"/>
        <w:jc w:val="both"/>
        <w:rPr>
          <w:rFonts w:ascii="Calibri" w:eastAsia="Calibri" w:hAnsi="Calibri" w:cs="Calibri"/>
          <w:i/>
          <w:iCs/>
        </w:rPr>
      </w:pPr>
      <w:r w:rsidRPr="00FF2019">
        <w:rPr>
          <w:rFonts w:ascii="Calibri" w:eastAsia="Calibri" w:hAnsi="Calibri" w:cs="Calibri"/>
          <w:i/>
          <w:iCs/>
        </w:rPr>
        <w:t>“I would be in favour of a standardised national approach to practice assessment and grading as there are so many models and approaches in use that I feel consistency would be beneficial to the profession and hopefully it could be evaluated more easily to ensure that the tool is robust and valid.” (RMA1)</w:t>
      </w:r>
    </w:p>
    <w:p w:rsidR="00295CFA" w:rsidRPr="00FF2019" w:rsidRDefault="00295CFA" w:rsidP="00295CFA">
      <w:pPr>
        <w:spacing w:after="0" w:line="480" w:lineRule="auto"/>
        <w:ind w:left="720"/>
        <w:jc w:val="both"/>
        <w:rPr>
          <w:rFonts w:ascii="Calibri" w:eastAsia="Calibri" w:hAnsi="Calibri" w:cs="Calibri"/>
          <w:i/>
          <w:iCs/>
        </w:rPr>
      </w:pPr>
      <w:r w:rsidRPr="00FF2019">
        <w:rPr>
          <w:rFonts w:ascii="Calibri" w:eastAsia="Calibri" w:hAnsi="Calibri" w:cs="Calibri"/>
          <w:i/>
          <w:iCs/>
        </w:rPr>
        <w:lastRenderedPageBreak/>
        <w:t>“Both the Rubric and Lexicon Framework appear simple to engage with and would assist in providing more detailed assessments of individual’s practice.  I would be happy if my University used these, and ideally it would/ could be used nationally in order to obtain more reliable and valid feedback on individual’s practice.”  (SN2)</w:t>
      </w:r>
    </w:p>
    <w:p w:rsidR="00295CFA" w:rsidRPr="00FF2019" w:rsidRDefault="00295CFA" w:rsidP="00295CFA">
      <w:pPr>
        <w:spacing w:after="0" w:line="480" w:lineRule="auto"/>
        <w:jc w:val="both"/>
        <w:rPr>
          <w:rFonts w:ascii="Calibri" w:eastAsia="Calibri" w:hAnsi="Calibri" w:cs="Calibri"/>
        </w:rPr>
      </w:pPr>
    </w:p>
    <w:p w:rsidR="00A95463" w:rsidRPr="00FF2019" w:rsidRDefault="00295CFA" w:rsidP="00295CFA">
      <w:pPr>
        <w:spacing w:after="0" w:line="480" w:lineRule="auto"/>
        <w:jc w:val="both"/>
        <w:rPr>
          <w:rFonts w:ascii="Arial" w:eastAsia="Calibri" w:hAnsi="Arial" w:cs="Arial"/>
          <w:sz w:val="24"/>
          <w:szCs w:val="24"/>
        </w:rPr>
      </w:pPr>
      <w:r w:rsidRPr="00FF2019">
        <w:rPr>
          <w:rFonts w:ascii="Arial" w:eastAsia="Calibri" w:hAnsi="Arial" w:cs="Arial"/>
          <w:sz w:val="24"/>
          <w:szCs w:val="24"/>
        </w:rPr>
        <w:t>Suggestions to improve the Rubrics were similar to those for the Lexicon Frameworks, along with practicalities in presentation and guidance on grading when per</w:t>
      </w:r>
      <w:r w:rsidR="00BE1F31" w:rsidRPr="00FF2019">
        <w:rPr>
          <w:rFonts w:ascii="Arial" w:eastAsia="Calibri" w:hAnsi="Arial" w:cs="Arial"/>
          <w:sz w:val="24"/>
          <w:szCs w:val="24"/>
        </w:rPr>
        <w:t>formance fell across different level descriptors for the elements being assessed</w:t>
      </w:r>
      <w:r w:rsidRPr="00FF2019">
        <w:rPr>
          <w:rFonts w:ascii="Arial" w:eastAsia="Calibri" w:hAnsi="Arial" w:cs="Arial"/>
          <w:sz w:val="24"/>
          <w:szCs w:val="24"/>
        </w:rPr>
        <w:t>.</w:t>
      </w:r>
    </w:p>
    <w:p w:rsidR="0003515B" w:rsidRPr="00FF2019" w:rsidRDefault="0003515B" w:rsidP="00295CFA">
      <w:pPr>
        <w:spacing w:after="0" w:line="480" w:lineRule="auto"/>
        <w:jc w:val="both"/>
        <w:rPr>
          <w:rFonts w:ascii="Arial" w:eastAsia="Calibri" w:hAnsi="Arial" w:cs="Arial"/>
          <w:color w:val="FF0000"/>
          <w:sz w:val="24"/>
          <w:szCs w:val="24"/>
        </w:rPr>
      </w:pPr>
    </w:p>
    <w:p w:rsidR="00295CFA" w:rsidRPr="00FF2019" w:rsidRDefault="00295CFA" w:rsidP="00295CFA">
      <w:pPr>
        <w:spacing w:after="0" w:line="480" w:lineRule="auto"/>
        <w:jc w:val="both"/>
        <w:rPr>
          <w:rFonts w:ascii="Arial" w:eastAsia="Calibri" w:hAnsi="Arial" w:cs="Arial"/>
          <w:b/>
          <w:sz w:val="24"/>
          <w:szCs w:val="24"/>
          <w:u w:val="single"/>
        </w:rPr>
      </w:pPr>
      <w:r w:rsidRPr="00FF2019">
        <w:rPr>
          <w:rFonts w:ascii="Arial" w:eastAsia="Calibri" w:hAnsi="Arial" w:cs="Arial"/>
          <w:b/>
          <w:sz w:val="24"/>
          <w:szCs w:val="24"/>
          <w:u w:val="single"/>
        </w:rPr>
        <w:t xml:space="preserve">4.6 </w:t>
      </w:r>
      <w:r w:rsidR="0003515B" w:rsidRPr="00FF2019">
        <w:rPr>
          <w:rFonts w:ascii="Arial" w:eastAsia="Calibri" w:hAnsi="Arial" w:cs="Arial"/>
          <w:b/>
          <w:sz w:val="24"/>
          <w:szCs w:val="24"/>
          <w:u w:val="single"/>
        </w:rPr>
        <w:t>Additional comments</w:t>
      </w:r>
      <w:r w:rsidRPr="00FF2019">
        <w:rPr>
          <w:rFonts w:ascii="Arial" w:eastAsia="Calibri" w:hAnsi="Arial" w:cs="Arial"/>
          <w:b/>
          <w:sz w:val="24"/>
          <w:szCs w:val="24"/>
          <w:u w:val="single"/>
        </w:rPr>
        <w:t>:</w:t>
      </w:r>
    </w:p>
    <w:p w:rsidR="0003515B" w:rsidRPr="00FF2019" w:rsidRDefault="0003515B" w:rsidP="00295CFA">
      <w:pPr>
        <w:spacing w:after="0" w:line="480" w:lineRule="auto"/>
        <w:jc w:val="both"/>
        <w:rPr>
          <w:rFonts w:ascii="Arial" w:eastAsia="Calibri" w:hAnsi="Arial" w:cs="Arial"/>
          <w:b/>
          <w:sz w:val="24"/>
          <w:szCs w:val="24"/>
          <w:u w:val="single"/>
        </w:rPr>
      </w:pPr>
      <w:r w:rsidRPr="00FF2019">
        <w:rPr>
          <w:rFonts w:ascii="Arial" w:eastAsia="Calibri" w:hAnsi="Arial" w:cs="Arial"/>
          <w:sz w:val="24"/>
          <w:szCs w:val="24"/>
        </w:rPr>
        <w:t xml:space="preserve">Comments reinforced previous themes and sub-themes. The </w:t>
      </w:r>
      <w:r w:rsidRPr="00FF2019">
        <w:rPr>
          <w:rFonts w:ascii="Arial" w:eastAsia="Calibri" w:hAnsi="Arial" w:cs="Arial"/>
          <w:i/>
          <w:sz w:val="24"/>
          <w:szCs w:val="24"/>
        </w:rPr>
        <w:t>‘Purpose of assessment’</w:t>
      </w:r>
      <w:r w:rsidRPr="00FF2019">
        <w:rPr>
          <w:rFonts w:ascii="Arial" w:eastAsia="Calibri" w:hAnsi="Arial" w:cs="Arial"/>
          <w:sz w:val="24"/>
          <w:szCs w:val="24"/>
        </w:rPr>
        <w:t xml:space="preserve"> and appetite for </w:t>
      </w:r>
      <w:r w:rsidRPr="00FF2019">
        <w:rPr>
          <w:rFonts w:ascii="Arial" w:eastAsia="Calibri" w:hAnsi="Arial" w:cs="Arial"/>
          <w:i/>
          <w:sz w:val="24"/>
          <w:szCs w:val="24"/>
        </w:rPr>
        <w:t>‘Standardisation’</w:t>
      </w:r>
      <w:r w:rsidRPr="00FF2019">
        <w:rPr>
          <w:rFonts w:ascii="Arial" w:eastAsia="Calibri" w:hAnsi="Arial" w:cs="Arial"/>
          <w:sz w:val="24"/>
          <w:szCs w:val="24"/>
        </w:rPr>
        <w:t xml:space="preserve"> were particularly apparent. Some comments fo</w:t>
      </w:r>
      <w:r w:rsidR="004B5174" w:rsidRPr="00FF2019">
        <w:rPr>
          <w:rFonts w:ascii="Arial" w:eastAsia="Calibri" w:hAnsi="Arial" w:cs="Arial"/>
          <w:sz w:val="24"/>
          <w:szCs w:val="24"/>
        </w:rPr>
        <w:t>cused on the proposed tools, while</w:t>
      </w:r>
      <w:r w:rsidRPr="00FF2019">
        <w:rPr>
          <w:rFonts w:ascii="Arial" w:eastAsia="Calibri" w:hAnsi="Arial" w:cs="Arial"/>
          <w:sz w:val="24"/>
          <w:szCs w:val="24"/>
        </w:rPr>
        <w:t xml:space="preserve"> others were more generic.</w:t>
      </w:r>
    </w:p>
    <w:p w:rsidR="0003515B" w:rsidRPr="00FF2019" w:rsidRDefault="0003515B" w:rsidP="00295CFA">
      <w:pPr>
        <w:spacing w:after="0" w:line="480" w:lineRule="auto"/>
        <w:ind w:left="1440" w:hanging="720"/>
        <w:jc w:val="both"/>
        <w:rPr>
          <w:rFonts w:ascii="Arial" w:eastAsia="Calibri" w:hAnsi="Arial" w:cs="Arial"/>
          <w:sz w:val="24"/>
          <w:szCs w:val="24"/>
        </w:rPr>
      </w:pPr>
    </w:p>
    <w:p w:rsidR="0003515B" w:rsidRPr="00FF2019" w:rsidRDefault="0003515B" w:rsidP="00295CFA">
      <w:pPr>
        <w:spacing w:after="0" w:line="480" w:lineRule="auto"/>
        <w:jc w:val="both"/>
        <w:rPr>
          <w:rFonts w:ascii="Arial" w:eastAsia="Calibri" w:hAnsi="Arial" w:cs="Arial"/>
          <w:sz w:val="24"/>
          <w:szCs w:val="24"/>
        </w:rPr>
      </w:pPr>
      <w:r w:rsidRPr="00FF2019">
        <w:rPr>
          <w:rFonts w:ascii="Arial" w:eastAsia="Calibri" w:hAnsi="Arial" w:cs="Arial"/>
          <w:sz w:val="24"/>
          <w:szCs w:val="24"/>
        </w:rPr>
        <w:t>Most participants were in favour of grading practice, but it was highlighted that its pitfalls could outweigh its advantages and it was important not to beco</w:t>
      </w:r>
      <w:r w:rsidR="00295CFA" w:rsidRPr="00FF2019">
        <w:rPr>
          <w:rFonts w:ascii="Arial" w:eastAsia="Calibri" w:hAnsi="Arial" w:cs="Arial"/>
          <w:sz w:val="24"/>
          <w:szCs w:val="24"/>
        </w:rPr>
        <w:t>me fixated on the grade itself</w:t>
      </w:r>
      <w:r w:rsidRPr="00FF2019">
        <w:rPr>
          <w:rFonts w:ascii="Arial" w:eastAsia="Calibri" w:hAnsi="Arial" w:cs="Arial"/>
          <w:sz w:val="24"/>
          <w:szCs w:val="24"/>
        </w:rPr>
        <w:t xml:space="preserve">. </w:t>
      </w:r>
      <w:r w:rsidR="004B5174" w:rsidRPr="00FF2019">
        <w:rPr>
          <w:rFonts w:ascii="Arial" w:eastAsia="Calibri" w:hAnsi="Arial" w:cs="Arial"/>
          <w:sz w:val="24"/>
          <w:szCs w:val="24"/>
        </w:rPr>
        <w:t>It was clear that there was a need for explicit assessment tools for which mentors are trained.</w:t>
      </w:r>
    </w:p>
    <w:p w:rsidR="0003515B" w:rsidRPr="00FF2019" w:rsidRDefault="0003515B" w:rsidP="00295CFA">
      <w:pPr>
        <w:spacing w:after="0" w:line="480" w:lineRule="auto"/>
        <w:ind w:left="1440" w:hanging="720"/>
        <w:jc w:val="both"/>
        <w:rPr>
          <w:rFonts w:ascii="Arial" w:eastAsia="Calibri" w:hAnsi="Arial" w:cs="Arial"/>
          <w:sz w:val="24"/>
          <w:szCs w:val="24"/>
        </w:rPr>
      </w:pPr>
    </w:p>
    <w:p w:rsidR="00CA462A" w:rsidRPr="00FF2019" w:rsidRDefault="0003515B" w:rsidP="00FF2019">
      <w:pPr>
        <w:spacing w:after="0" w:line="480" w:lineRule="auto"/>
        <w:jc w:val="both"/>
        <w:rPr>
          <w:rFonts w:ascii="Arial" w:eastAsia="Calibri" w:hAnsi="Arial" w:cs="Arial"/>
          <w:sz w:val="24"/>
          <w:szCs w:val="24"/>
        </w:rPr>
      </w:pPr>
      <w:r w:rsidRPr="00FF2019">
        <w:rPr>
          <w:rFonts w:ascii="Arial" w:eastAsia="Calibri" w:hAnsi="Arial" w:cs="Arial"/>
          <w:sz w:val="24"/>
          <w:szCs w:val="24"/>
        </w:rPr>
        <w:t xml:space="preserve">The importance of </w:t>
      </w:r>
      <w:r w:rsidRPr="00FF2019">
        <w:rPr>
          <w:rFonts w:ascii="Arial" w:eastAsia="Calibri" w:hAnsi="Arial" w:cs="Arial"/>
          <w:i/>
          <w:sz w:val="24"/>
          <w:szCs w:val="24"/>
        </w:rPr>
        <w:t>‘learning’</w:t>
      </w:r>
      <w:r w:rsidR="004B5174" w:rsidRPr="00FF2019">
        <w:rPr>
          <w:rFonts w:ascii="Arial" w:eastAsia="Calibri" w:hAnsi="Arial" w:cs="Arial"/>
          <w:sz w:val="24"/>
          <w:szCs w:val="24"/>
        </w:rPr>
        <w:t xml:space="preserve"> was emphasised, with both</w:t>
      </w:r>
      <w:r w:rsidRPr="00FF2019">
        <w:rPr>
          <w:rFonts w:ascii="Arial" w:eastAsia="Calibri" w:hAnsi="Arial" w:cs="Arial"/>
          <w:sz w:val="24"/>
          <w:szCs w:val="24"/>
        </w:rPr>
        <w:t xml:space="preserve"> students and mentors need</w:t>
      </w:r>
      <w:r w:rsidR="004B5174" w:rsidRPr="00FF2019">
        <w:rPr>
          <w:rFonts w:ascii="Arial" w:eastAsia="Calibri" w:hAnsi="Arial" w:cs="Arial"/>
          <w:sz w:val="24"/>
          <w:szCs w:val="24"/>
        </w:rPr>
        <w:t>ing</w:t>
      </w:r>
      <w:r w:rsidRPr="00FF2019">
        <w:rPr>
          <w:rFonts w:ascii="Arial" w:eastAsia="Calibri" w:hAnsi="Arial" w:cs="Arial"/>
          <w:sz w:val="24"/>
          <w:szCs w:val="24"/>
        </w:rPr>
        <w:t xml:space="preserve"> to understand and recognise performance and achievement in practice.</w:t>
      </w:r>
      <w:r w:rsidR="00295CFA" w:rsidRPr="00FF2019">
        <w:rPr>
          <w:rFonts w:ascii="Arial" w:eastAsia="Calibri" w:hAnsi="Arial" w:cs="Arial"/>
          <w:sz w:val="24"/>
          <w:szCs w:val="24"/>
        </w:rPr>
        <w:t xml:space="preserve"> </w:t>
      </w:r>
    </w:p>
    <w:p w:rsidR="00CA462A" w:rsidRDefault="00CA462A" w:rsidP="006717AD">
      <w:pPr>
        <w:spacing w:after="0" w:line="480" w:lineRule="auto"/>
        <w:rPr>
          <w:rFonts w:ascii="Arial" w:hAnsi="Arial" w:cs="Arial"/>
          <w:b/>
          <w:sz w:val="24"/>
          <w:szCs w:val="24"/>
          <w:u w:val="single"/>
        </w:rPr>
      </w:pPr>
    </w:p>
    <w:p w:rsidR="00FF2019" w:rsidRDefault="00FF2019" w:rsidP="006717AD">
      <w:pPr>
        <w:spacing w:after="0" w:line="480" w:lineRule="auto"/>
        <w:rPr>
          <w:rFonts w:ascii="Arial" w:hAnsi="Arial" w:cs="Arial"/>
          <w:b/>
          <w:sz w:val="24"/>
          <w:szCs w:val="24"/>
          <w:u w:val="single"/>
        </w:rPr>
      </w:pPr>
    </w:p>
    <w:p w:rsidR="00FF2019" w:rsidRDefault="00FF2019" w:rsidP="006717AD">
      <w:pPr>
        <w:spacing w:after="0" w:line="480" w:lineRule="auto"/>
        <w:rPr>
          <w:rFonts w:ascii="Arial" w:hAnsi="Arial" w:cs="Arial"/>
          <w:b/>
          <w:sz w:val="24"/>
          <w:szCs w:val="24"/>
          <w:u w:val="single"/>
        </w:rPr>
      </w:pPr>
    </w:p>
    <w:p w:rsidR="00FF2019" w:rsidRPr="00FF2019" w:rsidRDefault="00FF2019" w:rsidP="006717AD">
      <w:pPr>
        <w:spacing w:after="0" w:line="480" w:lineRule="auto"/>
        <w:rPr>
          <w:rFonts w:ascii="Arial" w:hAnsi="Arial" w:cs="Arial"/>
          <w:b/>
          <w:sz w:val="24"/>
          <w:szCs w:val="24"/>
          <w:u w:val="single"/>
        </w:rPr>
      </w:pPr>
    </w:p>
    <w:p w:rsidR="00BE1F31" w:rsidRPr="00FF2019" w:rsidRDefault="00F62C0E" w:rsidP="00D472B0">
      <w:pPr>
        <w:spacing w:after="0" w:line="480" w:lineRule="auto"/>
        <w:jc w:val="center"/>
        <w:rPr>
          <w:rFonts w:ascii="Arial" w:hAnsi="Arial" w:cs="Arial"/>
          <w:b/>
          <w:sz w:val="24"/>
          <w:szCs w:val="24"/>
          <w:u w:val="single"/>
        </w:rPr>
      </w:pPr>
      <w:r w:rsidRPr="00FF2019">
        <w:rPr>
          <w:rFonts w:ascii="Arial" w:hAnsi="Arial" w:cs="Arial"/>
          <w:b/>
          <w:sz w:val="24"/>
          <w:szCs w:val="24"/>
          <w:u w:val="single"/>
        </w:rPr>
        <w:lastRenderedPageBreak/>
        <w:t xml:space="preserve">5. </w:t>
      </w:r>
      <w:r w:rsidR="00DB4CFB" w:rsidRPr="00FF2019">
        <w:rPr>
          <w:rFonts w:ascii="Arial" w:hAnsi="Arial" w:cs="Arial"/>
          <w:b/>
          <w:sz w:val="24"/>
          <w:szCs w:val="24"/>
          <w:u w:val="single"/>
        </w:rPr>
        <w:t>DISCUSSION</w:t>
      </w:r>
      <w:r w:rsidR="00735F2C" w:rsidRPr="00FF2019">
        <w:rPr>
          <w:rFonts w:ascii="Arial" w:hAnsi="Arial" w:cs="Arial"/>
          <w:b/>
          <w:sz w:val="24"/>
          <w:szCs w:val="24"/>
          <w:u w:val="single"/>
        </w:rPr>
        <w:t xml:space="preserve"> AND PROJECT OUTPUTS</w:t>
      </w:r>
    </w:p>
    <w:p w:rsidR="00F62C0E" w:rsidRPr="00FF2019" w:rsidRDefault="00F62C0E" w:rsidP="00D472B0">
      <w:pPr>
        <w:spacing w:after="0" w:line="480" w:lineRule="auto"/>
        <w:jc w:val="both"/>
        <w:rPr>
          <w:rFonts w:ascii="Arial" w:hAnsi="Arial" w:cs="Arial"/>
          <w:b/>
          <w:sz w:val="24"/>
          <w:szCs w:val="24"/>
          <w:u w:val="single"/>
        </w:rPr>
      </w:pPr>
    </w:p>
    <w:p w:rsidR="00F62C0E" w:rsidRPr="00FF2019" w:rsidRDefault="0077080B" w:rsidP="00D472B0">
      <w:pPr>
        <w:spacing w:after="0" w:line="480" w:lineRule="auto"/>
        <w:jc w:val="both"/>
        <w:rPr>
          <w:rFonts w:ascii="Arial" w:hAnsi="Arial" w:cs="Arial"/>
          <w:b/>
          <w:sz w:val="24"/>
          <w:szCs w:val="24"/>
          <w:u w:val="single"/>
        </w:rPr>
      </w:pPr>
      <w:r w:rsidRPr="00FF2019">
        <w:rPr>
          <w:rFonts w:ascii="Arial" w:hAnsi="Arial" w:cs="Arial"/>
          <w:b/>
          <w:sz w:val="24"/>
          <w:szCs w:val="24"/>
          <w:u w:val="single"/>
        </w:rPr>
        <w:t xml:space="preserve">5.1 </w:t>
      </w:r>
      <w:r w:rsidR="001211CD" w:rsidRPr="00FF2019">
        <w:rPr>
          <w:rFonts w:ascii="Arial" w:hAnsi="Arial" w:cs="Arial"/>
          <w:b/>
          <w:sz w:val="24"/>
          <w:szCs w:val="24"/>
          <w:u w:val="single"/>
        </w:rPr>
        <w:t xml:space="preserve">Enhancing the rigour of </w:t>
      </w:r>
      <w:r w:rsidR="00F62C0E" w:rsidRPr="00FF2019">
        <w:rPr>
          <w:rFonts w:ascii="Arial" w:hAnsi="Arial" w:cs="Arial"/>
          <w:b/>
          <w:sz w:val="24"/>
          <w:szCs w:val="24"/>
          <w:u w:val="single"/>
        </w:rPr>
        <w:t>practice assessment:</w:t>
      </w:r>
    </w:p>
    <w:p w:rsidR="00CA43AF" w:rsidRPr="00FF2019" w:rsidRDefault="006E3868" w:rsidP="00D472B0">
      <w:pPr>
        <w:spacing w:after="0" w:line="480" w:lineRule="auto"/>
        <w:jc w:val="both"/>
        <w:rPr>
          <w:rFonts w:ascii="Calibri" w:eastAsia="Calibri" w:hAnsi="Calibri" w:cs="Calibri"/>
        </w:rPr>
      </w:pPr>
      <w:r w:rsidRPr="00FF2019">
        <w:rPr>
          <w:rFonts w:ascii="Arial" w:hAnsi="Arial" w:cs="Arial"/>
          <w:sz w:val="24"/>
          <w:szCs w:val="24"/>
        </w:rPr>
        <w:t>E</w:t>
      </w:r>
      <w:r w:rsidR="00F62C0E" w:rsidRPr="00FF2019">
        <w:rPr>
          <w:rFonts w:ascii="Arial" w:hAnsi="Arial" w:cs="Arial"/>
          <w:sz w:val="24"/>
          <w:szCs w:val="24"/>
        </w:rPr>
        <w:t xml:space="preserve">ngagement of key stakeholders </w:t>
      </w:r>
      <w:r w:rsidR="004B5174" w:rsidRPr="00FF2019">
        <w:rPr>
          <w:rFonts w:ascii="Arial" w:hAnsi="Arial" w:cs="Arial"/>
          <w:sz w:val="24"/>
          <w:szCs w:val="24"/>
        </w:rPr>
        <w:t xml:space="preserve">in the development of </w:t>
      </w:r>
      <w:r w:rsidR="00F62C0E" w:rsidRPr="00FF2019">
        <w:rPr>
          <w:rFonts w:ascii="Arial" w:hAnsi="Arial" w:cs="Arial"/>
          <w:sz w:val="24"/>
          <w:szCs w:val="24"/>
        </w:rPr>
        <w:t xml:space="preserve">practice assessment tools and documentation is </w:t>
      </w:r>
      <w:r w:rsidRPr="00FF2019">
        <w:rPr>
          <w:rFonts w:ascii="Arial" w:hAnsi="Arial" w:cs="Arial"/>
          <w:sz w:val="24"/>
          <w:szCs w:val="24"/>
        </w:rPr>
        <w:t>clearly essential</w:t>
      </w:r>
      <w:r w:rsidR="00F62C0E" w:rsidRPr="00FF2019">
        <w:rPr>
          <w:rFonts w:ascii="Arial" w:hAnsi="Arial" w:cs="Arial"/>
          <w:sz w:val="24"/>
          <w:szCs w:val="24"/>
        </w:rPr>
        <w:t xml:space="preserve">. </w:t>
      </w:r>
      <w:r w:rsidR="00CA462A" w:rsidRPr="00FF2019">
        <w:rPr>
          <w:rFonts w:ascii="Arial" w:hAnsi="Arial" w:cs="Arial"/>
          <w:sz w:val="24"/>
          <w:szCs w:val="24"/>
        </w:rPr>
        <w:t>The v</w:t>
      </w:r>
      <w:r w:rsidR="00F62C0E" w:rsidRPr="00FF2019">
        <w:rPr>
          <w:rFonts w:ascii="Arial" w:hAnsi="Arial" w:cs="Arial"/>
          <w:sz w:val="24"/>
          <w:szCs w:val="24"/>
        </w:rPr>
        <w:t xml:space="preserve">iews of clinicians or students </w:t>
      </w:r>
      <w:r w:rsidR="004B5174" w:rsidRPr="00FF2019">
        <w:rPr>
          <w:rFonts w:ascii="Arial" w:hAnsi="Arial" w:cs="Arial"/>
          <w:sz w:val="24"/>
          <w:szCs w:val="24"/>
        </w:rPr>
        <w:t>d</w:t>
      </w:r>
      <w:r w:rsidR="00CA462A" w:rsidRPr="00FF2019">
        <w:rPr>
          <w:rFonts w:ascii="Arial" w:hAnsi="Arial" w:cs="Arial"/>
          <w:sz w:val="24"/>
          <w:szCs w:val="24"/>
        </w:rPr>
        <w:t xml:space="preserve">iffered from those of academics in a number of questions; </w:t>
      </w:r>
      <w:r w:rsidR="00F62C0E" w:rsidRPr="00FF2019">
        <w:rPr>
          <w:rFonts w:ascii="Arial" w:hAnsi="Arial" w:cs="Arial"/>
          <w:sz w:val="24"/>
          <w:szCs w:val="24"/>
        </w:rPr>
        <w:t xml:space="preserve">for </w:t>
      </w:r>
      <w:r w:rsidR="0077080B" w:rsidRPr="00FF2019">
        <w:rPr>
          <w:rFonts w:ascii="Arial" w:hAnsi="Arial" w:cs="Arial"/>
          <w:sz w:val="24"/>
          <w:szCs w:val="24"/>
        </w:rPr>
        <w:t>example, clinicians and students appeared to have a</w:t>
      </w:r>
      <w:r w:rsidR="00F62C0E" w:rsidRPr="00FF2019">
        <w:rPr>
          <w:rFonts w:ascii="Arial" w:hAnsi="Arial" w:cs="Arial"/>
          <w:sz w:val="24"/>
          <w:szCs w:val="24"/>
        </w:rPr>
        <w:t xml:space="preserve"> clearer understanding and </w:t>
      </w:r>
      <w:r w:rsidR="0077080B" w:rsidRPr="00FF2019">
        <w:rPr>
          <w:rFonts w:ascii="Arial" w:hAnsi="Arial" w:cs="Arial"/>
          <w:sz w:val="24"/>
          <w:szCs w:val="24"/>
        </w:rPr>
        <w:t xml:space="preserve">greater </w:t>
      </w:r>
      <w:r w:rsidR="00F62C0E" w:rsidRPr="00FF2019">
        <w:rPr>
          <w:rFonts w:ascii="Arial" w:hAnsi="Arial" w:cs="Arial"/>
          <w:sz w:val="24"/>
          <w:szCs w:val="24"/>
        </w:rPr>
        <w:t xml:space="preserve">appreciation of the potential for the Lexicon Frameworks to be used to document evidence in practice, </w:t>
      </w:r>
      <w:r w:rsidR="004B5174" w:rsidRPr="00FF2019">
        <w:rPr>
          <w:rFonts w:ascii="Arial" w:hAnsi="Arial" w:cs="Arial"/>
          <w:sz w:val="24"/>
          <w:szCs w:val="24"/>
        </w:rPr>
        <w:t xml:space="preserve">while </w:t>
      </w:r>
      <w:r w:rsidR="00F62C0E" w:rsidRPr="00FF2019">
        <w:rPr>
          <w:rFonts w:ascii="Arial" w:hAnsi="Arial" w:cs="Arial"/>
          <w:sz w:val="24"/>
          <w:szCs w:val="24"/>
        </w:rPr>
        <w:t xml:space="preserve">academics </w:t>
      </w:r>
      <w:r w:rsidR="004B5174" w:rsidRPr="00FF2019">
        <w:rPr>
          <w:rFonts w:ascii="Arial" w:hAnsi="Arial" w:cs="Arial"/>
          <w:sz w:val="24"/>
          <w:szCs w:val="24"/>
        </w:rPr>
        <w:t>seemed less sure</w:t>
      </w:r>
      <w:r w:rsidR="00F62C0E" w:rsidRPr="00FF2019">
        <w:rPr>
          <w:rFonts w:ascii="Arial" w:hAnsi="Arial" w:cs="Arial"/>
          <w:sz w:val="24"/>
          <w:szCs w:val="24"/>
        </w:rPr>
        <w:t xml:space="preserve"> about the</w:t>
      </w:r>
      <w:r w:rsidR="0077080B" w:rsidRPr="00FF2019">
        <w:rPr>
          <w:rFonts w:ascii="Arial" w:hAnsi="Arial" w:cs="Arial"/>
          <w:sz w:val="24"/>
          <w:szCs w:val="24"/>
        </w:rPr>
        <w:t>ir</w:t>
      </w:r>
      <w:r w:rsidR="00F62C0E" w:rsidRPr="00FF2019">
        <w:rPr>
          <w:rFonts w:ascii="Arial" w:hAnsi="Arial" w:cs="Arial"/>
          <w:sz w:val="24"/>
          <w:szCs w:val="24"/>
        </w:rPr>
        <w:t xml:space="preserve"> purpose, alth</w:t>
      </w:r>
      <w:r w:rsidR="004B5174" w:rsidRPr="00FF2019">
        <w:rPr>
          <w:rFonts w:ascii="Arial" w:hAnsi="Arial" w:cs="Arial"/>
          <w:sz w:val="24"/>
          <w:szCs w:val="24"/>
        </w:rPr>
        <w:t>ough acknowledging</w:t>
      </w:r>
      <w:r w:rsidR="0077080B" w:rsidRPr="00FF2019">
        <w:rPr>
          <w:rFonts w:ascii="Arial" w:hAnsi="Arial" w:cs="Arial"/>
          <w:sz w:val="24"/>
          <w:szCs w:val="24"/>
        </w:rPr>
        <w:t xml:space="preserve"> that they would be useful when</w:t>
      </w:r>
      <w:r w:rsidR="00F62C0E" w:rsidRPr="00FF2019">
        <w:rPr>
          <w:rFonts w:ascii="Arial" w:hAnsi="Arial" w:cs="Arial"/>
          <w:sz w:val="24"/>
          <w:szCs w:val="24"/>
        </w:rPr>
        <w:t xml:space="preserve"> </w:t>
      </w:r>
      <w:r w:rsidR="0077080B" w:rsidRPr="00FF2019">
        <w:rPr>
          <w:rFonts w:ascii="Arial" w:hAnsi="Arial" w:cs="Arial"/>
          <w:sz w:val="24"/>
          <w:szCs w:val="24"/>
        </w:rPr>
        <w:t>developing new programmes</w:t>
      </w:r>
      <w:r w:rsidR="00F62C0E" w:rsidRPr="00FF2019">
        <w:rPr>
          <w:rFonts w:ascii="Arial" w:hAnsi="Arial" w:cs="Arial"/>
          <w:sz w:val="24"/>
          <w:szCs w:val="24"/>
        </w:rPr>
        <w:t>.</w:t>
      </w:r>
      <w:r w:rsidR="0077080B" w:rsidRPr="00FF2019">
        <w:rPr>
          <w:rFonts w:ascii="Arial" w:hAnsi="Arial" w:cs="Arial"/>
          <w:sz w:val="24"/>
          <w:szCs w:val="24"/>
        </w:rPr>
        <w:t xml:space="preserve"> Similarly, both clinicians and students highlighted the impo</w:t>
      </w:r>
      <w:r w:rsidR="004B5174" w:rsidRPr="00FF2019">
        <w:rPr>
          <w:rFonts w:ascii="Arial" w:hAnsi="Arial" w:cs="Arial"/>
          <w:sz w:val="24"/>
          <w:szCs w:val="24"/>
        </w:rPr>
        <w:t>rtance of clear wording, whereas</w:t>
      </w:r>
      <w:r w:rsidR="0077080B" w:rsidRPr="00FF2019">
        <w:rPr>
          <w:rFonts w:ascii="Arial" w:hAnsi="Arial" w:cs="Arial"/>
          <w:sz w:val="24"/>
          <w:szCs w:val="24"/>
        </w:rPr>
        <w:t xml:space="preserve"> academics focused on the need for preparation of those assessing practice. It was interesting that clinicians seemed most positive about the reliability and validity of existing assessment tools, </w:t>
      </w:r>
      <w:r w:rsidRPr="00FF2019">
        <w:rPr>
          <w:rFonts w:ascii="Arial" w:hAnsi="Arial" w:cs="Arial"/>
          <w:sz w:val="24"/>
          <w:szCs w:val="24"/>
        </w:rPr>
        <w:t xml:space="preserve">as </w:t>
      </w:r>
      <w:r w:rsidR="0077080B" w:rsidRPr="00FF2019">
        <w:rPr>
          <w:rFonts w:ascii="Arial" w:hAnsi="Arial" w:cs="Arial"/>
          <w:sz w:val="24"/>
          <w:szCs w:val="24"/>
        </w:rPr>
        <w:t xml:space="preserve">the people using these in practice. </w:t>
      </w:r>
      <w:r w:rsidRPr="00FF2019">
        <w:rPr>
          <w:rFonts w:ascii="Arial" w:hAnsi="Arial" w:cs="Arial"/>
          <w:sz w:val="24"/>
          <w:szCs w:val="24"/>
        </w:rPr>
        <w:t>T</w:t>
      </w:r>
      <w:r w:rsidR="0077080B" w:rsidRPr="00FF2019">
        <w:rPr>
          <w:rFonts w:ascii="Arial" w:hAnsi="Arial" w:cs="Arial"/>
          <w:sz w:val="24"/>
          <w:szCs w:val="24"/>
        </w:rPr>
        <w:t xml:space="preserve">he views of all </w:t>
      </w:r>
      <w:r w:rsidR="00CA43AF" w:rsidRPr="00FF2019">
        <w:rPr>
          <w:rFonts w:ascii="Arial" w:hAnsi="Arial" w:cs="Arial"/>
          <w:sz w:val="24"/>
          <w:szCs w:val="24"/>
        </w:rPr>
        <w:t>stakeholders</w:t>
      </w:r>
      <w:r w:rsidRPr="00FF2019">
        <w:rPr>
          <w:rFonts w:ascii="Arial" w:hAnsi="Arial" w:cs="Arial"/>
          <w:sz w:val="24"/>
          <w:szCs w:val="24"/>
        </w:rPr>
        <w:t xml:space="preserve"> should be considered to avoid assumptions being</w:t>
      </w:r>
      <w:r w:rsidR="0077080B" w:rsidRPr="00FF2019">
        <w:rPr>
          <w:rFonts w:ascii="Arial" w:hAnsi="Arial" w:cs="Arial"/>
          <w:sz w:val="24"/>
          <w:szCs w:val="24"/>
        </w:rPr>
        <w:t xml:space="preserve"> </w:t>
      </w:r>
      <w:r w:rsidR="00CA43AF" w:rsidRPr="00FF2019">
        <w:rPr>
          <w:rFonts w:ascii="Arial" w:hAnsi="Arial" w:cs="Arial"/>
          <w:sz w:val="24"/>
          <w:szCs w:val="24"/>
        </w:rPr>
        <w:t>made on behalf of other groups</w:t>
      </w:r>
      <w:r w:rsidR="0077080B" w:rsidRPr="00FF2019">
        <w:rPr>
          <w:rFonts w:ascii="Arial" w:hAnsi="Arial" w:cs="Arial"/>
          <w:sz w:val="24"/>
          <w:szCs w:val="24"/>
        </w:rPr>
        <w:t>.</w:t>
      </w:r>
      <w:r w:rsidR="00CA43AF" w:rsidRPr="00FF2019">
        <w:rPr>
          <w:rFonts w:ascii="Calibri" w:eastAsia="Calibri" w:hAnsi="Calibri" w:cs="Calibri"/>
        </w:rPr>
        <w:t xml:space="preserve"> </w:t>
      </w:r>
    </w:p>
    <w:p w:rsidR="0077080B" w:rsidRPr="00FF2019" w:rsidRDefault="0077080B" w:rsidP="00D472B0">
      <w:pPr>
        <w:spacing w:after="0" w:line="480" w:lineRule="auto"/>
        <w:jc w:val="both"/>
        <w:rPr>
          <w:rFonts w:ascii="Arial" w:hAnsi="Arial" w:cs="Arial"/>
          <w:sz w:val="24"/>
          <w:szCs w:val="24"/>
        </w:rPr>
      </w:pPr>
    </w:p>
    <w:p w:rsidR="00234C43" w:rsidRPr="00FF2019" w:rsidRDefault="00234C43" w:rsidP="00D472B0">
      <w:pPr>
        <w:spacing w:after="0" w:line="480" w:lineRule="auto"/>
        <w:jc w:val="both"/>
        <w:rPr>
          <w:rFonts w:ascii="Arial" w:hAnsi="Arial" w:cs="Arial"/>
          <w:sz w:val="24"/>
          <w:szCs w:val="24"/>
        </w:rPr>
      </w:pPr>
      <w:r w:rsidRPr="00FF2019">
        <w:rPr>
          <w:rFonts w:ascii="Arial" w:hAnsi="Arial" w:cs="Arial"/>
          <w:sz w:val="24"/>
          <w:szCs w:val="24"/>
        </w:rPr>
        <w:t xml:space="preserve">It </w:t>
      </w:r>
      <w:r w:rsidR="00101C1F" w:rsidRPr="00FF2019">
        <w:rPr>
          <w:rFonts w:ascii="Arial" w:hAnsi="Arial" w:cs="Arial"/>
          <w:sz w:val="24"/>
          <w:szCs w:val="24"/>
        </w:rPr>
        <w:t>was significant</w:t>
      </w:r>
      <w:r w:rsidR="004B5174" w:rsidRPr="00FF2019">
        <w:rPr>
          <w:rFonts w:ascii="Arial" w:hAnsi="Arial" w:cs="Arial"/>
          <w:sz w:val="24"/>
          <w:szCs w:val="24"/>
        </w:rPr>
        <w:t xml:space="preserve"> that the highest ranked </w:t>
      </w:r>
      <w:r w:rsidRPr="00FF2019">
        <w:rPr>
          <w:rFonts w:ascii="Arial" w:hAnsi="Arial" w:cs="Arial"/>
          <w:sz w:val="24"/>
          <w:szCs w:val="24"/>
        </w:rPr>
        <w:t xml:space="preserve">factor </w:t>
      </w:r>
      <w:r w:rsidR="00D42276" w:rsidRPr="00FF2019">
        <w:rPr>
          <w:rFonts w:ascii="Arial" w:hAnsi="Arial" w:cs="Arial"/>
          <w:sz w:val="24"/>
          <w:szCs w:val="24"/>
        </w:rPr>
        <w:t xml:space="preserve">was to </w:t>
      </w:r>
      <w:r w:rsidR="00D42276" w:rsidRPr="00FF2019">
        <w:rPr>
          <w:rFonts w:ascii="Arial" w:hAnsi="Arial" w:cs="Arial"/>
          <w:i/>
          <w:sz w:val="24"/>
          <w:szCs w:val="24"/>
        </w:rPr>
        <w:t>“</w:t>
      </w:r>
      <w:r w:rsidRPr="00FF2019">
        <w:rPr>
          <w:rFonts w:ascii="Arial" w:hAnsi="Arial" w:cs="Arial"/>
          <w:i/>
          <w:sz w:val="24"/>
          <w:szCs w:val="24"/>
        </w:rPr>
        <w:t>objective</w:t>
      </w:r>
      <w:r w:rsidR="00D42276" w:rsidRPr="00FF2019">
        <w:rPr>
          <w:rFonts w:ascii="Arial" w:hAnsi="Arial" w:cs="Arial"/>
          <w:i/>
          <w:sz w:val="24"/>
          <w:szCs w:val="24"/>
        </w:rPr>
        <w:t xml:space="preserve">ly assess </w:t>
      </w:r>
      <w:r w:rsidRPr="00FF2019">
        <w:rPr>
          <w:rFonts w:ascii="Arial" w:hAnsi="Arial" w:cs="Arial"/>
          <w:i/>
          <w:sz w:val="24"/>
          <w:szCs w:val="24"/>
        </w:rPr>
        <w:t>the student’s performance in relation to knowledge, skills and personal attributes in the context of professional behaviour against set criteria, rather than just a subjective jud</w:t>
      </w:r>
      <w:r w:rsidR="00D42276" w:rsidRPr="00FF2019">
        <w:rPr>
          <w:rFonts w:ascii="Arial" w:hAnsi="Arial" w:cs="Arial"/>
          <w:i/>
          <w:sz w:val="24"/>
          <w:szCs w:val="24"/>
        </w:rPr>
        <w:t>gement of the individual</w:t>
      </w:r>
      <w:r w:rsidR="004B468A" w:rsidRPr="00FF2019">
        <w:rPr>
          <w:rFonts w:ascii="Arial" w:hAnsi="Arial" w:cs="Arial"/>
          <w:sz w:val="24"/>
          <w:szCs w:val="24"/>
        </w:rPr>
        <w:t xml:space="preserve">”. </w:t>
      </w:r>
      <w:r w:rsidRPr="00FF2019">
        <w:rPr>
          <w:rFonts w:ascii="Arial" w:hAnsi="Arial" w:cs="Arial"/>
          <w:sz w:val="24"/>
          <w:szCs w:val="24"/>
        </w:rPr>
        <w:t xml:space="preserve">The theme of </w:t>
      </w:r>
      <w:r w:rsidRPr="00FF2019">
        <w:rPr>
          <w:rFonts w:ascii="Arial" w:hAnsi="Arial" w:cs="Arial"/>
          <w:i/>
          <w:sz w:val="24"/>
          <w:szCs w:val="24"/>
        </w:rPr>
        <w:t>‘Human factors’</w:t>
      </w:r>
      <w:r w:rsidR="004B5174" w:rsidRPr="00FF2019">
        <w:rPr>
          <w:rFonts w:ascii="Arial" w:hAnsi="Arial" w:cs="Arial"/>
          <w:sz w:val="24"/>
          <w:szCs w:val="24"/>
        </w:rPr>
        <w:t xml:space="preserve"> was strong</w:t>
      </w:r>
      <w:r w:rsidRPr="00FF2019">
        <w:rPr>
          <w:rFonts w:ascii="Arial" w:hAnsi="Arial" w:cs="Arial"/>
          <w:sz w:val="24"/>
          <w:szCs w:val="24"/>
        </w:rPr>
        <w:t xml:space="preserve">, and the mentor-student relationship </w:t>
      </w:r>
      <w:r w:rsidR="004B5174" w:rsidRPr="00FF2019">
        <w:rPr>
          <w:rFonts w:ascii="Arial" w:hAnsi="Arial" w:cs="Arial"/>
          <w:sz w:val="24"/>
          <w:szCs w:val="24"/>
        </w:rPr>
        <w:t xml:space="preserve">could </w:t>
      </w:r>
      <w:r w:rsidR="00D42276" w:rsidRPr="00FF2019">
        <w:rPr>
          <w:rFonts w:ascii="Arial" w:hAnsi="Arial" w:cs="Arial"/>
          <w:sz w:val="24"/>
          <w:szCs w:val="24"/>
        </w:rPr>
        <w:t>constrain</w:t>
      </w:r>
      <w:r w:rsidRPr="00FF2019">
        <w:rPr>
          <w:rFonts w:ascii="Arial" w:hAnsi="Arial" w:cs="Arial"/>
          <w:sz w:val="24"/>
          <w:szCs w:val="24"/>
        </w:rPr>
        <w:t xml:space="preserve"> reliability of assessment:</w:t>
      </w:r>
    </w:p>
    <w:p w:rsidR="00234C43" w:rsidRPr="00FF2019" w:rsidRDefault="00234C43" w:rsidP="00D472B0">
      <w:pPr>
        <w:spacing w:after="0" w:line="480" w:lineRule="auto"/>
        <w:ind w:left="720"/>
        <w:jc w:val="both"/>
        <w:rPr>
          <w:rFonts w:ascii="Arial" w:eastAsia="Calibri" w:hAnsi="Arial" w:cs="Arial"/>
          <w:i/>
          <w:iCs/>
          <w:sz w:val="20"/>
          <w:szCs w:val="20"/>
        </w:rPr>
      </w:pPr>
      <w:r w:rsidRPr="00FF2019">
        <w:rPr>
          <w:rFonts w:ascii="Arial" w:eastAsia="Calibri" w:hAnsi="Arial" w:cs="Arial"/>
          <w:i/>
          <w:iCs/>
          <w:sz w:val="20"/>
          <w:szCs w:val="20"/>
        </w:rPr>
        <w:t>“Some mentors are more harsh when grading students than others.  Other mentors have also known some student midwives from when they were maternity assistants and have socialised with them outside of work, they have been known to grade these students very well, and I am not sure whether those students would have received the same grading from a different mentor who they did not know well.” (SM41)</w:t>
      </w:r>
    </w:p>
    <w:p w:rsidR="00CA43AF" w:rsidRPr="00FF2019" w:rsidRDefault="00CA43AF" w:rsidP="00D472B0">
      <w:pPr>
        <w:spacing w:after="0" w:line="480" w:lineRule="auto"/>
        <w:jc w:val="both"/>
        <w:rPr>
          <w:rFonts w:ascii="Calibri" w:eastAsia="Calibri" w:hAnsi="Calibri" w:cs="Calibri"/>
          <w:b/>
          <w:u w:val="single"/>
        </w:rPr>
      </w:pPr>
    </w:p>
    <w:p w:rsidR="004F69CD" w:rsidRPr="00FF2019" w:rsidRDefault="00CA462A" w:rsidP="00D472B0">
      <w:pPr>
        <w:spacing w:after="0" w:line="480" w:lineRule="auto"/>
        <w:contextualSpacing/>
        <w:jc w:val="both"/>
        <w:rPr>
          <w:rFonts w:ascii="Arial" w:eastAsia="Calibri" w:hAnsi="Arial" w:cs="Arial"/>
          <w:sz w:val="24"/>
          <w:szCs w:val="24"/>
        </w:rPr>
      </w:pPr>
      <w:r w:rsidRPr="00FF2019">
        <w:rPr>
          <w:rFonts w:ascii="Arial" w:eastAsia="Calibri" w:hAnsi="Arial" w:cs="Arial"/>
          <w:sz w:val="24"/>
          <w:szCs w:val="24"/>
        </w:rPr>
        <w:t xml:space="preserve">Importantly, </w:t>
      </w:r>
      <w:r w:rsidR="00101C1F" w:rsidRPr="00FF2019">
        <w:rPr>
          <w:rFonts w:ascii="Arial" w:eastAsia="Calibri" w:hAnsi="Arial" w:cs="Arial"/>
          <w:sz w:val="24"/>
          <w:szCs w:val="24"/>
        </w:rPr>
        <w:t>participants were responding to hypothetical midwifery scenarios, measured against a criterion-referenced grid; the subjectivity of personalities who knew each other (i.e.: the ‘individual’) was therefore removed.</w:t>
      </w:r>
      <w:r w:rsidR="00101C1F" w:rsidRPr="00FF2019">
        <w:rPr>
          <w:rFonts w:ascii="Calibri" w:eastAsia="Calibri" w:hAnsi="Calibri" w:cs="Calibri"/>
        </w:rPr>
        <w:t xml:space="preserve"> </w:t>
      </w:r>
      <w:r w:rsidR="00101C1F" w:rsidRPr="00FF2019">
        <w:rPr>
          <w:rFonts w:ascii="Arial" w:eastAsia="Calibri" w:hAnsi="Arial" w:cs="Arial"/>
          <w:sz w:val="24"/>
          <w:szCs w:val="24"/>
        </w:rPr>
        <w:t>Although a good level of inter-assessor reliability was demonstrated in most of the scenarios, it</w:t>
      </w:r>
      <w:r w:rsidR="00D42276" w:rsidRPr="00FF2019">
        <w:rPr>
          <w:rFonts w:ascii="Arial" w:eastAsia="Calibri" w:hAnsi="Arial" w:cs="Arial"/>
          <w:sz w:val="24"/>
          <w:szCs w:val="24"/>
        </w:rPr>
        <w:t xml:space="preserve"> was interesting that </w:t>
      </w:r>
      <w:r w:rsidRPr="00FF2019">
        <w:rPr>
          <w:rFonts w:ascii="Arial" w:eastAsia="Calibri" w:hAnsi="Arial" w:cs="Arial"/>
          <w:sz w:val="24"/>
          <w:szCs w:val="24"/>
        </w:rPr>
        <w:t xml:space="preserve">grading by nursing participants was generally more accurate than midwifery. Lack </w:t>
      </w:r>
      <w:r w:rsidR="00D42276" w:rsidRPr="00FF2019">
        <w:rPr>
          <w:rFonts w:ascii="Arial" w:eastAsia="Calibri" w:hAnsi="Arial" w:cs="Arial"/>
          <w:sz w:val="24"/>
          <w:szCs w:val="24"/>
        </w:rPr>
        <w:t xml:space="preserve">of familiarity with the professional and programme requirements </w:t>
      </w:r>
      <w:r w:rsidRPr="00FF2019">
        <w:rPr>
          <w:rFonts w:ascii="Arial" w:eastAsia="Calibri" w:hAnsi="Arial" w:cs="Arial"/>
          <w:sz w:val="24"/>
          <w:szCs w:val="24"/>
        </w:rPr>
        <w:t xml:space="preserve">may have </w:t>
      </w:r>
      <w:r w:rsidR="00D42276" w:rsidRPr="00FF2019">
        <w:rPr>
          <w:rFonts w:ascii="Arial" w:eastAsia="Calibri" w:hAnsi="Arial" w:cs="Arial"/>
          <w:sz w:val="24"/>
          <w:szCs w:val="24"/>
        </w:rPr>
        <w:t>enabled nursing participants to be more objective in their measurement of ‘performance’ of the students against the set criteria in the Rubrics.  This suggests that involvement of other professionals in contributing to the evidence</w:t>
      </w:r>
      <w:r w:rsidR="004B468A" w:rsidRPr="00FF2019">
        <w:rPr>
          <w:rFonts w:ascii="Arial" w:eastAsia="Calibri" w:hAnsi="Arial" w:cs="Arial"/>
          <w:sz w:val="24"/>
          <w:szCs w:val="24"/>
        </w:rPr>
        <w:t>, as required</w:t>
      </w:r>
      <w:r w:rsidR="004B5174" w:rsidRPr="00FF2019">
        <w:rPr>
          <w:rFonts w:ascii="Arial" w:eastAsia="Calibri" w:hAnsi="Arial" w:cs="Arial"/>
          <w:sz w:val="24"/>
          <w:szCs w:val="24"/>
        </w:rPr>
        <w:t xml:space="preserve"> in the new education standards (NMC</w:t>
      </w:r>
      <w:r w:rsidR="00D42276" w:rsidRPr="00FF2019">
        <w:rPr>
          <w:rFonts w:ascii="Arial" w:eastAsia="Calibri" w:hAnsi="Arial" w:cs="Arial"/>
          <w:sz w:val="24"/>
          <w:szCs w:val="24"/>
        </w:rPr>
        <w:t xml:space="preserve"> </w:t>
      </w:r>
      <w:r w:rsidR="00F53F6C" w:rsidRPr="00FF2019">
        <w:rPr>
          <w:rFonts w:ascii="Arial" w:eastAsia="Calibri" w:hAnsi="Arial" w:cs="Arial"/>
          <w:sz w:val="24"/>
          <w:szCs w:val="24"/>
        </w:rPr>
        <w:t>2018b; 2018c</w:t>
      </w:r>
      <w:r w:rsidR="004B5174" w:rsidRPr="00FF2019">
        <w:rPr>
          <w:rFonts w:ascii="Arial" w:eastAsia="Calibri" w:hAnsi="Arial" w:cs="Arial"/>
          <w:sz w:val="24"/>
          <w:szCs w:val="24"/>
        </w:rPr>
        <w:t>)</w:t>
      </w:r>
      <w:r w:rsidRPr="00FF2019">
        <w:rPr>
          <w:rFonts w:ascii="Arial" w:eastAsia="Calibri" w:hAnsi="Arial" w:cs="Arial"/>
          <w:sz w:val="24"/>
          <w:szCs w:val="24"/>
        </w:rPr>
        <w:t>,</w:t>
      </w:r>
      <w:r w:rsidR="004B5174" w:rsidRPr="00FF2019">
        <w:rPr>
          <w:rFonts w:ascii="Arial" w:eastAsia="Calibri" w:hAnsi="Arial" w:cs="Arial"/>
          <w:sz w:val="24"/>
          <w:szCs w:val="24"/>
        </w:rPr>
        <w:t xml:space="preserve"> </w:t>
      </w:r>
      <w:r w:rsidRPr="00FF2019">
        <w:rPr>
          <w:rFonts w:ascii="Arial" w:eastAsia="Calibri" w:hAnsi="Arial" w:cs="Arial"/>
          <w:sz w:val="24"/>
          <w:szCs w:val="24"/>
        </w:rPr>
        <w:t>may</w:t>
      </w:r>
      <w:r w:rsidR="00D42276" w:rsidRPr="00FF2019">
        <w:rPr>
          <w:rFonts w:ascii="Arial" w:eastAsia="Calibri" w:hAnsi="Arial" w:cs="Arial"/>
          <w:sz w:val="24"/>
          <w:szCs w:val="24"/>
        </w:rPr>
        <w:t xml:space="preserve"> </w:t>
      </w:r>
      <w:r w:rsidR="001758AC" w:rsidRPr="00FF2019">
        <w:rPr>
          <w:rFonts w:ascii="Arial" w:eastAsia="Calibri" w:hAnsi="Arial" w:cs="Arial"/>
          <w:sz w:val="24"/>
          <w:szCs w:val="24"/>
        </w:rPr>
        <w:t>promote</w:t>
      </w:r>
      <w:r w:rsidR="00D42276" w:rsidRPr="00FF2019">
        <w:rPr>
          <w:rFonts w:ascii="Arial" w:eastAsia="Calibri" w:hAnsi="Arial" w:cs="Arial"/>
          <w:sz w:val="24"/>
          <w:szCs w:val="24"/>
        </w:rPr>
        <w:t xml:space="preserve"> greater reliability in p</w:t>
      </w:r>
      <w:r w:rsidR="001758AC" w:rsidRPr="00FF2019">
        <w:rPr>
          <w:rFonts w:ascii="Arial" w:eastAsia="Calibri" w:hAnsi="Arial" w:cs="Arial"/>
          <w:sz w:val="24"/>
          <w:szCs w:val="24"/>
        </w:rPr>
        <w:t>ractice assessment in the future</w:t>
      </w:r>
      <w:r w:rsidR="00D42276" w:rsidRPr="00FF2019">
        <w:rPr>
          <w:rFonts w:ascii="Arial" w:eastAsia="Calibri" w:hAnsi="Arial" w:cs="Arial"/>
          <w:sz w:val="24"/>
          <w:szCs w:val="24"/>
        </w:rPr>
        <w:t xml:space="preserve">.  </w:t>
      </w:r>
      <w:r w:rsidR="00F47203" w:rsidRPr="00FF2019">
        <w:rPr>
          <w:rFonts w:ascii="Arial" w:eastAsia="Calibri" w:hAnsi="Arial" w:cs="Arial"/>
          <w:sz w:val="24"/>
          <w:szCs w:val="24"/>
        </w:rPr>
        <w:t>Similarly, separation of</w:t>
      </w:r>
      <w:r w:rsidR="004F69CD" w:rsidRPr="00FF2019">
        <w:rPr>
          <w:rFonts w:ascii="Arial" w:eastAsia="Calibri" w:hAnsi="Arial" w:cs="Arial"/>
          <w:sz w:val="24"/>
          <w:szCs w:val="24"/>
        </w:rPr>
        <w:t xml:space="preserve"> the role of mentor into ‘practice sup</w:t>
      </w:r>
      <w:r w:rsidR="001758AC" w:rsidRPr="00FF2019">
        <w:rPr>
          <w:rFonts w:ascii="Arial" w:eastAsia="Calibri" w:hAnsi="Arial" w:cs="Arial"/>
          <w:sz w:val="24"/>
          <w:szCs w:val="24"/>
        </w:rPr>
        <w:t>ervisor’ and ‘practice assessor’</w:t>
      </w:r>
      <w:r w:rsidR="00F47203" w:rsidRPr="00FF2019">
        <w:rPr>
          <w:rFonts w:ascii="Arial" w:eastAsia="Calibri" w:hAnsi="Arial" w:cs="Arial"/>
          <w:sz w:val="24"/>
          <w:szCs w:val="24"/>
          <w:vertAlign w:val="superscript"/>
        </w:rPr>
        <w:t xml:space="preserve"> </w:t>
      </w:r>
      <w:r w:rsidRPr="00FF2019">
        <w:rPr>
          <w:rFonts w:ascii="Arial" w:eastAsia="Calibri" w:hAnsi="Arial" w:cs="Arial"/>
          <w:sz w:val="24"/>
          <w:szCs w:val="24"/>
        </w:rPr>
        <w:t>will mean that</w:t>
      </w:r>
      <w:r w:rsidR="001758AC" w:rsidRPr="00FF2019">
        <w:rPr>
          <w:rFonts w:ascii="Arial" w:eastAsia="Calibri" w:hAnsi="Arial" w:cs="Arial"/>
          <w:sz w:val="24"/>
          <w:szCs w:val="24"/>
        </w:rPr>
        <w:t xml:space="preserve"> </w:t>
      </w:r>
      <w:r w:rsidR="004B468A" w:rsidRPr="00FF2019">
        <w:rPr>
          <w:rFonts w:ascii="Arial" w:eastAsia="Calibri" w:hAnsi="Arial" w:cs="Arial"/>
          <w:sz w:val="24"/>
          <w:szCs w:val="24"/>
        </w:rPr>
        <w:t xml:space="preserve">those assessing students may not spend as much time working together, thus potentially improving reliability by reducing the impact of </w:t>
      </w:r>
      <w:r w:rsidR="004B468A" w:rsidRPr="00FF2019">
        <w:rPr>
          <w:rFonts w:ascii="Arial" w:eastAsia="Calibri" w:hAnsi="Arial" w:cs="Arial"/>
          <w:i/>
          <w:sz w:val="24"/>
          <w:szCs w:val="24"/>
        </w:rPr>
        <w:t>‘Human factors’</w:t>
      </w:r>
      <w:r w:rsidR="004B468A" w:rsidRPr="00FF2019">
        <w:rPr>
          <w:rFonts w:ascii="Arial" w:eastAsia="Calibri" w:hAnsi="Arial" w:cs="Arial"/>
          <w:sz w:val="24"/>
          <w:szCs w:val="24"/>
        </w:rPr>
        <w:t>.</w:t>
      </w:r>
    </w:p>
    <w:p w:rsidR="009A4041" w:rsidRPr="00FF2019" w:rsidRDefault="009A4041" w:rsidP="00D472B0">
      <w:pPr>
        <w:spacing w:after="0" w:line="480" w:lineRule="auto"/>
        <w:jc w:val="both"/>
        <w:rPr>
          <w:rFonts w:ascii="Calibri" w:eastAsia="Calibri" w:hAnsi="Calibri" w:cs="Calibri"/>
          <w:b/>
        </w:rPr>
      </w:pPr>
    </w:p>
    <w:p w:rsidR="00101C1F" w:rsidRPr="00FF2019" w:rsidRDefault="004B468A" w:rsidP="00D472B0">
      <w:pPr>
        <w:spacing w:after="0" w:line="480" w:lineRule="auto"/>
        <w:jc w:val="both"/>
        <w:rPr>
          <w:rFonts w:ascii="Calibri" w:eastAsia="Calibri" w:hAnsi="Calibri" w:cs="Calibri"/>
        </w:rPr>
      </w:pPr>
      <w:r w:rsidRPr="00FF2019">
        <w:rPr>
          <w:rFonts w:ascii="Arial" w:eastAsia="Calibri" w:hAnsi="Arial" w:cs="Arial"/>
          <w:sz w:val="24"/>
          <w:szCs w:val="24"/>
        </w:rPr>
        <w:t>C</w:t>
      </w:r>
      <w:r w:rsidR="00101C1F" w:rsidRPr="00FF2019">
        <w:rPr>
          <w:rFonts w:ascii="Arial" w:eastAsia="Calibri" w:hAnsi="Arial" w:cs="Arial"/>
          <w:sz w:val="24"/>
          <w:szCs w:val="24"/>
        </w:rPr>
        <w:t xml:space="preserve">lear sets of statements </w:t>
      </w:r>
      <w:r w:rsidR="00101C1F" w:rsidRPr="00FF2019">
        <w:rPr>
          <w:rFonts w:ascii="Arial" w:eastAsia="Calibri" w:hAnsi="Arial" w:cs="Arial"/>
          <w:i/>
          <w:sz w:val="24"/>
          <w:szCs w:val="24"/>
        </w:rPr>
        <w:t>“linked to specific grades/ descriptors/ symbols indicating level of performance”</w:t>
      </w:r>
      <w:r w:rsidR="00101C1F" w:rsidRPr="00FF2019">
        <w:rPr>
          <w:rFonts w:ascii="Arial" w:eastAsia="Calibri" w:hAnsi="Arial" w:cs="Arial"/>
          <w:sz w:val="24"/>
          <w:szCs w:val="24"/>
        </w:rPr>
        <w:t xml:space="preserve"> </w:t>
      </w:r>
      <w:r w:rsidRPr="00FF2019">
        <w:rPr>
          <w:rFonts w:ascii="Arial" w:eastAsia="Calibri" w:hAnsi="Arial" w:cs="Arial"/>
          <w:sz w:val="24"/>
          <w:szCs w:val="24"/>
        </w:rPr>
        <w:t>were ranked</w:t>
      </w:r>
      <w:r w:rsidR="00101C1F" w:rsidRPr="00FF2019">
        <w:rPr>
          <w:rFonts w:ascii="Arial" w:eastAsia="Calibri" w:hAnsi="Arial" w:cs="Arial"/>
          <w:sz w:val="24"/>
          <w:szCs w:val="24"/>
        </w:rPr>
        <w:t xml:space="preserve"> second highest overall and in midwifery</w:t>
      </w:r>
      <w:r w:rsidR="00CA462A" w:rsidRPr="00FF2019">
        <w:rPr>
          <w:rFonts w:ascii="Arial" w:eastAsia="Calibri" w:hAnsi="Arial" w:cs="Arial"/>
          <w:sz w:val="24"/>
          <w:szCs w:val="24"/>
        </w:rPr>
        <w:t xml:space="preserve"> </w:t>
      </w:r>
      <w:r w:rsidR="00CA462A" w:rsidRPr="00FF2019">
        <w:rPr>
          <w:rFonts w:ascii="Arial" w:eastAsia="Calibri" w:hAnsi="Arial" w:cs="Arial"/>
          <w:i/>
          <w:sz w:val="24"/>
          <w:szCs w:val="24"/>
        </w:rPr>
        <w:t>(Table 5)</w:t>
      </w:r>
      <w:r w:rsidR="00CA462A" w:rsidRPr="00FF2019">
        <w:rPr>
          <w:rFonts w:ascii="Arial" w:eastAsia="Calibri" w:hAnsi="Arial" w:cs="Arial"/>
          <w:sz w:val="24"/>
          <w:szCs w:val="24"/>
        </w:rPr>
        <w:t xml:space="preserve">, justifying </w:t>
      </w:r>
      <w:r w:rsidR="00101C1F" w:rsidRPr="00FF2019">
        <w:rPr>
          <w:rFonts w:ascii="Arial" w:eastAsia="Calibri" w:hAnsi="Arial" w:cs="Arial"/>
          <w:sz w:val="24"/>
          <w:szCs w:val="24"/>
        </w:rPr>
        <w:t>introduction of both the Lexicon Framework</w:t>
      </w:r>
      <w:r w:rsidR="001211CD" w:rsidRPr="00FF2019">
        <w:rPr>
          <w:rFonts w:ascii="Arial" w:eastAsia="Calibri" w:hAnsi="Arial" w:cs="Arial"/>
          <w:sz w:val="24"/>
          <w:szCs w:val="24"/>
        </w:rPr>
        <w:t>s</w:t>
      </w:r>
      <w:r w:rsidR="00CA462A" w:rsidRPr="00FF2019">
        <w:rPr>
          <w:rFonts w:ascii="Arial" w:eastAsia="Calibri" w:hAnsi="Arial" w:cs="Arial"/>
          <w:sz w:val="24"/>
          <w:szCs w:val="24"/>
        </w:rPr>
        <w:t xml:space="preserve"> and Rubrics. This aligned</w:t>
      </w:r>
      <w:r w:rsidR="001758AC" w:rsidRPr="00FF2019">
        <w:rPr>
          <w:rFonts w:ascii="Arial" w:eastAsia="Calibri" w:hAnsi="Arial" w:cs="Arial"/>
          <w:sz w:val="24"/>
          <w:szCs w:val="24"/>
        </w:rPr>
        <w:t xml:space="preserve"> with the earlier phases of our project (Authors, 2017a; 2017b) as well as the wider literature which recommends the use of rubrics to enhance reliability and reduce grade inflation (</w:t>
      </w:r>
      <w:r w:rsidR="00FE1685" w:rsidRPr="00FF2019">
        <w:rPr>
          <w:rFonts w:ascii="Arial" w:eastAsia="Calibri" w:hAnsi="Arial" w:cs="Arial"/>
          <w:sz w:val="24"/>
          <w:szCs w:val="24"/>
        </w:rPr>
        <w:t>Donaldson and Gray, 2012;Maxted et al, 2004</w:t>
      </w:r>
      <w:r w:rsidR="001758AC" w:rsidRPr="00FF2019">
        <w:rPr>
          <w:rFonts w:ascii="Arial" w:eastAsia="Calibri" w:hAnsi="Arial" w:cs="Arial"/>
          <w:sz w:val="24"/>
          <w:szCs w:val="24"/>
        </w:rPr>
        <w:t>).</w:t>
      </w:r>
    </w:p>
    <w:p w:rsidR="00101C1F" w:rsidRPr="00FF2019" w:rsidRDefault="00101C1F" w:rsidP="00D472B0">
      <w:pPr>
        <w:spacing w:after="0" w:line="480" w:lineRule="auto"/>
        <w:jc w:val="both"/>
        <w:rPr>
          <w:rFonts w:ascii="Arial" w:eastAsia="Calibri" w:hAnsi="Arial" w:cs="Arial"/>
          <w:b/>
          <w:sz w:val="24"/>
          <w:szCs w:val="24"/>
        </w:rPr>
      </w:pPr>
    </w:p>
    <w:p w:rsidR="001211CD" w:rsidRPr="00FF2019" w:rsidRDefault="00CA462A" w:rsidP="00D472B0">
      <w:pPr>
        <w:spacing w:after="0" w:line="480" w:lineRule="auto"/>
        <w:jc w:val="both"/>
        <w:rPr>
          <w:rFonts w:ascii="Arial" w:hAnsi="Arial" w:cs="Arial"/>
          <w:sz w:val="24"/>
          <w:szCs w:val="24"/>
        </w:rPr>
      </w:pPr>
      <w:r w:rsidRPr="00FF2019">
        <w:rPr>
          <w:rFonts w:ascii="Arial" w:hAnsi="Arial" w:cs="Arial"/>
          <w:sz w:val="24"/>
          <w:szCs w:val="24"/>
        </w:rPr>
        <w:t>Our findings corroborated</w:t>
      </w:r>
      <w:r w:rsidR="001211CD" w:rsidRPr="00FF2019">
        <w:rPr>
          <w:rFonts w:ascii="Arial" w:hAnsi="Arial" w:cs="Arial"/>
          <w:sz w:val="24"/>
          <w:szCs w:val="24"/>
        </w:rPr>
        <w:t xml:space="preserve"> </w:t>
      </w:r>
      <w:r w:rsidR="00F47203" w:rsidRPr="00FF2019">
        <w:rPr>
          <w:rFonts w:ascii="Arial" w:hAnsi="Arial" w:cs="Arial"/>
          <w:sz w:val="24"/>
          <w:szCs w:val="24"/>
        </w:rPr>
        <w:t xml:space="preserve">other research </w:t>
      </w:r>
      <w:r w:rsidR="001211CD" w:rsidRPr="00FF2019">
        <w:rPr>
          <w:rFonts w:ascii="Arial" w:hAnsi="Arial" w:cs="Arial"/>
          <w:sz w:val="24"/>
          <w:szCs w:val="24"/>
        </w:rPr>
        <w:t>that grading</w:t>
      </w:r>
      <w:r w:rsidR="004F69CD" w:rsidRPr="00FF2019">
        <w:rPr>
          <w:rFonts w:ascii="Arial" w:hAnsi="Arial" w:cs="Arial"/>
          <w:sz w:val="24"/>
          <w:szCs w:val="24"/>
        </w:rPr>
        <w:t xml:space="preserve"> of practice</w:t>
      </w:r>
      <w:r w:rsidR="001211CD" w:rsidRPr="00FF2019">
        <w:rPr>
          <w:rFonts w:ascii="Arial" w:hAnsi="Arial" w:cs="Arial"/>
          <w:sz w:val="24"/>
          <w:szCs w:val="24"/>
        </w:rPr>
        <w:t xml:space="preserve"> continues to bri</w:t>
      </w:r>
      <w:r w:rsidR="004F69CD" w:rsidRPr="00FF2019">
        <w:rPr>
          <w:rFonts w:ascii="Arial" w:hAnsi="Arial" w:cs="Arial"/>
          <w:sz w:val="24"/>
          <w:szCs w:val="24"/>
        </w:rPr>
        <w:t>ng both benefits</w:t>
      </w:r>
      <w:r w:rsidR="001758AC" w:rsidRPr="00FF2019">
        <w:rPr>
          <w:rFonts w:ascii="Arial" w:hAnsi="Arial" w:cs="Arial"/>
          <w:sz w:val="24"/>
          <w:szCs w:val="24"/>
        </w:rPr>
        <w:t xml:space="preserve"> and challenges (</w:t>
      </w:r>
      <w:r w:rsidR="00FE1685" w:rsidRPr="00FF2019">
        <w:rPr>
          <w:rFonts w:ascii="Arial" w:hAnsi="Arial" w:cs="Arial"/>
          <w:sz w:val="24"/>
          <w:szCs w:val="24"/>
        </w:rPr>
        <w:t xml:space="preserve">Cassidy, 2008; Chenery-Morris, 2014; </w:t>
      </w:r>
      <w:r w:rsidR="001758AC" w:rsidRPr="00FF2019">
        <w:rPr>
          <w:rFonts w:ascii="Arial" w:hAnsi="Arial" w:cs="Arial"/>
          <w:sz w:val="24"/>
          <w:szCs w:val="24"/>
        </w:rPr>
        <w:t xml:space="preserve">Doughty et al, </w:t>
      </w:r>
      <w:r w:rsidR="001758AC" w:rsidRPr="00FF2019">
        <w:rPr>
          <w:rFonts w:ascii="Arial" w:hAnsi="Arial" w:cs="Arial"/>
          <w:sz w:val="24"/>
          <w:szCs w:val="24"/>
        </w:rPr>
        <w:lastRenderedPageBreak/>
        <w:t xml:space="preserve">2007; </w:t>
      </w:r>
      <w:r w:rsidR="00FE1685" w:rsidRPr="00FF2019">
        <w:rPr>
          <w:rFonts w:ascii="Arial" w:hAnsi="Arial" w:cs="Arial"/>
          <w:sz w:val="24"/>
          <w:szCs w:val="24"/>
        </w:rPr>
        <w:t>Fisher et al, 2011; Gray and Donaldson, 2009; Heaslip and Scammell, 2012; Johnson, 2008; Oermann et al, 2009; Smith, 2007</w:t>
      </w:r>
      <w:r w:rsidR="004F0BED" w:rsidRPr="00FF2019">
        <w:rPr>
          <w:rFonts w:ascii="Arial" w:hAnsi="Arial" w:cs="Arial"/>
          <w:sz w:val="24"/>
          <w:szCs w:val="24"/>
        </w:rPr>
        <w:t>)</w:t>
      </w:r>
      <w:r w:rsidRPr="00FF2019">
        <w:rPr>
          <w:rFonts w:ascii="Arial" w:hAnsi="Arial" w:cs="Arial"/>
          <w:sz w:val="24"/>
          <w:szCs w:val="24"/>
        </w:rPr>
        <w:t xml:space="preserve">. </w:t>
      </w:r>
      <w:r w:rsidRPr="00FF2019">
        <w:rPr>
          <w:rFonts w:ascii="Arial" w:hAnsi="Arial" w:cs="Arial"/>
          <w:sz w:val="24"/>
          <w:szCs w:val="24"/>
          <w:lang w:eastAsia="en-GB"/>
        </w:rPr>
        <w:t>Some of the more negative midwifery responses</w:t>
      </w:r>
      <w:r w:rsidR="00270FA5" w:rsidRPr="00FF2019">
        <w:rPr>
          <w:rFonts w:ascii="Arial" w:hAnsi="Arial" w:cs="Arial"/>
          <w:sz w:val="24"/>
          <w:szCs w:val="24"/>
          <w:lang w:eastAsia="en-GB"/>
        </w:rPr>
        <w:t xml:space="preserve"> </w:t>
      </w:r>
      <w:r w:rsidRPr="00FF2019">
        <w:rPr>
          <w:rFonts w:ascii="Arial" w:hAnsi="Arial" w:cs="Arial"/>
          <w:sz w:val="24"/>
          <w:szCs w:val="24"/>
          <w:lang w:eastAsia="en-GB"/>
        </w:rPr>
        <w:t>may</w:t>
      </w:r>
      <w:r w:rsidR="00886FCA" w:rsidRPr="00FF2019">
        <w:rPr>
          <w:rFonts w:ascii="Arial" w:hAnsi="Arial" w:cs="Arial"/>
          <w:sz w:val="24"/>
          <w:szCs w:val="24"/>
          <w:lang w:eastAsia="en-GB"/>
        </w:rPr>
        <w:t xml:space="preserve"> have reflected concerns about the robustness and fairness of the</w:t>
      </w:r>
      <w:r w:rsidR="004F0BED" w:rsidRPr="00FF2019">
        <w:rPr>
          <w:rFonts w:ascii="Arial" w:hAnsi="Arial" w:cs="Arial"/>
          <w:sz w:val="24"/>
          <w:szCs w:val="24"/>
          <w:lang w:eastAsia="en-GB"/>
        </w:rPr>
        <w:t xml:space="preserve"> mandatory</w:t>
      </w:r>
      <w:r w:rsidR="00886FCA" w:rsidRPr="00FF2019">
        <w:rPr>
          <w:rFonts w:ascii="Arial" w:hAnsi="Arial" w:cs="Arial"/>
          <w:sz w:val="24"/>
          <w:szCs w:val="24"/>
          <w:lang w:eastAsia="en-GB"/>
        </w:rPr>
        <w:t xml:space="preserve"> grading process</w:t>
      </w:r>
      <w:r w:rsidR="004F0BED" w:rsidRPr="00FF2019">
        <w:rPr>
          <w:rFonts w:ascii="Arial" w:hAnsi="Arial" w:cs="Arial"/>
          <w:sz w:val="24"/>
          <w:szCs w:val="24"/>
          <w:lang w:eastAsia="en-GB"/>
        </w:rPr>
        <w:t xml:space="preserve"> in this profession</w:t>
      </w:r>
      <w:r w:rsidR="00886FCA" w:rsidRPr="00FF2019">
        <w:rPr>
          <w:rFonts w:ascii="Arial" w:hAnsi="Arial" w:cs="Arial"/>
          <w:sz w:val="24"/>
          <w:szCs w:val="24"/>
          <w:lang w:eastAsia="en-GB"/>
        </w:rPr>
        <w:t>, whereas nursing participants’ gr</w:t>
      </w:r>
      <w:r w:rsidR="002010BC" w:rsidRPr="00FF2019">
        <w:rPr>
          <w:rFonts w:ascii="Arial" w:hAnsi="Arial" w:cs="Arial"/>
          <w:sz w:val="24"/>
          <w:szCs w:val="24"/>
          <w:lang w:eastAsia="en-GB"/>
        </w:rPr>
        <w:t>eater preference for grading might</w:t>
      </w:r>
      <w:r w:rsidR="00886FCA" w:rsidRPr="00FF2019">
        <w:rPr>
          <w:rFonts w:ascii="Arial" w:hAnsi="Arial" w:cs="Arial"/>
          <w:sz w:val="24"/>
          <w:szCs w:val="24"/>
          <w:lang w:eastAsia="en-GB"/>
        </w:rPr>
        <w:t xml:space="preserve"> have been due to the absenc</w:t>
      </w:r>
      <w:r w:rsidR="004F0BED" w:rsidRPr="00FF2019">
        <w:rPr>
          <w:rFonts w:ascii="Arial" w:hAnsi="Arial" w:cs="Arial"/>
          <w:sz w:val="24"/>
          <w:szCs w:val="24"/>
          <w:lang w:eastAsia="en-GB"/>
        </w:rPr>
        <w:t xml:space="preserve">e of this as an NMC requirement </w:t>
      </w:r>
      <w:r w:rsidR="00F53F6C" w:rsidRPr="00FF2019">
        <w:rPr>
          <w:rFonts w:ascii="Arial" w:hAnsi="Arial" w:cs="Arial"/>
          <w:sz w:val="24"/>
          <w:szCs w:val="24"/>
          <w:lang w:eastAsia="en-GB"/>
        </w:rPr>
        <w:t>(NMC, 2010; 2018a</w:t>
      </w:r>
      <w:r w:rsidR="004F0BED" w:rsidRPr="00FF2019">
        <w:rPr>
          <w:rFonts w:ascii="Arial" w:hAnsi="Arial" w:cs="Arial"/>
          <w:sz w:val="24"/>
          <w:szCs w:val="24"/>
          <w:lang w:eastAsia="en-GB"/>
        </w:rPr>
        <w:t xml:space="preserve">). </w:t>
      </w:r>
      <w:r w:rsidR="001211CD" w:rsidRPr="00FF2019">
        <w:rPr>
          <w:rFonts w:ascii="Arial" w:hAnsi="Arial" w:cs="Arial"/>
          <w:sz w:val="24"/>
          <w:szCs w:val="24"/>
        </w:rPr>
        <w:t>The tendency towards grade inflation highlighte</w:t>
      </w:r>
      <w:r w:rsidR="00270FA5" w:rsidRPr="00FF2019">
        <w:rPr>
          <w:rFonts w:ascii="Arial" w:hAnsi="Arial" w:cs="Arial"/>
          <w:sz w:val="24"/>
          <w:szCs w:val="24"/>
        </w:rPr>
        <w:t>d in this and other literature</w:t>
      </w:r>
      <w:r w:rsidR="004F0BED" w:rsidRPr="00FF2019">
        <w:rPr>
          <w:rFonts w:ascii="Arial" w:hAnsi="Arial" w:cs="Arial"/>
          <w:sz w:val="24"/>
          <w:szCs w:val="24"/>
        </w:rPr>
        <w:t xml:space="preserve"> (</w:t>
      </w:r>
      <w:r w:rsidR="00ED7232" w:rsidRPr="00FF2019">
        <w:rPr>
          <w:rFonts w:ascii="Arial" w:hAnsi="Arial" w:cs="Arial"/>
          <w:sz w:val="24"/>
          <w:szCs w:val="24"/>
        </w:rPr>
        <w:t>Donaldson and Gray, 2012</w:t>
      </w:r>
      <w:r w:rsidR="004F0BED" w:rsidRPr="00FF2019">
        <w:rPr>
          <w:rFonts w:ascii="Arial" w:hAnsi="Arial" w:cs="Arial"/>
          <w:sz w:val="24"/>
          <w:szCs w:val="24"/>
        </w:rPr>
        <w:t>; Paskausky and Simonelle, 2014</w:t>
      </w:r>
      <w:r w:rsidR="00FA3255" w:rsidRPr="00FF2019">
        <w:rPr>
          <w:rFonts w:ascii="Arial" w:hAnsi="Arial" w:cs="Arial"/>
          <w:sz w:val="24"/>
          <w:szCs w:val="24"/>
        </w:rPr>
        <w:t>; Seldomridge and Walsh, 2006</w:t>
      </w:r>
      <w:r w:rsidR="004F0BED" w:rsidRPr="00FF2019">
        <w:rPr>
          <w:rFonts w:ascii="Arial" w:hAnsi="Arial" w:cs="Arial"/>
          <w:sz w:val="24"/>
          <w:szCs w:val="24"/>
        </w:rPr>
        <w:t>)</w:t>
      </w:r>
      <w:r w:rsidR="001211CD" w:rsidRPr="00FF2019">
        <w:rPr>
          <w:rFonts w:ascii="Arial" w:hAnsi="Arial" w:cs="Arial"/>
          <w:sz w:val="24"/>
          <w:szCs w:val="24"/>
          <w:vertAlign w:val="superscript"/>
        </w:rPr>
        <w:t xml:space="preserve"> </w:t>
      </w:r>
      <w:r w:rsidR="001211CD" w:rsidRPr="00FF2019">
        <w:rPr>
          <w:rFonts w:ascii="Arial" w:hAnsi="Arial" w:cs="Arial"/>
          <w:sz w:val="24"/>
          <w:szCs w:val="24"/>
        </w:rPr>
        <w:t>may be advantageous towards students’ academic profiles but can also be perceived as a negative outcome, reflecting the inconsistencies of individuals and tools. Some participants indicated a preference for pass or refer, although descriptors were deemed valuable in indicating levels of performance, identifying gaps and guiding students’ learning.</w:t>
      </w:r>
    </w:p>
    <w:p w:rsidR="00886FCA" w:rsidRPr="00FF2019" w:rsidRDefault="00886FCA" w:rsidP="00D472B0">
      <w:pPr>
        <w:spacing w:after="0" w:line="480" w:lineRule="auto"/>
        <w:jc w:val="both"/>
        <w:rPr>
          <w:rFonts w:ascii="Calibri" w:eastAsia="Calibri" w:hAnsi="Calibri" w:cs="Calibri"/>
          <w:b/>
        </w:rPr>
      </w:pPr>
    </w:p>
    <w:p w:rsidR="000973F9" w:rsidRPr="00FF2019" w:rsidRDefault="004F0BED" w:rsidP="00D472B0">
      <w:pPr>
        <w:spacing w:after="0" w:line="480" w:lineRule="auto"/>
        <w:jc w:val="both"/>
        <w:rPr>
          <w:rFonts w:ascii="Arial" w:eastAsia="Calibri" w:hAnsi="Arial" w:cs="Arial"/>
          <w:sz w:val="24"/>
          <w:szCs w:val="24"/>
        </w:rPr>
      </w:pPr>
      <w:r w:rsidRPr="00FF2019">
        <w:rPr>
          <w:rFonts w:ascii="Arial" w:hAnsi="Arial" w:cs="Arial"/>
          <w:sz w:val="24"/>
          <w:szCs w:val="24"/>
        </w:rPr>
        <w:t xml:space="preserve">The </w:t>
      </w:r>
      <w:r w:rsidR="00F47203" w:rsidRPr="00FF2019">
        <w:rPr>
          <w:rFonts w:ascii="Arial" w:hAnsi="Arial" w:cs="Arial"/>
          <w:sz w:val="24"/>
          <w:szCs w:val="24"/>
        </w:rPr>
        <w:t xml:space="preserve">appetite for national </w:t>
      </w:r>
      <w:r w:rsidR="00F47203" w:rsidRPr="00FF2019">
        <w:rPr>
          <w:rFonts w:ascii="Arial" w:hAnsi="Arial" w:cs="Arial"/>
          <w:i/>
          <w:sz w:val="24"/>
          <w:szCs w:val="24"/>
        </w:rPr>
        <w:t>‘Standardisation’</w:t>
      </w:r>
      <w:r w:rsidR="00F47203" w:rsidRPr="00FF2019">
        <w:rPr>
          <w:rFonts w:ascii="Arial" w:hAnsi="Arial" w:cs="Arial"/>
          <w:sz w:val="24"/>
          <w:szCs w:val="24"/>
        </w:rPr>
        <w:t xml:space="preserve"> in professional practice assessment</w:t>
      </w:r>
      <w:r w:rsidR="000973F9" w:rsidRPr="00FF2019">
        <w:rPr>
          <w:rFonts w:ascii="Arial" w:hAnsi="Arial" w:cs="Arial"/>
          <w:sz w:val="24"/>
          <w:szCs w:val="24"/>
          <w:lang w:eastAsia="en-GB"/>
        </w:rPr>
        <w:t xml:space="preserve"> was demonstrated across all categories </w:t>
      </w:r>
      <w:r w:rsidRPr="00FF2019">
        <w:rPr>
          <w:rFonts w:ascii="Arial" w:hAnsi="Arial" w:cs="Arial"/>
          <w:sz w:val="24"/>
          <w:szCs w:val="24"/>
          <w:lang w:eastAsia="en-GB"/>
        </w:rPr>
        <w:t xml:space="preserve">of participants, reinforcing </w:t>
      </w:r>
      <w:r w:rsidR="000973F9" w:rsidRPr="00FF2019">
        <w:rPr>
          <w:rFonts w:ascii="Arial" w:hAnsi="Arial" w:cs="Arial"/>
          <w:sz w:val="24"/>
          <w:szCs w:val="24"/>
          <w:lang w:eastAsia="en-GB"/>
        </w:rPr>
        <w:t xml:space="preserve">views of the LMEs as well as findings in the wider literature that </w:t>
      </w:r>
      <w:r w:rsidR="001A37A6" w:rsidRPr="00FF2019">
        <w:rPr>
          <w:rFonts w:ascii="Arial" w:hAnsi="Arial" w:cs="Arial"/>
          <w:sz w:val="24"/>
          <w:szCs w:val="24"/>
          <w:lang w:eastAsia="en-GB"/>
        </w:rPr>
        <w:t xml:space="preserve">this </w:t>
      </w:r>
      <w:r w:rsidR="000973F9" w:rsidRPr="00FF2019">
        <w:rPr>
          <w:rFonts w:ascii="Arial" w:hAnsi="Arial" w:cs="Arial"/>
          <w:sz w:val="24"/>
          <w:szCs w:val="24"/>
          <w:lang w:eastAsia="en-GB"/>
        </w:rPr>
        <w:t>would contribute to enhanced rigour of assessment</w:t>
      </w:r>
      <w:r w:rsidR="001A37A6" w:rsidRPr="00FF2019">
        <w:rPr>
          <w:rFonts w:ascii="Arial" w:hAnsi="Arial" w:cs="Arial"/>
          <w:sz w:val="24"/>
          <w:szCs w:val="24"/>
          <w:lang w:eastAsia="en-GB"/>
        </w:rPr>
        <w:t xml:space="preserve"> (</w:t>
      </w:r>
      <w:r w:rsidR="00FA3255" w:rsidRPr="00FF2019">
        <w:rPr>
          <w:rFonts w:ascii="Arial" w:hAnsi="Arial" w:cs="Arial"/>
          <w:sz w:val="24"/>
          <w:szCs w:val="24"/>
          <w:lang w:eastAsia="en-GB"/>
        </w:rPr>
        <w:t xml:space="preserve">Authors, 2017a; </w:t>
      </w:r>
      <w:r w:rsidR="001A37A6" w:rsidRPr="00FF2019">
        <w:rPr>
          <w:rFonts w:ascii="Arial" w:hAnsi="Arial" w:cs="Arial"/>
          <w:sz w:val="24"/>
          <w:szCs w:val="24"/>
          <w:lang w:eastAsia="en-GB"/>
        </w:rPr>
        <w:t>Cassidy, 2008; Donaldson and Gray, 2012; Gillman, 2014;</w:t>
      </w:r>
      <w:r w:rsidR="00FA3255" w:rsidRPr="00FF2019">
        <w:rPr>
          <w:rFonts w:ascii="Arial" w:hAnsi="Arial" w:cs="Arial"/>
          <w:sz w:val="24"/>
          <w:szCs w:val="24"/>
          <w:lang w:eastAsia="en-GB"/>
        </w:rPr>
        <w:t xml:space="preserve"> Maxted et al, 2004</w:t>
      </w:r>
      <w:r w:rsidR="001A37A6" w:rsidRPr="00FF2019">
        <w:rPr>
          <w:rFonts w:ascii="Arial" w:hAnsi="Arial" w:cs="Arial"/>
          <w:sz w:val="24"/>
          <w:szCs w:val="24"/>
          <w:lang w:eastAsia="en-GB"/>
        </w:rPr>
        <w:t xml:space="preserve">). </w:t>
      </w:r>
      <w:r w:rsidR="001A37A6" w:rsidRPr="00FF2019">
        <w:rPr>
          <w:rFonts w:ascii="Arial" w:hAnsi="Arial" w:cs="Arial"/>
          <w:sz w:val="24"/>
          <w:szCs w:val="24"/>
        </w:rPr>
        <w:t xml:space="preserve">A </w:t>
      </w:r>
      <w:r w:rsidR="00F47203" w:rsidRPr="00FF2019">
        <w:rPr>
          <w:rFonts w:ascii="Arial" w:hAnsi="Arial" w:cs="Arial"/>
          <w:sz w:val="24"/>
          <w:szCs w:val="24"/>
        </w:rPr>
        <w:t>national tool has been developed for physiother</w:t>
      </w:r>
      <w:r w:rsidR="001A37A6" w:rsidRPr="00FF2019">
        <w:rPr>
          <w:rFonts w:ascii="Arial" w:hAnsi="Arial" w:cs="Arial"/>
          <w:sz w:val="24"/>
          <w:szCs w:val="24"/>
        </w:rPr>
        <w:t>apy in Australia and New Zealand (Dalton et al, 2009). I</w:t>
      </w:r>
      <w:r w:rsidR="00F47203" w:rsidRPr="00FF2019">
        <w:rPr>
          <w:rFonts w:ascii="Arial" w:hAnsi="Arial" w:cs="Arial"/>
          <w:sz w:val="24"/>
          <w:szCs w:val="24"/>
        </w:rPr>
        <w:t>n the UK, common assessment tools have been developed for midwifery</w:t>
      </w:r>
      <w:r w:rsidR="000973F9" w:rsidRPr="00FF2019">
        <w:rPr>
          <w:rFonts w:ascii="Arial" w:hAnsi="Arial" w:cs="Arial"/>
          <w:sz w:val="24"/>
          <w:szCs w:val="24"/>
        </w:rPr>
        <w:t xml:space="preserve"> across six sites</w:t>
      </w:r>
      <w:r w:rsidR="001A37A6" w:rsidRPr="00FF2019">
        <w:rPr>
          <w:rFonts w:ascii="Arial" w:hAnsi="Arial" w:cs="Arial"/>
          <w:sz w:val="24"/>
          <w:szCs w:val="24"/>
        </w:rPr>
        <w:t xml:space="preserve"> in Yorkshire and Humberside,</w:t>
      </w:r>
      <w:r w:rsidR="00F47203" w:rsidRPr="00FF2019">
        <w:rPr>
          <w:rFonts w:ascii="Arial" w:hAnsi="Arial" w:cs="Arial"/>
          <w:sz w:val="24"/>
          <w:szCs w:val="24"/>
        </w:rPr>
        <w:t xml:space="preserve"> and </w:t>
      </w:r>
      <w:r w:rsidR="001A37A6" w:rsidRPr="00FF2019">
        <w:rPr>
          <w:rFonts w:ascii="Arial" w:hAnsi="Arial" w:cs="Arial"/>
          <w:sz w:val="24"/>
          <w:szCs w:val="24"/>
        </w:rPr>
        <w:t>‘</w:t>
      </w:r>
      <w:r w:rsidR="00F47203" w:rsidRPr="00FF2019">
        <w:rPr>
          <w:rFonts w:ascii="Arial" w:hAnsi="Arial" w:cs="Arial"/>
          <w:sz w:val="24"/>
          <w:szCs w:val="24"/>
        </w:rPr>
        <w:t>PAN London</w:t>
      </w:r>
      <w:r w:rsidR="001A37A6" w:rsidRPr="00FF2019">
        <w:rPr>
          <w:rFonts w:ascii="Arial" w:hAnsi="Arial" w:cs="Arial"/>
          <w:sz w:val="24"/>
          <w:szCs w:val="24"/>
        </w:rPr>
        <w:t>’</w:t>
      </w:r>
      <w:r w:rsidR="00F47203" w:rsidRPr="00FF2019">
        <w:rPr>
          <w:rFonts w:ascii="Arial" w:hAnsi="Arial" w:cs="Arial"/>
          <w:sz w:val="24"/>
          <w:szCs w:val="24"/>
        </w:rPr>
        <w:t xml:space="preserve"> tools</w:t>
      </w:r>
      <w:r w:rsidR="001A37A6" w:rsidRPr="00FF2019">
        <w:rPr>
          <w:rFonts w:ascii="Arial" w:hAnsi="Arial" w:cs="Arial"/>
          <w:sz w:val="24"/>
          <w:szCs w:val="24"/>
        </w:rPr>
        <w:t xml:space="preserve"> are</w:t>
      </w:r>
      <w:r w:rsidR="000973F9" w:rsidRPr="00FF2019">
        <w:rPr>
          <w:rFonts w:ascii="Arial" w:hAnsi="Arial" w:cs="Arial"/>
          <w:sz w:val="24"/>
          <w:szCs w:val="24"/>
        </w:rPr>
        <w:t xml:space="preserve"> used by eight universities and th</w:t>
      </w:r>
      <w:r w:rsidR="001A37A6" w:rsidRPr="00FF2019">
        <w:rPr>
          <w:rFonts w:ascii="Arial" w:hAnsi="Arial" w:cs="Arial"/>
          <w:sz w:val="24"/>
          <w:szCs w:val="24"/>
        </w:rPr>
        <w:t>eir practice partners in London (</w:t>
      </w:r>
      <w:r w:rsidR="00FA3255" w:rsidRPr="00FF2019">
        <w:rPr>
          <w:rFonts w:ascii="Arial" w:hAnsi="Arial" w:cs="Arial"/>
          <w:sz w:val="24"/>
          <w:szCs w:val="24"/>
        </w:rPr>
        <w:t>Authors, 2017a; Gillman, 2014</w:t>
      </w:r>
      <w:r w:rsidR="001A37A6" w:rsidRPr="00FF2019">
        <w:rPr>
          <w:rFonts w:ascii="Arial" w:hAnsi="Arial" w:cs="Arial"/>
          <w:sz w:val="24"/>
          <w:szCs w:val="24"/>
        </w:rPr>
        <w:t>)</w:t>
      </w:r>
      <w:r w:rsidR="002010BC" w:rsidRPr="00FF2019">
        <w:rPr>
          <w:rFonts w:ascii="Arial" w:hAnsi="Arial" w:cs="Arial"/>
          <w:sz w:val="24"/>
          <w:szCs w:val="24"/>
        </w:rPr>
        <w:t>; further regional tools are being developed in nursing since pub</w:t>
      </w:r>
      <w:r w:rsidR="00270FA5" w:rsidRPr="00FF2019">
        <w:rPr>
          <w:rFonts w:ascii="Arial" w:hAnsi="Arial" w:cs="Arial"/>
          <w:sz w:val="24"/>
          <w:szCs w:val="24"/>
        </w:rPr>
        <w:t xml:space="preserve">lication of the new standards. </w:t>
      </w:r>
      <w:r w:rsidR="000973F9" w:rsidRPr="00FF2019">
        <w:rPr>
          <w:rFonts w:ascii="Arial" w:hAnsi="Arial" w:cs="Arial"/>
          <w:sz w:val="24"/>
          <w:szCs w:val="24"/>
        </w:rPr>
        <w:t xml:space="preserve">A number of positive comments were made about the potential for our tools to </w:t>
      </w:r>
      <w:r w:rsidR="001A37A6" w:rsidRPr="00FF2019">
        <w:rPr>
          <w:rFonts w:ascii="Arial" w:hAnsi="Arial" w:cs="Arial"/>
          <w:sz w:val="24"/>
          <w:szCs w:val="24"/>
        </w:rPr>
        <w:t xml:space="preserve">be transferable </w:t>
      </w:r>
      <w:r w:rsidR="000973F9" w:rsidRPr="00FF2019">
        <w:rPr>
          <w:rFonts w:ascii="Arial" w:hAnsi="Arial" w:cs="Arial"/>
          <w:sz w:val="24"/>
          <w:szCs w:val="24"/>
        </w:rPr>
        <w:t xml:space="preserve">across both midwifery and nursing professions and in all categories of participants. </w:t>
      </w:r>
    </w:p>
    <w:p w:rsidR="005C6327" w:rsidRPr="00FF2019" w:rsidRDefault="005C6327" w:rsidP="00D472B0">
      <w:pPr>
        <w:spacing w:after="0" w:line="480" w:lineRule="auto"/>
        <w:contextualSpacing/>
        <w:jc w:val="both"/>
        <w:rPr>
          <w:rFonts w:ascii="Arial" w:hAnsi="Arial" w:cs="Arial"/>
          <w:b/>
          <w:sz w:val="24"/>
          <w:szCs w:val="24"/>
        </w:rPr>
      </w:pPr>
    </w:p>
    <w:p w:rsidR="005C6327" w:rsidRPr="00FF2019" w:rsidRDefault="008809F3" w:rsidP="00D472B0">
      <w:pPr>
        <w:spacing w:after="0" w:line="480" w:lineRule="auto"/>
        <w:jc w:val="both"/>
        <w:rPr>
          <w:rFonts w:ascii="Arial" w:eastAsia="Calibri" w:hAnsi="Arial" w:cs="Arial"/>
          <w:b/>
          <w:sz w:val="24"/>
          <w:szCs w:val="24"/>
          <w:u w:val="single"/>
        </w:rPr>
      </w:pPr>
      <w:r w:rsidRPr="00FF2019">
        <w:rPr>
          <w:rFonts w:ascii="Arial" w:eastAsia="Calibri" w:hAnsi="Arial" w:cs="Arial"/>
          <w:b/>
          <w:sz w:val="24"/>
          <w:szCs w:val="24"/>
          <w:u w:val="single"/>
        </w:rPr>
        <w:t>5.2</w:t>
      </w:r>
      <w:r w:rsidR="005C6327" w:rsidRPr="00FF2019">
        <w:rPr>
          <w:rFonts w:ascii="Arial" w:eastAsia="Calibri" w:hAnsi="Arial" w:cs="Arial"/>
          <w:b/>
          <w:sz w:val="24"/>
          <w:szCs w:val="24"/>
          <w:u w:val="single"/>
        </w:rPr>
        <w:t xml:space="preserve"> Development of a conceptual model:</w:t>
      </w:r>
    </w:p>
    <w:p w:rsidR="00BE5E2E" w:rsidRPr="00515C0A" w:rsidRDefault="00BE5E2E" w:rsidP="00BE5E2E">
      <w:pPr>
        <w:spacing w:after="0" w:line="480" w:lineRule="auto"/>
        <w:jc w:val="both"/>
        <w:rPr>
          <w:rFonts w:ascii="Arial" w:hAnsi="Arial" w:cs="Arial"/>
          <w:sz w:val="24"/>
          <w:szCs w:val="24"/>
        </w:rPr>
      </w:pPr>
      <w:r w:rsidRPr="00FF2019">
        <w:rPr>
          <w:rFonts w:ascii="Arial" w:hAnsi="Arial" w:cs="Arial"/>
          <w:sz w:val="24"/>
          <w:szCs w:val="24"/>
        </w:rPr>
        <w:t xml:space="preserve">An ‘Evidence Based Model for Professional Practice Assessment’ </w:t>
      </w:r>
      <w:r w:rsidR="002010BC" w:rsidRPr="00FF2019">
        <w:rPr>
          <w:rFonts w:ascii="Arial" w:hAnsi="Arial" w:cs="Arial"/>
          <w:sz w:val="24"/>
          <w:szCs w:val="24"/>
        </w:rPr>
        <w:t>(</w:t>
      </w:r>
      <w:r w:rsidR="002010BC" w:rsidRPr="00FF2019">
        <w:rPr>
          <w:rFonts w:ascii="Arial" w:hAnsi="Arial" w:cs="Arial"/>
          <w:i/>
          <w:sz w:val="24"/>
          <w:szCs w:val="24"/>
        </w:rPr>
        <w:t>Figure 7</w:t>
      </w:r>
      <w:r w:rsidR="002010BC" w:rsidRPr="00FF2019">
        <w:rPr>
          <w:rFonts w:ascii="Arial" w:hAnsi="Arial" w:cs="Arial"/>
          <w:sz w:val="24"/>
          <w:szCs w:val="24"/>
        </w:rPr>
        <w:t xml:space="preserve">) </w:t>
      </w:r>
      <w:r w:rsidRPr="00FF2019">
        <w:rPr>
          <w:rFonts w:ascii="Arial" w:hAnsi="Arial" w:cs="Arial"/>
          <w:sz w:val="24"/>
          <w:szCs w:val="24"/>
        </w:rPr>
        <w:t>was developed to demonstrate the inter-relationship between the them</w:t>
      </w:r>
      <w:r w:rsidR="002010BC" w:rsidRPr="00FF2019">
        <w:rPr>
          <w:rFonts w:ascii="Arial" w:hAnsi="Arial" w:cs="Arial"/>
          <w:sz w:val="24"/>
          <w:szCs w:val="24"/>
        </w:rPr>
        <w:t xml:space="preserve">es and sub-themes which emerged </w:t>
      </w:r>
      <w:r w:rsidRPr="00FF2019">
        <w:rPr>
          <w:rFonts w:ascii="Arial" w:hAnsi="Arial" w:cs="Arial"/>
          <w:sz w:val="24"/>
          <w:szCs w:val="24"/>
        </w:rPr>
        <w:t>(</w:t>
      </w:r>
      <w:r w:rsidRPr="00FF2019">
        <w:rPr>
          <w:rFonts w:ascii="Arial" w:hAnsi="Arial" w:cs="Arial"/>
          <w:i/>
          <w:sz w:val="24"/>
          <w:szCs w:val="24"/>
        </w:rPr>
        <w:t>Table 4</w:t>
      </w:r>
      <w:r w:rsidRPr="00FF2019">
        <w:rPr>
          <w:rFonts w:ascii="Arial" w:hAnsi="Arial" w:cs="Arial"/>
          <w:sz w:val="24"/>
          <w:szCs w:val="24"/>
        </w:rPr>
        <w:t xml:space="preserve">). This puts the </w:t>
      </w:r>
      <w:r w:rsidRPr="00FF2019">
        <w:rPr>
          <w:rFonts w:ascii="Arial" w:hAnsi="Arial" w:cs="Arial"/>
          <w:b/>
          <w:i/>
          <w:sz w:val="24"/>
          <w:szCs w:val="24"/>
        </w:rPr>
        <w:t>‘Purpose of assessment’</w:t>
      </w:r>
      <w:r w:rsidRPr="00FF2019">
        <w:rPr>
          <w:rFonts w:ascii="Arial" w:hAnsi="Arial" w:cs="Arial"/>
          <w:sz w:val="24"/>
          <w:szCs w:val="24"/>
        </w:rPr>
        <w:t xml:space="preserve"> as central, surrounded by factors which contribute to robust and reliable assessment, but mindful of the </w:t>
      </w:r>
      <w:r w:rsidRPr="00FF2019">
        <w:rPr>
          <w:rFonts w:ascii="Arial" w:hAnsi="Arial" w:cs="Arial"/>
          <w:b/>
          <w:i/>
          <w:sz w:val="24"/>
          <w:szCs w:val="24"/>
        </w:rPr>
        <w:t>‘Human factors’</w:t>
      </w:r>
      <w:r w:rsidRPr="00FF2019">
        <w:rPr>
          <w:rFonts w:ascii="Arial" w:hAnsi="Arial" w:cs="Arial"/>
          <w:b/>
          <w:sz w:val="24"/>
          <w:szCs w:val="24"/>
        </w:rPr>
        <w:t xml:space="preserve"> </w:t>
      </w:r>
      <w:r w:rsidRPr="00FF2019">
        <w:rPr>
          <w:rFonts w:ascii="Arial" w:hAnsi="Arial" w:cs="Arial"/>
          <w:sz w:val="24"/>
          <w:szCs w:val="24"/>
        </w:rPr>
        <w:t xml:space="preserve">and </w:t>
      </w:r>
      <w:r w:rsidRPr="00FF2019">
        <w:rPr>
          <w:rFonts w:ascii="Arial" w:hAnsi="Arial" w:cs="Arial"/>
          <w:b/>
          <w:i/>
          <w:sz w:val="24"/>
          <w:szCs w:val="24"/>
        </w:rPr>
        <w:t>‘Other factors’</w:t>
      </w:r>
      <w:r w:rsidRPr="00FF2019">
        <w:rPr>
          <w:rFonts w:ascii="Arial" w:hAnsi="Arial" w:cs="Arial"/>
          <w:sz w:val="24"/>
          <w:szCs w:val="24"/>
        </w:rPr>
        <w:t xml:space="preserve"> which may have a negative impact.</w:t>
      </w:r>
      <w:r w:rsidRPr="00515C0A">
        <w:rPr>
          <w:rFonts w:ascii="Arial" w:hAnsi="Arial" w:cs="Arial"/>
          <w:sz w:val="24"/>
          <w:szCs w:val="24"/>
        </w:rPr>
        <w:t xml:space="preserve"> </w:t>
      </w:r>
    </w:p>
    <w:p w:rsidR="00BE5E2E" w:rsidRDefault="00BE5E2E" w:rsidP="00BE5E2E">
      <w:pPr>
        <w:spacing w:after="0" w:line="240" w:lineRule="auto"/>
        <w:contextualSpacing/>
        <w:jc w:val="both"/>
        <w:rPr>
          <w:rFonts w:ascii="Arial" w:hAnsi="Arial" w:cs="Arial"/>
          <w:b/>
          <w:sz w:val="24"/>
          <w:szCs w:val="24"/>
        </w:rPr>
      </w:pPr>
    </w:p>
    <w:p w:rsidR="00BE5E2E" w:rsidRPr="0003515B" w:rsidRDefault="00BE5E2E" w:rsidP="00BE5E2E">
      <w:pPr>
        <w:tabs>
          <w:tab w:val="right" w:leader="underscore" w:pos="8630"/>
        </w:tabs>
        <w:spacing w:after="0" w:line="240" w:lineRule="auto"/>
        <w:jc w:val="center"/>
        <w:rPr>
          <w:rFonts w:ascii="Calibri" w:hAnsi="Calibri" w:cs="Calibri"/>
          <w:b/>
          <w:color w:val="2E74B5" w:themeColor="accent1" w:themeShade="BF"/>
        </w:rPr>
      </w:pPr>
      <w:r w:rsidRPr="0003515B">
        <w:rPr>
          <w:rFonts w:ascii="Calibri" w:hAnsi="Calibri" w:cs="Calibri"/>
          <w:b/>
          <w:noProof/>
          <w:color w:val="2E74B5" w:themeColor="accent1" w:themeShade="BF"/>
          <w:lang w:eastAsia="en-GB"/>
        </w:rPr>
        <w:drawing>
          <wp:inline distT="0" distB="0" distL="0" distR="0" wp14:anchorId="4FAA3248" wp14:editId="4F57E6B9">
            <wp:extent cx="6164270" cy="3467405"/>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50864" cy="3684864"/>
                    </a:xfrm>
                    <a:prstGeom prst="rect">
                      <a:avLst/>
                    </a:prstGeom>
                  </pic:spPr>
                </pic:pic>
              </a:graphicData>
            </a:graphic>
          </wp:inline>
        </w:drawing>
      </w:r>
    </w:p>
    <w:p w:rsidR="00BE5E2E" w:rsidRPr="0003515B" w:rsidRDefault="00BE5E2E" w:rsidP="00BE5E2E">
      <w:pPr>
        <w:tabs>
          <w:tab w:val="right" w:leader="underscore" w:pos="8630"/>
        </w:tabs>
        <w:spacing w:after="0" w:line="240" w:lineRule="auto"/>
        <w:jc w:val="center"/>
        <w:rPr>
          <w:rFonts w:ascii="Calibri" w:hAnsi="Calibri" w:cs="Calibri"/>
          <w:b/>
          <w:i/>
          <w:sz w:val="20"/>
          <w:szCs w:val="20"/>
          <w:u w:val="single"/>
        </w:rPr>
      </w:pPr>
    </w:p>
    <w:p w:rsidR="00BE5E2E" w:rsidRDefault="002010BC" w:rsidP="00BE5E2E">
      <w:pPr>
        <w:tabs>
          <w:tab w:val="right" w:leader="underscore" w:pos="8630"/>
        </w:tabs>
        <w:spacing w:after="0" w:line="240" w:lineRule="auto"/>
        <w:jc w:val="center"/>
        <w:rPr>
          <w:rFonts w:ascii="Calibri" w:hAnsi="Calibri" w:cs="Calibri"/>
          <w:b/>
          <w:color w:val="2E74B5" w:themeColor="accent1" w:themeShade="BF"/>
        </w:rPr>
      </w:pPr>
      <w:r>
        <w:rPr>
          <w:rFonts w:ascii="Calibri" w:hAnsi="Calibri" w:cs="Calibri"/>
          <w:i/>
          <w:sz w:val="20"/>
          <w:szCs w:val="20"/>
          <w:u w:val="single"/>
        </w:rPr>
        <w:t>Figure 7</w:t>
      </w:r>
      <w:r w:rsidR="00BE5E2E" w:rsidRPr="0003515B">
        <w:rPr>
          <w:rFonts w:ascii="Calibri" w:hAnsi="Calibri" w:cs="Calibri"/>
          <w:i/>
          <w:sz w:val="20"/>
          <w:szCs w:val="20"/>
          <w:u w:val="single"/>
        </w:rPr>
        <w:t>:</w:t>
      </w:r>
      <w:r w:rsidR="00BE5E2E" w:rsidRPr="0003515B">
        <w:rPr>
          <w:rFonts w:ascii="Calibri" w:hAnsi="Calibri" w:cs="Calibri"/>
          <w:sz w:val="20"/>
          <w:szCs w:val="20"/>
          <w:u w:val="single"/>
        </w:rPr>
        <w:t xml:space="preserve"> An Evidence Based Model for Professional Practice Assessment</w:t>
      </w:r>
    </w:p>
    <w:p w:rsidR="00BE5E2E" w:rsidRDefault="00BE5E2E" w:rsidP="00BE5E2E">
      <w:pPr>
        <w:tabs>
          <w:tab w:val="right" w:leader="underscore" w:pos="8630"/>
        </w:tabs>
        <w:spacing w:after="0" w:line="240" w:lineRule="auto"/>
        <w:jc w:val="center"/>
        <w:rPr>
          <w:rFonts w:ascii="Calibri" w:hAnsi="Calibri" w:cs="Calibri"/>
          <w:b/>
          <w:color w:val="2E74B5" w:themeColor="accent1" w:themeShade="BF"/>
        </w:rPr>
      </w:pPr>
    </w:p>
    <w:p w:rsidR="00BE5E2E" w:rsidRDefault="00BE5E2E" w:rsidP="00D472B0">
      <w:pPr>
        <w:spacing w:after="0" w:line="480" w:lineRule="auto"/>
        <w:jc w:val="both"/>
        <w:rPr>
          <w:rFonts w:ascii="Arial" w:eastAsia="Calibri" w:hAnsi="Arial" w:cs="Arial"/>
          <w:sz w:val="24"/>
          <w:szCs w:val="24"/>
        </w:rPr>
      </w:pPr>
    </w:p>
    <w:p w:rsidR="005C6327" w:rsidRPr="00FF2019" w:rsidRDefault="005C6327" w:rsidP="00D472B0">
      <w:pPr>
        <w:spacing w:after="0" w:line="480" w:lineRule="auto"/>
        <w:jc w:val="both"/>
        <w:rPr>
          <w:rFonts w:ascii="Arial" w:eastAsia="Calibri" w:hAnsi="Arial" w:cs="Arial"/>
          <w:sz w:val="24"/>
          <w:szCs w:val="24"/>
        </w:rPr>
      </w:pPr>
      <w:r w:rsidRPr="00FF2019">
        <w:rPr>
          <w:rFonts w:ascii="Arial" w:eastAsia="Calibri" w:hAnsi="Arial" w:cs="Arial"/>
          <w:sz w:val="24"/>
          <w:szCs w:val="24"/>
        </w:rPr>
        <w:t xml:space="preserve">Our study has highlighted that grading tools are very challenging to create.  Even if the </w:t>
      </w:r>
      <w:r w:rsidRPr="00FF2019">
        <w:rPr>
          <w:rFonts w:ascii="Arial" w:eastAsia="Calibri" w:hAnsi="Arial" w:cs="Arial"/>
          <w:b/>
          <w:i/>
          <w:sz w:val="24"/>
          <w:szCs w:val="24"/>
        </w:rPr>
        <w:t>‘Structure of the tool’</w:t>
      </w:r>
      <w:r w:rsidRPr="00FF2019">
        <w:rPr>
          <w:rFonts w:ascii="Arial" w:eastAsia="Calibri" w:hAnsi="Arial" w:cs="Arial"/>
          <w:b/>
          <w:sz w:val="24"/>
          <w:szCs w:val="24"/>
        </w:rPr>
        <w:t xml:space="preserve"> </w:t>
      </w:r>
      <w:r w:rsidRPr="00FF2019">
        <w:rPr>
          <w:rFonts w:ascii="Arial" w:eastAsia="Calibri" w:hAnsi="Arial" w:cs="Arial"/>
          <w:sz w:val="24"/>
          <w:szCs w:val="24"/>
        </w:rPr>
        <w:t xml:space="preserve">appears valid, reliability remains an issue. </w:t>
      </w:r>
      <w:r w:rsidRPr="00FF2019">
        <w:rPr>
          <w:rFonts w:ascii="Arial" w:eastAsia="Calibri" w:hAnsi="Arial" w:cs="Arial"/>
          <w:b/>
          <w:i/>
          <w:sz w:val="24"/>
          <w:szCs w:val="24"/>
        </w:rPr>
        <w:t>‘Human factors’</w:t>
      </w:r>
      <w:r w:rsidRPr="00FF2019">
        <w:rPr>
          <w:rFonts w:ascii="Arial" w:eastAsia="Calibri" w:hAnsi="Arial" w:cs="Arial"/>
          <w:sz w:val="24"/>
          <w:szCs w:val="24"/>
        </w:rPr>
        <w:t xml:space="preserve"> of </w:t>
      </w:r>
      <w:r w:rsidRPr="00FF2019">
        <w:rPr>
          <w:rFonts w:ascii="Arial" w:eastAsia="Calibri" w:hAnsi="Arial" w:cs="Arial"/>
          <w:i/>
          <w:sz w:val="24"/>
          <w:szCs w:val="24"/>
        </w:rPr>
        <w:t>‘subjectivity’</w:t>
      </w:r>
      <w:r w:rsidRPr="00FF2019">
        <w:rPr>
          <w:rFonts w:ascii="Arial" w:eastAsia="Calibri" w:hAnsi="Arial" w:cs="Arial"/>
          <w:sz w:val="24"/>
          <w:szCs w:val="24"/>
        </w:rPr>
        <w:t xml:space="preserve"> and varied </w:t>
      </w:r>
      <w:r w:rsidRPr="00FF2019">
        <w:rPr>
          <w:rFonts w:ascii="Arial" w:eastAsia="Calibri" w:hAnsi="Arial" w:cs="Arial"/>
          <w:i/>
          <w:sz w:val="24"/>
          <w:szCs w:val="24"/>
        </w:rPr>
        <w:t>‘personal interpretation’</w:t>
      </w:r>
      <w:r w:rsidR="00BE5E2E" w:rsidRPr="00FF2019">
        <w:rPr>
          <w:rFonts w:ascii="Arial" w:eastAsia="Calibri" w:hAnsi="Arial" w:cs="Arial"/>
          <w:sz w:val="24"/>
          <w:szCs w:val="24"/>
        </w:rPr>
        <w:t xml:space="preserve"> may compromise reliability and validity, and the</w:t>
      </w:r>
      <w:r w:rsidRPr="00FF2019">
        <w:rPr>
          <w:rFonts w:ascii="Arial" w:eastAsia="Calibri" w:hAnsi="Arial" w:cs="Arial"/>
          <w:sz w:val="24"/>
          <w:szCs w:val="24"/>
        </w:rPr>
        <w:t xml:space="preserve"> ‘</w:t>
      </w:r>
      <w:r w:rsidRPr="00FF2019">
        <w:rPr>
          <w:rFonts w:ascii="Arial" w:eastAsia="Calibri" w:hAnsi="Arial" w:cs="Arial"/>
          <w:i/>
          <w:sz w:val="24"/>
          <w:szCs w:val="24"/>
        </w:rPr>
        <w:t xml:space="preserve">mentor-student relationship’ </w:t>
      </w:r>
      <w:r w:rsidR="00BE5E2E" w:rsidRPr="00FF2019">
        <w:rPr>
          <w:rFonts w:ascii="Arial" w:eastAsia="Calibri" w:hAnsi="Arial" w:cs="Arial"/>
          <w:sz w:val="24"/>
          <w:szCs w:val="24"/>
        </w:rPr>
        <w:t>is significant.</w:t>
      </w:r>
    </w:p>
    <w:p w:rsidR="005C6327" w:rsidRPr="00FF2019" w:rsidRDefault="005C6327" w:rsidP="00D472B0">
      <w:pPr>
        <w:spacing w:after="0" w:line="480" w:lineRule="auto"/>
        <w:ind w:left="357"/>
        <w:jc w:val="both"/>
        <w:rPr>
          <w:rFonts w:ascii="Arial" w:eastAsia="Calibri" w:hAnsi="Arial" w:cs="Arial"/>
          <w:sz w:val="24"/>
          <w:szCs w:val="24"/>
        </w:rPr>
      </w:pPr>
    </w:p>
    <w:p w:rsidR="005C6327" w:rsidRPr="00FF2019" w:rsidRDefault="005C6327" w:rsidP="00D472B0">
      <w:pPr>
        <w:spacing w:after="0" w:line="480" w:lineRule="auto"/>
        <w:jc w:val="both"/>
        <w:rPr>
          <w:rFonts w:ascii="Arial" w:eastAsia="Calibri" w:hAnsi="Arial" w:cs="Arial"/>
          <w:sz w:val="24"/>
          <w:szCs w:val="24"/>
        </w:rPr>
      </w:pPr>
      <w:r w:rsidRPr="00FF2019">
        <w:rPr>
          <w:rFonts w:ascii="Arial" w:eastAsia="Calibri" w:hAnsi="Arial" w:cs="Arial"/>
          <w:sz w:val="24"/>
          <w:szCs w:val="24"/>
        </w:rPr>
        <w:lastRenderedPageBreak/>
        <w:t xml:space="preserve">The </w:t>
      </w:r>
      <w:r w:rsidRPr="00FF2019">
        <w:rPr>
          <w:rFonts w:ascii="Arial" w:eastAsia="Calibri" w:hAnsi="Arial" w:cs="Arial"/>
          <w:b/>
          <w:i/>
          <w:sz w:val="24"/>
          <w:szCs w:val="24"/>
        </w:rPr>
        <w:t>‘Art of mentoring’</w:t>
      </w:r>
      <w:r w:rsidRPr="00FF2019">
        <w:rPr>
          <w:rFonts w:ascii="Arial" w:eastAsia="Calibri" w:hAnsi="Arial" w:cs="Arial"/>
          <w:b/>
          <w:sz w:val="24"/>
          <w:szCs w:val="24"/>
        </w:rPr>
        <w:t xml:space="preserve"> </w:t>
      </w:r>
      <w:r w:rsidRPr="00FF2019">
        <w:rPr>
          <w:rFonts w:ascii="Arial" w:eastAsia="Calibri" w:hAnsi="Arial" w:cs="Arial"/>
          <w:sz w:val="24"/>
          <w:szCs w:val="24"/>
        </w:rPr>
        <w:t>requires ‘</w:t>
      </w:r>
      <w:r w:rsidRPr="00FF2019">
        <w:rPr>
          <w:rFonts w:ascii="Arial" w:eastAsia="Calibri" w:hAnsi="Arial" w:cs="Arial"/>
          <w:i/>
          <w:sz w:val="24"/>
          <w:szCs w:val="24"/>
        </w:rPr>
        <w:t>understanding’</w:t>
      </w:r>
      <w:r w:rsidRPr="00FF2019">
        <w:rPr>
          <w:rFonts w:ascii="Arial" w:eastAsia="Calibri" w:hAnsi="Arial" w:cs="Arial"/>
          <w:sz w:val="24"/>
          <w:szCs w:val="24"/>
        </w:rPr>
        <w:t xml:space="preserve"> and correct ‘</w:t>
      </w:r>
      <w:r w:rsidRPr="00FF2019">
        <w:rPr>
          <w:rFonts w:ascii="Arial" w:eastAsia="Calibri" w:hAnsi="Arial" w:cs="Arial"/>
          <w:i/>
          <w:sz w:val="24"/>
          <w:szCs w:val="24"/>
        </w:rPr>
        <w:t>application’</w:t>
      </w:r>
      <w:r w:rsidRPr="00FF2019">
        <w:rPr>
          <w:rFonts w:ascii="Arial" w:eastAsia="Calibri" w:hAnsi="Arial" w:cs="Arial"/>
          <w:sz w:val="24"/>
          <w:szCs w:val="24"/>
        </w:rPr>
        <w:t xml:space="preserve"> of the assessment tool and process, with ‘</w:t>
      </w:r>
      <w:r w:rsidRPr="00FF2019">
        <w:rPr>
          <w:rFonts w:ascii="Arial" w:eastAsia="Calibri" w:hAnsi="Arial" w:cs="Arial"/>
          <w:i/>
          <w:sz w:val="24"/>
          <w:szCs w:val="24"/>
        </w:rPr>
        <w:t>accountability’</w:t>
      </w:r>
      <w:r w:rsidRPr="00FF2019">
        <w:rPr>
          <w:rFonts w:ascii="Arial" w:eastAsia="Calibri" w:hAnsi="Arial" w:cs="Arial"/>
          <w:sz w:val="24"/>
          <w:szCs w:val="24"/>
        </w:rPr>
        <w:t xml:space="preserve"> a vital aspect of the role. To achieve this, </w:t>
      </w:r>
      <w:r w:rsidRPr="00FF2019">
        <w:rPr>
          <w:rFonts w:ascii="Arial" w:eastAsia="Calibri" w:hAnsi="Arial" w:cs="Arial"/>
          <w:b/>
          <w:i/>
          <w:sz w:val="24"/>
          <w:szCs w:val="24"/>
        </w:rPr>
        <w:t>‘Ongoing guidance and support of the assessor’</w:t>
      </w:r>
      <w:r w:rsidRPr="00FF2019">
        <w:rPr>
          <w:rFonts w:ascii="Arial" w:eastAsia="Calibri" w:hAnsi="Arial" w:cs="Arial"/>
          <w:sz w:val="24"/>
          <w:szCs w:val="24"/>
        </w:rPr>
        <w:t xml:space="preserve"> is needed</w:t>
      </w:r>
      <w:r w:rsidR="00BE5E2E" w:rsidRPr="00FF2019">
        <w:rPr>
          <w:rFonts w:ascii="Arial" w:eastAsia="Calibri" w:hAnsi="Arial" w:cs="Arial"/>
          <w:sz w:val="24"/>
          <w:szCs w:val="24"/>
        </w:rPr>
        <w:t>.</w:t>
      </w:r>
    </w:p>
    <w:p w:rsidR="005C6327" w:rsidRPr="00FF2019" w:rsidRDefault="005C6327" w:rsidP="00D472B0">
      <w:pPr>
        <w:spacing w:after="0" w:line="480" w:lineRule="auto"/>
        <w:jc w:val="both"/>
        <w:rPr>
          <w:rFonts w:ascii="Arial" w:eastAsia="Calibri" w:hAnsi="Arial" w:cs="Arial"/>
          <w:sz w:val="24"/>
          <w:szCs w:val="24"/>
        </w:rPr>
      </w:pPr>
    </w:p>
    <w:p w:rsidR="005C6327" w:rsidRPr="00FF2019" w:rsidRDefault="005C6327" w:rsidP="00D472B0">
      <w:pPr>
        <w:spacing w:after="0" w:line="480" w:lineRule="auto"/>
        <w:jc w:val="both"/>
        <w:rPr>
          <w:rFonts w:ascii="Arial" w:eastAsia="Calibri" w:hAnsi="Arial" w:cs="Arial"/>
          <w:sz w:val="24"/>
          <w:szCs w:val="24"/>
        </w:rPr>
      </w:pPr>
      <w:r w:rsidRPr="00FF2019">
        <w:rPr>
          <w:rFonts w:ascii="Arial" w:eastAsia="Calibri" w:hAnsi="Arial" w:cs="Arial"/>
          <w:b/>
          <w:i/>
          <w:sz w:val="24"/>
          <w:szCs w:val="24"/>
        </w:rPr>
        <w:t>‘Other factors’</w:t>
      </w:r>
      <w:r w:rsidRPr="00FF2019">
        <w:rPr>
          <w:rFonts w:ascii="Arial" w:eastAsia="Calibri" w:hAnsi="Arial" w:cs="Arial"/>
          <w:sz w:val="24"/>
          <w:szCs w:val="24"/>
        </w:rPr>
        <w:t xml:space="preserve"> also influence robust and reliable assessment.  Although </w:t>
      </w:r>
      <w:r w:rsidRPr="00FF2019">
        <w:rPr>
          <w:rFonts w:ascii="Arial" w:eastAsia="Calibri" w:hAnsi="Arial" w:cs="Arial"/>
          <w:i/>
          <w:sz w:val="24"/>
          <w:szCs w:val="24"/>
        </w:rPr>
        <w:t>‘involvement of others’</w:t>
      </w:r>
      <w:r w:rsidRPr="00FF2019">
        <w:rPr>
          <w:rFonts w:ascii="Arial" w:eastAsia="Calibri" w:hAnsi="Arial" w:cs="Arial"/>
          <w:sz w:val="24"/>
          <w:szCs w:val="24"/>
        </w:rPr>
        <w:t xml:space="preserve"> was generally seen to be beneficial, this could also compromise consistency. Other </w:t>
      </w:r>
      <w:r w:rsidRPr="00FF2019">
        <w:rPr>
          <w:rFonts w:ascii="Arial" w:eastAsia="Calibri" w:hAnsi="Arial" w:cs="Arial"/>
          <w:i/>
          <w:sz w:val="24"/>
          <w:szCs w:val="24"/>
        </w:rPr>
        <w:t xml:space="preserve">‘constraints’ </w:t>
      </w:r>
      <w:r w:rsidRPr="00FF2019">
        <w:rPr>
          <w:rFonts w:ascii="Arial" w:eastAsia="Calibri" w:hAnsi="Arial" w:cs="Arial"/>
          <w:sz w:val="24"/>
          <w:szCs w:val="24"/>
        </w:rPr>
        <w:t>included staffing levels, time together for mentor and student or opportunity for academics to support those responsible for assessment.</w:t>
      </w:r>
    </w:p>
    <w:p w:rsidR="005C6327" w:rsidRPr="00FF2019" w:rsidRDefault="005C6327" w:rsidP="00D472B0">
      <w:pPr>
        <w:spacing w:after="0" w:line="480" w:lineRule="auto"/>
        <w:jc w:val="both"/>
        <w:rPr>
          <w:rFonts w:ascii="Arial" w:eastAsia="Calibri" w:hAnsi="Arial" w:cs="Arial"/>
          <w:sz w:val="24"/>
          <w:szCs w:val="24"/>
        </w:rPr>
      </w:pPr>
    </w:p>
    <w:p w:rsidR="005C6327" w:rsidRPr="00FF2019" w:rsidRDefault="005C6327" w:rsidP="00D472B0">
      <w:pPr>
        <w:spacing w:after="0" w:line="480" w:lineRule="auto"/>
        <w:jc w:val="both"/>
        <w:rPr>
          <w:rFonts w:ascii="Arial" w:eastAsia="Calibri" w:hAnsi="Arial" w:cs="Arial"/>
          <w:sz w:val="24"/>
          <w:szCs w:val="24"/>
        </w:rPr>
      </w:pPr>
      <w:r w:rsidRPr="00FF2019">
        <w:rPr>
          <w:rFonts w:ascii="Arial" w:eastAsia="Calibri" w:hAnsi="Arial" w:cs="Arial"/>
          <w:sz w:val="24"/>
          <w:szCs w:val="24"/>
        </w:rPr>
        <w:t xml:space="preserve">Participants in our study were very clear that they wanted greater </w:t>
      </w:r>
      <w:r w:rsidRPr="00FF2019">
        <w:rPr>
          <w:rFonts w:ascii="Arial" w:eastAsia="Calibri" w:hAnsi="Arial" w:cs="Arial"/>
          <w:i/>
          <w:sz w:val="24"/>
          <w:szCs w:val="24"/>
        </w:rPr>
        <w:t>‘consistency’</w:t>
      </w:r>
      <w:r w:rsidRPr="00FF2019">
        <w:rPr>
          <w:rFonts w:ascii="Arial" w:eastAsia="Calibri" w:hAnsi="Arial" w:cs="Arial"/>
          <w:sz w:val="24"/>
          <w:szCs w:val="24"/>
        </w:rPr>
        <w:t xml:space="preserve">, and there was a real appetite for </w:t>
      </w:r>
      <w:r w:rsidRPr="00FF2019">
        <w:rPr>
          <w:rFonts w:ascii="Arial" w:eastAsia="Calibri" w:hAnsi="Arial" w:cs="Arial"/>
          <w:b/>
          <w:i/>
          <w:sz w:val="24"/>
          <w:szCs w:val="24"/>
        </w:rPr>
        <w:t xml:space="preserve">‘Standardisation’ </w:t>
      </w:r>
      <w:r w:rsidRPr="00FF2019">
        <w:rPr>
          <w:rFonts w:ascii="Arial" w:eastAsia="Calibri" w:hAnsi="Arial" w:cs="Arial"/>
          <w:sz w:val="24"/>
          <w:szCs w:val="24"/>
        </w:rPr>
        <w:t xml:space="preserve">to enhance quality and reliability of practice assessment. Our proposed tools demonstrated some potential for </w:t>
      </w:r>
      <w:r w:rsidRPr="00FF2019">
        <w:rPr>
          <w:rFonts w:ascii="Arial" w:eastAsia="Calibri" w:hAnsi="Arial" w:cs="Arial"/>
          <w:i/>
          <w:sz w:val="24"/>
          <w:szCs w:val="24"/>
        </w:rPr>
        <w:t>‘transferability’</w:t>
      </w:r>
      <w:r w:rsidRPr="00FF2019">
        <w:rPr>
          <w:rFonts w:ascii="Arial" w:eastAsia="Calibri" w:hAnsi="Arial" w:cs="Arial"/>
          <w:sz w:val="24"/>
          <w:szCs w:val="24"/>
        </w:rPr>
        <w:t>.</w:t>
      </w:r>
    </w:p>
    <w:p w:rsidR="005C6327" w:rsidRPr="00FF2019" w:rsidRDefault="005C6327" w:rsidP="00D472B0">
      <w:pPr>
        <w:spacing w:after="0" w:line="480" w:lineRule="auto"/>
        <w:jc w:val="both"/>
        <w:rPr>
          <w:rFonts w:ascii="Arial" w:hAnsi="Arial" w:cs="Arial"/>
          <w:sz w:val="24"/>
          <w:szCs w:val="24"/>
        </w:rPr>
      </w:pPr>
    </w:p>
    <w:p w:rsidR="005C6327" w:rsidRPr="00FF2019" w:rsidRDefault="005C6327" w:rsidP="00D472B0">
      <w:pPr>
        <w:spacing w:after="0" w:line="480" w:lineRule="auto"/>
        <w:jc w:val="both"/>
        <w:rPr>
          <w:rFonts w:ascii="Arial" w:hAnsi="Arial" w:cs="Arial"/>
          <w:sz w:val="24"/>
          <w:szCs w:val="24"/>
        </w:rPr>
      </w:pPr>
      <w:r w:rsidRPr="00FF2019">
        <w:rPr>
          <w:rFonts w:ascii="Arial" w:hAnsi="Arial" w:cs="Arial"/>
          <w:sz w:val="24"/>
          <w:szCs w:val="24"/>
        </w:rPr>
        <w:t>The</w:t>
      </w:r>
      <w:r w:rsidRPr="00FF2019">
        <w:rPr>
          <w:rFonts w:ascii="Arial" w:hAnsi="Arial" w:cs="Arial"/>
          <w:b/>
          <w:sz w:val="24"/>
          <w:szCs w:val="24"/>
        </w:rPr>
        <w:t xml:space="preserve"> </w:t>
      </w:r>
      <w:r w:rsidRPr="00FF2019">
        <w:rPr>
          <w:rFonts w:ascii="Arial" w:hAnsi="Arial" w:cs="Arial"/>
          <w:b/>
          <w:i/>
          <w:sz w:val="24"/>
          <w:szCs w:val="24"/>
        </w:rPr>
        <w:t>‘Purpose of assessment’</w:t>
      </w:r>
      <w:r w:rsidRPr="00FF2019">
        <w:rPr>
          <w:rFonts w:ascii="Arial" w:hAnsi="Arial" w:cs="Arial"/>
          <w:sz w:val="24"/>
          <w:szCs w:val="24"/>
        </w:rPr>
        <w:t xml:space="preserve"> became increasingly important as our study progressed. It was evident that grading of practice – however that may be defined – needs to be part of a meaningful process, and not an end-point in itself</w:t>
      </w:r>
      <w:r w:rsidR="00BE5E2E" w:rsidRPr="00FF2019">
        <w:rPr>
          <w:rFonts w:ascii="Arial" w:hAnsi="Arial" w:cs="Arial"/>
          <w:sz w:val="24"/>
          <w:szCs w:val="24"/>
        </w:rPr>
        <w:t>.</w:t>
      </w:r>
      <w:r w:rsidRPr="00FF2019">
        <w:rPr>
          <w:rFonts w:ascii="Arial" w:hAnsi="Arial" w:cs="Arial"/>
          <w:sz w:val="24"/>
          <w:szCs w:val="24"/>
        </w:rPr>
        <w:t xml:space="preserve"> It was clear that </w:t>
      </w:r>
      <w:r w:rsidRPr="00FF2019">
        <w:rPr>
          <w:rFonts w:ascii="Arial" w:hAnsi="Arial" w:cs="Arial"/>
          <w:i/>
          <w:sz w:val="24"/>
          <w:szCs w:val="24"/>
        </w:rPr>
        <w:t>‘learning’</w:t>
      </w:r>
      <w:r w:rsidR="00BE5E2E" w:rsidRPr="00FF2019">
        <w:rPr>
          <w:rFonts w:ascii="Arial" w:hAnsi="Arial" w:cs="Arial"/>
          <w:sz w:val="24"/>
          <w:szCs w:val="24"/>
        </w:rPr>
        <w:t xml:space="preserve"> was essential</w:t>
      </w:r>
      <w:r w:rsidRPr="00FF2019">
        <w:rPr>
          <w:rFonts w:ascii="Arial" w:hAnsi="Arial" w:cs="Arial"/>
          <w:sz w:val="24"/>
          <w:szCs w:val="24"/>
        </w:rPr>
        <w:t>, and that any form of grading should clearly indicate gaps in students’ performance and provide guidance on how to improve this.  Fixation on the grade itself should be avoided.</w:t>
      </w:r>
    </w:p>
    <w:p w:rsidR="0023572A" w:rsidRPr="00FF2019" w:rsidRDefault="0023572A" w:rsidP="00BE5E2E">
      <w:pPr>
        <w:tabs>
          <w:tab w:val="right" w:leader="underscore" w:pos="8630"/>
        </w:tabs>
        <w:spacing w:after="0" w:line="240" w:lineRule="auto"/>
        <w:rPr>
          <w:rFonts w:ascii="Calibri" w:hAnsi="Calibri" w:cs="Calibri"/>
          <w:b/>
          <w:color w:val="2E74B5" w:themeColor="accent1" w:themeShade="BF"/>
        </w:rPr>
      </w:pPr>
    </w:p>
    <w:p w:rsidR="008809F3" w:rsidRPr="00FF2019" w:rsidRDefault="008809F3" w:rsidP="00BE5E2E">
      <w:pPr>
        <w:tabs>
          <w:tab w:val="right" w:leader="underscore" w:pos="8630"/>
        </w:tabs>
        <w:spacing w:after="0" w:line="240" w:lineRule="auto"/>
        <w:rPr>
          <w:rFonts w:ascii="Calibri" w:hAnsi="Calibri" w:cs="Calibri"/>
          <w:b/>
          <w:color w:val="2E74B5" w:themeColor="accent1" w:themeShade="BF"/>
        </w:rPr>
      </w:pPr>
    </w:p>
    <w:p w:rsidR="008809F3" w:rsidRPr="00FF2019" w:rsidRDefault="008809F3" w:rsidP="008809F3">
      <w:pPr>
        <w:spacing w:after="0" w:line="480" w:lineRule="auto"/>
        <w:jc w:val="both"/>
        <w:rPr>
          <w:rFonts w:ascii="Arial" w:eastAsia="Calibri" w:hAnsi="Arial" w:cs="Arial"/>
          <w:b/>
          <w:sz w:val="24"/>
          <w:szCs w:val="24"/>
          <w:u w:val="single"/>
        </w:rPr>
      </w:pPr>
      <w:r w:rsidRPr="00FF2019">
        <w:rPr>
          <w:rFonts w:ascii="Arial" w:eastAsia="Calibri" w:hAnsi="Arial" w:cs="Arial"/>
          <w:b/>
          <w:sz w:val="24"/>
          <w:szCs w:val="24"/>
          <w:u w:val="single"/>
        </w:rPr>
        <w:t>5.3 Strengths and limitations of our study:</w:t>
      </w:r>
    </w:p>
    <w:p w:rsidR="008809F3" w:rsidRPr="00FF2019" w:rsidRDefault="008809F3" w:rsidP="008809F3">
      <w:pPr>
        <w:spacing w:after="0" w:line="480" w:lineRule="auto"/>
        <w:contextualSpacing/>
        <w:jc w:val="both"/>
        <w:rPr>
          <w:rFonts w:ascii="Arial" w:hAnsi="Arial" w:cs="Arial"/>
          <w:sz w:val="24"/>
          <w:szCs w:val="24"/>
        </w:rPr>
      </w:pPr>
      <w:r w:rsidRPr="00FF2019">
        <w:rPr>
          <w:rFonts w:ascii="Arial" w:hAnsi="Arial" w:cs="Arial"/>
          <w:sz w:val="24"/>
          <w:szCs w:val="24"/>
        </w:rPr>
        <w:t xml:space="preserve">A number of respondents only completed the section on demographic information. It is assumed that they did not keep both the survey and website documents open (as per instructions) and therefore exited the survey before these sections could be </w:t>
      </w:r>
      <w:r w:rsidRPr="00FF2019">
        <w:rPr>
          <w:rFonts w:ascii="Arial" w:hAnsi="Arial" w:cs="Arial"/>
          <w:sz w:val="24"/>
          <w:szCs w:val="24"/>
        </w:rPr>
        <w:lastRenderedPageBreak/>
        <w:t>completed. Exclusion of these participants ensured that the data presented were accurate and meaningful.</w:t>
      </w:r>
    </w:p>
    <w:p w:rsidR="008809F3" w:rsidRPr="00FF2019" w:rsidRDefault="008809F3" w:rsidP="008809F3">
      <w:pPr>
        <w:spacing w:after="0" w:line="480" w:lineRule="auto"/>
        <w:contextualSpacing/>
        <w:jc w:val="both"/>
        <w:rPr>
          <w:rFonts w:ascii="Arial" w:hAnsi="Arial" w:cs="Arial"/>
          <w:b/>
          <w:sz w:val="24"/>
          <w:szCs w:val="24"/>
        </w:rPr>
      </w:pPr>
    </w:p>
    <w:p w:rsidR="008809F3" w:rsidRPr="00FF2019" w:rsidRDefault="008809F3" w:rsidP="008809F3">
      <w:pPr>
        <w:spacing w:after="0" w:line="480" w:lineRule="auto"/>
        <w:contextualSpacing/>
        <w:jc w:val="both"/>
        <w:rPr>
          <w:rFonts w:ascii="Calibri" w:hAnsi="Calibri" w:cs="Calibri"/>
          <w:b/>
        </w:rPr>
      </w:pPr>
      <w:r w:rsidRPr="00FF2019">
        <w:rPr>
          <w:rFonts w:ascii="Arial" w:hAnsi="Arial" w:cs="Arial"/>
          <w:sz w:val="24"/>
          <w:szCs w:val="24"/>
        </w:rPr>
        <w:t>Although participant numbers were lower than had been hoped for a national survey, proportions of stakeholder groups were generally representative of the number of institutions delivering pre-registration midwifery programmes in</w:t>
      </w:r>
      <w:r w:rsidR="002010BC" w:rsidRPr="00FF2019">
        <w:rPr>
          <w:rFonts w:ascii="Arial" w:hAnsi="Arial" w:cs="Arial"/>
          <w:sz w:val="24"/>
          <w:szCs w:val="24"/>
        </w:rPr>
        <w:t xml:space="preserve"> each country</w:t>
      </w:r>
      <w:r w:rsidRPr="00FF2019">
        <w:rPr>
          <w:rFonts w:ascii="Arial" w:hAnsi="Arial" w:cs="Arial"/>
          <w:sz w:val="24"/>
          <w:szCs w:val="24"/>
        </w:rPr>
        <w:t>. Nearly four times as many midwifery participants responded than nursing</w:t>
      </w:r>
      <w:r w:rsidR="002010BC" w:rsidRPr="00FF2019">
        <w:rPr>
          <w:rFonts w:ascii="Arial" w:hAnsi="Arial" w:cs="Arial"/>
          <w:sz w:val="24"/>
          <w:szCs w:val="24"/>
        </w:rPr>
        <w:t xml:space="preserve">, </w:t>
      </w:r>
      <w:r w:rsidRPr="00FF2019">
        <w:rPr>
          <w:rFonts w:ascii="Arial" w:hAnsi="Arial" w:cs="Arial"/>
          <w:sz w:val="24"/>
          <w:szCs w:val="24"/>
        </w:rPr>
        <w:t xml:space="preserve">which </w:t>
      </w:r>
      <w:r w:rsidR="002010BC" w:rsidRPr="00FF2019">
        <w:rPr>
          <w:rFonts w:ascii="Arial" w:hAnsi="Arial" w:cs="Arial"/>
          <w:sz w:val="24"/>
          <w:szCs w:val="24"/>
        </w:rPr>
        <w:t xml:space="preserve">was understandable due to </w:t>
      </w:r>
      <w:r w:rsidRPr="00FF2019">
        <w:rPr>
          <w:rFonts w:ascii="Arial" w:hAnsi="Arial" w:cs="Arial"/>
          <w:sz w:val="24"/>
          <w:szCs w:val="24"/>
        </w:rPr>
        <w:t>the title and focus of the survey. Similar proportions of academics and students participated in each of these professions</w:t>
      </w:r>
      <w:r w:rsidR="002010BC" w:rsidRPr="00FF2019">
        <w:rPr>
          <w:rFonts w:ascii="Arial" w:hAnsi="Arial" w:cs="Arial"/>
          <w:sz w:val="24"/>
          <w:szCs w:val="24"/>
        </w:rPr>
        <w:t>, facilitating</w:t>
      </w:r>
      <w:r w:rsidRPr="00FF2019">
        <w:rPr>
          <w:rFonts w:ascii="Arial" w:hAnsi="Arial" w:cs="Arial"/>
          <w:sz w:val="24"/>
          <w:szCs w:val="24"/>
        </w:rPr>
        <w:t xml:space="preserve"> descriptive analytical comparisons, although the lower numbers in nursing resulted in a greater impact on percentages (Faber and Fonseca, 2014). </w:t>
      </w:r>
      <w:r w:rsidR="002010BC" w:rsidRPr="00FF2019">
        <w:rPr>
          <w:rFonts w:ascii="Arial" w:hAnsi="Arial" w:cs="Arial"/>
          <w:sz w:val="24"/>
          <w:szCs w:val="24"/>
        </w:rPr>
        <w:t>The trends</w:t>
      </w:r>
      <w:r w:rsidRPr="00FF2019">
        <w:rPr>
          <w:rFonts w:ascii="Arial" w:hAnsi="Arial" w:cs="Arial"/>
          <w:sz w:val="24"/>
          <w:szCs w:val="24"/>
        </w:rPr>
        <w:t xml:space="preserve"> when highlighting commonalities and differences were considered more important than the statistics themselves, however.  Qualitative components </w:t>
      </w:r>
      <w:r w:rsidR="002010BC" w:rsidRPr="00FF2019">
        <w:rPr>
          <w:rFonts w:ascii="Arial" w:hAnsi="Arial" w:cs="Arial"/>
          <w:sz w:val="24"/>
          <w:szCs w:val="24"/>
        </w:rPr>
        <w:t xml:space="preserve">enhanced the findings, with consistency in many of the comments and suggestions </w:t>
      </w:r>
      <w:r w:rsidRPr="00FF2019">
        <w:rPr>
          <w:rFonts w:ascii="Arial" w:hAnsi="Arial" w:cs="Arial"/>
          <w:sz w:val="24"/>
          <w:szCs w:val="24"/>
        </w:rPr>
        <w:t>strengthening the evidence base as well as facilitating future modification of the</w:t>
      </w:r>
      <w:r w:rsidR="002010BC" w:rsidRPr="00FF2019">
        <w:rPr>
          <w:rFonts w:ascii="Arial" w:hAnsi="Arial" w:cs="Arial"/>
          <w:sz w:val="24"/>
          <w:szCs w:val="24"/>
        </w:rPr>
        <w:t xml:space="preserve"> assessment</w:t>
      </w:r>
      <w:r w:rsidRPr="00FF2019">
        <w:rPr>
          <w:rFonts w:ascii="Arial" w:hAnsi="Arial" w:cs="Arial"/>
          <w:sz w:val="24"/>
          <w:szCs w:val="24"/>
        </w:rPr>
        <w:t xml:space="preserve"> tools.</w:t>
      </w:r>
    </w:p>
    <w:p w:rsidR="008809F3" w:rsidRPr="00FF2019" w:rsidRDefault="008809F3" w:rsidP="008809F3">
      <w:pPr>
        <w:spacing w:after="0" w:line="480" w:lineRule="auto"/>
        <w:contextualSpacing/>
        <w:jc w:val="both"/>
        <w:rPr>
          <w:rFonts w:ascii="Calibri" w:hAnsi="Calibri" w:cs="Calibri"/>
        </w:rPr>
      </w:pPr>
    </w:p>
    <w:p w:rsidR="008809F3" w:rsidRPr="00FF2019" w:rsidRDefault="008809F3" w:rsidP="008809F3">
      <w:pPr>
        <w:spacing w:after="0" w:line="480" w:lineRule="auto"/>
        <w:contextualSpacing/>
        <w:jc w:val="both"/>
        <w:rPr>
          <w:rFonts w:ascii="Arial" w:hAnsi="Arial" w:cs="Arial"/>
          <w:b/>
          <w:sz w:val="24"/>
          <w:szCs w:val="24"/>
        </w:rPr>
      </w:pPr>
      <w:r w:rsidRPr="00FF2019">
        <w:rPr>
          <w:rFonts w:ascii="Arial" w:hAnsi="Arial" w:cs="Arial"/>
          <w:sz w:val="24"/>
          <w:szCs w:val="24"/>
        </w:rPr>
        <w:t>Representation from 20 universities meant that a wide range of experiences of different assessment tools and approaches was reflected. This</w:t>
      </w:r>
      <w:r w:rsidR="002010BC" w:rsidRPr="00FF2019">
        <w:rPr>
          <w:rFonts w:ascii="Arial" w:hAnsi="Arial" w:cs="Arial"/>
          <w:sz w:val="24"/>
          <w:szCs w:val="24"/>
        </w:rPr>
        <w:t>, as well as inclusion of key stakeholders,</w:t>
      </w:r>
      <w:r w:rsidR="009F134A" w:rsidRPr="00FF2019">
        <w:rPr>
          <w:rFonts w:ascii="Arial" w:hAnsi="Arial" w:cs="Arial"/>
          <w:sz w:val="24"/>
          <w:szCs w:val="24"/>
        </w:rPr>
        <w:t xml:space="preserve"> enabled some</w:t>
      </w:r>
      <w:r w:rsidRPr="00FF2019">
        <w:rPr>
          <w:rFonts w:ascii="Arial" w:hAnsi="Arial" w:cs="Arial"/>
          <w:sz w:val="24"/>
          <w:szCs w:val="24"/>
        </w:rPr>
        <w:t xml:space="preserve"> generalisability of findings</w:t>
      </w:r>
      <w:r w:rsidR="002010BC" w:rsidRPr="00FF2019">
        <w:rPr>
          <w:rFonts w:ascii="Arial" w:hAnsi="Arial" w:cs="Arial"/>
          <w:sz w:val="24"/>
          <w:szCs w:val="24"/>
        </w:rPr>
        <w:t xml:space="preserve">. </w:t>
      </w:r>
      <w:r w:rsidRPr="00FF2019">
        <w:rPr>
          <w:rFonts w:ascii="Arial" w:hAnsi="Arial" w:cs="Arial"/>
          <w:sz w:val="24"/>
          <w:szCs w:val="24"/>
        </w:rPr>
        <w:t xml:space="preserve">Involvement of nursing participants </w:t>
      </w:r>
      <w:r w:rsidR="009F134A" w:rsidRPr="00FF2019">
        <w:rPr>
          <w:rFonts w:ascii="Arial" w:hAnsi="Arial" w:cs="Arial"/>
          <w:sz w:val="24"/>
          <w:szCs w:val="24"/>
        </w:rPr>
        <w:t>provided</w:t>
      </w:r>
      <w:r w:rsidRPr="00FF2019">
        <w:rPr>
          <w:rFonts w:ascii="Arial" w:hAnsi="Arial" w:cs="Arial"/>
          <w:sz w:val="24"/>
          <w:szCs w:val="24"/>
        </w:rPr>
        <w:t xml:space="preserve"> objectivity and broadened application. </w:t>
      </w:r>
    </w:p>
    <w:p w:rsidR="008809F3" w:rsidRPr="00FF2019" w:rsidRDefault="008809F3" w:rsidP="008809F3">
      <w:pPr>
        <w:spacing w:after="0" w:line="480" w:lineRule="auto"/>
        <w:contextualSpacing/>
        <w:jc w:val="both"/>
        <w:rPr>
          <w:rFonts w:ascii="Calibri" w:hAnsi="Calibri" w:cs="Calibri"/>
        </w:rPr>
      </w:pPr>
    </w:p>
    <w:p w:rsidR="008809F3" w:rsidRPr="00FF2019" w:rsidRDefault="008809F3" w:rsidP="008809F3">
      <w:pPr>
        <w:spacing w:after="0" w:line="480" w:lineRule="auto"/>
        <w:contextualSpacing/>
        <w:jc w:val="both"/>
        <w:rPr>
          <w:rFonts w:ascii="Arial" w:hAnsi="Arial" w:cs="Arial"/>
          <w:b/>
          <w:sz w:val="24"/>
          <w:szCs w:val="24"/>
        </w:rPr>
      </w:pPr>
      <w:r w:rsidRPr="00FF2019">
        <w:rPr>
          <w:rFonts w:ascii="Arial" w:hAnsi="Arial" w:cs="Arial"/>
          <w:sz w:val="24"/>
          <w:szCs w:val="24"/>
        </w:rPr>
        <w:t xml:space="preserve">Despite the average survey completion time of only 14 minutes, </w:t>
      </w:r>
      <w:r w:rsidR="002010BC" w:rsidRPr="00FF2019">
        <w:rPr>
          <w:rFonts w:ascii="Arial" w:hAnsi="Arial" w:cs="Arial"/>
          <w:sz w:val="24"/>
          <w:szCs w:val="24"/>
        </w:rPr>
        <w:t>participants</w:t>
      </w:r>
      <w:r w:rsidRPr="00FF2019">
        <w:rPr>
          <w:rFonts w:ascii="Arial" w:hAnsi="Arial" w:cs="Arial"/>
          <w:sz w:val="24"/>
          <w:szCs w:val="24"/>
        </w:rPr>
        <w:t xml:space="preserve"> were clearly thoughtful about their decisions and comments. They were able to evaluate the Lexicon Frameworks and Rubrics within this time-frame, and to demonstrate </w:t>
      </w:r>
      <w:r w:rsidRPr="00FF2019">
        <w:rPr>
          <w:rFonts w:ascii="Arial" w:hAnsi="Arial" w:cs="Arial"/>
          <w:sz w:val="24"/>
          <w:szCs w:val="24"/>
        </w:rPr>
        <w:lastRenderedPageBreak/>
        <w:t>application of the latter through completion of the scenario assessments. This suggests that the tools were readily under</w:t>
      </w:r>
      <w:r w:rsidR="002010BC" w:rsidRPr="00FF2019">
        <w:rPr>
          <w:rFonts w:ascii="Arial" w:hAnsi="Arial" w:cs="Arial"/>
          <w:sz w:val="24"/>
          <w:szCs w:val="24"/>
        </w:rPr>
        <w:t>stood, increasing</w:t>
      </w:r>
      <w:r w:rsidRPr="00FF2019">
        <w:rPr>
          <w:rFonts w:ascii="Arial" w:hAnsi="Arial" w:cs="Arial"/>
          <w:sz w:val="24"/>
          <w:szCs w:val="24"/>
        </w:rPr>
        <w:t xml:space="preserve"> transferability.</w:t>
      </w:r>
    </w:p>
    <w:p w:rsidR="005E6D9C" w:rsidRPr="00FF2019" w:rsidRDefault="005E6D9C" w:rsidP="00BE5E2E">
      <w:pPr>
        <w:tabs>
          <w:tab w:val="right" w:leader="underscore" w:pos="8630"/>
        </w:tabs>
        <w:spacing w:after="0" w:line="240" w:lineRule="auto"/>
        <w:rPr>
          <w:rFonts w:ascii="Calibri" w:hAnsi="Calibri" w:cs="Calibri"/>
          <w:b/>
          <w:color w:val="2E74B5" w:themeColor="accent1" w:themeShade="BF"/>
        </w:rPr>
      </w:pPr>
    </w:p>
    <w:p w:rsidR="00A17359" w:rsidRPr="00FF2019" w:rsidRDefault="00A17359" w:rsidP="0023572A">
      <w:pPr>
        <w:tabs>
          <w:tab w:val="right" w:leader="underscore" w:pos="8630"/>
        </w:tabs>
        <w:spacing w:after="0" w:line="240" w:lineRule="auto"/>
        <w:rPr>
          <w:rFonts w:ascii="Calibri" w:hAnsi="Calibri" w:cs="Calibri"/>
          <w:b/>
        </w:rPr>
      </w:pPr>
    </w:p>
    <w:p w:rsidR="0023572A" w:rsidRPr="00FF2019" w:rsidRDefault="0023572A" w:rsidP="0023572A">
      <w:pPr>
        <w:tabs>
          <w:tab w:val="right" w:leader="underscore" w:pos="8630"/>
        </w:tabs>
        <w:spacing w:after="0" w:line="480" w:lineRule="auto"/>
        <w:rPr>
          <w:rFonts w:ascii="Arial" w:hAnsi="Arial" w:cs="Arial"/>
          <w:b/>
          <w:sz w:val="24"/>
          <w:szCs w:val="24"/>
          <w:u w:val="single"/>
        </w:rPr>
      </w:pPr>
      <w:r w:rsidRPr="00FF2019">
        <w:rPr>
          <w:rFonts w:ascii="Arial" w:hAnsi="Arial" w:cs="Arial"/>
          <w:b/>
          <w:sz w:val="24"/>
          <w:szCs w:val="24"/>
          <w:u w:val="single"/>
        </w:rPr>
        <w:t>5.4 Recommended key principles for assessing practice:</w:t>
      </w:r>
    </w:p>
    <w:p w:rsidR="0023572A" w:rsidRPr="00D472B0" w:rsidRDefault="0023572A" w:rsidP="0023572A">
      <w:pPr>
        <w:spacing w:after="0" w:line="480" w:lineRule="auto"/>
        <w:jc w:val="both"/>
        <w:rPr>
          <w:rFonts w:ascii="Arial" w:hAnsi="Arial" w:cs="Arial"/>
          <w:sz w:val="24"/>
          <w:szCs w:val="24"/>
        </w:rPr>
      </w:pPr>
      <w:r w:rsidRPr="00FF2019">
        <w:rPr>
          <w:rFonts w:ascii="Arial" w:hAnsi="Arial" w:cs="Arial"/>
          <w:sz w:val="24"/>
          <w:szCs w:val="24"/>
        </w:rPr>
        <w:t xml:space="preserve">The project team recommends the key principles shown in </w:t>
      </w:r>
      <w:r w:rsidRPr="00FF2019">
        <w:rPr>
          <w:rFonts w:ascii="Arial" w:hAnsi="Arial" w:cs="Arial"/>
          <w:i/>
          <w:sz w:val="24"/>
          <w:szCs w:val="24"/>
        </w:rPr>
        <w:t>Table 7</w:t>
      </w:r>
      <w:r w:rsidRPr="00FF2019">
        <w:rPr>
          <w:rFonts w:ascii="Arial" w:hAnsi="Arial" w:cs="Arial"/>
          <w:sz w:val="24"/>
          <w:szCs w:val="24"/>
        </w:rPr>
        <w:t xml:space="preserve"> for assessing practice, based on the results of this survey.</w:t>
      </w:r>
    </w:p>
    <w:p w:rsidR="0023572A" w:rsidRPr="0003515B" w:rsidRDefault="0023572A" w:rsidP="0023572A">
      <w:pPr>
        <w:spacing w:after="0" w:line="240" w:lineRule="auto"/>
        <w:jc w:val="both"/>
        <w:rPr>
          <w:rFonts w:ascii="Calibri" w:hAnsi="Calibri" w:cs="Calibri"/>
        </w:rPr>
      </w:pPr>
    </w:p>
    <w:p w:rsidR="0023572A" w:rsidRPr="0003515B" w:rsidRDefault="0023572A" w:rsidP="0023572A">
      <w:pPr>
        <w:spacing w:after="0" w:line="240" w:lineRule="auto"/>
        <w:jc w:val="both"/>
        <w:rPr>
          <w:rFonts w:ascii="Calibri" w:hAnsi="Calibri" w:cs="Calibri"/>
        </w:rPr>
      </w:pPr>
      <w:r w:rsidRPr="0003515B">
        <w:rPr>
          <w:rFonts w:ascii="Calibri" w:hAnsi="Calibri" w:cs="Calibri"/>
          <w:noProof/>
          <w:lang w:eastAsia="en-GB"/>
        </w:rPr>
        <w:drawing>
          <wp:inline distT="0" distB="0" distL="0" distR="0" wp14:anchorId="24A6ED24" wp14:editId="32E43E71">
            <wp:extent cx="6195108" cy="52230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5624" cy="5231918"/>
                    </a:xfrm>
                    <a:prstGeom prst="rect">
                      <a:avLst/>
                    </a:prstGeom>
                    <a:noFill/>
                  </pic:spPr>
                </pic:pic>
              </a:graphicData>
            </a:graphic>
          </wp:inline>
        </w:drawing>
      </w:r>
    </w:p>
    <w:p w:rsidR="0023572A" w:rsidRPr="0003515B" w:rsidRDefault="0023572A" w:rsidP="0023572A">
      <w:pPr>
        <w:spacing w:after="0" w:line="240" w:lineRule="auto"/>
        <w:jc w:val="both"/>
        <w:rPr>
          <w:rFonts w:ascii="Calibri" w:hAnsi="Calibri" w:cs="Calibri"/>
        </w:rPr>
      </w:pPr>
    </w:p>
    <w:p w:rsidR="0023572A" w:rsidRPr="0003515B" w:rsidRDefault="0023572A" w:rsidP="0023572A">
      <w:pPr>
        <w:spacing w:after="0" w:line="240" w:lineRule="auto"/>
        <w:jc w:val="center"/>
        <w:rPr>
          <w:rFonts w:ascii="Calibri" w:hAnsi="Calibri" w:cs="Calibri"/>
          <w:sz w:val="20"/>
          <w:szCs w:val="20"/>
          <w:u w:val="single"/>
        </w:rPr>
      </w:pPr>
      <w:r w:rsidRPr="0003515B">
        <w:rPr>
          <w:rFonts w:ascii="Calibri" w:hAnsi="Calibri" w:cs="Calibri"/>
          <w:i/>
          <w:sz w:val="20"/>
          <w:szCs w:val="20"/>
          <w:u w:val="single"/>
        </w:rPr>
        <w:t>Table 7:</w:t>
      </w:r>
      <w:r w:rsidRPr="0003515B">
        <w:rPr>
          <w:rFonts w:ascii="Calibri" w:hAnsi="Calibri" w:cs="Calibri"/>
          <w:sz w:val="20"/>
          <w:szCs w:val="20"/>
          <w:u w:val="single"/>
        </w:rPr>
        <w:t xml:space="preserve"> Key principles for assessing practice</w:t>
      </w:r>
    </w:p>
    <w:p w:rsidR="009F134A" w:rsidRDefault="009F134A" w:rsidP="00FF2019">
      <w:pPr>
        <w:tabs>
          <w:tab w:val="right" w:leader="underscore" w:pos="8630"/>
        </w:tabs>
        <w:spacing w:after="0" w:line="240" w:lineRule="auto"/>
        <w:rPr>
          <w:rFonts w:ascii="Calibri" w:hAnsi="Calibri" w:cs="Calibri"/>
          <w:b/>
          <w:color w:val="2E74B5" w:themeColor="accent1" w:themeShade="BF"/>
        </w:rPr>
      </w:pPr>
    </w:p>
    <w:p w:rsidR="00D472B0" w:rsidRDefault="00D472B0" w:rsidP="00A17359">
      <w:pPr>
        <w:tabs>
          <w:tab w:val="right" w:leader="underscore" w:pos="8630"/>
        </w:tabs>
        <w:spacing w:after="0" w:line="240" w:lineRule="auto"/>
        <w:jc w:val="center"/>
        <w:rPr>
          <w:rFonts w:ascii="Calibri" w:hAnsi="Calibri" w:cs="Calibri"/>
          <w:b/>
          <w:color w:val="2E74B5" w:themeColor="accent1" w:themeShade="BF"/>
        </w:rPr>
      </w:pPr>
    </w:p>
    <w:p w:rsidR="00FF2019" w:rsidRDefault="00FF2019" w:rsidP="00A17359">
      <w:pPr>
        <w:tabs>
          <w:tab w:val="right" w:leader="underscore" w:pos="8630"/>
        </w:tabs>
        <w:spacing w:after="0" w:line="240" w:lineRule="auto"/>
        <w:jc w:val="center"/>
        <w:rPr>
          <w:rFonts w:ascii="Calibri" w:hAnsi="Calibri" w:cs="Calibri"/>
          <w:b/>
          <w:color w:val="2E74B5" w:themeColor="accent1" w:themeShade="BF"/>
        </w:rPr>
      </w:pPr>
    </w:p>
    <w:p w:rsidR="00FF2019" w:rsidRDefault="00FF2019" w:rsidP="00A17359">
      <w:pPr>
        <w:tabs>
          <w:tab w:val="right" w:leader="underscore" w:pos="8630"/>
        </w:tabs>
        <w:spacing w:after="0" w:line="240" w:lineRule="auto"/>
        <w:jc w:val="center"/>
        <w:rPr>
          <w:rFonts w:ascii="Calibri" w:hAnsi="Calibri" w:cs="Calibri"/>
          <w:b/>
          <w:color w:val="2E74B5" w:themeColor="accent1" w:themeShade="BF"/>
        </w:rPr>
      </w:pPr>
    </w:p>
    <w:p w:rsidR="00FF2019" w:rsidRDefault="00FF2019" w:rsidP="00A17359">
      <w:pPr>
        <w:tabs>
          <w:tab w:val="right" w:leader="underscore" w:pos="8630"/>
        </w:tabs>
        <w:spacing w:after="0" w:line="240" w:lineRule="auto"/>
        <w:jc w:val="center"/>
        <w:rPr>
          <w:rFonts w:ascii="Calibri" w:hAnsi="Calibri" w:cs="Calibri"/>
          <w:b/>
          <w:color w:val="2E74B5" w:themeColor="accent1" w:themeShade="BF"/>
        </w:rPr>
      </w:pPr>
    </w:p>
    <w:p w:rsidR="00FF2019" w:rsidRDefault="00FF2019" w:rsidP="00A17359">
      <w:pPr>
        <w:tabs>
          <w:tab w:val="right" w:leader="underscore" w:pos="8630"/>
        </w:tabs>
        <w:spacing w:after="0" w:line="240" w:lineRule="auto"/>
        <w:jc w:val="center"/>
        <w:rPr>
          <w:rFonts w:ascii="Calibri" w:hAnsi="Calibri" w:cs="Calibri"/>
          <w:b/>
          <w:color w:val="2E74B5" w:themeColor="accent1" w:themeShade="BF"/>
        </w:rPr>
      </w:pPr>
    </w:p>
    <w:p w:rsidR="00A17359" w:rsidRPr="00FF2019" w:rsidRDefault="0023572A" w:rsidP="00D472B0">
      <w:pPr>
        <w:tabs>
          <w:tab w:val="right" w:leader="underscore" w:pos="8630"/>
        </w:tabs>
        <w:spacing w:after="0" w:line="480" w:lineRule="auto"/>
        <w:rPr>
          <w:rFonts w:ascii="Arial" w:hAnsi="Arial" w:cs="Arial"/>
          <w:b/>
          <w:sz w:val="24"/>
          <w:szCs w:val="24"/>
          <w:u w:val="single"/>
        </w:rPr>
      </w:pPr>
      <w:r w:rsidRPr="00FF2019">
        <w:rPr>
          <w:rFonts w:ascii="Arial" w:hAnsi="Arial" w:cs="Arial"/>
          <w:b/>
          <w:sz w:val="24"/>
          <w:szCs w:val="24"/>
          <w:u w:val="single"/>
        </w:rPr>
        <w:lastRenderedPageBreak/>
        <w:t>5.5</w:t>
      </w:r>
      <w:r w:rsidR="00A17359" w:rsidRPr="00FF2019">
        <w:rPr>
          <w:rFonts w:ascii="Arial" w:hAnsi="Arial" w:cs="Arial"/>
          <w:b/>
          <w:sz w:val="24"/>
          <w:szCs w:val="24"/>
          <w:u w:val="single"/>
        </w:rPr>
        <w:t xml:space="preserve"> Practice Assessment Toolkit:</w:t>
      </w:r>
    </w:p>
    <w:p w:rsidR="00A17359" w:rsidRPr="00FF2019" w:rsidRDefault="00A17359" w:rsidP="00D472B0">
      <w:pPr>
        <w:spacing w:after="0" w:line="480" w:lineRule="auto"/>
        <w:jc w:val="both"/>
        <w:rPr>
          <w:rFonts w:ascii="Arial" w:hAnsi="Arial" w:cs="Arial"/>
          <w:sz w:val="24"/>
          <w:szCs w:val="24"/>
        </w:rPr>
      </w:pPr>
      <w:r w:rsidRPr="00FF2019">
        <w:rPr>
          <w:rFonts w:ascii="Arial" w:hAnsi="Arial" w:cs="Arial"/>
          <w:sz w:val="24"/>
          <w:szCs w:val="24"/>
        </w:rPr>
        <w:t>The project team is in the process of developing a ‘Practice Assessment Toolkit’,</w:t>
      </w:r>
      <w:r w:rsidR="0023572A" w:rsidRPr="00FF2019">
        <w:rPr>
          <w:rFonts w:ascii="Arial" w:hAnsi="Arial" w:cs="Arial"/>
          <w:sz w:val="24"/>
          <w:szCs w:val="24"/>
        </w:rPr>
        <w:t xml:space="preserve"> including modified</w:t>
      </w:r>
      <w:r w:rsidR="009E46F1" w:rsidRPr="00FF2019">
        <w:rPr>
          <w:rFonts w:ascii="Arial" w:hAnsi="Arial" w:cs="Arial"/>
          <w:sz w:val="24"/>
          <w:szCs w:val="24"/>
        </w:rPr>
        <w:t xml:space="preserve"> Lexicon Frameworks and Rubrics</w:t>
      </w:r>
      <w:r w:rsidR="002010BC" w:rsidRPr="00FF2019">
        <w:rPr>
          <w:rFonts w:ascii="Arial" w:hAnsi="Arial" w:cs="Arial"/>
          <w:sz w:val="24"/>
          <w:szCs w:val="24"/>
        </w:rPr>
        <w:t xml:space="preserve"> as well as the key principles and model.</w:t>
      </w:r>
      <w:r w:rsidR="0023572A" w:rsidRPr="00FF2019">
        <w:rPr>
          <w:rFonts w:ascii="Arial" w:hAnsi="Arial" w:cs="Arial"/>
          <w:sz w:val="24"/>
          <w:szCs w:val="24"/>
        </w:rPr>
        <w:t xml:space="preserve"> </w:t>
      </w:r>
      <w:r w:rsidR="009E46F1" w:rsidRPr="00FF2019">
        <w:rPr>
          <w:rFonts w:ascii="Arial" w:hAnsi="Arial" w:cs="Arial"/>
          <w:sz w:val="24"/>
          <w:szCs w:val="24"/>
        </w:rPr>
        <w:t>T</w:t>
      </w:r>
      <w:r w:rsidRPr="00FF2019">
        <w:rPr>
          <w:rFonts w:ascii="Arial" w:hAnsi="Arial" w:cs="Arial"/>
          <w:sz w:val="24"/>
          <w:szCs w:val="24"/>
        </w:rPr>
        <w:t xml:space="preserve">his is designed to be used flexibly across </w:t>
      </w:r>
      <w:r w:rsidR="00D202DB" w:rsidRPr="00FF2019">
        <w:rPr>
          <w:rFonts w:ascii="Arial" w:hAnsi="Arial" w:cs="Arial"/>
          <w:sz w:val="24"/>
          <w:szCs w:val="24"/>
        </w:rPr>
        <w:t xml:space="preserve">midwifery </w:t>
      </w:r>
      <w:r w:rsidRPr="00FF2019">
        <w:rPr>
          <w:rFonts w:ascii="Arial" w:hAnsi="Arial" w:cs="Arial"/>
          <w:sz w:val="24"/>
          <w:szCs w:val="24"/>
        </w:rPr>
        <w:t xml:space="preserve">programmes, and may be of particular value to teams developing practice assessment tools or individuals providing evidence of student performance – whether the student themselves, their assessor or those contributing to the evidence towards decision-making. </w:t>
      </w:r>
      <w:r w:rsidR="0023572A" w:rsidRPr="00FF2019">
        <w:rPr>
          <w:rFonts w:ascii="Arial" w:hAnsi="Arial" w:cs="Arial"/>
          <w:sz w:val="24"/>
          <w:szCs w:val="24"/>
        </w:rPr>
        <w:t>The toolkit will enable adaptation</w:t>
      </w:r>
      <w:r w:rsidRPr="00FF2019">
        <w:rPr>
          <w:rFonts w:ascii="Arial" w:hAnsi="Arial" w:cs="Arial"/>
          <w:sz w:val="24"/>
          <w:szCs w:val="24"/>
        </w:rPr>
        <w:t xml:space="preserve"> to current or future </w:t>
      </w:r>
      <w:r w:rsidR="0023572A" w:rsidRPr="00FF2019">
        <w:rPr>
          <w:rFonts w:ascii="Arial" w:hAnsi="Arial" w:cs="Arial"/>
          <w:sz w:val="24"/>
          <w:szCs w:val="24"/>
        </w:rPr>
        <w:t xml:space="preserve">professional requirements, </w:t>
      </w:r>
      <w:r w:rsidRPr="00FF2019">
        <w:rPr>
          <w:rFonts w:ascii="Arial" w:hAnsi="Arial" w:cs="Arial"/>
          <w:sz w:val="24"/>
          <w:szCs w:val="24"/>
        </w:rPr>
        <w:t>institutional preferences</w:t>
      </w:r>
      <w:r w:rsidR="0023572A" w:rsidRPr="00FF2019">
        <w:rPr>
          <w:rFonts w:ascii="Arial" w:hAnsi="Arial" w:cs="Arial"/>
          <w:sz w:val="24"/>
          <w:szCs w:val="24"/>
        </w:rPr>
        <w:t xml:space="preserve"> and any approach to awarding specific grades or indicating levels of performance.  On completion, it </w:t>
      </w:r>
      <w:r w:rsidRPr="00FF2019">
        <w:rPr>
          <w:rFonts w:ascii="Arial" w:hAnsi="Arial" w:cs="Arial"/>
          <w:sz w:val="24"/>
          <w:szCs w:val="24"/>
        </w:rPr>
        <w:t>will be uploaded to the projec</w:t>
      </w:r>
      <w:r w:rsidR="0023572A" w:rsidRPr="00FF2019">
        <w:rPr>
          <w:rFonts w:ascii="Arial" w:hAnsi="Arial" w:cs="Arial"/>
          <w:sz w:val="24"/>
          <w:szCs w:val="24"/>
        </w:rPr>
        <w:t>t website, which has open access (LME-UK Executive, 2018)</w:t>
      </w:r>
      <w:r w:rsidRPr="00FF2019">
        <w:rPr>
          <w:rFonts w:ascii="Arial" w:hAnsi="Arial" w:cs="Arial"/>
          <w:sz w:val="24"/>
          <w:szCs w:val="24"/>
        </w:rPr>
        <w:t xml:space="preserve">. </w:t>
      </w:r>
      <w:r w:rsidR="009F134A" w:rsidRPr="00FF2019">
        <w:rPr>
          <w:rFonts w:ascii="Arial" w:hAnsi="Arial" w:cs="Arial"/>
          <w:sz w:val="24"/>
          <w:szCs w:val="24"/>
        </w:rPr>
        <w:t>Our resources</w:t>
      </w:r>
      <w:r w:rsidR="009E46F1" w:rsidRPr="00FF2019">
        <w:rPr>
          <w:rFonts w:ascii="Arial" w:hAnsi="Arial" w:cs="Arial"/>
          <w:sz w:val="24"/>
          <w:szCs w:val="24"/>
        </w:rPr>
        <w:t xml:space="preserve"> </w:t>
      </w:r>
      <w:r w:rsidRPr="00FF2019">
        <w:rPr>
          <w:rFonts w:ascii="Arial" w:hAnsi="Arial" w:cs="Arial"/>
          <w:sz w:val="24"/>
          <w:szCs w:val="24"/>
        </w:rPr>
        <w:t>will enable versatility while following common principles of practice assessment</w:t>
      </w:r>
      <w:r w:rsidR="00D202DB" w:rsidRPr="00FF2019">
        <w:rPr>
          <w:rFonts w:ascii="Arial" w:hAnsi="Arial" w:cs="Arial"/>
          <w:sz w:val="24"/>
          <w:szCs w:val="24"/>
        </w:rPr>
        <w:t>, with scope for transferability to other professions or countries.</w:t>
      </w:r>
      <w:r w:rsidR="009E46F1" w:rsidRPr="00FF2019">
        <w:rPr>
          <w:rFonts w:ascii="Arial" w:hAnsi="Arial" w:cs="Arial"/>
          <w:sz w:val="24"/>
          <w:szCs w:val="24"/>
        </w:rPr>
        <w:t xml:space="preserve"> </w:t>
      </w:r>
    </w:p>
    <w:p w:rsidR="00FD0F7F" w:rsidRPr="00FF2019" w:rsidRDefault="00FD0F7F" w:rsidP="00D472B0">
      <w:pPr>
        <w:spacing w:after="0" w:line="480" w:lineRule="auto"/>
        <w:jc w:val="both"/>
        <w:rPr>
          <w:rFonts w:ascii="Arial" w:hAnsi="Arial" w:cs="Arial"/>
          <w:sz w:val="24"/>
          <w:szCs w:val="24"/>
        </w:rPr>
      </w:pPr>
    </w:p>
    <w:p w:rsidR="00FD0F7F" w:rsidRPr="00FF2019" w:rsidRDefault="00D02D8B" w:rsidP="00D472B0">
      <w:pPr>
        <w:spacing w:after="0" w:line="480" w:lineRule="auto"/>
        <w:jc w:val="both"/>
        <w:rPr>
          <w:rFonts w:ascii="Arial" w:hAnsi="Arial" w:cs="Arial"/>
          <w:b/>
          <w:sz w:val="24"/>
          <w:szCs w:val="24"/>
          <w:u w:val="single"/>
        </w:rPr>
      </w:pPr>
      <w:r w:rsidRPr="00FF2019">
        <w:rPr>
          <w:rFonts w:ascii="Arial" w:hAnsi="Arial" w:cs="Arial"/>
          <w:b/>
          <w:sz w:val="24"/>
          <w:szCs w:val="24"/>
          <w:u w:val="single"/>
        </w:rPr>
        <w:t>5.6</w:t>
      </w:r>
      <w:r w:rsidR="00FD0F7F" w:rsidRPr="00FF2019">
        <w:rPr>
          <w:rFonts w:ascii="Arial" w:hAnsi="Arial" w:cs="Arial"/>
          <w:b/>
          <w:sz w:val="24"/>
          <w:szCs w:val="24"/>
          <w:u w:val="single"/>
        </w:rPr>
        <w:t xml:space="preserve"> Future research:</w:t>
      </w:r>
    </w:p>
    <w:p w:rsidR="00FD0F7F" w:rsidRPr="00FF2019" w:rsidRDefault="00FD0F7F" w:rsidP="00D02D8B">
      <w:pPr>
        <w:pStyle w:val="ListParagraph"/>
        <w:numPr>
          <w:ilvl w:val="0"/>
          <w:numId w:val="12"/>
        </w:numPr>
        <w:spacing w:after="0" w:line="480" w:lineRule="auto"/>
        <w:jc w:val="both"/>
        <w:rPr>
          <w:rFonts w:ascii="Arial" w:eastAsia="Calibri" w:hAnsi="Arial" w:cs="Arial"/>
          <w:sz w:val="24"/>
          <w:szCs w:val="24"/>
        </w:rPr>
      </w:pPr>
      <w:r w:rsidRPr="00FF2019">
        <w:rPr>
          <w:rFonts w:ascii="Arial" w:eastAsia="Calibri" w:hAnsi="Arial" w:cs="Arial"/>
          <w:sz w:val="24"/>
          <w:szCs w:val="24"/>
        </w:rPr>
        <w:t>It is intended to evaluate use of the ‘Practice Assessment Toolkit’ and</w:t>
      </w:r>
      <w:r w:rsidR="00D472B0" w:rsidRPr="00FF2019">
        <w:rPr>
          <w:rFonts w:ascii="Arial" w:eastAsia="Calibri" w:hAnsi="Arial" w:cs="Arial"/>
          <w:sz w:val="24"/>
          <w:szCs w:val="24"/>
        </w:rPr>
        <w:t xml:space="preserve"> application of its constituent </w:t>
      </w:r>
      <w:r w:rsidRPr="00FF2019">
        <w:rPr>
          <w:rFonts w:ascii="Arial" w:eastAsia="Calibri" w:hAnsi="Arial" w:cs="Arial"/>
          <w:sz w:val="24"/>
          <w:szCs w:val="24"/>
        </w:rPr>
        <w:t>elements</w:t>
      </w:r>
      <w:r w:rsidR="00D02D8B" w:rsidRPr="00FF2019">
        <w:rPr>
          <w:rFonts w:ascii="Arial" w:eastAsia="Calibri" w:hAnsi="Arial" w:cs="Arial"/>
          <w:sz w:val="24"/>
          <w:szCs w:val="24"/>
        </w:rPr>
        <w:t xml:space="preserve"> after the new NMC standards have been implemented across the UK</w:t>
      </w:r>
      <w:r w:rsidRPr="00FF2019">
        <w:rPr>
          <w:rFonts w:ascii="Arial" w:eastAsia="Calibri" w:hAnsi="Arial" w:cs="Arial"/>
          <w:sz w:val="24"/>
          <w:szCs w:val="24"/>
        </w:rPr>
        <w:t xml:space="preserve">. </w:t>
      </w:r>
    </w:p>
    <w:p w:rsidR="00A17359" w:rsidRPr="00FF2019" w:rsidRDefault="00FD0F7F" w:rsidP="00D472B0">
      <w:pPr>
        <w:pStyle w:val="ListParagraph"/>
        <w:numPr>
          <w:ilvl w:val="0"/>
          <w:numId w:val="12"/>
        </w:numPr>
        <w:spacing w:after="0" w:line="480" w:lineRule="auto"/>
        <w:jc w:val="both"/>
        <w:rPr>
          <w:rFonts w:ascii="Arial" w:eastAsia="Calibri" w:hAnsi="Arial" w:cs="Arial"/>
          <w:b/>
          <w:sz w:val="24"/>
          <w:szCs w:val="24"/>
        </w:rPr>
      </w:pPr>
      <w:r w:rsidRPr="00FF2019">
        <w:rPr>
          <w:rFonts w:ascii="Arial" w:eastAsia="Calibri" w:hAnsi="Arial" w:cs="Arial"/>
          <w:sz w:val="24"/>
          <w:szCs w:val="24"/>
        </w:rPr>
        <w:t xml:space="preserve">It is recommended that research into the assessment of midwifery practice at masters level is undertaken. This could include the challenges and benefits, how this is defined and differentiated from undergraduate expectations and best </w:t>
      </w:r>
      <w:r w:rsidR="00D02D8B" w:rsidRPr="00FF2019">
        <w:rPr>
          <w:rFonts w:ascii="Arial" w:eastAsia="Calibri" w:hAnsi="Arial" w:cs="Arial"/>
          <w:sz w:val="24"/>
          <w:szCs w:val="24"/>
        </w:rPr>
        <w:t xml:space="preserve">educational </w:t>
      </w:r>
      <w:r w:rsidRPr="00FF2019">
        <w:rPr>
          <w:rFonts w:ascii="Arial" w:eastAsia="Calibri" w:hAnsi="Arial" w:cs="Arial"/>
          <w:sz w:val="24"/>
          <w:szCs w:val="24"/>
        </w:rPr>
        <w:t xml:space="preserve">management. </w:t>
      </w:r>
    </w:p>
    <w:p w:rsidR="0003515B" w:rsidRDefault="0003515B" w:rsidP="00D472B0">
      <w:pPr>
        <w:spacing w:after="0" w:line="480" w:lineRule="auto"/>
        <w:rPr>
          <w:rFonts w:ascii="Arial" w:hAnsi="Arial" w:cs="Arial"/>
          <w:b/>
          <w:sz w:val="24"/>
          <w:szCs w:val="24"/>
          <w:u w:val="single"/>
        </w:rPr>
      </w:pPr>
    </w:p>
    <w:p w:rsidR="00FF2019" w:rsidRDefault="00FF2019" w:rsidP="00D472B0">
      <w:pPr>
        <w:spacing w:after="0" w:line="480" w:lineRule="auto"/>
        <w:rPr>
          <w:rFonts w:ascii="Arial" w:hAnsi="Arial" w:cs="Arial"/>
          <w:b/>
          <w:sz w:val="24"/>
          <w:szCs w:val="24"/>
          <w:u w:val="single"/>
        </w:rPr>
      </w:pPr>
    </w:p>
    <w:p w:rsidR="00FF2019" w:rsidRPr="00FF2019" w:rsidRDefault="00FF2019" w:rsidP="00D472B0">
      <w:pPr>
        <w:spacing w:after="0" w:line="480" w:lineRule="auto"/>
        <w:rPr>
          <w:rFonts w:ascii="Arial" w:hAnsi="Arial" w:cs="Arial"/>
          <w:b/>
          <w:sz w:val="24"/>
          <w:szCs w:val="24"/>
          <w:u w:val="single"/>
        </w:rPr>
      </w:pPr>
    </w:p>
    <w:p w:rsidR="009E46F1" w:rsidRPr="00FF2019" w:rsidRDefault="00A17359" w:rsidP="00D472B0">
      <w:pPr>
        <w:spacing w:after="0" w:line="480" w:lineRule="auto"/>
        <w:jc w:val="center"/>
        <w:rPr>
          <w:rFonts w:ascii="Arial" w:hAnsi="Arial" w:cs="Arial"/>
          <w:b/>
          <w:sz w:val="24"/>
          <w:szCs w:val="24"/>
          <w:u w:val="single"/>
        </w:rPr>
      </w:pPr>
      <w:r w:rsidRPr="00FF2019">
        <w:rPr>
          <w:rFonts w:ascii="Arial" w:hAnsi="Arial" w:cs="Arial"/>
          <w:b/>
          <w:sz w:val="24"/>
          <w:szCs w:val="24"/>
          <w:u w:val="single"/>
        </w:rPr>
        <w:lastRenderedPageBreak/>
        <w:t xml:space="preserve">6. </w:t>
      </w:r>
      <w:r w:rsidR="00D472B0" w:rsidRPr="00FF2019">
        <w:rPr>
          <w:rFonts w:ascii="Arial" w:hAnsi="Arial" w:cs="Arial"/>
          <w:b/>
          <w:sz w:val="24"/>
          <w:szCs w:val="24"/>
          <w:u w:val="single"/>
        </w:rPr>
        <w:t xml:space="preserve">CONCLUSIONS </w:t>
      </w:r>
    </w:p>
    <w:p w:rsidR="00D472B0" w:rsidRPr="00FF2019" w:rsidRDefault="00D472B0" w:rsidP="00D472B0">
      <w:pPr>
        <w:spacing w:after="0" w:line="480" w:lineRule="auto"/>
        <w:jc w:val="center"/>
        <w:rPr>
          <w:rFonts w:ascii="Arial" w:hAnsi="Arial" w:cs="Arial"/>
          <w:b/>
          <w:sz w:val="24"/>
          <w:szCs w:val="24"/>
          <w:u w:val="single"/>
        </w:rPr>
      </w:pPr>
    </w:p>
    <w:p w:rsidR="009E46F1" w:rsidRPr="00FF2019" w:rsidRDefault="009E46F1" w:rsidP="00D472B0">
      <w:pPr>
        <w:spacing w:after="0" w:line="480" w:lineRule="auto"/>
        <w:jc w:val="both"/>
        <w:rPr>
          <w:rFonts w:ascii="Arial" w:hAnsi="Arial" w:cs="Arial"/>
          <w:sz w:val="24"/>
          <w:szCs w:val="24"/>
        </w:rPr>
      </w:pPr>
      <w:r w:rsidRPr="00FF2019">
        <w:rPr>
          <w:rFonts w:ascii="Arial" w:hAnsi="Arial" w:cs="Arial"/>
          <w:sz w:val="24"/>
          <w:szCs w:val="24"/>
        </w:rPr>
        <w:t xml:space="preserve">The results from our survey not only </w:t>
      </w:r>
      <w:r w:rsidR="00735F2C" w:rsidRPr="00FF2019">
        <w:rPr>
          <w:rFonts w:ascii="Arial" w:hAnsi="Arial" w:cs="Arial"/>
          <w:sz w:val="24"/>
          <w:szCs w:val="24"/>
        </w:rPr>
        <w:t xml:space="preserve">comprehensively </w:t>
      </w:r>
      <w:r w:rsidRPr="00FF2019">
        <w:rPr>
          <w:rFonts w:ascii="Arial" w:hAnsi="Arial" w:cs="Arial"/>
          <w:sz w:val="24"/>
          <w:szCs w:val="24"/>
        </w:rPr>
        <w:t xml:space="preserve">covered </w:t>
      </w:r>
      <w:r w:rsidR="00735F2C" w:rsidRPr="00FF2019">
        <w:rPr>
          <w:rFonts w:ascii="Arial" w:hAnsi="Arial" w:cs="Arial"/>
          <w:sz w:val="24"/>
          <w:szCs w:val="24"/>
        </w:rPr>
        <w:t xml:space="preserve">grading of practice </w:t>
      </w:r>
      <w:r w:rsidR="00D202DB" w:rsidRPr="00FF2019">
        <w:rPr>
          <w:rFonts w:ascii="Arial" w:hAnsi="Arial" w:cs="Arial"/>
          <w:sz w:val="24"/>
          <w:szCs w:val="24"/>
        </w:rPr>
        <w:t xml:space="preserve">in midwifery </w:t>
      </w:r>
      <w:r w:rsidR="00735F2C" w:rsidRPr="00FF2019">
        <w:rPr>
          <w:rFonts w:ascii="Arial" w:hAnsi="Arial" w:cs="Arial"/>
          <w:sz w:val="24"/>
          <w:szCs w:val="24"/>
        </w:rPr>
        <w:t xml:space="preserve">at national level, but built on </w:t>
      </w:r>
      <w:r w:rsidR="00D202DB" w:rsidRPr="00FF2019">
        <w:rPr>
          <w:rFonts w:ascii="Arial" w:hAnsi="Arial" w:cs="Arial"/>
          <w:sz w:val="24"/>
          <w:szCs w:val="24"/>
        </w:rPr>
        <w:t xml:space="preserve">general </w:t>
      </w:r>
      <w:r w:rsidR="00735F2C" w:rsidRPr="00FF2019">
        <w:rPr>
          <w:rFonts w:ascii="Arial" w:hAnsi="Arial" w:cs="Arial"/>
          <w:sz w:val="24"/>
          <w:szCs w:val="24"/>
        </w:rPr>
        <w:t>litera</w:t>
      </w:r>
      <w:r w:rsidR="00D202DB" w:rsidRPr="00FF2019">
        <w:rPr>
          <w:rFonts w:ascii="Arial" w:hAnsi="Arial" w:cs="Arial"/>
          <w:sz w:val="24"/>
          <w:szCs w:val="24"/>
        </w:rPr>
        <w:t xml:space="preserve">ture around practice assessment. </w:t>
      </w:r>
      <w:r w:rsidR="00735F2C" w:rsidRPr="00FF2019">
        <w:rPr>
          <w:rFonts w:ascii="Arial" w:hAnsi="Arial" w:cs="Arial"/>
          <w:sz w:val="24"/>
          <w:szCs w:val="24"/>
        </w:rPr>
        <w:t>We have also developed an evidence based model and set of key principles for assessing practice.</w:t>
      </w:r>
    </w:p>
    <w:p w:rsidR="009E46F1" w:rsidRPr="00FF2019" w:rsidRDefault="009E46F1" w:rsidP="00D472B0">
      <w:pPr>
        <w:spacing w:after="0" w:line="480" w:lineRule="auto"/>
        <w:jc w:val="both"/>
        <w:rPr>
          <w:rFonts w:ascii="Arial" w:hAnsi="Arial" w:cs="Arial"/>
          <w:sz w:val="24"/>
          <w:szCs w:val="24"/>
        </w:rPr>
      </w:pPr>
    </w:p>
    <w:p w:rsidR="009E46F1" w:rsidRPr="00D472B0" w:rsidRDefault="009E46F1" w:rsidP="00D472B0">
      <w:pPr>
        <w:spacing w:after="0" w:line="480" w:lineRule="auto"/>
        <w:jc w:val="both"/>
        <w:rPr>
          <w:rFonts w:ascii="Arial" w:eastAsia="Calibri" w:hAnsi="Arial" w:cs="Arial"/>
          <w:sz w:val="24"/>
          <w:szCs w:val="24"/>
        </w:rPr>
      </w:pPr>
      <w:r w:rsidRPr="00FF2019">
        <w:rPr>
          <w:rFonts w:ascii="Arial" w:hAnsi="Arial" w:cs="Arial"/>
          <w:sz w:val="24"/>
          <w:szCs w:val="24"/>
        </w:rPr>
        <w:t xml:space="preserve">We have produced a set of </w:t>
      </w:r>
      <w:r w:rsidR="00FD0F7F" w:rsidRPr="00FF2019">
        <w:rPr>
          <w:rFonts w:ascii="Arial" w:hAnsi="Arial" w:cs="Arial"/>
          <w:sz w:val="24"/>
          <w:szCs w:val="24"/>
        </w:rPr>
        <w:t xml:space="preserve">tools which </w:t>
      </w:r>
      <w:r w:rsidRPr="00FF2019">
        <w:rPr>
          <w:rFonts w:ascii="Arial" w:hAnsi="Arial" w:cs="Arial"/>
          <w:sz w:val="24"/>
          <w:szCs w:val="24"/>
        </w:rPr>
        <w:t xml:space="preserve">provide consistency in terminology relating to assessment of levels of performance in practice. </w:t>
      </w:r>
      <w:r w:rsidR="00FD0F7F" w:rsidRPr="00FF2019">
        <w:rPr>
          <w:rFonts w:ascii="Arial" w:eastAsia="Calibri" w:hAnsi="Arial" w:cs="Arial"/>
          <w:sz w:val="24"/>
          <w:szCs w:val="24"/>
        </w:rPr>
        <w:t xml:space="preserve">They have demonstrated </w:t>
      </w:r>
      <w:r w:rsidR="00735F2C" w:rsidRPr="00FF2019">
        <w:rPr>
          <w:rFonts w:ascii="Arial" w:eastAsia="Calibri" w:hAnsi="Arial" w:cs="Arial"/>
          <w:sz w:val="24"/>
          <w:szCs w:val="24"/>
        </w:rPr>
        <w:t>potential for recording</w:t>
      </w:r>
      <w:r w:rsidRPr="00FF2019">
        <w:rPr>
          <w:rFonts w:ascii="Arial" w:eastAsia="Calibri" w:hAnsi="Arial" w:cs="Arial"/>
          <w:sz w:val="24"/>
          <w:szCs w:val="24"/>
        </w:rPr>
        <w:t xml:space="preserve"> evidence to support a mentor’s decision or student’s self-assessment, as the main tool for grading or when developing a practice assessment document for a new pre-registration programm</w:t>
      </w:r>
      <w:r w:rsidR="00FD0F7F" w:rsidRPr="00FF2019">
        <w:rPr>
          <w:rFonts w:ascii="Arial" w:eastAsia="Calibri" w:hAnsi="Arial" w:cs="Arial"/>
          <w:sz w:val="24"/>
          <w:szCs w:val="24"/>
        </w:rPr>
        <w:t xml:space="preserve">e. </w:t>
      </w:r>
      <w:r w:rsidR="00735F2C" w:rsidRPr="00FF2019">
        <w:rPr>
          <w:rFonts w:ascii="Arial" w:hAnsi="Arial" w:cs="Arial"/>
          <w:sz w:val="24"/>
          <w:szCs w:val="24"/>
        </w:rPr>
        <w:t>They may</w:t>
      </w:r>
      <w:r w:rsidRPr="00FF2019">
        <w:rPr>
          <w:rFonts w:ascii="Arial" w:hAnsi="Arial" w:cs="Arial"/>
          <w:sz w:val="24"/>
          <w:szCs w:val="24"/>
        </w:rPr>
        <w:t xml:space="preserve"> be used as the basis for a standardised approach </w:t>
      </w:r>
      <w:r w:rsidR="00735F2C" w:rsidRPr="00FF2019">
        <w:rPr>
          <w:rFonts w:ascii="Arial" w:hAnsi="Arial" w:cs="Arial"/>
          <w:sz w:val="24"/>
          <w:szCs w:val="24"/>
        </w:rPr>
        <w:t xml:space="preserve">in midwifery </w:t>
      </w:r>
      <w:r w:rsidRPr="00FF2019">
        <w:rPr>
          <w:rFonts w:ascii="Arial" w:hAnsi="Arial" w:cs="Arial"/>
          <w:sz w:val="24"/>
          <w:szCs w:val="24"/>
        </w:rPr>
        <w:t xml:space="preserve">which could be modified to align with </w:t>
      </w:r>
      <w:r w:rsidR="00735F2C" w:rsidRPr="00FF2019">
        <w:rPr>
          <w:rFonts w:ascii="Arial" w:hAnsi="Arial" w:cs="Arial"/>
          <w:sz w:val="24"/>
          <w:szCs w:val="24"/>
        </w:rPr>
        <w:t xml:space="preserve">professional </w:t>
      </w:r>
      <w:r w:rsidR="00D202DB" w:rsidRPr="00FF2019">
        <w:rPr>
          <w:rFonts w:ascii="Arial" w:hAnsi="Arial" w:cs="Arial"/>
          <w:sz w:val="24"/>
          <w:szCs w:val="24"/>
        </w:rPr>
        <w:t>body or</w:t>
      </w:r>
      <w:r w:rsidR="00735F2C" w:rsidRPr="00FF2019">
        <w:rPr>
          <w:rFonts w:ascii="Arial" w:hAnsi="Arial" w:cs="Arial"/>
          <w:sz w:val="24"/>
          <w:szCs w:val="24"/>
        </w:rPr>
        <w:t xml:space="preserve"> </w:t>
      </w:r>
      <w:r w:rsidRPr="00FF2019">
        <w:rPr>
          <w:rFonts w:ascii="Arial" w:hAnsi="Arial" w:cs="Arial"/>
          <w:sz w:val="24"/>
          <w:szCs w:val="24"/>
        </w:rPr>
        <w:t>institutional requirements</w:t>
      </w:r>
      <w:r w:rsidR="00735F2C" w:rsidRPr="00FF2019">
        <w:rPr>
          <w:rFonts w:ascii="Arial" w:hAnsi="Arial" w:cs="Arial"/>
          <w:sz w:val="24"/>
          <w:szCs w:val="24"/>
        </w:rPr>
        <w:t>.</w:t>
      </w:r>
      <w:r w:rsidRPr="00FF2019">
        <w:rPr>
          <w:rFonts w:ascii="Arial" w:hAnsi="Arial" w:cs="Arial"/>
          <w:sz w:val="24"/>
          <w:szCs w:val="24"/>
        </w:rPr>
        <w:t xml:space="preserve"> It has also been suggested that </w:t>
      </w:r>
      <w:r w:rsidR="00FD0F7F" w:rsidRPr="00FF2019">
        <w:rPr>
          <w:rFonts w:ascii="Arial" w:hAnsi="Arial" w:cs="Arial"/>
          <w:sz w:val="24"/>
          <w:szCs w:val="24"/>
        </w:rPr>
        <w:t xml:space="preserve">they </w:t>
      </w:r>
      <w:r w:rsidRPr="00FF2019">
        <w:rPr>
          <w:rFonts w:ascii="Arial" w:hAnsi="Arial" w:cs="Arial"/>
          <w:sz w:val="24"/>
          <w:szCs w:val="24"/>
        </w:rPr>
        <w:t xml:space="preserve">would have the potential to be transferable to nursing. </w:t>
      </w:r>
      <w:r w:rsidRPr="00FF2019">
        <w:rPr>
          <w:rFonts w:ascii="Arial" w:eastAsia="Calibri" w:hAnsi="Arial" w:cs="Arial"/>
          <w:sz w:val="24"/>
          <w:szCs w:val="24"/>
        </w:rPr>
        <w:t>Our findings may therefore contribute to</w:t>
      </w:r>
      <w:r w:rsidR="00735F2C" w:rsidRPr="00FF2019">
        <w:rPr>
          <w:rFonts w:ascii="Arial" w:eastAsia="Calibri" w:hAnsi="Arial" w:cs="Arial"/>
          <w:sz w:val="24"/>
          <w:szCs w:val="24"/>
        </w:rPr>
        <w:t xml:space="preserve"> the new pre-registration midwifery education standards and influence</w:t>
      </w:r>
      <w:r w:rsidRPr="00FF2019">
        <w:rPr>
          <w:rFonts w:ascii="Arial" w:eastAsia="Calibri" w:hAnsi="Arial" w:cs="Arial"/>
          <w:sz w:val="24"/>
          <w:szCs w:val="24"/>
        </w:rPr>
        <w:t xml:space="preserve"> programme development across higher education institutions in the UK and beyond.</w:t>
      </w:r>
      <w:r w:rsidRPr="00D472B0">
        <w:rPr>
          <w:rFonts w:ascii="Arial" w:eastAsia="Calibri" w:hAnsi="Arial" w:cs="Arial"/>
          <w:sz w:val="24"/>
          <w:szCs w:val="24"/>
        </w:rPr>
        <w:t xml:space="preserve"> </w:t>
      </w:r>
    </w:p>
    <w:p w:rsidR="0003515B" w:rsidRPr="00D472B0" w:rsidRDefault="0003515B" w:rsidP="00D472B0">
      <w:pPr>
        <w:spacing w:after="0" w:line="480" w:lineRule="auto"/>
        <w:jc w:val="both"/>
        <w:rPr>
          <w:rFonts w:ascii="Arial" w:hAnsi="Arial" w:cs="Arial"/>
          <w:sz w:val="24"/>
          <w:szCs w:val="24"/>
        </w:rPr>
      </w:pPr>
    </w:p>
    <w:p w:rsidR="00E72847" w:rsidRDefault="00E72847" w:rsidP="00FF2019">
      <w:pPr>
        <w:spacing w:after="0" w:line="480" w:lineRule="auto"/>
        <w:rPr>
          <w:rFonts w:ascii="Arial" w:hAnsi="Arial" w:cs="Arial"/>
          <w:b/>
          <w:sz w:val="24"/>
          <w:szCs w:val="24"/>
          <w:u w:val="single"/>
        </w:rPr>
      </w:pPr>
    </w:p>
    <w:p w:rsidR="00FF2019" w:rsidRDefault="00FF2019" w:rsidP="00FF2019">
      <w:pPr>
        <w:spacing w:after="0" w:line="480" w:lineRule="auto"/>
        <w:rPr>
          <w:rFonts w:ascii="Arial" w:hAnsi="Arial" w:cs="Arial"/>
          <w:b/>
          <w:sz w:val="24"/>
          <w:szCs w:val="24"/>
          <w:u w:val="single"/>
        </w:rPr>
      </w:pPr>
    </w:p>
    <w:p w:rsidR="00FF2019" w:rsidRDefault="00FF2019" w:rsidP="00FF2019">
      <w:pPr>
        <w:spacing w:after="0" w:line="480" w:lineRule="auto"/>
        <w:rPr>
          <w:rFonts w:ascii="Arial" w:hAnsi="Arial" w:cs="Arial"/>
          <w:b/>
          <w:sz w:val="24"/>
          <w:szCs w:val="24"/>
          <w:u w:val="single"/>
        </w:rPr>
      </w:pPr>
    </w:p>
    <w:p w:rsidR="00FF2019" w:rsidRDefault="00FF2019" w:rsidP="00FF2019">
      <w:pPr>
        <w:spacing w:after="0" w:line="480" w:lineRule="auto"/>
        <w:rPr>
          <w:rFonts w:ascii="Arial" w:hAnsi="Arial" w:cs="Arial"/>
          <w:b/>
          <w:sz w:val="24"/>
          <w:szCs w:val="24"/>
          <w:u w:val="single"/>
        </w:rPr>
      </w:pPr>
    </w:p>
    <w:p w:rsidR="00FF2019" w:rsidRDefault="00FF2019" w:rsidP="00FF2019">
      <w:pPr>
        <w:spacing w:after="0" w:line="480" w:lineRule="auto"/>
        <w:rPr>
          <w:rFonts w:ascii="Arial" w:hAnsi="Arial" w:cs="Arial"/>
          <w:b/>
          <w:sz w:val="24"/>
          <w:szCs w:val="24"/>
          <w:u w:val="single"/>
        </w:rPr>
      </w:pPr>
    </w:p>
    <w:p w:rsidR="00FF2019" w:rsidRDefault="00FF2019" w:rsidP="00FF2019">
      <w:pPr>
        <w:spacing w:after="0" w:line="480" w:lineRule="auto"/>
        <w:rPr>
          <w:rFonts w:ascii="Arial" w:hAnsi="Arial" w:cs="Arial"/>
          <w:b/>
          <w:sz w:val="24"/>
          <w:szCs w:val="24"/>
          <w:u w:val="single"/>
        </w:rPr>
      </w:pPr>
    </w:p>
    <w:p w:rsidR="00C65C18" w:rsidRDefault="00C65C18" w:rsidP="00DB4CFB">
      <w:pPr>
        <w:spacing w:after="0" w:line="480" w:lineRule="auto"/>
        <w:jc w:val="center"/>
        <w:rPr>
          <w:rFonts w:ascii="Arial" w:eastAsia="Calibri" w:hAnsi="Arial" w:cs="Arial"/>
          <w:b/>
          <w:sz w:val="24"/>
          <w:szCs w:val="24"/>
          <w:u w:val="single"/>
        </w:rPr>
      </w:pPr>
    </w:p>
    <w:p w:rsidR="00DB4CFB" w:rsidRDefault="00DB4CFB" w:rsidP="00DB4CFB">
      <w:pPr>
        <w:spacing w:after="0" w:line="480" w:lineRule="auto"/>
        <w:jc w:val="center"/>
        <w:rPr>
          <w:rFonts w:ascii="Arial" w:eastAsia="Calibri" w:hAnsi="Arial" w:cs="Arial"/>
          <w:b/>
          <w:sz w:val="24"/>
          <w:szCs w:val="24"/>
          <w:u w:val="single"/>
        </w:rPr>
      </w:pPr>
      <w:r w:rsidRPr="00DB4CFB">
        <w:rPr>
          <w:rFonts w:ascii="Arial" w:eastAsia="Calibri" w:hAnsi="Arial" w:cs="Arial"/>
          <w:b/>
          <w:sz w:val="24"/>
          <w:szCs w:val="24"/>
          <w:u w:val="single"/>
        </w:rPr>
        <w:lastRenderedPageBreak/>
        <w:t>REFERENCES</w:t>
      </w:r>
      <w:r>
        <w:rPr>
          <w:rFonts w:ascii="Arial" w:eastAsia="Calibri" w:hAnsi="Arial" w:cs="Arial"/>
          <w:b/>
          <w:sz w:val="24"/>
          <w:szCs w:val="24"/>
          <w:u w:val="single"/>
        </w:rPr>
        <w:t xml:space="preserve"> </w:t>
      </w:r>
    </w:p>
    <w:p w:rsidR="002C4BD7" w:rsidRDefault="002C4BD7" w:rsidP="002C4BD7">
      <w:pPr>
        <w:spacing w:after="0" w:line="480" w:lineRule="auto"/>
        <w:rPr>
          <w:rFonts w:ascii="Arial" w:hAnsi="Arial" w:cs="Arial"/>
          <w:sz w:val="24"/>
          <w:szCs w:val="24"/>
        </w:rPr>
      </w:pPr>
    </w:p>
    <w:p w:rsidR="00FA3255" w:rsidRPr="00DB4CFB" w:rsidRDefault="002C4BD7" w:rsidP="002C4BD7">
      <w:pPr>
        <w:spacing w:after="0" w:line="480" w:lineRule="auto"/>
        <w:rPr>
          <w:rFonts w:ascii="Arial" w:hAnsi="Arial" w:cs="Arial"/>
          <w:sz w:val="24"/>
          <w:szCs w:val="24"/>
        </w:rPr>
      </w:pPr>
      <w:r w:rsidRPr="00DB4CFB">
        <w:rPr>
          <w:rFonts w:ascii="Arial" w:hAnsi="Arial" w:cs="Arial"/>
          <w:sz w:val="24"/>
          <w:szCs w:val="24"/>
        </w:rPr>
        <w:t xml:space="preserve">Australian Nursing and Midwifery Accreditation Council, 2014. </w:t>
      </w:r>
      <w:r w:rsidRPr="00FA3255">
        <w:rPr>
          <w:rFonts w:ascii="Arial" w:hAnsi="Arial" w:cs="Arial"/>
          <w:sz w:val="24"/>
          <w:szCs w:val="24"/>
        </w:rPr>
        <w:t>Midwife Accreditation Standards 2014. ANMAC, Canberra.</w:t>
      </w:r>
      <w:r w:rsidRPr="00DB4CFB">
        <w:rPr>
          <w:rFonts w:ascii="Arial" w:hAnsi="Arial" w:cs="Arial"/>
          <w:sz w:val="24"/>
          <w:szCs w:val="24"/>
        </w:rPr>
        <w:t xml:space="preserve"> </w:t>
      </w:r>
      <w:hyperlink r:id="rId18" w:history="1">
        <w:r w:rsidR="00FA3255" w:rsidRPr="00EC64F0">
          <w:rPr>
            <w:rStyle w:val="Hyperlink"/>
            <w:rFonts w:ascii="Arial" w:hAnsi="Arial" w:cs="Arial"/>
            <w:sz w:val="24"/>
            <w:szCs w:val="24"/>
          </w:rPr>
          <w:t>https://www.anmac.org.au/standards-and-review/midwife</w:t>
        </w:r>
      </w:hyperlink>
      <w:r w:rsidR="00FA3255">
        <w:rPr>
          <w:rFonts w:ascii="Arial" w:hAnsi="Arial" w:cs="Arial"/>
          <w:sz w:val="24"/>
          <w:szCs w:val="24"/>
        </w:rPr>
        <w:t xml:space="preserve"> (accessed 22/9/18)</w:t>
      </w:r>
    </w:p>
    <w:p w:rsidR="002C4BD7" w:rsidRDefault="002C4BD7" w:rsidP="00DB4CFB">
      <w:pPr>
        <w:shd w:val="clear" w:color="auto" w:fill="FFFFFF"/>
        <w:spacing w:after="0" w:line="480" w:lineRule="auto"/>
        <w:rPr>
          <w:rFonts w:ascii="Arial" w:hAnsi="Arial" w:cs="Arial"/>
          <w:color w:val="FF0000"/>
          <w:sz w:val="24"/>
          <w:szCs w:val="24"/>
          <w:highlight w:val="lightGray"/>
        </w:rPr>
      </w:pPr>
    </w:p>
    <w:p w:rsidR="00DB4CFB" w:rsidRPr="00DB4CFB" w:rsidRDefault="00C822F6" w:rsidP="00DB4CFB">
      <w:pPr>
        <w:shd w:val="clear" w:color="auto" w:fill="FFFFFF"/>
        <w:spacing w:after="0" w:line="480" w:lineRule="auto"/>
        <w:rPr>
          <w:rStyle w:val="Hyperlink"/>
          <w:rFonts w:ascii="Arial" w:hAnsi="Arial" w:cs="Arial"/>
          <w:sz w:val="24"/>
          <w:szCs w:val="24"/>
        </w:rPr>
      </w:pPr>
      <w:r>
        <w:rPr>
          <w:rFonts w:ascii="Arial" w:hAnsi="Arial" w:cs="Arial"/>
          <w:sz w:val="24"/>
          <w:szCs w:val="24"/>
        </w:rPr>
        <w:t>AUTHORS,</w:t>
      </w:r>
      <w:r w:rsidR="005E6D9C" w:rsidRPr="00C822F6">
        <w:rPr>
          <w:rFonts w:ascii="Arial" w:hAnsi="Arial" w:cs="Arial"/>
          <w:sz w:val="24"/>
          <w:szCs w:val="24"/>
        </w:rPr>
        <w:t xml:space="preserve"> </w:t>
      </w:r>
      <w:r w:rsidR="00DB4CFB" w:rsidRPr="00DB4CFB">
        <w:rPr>
          <w:rFonts w:ascii="Arial" w:hAnsi="Arial" w:cs="Arial"/>
          <w:sz w:val="24"/>
          <w:szCs w:val="24"/>
        </w:rPr>
        <w:t xml:space="preserve">2017a. A scoping study to explore the application and impact of grading practice in pre-registration Midwifery programmes across the United Kingdom. </w:t>
      </w:r>
      <w:r w:rsidR="00DB4CFB" w:rsidRPr="00382F10">
        <w:rPr>
          <w:rFonts w:ascii="Arial" w:hAnsi="Arial" w:cs="Arial"/>
          <w:sz w:val="24"/>
          <w:szCs w:val="24"/>
        </w:rPr>
        <w:t>Nurse Education in Practice,</w:t>
      </w:r>
      <w:r w:rsidR="00DB4CFB" w:rsidRPr="00DB4CFB">
        <w:rPr>
          <w:rFonts w:ascii="Arial" w:hAnsi="Arial" w:cs="Arial"/>
          <w:b/>
          <w:sz w:val="24"/>
          <w:szCs w:val="24"/>
        </w:rPr>
        <w:t xml:space="preserve"> </w:t>
      </w:r>
      <w:r w:rsidR="00DB4CFB" w:rsidRPr="00DB4CFB">
        <w:rPr>
          <w:rFonts w:ascii="Arial" w:hAnsi="Arial" w:cs="Arial"/>
          <w:sz w:val="24"/>
          <w:szCs w:val="24"/>
        </w:rPr>
        <w:t>24, p99-105</w:t>
      </w:r>
      <w:r w:rsidR="00DB4CFB" w:rsidRPr="00DB4CFB">
        <w:rPr>
          <w:rFonts w:ascii="Arial" w:hAnsi="Arial" w:cs="Arial"/>
          <w:b/>
          <w:sz w:val="24"/>
          <w:szCs w:val="24"/>
        </w:rPr>
        <w:t xml:space="preserve">  </w:t>
      </w:r>
      <w:hyperlink r:id="rId19" w:history="1">
        <w:r w:rsidR="00DB4CFB" w:rsidRPr="00DB4CFB">
          <w:rPr>
            <w:rStyle w:val="Hyperlink"/>
            <w:rFonts w:ascii="Arial" w:hAnsi="Arial" w:cs="Arial"/>
            <w:sz w:val="24"/>
            <w:szCs w:val="24"/>
          </w:rPr>
          <w:t>http://doi.org/10.1016/j.nepr.2016.01.007</w:t>
        </w:r>
      </w:hyperlink>
    </w:p>
    <w:p w:rsidR="00DB4CFB" w:rsidRDefault="00DB4CFB" w:rsidP="00DB4CFB">
      <w:pPr>
        <w:spacing w:after="0" w:line="480" w:lineRule="auto"/>
        <w:rPr>
          <w:rFonts w:ascii="Arial" w:hAnsi="Arial" w:cs="Arial"/>
          <w:sz w:val="24"/>
          <w:szCs w:val="24"/>
        </w:rPr>
      </w:pPr>
    </w:p>
    <w:p w:rsidR="002C4BD7" w:rsidRPr="00DB4CFB" w:rsidRDefault="00C822F6" w:rsidP="002C4BD7">
      <w:pPr>
        <w:shd w:val="clear" w:color="auto" w:fill="FFFFFF"/>
        <w:spacing w:after="0" w:line="480" w:lineRule="auto"/>
        <w:rPr>
          <w:rFonts w:ascii="Arial" w:hAnsi="Arial" w:cs="Arial"/>
          <w:sz w:val="24"/>
          <w:szCs w:val="24"/>
        </w:rPr>
      </w:pPr>
      <w:r>
        <w:rPr>
          <w:rFonts w:ascii="Arial" w:hAnsi="Arial" w:cs="Arial"/>
          <w:sz w:val="24"/>
          <w:szCs w:val="24"/>
        </w:rPr>
        <w:t>AUTHORS,</w:t>
      </w:r>
      <w:r w:rsidR="002C4BD7" w:rsidRPr="00C822F6">
        <w:rPr>
          <w:rFonts w:ascii="Arial" w:hAnsi="Arial" w:cs="Arial"/>
          <w:sz w:val="24"/>
          <w:szCs w:val="24"/>
        </w:rPr>
        <w:t xml:space="preserve"> </w:t>
      </w:r>
      <w:r w:rsidR="002C4BD7" w:rsidRPr="00DB4CFB">
        <w:rPr>
          <w:rFonts w:ascii="Arial" w:hAnsi="Arial" w:cs="Arial"/>
          <w:sz w:val="24"/>
          <w:szCs w:val="24"/>
        </w:rPr>
        <w:t xml:space="preserve">2017b. Core principles to reduce current variations that exist in grading of Midwifery practice in the United Kingdom. </w:t>
      </w:r>
      <w:r w:rsidR="002C4BD7" w:rsidRPr="00382F10">
        <w:rPr>
          <w:rFonts w:ascii="Arial" w:hAnsi="Arial" w:cs="Arial"/>
          <w:sz w:val="24"/>
          <w:szCs w:val="24"/>
        </w:rPr>
        <w:t>Nurse Education in Practice.</w:t>
      </w:r>
      <w:r w:rsidR="002C4BD7" w:rsidRPr="00DB4CFB">
        <w:rPr>
          <w:rFonts w:ascii="Arial" w:hAnsi="Arial" w:cs="Arial"/>
          <w:b/>
          <w:sz w:val="24"/>
          <w:szCs w:val="24"/>
        </w:rPr>
        <w:t xml:space="preserve"> </w:t>
      </w:r>
      <w:r w:rsidR="002C4BD7" w:rsidRPr="00DB4CFB">
        <w:rPr>
          <w:rFonts w:ascii="Arial" w:hAnsi="Arial" w:cs="Arial"/>
          <w:sz w:val="24"/>
          <w:szCs w:val="24"/>
        </w:rPr>
        <w:t xml:space="preserve">3 (March), p54-60 </w:t>
      </w:r>
      <w:hyperlink r:id="rId20" w:tgtFrame="_blank" w:history="1">
        <w:r w:rsidR="002C4BD7" w:rsidRPr="00DB4CFB">
          <w:rPr>
            <w:rFonts w:ascii="Arial" w:hAnsi="Arial" w:cs="Arial"/>
            <w:color w:val="0000FF"/>
            <w:sz w:val="24"/>
            <w:szCs w:val="24"/>
            <w:u w:val="single"/>
          </w:rPr>
          <w:t>http://dx.doi.org/10.1016/j.nepr.2017.02.006</w:t>
        </w:r>
      </w:hyperlink>
      <w:r w:rsidR="002C4BD7" w:rsidRPr="00DB4CFB">
        <w:rPr>
          <w:rFonts w:ascii="Arial" w:hAnsi="Arial" w:cs="Arial"/>
          <w:sz w:val="24"/>
          <w:szCs w:val="24"/>
        </w:rPr>
        <w:t xml:space="preserve"> </w:t>
      </w:r>
    </w:p>
    <w:p w:rsidR="002C4BD7" w:rsidRPr="00DB4CFB" w:rsidRDefault="002C4BD7" w:rsidP="00DB4CFB">
      <w:pPr>
        <w:spacing w:after="0" w:line="480" w:lineRule="auto"/>
        <w:rPr>
          <w:rFonts w:ascii="Arial" w:hAnsi="Arial" w:cs="Arial"/>
          <w:sz w:val="24"/>
          <w:szCs w:val="24"/>
        </w:rPr>
      </w:pPr>
    </w:p>
    <w:p w:rsidR="00DB4CFB" w:rsidRPr="00382F10" w:rsidRDefault="00C822F6" w:rsidP="00DB4CFB">
      <w:pPr>
        <w:tabs>
          <w:tab w:val="left" w:pos="4999"/>
        </w:tabs>
        <w:spacing w:after="0" w:line="480" w:lineRule="auto"/>
        <w:rPr>
          <w:rFonts w:ascii="Arial" w:hAnsi="Arial" w:cs="Arial"/>
          <w:i/>
          <w:sz w:val="24"/>
          <w:szCs w:val="24"/>
        </w:rPr>
      </w:pPr>
      <w:r>
        <w:rPr>
          <w:rFonts w:ascii="Arial" w:hAnsi="Arial" w:cs="Arial"/>
          <w:sz w:val="24"/>
          <w:szCs w:val="24"/>
        </w:rPr>
        <w:t xml:space="preserve">AUTHORS, </w:t>
      </w:r>
      <w:r w:rsidR="00DB4CFB" w:rsidRPr="005E6D9C">
        <w:rPr>
          <w:rStyle w:val="Hyperlink"/>
          <w:rFonts w:ascii="Arial" w:hAnsi="Arial" w:cs="Arial"/>
          <w:color w:val="auto"/>
          <w:sz w:val="24"/>
          <w:szCs w:val="24"/>
          <w:u w:val="none"/>
        </w:rPr>
        <w:t xml:space="preserve">2018. </w:t>
      </w:r>
      <w:r w:rsidR="00DB4CFB" w:rsidRPr="00382F10">
        <w:rPr>
          <w:rStyle w:val="Hyperlink"/>
          <w:rFonts w:ascii="Arial" w:hAnsi="Arial" w:cs="Arial"/>
          <w:color w:val="auto"/>
          <w:sz w:val="24"/>
          <w:szCs w:val="24"/>
          <w:u w:val="none"/>
        </w:rPr>
        <w:t>National Grading of Practice in Pre-registration Midwifery Project: Report on final phase on-line survey (Phase 3).</w:t>
      </w:r>
      <w:r w:rsidR="00DB4CFB" w:rsidRPr="005E6D9C">
        <w:rPr>
          <w:rStyle w:val="Hyperlink"/>
          <w:rFonts w:ascii="Arial" w:hAnsi="Arial" w:cs="Arial"/>
          <w:i/>
          <w:color w:val="auto"/>
          <w:sz w:val="24"/>
          <w:szCs w:val="24"/>
          <w:u w:val="none"/>
        </w:rPr>
        <w:t xml:space="preserve"> </w:t>
      </w:r>
      <w:r w:rsidR="00DB4CFB" w:rsidRPr="005E6D9C">
        <w:rPr>
          <w:rStyle w:val="Hyperlink"/>
          <w:rFonts w:ascii="Arial" w:hAnsi="Arial" w:cs="Arial"/>
          <w:color w:val="auto"/>
          <w:sz w:val="24"/>
          <w:szCs w:val="24"/>
          <w:u w:val="none"/>
        </w:rPr>
        <w:t>United Kingdom:</w:t>
      </w:r>
      <w:r w:rsidR="00DB4CFB" w:rsidRPr="005E6D9C">
        <w:rPr>
          <w:rStyle w:val="Hyperlink"/>
          <w:rFonts w:ascii="Arial" w:hAnsi="Arial" w:cs="Arial"/>
          <w:i/>
          <w:color w:val="auto"/>
          <w:sz w:val="24"/>
          <w:szCs w:val="24"/>
          <w:u w:val="none"/>
        </w:rPr>
        <w:t xml:space="preserve"> </w:t>
      </w:r>
      <w:r w:rsidR="00DB4CFB" w:rsidRPr="005E6D9C">
        <w:rPr>
          <w:rStyle w:val="Hyperlink"/>
          <w:rFonts w:ascii="Arial" w:hAnsi="Arial" w:cs="Arial"/>
          <w:color w:val="auto"/>
          <w:sz w:val="24"/>
          <w:szCs w:val="24"/>
          <w:u w:val="none"/>
        </w:rPr>
        <w:t xml:space="preserve">LME-UK Executive. </w:t>
      </w:r>
      <w:hyperlink r:id="rId21" w:history="1">
        <w:r w:rsidR="00DB4CFB" w:rsidRPr="00DB4CFB">
          <w:rPr>
            <w:rStyle w:val="Hyperlink"/>
            <w:rFonts w:ascii="Arial" w:eastAsia="Times New Roman" w:hAnsi="Arial" w:cs="Arial"/>
            <w:sz w:val="24"/>
            <w:szCs w:val="24"/>
          </w:rPr>
          <w:t>https://www.plymouth.ac.uk/research/national-grading-of-practice-in-pre-registration-midwifery-project</w:t>
        </w:r>
      </w:hyperlink>
      <w:r w:rsidR="00382F10">
        <w:rPr>
          <w:rStyle w:val="Hyperlink"/>
          <w:rFonts w:ascii="Arial" w:eastAsia="Times New Roman" w:hAnsi="Arial" w:cs="Arial"/>
          <w:sz w:val="24"/>
          <w:szCs w:val="24"/>
          <w:u w:val="none"/>
        </w:rPr>
        <w:t xml:space="preserve"> </w:t>
      </w:r>
      <w:r w:rsidR="00382F10" w:rsidRPr="00382F10">
        <w:rPr>
          <w:rStyle w:val="Hyperlink"/>
          <w:rFonts w:ascii="Arial" w:eastAsia="Times New Roman" w:hAnsi="Arial" w:cs="Arial"/>
          <w:color w:val="auto"/>
          <w:sz w:val="24"/>
          <w:szCs w:val="24"/>
          <w:u w:val="none"/>
        </w:rPr>
        <w:t xml:space="preserve">(accessed </w:t>
      </w:r>
      <w:r w:rsidR="00382F10">
        <w:rPr>
          <w:rStyle w:val="Hyperlink"/>
          <w:rFonts w:ascii="Arial" w:eastAsia="Times New Roman" w:hAnsi="Arial" w:cs="Arial"/>
          <w:color w:val="auto"/>
          <w:sz w:val="24"/>
          <w:szCs w:val="24"/>
          <w:u w:val="none"/>
        </w:rPr>
        <w:t>22/9/18)</w:t>
      </w:r>
    </w:p>
    <w:p w:rsidR="002C4BD7" w:rsidRDefault="002C4BD7" w:rsidP="00DB4CFB">
      <w:pPr>
        <w:spacing w:after="0" w:line="480" w:lineRule="auto"/>
        <w:rPr>
          <w:rFonts w:ascii="Arial" w:hAnsi="Arial" w:cs="Arial"/>
          <w:bCs/>
          <w:sz w:val="24"/>
          <w:szCs w:val="24"/>
        </w:rPr>
      </w:pPr>
    </w:p>
    <w:p w:rsidR="002C4BD7" w:rsidRPr="00DB4CFB" w:rsidRDefault="002C4BD7" w:rsidP="002C4BD7">
      <w:pPr>
        <w:spacing w:after="0" w:line="480" w:lineRule="auto"/>
        <w:rPr>
          <w:rFonts w:ascii="Arial" w:eastAsia="Arial" w:hAnsi="Arial" w:cs="Arial"/>
          <w:sz w:val="24"/>
          <w:szCs w:val="24"/>
          <w:lang w:bidi="en-US"/>
        </w:rPr>
      </w:pPr>
      <w:r w:rsidRPr="00DB4CFB">
        <w:rPr>
          <w:rFonts w:ascii="Arial" w:eastAsia="Arial" w:hAnsi="Arial" w:cs="Arial"/>
          <w:sz w:val="24"/>
          <w:szCs w:val="24"/>
          <w:lang w:bidi="en-US"/>
        </w:rPr>
        <w:t xml:space="preserve">Cassidy, S., 2008. Subjectivity and the valid assessment of pre-registration nurse clinical learning outcomes: Implications for mentors. </w:t>
      </w:r>
      <w:r w:rsidRPr="00382F10">
        <w:rPr>
          <w:rFonts w:ascii="Arial" w:eastAsia="Arial" w:hAnsi="Arial" w:cs="Arial"/>
          <w:sz w:val="24"/>
          <w:szCs w:val="24"/>
          <w:lang w:bidi="en-US"/>
        </w:rPr>
        <w:t xml:space="preserve">Nurse Education Today </w:t>
      </w:r>
      <w:r w:rsidRPr="00DB4CFB">
        <w:rPr>
          <w:rFonts w:ascii="Arial" w:eastAsia="Arial" w:hAnsi="Arial" w:cs="Arial"/>
          <w:sz w:val="24"/>
          <w:szCs w:val="24"/>
          <w:lang w:bidi="en-US"/>
        </w:rPr>
        <w:t xml:space="preserve">29 (1), 33-39. </w:t>
      </w:r>
    </w:p>
    <w:p w:rsidR="002C4BD7" w:rsidRDefault="002C4BD7" w:rsidP="002C4BD7">
      <w:pPr>
        <w:spacing w:after="0" w:line="480" w:lineRule="auto"/>
        <w:rPr>
          <w:rFonts w:ascii="Arial" w:hAnsi="Arial" w:cs="Arial"/>
          <w:sz w:val="24"/>
          <w:szCs w:val="24"/>
        </w:rPr>
      </w:pPr>
    </w:p>
    <w:p w:rsidR="002C4BD7" w:rsidRPr="00382F10" w:rsidRDefault="002C4BD7" w:rsidP="002C4BD7">
      <w:pPr>
        <w:autoSpaceDE w:val="0"/>
        <w:autoSpaceDN w:val="0"/>
        <w:adjustRightInd w:val="0"/>
        <w:spacing w:after="0" w:line="480" w:lineRule="auto"/>
        <w:contextualSpacing/>
        <w:rPr>
          <w:rFonts w:ascii="Arial" w:hAnsi="Arial" w:cs="Arial"/>
          <w:sz w:val="24"/>
          <w:szCs w:val="24"/>
        </w:rPr>
      </w:pPr>
      <w:r w:rsidRPr="00DB4CFB">
        <w:rPr>
          <w:rFonts w:ascii="Arial" w:hAnsi="Arial" w:cs="Arial"/>
          <w:sz w:val="24"/>
          <w:szCs w:val="24"/>
        </w:rPr>
        <w:lastRenderedPageBreak/>
        <w:t xml:space="preserve">Chenery-Morris, S., 2014. Exploring students’ and mentors’ experiences of grading Midwifery practice. </w:t>
      </w:r>
      <w:r w:rsidRPr="00382F10">
        <w:rPr>
          <w:rFonts w:ascii="Arial" w:hAnsi="Arial" w:cs="Arial"/>
          <w:sz w:val="24"/>
          <w:szCs w:val="24"/>
        </w:rPr>
        <w:t>Evidence Based Midwifery</w:t>
      </w:r>
      <w:r w:rsidRPr="00DB4CFB">
        <w:rPr>
          <w:rFonts w:ascii="Arial" w:hAnsi="Arial" w:cs="Arial"/>
          <w:sz w:val="24"/>
          <w:szCs w:val="24"/>
        </w:rPr>
        <w:t xml:space="preserve"> 12(3), 101-106. </w:t>
      </w:r>
      <w:hyperlink r:id="rId22" w:history="1">
        <w:r w:rsidRPr="00DB4CFB">
          <w:rPr>
            <w:rFonts w:ascii="Arial" w:hAnsi="Arial" w:cs="Arial"/>
            <w:color w:val="0563C1" w:themeColor="hyperlink"/>
            <w:sz w:val="24"/>
            <w:szCs w:val="24"/>
            <w:u w:val="single"/>
          </w:rPr>
          <w:t>https://www.rcm.org.uk/sites/default/files/EBM%20101-106_0.pdf</w:t>
        </w:r>
      </w:hyperlink>
      <w:r w:rsidR="00382F10">
        <w:rPr>
          <w:rFonts w:ascii="Arial" w:hAnsi="Arial" w:cs="Arial"/>
          <w:color w:val="0563C1" w:themeColor="hyperlink"/>
          <w:sz w:val="24"/>
          <w:szCs w:val="24"/>
        </w:rPr>
        <w:t xml:space="preserve"> </w:t>
      </w:r>
      <w:r w:rsidR="00382F10" w:rsidRPr="00382F10">
        <w:rPr>
          <w:rFonts w:ascii="Arial" w:hAnsi="Arial" w:cs="Arial"/>
          <w:sz w:val="24"/>
          <w:szCs w:val="24"/>
        </w:rPr>
        <w:t>(accessed 22/9/18)</w:t>
      </w:r>
    </w:p>
    <w:p w:rsidR="002C4BD7" w:rsidRDefault="002C4BD7" w:rsidP="002C4BD7">
      <w:pPr>
        <w:autoSpaceDE w:val="0"/>
        <w:autoSpaceDN w:val="0"/>
        <w:adjustRightInd w:val="0"/>
        <w:spacing w:after="0" w:line="480" w:lineRule="auto"/>
        <w:contextualSpacing/>
        <w:rPr>
          <w:rFonts w:ascii="Arial" w:hAnsi="Arial" w:cs="Arial"/>
          <w:sz w:val="24"/>
          <w:szCs w:val="24"/>
        </w:rPr>
      </w:pPr>
    </w:p>
    <w:p w:rsidR="00752C5D" w:rsidRPr="00DB4CFB" w:rsidRDefault="00752C5D" w:rsidP="00752C5D">
      <w:pPr>
        <w:spacing w:after="0" w:line="480" w:lineRule="auto"/>
        <w:rPr>
          <w:rFonts w:ascii="Arial" w:hAnsi="Arial" w:cs="Arial"/>
          <w:sz w:val="24"/>
          <w:szCs w:val="24"/>
        </w:rPr>
      </w:pPr>
      <w:r w:rsidRPr="00DB4CFB">
        <w:rPr>
          <w:rFonts w:ascii="Arial" w:hAnsi="Arial" w:cs="Arial"/>
          <w:sz w:val="24"/>
          <w:szCs w:val="24"/>
        </w:rPr>
        <w:t xml:space="preserve">Dalton, M., Keating, J. and Davidson, M., 2009. </w:t>
      </w:r>
      <w:r w:rsidRPr="00382F10">
        <w:rPr>
          <w:rFonts w:ascii="Arial" w:hAnsi="Arial" w:cs="Arial"/>
          <w:sz w:val="24"/>
          <w:szCs w:val="24"/>
        </w:rPr>
        <w:t xml:space="preserve">Development of the Assessment of Physiotherapy Practice (APP): A standardised and valid approach to assessment of clinical competence in physiotherapy. </w:t>
      </w:r>
      <w:r w:rsidRPr="00DB4CFB">
        <w:rPr>
          <w:rFonts w:ascii="Arial" w:hAnsi="Arial" w:cs="Arial"/>
          <w:sz w:val="24"/>
          <w:szCs w:val="24"/>
        </w:rPr>
        <w:t>Australian Learning and Teaching Council (ALTC) Final report.</w:t>
      </w:r>
    </w:p>
    <w:p w:rsidR="00752C5D" w:rsidRDefault="00752C5D" w:rsidP="00752C5D">
      <w:pPr>
        <w:spacing w:after="0" w:line="480" w:lineRule="auto"/>
        <w:rPr>
          <w:rFonts w:ascii="Arial" w:eastAsia="SimHei" w:hAnsi="Arial" w:cs="Arial"/>
          <w:sz w:val="24"/>
          <w:szCs w:val="24"/>
          <w:lang w:eastAsia="zh-CN"/>
        </w:rPr>
      </w:pPr>
    </w:p>
    <w:p w:rsidR="002C4BD7" w:rsidRPr="00382F10" w:rsidRDefault="002C4BD7" w:rsidP="002C4BD7">
      <w:pPr>
        <w:spacing w:after="0" w:line="480" w:lineRule="auto"/>
        <w:contextualSpacing/>
        <w:rPr>
          <w:rFonts w:ascii="Arial" w:hAnsi="Arial" w:cs="Arial"/>
          <w:sz w:val="24"/>
          <w:szCs w:val="24"/>
        </w:rPr>
      </w:pPr>
      <w:r w:rsidRPr="00DB4CFB">
        <w:rPr>
          <w:rFonts w:ascii="Arial" w:hAnsi="Arial" w:cs="Arial"/>
          <w:sz w:val="24"/>
          <w:szCs w:val="24"/>
        </w:rPr>
        <w:t xml:space="preserve">Donaldson, J. and Gray, M., 2012. Systematic review of grading practice: is there evidence of grade inflation? </w:t>
      </w:r>
      <w:r w:rsidRPr="00382F10">
        <w:rPr>
          <w:rFonts w:ascii="Arial" w:hAnsi="Arial" w:cs="Arial"/>
          <w:sz w:val="24"/>
          <w:szCs w:val="24"/>
        </w:rPr>
        <w:t>Nurse Education in Practice</w:t>
      </w:r>
      <w:r w:rsidRPr="00DB4CFB">
        <w:rPr>
          <w:rFonts w:ascii="Arial" w:hAnsi="Arial" w:cs="Arial"/>
          <w:sz w:val="24"/>
          <w:szCs w:val="24"/>
        </w:rPr>
        <w:t xml:space="preserve"> 12(2), 101-114. </w:t>
      </w:r>
      <w:hyperlink r:id="rId23" w:history="1">
        <w:r w:rsidRPr="00DB4CFB">
          <w:rPr>
            <w:rFonts w:ascii="Arial" w:hAnsi="Arial" w:cs="Arial"/>
            <w:color w:val="0563C1" w:themeColor="hyperlink"/>
            <w:sz w:val="24"/>
            <w:szCs w:val="24"/>
            <w:u w:val="single"/>
          </w:rPr>
          <w:t>https://www.nurseeducationinpractice.com/article/S1471-5953(11)00156-9/abstract?code=ynepr-site</w:t>
        </w:r>
      </w:hyperlink>
      <w:r w:rsidR="00382F10">
        <w:rPr>
          <w:rFonts w:ascii="Arial" w:hAnsi="Arial" w:cs="Arial"/>
          <w:color w:val="0563C1" w:themeColor="hyperlink"/>
          <w:sz w:val="24"/>
          <w:szCs w:val="24"/>
        </w:rPr>
        <w:t xml:space="preserve"> </w:t>
      </w:r>
      <w:r w:rsidR="00382F10" w:rsidRPr="00382F10">
        <w:rPr>
          <w:rFonts w:ascii="Arial" w:hAnsi="Arial" w:cs="Arial"/>
          <w:sz w:val="24"/>
          <w:szCs w:val="24"/>
        </w:rPr>
        <w:t>(accessed 22/9/18)</w:t>
      </w:r>
    </w:p>
    <w:p w:rsidR="002C4BD7" w:rsidRPr="00DB4CFB" w:rsidRDefault="002C4BD7" w:rsidP="002C4BD7">
      <w:pPr>
        <w:spacing w:after="0" w:line="480" w:lineRule="auto"/>
        <w:rPr>
          <w:rFonts w:ascii="Arial" w:hAnsi="Arial" w:cs="Arial"/>
          <w:sz w:val="24"/>
          <w:szCs w:val="24"/>
        </w:rPr>
      </w:pPr>
    </w:p>
    <w:p w:rsidR="002C4BD7" w:rsidRDefault="002C4BD7" w:rsidP="002C4BD7">
      <w:pPr>
        <w:spacing w:after="0" w:line="480" w:lineRule="auto"/>
        <w:rPr>
          <w:rFonts w:ascii="Arial" w:hAnsi="Arial" w:cs="Arial"/>
          <w:noProof/>
          <w:sz w:val="24"/>
          <w:szCs w:val="24"/>
        </w:rPr>
      </w:pPr>
      <w:r w:rsidRPr="00DB4CFB">
        <w:rPr>
          <w:rFonts w:ascii="Arial" w:hAnsi="Arial" w:cs="Arial"/>
          <w:noProof/>
          <w:sz w:val="24"/>
          <w:szCs w:val="24"/>
        </w:rPr>
        <w:t>Doughty, R., Harris, T. and McLean, M., 2007. Tripartite assessment of learners during practice placements in Midwifery pre registration programmes</w:t>
      </w:r>
      <w:r w:rsidRPr="00DB4CFB">
        <w:rPr>
          <w:rFonts w:ascii="Arial" w:hAnsi="Arial" w:cs="Arial"/>
          <w:i/>
          <w:noProof/>
          <w:sz w:val="24"/>
          <w:szCs w:val="24"/>
        </w:rPr>
        <w:t xml:space="preserve">. </w:t>
      </w:r>
      <w:r w:rsidRPr="00382F10">
        <w:rPr>
          <w:rFonts w:ascii="Arial" w:hAnsi="Arial" w:cs="Arial"/>
          <w:noProof/>
          <w:sz w:val="24"/>
          <w:szCs w:val="24"/>
        </w:rPr>
        <w:t xml:space="preserve">Education and Training </w:t>
      </w:r>
      <w:r w:rsidRPr="00DB4CFB">
        <w:rPr>
          <w:rFonts w:ascii="Arial" w:hAnsi="Arial" w:cs="Arial"/>
          <w:noProof/>
          <w:sz w:val="24"/>
          <w:szCs w:val="24"/>
        </w:rPr>
        <w:t>49(3), 227-235</w:t>
      </w:r>
      <w:r w:rsidR="00382F10">
        <w:rPr>
          <w:rFonts w:ascii="Arial" w:hAnsi="Arial" w:cs="Arial"/>
          <w:noProof/>
          <w:sz w:val="24"/>
          <w:szCs w:val="24"/>
        </w:rPr>
        <w:t xml:space="preserve">. </w:t>
      </w:r>
      <w:hyperlink r:id="rId24" w:history="1">
        <w:r w:rsidR="00382F10" w:rsidRPr="00EC64F0">
          <w:rPr>
            <w:rStyle w:val="Hyperlink"/>
            <w:rFonts w:ascii="Arial" w:hAnsi="Arial" w:cs="Arial"/>
            <w:noProof/>
            <w:sz w:val="24"/>
            <w:szCs w:val="24"/>
          </w:rPr>
          <w:t>https://www.emeraldinsight.com/doi/abs/10.1108/00400910710749369</w:t>
        </w:r>
      </w:hyperlink>
      <w:r w:rsidR="00382F10">
        <w:rPr>
          <w:rFonts w:ascii="Arial" w:hAnsi="Arial" w:cs="Arial"/>
          <w:noProof/>
          <w:sz w:val="24"/>
          <w:szCs w:val="24"/>
        </w:rPr>
        <w:t xml:space="preserve"> (accessed 22/9/18)</w:t>
      </w:r>
    </w:p>
    <w:p w:rsidR="002C4BD7" w:rsidRDefault="002C4BD7" w:rsidP="002C4BD7">
      <w:pPr>
        <w:spacing w:after="0" w:line="480" w:lineRule="auto"/>
        <w:rPr>
          <w:rFonts w:ascii="Arial" w:hAnsi="Arial" w:cs="Arial"/>
          <w:sz w:val="24"/>
          <w:szCs w:val="24"/>
        </w:rPr>
      </w:pPr>
    </w:p>
    <w:p w:rsidR="002C4BD7" w:rsidRPr="00382F10" w:rsidRDefault="002C4BD7" w:rsidP="002C4BD7">
      <w:pPr>
        <w:spacing w:after="0" w:line="480" w:lineRule="auto"/>
        <w:rPr>
          <w:rFonts w:ascii="Arial" w:hAnsi="Arial" w:cs="Arial"/>
          <w:sz w:val="24"/>
          <w:szCs w:val="24"/>
        </w:rPr>
      </w:pPr>
      <w:r w:rsidRPr="00DB4CFB">
        <w:rPr>
          <w:rFonts w:ascii="Arial" w:hAnsi="Arial" w:cs="Arial"/>
          <w:sz w:val="24"/>
          <w:szCs w:val="24"/>
        </w:rPr>
        <w:t xml:space="preserve">European Parliament, Council of the European Union, 2005. </w:t>
      </w:r>
      <w:r w:rsidRPr="00382F10">
        <w:rPr>
          <w:rFonts w:ascii="Arial" w:hAnsi="Arial" w:cs="Arial"/>
          <w:color w:val="444444"/>
          <w:sz w:val="24"/>
          <w:szCs w:val="24"/>
        </w:rPr>
        <w:t xml:space="preserve">Directive 2005/36/EC of the European Parliament and of the Council, </w:t>
      </w:r>
      <w:r w:rsidRPr="00382F10">
        <w:rPr>
          <w:rFonts w:ascii="Arial" w:hAnsi="Arial" w:cs="Arial"/>
          <w:sz w:val="24"/>
          <w:szCs w:val="24"/>
        </w:rPr>
        <w:t>Section 6: Midwives.</w:t>
      </w:r>
      <w:r w:rsidRPr="00DB4CFB">
        <w:rPr>
          <w:rFonts w:ascii="Arial" w:hAnsi="Arial" w:cs="Arial"/>
          <w:sz w:val="24"/>
          <w:szCs w:val="24"/>
        </w:rPr>
        <w:t xml:space="preserve"> </w:t>
      </w:r>
      <w:hyperlink r:id="rId25" w:history="1">
        <w:r w:rsidRPr="00DB4CFB">
          <w:rPr>
            <w:rStyle w:val="Hyperlink"/>
            <w:rFonts w:ascii="Arial" w:hAnsi="Arial" w:cs="Arial"/>
            <w:sz w:val="24"/>
            <w:szCs w:val="24"/>
          </w:rPr>
          <w:t>http://eur-lex.europa.eu/legal-content/EN/TXT/?uri=celex:32005L0036</w:t>
        </w:r>
      </w:hyperlink>
      <w:r w:rsidRPr="00DB4CFB">
        <w:rPr>
          <w:rFonts w:ascii="Arial" w:hAnsi="Arial" w:cs="Arial"/>
          <w:sz w:val="24"/>
          <w:szCs w:val="24"/>
        </w:rPr>
        <w:t xml:space="preserve"> </w:t>
      </w:r>
      <w:r w:rsidR="00382F10">
        <w:rPr>
          <w:rFonts w:ascii="Arial" w:hAnsi="Arial" w:cs="Arial"/>
          <w:sz w:val="24"/>
          <w:szCs w:val="24"/>
        </w:rPr>
        <w:t>(accessed 22/9/18)</w:t>
      </w:r>
    </w:p>
    <w:p w:rsidR="00752C5D" w:rsidRDefault="00752C5D" w:rsidP="00752C5D">
      <w:pPr>
        <w:spacing w:after="0" w:line="480" w:lineRule="auto"/>
        <w:rPr>
          <w:rStyle w:val="Hyperlink"/>
          <w:rFonts w:ascii="Arial" w:eastAsia="Calibri" w:hAnsi="Arial" w:cs="Arial"/>
          <w:color w:val="auto"/>
          <w:sz w:val="24"/>
          <w:szCs w:val="24"/>
          <w:u w:val="none"/>
        </w:rPr>
      </w:pPr>
    </w:p>
    <w:p w:rsidR="00752C5D" w:rsidRPr="00382F10" w:rsidRDefault="00752C5D" w:rsidP="00752C5D">
      <w:pPr>
        <w:spacing w:after="0" w:line="480" w:lineRule="auto"/>
        <w:rPr>
          <w:rStyle w:val="Hyperlink"/>
          <w:rFonts w:ascii="Arial" w:eastAsia="Calibri" w:hAnsi="Arial" w:cs="Arial"/>
          <w:color w:val="auto"/>
          <w:sz w:val="24"/>
          <w:szCs w:val="24"/>
          <w:u w:val="none"/>
        </w:rPr>
      </w:pPr>
      <w:r w:rsidRPr="00E44DFD">
        <w:rPr>
          <w:rStyle w:val="Hyperlink"/>
          <w:rFonts w:ascii="Arial" w:eastAsia="Calibri" w:hAnsi="Arial" w:cs="Arial"/>
          <w:color w:val="auto"/>
          <w:sz w:val="24"/>
          <w:szCs w:val="24"/>
          <w:u w:val="none"/>
        </w:rPr>
        <w:lastRenderedPageBreak/>
        <w:t xml:space="preserve">Faber, </w:t>
      </w:r>
      <w:r>
        <w:rPr>
          <w:rStyle w:val="Hyperlink"/>
          <w:rFonts w:ascii="Arial" w:eastAsia="Calibri" w:hAnsi="Arial" w:cs="Arial"/>
          <w:color w:val="auto"/>
          <w:sz w:val="24"/>
          <w:szCs w:val="24"/>
          <w:u w:val="none"/>
        </w:rPr>
        <w:t xml:space="preserve">J. and Fonseca, L.M., 2014. How sample size influences research outcomes. Dental Press Journal of Orthodontics, 19 (4), 27-29. </w:t>
      </w:r>
      <w:hyperlink r:id="rId26" w:history="1">
        <w:r w:rsidRPr="00A91545">
          <w:rPr>
            <w:rStyle w:val="Hyperlink"/>
            <w:rFonts w:ascii="Arial" w:eastAsia="Calibri" w:hAnsi="Arial" w:cs="Arial"/>
            <w:sz w:val="24"/>
            <w:szCs w:val="24"/>
          </w:rPr>
          <w:t>https://www.ncbi.nlm.nih.gov/pmc/articles/PMC4296634/</w:t>
        </w:r>
      </w:hyperlink>
      <w:r w:rsidR="00382F10">
        <w:rPr>
          <w:rStyle w:val="Hyperlink"/>
          <w:rFonts w:ascii="Arial" w:eastAsia="Calibri" w:hAnsi="Arial" w:cs="Arial"/>
          <w:sz w:val="24"/>
          <w:szCs w:val="24"/>
          <w:u w:val="none"/>
        </w:rPr>
        <w:t xml:space="preserve"> </w:t>
      </w:r>
      <w:r w:rsidR="00382F10" w:rsidRPr="00382F10">
        <w:rPr>
          <w:rStyle w:val="Hyperlink"/>
          <w:rFonts w:ascii="Arial" w:eastAsia="Calibri" w:hAnsi="Arial" w:cs="Arial"/>
          <w:color w:val="auto"/>
          <w:sz w:val="24"/>
          <w:szCs w:val="24"/>
          <w:u w:val="none"/>
        </w:rPr>
        <w:t>(accessed 22/9/18)</w:t>
      </w:r>
    </w:p>
    <w:p w:rsidR="00752C5D" w:rsidRDefault="00752C5D" w:rsidP="002C4BD7">
      <w:pPr>
        <w:spacing w:after="0" w:line="480" w:lineRule="auto"/>
        <w:rPr>
          <w:rFonts w:ascii="Arial" w:hAnsi="Arial" w:cs="Arial"/>
          <w:sz w:val="24"/>
          <w:szCs w:val="24"/>
        </w:rPr>
      </w:pPr>
    </w:p>
    <w:p w:rsidR="002C4BD7" w:rsidRPr="00382F10" w:rsidRDefault="002C4BD7" w:rsidP="002C4BD7">
      <w:pPr>
        <w:spacing w:after="0" w:line="480" w:lineRule="auto"/>
        <w:rPr>
          <w:rStyle w:val="Hyperlink"/>
          <w:rFonts w:ascii="Arial" w:hAnsi="Arial" w:cs="Arial"/>
          <w:sz w:val="24"/>
          <w:szCs w:val="24"/>
          <w:u w:val="none"/>
        </w:rPr>
      </w:pPr>
      <w:r w:rsidRPr="00DB4CFB">
        <w:rPr>
          <w:rFonts w:ascii="Arial" w:hAnsi="Arial" w:cs="Arial"/>
          <w:sz w:val="24"/>
          <w:szCs w:val="24"/>
        </w:rPr>
        <w:t xml:space="preserve">Feinberg, J., 2014. </w:t>
      </w:r>
      <w:r w:rsidRPr="00382F10">
        <w:rPr>
          <w:rFonts w:ascii="Arial" w:hAnsi="Arial" w:cs="Arial"/>
          <w:sz w:val="24"/>
          <w:szCs w:val="24"/>
        </w:rPr>
        <w:t>Wordle</w:t>
      </w:r>
      <w:r w:rsidRPr="00382F10">
        <w:rPr>
          <w:rFonts w:ascii="Arial" w:hAnsi="Arial" w:cs="Arial"/>
          <w:sz w:val="24"/>
          <w:szCs w:val="24"/>
          <w:vertAlign w:val="superscript"/>
        </w:rPr>
        <w:t>TM</w:t>
      </w:r>
      <w:r w:rsidRPr="00382F10">
        <w:rPr>
          <w:rFonts w:ascii="Arial" w:hAnsi="Arial" w:cs="Arial"/>
          <w:sz w:val="24"/>
          <w:szCs w:val="24"/>
        </w:rPr>
        <w:t>.</w:t>
      </w:r>
      <w:r w:rsidRPr="00DB4CFB">
        <w:rPr>
          <w:rFonts w:ascii="Arial" w:hAnsi="Arial" w:cs="Arial"/>
          <w:sz w:val="24"/>
          <w:szCs w:val="24"/>
        </w:rPr>
        <w:t xml:space="preserve"> </w:t>
      </w:r>
      <w:hyperlink r:id="rId27" w:history="1">
        <w:r w:rsidRPr="00DB4CFB">
          <w:rPr>
            <w:rStyle w:val="Hyperlink"/>
            <w:rFonts w:ascii="Arial" w:hAnsi="Arial" w:cs="Arial"/>
            <w:sz w:val="24"/>
            <w:szCs w:val="24"/>
          </w:rPr>
          <w:t>http://www.wordle.net/create</w:t>
        </w:r>
      </w:hyperlink>
      <w:r w:rsidR="00382F10">
        <w:rPr>
          <w:rStyle w:val="Hyperlink"/>
          <w:rFonts w:ascii="Arial" w:hAnsi="Arial" w:cs="Arial"/>
          <w:sz w:val="24"/>
          <w:szCs w:val="24"/>
          <w:u w:val="none"/>
        </w:rPr>
        <w:t xml:space="preserve"> </w:t>
      </w:r>
      <w:r w:rsidR="00382F10" w:rsidRPr="00382F10">
        <w:rPr>
          <w:rStyle w:val="Hyperlink"/>
          <w:rFonts w:ascii="Arial" w:hAnsi="Arial" w:cs="Arial"/>
          <w:color w:val="auto"/>
          <w:sz w:val="24"/>
          <w:szCs w:val="24"/>
          <w:u w:val="none"/>
        </w:rPr>
        <w:t>(accessed 22/9/18)</w:t>
      </w:r>
    </w:p>
    <w:p w:rsidR="00752C5D" w:rsidRDefault="00752C5D" w:rsidP="00752C5D">
      <w:pPr>
        <w:spacing w:after="0" w:line="480" w:lineRule="auto"/>
        <w:rPr>
          <w:rFonts w:ascii="Arial" w:eastAsia="SimHei" w:hAnsi="Arial" w:cs="Arial"/>
          <w:sz w:val="24"/>
          <w:szCs w:val="24"/>
          <w:lang w:eastAsia="zh-CN"/>
        </w:rPr>
      </w:pPr>
    </w:p>
    <w:p w:rsidR="00752C5D" w:rsidRPr="00382F10" w:rsidRDefault="00752C5D" w:rsidP="00752C5D">
      <w:pPr>
        <w:spacing w:after="0" w:line="480" w:lineRule="auto"/>
        <w:rPr>
          <w:rFonts w:ascii="Arial" w:eastAsia="SimHei" w:hAnsi="Arial" w:cs="Arial"/>
          <w:sz w:val="24"/>
          <w:szCs w:val="24"/>
          <w:lang w:eastAsia="zh-CN"/>
        </w:rPr>
      </w:pPr>
      <w:r w:rsidRPr="00DB4CFB">
        <w:rPr>
          <w:rFonts w:ascii="Arial" w:eastAsia="SimHei" w:hAnsi="Arial" w:cs="Arial"/>
          <w:sz w:val="24"/>
          <w:szCs w:val="24"/>
          <w:lang w:eastAsia="zh-CN"/>
        </w:rPr>
        <w:t xml:space="preserve">Finley, R. and Finley, C., 1999. SurveyMonkey. </w:t>
      </w:r>
      <w:r w:rsidRPr="00382F10">
        <w:rPr>
          <w:rFonts w:ascii="Arial" w:eastAsia="SimHei" w:hAnsi="Arial" w:cs="Arial"/>
          <w:sz w:val="24"/>
          <w:szCs w:val="24"/>
          <w:lang w:eastAsia="zh-CN"/>
        </w:rPr>
        <w:t>SurveyMonkey.com</w:t>
      </w:r>
      <w:r w:rsidRPr="00DB4CFB">
        <w:rPr>
          <w:rFonts w:ascii="Arial" w:eastAsia="SimHei" w:hAnsi="Arial" w:cs="Arial"/>
          <w:sz w:val="24"/>
          <w:szCs w:val="24"/>
          <w:lang w:eastAsia="zh-CN"/>
        </w:rPr>
        <w:t xml:space="preserve"> </w:t>
      </w:r>
      <w:hyperlink r:id="rId28" w:history="1">
        <w:r w:rsidRPr="00DB4CFB">
          <w:rPr>
            <w:rStyle w:val="Hyperlink"/>
            <w:rFonts w:ascii="Arial" w:eastAsia="SimHei" w:hAnsi="Arial" w:cs="Arial"/>
            <w:sz w:val="24"/>
            <w:szCs w:val="24"/>
            <w:lang w:eastAsia="zh-CN"/>
          </w:rPr>
          <w:t>https://www.surveymonkey.co.uk/</w:t>
        </w:r>
      </w:hyperlink>
      <w:r w:rsidR="00382F10">
        <w:rPr>
          <w:rStyle w:val="Hyperlink"/>
          <w:rFonts w:ascii="Arial" w:eastAsia="SimHei" w:hAnsi="Arial" w:cs="Arial"/>
          <w:sz w:val="24"/>
          <w:szCs w:val="24"/>
          <w:u w:val="none"/>
          <w:lang w:eastAsia="zh-CN"/>
        </w:rPr>
        <w:t xml:space="preserve"> </w:t>
      </w:r>
      <w:r w:rsidR="00382F10" w:rsidRPr="00382F10">
        <w:rPr>
          <w:rStyle w:val="Hyperlink"/>
          <w:rFonts w:ascii="Arial" w:eastAsia="SimHei" w:hAnsi="Arial" w:cs="Arial"/>
          <w:color w:val="auto"/>
          <w:sz w:val="24"/>
          <w:szCs w:val="24"/>
          <w:u w:val="none"/>
          <w:lang w:eastAsia="zh-CN"/>
        </w:rPr>
        <w:t>(accessed 22/9/18)</w:t>
      </w:r>
    </w:p>
    <w:p w:rsidR="00752C5D" w:rsidRPr="00DB4CFB" w:rsidRDefault="00752C5D" w:rsidP="002C4BD7">
      <w:pPr>
        <w:spacing w:after="0" w:line="480" w:lineRule="auto"/>
        <w:rPr>
          <w:rFonts w:ascii="Arial" w:hAnsi="Arial" w:cs="Arial"/>
          <w:sz w:val="24"/>
          <w:szCs w:val="24"/>
        </w:rPr>
      </w:pPr>
    </w:p>
    <w:p w:rsidR="002C4BD7" w:rsidRPr="00382F10" w:rsidRDefault="002C4BD7" w:rsidP="002C4BD7">
      <w:pPr>
        <w:spacing w:after="0" w:line="480" w:lineRule="auto"/>
        <w:rPr>
          <w:rFonts w:ascii="Arial" w:hAnsi="Arial" w:cs="Arial"/>
          <w:color w:val="000000"/>
          <w:sz w:val="24"/>
          <w:szCs w:val="24"/>
        </w:rPr>
      </w:pPr>
      <w:r w:rsidRPr="00DB4CFB">
        <w:rPr>
          <w:rFonts w:ascii="Arial" w:hAnsi="Arial" w:cs="Arial"/>
          <w:sz w:val="24"/>
          <w:szCs w:val="24"/>
        </w:rPr>
        <w:t xml:space="preserve">Fisher, M., Proctor-Childs, T., Callaghan, L., Stone, A., Snell, K. and Craig, L., 2011. Assessment of Professional Practice: Perceptions and Principles, in: Wergers, C.E. (Ed), </w:t>
      </w:r>
      <w:r w:rsidRPr="00382F10">
        <w:rPr>
          <w:rFonts w:ascii="Arial" w:hAnsi="Arial" w:cs="Arial"/>
          <w:sz w:val="24"/>
          <w:szCs w:val="24"/>
        </w:rPr>
        <w:t>Nursing Students and their Concerns</w:t>
      </w:r>
      <w:r w:rsidR="00382F10">
        <w:rPr>
          <w:rFonts w:ascii="Arial" w:hAnsi="Arial" w:cs="Arial"/>
          <w:sz w:val="24"/>
          <w:szCs w:val="24"/>
        </w:rPr>
        <w:t xml:space="preserve">. </w:t>
      </w:r>
      <w:r w:rsidRPr="00DB4CFB">
        <w:rPr>
          <w:rFonts w:ascii="Arial" w:hAnsi="Arial" w:cs="Arial"/>
          <w:sz w:val="24"/>
          <w:szCs w:val="24"/>
        </w:rPr>
        <w:t>No</w:t>
      </w:r>
      <w:r w:rsidR="00382F10">
        <w:rPr>
          <w:rFonts w:ascii="Arial" w:hAnsi="Arial" w:cs="Arial"/>
          <w:sz w:val="24"/>
          <w:szCs w:val="24"/>
        </w:rPr>
        <w:t>va Science Publishers, New York, pp.1-36.</w:t>
      </w:r>
      <w:r w:rsidRPr="00DB4CFB">
        <w:rPr>
          <w:rFonts w:ascii="Arial" w:hAnsi="Arial" w:cs="Arial"/>
          <w:sz w:val="24"/>
          <w:szCs w:val="24"/>
        </w:rPr>
        <w:t xml:space="preserve"> </w:t>
      </w:r>
      <w:hyperlink r:id="rId29" w:history="1">
        <w:r w:rsidRPr="00DB4CFB">
          <w:rPr>
            <w:rStyle w:val="Hyperlink"/>
            <w:rFonts w:ascii="Arial" w:hAnsi="Arial" w:cs="Arial"/>
            <w:sz w:val="24"/>
            <w:szCs w:val="24"/>
          </w:rPr>
          <w:t>https://www.novapublishers.com/catalog/product_info.php?products_id=22965</w:t>
        </w:r>
      </w:hyperlink>
      <w:r w:rsidR="00382F10">
        <w:rPr>
          <w:rStyle w:val="Hyperlink"/>
          <w:rFonts w:ascii="Arial" w:hAnsi="Arial" w:cs="Arial"/>
          <w:sz w:val="24"/>
          <w:szCs w:val="24"/>
          <w:u w:val="none"/>
        </w:rPr>
        <w:t xml:space="preserve"> </w:t>
      </w:r>
      <w:r w:rsidR="00382F10" w:rsidRPr="00382F10">
        <w:rPr>
          <w:rStyle w:val="Hyperlink"/>
          <w:rFonts w:ascii="Arial" w:hAnsi="Arial" w:cs="Arial"/>
          <w:color w:val="auto"/>
          <w:sz w:val="24"/>
          <w:szCs w:val="24"/>
          <w:u w:val="none"/>
        </w:rPr>
        <w:t>(accessed 22/9/18)</w:t>
      </w:r>
    </w:p>
    <w:p w:rsidR="002C4BD7" w:rsidRPr="00DB4CFB" w:rsidRDefault="002C4BD7" w:rsidP="002C4BD7">
      <w:pPr>
        <w:spacing w:after="0" w:line="480" w:lineRule="auto"/>
        <w:rPr>
          <w:rStyle w:val="Hyperlink"/>
          <w:rFonts w:ascii="Arial" w:hAnsi="Arial" w:cs="Arial"/>
          <w:bCs/>
          <w:sz w:val="24"/>
          <w:szCs w:val="24"/>
        </w:rPr>
      </w:pPr>
    </w:p>
    <w:p w:rsidR="002C4BD7" w:rsidRPr="00DB4CFB" w:rsidRDefault="002C4BD7" w:rsidP="002C4BD7">
      <w:pPr>
        <w:spacing w:after="0" w:line="480" w:lineRule="auto"/>
        <w:rPr>
          <w:rFonts w:ascii="Arial" w:eastAsia="Calibri" w:hAnsi="Arial" w:cs="Arial"/>
          <w:noProof/>
          <w:sz w:val="24"/>
          <w:szCs w:val="24"/>
        </w:rPr>
      </w:pPr>
      <w:r w:rsidRPr="00DB4CFB">
        <w:rPr>
          <w:rFonts w:ascii="Arial" w:eastAsia="Calibri" w:hAnsi="Arial" w:cs="Arial"/>
          <w:sz w:val="24"/>
          <w:szCs w:val="24"/>
        </w:rPr>
        <w:t>Gillman, L., 2014. Grading clinical practice in Midwifery, the opportunities and challenges</w:t>
      </w:r>
      <w:r w:rsidRPr="00DB4CFB">
        <w:rPr>
          <w:rFonts w:ascii="Arial" w:eastAsia="Calibri" w:hAnsi="Arial" w:cs="Arial"/>
          <w:i/>
          <w:sz w:val="24"/>
          <w:szCs w:val="24"/>
        </w:rPr>
        <w:t xml:space="preserve">. </w:t>
      </w:r>
      <w:r w:rsidRPr="00382F10">
        <w:rPr>
          <w:rFonts w:ascii="Arial" w:eastAsia="Calibri" w:hAnsi="Arial" w:cs="Arial"/>
          <w:sz w:val="24"/>
          <w:szCs w:val="24"/>
        </w:rPr>
        <w:t>Maternity, Mother and Baby: Caring through the Science and Art of Midwifery Conference,</w:t>
      </w:r>
      <w:r w:rsidRPr="00DB4CFB">
        <w:rPr>
          <w:rFonts w:ascii="Arial" w:eastAsia="Calibri" w:hAnsi="Arial" w:cs="Arial"/>
          <w:sz w:val="24"/>
          <w:szCs w:val="24"/>
        </w:rPr>
        <w:t xml:space="preserve"> London.</w:t>
      </w:r>
    </w:p>
    <w:p w:rsidR="002C4BD7" w:rsidRPr="00DB4CFB" w:rsidRDefault="002C4BD7" w:rsidP="002C4BD7">
      <w:pPr>
        <w:spacing w:after="0" w:line="480" w:lineRule="auto"/>
        <w:rPr>
          <w:rFonts w:ascii="Arial" w:hAnsi="Arial" w:cs="Arial"/>
          <w:color w:val="000000"/>
          <w:sz w:val="24"/>
          <w:szCs w:val="24"/>
        </w:rPr>
      </w:pPr>
    </w:p>
    <w:p w:rsidR="002C4BD7" w:rsidRPr="00DB4CFB" w:rsidRDefault="002C4BD7" w:rsidP="002C4BD7">
      <w:pPr>
        <w:spacing w:after="0" w:line="480" w:lineRule="auto"/>
        <w:rPr>
          <w:rFonts w:ascii="Arial" w:hAnsi="Arial" w:cs="Arial"/>
          <w:color w:val="000000"/>
          <w:sz w:val="24"/>
          <w:szCs w:val="24"/>
        </w:rPr>
      </w:pPr>
      <w:r w:rsidRPr="00DB4CFB">
        <w:rPr>
          <w:rFonts w:ascii="Arial" w:hAnsi="Arial" w:cs="Arial"/>
          <w:noProof/>
          <w:sz w:val="24"/>
          <w:szCs w:val="24"/>
        </w:rPr>
        <w:t xml:space="preserve">Gray, M. A. and Donaldson, J., 2009. </w:t>
      </w:r>
      <w:r w:rsidRPr="00382F10">
        <w:rPr>
          <w:rFonts w:ascii="Arial" w:hAnsi="Arial" w:cs="Arial"/>
          <w:noProof/>
          <w:sz w:val="24"/>
          <w:szCs w:val="24"/>
        </w:rPr>
        <w:t xml:space="preserve">Exploring issues in the use of grading in practice; literature review. </w:t>
      </w:r>
      <w:r w:rsidRPr="00DB4CFB">
        <w:rPr>
          <w:rFonts w:ascii="Arial" w:hAnsi="Arial" w:cs="Arial"/>
          <w:noProof/>
          <w:sz w:val="24"/>
          <w:szCs w:val="24"/>
        </w:rPr>
        <w:t>Edinburgh Napier University, Edinburgh.</w:t>
      </w:r>
    </w:p>
    <w:p w:rsidR="00752C5D" w:rsidRDefault="00752C5D" w:rsidP="00752C5D">
      <w:pPr>
        <w:spacing w:after="0" w:line="480" w:lineRule="auto"/>
        <w:rPr>
          <w:rFonts w:ascii="Arial" w:eastAsia="Calibri" w:hAnsi="Arial" w:cs="Arial"/>
          <w:sz w:val="24"/>
          <w:szCs w:val="24"/>
        </w:rPr>
      </w:pPr>
    </w:p>
    <w:p w:rsidR="00382F10" w:rsidRDefault="00752C5D" w:rsidP="00382F10">
      <w:pPr>
        <w:spacing w:after="0" w:line="480" w:lineRule="auto"/>
        <w:rPr>
          <w:rFonts w:ascii="Arial" w:eastAsia="Calibri" w:hAnsi="Arial" w:cs="Arial"/>
          <w:sz w:val="24"/>
          <w:szCs w:val="24"/>
        </w:rPr>
      </w:pPr>
      <w:r w:rsidRPr="00355C95">
        <w:rPr>
          <w:rFonts w:ascii="Arial" w:eastAsia="Calibri" w:hAnsi="Arial" w:cs="Arial"/>
          <w:sz w:val="24"/>
          <w:szCs w:val="24"/>
        </w:rPr>
        <w:t xml:space="preserve">Green, K.C., Armstrong, J.S. and Graefe, A., 2007. </w:t>
      </w:r>
      <w:r w:rsidRPr="00382F10">
        <w:rPr>
          <w:rFonts w:ascii="Arial" w:eastAsia="Calibri" w:hAnsi="Arial" w:cs="Arial"/>
          <w:sz w:val="24"/>
          <w:szCs w:val="24"/>
        </w:rPr>
        <w:t xml:space="preserve">Methods to Elicit Forecasts from Groups: Delphi and Prediction Markets Compared. </w:t>
      </w:r>
      <w:r w:rsidRPr="00355C95">
        <w:rPr>
          <w:rFonts w:ascii="Arial" w:eastAsia="Calibri" w:hAnsi="Arial" w:cs="Arial"/>
          <w:sz w:val="24"/>
          <w:szCs w:val="24"/>
        </w:rPr>
        <w:t xml:space="preserve">Munich Personal RePEc Archive. </w:t>
      </w:r>
      <w:hyperlink r:id="rId30" w:history="1">
        <w:r w:rsidR="00382F10" w:rsidRPr="00EC64F0">
          <w:rPr>
            <w:rStyle w:val="Hyperlink"/>
            <w:rFonts w:ascii="Arial" w:eastAsia="Calibri" w:hAnsi="Arial" w:cs="Arial"/>
            <w:sz w:val="24"/>
            <w:szCs w:val="24"/>
          </w:rPr>
          <w:t>https://repository.upenn.edu/cgi/viewcontent.cgi?article=1168&amp;context=marketing_papers</w:t>
        </w:r>
      </w:hyperlink>
      <w:r w:rsidR="00382F10">
        <w:rPr>
          <w:rFonts w:ascii="Arial" w:eastAsia="Calibri" w:hAnsi="Arial" w:cs="Arial"/>
          <w:sz w:val="24"/>
          <w:szCs w:val="24"/>
        </w:rPr>
        <w:t xml:space="preserve"> (accessed 22/9/18)</w:t>
      </w:r>
    </w:p>
    <w:p w:rsidR="00752C5D" w:rsidRDefault="00752C5D" w:rsidP="002C4BD7">
      <w:pPr>
        <w:spacing w:after="0" w:line="480" w:lineRule="auto"/>
        <w:rPr>
          <w:rFonts w:ascii="Arial" w:hAnsi="Arial" w:cs="Arial"/>
          <w:sz w:val="24"/>
          <w:szCs w:val="24"/>
        </w:rPr>
      </w:pPr>
    </w:p>
    <w:p w:rsidR="00605557" w:rsidRPr="00F5485D" w:rsidRDefault="00605557" w:rsidP="00605557">
      <w:pPr>
        <w:spacing w:after="0" w:line="480" w:lineRule="auto"/>
        <w:rPr>
          <w:rStyle w:val="Hyperlink"/>
          <w:rFonts w:ascii="Arial" w:hAnsi="Arial" w:cs="Arial"/>
          <w:sz w:val="24"/>
          <w:szCs w:val="24"/>
          <w:u w:val="none"/>
        </w:rPr>
      </w:pPr>
      <w:r w:rsidRPr="00774D5A">
        <w:rPr>
          <w:rFonts w:ascii="Arial" w:hAnsi="Arial" w:cs="Arial"/>
          <w:sz w:val="24"/>
          <w:szCs w:val="24"/>
        </w:rPr>
        <w:t xml:space="preserve">Health Research Authority, 2018. </w:t>
      </w:r>
      <w:r w:rsidRPr="00F5485D">
        <w:rPr>
          <w:rFonts w:ascii="Arial" w:hAnsi="Arial" w:cs="Arial"/>
          <w:sz w:val="24"/>
          <w:szCs w:val="24"/>
        </w:rPr>
        <w:t xml:space="preserve">Integrated Research Application System. </w:t>
      </w:r>
      <w:r w:rsidRPr="00774D5A">
        <w:rPr>
          <w:rFonts w:ascii="Arial" w:hAnsi="Arial" w:cs="Arial"/>
          <w:sz w:val="24"/>
          <w:szCs w:val="24"/>
        </w:rPr>
        <w:t xml:space="preserve">[Online], Available: </w:t>
      </w:r>
      <w:hyperlink r:id="rId31" w:history="1">
        <w:r w:rsidRPr="00774D5A">
          <w:rPr>
            <w:rStyle w:val="Hyperlink"/>
            <w:rFonts w:ascii="Arial" w:hAnsi="Arial" w:cs="Arial"/>
            <w:sz w:val="24"/>
            <w:szCs w:val="24"/>
          </w:rPr>
          <w:t>https://www.myresearchproject.org.uk/</w:t>
        </w:r>
      </w:hyperlink>
      <w:r w:rsidR="00F5485D">
        <w:rPr>
          <w:rStyle w:val="Hyperlink"/>
          <w:rFonts w:ascii="Arial" w:hAnsi="Arial" w:cs="Arial"/>
          <w:sz w:val="24"/>
          <w:szCs w:val="24"/>
          <w:u w:val="none"/>
        </w:rPr>
        <w:t xml:space="preserve"> </w:t>
      </w:r>
      <w:r w:rsidR="00F5485D" w:rsidRPr="00F5485D">
        <w:rPr>
          <w:rStyle w:val="Hyperlink"/>
          <w:rFonts w:ascii="Arial" w:hAnsi="Arial" w:cs="Arial"/>
          <w:color w:val="auto"/>
          <w:sz w:val="24"/>
          <w:szCs w:val="24"/>
          <w:u w:val="none"/>
        </w:rPr>
        <w:t>(accessed 22/9/18)</w:t>
      </w:r>
    </w:p>
    <w:p w:rsidR="00605557" w:rsidRPr="00DB4CFB" w:rsidRDefault="00605557" w:rsidP="002C4BD7">
      <w:pPr>
        <w:spacing w:after="0" w:line="480" w:lineRule="auto"/>
        <w:rPr>
          <w:rFonts w:ascii="Arial" w:hAnsi="Arial" w:cs="Arial"/>
          <w:sz w:val="24"/>
          <w:szCs w:val="24"/>
        </w:rPr>
      </w:pPr>
    </w:p>
    <w:p w:rsidR="002C4BD7" w:rsidRPr="00F5485D" w:rsidRDefault="002C4BD7" w:rsidP="002C4BD7">
      <w:pPr>
        <w:autoSpaceDE w:val="0"/>
        <w:autoSpaceDN w:val="0"/>
        <w:adjustRightInd w:val="0"/>
        <w:spacing w:after="0" w:line="480" w:lineRule="auto"/>
        <w:contextualSpacing/>
        <w:rPr>
          <w:rFonts w:ascii="Arial" w:hAnsi="Arial" w:cs="Arial"/>
          <w:sz w:val="24"/>
          <w:szCs w:val="24"/>
        </w:rPr>
      </w:pPr>
      <w:r w:rsidRPr="00DB4CFB">
        <w:rPr>
          <w:rFonts w:ascii="Arial" w:hAnsi="Arial" w:cs="Arial"/>
          <w:noProof/>
          <w:sz w:val="24"/>
          <w:szCs w:val="24"/>
        </w:rPr>
        <w:t xml:space="preserve">Heaslip, V. and Scammell, J.M.E., 2012. Failing underperforming students: The role of grading in practice assessment.  </w:t>
      </w:r>
      <w:r w:rsidRPr="00F5485D">
        <w:rPr>
          <w:rFonts w:ascii="Arial" w:hAnsi="Arial" w:cs="Arial"/>
          <w:noProof/>
          <w:sz w:val="24"/>
          <w:szCs w:val="24"/>
        </w:rPr>
        <w:t>Nurse Education in Practice</w:t>
      </w:r>
      <w:r w:rsidRPr="00DB4CFB">
        <w:rPr>
          <w:rFonts w:ascii="Arial" w:hAnsi="Arial" w:cs="Arial"/>
          <w:noProof/>
          <w:sz w:val="24"/>
          <w:szCs w:val="24"/>
        </w:rPr>
        <w:t xml:space="preserve"> 12(2), 95-100. </w:t>
      </w:r>
      <w:hyperlink r:id="rId32" w:history="1">
        <w:r w:rsidRPr="00DB4CFB">
          <w:rPr>
            <w:rFonts w:ascii="Arial" w:hAnsi="Arial" w:cs="Arial"/>
            <w:noProof/>
            <w:color w:val="0563C1" w:themeColor="hyperlink"/>
            <w:sz w:val="24"/>
            <w:szCs w:val="24"/>
            <w:u w:val="single"/>
          </w:rPr>
          <w:t>https://www.nurseeducationinpractice.com/article/S1471-5953(11)00144-2/abstract</w:t>
        </w:r>
      </w:hyperlink>
      <w:r w:rsidR="00F5485D">
        <w:rPr>
          <w:rFonts w:ascii="Arial" w:hAnsi="Arial" w:cs="Arial"/>
          <w:noProof/>
          <w:color w:val="0563C1" w:themeColor="hyperlink"/>
          <w:sz w:val="24"/>
          <w:szCs w:val="24"/>
        </w:rPr>
        <w:t xml:space="preserve"> </w:t>
      </w:r>
      <w:r w:rsidR="00F5485D" w:rsidRPr="00F5485D">
        <w:rPr>
          <w:rFonts w:ascii="Arial" w:hAnsi="Arial" w:cs="Arial"/>
          <w:noProof/>
          <w:sz w:val="24"/>
          <w:szCs w:val="24"/>
        </w:rPr>
        <w:t>(accessed 22/9/18)</w:t>
      </w:r>
    </w:p>
    <w:p w:rsidR="002C4BD7" w:rsidRDefault="002C4BD7" w:rsidP="002C4BD7">
      <w:pPr>
        <w:spacing w:after="0" w:line="480" w:lineRule="auto"/>
        <w:rPr>
          <w:rFonts w:ascii="Arial" w:hAnsi="Arial" w:cs="Arial"/>
          <w:sz w:val="24"/>
          <w:szCs w:val="24"/>
        </w:rPr>
      </w:pPr>
    </w:p>
    <w:p w:rsidR="002C4BD7" w:rsidRDefault="002C4BD7" w:rsidP="002C4BD7">
      <w:pPr>
        <w:spacing w:after="0" w:line="480" w:lineRule="auto"/>
        <w:rPr>
          <w:rFonts w:ascii="Arial" w:hAnsi="Arial" w:cs="Arial"/>
          <w:sz w:val="24"/>
          <w:szCs w:val="24"/>
        </w:rPr>
      </w:pPr>
      <w:r w:rsidRPr="00DB4CFB">
        <w:rPr>
          <w:rFonts w:ascii="Arial" w:hAnsi="Arial" w:cs="Arial"/>
          <w:sz w:val="24"/>
          <w:szCs w:val="24"/>
        </w:rPr>
        <w:t xml:space="preserve">International Confederation of Midwives, 2013. </w:t>
      </w:r>
      <w:r w:rsidRPr="00F5485D">
        <w:rPr>
          <w:rFonts w:ascii="Arial" w:hAnsi="Arial" w:cs="Arial"/>
          <w:sz w:val="24"/>
          <w:szCs w:val="24"/>
        </w:rPr>
        <w:t xml:space="preserve">Global Standards for Midwifery Education (2010) Amended 2013. </w:t>
      </w:r>
      <w:hyperlink r:id="rId33" w:history="1">
        <w:r w:rsidR="00F5485D" w:rsidRPr="00EC64F0">
          <w:rPr>
            <w:rStyle w:val="Hyperlink"/>
            <w:rFonts w:ascii="Arial" w:hAnsi="Arial" w:cs="Arial"/>
            <w:sz w:val="24"/>
            <w:szCs w:val="24"/>
          </w:rPr>
          <w:t>https://internationalmidwives.org/assets/uploads/documents/CoreDocuments/ICM%20Standards%20Guidelines_ammended2013.pdf</w:t>
        </w:r>
      </w:hyperlink>
      <w:r w:rsidR="00F5485D">
        <w:rPr>
          <w:rFonts w:ascii="Arial" w:hAnsi="Arial" w:cs="Arial"/>
          <w:sz w:val="24"/>
          <w:szCs w:val="24"/>
        </w:rPr>
        <w:t xml:space="preserve"> (accessed 22/9/18)</w:t>
      </w:r>
    </w:p>
    <w:p w:rsidR="002C4BD7" w:rsidRDefault="002C4BD7" w:rsidP="002C4BD7">
      <w:pPr>
        <w:spacing w:after="0" w:line="480" w:lineRule="auto"/>
        <w:rPr>
          <w:rFonts w:ascii="Arial" w:hAnsi="Arial" w:cs="Arial"/>
          <w:sz w:val="24"/>
          <w:szCs w:val="24"/>
        </w:rPr>
      </w:pPr>
    </w:p>
    <w:p w:rsidR="002C4BD7" w:rsidRPr="00DB4CFB" w:rsidRDefault="002C4BD7" w:rsidP="002C4BD7">
      <w:pPr>
        <w:spacing w:after="0" w:line="480" w:lineRule="auto"/>
        <w:rPr>
          <w:rFonts w:ascii="Arial" w:hAnsi="Arial" w:cs="Arial"/>
          <w:sz w:val="24"/>
          <w:szCs w:val="24"/>
        </w:rPr>
      </w:pPr>
      <w:r w:rsidRPr="00DB4CFB">
        <w:rPr>
          <w:rFonts w:ascii="Arial" w:hAnsi="Arial" w:cs="Arial"/>
          <w:sz w:val="24"/>
          <w:szCs w:val="24"/>
        </w:rPr>
        <w:t xml:space="preserve">Johnson, M., 2008. Grading in competence based qualifications – is it desirable and how might it affect validity? </w:t>
      </w:r>
      <w:r w:rsidRPr="00F5485D">
        <w:rPr>
          <w:rFonts w:ascii="Arial" w:hAnsi="Arial" w:cs="Arial"/>
          <w:sz w:val="24"/>
          <w:szCs w:val="24"/>
        </w:rPr>
        <w:t>Journal of Further and Higher Education</w:t>
      </w:r>
      <w:r w:rsidRPr="00DB4CFB">
        <w:rPr>
          <w:rFonts w:ascii="Arial" w:hAnsi="Arial" w:cs="Arial"/>
          <w:sz w:val="24"/>
          <w:szCs w:val="24"/>
        </w:rPr>
        <w:t xml:space="preserve"> 32 (2), 173-184.</w:t>
      </w:r>
    </w:p>
    <w:p w:rsidR="002C4BD7" w:rsidRDefault="002C4BD7" w:rsidP="002C4BD7">
      <w:pPr>
        <w:spacing w:after="0" w:line="480" w:lineRule="auto"/>
        <w:contextualSpacing/>
        <w:rPr>
          <w:rFonts w:ascii="Arial" w:hAnsi="Arial" w:cs="Arial"/>
          <w:noProof/>
          <w:sz w:val="24"/>
          <w:szCs w:val="24"/>
        </w:rPr>
      </w:pPr>
    </w:p>
    <w:p w:rsidR="002C4BD7" w:rsidRPr="00DB4CFB" w:rsidRDefault="002C4BD7" w:rsidP="002C4BD7">
      <w:pPr>
        <w:spacing w:after="0" w:line="480" w:lineRule="auto"/>
        <w:contextualSpacing/>
        <w:rPr>
          <w:rFonts w:ascii="Arial" w:hAnsi="Arial" w:cs="Arial"/>
          <w:sz w:val="24"/>
          <w:szCs w:val="24"/>
        </w:rPr>
      </w:pPr>
      <w:r w:rsidRPr="00DB4CFB">
        <w:rPr>
          <w:rFonts w:ascii="Arial" w:hAnsi="Arial" w:cs="Arial"/>
          <w:noProof/>
          <w:sz w:val="24"/>
          <w:szCs w:val="24"/>
        </w:rPr>
        <w:t xml:space="preserve">Lauder, W., Watson, R., Holland, K., Roxburgh, M., Topping, K., 2008. The national evaluation of fitness for practice curricula: self-efficacy, support, and self-reported </w:t>
      </w:r>
      <w:r w:rsidRPr="00DB4CFB">
        <w:rPr>
          <w:rFonts w:ascii="Arial" w:eastAsia="Arial" w:hAnsi="Arial" w:cs="Arial"/>
          <w:sz w:val="24"/>
          <w:szCs w:val="24"/>
          <w:lang w:bidi="en-US"/>
        </w:rPr>
        <w:t xml:space="preserve">competence in pre-registration student nurses and midwives. </w:t>
      </w:r>
      <w:r w:rsidRPr="00F5485D">
        <w:rPr>
          <w:rFonts w:ascii="Arial" w:eastAsia="Arial" w:hAnsi="Arial" w:cs="Arial"/>
          <w:sz w:val="24"/>
          <w:szCs w:val="24"/>
          <w:lang w:bidi="en-US"/>
        </w:rPr>
        <w:t xml:space="preserve">Journal of Clinical Nursing </w:t>
      </w:r>
      <w:r w:rsidRPr="00DB4CFB">
        <w:rPr>
          <w:rFonts w:ascii="Arial" w:eastAsia="Arial" w:hAnsi="Arial" w:cs="Arial"/>
          <w:sz w:val="24"/>
          <w:szCs w:val="24"/>
          <w:lang w:bidi="en-US"/>
        </w:rPr>
        <w:t xml:space="preserve">17, 1858-1867. </w:t>
      </w:r>
      <w:hyperlink r:id="rId34" w:history="1">
        <w:r w:rsidRPr="00DB4CFB">
          <w:rPr>
            <w:rFonts w:ascii="Arial" w:eastAsia="Arial" w:hAnsi="Arial" w:cs="Arial"/>
            <w:color w:val="0563C1" w:themeColor="hyperlink"/>
            <w:sz w:val="24"/>
            <w:szCs w:val="24"/>
            <w:u w:val="single"/>
            <w:lang w:bidi="en-US"/>
          </w:rPr>
          <w:t>https://onlinelibrary.wiley.com/doi/full/10.1111/j.1365-2702.2007.02223.x</w:t>
        </w:r>
      </w:hyperlink>
    </w:p>
    <w:p w:rsidR="002C4BD7" w:rsidRDefault="002C4BD7" w:rsidP="002C4BD7">
      <w:pPr>
        <w:spacing w:after="0" w:line="480" w:lineRule="auto"/>
        <w:rPr>
          <w:rFonts w:ascii="Arial" w:hAnsi="Arial" w:cs="Arial"/>
          <w:noProof/>
          <w:sz w:val="24"/>
          <w:szCs w:val="24"/>
        </w:rPr>
      </w:pPr>
    </w:p>
    <w:p w:rsidR="00752C5D" w:rsidRPr="00F5485D" w:rsidRDefault="00752C5D" w:rsidP="00752C5D">
      <w:pPr>
        <w:spacing w:after="0" w:line="480" w:lineRule="auto"/>
        <w:rPr>
          <w:rStyle w:val="Hyperlink"/>
          <w:rFonts w:ascii="Arial" w:eastAsia="Calibri" w:hAnsi="Arial" w:cs="Arial"/>
          <w:color w:val="auto"/>
          <w:sz w:val="24"/>
          <w:szCs w:val="24"/>
          <w:u w:val="none"/>
        </w:rPr>
      </w:pPr>
      <w:r>
        <w:rPr>
          <w:rStyle w:val="Hyperlink"/>
          <w:rFonts w:ascii="Arial" w:eastAsia="Calibri" w:hAnsi="Arial" w:cs="Arial"/>
          <w:color w:val="auto"/>
          <w:sz w:val="24"/>
          <w:szCs w:val="24"/>
          <w:u w:val="none"/>
        </w:rPr>
        <w:lastRenderedPageBreak/>
        <w:t xml:space="preserve">LME-UK Executive, 2018. </w:t>
      </w:r>
      <w:r w:rsidRPr="00F5485D">
        <w:rPr>
          <w:rStyle w:val="Hyperlink"/>
          <w:rFonts w:ascii="Arial" w:eastAsia="Calibri" w:hAnsi="Arial" w:cs="Arial"/>
          <w:color w:val="auto"/>
          <w:sz w:val="24"/>
          <w:szCs w:val="24"/>
          <w:u w:val="none"/>
        </w:rPr>
        <w:t xml:space="preserve">National ‘Grading of Practice in Pre-registration Midwifery’ project. </w:t>
      </w:r>
      <w:r w:rsidRPr="00D02D8B">
        <w:rPr>
          <w:rStyle w:val="Hyperlink"/>
          <w:rFonts w:ascii="Arial" w:eastAsia="Calibri" w:hAnsi="Arial" w:cs="Arial"/>
          <w:color w:val="auto"/>
          <w:sz w:val="24"/>
          <w:szCs w:val="24"/>
          <w:u w:val="none"/>
        </w:rPr>
        <w:t xml:space="preserve">University of Plymouth. </w:t>
      </w:r>
      <w:hyperlink r:id="rId35" w:history="1">
        <w:r w:rsidRPr="00D02D8B">
          <w:rPr>
            <w:rStyle w:val="Hyperlink"/>
            <w:rFonts w:ascii="Arial" w:eastAsia="Times New Roman" w:hAnsi="Arial" w:cs="Arial"/>
            <w:sz w:val="24"/>
            <w:szCs w:val="24"/>
          </w:rPr>
          <w:t>https://www.plymouth.ac.uk/research/national-grading-of-practice-in-pre-registration-midwifery-project</w:t>
        </w:r>
      </w:hyperlink>
      <w:r w:rsidR="00F5485D">
        <w:rPr>
          <w:rStyle w:val="Hyperlink"/>
          <w:rFonts w:ascii="Arial" w:eastAsia="Times New Roman" w:hAnsi="Arial" w:cs="Arial"/>
          <w:sz w:val="24"/>
          <w:szCs w:val="24"/>
          <w:u w:val="none"/>
        </w:rPr>
        <w:t xml:space="preserve"> </w:t>
      </w:r>
      <w:r w:rsidR="00F5485D" w:rsidRPr="00F5485D">
        <w:rPr>
          <w:rStyle w:val="Hyperlink"/>
          <w:rFonts w:ascii="Arial" w:eastAsia="Times New Roman" w:hAnsi="Arial" w:cs="Arial"/>
          <w:color w:val="auto"/>
          <w:sz w:val="24"/>
          <w:szCs w:val="24"/>
          <w:u w:val="none"/>
        </w:rPr>
        <w:t>(accessed 22/9/18)</w:t>
      </w:r>
    </w:p>
    <w:p w:rsidR="00752C5D" w:rsidRPr="00DB4CFB" w:rsidRDefault="00752C5D" w:rsidP="002C4BD7">
      <w:pPr>
        <w:spacing w:after="0" w:line="480" w:lineRule="auto"/>
        <w:rPr>
          <w:rFonts w:ascii="Arial" w:hAnsi="Arial" w:cs="Arial"/>
          <w:noProof/>
          <w:sz w:val="24"/>
          <w:szCs w:val="24"/>
        </w:rPr>
      </w:pPr>
    </w:p>
    <w:p w:rsidR="002C4BD7" w:rsidRPr="00F5485D" w:rsidRDefault="002C4BD7" w:rsidP="002C4BD7">
      <w:pPr>
        <w:spacing w:after="0" w:line="480" w:lineRule="auto"/>
        <w:contextualSpacing/>
        <w:rPr>
          <w:rFonts w:ascii="Arial" w:hAnsi="Arial" w:cs="Arial"/>
          <w:sz w:val="24"/>
          <w:szCs w:val="24"/>
        </w:rPr>
      </w:pPr>
      <w:r w:rsidRPr="00DB4CFB">
        <w:rPr>
          <w:rFonts w:ascii="Arial" w:hAnsi="Arial" w:cs="Arial"/>
          <w:sz w:val="24"/>
          <w:szCs w:val="24"/>
        </w:rPr>
        <w:t xml:space="preserve">Mallik, M. and McGowan, B., 2007. Issues in practice based learning in Nursing in the United Kingdom and the Republic of Ireland: Results from a multi professional scoping exercise. </w:t>
      </w:r>
      <w:r w:rsidRPr="00F5485D">
        <w:rPr>
          <w:rFonts w:ascii="Arial" w:hAnsi="Arial" w:cs="Arial"/>
          <w:sz w:val="24"/>
          <w:szCs w:val="24"/>
        </w:rPr>
        <w:t>Nurse Education Today</w:t>
      </w:r>
      <w:r w:rsidRPr="00DB4CFB">
        <w:rPr>
          <w:rFonts w:ascii="Arial" w:hAnsi="Arial" w:cs="Arial"/>
          <w:sz w:val="24"/>
          <w:szCs w:val="24"/>
        </w:rPr>
        <w:t xml:space="preserve"> 27(1), 52-59. </w:t>
      </w:r>
      <w:hyperlink r:id="rId36" w:history="1">
        <w:r w:rsidRPr="00DB4CFB">
          <w:rPr>
            <w:rFonts w:ascii="Arial" w:hAnsi="Arial" w:cs="Arial"/>
            <w:color w:val="0563C1" w:themeColor="hyperlink"/>
            <w:sz w:val="24"/>
            <w:szCs w:val="24"/>
            <w:u w:val="single"/>
          </w:rPr>
          <w:t>https://www.nurseeducationtoday.com/article/S0260-6917(06)00033-5/abstract</w:t>
        </w:r>
      </w:hyperlink>
      <w:r w:rsidR="00F5485D">
        <w:rPr>
          <w:rFonts w:ascii="Arial" w:hAnsi="Arial" w:cs="Arial"/>
          <w:color w:val="0563C1" w:themeColor="hyperlink"/>
          <w:sz w:val="24"/>
          <w:szCs w:val="24"/>
        </w:rPr>
        <w:t xml:space="preserve"> </w:t>
      </w:r>
      <w:r w:rsidR="00F5485D" w:rsidRPr="00F5485D">
        <w:rPr>
          <w:rFonts w:ascii="Arial" w:hAnsi="Arial" w:cs="Arial"/>
          <w:sz w:val="24"/>
          <w:szCs w:val="24"/>
        </w:rPr>
        <w:t>(accessed 22/9/18)</w:t>
      </w:r>
    </w:p>
    <w:p w:rsidR="002C4BD7" w:rsidRPr="00DB4CFB" w:rsidRDefault="002C4BD7" w:rsidP="002C4BD7">
      <w:pPr>
        <w:spacing w:after="0" w:line="480" w:lineRule="auto"/>
        <w:rPr>
          <w:rFonts w:ascii="Arial" w:hAnsi="Arial" w:cs="Arial"/>
          <w:sz w:val="24"/>
          <w:szCs w:val="24"/>
        </w:rPr>
      </w:pPr>
    </w:p>
    <w:p w:rsidR="002C4BD7" w:rsidRPr="00DB4CFB" w:rsidRDefault="002C4BD7" w:rsidP="002C4BD7">
      <w:pPr>
        <w:spacing w:after="0" w:line="480" w:lineRule="auto"/>
        <w:rPr>
          <w:rFonts w:ascii="Arial" w:hAnsi="Arial" w:cs="Arial"/>
          <w:noProof/>
          <w:sz w:val="24"/>
          <w:szCs w:val="24"/>
        </w:rPr>
      </w:pPr>
      <w:r w:rsidRPr="00DB4CFB">
        <w:rPr>
          <w:rFonts w:ascii="Arial" w:hAnsi="Arial" w:cs="Arial"/>
          <w:noProof/>
          <w:sz w:val="24"/>
          <w:szCs w:val="24"/>
        </w:rPr>
        <w:t xml:space="preserve">Maxted, M., Grant, J., Wooding, K. and Norcini, J., 2004. </w:t>
      </w:r>
      <w:r w:rsidRPr="00F5485D">
        <w:rPr>
          <w:rFonts w:ascii="Arial" w:hAnsi="Arial" w:cs="Arial"/>
          <w:noProof/>
          <w:sz w:val="24"/>
          <w:szCs w:val="24"/>
        </w:rPr>
        <w:t>Assessing Healthcare Students in Practice Placements: An overview of the Literature.</w:t>
      </w:r>
      <w:r w:rsidRPr="00DB4CFB">
        <w:rPr>
          <w:rFonts w:ascii="Arial" w:hAnsi="Arial" w:cs="Arial"/>
          <w:i/>
          <w:noProof/>
          <w:sz w:val="24"/>
          <w:szCs w:val="24"/>
        </w:rPr>
        <w:t xml:space="preserve"> </w:t>
      </w:r>
      <w:r w:rsidRPr="00DB4CFB">
        <w:rPr>
          <w:rFonts w:ascii="Arial" w:hAnsi="Arial" w:cs="Arial"/>
          <w:noProof/>
          <w:sz w:val="24"/>
          <w:szCs w:val="24"/>
        </w:rPr>
        <w:t>Association for the Study of Medical Education (ASME), Edinburgh.</w:t>
      </w:r>
    </w:p>
    <w:p w:rsidR="002C4BD7" w:rsidRDefault="002C4BD7" w:rsidP="002C4BD7">
      <w:pPr>
        <w:spacing w:after="0" w:line="480" w:lineRule="auto"/>
        <w:rPr>
          <w:rFonts w:ascii="Arial" w:hAnsi="Arial" w:cs="Arial"/>
          <w:sz w:val="24"/>
          <w:szCs w:val="24"/>
        </w:rPr>
      </w:pPr>
    </w:p>
    <w:p w:rsidR="00752C5D" w:rsidRPr="00DB4CFB" w:rsidRDefault="00752C5D" w:rsidP="00752C5D">
      <w:pPr>
        <w:spacing w:after="0" w:line="480" w:lineRule="auto"/>
        <w:rPr>
          <w:rFonts w:ascii="Arial" w:hAnsi="Arial" w:cs="Arial"/>
          <w:bCs/>
          <w:sz w:val="24"/>
          <w:szCs w:val="24"/>
        </w:rPr>
      </w:pPr>
      <w:r w:rsidRPr="00DB4CFB">
        <w:rPr>
          <w:rFonts w:ascii="Arial" w:hAnsi="Arial" w:cs="Arial"/>
          <w:bCs/>
          <w:sz w:val="24"/>
          <w:szCs w:val="24"/>
        </w:rPr>
        <w:t>Midwifery Counc</w:t>
      </w:r>
      <w:r w:rsidR="00F5485D">
        <w:rPr>
          <w:rFonts w:ascii="Arial" w:hAnsi="Arial" w:cs="Arial"/>
          <w:bCs/>
          <w:sz w:val="24"/>
          <w:szCs w:val="24"/>
        </w:rPr>
        <w:t>il of New Zealand (accessed 2018</w:t>
      </w:r>
      <w:r w:rsidRPr="00DB4CFB">
        <w:rPr>
          <w:rFonts w:ascii="Arial" w:hAnsi="Arial" w:cs="Arial"/>
          <w:bCs/>
          <w:sz w:val="24"/>
          <w:szCs w:val="24"/>
        </w:rPr>
        <w:t xml:space="preserve">) </w:t>
      </w:r>
      <w:r w:rsidRPr="00F5485D">
        <w:rPr>
          <w:rFonts w:ascii="Arial" w:hAnsi="Arial" w:cs="Arial"/>
          <w:bCs/>
          <w:sz w:val="24"/>
          <w:szCs w:val="24"/>
        </w:rPr>
        <w:t xml:space="preserve">What does it take to qualify as a midwife. </w:t>
      </w:r>
      <w:hyperlink r:id="rId37" w:history="1">
        <w:r w:rsidRPr="00DB4CFB">
          <w:rPr>
            <w:rStyle w:val="Hyperlink"/>
            <w:rFonts w:ascii="Arial" w:hAnsi="Arial" w:cs="Arial"/>
            <w:sz w:val="24"/>
            <w:szCs w:val="24"/>
          </w:rPr>
          <w:t>https://www.Midwiferycouncil.health.nz/professional-standards/what-does-it-take-qualify-midwife</w:t>
        </w:r>
      </w:hyperlink>
      <w:r w:rsidRPr="00DB4CFB">
        <w:rPr>
          <w:rFonts w:ascii="Arial" w:hAnsi="Arial" w:cs="Arial"/>
          <w:bCs/>
          <w:sz w:val="24"/>
          <w:szCs w:val="24"/>
        </w:rPr>
        <w:t xml:space="preserve"> </w:t>
      </w:r>
      <w:r w:rsidR="00F5485D">
        <w:rPr>
          <w:rFonts w:ascii="Arial" w:hAnsi="Arial" w:cs="Arial"/>
          <w:bCs/>
          <w:sz w:val="24"/>
          <w:szCs w:val="24"/>
        </w:rPr>
        <w:t>(accessed 22/9/18)</w:t>
      </w:r>
    </w:p>
    <w:p w:rsidR="00752C5D" w:rsidRDefault="00752C5D" w:rsidP="002C4BD7">
      <w:pPr>
        <w:spacing w:after="0" w:line="480" w:lineRule="auto"/>
        <w:rPr>
          <w:rFonts w:ascii="Arial" w:hAnsi="Arial" w:cs="Arial"/>
          <w:sz w:val="24"/>
          <w:szCs w:val="24"/>
        </w:rPr>
      </w:pPr>
    </w:p>
    <w:p w:rsidR="002C4BD7" w:rsidRPr="00DB4CFB" w:rsidRDefault="002C4BD7" w:rsidP="002C4BD7">
      <w:pPr>
        <w:spacing w:after="0" w:line="480" w:lineRule="auto"/>
        <w:rPr>
          <w:rStyle w:val="Hyperlink"/>
          <w:rFonts w:ascii="Arial" w:hAnsi="Arial" w:cs="Arial"/>
          <w:sz w:val="24"/>
          <w:szCs w:val="24"/>
        </w:rPr>
      </w:pPr>
      <w:r w:rsidRPr="00DB4CFB">
        <w:rPr>
          <w:rFonts w:ascii="Arial" w:hAnsi="Arial" w:cs="Arial"/>
          <w:sz w:val="24"/>
          <w:szCs w:val="24"/>
        </w:rPr>
        <w:t>Nursing and Midwifery Council, 2008</w:t>
      </w:r>
      <w:r w:rsidRPr="00DB4CFB">
        <w:rPr>
          <w:rFonts w:ascii="Arial" w:hAnsi="Arial" w:cs="Arial"/>
          <w:i/>
          <w:iCs/>
          <w:sz w:val="24"/>
          <w:szCs w:val="24"/>
        </w:rPr>
        <w:t xml:space="preserve">. </w:t>
      </w:r>
      <w:r w:rsidRPr="00F5485D">
        <w:rPr>
          <w:rFonts w:ascii="Arial" w:hAnsi="Arial" w:cs="Arial"/>
          <w:iCs/>
          <w:sz w:val="24"/>
          <w:szCs w:val="24"/>
        </w:rPr>
        <w:t xml:space="preserve">Standards to support learning and assessment in practice. </w:t>
      </w:r>
      <w:r w:rsidRPr="00F5485D">
        <w:rPr>
          <w:rFonts w:ascii="Arial" w:hAnsi="Arial" w:cs="Arial"/>
          <w:sz w:val="24"/>
          <w:szCs w:val="24"/>
        </w:rPr>
        <w:t>N</w:t>
      </w:r>
      <w:r w:rsidRPr="00DB4CFB">
        <w:rPr>
          <w:rFonts w:ascii="Arial" w:hAnsi="Arial" w:cs="Arial"/>
          <w:sz w:val="24"/>
          <w:szCs w:val="24"/>
        </w:rPr>
        <w:t>ursing and Midwifery Council,</w:t>
      </w:r>
      <w:r w:rsidRPr="00DB4CFB">
        <w:rPr>
          <w:rFonts w:ascii="Arial" w:hAnsi="Arial" w:cs="Arial"/>
          <w:i/>
          <w:iCs/>
          <w:sz w:val="24"/>
          <w:szCs w:val="24"/>
        </w:rPr>
        <w:t xml:space="preserve"> </w:t>
      </w:r>
      <w:r w:rsidRPr="00DB4CFB">
        <w:rPr>
          <w:rFonts w:ascii="Arial" w:hAnsi="Arial" w:cs="Arial"/>
          <w:sz w:val="24"/>
          <w:szCs w:val="24"/>
        </w:rPr>
        <w:t xml:space="preserve">London. </w:t>
      </w:r>
      <w:hyperlink r:id="rId38" w:history="1">
        <w:r w:rsidRPr="00DB4CFB">
          <w:rPr>
            <w:rStyle w:val="Hyperlink"/>
            <w:rFonts w:ascii="Arial" w:hAnsi="Arial" w:cs="Arial"/>
            <w:sz w:val="24"/>
            <w:szCs w:val="24"/>
          </w:rPr>
          <w:t>http://www.nmc-uk.org/Documents/NMC-Publications/NMC-Standards-to-support-learning-assessment.pdf</w:t>
        </w:r>
      </w:hyperlink>
      <w:r w:rsidRPr="00DB4CFB">
        <w:rPr>
          <w:rStyle w:val="Hyperlink"/>
          <w:rFonts w:ascii="Arial" w:hAnsi="Arial" w:cs="Arial"/>
          <w:sz w:val="24"/>
          <w:szCs w:val="24"/>
        </w:rPr>
        <w:t xml:space="preserve"> </w:t>
      </w:r>
      <w:r w:rsidR="00F5485D" w:rsidRPr="00F5485D">
        <w:rPr>
          <w:rStyle w:val="Hyperlink"/>
          <w:rFonts w:ascii="Arial" w:hAnsi="Arial" w:cs="Arial"/>
          <w:color w:val="auto"/>
          <w:sz w:val="24"/>
          <w:szCs w:val="24"/>
          <w:u w:val="none"/>
        </w:rPr>
        <w:t>(accessed 22/9/18)</w:t>
      </w:r>
    </w:p>
    <w:p w:rsidR="002C4BD7" w:rsidRDefault="002C4BD7" w:rsidP="002C4BD7">
      <w:pPr>
        <w:spacing w:after="0" w:line="480" w:lineRule="auto"/>
        <w:rPr>
          <w:rFonts w:ascii="Arial" w:hAnsi="Arial" w:cs="Arial"/>
          <w:bCs/>
          <w:sz w:val="24"/>
          <w:szCs w:val="24"/>
        </w:rPr>
      </w:pPr>
    </w:p>
    <w:p w:rsidR="002C4BD7" w:rsidRPr="00F5485D" w:rsidRDefault="002C4BD7" w:rsidP="002C4BD7">
      <w:pPr>
        <w:spacing w:after="0" w:line="480" w:lineRule="auto"/>
        <w:rPr>
          <w:rFonts w:ascii="Arial" w:hAnsi="Arial" w:cs="Arial"/>
          <w:bCs/>
          <w:sz w:val="24"/>
          <w:szCs w:val="24"/>
        </w:rPr>
      </w:pPr>
      <w:r w:rsidRPr="00DB4CFB">
        <w:rPr>
          <w:rFonts w:ascii="Arial" w:hAnsi="Arial" w:cs="Arial"/>
          <w:bCs/>
          <w:sz w:val="24"/>
          <w:szCs w:val="24"/>
        </w:rPr>
        <w:t xml:space="preserve">Nursing and Midwifery Council, 2009. </w:t>
      </w:r>
      <w:r w:rsidRPr="00F5485D">
        <w:rPr>
          <w:rFonts w:ascii="Arial" w:hAnsi="Arial" w:cs="Arial"/>
          <w:sz w:val="24"/>
          <w:szCs w:val="24"/>
        </w:rPr>
        <w:t xml:space="preserve">Standards for pre-registration Midwifery education. </w:t>
      </w:r>
      <w:r w:rsidRPr="00DB4CFB">
        <w:rPr>
          <w:rFonts w:ascii="Arial" w:hAnsi="Arial" w:cs="Arial"/>
          <w:sz w:val="24"/>
          <w:szCs w:val="24"/>
        </w:rPr>
        <w:t xml:space="preserve">Nursing and Midwifery Council, London. </w:t>
      </w:r>
      <w:hyperlink r:id="rId39" w:history="1">
        <w:r w:rsidRPr="00DB4CFB">
          <w:rPr>
            <w:rStyle w:val="Hyperlink"/>
            <w:rFonts w:ascii="Arial" w:hAnsi="Arial" w:cs="Arial"/>
            <w:bCs/>
            <w:sz w:val="24"/>
            <w:szCs w:val="24"/>
          </w:rPr>
          <w:t>https://www.nmc.org.uk/globalassets/sitedocuments/standards/nmc-standards-for-preregistration-midwifery-education.pdf</w:t>
        </w:r>
      </w:hyperlink>
      <w:r w:rsidR="00F5485D">
        <w:rPr>
          <w:rStyle w:val="Hyperlink"/>
          <w:rFonts w:ascii="Arial" w:hAnsi="Arial" w:cs="Arial"/>
          <w:bCs/>
          <w:sz w:val="24"/>
          <w:szCs w:val="24"/>
          <w:u w:val="none"/>
        </w:rPr>
        <w:t xml:space="preserve"> </w:t>
      </w:r>
      <w:r w:rsidR="00F5485D" w:rsidRPr="00F5485D">
        <w:rPr>
          <w:rStyle w:val="Hyperlink"/>
          <w:rFonts w:ascii="Arial" w:hAnsi="Arial" w:cs="Arial"/>
          <w:bCs/>
          <w:color w:val="auto"/>
          <w:sz w:val="24"/>
          <w:szCs w:val="24"/>
          <w:u w:val="none"/>
        </w:rPr>
        <w:t>(accessed 22/9/18)</w:t>
      </w:r>
    </w:p>
    <w:p w:rsidR="002C4BD7" w:rsidRPr="00DB4CFB" w:rsidRDefault="002C4BD7" w:rsidP="002C4BD7">
      <w:pPr>
        <w:spacing w:after="0" w:line="480" w:lineRule="auto"/>
        <w:rPr>
          <w:rFonts w:ascii="Arial" w:hAnsi="Arial" w:cs="Arial"/>
          <w:bCs/>
          <w:sz w:val="24"/>
          <w:szCs w:val="24"/>
        </w:rPr>
      </w:pPr>
      <w:r w:rsidRPr="00DB4CFB">
        <w:rPr>
          <w:rFonts w:ascii="Arial" w:hAnsi="Arial" w:cs="Arial"/>
          <w:bCs/>
          <w:sz w:val="24"/>
          <w:szCs w:val="24"/>
        </w:rPr>
        <w:t xml:space="preserve">    </w:t>
      </w:r>
    </w:p>
    <w:p w:rsidR="002C4BD7" w:rsidRPr="00DB4CFB" w:rsidRDefault="002C4BD7" w:rsidP="002C4BD7">
      <w:pPr>
        <w:spacing w:after="0" w:line="480" w:lineRule="auto"/>
        <w:rPr>
          <w:rFonts w:ascii="Arial" w:hAnsi="Arial" w:cs="Arial"/>
          <w:sz w:val="24"/>
          <w:szCs w:val="24"/>
        </w:rPr>
      </w:pPr>
      <w:r w:rsidRPr="00DB4CFB">
        <w:rPr>
          <w:rFonts w:ascii="Arial" w:hAnsi="Arial" w:cs="Arial"/>
          <w:sz w:val="24"/>
          <w:szCs w:val="24"/>
        </w:rPr>
        <w:t xml:space="preserve">Nursing and Midwifery Council, 2010. </w:t>
      </w:r>
      <w:r w:rsidRPr="00F5485D">
        <w:rPr>
          <w:rFonts w:ascii="Arial" w:hAnsi="Arial" w:cs="Arial"/>
          <w:sz w:val="24"/>
          <w:szCs w:val="24"/>
        </w:rPr>
        <w:t>Standards for pre-registration Nursing education.</w:t>
      </w:r>
      <w:r w:rsidRPr="00DB4CFB">
        <w:rPr>
          <w:rFonts w:ascii="Arial" w:hAnsi="Arial" w:cs="Arial"/>
          <w:i/>
          <w:sz w:val="24"/>
          <w:szCs w:val="24"/>
        </w:rPr>
        <w:t xml:space="preserve"> </w:t>
      </w:r>
      <w:r w:rsidRPr="00DB4CFB">
        <w:rPr>
          <w:rFonts w:ascii="Arial" w:hAnsi="Arial" w:cs="Arial"/>
          <w:sz w:val="24"/>
          <w:szCs w:val="24"/>
        </w:rPr>
        <w:t xml:space="preserve">Nursing and Midwifery Council, London. </w:t>
      </w:r>
      <w:hyperlink r:id="rId40" w:history="1">
        <w:r w:rsidRPr="00DB4CFB">
          <w:rPr>
            <w:rStyle w:val="Hyperlink"/>
            <w:rFonts w:ascii="Arial" w:hAnsi="Arial" w:cs="Arial"/>
            <w:sz w:val="24"/>
            <w:szCs w:val="24"/>
          </w:rPr>
          <w:t>https://www.nmc.org.uk/standards/additional-standards/standards-for-pre-registration-Nursing-education/</w:t>
        </w:r>
      </w:hyperlink>
      <w:r w:rsidRPr="00DB4CFB">
        <w:rPr>
          <w:rFonts w:ascii="Arial" w:hAnsi="Arial" w:cs="Arial"/>
          <w:sz w:val="24"/>
          <w:szCs w:val="24"/>
        </w:rPr>
        <w:t xml:space="preserve"> </w:t>
      </w:r>
      <w:r w:rsidR="00F5485D">
        <w:rPr>
          <w:rFonts w:ascii="Arial" w:hAnsi="Arial" w:cs="Arial"/>
          <w:sz w:val="24"/>
          <w:szCs w:val="24"/>
        </w:rPr>
        <w:t>(accessed 22/9/18)</w:t>
      </w:r>
    </w:p>
    <w:p w:rsidR="002C4BD7" w:rsidRDefault="002C4BD7" w:rsidP="002C4BD7">
      <w:pPr>
        <w:spacing w:after="0" w:line="480" w:lineRule="auto"/>
        <w:rPr>
          <w:rFonts w:ascii="Arial" w:hAnsi="Arial" w:cs="Arial"/>
          <w:bCs/>
          <w:sz w:val="24"/>
          <w:szCs w:val="24"/>
        </w:rPr>
      </w:pPr>
    </w:p>
    <w:p w:rsidR="002C4BD7" w:rsidRPr="00F5485D" w:rsidRDefault="002C4BD7" w:rsidP="002C4BD7">
      <w:pPr>
        <w:spacing w:after="0" w:line="480" w:lineRule="auto"/>
        <w:rPr>
          <w:rStyle w:val="Hyperlink"/>
          <w:rFonts w:ascii="Arial" w:hAnsi="Arial" w:cs="Arial"/>
          <w:bCs/>
          <w:color w:val="auto"/>
          <w:sz w:val="24"/>
          <w:szCs w:val="24"/>
          <w:u w:val="none"/>
        </w:rPr>
      </w:pPr>
      <w:r w:rsidRPr="00DB4CFB">
        <w:rPr>
          <w:rFonts w:ascii="Arial" w:hAnsi="Arial" w:cs="Arial"/>
          <w:bCs/>
          <w:sz w:val="24"/>
          <w:szCs w:val="24"/>
        </w:rPr>
        <w:t xml:space="preserve">Nursing and Midwifery Council, 2017a. </w:t>
      </w:r>
      <w:r w:rsidRPr="00F5485D">
        <w:rPr>
          <w:rFonts w:ascii="Arial" w:hAnsi="Arial" w:cs="Arial"/>
          <w:bCs/>
          <w:sz w:val="24"/>
          <w:szCs w:val="24"/>
        </w:rPr>
        <w:t>The role of lead midwives for education.</w:t>
      </w:r>
      <w:r w:rsidRPr="00DB4CFB">
        <w:rPr>
          <w:rFonts w:ascii="Arial" w:hAnsi="Arial" w:cs="Arial"/>
          <w:bCs/>
          <w:sz w:val="24"/>
          <w:szCs w:val="24"/>
        </w:rPr>
        <w:t xml:space="preserve">  Nursing and Midwifery Council, London. </w:t>
      </w:r>
      <w:hyperlink r:id="rId41" w:history="1">
        <w:r w:rsidRPr="00DB4CFB">
          <w:rPr>
            <w:rStyle w:val="Hyperlink"/>
            <w:rFonts w:ascii="Arial" w:hAnsi="Arial" w:cs="Arial"/>
            <w:bCs/>
            <w:sz w:val="24"/>
            <w:szCs w:val="24"/>
          </w:rPr>
          <w:t>https://www.nmc.org.uk/education/lead-Midwifery-educators/the-role-of-lead-midwives-for-education/</w:t>
        </w:r>
      </w:hyperlink>
      <w:r w:rsidR="00F5485D">
        <w:rPr>
          <w:rStyle w:val="Hyperlink"/>
          <w:rFonts w:ascii="Arial" w:hAnsi="Arial" w:cs="Arial"/>
          <w:bCs/>
          <w:sz w:val="24"/>
          <w:szCs w:val="24"/>
          <w:u w:val="none"/>
        </w:rPr>
        <w:t xml:space="preserve"> </w:t>
      </w:r>
      <w:r w:rsidR="00F5485D">
        <w:rPr>
          <w:rStyle w:val="Hyperlink"/>
          <w:rFonts w:ascii="Arial" w:hAnsi="Arial" w:cs="Arial"/>
          <w:bCs/>
          <w:color w:val="auto"/>
          <w:sz w:val="24"/>
          <w:szCs w:val="24"/>
          <w:u w:val="none"/>
        </w:rPr>
        <w:t>(accessed 22/9/18)</w:t>
      </w:r>
    </w:p>
    <w:p w:rsidR="002C4BD7" w:rsidRDefault="002C4BD7" w:rsidP="002C4BD7">
      <w:pPr>
        <w:spacing w:after="0" w:line="480" w:lineRule="auto"/>
        <w:rPr>
          <w:rFonts w:ascii="Arial" w:hAnsi="Arial" w:cs="Arial"/>
          <w:bCs/>
          <w:sz w:val="24"/>
          <w:szCs w:val="24"/>
        </w:rPr>
      </w:pPr>
    </w:p>
    <w:p w:rsidR="002C4BD7" w:rsidRPr="00F5485D" w:rsidRDefault="002C4BD7" w:rsidP="002C4BD7">
      <w:pPr>
        <w:spacing w:after="0" w:line="480" w:lineRule="auto"/>
        <w:rPr>
          <w:rStyle w:val="Hyperlink"/>
          <w:rFonts w:ascii="Arial" w:hAnsi="Arial" w:cs="Arial"/>
          <w:bCs/>
          <w:color w:val="auto"/>
          <w:sz w:val="24"/>
          <w:szCs w:val="24"/>
          <w:u w:val="none"/>
        </w:rPr>
      </w:pPr>
      <w:r w:rsidRPr="00DB4CFB">
        <w:rPr>
          <w:rFonts w:ascii="Arial" w:hAnsi="Arial" w:cs="Arial"/>
          <w:bCs/>
          <w:sz w:val="24"/>
          <w:szCs w:val="24"/>
        </w:rPr>
        <w:t xml:space="preserve">Nursing and Midwifery Council, 2017b. </w:t>
      </w:r>
      <w:r w:rsidRPr="00F5485D">
        <w:rPr>
          <w:rFonts w:ascii="Arial" w:hAnsi="Arial" w:cs="Arial"/>
          <w:bCs/>
          <w:sz w:val="24"/>
          <w:szCs w:val="24"/>
        </w:rPr>
        <w:t xml:space="preserve">Reshaping the future of Midwifery education in the UK. </w:t>
      </w:r>
      <w:r w:rsidRPr="00DB4CFB">
        <w:rPr>
          <w:rFonts w:ascii="Arial" w:hAnsi="Arial" w:cs="Arial"/>
          <w:bCs/>
          <w:sz w:val="24"/>
          <w:szCs w:val="24"/>
        </w:rPr>
        <w:t xml:space="preserve">Nursing and Midwifery Council, London. </w:t>
      </w:r>
      <w:hyperlink r:id="rId42" w:history="1">
        <w:r w:rsidRPr="00DB4CFB">
          <w:rPr>
            <w:rStyle w:val="Hyperlink"/>
            <w:rFonts w:ascii="Arial" w:hAnsi="Arial" w:cs="Arial"/>
            <w:bCs/>
            <w:sz w:val="24"/>
            <w:szCs w:val="24"/>
          </w:rPr>
          <w:t>https://www.nmc.org.uk/standards/Midwifery/education/</w:t>
        </w:r>
      </w:hyperlink>
      <w:r w:rsidR="00F5485D">
        <w:rPr>
          <w:rStyle w:val="Hyperlink"/>
          <w:rFonts w:ascii="Arial" w:hAnsi="Arial" w:cs="Arial"/>
          <w:bCs/>
          <w:color w:val="auto"/>
          <w:sz w:val="24"/>
          <w:szCs w:val="24"/>
          <w:u w:val="none"/>
        </w:rPr>
        <w:t xml:space="preserve"> (accessed 22/9/18)</w:t>
      </w:r>
    </w:p>
    <w:p w:rsidR="002C4BD7" w:rsidRPr="00DB4CFB" w:rsidRDefault="002C4BD7" w:rsidP="002C4BD7">
      <w:pPr>
        <w:spacing w:after="0" w:line="480" w:lineRule="auto"/>
        <w:rPr>
          <w:rFonts w:ascii="Arial" w:hAnsi="Arial" w:cs="Arial"/>
          <w:bCs/>
          <w:sz w:val="24"/>
          <w:szCs w:val="24"/>
        </w:rPr>
      </w:pPr>
    </w:p>
    <w:p w:rsidR="002C4BD7" w:rsidRPr="00F5485D" w:rsidRDefault="002C4BD7" w:rsidP="002C4BD7">
      <w:pPr>
        <w:spacing w:after="0" w:line="480" w:lineRule="auto"/>
        <w:rPr>
          <w:rStyle w:val="Hyperlink"/>
          <w:rFonts w:ascii="Arial" w:hAnsi="Arial" w:cs="Arial"/>
          <w:bCs/>
          <w:color w:val="auto"/>
          <w:sz w:val="24"/>
          <w:szCs w:val="24"/>
          <w:u w:val="none"/>
        </w:rPr>
      </w:pPr>
      <w:r w:rsidRPr="00DB4CFB">
        <w:rPr>
          <w:rFonts w:ascii="Arial" w:hAnsi="Arial" w:cs="Arial"/>
          <w:bCs/>
          <w:sz w:val="24"/>
          <w:szCs w:val="24"/>
        </w:rPr>
        <w:t>Nurs</w:t>
      </w:r>
      <w:r w:rsidR="00E00220">
        <w:rPr>
          <w:rFonts w:ascii="Arial" w:hAnsi="Arial" w:cs="Arial"/>
          <w:bCs/>
          <w:sz w:val="24"/>
          <w:szCs w:val="24"/>
        </w:rPr>
        <w:t>ing and Midwifery Council, 2018a</w:t>
      </w:r>
      <w:r w:rsidRPr="00DB4CFB">
        <w:rPr>
          <w:rFonts w:ascii="Arial" w:hAnsi="Arial" w:cs="Arial"/>
          <w:bCs/>
          <w:sz w:val="24"/>
          <w:szCs w:val="24"/>
        </w:rPr>
        <w:t xml:space="preserve">. </w:t>
      </w:r>
      <w:r w:rsidRPr="00F5485D">
        <w:rPr>
          <w:rFonts w:ascii="Arial" w:hAnsi="Arial" w:cs="Arial"/>
          <w:bCs/>
          <w:sz w:val="24"/>
          <w:szCs w:val="24"/>
        </w:rPr>
        <w:t xml:space="preserve">Part 3: Standards for pre-registration Nursing programmes. </w:t>
      </w:r>
      <w:r w:rsidRPr="00DB4CFB">
        <w:rPr>
          <w:rFonts w:ascii="Arial" w:hAnsi="Arial" w:cs="Arial"/>
          <w:bCs/>
          <w:sz w:val="24"/>
          <w:szCs w:val="24"/>
        </w:rPr>
        <w:t xml:space="preserve">Nursing and Midwifery Council, London. </w:t>
      </w:r>
      <w:hyperlink r:id="rId43" w:history="1">
        <w:r w:rsidRPr="00DB4CFB">
          <w:rPr>
            <w:rStyle w:val="Hyperlink"/>
            <w:rFonts w:ascii="Arial" w:hAnsi="Arial" w:cs="Arial"/>
            <w:bCs/>
            <w:sz w:val="24"/>
            <w:szCs w:val="24"/>
          </w:rPr>
          <w:t>https://www.nmc.org.uk/standards/standards-for-nurses/standards-for-pre-registration-Nursing-programmes/</w:t>
        </w:r>
      </w:hyperlink>
      <w:r w:rsidR="00F5485D">
        <w:rPr>
          <w:rStyle w:val="Hyperlink"/>
          <w:rFonts w:ascii="Arial" w:hAnsi="Arial" w:cs="Arial"/>
          <w:bCs/>
          <w:color w:val="auto"/>
          <w:sz w:val="24"/>
          <w:szCs w:val="24"/>
          <w:u w:val="none"/>
        </w:rPr>
        <w:t xml:space="preserve"> (accessed 22/9/18)</w:t>
      </w:r>
    </w:p>
    <w:p w:rsidR="002C4BD7" w:rsidRPr="00DB4CFB" w:rsidRDefault="002C4BD7" w:rsidP="002C4BD7">
      <w:pPr>
        <w:spacing w:after="0" w:line="480" w:lineRule="auto"/>
        <w:rPr>
          <w:rFonts w:ascii="Arial" w:hAnsi="Arial" w:cs="Arial"/>
          <w:bCs/>
          <w:sz w:val="24"/>
          <w:szCs w:val="24"/>
        </w:rPr>
      </w:pPr>
    </w:p>
    <w:p w:rsidR="002C4BD7" w:rsidRPr="00F5485D" w:rsidRDefault="002C4BD7" w:rsidP="002C4BD7">
      <w:pPr>
        <w:spacing w:after="0" w:line="480" w:lineRule="auto"/>
        <w:rPr>
          <w:rStyle w:val="Hyperlink"/>
          <w:rFonts w:ascii="Arial" w:hAnsi="Arial" w:cs="Arial"/>
          <w:bCs/>
          <w:color w:val="auto"/>
          <w:sz w:val="24"/>
          <w:szCs w:val="24"/>
          <w:u w:val="none"/>
        </w:rPr>
      </w:pPr>
      <w:r w:rsidRPr="00DB4CFB">
        <w:rPr>
          <w:rFonts w:ascii="Arial" w:hAnsi="Arial" w:cs="Arial"/>
          <w:bCs/>
          <w:sz w:val="24"/>
          <w:szCs w:val="24"/>
        </w:rPr>
        <w:t>Nurs</w:t>
      </w:r>
      <w:r w:rsidR="00E00220">
        <w:rPr>
          <w:rFonts w:ascii="Arial" w:hAnsi="Arial" w:cs="Arial"/>
          <w:bCs/>
          <w:sz w:val="24"/>
          <w:szCs w:val="24"/>
        </w:rPr>
        <w:t>ing and Midwifery Council, 2018b</w:t>
      </w:r>
      <w:r w:rsidRPr="00DB4CFB">
        <w:rPr>
          <w:rFonts w:ascii="Arial" w:hAnsi="Arial" w:cs="Arial"/>
          <w:bCs/>
          <w:sz w:val="24"/>
          <w:szCs w:val="24"/>
        </w:rPr>
        <w:t xml:space="preserve">. </w:t>
      </w:r>
      <w:r w:rsidRPr="00F5485D">
        <w:rPr>
          <w:rFonts w:ascii="Arial" w:hAnsi="Arial" w:cs="Arial"/>
          <w:bCs/>
          <w:sz w:val="24"/>
          <w:szCs w:val="24"/>
        </w:rPr>
        <w:t>Part 1: Standards framework for Nursing and Midwifery education.</w:t>
      </w:r>
      <w:r w:rsidRPr="00DB4CFB">
        <w:rPr>
          <w:rFonts w:ascii="Arial" w:hAnsi="Arial" w:cs="Arial"/>
          <w:bCs/>
          <w:sz w:val="24"/>
          <w:szCs w:val="24"/>
        </w:rPr>
        <w:t xml:space="preserve"> Nursing and Midwifery Council, London. </w:t>
      </w:r>
      <w:hyperlink r:id="rId44" w:history="1">
        <w:r w:rsidRPr="00DB4CFB">
          <w:rPr>
            <w:rStyle w:val="Hyperlink"/>
            <w:rFonts w:ascii="Arial" w:hAnsi="Arial" w:cs="Arial"/>
            <w:bCs/>
            <w:sz w:val="24"/>
            <w:szCs w:val="24"/>
          </w:rPr>
          <w:t>https://www.nmc.org.uk/standards-for-education-and-training/standards-framework-for-Nursing-and-Midwifery-education/</w:t>
        </w:r>
      </w:hyperlink>
      <w:r w:rsidR="00F5485D">
        <w:rPr>
          <w:rStyle w:val="Hyperlink"/>
          <w:rFonts w:ascii="Arial" w:hAnsi="Arial" w:cs="Arial"/>
          <w:bCs/>
          <w:color w:val="auto"/>
          <w:sz w:val="24"/>
          <w:szCs w:val="24"/>
        </w:rPr>
        <w:t xml:space="preserve"> </w:t>
      </w:r>
      <w:r w:rsidR="00F5485D">
        <w:rPr>
          <w:rStyle w:val="Hyperlink"/>
          <w:rFonts w:ascii="Arial" w:hAnsi="Arial" w:cs="Arial"/>
          <w:bCs/>
          <w:color w:val="auto"/>
          <w:sz w:val="24"/>
          <w:szCs w:val="24"/>
          <w:u w:val="none"/>
        </w:rPr>
        <w:t>(accessed 22/9/18)</w:t>
      </w:r>
    </w:p>
    <w:p w:rsidR="002C4BD7" w:rsidRPr="00DB4CFB" w:rsidRDefault="002C4BD7" w:rsidP="002C4BD7">
      <w:pPr>
        <w:spacing w:after="0" w:line="480" w:lineRule="auto"/>
        <w:rPr>
          <w:rFonts w:ascii="Arial" w:hAnsi="Arial" w:cs="Arial"/>
          <w:bCs/>
          <w:sz w:val="24"/>
          <w:szCs w:val="24"/>
        </w:rPr>
      </w:pPr>
    </w:p>
    <w:p w:rsidR="002C4BD7" w:rsidRPr="00F5485D" w:rsidRDefault="002C4BD7" w:rsidP="002C4BD7">
      <w:pPr>
        <w:spacing w:after="0" w:line="480" w:lineRule="auto"/>
        <w:rPr>
          <w:rStyle w:val="Hyperlink"/>
          <w:rFonts w:ascii="Arial" w:hAnsi="Arial" w:cs="Arial"/>
          <w:bCs/>
          <w:color w:val="auto"/>
          <w:sz w:val="24"/>
          <w:szCs w:val="24"/>
          <w:u w:val="none"/>
        </w:rPr>
      </w:pPr>
      <w:r w:rsidRPr="00DB4CFB">
        <w:rPr>
          <w:rFonts w:ascii="Arial" w:hAnsi="Arial" w:cs="Arial"/>
          <w:bCs/>
          <w:sz w:val="24"/>
          <w:szCs w:val="24"/>
        </w:rPr>
        <w:t>Nurs</w:t>
      </w:r>
      <w:r w:rsidR="00E00220">
        <w:rPr>
          <w:rFonts w:ascii="Arial" w:hAnsi="Arial" w:cs="Arial"/>
          <w:bCs/>
          <w:sz w:val="24"/>
          <w:szCs w:val="24"/>
        </w:rPr>
        <w:t>ing and Midwifery Council, 2018c</w:t>
      </w:r>
      <w:r w:rsidRPr="00DB4CFB">
        <w:rPr>
          <w:rFonts w:ascii="Arial" w:hAnsi="Arial" w:cs="Arial"/>
          <w:bCs/>
          <w:sz w:val="24"/>
          <w:szCs w:val="24"/>
        </w:rPr>
        <w:t xml:space="preserve">. </w:t>
      </w:r>
      <w:r w:rsidRPr="00F5485D">
        <w:rPr>
          <w:rFonts w:ascii="Arial" w:hAnsi="Arial" w:cs="Arial"/>
          <w:bCs/>
          <w:sz w:val="24"/>
          <w:szCs w:val="24"/>
        </w:rPr>
        <w:t xml:space="preserve">Part 2: Standards for student supervision and assessment. </w:t>
      </w:r>
      <w:r w:rsidRPr="00DB4CFB">
        <w:rPr>
          <w:rFonts w:ascii="Arial" w:hAnsi="Arial" w:cs="Arial"/>
          <w:bCs/>
          <w:sz w:val="24"/>
          <w:szCs w:val="24"/>
        </w:rPr>
        <w:t xml:space="preserve">Nursing and Midwifery Council, London. </w:t>
      </w:r>
      <w:hyperlink r:id="rId45" w:history="1">
        <w:r w:rsidRPr="00DB4CFB">
          <w:rPr>
            <w:rStyle w:val="Hyperlink"/>
            <w:rFonts w:ascii="Arial" w:hAnsi="Arial" w:cs="Arial"/>
            <w:bCs/>
            <w:sz w:val="24"/>
            <w:szCs w:val="24"/>
          </w:rPr>
          <w:t>https://www.nmc.org.uk/standards-for-education-and-training/standards-for-student-supervision-and-assessment/</w:t>
        </w:r>
      </w:hyperlink>
      <w:r w:rsidR="00F5485D">
        <w:rPr>
          <w:rStyle w:val="Hyperlink"/>
          <w:rFonts w:ascii="Arial" w:hAnsi="Arial" w:cs="Arial"/>
          <w:bCs/>
          <w:color w:val="auto"/>
          <w:sz w:val="24"/>
          <w:szCs w:val="24"/>
          <w:u w:val="none"/>
        </w:rPr>
        <w:t xml:space="preserve"> (accessed 22/9/18)</w:t>
      </w:r>
    </w:p>
    <w:p w:rsidR="00752C5D" w:rsidRDefault="00752C5D" w:rsidP="00752C5D">
      <w:pPr>
        <w:spacing w:after="0" w:line="480" w:lineRule="auto"/>
        <w:rPr>
          <w:rFonts w:ascii="Arial" w:eastAsia="Calibri" w:hAnsi="Arial" w:cs="Arial"/>
          <w:sz w:val="24"/>
          <w:szCs w:val="24"/>
        </w:rPr>
      </w:pPr>
    </w:p>
    <w:p w:rsidR="00752C5D" w:rsidRPr="00026AA4" w:rsidRDefault="00752C5D" w:rsidP="00752C5D">
      <w:pPr>
        <w:spacing w:after="0" w:line="480" w:lineRule="auto"/>
        <w:rPr>
          <w:rFonts w:ascii="Arial" w:eastAsia="Calibri" w:hAnsi="Arial" w:cs="Arial"/>
          <w:sz w:val="24"/>
          <w:szCs w:val="24"/>
        </w:rPr>
      </w:pPr>
      <w:r>
        <w:rPr>
          <w:rFonts w:ascii="Arial" w:eastAsia="Calibri" w:hAnsi="Arial" w:cs="Arial"/>
          <w:sz w:val="24"/>
          <w:szCs w:val="24"/>
        </w:rPr>
        <w:t xml:space="preserve">O’Brien, R., 1998. An Overview of the Methodological Approach of Action Research. </w:t>
      </w:r>
      <w:hyperlink r:id="rId46" w:anchor="_edn1" w:history="1">
        <w:r w:rsidRPr="00A91545">
          <w:rPr>
            <w:rStyle w:val="Hyperlink"/>
            <w:rFonts w:ascii="Arial" w:eastAsia="Calibri" w:hAnsi="Arial" w:cs="Arial"/>
            <w:sz w:val="24"/>
            <w:szCs w:val="24"/>
          </w:rPr>
          <w:t>http://www.web.ca/~robrien/papers/arfinal.html#_edn1</w:t>
        </w:r>
      </w:hyperlink>
      <w:r w:rsidR="00026AA4">
        <w:rPr>
          <w:rStyle w:val="Hyperlink"/>
          <w:rFonts w:ascii="Arial" w:eastAsia="Calibri" w:hAnsi="Arial" w:cs="Arial"/>
          <w:color w:val="auto"/>
          <w:sz w:val="24"/>
          <w:szCs w:val="24"/>
          <w:u w:val="none"/>
        </w:rPr>
        <w:t xml:space="preserve"> (accessed 22/9/18)</w:t>
      </w:r>
    </w:p>
    <w:p w:rsidR="00752C5D" w:rsidRDefault="00752C5D" w:rsidP="002C4BD7">
      <w:pPr>
        <w:spacing w:after="0" w:line="480" w:lineRule="auto"/>
        <w:rPr>
          <w:rFonts w:ascii="Arial" w:hAnsi="Arial" w:cs="Arial"/>
          <w:sz w:val="24"/>
          <w:szCs w:val="24"/>
        </w:rPr>
      </w:pPr>
    </w:p>
    <w:p w:rsidR="002C4BD7" w:rsidRPr="00DB4CFB" w:rsidRDefault="002C4BD7" w:rsidP="002C4BD7">
      <w:pPr>
        <w:spacing w:after="0" w:line="480" w:lineRule="auto"/>
        <w:rPr>
          <w:rFonts w:ascii="Arial" w:hAnsi="Arial" w:cs="Arial"/>
          <w:sz w:val="24"/>
          <w:szCs w:val="24"/>
        </w:rPr>
      </w:pPr>
      <w:r w:rsidRPr="00DB4CFB">
        <w:rPr>
          <w:rFonts w:ascii="Arial" w:hAnsi="Arial" w:cs="Arial"/>
          <w:sz w:val="24"/>
          <w:szCs w:val="24"/>
        </w:rPr>
        <w:t xml:space="preserve">Oermann, M., Saewert, K., Charasika, M., and Yarbourgh, S., 2009. Assessment and grading practices in Schools of Nursing: National Survey Findings Part 1. </w:t>
      </w:r>
      <w:r w:rsidRPr="00026AA4">
        <w:rPr>
          <w:rFonts w:ascii="Arial" w:hAnsi="Arial" w:cs="Arial"/>
          <w:sz w:val="24"/>
          <w:szCs w:val="24"/>
        </w:rPr>
        <w:t>Nursing Education Perspectives</w:t>
      </w:r>
      <w:r w:rsidRPr="00DB4CFB">
        <w:rPr>
          <w:rFonts w:ascii="Arial" w:hAnsi="Arial" w:cs="Arial"/>
          <w:i/>
          <w:sz w:val="24"/>
          <w:szCs w:val="24"/>
        </w:rPr>
        <w:t xml:space="preserve"> </w:t>
      </w:r>
      <w:r w:rsidRPr="00DB4CFB">
        <w:rPr>
          <w:rFonts w:ascii="Arial" w:hAnsi="Arial" w:cs="Arial"/>
          <w:sz w:val="24"/>
          <w:szCs w:val="24"/>
        </w:rPr>
        <w:t>30 (5), 274-278.</w:t>
      </w:r>
    </w:p>
    <w:p w:rsidR="002C4BD7" w:rsidRPr="00DB4CFB" w:rsidRDefault="002C4BD7" w:rsidP="002C4BD7">
      <w:pPr>
        <w:spacing w:after="0" w:line="480" w:lineRule="auto"/>
        <w:rPr>
          <w:rFonts w:ascii="Arial" w:hAnsi="Arial" w:cs="Arial"/>
          <w:sz w:val="24"/>
          <w:szCs w:val="24"/>
        </w:rPr>
      </w:pPr>
    </w:p>
    <w:p w:rsidR="002C4BD7" w:rsidRPr="00026AA4" w:rsidRDefault="002C4BD7" w:rsidP="002C4BD7">
      <w:pPr>
        <w:spacing w:after="0" w:line="480" w:lineRule="auto"/>
        <w:rPr>
          <w:rFonts w:ascii="Arial" w:hAnsi="Arial" w:cs="Arial"/>
          <w:sz w:val="24"/>
          <w:szCs w:val="24"/>
        </w:rPr>
      </w:pPr>
      <w:r w:rsidRPr="00DB4CFB">
        <w:rPr>
          <w:rFonts w:ascii="Arial" w:hAnsi="Arial" w:cs="Arial"/>
          <w:sz w:val="24"/>
          <w:szCs w:val="24"/>
        </w:rPr>
        <w:t xml:space="preserve">Paskausky, A., Simonelle, M., 2014. Measuring grade inflation: A clinical grade discrepancy score. </w:t>
      </w:r>
      <w:r w:rsidRPr="00026AA4">
        <w:rPr>
          <w:rFonts w:ascii="Arial" w:hAnsi="Arial" w:cs="Arial"/>
          <w:sz w:val="24"/>
          <w:szCs w:val="24"/>
        </w:rPr>
        <w:t>Nurse Education in Practice,</w:t>
      </w:r>
      <w:r w:rsidRPr="00DB4CFB">
        <w:rPr>
          <w:rFonts w:ascii="Arial" w:hAnsi="Arial" w:cs="Arial"/>
          <w:sz w:val="24"/>
          <w:szCs w:val="24"/>
        </w:rPr>
        <w:t xml:space="preserve"> 374-379. </w:t>
      </w:r>
      <w:hyperlink r:id="rId47" w:history="1">
        <w:r w:rsidRPr="00DB4CFB">
          <w:rPr>
            <w:rFonts w:ascii="Arial" w:hAnsi="Arial" w:cs="Arial"/>
            <w:color w:val="0563C1" w:themeColor="hyperlink"/>
            <w:sz w:val="24"/>
            <w:szCs w:val="24"/>
            <w:u w:val="single"/>
          </w:rPr>
          <w:t>https://www.nurseeducationinpractice.com/article/S1471-5953(14)00014-6/abstract?code=ynepr-site</w:t>
        </w:r>
      </w:hyperlink>
      <w:r w:rsidR="00026AA4">
        <w:rPr>
          <w:rFonts w:ascii="Arial" w:hAnsi="Arial" w:cs="Arial"/>
          <w:sz w:val="24"/>
          <w:szCs w:val="24"/>
        </w:rPr>
        <w:t xml:space="preserve"> (accessed 22/9/18)</w:t>
      </w:r>
    </w:p>
    <w:p w:rsidR="00752C5D" w:rsidRDefault="00752C5D" w:rsidP="00752C5D">
      <w:pPr>
        <w:spacing w:after="0" w:line="480" w:lineRule="auto"/>
        <w:rPr>
          <w:rFonts w:ascii="Arial" w:eastAsia="Calibri" w:hAnsi="Arial" w:cs="Arial"/>
          <w:sz w:val="24"/>
          <w:szCs w:val="24"/>
        </w:rPr>
      </w:pPr>
    </w:p>
    <w:p w:rsidR="00752C5D" w:rsidRPr="00026AA4" w:rsidRDefault="00752C5D" w:rsidP="00752C5D">
      <w:pPr>
        <w:spacing w:after="0" w:line="480" w:lineRule="auto"/>
        <w:rPr>
          <w:rStyle w:val="Hyperlink"/>
          <w:rFonts w:ascii="Arial" w:eastAsia="Calibri" w:hAnsi="Arial" w:cs="Arial"/>
          <w:color w:val="auto"/>
          <w:sz w:val="24"/>
          <w:szCs w:val="24"/>
          <w:u w:val="none"/>
        </w:rPr>
      </w:pPr>
      <w:r>
        <w:rPr>
          <w:rFonts w:ascii="Arial" w:eastAsia="Calibri" w:hAnsi="Arial" w:cs="Arial"/>
          <w:sz w:val="24"/>
          <w:szCs w:val="24"/>
        </w:rPr>
        <w:t xml:space="preserve">QAA, 2014. </w:t>
      </w:r>
      <w:r w:rsidRPr="00026AA4">
        <w:rPr>
          <w:rFonts w:ascii="Arial" w:eastAsia="Calibri" w:hAnsi="Arial" w:cs="Arial"/>
          <w:sz w:val="24"/>
          <w:szCs w:val="24"/>
        </w:rPr>
        <w:t>The Frameworks for Higher Education Qualifications of UK Degree-Awarding Bodies. UK Quality Code for Higher Education – Part A: Setting and Maintaining Academic Standards.</w:t>
      </w:r>
      <w:r>
        <w:rPr>
          <w:rFonts w:ascii="Arial" w:eastAsia="Calibri" w:hAnsi="Arial" w:cs="Arial"/>
          <w:sz w:val="24"/>
          <w:szCs w:val="24"/>
        </w:rPr>
        <w:t xml:space="preserve"> Gloucester: The Quality Assurance Agency for Higher Education. </w:t>
      </w:r>
      <w:hyperlink r:id="rId48" w:history="1">
        <w:r w:rsidRPr="008F3020">
          <w:rPr>
            <w:rStyle w:val="Hyperlink"/>
            <w:rFonts w:ascii="Arial" w:eastAsia="Calibri" w:hAnsi="Arial" w:cs="Arial"/>
            <w:sz w:val="24"/>
            <w:szCs w:val="24"/>
          </w:rPr>
          <w:t>file:///C:/Users/mfisher/Downloads/qualifications-frameworks.pdf</w:t>
        </w:r>
      </w:hyperlink>
      <w:r w:rsidR="00026AA4">
        <w:rPr>
          <w:rStyle w:val="Hyperlink"/>
          <w:rFonts w:ascii="Arial" w:eastAsia="Calibri" w:hAnsi="Arial" w:cs="Arial"/>
          <w:color w:val="auto"/>
          <w:sz w:val="24"/>
          <w:szCs w:val="24"/>
          <w:u w:val="none"/>
        </w:rPr>
        <w:t xml:space="preserve"> (accessed 22/9/18)</w:t>
      </w:r>
    </w:p>
    <w:p w:rsidR="00752C5D" w:rsidRDefault="00752C5D" w:rsidP="002C4BD7">
      <w:pPr>
        <w:spacing w:after="0" w:line="480" w:lineRule="auto"/>
        <w:rPr>
          <w:rFonts w:ascii="Arial" w:hAnsi="Arial" w:cs="Arial"/>
          <w:noProof/>
          <w:sz w:val="24"/>
          <w:szCs w:val="24"/>
        </w:rPr>
      </w:pPr>
    </w:p>
    <w:p w:rsidR="00752C5D" w:rsidRPr="00DB4CFB" w:rsidRDefault="00752C5D" w:rsidP="00752C5D">
      <w:pPr>
        <w:spacing w:after="0" w:line="480" w:lineRule="auto"/>
        <w:rPr>
          <w:rFonts w:ascii="Arial" w:hAnsi="Arial" w:cs="Arial"/>
          <w:sz w:val="24"/>
          <w:szCs w:val="24"/>
        </w:rPr>
      </w:pPr>
      <w:r w:rsidRPr="00DB4CFB">
        <w:rPr>
          <w:rFonts w:ascii="Arial" w:hAnsi="Arial" w:cs="Arial"/>
          <w:sz w:val="24"/>
          <w:szCs w:val="24"/>
        </w:rPr>
        <w:lastRenderedPageBreak/>
        <w:t xml:space="preserve">Seldomridge, L., Walsh, C., 2006. Evaluating student performance in undergraduate preceptorships. </w:t>
      </w:r>
      <w:r w:rsidRPr="00026AA4">
        <w:rPr>
          <w:rFonts w:ascii="Arial" w:hAnsi="Arial" w:cs="Arial"/>
          <w:sz w:val="24"/>
          <w:szCs w:val="24"/>
        </w:rPr>
        <w:t>Journal of Nursing Education</w:t>
      </w:r>
      <w:r w:rsidRPr="00DB4CFB">
        <w:rPr>
          <w:rFonts w:ascii="Arial" w:hAnsi="Arial" w:cs="Arial"/>
          <w:sz w:val="24"/>
          <w:szCs w:val="24"/>
        </w:rPr>
        <w:t xml:space="preserve"> 45 (5), 169-176.</w:t>
      </w:r>
    </w:p>
    <w:p w:rsidR="00752C5D" w:rsidRPr="00DB4CFB" w:rsidRDefault="00752C5D" w:rsidP="002C4BD7">
      <w:pPr>
        <w:spacing w:after="0" w:line="480" w:lineRule="auto"/>
        <w:rPr>
          <w:rFonts w:ascii="Arial" w:hAnsi="Arial" w:cs="Arial"/>
          <w:noProof/>
          <w:sz w:val="24"/>
          <w:szCs w:val="24"/>
        </w:rPr>
      </w:pPr>
    </w:p>
    <w:p w:rsidR="002C4BD7" w:rsidRPr="00026AA4" w:rsidRDefault="002C4BD7" w:rsidP="002C4BD7">
      <w:pPr>
        <w:spacing w:after="0" w:line="480" w:lineRule="auto"/>
        <w:rPr>
          <w:rFonts w:ascii="Arial" w:hAnsi="Arial" w:cs="Arial"/>
          <w:sz w:val="24"/>
          <w:szCs w:val="24"/>
        </w:rPr>
      </w:pPr>
      <w:r w:rsidRPr="00DB4CFB">
        <w:rPr>
          <w:rFonts w:ascii="Arial" w:hAnsi="Arial" w:cs="Arial"/>
          <w:sz w:val="24"/>
          <w:szCs w:val="24"/>
        </w:rPr>
        <w:t>Smith, J., 2007. Assessing and grading students’ clinical practice: midwives’ lived experience</w:t>
      </w:r>
      <w:r w:rsidRPr="00DB4CFB">
        <w:rPr>
          <w:rFonts w:ascii="Arial" w:hAnsi="Arial" w:cs="Arial"/>
          <w:i/>
          <w:sz w:val="24"/>
          <w:szCs w:val="24"/>
        </w:rPr>
        <w:t xml:space="preserve">. </w:t>
      </w:r>
      <w:r w:rsidRPr="00026AA4">
        <w:rPr>
          <w:rFonts w:ascii="Arial" w:hAnsi="Arial" w:cs="Arial"/>
          <w:sz w:val="24"/>
          <w:szCs w:val="24"/>
        </w:rPr>
        <w:t>Evidence Based Midwifery</w:t>
      </w:r>
      <w:r w:rsidRPr="00DB4CFB">
        <w:rPr>
          <w:rFonts w:ascii="Arial" w:hAnsi="Arial" w:cs="Arial"/>
          <w:sz w:val="24"/>
          <w:szCs w:val="24"/>
        </w:rPr>
        <w:t xml:space="preserve"> 5 (4), 112-118. </w:t>
      </w:r>
      <w:hyperlink r:id="rId49" w:history="1">
        <w:r w:rsidRPr="00DB4CFB">
          <w:rPr>
            <w:rStyle w:val="Hyperlink"/>
            <w:rFonts w:ascii="Arial" w:hAnsi="Arial" w:cs="Arial"/>
            <w:sz w:val="24"/>
            <w:szCs w:val="24"/>
          </w:rPr>
          <w:t>http://go.galegroup.com/ps/anonymous?id=GALE%7CA172050738&amp;sid=googleScholar&amp;v=2.1&amp;it=r&amp;linkaccess=fulltext&amp;issn=14794489&amp;p=AONE&amp;sw=w&amp;authCount=1&amp;isAnonymousEntry=true</w:t>
        </w:r>
      </w:hyperlink>
      <w:r w:rsidR="00026AA4">
        <w:rPr>
          <w:rStyle w:val="Hyperlink"/>
          <w:rFonts w:ascii="Arial" w:hAnsi="Arial" w:cs="Arial"/>
          <w:color w:val="auto"/>
          <w:sz w:val="24"/>
          <w:szCs w:val="24"/>
          <w:u w:val="none"/>
        </w:rPr>
        <w:t xml:space="preserve"> (accessed 22/9/18)</w:t>
      </w:r>
    </w:p>
    <w:p w:rsidR="00E57B84" w:rsidRPr="00774D5A" w:rsidRDefault="00E57B84" w:rsidP="00752C5D">
      <w:pPr>
        <w:spacing w:after="0" w:line="480" w:lineRule="auto"/>
        <w:rPr>
          <w:rFonts w:ascii="Arial" w:hAnsi="Arial" w:cs="Arial"/>
          <w:iCs/>
          <w:sz w:val="24"/>
          <w:szCs w:val="24"/>
        </w:rPr>
      </w:pPr>
    </w:p>
    <w:p w:rsidR="00752C5D" w:rsidRPr="00DB4CFB" w:rsidRDefault="00752C5D" w:rsidP="00752C5D">
      <w:pPr>
        <w:spacing w:after="0" w:line="480" w:lineRule="auto"/>
        <w:rPr>
          <w:rFonts w:ascii="Arial" w:hAnsi="Arial" w:cs="Arial"/>
          <w:iCs/>
          <w:sz w:val="24"/>
          <w:szCs w:val="24"/>
        </w:rPr>
      </w:pPr>
      <w:r w:rsidRPr="00DB4CFB">
        <w:rPr>
          <w:rFonts w:ascii="Arial" w:hAnsi="Arial" w:cs="Arial"/>
          <w:iCs/>
          <w:sz w:val="24"/>
          <w:szCs w:val="24"/>
        </w:rPr>
        <w:t xml:space="preserve">Word Counter, 2017. </w:t>
      </w:r>
      <w:r w:rsidRPr="00026AA4">
        <w:rPr>
          <w:rFonts w:ascii="Arial" w:hAnsi="Arial" w:cs="Arial"/>
          <w:iCs/>
          <w:sz w:val="24"/>
          <w:szCs w:val="24"/>
        </w:rPr>
        <w:t>Word Counter – Word Count Tool.</w:t>
      </w:r>
      <w:r w:rsidRPr="00DB4CFB">
        <w:rPr>
          <w:rFonts w:ascii="Arial" w:hAnsi="Arial" w:cs="Arial"/>
          <w:iCs/>
          <w:sz w:val="24"/>
          <w:szCs w:val="24"/>
        </w:rPr>
        <w:t xml:space="preserve"> </w:t>
      </w:r>
      <w:hyperlink r:id="rId50" w:history="1">
        <w:r w:rsidRPr="00DB4CFB">
          <w:rPr>
            <w:rStyle w:val="Hyperlink"/>
            <w:rFonts w:ascii="Arial" w:hAnsi="Arial" w:cs="Arial"/>
            <w:iCs/>
            <w:sz w:val="24"/>
            <w:szCs w:val="24"/>
          </w:rPr>
          <w:t>https://wordcounttools.com/</w:t>
        </w:r>
      </w:hyperlink>
      <w:r w:rsidR="00026AA4">
        <w:rPr>
          <w:rStyle w:val="Hyperlink"/>
          <w:rFonts w:ascii="Arial" w:hAnsi="Arial" w:cs="Arial"/>
          <w:iCs/>
          <w:sz w:val="24"/>
          <w:szCs w:val="24"/>
        </w:rPr>
        <w:t xml:space="preserve"> </w:t>
      </w:r>
      <w:r w:rsidR="00026AA4" w:rsidRPr="00026AA4">
        <w:rPr>
          <w:rStyle w:val="Hyperlink"/>
          <w:rFonts w:ascii="Arial" w:hAnsi="Arial" w:cs="Arial"/>
          <w:iCs/>
          <w:color w:val="auto"/>
          <w:sz w:val="24"/>
          <w:szCs w:val="24"/>
          <w:u w:val="none"/>
        </w:rPr>
        <w:t>(accessed 22/9/18)</w:t>
      </w:r>
    </w:p>
    <w:p w:rsidR="00752C5D" w:rsidRDefault="00752C5D" w:rsidP="00DB4CFB">
      <w:pPr>
        <w:spacing w:after="0" w:line="480" w:lineRule="auto"/>
        <w:rPr>
          <w:rFonts w:ascii="Arial" w:hAnsi="Arial" w:cs="Arial"/>
          <w:bCs/>
          <w:sz w:val="24"/>
          <w:szCs w:val="24"/>
        </w:rPr>
      </w:pPr>
    </w:p>
    <w:p w:rsidR="00DB4CFB" w:rsidRPr="00026AA4" w:rsidRDefault="00DB4CFB" w:rsidP="00DB4CFB">
      <w:pPr>
        <w:spacing w:after="0" w:line="480" w:lineRule="auto"/>
        <w:rPr>
          <w:rFonts w:ascii="Arial" w:hAnsi="Arial" w:cs="Arial"/>
          <w:iCs/>
          <w:color w:val="666666"/>
          <w:sz w:val="24"/>
          <w:szCs w:val="24"/>
        </w:rPr>
      </w:pPr>
      <w:r w:rsidRPr="00DB4CFB">
        <w:rPr>
          <w:rFonts w:ascii="Arial" w:hAnsi="Arial" w:cs="Arial"/>
          <w:iCs/>
          <w:sz w:val="24"/>
          <w:szCs w:val="24"/>
        </w:rPr>
        <w:t xml:space="preserve">World Health Organisation, 2009. </w:t>
      </w:r>
      <w:r w:rsidRPr="00026AA4">
        <w:rPr>
          <w:rFonts w:ascii="Arial" w:hAnsi="Arial" w:cs="Arial"/>
          <w:iCs/>
          <w:sz w:val="24"/>
          <w:szCs w:val="24"/>
        </w:rPr>
        <w:t>Global standards for the initial education of professional nurses and midwives</w:t>
      </w:r>
      <w:r w:rsidRPr="00DB4CFB">
        <w:rPr>
          <w:rFonts w:ascii="Arial" w:hAnsi="Arial" w:cs="Arial"/>
          <w:i/>
          <w:iCs/>
          <w:sz w:val="24"/>
          <w:szCs w:val="24"/>
        </w:rPr>
        <w:t>.</w:t>
      </w:r>
      <w:r w:rsidRPr="00DB4CFB">
        <w:rPr>
          <w:rFonts w:ascii="Arial" w:hAnsi="Arial" w:cs="Arial"/>
          <w:iCs/>
          <w:sz w:val="24"/>
          <w:szCs w:val="24"/>
        </w:rPr>
        <w:t xml:space="preserve"> WHO, Geneva. </w:t>
      </w:r>
      <w:hyperlink r:id="rId51" w:history="1">
        <w:r w:rsidRPr="00DB4CFB">
          <w:rPr>
            <w:rStyle w:val="Hyperlink"/>
            <w:rFonts w:ascii="Arial" w:hAnsi="Arial" w:cs="Arial"/>
            <w:sz w:val="24"/>
            <w:szCs w:val="24"/>
          </w:rPr>
          <w:t>www.who.int/hrh/Nursing_Midwifery/hrh_global_standards_education.pdf</w:t>
        </w:r>
      </w:hyperlink>
      <w:r w:rsidRPr="00DB4CFB">
        <w:rPr>
          <w:rFonts w:ascii="Arial" w:hAnsi="Arial" w:cs="Arial"/>
          <w:i/>
          <w:iCs/>
          <w:color w:val="666666"/>
          <w:sz w:val="24"/>
          <w:szCs w:val="24"/>
        </w:rPr>
        <w:t xml:space="preserve">  </w:t>
      </w:r>
      <w:r w:rsidR="00026AA4">
        <w:rPr>
          <w:rFonts w:ascii="Arial" w:hAnsi="Arial" w:cs="Arial"/>
          <w:iCs/>
          <w:color w:val="666666"/>
          <w:sz w:val="24"/>
          <w:szCs w:val="24"/>
        </w:rPr>
        <w:t>(accessed 22/9/18)</w:t>
      </w:r>
    </w:p>
    <w:p w:rsidR="00DB4CFB" w:rsidRPr="00DB4CFB" w:rsidRDefault="00DB4CFB" w:rsidP="00DB4CFB">
      <w:pPr>
        <w:spacing w:after="0" w:line="480" w:lineRule="auto"/>
        <w:rPr>
          <w:rFonts w:ascii="Arial" w:hAnsi="Arial" w:cs="Arial"/>
          <w:noProof/>
          <w:sz w:val="24"/>
          <w:szCs w:val="24"/>
        </w:rPr>
      </w:pPr>
    </w:p>
    <w:p w:rsidR="00DB4CFB" w:rsidRPr="00DB4CFB" w:rsidRDefault="00DB4CFB" w:rsidP="00DB4CFB">
      <w:pPr>
        <w:spacing w:after="0" w:line="480" w:lineRule="auto"/>
        <w:rPr>
          <w:rFonts w:ascii="Arial" w:hAnsi="Arial" w:cs="Arial"/>
          <w:bCs/>
          <w:sz w:val="24"/>
          <w:szCs w:val="24"/>
        </w:rPr>
      </w:pPr>
    </w:p>
    <w:p w:rsidR="00DB4CFB" w:rsidRPr="00DB4CFB" w:rsidRDefault="00DB4CFB" w:rsidP="00DB4CFB">
      <w:pPr>
        <w:spacing w:after="0" w:line="480" w:lineRule="auto"/>
        <w:rPr>
          <w:rFonts w:ascii="Arial" w:hAnsi="Arial" w:cs="Arial"/>
          <w:sz w:val="24"/>
          <w:szCs w:val="24"/>
        </w:rPr>
      </w:pPr>
    </w:p>
    <w:p w:rsidR="00DB4CFB" w:rsidRPr="00DB4CFB" w:rsidRDefault="00DB4CFB" w:rsidP="00DB4CFB">
      <w:pPr>
        <w:spacing w:after="0" w:line="480" w:lineRule="auto"/>
        <w:rPr>
          <w:rFonts w:ascii="Arial" w:hAnsi="Arial" w:cs="Arial"/>
          <w:sz w:val="24"/>
          <w:szCs w:val="24"/>
        </w:rPr>
      </w:pPr>
    </w:p>
    <w:p w:rsidR="00752C5D" w:rsidRDefault="00752C5D" w:rsidP="00DB4CFB">
      <w:pPr>
        <w:spacing w:after="0" w:line="480" w:lineRule="auto"/>
        <w:rPr>
          <w:rFonts w:ascii="Arial" w:eastAsia="SimHei" w:hAnsi="Arial" w:cs="Arial"/>
          <w:sz w:val="24"/>
          <w:szCs w:val="24"/>
          <w:lang w:eastAsia="zh-CN"/>
        </w:rPr>
      </w:pPr>
    </w:p>
    <w:p w:rsidR="00752C5D" w:rsidRPr="00DB4CFB" w:rsidRDefault="00752C5D" w:rsidP="00752C5D">
      <w:pPr>
        <w:spacing w:after="0" w:line="480" w:lineRule="auto"/>
        <w:rPr>
          <w:rFonts w:ascii="Arial" w:hAnsi="Arial" w:cs="Arial"/>
          <w:sz w:val="24"/>
          <w:szCs w:val="24"/>
        </w:rPr>
      </w:pPr>
    </w:p>
    <w:p w:rsidR="00752C5D" w:rsidRDefault="00752C5D" w:rsidP="00752C5D">
      <w:pPr>
        <w:spacing w:after="0" w:line="480" w:lineRule="auto"/>
        <w:rPr>
          <w:rFonts w:ascii="Arial" w:hAnsi="Arial" w:cs="Arial"/>
          <w:bCs/>
          <w:sz w:val="24"/>
          <w:szCs w:val="24"/>
        </w:rPr>
      </w:pPr>
    </w:p>
    <w:p w:rsidR="00752C5D" w:rsidRPr="00DB4CFB" w:rsidRDefault="00752C5D" w:rsidP="00752C5D">
      <w:pPr>
        <w:spacing w:after="0" w:line="480" w:lineRule="auto"/>
        <w:rPr>
          <w:rFonts w:ascii="Arial" w:eastAsia="Arial" w:hAnsi="Arial" w:cs="Arial"/>
          <w:sz w:val="24"/>
          <w:szCs w:val="24"/>
          <w:lang w:bidi="en-US"/>
        </w:rPr>
      </w:pPr>
    </w:p>
    <w:p w:rsidR="00DB4CFB" w:rsidRPr="00DB4CFB" w:rsidRDefault="00DB4CFB" w:rsidP="00677E39">
      <w:pPr>
        <w:spacing w:after="0" w:line="360" w:lineRule="auto"/>
        <w:rPr>
          <w:rFonts w:ascii="Arial" w:hAnsi="Arial" w:cs="Arial"/>
          <w:b/>
          <w:sz w:val="24"/>
          <w:szCs w:val="24"/>
          <w:u w:val="single"/>
        </w:rPr>
      </w:pPr>
    </w:p>
    <w:sectPr w:rsidR="00DB4CFB" w:rsidRPr="00DB4CFB">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EA" w:rsidRDefault="00767FEA" w:rsidP="00DB4CFB">
      <w:pPr>
        <w:spacing w:after="0" w:line="240" w:lineRule="auto"/>
      </w:pPr>
      <w:r>
        <w:separator/>
      </w:r>
    </w:p>
  </w:endnote>
  <w:endnote w:type="continuationSeparator" w:id="0">
    <w:p w:rsidR="00767FEA" w:rsidRDefault="00767FEA" w:rsidP="00DB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40702"/>
      <w:docPartObj>
        <w:docPartGallery w:val="Page Numbers (Bottom of Page)"/>
        <w:docPartUnique/>
      </w:docPartObj>
    </w:sdtPr>
    <w:sdtEndPr>
      <w:rPr>
        <w:noProof/>
      </w:rPr>
    </w:sdtEndPr>
    <w:sdtContent>
      <w:p w:rsidR="00774D5A" w:rsidRDefault="00774D5A">
        <w:pPr>
          <w:pStyle w:val="Footer"/>
          <w:jc w:val="right"/>
        </w:pPr>
        <w:r>
          <w:fldChar w:fldCharType="begin"/>
        </w:r>
        <w:r>
          <w:instrText xml:space="preserve"> PAGE   \* MERGEFORMAT </w:instrText>
        </w:r>
        <w:r>
          <w:fldChar w:fldCharType="separate"/>
        </w:r>
        <w:r w:rsidR="00EA1E26">
          <w:rPr>
            <w:noProof/>
          </w:rPr>
          <w:t>30</w:t>
        </w:r>
        <w:r>
          <w:rPr>
            <w:noProof/>
          </w:rPr>
          <w:fldChar w:fldCharType="end"/>
        </w:r>
      </w:p>
    </w:sdtContent>
  </w:sdt>
  <w:p w:rsidR="00774D5A" w:rsidRDefault="00774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EA" w:rsidRDefault="00767FEA" w:rsidP="00DB4CFB">
      <w:pPr>
        <w:spacing w:after="0" w:line="240" w:lineRule="auto"/>
      </w:pPr>
      <w:r>
        <w:separator/>
      </w:r>
    </w:p>
  </w:footnote>
  <w:footnote w:type="continuationSeparator" w:id="0">
    <w:p w:rsidR="00767FEA" w:rsidRDefault="00767FEA" w:rsidP="00DB4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958"/>
    <w:multiLevelType w:val="multilevel"/>
    <w:tmpl w:val="531CC4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B7DB8"/>
    <w:multiLevelType w:val="hybridMultilevel"/>
    <w:tmpl w:val="C1043146"/>
    <w:lvl w:ilvl="0" w:tplc="4740F052">
      <w:start w:val="1"/>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5549B"/>
    <w:multiLevelType w:val="hybridMultilevel"/>
    <w:tmpl w:val="628891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5E43F0"/>
    <w:multiLevelType w:val="hybridMultilevel"/>
    <w:tmpl w:val="04CA16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5549D5"/>
    <w:multiLevelType w:val="hybridMultilevel"/>
    <w:tmpl w:val="490E0434"/>
    <w:lvl w:ilvl="0" w:tplc="0809001B">
      <w:start w:val="1"/>
      <w:numFmt w:val="lowerRoman"/>
      <w:lvlText w:val="%1."/>
      <w:lvlJc w:val="right"/>
      <w:pPr>
        <w:ind w:left="1446" w:hanging="360"/>
      </w:pPr>
      <w:rPr>
        <w:rFont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24520E23"/>
    <w:multiLevelType w:val="multilevel"/>
    <w:tmpl w:val="8C8A2B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2E74B5" w:themeColor="accent1" w:themeShade="BF"/>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C73C74"/>
    <w:multiLevelType w:val="hybridMultilevel"/>
    <w:tmpl w:val="7A0C935E"/>
    <w:lvl w:ilvl="0" w:tplc="1890C26A">
      <w:start w:val="1"/>
      <w:numFmt w:val="decimal"/>
      <w:lvlText w:val="%1)"/>
      <w:lvlJc w:val="lef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192CAC"/>
    <w:multiLevelType w:val="hybridMultilevel"/>
    <w:tmpl w:val="45B0C576"/>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905297"/>
    <w:multiLevelType w:val="hybridMultilevel"/>
    <w:tmpl w:val="B9880DC8"/>
    <w:lvl w:ilvl="0" w:tplc="08090001">
      <w:start w:val="1"/>
      <w:numFmt w:val="bullet"/>
      <w:lvlText w:val=""/>
      <w:lvlJc w:val="left"/>
      <w:pPr>
        <w:ind w:left="720" w:hanging="360"/>
      </w:pPr>
      <w:rPr>
        <w:rFonts w:ascii="Symbol" w:hAnsi="Symbol" w:hint="default"/>
      </w:rPr>
    </w:lvl>
    <w:lvl w:ilvl="1" w:tplc="A8AAEE2E">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F031F"/>
    <w:multiLevelType w:val="hybridMultilevel"/>
    <w:tmpl w:val="9DEA86C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5C282299"/>
    <w:multiLevelType w:val="hybridMultilevel"/>
    <w:tmpl w:val="4CDC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44C6B"/>
    <w:multiLevelType w:val="hybridMultilevel"/>
    <w:tmpl w:val="E54A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335FA"/>
    <w:multiLevelType w:val="hybridMultilevel"/>
    <w:tmpl w:val="0D5E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2"/>
  </w:num>
  <w:num w:numId="5">
    <w:abstractNumId w:val="9"/>
  </w:num>
  <w:num w:numId="6">
    <w:abstractNumId w:val="3"/>
  </w:num>
  <w:num w:numId="7">
    <w:abstractNumId w:val="7"/>
  </w:num>
  <w:num w:numId="8">
    <w:abstractNumId w:val="6"/>
  </w:num>
  <w:num w:numId="9">
    <w:abstractNumId w:val="1"/>
  </w:num>
  <w:num w:numId="10">
    <w:abstractNumId w:val="0"/>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FB"/>
    <w:rsid w:val="000027DB"/>
    <w:rsid w:val="00026571"/>
    <w:rsid w:val="00026AA4"/>
    <w:rsid w:val="0003515B"/>
    <w:rsid w:val="00043E44"/>
    <w:rsid w:val="00061AD4"/>
    <w:rsid w:val="0006573F"/>
    <w:rsid w:val="000973F9"/>
    <w:rsid w:val="000B6BEF"/>
    <w:rsid w:val="000C00C8"/>
    <w:rsid w:val="000C5DF0"/>
    <w:rsid w:val="00101C1F"/>
    <w:rsid w:val="001211CD"/>
    <w:rsid w:val="001308CD"/>
    <w:rsid w:val="00173B86"/>
    <w:rsid w:val="001758AC"/>
    <w:rsid w:val="0017776E"/>
    <w:rsid w:val="00190FAB"/>
    <w:rsid w:val="0019196E"/>
    <w:rsid w:val="001A37A6"/>
    <w:rsid w:val="002010BC"/>
    <w:rsid w:val="00222006"/>
    <w:rsid w:val="00234C43"/>
    <w:rsid w:val="0023572A"/>
    <w:rsid w:val="002554AA"/>
    <w:rsid w:val="00262CA1"/>
    <w:rsid w:val="00270FA5"/>
    <w:rsid w:val="00295CFA"/>
    <w:rsid w:val="002C4BD7"/>
    <w:rsid w:val="002D1E4B"/>
    <w:rsid w:val="002E2A4F"/>
    <w:rsid w:val="003015A3"/>
    <w:rsid w:val="00331898"/>
    <w:rsid w:val="003324C8"/>
    <w:rsid w:val="00341743"/>
    <w:rsid w:val="00355C95"/>
    <w:rsid w:val="0036241C"/>
    <w:rsid w:val="00382F10"/>
    <w:rsid w:val="003834AA"/>
    <w:rsid w:val="00384F79"/>
    <w:rsid w:val="00385A53"/>
    <w:rsid w:val="00395C8C"/>
    <w:rsid w:val="0039743C"/>
    <w:rsid w:val="003B3045"/>
    <w:rsid w:val="003E6524"/>
    <w:rsid w:val="004142F8"/>
    <w:rsid w:val="00424169"/>
    <w:rsid w:val="00485939"/>
    <w:rsid w:val="004A11B5"/>
    <w:rsid w:val="004B468A"/>
    <w:rsid w:val="004B5174"/>
    <w:rsid w:val="004C1AEB"/>
    <w:rsid w:val="004F0BED"/>
    <w:rsid w:val="004F69CD"/>
    <w:rsid w:val="00515C0A"/>
    <w:rsid w:val="0054448B"/>
    <w:rsid w:val="00555227"/>
    <w:rsid w:val="00564CAA"/>
    <w:rsid w:val="005C4BE3"/>
    <w:rsid w:val="005C6327"/>
    <w:rsid w:val="005E6D9C"/>
    <w:rsid w:val="006053C6"/>
    <w:rsid w:val="00605557"/>
    <w:rsid w:val="006102E8"/>
    <w:rsid w:val="00610D99"/>
    <w:rsid w:val="00612403"/>
    <w:rsid w:val="006175C3"/>
    <w:rsid w:val="00667D56"/>
    <w:rsid w:val="006717AD"/>
    <w:rsid w:val="00677BA5"/>
    <w:rsid w:val="00677E39"/>
    <w:rsid w:val="006E3868"/>
    <w:rsid w:val="006E40C1"/>
    <w:rsid w:val="007051C0"/>
    <w:rsid w:val="00735F2C"/>
    <w:rsid w:val="00752C5D"/>
    <w:rsid w:val="00764D5E"/>
    <w:rsid w:val="00766702"/>
    <w:rsid w:val="00767FEA"/>
    <w:rsid w:val="0077080B"/>
    <w:rsid w:val="00774D5A"/>
    <w:rsid w:val="007D236D"/>
    <w:rsid w:val="007D7496"/>
    <w:rsid w:val="007E4A53"/>
    <w:rsid w:val="00810DD1"/>
    <w:rsid w:val="0082248E"/>
    <w:rsid w:val="0083009E"/>
    <w:rsid w:val="008502CB"/>
    <w:rsid w:val="008513F1"/>
    <w:rsid w:val="00852436"/>
    <w:rsid w:val="008547E9"/>
    <w:rsid w:val="008809F3"/>
    <w:rsid w:val="008864F6"/>
    <w:rsid w:val="00886FCA"/>
    <w:rsid w:val="008B2D23"/>
    <w:rsid w:val="008C6506"/>
    <w:rsid w:val="008E420D"/>
    <w:rsid w:val="008E7139"/>
    <w:rsid w:val="00927CF7"/>
    <w:rsid w:val="00962681"/>
    <w:rsid w:val="00984E92"/>
    <w:rsid w:val="009A4041"/>
    <w:rsid w:val="009E46F1"/>
    <w:rsid w:val="009F134A"/>
    <w:rsid w:val="00A17359"/>
    <w:rsid w:val="00A52945"/>
    <w:rsid w:val="00A60023"/>
    <w:rsid w:val="00A83FA7"/>
    <w:rsid w:val="00A95463"/>
    <w:rsid w:val="00AA151F"/>
    <w:rsid w:val="00AC205F"/>
    <w:rsid w:val="00AD0627"/>
    <w:rsid w:val="00AF1B4C"/>
    <w:rsid w:val="00B00782"/>
    <w:rsid w:val="00B035CE"/>
    <w:rsid w:val="00B10808"/>
    <w:rsid w:val="00B1466B"/>
    <w:rsid w:val="00BA7E54"/>
    <w:rsid w:val="00BC6904"/>
    <w:rsid w:val="00BD1901"/>
    <w:rsid w:val="00BE1F31"/>
    <w:rsid w:val="00BE5E2E"/>
    <w:rsid w:val="00C108E0"/>
    <w:rsid w:val="00C53FC9"/>
    <w:rsid w:val="00C65B23"/>
    <w:rsid w:val="00C65C18"/>
    <w:rsid w:val="00C822F6"/>
    <w:rsid w:val="00C912B8"/>
    <w:rsid w:val="00CA43AF"/>
    <w:rsid w:val="00CA462A"/>
    <w:rsid w:val="00CA7508"/>
    <w:rsid w:val="00CB049C"/>
    <w:rsid w:val="00CB7E3E"/>
    <w:rsid w:val="00CE521C"/>
    <w:rsid w:val="00CF0AC8"/>
    <w:rsid w:val="00D02D8B"/>
    <w:rsid w:val="00D202DB"/>
    <w:rsid w:val="00D32B62"/>
    <w:rsid w:val="00D42276"/>
    <w:rsid w:val="00D432A5"/>
    <w:rsid w:val="00D45B65"/>
    <w:rsid w:val="00D472B0"/>
    <w:rsid w:val="00D54D69"/>
    <w:rsid w:val="00D65909"/>
    <w:rsid w:val="00D90BC6"/>
    <w:rsid w:val="00DB4CFB"/>
    <w:rsid w:val="00DF335B"/>
    <w:rsid w:val="00E00220"/>
    <w:rsid w:val="00E2354E"/>
    <w:rsid w:val="00E43757"/>
    <w:rsid w:val="00E44DFD"/>
    <w:rsid w:val="00E51C8A"/>
    <w:rsid w:val="00E51DEA"/>
    <w:rsid w:val="00E545E4"/>
    <w:rsid w:val="00E57B84"/>
    <w:rsid w:val="00E72847"/>
    <w:rsid w:val="00E75953"/>
    <w:rsid w:val="00E770FD"/>
    <w:rsid w:val="00E8656A"/>
    <w:rsid w:val="00EA1E26"/>
    <w:rsid w:val="00EB42CE"/>
    <w:rsid w:val="00EC2A0E"/>
    <w:rsid w:val="00ED7232"/>
    <w:rsid w:val="00F04814"/>
    <w:rsid w:val="00F20632"/>
    <w:rsid w:val="00F47203"/>
    <w:rsid w:val="00F507AE"/>
    <w:rsid w:val="00F53F6C"/>
    <w:rsid w:val="00F5485D"/>
    <w:rsid w:val="00F62C0E"/>
    <w:rsid w:val="00F829D7"/>
    <w:rsid w:val="00FA3255"/>
    <w:rsid w:val="00FB4029"/>
    <w:rsid w:val="00FC2624"/>
    <w:rsid w:val="00FD0F7F"/>
    <w:rsid w:val="00FD16EF"/>
    <w:rsid w:val="00FE1685"/>
    <w:rsid w:val="00FE3F2E"/>
    <w:rsid w:val="00FF2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4620B-21A6-499E-B324-F5A8FC76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CFB"/>
    <w:rPr>
      <w:color w:val="0563C1" w:themeColor="hyperlink"/>
      <w:u w:val="single"/>
    </w:rPr>
  </w:style>
  <w:style w:type="character" w:styleId="Strong">
    <w:name w:val="Strong"/>
    <w:uiPriority w:val="22"/>
    <w:qFormat/>
    <w:rsid w:val="00DB4CFB"/>
    <w:rPr>
      <w:b/>
      <w:bCs/>
    </w:rPr>
  </w:style>
  <w:style w:type="paragraph" w:styleId="Header">
    <w:name w:val="header"/>
    <w:basedOn w:val="Normal"/>
    <w:link w:val="HeaderChar"/>
    <w:uiPriority w:val="99"/>
    <w:unhideWhenUsed/>
    <w:rsid w:val="00DB4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CFB"/>
  </w:style>
  <w:style w:type="paragraph" w:styleId="Footer">
    <w:name w:val="footer"/>
    <w:basedOn w:val="Normal"/>
    <w:link w:val="FooterChar"/>
    <w:uiPriority w:val="99"/>
    <w:unhideWhenUsed/>
    <w:rsid w:val="00DB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CFB"/>
  </w:style>
  <w:style w:type="table" w:styleId="TableGrid">
    <w:name w:val="Table Grid"/>
    <w:basedOn w:val="TableNormal"/>
    <w:uiPriority w:val="59"/>
    <w:rsid w:val="000C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5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049C"/>
    <w:pPr>
      <w:ind w:left="720"/>
      <w:contextualSpacing/>
    </w:pPr>
  </w:style>
  <w:style w:type="paragraph" w:customStyle="1" w:styleId="Default">
    <w:name w:val="Default"/>
    <w:rsid w:val="00927CF7"/>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00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anmac.org.au/standards-and-review/midwife" TargetMode="External"/><Relationship Id="rId26" Type="http://schemas.openxmlformats.org/officeDocument/2006/relationships/hyperlink" Target="https://www.ncbi.nlm.nih.gov/pmc/articles/PMC4296634/" TargetMode="External"/><Relationship Id="rId39" Type="http://schemas.openxmlformats.org/officeDocument/2006/relationships/hyperlink" Target="https://www.nmc.org.uk/globalassets/sitedocuments/standards/nmc-standards-for-preregistration-midwifery-education.pdf" TargetMode="External"/><Relationship Id="rId21" Type="http://schemas.openxmlformats.org/officeDocument/2006/relationships/hyperlink" Target="https://www.plymouth.ac.uk/research/national-grading-of-practice-in-pre-registration-midwifery-project" TargetMode="External"/><Relationship Id="rId34" Type="http://schemas.openxmlformats.org/officeDocument/2006/relationships/hyperlink" Target="https://onlinelibrary.wiley.com/doi/full/10.1111/j.1365-2702.2007.02223.x" TargetMode="External"/><Relationship Id="rId42" Type="http://schemas.openxmlformats.org/officeDocument/2006/relationships/hyperlink" Target="https://www.nmc.org.uk/standards/midwifery/education/" TargetMode="External"/><Relationship Id="rId47" Type="http://schemas.openxmlformats.org/officeDocument/2006/relationships/hyperlink" Target="https://www.nurseeducationinpractice.com/article/S1471-5953(14)00014-6/abstract?code=ynepr-site" TargetMode="External"/><Relationship Id="rId50" Type="http://schemas.openxmlformats.org/officeDocument/2006/relationships/hyperlink" Target="https://wordcounttool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www.novapublishers.com/catalog/product_info.php?products_id=22965" TargetMode="External"/><Relationship Id="rId11" Type="http://schemas.openxmlformats.org/officeDocument/2006/relationships/image" Target="media/image4.png"/><Relationship Id="rId24" Type="http://schemas.openxmlformats.org/officeDocument/2006/relationships/hyperlink" Target="https://www.emeraldinsight.com/doi/abs/10.1108/00400910710749369" TargetMode="External"/><Relationship Id="rId32" Type="http://schemas.openxmlformats.org/officeDocument/2006/relationships/hyperlink" Target="https://www.nurseeducationinpractice.com/article/S1471-5953(11)00144-2/abstract" TargetMode="External"/><Relationship Id="rId37" Type="http://schemas.openxmlformats.org/officeDocument/2006/relationships/hyperlink" Target="https://www.midwiferycouncil.health.nz/professional-standards/what-does-it-take-qualify-midwife" TargetMode="External"/><Relationship Id="rId40" Type="http://schemas.openxmlformats.org/officeDocument/2006/relationships/hyperlink" Target="https://www.nmc.org.uk/standards/additional-standards/standards-for-pre-registration-nursing-education/" TargetMode="External"/><Relationship Id="rId45" Type="http://schemas.openxmlformats.org/officeDocument/2006/relationships/hyperlink" Target="https://www.nmc.org.uk/standards-for-education-and-training/standards-for-student-supervision-and-assessment/"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doi.org/10.1016/j.nepr.2016.01.007" TargetMode="External"/><Relationship Id="rId31" Type="http://schemas.openxmlformats.org/officeDocument/2006/relationships/hyperlink" Target="https://www.myresearchproject.org.uk/" TargetMode="External"/><Relationship Id="rId44" Type="http://schemas.openxmlformats.org/officeDocument/2006/relationships/hyperlink" Target="https://www.nmc.org.uk/standards-for-education-and-training/standards-framework-for-nursing-and-midwifery-education/"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0.png"/><Relationship Id="rId22" Type="http://schemas.openxmlformats.org/officeDocument/2006/relationships/hyperlink" Target="https://www.rcm.org.uk/sites/default/files/EBM%20101-106_0.pdf" TargetMode="External"/><Relationship Id="rId27" Type="http://schemas.openxmlformats.org/officeDocument/2006/relationships/hyperlink" Target="http://www.wordle.net/create" TargetMode="External"/><Relationship Id="rId30" Type="http://schemas.openxmlformats.org/officeDocument/2006/relationships/hyperlink" Target="https://repository.upenn.edu/cgi/viewcontent.cgi?article=1168&amp;context=marketing_papers" TargetMode="External"/><Relationship Id="rId35" Type="http://schemas.openxmlformats.org/officeDocument/2006/relationships/hyperlink" Target="https://www.plymouth.ac.uk/research/national-grading-of-practice-in-pre-registration-midwifery-project" TargetMode="External"/><Relationship Id="rId43" Type="http://schemas.openxmlformats.org/officeDocument/2006/relationships/hyperlink" Target="https://www.nmc.org.uk/standards/standards-for-nurses/standards-for-pre-registration-nursing-programmes/" TargetMode="External"/><Relationship Id="rId48" Type="http://schemas.openxmlformats.org/officeDocument/2006/relationships/hyperlink" Target="file:///C:/Users/mfisher/Downloads/qualifications-frameworks.pdf" TargetMode="External"/><Relationship Id="rId8" Type="http://schemas.openxmlformats.org/officeDocument/2006/relationships/image" Target="media/image1.png"/><Relationship Id="rId51" Type="http://schemas.openxmlformats.org/officeDocument/2006/relationships/hyperlink" Target="http://www.who.int/hrh/nursing_midwifery/hrh_global_standards_education.pdf"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eur-lex.europa.eu/legal-content/EN/TXT/?uri=celex:32005L0036" TargetMode="External"/><Relationship Id="rId33" Type="http://schemas.openxmlformats.org/officeDocument/2006/relationships/hyperlink" Target="https://internationalmidwives.org/assets/uploads/documents/CoreDocuments/ICM%20Standards%20Guidelines_ammended2013.pdf" TargetMode="External"/><Relationship Id="rId38" Type="http://schemas.openxmlformats.org/officeDocument/2006/relationships/hyperlink" Target="http://www.nmc-uk.org/Documents/NMC-Publications/NMC-Standards-to-support-learning-assessment.pdf" TargetMode="External"/><Relationship Id="rId46" Type="http://schemas.openxmlformats.org/officeDocument/2006/relationships/hyperlink" Target="http://www.web.ca/~robrien/papers/arfinal.html" TargetMode="External"/><Relationship Id="rId20" Type="http://schemas.openxmlformats.org/officeDocument/2006/relationships/hyperlink" Target="http://dx.doi.org/10.1016/j.nepr.2017.02.006" TargetMode="External"/><Relationship Id="rId41" Type="http://schemas.openxmlformats.org/officeDocument/2006/relationships/hyperlink" Target="https://www.nmc.org.uk/education/lead-midwifery-educators/the-role-of-lead-midwives-for-educat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nurseeducationinpractice.com/article/S1471-5953(11)00156-9/abstract?code=ynepr-site" TargetMode="External"/><Relationship Id="rId28" Type="http://schemas.openxmlformats.org/officeDocument/2006/relationships/hyperlink" Target="https://www.surveymonkey.co.uk/" TargetMode="External"/><Relationship Id="rId36" Type="http://schemas.openxmlformats.org/officeDocument/2006/relationships/hyperlink" Target="https://www.nurseeducationtoday.com/article/S0260-6917(06)00033-5/abstract" TargetMode="External"/><Relationship Id="rId49" Type="http://schemas.openxmlformats.org/officeDocument/2006/relationships/hyperlink" Target="http://go.galegroup.com/ps/anonymous?id=GALE%7CA172050738&amp;sid=googleScholar&amp;v=2.1&amp;it=r&amp;linkaccess=fulltext&amp;issn=14794489&amp;p=AONE&amp;sw=w&amp;authCount=1&amp;isAnonymousEntry=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5F8FB-DC4A-4C41-A04F-7852000B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3055159F.dotm</Template>
  <TotalTime>0</TotalTime>
  <Pages>37</Pages>
  <Words>7826</Words>
  <Characters>44610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52332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Fisher</dc:creator>
  <cp:keywords/>
  <dc:description/>
  <cp:lastModifiedBy>Galloway, Frances</cp:lastModifiedBy>
  <cp:revision>2</cp:revision>
  <dcterms:created xsi:type="dcterms:W3CDTF">2018-12-17T12:03:00Z</dcterms:created>
  <dcterms:modified xsi:type="dcterms:W3CDTF">2018-12-17T12:03:00Z</dcterms:modified>
</cp:coreProperties>
</file>