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BCBC" w14:textId="75769E69" w:rsidR="00D340F2" w:rsidRDefault="00821169" w:rsidP="0000073B">
      <w:pPr>
        <w:pStyle w:val="Heading1"/>
        <w:spacing w:after="0"/>
        <w:jc w:val="center"/>
        <w:rPr>
          <w:rFonts w:ascii="Calibri" w:hAnsi="Calibri"/>
        </w:rPr>
      </w:pPr>
      <w:bookmarkStart w:id="0" w:name="_Hlk522871373"/>
      <w:r>
        <w:rPr>
          <w:rFonts w:ascii="Calibri" w:hAnsi="Calibri"/>
        </w:rPr>
        <w:t>D</w:t>
      </w:r>
      <w:r w:rsidR="00D340F2" w:rsidRPr="00C274B8">
        <w:rPr>
          <w:rFonts w:ascii="Calibri" w:hAnsi="Calibri"/>
        </w:rPr>
        <w:t xml:space="preserve">ecline in </w:t>
      </w:r>
      <w:r w:rsidR="00EC08F1">
        <w:rPr>
          <w:rFonts w:ascii="Calibri" w:hAnsi="Calibri"/>
        </w:rPr>
        <w:t xml:space="preserve">sexuality </w:t>
      </w:r>
      <w:r w:rsidR="00E402B5">
        <w:rPr>
          <w:rFonts w:ascii="Calibri" w:hAnsi="Calibri"/>
        </w:rPr>
        <w:t xml:space="preserve">and </w:t>
      </w:r>
      <w:r w:rsidR="00872504">
        <w:rPr>
          <w:rFonts w:ascii="Calibri" w:hAnsi="Calibri"/>
        </w:rPr>
        <w:t>wellbeing</w:t>
      </w:r>
      <w:r w:rsidR="00654FB6">
        <w:rPr>
          <w:rFonts w:ascii="Calibri" w:hAnsi="Calibri"/>
        </w:rPr>
        <w:t xml:space="preserve"> in older adults</w:t>
      </w:r>
      <w:r w:rsidR="00E402B5">
        <w:rPr>
          <w:rFonts w:ascii="Calibri" w:hAnsi="Calibri"/>
        </w:rPr>
        <w:t xml:space="preserve">: a </w:t>
      </w:r>
      <w:r w:rsidR="000E219D">
        <w:rPr>
          <w:rFonts w:ascii="Calibri" w:hAnsi="Calibri"/>
        </w:rPr>
        <w:t>population-based</w:t>
      </w:r>
      <w:r w:rsidR="00E402B5">
        <w:rPr>
          <w:rFonts w:ascii="Calibri" w:hAnsi="Calibri"/>
        </w:rPr>
        <w:t xml:space="preserve"> study</w:t>
      </w:r>
    </w:p>
    <w:p w14:paraId="0538D6E5" w14:textId="77777777" w:rsidR="00C37A79" w:rsidRPr="00AE0AD6" w:rsidRDefault="00C37A79" w:rsidP="00C37A79">
      <w:pPr>
        <w:jc w:val="center"/>
        <w:rPr>
          <w:vertAlign w:val="superscript"/>
        </w:rPr>
      </w:pPr>
      <w:r>
        <w:t>Sarah E. Jackson</w:t>
      </w:r>
      <w:r>
        <w:rPr>
          <w:vertAlign w:val="superscript"/>
        </w:rPr>
        <w:t>1</w:t>
      </w:r>
      <w:r>
        <w:t>, Joseph Firth</w:t>
      </w:r>
      <w:r>
        <w:rPr>
          <w:vertAlign w:val="superscript"/>
        </w:rPr>
        <w:t>2</w:t>
      </w:r>
      <w:r>
        <w:t>, Nicola Veronese</w:t>
      </w:r>
      <w:r>
        <w:rPr>
          <w:vertAlign w:val="superscript"/>
        </w:rPr>
        <w:t>3</w:t>
      </w:r>
      <w:r>
        <w:t>, Brendon Stubbs</w:t>
      </w:r>
      <w:r w:rsidRPr="00D62467">
        <w:rPr>
          <w:vertAlign w:val="superscript"/>
        </w:rPr>
        <w:t>4-6</w:t>
      </w:r>
      <w:r>
        <w:t>, Ai Koyanagi</w:t>
      </w:r>
      <w:r w:rsidRPr="00D62467">
        <w:rPr>
          <w:vertAlign w:val="superscript"/>
        </w:rPr>
        <w:t>7</w:t>
      </w:r>
      <w:r>
        <w:t>, Lin Yang</w:t>
      </w:r>
      <w:r>
        <w:rPr>
          <w:vertAlign w:val="superscript"/>
        </w:rPr>
        <w:t>8</w:t>
      </w:r>
      <w:r>
        <w:t>, Lee Smith</w:t>
      </w:r>
      <w:r>
        <w:rPr>
          <w:vertAlign w:val="superscript"/>
        </w:rPr>
        <w:t>9</w:t>
      </w:r>
    </w:p>
    <w:p w14:paraId="7098C151" w14:textId="77777777" w:rsidR="00C37A79" w:rsidRDefault="00C37A79" w:rsidP="00C37A79">
      <w:pPr>
        <w:rPr>
          <w:vertAlign w:val="superscript"/>
          <w:lang w:eastAsia="zh-CN"/>
        </w:rPr>
      </w:pPr>
    </w:p>
    <w:p w14:paraId="2F3D2E1F" w14:textId="77777777" w:rsidR="00C37A79" w:rsidRDefault="00C37A79" w:rsidP="00C37A79">
      <w:pPr>
        <w:spacing w:after="0"/>
        <w:rPr>
          <w:lang w:eastAsia="zh-CN"/>
        </w:rPr>
      </w:pPr>
      <w:proofErr w:type="gramStart"/>
      <w:r w:rsidRPr="00AE0AD6">
        <w:rPr>
          <w:vertAlign w:val="superscript"/>
          <w:lang w:eastAsia="zh-CN"/>
        </w:rPr>
        <w:t>1</w:t>
      </w:r>
      <w:proofErr w:type="gramEnd"/>
      <w:r w:rsidRPr="00925791">
        <w:rPr>
          <w:lang w:eastAsia="zh-CN"/>
        </w:rPr>
        <w:t xml:space="preserve"> Department of Behavioural Science and Health, University College London, London</w:t>
      </w:r>
      <w:r>
        <w:rPr>
          <w:lang w:eastAsia="zh-CN"/>
        </w:rPr>
        <w:t>, UK</w:t>
      </w:r>
    </w:p>
    <w:p w14:paraId="591F321A" w14:textId="77777777" w:rsidR="00C37A79" w:rsidRDefault="00C37A79" w:rsidP="00C37A79">
      <w:pPr>
        <w:spacing w:after="0"/>
        <w:rPr>
          <w:lang w:eastAsia="zh-CN"/>
        </w:rPr>
      </w:pPr>
      <w:proofErr w:type="gramStart"/>
      <w:r w:rsidRPr="00D62467">
        <w:rPr>
          <w:vertAlign w:val="superscript"/>
          <w:lang w:eastAsia="zh-CN"/>
        </w:rPr>
        <w:t>2</w:t>
      </w:r>
      <w:proofErr w:type="gramEnd"/>
      <w:r w:rsidRPr="00D62467">
        <w:rPr>
          <w:vertAlign w:val="superscript"/>
          <w:lang w:eastAsia="zh-CN"/>
        </w:rPr>
        <w:t xml:space="preserve"> </w:t>
      </w:r>
      <w:r>
        <w:rPr>
          <w:lang w:eastAsia="zh-CN"/>
        </w:rPr>
        <w:t xml:space="preserve">NICM Health Research Institute, Western Sydney University, </w:t>
      </w:r>
      <w:proofErr w:type="spellStart"/>
      <w:r>
        <w:rPr>
          <w:lang w:eastAsia="zh-CN"/>
        </w:rPr>
        <w:t>Westmead</w:t>
      </w:r>
      <w:proofErr w:type="spellEnd"/>
      <w:r>
        <w:rPr>
          <w:lang w:eastAsia="zh-CN"/>
        </w:rPr>
        <w:t>, Australia</w:t>
      </w:r>
    </w:p>
    <w:p w14:paraId="1CD1FD4B" w14:textId="77777777" w:rsidR="00C37A79" w:rsidRPr="00EC08F1" w:rsidRDefault="00C37A79" w:rsidP="00C37A79">
      <w:pPr>
        <w:spacing w:after="0"/>
        <w:rPr>
          <w:lang w:eastAsia="zh-CN"/>
        </w:rPr>
      </w:pPr>
      <w:proofErr w:type="gramStart"/>
      <w:r>
        <w:rPr>
          <w:vertAlign w:val="superscript"/>
          <w:lang w:eastAsia="zh-CN"/>
        </w:rPr>
        <w:t>3</w:t>
      </w:r>
      <w:proofErr w:type="gramEnd"/>
      <w:r>
        <w:rPr>
          <w:vertAlign w:val="superscript"/>
          <w:lang w:eastAsia="zh-CN"/>
        </w:rPr>
        <w:t xml:space="preserve"> </w:t>
      </w:r>
      <w:r>
        <w:rPr>
          <w:lang w:eastAsia="zh-CN"/>
        </w:rPr>
        <w:t>Division of Psychology and Mental Health, University of Manchester, Manchester, UK</w:t>
      </w:r>
    </w:p>
    <w:p w14:paraId="3EEEE4A9" w14:textId="77777777" w:rsidR="00C37A79" w:rsidRDefault="00C37A79" w:rsidP="00C37A79">
      <w:pPr>
        <w:spacing w:after="0"/>
        <w:rPr>
          <w:lang w:eastAsia="zh-CN"/>
        </w:rPr>
      </w:pPr>
      <w:proofErr w:type="gramStart"/>
      <w:r>
        <w:rPr>
          <w:vertAlign w:val="superscript"/>
          <w:lang w:eastAsia="zh-CN"/>
        </w:rPr>
        <w:t>3</w:t>
      </w:r>
      <w:proofErr w:type="gramEnd"/>
      <w:r>
        <w:rPr>
          <w:lang w:eastAsia="zh-CN"/>
        </w:rPr>
        <w:t xml:space="preserve"> National Research Council, Neuroscience Institute, Aging Branch, </w:t>
      </w:r>
      <w:proofErr w:type="spellStart"/>
      <w:r>
        <w:rPr>
          <w:lang w:eastAsia="zh-CN"/>
        </w:rPr>
        <w:t>Padova</w:t>
      </w:r>
      <w:proofErr w:type="spellEnd"/>
      <w:r>
        <w:rPr>
          <w:lang w:eastAsia="zh-CN"/>
        </w:rPr>
        <w:t>, Italy</w:t>
      </w:r>
    </w:p>
    <w:p w14:paraId="6DC70CFF" w14:textId="77777777" w:rsidR="00C37A79" w:rsidRDefault="00C37A79" w:rsidP="00C37A79">
      <w:pPr>
        <w:spacing w:after="0"/>
        <w:rPr>
          <w:lang w:eastAsia="zh-CN"/>
        </w:rPr>
      </w:pPr>
      <w:r w:rsidRPr="00D62467">
        <w:rPr>
          <w:vertAlign w:val="superscript"/>
          <w:lang w:eastAsia="zh-CN"/>
        </w:rPr>
        <w:t>4</w:t>
      </w:r>
      <w:r>
        <w:rPr>
          <w:lang w:eastAsia="zh-CN"/>
        </w:rPr>
        <w:t xml:space="preserve"> Physiotherapy Department, South London and </w:t>
      </w:r>
      <w:proofErr w:type="spellStart"/>
      <w:r>
        <w:rPr>
          <w:lang w:eastAsia="zh-CN"/>
        </w:rPr>
        <w:t>Maudsley</w:t>
      </w:r>
      <w:proofErr w:type="spellEnd"/>
      <w:r>
        <w:rPr>
          <w:lang w:eastAsia="zh-CN"/>
        </w:rPr>
        <w:t xml:space="preserve"> NHS Foundation Trust, Denmark Hill, London, United Kingdom</w:t>
      </w:r>
    </w:p>
    <w:p w14:paraId="084A782B" w14:textId="77777777" w:rsidR="00C37A79" w:rsidRDefault="00C37A79" w:rsidP="00C37A79">
      <w:pPr>
        <w:spacing w:after="0"/>
        <w:rPr>
          <w:lang w:eastAsia="zh-CN"/>
        </w:rPr>
      </w:pPr>
      <w:r w:rsidRPr="00D62467">
        <w:rPr>
          <w:vertAlign w:val="superscript"/>
          <w:lang w:eastAsia="zh-CN"/>
        </w:rPr>
        <w:t>5</w:t>
      </w:r>
      <w:r>
        <w:rPr>
          <w:lang w:eastAsia="zh-CN"/>
        </w:rPr>
        <w:t xml:space="preserve"> Department of Psychological Medicine, Institute of Psychiatry, Psychology and Neuroscience, King's College London, De </w:t>
      </w:r>
      <w:proofErr w:type="spellStart"/>
      <w:r>
        <w:rPr>
          <w:lang w:eastAsia="zh-CN"/>
        </w:rPr>
        <w:t>Crespigny</w:t>
      </w:r>
      <w:proofErr w:type="spellEnd"/>
      <w:r>
        <w:rPr>
          <w:lang w:eastAsia="zh-CN"/>
        </w:rPr>
        <w:t xml:space="preserve"> Park, London, United Kingdom</w:t>
      </w:r>
    </w:p>
    <w:p w14:paraId="2BF0C1E5" w14:textId="77777777" w:rsidR="00C37A79" w:rsidRPr="00B646A7" w:rsidRDefault="00C37A79" w:rsidP="00C37A79">
      <w:pPr>
        <w:spacing w:after="0"/>
        <w:rPr>
          <w:lang w:eastAsia="zh-CN"/>
        </w:rPr>
      </w:pPr>
      <w:proofErr w:type="gramStart"/>
      <w:r w:rsidRPr="00D62467">
        <w:rPr>
          <w:vertAlign w:val="superscript"/>
          <w:lang w:eastAsia="zh-CN"/>
        </w:rPr>
        <w:t>6</w:t>
      </w:r>
      <w:proofErr w:type="gramEnd"/>
      <w:r>
        <w:rPr>
          <w:lang w:eastAsia="zh-CN"/>
        </w:rPr>
        <w:t xml:space="preserve"> Faculty of Health, Social Care and Education, Anglia Ruskin University, Chelmsford, United Kingdom</w:t>
      </w:r>
    </w:p>
    <w:p w14:paraId="4E4B317A" w14:textId="77777777" w:rsidR="00C37A79" w:rsidRPr="00D62467" w:rsidRDefault="00C37A79" w:rsidP="00C37A79">
      <w:pPr>
        <w:spacing w:after="0"/>
        <w:rPr>
          <w:lang w:eastAsia="zh-CN"/>
        </w:rPr>
      </w:pPr>
      <w:r>
        <w:rPr>
          <w:vertAlign w:val="superscript"/>
          <w:lang w:eastAsia="zh-CN"/>
        </w:rPr>
        <w:t>7</w:t>
      </w:r>
      <w:r w:rsidRPr="00D62467">
        <w:rPr>
          <w:lang w:eastAsia="zh-CN"/>
        </w:rPr>
        <w:t xml:space="preserve"> Research and Development Unit, </w:t>
      </w:r>
      <w:proofErr w:type="spellStart"/>
      <w:r w:rsidRPr="00D62467">
        <w:rPr>
          <w:lang w:eastAsia="zh-CN"/>
        </w:rPr>
        <w:t>Parc</w:t>
      </w:r>
      <w:proofErr w:type="spellEnd"/>
      <w:r w:rsidRPr="00D62467">
        <w:rPr>
          <w:lang w:eastAsia="zh-CN"/>
        </w:rPr>
        <w:t xml:space="preserve"> </w:t>
      </w:r>
      <w:proofErr w:type="spellStart"/>
      <w:r w:rsidRPr="00D62467">
        <w:rPr>
          <w:lang w:eastAsia="zh-CN"/>
        </w:rPr>
        <w:t>Sanitari</w:t>
      </w:r>
      <w:proofErr w:type="spellEnd"/>
      <w:r w:rsidRPr="00D62467">
        <w:rPr>
          <w:lang w:eastAsia="zh-CN"/>
        </w:rPr>
        <w:t xml:space="preserve"> </w:t>
      </w:r>
      <w:proofErr w:type="spellStart"/>
      <w:r w:rsidRPr="00D62467">
        <w:rPr>
          <w:lang w:eastAsia="zh-CN"/>
        </w:rPr>
        <w:t>Sant</w:t>
      </w:r>
      <w:proofErr w:type="spellEnd"/>
      <w:r w:rsidRPr="00D62467">
        <w:rPr>
          <w:lang w:eastAsia="zh-CN"/>
        </w:rPr>
        <w:t xml:space="preserve"> Joan de </w:t>
      </w:r>
      <w:proofErr w:type="spellStart"/>
      <w:r w:rsidRPr="00D62467">
        <w:rPr>
          <w:lang w:eastAsia="zh-CN"/>
        </w:rPr>
        <w:t>Déu</w:t>
      </w:r>
      <w:proofErr w:type="spellEnd"/>
      <w:r w:rsidRPr="00D62467">
        <w:rPr>
          <w:lang w:eastAsia="zh-CN"/>
        </w:rPr>
        <w:t xml:space="preserve">/CIBERSAM, </w:t>
      </w:r>
      <w:proofErr w:type="spellStart"/>
      <w:r w:rsidRPr="00D62467">
        <w:rPr>
          <w:lang w:eastAsia="zh-CN"/>
        </w:rPr>
        <w:t>Universitat</w:t>
      </w:r>
      <w:proofErr w:type="spellEnd"/>
      <w:r w:rsidRPr="00D62467">
        <w:rPr>
          <w:lang w:eastAsia="zh-CN"/>
        </w:rPr>
        <w:t xml:space="preserve"> de Barcelona, </w:t>
      </w:r>
      <w:proofErr w:type="spellStart"/>
      <w:r w:rsidRPr="00D62467">
        <w:rPr>
          <w:lang w:eastAsia="zh-CN"/>
        </w:rPr>
        <w:t>Fundació</w:t>
      </w:r>
      <w:proofErr w:type="spellEnd"/>
      <w:r w:rsidRPr="00D62467">
        <w:rPr>
          <w:lang w:eastAsia="zh-CN"/>
        </w:rPr>
        <w:t xml:space="preserve"> </w:t>
      </w:r>
      <w:proofErr w:type="spellStart"/>
      <w:r w:rsidRPr="00D62467">
        <w:rPr>
          <w:lang w:eastAsia="zh-CN"/>
        </w:rPr>
        <w:t>Sant</w:t>
      </w:r>
      <w:proofErr w:type="spellEnd"/>
      <w:r w:rsidRPr="00D62467">
        <w:rPr>
          <w:lang w:eastAsia="zh-CN"/>
        </w:rPr>
        <w:t xml:space="preserve"> Joan de </w:t>
      </w:r>
      <w:proofErr w:type="spellStart"/>
      <w:r w:rsidRPr="00D62467">
        <w:rPr>
          <w:lang w:eastAsia="zh-CN"/>
        </w:rPr>
        <w:t>Déu</w:t>
      </w:r>
      <w:proofErr w:type="spellEnd"/>
      <w:r w:rsidRPr="00D62467">
        <w:rPr>
          <w:lang w:eastAsia="zh-CN"/>
        </w:rPr>
        <w:t xml:space="preserve">, </w:t>
      </w:r>
      <w:proofErr w:type="spellStart"/>
      <w:r w:rsidRPr="00D62467">
        <w:rPr>
          <w:lang w:eastAsia="zh-CN"/>
        </w:rPr>
        <w:t>Dr.</w:t>
      </w:r>
      <w:proofErr w:type="spellEnd"/>
      <w:r w:rsidRPr="00D62467">
        <w:rPr>
          <w:lang w:eastAsia="zh-CN"/>
        </w:rPr>
        <w:t xml:space="preserve"> Antoni Pujadas, Barcelona, Spain</w:t>
      </w:r>
    </w:p>
    <w:p w14:paraId="35B5F382" w14:textId="77777777" w:rsidR="00C37A79" w:rsidRDefault="00C37A79" w:rsidP="00C37A79">
      <w:pPr>
        <w:spacing w:after="0"/>
        <w:rPr>
          <w:lang w:eastAsia="zh-CN"/>
        </w:rPr>
      </w:pPr>
      <w:proofErr w:type="gramStart"/>
      <w:r>
        <w:rPr>
          <w:vertAlign w:val="superscript"/>
          <w:lang w:eastAsia="zh-CN"/>
        </w:rPr>
        <w:t>8</w:t>
      </w:r>
      <w:proofErr w:type="gramEnd"/>
      <w:r w:rsidRPr="00D62467">
        <w:rPr>
          <w:lang w:eastAsia="zh-CN"/>
        </w:rPr>
        <w:t xml:space="preserve"> Department of Epidemiology, </w:t>
      </w:r>
      <w:proofErr w:type="spellStart"/>
      <w:r w:rsidRPr="00D62467">
        <w:rPr>
          <w:lang w:eastAsia="zh-CN"/>
        </w:rPr>
        <w:t>Center</w:t>
      </w:r>
      <w:proofErr w:type="spellEnd"/>
      <w:r w:rsidRPr="00D62467">
        <w:rPr>
          <w:lang w:eastAsia="zh-CN"/>
        </w:rPr>
        <w:t xml:space="preserve"> for Public Health, Medical University of Vienna, Vienna, Austria</w:t>
      </w:r>
    </w:p>
    <w:p w14:paraId="204B8211" w14:textId="77777777" w:rsidR="00C37A79" w:rsidRPr="00D62467" w:rsidRDefault="00C37A79" w:rsidP="00C37A79">
      <w:pPr>
        <w:rPr>
          <w:lang w:eastAsia="zh-CN"/>
        </w:rPr>
      </w:pPr>
      <w:r>
        <w:rPr>
          <w:vertAlign w:val="superscript"/>
          <w:lang w:eastAsia="zh-CN"/>
        </w:rPr>
        <w:t>9</w:t>
      </w:r>
      <w:r w:rsidRPr="0024408C">
        <w:rPr>
          <w:lang w:eastAsia="zh-CN"/>
        </w:rPr>
        <w:t xml:space="preserve"> </w:t>
      </w:r>
      <w:r w:rsidRPr="00D62467">
        <w:rPr>
          <w:lang w:eastAsia="zh-CN"/>
        </w:rPr>
        <w:t>The Cambridge Centre for Sports &amp; Exercise Sciences, Anglia Ruskin University, Cambridge, UK</w:t>
      </w:r>
    </w:p>
    <w:p w14:paraId="0BC996BA" w14:textId="77777777" w:rsidR="00C37A79" w:rsidRDefault="00C37A79" w:rsidP="00C37A79"/>
    <w:p w14:paraId="4FA81B29" w14:textId="77777777" w:rsidR="00C37A79" w:rsidRPr="00AE0AD6" w:rsidRDefault="00C37A79" w:rsidP="00C37A79">
      <w:pPr>
        <w:rPr>
          <w:color w:val="000000"/>
        </w:rPr>
      </w:pPr>
      <w:r w:rsidRPr="00AE0AD6">
        <w:rPr>
          <w:rFonts w:hint="eastAsia"/>
          <w:b/>
          <w:color w:val="000000"/>
        </w:rPr>
        <w:t>Correspond</w:t>
      </w:r>
      <w:r w:rsidRPr="00AE0AD6">
        <w:rPr>
          <w:b/>
          <w:color w:val="000000"/>
        </w:rPr>
        <w:t>ing author</w:t>
      </w:r>
      <w:r w:rsidRPr="00AE0AD6">
        <w:rPr>
          <w:color w:val="000000"/>
        </w:rPr>
        <w:t>: Sarah E. Jackson, PhD. Department of Behavioural Science and Health, University College London, London, UK. s.e.jackson@ucl.ac.uk</w:t>
      </w:r>
    </w:p>
    <w:p w14:paraId="7F26D992" w14:textId="77777777" w:rsidR="00C37A79" w:rsidRPr="00AE0AD6" w:rsidRDefault="00C37A79" w:rsidP="00C37A79">
      <w:pPr>
        <w:rPr>
          <w:color w:val="000000"/>
        </w:rPr>
      </w:pPr>
      <w:r w:rsidRPr="00AE0AD6">
        <w:rPr>
          <w:b/>
          <w:color w:val="000000"/>
        </w:rPr>
        <w:t>Disclosures and acknowledgments</w:t>
      </w:r>
      <w:r w:rsidRPr="00AE0AD6">
        <w:rPr>
          <w:color w:val="000000"/>
        </w:rPr>
        <w:t>: The authors have no conflicts to disclose.</w:t>
      </w:r>
    </w:p>
    <w:p w14:paraId="1075A28A" w14:textId="77777777" w:rsidR="00C37A79" w:rsidRPr="00AE0AD6" w:rsidRDefault="00C37A79" w:rsidP="00C37A79">
      <w:pPr>
        <w:rPr>
          <w:color w:val="000000"/>
        </w:rPr>
      </w:pPr>
      <w:proofErr w:type="gramStart"/>
      <w:r w:rsidRPr="00AE0AD6">
        <w:rPr>
          <w:b/>
          <w:color w:val="000000"/>
        </w:rPr>
        <w:t>Funding</w:t>
      </w:r>
      <w:r w:rsidRPr="00AE0AD6">
        <w:rPr>
          <w:color w:val="000000"/>
        </w:rPr>
        <w:t>: None</w:t>
      </w:r>
      <w:proofErr w:type="gramEnd"/>
      <w:r w:rsidRPr="00AE0AD6">
        <w:rPr>
          <w:rFonts w:hint="eastAsia"/>
          <w:color w:val="000000"/>
        </w:rPr>
        <w:t>.</w:t>
      </w:r>
    </w:p>
    <w:p w14:paraId="26035F93" w14:textId="77777777" w:rsidR="0000073B" w:rsidRDefault="0000073B">
      <w:pPr>
        <w:spacing w:after="160" w:line="259" w:lineRule="auto"/>
        <w:rPr>
          <w:b/>
          <w:sz w:val="26"/>
          <w:szCs w:val="26"/>
        </w:rPr>
      </w:pPr>
      <w:bookmarkStart w:id="1" w:name="_GoBack"/>
      <w:bookmarkEnd w:id="1"/>
      <w:r>
        <w:br w:type="page"/>
      </w:r>
    </w:p>
    <w:p w14:paraId="321460C0" w14:textId="5CFB0BDF" w:rsidR="00C274B8" w:rsidRDefault="004E45E6" w:rsidP="0091064B">
      <w:pPr>
        <w:pStyle w:val="Heading1"/>
      </w:pPr>
      <w:r>
        <w:lastRenderedPageBreak/>
        <w:t>Abstract</w:t>
      </w:r>
    </w:p>
    <w:p w14:paraId="032CAA2B" w14:textId="3C4CDB5E" w:rsidR="00D340F2" w:rsidRPr="00A11C15" w:rsidRDefault="0035619D" w:rsidP="00806E24">
      <w:pPr>
        <w:jc w:val="both"/>
      </w:pPr>
      <w:r w:rsidRPr="00B0009A">
        <w:rPr>
          <w:rFonts w:ascii="Calibri" w:hAnsi="Calibri"/>
          <w:b/>
        </w:rPr>
        <w:t>Background</w:t>
      </w:r>
      <w:r>
        <w:rPr>
          <w:rFonts w:ascii="Calibri" w:hAnsi="Calibri"/>
        </w:rPr>
        <w:t>:</w:t>
      </w:r>
      <w:r w:rsidR="00A11C15" w:rsidRPr="00A11C15">
        <w:t xml:space="preserve"> </w:t>
      </w:r>
      <w:r w:rsidR="00832B4B">
        <w:t>A</w:t>
      </w:r>
      <w:r w:rsidR="00806E24">
        <w:t>ge-related decline</w:t>
      </w:r>
      <w:r w:rsidR="00832B4B">
        <w:t>s</w:t>
      </w:r>
      <w:r w:rsidR="00806E24">
        <w:t xml:space="preserve"> in sexuality and increase in mental health complications have been well documented. However, whether these two phenomena</w:t>
      </w:r>
      <w:r w:rsidR="00B459EA">
        <w:t xml:space="preserve"> are related has not </w:t>
      </w:r>
      <w:r w:rsidR="00806E24">
        <w:t>been explored.</w:t>
      </w:r>
      <w:r w:rsidR="00A11C15">
        <w:t xml:space="preserve"> The present study </w:t>
      </w:r>
      <w:r w:rsidR="00806E24">
        <w:t xml:space="preserve">therefore aimed </w:t>
      </w:r>
      <w:r w:rsidR="00A11C15">
        <w:t>to investigate associations betwe</w:t>
      </w:r>
      <w:r w:rsidR="00B459EA">
        <w:t xml:space="preserve">en a decline in sexuality and </w:t>
      </w:r>
      <w:r w:rsidR="00806E24">
        <w:t xml:space="preserve">markers of </w:t>
      </w:r>
      <w:r w:rsidR="00A11C15">
        <w:t xml:space="preserve">mental health </w:t>
      </w:r>
      <w:r w:rsidR="00806E24">
        <w:t>and wellbeing</w:t>
      </w:r>
      <w:r w:rsidR="008A7BB5">
        <w:t>.</w:t>
      </w:r>
    </w:p>
    <w:p w14:paraId="6E41AF1A" w14:textId="1C08902D" w:rsidR="0035619D" w:rsidRDefault="0035619D" w:rsidP="0091064B">
      <w:pPr>
        <w:spacing w:afterLines="120" w:after="288"/>
        <w:rPr>
          <w:rFonts w:ascii="Calibri" w:hAnsi="Calibri"/>
        </w:rPr>
      </w:pPr>
      <w:r w:rsidRPr="00B0009A">
        <w:rPr>
          <w:rFonts w:ascii="Calibri" w:hAnsi="Calibri"/>
          <w:b/>
        </w:rPr>
        <w:t>Method</w:t>
      </w:r>
      <w:r>
        <w:rPr>
          <w:rFonts w:ascii="Calibri" w:hAnsi="Calibri"/>
        </w:rPr>
        <w:t>:</w:t>
      </w:r>
      <w:r w:rsidR="0022722B">
        <w:rPr>
          <w:rFonts w:ascii="Calibri" w:hAnsi="Calibri"/>
        </w:rPr>
        <w:t xml:space="preserve"> </w:t>
      </w:r>
      <w:r w:rsidR="009D7DB3">
        <w:rPr>
          <w:rFonts w:ascii="Calibri" w:hAnsi="Calibri"/>
        </w:rPr>
        <w:t xml:space="preserve">Data were collected </w:t>
      </w:r>
      <w:r w:rsidR="00FF5D5F">
        <w:rPr>
          <w:rFonts w:ascii="Calibri" w:hAnsi="Calibri"/>
        </w:rPr>
        <w:t xml:space="preserve">in 2012/13 </w:t>
      </w:r>
      <w:r w:rsidR="009D7DB3">
        <w:rPr>
          <w:rFonts w:ascii="Calibri" w:hAnsi="Calibri"/>
        </w:rPr>
        <w:t>from 2,614 men and 3,217 women participating in the Engli</w:t>
      </w:r>
      <w:r w:rsidR="00FF5D5F">
        <w:rPr>
          <w:rFonts w:ascii="Calibri" w:hAnsi="Calibri"/>
        </w:rPr>
        <w:t>s</w:t>
      </w:r>
      <w:r w:rsidR="002F7FB4">
        <w:rPr>
          <w:rFonts w:ascii="Calibri" w:hAnsi="Calibri"/>
        </w:rPr>
        <w:t>h Longitudinal Study of Ageing, a population-representative panel study of older adults (≥5</w:t>
      </w:r>
      <w:r w:rsidR="004A2BCD">
        <w:rPr>
          <w:rFonts w:ascii="Calibri" w:hAnsi="Calibri"/>
        </w:rPr>
        <w:t>0y</w:t>
      </w:r>
      <w:r w:rsidR="002F7FB4">
        <w:rPr>
          <w:rFonts w:ascii="Calibri" w:hAnsi="Calibri"/>
        </w:rPr>
        <w:t>).</w:t>
      </w:r>
      <w:r w:rsidR="00B566C5">
        <w:rPr>
          <w:rFonts w:ascii="Calibri" w:hAnsi="Calibri"/>
        </w:rPr>
        <w:t xml:space="preserve"> Past-year declines in sexual desire, frequency of sexual activities</w:t>
      </w:r>
      <w:r w:rsidR="004A2BCD">
        <w:rPr>
          <w:rFonts w:ascii="Calibri" w:hAnsi="Calibri"/>
        </w:rPr>
        <w:t>,</w:t>
      </w:r>
      <w:r w:rsidR="00B566C5">
        <w:rPr>
          <w:rFonts w:ascii="Calibri" w:hAnsi="Calibri"/>
        </w:rPr>
        <w:t xml:space="preserve"> and sexual function were self-reported. </w:t>
      </w:r>
      <w:r w:rsidR="00E424D7">
        <w:rPr>
          <w:rFonts w:ascii="Calibri" w:hAnsi="Calibri"/>
        </w:rPr>
        <w:t>Three markers of wellbeing (d</w:t>
      </w:r>
      <w:r w:rsidR="00B566C5">
        <w:rPr>
          <w:rFonts w:ascii="Calibri" w:hAnsi="Calibri"/>
        </w:rPr>
        <w:t>epressive symptoms, quality of life</w:t>
      </w:r>
      <w:r w:rsidR="00CB51C0">
        <w:rPr>
          <w:rFonts w:ascii="Calibri" w:hAnsi="Calibri"/>
        </w:rPr>
        <w:t xml:space="preserve"> </w:t>
      </w:r>
      <w:r w:rsidR="00B566C5">
        <w:rPr>
          <w:rFonts w:ascii="Calibri" w:hAnsi="Calibri"/>
        </w:rPr>
        <w:t>and life satisfaction</w:t>
      </w:r>
      <w:r w:rsidR="00E424D7">
        <w:rPr>
          <w:rFonts w:ascii="Calibri" w:hAnsi="Calibri"/>
        </w:rPr>
        <w:t>)</w:t>
      </w:r>
      <w:r w:rsidR="00F23222">
        <w:rPr>
          <w:rFonts w:ascii="Calibri" w:hAnsi="Calibri"/>
        </w:rPr>
        <w:t xml:space="preserve"> were assessed using validated scales</w:t>
      </w:r>
      <w:r w:rsidR="00B566C5">
        <w:rPr>
          <w:rFonts w:ascii="Calibri" w:hAnsi="Calibri"/>
        </w:rPr>
        <w:t>.</w:t>
      </w:r>
      <w:r w:rsidR="00F23222">
        <w:rPr>
          <w:rFonts w:ascii="Calibri" w:hAnsi="Calibri"/>
        </w:rPr>
        <w:t xml:space="preserve"> </w:t>
      </w:r>
      <w:r w:rsidR="00E424D7">
        <w:rPr>
          <w:rFonts w:ascii="Calibri" w:hAnsi="Calibri"/>
        </w:rPr>
        <w:t>Associations between d</w:t>
      </w:r>
      <w:r w:rsidR="00425BB1">
        <w:rPr>
          <w:rFonts w:ascii="Calibri" w:hAnsi="Calibri"/>
        </w:rPr>
        <w:t>ecline</w:t>
      </w:r>
      <w:r w:rsidR="00806E24">
        <w:rPr>
          <w:rFonts w:ascii="Calibri" w:hAnsi="Calibri"/>
        </w:rPr>
        <w:t>s</w:t>
      </w:r>
      <w:r w:rsidR="00425BB1">
        <w:rPr>
          <w:rFonts w:ascii="Calibri" w:hAnsi="Calibri"/>
        </w:rPr>
        <w:t xml:space="preserve"> in sexual</w:t>
      </w:r>
      <w:r w:rsidR="00806E24">
        <w:rPr>
          <w:rFonts w:ascii="Calibri" w:hAnsi="Calibri"/>
        </w:rPr>
        <w:t>ity</w:t>
      </w:r>
      <w:r w:rsidR="00425BB1">
        <w:rPr>
          <w:rFonts w:ascii="Calibri" w:hAnsi="Calibri"/>
        </w:rPr>
        <w:t xml:space="preserve"> and </w:t>
      </w:r>
      <w:r w:rsidR="00E424D7">
        <w:rPr>
          <w:rFonts w:ascii="Calibri" w:hAnsi="Calibri"/>
        </w:rPr>
        <w:t>wellbeing</w:t>
      </w:r>
      <w:r w:rsidR="00425BB1">
        <w:rPr>
          <w:rFonts w:ascii="Calibri" w:hAnsi="Calibri"/>
        </w:rPr>
        <w:t xml:space="preserve"> </w:t>
      </w:r>
      <w:r w:rsidR="00832B4B">
        <w:rPr>
          <w:rFonts w:ascii="Calibri" w:hAnsi="Calibri"/>
        </w:rPr>
        <w:t xml:space="preserve">were analysed </w:t>
      </w:r>
      <w:r w:rsidR="00425BB1">
        <w:rPr>
          <w:rFonts w:ascii="Calibri" w:hAnsi="Calibri"/>
        </w:rPr>
        <w:t xml:space="preserve">using one-way independent analyses of variance, adjusted for </w:t>
      </w:r>
      <w:r w:rsidR="00CB51C0">
        <w:rPr>
          <w:rFonts w:ascii="Calibri" w:hAnsi="Calibri"/>
        </w:rPr>
        <w:t>a range of socio-demographic and health-related covariates</w:t>
      </w:r>
      <w:r w:rsidR="00425BB1">
        <w:rPr>
          <w:rFonts w:ascii="Calibri" w:hAnsi="Calibri"/>
        </w:rPr>
        <w:t>.</w:t>
      </w:r>
    </w:p>
    <w:p w14:paraId="748C3484" w14:textId="01E7E611" w:rsidR="002F3455" w:rsidRPr="002F3455" w:rsidRDefault="0035619D" w:rsidP="0091064B">
      <w:pPr>
        <w:spacing w:afterLines="120" w:after="288"/>
        <w:rPr>
          <w:rFonts w:ascii="Calibri" w:hAnsi="Calibri"/>
        </w:rPr>
      </w:pPr>
      <w:r w:rsidRPr="00B0009A">
        <w:rPr>
          <w:rFonts w:ascii="Calibri" w:hAnsi="Calibri"/>
          <w:b/>
        </w:rPr>
        <w:t>Results</w:t>
      </w:r>
      <w:r>
        <w:rPr>
          <w:rFonts w:ascii="Calibri" w:hAnsi="Calibri"/>
        </w:rPr>
        <w:t>:</w:t>
      </w:r>
      <w:r w:rsidR="00F856B2">
        <w:rPr>
          <w:rFonts w:ascii="Calibri" w:hAnsi="Calibri"/>
        </w:rPr>
        <w:t xml:space="preserve"> </w:t>
      </w:r>
      <w:r w:rsidR="00B459EA">
        <w:rPr>
          <w:rFonts w:ascii="Calibri" w:hAnsi="Calibri"/>
        </w:rPr>
        <w:t>M</w:t>
      </w:r>
      <w:r w:rsidR="009E6BE6">
        <w:rPr>
          <w:rFonts w:ascii="Calibri" w:hAnsi="Calibri"/>
        </w:rPr>
        <w:t>en and women who reported a past-year decline in sexual desire</w:t>
      </w:r>
      <w:r w:rsidR="002348C8">
        <w:rPr>
          <w:rFonts w:ascii="Calibri" w:hAnsi="Calibri"/>
        </w:rPr>
        <w:t xml:space="preserve"> or frequency of sexual activities</w:t>
      </w:r>
      <w:r w:rsidR="009E6BE6">
        <w:rPr>
          <w:rFonts w:ascii="Calibri" w:hAnsi="Calibri"/>
        </w:rPr>
        <w:t xml:space="preserve"> had a higher number of depressive symptoms (</w:t>
      </w:r>
      <w:r w:rsidR="002348C8">
        <w:rPr>
          <w:rFonts w:ascii="Calibri" w:hAnsi="Calibri"/>
        </w:rPr>
        <w:t xml:space="preserve">desire </w:t>
      </w:r>
      <w:r w:rsidR="009E6BE6">
        <w:rPr>
          <w:rFonts w:ascii="Calibri" w:hAnsi="Calibri"/>
          <w:i/>
        </w:rPr>
        <w:t>p</w:t>
      </w:r>
      <w:r w:rsidR="009E6BE6">
        <w:rPr>
          <w:rFonts w:ascii="Calibri" w:hAnsi="Calibri"/>
        </w:rPr>
        <w:t>=0.001</w:t>
      </w:r>
      <w:r w:rsidR="002348C8">
        <w:rPr>
          <w:rFonts w:ascii="Calibri" w:hAnsi="Calibri"/>
        </w:rPr>
        <w:t xml:space="preserve">, frequency </w:t>
      </w:r>
      <w:r w:rsidR="002348C8">
        <w:rPr>
          <w:rFonts w:ascii="Calibri" w:hAnsi="Calibri"/>
          <w:i/>
        </w:rPr>
        <w:t>p</w:t>
      </w:r>
      <w:r w:rsidR="002348C8">
        <w:rPr>
          <w:rFonts w:ascii="Calibri" w:hAnsi="Calibri"/>
        </w:rPr>
        <w:t>&lt;0.001</w:t>
      </w:r>
      <w:r w:rsidR="009E6BE6">
        <w:rPr>
          <w:rFonts w:ascii="Calibri" w:hAnsi="Calibri"/>
        </w:rPr>
        <w:t xml:space="preserve">) and lower </w:t>
      </w:r>
      <w:r w:rsidR="00CB51C0">
        <w:rPr>
          <w:rFonts w:ascii="Calibri" w:hAnsi="Calibri"/>
        </w:rPr>
        <w:t>quality of life</w:t>
      </w:r>
      <w:r w:rsidR="009E6BE6">
        <w:rPr>
          <w:rFonts w:ascii="Calibri" w:hAnsi="Calibri"/>
        </w:rPr>
        <w:t xml:space="preserve"> (</w:t>
      </w:r>
      <w:r w:rsidR="002348C8">
        <w:rPr>
          <w:rFonts w:ascii="Calibri" w:hAnsi="Calibri"/>
        </w:rPr>
        <w:t xml:space="preserve">all </w:t>
      </w:r>
      <w:r w:rsidR="009E6BE6">
        <w:rPr>
          <w:rFonts w:ascii="Calibri" w:hAnsi="Calibri"/>
          <w:i/>
        </w:rPr>
        <w:t>p</w:t>
      </w:r>
      <w:r w:rsidR="009E6BE6">
        <w:rPr>
          <w:rFonts w:ascii="Calibri" w:hAnsi="Calibri"/>
        </w:rPr>
        <w:t>&lt;0.001). Decline in sexual desire was also associated with lower life</w:t>
      </w:r>
      <w:r w:rsidR="00B25863">
        <w:rPr>
          <w:rFonts w:ascii="Calibri" w:hAnsi="Calibri"/>
        </w:rPr>
        <w:t xml:space="preserve"> satisfaction</w:t>
      </w:r>
      <w:r w:rsidR="009E6BE6">
        <w:rPr>
          <w:rFonts w:ascii="Calibri" w:hAnsi="Calibri"/>
        </w:rPr>
        <w:t xml:space="preserve"> in men (</w:t>
      </w:r>
      <w:r w:rsidR="009E6BE6">
        <w:rPr>
          <w:rFonts w:ascii="Calibri" w:hAnsi="Calibri"/>
          <w:i/>
        </w:rPr>
        <w:t>p</w:t>
      </w:r>
      <w:r w:rsidR="009E6BE6">
        <w:rPr>
          <w:rFonts w:ascii="Calibri" w:hAnsi="Calibri"/>
        </w:rPr>
        <w:t xml:space="preserve">=0.012) </w:t>
      </w:r>
      <w:r w:rsidR="0038321E">
        <w:rPr>
          <w:rFonts w:ascii="Calibri" w:hAnsi="Calibri"/>
        </w:rPr>
        <w:t>and decline in frequency of sexual activities was associated with lower life satisfaction in women (</w:t>
      </w:r>
      <w:r w:rsidR="0038321E">
        <w:rPr>
          <w:rFonts w:ascii="Calibri" w:hAnsi="Calibri"/>
          <w:i/>
        </w:rPr>
        <w:t>p</w:t>
      </w:r>
      <w:r w:rsidR="0038321E">
        <w:rPr>
          <w:rFonts w:ascii="Calibri" w:hAnsi="Calibri"/>
        </w:rPr>
        <w:t>&lt;0.001</w:t>
      </w:r>
      <w:r w:rsidR="009E6BE6">
        <w:rPr>
          <w:rFonts w:ascii="Calibri" w:hAnsi="Calibri"/>
        </w:rPr>
        <w:t>).</w:t>
      </w:r>
      <w:r w:rsidR="00B25863">
        <w:rPr>
          <w:rFonts w:ascii="Calibri" w:hAnsi="Calibri"/>
        </w:rPr>
        <w:t xml:space="preserve"> Declines in erectile function </w:t>
      </w:r>
      <w:r w:rsidR="00151401">
        <w:rPr>
          <w:rFonts w:ascii="Calibri" w:hAnsi="Calibri"/>
        </w:rPr>
        <w:t xml:space="preserve">in men </w:t>
      </w:r>
      <w:r w:rsidR="00B25863">
        <w:rPr>
          <w:rFonts w:ascii="Calibri" w:hAnsi="Calibri"/>
        </w:rPr>
        <w:t xml:space="preserve">and </w:t>
      </w:r>
      <w:r w:rsidR="00A57031">
        <w:rPr>
          <w:rFonts w:ascii="Calibri" w:hAnsi="Calibri"/>
        </w:rPr>
        <w:t>ability to become sexually aroused</w:t>
      </w:r>
      <w:r w:rsidR="00151401">
        <w:rPr>
          <w:rFonts w:ascii="Calibri" w:hAnsi="Calibri"/>
        </w:rPr>
        <w:t xml:space="preserve"> in women</w:t>
      </w:r>
      <w:r w:rsidR="00A57031">
        <w:rPr>
          <w:rFonts w:ascii="Calibri" w:hAnsi="Calibri"/>
        </w:rPr>
        <w:t xml:space="preserve"> were also </w:t>
      </w:r>
      <w:r w:rsidR="00127B7F">
        <w:rPr>
          <w:rFonts w:ascii="Calibri" w:hAnsi="Calibri"/>
        </w:rPr>
        <w:t xml:space="preserve">significantly </w:t>
      </w:r>
      <w:r w:rsidR="00A57031">
        <w:rPr>
          <w:rFonts w:ascii="Calibri" w:hAnsi="Calibri"/>
        </w:rPr>
        <w:t xml:space="preserve">associated with </w:t>
      </w:r>
      <w:r w:rsidR="002F3455">
        <w:rPr>
          <w:rFonts w:ascii="Calibri" w:hAnsi="Calibri"/>
        </w:rPr>
        <w:t>more depressive symptoms (</w:t>
      </w:r>
      <w:r w:rsidR="002F3455">
        <w:rPr>
          <w:rFonts w:ascii="Calibri" w:hAnsi="Calibri"/>
          <w:i/>
        </w:rPr>
        <w:t>p</w:t>
      </w:r>
      <w:r w:rsidR="002F3455">
        <w:rPr>
          <w:rFonts w:ascii="Calibri" w:hAnsi="Calibri"/>
        </w:rPr>
        <w:t xml:space="preserve">&lt;0.001), lower </w:t>
      </w:r>
      <w:r w:rsidR="00CB51C0">
        <w:rPr>
          <w:rFonts w:ascii="Calibri" w:hAnsi="Calibri"/>
        </w:rPr>
        <w:t>quality of life</w:t>
      </w:r>
      <w:r w:rsidR="002F3455">
        <w:rPr>
          <w:rFonts w:ascii="Calibri" w:hAnsi="Calibri"/>
        </w:rPr>
        <w:t xml:space="preserve"> (</w:t>
      </w:r>
      <w:r w:rsidR="002F3455">
        <w:rPr>
          <w:rFonts w:ascii="Calibri" w:hAnsi="Calibri"/>
          <w:i/>
        </w:rPr>
        <w:t>p</w:t>
      </w:r>
      <w:r w:rsidR="002F3455">
        <w:rPr>
          <w:rFonts w:ascii="Calibri" w:hAnsi="Calibri"/>
        </w:rPr>
        <w:t>&lt;0.001) and lower life satisfaction (</w:t>
      </w:r>
      <w:r w:rsidR="002F3455">
        <w:rPr>
          <w:rFonts w:ascii="Calibri" w:hAnsi="Calibri"/>
          <w:i/>
        </w:rPr>
        <w:t>p</w:t>
      </w:r>
      <w:r w:rsidR="002F3455">
        <w:rPr>
          <w:rFonts w:ascii="Calibri" w:hAnsi="Calibri"/>
        </w:rPr>
        <w:t xml:space="preserve">&lt;0.001 in men, </w:t>
      </w:r>
      <w:r w:rsidR="002F3455">
        <w:rPr>
          <w:rFonts w:ascii="Calibri" w:hAnsi="Calibri"/>
          <w:i/>
        </w:rPr>
        <w:t>p</w:t>
      </w:r>
      <w:r w:rsidR="002F3455">
        <w:rPr>
          <w:rFonts w:ascii="Calibri" w:hAnsi="Calibri"/>
        </w:rPr>
        <w:t>=0.024 in women).</w:t>
      </w:r>
    </w:p>
    <w:p w14:paraId="6EA056B6" w14:textId="4E86B1A1" w:rsidR="0035619D" w:rsidRPr="00C274B8" w:rsidRDefault="0035619D" w:rsidP="004E56D9">
      <w:pPr>
        <w:jc w:val="both"/>
        <w:rPr>
          <w:rFonts w:ascii="Calibri" w:hAnsi="Calibri"/>
        </w:rPr>
      </w:pPr>
      <w:r w:rsidRPr="00B0009A">
        <w:rPr>
          <w:rFonts w:ascii="Calibri" w:hAnsi="Calibri"/>
          <w:b/>
        </w:rPr>
        <w:t>Conclusion</w:t>
      </w:r>
      <w:r>
        <w:rPr>
          <w:rFonts w:ascii="Calibri" w:hAnsi="Calibri"/>
        </w:rPr>
        <w:t xml:space="preserve">: </w:t>
      </w:r>
      <w:r w:rsidR="00E424D7">
        <w:rPr>
          <w:rFonts w:ascii="Calibri" w:hAnsi="Calibri"/>
        </w:rPr>
        <w:t>Older adults who experience a</w:t>
      </w:r>
      <w:r w:rsidR="004B45A1">
        <w:rPr>
          <w:rFonts w:ascii="Calibri" w:hAnsi="Calibri"/>
        </w:rPr>
        <w:t xml:space="preserve"> decline in sexuality </w:t>
      </w:r>
      <w:r w:rsidR="00E424D7">
        <w:rPr>
          <w:rFonts w:ascii="Calibri" w:hAnsi="Calibri"/>
        </w:rPr>
        <w:t>report</w:t>
      </w:r>
      <w:r w:rsidR="004B45A1">
        <w:rPr>
          <w:rFonts w:ascii="Calibri" w:hAnsi="Calibri"/>
        </w:rPr>
        <w:t xml:space="preserve"> poorer </w:t>
      </w:r>
      <w:r w:rsidR="004E56D9">
        <w:rPr>
          <w:rFonts w:ascii="Calibri" w:hAnsi="Calibri"/>
        </w:rPr>
        <w:t>well</w:t>
      </w:r>
      <w:r w:rsidR="00151401">
        <w:rPr>
          <w:rFonts w:ascii="Calibri" w:hAnsi="Calibri"/>
        </w:rPr>
        <w:t>being</w:t>
      </w:r>
      <w:r w:rsidR="00E424D7">
        <w:rPr>
          <w:rFonts w:ascii="Calibri" w:hAnsi="Calibri"/>
        </w:rPr>
        <w:t xml:space="preserve"> than those who do not</w:t>
      </w:r>
      <w:r w:rsidR="004B45A1">
        <w:rPr>
          <w:rFonts w:ascii="Calibri" w:hAnsi="Calibri"/>
        </w:rPr>
        <w:t xml:space="preserve">. </w:t>
      </w:r>
    </w:p>
    <w:p w14:paraId="6388DBC8" w14:textId="77777777" w:rsidR="00D340F2" w:rsidRPr="00C274B8" w:rsidRDefault="00D340F2" w:rsidP="0091064B">
      <w:pPr>
        <w:spacing w:afterLines="120" w:after="288"/>
        <w:rPr>
          <w:rFonts w:ascii="Calibri" w:hAnsi="Calibri"/>
        </w:rPr>
      </w:pPr>
    </w:p>
    <w:p w14:paraId="6C0E1603" w14:textId="68C81887" w:rsidR="00C274B8" w:rsidRPr="00963AA5" w:rsidRDefault="00352431" w:rsidP="00963AA5">
      <w:pPr>
        <w:spacing w:afterLines="120" w:after="288"/>
        <w:rPr>
          <w:rFonts w:ascii="Calibri" w:hAnsi="Calibri"/>
        </w:rPr>
      </w:pPr>
      <w:r w:rsidRPr="001F758C">
        <w:rPr>
          <w:rFonts w:ascii="Calibri" w:hAnsi="Calibri"/>
          <w:b/>
        </w:rPr>
        <w:t>Key words:</w:t>
      </w:r>
      <w:r>
        <w:rPr>
          <w:rFonts w:ascii="Calibri" w:hAnsi="Calibri"/>
        </w:rPr>
        <w:t xml:space="preserve"> sexual activity; sexual function; erectile dysfunction; mental health; wellbeing; depression; quality of life</w:t>
      </w:r>
      <w:r w:rsidR="001F758C">
        <w:rPr>
          <w:rFonts w:ascii="Calibri" w:hAnsi="Calibri"/>
        </w:rPr>
        <w:t>; older adults</w:t>
      </w:r>
      <w:r>
        <w:rPr>
          <w:rFonts w:ascii="Calibri" w:hAnsi="Calibri"/>
        </w:rPr>
        <w:t>.</w:t>
      </w:r>
      <w:bookmarkEnd w:id="0"/>
      <w:r w:rsidR="00C274B8">
        <w:rPr>
          <w:rFonts w:ascii="Calibri" w:hAnsi="Calibri"/>
          <w:b/>
        </w:rPr>
        <w:br w:type="page"/>
      </w:r>
    </w:p>
    <w:p w14:paraId="736F70C4" w14:textId="7A86F039" w:rsidR="00D340F2" w:rsidRDefault="00D340F2" w:rsidP="0091064B">
      <w:pPr>
        <w:pStyle w:val="Heading1"/>
      </w:pPr>
      <w:r w:rsidRPr="00C274B8">
        <w:lastRenderedPageBreak/>
        <w:t>Background</w:t>
      </w:r>
    </w:p>
    <w:p w14:paraId="472497A2" w14:textId="690E03FA" w:rsidR="003E5B8F" w:rsidRDefault="00E2708A" w:rsidP="00EA128D">
      <w:r>
        <w:t>The World Health Organisation defines sexuality as “</w:t>
      </w:r>
      <w:r w:rsidRPr="00BE3E1F">
        <w:t xml:space="preserve">a central aspect of being human throughout life </w:t>
      </w:r>
      <w:r w:rsidR="006C2F52">
        <w:t xml:space="preserve">[that] </w:t>
      </w:r>
      <w:r w:rsidRPr="00BE3E1F">
        <w:t>encompasses sex, gender identities and roles, sexual orientation, eroticism, pleasure, intimacy and reproduction. Sexuality is experienced and expressed in thoughts, fantasies, desires, beliefs, attitudes, values, behaviours, practices, roles and relationships</w:t>
      </w:r>
      <w:r>
        <w:t>”</w:t>
      </w:r>
      <w:r w:rsidR="003A3E58">
        <w:t xml:space="preserve"> </w:t>
      </w:r>
      <w:r w:rsidR="002C67E5">
        <w:fldChar w:fldCharType="begin"/>
      </w:r>
      <w:r w:rsidR="007B4C4D">
        <w:instrText xml:space="preserve"> ADDIN ZOTERO_ITEM CSL_CITATION {"citationID":"UtEBPz40","properties":{"formattedCitation":"(1)","plainCitation":"(1)","noteIndex":0},"citationItems":[{"id":4716,"uris":["http://zotero.org/users/446899/items/AU44EZB8"],"uri":["http://zotero.org/users/446899/items/AU44EZB8"],"itemData":{"id":4716,"type":"report","title":"Defining sexual health","URL":"http://www.who.int/reproductivehealth/topics/sexual_health/sh_definitions/en/","author":[{"family":"World Health Organization","given":""}],"accessed":{"date-parts":[["2018",8,24]]}}}],"schema":"https://github.com/citation-style-language/schema/raw/master/csl-citation.json"} </w:instrText>
      </w:r>
      <w:r w:rsidR="002C67E5">
        <w:fldChar w:fldCharType="separate"/>
      </w:r>
      <w:r w:rsidR="002C67E5" w:rsidRPr="002C67E5">
        <w:rPr>
          <w:rFonts w:ascii="Calibri" w:hAnsi="Calibri" w:cs="Calibri"/>
        </w:rPr>
        <w:t>(1)</w:t>
      </w:r>
      <w:r w:rsidR="002C67E5">
        <w:fldChar w:fldCharType="end"/>
      </w:r>
      <w:r w:rsidR="003A3E58">
        <w:t>.</w:t>
      </w:r>
      <w:r>
        <w:t xml:space="preserve"> Frequency of sexual activity, one component of sexuality, has been shown to be associated with </w:t>
      </w:r>
      <w:r w:rsidR="005264D9">
        <w:t>a number of</w:t>
      </w:r>
      <w:r w:rsidR="00B83894">
        <w:t xml:space="preserve"> benefits for</w:t>
      </w:r>
      <w:r>
        <w:t xml:space="preserve"> physical health including </w:t>
      </w:r>
      <w:r w:rsidR="00AB0D8C">
        <w:t xml:space="preserve">greater </w:t>
      </w:r>
      <w:r w:rsidRPr="004537BA">
        <w:t>heart rate variability (an index that predicts</w:t>
      </w:r>
      <w:r>
        <w:t xml:space="preserve"> cardiovascular health)</w:t>
      </w:r>
      <w:r w:rsidR="00AB0D8C">
        <w:t xml:space="preserve"> and</w:t>
      </w:r>
      <w:r w:rsidRPr="004537BA">
        <w:t xml:space="preserve"> low</w:t>
      </w:r>
      <w:r>
        <w:t>er risk of certain cancers and fatal coronary events</w:t>
      </w:r>
      <w:r w:rsidR="00D11BE1">
        <w:t xml:space="preserve"> </w:t>
      </w:r>
      <w:r w:rsidR="00D11BE1" w:rsidRPr="007B4C4D">
        <w:rPr>
          <w:color w:val="FF0000"/>
        </w:rPr>
        <w:fldChar w:fldCharType="begin"/>
      </w:r>
      <w:r w:rsidR="007B4C4D" w:rsidRPr="007B4C4D">
        <w:rPr>
          <w:color w:val="FF0000"/>
        </w:rPr>
        <w:instrText xml:space="preserve"> ADDIN ZOTERO_ITEM CSL_CITATION {"citationID":"ZxvwLZpw","properties":{"formattedCitation":"(2\\uc0\\u8211{}7)","plainCitation":"(2–7)","noteIndex":0},"citationItems":[{"id":4614,"uris":["http://zotero.org/users/446899/items/V2WC4RN6"],"uri":["http://zotero.org/users/446899/items/V2WC4RN6"],"itemData":{"id":4614,"type":"article-journal","title":"Sexual intercourse and risk of ischaemic stroke and coronary heart disease: the Caerphilly study","container-title":"Journal of Epidemiology &amp; Community Health","page":"99-102","volume":"56","issue":"2","source":"jech.bmj.com","abstract":"Objective: To examine the relation between frequency of sexual intercourse and risk of ischaemic stroke and coronary heart disease.\nDesign: Cohort study with 20 year follow up.\nSetting: The town of Caerphilly, South Wales and five adjacent villages.\nSubjects: 914 men aged 45–59 years at time of recruitment in 1979 to 1983.\nMain outcome measures: Ischaemic stroke and coronary heart disease, all first events and fatal events.\nResults: Of the 914 men studied, 197 (21.5%) reported sexual intercourse less often than once a month, 231 (25.3%) reported sexual intercourse twice or more a week, and the remaining 486 (53.2%) men fell into the intermediate category. Frequency of sexual intercourse was not associated with all first ischaemic stroke events: age adjusted odds ratios (95% CI) for intermediate and low frequency of sexual intercourse of 0.61 (0.32 to 1.16) and 0.71 (0.34 to 1.49) respectively compared with the reference category of high frequency. A graded relation with fatal coronary heart disease events was observed in events recorded up to 10 years. The age adjusted relative risk (95% CI) of fatal coronary heart disease contrasting low frequency of sexual intercourse (that is, less than monthly) with the highest group (at least twice a week) was 2.80 (1.13 to 6.96, test for trend, p=0.04) which was not attenuated by adjustment for a wide range of potential confounders. Longer follow up to 20 years showed attenuation of this risk with odds of 1.69 (95% CI 0.90 to 3.20), contrasting low frequency of sexual intercourse with the highest group.\nConclusions: The differential relation between frequency of sexual intercourse, stroke and coronary heart disease suggests that confounding is an unlikely explanation for the observed association with fatal coronary heart disease events. Middle aged men should be heartened to know that frequent sexual intercourse is not likely to result in a substantial increase in risk of strokes, and that some protection from fatal coronary events may be an added bonus.","DOI":"10.1136/jech.56.2.99","ISSN":"0143-005X, 1470-2738","note":"PMID: 11812807","shortTitle":"Sexual intercourse and risk of ischaemic stroke and coronary heart disease","language":"en","author":[{"family":"Ebrahim","given":"S."},{"family":"May","given":"M."},{"family":"Shlomo","given":"Y. Ben"},{"family":"McCarron","given":"P."},{"family":"Frankel","given":"S."},{"family":"Yarnell","given":"J."},{"family":"Smith","given":"G. Davey"}],"issued":{"date-parts":[["2002",2,1]]}}},{"id":4602,"uris":["http://zotero.org/users/446899/items/MVIN4PBP"],"uri":["http://zotero.org/users/446899/items/MVIN4PBP"],"itemData":{"id":4602,"type":"article-journal","title":"Vaginal intercourse frequency and heart rate variability","container-title":"Journal of Sex &amp; Marital Therapy","page":"371-380","volume":"29","issue":"5","source":"PubMed","abstract":"We examined the relationship between recalled and diary recorded frequency of penile-vaginal intercourse (FSI) and both resting heart rate variability (HRV; an index of cardiac autonomic control and parasympathetic tone associated with cardiovascular health outcomes) and resting diastolic blood pressure (DBP) in 120 healthy adults aged 19-38 (subjects scoring above the 87th percentile on the Lie scale of the Eysenck Personality Inventory were excluded from analyses). As in a previous smaller study, greater HRV was associated with greater FSI (but not masturbation or non-coital sex with a partner) and rated importance of intercourse. There were no sex differences in the HRV-FSI relationship, and the relationship was not explained by including measures of Extraversion, Neuroticism, Depression, Trait Anxiety, or partnership satisfaction. However, the previously obtained negative association of FSI with DBP was not replicated.","DOI":"10.1080/00926230390224747","ISSN":"0092-623X","note":"PMID: 14504008","journalAbbreviation":"J Sex Marital Ther","language":"eng","author":[{"family":"Brody","given":"Stuart"},{"family":"Preut","given":"Ragnar"}],"issued":{"date-parts":[["2003",12]]}}},{"id":4719,"uris":["http://zotero.org/users/446899/items/QPS84ADT"],"uri":["http://zotero.org/users/446899/items/QPS84ADT"],"itemData":{"id":4719,"type":"article-journal","title":"Sexual Satisfaction, Relationship Satisfaction, and Health Are Associated with Greater Frequency of Penile–Vaginal Intercourse","container-title":"Archives of Sexual Behavior","page":"9-10","volume":"41","issue":"1","source":"Springer Link","DOI":"10.1007/s10508-011-9847-9","ISSN":"1573-2800","journalAbbreviation":"Arch Sex Behav","language":"en","author":[{"family":"Costa","given":"Rui Miguel"},{"family":"Brody","given":"Stuart"}],"issued":{"date-parts":[["2012",2,1]]}}},{"id":5767,"uris":["http://zotero.org/users/446899/items/JT5FLL2C"],"uri":["http://zotero.org/users/446899/items/JT5FLL2C"],"itemData":{"id":5767,"type":"article-journal","title":"Ejaculation Frequency and Risk of Prostate Cancer: Updated Results with an Additional Decade of Follow-up","container-title":"European Urology","page":"974-982","volume":"70","issue":"6","source":"PubMed","abstract":"BACKGROUND: Evidence suggests that ejaculation frequency may be inversely related to the risk of prostate cancer (PCa), a disease for which few modifiable risk factors have been identified.\nOBJECTIVE: To incorporate an additional 10 yr of follow-up into an original analysis and to comprehensively evaluate the association between ejaculation frequency and PCa, accounting for screening, clinically relevant disease subgroups, and the impact of mortality from other causes.\nDESIGN, SETTING, AND PARTICIPANTS: A prospective cohort study of participants in the Health Professionals Follow-up Study utilizing self-reported data on average monthly ejaculation frequency. The study includes 31925 men who answered questions on ejaculation frequency on a 1992 questionnaire and followed through to 2010. The average monthly ejaculation frequency was assessed at three time points: age 20-29 yr, age 40-49 yr, and the year before questionnaire distribution.\nOUTCOME MEASUREMENTS AND STATISTICAL ANALYSIS: Incidence of total PCa and clinically relevant disease subgroups. Cox models were used to estimate hazard ratios (HRs) and 95% confidence intervals (CIs).\nRESULTS AND LIMITATIONS: During 480831 person-years, 3839 men were diagnosed with PCa. Ejaculation frequency at age 40-49 yr was positively associated with age-standardized body mass index, physical activity, divorce, history of sexually transmitted infections, and consumption of total calories and alcohol. Prostate-specific antigen (PSA) test utilization by 2008, number of PSA tests, and frequency of prostate biopsy were similar across frequency categories. In multivariable analyses, the hazard ratio for PCa i</w:instrText>
      </w:r>
      <w:r w:rsidR="007B4C4D" w:rsidRPr="007B4C4D">
        <w:rPr>
          <w:rFonts w:hint="eastAsia"/>
          <w:color w:val="FF0000"/>
        </w:rPr>
        <w:instrText xml:space="preserve">ncidence for </w:instrText>
      </w:r>
      <w:r w:rsidR="007B4C4D" w:rsidRPr="007B4C4D">
        <w:rPr>
          <w:rFonts w:hint="eastAsia"/>
          <w:color w:val="FF0000"/>
        </w:rPr>
        <w:instrText>≥</w:instrText>
      </w:r>
      <w:r w:rsidR="007B4C4D" w:rsidRPr="007B4C4D">
        <w:rPr>
          <w:rFonts w:hint="eastAsia"/>
          <w:color w:val="FF0000"/>
        </w:rPr>
        <w:instrText>21 compared to 4-7 ejaculations per month was 0.81 (95% confidence interval [CI] 0.72-0.92; p&lt;0.0001 for trend) for frequency at age 20-29 yr and 0.78 (95% CI 0.69-0.89; p&lt;0.0001 for trend) for frequency at age 40-49 yr. Associations were dr</w:instrText>
      </w:r>
      <w:r w:rsidR="007B4C4D" w:rsidRPr="007B4C4D">
        <w:rPr>
          <w:color w:val="FF0000"/>
        </w:rPr>
        <w:instrText xml:space="preserve">iven by low-risk disease, were similar when restricted to a PSA-screened cohort, and were unlikely to be explained by competing causes of death.\nCONCLUSIONS: These findings provide additional evidence of a beneficial role of more frequent ejaculation throughout adult life in the etiology of PCa, particularly for low-risk disease.\nPATIENT SUMMARY: We evaluated whether ejaculation frequency throughout adulthood is related to prostate cancer risk in a large US-based study. We found that men reporting higher compared to lower ejaculatory frequency in adulthood were less likely to be subsequently diagnosed with prostate cancer.","DOI":"10.1016/j.eururo.2016.03.027","ISSN":"1873-7560","note":"PMID: 27033442\nPMCID: PMC5040619","shortTitle":"Ejaculation Frequency and Risk of Prostate Cancer","journalAbbreviation":"Eur. Urol.","language":"eng","author":[{"family":"Rider","given":"Jennifer R."},{"family":"Wilson","given":"Kathryn M."},{"family":"Sinnott","given":"Jennifer A."},{"family":"Kelly","given":"Rachel S."},{"family":"Mucci","given":"Lorelei A."},{"family":"Giovannucci","given":"Edward L."}],"issued":{"date-parts":[["2016"]]}}},{"id":5769,"uris":["http://zotero.org/users/446899/items/BRQ95X3Y"],"uri":["http://zotero.org/users/446899/items/BRQ95X3Y"],"itemData":{"id":5769,"type":"article-journal","title":"Sex and death: are they related? Findings from the Caerphilly cohort study","container-title":"BMJ","page":"1641-1644","volume":"315","issue":"7123","source":"www.bmj.com","abstract":"Objective: To examine the relation between frequency of orgasm and mortality.\nStudy design: Cohort study with a 10 year follow up.\nSetting: The town of Caerphilly, South Wales, and five adjacent villages.\nSubjects: 918 men aged 45–59 at time of recruitment between 1979 and 1983.\nMain outcome measures: All deaths and deaths from coronary heart disease.\nResult: Mortality risk was 50% lower in the group with high orgasmic frequency than in the group with low orgasmic frequency, with evidence of a dose-response relation across the groups. Age adjusted odds ratio for all cause mortality was 2.0 for the group with low frequency of orgasm (95% confidence interval 1.1 to 3.5, test for trend P=0.02). With adjustment for risk factors this became 1.9 (1.0 to 3.4, test for trend P=0.04). Death from coronary heart disease and from other causes showed similar associations with frequency of orgasm, although the gradient was most marked for deaths from coronary heart disease. Analysed in terms of actual frequency of orgasm, the odds ratio for total mortality associated with an increase in 100 orgasms per year was 0.64 (0.44 to 0.95).\nConclusion: Sexual activity seems to have a protective effect on men's health.\n\nKey messages Sex and death are common variables in epidemiology, but the relation between them has been little studiedIn this cohort study, mortality risk was 50% lower in men with high frequency of orgasm than in men with low frequency of orgasm; there was evidence of a dose-response relation across the groupsThe question of causation is complex, as with all observational epidemiological findings; several explanations are possible, but the evidence for causation is as convincing here as in many areas where causation is assumedThese findings contrast with the view common to many cultures that the pleasure of sexual intercourse may be secured at the cost of vigour and wellbeingIf these findings are replicated, there are implications for health promotion programmes","DOI":"10.1136/bmj.315.7123.1641","ISSN":"0959-8138, 1468-5833","note":"PMID: 9448525","shortTitle":"Sex and death","journalAbbreviation":"BMJ","language":"en","author":[{"family":"Smith","given":"George Davey"},{"family":"Frankel","given":"Stephen"},{"family":"Yarnell","given":"John"}],"issued":{"date-parts":[["1997",12,20]]}}},{"id":1683,"uris":["http://zotero.org/users/446899/items/2PHWCWFD"],"uri":["http://zotero.org/users/446899/items/2PHWCWFD"],"itemData":{"id":1683,"type":"article-journal","title":"Sexual Health and Well-being Among Older Men and Women in England: Findings from the English Longitudinal Study of Ageing","container-title":"Archives of Sexual Behavior","source":"NCBI PubMed","abstract":"We describe levels of sexual activity, problems with sexual functioning, and concerns about sexual health among older adults in the English Longitudinal Study of Ageing (ELSA), and associations with age, health, and partnership factors. Specifically, a total of 6,201 core ELSA participants (56 % women) aged 50 to &gt;90 completed a comprehensive Sexual Relationships and Activities questionnaire (SRA-Q) included in ELSA Wave 6 (2012/13). The prevalence of reporting any sexual activity in the last year declined with age, with women less likely than men at all ages to report being sexually active. Poorer health was associated with lower levels of sexual activity and a higher prevalence of problems with sexual functioning, particularly among men. Difficulties most frequently reported by sexually active women related to becoming sexually aroused (32 %) and achieving orgasm (27 %), while for men it was erectile function (39 %). Sexual health concerns most commonly reported by women related to their level of sexual desire (11 %) and frequency of sexual activities (8 %). Among men it was level of sexual desire (15 %) and erectile difficulties (14 %). While the likelihood of reporting sexual health concerns tended to decrease with age in women, the opposite was seen in men. Poor sexual functioning and disagreements with a partner about initiating and/or feeling obligated to have sex were associated with greater concerns about and dissatisfaction with overall sex life. Levels of sexual activity decline with increasing age, although a sizable minority of men and women remain sexually active until the eighth and ninth decades of life. Problems with sexual functioning were relatively common, but overall levels of sexual health concerns were much lower. Sexually active men reported higher levels of concern with their sexual health and sexual dissatisfaction than women at all ages. Older peoples' sexual health should be managed, not just in the context of their age, gender, and general health, but also within their existing sexual relationship.","DOI":"10.1007/s10508-014-0465-1","ISSN":"1573-2800","note":"PMID: 25624001","shortTitle":"Sexual Health and Well-being Among Older Men and Women in England","journalAbbreviation":"Arch Sex Behav","language":"ENG","author":[{"family":"Lee","given":"David M."},{"family":"Nazroo","given":"James"},{"family":"O'Connor","given":"Daryl B."},{"family":"Blake","given":"Margaret"},{"family":"Pendleton","given":"Neil"}],"issued":{"date-parts":[["2015",1,27]]}}}],"schema":"https://github.com/citation-style-language/schema/raw/master/csl-citation.json"} </w:instrText>
      </w:r>
      <w:r w:rsidR="00D11BE1" w:rsidRPr="007B4C4D">
        <w:rPr>
          <w:color w:val="FF0000"/>
        </w:rPr>
        <w:fldChar w:fldCharType="separate"/>
      </w:r>
      <w:r w:rsidR="007B4C4D" w:rsidRPr="007B4C4D">
        <w:rPr>
          <w:rFonts w:ascii="Calibri" w:hAnsi="Calibri" w:cs="Calibri"/>
          <w:color w:val="FF0000"/>
          <w:szCs w:val="24"/>
        </w:rPr>
        <w:t>(2–7)</w:t>
      </w:r>
      <w:r w:rsidR="00D11BE1" w:rsidRPr="007B4C4D">
        <w:rPr>
          <w:color w:val="FF0000"/>
        </w:rPr>
        <w:fldChar w:fldCharType="end"/>
      </w:r>
      <w:r w:rsidRPr="004537BA">
        <w:t xml:space="preserve">. </w:t>
      </w:r>
      <w:r>
        <w:t xml:space="preserve">Importantly, </w:t>
      </w:r>
      <w:r w:rsidRPr="004537BA">
        <w:t xml:space="preserve">in a study with a 25-year follow-up, greater frequency of sexual intercourse was associated with a lower annual death rate in men, and enjoyment of intercourse predicted </w:t>
      </w:r>
      <w:r>
        <w:t>lower mortality among women</w:t>
      </w:r>
      <w:r w:rsidR="00D11BE1">
        <w:t xml:space="preserve"> </w:t>
      </w:r>
      <w:r w:rsidR="00D11BE1">
        <w:fldChar w:fldCharType="begin"/>
      </w:r>
      <w:r w:rsidR="007B4C4D">
        <w:instrText xml:space="preserve"> ADDIN ZOTERO_ITEM CSL_CITATION {"citationID":"8LCcDIBJ","properties":{"formattedCitation":"(8)","plainCitation":"(8)","noteIndex":0},"citationItems":[{"id":4608,"uris":["http://zotero.org/users/446899/items/ZNXUIF7D"],"uri":["http://zotero.org/users/446899/items/ZNXUIF7D"],"itemData":{"id":4608,"type":"article-journal","title":"Predictors of the Longevity Difference: A 25-Year Follow-Up","container-title":"The Gerontologist","page":"513-518","volume":"22","issue":"6","source":"academic.oup.com","abstract":"Abstract.  Twenty-two variables were found to be significant predictors of longevity among 252 panelists in a 25-year longitudinal study of aging. The strongest","DOI":"10.1093/geront/22.6.513","ISSN":"0016-9013","shortTitle":"Predictors of the Longevity Difference","journalAbbreviation":"Gerontologist","language":"en","author":[{"family":"Palmore","given":"Erdman B."}],"issued":{"date-parts":[["1982",12,1]]}}}],"schema":"https://github.com/citation-style-language/schema/raw/master/csl-citation.json"} </w:instrText>
      </w:r>
      <w:r w:rsidR="00D11BE1">
        <w:fldChar w:fldCharType="separate"/>
      </w:r>
      <w:r w:rsidR="007B4C4D" w:rsidRPr="007B4C4D">
        <w:rPr>
          <w:rFonts w:ascii="Calibri" w:hAnsi="Calibri" w:cs="Calibri"/>
        </w:rPr>
        <w:t>(8)</w:t>
      </w:r>
      <w:r w:rsidR="00D11BE1">
        <w:fldChar w:fldCharType="end"/>
      </w:r>
      <w:r w:rsidRPr="004537BA">
        <w:t>.</w:t>
      </w:r>
      <w:r w:rsidR="001B6F8B" w:rsidRPr="001B6F8B">
        <w:t xml:space="preserve"> </w:t>
      </w:r>
    </w:p>
    <w:p w14:paraId="07DDAB9B" w14:textId="430EED7A" w:rsidR="00E2708A" w:rsidRDefault="000048CF" w:rsidP="00597FE0">
      <w:bookmarkStart w:id="2" w:name="_Hlk528556819"/>
      <w:r>
        <w:t xml:space="preserve">In addition to its physiological benefits, sexuality may also play an important role in maintaining mental health and </w:t>
      </w:r>
      <w:r w:rsidR="00D61681" w:rsidRPr="00D61681">
        <w:rPr>
          <w:color w:val="FF0000"/>
        </w:rPr>
        <w:t xml:space="preserve">subjective </w:t>
      </w:r>
      <w:r>
        <w:t>wellbeing</w:t>
      </w:r>
      <w:r w:rsidR="00611C83">
        <w:t xml:space="preserve"> </w:t>
      </w:r>
      <w:r w:rsidR="00611C83" w:rsidRPr="00611C83">
        <w:rPr>
          <w:color w:val="FF0000"/>
        </w:rPr>
        <w:t xml:space="preserve">(defined here </w:t>
      </w:r>
      <w:r w:rsidR="00611C83" w:rsidRPr="003D2924">
        <w:rPr>
          <w:color w:val="FF0000"/>
        </w:rPr>
        <w:t>as</w:t>
      </w:r>
      <w:r w:rsidR="00D61681" w:rsidRPr="003D2924">
        <w:rPr>
          <w:color w:val="FF0000"/>
        </w:rPr>
        <w:t xml:space="preserve"> peoples’ </w:t>
      </w:r>
      <w:r w:rsidR="003D2924" w:rsidRPr="003D2924">
        <w:rPr>
          <w:color w:val="FF0000"/>
        </w:rPr>
        <w:t xml:space="preserve">everyday feelings or moods, </w:t>
      </w:r>
      <w:r w:rsidR="00D61681" w:rsidRPr="003D2924">
        <w:rPr>
          <w:color w:val="FF0000"/>
        </w:rPr>
        <w:t xml:space="preserve">thoughts about the quality of their lives, </w:t>
      </w:r>
      <w:r w:rsidR="003D2924" w:rsidRPr="003D2924">
        <w:rPr>
          <w:color w:val="FF0000"/>
        </w:rPr>
        <w:t>and</w:t>
      </w:r>
      <w:r w:rsidR="00D61681" w:rsidRPr="003D2924">
        <w:rPr>
          <w:color w:val="FF0000"/>
        </w:rPr>
        <w:t xml:space="preserve"> overall life </w:t>
      </w:r>
      <w:r w:rsidR="00D61681" w:rsidRPr="00804887">
        <w:rPr>
          <w:color w:val="FF0000"/>
        </w:rPr>
        <w:t>satisfaction</w:t>
      </w:r>
      <w:r w:rsidR="003D2924" w:rsidRPr="00804887">
        <w:rPr>
          <w:color w:val="FF0000"/>
        </w:rPr>
        <w:t xml:space="preserve"> </w:t>
      </w:r>
      <w:r w:rsidR="00804887" w:rsidRPr="00804887">
        <w:rPr>
          <w:color w:val="FF0000"/>
        </w:rPr>
        <w:fldChar w:fldCharType="begin"/>
      </w:r>
      <w:r w:rsidR="00804887" w:rsidRPr="00804887">
        <w:rPr>
          <w:color w:val="FF0000"/>
        </w:rPr>
        <w:instrText xml:space="preserve"> ADDIN ZOTERO_ITEM CSL_CITATION {"citationID":"iclyqrgI","properties":{"formattedCitation":"(9)","plainCitation":"(9)","noteIndex":0},"citationItems":[{"id":5772,"uris":["http://zotero.org/users/446899/items/EHNNHRWF"],"uri":["http://zotero.org/users/446899/items/EHNNHRWF"],"itemData":{"id":5772,"type":"article-journal","title":"Subjective wellbeing, health, and ageing","container-title":"The Lancet","page":"640-648","volume":"385","issue":"9968","source":"ScienceDirect","abstract":"Summary\nSubjective wellbeing and health are closely linked to age. Three aspects of subjective wellbeing can be distinguished—evaluative wellbeing (or life satisfaction), hedonic wellbeing (feelings of happiness, sadness, anger, stress, and pain), and eudemonic wellbeing (sense of purpose and meaning in life). We review recent advances in the specialty of psychological wellbeing, and present new analyses about the pattern of wellbeing across ages and the association between wellbeing and survival at older ages. The Gallup World Poll, a continuing survey in more than 160 countries, shows a U-shaped relation between evaluative wellbeing and age in high-income, English speaking countries, with the lowest levels of wellbeing in ages 45–54 years. But this pattern is not universal. For example, respondents from the former Soviet Union and eastern Europe show a large progressive reduction in wellbeing with age, respondents from Latin America also shows decreased wellbeing with age, whereas wellbeing in sub-Saharan Africa shows little change with age. The relation between physical health and subjective wellbeing is bidirectional. Older people with illnesses such as coronary heart disease, arthritis, and chronic lung disease show both increased levels of depressed mood and impaired hedonic and eudemonic wellbeing. Wellbeing might also have a protective role in health maintenance. In an analysis of the English Longitudinal Study of Ageing, we identify that eudemonic wellbeing is associated with increased survival; 29·3% of people in the lowest wellbeing quartile died during the average follow-up period of 8·5 years compared with 9·3% of those in the highest quartile. Associations were independent of age, sex, demographic factors, and baseline mental and physical health. We conclude that the wellbeing of elderly people is an important objective for both economic and health policy. Present psychological and economic theories do not adequately account for the variations in patterns of wellbeing with age across different parts of the world. The apparent association between wellbeing and survival is consistent with a protective role of high wellbeing, but alternative explanations cannot be ruled out at this stage.","DOI":"10.1016/S0140-6736(13)61489-0","ISSN":"0140-6736","journalAbbreviation":"The Lancet","author":[{"family":"Steptoe","given":"Andrew"},{"family":"Deaton","given":"Angus"},{"family":"Stone","given":"Arthur A"}],"issued":{"date-parts":[["2015",2,14]]}}}],"schema":"https://github.com/citation-style-language/schema/raw/master/csl-citation.json"} </w:instrText>
      </w:r>
      <w:r w:rsidR="00804887" w:rsidRPr="00804887">
        <w:rPr>
          <w:color w:val="FF0000"/>
        </w:rPr>
        <w:fldChar w:fldCharType="separate"/>
      </w:r>
      <w:r w:rsidR="00804887" w:rsidRPr="00804887">
        <w:rPr>
          <w:rFonts w:ascii="Calibri" w:hAnsi="Calibri" w:cs="Calibri"/>
          <w:color w:val="FF0000"/>
        </w:rPr>
        <w:t>(9)</w:t>
      </w:r>
      <w:r w:rsidR="00804887" w:rsidRPr="00804887">
        <w:rPr>
          <w:color w:val="FF0000"/>
        </w:rPr>
        <w:fldChar w:fldCharType="end"/>
      </w:r>
      <w:r w:rsidR="00611C83" w:rsidRPr="00804887">
        <w:rPr>
          <w:color w:val="FF0000"/>
        </w:rPr>
        <w:t>)</w:t>
      </w:r>
      <w:bookmarkEnd w:id="2"/>
      <w:r w:rsidRPr="00804887">
        <w:rPr>
          <w:color w:val="FF0000"/>
        </w:rPr>
        <w:t xml:space="preserve">. </w:t>
      </w:r>
      <w:r w:rsidR="003E5B8F">
        <w:t xml:space="preserve">A number of studies have </w:t>
      </w:r>
      <w:r>
        <w:t>shown that individuals with</w:t>
      </w:r>
      <w:r w:rsidR="001932BF">
        <w:t xml:space="preserve"> impaired sexual function</w:t>
      </w:r>
      <w:r w:rsidR="003A524C">
        <w:t xml:space="preserve"> are</w:t>
      </w:r>
      <w:r w:rsidR="001932BF">
        <w:t xml:space="preserve"> more likely to suffer depression, distress, low relationship satisfaction and reduced quality of life </w:t>
      </w:r>
      <w:r w:rsidR="001932BF" w:rsidRPr="007B4C4D">
        <w:fldChar w:fldCharType="begin"/>
      </w:r>
      <w:r w:rsidR="00804887">
        <w:instrText xml:space="preserve"> ADDIN ZOTERO_ITEM CSL_CITATION {"citationID":"NYUriVo1","properties":{"formattedCitation":"(10\\uc0\\u8211{}16)","plainCitation":"(10–16)","noteIndex":0},"citationItems":[{"id":4760,"uris":["http://zotero.org/users/446899/items/AF9JLJL7"],"uri":["http://zotero.org/users/446899/items/AF9JLJL7"],"itemData":{"id":4760,"type":"article-journal","title":"Association between sexual function and depression in sexually active, mid-aged, Peruvian women","container-title":"Climacteric","page":"654-660","volume":"14","issue":"6","source":"Taylor and Francis+NEJM","abstract":"Objective To determine the association between sexual function and depression in sexually active, mid-aged women while controlling for sociodemographical and clinical factors.Methods Data were analyzed from 335 healthy, sexually active, Peruvian women (40–59 years) who simultaneously filled out the Female Sexual Function Index (FSFI), the Menopause Rating Scale (MRS), the Beck Depression Inventory (BDI) and a general questionnaire containing female/partner data. Correlations between the measures of all tools were analyzed.Results The median age of studied women was 49 years; 76.7% had low schooling, 40% were postmenopausal and 15.2% used hormone therapy. Regarding the partner, 11% and 10.5% presented erectile dysfunction and premature ejaculation, respectively. FSFI total scores displayed significant correlations with BDI and MRS scores (total, psychological and urogenital). Multiple linear regression analysis was used to obtain an association model between sexual function and depression, explaining 88% of the variance. In this model, sexual function was inversely associated with depression, yet confounded by MRS urogenital scores. In addition, sexual function was inversely correlated to partner sexual function and to female MRS psychological scorings and positively to premenopausal status.Conclusion In this mid-aged series, sexual function was significantly associated with depression, in addition to hormonal status and partner sexual function.","DOI":"10.3109/13697137.2011.575480","ISSN":"1369-7137","note":"PMID: 21961836","author":[{"family":"Mezones-Holguin","given":"E."},{"family":"Córdova-Marcelo","given":"W."},{"family":"Lau-Chu-Fon","given":"F."},{"family":"Aguilar-Silva","given":"C."},{"family":"Morales-Cabrera","given":"J."},{"family":"Bolaños-Díaz","given":"R."},{"family":"Pérez-López","given":"F. R."},{"family":"Chedraui","given":"P."}],"issued":{"date-parts":[["2011",12,1]]}}},{"id":4761,"uris":["http://zotero.org/users/446899/items/NVF6F6I8"],"uri":["http://zotero.org/users/446899/items/NVF6F6I8"],"itemData":{"id":4761,"type":"article-journal","title":"Risk Factors for Female Sexual Dysfunction in the General Population: Exploring Factors Associated with Low Sexual Function and Sexual Distress","container-title":"The Journal of Sexual Medicine","page":"1681-1693","volume":"5","issue":"7","source":"ScienceDirect","abstract":"Introduction\nNo previous population-based studies have used validated instruments to measure female sexual dysfunction (FSD) in Australian women across a broad age range.\nAim\nTo estimate prevalence and explore factors associated with the components of FSD.\nMain Outcome Measures\nSexual Function Questionnaire measured low sexual function. Female Sexual Distress Scale measured sexual distress.\nMethods\nMultivariate analysis of postal survey data from a random sample of 356 women aged 20–70 years.\nResults\nLow desire was more likely to occur in women in relationships for 20–29 years (odds ratio 3.7, 95% confidence intervals 1.1–12.8) and less likely in women reporting greater satisfaction with their partner as a lover (0.3, 0.1–0.9) or who placed greater importance on sex (0.1, 0.03–0.3). Low genital arousal was more likely among women who were perimenopausal (4.4, 1.2–15.7), postmenopausal (5.3, 1.6–17.7), or depressed (2.5, 1.1–5.3), and was less likely in women taking hormone therapy (0.2, 0.04–0.7), more educated (0.5, 0.3–0.96), in their 30s (0.2, 0.1–0.7) or 40s (0.2, 0.1–0.7), or placed greater importance on sex (0.2, 0.05–0.5). Low orgasmic function was less likely in women who were in their 30s (0.3, 0.1–0.8) or who placed greater importance on sex (0.3, 0.1–0.7). Sexual distress was positively associated with depression (3.1, 1.2–7.8) and was inversely associated with better communication of sexual needs (0.2, 0.05–0.5). Results were adjusted for other covariates including age, psychological, socioeconomic, physiological, and relationship factors.\nConclusions\nRelationship factors were more important to low desire than age or menopause, whereas physiological and psychological factors were more important to low genital arousal and low orgasmic function than relationship factors. Sexual distress was associated with both psychological and relationship factors. Hayes RD, Dennerstein L, Bennett CM, Sidat M, Gurrin LC, and Fairley CK. Risk factors for female sexual dysfunction in the general population: Exploring factors associated with low sexual function and sexual distress.","DOI":"10.1111/j.1743-6109.2008.00838.x","ISSN":"1743-6095","shortTitle":"Risk Factors for Female Sexual Dysfunction in the General Population","journalAbbreviation":"The Journal of Sexual Medicine","author":[{"family":"Hayes","given":"Richard D."},{"family":"Dennerstein","given":"Lorraine"},{"family":"Bennett","given":"Catherine M."},{"family":"Sidat","given":"Mohsin"},{"family":"Gurrin","given":"Lyle C."},{"family":"Fairley","given":"Christopher K."}],"issued":{"date-parts":[["2008",7,1]]}}},{"id":4759,"uris":["http://zotero.org/users/446899/items/N25E3LXC"],"uri":["http://zotero.org/users/446899/items/N25E3LXC"],"itemData":{"id":4759,"type":"article-journal","title":"Effect of sexual function on health-related quality of life mediated by depressive symptoms in cardiac rehabilitation. findings of the SPARK project in 493 patients","container-title":"The Journal of Sexual Medicine","page":"2044-2055","volume":"7","issue":"6","source":"PubMed","abstract":"INTRODUCTION: Empirical evidence suggests associations between cardiovascular diseases, sexual functioning, depressive symptoms, and quality of life. However, to date, the interrelation of these constructs has not been examined simultaneously in a structural analysis.\nAIM: To estimate the prevalence of sexual disorders and depressive symptoms and to examine the association between sexual disorders, depressive symptoms, and quality of life in patients in the rehabilitation of cardiovascular disorders.\nAIM: A postal survey in five German inpatient rehabilitation centers for cardiovascular diseases was conducted. Prevalence of sexual disorders and depressive symptoms were assessed using psychometrically sound instruments. To analyze complex associations, structural equation modeling was used.\nMAIN OUTCOME MEASURES: For epidemiological questions, proportions with 95% confidence intervals were calculated. The strength of association in structural equation models was expressed as a standardized regression coefficient.\nRESULTS: Data from 493 patients were analyzed (response rate 22.7%). At least moderate erectile dysfunction proved to be present in 20.3% of men. The prevalence of female sexual dysfunction lay at 43.1%. At least moderate depressive symptoms were present in 14.4% of men and 16.5% of women. A considerable association between sexual functioning and quality of life was found in both sexes, which was largely mediated by depressive symptoms. Major drawbacks of the study are imprecision of the estimates due to limited sample size and questionable generalizability of the findings due to possible self-selection bias.\nCONCLUSIONS: Considering the high prevalence of depressive symptoms and their role as a mediating factor between sexual functioning and quality of life, it is recommended to routinely screen for depression in men and women with cardiac disease.","DOI":"10.1111/j.1743-6109.2010.01761.x","ISSN":"1743-6109","note":"PMID: 20345735","journalAbbreviation":"J Sex Med","language":"eng","author":[{"family":"Kriston","given":"Levente"},{"family":"Günzler","given":"Cindy"},{"family":"Agyemang","given":"Anja"},{"family":"Bengel","given":"Jürgen"},{"family":"Berner","given":"Michael M."}],"issued":{"date-parts":[["2010",6]]}}},{"id":4758,"uris":["http://zotero.org/users/446899/items/FBNDF5QL"],"uri":["http://zotero.org/users/446899/items/FBNDF5QL"],"itemData":{"id":4758,"type":"article-journal","title":"Depression is correlated with the psychological and physical aspects of sexual dysfunction in men","container-title":"International Journal of Impotence Research","page":"194-199","volume":"25","issue":"5","source":"www.nature.com","abstract":"Few studies have objectively examined the relationship between depression and various stages of sexual function. Here we associate depression and sexual function using validated questionnaires. A retrospective review of 186 men was performed; demographics and serum hormone levels were obtained. Responses to questionnaires evaluating depressive symptoms (Patient Health Questionnaire (PHQ-9)), sexual function (International Index of Erectile Function (IIEF)) and hypogonadal symptoms (quantitative Androgen Decline in the Aging Male (qADAM)) completed by each patient were correlated using Spearman’s rank correlation. Mean±s.d. subject age: 52.6±12.7 years; mean serum hormone levels: TT 429.8±239.2 ng dl−1, free testosterone 9.72±7.5 pg ml−1 and estradiol 34.4±22.8 pg ml−1. Negative correlations were observed between total PHQ-9 score and the sexual desire (ρ=−0.210, P=0.006), intercourse satisfaction (ρ=−0.293, P&lt;0.0001) and overall satisfaction (ρ=−0.413, P&lt;0.0001) domains of the IIEF and individual IIEF questions pertaining to erectile function. Men with a PHQ-9 score </w:instrText>
      </w:r>
      <w:r w:rsidR="00804887">
        <w:rPr>
          <w:rFonts w:hint="eastAsia"/>
        </w:rPr>
        <w:instrText></w:instrText>
      </w:r>
      <w:r w:rsidR="00804887">
        <w:instrText xml:space="preserve">10 (mild depression or worse), had lower sexual desire and sex life satisfaction. A negative correlation between PHQ-9 score and qADAM score (ρ=−0.634, P&lt;0.0001) was observed and men with higher PHQ-9 score had lower qADAM scores. Depressive symptoms in men correlate with both psychological as well as physical aspects of sexual function.","DOI":"10.1038/ijir.2013.4","ISSN":"1476-5489","language":"en","author":[{"family":"Pastuszak","given":"A. W."},{"family":"Badhiwala","given":"N."},{"family":"Lipshultz","given":"L. I."},{"family":"Khera","given":"M."}],"issued":{"date-parts":[["2013",9]]}}},{"id":4757,"uris":["http://zotero.org/users/446899/items/NXN9IGNY"],"uri":["http://zotero.org/users/446899/items/NXN9IGNY"],"itemData":{"id":4757,"type":"article-journal","title":"Predicting Sexual Decline and Dissatisfaction Among Older Adults: The Role of Partnered and Individual Physical and Mental Health Factors","container-title":"The Journals of Gerontology: Series B","page":"323-332","volume":"68","issue":"3","source":"academic.oup.com","abstract":"AbstractObjectives..  To target improvement in older adult sexuality by understanding how a myriad of partnered and individual physical and mental health factor","DOI":"10.1093/geronb/gbs087","ISSN":"1079-5014","shortTitle":"Predicting Sexual Decline and Dissatisfaction Among Older Adults","journalAbbreviation":"J Gerontol B Psychol Sci Soc Sci","language":"en","author":[{"family":"Syme","given":"Maggie L."},{"family":"Klonoff","given":"Elizabeth A."},{"family":"Macera","given":"Caroline A."},{"family":"Brodine","given":"Stephanie K."}],"issued":{"date-parts":[["2013",5,1]]}}},{"id":4756,"uris":["http://zotero.org/users/446899/items/2RNEAU2A"],"uri":["http://zotero.org/users/446899/items/2RNEAU2A"],"itemData":{"id":4756,"type":"article-journal","title":"The relationship between depression and sexual function in menopause period","container-title":"Maturitas","page":"233-237","volume":"61","issue":"3","source":"ScienceDirect","abstract":"Objectives\nMenopause is a physiological process that is lived universally by every middle age woman. This study has been made with the aim of determining the relation between depression situation and sexual function of women in menopause period.\nMethods\nThis study was made with 300 women in menopause who applied to Akdeniz University Research and Application Hospital on January 2007. Study used socio-demographic data descriptive survey form, Beck Depression Inventory and sexual function scale as data collection tool. Data were collected by researchers in face-to-face interviews.\nResults\nIn the study it was found that age and marriage duration of women could reduce sexual function. Depression was determined in 29.3% of women and sexual dysfunction in 65% of women. Significant negative relation was found between sub-dimension of sexual function scale of women vaginal slickness, orgasm, pain, total sexual dysfunction and depression point.\nConclusion\nIn the study it was determined that while depression points increased with menopause, sexual function reduced and with the increase of depression point, sexual dysfunction increased too. Qualitative studies must be made that will examine emotional situations and sexual life of women.","DOI":"10.1016/j.maturitas.2008.09.004","ISSN":"0378-5122","journalAbbreviation":"Maturitas","author":[{"family":"Yangın","given":"Hatice Balcı"},{"family":"Sözer","given":"Gülşen Ak"},{"family":"Şengün","given":"Nazik"},{"family":"Kukulu","given":"Kamile"}],"issued":{"date-parts":[["2008",11,20]]}}},{"id":1327,"uris":["http://zotero.org/users/446899/items/39FU7HZK"],"uri":["http://zotero.org/users/446899/items/39FU7HZK"],"itemData":{"id":1327,"type":"article-journal","title":"The Natsal-SF: a validated measure of sexual function for use in community surveys","container-title":"European Journal of Epidemiology","page":"409-418","volume":"27","issue":"6","source":"NCBI PubMed","abstract":"Sexual dysfunction often features as an outcome variable in community health surveys and epidemiological surveys. Key design imperatives for measures included in large scale, population-based surveys are acceptability, brevity and relevance to diverse sexual lifestyles. None of the available measures of sexual dysfunction are entirely suited to this task. We developed a new measure of sexual function for the third British National Survey of Sexual Attitudes and Lifestyles (Natsal 3). Items for the measure were derived from qualitative work from patients and community members. The draft measure was developed and validated using a general population sample (internet panel survey (n = 1,262)) and a clinical sample (patients attending sexual problems clinics (n = 100). Confirmatory factor analysis established that a 'general-specific model' had the best fit and was equivalent between general population and clinical samples (Comparative Fit Index = 0.963 Tucker Lewis Index = 0.951; Root Mean Square Error of Approximation = 0.064). The 17-item Natsal-SF is positively associated with the Female Sexual Function Index-6 (B = 0.572) and Brief Sexual Function Questionnaire for men (B = 0.705); it can discriminate between clinical and general population groups (OR = 2.667); and it has good test-retest reliability (r = 0.72). The Natsal-SF provides an estimate of the level of sexual function in the last year. By including items on distress about sex and sexual relationships, and by being relevant to all regardless of sexual lifestyle, it addresses some of the gaps in current measurement design.","DOI":"10.1007/s10654-012-9697-3","ISSN":"1573-7284","note":"PMID: 22711585 \nPMCID: PMC3382648","shortTitle":"The Natsal-SF","journalAbbreviation":"Eur. J. Epidemiol.","language":"eng","author":[{"family":"Mitchell","given":"Kirstin R."},{"family":"Ploubidis","given":"George B."},{"family":"Datta","given":"Jessica"},{"family":"Wellings","given":"Kaye"}],"issued":{"date-parts":[["2012",6]]}}}],"schema":"https://github.com/citation-style-language/schema/raw/master/csl-citation.json"} </w:instrText>
      </w:r>
      <w:r w:rsidR="001932BF" w:rsidRPr="007B4C4D">
        <w:fldChar w:fldCharType="separate"/>
      </w:r>
      <w:r w:rsidR="00804887" w:rsidRPr="00804887">
        <w:rPr>
          <w:rFonts w:ascii="Calibri" w:hAnsi="Calibri" w:cs="Calibri"/>
          <w:szCs w:val="24"/>
        </w:rPr>
        <w:t>(10–16)</w:t>
      </w:r>
      <w:r w:rsidR="001932BF" w:rsidRPr="007B4C4D">
        <w:fldChar w:fldCharType="end"/>
      </w:r>
      <w:r w:rsidR="001932BF" w:rsidRPr="007B4C4D">
        <w:t>.</w:t>
      </w:r>
      <w:r w:rsidR="00597FE0" w:rsidRPr="007B4C4D">
        <w:t xml:space="preserve"> Other aspects of sexuality, such as sexual desire and the frequency of sexual activities, have been studied to a lesser extent.</w:t>
      </w:r>
      <w:r w:rsidR="00E2708A" w:rsidRPr="007B4C4D">
        <w:t xml:space="preserve"> In a study of 133 older adults (mean age 74 years)</w:t>
      </w:r>
      <w:r w:rsidR="003E2028" w:rsidRPr="007B4C4D">
        <w:t>,</w:t>
      </w:r>
      <w:r w:rsidR="00E2708A" w:rsidRPr="007B4C4D">
        <w:t xml:space="preserve"> both the frequency and importance of sexual behaviours were moderately positively correlated (</w:t>
      </w:r>
      <w:r w:rsidR="00E2708A" w:rsidRPr="007B4C4D">
        <w:rPr>
          <w:i/>
          <w:color w:val="FF0000"/>
        </w:rPr>
        <w:t>r</w:t>
      </w:r>
      <w:r w:rsidR="00E2708A" w:rsidRPr="007B4C4D">
        <w:rPr>
          <w:color w:val="FF0000"/>
        </w:rPr>
        <w:t xml:space="preserve">=0.52 and 0.47, respectively, both </w:t>
      </w:r>
      <w:r w:rsidR="003E2028" w:rsidRPr="007B4C4D">
        <w:rPr>
          <w:i/>
          <w:color w:val="FF0000"/>
        </w:rPr>
        <w:t>p</w:t>
      </w:r>
      <w:r w:rsidR="00E2708A" w:rsidRPr="007B4C4D">
        <w:rPr>
          <w:color w:val="FF0000"/>
        </w:rPr>
        <w:t>&lt;0.001</w:t>
      </w:r>
      <w:r w:rsidR="00E2708A" w:rsidRPr="007B4C4D">
        <w:t xml:space="preserve">) with quality of life </w:t>
      </w:r>
      <w:r w:rsidR="00AC78A6" w:rsidRPr="007B4C4D">
        <w:fldChar w:fldCharType="begin"/>
      </w:r>
      <w:r w:rsidR="00804887">
        <w:instrText xml:space="preserve"> ADDIN ZOTERO_ITEM CSL_CITATION {"citationID":"j5nwl2ET","properties":{"formattedCitation":"(17)","plainCitation":"(17)","noteIndex":0},"citationItems":[{"id":4650,"uris":["http://zotero.org/users/446899/items/Z3DYZ4UJ"],"uri":["http://zotero.org/users/446899/items/Z3DYZ4UJ"],"itemData":{"id":4650,"type":"article-journal","title":"Examining associations between sexual behaviours and quality of life in older adults","container-title":"Age and Ageing","page":"823-828","volume":"44","issue":"5","source":"PubMed","abstract":"BACKGROUND: while sexual behaviours are potentially important for quality of life in older adults, they are under-researched. The current study examined associations between frequency and importance of sexual behaviours and quality of life in older adults.\nMETHOD: one hundred and thirty-three participants (mean 74 years, SD = 7.1) provided information about the frequency with which they participated in six sexual behaviours and the perceived importance of these: touching/holding hands, embracing/hugging, kissing, mutual stroking, masturbating and intercourse. Participants also completed the WHO Quality of Life scale, providing an overall quality of life score, in addition to the domains of physical health, psychological health, social relationships and environment. Participants provided information on their marital status, living arrangements and self-reported health.\nRESULTS: both the frequency and importance of sexual behaviours were moderately positively correlated with quality of life (r = 0.52 and 0.47, respectively, both P &lt; 0.001). In separate regression analyses, the frequency of sexual behaviours was a significant predictor of quality of life in the social relationships domain (β = 0.225, P &lt; 0.05), and the importance of sexual behaviours was associated with the psychological domain (β = 0.151, P &lt; 0.05), independent of the presence of a spouse/partner and self-reported health.\nCONCLUSIONS: with ageing trends, a broader understanding of the factors that influence quality of life in older adults is increasingly important. The current findings suggest that aspects of sexual behaviour and quality of life were positively associated. Researchers are encouraged to consider aspects of sex and sexuality when exploring determinants of well-being in later life.","DOI":"10.1093/ageing/afv083","ISSN":"1468-2834","note":"PMID: 26178206","journalAbbreviation":"Age Ageing","language":"eng","author":[{"family":"Flynn","given":"Taylor-Jane"},{"family":"Gow","given":"Alan J."}],"issued":{"date-parts":[["2015",9]]}}}],"schema":"https://github.com/citation-style-language/schema/raw/master/csl-citation.json"} </w:instrText>
      </w:r>
      <w:r w:rsidR="00AC78A6" w:rsidRPr="007B4C4D">
        <w:fldChar w:fldCharType="separate"/>
      </w:r>
      <w:r w:rsidR="00804887" w:rsidRPr="00804887">
        <w:rPr>
          <w:rFonts w:ascii="Calibri" w:hAnsi="Calibri" w:cs="Calibri"/>
        </w:rPr>
        <w:t>(17)</w:t>
      </w:r>
      <w:r w:rsidR="00AC78A6" w:rsidRPr="007B4C4D">
        <w:fldChar w:fldCharType="end"/>
      </w:r>
      <w:r w:rsidR="00E2708A" w:rsidRPr="007B4C4D">
        <w:t xml:space="preserve">. In another study in a representative sample of 2,810 </w:t>
      </w:r>
      <w:r w:rsidR="00600A2B">
        <w:t xml:space="preserve">people </w:t>
      </w:r>
      <w:r w:rsidR="00EC08F1" w:rsidRPr="007B4C4D">
        <w:t>in Sweden</w:t>
      </w:r>
      <w:r w:rsidR="003E2028" w:rsidRPr="007B4C4D">
        <w:t>,</w:t>
      </w:r>
      <w:r w:rsidR="00E2708A" w:rsidRPr="007B4C4D">
        <w:t xml:space="preserve"> the frequency of sexual intercourse was positively associated with sexual satisfaction, health, and wellbeing</w:t>
      </w:r>
      <w:r w:rsidR="00AC78A6" w:rsidRPr="007B4C4D">
        <w:t xml:space="preserve"> </w:t>
      </w:r>
      <w:r w:rsidR="00AC78A6" w:rsidRPr="007B4C4D">
        <w:fldChar w:fldCharType="begin"/>
      </w:r>
      <w:r w:rsidR="00804887">
        <w:instrText xml:space="preserve"> ADDIN ZOTERO_ITEM CSL_CITATION {"citationID":"K2qDTNha","properties":{"formattedCitation":"(18)","plainCitation":"(18)","noteIndex":0},"citationItems":[{"id":4600,"uris":["http://zotero.org/users/446899/items/M9D3GWDF"],"uri":["http://zotero.org/users/446899/items/M9D3GWDF"],"itemData":{"id":4600,"type":"article-journal","title":"Satisfaction (sexual, life, relationship, and mental health) is associated directly with penile-vaginal intercourse, but inversely with other sexual behavior frequencies","container-title":"The Journal of Sexual Medicine","page":"1947-1954","volume":"6","issue":"7","source":"PubMed","abstract":"INTRODUCTION: Some sex therapists and educators assume that many sexual behaviors provide comparable sexual satisfaction. Evidence is required to determine whether sexual behaviors differ in their associations with both sexual satisfaction and satisfaction with other aspects of life.\nAIMS: To test the hypothesis that satisfaction with sex life, life in general, sexual partnership, and mental health correlates directly with frequency of penile-vaginal intercourse (PVI) and inversely with frequency of both masturbation and partnered sexual activity excluding PVI (noncoital sex).\nMETHODS: A representative sample of 2,810 Swedes reported frequency of PVI, noncoital sex, and masturbation during the past 30 days, and degree of satisfaction with their sex life, life in general, partnership, and mental health.\nMAIN OUTCOME MEASURES: Multivariate analyses (for the sexes separately and combined) considering the different satisfaction parameters as dependent variables, and the different types of sexual activities (and age) as putative predictors.\nRESULTS: For both sexes, multivariate analyses revealed that PVI frequency was directly associated with all satisfaction measures (part correlation = 0.50 with sexual satisfaction), masturbation frequency was independently inversely associated with almost all satisfaction measures, and noncoital sex frequencies independently inversely associated with some satisfaction measures (and uncorrelated with the rest). Age did not confound the results.\nCONCLUSIONS: The results are consistent with evidence that specifically PVI frequency, rather than other sexual activities, is associated with sexual satisfaction, health, and well-being. Inverse associations between satisfaction and masturbation are not due simply to insufficient PVI.","DOI":"10.1111/j.1743-6109.2009.01303.x","ISSN":"1743-6109","note":"PMID: 19453891","journalAbbreviation":"J Sex Med","language":"eng","author":[{"family":"Brody","given":"Stuart"},{"family":"Costa","given":"Rui Miguel"}],"issued":{"date-parts":[["2009",7]]}}}],"schema":"https://github.com/citation-style-language/schema/raw/master/csl-citation.json"} </w:instrText>
      </w:r>
      <w:r w:rsidR="00AC78A6" w:rsidRPr="007B4C4D">
        <w:fldChar w:fldCharType="separate"/>
      </w:r>
      <w:r w:rsidR="00804887" w:rsidRPr="00804887">
        <w:rPr>
          <w:rFonts w:ascii="Calibri" w:hAnsi="Calibri" w:cs="Calibri"/>
        </w:rPr>
        <w:t>(18)</w:t>
      </w:r>
      <w:r w:rsidR="00AC78A6" w:rsidRPr="007B4C4D">
        <w:fldChar w:fldCharType="end"/>
      </w:r>
      <w:r w:rsidR="00E2708A" w:rsidRPr="007B4C4D">
        <w:t xml:space="preserve">. </w:t>
      </w:r>
      <w:r w:rsidR="00E66DFE" w:rsidRPr="007B4C4D">
        <w:t xml:space="preserve">With the prevalence of </w:t>
      </w:r>
      <w:r w:rsidR="00E2708A" w:rsidRPr="007B4C4D">
        <w:t>mental health complications</w:t>
      </w:r>
      <w:r w:rsidR="001B6F8B" w:rsidRPr="007B4C4D">
        <w:t xml:space="preserve"> </w:t>
      </w:r>
      <w:r w:rsidR="00E66DFE" w:rsidRPr="007B4C4D">
        <w:t xml:space="preserve">on the rise </w:t>
      </w:r>
      <w:r w:rsidR="00AC78A6" w:rsidRPr="007B4C4D">
        <w:rPr>
          <w:color w:val="FF0000"/>
        </w:rPr>
        <w:fldChar w:fldCharType="begin"/>
      </w:r>
      <w:r w:rsidR="00804887">
        <w:rPr>
          <w:color w:val="FF0000"/>
        </w:rPr>
        <w:instrText xml:space="preserve"> ADDIN ZOTERO_ITEM CSL_CITATION {"citationID":"TmskEIi5","properties":{"formattedCitation":"(19,20)","plainCitation":"(19,20)","noteIndex":0},"citationItems":[{"id":4724,"uris":["http://zotero.org/users/446899/items/AA5IJA8X"],"uri":["http://zotero.org/users/446899/items/AA5IJA8X"],"itemData":{"id":4724,"type":"article-journal","title":"Rising rates of depression in today's society: Consideration of the roles of effort-based rewards and enhanced resilience in day-to-day functioning","container-title":"Neuroscience &amp; Biobehavioral Reviews","page":"497-510","volume":"30","issue":"4","source":"ScienceDirect","abstract":"Despite the existence of a vastly improved health care system and a multi-billion dollar antidepressant industry, the rates of depression in the US remain alarmingly high. An exploration of lifestyle changes over the past century suggests that the level of physical activity necessary to provide life's basic resources, referred to as effort-based rewards, has diminished in our industrialized, technologically advanced, service-oriented society. The evolution of the accumbens–striatal–cortical circuitry and its modulating neurochemicals in our ancestors played a significant role in sustaining the continued effort critical for the acquisition of resources such as food, water and shelter; consequently, vast reductions in the degree of physical activity required to obtain necessary resources in today's society likely lead to reduced activation of brain areas essential for reward/pleasure, motivation, problem-solving, and effective coping strategies (i.e. depressive symptomology). Comparative cultural and gender analyses reinforce the significant role of effort-based rewards in mood regulation, suggesting that minimal engagement in such endeavors leads to compromised resilience upon exposure to life's stressful challenges. If physical activity is indeed important in the maintenance of mental health, increased emphasis on behavioral and behavioral/cognitive preventative life strategies, as opposed to an emphasis on psychopharmacological strategies directed at very specific neurochemicals after the onset of depression, should be adopted as protective measures against the onset of depressive symptomology. Thus, strategies that include more global neurobiological activation in the relevant context of directed efforts provide a fresh perspective for depression research.","DOI":"10.1016/j.neubiorev.2005.09.002","ISSN":"0149-7634","shortTitle":"Rising rates of depression in today's society","journalAbbreviation":"Neuroscience &amp; Biobehavioral Reviews","author":[{"family":"Lambert","given":"Kelly G."}],"issued":{"date-parts":[["2006",1,1]]}}},{"id":5765,"uris":["http://zotero.org/users/446899/items/UIDI72JQ"],"uri":["http://zotero.org/users/446899/items/UIDI72JQ"],"itemData":{"id":5765,"type":"webpage","title":"Adult Psychiatric Morbidity Survey: Survey of Mental Health and Wellbeing, England, 2014 - NHS Digital","abstract":"The Adult Psychiatric Morbidity Survey (APMS) series provides data on the prevalence of both treated and untreated psychiatric disorder in the English adult population (aged 16 and over). This survey is the fourth in a series and was conducted by NatCen Social Research, in collaboration with the University of Leicester, for NHS Digital. The previous surveys were conducted in 1993 (16-64 year olds) and 2000 (16-74 year olds) by the Office for National Statistics, which covered England, Scotland and Wales. The 2007 Survey included people aged over 16 and covered England only. The survey used a robust stratified, multi-stage probability sample of households and assesses psychiatric disorder to actual diagnostic criteria for several disorders. The report features chapters on: common mental disorders, mental health treatment and service use, post-traumatic stress disorder, psychotic disorder, autism, personality disorder, attention-deficit/hyperactivity disorder, bipolar disorder,...","URL":"http://webarchive.nationalarchives.gov.uk/20180328140249/http://digital.nhs.uk/catalogue/PUB21748","shortTitle":"Adult Psychiatric Morbidity Survey","language":"en","accessed":{"date-parts":[["2018",10,27]]}}}],"schema":"https://github.com/citation-style-language/schema/raw/master/csl-citation.json"} </w:instrText>
      </w:r>
      <w:r w:rsidR="00AC78A6" w:rsidRPr="007B4C4D">
        <w:rPr>
          <w:color w:val="FF0000"/>
        </w:rPr>
        <w:fldChar w:fldCharType="separate"/>
      </w:r>
      <w:r w:rsidR="00804887" w:rsidRPr="00804887">
        <w:rPr>
          <w:rFonts w:ascii="Calibri" w:hAnsi="Calibri" w:cs="Calibri"/>
        </w:rPr>
        <w:t>(19,20)</w:t>
      </w:r>
      <w:r w:rsidR="00AC78A6" w:rsidRPr="007B4C4D">
        <w:rPr>
          <w:color w:val="FF0000"/>
        </w:rPr>
        <w:fldChar w:fldCharType="end"/>
      </w:r>
      <w:r w:rsidR="00AC78A6" w:rsidRPr="007B4C4D">
        <w:rPr>
          <w:color w:val="FF0000"/>
        </w:rPr>
        <w:t xml:space="preserve">, </w:t>
      </w:r>
      <w:r w:rsidR="00E2708A" w:rsidRPr="007B4C4D">
        <w:t xml:space="preserve">understanding </w:t>
      </w:r>
      <w:r w:rsidR="005053FE" w:rsidRPr="007B4C4D">
        <w:t>the importance of</w:t>
      </w:r>
      <w:r w:rsidR="00E2708A" w:rsidRPr="007B4C4D">
        <w:t xml:space="preserve"> sexuality </w:t>
      </w:r>
      <w:r w:rsidR="005053FE" w:rsidRPr="007B4C4D">
        <w:t>for</w:t>
      </w:r>
      <w:r w:rsidR="00E2708A" w:rsidRPr="007B4C4D">
        <w:t xml:space="preserve"> mental health </w:t>
      </w:r>
      <w:r w:rsidR="005053FE" w:rsidRPr="007B4C4D">
        <w:t xml:space="preserve">and wellbeing </w:t>
      </w:r>
      <w:r w:rsidR="00E2708A" w:rsidRPr="007B4C4D">
        <w:t>may provide</w:t>
      </w:r>
      <w:r w:rsidR="00E2708A">
        <w:t xml:space="preserve"> a novel </w:t>
      </w:r>
      <w:r w:rsidR="006073DD">
        <w:t xml:space="preserve">target </w:t>
      </w:r>
      <w:r w:rsidR="00C858AB">
        <w:t>for interventions</w:t>
      </w:r>
      <w:r w:rsidR="00E2708A">
        <w:t>.</w:t>
      </w:r>
    </w:p>
    <w:p w14:paraId="5D07AF5E" w14:textId="015B900A" w:rsidR="00EE57CA" w:rsidRDefault="00A971DC" w:rsidP="00EA128D">
      <w:r>
        <w:t>A</w:t>
      </w:r>
      <w:r w:rsidR="004C38D1">
        <w:t xml:space="preserve"> potential association between sexuality and </w:t>
      </w:r>
      <w:r w:rsidR="00D83EA0">
        <w:t>wellbeing</w:t>
      </w:r>
      <w:r w:rsidR="004C38D1">
        <w:t xml:space="preserve"> may have particular relevance in later life. </w:t>
      </w:r>
      <w:r w:rsidR="008965E1">
        <w:t>A</w:t>
      </w:r>
      <w:r w:rsidR="00E2708A" w:rsidRPr="00E16874">
        <w:t>s people age, their risk of mental health complications increases</w:t>
      </w:r>
      <w:r w:rsidR="008F43DE">
        <w:t xml:space="preserve"> </w:t>
      </w:r>
      <w:r w:rsidR="008F43DE">
        <w:fldChar w:fldCharType="begin"/>
      </w:r>
      <w:r w:rsidR="00804887">
        <w:instrText xml:space="preserve"> ADDIN ZOTERO_ITEM CSL_CITATION {"citationID":"wD8WRCBH","properties":{"formattedCitation":"(21)","plainCitation":"(21)","noteIndex":0},"citationItems":[{"id":4731,"uris":["http://zotero.org/users/446899/items/U9FHSKM7"],"uri":["http://zotero.org/users/446899/items/U9FHSKM7"],"itemData":{"id":4731,"type":"article","title":"RISKS TO MENTAL HEALTH: AN OVERVIEW OF VULNERABILITIES AND RISK FACTORS","publisher":"World Health Organization","URL":"http://www.who.int/mental_health/mhgap/risks_to_mental_health_EN_27_08_12.pdf","author":[{"family":"World Health Organization","given":""}],"issued":{"date-parts":[["2012",8,27]]},"accessed":{"date-parts":[["2018",8,24]]}}}],"schema":"https://github.com/citation-style-language/schema/raw/master/csl-citation.json"} </w:instrText>
      </w:r>
      <w:r w:rsidR="008F43DE">
        <w:fldChar w:fldCharType="separate"/>
      </w:r>
      <w:r w:rsidR="00804887" w:rsidRPr="00804887">
        <w:rPr>
          <w:rFonts w:ascii="Calibri" w:hAnsi="Calibri" w:cs="Calibri"/>
        </w:rPr>
        <w:t>(21)</w:t>
      </w:r>
      <w:r w:rsidR="008F43DE">
        <w:fldChar w:fldCharType="end"/>
      </w:r>
      <w:r w:rsidR="00E2708A">
        <w:t>.</w:t>
      </w:r>
      <w:r w:rsidR="00DE281D">
        <w:t xml:space="preserve"> This </w:t>
      </w:r>
      <w:r w:rsidR="008965E1">
        <w:t>has important implications</w:t>
      </w:r>
      <w:r w:rsidR="00DE281D">
        <w:t xml:space="preserve"> not only for </w:t>
      </w:r>
      <w:r w:rsidR="008965E1">
        <w:t xml:space="preserve">the </w:t>
      </w:r>
      <w:r w:rsidR="00DE281D">
        <w:t xml:space="preserve">mental </w:t>
      </w:r>
      <w:r w:rsidR="008965E1">
        <w:t xml:space="preserve">wellbeing of older adults </w:t>
      </w:r>
      <w:r w:rsidR="00DE281D">
        <w:t xml:space="preserve">but also for </w:t>
      </w:r>
      <w:r w:rsidR="008965E1">
        <w:t xml:space="preserve">their </w:t>
      </w:r>
      <w:r w:rsidR="00DE281D">
        <w:t>physical health. For example, d</w:t>
      </w:r>
      <w:r w:rsidR="00DE281D" w:rsidRPr="00DE281D">
        <w:t xml:space="preserve">epression in later life is associated with disability, increased mortality, and poorer </w:t>
      </w:r>
      <w:r>
        <w:t>recovery</w:t>
      </w:r>
      <w:r w:rsidR="00DE281D" w:rsidRPr="00DE281D">
        <w:t xml:space="preserve"> from physical illness</w:t>
      </w:r>
      <w:r w:rsidR="00DE281D">
        <w:t xml:space="preserve"> </w:t>
      </w:r>
      <w:r w:rsidR="00AC78A6">
        <w:fldChar w:fldCharType="begin"/>
      </w:r>
      <w:r w:rsidR="00804887">
        <w:instrText xml:space="preserve"> ADDIN ZOTERO_ITEM CSL_CITATION {"citationID":"5eLcxJnh","properties":{"formattedCitation":"(22)","plainCitation":"(22)","noteIndex":0},"citationItems":[{"id":4726,"uris":["http://zotero.org/users/446899/items/3FFZ9LW6"],"uri":["http://zotero.org/users/446899/items/3FFZ9LW6"],"itemData":{"id":4726,"type":"article-journal","title":"Depression in older adults","container-title":"BMJ","page":"d5219","volume":"343","source":"www.bmj.com","abstract":"#### Summary points\n\nDepression is a major contributor to healthcare costs and is projected to be the leading cause of disease burden in middle and higher income countries by the year 2030.w1 Depression in later life, traditionally defined as age older than 65, is associated with disability, increased mortality, and poorer outcomes from physical illness. Most clinicians will encounter older patients with depression in their day to day practice, but although treatment is as effective for older patients as for younger adults, the condition is often under-recognised and under-treated. According to WHO data, proportionately more people aged over 65 commit suicide than any other age group, and most have major depression. Older people who attempt suicide are more likely to die than younger people, while in those who survive, prognosis is worse for older adults.1\n\nWith a progressively ageing population worldwide, identification and treatment of depression in older adults becomes increasingly important, especially as older patients may have different presentations and needs than younger ones. We consider recent systematic reviews, meta-analyses, and randomised controlled trials to …","DOI":"10.1136/bmj.d5219","ISSN":"0959-8138, 1468-5833","note":"PMID: 21957206","journalAbbreviation":"BMJ","language":"en","author":[{"family":"Rodda","given":"Joanne"},{"family":"Walker","given":"Zuzana"},{"family":"Carter","given":"Janet"}],"issued":{"date-parts":[["2011",9,28]]}}}],"schema":"https://github.com/citation-style-language/schema/raw/master/csl-citation.json"} </w:instrText>
      </w:r>
      <w:r w:rsidR="00AC78A6">
        <w:fldChar w:fldCharType="separate"/>
      </w:r>
      <w:r w:rsidR="00804887" w:rsidRPr="00804887">
        <w:rPr>
          <w:rFonts w:ascii="Calibri" w:hAnsi="Calibri" w:cs="Calibri"/>
        </w:rPr>
        <w:t>(22)</w:t>
      </w:r>
      <w:r w:rsidR="00AC78A6">
        <w:fldChar w:fldCharType="end"/>
      </w:r>
      <w:r w:rsidR="00DE281D">
        <w:t>. While the risk of mental health complications increase</w:t>
      </w:r>
      <w:r w:rsidR="0044287D">
        <w:t>s with age,</w:t>
      </w:r>
      <w:r w:rsidR="00DE281D">
        <w:t xml:space="preserve"> sexuality </w:t>
      </w:r>
      <w:r w:rsidR="00EC0B88">
        <w:t>tends</w:t>
      </w:r>
      <w:r w:rsidR="0044287D">
        <w:t xml:space="preserve"> to decline</w:t>
      </w:r>
      <w:r w:rsidR="00426978">
        <w:t xml:space="preserve"> as people get older</w:t>
      </w:r>
      <w:r w:rsidR="00DE281D">
        <w:t xml:space="preserve">. </w:t>
      </w:r>
      <w:r w:rsidR="00EE57CA">
        <w:t xml:space="preserve">In </w:t>
      </w:r>
      <w:r w:rsidR="00EE57CA" w:rsidRPr="0038637A">
        <w:t>a population</w:t>
      </w:r>
      <w:r w:rsidR="00EE57CA">
        <w:t>-</w:t>
      </w:r>
      <w:r w:rsidR="00EE57CA" w:rsidRPr="0038637A">
        <w:t xml:space="preserve">based study of </w:t>
      </w:r>
      <w:r w:rsidR="00EE57CA">
        <w:t>older English</w:t>
      </w:r>
      <w:r w:rsidR="00EE57CA" w:rsidRPr="0038637A">
        <w:t xml:space="preserve"> adults</w:t>
      </w:r>
      <w:r w:rsidR="00EE57CA">
        <w:t>,</w:t>
      </w:r>
      <w:r w:rsidR="00EE57CA" w:rsidRPr="0038637A">
        <w:t xml:space="preserve"> sexual activity</w:t>
      </w:r>
      <w:r w:rsidR="00EE57CA">
        <w:t xml:space="preserve"> was found to</w:t>
      </w:r>
      <w:r w:rsidR="00EE57CA" w:rsidRPr="0038637A">
        <w:t xml:space="preserve"> decrease </w:t>
      </w:r>
      <w:r w:rsidR="00EE57CA">
        <w:t xml:space="preserve">substantially from 50-59 years to </w:t>
      </w:r>
      <w:r w:rsidR="00EE57CA">
        <w:rPr>
          <w:rFonts w:cs="Calibri"/>
        </w:rPr>
        <w:t>≥</w:t>
      </w:r>
      <w:r w:rsidR="00EE57CA">
        <w:t>80 years in both men (94.1% to 31.1%) and women (53.7% to 14.2%)</w:t>
      </w:r>
      <w:r w:rsidR="00AC78A6">
        <w:t xml:space="preserve"> </w:t>
      </w:r>
      <w:r w:rsidR="00AC78A6">
        <w:fldChar w:fldCharType="begin"/>
      </w:r>
      <w:r w:rsidR="007B4C4D">
        <w:instrText xml:space="preserve"> ADDIN ZOTERO_ITEM CSL_CITATION {"citationID":"NlemDxjq","properties":{"formattedCitation":"(19)","plainCitation":"(19)","noteIndex":0},"citationItems":[{"id":1683,"uris":["http://zotero.org/users/446899/items/2PHWCWFD"],"uri":["http://zotero.org/users/446899/items/2PHWCWFD"],"itemData":{"id":1683,"type":"article-journal","title":"Sexual Health and Well-being Among Older Men and Women in England: Findings from the English Longitudinal Study of Ageing","container-title":"Archives of Sexual Behavior","source":"NCBI PubMed","abstract":"We describe levels of sexual activity, problems with sexual functioning, and concerns about sexual health among older adults in the English Longitudinal Study of Ageing (ELSA), and associations with age, health, and partnership factors. Specifically, a total of 6,201 core ELSA participants (56 % women) aged 50 to &gt;90 completed a comprehensive Sexual Relationships and Activities questionnaire (SRA-Q) included in ELSA Wave 6 (2012/13). The prevalence of reporting any sexual activity in the last year declined with age, with women less likely than men at all ages to report being sexually active. Poorer health was associated with lower levels of sexual activity and a higher prevalence of problems with sexual functioning, particularly among men. Difficulties most frequently reported by sexually active women related to becoming sexually aroused (32 %) and achieving orgasm (27 %), while for men it was erectile function (39 %). Sexual health concerns most commonly reported by women related to their level of sexual desire (11 %) and frequency of sexual activities (8 %). Among men it was level of sexual desire (15 %) and erectile difficulties (14 %). While the likelihood of reporting sexual health concerns tended to decrease with age in women, the opposite was seen in men. Poor sexual functioning and disagreements with a partner about initiating and/or feeling obligated to have sex were associated with greater concerns about and dissatisfaction with overall sex life. Levels of sexual activity decline with increasing age, although a sizable minority of men and women remain sexually active until the eighth and ninth decades of life. Problems with sexual functioning were relatively common, but overall levels of sexual health concerns were much lower. Sexually active men reported higher levels of concern with their sexual health and sexual dissatisfaction than women at all ages. Older peoples' sexual health should be managed, not just in the context of their age, gender, and general health, but also within their existing sexual relationship.","DOI":"10.1007/s10508-014-0465-1","ISSN":"1573-2800","note":"PMID: 25624001","shortTitle":"Sexual Health and Well-being Among Older Men and Women in England","journalAbbreviation":"Arch Sex Behav","language":"ENG","author":[{"family":"Lee","given":"David M."},{"family":"Nazroo","given":"James"},{"family":"O'Connor","given":"Daryl B."},{"family":"Blake","given":"Margaret"},{"family":"Pendleton","given":"Neil"}],"issued":{"date-parts":[["2015",1,27]]}}}],"schema":"https://github.com/citation-style-language/schema/raw/master/csl-citation.json"} </w:instrText>
      </w:r>
      <w:r w:rsidR="00AC78A6">
        <w:fldChar w:fldCharType="separate"/>
      </w:r>
      <w:r w:rsidR="007B4C4D" w:rsidRPr="007B4C4D">
        <w:rPr>
          <w:rFonts w:ascii="Calibri" w:hAnsi="Calibri" w:cs="Calibri"/>
        </w:rPr>
        <w:t>(19)</w:t>
      </w:r>
      <w:r w:rsidR="00AC78A6">
        <w:fldChar w:fldCharType="end"/>
      </w:r>
      <w:r w:rsidR="00EE57CA">
        <w:t>.</w:t>
      </w:r>
      <w:r w:rsidR="00EE57CA" w:rsidRPr="00EE57CA">
        <w:t xml:space="preserve"> </w:t>
      </w:r>
      <w:r w:rsidR="00EE57CA">
        <w:t>A similar trend and magnitude of decline were also observed in a US population-based study</w:t>
      </w:r>
      <w:r w:rsidR="00EE21C5">
        <w:t xml:space="preserve"> </w:t>
      </w:r>
      <w:r w:rsidR="00EE21C5">
        <w:fldChar w:fldCharType="begin"/>
      </w:r>
      <w:r w:rsidR="00804887">
        <w:instrText xml:space="preserve"> ADDIN ZOTERO_ITEM CSL_CITATION {"citationID":"mO9sLyRt","properties":{"formattedCitation":"(23)","plainCitation":"(23)","noteIndex":0},"citationItems":[{"id":1646,"uris":["http://zotero.org/users/446899/items/SI2ZZUMR"],"uri":["http://zotero.org/users/446899/items/SI2ZZUMR"],"itemData":{"id":1646,"type":"article-journal","title":"A Study of Sexuality and Health among Older Adults in the United States","container-title":"New England Journal of Medicine","page":"762-774","volume":"357","issue":"8","source":"Taylor and Francis+NEJM","abstract":"Little is known about sexuality among older persons in the United States, despite the aging of the population. Sexuality encompasses partnership, activity, behavior, attitudes, and function.1 Sexual activity is associated with health,2–4 and illness may considerably interfere with sexual health.5 A massive and growing market for drugs and devices to treat sexual problems targets older adults. Driven in part by the availability of drugs to treat erectile dysfunction, the demand for medical attention and services relating to sexual health is increasing. Yet there is limited information on sexual behavior among older adults and how sexual activities change with aging . . .","DOI":"10.1056/NEJMoa067423","ISSN":"0028-4793","note":"PMID: 17715410","author":[{"family":"Lindau","given":"Stacy Tessler"},{"family":"Schumm","given":"L. Philip"},{"family":"Laumann","given":"Edward O."},{"family":"Levinson","given":"Wendy"},{"family":"O'Muircheartaigh","given":"Colm A."},{"family":"Waite","given":"Linda J."}],"issued":{"date-parts":[["2007",8,23]]}}}],"schema":"https://github.com/citation-style-language/schema/raw/master/csl-citation.json"} </w:instrText>
      </w:r>
      <w:r w:rsidR="00EE21C5">
        <w:fldChar w:fldCharType="separate"/>
      </w:r>
      <w:r w:rsidR="00804887" w:rsidRPr="00804887">
        <w:rPr>
          <w:rFonts w:ascii="Calibri" w:hAnsi="Calibri" w:cs="Calibri"/>
        </w:rPr>
        <w:t>(23)</w:t>
      </w:r>
      <w:r w:rsidR="00EE21C5">
        <w:fldChar w:fldCharType="end"/>
      </w:r>
      <w:r w:rsidR="00EE57CA">
        <w:t xml:space="preserve">. </w:t>
      </w:r>
      <w:r w:rsidR="00FF433A">
        <w:t xml:space="preserve">It is possible that this decline in sexuality as people age has a negative influence on </w:t>
      </w:r>
      <w:r w:rsidR="00872504">
        <w:t>wellbeing</w:t>
      </w:r>
      <w:r w:rsidR="00844539">
        <w:t>,</w:t>
      </w:r>
      <w:r w:rsidR="00FF433A">
        <w:t xml:space="preserve"> thus contributing to the observed rise in mental </w:t>
      </w:r>
      <w:r w:rsidR="00FF433A">
        <w:lastRenderedPageBreak/>
        <w:t xml:space="preserve">health complications in older adults. However, to </w:t>
      </w:r>
      <w:r w:rsidR="00537DA8">
        <w:t>our knowledge, no studies have examined whether a decline in sexual desire, activity and/or function is associated with poorer wellbeing.</w:t>
      </w:r>
      <w:r w:rsidR="00FF433A">
        <w:t xml:space="preserve"> </w:t>
      </w:r>
    </w:p>
    <w:p w14:paraId="43462F43" w14:textId="6B50CEF9" w:rsidR="00FF433A" w:rsidRDefault="00FF433A" w:rsidP="00EA128D">
      <w:r>
        <w:t>Th</w:t>
      </w:r>
      <w:r w:rsidR="004B45A1">
        <w:t xml:space="preserve">e present study </w:t>
      </w:r>
      <w:r w:rsidR="007D75FF">
        <w:t xml:space="preserve">therefore aimed </w:t>
      </w:r>
      <w:r>
        <w:t>to investigate</w:t>
      </w:r>
      <w:r w:rsidR="004B45A1">
        <w:t xml:space="preserve"> </w:t>
      </w:r>
      <w:r w:rsidR="007D75FF">
        <w:t xml:space="preserve">the relationship </w:t>
      </w:r>
      <w:r>
        <w:t xml:space="preserve">between </w:t>
      </w:r>
      <w:r w:rsidR="007D75FF">
        <w:t>declining</w:t>
      </w:r>
      <w:r>
        <w:t xml:space="preserve"> sexuality and mental health</w:t>
      </w:r>
      <w:r w:rsidR="007D75FF">
        <w:t xml:space="preserve"> </w:t>
      </w:r>
      <w:r w:rsidR="00872504">
        <w:t xml:space="preserve">and wellbeing </w:t>
      </w:r>
      <w:r w:rsidR="007D75FF">
        <w:t>in a representative, population-based sample of older adults.</w:t>
      </w:r>
      <w:r>
        <w:t xml:space="preserve"> </w:t>
      </w:r>
      <w:r w:rsidR="007D75FF">
        <w:t xml:space="preserve">Specifically, we analysed </w:t>
      </w:r>
      <w:r w:rsidR="000B56FA">
        <w:t xml:space="preserve">associations between self-reported </w:t>
      </w:r>
      <w:r w:rsidR="006F25C5">
        <w:t xml:space="preserve">past-year </w:t>
      </w:r>
      <w:r w:rsidR="000B56FA">
        <w:t>declines in sexual desire, frequency of sexual activit</w:t>
      </w:r>
      <w:r w:rsidR="00FA6786">
        <w:t>ies</w:t>
      </w:r>
      <w:r w:rsidR="000B56FA">
        <w:t xml:space="preserve">, ability to have an erection (men) and ability to become sexually aroused (women) and three markers of </w:t>
      </w:r>
      <w:r w:rsidR="00872504">
        <w:t>wellbeing</w:t>
      </w:r>
      <w:r w:rsidR="00A11C15">
        <w:t>:</w:t>
      </w:r>
      <w:r w:rsidR="00596920">
        <w:t xml:space="preserve"> depressive symptoms, </w:t>
      </w:r>
      <w:r w:rsidR="00514F73">
        <w:t>quality of life</w:t>
      </w:r>
      <w:r w:rsidR="00596920">
        <w:t>, and life satisfaction</w:t>
      </w:r>
      <w:r>
        <w:t xml:space="preserve">. </w:t>
      </w:r>
    </w:p>
    <w:p w14:paraId="366EBB9E" w14:textId="46602A71" w:rsidR="00562EE7" w:rsidRDefault="00EE57CA" w:rsidP="00DE281D">
      <w:pPr>
        <w:jc w:val="both"/>
      </w:pPr>
      <w:r>
        <w:t xml:space="preserve"> </w:t>
      </w:r>
    </w:p>
    <w:p w14:paraId="4BA5803C" w14:textId="6D03660C" w:rsidR="00670640" w:rsidRPr="00A04A56" w:rsidRDefault="00670640" w:rsidP="0091064B">
      <w:pPr>
        <w:pStyle w:val="Heading1"/>
      </w:pPr>
      <w:r w:rsidRPr="00A04A56">
        <w:t>Method</w:t>
      </w:r>
    </w:p>
    <w:p w14:paraId="2735675F" w14:textId="77777777" w:rsidR="00670640" w:rsidRPr="00C274B8" w:rsidRDefault="00670640" w:rsidP="0091064B">
      <w:pPr>
        <w:pStyle w:val="Heading2"/>
        <w:spacing w:afterLines="120" w:after="288"/>
        <w:rPr>
          <w:rFonts w:ascii="Calibri" w:hAnsi="Calibri"/>
          <w:sz w:val="22"/>
          <w:szCs w:val="22"/>
        </w:rPr>
      </w:pPr>
      <w:r w:rsidRPr="00C274B8">
        <w:rPr>
          <w:rFonts w:ascii="Calibri" w:hAnsi="Calibri"/>
          <w:sz w:val="22"/>
          <w:szCs w:val="22"/>
        </w:rPr>
        <w:t>Study population</w:t>
      </w:r>
    </w:p>
    <w:p w14:paraId="46CB7EBA" w14:textId="3BD006E9" w:rsidR="0044585F" w:rsidRPr="00C274B8" w:rsidRDefault="000940D5" w:rsidP="0091064B">
      <w:pPr>
        <w:spacing w:afterLines="120" w:after="288"/>
        <w:rPr>
          <w:rFonts w:ascii="Calibri" w:hAnsi="Calibri"/>
        </w:rPr>
      </w:pPr>
      <w:r w:rsidRPr="00EC5D39">
        <w:rPr>
          <w:rFonts w:ascii="Calibri" w:hAnsi="Calibri"/>
        </w:rPr>
        <w:t>Data were</w:t>
      </w:r>
      <w:r w:rsidR="0044585F" w:rsidRPr="00EC5D39">
        <w:rPr>
          <w:rFonts w:ascii="Calibri" w:hAnsi="Calibri"/>
        </w:rPr>
        <w:t xml:space="preserve"> from the English Longitudinal Study of Ageing (ELSA)</w:t>
      </w:r>
      <w:r w:rsidRPr="00EC5D39">
        <w:rPr>
          <w:rFonts w:ascii="Calibri" w:hAnsi="Calibri"/>
        </w:rPr>
        <w:t>,</w:t>
      </w:r>
      <w:r w:rsidR="0044585F" w:rsidRPr="00EC5D39">
        <w:rPr>
          <w:rFonts w:ascii="Calibri" w:hAnsi="Calibri"/>
        </w:rPr>
        <w:t xml:space="preserve"> a population-</w:t>
      </w:r>
      <w:r w:rsidRPr="00EC5D39">
        <w:rPr>
          <w:rFonts w:ascii="Calibri" w:hAnsi="Calibri"/>
        </w:rPr>
        <w:t>representative</w:t>
      </w:r>
      <w:r w:rsidR="0044585F" w:rsidRPr="00EC5D39">
        <w:rPr>
          <w:rFonts w:ascii="Calibri" w:hAnsi="Calibri"/>
        </w:rPr>
        <w:t xml:space="preserve"> panel study of men and women aged </w:t>
      </w:r>
      <w:r w:rsidRPr="00EC5D39">
        <w:rPr>
          <w:rFonts w:ascii="Calibri" w:hAnsi="Calibri" w:cs="Calibri"/>
        </w:rPr>
        <w:t>≥</w:t>
      </w:r>
      <w:r w:rsidR="0044585F" w:rsidRPr="00EC5D39">
        <w:rPr>
          <w:rFonts w:ascii="Calibri" w:hAnsi="Calibri"/>
        </w:rPr>
        <w:t xml:space="preserve">50 </w:t>
      </w:r>
      <w:r w:rsidRPr="00EC5D39">
        <w:rPr>
          <w:rFonts w:ascii="Calibri" w:hAnsi="Calibri"/>
        </w:rPr>
        <w:t xml:space="preserve">years </w:t>
      </w:r>
      <w:r w:rsidR="0044585F" w:rsidRPr="00EC5D39">
        <w:rPr>
          <w:rFonts w:ascii="Calibri" w:hAnsi="Calibri"/>
        </w:rPr>
        <w:t>living in England</w:t>
      </w:r>
      <w:r w:rsidR="00AC78A6">
        <w:rPr>
          <w:rFonts w:ascii="Calibri" w:hAnsi="Calibri"/>
        </w:rPr>
        <w:t xml:space="preserve"> </w:t>
      </w:r>
      <w:r w:rsidR="00AC78A6">
        <w:rPr>
          <w:rFonts w:ascii="Calibri" w:hAnsi="Calibri"/>
        </w:rPr>
        <w:fldChar w:fldCharType="begin"/>
      </w:r>
      <w:r w:rsidR="00804887">
        <w:rPr>
          <w:rFonts w:ascii="Calibri" w:hAnsi="Calibri"/>
        </w:rPr>
        <w:instrText xml:space="preserve"> ADDIN ZOTERO_ITEM CSL_CITATION {"citationID":"qOgiYJky","properties":{"formattedCitation":"(24)","plainCitation":"(24)","noteIndex":0},"citationItems":[{"id":1308,"uris":["http://zotero.org/users/446899/items/3CSP8CP4"],"uri":["http://zotero.org/users/446899/items/3CSP8CP4"],"itemData":{"id":1308,"type":"article-journal","title":"Cohort profile: the English Longitudinal Study of Ageing","container-title":"International journal of epidemiology","page":"1640-1648","volume":"42","issue":"6","source":"NCBI P</w:instrText>
      </w:r>
      <w:r w:rsidR="00804887">
        <w:rPr>
          <w:rFonts w:ascii="Calibri" w:hAnsi="Calibri" w:hint="eastAsia"/>
        </w:rPr>
        <w:instrText xml:space="preserve">ubMed","abstract":"The English Longitudinal Study of Ageing (ELSA) is a panel study of a representative cohort of men and women living in England aged </w:instrText>
      </w:r>
      <w:r w:rsidR="00804887">
        <w:rPr>
          <w:rFonts w:ascii="Calibri" w:hAnsi="Calibri" w:hint="eastAsia"/>
        </w:rPr>
        <w:instrText>≥</w:instrText>
      </w:r>
      <w:r w:rsidR="00804887">
        <w:rPr>
          <w:rFonts w:ascii="Calibri" w:hAnsi="Calibri" w:hint="eastAsia"/>
        </w:rPr>
        <w:instrText>50 years. It was designed as a sister study to the Health and Retirement Study in the USA and is multid</w:instrText>
      </w:r>
      <w:r w:rsidR="00804887">
        <w:rPr>
          <w:rFonts w:ascii="Calibri" w:hAnsi="Calibri"/>
        </w:rPr>
        <w:instrText xml:space="preserve">isciplinary in orientation, involving the collection of economic, social, psychological, cognitive, health, biological and genetic data. The study commenced in 2002, and the sample has been followed up every 2 years. Data are collected using computer-assisted personal interviews and self-completion questionnaires, with additional nurse visits for the assessment of biomarkers every 4 years. The original sample consisted of 11 391 members ranging in age from 50 to 100 years. ELSA is harmonized with ageing studies in other countries to facilitate international comparisons, and is linked to financial and health registry data. The data set is openly available to researchers and analysts soon after collection (http://www.esds.ac.uk/longitudinal/access/elsa/l5050.asp).","DOI":"10.1093/ije/dys168","ISSN":"1464-3685","note":"PMID: 23143611 \nPMCID: PMC3900867","shortTitle":"Cohort profile","journalAbbreviation":"Int J Epidemiol","language":"eng","author":[{"family":"Steptoe","given":"Andrew"},{"family":"Breeze","given":"Elizabeth"},{"family":"Banks","given":"James"},{"family":"Nazroo","given":"James"}],"issued":{"date-parts":[["2013",12]]}}}],"schema":"https://github.com/citation-style-language/schema/raw/master/csl-citation.json"} </w:instrText>
      </w:r>
      <w:r w:rsidR="00AC78A6">
        <w:rPr>
          <w:rFonts w:ascii="Calibri" w:hAnsi="Calibri"/>
        </w:rPr>
        <w:fldChar w:fldCharType="separate"/>
      </w:r>
      <w:r w:rsidR="00804887" w:rsidRPr="00804887">
        <w:rPr>
          <w:rFonts w:ascii="Calibri" w:hAnsi="Calibri" w:cs="Calibri"/>
        </w:rPr>
        <w:t>(24)</w:t>
      </w:r>
      <w:r w:rsidR="00AC78A6">
        <w:rPr>
          <w:rFonts w:ascii="Calibri" w:hAnsi="Calibri"/>
        </w:rPr>
        <w:fldChar w:fldCharType="end"/>
      </w:r>
      <w:r w:rsidR="00165A61" w:rsidRPr="00EC5D39">
        <w:rPr>
          <w:rFonts w:ascii="Calibri" w:hAnsi="Calibri"/>
        </w:rPr>
        <w:t xml:space="preserve">. </w:t>
      </w:r>
      <w:r w:rsidR="0044585F" w:rsidRPr="00EC5D39">
        <w:rPr>
          <w:rFonts w:ascii="Calibri" w:hAnsi="Calibri"/>
        </w:rPr>
        <w:t xml:space="preserve">The study started in 2002 (Wave 1), with participants recruited from an annual cross‐sectional survey of households and followed up every two years. </w:t>
      </w:r>
      <w:r w:rsidR="00EC5D39">
        <w:rPr>
          <w:rFonts w:ascii="Calibri" w:hAnsi="Calibri"/>
        </w:rPr>
        <w:t>Data are collected via</w:t>
      </w:r>
      <w:r w:rsidR="00EC5D39" w:rsidRPr="00EC5D39">
        <w:rPr>
          <w:rFonts w:ascii="Calibri" w:hAnsi="Calibri"/>
        </w:rPr>
        <w:t xml:space="preserve"> computer assisted personal interview (CAPI) conducted face to face in the participant’s home or residence</w:t>
      </w:r>
      <w:r w:rsidR="00EC5D39">
        <w:rPr>
          <w:rFonts w:ascii="Calibri" w:hAnsi="Calibri"/>
        </w:rPr>
        <w:t xml:space="preserve">, with additional </w:t>
      </w:r>
      <w:r w:rsidR="00EC5D39" w:rsidRPr="00EC5D39">
        <w:rPr>
          <w:rFonts w:ascii="Calibri" w:hAnsi="Calibri"/>
        </w:rPr>
        <w:t>self-completion questionnaires return</w:t>
      </w:r>
      <w:r w:rsidR="00EC5D39">
        <w:rPr>
          <w:rFonts w:ascii="Calibri" w:hAnsi="Calibri"/>
        </w:rPr>
        <w:t>ed</w:t>
      </w:r>
      <w:r w:rsidR="00EC5D39" w:rsidRPr="00EC5D39">
        <w:rPr>
          <w:rFonts w:ascii="Calibri" w:hAnsi="Calibri"/>
        </w:rPr>
        <w:t xml:space="preserve"> to the research office by post after the CAPI. T</w:t>
      </w:r>
      <w:r w:rsidR="0044585F" w:rsidRPr="00EC5D39">
        <w:rPr>
          <w:rFonts w:ascii="Calibri" w:hAnsi="Calibri"/>
        </w:rPr>
        <w:t>he present study</w:t>
      </w:r>
      <w:r w:rsidR="00EC5D39" w:rsidRPr="00EC5D39">
        <w:rPr>
          <w:rFonts w:ascii="Calibri" w:hAnsi="Calibri"/>
        </w:rPr>
        <w:t xml:space="preserve"> uses</w:t>
      </w:r>
      <w:r w:rsidR="0044585F" w:rsidRPr="00EC5D39">
        <w:rPr>
          <w:rFonts w:ascii="Calibri" w:hAnsi="Calibri"/>
        </w:rPr>
        <w:t xml:space="preserve"> data </w:t>
      </w:r>
      <w:r w:rsidR="00EC5D39" w:rsidRPr="00EC5D39">
        <w:rPr>
          <w:rFonts w:ascii="Calibri" w:hAnsi="Calibri"/>
        </w:rPr>
        <w:t xml:space="preserve">from </w:t>
      </w:r>
      <w:r w:rsidR="00EC5D39" w:rsidRPr="000B4F3F">
        <w:t>Wave 6 (2012/13) as this is</w:t>
      </w:r>
      <w:r w:rsidR="0044585F" w:rsidRPr="000B4F3F">
        <w:t xml:space="preserve"> the only wave in which sexual relationships and activities </w:t>
      </w:r>
      <w:r w:rsidR="00EC5D39" w:rsidRPr="000B4F3F">
        <w:t>have been</w:t>
      </w:r>
      <w:r w:rsidR="0044585F" w:rsidRPr="000B4F3F">
        <w:t xml:space="preserve"> assessed</w:t>
      </w:r>
      <w:r w:rsidR="00EC5D39" w:rsidRPr="000B4F3F">
        <w:t>.</w:t>
      </w:r>
      <w:r w:rsidR="0044585F" w:rsidRPr="000B4F3F">
        <w:t xml:space="preserve"> </w:t>
      </w:r>
      <w:r w:rsidR="000B4F3F" w:rsidRPr="000B4F3F">
        <w:rPr>
          <w:color w:val="FF0000"/>
        </w:rPr>
        <w:t>Of the 10,601 individuals who were interviewed in Wave 6 of ELSA, 7,079 (67% of those eligible) r</w:t>
      </w:r>
      <w:r w:rsidR="0044585F" w:rsidRPr="000B4F3F">
        <w:rPr>
          <w:color w:val="FF0000"/>
        </w:rPr>
        <w:t>eturned the self-completion Sexual Relationships and Activities Questionnaire</w:t>
      </w:r>
      <w:r w:rsidR="008F1904" w:rsidRPr="000B4F3F">
        <w:rPr>
          <w:color w:val="FF0000"/>
        </w:rPr>
        <w:t xml:space="preserve"> (SRA-Q)</w:t>
      </w:r>
      <w:r w:rsidR="00AC78A6" w:rsidRPr="000B4F3F">
        <w:rPr>
          <w:color w:val="FF0000"/>
        </w:rPr>
        <w:t xml:space="preserve"> </w:t>
      </w:r>
      <w:r w:rsidR="00AC78A6" w:rsidRPr="000B4F3F">
        <w:rPr>
          <w:color w:val="FF0000"/>
        </w:rPr>
        <w:fldChar w:fldCharType="begin"/>
      </w:r>
      <w:r w:rsidR="007B4C4D" w:rsidRPr="000B4F3F">
        <w:rPr>
          <w:color w:val="FF0000"/>
        </w:rPr>
        <w:instrText xml:space="preserve"> ADDIN ZOTERO_ITEM CSL_CITATION {"citationID":"cTHunAYL","properties":{"formattedCitation":"(19)","plainCitation":"(19)","noteIndex":0},"citationItems":[{"id":1683,"uris":["http://zotero.org/users/446899/items/2PHWCWFD"],"uri":["http://zotero.org/users/446899/items/2PHWCWFD"],"itemData":{"id":1683,"type":"article-journal","title":"Sexual Health and Well-being Among Older Men and Women in England: Findings from the English Longitudinal Study of Ageing","container-title":"Archives of Sexual Behavior","source":"NCBI PubMed","abstract":"We describe levels of sexual activity, problems with sexual functioning, and concerns about sexual health among older adults in the English Longitudinal Study of Ageing (ELSA), and associations with age, health, and partnership factors. Specifically, a total of 6,201 core ELSA participants (56 % women) aged 50 to &gt;90 completed a comprehensive Sexual Relationships and Activities questionnaire (SRA-Q) included in ELSA Wave 6 (2012/13). The prevalence of reporting any sexual activity in the last year declined with age, with women less likely than men at all ages to report being sexually active. Poorer health was associated with lower levels of sexual activity and a higher prevalence of problems with sexual functioning, particularly among men. Difficulties most frequently reported by sexually active women related to becoming sexually aroused (32 %) and achieving orgasm (27 %), while for men it was erectile function (39 %). Sexual health concerns most commonly reported by women related to their level of sexual desire (11 %) and frequency of sexual activities (8 %). Among men it was level of sexual desire (15 %) and erectile difficulties (14 %). While the likelihood of reporting sexual health concerns tended to decrease with age in women, the opposite was seen in men. Poor sexual functioning and disagreements with a partner about initiating and/or feeling obligated to have sex were associated with greater concerns about and dissatisfaction with overall sex life. Levels of sexual activity decline with increasing age, although a sizable minority of men and women remain sexually active until the eighth and ninth decades of life. Problems with sexual functioning were relatively common, but overall levels of sexual health concerns were much lower. Sexually active men reported higher levels of concern with their sexual health and sexual dissatisfaction than women at all ages. Older peoples' sexual health should be managed, not just in the context of their age, gender, and general health, but also within their existing sexual relationship.","DOI":"10.1007/s10508-014-0465-1","ISSN":"1573-2800","note":"PMID: 25624001","shortTitle":"Sexual Health and Well-being Among Older Men and Women in England","journalAbbreviation":"Arch Sex Behav","language":"ENG","author":[{"family":"Lee","given":"David M."},{"family":"Nazroo","given":"James"},{"family":"O'Connor","given":"Daryl B."},{"family":"Blake","given":"Margaret"},{"family":"Pendleton","given":"Neil"}],"issued":{"date-parts":[["2015",1,27]]}}}],"schema":"https://github.com/citation-style-language/schema/raw/master/csl-citation.json"} </w:instrText>
      </w:r>
      <w:r w:rsidR="00AC78A6" w:rsidRPr="000B4F3F">
        <w:rPr>
          <w:color w:val="FF0000"/>
        </w:rPr>
        <w:fldChar w:fldCharType="separate"/>
      </w:r>
      <w:r w:rsidR="007B4C4D" w:rsidRPr="000B4F3F">
        <w:rPr>
          <w:color w:val="FF0000"/>
        </w:rPr>
        <w:t>(19)</w:t>
      </w:r>
      <w:r w:rsidR="00AC78A6" w:rsidRPr="000B4F3F">
        <w:rPr>
          <w:color w:val="FF0000"/>
        </w:rPr>
        <w:fldChar w:fldCharType="end"/>
      </w:r>
      <w:r w:rsidR="000B4F3F" w:rsidRPr="000B4F3F">
        <w:rPr>
          <w:color w:val="FF0000"/>
        </w:rPr>
        <w:t>. We restricted our sample to participants who</w:t>
      </w:r>
      <w:r w:rsidR="00487537" w:rsidRPr="000B4F3F">
        <w:rPr>
          <w:color w:val="FF0000"/>
        </w:rPr>
        <w:t xml:space="preserve"> had data on at least one outcome variable and had comp</w:t>
      </w:r>
      <w:r w:rsidR="000B4F3F" w:rsidRPr="000B4F3F">
        <w:rPr>
          <w:color w:val="FF0000"/>
        </w:rPr>
        <w:t>l</w:t>
      </w:r>
      <w:r w:rsidR="00487537" w:rsidRPr="000B4F3F">
        <w:rPr>
          <w:color w:val="FF0000"/>
        </w:rPr>
        <w:t>ete data on covariates</w:t>
      </w:r>
      <w:r w:rsidR="00487537" w:rsidRPr="000B4F3F">
        <w:rPr>
          <w:rFonts w:ascii="Calibri" w:hAnsi="Calibri"/>
          <w:color w:val="FF0000"/>
        </w:rPr>
        <w:t xml:space="preserve"> (</w:t>
      </w:r>
      <w:r w:rsidR="00487537" w:rsidRPr="000B4F3F">
        <w:rPr>
          <w:rFonts w:ascii="Calibri" w:hAnsi="Calibri"/>
          <w:i/>
          <w:color w:val="FF0000"/>
        </w:rPr>
        <w:t>n</w:t>
      </w:r>
      <w:r w:rsidR="00487537" w:rsidRPr="000B4F3F">
        <w:rPr>
          <w:rFonts w:ascii="Calibri" w:hAnsi="Calibri"/>
          <w:color w:val="FF0000"/>
        </w:rPr>
        <w:t>=5,</w:t>
      </w:r>
      <w:r w:rsidR="00EC5D39" w:rsidRPr="000B4F3F">
        <w:rPr>
          <w:rFonts w:ascii="Calibri" w:hAnsi="Calibri"/>
          <w:color w:val="FF0000"/>
        </w:rPr>
        <w:t>831</w:t>
      </w:r>
      <w:r w:rsidR="000B4F3F" w:rsidRPr="000B4F3F">
        <w:rPr>
          <w:rFonts w:ascii="Calibri" w:hAnsi="Calibri"/>
          <w:color w:val="FF0000"/>
        </w:rPr>
        <w:t>, 82.4%</w:t>
      </w:r>
      <w:r w:rsidR="00487537" w:rsidRPr="000B4F3F">
        <w:rPr>
          <w:rFonts w:ascii="Calibri" w:hAnsi="Calibri"/>
          <w:color w:val="FF0000"/>
        </w:rPr>
        <w:t>)</w:t>
      </w:r>
      <w:r w:rsidR="0044585F" w:rsidRPr="000B4F3F">
        <w:rPr>
          <w:rFonts w:ascii="Calibri" w:hAnsi="Calibri"/>
          <w:color w:val="FF0000"/>
        </w:rPr>
        <w:t xml:space="preserve">. </w:t>
      </w:r>
      <w:r w:rsidR="0044585F" w:rsidRPr="00452935">
        <w:rPr>
          <w:rFonts w:ascii="Calibri" w:hAnsi="Calibri"/>
        </w:rPr>
        <w:t xml:space="preserve">All </w:t>
      </w:r>
      <w:r w:rsidR="0044585F" w:rsidRPr="00C274B8">
        <w:rPr>
          <w:rFonts w:ascii="Calibri" w:hAnsi="Calibri"/>
        </w:rPr>
        <w:t>participants gave full informed consent to participate in the study, and ethical approval was obtained from the London Multi‐Centre Research Ethics Committee.</w:t>
      </w:r>
    </w:p>
    <w:p w14:paraId="07C98FE6" w14:textId="6EA853D6" w:rsidR="00670640" w:rsidRDefault="00553665" w:rsidP="0091064B">
      <w:pPr>
        <w:pStyle w:val="Heading2"/>
        <w:spacing w:afterLines="120" w:after="288"/>
        <w:rPr>
          <w:rFonts w:ascii="Calibri" w:hAnsi="Calibri"/>
          <w:sz w:val="22"/>
          <w:szCs w:val="22"/>
        </w:rPr>
      </w:pPr>
      <w:r>
        <w:rPr>
          <w:rFonts w:ascii="Calibri" w:hAnsi="Calibri"/>
          <w:sz w:val="22"/>
          <w:szCs w:val="22"/>
        </w:rPr>
        <w:t>Measures</w:t>
      </w:r>
    </w:p>
    <w:p w14:paraId="4AA51E92" w14:textId="63BB92B0" w:rsidR="00553665" w:rsidRPr="00553665" w:rsidRDefault="00553665" w:rsidP="0091064B">
      <w:pPr>
        <w:pStyle w:val="Heading3"/>
      </w:pPr>
      <w:r w:rsidRPr="00553665">
        <w:t>Decline in sexual activity and function</w:t>
      </w:r>
    </w:p>
    <w:p w14:paraId="5AA2145D" w14:textId="60C63759" w:rsidR="008F1904" w:rsidRPr="00731A21" w:rsidRDefault="008F1904" w:rsidP="0091064B">
      <w:pPr>
        <w:spacing w:afterLines="120" w:after="288"/>
        <w:rPr>
          <w:rFonts w:ascii="Calibri" w:hAnsi="Calibri"/>
          <w:color w:val="538135" w:themeColor="accent6" w:themeShade="BF"/>
        </w:rPr>
      </w:pPr>
      <w:r w:rsidRPr="00200594">
        <w:t xml:space="preserve">Participants were asked </w:t>
      </w:r>
      <w:r w:rsidR="00200594" w:rsidRPr="00200594">
        <w:t xml:space="preserve">to indicate </w:t>
      </w:r>
      <w:r w:rsidRPr="00200594">
        <w:t>whether</w:t>
      </w:r>
      <w:r w:rsidR="00DA63BF" w:rsidRPr="00200594">
        <w:t xml:space="preserve"> they had had any sexual activity (defined as sexual int</w:t>
      </w:r>
      <w:r w:rsidR="00DA63BF" w:rsidRPr="00520AC1">
        <w:t>ercourse, masturbation, petting or fondling) in the past year</w:t>
      </w:r>
      <w:r w:rsidR="00F560BA" w:rsidRPr="00520AC1">
        <w:t xml:space="preserve"> (yes/no)</w:t>
      </w:r>
      <w:r w:rsidR="00200594" w:rsidRPr="00520AC1">
        <w:t>, and whether,</w:t>
      </w:r>
      <w:r w:rsidRPr="00520AC1">
        <w:t xml:space="preserve"> compared with a year ago, they had experienced a change in (</w:t>
      </w:r>
      <w:proofErr w:type="spellStart"/>
      <w:r w:rsidRPr="00520AC1">
        <w:t>i</w:t>
      </w:r>
      <w:proofErr w:type="spellEnd"/>
      <w:r w:rsidRPr="00520AC1">
        <w:t xml:space="preserve">) </w:t>
      </w:r>
      <w:r w:rsidR="00173AC0">
        <w:t xml:space="preserve">their </w:t>
      </w:r>
      <w:r w:rsidRPr="00520AC1">
        <w:t>sexual drive/desire</w:t>
      </w:r>
      <w:r w:rsidR="00B24300" w:rsidRPr="00520AC1">
        <w:t xml:space="preserve"> (all men and women)</w:t>
      </w:r>
      <w:r w:rsidRPr="00520AC1">
        <w:t xml:space="preserve">, </w:t>
      </w:r>
      <w:r w:rsidRPr="00520AC1">
        <w:lastRenderedPageBreak/>
        <w:t xml:space="preserve">(ii) </w:t>
      </w:r>
      <w:r w:rsidR="00173AC0">
        <w:t xml:space="preserve">the </w:t>
      </w:r>
      <w:r w:rsidRPr="00520AC1">
        <w:t>overall frequency of sexual activities</w:t>
      </w:r>
      <w:r w:rsidR="00B24300" w:rsidRPr="00520AC1">
        <w:t xml:space="preserve"> (sexually active men and women)</w:t>
      </w:r>
      <w:r w:rsidRPr="00520AC1">
        <w:t xml:space="preserve">, and (iii) </w:t>
      </w:r>
      <w:r w:rsidR="00173AC0">
        <w:t xml:space="preserve">their </w:t>
      </w:r>
      <w:r w:rsidRPr="00520AC1">
        <w:t>ability to have an erection (</w:t>
      </w:r>
      <w:r w:rsidR="00B24300" w:rsidRPr="00520AC1">
        <w:t xml:space="preserve">all </w:t>
      </w:r>
      <w:r w:rsidRPr="00520AC1">
        <w:t>men)</w:t>
      </w:r>
      <w:r w:rsidR="00200594" w:rsidRPr="00520AC1">
        <w:t xml:space="preserve"> or </w:t>
      </w:r>
      <w:r w:rsidRPr="00520AC1">
        <w:t>become sexually aroused (</w:t>
      </w:r>
      <w:r w:rsidR="00B24300" w:rsidRPr="00520AC1">
        <w:t xml:space="preserve">sexually active </w:t>
      </w:r>
      <w:r w:rsidRPr="00520AC1">
        <w:t xml:space="preserve">women). Response options were </w:t>
      </w:r>
      <w:r w:rsidR="00520AC1" w:rsidRPr="00520AC1">
        <w:t xml:space="preserve">on a 5-point scale from </w:t>
      </w:r>
      <w:r w:rsidRPr="00520AC1">
        <w:t>“increased a lot”</w:t>
      </w:r>
      <w:r w:rsidR="00520AC1" w:rsidRPr="00520AC1">
        <w:t xml:space="preserve"> to</w:t>
      </w:r>
      <w:r w:rsidRPr="00520AC1">
        <w:t xml:space="preserve"> “decreased a lot”.</w:t>
      </w:r>
      <w:r w:rsidR="00840BA3" w:rsidRPr="00520AC1">
        <w:t xml:space="preserve"> We dichotomised responses to distinguish between participants reporting a moderate or large decrease in sexual desire, frequency or function from those who reported no change or an increase</w:t>
      </w:r>
      <w:r w:rsidR="005B518F">
        <w:t xml:space="preserve">, </w:t>
      </w:r>
      <w:r w:rsidR="005B518F" w:rsidRPr="002421C9">
        <w:rPr>
          <w:color w:val="FF0000"/>
        </w:rPr>
        <w:t>as has been done in previous investigations</w:t>
      </w:r>
      <w:r w:rsidR="00AC78A6" w:rsidRPr="002421C9">
        <w:rPr>
          <w:color w:val="FF0000"/>
        </w:rPr>
        <w:t xml:space="preserve"> </w:t>
      </w:r>
      <w:r w:rsidR="00AC78A6">
        <w:fldChar w:fldCharType="begin"/>
      </w:r>
      <w:r w:rsidR="007B4C4D">
        <w:instrText xml:space="preserve"> ADDIN ZOTERO_ITEM CSL_CITATION {"citationID":"GilZdEai","properties":{"formattedCitation":"(19)","plainCitation":"(19)","noteIndex":0},"citationItems":[{"id":1683,"uris":["http://zotero.org/users/446899/items/2PHWCWFD"],"uri":["http://zotero.org/users/446899/items/2PHWCWFD"],"itemData":{"id":1683,"type":"article-journal","title":"Sexual Health and Well-being Among Older Men and Women in England: Findings from the English Longitudinal Study of Ageing","container-title":"Archives of Sexual Behavior","source":"NCBI PubMed","abstract":"We describe levels of sexual activity, problems with sexual functioning, and concerns about sexual health among older adults in the English Longitudinal Study of Ageing (ELSA), and associations with age, health, and partnership factors. Specifically, a total of 6,201 core ELSA participants (56 % women) aged 50 to &gt;90 completed a comprehensive Sexual Relationships and Activities questionnaire (SRA-Q) included in ELSA Wave 6 (2012/13). The prevalence of reporting any sexual activity in the last year declined with age, with women less likely than men at all ages to report being sexually active. Poorer health was associated with lower levels of sexual activity and a higher prevalence of problems with sexual functioning, particularly among men. Difficulties most frequently reported by sexually active women related to becoming sexually aroused (32 %) and achieving orgasm (27 %), while for men it was erectile function (39 %). Sexual health concerns most commonly reported by women related to their level of sexual desire (11 %) and frequency of sexual activities (8 %). Among men it was level of sexual desire (15 %) and erectile difficulties (14 %). While the likelihood of reporting sexual health concerns tended to decrease with age in women, the opposite was seen in men. Poor sexual functioning and disagreements with a partner about initiating and/or feeling obligated to have sex were associated with greater concerns about and dissatisfaction with overall sex life. Levels of sexual activity decline with increasing age, although a sizable minority of men and women remain sexually active until the eighth and ninth decades of life. Problems with sexual functioning were relatively common, but overall levels of sexual health concerns were much lower. Sexually active men reported higher levels of concern with their sexual health and sexual dissatisfaction than women at all ages. Older peoples' sexual health should be managed, not just in the context of their age, gender, and general health, but also within their existing sexual relationship.","DOI":"10.1007/s10508-014-0465-1","ISSN":"1573-2800","note":"PMID: 25624001","shortTitle":"Sexual Health and Well-being Among Older Men and Women in England","journalAbbreviation":"Arch Sex Behav","language":"ENG","author":[{"family":"Lee","given":"David M."},{"family":"Nazroo","given":"James"},{"family":"O'Connor","given":"Daryl B."},{"family":"Blake","given":"Margaret"},{"family":"Pendleton","given":"Neil"}],"issued":{"date-parts":[["2015",1,27]]}}}],"schema":"https://github.com/citation-style-language/schema/raw/master/csl-citation.json"} </w:instrText>
      </w:r>
      <w:r w:rsidR="00AC78A6">
        <w:fldChar w:fldCharType="separate"/>
      </w:r>
      <w:r w:rsidR="007B4C4D" w:rsidRPr="007B4C4D">
        <w:rPr>
          <w:rFonts w:ascii="Calibri" w:hAnsi="Calibri" w:cs="Calibri"/>
        </w:rPr>
        <w:t>(19)</w:t>
      </w:r>
      <w:r w:rsidR="00AC78A6">
        <w:fldChar w:fldCharType="end"/>
      </w:r>
      <w:r w:rsidR="00840BA3" w:rsidRPr="00520AC1">
        <w:t>.</w:t>
      </w:r>
    </w:p>
    <w:p w14:paraId="16F41B44" w14:textId="3CE40592" w:rsidR="00FE4F77" w:rsidRPr="00553665" w:rsidRDefault="00327D96" w:rsidP="0091064B">
      <w:pPr>
        <w:pStyle w:val="Heading3"/>
      </w:pPr>
      <w:r>
        <w:t>W</w:t>
      </w:r>
      <w:r w:rsidR="00056F90">
        <w:t>ellbeing</w:t>
      </w:r>
    </w:p>
    <w:p w14:paraId="5E293832" w14:textId="31A8E947" w:rsidR="000513C0" w:rsidRDefault="000513C0" w:rsidP="0091064B">
      <w:pPr>
        <w:spacing w:afterLines="120" w:after="288"/>
        <w:rPr>
          <w:rFonts w:ascii="Calibri" w:hAnsi="Calibri"/>
          <w:shd w:val="clear" w:color="auto" w:fill="FFFFFF"/>
        </w:rPr>
      </w:pPr>
      <w:r w:rsidRPr="00C274B8">
        <w:rPr>
          <w:rFonts w:ascii="Calibri" w:hAnsi="Calibri"/>
          <w:shd w:val="clear" w:color="auto" w:fill="FFFFFF"/>
        </w:rPr>
        <w:t xml:space="preserve">Depressive symptoms were assessed using the 8-item Centre </w:t>
      </w:r>
      <w:r w:rsidR="005C2DCC">
        <w:rPr>
          <w:rFonts w:ascii="Calibri" w:hAnsi="Calibri"/>
          <w:shd w:val="clear" w:color="auto" w:fill="FFFFFF"/>
        </w:rPr>
        <w:t>for</w:t>
      </w:r>
      <w:r w:rsidRPr="00C274B8">
        <w:rPr>
          <w:rFonts w:ascii="Calibri" w:hAnsi="Calibri"/>
          <w:shd w:val="clear" w:color="auto" w:fill="FFFFFF"/>
        </w:rPr>
        <w:t xml:space="preserve"> Epidemiologic Studies Depression (CES-D) scale, a validated scale for use in older adults </w:t>
      </w:r>
      <w:r w:rsidR="00AC78A6">
        <w:rPr>
          <w:rFonts w:ascii="Calibri" w:hAnsi="Calibri"/>
          <w:shd w:val="clear" w:color="auto" w:fill="FFFFFF"/>
        </w:rPr>
        <w:fldChar w:fldCharType="begin"/>
      </w:r>
      <w:r w:rsidR="00804887">
        <w:rPr>
          <w:rFonts w:ascii="Calibri" w:hAnsi="Calibri"/>
          <w:shd w:val="clear" w:color="auto" w:fill="FFFFFF"/>
        </w:rPr>
        <w:instrText xml:space="preserve"> ADDIN ZOTERO_ITEM CSL_CITATION {"citationID":"h960HzC0","properties":{"formattedCitation":"(25)","plainCitation":"(25)","noteIndex":0},"citationItems":[{"id":203,"uris":["http://zotero.org/users/446899/items/KSNSDFX5"],"uri":["http://zotero.org/users/446899/items/KSNSDFX5"],"itemData":{"id":203,"type":"article","title":"Documentation of affective functioning measures in the Health and Retirement Study","publisher":"HRS Documentation Report DR-005","author":[{"family":"Steffick","given":"D.E."}],"issued":{"date-parts":[["2000"]]}}}],"schema":"https://github.com/citation-style-language/schema/raw/master/csl-citation.json"} </w:instrText>
      </w:r>
      <w:r w:rsidR="00AC78A6">
        <w:rPr>
          <w:rFonts w:ascii="Calibri" w:hAnsi="Calibri"/>
          <w:shd w:val="clear" w:color="auto" w:fill="FFFFFF"/>
        </w:rPr>
        <w:fldChar w:fldCharType="separate"/>
      </w:r>
      <w:r w:rsidR="00804887" w:rsidRPr="00804887">
        <w:rPr>
          <w:rFonts w:ascii="Calibri" w:hAnsi="Calibri" w:cs="Calibri"/>
        </w:rPr>
        <w:t>(25)</w:t>
      </w:r>
      <w:r w:rsidR="00AC78A6">
        <w:rPr>
          <w:rFonts w:ascii="Calibri" w:hAnsi="Calibri"/>
          <w:shd w:val="clear" w:color="auto" w:fill="FFFFFF"/>
        </w:rPr>
        <w:fldChar w:fldCharType="end"/>
      </w:r>
      <w:hyperlink r:id="rId8" w:anchor="pone.0066222-Irwin1" w:history="1"/>
      <w:r w:rsidRPr="00C274B8">
        <w:rPr>
          <w:rFonts w:ascii="Calibri" w:hAnsi="Calibri"/>
          <w:shd w:val="clear" w:color="auto" w:fill="FFFFFF"/>
        </w:rPr>
        <w:t>.</w:t>
      </w:r>
      <w:r w:rsidR="001E1885">
        <w:rPr>
          <w:rFonts w:ascii="Calibri" w:hAnsi="Calibri"/>
          <w:shd w:val="clear" w:color="auto" w:fill="FFFFFF"/>
        </w:rPr>
        <w:t xml:space="preserve"> </w:t>
      </w:r>
      <w:r w:rsidR="001E1885" w:rsidRPr="001E1885">
        <w:rPr>
          <w:rFonts w:ascii="Calibri" w:hAnsi="Calibri"/>
          <w:shd w:val="clear" w:color="auto" w:fill="FFFFFF"/>
        </w:rPr>
        <w:t>The CES-D asks about feelings over the last week (e.g. </w:t>
      </w:r>
      <w:r w:rsidR="001E1885" w:rsidRPr="001E1885">
        <w:rPr>
          <w:rFonts w:ascii="Calibri" w:hAnsi="Calibri"/>
          <w:i/>
          <w:iCs/>
        </w:rPr>
        <w:t>“Over the last week have you felt sad”</w:t>
      </w:r>
      <w:r w:rsidR="001E1885" w:rsidRPr="001E1885">
        <w:rPr>
          <w:rFonts w:ascii="Calibri" w:hAnsi="Calibri"/>
          <w:shd w:val="clear" w:color="auto" w:fill="FFFFFF"/>
        </w:rPr>
        <w:t xml:space="preserve">), with binary response options (yes/no). </w:t>
      </w:r>
      <w:proofErr w:type="gramStart"/>
      <w:r w:rsidR="001E1885" w:rsidRPr="001E1885">
        <w:rPr>
          <w:rFonts w:ascii="Calibri" w:hAnsi="Calibri"/>
          <w:shd w:val="clear" w:color="auto" w:fill="FFFFFF"/>
        </w:rPr>
        <w:t>Positively-framed</w:t>
      </w:r>
      <w:proofErr w:type="gramEnd"/>
      <w:r w:rsidR="001E1885" w:rsidRPr="001E1885">
        <w:rPr>
          <w:rFonts w:ascii="Calibri" w:hAnsi="Calibri"/>
          <w:shd w:val="clear" w:color="auto" w:fill="FFFFFF"/>
        </w:rPr>
        <w:t xml:space="preserve"> items were reverse scored and all items summed to create a total score of 0–8, with higher scores indicating a greater number of depressive symptoms.</w:t>
      </w:r>
    </w:p>
    <w:p w14:paraId="1FB61D64" w14:textId="17136A0C" w:rsidR="00AA2FA8" w:rsidRPr="00AA2FA8" w:rsidRDefault="00AA2FA8" w:rsidP="0091064B">
      <w:pPr>
        <w:spacing w:afterLines="120" w:after="288"/>
        <w:rPr>
          <w:rFonts w:ascii="Calibri" w:hAnsi="Calibri"/>
          <w:shd w:val="clear" w:color="auto" w:fill="FFFFFF"/>
        </w:rPr>
      </w:pPr>
      <w:r w:rsidRPr="00AA2FA8">
        <w:rPr>
          <w:rFonts w:ascii="Calibri" w:hAnsi="Calibri"/>
          <w:shd w:val="clear" w:color="auto" w:fill="FFFFFF"/>
        </w:rPr>
        <w:t>Quality of life was assessed using the CASP‐19, a validated measure developed specifically to assess quality of life in early old age </w:t>
      </w:r>
      <w:r w:rsidR="00AC78A6">
        <w:rPr>
          <w:rFonts w:ascii="Calibri" w:hAnsi="Calibri"/>
          <w:shd w:val="clear" w:color="auto" w:fill="FFFFFF"/>
        </w:rPr>
        <w:fldChar w:fldCharType="begin"/>
      </w:r>
      <w:r w:rsidR="00804887">
        <w:rPr>
          <w:rFonts w:ascii="Calibri" w:hAnsi="Calibri"/>
          <w:shd w:val="clear" w:color="auto" w:fill="FFFFFF"/>
        </w:rPr>
        <w:instrText xml:space="preserve"> ADDIN ZOTERO_ITEM CSL_CITATION {"citationID":"ZUaFkcbs","properties":{"formattedCitation":"(26)","plainCitation":"(26)","noteIndex":0},"citationItems":[{"id":120,"uris":["http://zotero.org/users/446899/items/4THRQPAZ"],"uri":["http://zotero.org/users/446899/items/4THRQPAZ"],"itemData":{"id":120,"type":"article-journal","title":"A measure of quality of life in early old age: the theory, development and properties of a needs satisfaction model (CASP-19)","container-title":"Aging &amp; Mental Health","page":"186–194","volume":"7","issue":"3","source":"Google Scholar","shortTitle":"A measure of quality of life in early old age","author":[{"family":"Hyde","given":"M."},{"family":"Wiggins","given":"R.D."},{"family":"Higgs","given":"P."},{"family":"Blane","given":"D.B."}],"issued":{"date-parts":[["2003"]]}}}],"schema":"https://github.com/citation-style-language/schema/raw/master/csl-citation.json"} </w:instrText>
      </w:r>
      <w:r w:rsidR="00AC78A6">
        <w:rPr>
          <w:rFonts w:ascii="Calibri" w:hAnsi="Calibri"/>
          <w:shd w:val="clear" w:color="auto" w:fill="FFFFFF"/>
        </w:rPr>
        <w:fldChar w:fldCharType="separate"/>
      </w:r>
      <w:r w:rsidR="00804887" w:rsidRPr="00804887">
        <w:rPr>
          <w:rFonts w:ascii="Calibri" w:hAnsi="Calibri" w:cs="Calibri"/>
        </w:rPr>
        <w:t>(26)</w:t>
      </w:r>
      <w:r w:rsidR="00AC78A6">
        <w:rPr>
          <w:rFonts w:ascii="Calibri" w:hAnsi="Calibri"/>
          <w:shd w:val="clear" w:color="auto" w:fill="FFFFFF"/>
        </w:rPr>
        <w:fldChar w:fldCharType="end"/>
      </w:r>
      <w:r w:rsidRPr="00AA2FA8">
        <w:rPr>
          <w:rFonts w:ascii="Calibri" w:hAnsi="Calibri"/>
          <w:shd w:val="clear" w:color="auto" w:fill="FFFFFF"/>
        </w:rPr>
        <w:t xml:space="preserve">. It contains 19 items on four sub‐domains: control, autonomy, pleasure and self‐realisation. Respondents indicate their agreement with each statement, for example: </w:t>
      </w:r>
      <w:r>
        <w:rPr>
          <w:rFonts w:ascii="Calibri" w:hAnsi="Calibri"/>
          <w:shd w:val="clear" w:color="auto" w:fill="FFFFFF"/>
        </w:rPr>
        <w:t>“</w:t>
      </w:r>
      <w:r w:rsidR="00B763D5">
        <w:rPr>
          <w:rFonts w:ascii="Calibri" w:hAnsi="Calibri"/>
          <w:i/>
          <w:shd w:val="clear" w:color="auto" w:fill="FFFFFF"/>
        </w:rPr>
        <w:t>I feel that my life has meaning</w:t>
      </w:r>
      <w:r>
        <w:rPr>
          <w:rFonts w:ascii="Calibri" w:hAnsi="Calibri"/>
          <w:shd w:val="clear" w:color="auto" w:fill="FFFFFF"/>
        </w:rPr>
        <w:t>”</w:t>
      </w:r>
      <w:r w:rsidRPr="00AA2FA8">
        <w:rPr>
          <w:rFonts w:ascii="Calibri" w:hAnsi="Calibri"/>
          <w:shd w:val="clear" w:color="auto" w:fill="FFFFFF"/>
        </w:rPr>
        <w:t>, on a 4‐point Likert scale from 0 (never) to 3 (often). Total scores ranged from 0 to 57 with higher scores indicating higher quality of life.</w:t>
      </w:r>
    </w:p>
    <w:p w14:paraId="397BB917" w14:textId="3A5086A8" w:rsidR="000513C0" w:rsidRPr="00DD67B9" w:rsidRDefault="001E1885" w:rsidP="0091064B">
      <w:pPr>
        <w:spacing w:afterLines="120" w:after="288"/>
        <w:rPr>
          <w:rFonts w:ascii="Calibri" w:hAnsi="Calibri"/>
          <w:shd w:val="clear" w:color="auto" w:fill="FFFFFF"/>
        </w:rPr>
      </w:pPr>
      <w:r>
        <w:rPr>
          <w:rFonts w:ascii="Calibri" w:hAnsi="Calibri"/>
          <w:shd w:val="clear" w:color="auto" w:fill="FFFFFF"/>
        </w:rPr>
        <w:t xml:space="preserve">Life satisfaction was assessed using the </w:t>
      </w:r>
      <w:r w:rsidR="000513C0" w:rsidRPr="00DD67B9">
        <w:rPr>
          <w:rFonts w:ascii="Calibri" w:hAnsi="Calibri"/>
          <w:shd w:val="clear" w:color="auto" w:fill="FFFFFF"/>
        </w:rPr>
        <w:t xml:space="preserve">Satisfaction With Life Scale </w:t>
      </w:r>
      <w:r w:rsidR="00AC78A6">
        <w:rPr>
          <w:rFonts w:ascii="Calibri" w:hAnsi="Calibri"/>
          <w:shd w:val="clear" w:color="auto" w:fill="FFFFFF"/>
        </w:rPr>
        <w:fldChar w:fldCharType="begin"/>
      </w:r>
      <w:r w:rsidR="00804887">
        <w:rPr>
          <w:rFonts w:ascii="Calibri" w:hAnsi="Calibri"/>
          <w:shd w:val="clear" w:color="auto" w:fill="FFFFFF"/>
        </w:rPr>
        <w:instrText xml:space="preserve"> ADDIN ZOTERO_ITEM CSL_CITATION {"citationID":"qxLUBncu","properties":{"formattedCitation":"(27)","plainCitation":"(27)","noteIndex":0},"citationItems":[{"id":202,"uris":["http://zotero.org/users/446899/items/VCMXG87F"],"uri":["http://zotero.org/users/446899/items/VCMXG87F"],"itemData":{"id":202,"type":"article-journal","title":"The satisfaction with life scale","container-title":"J Pers Assess","page":"71–75","volume":"49","issue":"1","source":"Google Scholar","author":[{"family":"Diener","given":"E."},{"family":"Emmons","given":"R.A."},{"family":"Larsen","given":"R.J."},{"family":"Griffin","given":"S."}],"issued":{"date-parts":[["1985"]]}}}],"schema":"https://github.com/citation-style-language/schema/raw/master/csl-citation.json"} </w:instrText>
      </w:r>
      <w:r w:rsidR="00AC78A6">
        <w:rPr>
          <w:rFonts w:ascii="Calibri" w:hAnsi="Calibri"/>
          <w:shd w:val="clear" w:color="auto" w:fill="FFFFFF"/>
        </w:rPr>
        <w:fldChar w:fldCharType="separate"/>
      </w:r>
      <w:r w:rsidR="00804887" w:rsidRPr="00804887">
        <w:rPr>
          <w:rFonts w:ascii="Calibri" w:hAnsi="Calibri" w:cs="Calibri"/>
        </w:rPr>
        <w:t>(27)</w:t>
      </w:r>
      <w:r w:rsidR="00AC78A6">
        <w:rPr>
          <w:rFonts w:ascii="Calibri" w:hAnsi="Calibri"/>
          <w:shd w:val="clear" w:color="auto" w:fill="FFFFFF"/>
        </w:rPr>
        <w:fldChar w:fldCharType="end"/>
      </w:r>
      <w:hyperlink r:id="rId9" w:anchor="pone.0104552-Diener1" w:history="1"/>
      <w:r w:rsidR="000513C0" w:rsidRPr="00DD67B9">
        <w:rPr>
          <w:rFonts w:ascii="Calibri" w:hAnsi="Calibri"/>
          <w:shd w:val="clear" w:color="auto" w:fill="FFFFFF"/>
        </w:rPr>
        <w:t>. This asks respondents to indicate the extent to which they agree with five statements: </w:t>
      </w:r>
      <w:r w:rsidR="000513C0" w:rsidRPr="00DD67B9">
        <w:rPr>
          <w:rFonts w:ascii="Calibri" w:hAnsi="Calibri"/>
          <w:i/>
          <w:iCs/>
        </w:rPr>
        <w:t>“In most ways my life is close to my ideal”</w:t>
      </w:r>
      <w:r w:rsidR="000513C0" w:rsidRPr="00DD67B9">
        <w:rPr>
          <w:rFonts w:ascii="Calibri" w:hAnsi="Calibri"/>
          <w:shd w:val="clear" w:color="auto" w:fill="FFFFFF"/>
        </w:rPr>
        <w:t>; </w:t>
      </w:r>
      <w:r w:rsidR="000513C0" w:rsidRPr="00DD67B9">
        <w:rPr>
          <w:rFonts w:ascii="Calibri" w:hAnsi="Calibri"/>
          <w:i/>
          <w:iCs/>
        </w:rPr>
        <w:t>“The conditions of my life are excellent”</w:t>
      </w:r>
      <w:r w:rsidR="000513C0" w:rsidRPr="00DD67B9">
        <w:rPr>
          <w:rFonts w:ascii="Calibri" w:hAnsi="Calibri"/>
          <w:shd w:val="clear" w:color="auto" w:fill="FFFFFF"/>
        </w:rPr>
        <w:t>; </w:t>
      </w:r>
      <w:r w:rsidR="000513C0" w:rsidRPr="00DD67B9">
        <w:rPr>
          <w:rFonts w:ascii="Calibri" w:hAnsi="Calibri"/>
          <w:i/>
          <w:iCs/>
        </w:rPr>
        <w:t>“I am satisfied with my life”</w:t>
      </w:r>
      <w:r w:rsidR="000513C0" w:rsidRPr="00DD67B9">
        <w:rPr>
          <w:rFonts w:ascii="Calibri" w:hAnsi="Calibri"/>
          <w:shd w:val="clear" w:color="auto" w:fill="FFFFFF"/>
        </w:rPr>
        <w:t>; </w:t>
      </w:r>
      <w:r w:rsidR="000513C0" w:rsidRPr="00DD67B9">
        <w:rPr>
          <w:rFonts w:ascii="Calibri" w:hAnsi="Calibri"/>
          <w:i/>
          <w:iCs/>
        </w:rPr>
        <w:t>“So far I have got the important things I want in life”</w:t>
      </w:r>
      <w:r w:rsidR="000513C0" w:rsidRPr="00DD67B9">
        <w:rPr>
          <w:rFonts w:ascii="Calibri" w:hAnsi="Calibri"/>
          <w:shd w:val="clear" w:color="auto" w:fill="FFFFFF"/>
        </w:rPr>
        <w:t>; </w:t>
      </w:r>
      <w:r w:rsidR="000513C0" w:rsidRPr="00DD67B9">
        <w:rPr>
          <w:rFonts w:ascii="Calibri" w:hAnsi="Calibri"/>
          <w:i/>
          <w:iCs/>
        </w:rPr>
        <w:t>“If I could live my life again, I would change almost nothing”</w:t>
      </w:r>
      <w:r w:rsidR="000513C0" w:rsidRPr="00DD67B9">
        <w:rPr>
          <w:rFonts w:ascii="Calibri" w:hAnsi="Calibri"/>
          <w:shd w:val="clear" w:color="auto" w:fill="FFFFFF"/>
        </w:rPr>
        <w:t xml:space="preserve">. Responses were on a Likert scale from </w:t>
      </w:r>
      <w:proofErr w:type="gramStart"/>
      <w:r w:rsidRPr="00DD67B9">
        <w:rPr>
          <w:rFonts w:ascii="Calibri" w:hAnsi="Calibri"/>
          <w:shd w:val="clear" w:color="auto" w:fill="FFFFFF"/>
        </w:rPr>
        <w:t>0</w:t>
      </w:r>
      <w:proofErr w:type="gramEnd"/>
      <w:r w:rsidR="000513C0" w:rsidRPr="00DD67B9">
        <w:rPr>
          <w:rFonts w:ascii="Calibri" w:hAnsi="Calibri"/>
          <w:shd w:val="clear" w:color="auto" w:fill="FFFFFF"/>
        </w:rPr>
        <w:t xml:space="preserve"> (strongly disagree) to </w:t>
      </w:r>
      <w:r w:rsidRPr="00DD67B9">
        <w:rPr>
          <w:rFonts w:ascii="Calibri" w:hAnsi="Calibri"/>
          <w:shd w:val="clear" w:color="auto" w:fill="FFFFFF"/>
        </w:rPr>
        <w:t>6</w:t>
      </w:r>
      <w:r w:rsidR="000513C0" w:rsidRPr="00DD67B9">
        <w:rPr>
          <w:rFonts w:ascii="Calibri" w:hAnsi="Calibri"/>
          <w:shd w:val="clear" w:color="auto" w:fill="FFFFFF"/>
        </w:rPr>
        <w:t xml:space="preserve"> (strongly agree), and s</w:t>
      </w:r>
      <w:r w:rsidR="00AA2FA8">
        <w:rPr>
          <w:rFonts w:ascii="Calibri" w:hAnsi="Calibri"/>
          <w:shd w:val="clear" w:color="auto" w:fill="FFFFFF"/>
        </w:rPr>
        <w:t>ummed to produce a total score between 0 and 30, with higher scores indicating greater satisfaction with life</w:t>
      </w:r>
      <w:r w:rsidR="00A45EE5" w:rsidRPr="00DD67B9">
        <w:rPr>
          <w:rFonts w:ascii="Calibri" w:hAnsi="Calibri"/>
          <w:shd w:val="clear" w:color="auto" w:fill="FFFFFF"/>
        </w:rPr>
        <w:t>.</w:t>
      </w:r>
    </w:p>
    <w:p w14:paraId="39F1A79A" w14:textId="34E4E3F5" w:rsidR="00670640" w:rsidRPr="00553665" w:rsidRDefault="00553665" w:rsidP="0091064B">
      <w:pPr>
        <w:pStyle w:val="Heading3"/>
      </w:pPr>
      <w:r>
        <w:t>Covariates</w:t>
      </w:r>
    </w:p>
    <w:p w14:paraId="30F22825" w14:textId="59FA065A" w:rsidR="003A61C0" w:rsidRDefault="00670640" w:rsidP="0091064B">
      <w:pPr>
        <w:spacing w:afterLines="120" w:after="288"/>
        <w:rPr>
          <w:rFonts w:ascii="Calibri" w:hAnsi="Calibri"/>
          <w:shd w:val="clear" w:color="auto" w:fill="FFFFFF"/>
        </w:rPr>
      </w:pPr>
      <w:r w:rsidRPr="00C274B8">
        <w:rPr>
          <w:rFonts w:ascii="Calibri" w:hAnsi="Calibri"/>
          <w:shd w:val="clear" w:color="auto" w:fill="FFFFFF"/>
        </w:rPr>
        <w:t xml:space="preserve">All </w:t>
      </w:r>
      <w:r w:rsidR="00CE30BB">
        <w:rPr>
          <w:rFonts w:ascii="Calibri" w:hAnsi="Calibri"/>
          <w:shd w:val="clear" w:color="auto" w:fill="FFFFFF"/>
        </w:rPr>
        <w:t>covariates</w:t>
      </w:r>
      <w:r w:rsidRPr="00C274B8">
        <w:rPr>
          <w:rFonts w:ascii="Calibri" w:hAnsi="Calibri"/>
          <w:shd w:val="clear" w:color="auto" w:fill="FFFFFF"/>
        </w:rPr>
        <w:t xml:space="preserve"> were selected </w:t>
      </w:r>
      <w:r w:rsidRPr="00731A21">
        <w:rPr>
          <w:rFonts w:ascii="Calibri" w:hAnsi="Calibri"/>
          <w:i/>
          <w:shd w:val="clear" w:color="auto" w:fill="FFFFFF"/>
        </w:rPr>
        <w:t>a priori</w:t>
      </w:r>
      <w:r w:rsidRPr="00731A21">
        <w:rPr>
          <w:rFonts w:ascii="Calibri" w:hAnsi="Calibri"/>
          <w:shd w:val="clear" w:color="auto" w:fill="FFFFFF"/>
        </w:rPr>
        <w:t xml:space="preserve">. </w:t>
      </w:r>
      <w:r w:rsidRPr="00C274B8">
        <w:rPr>
          <w:rFonts w:ascii="Calibri" w:hAnsi="Calibri"/>
          <w:shd w:val="clear" w:color="auto" w:fill="FFFFFF"/>
        </w:rPr>
        <w:t>Demographic information collected included age, sex, ethnicity (white vs. non-white) and partnership status (married/cohabiting, separated/divorced, widowed, or single/never married). Socio-economic status (SES) was based on household non-</w:t>
      </w:r>
      <w:r w:rsidR="00B03C8C">
        <w:rPr>
          <w:rFonts w:ascii="Calibri" w:hAnsi="Calibri"/>
          <w:shd w:val="clear" w:color="auto" w:fill="FFFFFF"/>
        </w:rPr>
        <w:t>pension wealth</w:t>
      </w:r>
      <w:r w:rsidRPr="00C274B8">
        <w:rPr>
          <w:rFonts w:ascii="Calibri" w:hAnsi="Calibri"/>
          <w:shd w:val="clear" w:color="auto" w:fill="FFFFFF"/>
        </w:rPr>
        <w:t xml:space="preserve"> </w:t>
      </w:r>
      <w:r w:rsidR="00B03C8C">
        <w:rPr>
          <w:rFonts w:ascii="Calibri" w:hAnsi="Calibri"/>
          <w:shd w:val="clear" w:color="auto" w:fill="FFFFFF"/>
        </w:rPr>
        <w:t>(which</w:t>
      </w:r>
      <w:r w:rsidRPr="00C274B8">
        <w:rPr>
          <w:rFonts w:ascii="Calibri" w:hAnsi="Calibri"/>
          <w:shd w:val="clear" w:color="auto" w:fill="FFFFFF"/>
        </w:rPr>
        <w:t xml:space="preserve"> has been identified as particularly relevant to health outcomes in this age group</w:t>
      </w:r>
      <w:r w:rsidR="00AC78A6">
        <w:rPr>
          <w:rFonts w:ascii="Calibri" w:hAnsi="Calibri"/>
          <w:shd w:val="clear" w:color="auto" w:fill="FFFFFF"/>
        </w:rPr>
        <w:t xml:space="preserve"> </w:t>
      </w:r>
      <w:r w:rsidR="00AC78A6">
        <w:rPr>
          <w:rFonts w:ascii="Calibri" w:hAnsi="Calibri"/>
          <w:shd w:val="clear" w:color="auto" w:fill="FFFFFF"/>
        </w:rPr>
        <w:fldChar w:fldCharType="begin"/>
      </w:r>
      <w:r w:rsidR="00804887">
        <w:rPr>
          <w:rFonts w:ascii="Calibri" w:hAnsi="Calibri"/>
          <w:shd w:val="clear" w:color="auto" w:fill="FFFFFF"/>
        </w:rPr>
        <w:instrText xml:space="preserve"> ADDIN ZOTERO_ITEM CSL_CITATION {"citationID":"s4jT1L5v","properties":{"formattedCitation":"(28)","plainCitation":"(28)","noteIndex":0},"citationItems":[{"id":1180,"uris":["http://zotero.org/users/446899/items/UCVHZBRV"],"uri":["http://zotero.org/users/446899/items/UCVHZBRV"],"itemData":{"id":1180,"type":"article-journal","title":"Socio-economic position","source":"Google Scholar","URL":"http://discovery.ucl.ac.uk/15366/1/15366.pdf","author":[{"family":"Banks","given":"James"},{"family":"Karlsen","given":"S."},{"family":"Oldfield","given":"Zoe"}],"issued":{"date-parts":[["2003"]]},"accessed":{"date-parts":[["2014",3,4]]}}}],"schema":"https://github.com/citation-style-language/schema/raw/master/csl-citation.json"} </w:instrText>
      </w:r>
      <w:r w:rsidR="00AC78A6">
        <w:rPr>
          <w:rFonts w:ascii="Calibri" w:hAnsi="Calibri"/>
          <w:shd w:val="clear" w:color="auto" w:fill="FFFFFF"/>
        </w:rPr>
        <w:fldChar w:fldCharType="separate"/>
      </w:r>
      <w:r w:rsidR="00804887" w:rsidRPr="00804887">
        <w:rPr>
          <w:rFonts w:ascii="Calibri" w:hAnsi="Calibri" w:cs="Calibri"/>
        </w:rPr>
        <w:t>(28)</w:t>
      </w:r>
      <w:r w:rsidR="00AC78A6">
        <w:rPr>
          <w:rFonts w:ascii="Calibri" w:hAnsi="Calibri"/>
          <w:shd w:val="clear" w:color="auto" w:fill="FFFFFF"/>
        </w:rPr>
        <w:fldChar w:fldCharType="end"/>
      </w:r>
      <w:r w:rsidR="00B03C8C">
        <w:rPr>
          <w:rFonts w:ascii="Calibri" w:hAnsi="Calibri"/>
          <w:shd w:val="clear" w:color="auto" w:fill="FFFFFF"/>
        </w:rPr>
        <w:t>)</w:t>
      </w:r>
      <w:r w:rsidRPr="00C274B8">
        <w:rPr>
          <w:rFonts w:ascii="Calibri" w:hAnsi="Calibri"/>
          <w:shd w:val="clear" w:color="auto" w:fill="FFFFFF"/>
        </w:rPr>
        <w:t>, categorised into quintiles across all</w:t>
      </w:r>
      <w:r w:rsidR="00860E57">
        <w:rPr>
          <w:rFonts w:ascii="Calibri" w:hAnsi="Calibri"/>
          <w:shd w:val="clear" w:color="auto" w:fill="FFFFFF"/>
        </w:rPr>
        <w:t xml:space="preserve"> wave 6 ELSA participants</w:t>
      </w:r>
      <w:r w:rsidRPr="00C274B8">
        <w:rPr>
          <w:rFonts w:ascii="Calibri" w:hAnsi="Calibri"/>
          <w:shd w:val="clear" w:color="auto" w:fill="FFFFFF"/>
        </w:rPr>
        <w:t xml:space="preserve">. </w:t>
      </w:r>
    </w:p>
    <w:p w14:paraId="06B784A2" w14:textId="2E30CC0E" w:rsidR="00670640" w:rsidRPr="00C274B8" w:rsidRDefault="00670640" w:rsidP="0091064B">
      <w:pPr>
        <w:spacing w:afterLines="120" w:after="288"/>
        <w:rPr>
          <w:rFonts w:ascii="Calibri" w:hAnsi="Calibri"/>
          <w:shd w:val="clear" w:color="auto" w:fill="FFFFFF"/>
        </w:rPr>
      </w:pPr>
      <w:r w:rsidRPr="00C274B8">
        <w:rPr>
          <w:rFonts w:ascii="Calibri" w:hAnsi="Calibri"/>
          <w:shd w:val="clear" w:color="auto" w:fill="FFFFFF"/>
        </w:rPr>
        <w:lastRenderedPageBreak/>
        <w:t xml:space="preserve">Health-related questions included current smoking status (smoker or non-smoker) and frequency of alcohol intake, categorised as never/rarely (never – once or twice a year), regularly (once every </w:t>
      </w:r>
      <w:r w:rsidR="00BC100E">
        <w:rPr>
          <w:rFonts w:ascii="Calibri" w:hAnsi="Calibri"/>
          <w:shd w:val="clear" w:color="auto" w:fill="FFFFFF"/>
        </w:rPr>
        <w:t>couple of</w:t>
      </w:r>
      <w:r w:rsidRPr="00C274B8">
        <w:rPr>
          <w:rFonts w:ascii="Calibri" w:hAnsi="Calibri"/>
          <w:shd w:val="clear" w:color="auto" w:fill="FFFFFF"/>
        </w:rPr>
        <w:t xml:space="preserve"> months – twice a week), or frequently (3 days a week – almost every day) </w:t>
      </w:r>
      <w:r w:rsidRPr="00C274B8">
        <w:rPr>
          <w:rFonts w:ascii="Calibri" w:hAnsi="Calibri"/>
          <w:shd w:val="clear" w:color="auto" w:fill="FFFFFF"/>
        </w:rPr>
        <w:fldChar w:fldCharType="begin"/>
      </w:r>
      <w:r w:rsidR="007B4C4D">
        <w:rPr>
          <w:rFonts w:ascii="Calibri" w:hAnsi="Calibri"/>
          <w:shd w:val="clear" w:color="auto" w:fill="FFFFFF"/>
        </w:rPr>
        <w:instrText xml:space="preserve"> ADDIN ZOTERO_ITEM CSL_CITATION {"citationID":"W7yApnc9","properties":{"formattedCitation":"(19)","plainCitation":"(19)","noteIndex":0},"citationItems":[{"id":1683,"uris":["http://zotero.org/users/446899/items/2PHWCWFD"],"uri":["http://zotero.org/users/446899/items/2PHWCWFD"],"itemData":{"id":1683,"type":"article-journal","title":"Sexual Health and Well-being Among Older Men and Women in England: Findings from the English Longitudinal Study of Ageing","container-title":"Archives of Sexual Behavior","source":"NCBI PubMed","abstract":"We describe levels of sexual activity, problems with sexual functioning, and concerns about sexual health among older adults in the English Longitudinal Study of Ageing (ELSA), and associations with age, health, and partnership factors. Specifically, a total of 6,201 core ELSA participants (56 % women) aged 50 to &gt;90 completed a comprehensive Sexual Relationships and Activities questionnaire (SRA-Q) included in ELSA Wave 6 (2012/13). The prevalence of reporting any sexual activity in the last year declined with age, with women less likely than men at all ages to report being sexually active. Poorer health was associated with lower levels of sexual activity and a higher prevalence of problems with sexual functioning, particularly among men. Difficulties most frequently reported by sexually active women related to becoming sexually aroused (32 %) and achieving orgasm (27 %), while for men it was erectile function (39 %). Sexual health concerns most commonly reported by women related to their level of sexual desire (11 %) and frequency of sexual activities (8 %). Among men it was level of sexual desire (15 %) and erectile difficulties (14 %). While the likelihood of reporting sexual health concerns tended to decrease with age in women, the opposite was seen in men. Poor sexual functioning and disagreements with a partner about initiating and/or feeling obligated to have sex were associated with greater concerns about and dissatisfaction with overall sex life. Levels of sexual activity decline with increasing age, although a sizable minority of men and women remain sexually active until the eighth and ninth decades of life. Problems with sexual functioning were relatively common, but overall levels of sexual health concerns were much lower. Sexually active men reported higher levels of concern with their sexual health and sexual dissatisfaction than women at all ages. Older peoples' sexual health should be managed, not just in the context of their age, gender, and general health, but also within their existing sexual relationship.","DOI":"10.1007/s10508-014-0465-1","ISSN":"1573-2800","note":"PMID: 25624001","shortTitle":"Sexual Health and Well-being Among Older Men and Women in England","journalAbbreviation":"Arch Sex Behav","language":"ENG","author":[{"family":"Lee","given":"David M."},{"family":"Nazroo","given":"James"},{"family":"O'Connor","given":"Daryl B."},{"family":"Blake","given":"Margaret"},{"family":"Pendleton","given":"Neil"}],"issued":{"date-parts":[["2015",1,27]]}}}],"schema":"https://github.com/citation-style-language/schema/raw/master/csl-citation.json"} </w:instrText>
      </w:r>
      <w:r w:rsidRPr="00C274B8">
        <w:rPr>
          <w:rFonts w:ascii="Calibri" w:hAnsi="Calibri"/>
          <w:shd w:val="clear" w:color="auto" w:fill="FFFFFF"/>
        </w:rPr>
        <w:fldChar w:fldCharType="separate"/>
      </w:r>
      <w:r w:rsidR="007B4C4D" w:rsidRPr="007B4C4D">
        <w:rPr>
          <w:rFonts w:ascii="Calibri" w:hAnsi="Calibri" w:cs="Calibri"/>
        </w:rPr>
        <w:t>(19)</w:t>
      </w:r>
      <w:r w:rsidRPr="00C274B8">
        <w:rPr>
          <w:rFonts w:ascii="Calibri" w:hAnsi="Calibri"/>
          <w:shd w:val="clear" w:color="auto" w:fill="FFFFFF"/>
        </w:rPr>
        <w:fldChar w:fldCharType="end"/>
      </w:r>
      <w:r w:rsidRPr="00C274B8">
        <w:rPr>
          <w:rFonts w:ascii="Calibri" w:hAnsi="Calibri"/>
          <w:shd w:val="clear" w:color="auto" w:fill="FFFFFF"/>
        </w:rPr>
        <w:t xml:space="preserve">. </w:t>
      </w:r>
      <w:r w:rsidR="00D5062D" w:rsidRPr="00D5062D">
        <w:rPr>
          <w:rFonts w:ascii="Calibri" w:hAnsi="Calibri"/>
          <w:shd w:val="clear" w:color="auto" w:fill="FFFFFF"/>
        </w:rPr>
        <w:t>Physical activity was assessed with three items that asked participants how often they took part in vigorous, moderate and low-intensity activities (more than once a week, once a week, 1-3 times a month, hardly ever/never)</w:t>
      </w:r>
      <w:r w:rsidR="00284AB9">
        <w:rPr>
          <w:rFonts w:ascii="Calibri" w:hAnsi="Calibri"/>
          <w:shd w:val="clear" w:color="auto" w:fill="FFFFFF"/>
        </w:rPr>
        <w:t xml:space="preserve"> </w:t>
      </w:r>
      <w:r w:rsidR="00284AB9">
        <w:rPr>
          <w:rFonts w:ascii="Calibri" w:hAnsi="Calibri"/>
          <w:shd w:val="clear" w:color="auto" w:fill="FFFFFF"/>
        </w:rPr>
        <w:fldChar w:fldCharType="begin"/>
      </w:r>
      <w:r w:rsidR="00804887">
        <w:rPr>
          <w:rFonts w:ascii="Calibri" w:hAnsi="Calibri"/>
          <w:shd w:val="clear" w:color="auto" w:fill="FFFFFF"/>
        </w:rPr>
        <w:instrText xml:space="preserve"> ADDIN ZOTERO_ITEM CSL_CITATION {"citationID":"Eg12PeYN","properties":{"formattedCitation":"(29)","plainCitation":"(29)","noteIndex":0},"citationItems":[{"id":123,"uris":["http://zotero.org/users/446899/items/I62RXRAI"],"uri":["http://zotero.org/users/446899/items/I62RXRAI"],"itemData":{"id":123,"type":"article-journal","title":"Low-intensity physical activity is associated with reduced risk of incident type 2 diabetes in older adults: evidence from the English Longitudinal Study of Ageing","container-title":"Diabetologia","page":"1877-1885","volume":"53","source":"CrossRef","DOI":"10.1007/s00125-010-1785-x","ISSN":"0012-186X, 1432-0428","shortTitle":"Low-intensity physical activity is associated with reduced risk of incident type 2 diabetes in older adults","author":[{"family":"Demakakos","given":"P."},{"family":"Hamer","given":"M."},{"family":"Stamatakis","given":"E."},{"family":"Steptoe","given":"A."}],"issued":{"date-parts":[["2010",5,22]]}}}],"schema":"https://github.com/citation-style-language/schema/raw/master/csl-citation.json"} </w:instrText>
      </w:r>
      <w:r w:rsidR="00284AB9">
        <w:rPr>
          <w:rFonts w:ascii="Calibri" w:hAnsi="Calibri"/>
          <w:shd w:val="clear" w:color="auto" w:fill="FFFFFF"/>
        </w:rPr>
        <w:fldChar w:fldCharType="separate"/>
      </w:r>
      <w:r w:rsidR="00804887" w:rsidRPr="00804887">
        <w:rPr>
          <w:rFonts w:ascii="Calibri" w:hAnsi="Calibri" w:cs="Calibri"/>
        </w:rPr>
        <w:t>(29)</w:t>
      </w:r>
      <w:r w:rsidR="00284AB9">
        <w:rPr>
          <w:rFonts w:ascii="Calibri" w:hAnsi="Calibri"/>
          <w:shd w:val="clear" w:color="auto" w:fill="FFFFFF"/>
        </w:rPr>
        <w:fldChar w:fldCharType="end"/>
      </w:r>
      <w:r w:rsidR="00414FA4">
        <w:rPr>
          <w:rFonts w:ascii="Calibri" w:hAnsi="Calibri"/>
          <w:shd w:val="clear" w:color="auto" w:fill="FFFFFF"/>
        </w:rPr>
        <w:t xml:space="preserve">. </w:t>
      </w:r>
      <w:r w:rsidR="00D5062D" w:rsidRPr="00D5062D">
        <w:rPr>
          <w:rFonts w:ascii="Calibri" w:hAnsi="Calibri"/>
          <w:shd w:val="clear" w:color="auto" w:fill="FFFFFF"/>
        </w:rPr>
        <w:t>Physical activity was further categorised into three categories</w:t>
      </w:r>
      <w:r w:rsidR="00B31DEE">
        <w:rPr>
          <w:rFonts w:ascii="Calibri" w:hAnsi="Calibri"/>
          <w:shd w:val="clear" w:color="auto" w:fill="FFFFFF"/>
        </w:rPr>
        <w:t xml:space="preserve"> for analysis</w:t>
      </w:r>
      <w:r w:rsidR="00414FA4">
        <w:rPr>
          <w:rFonts w:ascii="Calibri" w:hAnsi="Calibri"/>
          <w:shd w:val="clear" w:color="auto" w:fill="FFFFFF"/>
        </w:rPr>
        <w:t>, as previously described</w:t>
      </w:r>
      <w:r w:rsidR="00284AB9">
        <w:rPr>
          <w:rFonts w:ascii="Calibri" w:hAnsi="Calibri"/>
          <w:shd w:val="clear" w:color="auto" w:fill="FFFFFF"/>
        </w:rPr>
        <w:t xml:space="preserve"> </w:t>
      </w:r>
      <w:r w:rsidR="00284AB9">
        <w:rPr>
          <w:rFonts w:ascii="Calibri" w:hAnsi="Calibri"/>
          <w:shd w:val="clear" w:color="auto" w:fill="FFFFFF"/>
        </w:rPr>
        <w:fldChar w:fldCharType="begin"/>
      </w:r>
      <w:r w:rsidR="00804887">
        <w:rPr>
          <w:rFonts w:ascii="Calibri" w:hAnsi="Calibri"/>
          <w:shd w:val="clear" w:color="auto" w:fill="FFFFFF"/>
        </w:rPr>
        <w:instrText xml:space="preserve"> ADDIN ZOTERO_ITEM CSL_CITATION {"citationID":"rcsAFk19","properties":{"formattedCitation":"(30)","plainCitation":"(30)","noteIndex":0},"citationItems":[{"id":1546,"uris":["http://zotero.org/users/446899/items/3E7VIJE6"],"uri":["http://zotero.org/users/446899/items/3E7VIJE6"],"itemData":{"id":1546,"type":"article-journal","title":"Leisure time physical activity, risk of depressive symptoms, and inflammatory mediators: the English Longitudinal Study of Ageing","container-title":"Psychoneuroendocrinology","page":"1050-1055","volume":"34","issue":"7","source":"PubMed","abstract":"OBJECTIVES: To examine if inflammatory markers (CRP, fibrinogen) might partly explain the association between physical activity (PA) and risk of depression.\nDESIGN/SETTING: The English Longitudinal Study of Ageing, a prospective study of community dwelling older adults.\nPARTICIPANTS: 4323 men and women (aged 63.4+/-9.7 yrs) free from depression at baseline.\nMEASURES: Self reported leisure time PA levels and depressive symptoms (a score of &gt; or = 4 using the 8-item CES-D scale) were assessed at baseline and 4 yrs follow up. The inflammatory markers, CRP and fibrinogen, were assessed at a 2 yrs intermediate time point between baseline and follow up.\nRESULTS: At follow up 8% of the sample reported depressive symptomatology. In comparison with participants reporting none or light PA, the odds of depressive symptomatology for those reporting moderate or vigorous PA were 0.71 (95% CI, 0.54-0.95) and 0.58 (0.41-0.81), respectively, after adjustments for baseline CES-D score, age, gender, social-occupational class, smoking, alcohol, and chronic illness. Each standard unit increase in log CRP was associated with higher odds of depressive symptomatology at follow up (1.32, 1.13-1.55) and CRP was inversely associated with physical activity. The association between PA and depressive symptomatology was not, however, substantially modified by further adjustment for CRP (odds for none vs. vigorous PA=0.60, 0.43-0.84).\nCONCLUSIONS: These data suggest that low grade systemic inflammation, as indexed by CRP, is a risk marker for depressive symptomatology, although this mechanism explains only a modest (approximately 5%) amount of the association between PA and risk of depression.","DOI":"10.1016/j.psyneuen.2009.02.004","ISSN":"1873-3360","note":"PMID: 19272716","shortTitle":"Leisure time physical activity, risk of depressive symptoms, and inflammatory mediators","journalAbbreviation":"Psychoneuroendocrinology","language":"eng","author":[{"family":"Hamer","given":"Mark"},{"family":"Molloy","given":"Gerard J."},{"family":"Oliveira","given":"Cesar","non-dropping-particle":"de"},{"family":"Demakakos","given":"Panayotes"}],"issued":{"date-parts":[["2009",8]]}}}],"schema":"https://github.com/citation-style-language/schema/raw/master/csl-citation.json"} </w:instrText>
      </w:r>
      <w:r w:rsidR="00284AB9">
        <w:rPr>
          <w:rFonts w:ascii="Calibri" w:hAnsi="Calibri"/>
          <w:shd w:val="clear" w:color="auto" w:fill="FFFFFF"/>
        </w:rPr>
        <w:fldChar w:fldCharType="separate"/>
      </w:r>
      <w:r w:rsidR="00804887" w:rsidRPr="00804887">
        <w:rPr>
          <w:rFonts w:ascii="Calibri" w:hAnsi="Calibri" w:cs="Calibri"/>
        </w:rPr>
        <w:t>(30)</w:t>
      </w:r>
      <w:r w:rsidR="00284AB9">
        <w:rPr>
          <w:rFonts w:ascii="Calibri" w:hAnsi="Calibri"/>
          <w:shd w:val="clear" w:color="auto" w:fill="FFFFFF"/>
        </w:rPr>
        <w:fldChar w:fldCharType="end"/>
      </w:r>
      <w:r w:rsidR="00414FA4">
        <w:rPr>
          <w:rFonts w:ascii="Calibri" w:hAnsi="Calibri"/>
          <w:shd w:val="clear" w:color="auto" w:fill="FFFFFF"/>
        </w:rPr>
        <w:t>:</w:t>
      </w:r>
      <w:r w:rsidR="00D5062D" w:rsidRPr="00D5062D">
        <w:rPr>
          <w:rFonts w:ascii="Calibri" w:hAnsi="Calibri"/>
          <w:shd w:val="clear" w:color="auto" w:fill="FFFFFF"/>
        </w:rPr>
        <w:t xml:space="preserve"> inactive (no moderate/vigorous activity on a weekly basis); moderate activity at least once a week; and vigorous activity at least once a week.</w:t>
      </w:r>
      <w:r w:rsidR="00D5062D">
        <w:rPr>
          <w:rFonts w:ascii="Calibri" w:hAnsi="Calibri"/>
          <w:shd w:val="clear" w:color="auto" w:fill="FFFFFF"/>
        </w:rPr>
        <w:t xml:space="preserve"> </w:t>
      </w:r>
      <w:r w:rsidR="000513C0" w:rsidRPr="00D5062D">
        <w:rPr>
          <w:rFonts w:ascii="Calibri" w:hAnsi="Calibri"/>
          <w:shd w:val="clear" w:color="auto" w:fill="FFFFFF"/>
        </w:rPr>
        <w:t>Limiting long-standing illness was self-reported in response to two questions: (</w:t>
      </w:r>
      <w:proofErr w:type="spellStart"/>
      <w:r w:rsidR="000513C0" w:rsidRPr="00D5062D">
        <w:rPr>
          <w:rFonts w:ascii="Calibri" w:hAnsi="Calibri"/>
          <w:shd w:val="clear" w:color="auto" w:fill="FFFFFF"/>
        </w:rPr>
        <w:t>i</w:t>
      </w:r>
      <w:proofErr w:type="spellEnd"/>
      <w:r w:rsidR="000513C0" w:rsidRPr="00D5062D">
        <w:rPr>
          <w:rFonts w:ascii="Calibri" w:hAnsi="Calibri"/>
          <w:shd w:val="clear" w:color="auto" w:fill="FFFFFF"/>
        </w:rPr>
        <w:t>) “</w:t>
      </w:r>
      <w:r w:rsidR="000513C0" w:rsidRPr="00114DBC">
        <w:rPr>
          <w:rFonts w:ascii="Calibri" w:hAnsi="Calibri"/>
          <w:i/>
          <w:shd w:val="clear" w:color="auto" w:fill="FFFFFF"/>
        </w:rPr>
        <w:t>Do you have any long-standing illness, disability, or infirmity? By long-standing I mean anything that has troubled you over a period of time or that is likely to affect you over a period of time</w:t>
      </w:r>
      <w:r w:rsidR="000513C0" w:rsidRPr="00D5062D">
        <w:rPr>
          <w:rFonts w:ascii="Calibri" w:hAnsi="Calibri"/>
          <w:shd w:val="clear" w:color="auto" w:fill="FFFFFF"/>
        </w:rPr>
        <w:t>.” If yes, (ii) “</w:t>
      </w:r>
      <w:r w:rsidR="000513C0" w:rsidRPr="00114DBC">
        <w:rPr>
          <w:rFonts w:ascii="Calibri" w:hAnsi="Calibri"/>
          <w:i/>
          <w:shd w:val="clear" w:color="auto" w:fill="FFFFFF"/>
        </w:rPr>
        <w:t>Does this illness or disability limit your activities in any way</w:t>
      </w:r>
      <w:r w:rsidR="000513C0" w:rsidRPr="00D5062D">
        <w:rPr>
          <w:rFonts w:ascii="Calibri" w:hAnsi="Calibri"/>
          <w:shd w:val="clear" w:color="auto" w:fill="FFFFFF"/>
        </w:rPr>
        <w:t>?” Affirmation of a long-standing illness and any form of limitation classified the participant as having a limiting long-standing illness.</w:t>
      </w:r>
    </w:p>
    <w:p w14:paraId="4967EB7B" w14:textId="77777777" w:rsidR="00670640" w:rsidRPr="00C274B8" w:rsidRDefault="00670640" w:rsidP="0091064B">
      <w:pPr>
        <w:pStyle w:val="Heading2"/>
        <w:spacing w:afterLines="120" w:after="288"/>
        <w:rPr>
          <w:rFonts w:ascii="Calibri" w:hAnsi="Calibri"/>
          <w:sz w:val="22"/>
          <w:szCs w:val="22"/>
        </w:rPr>
      </w:pPr>
      <w:r w:rsidRPr="00C274B8">
        <w:rPr>
          <w:rFonts w:ascii="Calibri" w:hAnsi="Calibri"/>
          <w:sz w:val="22"/>
          <w:szCs w:val="22"/>
        </w:rPr>
        <w:t>Statistical analysis</w:t>
      </w:r>
    </w:p>
    <w:p w14:paraId="32C1A31A" w14:textId="7D95D7E2" w:rsidR="00670640" w:rsidRPr="00C274B8" w:rsidRDefault="00670640" w:rsidP="0091064B">
      <w:pPr>
        <w:spacing w:afterLines="120" w:after="288"/>
        <w:rPr>
          <w:rFonts w:ascii="Calibri" w:hAnsi="Calibri"/>
          <w:shd w:val="clear" w:color="auto" w:fill="FFFFFF"/>
        </w:rPr>
      </w:pPr>
      <w:r w:rsidRPr="00C274B8">
        <w:rPr>
          <w:rFonts w:ascii="Calibri" w:hAnsi="Calibri"/>
          <w:shd w:val="clear" w:color="auto" w:fill="FFFFFF"/>
        </w:rPr>
        <w:t>Analyses were performed using IBM SPSS Statistics 2</w:t>
      </w:r>
      <w:r w:rsidR="00C471FB">
        <w:rPr>
          <w:rFonts w:ascii="Calibri" w:hAnsi="Calibri"/>
          <w:shd w:val="clear" w:color="auto" w:fill="FFFFFF"/>
        </w:rPr>
        <w:t>4</w:t>
      </w:r>
      <w:r w:rsidRPr="00C274B8">
        <w:rPr>
          <w:rFonts w:ascii="Calibri" w:hAnsi="Calibri"/>
          <w:shd w:val="clear" w:color="auto" w:fill="FFFFFF"/>
        </w:rPr>
        <w:t>. Data were weighted to correct for sampling probabilities and for differential non-response and to calibrate back to the 2011 National Census population distributions for age and sex. The weights accounted for the differential probability of being included in wave 6 of ELSA and for non-response to the SRA‐Q. Details can be found at </w:t>
      </w:r>
      <w:hyperlink r:id="rId10" w:history="1">
        <w:r w:rsidRPr="00C274B8">
          <w:rPr>
            <w:rFonts w:ascii="Calibri" w:hAnsi="Calibri"/>
          </w:rPr>
          <w:t>http://doc.ukdataservice.ac.uk/doc/</w:t>
        </w:r>
      </w:hyperlink>
      <w:r w:rsidRPr="00C274B8">
        <w:rPr>
          <w:rFonts w:ascii="Calibri" w:hAnsi="Calibri"/>
          <w:shd w:val="clear" w:color="auto" w:fill="FFFFFF"/>
        </w:rPr>
        <w:t>5050</w:t>
      </w:r>
      <w:hyperlink r:id="rId11" w:history="1">
        <w:r w:rsidRPr="00C274B8">
          <w:rPr>
            <w:rFonts w:ascii="Calibri" w:hAnsi="Calibri"/>
          </w:rPr>
          <w:t>/mrdoc/pdf/</w:t>
        </w:r>
      </w:hyperlink>
      <w:r w:rsidRPr="00C274B8">
        <w:rPr>
          <w:rFonts w:ascii="Calibri" w:hAnsi="Calibri"/>
          <w:shd w:val="clear" w:color="auto" w:fill="FFFFFF"/>
        </w:rPr>
        <w:t>5050</w:t>
      </w:r>
      <w:hyperlink r:id="rId12" w:history="1">
        <w:r w:rsidRPr="00C274B8">
          <w:rPr>
            <w:rFonts w:ascii="Calibri" w:hAnsi="Calibri"/>
          </w:rPr>
          <w:t>_elsa_w6_technical_report_v1.pdf</w:t>
        </w:r>
      </w:hyperlink>
      <w:r w:rsidRPr="00C274B8">
        <w:rPr>
          <w:rFonts w:ascii="Calibri" w:hAnsi="Calibri"/>
          <w:shd w:val="clear" w:color="auto" w:fill="FFFFFF"/>
        </w:rPr>
        <w:t>.</w:t>
      </w:r>
    </w:p>
    <w:p w14:paraId="499AF8FB" w14:textId="788E299E" w:rsidR="00670640" w:rsidRPr="00C274B8" w:rsidRDefault="001E2F7F" w:rsidP="0091064B">
      <w:pPr>
        <w:spacing w:afterLines="120" w:after="288"/>
        <w:rPr>
          <w:rFonts w:ascii="Calibri" w:hAnsi="Calibri"/>
          <w:color w:val="FF0000"/>
          <w:shd w:val="clear" w:color="auto" w:fill="FFFFFF"/>
        </w:rPr>
      </w:pPr>
      <w:r w:rsidRPr="00C274B8">
        <w:rPr>
          <w:rFonts w:ascii="Calibri" w:hAnsi="Calibri"/>
        </w:rPr>
        <w:t xml:space="preserve">We used </w:t>
      </w:r>
      <w:r w:rsidR="00A0438E">
        <w:rPr>
          <w:rFonts w:ascii="Calibri" w:hAnsi="Calibri"/>
        </w:rPr>
        <w:t>one-way independent analyses of variance (ANOVAs)</w:t>
      </w:r>
      <w:r w:rsidRPr="00C274B8">
        <w:rPr>
          <w:rFonts w:ascii="Calibri" w:hAnsi="Calibri"/>
        </w:rPr>
        <w:t xml:space="preserve"> to test associations between</w:t>
      </w:r>
      <w:r w:rsidR="00A0438E">
        <w:rPr>
          <w:rFonts w:ascii="Calibri" w:hAnsi="Calibri"/>
        </w:rPr>
        <w:t xml:space="preserve"> past-year</w:t>
      </w:r>
      <w:r w:rsidRPr="00C274B8">
        <w:rPr>
          <w:rFonts w:ascii="Calibri" w:hAnsi="Calibri"/>
        </w:rPr>
        <w:t xml:space="preserve"> decline in sexual desire, frequency and function and </w:t>
      </w:r>
      <w:r w:rsidR="00A0438E">
        <w:rPr>
          <w:rFonts w:ascii="Calibri" w:hAnsi="Calibri"/>
        </w:rPr>
        <w:t>depressive symptoms, quality of life and life satisfaction.</w:t>
      </w:r>
      <w:r w:rsidRPr="00C274B8">
        <w:rPr>
          <w:rFonts w:ascii="Calibri" w:hAnsi="Calibri"/>
        </w:rPr>
        <w:t xml:space="preserve"> </w:t>
      </w:r>
      <w:r w:rsidR="00A0438E">
        <w:rPr>
          <w:rFonts w:ascii="Calibri" w:hAnsi="Calibri"/>
        </w:rPr>
        <w:t xml:space="preserve">All analyses </w:t>
      </w:r>
      <w:r w:rsidR="006E63E7">
        <w:rPr>
          <w:rFonts w:ascii="Calibri" w:hAnsi="Calibri"/>
        </w:rPr>
        <w:t xml:space="preserve">were </w:t>
      </w:r>
      <w:r w:rsidR="00A0438E">
        <w:rPr>
          <w:rFonts w:ascii="Calibri" w:hAnsi="Calibri"/>
        </w:rPr>
        <w:t>adjusted</w:t>
      </w:r>
      <w:r w:rsidRPr="00C274B8">
        <w:rPr>
          <w:rFonts w:ascii="Calibri" w:hAnsi="Calibri"/>
        </w:rPr>
        <w:t xml:space="preserve"> </w:t>
      </w:r>
      <w:r w:rsidR="006E63E7">
        <w:rPr>
          <w:rFonts w:ascii="Calibri" w:hAnsi="Calibri"/>
        </w:rPr>
        <w:t>for</w:t>
      </w:r>
      <w:r w:rsidRPr="00C274B8">
        <w:rPr>
          <w:rFonts w:ascii="Calibri" w:hAnsi="Calibri"/>
        </w:rPr>
        <w:t xml:space="preserve"> </w:t>
      </w:r>
      <w:r w:rsidRPr="00C274B8">
        <w:rPr>
          <w:rFonts w:ascii="Calibri" w:hAnsi="Calibri"/>
          <w:shd w:val="clear" w:color="auto" w:fill="FFFFFF"/>
        </w:rPr>
        <w:t>age, partnership status, ethnicity, wealth, smoking status, alcohol intake</w:t>
      </w:r>
      <w:r w:rsidR="00C471FB">
        <w:rPr>
          <w:rFonts w:ascii="Calibri" w:hAnsi="Calibri"/>
          <w:shd w:val="clear" w:color="auto" w:fill="FFFFFF"/>
        </w:rPr>
        <w:t>,</w:t>
      </w:r>
      <w:r w:rsidR="00C471FB" w:rsidRPr="00C471FB">
        <w:rPr>
          <w:rFonts w:ascii="Calibri" w:hAnsi="Calibri"/>
          <w:shd w:val="clear" w:color="auto" w:fill="FFFFFF"/>
        </w:rPr>
        <w:t xml:space="preserve"> </w:t>
      </w:r>
      <w:r w:rsidR="00C471FB">
        <w:rPr>
          <w:rFonts w:ascii="Calibri" w:hAnsi="Calibri"/>
          <w:shd w:val="clear" w:color="auto" w:fill="FFFFFF"/>
        </w:rPr>
        <w:t>physical activity,</w:t>
      </w:r>
      <w:r w:rsidRPr="00C274B8">
        <w:rPr>
          <w:rFonts w:ascii="Calibri" w:hAnsi="Calibri"/>
          <w:shd w:val="clear" w:color="auto" w:fill="FFFFFF"/>
        </w:rPr>
        <w:t xml:space="preserve"> and </w:t>
      </w:r>
      <w:r w:rsidR="00A0438E">
        <w:rPr>
          <w:rFonts w:ascii="Calibri" w:hAnsi="Calibri"/>
          <w:shd w:val="clear" w:color="auto" w:fill="FFFFFF"/>
        </w:rPr>
        <w:t>limiting long-standing illness</w:t>
      </w:r>
      <w:r w:rsidRPr="00C274B8">
        <w:rPr>
          <w:rFonts w:ascii="Calibri" w:hAnsi="Calibri"/>
        </w:rPr>
        <w:t xml:space="preserve">. </w:t>
      </w:r>
      <w:r w:rsidRPr="00C274B8">
        <w:rPr>
          <w:rFonts w:ascii="Calibri" w:hAnsi="Calibri"/>
          <w:shd w:val="clear" w:color="auto" w:fill="FFFFFF"/>
        </w:rPr>
        <w:t>Separate analyses were carried out on men and women</w:t>
      </w:r>
      <w:r w:rsidR="007A3E51">
        <w:rPr>
          <w:rFonts w:ascii="Calibri" w:hAnsi="Calibri"/>
          <w:shd w:val="clear" w:color="auto" w:fill="FFFFFF"/>
        </w:rPr>
        <w:t>, and analyses of declines in frequency of sexual activities and ability to become sexually aroused were restricted to those who reported being sexually active</w:t>
      </w:r>
      <w:r w:rsidRPr="00C274B8">
        <w:rPr>
          <w:rFonts w:ascii="Calibri" w:hAnsi="Calibri"/>
          <w:shd w:val="clear" w:color="auto" w:fill="FFFFFF"/>
        </w:rPr>
        <w:t>.</w:t>
      </w:r>
      <w:r w:rsidR="00C32BA9">
        <w:rPr>
          <w:rFonts w:ascii="Calibri" w:hAnsi="Calibri"/>
          <w:shd w:val="clear" w:color="auto" w:fill="FFFFFF"/>
        </w:rPr>
        <w:t xml:space="preserve"> In order to test whether a decline in sexuality had a greater impact on younger participants, we tested interactions with ag</w:t>
      </w:r>
      <w:r w:rsidR="009F0F93">
        <w:rPr>
          <w:rFonts w:ascii="Calibri" w:hAnsi="Calibri"/>
          <w:shd w:val="clear" w:color="auto" w:fill="FFFFFF"/>
        </w:rPr>
        <w:t>e. Where the interaction was significant, we repeated the analysis stratified by age group (50-</w:t>
      </w:r>
      <w:r w:rsidR="004F7A38">
        <w:rPr>
          <w:rFonts w:ascii="Calibri" w:hAnsi="Calibri"/>
          <w:shd w:val="clear" w:color="auto" w:fill="FFFFFF"/>
        </w:rPr>
        <w:t>59</w:t>
      </w:r>
      <w:r w:rsidR="009F0F93">
        <w:rPr>
          <w:rFonts w:ascii="Calibri" w:hAnsi="Calibri"/>
          <w:shd w:val="clear" w:color="auto" w:fill="FFFFFF"/>
        </w:rPr>
        <w:t xml:space="preserve"> </w:t>
      </w:r>
      <w:r w:rsidR="004F7A38">
        <w:rPr>
          <w:rFonts w:ascii="Calibri" w:hAnsi="Calibri"/>
          <w:shd w:val="clear" w:color="auto" w:fill="FFFFFF"/>
        </w:rPr>
        <w:t>60-69</w:t>
      </w:r>
      <w:r w:rsidR="009F0F93">
        <w:rPr>
          <w:rFonts w:ascii="Calibri" w:hAnsi="Calibri"/>
          <w:shd w:val="clear" w:color="auto" w:fill="FFFFFF"/>
        </w:rPr>
        <w:t xml:space="preserve">, </w:t>
      </w:r>
      <w:r w:rsidR="009F0F93">
        <w:rPr>
          <w:rFonts w:ascii="Calibri" w:hAnsi="Calibri" w:cs="Calibri"/>
          <w:shd w:val="clear" w:color="auto" w:fill="FFFFFF"/>
        </w:rPr>
        <w:t>≥</w:t>
      </w:r>
      <w:r w:rsidR="004F7A38">
        <w:rPr>
          <w:rFonts w:ascii="Calibri" w:hAnsi="Calibri" w:cs="Calibri"/>
          <w:shd w:val="clear" w:color="auto" w:fill="FFFFFF"/>
        </w:rPr>
        <w:t>7</w:t>
      </w:r>
      <w:r w:rsidR="009F0F93">
        <w:rPr>
          <w:rFonts w:ascii="Calibri" w:hAnsi="Calibri"/>
          <w:shd w:val="clear" w:color="auto" w:fill="FFFFFF"/>
        </w:rPr>
        <w:t>0 years).</w:t>
      </w:r>
      <w:bookmarkStart w:id="3" w:name="_Hlk528557214"/>
      <w:r w:rsidR="00805D27">
        <w:rPr>
          <w:rFonts w:ascii="Calibri" w:hAnsi="Calibri"/>
          <w:shd w:val="clear" w:color="auto" w:fill="FFFFFF"/>
        </w:rPr>
        <w:t xml:space="preserve"> </w:t>
      </w:r>
      <w:r w:rsidR="00805D27" w:rsidRPr="00805D27">
        <w:rPr>
          <w:rFonts w:ascii="Calibri" w:hAnsi="Calibri"/>
          <w:color w:val="FF0000"/>
          <w:shd w:val="clear" w:color="auto" w:fill="FFFFFF"/>
        </w:rPr>
        <w:t xml:space="preserve">In order to examine whether observed associations </w:t>
      </w:r>
      <w:proofErr w:type="gramStart"/>
      <w:r w:rsidR="00805D27" w:rsidRPr="00805D27">
        <w:rPr>
          <w:rFonts w:ascii="Calibri" w:hAnsi="Calibri"/>
          <w:color w:val="FF0000"/>
          <w:shd w:val="clear" w:color="auto" w:fill="FFFFFF"/>
        </w:rPr>
        <w:t>were confounded</w:t>
      </w:r>
      <w:proofErr w:type="gramEnd"/>
      <w:r w:rsidR="00805D27" w:rsidRPr="00805D27">
        <w:rPr>
          <w:rFonts w:ascii="Calibri" w:hAnsi="Calibri"/>
          <w:color w:val="FF0000"/>
          <w:shd w:val="clear" w:color="auto" w:fill="FFFFFF"/>
        </w:rPr>
        <w:t xml:space="preserve"> by the presence of cardiovascular disease, we performed a post-hoc sensitivity analysis in which models were repeated with additional adjustment for </w:t>
      </w:r>
      <w:r w:rsidR="007F7176">
        <w:rPr>
          <w:rFonts w:ascii="Calibri" w:hAnsi="Calibri"/>
          <w:color w:val="FF0000"/>
          <w:shd w:val="clear" w:color="auto" w:fill="FFFFFF"/>
        </w:rPr>
        <w:t xml:space="preserve">self-reported </w:t>
      </w:r>
      <w:r w:rsidR="00805D27" w:rsidRPr="00805D27">
        <w:rPr>
          <w:rFonts w:ascii="Calibri" w:hAnsi="Calibri"/>
          <w:color w:val="FF0000"/>
          <w:shd w:val="clear" w:color="auto" w:fill="FFFFFF"/>
        </w:rPr>
        <w:t xml:space="preserve">doctor-diagnosed coronary heart disease. </w:t>
      </w:r>
      <w:r w:rsidR="00EE380E" w:rsidRPr="00805D27">
        <w:rPr>
          <w:rFonts w:ascii="Calibri" w:hAnsi="Calibri"/>
          <w:color w:val="FF0000"/>
          <w:shd w:val="clear" w:color="auto" w:fill="FFFFFF"/>
        </w:rPr>
        <w:t xml:space="preserve">A </w:t>
      </w:r>
      <w:r w:rsidR="00EE380E" w:rsidRPr="00805D27">
        <w:rPr>
          <w:rFonts w:ascii="Calibri" w:hAnsi="Calibri"/>
          <w:i/>
          <w:color w:val="FF0000"/>
          <w:shd w:val="clear" w:color="auto" w:fill="FFFFFF"/>
        </w:rPr>
        <w:t>p</w:t>
      </w:r>
      <w:r w:rsidR="00EE380E" w:rsidRPr="00805D27">
        <w:rPr>
          <w:rFonts w:ascii="Calibri" w:hAnsi="Calibri"/>
          <w:color w:val="FF0000"/>
          <w:shd w:val="clear" w:color="auto" w:fill="FFFFFF"/>
        </w:rPr>
        <w:t xml:space="preserve">-value &lt;0.05 was considered </w:t>
      </w:r>
      <w:r w:rsidR="00EE380E">
        <w:rPr>
          <w:rFonts w:ascii="Calibri" w:hAnsi="Calibri"/>
          <w:color w:val="FF0000"/>
          <w:shd w:val="clear" w:color="auto" w:fill="FFFFFF"/>
        </w:rPr>
        <w:t>statistically significant; we did not adjust for multiple comparisons due to the exploratory nature of the</w:t>
      </w:r>
      <w:r w:rsidR="00EE380E">
        <w:rPr>
          <w:rFonts w:ascii="Calibri" w:hAnsi="Calibri"/>
          <w:i/>
          <w:color w:val="FF0000"/>
          <w:shd w:val="clear" w:color="auto" w:fill="FFFFFF"/>
        </w:rPr>
        <w:t xml:space="preserve"> </w:t>
      </w:r>
      <w:r w:rsidR="00611C83" w:rsidRPr="00611C83">
        <w:rPr>
          <w:rFonts w:ascii="Calibri" w:hAnsi="Calibri"/>
          <w:color w:val="FF0000"/>
          <w:shd w:val="clear" w:color="auto" w:fill="FFFFFF"/>
        </w:rPr>
        <w:t xml:space="preserve">analyses. </w:t>
      </w:r>
      <w:bookmarkEnd w:id="3"/>
    </w:p>
    <w:p w14:paraId="594E9B89" w14:textId="77777777" w:rsidR="00670640" w:rsidRPr="00C274B8" w:rsidRDefault="00670640" w:rsidP="0091064B">
      <w:pPr>
        <w:spacing w:afterLines="120" w:after="288"/>
        <w:rPr>
          <w:rFonts w:ascii="Calibri" w:hAnsi="Calibri"/>
          <w:b/>
        </w:rPr>
      </w:pPr>
    </w:p>
    <w:p w14:paraId="37B1B541" w14:textId="17B8460D" w:rsidR="00670640" w:rsidRPr="00A04A56" w:rsidRDefault="00670640" w:rsidP="0091064B">
      <w:pPr>
        <w:pStyle w:val="Heading1"/>
      </w:pPr>
      <w:r w:rsidRPr="00A04A56">
        <w:t>Results</w:t>
      </w:r>
    </w:p>
    <w:p w14:paraId="38706F2B" w14:textId="7AA97E7E" w:rsidR="005F4BD9" w:rsidRDefault="00680C03" w:rsidP="0091064B">
      <w:pPr>
        <w:spacing w:afterLines="120" w:after="288"/>
        <w:rPr>
          <w:rFonts w:ascii="Calibri" w:hAnsi="Calibri"/>
        </w:rPr>
      </w:pPr>
      <w:r>
        <w:rPr>
          <w:rFonts w:ascii="Calibri" w:hAnsi="Calibri"/>
        </w:rPr>
        <w:t>C</w:t>
      </w:r>
      <w:r w:rsidR="00CB241E" w:rsidRPr="00C274B8">
        <w:rPr>
          <w:rFonts w:ascii="Calibri" w:hAnsi="Calibri"/>
        </w:rPr>
        <w:t xml:space="preserve">haracteristics </w:t>
      </w:r>
      <w:r w:rsidR="0085209B">
        <w:rPr>
          <w:rFonts w:ascii="Calibri" w:hAnsi="Calibri"/>
        </w:rPr>
        <w:t xml:space="preserve">of the </w:t>
      </w:r>
      <w:r w:rsidR="00E6520B">
        <w:rPr>
          <w:rFonts w:ascii="Calibri" w:hAnsi="Calibri"/>
        </w:rPr>
        <w:t>2,614</w:t>
      </w:r>
      <w:r w:rsidR="0085209B">
        <w:rPr>
          <w:rFonts w:ascii="Calibri" w:hAnsi="Calibri"/>
        </w:rPr>
        <w:t xml:space="preserve"> men and </w:t>
      </w:r>
      <w:r w:rsidR="00E6520B">
        <w:rPr>
          <w:rFonts w:ascii="Calibri" w:hAnsi="Calibri"/>
        </w:rPr>
        <w:t>3,217</w:t>
      </w:r>
      <w:r w:rsidR="0085209B">
        <w:rPr>
          <w:rFonts w:ascii="Calibri" w:hAnsi="Calibri"/>
        </w:rPr>
        <w:t xml:space="preserve"> women in the sample </w:t>
      </w:r>
      <w:r w:rsidR="00CB241E" w:rsidRPr="00C274B8">
        <w:rPr>
          <w:rFonts w:ascii="Calibri" w:hAnsi="Calibri"/>
        </w:rPr>
        <w:t xml:space="preserve">are </w:t>
      </w:r>
      <w:r w:rsidR="00743252">
        <w:rPr>
          <w:rFonts w:ascii="Calibri" w:hAnsi="Calibri"/>
        </w:rPr>
        <w:t>summarised</w:t>
      </w:r>
      <w:r w:rsidR="00CB241E" w:rsidRPr="00C274B8">
        <w:rPr>
          <w:rFonts w:ascii="Calibri" w:hAnsi="Calibri"/>
        </w:rPr>
        <w:t xml:space="preserve"> in Table 1.</w:t>
      </w:r>
      <w:r w:rsidR="0017312B" w:rsidRPr="00C274B8">
        <w:rPr>
          <w:rFonts w:ascii="Calibri" w:hAnsi="Calibri"/>
        </w:rPr>
        <w:t xml:space="preserve"> </w:t>
      </w:r>
      <w:r w:rsidR="00B35AA6">
        <w:rPr>
          <w:rFonts w:ascii="Calibri" w:hAnsi="Calibri"/>
        </w:rPr>
        <w:t>Participants had a mean age of 64.8 (SD 9.95) years</w:t>
      </w:r>
      <w:r w:rsidR="00F9165B">
        <w:rPr>
          <w:rFonts w:ascii="Calibri" w:hAnsi="Calibri"/>
        </w:rPr>
        <w:t xml:space="preserve">. The majority were white (94.9%) and married or cohabiting (67.4%). There was a </w:t>
      </w:r>
      <w:proofErr w:type="gramStart"/>
      <w:r w:rsidR="00F9165B">
        <w:rPr>
          <w:rFonts w:ascii="Calibri" w:hAnsi="Calibri"/>
        </w:rPr>
        <w:t>fairly even</w:t>
      </w:r>
      <w:proofErr w:type="gramEnd"/>
      <w:r w:rsidR="00F9165B">
        <w:rPr>
          <w:rFonts w:ascii="Calibri" w:hAnsi="Calibri"/>
        </w:rPr>
        <w:t xml:space="preserve"> distr</w:t>
      </w:r>
      <w:r w:rsidR="00796743">
        <w:rPr>
          <w:rFonts w:ascii="Calibri" w:hAnsi="Calibri"/>
        </w:rPr>
        <w:t xml:space="preserve">ibution across wealth quintiles (range </w:t>
      </w:r>
      <w:r w:rsidR="00BA2645">
        <w:rPr>
          <w:rFonts w:ascii="Calibri" w:hAnsi="Calibri"/>
        </w:rPr>
        <w:t>17.4-22</w:t>
      </w:r>
      <w:r w:rsidR="00796743">
        <w:rPr>
          <w:rFonts w:ascii="Calibri" w:hAnsi="Calibri"/>
        </w:rPr>
        <w:t>%</w:t>
      </w:r>
      <w:r w:rsidR="00BA2645">
        <w:rPr>
          <w:rFonts w:ascii="Calibri" w:hAnsi="Calibri"/>
        </w:rPr>
        <w:t xml:space="preserve"> in men, 18.9-21.0% in women</w:t>
      </w:r>
      <w:r w:rsidR="00796743">
        <w:rPr>
          <w:rFonts w:ascii="Calibri" w:hAnsi="Calibri"/>
        </w:rPr>
        <w:t>).</w:t>
      </w:r>
      <w:r w:rsidR="00BA2645">
        <w:rPr>
          <w:rFonts w:ascii="Calibri" w:hAnsi="Calibri"/>
        </w:rPr>
        <w:t xml:space="preserve"> </w:t>
      </w:r>
      <w:r w:rsidR="00FC0064">
        <w:rPr>
          <w:rFonts w:ascii="Calibri" w:hAnsi="Calibri"/>
        </w:rPr>
        <w:t>The majority were non-smokers (</w:t>
      </w:r>
      <w:r w:rsidR="005F4BD9">
        <w:rPr>
          <w:rFonts w:ascii="Calibri" w:hAnsi="Calibri"/>
        </w:rPr>
        <w:t xml:space="preserve">86.1%), </w:t>
      </w:r>
      <w:r w:rsidR="00FC0064">
        <w:rPr>
          <w:rFonts w:ascii="Calibri" w:hAnsi="Calibri"/>
        </w:rPr>
        <w:t>drank alcohol on a regular basis (84.0% of men, 70.3% of women)</w:t>
      </w:r>
      <w:r w:rsidR="005F4BD9">
        <w:rPr>
          <w:rFonts w:ascii="Calibri" w:hAnsi="Calibri"/>
        </w:rPr>
        <w:t xml:space="preserve"> and were physically active at least once a week (80.2% of men, 74.5% of women).</w:t>
      </w:r>
    </w:p>
    <w:p w14:paraId="24A64021" w14:textId="2DD504BE" w:rsidR="002C3BEE" w:rsidRDefault="002C3BEE" w:rsidP="0091064B">
      <w:pPr>
        <w:spacing w:afterLines="120" w:after="288"/>
        <w:rPr>
          <w:rFonts w:ascii="Calibri" w:hAnsi="Calibri"/>
        </w:rPr>
      </w:pPr>
      <w:r>
        <w:rPr>
          <w:rFonts w:ascii="Calibri" w:hAnsi="Calibri"/>
        </w:rPr>
        <w:t xml:space="preserve">Around a third of </w:t>
      </w:r>
      <w:r w:rsidR="005466AB">
        <w:rPr>
          <w:rFonts w:ascii="Calibri" w:hAnsi="Calibri"/>
        </w:rPr>
        <w:t xml:space="preserve">all </w:t>
      </w:r>
      <w:r>
        <w:rPr>
          <w:rFonts w:ascii="Calibri" w:hAnsi="Calibri"/>
        </w:rPr>
        <w:t xml:space="preserve">men (32.3%) and women (33.0%) </w:t>
      </w:r>
      <w:r w:rsidR="005466AB">
        <w:rPr>
          <w:rFonts w:ascii="Calibri" w:hAnsi="Calibri"/>
        </w:rPr>
        <w:t xml:space="preserve">in the sample </w:t>
      </w:r>
      <w:r>
        <w:rPr>
          <w:rFonts w:ascii="Calibri" w:hAnsi="Calibri"/>
        </w:rPr>
        <w:t>reported a decline in sexual desire over the past year.</w:t>
      </w:r>
      <w:r w:rsidR="005466AB">
        <w:rPr>
          <w:rFonts w:ascii="Calibri" w:hAnsi="Calibri"/>
        </w:rPr>
        <w:t xml:space="preserve"> Of those who were sexually active (77.7% of men and 53.7% of women), </w:t>
      </w:r>
      <w:r w:rsidR="00AA62FC">
        <w:rPr>
          <w:rFonts w:ascii="Calibri" w:hAnsi="Calibri"/>
        </w:rPr>
        <w:t>36.8% of men and 39.2% of women reported a decline in the frequency of sexual activities. Just over a quarter of participants reported a decline in sexual function, with 26.3% of men experiencing a decline in their ability to have an erection, and 26.6% of women experiencing a decline in their ability to become sexually aroused.</w:t>
      </w:r>
    </w:p>
    <w:p w14:paraId="55FAD8C2" w14:textId="14904DCF" w:rsidR="002F4DD1" w:rsidRDefault="00D136AC" w:rsidP="0091064B">
      <w:pPr>
        <w:spacing w:afterLines="120" w:after="288"/>
        <w:rPr>
          <w:rFonts w:ascii="Calibri" w:hAnsi="Calibri"/>
        </w:rPr>
      </w:pPr>
      <w:r>
        <w:rPr>
          <w:rFonts w:ascii="Calibri" w:hAnsi="Calibri"/>
        </w:rPr>
        <w:t>Associations between decline in sexual</w:t>
      </w:r>
      <w:r w:rsidR="00F210E5">
        <w:rPr>
          <w:rFonts w:ascii="Calibri" w:hAnsi="Calibri"/>
        </w:rPr>
        <w:t xml:space="preserve"> desire,</w:t>
      </w:r>
      <w:r>
        <w:rPr>
          <w:rFonts w:ascii="Calibri" w:hAnsi="Calibri"/>
        </w:rPr>
        <w:t xml:space="preserve"> activity and function and </w:t>
      </w:r>
      <w:r w:rsidR="00D059DE">
        <w:rPr>
          <w:rFonts w:ascii="Calibri" w:hAnsi="Calibri"/>
        </w:rPr>
        <w:t>wellbeing</w:t>
      </w:r>
      <w:r>
        <w:rPr>
          <w:rFonts w:ascii="Calibri" w:hAnsi="Calibri"/>
        </w:rPr>
        <w:t xml:space="preserve"> are shown in Table 2 (men) and Table 3 (women).</w:t>
      </w:r>
      <w:r w:rsidR="00101123">
        <w:rPr>
          <w:rFonts w:ascii="Calibri" w:hAnsi="Calibri"/>
        </w:rPr>
        <w:t xml:space="preserve"> Results show that after adjustment for potential confounding by socio-demographic and health-related variables, </w:t>
      </w:r>
      <w:r w:rsidR="00015D73">
        <w:rPr>
          <w:rFonts w:ascii="Calibri" w:hAnsi="Calibri"/>
        </w:rPr>
        <w:t>men and women</w:t>
      </w:r>
      <w:r w:rsidR="001848A3">
        <w:rPr>
          <w:rFonts w:ascii="Calibri" w:hAnsi="Calibri"/>
        </w:rPr>
        <w:t xml:space="preserve"> who reported a </w:t>
      </w:r>
      <w:r w:rsidR="00053A69">
        <w:rPr>
          <w:rFonts w:ascii="Calibri" w:hAnsi="Calibri"/>
        </w:rPr>
        <w:t xml:space="preserve">past-year decline in sexual desire </w:t>
      </w:r>
      <w:r w:rsidR="001848A3">
        <w:rPr>
          <w:rFonts w:ascii="Calibri" w:hAnsi="Calibri"/>
        </w:rPr>
        <w:t>had a higher number of depressive symptoms (</w:t>
      </w:r>
      <w:r w:rsidR="001848A3">
        <w:rPr>
          <w:rFonts w:ascii="Calibri" w:hAnsi="Calibri"/>
          <w:i/>
        </w:rPr>
        <w:t>p</w:t>
      </w:r>
      <w:r w:rsidR="006B2B38">
        <w:rPr>
          <w:rFonts w:ascii="Calibri" w:hAnsi="Calibri"/>
        </w:rPr>
        <w:t>=</w:t>
      </w:r>
      <w:r w:rsidR="001848A3">
        <w:rPr>
          <w:rFonts w:ascii="Calibri" w:hAnsi="Calibri"/>
        </w:rPr>
        <w:t>0.001)</w:t>
      </w:r>
      <w:r w:rsidR="00015D73">
        <w:rPr>
          <w:rFonts w:ascii="Calibri" w:hAnsi="Calibri"/>
        </w:rPr>
        <w:t xml:space="preserve"> and lower quality of life (</w:t>
      </w:r>
      <w:r w:rsidR="00015D73">
        <w:rPr>
          <w:rFonts w:ascii="Calibri" w:hAnsi="Calibri"/>
          <w:i/>
        </w:rPr>
        <w:t>p</w:t>
      </w:r>
      <w:r w:rsidR="00015D73">
        <w:rPr>
          <w:rFonts w:ascii="Calibri" w:hAnsi="Calibri"/>
        </w:rPr>
        <w:t>&lt;0.001).</w:t>
      </w:r>
      <w:r w:rsidR="00624110">
        <w:rPr>
          <w:rFonts w:ascii="Calibri" w:hAnsi="Calibri"/>
        </w:rPr>
        <w:t xml:space="preserve"> </w:t>
      </w:r>
      <w:bookmarkStart w:id="4" w:name="_Hlk522874563"/>
      <w:r w:rsidR="00624110">
        <w:rPr>
          <w:rFonts w:ascii="Calibri" w:hAnsi="Calibri"/>
        </w:rPr>
        <w:t>Decline in sexual desire was also associated with lower satisfaction with life in men (</w:t>
      </w:r>
      <w:r w:rsidR="00624110">
        <w:rPr>
          <w:rFonts w:ascii="Calibri" w:hAnsi="Calibri"/>
          <w:i/>
        </w:rPr>
        <w:t>p</w:t>
      </w:r>
      <w:r w:rsidR="00624110">
        <w:rPr>
          <w:rFonts w:ascii="Calibri" w:hAnsi="Calibri"/>
        </w:rPr>
        <w:t>=0.012) but not in women (</w:t>
      </w:r>
      <w:r w:rsidR="00624110">
        <w:rPr>
          <w:rFonts w:ascii="Calibri" w:hAnsi="Calibri"/>
          <w:i/>
        </w:rPr>
        <w:t>p</w:t>
      </w:r>
      <w:r w:rsidR="00624110">
        <w:rPr>
          <w:rFonts w:ascii="Calibri" w:hAnsi="Calibri"/>
        </w:rPr>
        <w:t>=0.517)</w:t>
      </w:r>
      <w:bookmarkEnd w:id="4"/>
      <w:r w:rsidR="00624110">
        <w:rPr>
          <w:rFonts w:ascii="Calibri" w:hAnsi="Calibri"/>
        </w:rPr>
        <w:t>.</w:t>
      </w:r>
      <w:r w:rsidR="00DB4F1B">
        <w:rPr>
          <w:rFonts w:ascii="Calibri" w:hAnsi="Calibri"/>
        </w:rPr>
        <w:t xml:space="preserve"> </w:t>
      </w:r>
      <w:r w:rsidR="00053A69">
        <w:rPr>
          <w:rFonts w:ascii="Calibri" w:hAnsi="Calibri"/>
        </w:rPr>
        <w:t xml:space="preserve">Among </w:t>
      </w:r>
      <w:r w:rsidR="00E326DE">
        <w:rPr>
          <w:rFonts w:ascii="Calibri" w:hAnsi="Calibri"/>
        </w:rPr>
        <w:t>participants who</w:t>
      </w:r>
      <w:r w:rsidR="00053A69">
        <w:rPr>
          <w:rFonts w:ascii="Calibri" w:hAnsi="Calibri"/>
        </w:rPr>
        <w:t xml:space="preserve"> reported being sexually active, </w:t>
      </w:r>
      <w:r w:rsidR="002F4DD1">
        <w:rPr>
          <w:rFonts w:ascii="Calibri" w:hAnsi="Calibri"/>
        </w:rPr>
        <w:t>a decline in the frequency of sexual activities was associated with a greater number of depressive symptoms (</w:t>
      </w:r>
      <w:r w:rsidR="002F4DD1" w:rsidRPr="00DB4F1B">
        <w:rPr>
          <w:rFonts w:ascii="Calibri" w:hAnsi="Calibri"/>
          <w:i/>
        </w:rPr>
        <w:t>p</w:t>
      </w:r>
      <w:r w:rsidR="002F4DD1">
        <w:rPr>
          <w:rFonts w:ascii="Calibri" w:hAnsi="Calibri"/>
        </w:rPr>
        <w:t>&lt;0.001) and poorer quality of life (</w:t>
      </w:r>
      <w:r w:rsidR="002F4DD1" w:rsidRPr="00DB4F1B">
        <w:rPr>
          <w:rFonts w:ascii="Calibri" w:hAnsi="Calibri"/>
          <w:i/>
        </w:rPr>
        <w:t>p</w:t>
      </w:r>
      <w:r w:rsidR="002F4DD1">
        <w:rPr>
          <w:rFonts w:ascii="Calibri" w:hAnsi="Calibri"/>
        </w:rPr>
        <w:t>&lt;0.001)</w:t>
      </w:r>
      <w:r w:rsidR="00E326DE">
        <w:rPr>
          <w:rFonts w:ascii="Calibri" w:hAnsi="Calibri"/>
        </w:rPr>
        <w:t xml:space="preserve"> in both men and women, and with lower satisfaction with life in women only (</w:t>
      </w:r>
      <w:r w:rsidR="00E326DE" w:rsidRPr="00DB4F1B">
        <w:rPr>
          <w:rFonts w:ascii="Calibri" w:hAnsi="Calibri"/>
          <w:i/>
        </w:rPr>
        <w:t>p</w:t>
      </w:r>
      <w:r w:rsidR="00E326DE">
        <w:rPr>
          <w:rFonts w:ascii="Calibri" w:hAnsi="Calibri"/>
        </w:rPr>
        <w:t>&lt;0.001).</w:t>
      </w:r>
      <w:r w:rsidR="001E3CA6">
        <w:rPr>
          <w:rFonts w:ascii="Calibri" w:hAnsi="Calibri"/>
        </w:rPr>
        <w:t xml:space="preserve"> Men who reported a decline in their ability to have an erection had </w:t>
      </w:r>
      <w:r w:rsidR="00B84EA9">
        <w:rPr>
          <w:rFonts w:ascii="Calibri" w:hAnsi="Calibri"/>
        </w:rPr>
        <w:t>less favourable</w:t>
      </w:r>
      <w:r w:rsidR="001E3CA6">
        <w:rPr>
          <w:rFonts w:ascii="Calibri" w:hAnsi="Calibri"/>
        </w:rPr>
        <w:t xml:space="preserve"> scores across all three measures of mental health (</w:t>
      </w:r>
      <w:r w:rsidR="001E3CA6">
        <w:rPr>
          <w:rFonts w:ascii="Calibri" w:hAnsi="Calibri"/>
          <w:i/>
        </w:rPr>
        <w:t>p</w:t>
      </w:r>
      <w:r w:rsidR="001E3CA6">
        <w:rPr>
          <w:rFonts w:ascii="Calibri" w:hAnsi="Calibri"/>
        </w:rPr>
        <w:t>&lt;0.001), as did women who reported a decline in their ability to become sexually aroused (</w:t>
      </w:r>
      <w:r w:rsidR="001E3CA6">
        <w:rPr>
          <w:rFonts w:ascii="Calibri" w:hAnsi="Calibri"/>
          <w:i/>
        </w:rPr>
        <w:t>p</w:t>
      </w:r>
      <w:r w:rsidR="001E3CA6">
        <w:rPr>
          <w:rFonts w:ascii="Calibri" w:hAnsi="Calibri"/>
        </w:rPr>
        <w:t xml:space="preserve">&lt;0.001 for depressive symptoms and quality of life, </w:t>
      </w:r>
      <w:r w:rsidR="001E3CA6">
        <w:rPr>
          <w:rFonts w:ascii="Calibri" w:hAnsi="Calibri"/>
          <w:i/>
        </w:rPr>
        <w:t>p</w:t>
      </w:r>
      <w:r w:rsidR="001E3CA6">
        <w:rPr>
          <w:rFonts w:ascii="Calibri" w:hAnsi="Calibri"/>
        </w:rPr>
        <w:t>=0.024 for life satisfaction).</w:t>
      </w:r>
    </w:p>
    <w:p w14:paraId="12CAC66C" w14:textId="2EE5DF59" w:rsidR="00457F88" w:rsidRDefault="00245CCF" w:rsidP="00245CCF">
      <w:pPr>
        <w:spacing w:afterLines="120" w:after="288"/>
        <w:rPr>
          <w:rFonts w:ascii="Calibri" w:hAnsi="Calibri"/>
        </w:rPr>
      </w:pPr>
      <w:r>
        <w:rPr>
          <w:rFonts w:ascii="Calibri" w:hAnsi="Calibri"/>
        </w:rPr>
        <w:t xml:space="preserve">Tests of interactions with age indicated that, </w:t>
      </w:r>
      <w:proofErr w:type="gramStart"/>
      <w:r>
        <w:rPr>
          <w:rFonts w:ascii="Calibri" w:hAnsi="Calibri"/>
        </w:rPr>
        <w:t>on the whole</w:t>
      </w:r>
      <w:proofErr w:type="gramEnd"/>
      <w:r>
        <w:rPr>
          <w:rFonts w:ascii="Calibri" w:hAnsi="Calibri"/>
        </w:rPr>
        <w:t>, associations between declines in sexuality and wellbeing differed little by age. The only significant interactions were in men, between decline in frequency of sexual activities and life satisfaction (</w:t>
      </w:r>
      <w:r>
        <w:rPr>
          <w:rFonts w:ascii="Calibri" w:hAnsi="Calibri"/>
          <w:i/>
        </w:rPr>
        <w:t>p</w:t>
      </w:r>
      <w:r>
        <w:rPr>
          <w:rFonts w:ascii="Calibri" w:hAnsi="Calibri"/>
        </w:rPr>
        <w:t>=0.037) and decline in ability to have an erection and depressive symptoms (</w:t>
      </w:r>
      <w:r w:rsidR="00457F88">
        <w:rPr>
          <w:rFonts w:ascii="Calibri" w:hAnsi="Calibri"/>
          <w:i/>
        </w:rPr>
        <w:t>p</w:t>
      </w:r>
      <w:r w:rsidR="00457F88">
        <w:rPr>
          <w:rFonts w:ascii="Calibri" w:hAnsi="Calibri"/>
        </w:rPr>
        <w:t>&lt;0.001)</w:t>
      </w:r>
      <w:r>
        <w:rPr>
          <w:rFonts w:ascii="Calibri" w:hAnsi="Calibri"/>
        </w:rPr>
        <w:t xml:space="preserve">. Analyses stratified by age group revealed that the association between decline in frequency of sexual activities and life satisfaction was only significant </w:t>
      </w:r>
      <w:r>
        <w:rPr>
          <w:rFonts w:ascii="Calibri" w:hAnsi="Calibri"/>
        </w:rPr>
        <w:lastRenderedPageBreak/>
        <w:t>for participants aged 60-69 (</w:t>
      </w:r>
      <w:r w:rsidR="0054462C">
        <w:rPr>
          <w:rFonts w:ascii="Calibri" w:hAnsi="Calibri"/>
          <w:i/>
        </w:rPr>
        <w:t>F</w:t>
      </w:r>
      <w:r w:rsidR="0054462C">
        <w:rPr>
          <w:rFonts w:ascii="Calibri" w:hAnsi="Calibri"/>
        </w:rPr>
        <w:t xml:space="preserve">(1,897)=5.57, </w:t>
      </w:r>
      <w:r w:rsidR="0054462C">
        <w:rPr>
          <w:rFonts w:ascii="Calibri" w:hAnsi="Calibri"/>
          <w:i/>
        </w:rPr>
        <w:t>p</w:t>
      </w:r>
      <w:r w:rsidR="0054462C">
        <w:rPr>
          <w:rFonts w:ascii="Calibri" w:hAnsi="Calibri"/>
        </w:rPr>
        <w:t>=0.01</w:t>
      </w:r>
      <w:r w:rsidR="001B1F26">
        <w:rPr>
          <w:rFonts w:ascii="Calibri" w:hAnsi="Calibri"/>
        </w:rPr>
        <w:t>9</w:t>
      </w:r>
      <w:r w:rsidR="0054462C">
        <w:rPr>
          <w:rFonts w:ascii="Calibri" w:hAnsi="Calibri"/>
        </w:rPr>
        <w:t xml:space="preserve">), with non-significant results observed in those aged 50-59 </w:t>
      </w:r>
      <w:r w:rsidR="00E54510">
        <w:rPr>
          <w:rFonts w:ascii="Calibri" w:hAnsi="Calibri"/>
        </w:rPr>
        <w:t>(</w:t>
      </w:r>
      <w:r w:rsidR="00E54510">
        <w:rPr>
          <w:rFonts w:ascii="Calibri" w:hAnsi="Calibri"/>
          <w:i/>
        </w:rPr>
        <w:t>F</w:t>
      </w:r>
      <w:r w:rsidR="00E54510">
        <w:rPr>
          <w:rFonts w:ascii="Calibri" w:hAnsi="Calibri"/>
        </w:rPr>
        <w:t>(1,</w:t>
      </w:r>
      <w:r w:rsidR="001B1F26">
        <w:rPr>
          <w:rFonts w:ascii="Calibri" w:hAnsi="Calibri"/>
        </w:rPr>
        <w:t>977</w:t>
      </w:r>
      <w:r w:rsidR="00E54510">
        <w:rPr>
          <w:rFonts w:ascii="Calibri" w:hAnsi="Calibri"/>
        </w:rPr>
        <w:t xml:space="preserve">)=0.56, </w:t>
      </w:r>
      <w:r w:rsidR="00E54510">
        <w:rPr>
          <w:rFonts w:ascii="Calibri" w:hAnsi="Calibri"/>
          <w:i/>
        </w:rPr>
        <w:t>p</w:t>
      </w:r>
      <w:r w:rsidR="00E54510">
        <w:rPr>
          <w:rFonts w:ascii="Calibri" w:hAnsi="Calibri"/>
        </w:rPr>
        <w:t xml:space="preserve">=0.455) </w:t>
      </w:r>
      <w:r w:rsidR="0054462C">
        <w:rPr>
          <w:rFonts w:ascii="Calibri" w:hAnsi="Calibri"/>
        </w:rPr>
        <w:t xml:space="preserve">and </w:t>
      </w:r>
      <w:r w:rsidR="0054462C">
        <w:rPr>
          <w:rFonts w:ascii="Calibri" w:hAnsi="Calibri" w:cs="Calibri"/>
        </w:rPr>
        <w:t>≥</w:t>
      </w:r>
      <w:r w:rsidR="0054462C">
        <w:rPr>
          <w:rFonts w:ascii="Calibri" w:hAnsi="Calibri"/>
        </w:rPr>
        <w:t>70 years</w:t>
      </w:r>
      <w:r w:rsidR="00E54510">
        <w:rPr>
          <w:rFonts w:ascii="Calibri" w:hAnsi="Calibri"/>
        </w:rPr>
        <w:t xml:space="preserve"> (</w:t>
      </w:r>
      <w:r w:rsidR="00E54510">
        <w:rPr>
          <w:rFonts w:ascii="Calibri" w:hAnsi="Calibri"/>
          <w:i/>
        </w:rPr>
        <w:t>F</w:t>
      </w:r>
      <w:r w:rsidR="00E54510">
        <w:rPr>
          <w:rFonts w:ascii="Calibri" w:hAnsi="Calibri"/>
        </w:rPr>
        <w:t xml:space="preserve">(1,471)=2.86, </w:t>
      </w:r>
      <w:r w:rsidR="00E54510">
        <w:rPr>
          <w:rFonts w:ascii="Calibri" w:hAnsi="Calibri"/>
          <w:i/>
        </w:rPr>
        <w:t>p</w:t>
      </w:r>
      <w:r w:rsidR="00E54510">
        <w:rPr>
          <w:rFonts w:ascii="Calibri" w:hAnsi="Calibri"/>
        </w:rPr>
        <w:t>=0.091)</w:t>
      </w:r>
      <w:r w:rsidR="0054462C">
        <w:rPr>
          <w:rFonts w:ascii="Calibri" w:hAnsi="Calibri"/>
        </w:rPr>
        <w:t>.</w:t>
      </w:r>
      <w:r>
        <w:rPr>
          <w:rFonts w:ascii="Calibri" w:hAnsi="Calibri"/>
        </w:rPr>
        <w:t xml:space="preserve"> </w:t>
      </w:r>
      <w:r w:rsidR="001D0F8A">
        <w:rPr>
          <w:rFonts w:ascii="Calibri" w:hAnsi="Calibri"/>
        </w:rPr>
        <w:t>The association between decline in ability to have an erection and depressive symptoms was significant in all age groups, but was stronger among those aged 50-59 (</w:t>
      </w:r>
      <w:r w:rsidR="001D0F8A">
        <w:rPr>
          <w:rFonts w:ascii="Calibri" w:hAnsi="Calibri"/>
          <w:i/>
        </w:rPr>
        <w:t>F</w:t>
      </w:r>
      <w:r w:rsidR="001D0F8A">
        <w:rPr>
          <w:rFonts w:ascii="Calibri" w:hAnsi="Calibri"/>
        </w:rPr>
        <w:t xml:space="preserve">(1,1047)=34.92, </w:t>
      </w:r>
      <w:r w:rsidR="001D0F8A">
        <w:rPr>
          <w:rFonts w:ascii="Calibri" w:hAnsi="Calibri"/>
          <w:i/>
        </w:rPr>
        <w:t>p</w:t>
      </w:r>
      <w:r w:rsidR="001D0F8A">
        <w:rPr>
          <w:rFonts w:ascii="Calibri" w:hAnsi="Calibri"/>
        </w:rPr>
        <w:t>&lt;0.001) than those aged 60-69 (</w:t>
      </w:r>
      <w:r w:rsidR="001D0F8A">
        <w:rPr>
          <w:rFonts w:ascii="Calibri" w:hAnsi="Calibri"/>
          <w:i/>
        </w:rPr>
        <w:t>F</w:t>
      </w:r>
      <w:r w:rsidR="001D0F8A">
        <w:rPr>
          <w:rFonts w:ascii="Calibri" w:hAnsi="Calibri"/>
        </w:rPr>
        <w:t xml:space="preserve">(1,1064)=7.12, </w:t>
      </w:r>
      <w:r w:rsidR="001D0F8A">
        <w:rPr>
          <w:rFonts w:ascii="Calibri" w:hAnsi="Calibri"/>
          <w:i/>
        </w:rPr>
        <w:t>p</w:t>
      </w:r>
      <w:r w:rsidR="001D0F8A">
        <w:rPr>
          <w:rFonts w:ascii="Calibri" w:hAnsi="Calibri"/>
        </w:rPr>
        <w:t xml:space="preserve">=0.008) or </w:t>
      </w:r>
      <w:r w:rsidR="001D0F8A">
        <w:rPr>
          <w:rFonts w:ascii="Calibri" w:hAnsi="Calibri" w:cs="Calibri"/>
        </w:rPr>
        <w:t>≥</w:t>
      </w:r>
      <w:r w:rsidR="001D0F8A">
        <w:rPr>
          <w:rFonts w:ascii="Calibri" w:hAnsi="Calibri"/>
        </w:rPr>
        <w:t>70 (</w:t>
      </w:r>
      <w:r w:rsidR="001D0F8A">
        <w:rPr>
          <w:rFonts w:ascii="Calibri" w:hAnsi="Calibri"/>
          <w:i/>
        </w:rPr>
        <w:t>F</w:t>
      </w:r>
      <w:r w:rsidR="001D0F8A">
        <w:rPr>
          <w:rFonts w:ascii="Calibri" w:hAnsi="Calibri"/>
        </w:rPr>
        <w:t xml:space="preserve">(1,920)=8.44, </w:t>
      </w:r>
      <w:r w:rsidR="001D0F8A">
        <w:rPr>
          <w:rFonts w:ascii="Calibri" w:hAnsi="Calibri"/>
          <w:i/>
        </w:rPr>
        <w:t>p</w:t>
      </w:r>
      <w:r w:rsidR="001D0F8A">
        <w:rPr>
          <w:rFonts w:ascii="Calibri" w:hAnsi="Calibri"/>
        </w:rPr>
        <w:t>=0.004)</w:t>
      </w:r>
      <w:r w:rsidR="00C2550B">
        <w:rPr>
          <w:rFonts w:ascii="Calibri" w:hAnsi="Calibri"/>
        </w:rPr>
        <w:t>.</w:t>
      </w:r>
    </w:p>
    <w:p w14:paraId="43B6260F" w14:textId="714D3202" w:rsidR="006D5667" w:rsidRPr="002221B2" w:rsidRDefault="006D5667" w:rsidP="00245CCF">
      <w:pPr>
        <w:spacing w:afterLines="120" w:after="288"/>
        <w:rPr>
          <w:rFonts w:ascii="Calibri" w:hAnsi="Calibri"/>
          <w:color w:val="FF0000"/>
        </w:rPr>
      </w:pPr>
      <w:r w:rsidRPr="002221B2">
        <w:rPr>
          <w:rFonts w:ascii="Calibri" w:hAnsi="Calibri"/>
          <w:color w:val="FF0000"/>
        </w:rPr>
        <w:t>Sensitivity analyses with additional adjustment for history of doctor-diagnosed CHD revealed no change in the pattern of results (data not shown).</w:t>
      </w:r>
    </w:p>
    <w:p w14:paraId="64CEFA36" w14:textId="77777777" w:rsidR="00053A69" w:rsidRDefault="00053A69" w:rsidP="0091064B"/>
    <w:p w14:paraId="5E4E8DB1" w14:textId="7FB2668F" w:rsidR="00D340F2" w:rsidRPr="00C274B8" w:rsidRDefault="00D340F2" w:rsidP="0091064B">
      <w:pPr>
        <w:pStyle w:val="Heading1"/>
      </w:pPr>
      <w:r w:rsidRPr="00C274B8">
        <w:t>Discussion</w:t>
      </w:r>
    </w:p>
    <w:p w14:paraId="70E6AB5B" w14:textId="6C9377AC" w:rsidR="00ED3271" w:rsidRDefault="00AC0E0C" w:rsidP="0091064B">
      <w:pPr>
        <w:spacing w:afterLines="120" w:after="288"/>
        <w:rPr>
          <w:rFonts w:ascii="Calibri" w:hAnsi="Calibri"/>
        </w:rPr>
      </w:pPr>
      <w:r>
        <w:rPr>
          <w:rFonts w:ascii="Calibri" w:hAnsi="Calibri"/>
        </w:rPr>
        <w:t xml:space="preserve">In </w:t>
      </w:r>
      <w:r w:rsidR="00B06008">
        <w:rPr>
          <w:rFonts w:ascii="Calibri" w:hAnsi="Calibri"/>
        </w:rPr>
        <w:t>a large,</w:t>
      </w:r>
      <w:r w:rsidR="003D2335">
        <w:rPr>
          <w:rFonts w:ascii="Calibri" w:hAnsi="Calibri"/>
        </w:rPr>
        <w:t xml:space="preserve"> population-</w:t>
      </w:r>
      <w:r w:rsidR="00F30E63">
        <w:rPr>
          <w:rFonts w:ascii="Calibri" w:hAnsi="Calibri"/>
        </w:rPr>
        <w:t xml:space="preserve">based </w:t>
      </w:r>
      <w:r w:rsidR="00B06008">
        <w:rPr>
          <w:rFonts w:ascii="Calibri" w:hAnsi="Calibri"/>
        </w:rPr>
        <w:t>sample</w:t>
      </w:r>
      <w:r w:rsidR="00F30E63">
        <w:rPr>
          <w:rFonts w:ascii="Calibri" w:hAnsi="Calibri"/>
        </w:rPr>
        <w:t xml:space="preserve"> of older adults</w:t>
      </w:r>
      <w:r w:rsidR="00B06008">
        <w:rPr>
          <w:rFonts w:ascii="Calibri" w:hAnsi="Calibri"/>
        </w:rPr>
        <w:t xml:space="preserve"> in England,</w:t>
      </w:r>
      <w:r w:rsidR="00F30E63">
        <w:rPr>
          <w:rFonts w:ascii="Calibri" w:hAnsi="Calibri"/>
        </w:rPr>
        <w:t xml:space="preserve"> approximately a third of men and women reported a decline in sexual desire and </w:t>
      </w:r>
      <w:r>
        <w:rPr>
          <w:rFonts w:ascii="Calibri" w:hAnsi="Calibri"/>
        </w:rPr>
        <w:t xml:space="preserve">a </w:t>
      </w:r>
      <w:r w:rsidR="00F30E63">
        <w:rPr>
          <w:rFonts w:ascii="Calibri" w:hAnsi="Calibri"/>
        </w:rPr>
        <w:t xml:space="preserve">similar proportion of those who were sexually active reported a decline in </w:t>
      </w:r>
      <w:r w:rsidR="00B06008">
        <w:rPr>
          <w:rFonts w:ascii="Calibri" w:hAnsi="Calibri"/>
        </w:rPr>
        <w:t xml:space="preserve">the frequency of </w:t>
      </w:r>
      <w:r w:rsidR="00F30E63">
        <w:rPr>
          <w:rFonts w:ascii="Calibri" w:hAnsi="Calibri"/>
        </w:rPr>
        <w:t>sexual activit</w:t>
      </w:r>
      <w:r w:rsidR="00B06008">
        <w:rPr>
          <w:rFonts w:ascii="Calibri" w:hAnsi="Calibri"/>
        </w:rPr>
        <w:t>ies</w:t>
      </w:r>
      <w:r w:rsidR="00F30E63">
        <w:rPr>
          <w:rFonts w:ascii="Calibri" w:hAnsi="Calibri"/>
        </w:rPr>
        <w:t>. Approxi</w:t>
      </w:r>
      <w:r w:rsidR="005D0455">
        <w:rPr>
          <w:rFonts w:ascii="Calibri" w:hAnsi="Calibri"/>
        </w:rPr>
        <w:t>mately a quarter of participants</w:t>
      </w:r>
      <w:r w:rsidR="00F30E63">
        <w:rPr>
          <w:rFonts w:ascii="Calibri" w:hAnsi="Calibri"/>
        </w:rPr>
        <w:t xml:space="preserve"> reported a decline in sexual function</w:t>
      </w:r>
      <w:r>
        <w:rPr>
          <w:rFonts w:ascii="Calibri" w:hAnsi="Calibri"/>
        </w:rPr>
        <w:t>;</w:t>
      </w:r>
      <w:r w:rsidR="00F30E63">
        <w:rPr>
          <w:rFonts w:ascii="Calibri" w:hAnsi="Calibri"/>
        </w:rPr>
        <w:t xml:space="preserve"> that is a decline in ability to </w:t>
      </w:r>
      <w:r w:rsidR="00B06008">
        <w:rPr>
          <w:rFonts w:ascii="Calibri" w:hAnsi="Calibri"/>
        </w:rPr>
        <w:t>have</w:t>
      </w:r>
      <w:r w:rsidR="00F30E63">
        <w:rPr>
          <w:rFonts w:ascii="Calibri" w:hAnsi="Calibri"/>
        </w:rPr>
        <w:t xml:space="preserve"> an erection in men and a decline in the ability to become sexually aroused in women. </w:t>
      </w:r>
      <w:bookmarkStart w:id="5" w:name="_Hlk522876263"/>
      <w:r w:rsidR="00F30E63">
        <w:rPr>
          <w:rFonts w:ascii="Calibri" w:hAnsi="Calibri"/>
        </w:rPr>
        <w:t>Men and women who reported a past-year decline in sexual desire or sexual activity had a higher number of depressive symptoms and lower quality of life.</w:t>
      </w:r>
      <w:r w:rsidR="00F30E63" w:rsidRPr="00F30E63">
        <w:rPr>
          <w:rFonts w:ascii="Calibri" w:hAnsi="Calibri"/>
        </w:rPr>
        <w:t xml:space="preserve"> </w:t>
      </w:r>
      <w:bookmarkEnd w:id="5"/>
      <w:r w:rsidR="00F30E63">
        <w:rPr>
          <w:rFonts w:ascii="Calibri" w:hAnsi="Calibri"/>
        </w:rPr>
        <w:t>Decline in sexual desire was also associated with lower satisfaction with life in men but not in women and a decline in sexual activity was associated with lower satisfaction with life in women but not men.</w:t>
      </w:r>
      <w:r w:rsidR="00F30E63" w:rsidRPr="00F30E63">
        <w:rPr>
          <w:rFonts w:ascii="Calibri" w:hAnsi="Calibri"/>
        </w:rPr>
        <w:t xml:space="preserve"> </w:t>
      </w:r>
      <w:r w:rsidR="00F30E63">
        <w:rPr>
          <w:rFonts w:ascii="Calibri" w:hAnsi="Calibri"/>
        </w:rPr>
        <w:t xml:space="preserve">Men who reported a decline in their ability to have an erection had less favourable scores across all three measures of </w:t>
      </w:r>
      <w:r w:rsidR="00584BF7">
        <w:rPr>
          <w:rFonts w:ascii="Calibri" w:hAnsi="Calibri"/>
        </w:rPr>
        <w:t>wellbeing</w:t>
      </w:r>
      <w:r w:rsidR="00F30E63">
        <w:rPr>
          <w:rFonts w:ascii="Calibri" w:hAnsi="Calibri"/>
        </w:rPr>
        <w:t>, as did women who reported a decline in their ability to become sexually aroused</w:t>
      </w:r>
      <w:r w:rsidR="00AE64F6">
        <w:rPr>
          <w:rFonts w:ascii="Calibri" w:hAnsi="Calibri"/>
        </w:rPr>
        <w:t>.</w:t>
      </w:r>
    </w:p>
    <w:p w14:paraId="03AC1AAC" w14:textId="1B984646" w:rsidR="005D0455" w:rsidRDefault="005D0455" w:rsidP="0091064B">
      <w:pPr>
        <w:spacing w:afterLines="120" w:after="288"/>
      </w:pPr>
      <w:r>
        <w:rPr>
          <w:rFonts w:ascii="Calibri" w:hAnsi="Calibri"/>
        </w:rPr>
        <w:t xml:space="preserve">The results show that in older adults there is a decline in a number of attributes relating to sexuality (desire, activity, function). This adds to previous research that shows a decline in sexual activity </w:t>
      </w:r>
      <w:r w:rsidR="0073780E">
        <w:rPr>
          <w:rFonts w:ascii="Calibri" w:hAnsi="Calibri"/>
        </w:rPr>
        <w:t xml:space="preserve">and desire </w:t>
      </w:r>
      <w:r>
        <w:rPr>
          <w:rFonts w:ascii="Calibri" w:hAnsi="Calibri"/>
        </w:rPr>
        <w:t>when people age</w:t>
      </w:r>
      <w:r w:rsidR="00173147">
        <w:rPr>
          <w:rFonts w:ascii="Calibri" w:hAnsi="Calibri"/>
        </w:rPr>
        <w:t xml:space="preserve"> </w:t>
      </w:r>
      <w:r w:rsidR="00173147">
        <w:rPr>
          <w:rFonts w:ascii="Calibri" w:hAnsi="Calibri"/>
        </w:rPr>
        <w:fldChar w:fldCharType="begin"/>
      </w:r>
      <w:r w:rsidR="00804887">
        <w:rPr>
          <w:rFonts w:ascii="Calibri" w:hAnsi="Calibri"/>
        </w:rPr>
        <w:instrText xml:space="preserve"> ADDIN ZOTERO_ITEM CSL_CITATION {"citationID":"JkiDHGTQ","properties":{"formattedCitation":"(7,23,31)","plainCitation":"(7,23,31)","noteIndex":0},"citationItems":[{"id":1683,"uris":["http://zotero.org/users/446899/items/2PHWCWFD"],"uri":["http://zotero.org/users/446899/items/2PHWCWFD"],"itemData":{"id":1683,"type":"article-journal","title":"Sexual Health and Well-being Among Older Men and Women in England: Findings from the English Longitudinal Study of Ageing","container-title":"Archives of Sexual Behavior","source":"NCBI PubMed","abstract":"We describe levels of sexual activity, problems with sexual functioning, and concerns about sexual health among older adults in the English Longitudinal Study of Ageing (ELSA), and associations with age, health, and partnership factors. Specifically, a total of 6,201 core ELSA participants (56 % women) aged 50 to &gt;90 completed a comprehensive Sexual Relationships and Activities questionnaire (SRA-Q) included in ELSA Wave 6 (2012/13). The prevalence of reporting any sexual activity in the last year declined with age, with women less likely than men at all ages to report being sexually active. Poorer health was associated with lower levels of sexual activity and a higher prevalence of problems with sexual functioning, particularly among men. Difficulties most frequently reported by sexually active women related to becoming sexually aroused (32 %) and achieving orgasm (27 %), while for men it was erectile function (39 %). Sexual health concerns most commonly reported by women related to their level of sexual desire (11 %) and frequency of sexual activities (8 %). Among men it was level of sexual desire (15 %) and erectile difficulties (14 %). While the likelihood of reporting sexual health concerns tended to decrease with age in women, the opposite was seen in men. Poor sexual functioning and disagreements with a partner about initiating and/or feeling obligated to have sex were associated with greater concerns about and dissatisfaction with overall sex life. Levels of sexual activity decline with increasing age, although a sizable minority of men and women remain sexually active until the eighth and ninth decades of life. Problems with sexual functioning were relatively common, but overall levels of sexual health concerns were much lower. Sexually active men reported higher levels of concern with their sexual health and sexual dissatisfaction than women at all ages. Older peoples' sexual health should be managed, not just in the context of their age, gender, and general health, but also within their existing sexual relationship.","DOI":"10.1007/s10508-014-0465-1","ISSN":"1573-2800","note":"PMID: 25624001","shortTitle":"Sexual Health and Well-being Among Older Men and Women in England","journalAbbreviation":"Arch Sex Behav","language":"ENG","author":[{"family":"Lee","given":"David M."},{"family":"Nazroo","given":"James"},{"family":"O'Connor","given":"Daryl B."},{"family":"Blake","given":"Margaret"},{"family":"Pendleton","given":"Neil"}],"issued":{"date-parts":[["2015",1,27]]}}},{"id":1646,"uris":["http://zotero.org/users/446899/items/SI2ZZUMR"],"uri":["http://zotero.org/users/446899/items/SI2ZZUMR"],"itemData":{"id":1646,"type":"article-journal","title":"A Study of Sexuality and Health among Older Adults in the United States","container-title":"New England Journal of Medicine","page":"762-774","volume":"357","issue":"8","source":"Taylor and Francis+NEJM","abstract":"Little is known about sexuality among older persons in the United States, despite the aging of the population. Sexuality encompasses partnership, activity, behavior, attitudes, and function.1 Sexual activity is associated with health,2–4 and illness may considerably interfere with sexual health.5 A massive and growing market for drugs and devices to treat sexual problems targets older adults. Driven in part by the availability of drugs to treat erectile dysfunction, the demand for medical attention and services relating to sexual health is increasing. Yet there is limited information on sexual behavior among older adults and how sexual activities change with aging . . .","DOI":"10.1056/NEJMoa067423","ISSN":"0028-4793","note":"PMID: 17715410","author":[{"family":"Lindau","given":"Stacy Tessler"},{"family":"Schumm","given":"L. Philip"},{"family":"Laumann","given":"Edward O."},{"family":"Levinson","given":"Wendy"},{"family":"O'Muircheartaigh","given":"Colm A."},{"family":"Waite","given":"Linda J."}],"issued":{"date-parts":[["2007",8,23]]}}},{"id":4732,"uris":["http://zotero.org/users/446899/items/RRTKJ9FK"],"uri":["http://zotero.org/users/446899/items/RRTKJ9FK"],"itemData":{"id":4732,"type":"article-journal","title":"ORIGINAL RESEARCH—EPIDEMIOLOGY: Sexual Desire in a Nationally Representative Danish Population","container-title":"The Journal of Sexual Medicine","page":"47-56","volume":"4","issue":"1","source":"Wiley Online Library","abstract":"Introduction. There are only a few studies on the frequency of sexual desire in the general population, whereas studies investigating the frequency of disordered sexual desire are more common. Aim. The aim of this study was to describe the frequency of sexual desire in a representative sample of the adult Danish population and to analyze the relationships between a number of relevant variables and sexual desire. Methods. The study population (N = 10,458, response rate 84.8%) answered a questionnaire with questions on sexual matters. The representativity of the population was examined. The frequency of self-reported sexual desire and decrease in sexual desire over a 5-year period was calculated for the two genders across age cohorts. Multiple logistic regression analysis was used to analyze the relationship between potential determinants and sexual desire. Main Outcome Measures. The frequency of self-reported sexual desire and decrease in sexual desire was examined. Factors of importance for sexual desire were tested using two outcome measures: (i) often having sexual desire; and (ii) seldom having sexual desire. Results. A significant association between gender and sexual desire was found in all age groups, as men had a significantly higher level of sexual desire than women. In both genders, the frequency of sexual desire was significantly reduced with increasing age. Among the 45- to 66-year-olds, 57% of the men and 47% of the women reported no change in the level of sexual desire over the past 5 years. In general terms, factors related to seldom having sexual desire were age and social, psychological, and physical distress in both genders. Conclusion. This study shows that overall, men have a higher level of sexual desire than women; sexual desire decreases with increasing age; and social, psychological, or physical distress are associated with low level of sexual desire in both genders. Eplov L, Giraldi A, Davidsen M, Garde K, and Kamper-Jørgensen F. Sexual desire in a nationally representative Danish population. J Sex Med 2007;4:47–56.","DOI":"10.1111/j.1743-6109.2006.00396.x","ISSN":"1743-6109","shortTitle":"ORIGINAL RESEARCH—EPIDEMIOLOGY","language":"en","author":[{</w:instrText>
      </w:r>
      <w:r w:rsidR="00804887">
        <w:rPr>
          <w:rFonts w:ascii="Calibri" w:hAnsi="Calibri" w:hint="eastAsia"/>
        </w:rPr>
        <w:instrText>"family":"Eplov","given":"Lene"},{"family":"Giraldi","given":"Annamaria"},{"family":"Davidsen","given":"Michael"},{"family":"Garde","given":"Karin"},{"family":"Kamper</w:instrText>
      </w:r>
      <w:r w:rsidR="00804887">
        <w:rPr>
          <w:rFonts w:ascii="Calibri" w:hAnsi="Calibri" w:hint="eastAsia"/>
        </w:rPr>
        <w:instrText>‐</w:instrText>
      </w:r>
      <w:r w:rsidR="00804887">
        <w:rPr>
          <w:rFonts w:ascii="Calibri" w:hAnsi="Calibri" w:hint="eastAsia"/>
        </w:rPr>
        <w:instrText>Jørgensen","given":"Finn"}],"issued":{"date-parts":[["2007",1,1]]}}}],"schema":"https://</w:instrText>
      </w:r>
      <w:r w:rsidR="00804887">
        <w:rPr>
          <w:rFonts w:ascii="Calibri" w:hAnsi="Calibri"/>
        </w:rPr>
        <w:instrText xml:space="preserve">github.com/citation-style-language/schema/raw/master/csl-citation.json"} </w:instrText>
      </w:r>
      <w:r w:rsidR="00173147">
        <w:rPr>
          <w:rFonts w:ascii="Calibri" w:hAnsi="Calibri"/>
        </w:rPr>
        <w:fldChar w:fldCharType="separate"/>
      </w:r>
      <w:r w:rsidR="00804887" w:rsidRPr="00804887">
        <w:rPr>
          <w:rFonts w:ascii="Calibri" w:hAnsi="Calibri" w:cs="Calibri"/>
        </w:rPr>
        <w:t>(7,23,31)</w:t>
      </w:r>
      <w:r w:rsidR="00173147">
        <w:rPr>
          <w:rFonts w:ascii="Calibri" w:hAnsi="Calibri"/>
        </w:rPr>
        <w:fldChar w:fldCharType="end"/>
      </w:r>
      <w:r>
        <w:rPr>
          <w:rFonts w:ascii="Calibri" w:hAnsi="Calibri"/>
        </w:rPr>
        <w:t xml:space="preserve"> </w:t>
      </w:r>
      <w:r w:rsidR="0073780E">
        <w:t xml:space="preserve">and </w:t>
      </w:r>
      <w:r w:rsidR="00E65028">
        <w:t xml:space="preserve">a decline in the ability to achieve an erection </w:t>
      </w:r>
      <w:r w:rsidR="00173147">
        <w:fldChar w:fldCharType="begin"/>
      </w:r>
      <w:r w:rsidR="00804887">
        <w:instrText xml:space="preserve"> ADDIN ZOTERO_ITEM CSL_CITATION {"citationID":"wNkfuGfr","properties":{"formattedCitation":"(32)","plainCitation":"(32)","noteIndex":0},"citationItems":[{"id":4734,"uris":["http://zotero.org/users/446899/items/528MNY95"],"uri":["http://zotero.org/users/446899/items/528MNY95"],"itemData":{"id":4734,"type":"article-journal","title":"INCIDENCE OF ERECTILE DYSFUNCTION IN MEN 40 TO 69 YEARS OLD: LONGITUDINAL RESULTS FROM THE MASSACHUSETTS MALE AGING STUDY","container-title":"The Journal of Urology","page":"460-463","volume":"163","issue":"2","source":"ScienceDirect","abstract":"Purpose\nWe estimated the incidence of erectile dysfunction in men 40 to 69 years old at study entry during an average 8.8-year followup, and determined how risk varied with age, socioeconomic status and medical conditions.\nMaterials and Methods\nData from a randomly sampled population based longitudinal study of Massachusetts men were analyzed. A total of 1,709 men completed the baseline interview during 1987 to 1989 and 1,156 survivors completed followup from 1995 to 1997. The analysis sample consisted of 847 men without erectile dysfunction at baseline and with complete followup information. Erectile dysfunction was assessed by discriminant analysis of 13 questions from a self-administered sexual function questionnaire and a single global self-rating question.\nResults\nThe crude incidence rate for erectile dysfunction was 25.9 cases per 1,000 man-years (95% confidence interval [CI] 22.5 to 29.9). The annual incidence rate increased with each decade of age and was 12.4 cases per 1,000 man-years (95% CI 9.0 to 16.9), 29.8 (24.0 to 37.0) and 46.4 (36.9 to 58.4) for men 40 to 49, 50 to 59 and 60 to 69 years old, respectively. The age adjusted risk of erectile dysfunction was higher for men with lower education, diabetes, heart disease and hypertension. Population projections for men 40 to 69 years old suggest that 17,781 new cases of erectile dysfunction in Massachusetts and 617,715 in the United States (white males only) are expected annually.\nConclusions\nAlthough prevalence estimates and cross-sectional correlates of erectile dysfunction have recently been established, incidence estimates were lacking. Incidence is necessary to assess risk, and plan treatment and prevention strategies. The risk of erectile dysfunction was about 26 cases per 1,000 men annually, and increased with age, lower education, diabetes, heart disease and hypertension.","DOI":"10.1016/S0022-5347(05)67900-1","ISSN":"0022-5347","shortTitle":"INCIDENCE OF ERECTILE DYSFUNCTION IN MEN 40 TO 69 YEARS OLD","journalAbbreviation":"The Journal of Urology","author":[{"family":"Johannes","given":"CATHERINE B."},{"family":"Araujo","given":"ANDRE B."},{"family":"Feldman","given":"HENRY A."},{"family":"Derby","given":"CAROL A."},{"family":"Kleinman","given":"KEN P."},{"family":"McKINLAY","given":"JOHN B."}],"issued":{"date-parts":[["2000",2,1]]}}}],"schema":"https://github.com/citation-style-language/schema/raw/master/csl-citation.json"} </w:instrText>
      </w:r>
      <w:r w:rsidR="00173147">
        <w:fldChar w:fldCharType="separate"/>
      </w:r>
      <w:r w:rsidR="00804887" w:rsidRPr="00804887">
        <w:rPr>
          <w:rFonts w:ascii="Calibri" w:hAnsi="Calibri" w:cs="Calibri"/>
        </w:rPr>
        <w:t>(32)</w:t>
      </w:r>
      <w:r w:rsidR="00173147">
        <w:fldChar w:fldCharType="end"/>
      </w:r>
      <w:r w:rsidR="00E65028">
        <w:t>. Interestingly</w:t>
      </w:r>
      <w:r w:rsidR="00BA4E15">
        <w:t>,</w:t>
      </w:r>
      <w:r w:rsidR="00E65028">
        <w:t xml:space="preserve"> the present </w:t>
      </w:r>
      <w:r w:rsidR="00A16807">
        <w:t>results indicate</w:t>
      </w:r>
      <w:r w:rsidR="00E65028">
        <w:t xml:space="preserve"> that </w:t>
      </w:r>
      <w:r w:rsidR="00667837">
        <w:t xml:space="preserve">over a quarter of </w:t>
      </w:r>
      <w:r w:rsidR="00E65028">
        <w:t>older women experience a decline in sexual arousal. This finding contradicts previous literature that has shown that t</w:t>
      </w:r>
      <w:r w:rsidR="00E65028" w:rsidRPr="00E65028">
        <w:t xml:space="preserve">he prevalence of most sexual difficulties or dysfunctions </w:t>
      </w:r>
      <w:r w:rsidR="00E65028">
        <w:t xml:space="preserve">in women </w:t>
      </w:r>
      <w:r w:rsidR="00E65028" w:rsidRPr="00E65028">
        <w:t>changes little with age</w:t>
      </w:r>
      <w:r w:rsidR="00C40DA8">
        <w:t xml:space="preserve"> </w:t>
      </w:r>
      <w:r w:rsidR="00C40DA8">
        <w:fldChar w:fldCharType="begin"/>
      </w:r>
      <w:r w:rsidR="00804887">
        <w:instrText xml:space="preserve"> ADDIN ZOTERO_ITEM CSL_CITATION {"citationID":"79IcdkFB","properties":{"formattedCitation":"(33)","plainCitation":"(33)","noteIndex":0},"citationItems":[{"id":4736,"uris":["http://zotero.org/users/446899/items/95W2IJBA"],"uri":["http://zotero.org/users/446899/items/95W2IJBA"],"itemData":{"id":4736,"type":"article-journal","title":"The Impact of Aging on Sexual Function and Sexual Dysfunction in Women: A Review of Population-Based Studies","container-title":"The Journal of Sexual Medicine","page":"317-330","volume":"2","issue":"3","source":"Wiley Online Library","abstract":"Introduction. Scientific interest in the impact of aging on women's sexual function and dysfunction has increased in the half century since Kinsey described age-related changes in women's sexual activities. However, a range of methodological issues limit the conclusions that can be drawn from many published studies in this area. Aim. To review community-based studies investigating changes in women's sexual function and sexual dysfunction with age, taking into account confounders to aging and methodological limitations. Methods. Electronic databases were searched for published studies investigating changes in sexual function and dysfunction with age. A critical review was carried out. Main Outcome Measures. Age-related changes in sexual function and dysfunction. Results. There are inconsistencies in the way sexual function and sexual dysfunction are measured. Validated scales are infrequently used. Low response rates, limited age ranges, and restrictive inclusion criteria limit the generalizability of many studies. Confounders are often either not measured or not analyzed. Longitudinal studies are rare, making it difficult to separate the effects of birth cohort and aging. The evidence indicates that a woman's sexual function declines with age. This decline begins in a woman's late 20s to late 30s. Specifically, desire, frequency of orgasm, and frequency of sexual intercourse decrease with age. However, it is not clear whether arousal decreases or remains relatively constant. In longitudinal studies, decline in women's sexual function has also been detected, but patterns of stability and improved sexual function have also been observed for short periods of time. The prevalence of most sexual difficulties or dysfunctions changes little with age, with the exception of sexual pain, which may decrease. Conclusions. Age-related changes in sexually related personal distress may help explain why the prevalence of sexual dysfunctions remains constant with age while sexual function declines. More research is needed to demonstrate this.","DOI":"10.1111/j.1743-6109.2005.20356.x","ISSN":"1743-6109","shortTitle":"The Impact of Aging on Sexual Function and Sexual Dysfunction in Women","language":"en","author":[{"family":"Hayes","given":"Richard"},{"family":"Dennerstein","given":"Lorraine"}],"issued":{"date-parts":[["2005",5,1]]}}}],"schema":"https://github.com/citation-style-language/schema/raw/master/csl-citation.json"} </w:instrText>
      </w:r>
      <w:r w:rsidR="00C40DA8">
        <w:fldChar w:fldCharType="separate"/>
      </w:r>
      <w:r w:rsidR="00804887" w:rsidRPr="00804887">
        <w:rPr>
          <w:rFonts w:ascii="Calibri" w:hAnsi="Calibri" w:cs="Calibri"/>
        </w:rPr>
        <w:t>(33)</w:t>
      </w:r>
      <w:r w:rsidR="00C40DA8">
        <w:fldChar w:fldCharType="end"/>
      </w:r>
      <w:r w:rsidR="00E65028">
        <w:t xml:space="preserve">. One possible explanation for these </w:t>
      </w:r>
      <w:r w:rsidR="00A16807">
        <w:t>divergent</w:t>
      </w:r>
      <w:r w:rsidR="00E65028">
        <w:t xml:space="preserve"> findings may relate to inconsistencies in the way sexual function </w:t>
      </w:r>
      <w:r w:rsidR="003217CD">
        <w:t xml:space="preserve">has been previously measured. </w:t>
      </w:r>
      <w:r w:rsidR="003217CD" w:rsidRPr="003217CD">
        <w:t>Validated scales are infrequently used. Low response rates, limited age ranges, and restrictive inclusion cri</w:t>
      </w:r>
      <w:r w:rsidR="003217CD">
        <w:t xml:space="preserve">teria limit the representativeness of many studies and covariates are often not </w:t>
      </w:r>
      <w:r w:rsidR="00A16807">
        <w:t>included</w:t>
      </w:r>
      <w:r w:rsidR="00A04379">
        <w:t xml:space="preserve"> </w:t>
      </w:r>
      <w:r w:rsidR="00A04379">
        <w:fldChar w:fldCharType="begin"/>
      </w:r>
      <w:r w:rsidR="00804887">
        <w:instrText xml:space="preserve"> ADDIN ZOTERO_ITEM CSL_CITATION {"citationID":"kEnyloSy","properties":{"formattedCitation":"(33)","plainCitation":"(33)","noteIndex":0},"citationItems":[{"id":4736,"uris":["http://zotero.org/users/446899/items/95W2IJBA"],"uri":["http://zotero.org/users/446899/items/95W2IJBA"],"itemData":{"id":4736,"type":"article-journal","title":"The Impact of Aging on Sexual Function and Sexual Dysfunction in Women: A Review of Population-Based Studies","container-title":"The Journal of Sexual Medicine","page":"317-330","volume":"2","issue":"3","source":"Wiley Online Library","abstract":"Introduction. Scientific interest in the impact of aging on women's sexual function and dysfunction has increased in the half century since Kinsey described age-related changes in women's sexual activities. However, a range of methodological issues limit the conclusions that can be drawn from many published studies in this area. Aim. To review community-based studies investigating changes in women's sexual function and sexual dysfunction with age, taking into account confounders to aging and methodological limitations. Methods. Electronic databases were searched for published studies investigating changes in sexual function and dysfunction with age. A critical review was carried out. Main Outcome Measures. Age-related changes in sexual function and dysfunction. Results. There are inconsistencies in the way sexual function and sexual dysfunction are measured. Validated scales are infrequently used. Low response rates, limited age ranges, and restrictive inclusion criteria limit the generalizability of many studies. Confounders are often either not measured or not analyzed. Longitudinal studies are rare, making it difficult to separate the effects of birth cohort and aging. The evidence indicates that a woman's sexual function declines with age. This decline begins in a woman's late 20s to late 30s. Specifically, desire, frequency of orgasm, and frequency of sexual intercourse decrease with age. However, it is not clear whether arousal decreases or remains relatively constant. In longitudinal studies, decline in women's sexual function has also been detected, but patterns of stability and improved sexual function have also been observed for short periods of time. The prevalence of most sexual difficulties or dysfunctions changes little with age, with the exception of sexual pain, which may decrease. Conclusions. Age-related changes in sexually related personal distress may help explain why the prevalence of sexual dysfunctions remains constant with age while sexual function declines. More research is needed to demonstrate this.","DOI":"10.1111/j.1743-6109.2005.20356.x","ISSN":"1743-6109","shortTitle":"The Impact of Aging on Sexual Function and Sexual Dysfunction in Women","language":"en","author":[{"family":"Hayes","given":"Richard"},{"family":"Dennerstein","given":"Lorraine"}],"issued":{"date-parts":[["2005",5,1]]}}}],"schema":"https://github.com/citation-style-language/schema/raw/master/csl-citation.json"} </w:instrText>
      </w:r>
      <w:r w:rsidR="00A04379">
        <w:fldChar w:fldCharType="separate"/>
      </w:r>
      <w:r w:rsidR="00804887" w:rsidRPr="00804887">
        <w:rPr>
          <w:rFonts w:ascii="Calibri" w:hAnsi="Calibri" w:cs="Calibri"/>
        </w:rPr>
        <w:t>(33)</w:t>
      </w:r>
      <w:r w:rsidR="00A04379">
        <w:fldChar w:fldCharType="end"/>
      </w:r>
      <w:r w:rsidR="003217CD" w:rsidRPr="003217CD">
        <w:t>.</w:t>
      </w:r>
      <w:r w:rsidR="003217CD">
        <w:t xml:space="preserve"> Further research is required in other representative samples using a standardised measure to ascertain whether </w:t>
      </w:r>
      <w:r w:rsidR="00F67859">
        <w:t xml:space="preserve">female </w:t>
      </w:r>
      <w:r w:rsidR="003217CD">
        <w:t>sexual arousa</w:t>
      </w:r>
      <w:r w:rsidR="00AC0E0C">
        <w:t xml:space="preserve">l </w:t>
      </w:r>
      <w:r w:rsidR="002E6584">
        <w:t xml:space="preserve">does </w:t>
      </w:r>
      <w:r w:rsidR="008F3B34">
        <w:t xml:space="preserve">indeed </w:t>
      </w:r>
      <w:r w:rsidR="002E6584">
        <w:t>decline with age.</w:t>
      </w:r>
    </w:p>
    <w:p w14:paraId="6A1A2219" w14:textId="1A9FF8A8" w:rsidR="003217CD" w:rsidRDefault="0015167C" w:rsidP="0091064B">
      <w:pPr>
        <w:spacing w:afterLines="120" w:after="288"/>
      </w:pPr>
      <w:r>
        <w:lastRenderedPageBreak/>
        <w:t>The present study has shown</w:t>
      </w:r>
      <w:r w:rsidR="003217CD">
        <w:t xml:space="preserve"> that </w:t>
      </w:r>
      <w:r w:rsidR="003217CD">
        <w:rPr>
          <w:rFonts w:ascii="Calibri" w:hAnsi="Calibri"/>
        </w:rPr>
        <w:t xml:space="preserve">men and women who report a past-year decline in </w:t>
      </w:r>
      <w:r w:rsidR="00CE20E1">
        <w:rPr>
          <w:rFonts w:ascii="Calibri" w:hAnsi="Calibri"/>
        </w:rPr>
        <w:t xml:space="preserve">their </w:t>
      </w:r>
      <w:r w:rsidR="003217CD">
        <w:rPr>
          <w:rFonts w:ascii="Calibri" w:hAnsi="Calibri"/>
        </w:rPr>
        <w:t>sexual des</w:t>
      </w:r>
      <w:r w:rsidR="00E96F67">
        <w:rPr>
          <w:rFonts w:ascii="Calibri" w:hAnsi="Calibri"/>
        </w:rPr>
        <w:t>ire or</w:t>
      </w:r>
      <w:r w:rsidR="00F10207">
        <w:rPr>
          <w:rFonts w:ascii="Calibri" w:hAnsi="Calibri"/>
        </w:rPr>
        <w:t xml:space="preserve"> the frequency of</w:t>
      </w:r>
      <w:r w:rsidR="00E96F67">
        <w:rPr>
          <w:rFonts w:ascii="Calibri" w:hAnsi="Calibri"/>
        </w:rPr>
        <w:t xml:space="preserve"> sexual activit</w:t>
      </w:r>
      <w:r w:rsidR="00F10207">
        <w:rPr>
          <w:rFonts w:ascii="Calibri" w:hAnsi="Calibri"/>
        </w:rPr>
        <w:t>ies</w:t>
      </w:r>
      <w:r w:rsidR="00E96F67">
        <w:rPr>
          <w:rFonts w:ascii="Calibri" w:hAnsi="Calibri"/>
        </w:rPr>
        <w:t xml:space="preserve"> tend to have</w:t>
      </w:r>
      <w:r w:rsidR="003217CD">
        <w:rPr>
          <w:rFonts w:ascii="Calibri" w:hAnsi="Calibri"/>
        </w:rPr>
        <w:t xml:space="preserve"> a </w:t>
      </w:r>
      <w:r w:rsidR="00E96F67">
        <w:rPr>
          <w:rFonts w:ascii="Calibri" w:hAnsi="Calibri"/>
        </w:rPr>
        <w:t>greater</w:t>
      </w:r>
      <w:r w:rsidR="003217CD">
        <w:rPr>
          <w:rFonts w:ascii="Calibri" w:hAnsi="Calibri"/>
        </w:rPr>
        <w:t xml:space="preserve"> number of depressive symptoms and </w:t>
      </w:r>
      <w:r w:rsidR="00597BB4">
        <w:rPr>
          <w:rFonts w:ascii="Calibri" w:hAnsi="Calibri"/>
        </w:rPr>
        <w:t>poorer</w:t>
      </w:r>
      <w:r w:rsidR="003217CD">
        <w:rPr>
          <w:rFonts w:ascii="Calibri" w:hAnsi="Calibri"/>
        </w:rPr>
        <w:t xml:space="preserve"> quality of life.</w:t>
      </w:r>
      <w:r w:rsidR="00667837">
        <w:rPr>
          <w:rFonts w:ascii="Calibri" w:hAnsi="Calibri"/>
        </w:rPr>
        <w:t xml:space="preserve"> </w:t>
      </w:r>
      <w:r w:rsidR="00151401">
        <w:rPr>
          <w:rFonts w:ascii="Calibri" w:hAnsi="Calibri"/>
        </w:rPr>
        <w:t>As we adjusted for long</w:t>
      </w:r>
      <w:r w:rsidR="00001E5B">
        <w:rPr>
          <w:rFonts w:ascii="Calibri" w:hAnsi="Calibri"/>
        </w:rPr>
        <w:t>-</w:t>
      </w:r>
      <w:r w:rsidR="00151401">
        <w:rPr>
          <w:rFonts w:ascii="Calibri" w:hAnsi="Calibri"/>
        </w:rPr>
        <w:t>standing conditions and physical activity, our results suggest that the relationships between decline in sexuality and poorer wellbeing exist independently of these other established factors.</w:t>
      </w:r>
      <w:r w:rsidR="003217CD">
        <w:rPr>
          <w:rFonts w:ascii="Calibri" w:hAnsi="Calibri"/>
        </w:rPr>
        <w:t xml:space="preserve"> There are several plausible pathways that may explain th</w:t>
      </w:r>
      <w:r w:rsidR="00056354">
        <w:rPr>
          <w:rFonts w:ascii="Calibri" w:hAnsi="Calibri"/>
        </w:rPr>
        <w:t>ese</w:t>
      </w:r>
      <w:r w:rsidR="003217CD">
        <w:rPr>
          <w:rFonts w:ascii="Calibri" w:hAnsi="Calibri"/>
        </w:rPr>
        <w:t xml:space="preserve"> association</w:t>
      </w:r>
      <w:r w:rsidR="00056354">
        <w:rPr>
          <w:rFonts w:ascii="Calibri" w:hAnsi="Calibri"/>
        </w:rPr>
        <w:t>s</w:t>
      </w:r>
      <w:r w:rsidR="003217CD">
        <w:rPr>
          <w:rFonts w:ascii="Calibri" w:hAnsi="Calibri"/>
        </w:rPr>
        <w:t xml:space="preserve">. </w:t>
      </w:r>
      <w:r w:rsidR="00AC0E0C">
        <w:rPr>
          <w:rFonts w:ascii="Calibri" w:hAnsi="Calibri"/>
        </w:rPr>
        <w:t>First</w:t>
      </w:r>
      <w:r w:rsidR="008026DC">
        <w:rPr>
          <w:rFonts w:ascii="Calibri" w:hAnsi="Calibri"/>
        </w:rPr>
        <w:t xml:space="preserve">, </w:t>
      </w:r>
      <w:r w:rsidR="00724A4F">
        <w:t>endorphins are released during sexual intercourse</w:t>
      </w:r>
      <w:r w:rsidR="00AC0E0C">
        <w:t xml:space="preserve"> (activity)</w:t>
      </w:r>
      <w:r w:rsidR="00724A4F">
        <w:t xml:space="preserve"> </w:t>
      </w:r>
      <w:r w:rsidR="006A1A36">
        <w:t>which</w:t>
      </w:r>
      <w:r w:rsidR="006A1A36" w:rsidRPr="0038637A">
        <w:t xml:space="preserve"> generates a happy or blissful feeling after sex</w:t>
      </w:r>
      <w:r w:rsidR="00CA6630">
        <w:t xml:space="preserve"> </w:t>
      </w:r>
      <w:r w:rsidR="00CA6630">
        <w:fldChar w:fldCharType="begin"/>
      </w:r>
      <w:r w:rsidR="00804887">
        <w:instrText xml:space="preserve"> ADDIN ZOTERO_ITEM CSL_CITATION {"citationID":"Kta9QRLS","properties":{"formattedCitation":"(34)","plainCitation":"(34)","noteIndex":0},"citationItems":[{"id":4742,"uris":["http://zotero.org/users/446899/items/V6DC2XJ8"],"uri":["http://zotero.org/users/446899/items/V6DC2XJ8"],"itemData":{"id":4742,"type":"article-journal","title":"Release of Endomorphin Hormone and Its Effects on Our Body and Moods : A Review","container-title":"International Conference on Chemical, Biological and Environment Sciences","abstract":"Endorphin is a hormone and types of endorphins are found in our body. Endorphin is like morphine in structure and effects and has same binding site in the brain cells or receptors. Different endorphins are released during different exercises or eating food or during sex, meditation etc. Anxiety is a disease which is widely spread and can be treated with this endogenous endorphin without using any medication or tablets, only the thing is that we must know how and when endorphin is released. It is in our hands to release endorphin where and when we need.","URL":"/paper/Release-of-Endomorphin-Hormone-and-Its-Effects-on-%3A-Rokade/d9d6a77f113bb866ea1588edf646a60e25ca1755","shortTitle":"Release of Endomorphin Hormone and Its Effects on Our Body and Moods","author":[{"family":"Rokade","given":"Dr P. B."}],"issued":{"date-parts":[["2011"]]},"accessed":{"date-parts":[["2018",8,24]]}}}],"schema":"https://github.com/citation-style-language/schema/raw/master/csl-citation.json"} </w:instrText>
      </w:r>
      <w:r w:rsidR="00CA6630">
        <w:fldChar w:fldCharType="separate"/>
      </w:r>
      <w:r w:rsidR="00804887" w:rsidRPr="00804887">
        <w:rPr>
          <w:rFonts w:ascii="Calibri" w:hAnsi="Calibri" w:cs="Calibri"/>
        </w:rPr>
        <w:t>(34)</w:t>
      </w:r>
      <w:r w:rsidR="00CA6630">
        <w:fldChar w:fldCharType="end"/>
      </w:r>
      <w:r w:rsidR="005006B4">
        <w:t>,</w:t>
      </w:r>
      <w:r w:rsidR="00CE15A2">
        <w:t xml:space="preserve"> and</w:t>
      </w:r>
      <w:r w:rsidR="005006B4">
        <w:t xml:space="preserve"> it is plausible that experiencing such feelings </w:t>
      </w:r>
      <w:r w:rsidR="00CE15A2">
        <w:t>may result</w:t>
      </w:r>
      <w:r w:rsidR="005006B4">
        <w:t xml:space="preserve"> in lower levels of depressive symptoms and better </w:t>
      </w:r>
      <w:r w:rsidR="00514F73">
        <w:t>quality of life</w:t>
      </w:r>
      <w:r w:rsidR="005006B4">
        <w:t>.</w:t>
      </w:r>
      <w:r w:rsidR="000D42E4" w:rsidRPr="000D42E4">
        <w:t xml:space="preserve"> </w:t>
      </w:r>
      <w:r w:rsidR="00020697">
        <w:t>Second</w:t>
      </w:r>
      <w:r w:rsidR="007C1735">
        <w:t xml:space="preserve">, having sexual activity may lead to a better relationship with one’s partner and thus increased life satisfaction. </w:t>
      </w:r>
      <w:r w:rsidR="005006B4">
        <w:t xml:space="preserve">Finally, engaging in satisfying sexual </w:t>
      </w:r>
      <w:r w:rsidR="00AC0E0C">
        <w:t xml:space="preserve">activity </w:t>
      </w:r>
      <w:r w:rsidR="005006B4">
        <w:t xml:space="preserve">may increase one’s self-efficacy and self-esteem </w:t>
      </w:r>
      <w:r w:rsidR="00CE15A2">
        <w:t>which</w:t>
      </w:r>
      <w:r w:rsidR="005006B4">
        <w:t xml:space="preserve"> subsequently may result in better mental health. </w:t>
      </w:r>
      <w:r w:rsidR="003D2335">
        <w:t xml:space="preserve">The finding that a decline in sexual desire </w:t>
      </w:r>
      <w:r w:rsidR="00C672FC">
        <w:t xml:space="preserve">is associated with </w:t>
      </w:r>
      <w:r w:rsidR="003D2335">
        <w:t xml:space="preserve">poorer </w:t>
      </w:r>
      <w:r w:rsidR="00C672FC">
        <w:t>wellbeing</w:t>
      </w:r>
      <w:r w:rsidR="003D2335">
        <w:t xml:space="preserve"> is interesting. It is likely that a decline in sexual desire leads to a decline in sexual activity and thus a decline in </w:t>
      </w:r>
      <w:r w:rsidR="00DA66A4">
        <w:t>wellbeing</w:t>
      </w:r>
      <w:r w:rsidR="003D2335">
        <w:t>. Further longitudinal research is re</w:t>
      </w:r>
      <w:r w:rsidR="00A00A8E">
        <w:t>quired to test this hypothesis.</w:t>
      </w:r>
    </w:p>
    <w:p w14:paraId="0C7EF86F" w14:textId="5794FB05" w:rsidR="003D2335" w:rsidRDefault="003D2335" w:rsidP="0091064B">
      <w:pPr>
        <w:spacing w:afterLines="120" w:after="288"/>
        <w:rPr>
          <w:rFonts w:ascii="Calibri" w:hAnsi="Calibri"/>
        </w:rPr>
      </w:pPr>
      <w:r>
        <w:rPr>
          <w:rFonts w:ascii="Calibri" w:hAnsi="Calibri"/>
        </w:rPr>
        <w:t xml:space="preserve">The finding that a decline in sexual desire </w:t>
      </w:r>
      <w:r w:rsidR="002859FE">
        <w:rPr>
          <w:rFonts w:ascii="Calibri" w:hAnsi="Calibri"/>
        </w:rPr>
        <w:t>was</w:t>
      </w:r>
      <w:r>
        <w:rPr>
          <w:rFonts w:ascii="Calibri" w:hAnsi="Calibri"/>
        </w:rPr>
        <w:t xml:space="preserve"> associated with lower satisfaction with life in men but not in women and a d</w:t>
      </w:r>
      <w:r w:rsidR="002D6473">
        <w:rPr>
          <w:rFonts w:ascii="Calibri" w:hAnsi="Calibri"/>
        </w:rPr>
        <w:t xml:space="preserve">ecline in sexual activity </w:t>
      </w:r>
      <w:r w:rsidR="002859FE">
        <w:rPr>
          <w:rFonts w:ascii="Calibri" w:hAnsi="Calibri"/>
        </w:rPr>
        <w:t>was</w:t>
      </w:r>
      <w:r w:rsidR="002D6473">
        <w:rPr>
          <w:rFonts w:ascii="Calibri" w:hAnsi="Calibri"/>
        </w:rPr>
        <w:t xml:space="preserve"> </w:t>
      </w:r>
      <w:r>
        <w:rPr>
          <w:rFonts w:ascii="Calibri" w:hAnsi="Calibri"/>
        </w:rPr>
        <w:t xml:space="preserve">associated with lower satisfaction with life in women but not men should be noted. </w:t>
      </w:r>
      <w:r w:rsidR="00362799">
        <w:rPr>
          <w:rFonts w:ascii="Calibri" w:hAnsi="Calibri"/>
        </w:rPr>
        <w:t>Feelings of sexual desire have been shown to be greater in men than women</w:t>
      </w:r>
      <w:r w:rsidR="00CA6630">
        <w:rPr>
          <w:rFonts w:ascii="Calibri" w:hAnsi="Calibri"/>
        </w:rPr>
        <w:t xml:space="preserve"> </w:t>
      </w:r>
      <w:r w:rsidR="00CA6630">
        <w:rPr>
          <w:rFonts w:ascii="Calibri" w:hAnsi="Calibri"/>
        </w:rPr>
        <w:fldChar w:fldCharType="begin"/>
      </w:r>
      <w:r w:rsidR="00804887">
        <w:rPr>
          <w:rFonts w:ascii="Calibri" w:hAnsi="Calibri"/>
        </w:rPr>
        <w:instrText xml:space="preserve"> ADDIN ZOTERO_ITEM CSL_CITATION {"citationID":"cd0tkiSn","properties":{"formattedCitation":"(31)","plainCitation":"(31)","noteIndex":0},"citationItems":[{"id":4732,"uris":["http://zotero.org/users/446899/items/RRTKJ9FK"],"uri":["http://zotero.org/users/446899/items/RRTKJ9FK"],"itemData":{"id":4732,"type":"article-journal","title":"ORIGINAL RESEARCH—EPIDEMIOLOGY: Sexual Desire in a Nationally Representative Danish Population","container-title":"The Journal of Sexual Medicine","page":"47-56","volume":"4","issue":"1","source":"Wiley Online Library","abstract":"Introduction. There are only a few studies on the frequency of sexual desire in the general population, whereas studies investigating the frequency of disordered sexual desire are more common. Aim. The aim of this study was to describe the frequency of sexual desire in a representative sample of the adult Danish population and to analyze the relationships between a number of relevant variables and sexual desire. Methods. The study population (N = 10,458, response rate 84.8%) answered a questionnaire with questions on sexual matters. The representativity of the population was examined. The frequency of self-reported sexual desire and decrease in sexual desire over a 5-year period was calculated for the two genders across age cohorts. Multiple logistic regression analysis was used to analyze the relationship between potential determinants and sexual desire. Main Outcome Measures. The frequency of self-reported sexual desire and decrease in sexual desire was examined. Factors of importance for sexual desire were tested using two outcome measures: (i) often having sexual desire; and (ii) seldom having sexual desire. Results. A significant association between gender and sexual desire was found in all age groups, as men had a significantly higher level of sexual desire than women. In both genders, the frequency of sexual desire was significantly reduced with increasing age. Among the 45- to 66-year-olds, 57% of the men and 47% of the women reported no change in the level of sexual desire over the past 5 years. In general terms, factors related to seldom having sexual desire were age and social, psychological, and physical distress in both genders. Conclusion. This study shows that overall, men have a higher level of sexual desire than women; sexual desire decreases with increasing age; and social, psychological, or physical distress are associated with low level of sexual desire in both genders. Eplov L, Giraldi A, Davidsen M, Garde K, and Kamper-Jørgensen F. Sexual desire in a nationally representative Danish population. J Sex Med 2007;4:47–56.","DOI":"10.1111/j.1743-6109.2006.00396.x","ISSN":"1743-6109","shortTitle":"ORIGINAL RESEARCH—EPIDEMIOLOGY","language":"en","author":[{"family":"Eplov","given":"Lene"</w:instrText>
      </w:r>
      <w:r w:rsidR="00804887">
        <w:rPr>
          <w:rFonts w:ascii="Calibri" w:hAnsi="Calibri" w:hint="eastAsia"/>
        </w:rPr>
        <w:instrText>},{"family":"Giraldi","given":"Annamaria"},{"family":"Davidsen","given":"Michael"},{"family":"Garde","given":"Karin"},{"family":"Kamper</w:instrText>
      </w:r>
      <w:r w:rsidR="00804887">
        <w:rPr>
          <w:rFonts w:ascii="Calibri" w:hAnsi="Calibri" w:hint="eastAsia"/>
        </w:rPr>
        <w:instrText>‐</w:instrText>
      </w:r>
      <w:r w:rsidR="00804887">
        <w:rPr>
          <w:rFonts w:ascii="Calibri" w:hAnsi="Calibri" w:hint="eastAsia"/>
        </w:rPr>
        <w:instrText>Jørgensen","given":"Finn"}],"issued":{"date-parts":[["2007",1,1]]}}}],"schema":"https://github.com/citation-style-langu</w:instrText>
      </w:r>
      <w:r w:rsidR="00804887">
        <w:rPr>
          <w:rFonts w:ascii="Calibri" w:hAnsi="Calibri"/>
        </w:rPr>
        <w:instrText xml:space="preserve">age/schema/raw/master/csl-citation.json"} </w:instrText>
      </w:r>
      <w:r w:rsidR="00CA6630">
        <w:rPr>
          <w:rFonts w:ascii="Calibri" w:hAnsi="Calibri"/>
        </w:rPr>
        <w:fldChar w:fldCharType="separate"/>
      </w:r>
      <w:r w:rsidR="00804887" w:rsidRPr="00804887">
        <w:rPr>
          <w:rFonts w:ascii="Calibri" w:hAnsi="Calibri" w:cs="Calibri"/>
        </w:rPr>
        <w:t>(31)</w:t>
      </w:r>
      <w:r w:rsidR="00CA6630">
        <w:rPr>
          <w:rFonts w:ascii="Calibri" w:hAnsi="Calibri"/>
        </w:rPr>
        <w:fldChar w:fldCharType="end"/>
      </w:r>
      <w:r w:rsidR="00362799">
        <w:rPr>
          <w:rFonts w:ascii="Calibri" w:hAnsi="Calibri"/>
        </w:rPr>
        <w:t xml:space="preserve">. </w:t>
      </w:r>
      <w:r w:rsidR="00A85822">
        <w:rPr>
          <w:rFonts w:ascii="Calibri" w:hAnsi="Calibri"/>
        </w:rPr>
        <w:t>It may be that such feelings in men are related to levels of testosterone. Levels of testosterone have been shown to decline as men age</w:t>
      </w:r>
      <w:r w:rsidR="00CA6630">
        <w:rPr>
          <w:rFonts w:ascii="Calibri" w:hAnsi="Calibri"/>
        </w:rPr>
        <w:t xml:space="preserve"> </w:t>
      </w:r>
      <w:r w:rsidR="00CA6630">
        <w:rPr>
          <w:rFonts w:ascii="Calibri" w:hAnsi="Calibri"/>
        </w:rPr>
        <w:fldChar w:fldCharType="begin"/>
      </w:r>
      <w:r w:rsidR="00804887">
        <w:rPr>
          <w:rFonts w:ascii="Calibri" w:hAnsi="Calibri"/>
        </w:rPr>
        <w:instrText xml:space="preserve"> ADDIN ZOTERO_ITEM CSL_CITATION {"citationID":"cSBJUWAJ","properties":{"formattedCitation":"(35)","plainCitation":"(35)","noteIndex":0},"citationItems":[{"id":4745,"uris":["http://zotero.org/users/446899/items/J3Q8MYWK"],"uri":["http://zotero.org/users/446899/items/J3Q8MYWK"],"itemData":{"id":4745,"type":"article-journal","title":"Longitudinal changes in testosterone, luteinizing hormone, and follicle-stimulating hormone in healthy older men","container-title":"Metabolism","page":"410-413","volume":"46","issue":"4","source":"ScienceDirect","abstract":"Cross-sectional studies have demonstrated a decline in testosterone and free and bioavailable testosterone with age. This occurs in a majority of older persons without an increase in luteinizing hormone (LH), suggesting that a component of the testosterone decrease is due to secondary hypogonadism. To determine whether these findings could be duplicated in a longitudinal study, we measured testosterone, LH, follicle-stimulating hormone (FSH), and sex hormone—binding globulin (SHBG) levels in 77 men participating in the New Mexico Aging Process Study who had sera available in 1980 or 1981 and two or more serial samples in 1982, 1984, 1989, and/or 1994. Thirty-nine subjects had samples available from both 1980 and 1994. The age at entry into the study ranged from 61 to 87 years. Testosterone levels decreased over the 15 years of the study. In persons who were alive for the duration of the study, testosterone levels were significantly lower 5 years before termination of the study (P &lt; .05). Testosterone levels did not differ at entry into the study among those who died and those who were alive at the end of the study period. Eight of 77 subjects (10%) had LH levels above the normal range at some time during the study. In contrast, 43% of subjects had elevated FSH levels. Both LH and FSH increased significantly with age. SHBG levels were measured in 1980 and 1994 and increased significantly with age (P &lt; .0001). LH and FSH were highly correlated with one another, but neither correlated with testosterone. This study demonstrated a longitudinal decline in testosterone and an increase in LH and FSH in older men. The average rate of decrement in testosterone concentration was 110 ng/dL every decade.","DOI":"10.1016/S0026-0495(97)90057-3","ISSN":"0026-0495","journalAbbreviation":"Metabolism","author":[{"family":"Morley","given":"John E."},{"family":"Kaiser","given":"Fran E."},{"family":"Perry","given":"Horace M."},{"family":"Patrick","given":"Ping"},{"family":"Morley","given":"Patricia M. K."},{"family":"Stauber","given":"Patricia M."},{"family":"Vellas","given":"Bruno"},{"family":"Baumgartner","given":"Richard N."},{"family":"Garry","given":"Phillip J."}],"issued":{"date-parts":[["1997",4,1]]}}}],"schema":"https://github.com/citation-style-language/schema/raw/master/csl-citation.json"} </w:instrText>
      </w:r>
      <w:r w:rsidR="00CA6630">
        <w:rPr>
          <w:rFonts w:ascii="Calibri" w:hAnsi="Calibri"/>
        </w:rPr>
        <w:fldChar w:fldCharType="separate"/>
      </w:r>
      <w:r w:rsidR="00804887" w:rsidRPr="00804887">
        <w:rPr>
          <w:rFonts w:ascii="Calibri" w:hAnsi="Calibri" w:cs="Calibri"/>
        </w:rPr>
        <w:t>(35)</w:t>
      </w:r>
      <w:r w:rsidR="00CA6630">
        <w:rPr>
          <w:rFonts w:ascii="Calibri" w:hAnsi="Calibri"/>
        </w:rPr>
        <w:fldChar w:fldCharType="end"/>
      </w:r>
      <w:r w:rsidR="00A85822">
        <w:rPr>
          <w:rFonts w:ascii="Calibri" w:hAnsi="Calibri"/>
        </w:rPr>
        <w:t xml:space="preserve"> and </w:t>
      </w:r>
      <w:r w:rsidR="00C92BEF">
        <w:rPr>
          <w:rFonts w:ascii="Calibri" w:hAnsi="Calibri"/>
        </w:rPr>
        <w:t xml:space="preserve">a decline in testosterone level is associated with poorer health outcomes which are likely to be associated with a lower life satisfaction </w:t>
      </w:r>
      <w:r w:rsidR="00317CA6">
        <w:rPr>
          <w:rFonts w:ascii="Calibri" w:hAnsi="Calibri"/>
        </w:rPr>
        <w:fldChar w:fldCharType="begin"/>
      </w:r>
      <w:r w:rsidR="00804887">
        <w:rPr>
          <w:rFonts w:ascii="Calibri" w:hAnsi="Calibri"/>
        </w:rPr>
        <w:instrText xml:space="preserve"> ADDIN ZOTERO_ITEM CSL_CITATION {"citationID":"GoLquxsU","properties":{"formattedCitation":"(36)","plainCitation":"(36)","noteIndex":0},"citationItems":[{"id":4747,"uris":["http://zotero.org/users/446899/items/9KE7A65F"],"uri":["http://zotero.org/users/446899/items/9KE7A65F"],"itemData":{"id":4747,"type":"article-journal","title":"Low Serum Testosterone and Mortality in Older Men","container-title":"The Journal of Clinical Endocrinology &amp; Metabolism","page":"68-75","volume":"93","issue":"1","source":"academic.oup.com","abstract":"Abstract.  Context: Declining testosterone levels in elderly men are thought to underlie many of the symptoms and diseases of aging; however, studies demonstrat","DOI":"10.1210/jc.2007-1792","ISSN":"0021-972X","journalAbbreviation":"J Clin Endocrinol Metab","language":"en","author":[{"family":"Laughlin","given":"Gail A."},{"family":"Barrett-Connor","given":"Elizabeth"},{"family":"Bergstrom","given":"Jaclyn"}],"issued":{"date-parts":[["2008",1,1]]}}}],"schema":"https://github.com/citation-style-language/schema/raw/master/csl-citation.json"} </w:instrText>
      </w:r>
      <w:r w:rsidR="00317CA6">
        <w:rPr>
          <w:rFonts w:ascii="Calibri" w:hAnsi="Calibri"/>
        </w:rPr>
        <w:fldChar w:fldCharType="separate"/>
      </w:r>
      <w:r w:rsidR="00804887" w:rsidRPr="00804887">
        <w:rPr>
          <w:rFonts w:ascii="Calibri" w:hAnsi="Calibri" w:cs="Calibri"/>
        </w:rPr>
        <w:t>(36)</w:t>
      </w:r>
      <w:r w:rsidR="00317CA6">
        <w:rPr>
          <w:rFonts w:ascii="Calibri" w:hAnsi="Calibri"/>
        </w:rPr>
        <w:fldChar w:fldCharType="end"/>
      </w:r>
      <w:r w:rsidR="00317CA6">
        <w:rPr>
          <w:rFonts w:ascii="Calibri" w:hAnsi="Calibri"/>
        </w:rPr>
        <w:t xml:space="preserve">. </w:t>
      </w:r>
      <w:r w:rsidR="00806F09">
        <w:rPr>
          <w:rFonts w:ascii="Calibri" w:hAnsi="Calibri"/>
        </w:rPr>
        <w:t xml:space="preserve">The finding that sexual activity </w:t>
      </w:r>
      <w:r w:rsidR="00806F09" w:rsidRPr="002859FE">
        <w:rPr>
          <w:rFonts w:ascii="Calibri" w:hAnsi="Calibri"/>
          <w:i/>
        </w:rPr>
        <w:t>per se</w:t>
      </w:r>
      <w:r w:rsidR="00806F09">
        <w:rPr>
          <w:rFonts w:ascii="Calibri" w:hAnsi="Calibri"/>
        </w:rPr>
        <w:t xml:space="preserve"> </w:t>
      </w:r>
      <w:r w:rsidR="0038135F">
        <w:rPr>
          <w:rFonts w:ascii="Calibri" w:hAnsi="Calibri"/>
        </w:rPr>
        <w:t>was</w:t>
      </w:r>
      <w:r w:rsidR="00806F09">
        <w:rPr>
          <w:rFonts w:ascii="Calibri" w:hAnsi="Calibri"/>
        </w:rPr>
        <w:t xml:space="preserve"> associated with greater life satisfaction in women but not men may be a result</w:t>
      </w:r>
      <w:r w:rsidR="00AC0E0C">
        <w:rPr>
          <w:rFonts w:ascii="Calibri" w:hAnsi="Calibri"/>
        </w:rPr>
        <w:t xml:space="preserve"> of different emotional</w:t>
      </w:r>
      <w:r w:rsidR="00806F09">
        <w:rPr>
          <w:rFonts w:ascii="Calibri" w:hAnsi="Calibri"/>
        </w:rPr>
        <w:t xml:space="preserve"> responses to sexual intercourse between the sexes</w:t>
      </w:r>
      <w:r w:rsidR="00317CA6">
        <w:rPr>
          <w:rFonts w:ascii="Calibri" w:hAnsi="Calibri"/>
        </w:rPr>
        <w:t xml:space="preserve"> </w:t>
      </w:r>
      <w:r w:rsidR="00317CA6">
        <w:rPr>
          <w:rFonts w:ascii="Calibri" w:hAnsi="Calibri"/>
        </w:rPr>
        <w:fldChar w:fldCharType="begin"/>
      </w:r>
      <w:r w:rsidR="00804887">
        <w:rPr>
          <w:rFonts w:ascii="Calibri" w:hAnsi="Calibri"/>
        </w:rPr>
        <w:instrText xml:space="preserve"> ADDIN ZOTERO_ITEM CSL_CITATION {"citationID":"6Oyj1Ury","properties":{"formattedCitation":"(37)","plainCitation":"(37)","noteIndex":0},"citationItems":[{"id":4750,"uris":["http://zotero.org/users/446899/items/KZVASLDV"],"uri":["http://zotero.org/users/446899/items/KZVASLDV"],"itemData":{"id":4750,"type":"article-journal","title":"Emotions During Sexual Activity: Differences Between Sexually Functional and Dysfunctional Men and Women","container-title":"Archives of Sexual Behavior","page":"491-499","volume":"35","issue":"4","source":"Springer Link","abstract":"The present study investigated the differences in emotional response to automatic thoughts presented during sexual activity between sexually functional and dysfunctional men and women. A total of 376 participants (160 women and 120 men without sexual problems and 47 women and 49 men with a DSM-IV-TR diagnosis of sexual dysfunction) completed the Sexual Modes Questionnaire (SMQ male and female versions; P. J. Nobre &amp; J. Pinto-Gouveia, 2000) and measures of sexual functioning: The International Index of Sexual Function (IIEF; R. C. Rosen et al., 1997), and The Female Sexual Function Index (FSFI; R. C. Rosen et al., 2000). The SMQ is a combined measure constituted by three interdependent subscales: Automatic Thought subscale (AT), Emotional Response subscale (ER), and Sexual Response subscale (SR). Emotions were assessed by the ER subscale, where participants endorsed emotional reactions (worry, sadness, disillusion, fear, guilt, shame, anger, hurt, pleasure, satisfaction) to a list of automatic thoughts (AT subscale) that may occur during sexual activity. Results showed that both men and women with sexual dysfunction had significantly less positive emotional reactions to automatic thoughts during sexual activity. Sexually dysfunctional men had significantly more emotions of sadness, disillusion, and fear, and less pleasure and satisfaction, compared to men without sexual problems. Women with sexual dysfunction had significantly less pleasure and satisfaction, and more sadness, disillusion, guilt, and anger. Findings were congruent with recent studies indicating that emotions related to depressed affect (sadness, disillusion, lack of pleasure) as opposed to negative emotions (mostly related to anxiety) were stronger correlates of sexual dysfunction.","DOI":"10.1007/s10508-006-9047-1","ISSN":"1573-2800","shortTitle":"Emotions During Sexual Activity","journalAbbreviation":"Arch Sex Behav","language":"en","author":[{"family":"Nobre","given":"Pedro J."},{"family":"Pinto-Gouveia","given":"José"}],"issued":{"date-parts":[["2006",8,1]]}}}],"schema":"https://github.com/citation-style-language/schema/raw/master/csl-citation.json"} </w:instrText>
      </w:r>
      <w:r w:rsidR="00317CA6">
        <w:rPr>
          <w:rFonts w:ascii="Calibri" w:hAnsi="Calibri"/>
        </w:rPr>
        <w:fldChar w:fldCharType="separate"/>
      </w:r>
      <w:r w:rsidR="00804887" w:rsidRPr="00804887">
        <w:rPr>
          <w:rFonts w:ascii="Calibri" w:hAnsi="Calibri" w:cs="Calibri"/>
        </w:rPr>
        <w:t>(37)</w:t>
      </w:r>
      <w:r w:rsidR="00317CA6">
        <w:rPr>
          <w:rFonts w:ascii="Calibri" w:hAnsi="Calibri"/>
        </w:rPr>
        <w:fldChar w:fldCharType="end"/>
      </w:r>
      <w:r w:rsidR="00806F09">
        <w:rPr>
          <w:rFonts w:ascii="Calibri" w:hAnsi="Calibri"/>
        </w:rPr>
        <w:t xml:space="preserve">. Further research </w:t>
      </w:r>
      <w:r w:rsidR="00151401">
        <w:rPr>
          <w:rFonts w:ascii="Calibri" w:hAnsi="Calibri"/>
        </w:rPr>
        <w:t>examin</w:t>
      </w:r>
      <w:r w:rsidR="00275A4D">
        <w:rPr>
          <w:rFonts w:ascii="Calibri" w:hAnsi="Calibri"/>
        </w:rPr>
        <w:t>ing</w:t>
      </w:r>
      <w:r w:rsidR="00151401">
        <w:rPr>
          <w:rFonts w:ascii="Calibri" w:hAnsi="Calibri"/>
        </w:rPr>
        <w:t xml:space="preserve"> the biomarkers of hormonal factors mediating the relationship between sexuality and wellbeing is required to elucidate the underlying mechanisms.</w:t>
      </w:r>
    </w:p>
    <w:p w14:paraId="5BD5A36C" w14:textId="1EF00322" w:rsidR="00806F09" w:rsidRDefault="00806F09" w:rsidP="0091064B">
      <w:pPr>
        <w:spacing w:afterLines="120" w:after="288"/>
        <w:rPr>
          <w:rFonts w:ascii="Calibri" w:hAnsi="Calibri"/>
        </w:rPr>
      </w:pPr>
      <w:r>
        <w:rPr>
          <w:rFonts w:ascii="Calibri" w:hAnsi="Calibri"/>
        </w:rPr>
        <w:t xml:space="preserve">In </w:t>
      </w:r>
      <w:r w:rsidR="0038135F">
        <w:rPr>
          <w:rFonts w:ascii="Calibri" w:hAnsi="Calibri"/>
        </w:rPr>
        <w:t xml:space="preserve">both </w:t>
      </w:r>
      <w:r>
        <w:rPr>
          <w:rFonts w:ascii="Calibri" w:hAnsi="Calibri"/>
        </w:rPr>
        <w:t>men and women</w:t>
      </w:r>
      <w:r w:rsidR="0038135F">
        <w:rPr>
          <w:rFonts w:ascii="Calibri" w:hAnsi="Calibri"/>
        </w:rPr>
        <w:t>,</w:t>
      </w:r>
      <w:r>
        <w:rPr>
          <w:rFonts w:ascii="Calibri" w:hAnsi="Calibri"/>
        </w:rPr>
        <w:t xml:space="preserve"> </w:t>
      </w:r>
      <w:r w:rsidR="00173124">
        <w:rPr>
          <w:rFonts w:ascii="Calibri" w:hAnsi="Calibri"/>
        </w:rPr>
        <w:t>a decline in sexual function was</w:t>
      </w:r>
      <w:r>
        <w:rPr>
          <w:rFonts w:ascii="Calibri" w:hAnsi="Calibri"/>
        </w:rPr>
        <w:t xml:space="preserve"> </w:t>
      </w:r>
      <w:r w:rsidR="00C36948">
        <w:rPr>
          <w:rFonts w:ascii="Calibri" w:hAnsi="Calibri"/>
        </w:rPr>
        <w:t xml:space="preserve">adversely </w:t>
      </w:r>
      <w:r>
        <w:rPr>
          <w:rFonts w:ascii="Calibri" w:hAnsi="Calibri"/>
        </w:rPr>
        <w:t xml:space="preserve">associated with all </w:t>
      </w:r>
      <w:r w:rsidR="00D46E2B">
        <w:rPr>
          <w:rFonts w:ascii="Calibri" w:hAnsi="Calibri"/>
        </w:rPr>
        <w:t>measures of wellbeing</w:t>
      </w:r>
      <w:r>
        <w:rPr>
          <w:rFonts w:ascii="Calibri" w:hAnsi="Calibri"/>
        </w:rPr>
        <w:t>. This is likely a result of sexual problems leading to a decline in sexual activity and thus a decline in the aforementioned benefits acquired</w:t>
      </w:r>
      <w:r w:rsidR="002D6473">
        <w:rPr>
          <w:rFonts w:ascii="Calibri" w:hAnsi="Calibri"/>
        </w:rPr>
        <w:t xml:space="preserve"> via sexual activity</w:t>
      </w:r>
      <w:r>
        <w:rPr>
          <w:rFonts w:ascii="Calibri" w:hAnsi="Calibri"/>
        </w:rPr>
        <w:t xml:space="preserve">. Moreover, sexual problems such as erectile dysfunction and the ability to become aroused may result in relationship </w:t>
      </w:r>
      <w:r w:rsidR="00ED0862">
        <w:rPr>
          <w:rFonts w:ascii="Calibri" w:hAnsi="Calibri"/>
        </w:rPr>
        <w:t>problems that may</w:t>
      </w:r>
      <w:r w:rsidR="00AE64F6">
        <w:rPr>
          <w:rFonts w:ascii="Calibri" w:hAnsi="Calibri"/>
        </w:rPr>
        <w:t xml:space="preserve"> exacerbate poor mental health.</w:t>
      </w:r>
    </w:p>
    <w:p w14:paraId="2488258C" w14:textId="56FAF2BC" w:rsidR="00D1207C" w:rsidRDefault="00AE64F6" w:rsidP="0091064B">
      <w:pPr>
        <w:spacing w:afterLines="120" w:after="288"/>
        <w:rPr>
          <w:rFonts w:ascii="Calibri" w:hAnsi="Calibri"/>
        </w:rPr>
      </w:pPr>
      <w:r>
        <w:rPr>
          <w:rFonts w:ascii="Calibri" w:hAnsi="Calibri"/>
        </w:rPr>
        <w:t xml:space="preserve">There was little difference in associations between declines in sexuality and wellbeing by age, indicating that </w:t>
      </w:r>
      <w:r w:rsidR="00D1207C">
        <w:rPr>
          <w:rFonts w:ascii="Calibri" w:hAnsi="Calibri"/>
        </w:rPr>
        <w:t xml:space="preserve">maintaining sexual activity and function remains important throughout later life. The main exception was the association between decline in frequency of sexual activities and life </w:t>
      </w:r>
      <w:r w:rsidR="00D1207C">
        <w:rPr>
          <w:rFonts w:ascii="Calibri" w:hAnsi="Calibri"/>
        </w:rPr>
        <w:lastRenderedPageBreak/>
        <w:t xml:space="preserve">satisfaction, which was only significant in men in their 60s. There is no obvious explanation for this; it could be a spurious finding or there may be an underlying reason that could be </w:t>
      </w:r>
      <w:r w:rsidR="00FE5EAC">
        <w:rPr>
          <w:rFonts w:ascii="Calibri" w:hAnsi="Calibri"/>
        </w:rPr>
        <w:t>clarified</w:t>
      </w:r>
      <w:r w:rsidR="00D1207C">
        <w:rPr>
          <w:rFonts w:ascii="Calibri" w:hAnsi="Calibri"/>
        </w:rPr>
        <w:t xml:space="preserve"> </w:t>
      </w:r>
      <w:r w:rsidR="00FE5EAC">
        <w:rPr>
          <w:rFonts w:ascii="Calibri" w:hAnsi="Calibri"/>
        </w:rPr>
        <w:t>through</w:t>
      </w:r>
      <w:r w:rsidR="00D1207C">
        <w:rPr>
          <w:rFonts w:ascii="Calibri" w:hAnsi="Calibri"/>
        </w:rPr>
        <w:t xml:space="preserve"> further research. There was also a significant interaction between age and decline in the ability to have an erection in relation to depressive symptoms. Although this association was significant in all age groups, the difference was more pronounced among younger than older men, indicating that the importance of preserving erectile function may decline slightly as men get older.</w:t>
      </w:r>
    </w:p>
    <w:p w14:paraId="3E6F0884" w14:textId="24D3E877" w:rsidR="00667837" w:rsidRPr="0005634E" w:rsidRDefault="00667837" w:rsidP="0091064B">
      <w:pPr>
        <w:spacing w:afterLines="120" w:after="288"/>
        <w:rPr>
          <w:rFonts w:ascii="Calibri" w:hAnsi="Calibri"/>
          <w:color w:val="FF0000"/>
        </w:rPr>
      </w:pPr>
      <w:bookmarkStart w:id="6" w:name="_Hlk528651628"/>
      <w:r w:rsidRPr="0005634E">
        <w:rPr>
          <w:rFonts w:ascii="Calibri" w:hAnsi="Calibri"/>
          <w:color w:val="FF0000"/>
        </w:rPr>
        <w:t xml:space="preserve">While absolute differences in mean scores on measures of </w:t>
      </w:r>
      <w:r w:rsidR="00E93FCC" w:rsidRPr="0005634E">
        <w:rPr>
          <w:rFonts w:ascii="Calibri" w:hAnsi="Calibri"/>
          <w:color w:val="FF0000"/>
        </w:rPr>
        <w:t>depressive symptoms, quality of life and life satisfaction</w:t>
      </w:r>
      <w:r w:rsidRPr="0005634E">
        <w:rPr>
          <w:rFonts w:ascii="Calibri" w:hAnsi="Calibri"/>
          <w:color w:val="FF0000"/>
        </w:rPr>
        <w:t xml:space="preserve"> between participants who did and did not experience a decline in sexuality were small, this is not surprising given the relatively short time period under assessment (one year). It is </w:t>
      </w:r>
      <w:r w:rsidR="00E93FCC" w:rsidRPr="0005634E">
        <w:rPr>
          <w:rFonts w:ascii="Calibri" w:hAnsi="Calibri"/>
          <w:color w:val="FF0000"/>
        </w:rPr>
        <w:t>plausible</w:t>
      </w:r>
      <w:r w:rsidRPr="0005634E">
        <w:rPr>
          <w:rFonts w:ascii="Calibri" w:hAnsi="Calibri"/>
          <w:color w:val="FF0000"/>
        </w:rPr>
        <w:t xml:space="preserve"> that declining sexual </w:t>
      </w:r>
      <w:r w:rsidR="00E93FCC" w:rsidRPr="0005634E">
        <w:rPr>
          <w:rFonts w:ascii="Calibri" w:hAnsi="Calibri"/>
          <w:color w:val="FF0000"/>
        </w:rPr>
        <w:t xml:space="preserve">desire, activity and/or function would continue to </w:t>
      </w:r>
      <w:r w:rsidR="0005634E">
        <w:rPr>
          <w:rFonts w:ascii="Calibri" w:hAnsi="Calibri"/>
          <w:color w:val="FF0000"/>
        </w:rPr>
        <w:t>have an adverse</w:t>
      </w:r>
      <w:r w:rsidR="00E93FCC" w:rsidRPr="0005634E">
        <w:rPr>
          <w:rFonts w:ascii="Calibri" w:hAnsi="Calibri"/>
          <w:color w:val="FF0000"/>
        </w:rPr>
        <w:t xml:space="preserve"> impact upon wellbeing over time and that greater differences on these measures would be apparent over a longer follow-up. Further research is required to establish the extent to which a decline in sexuality continues to affect wellbeing over the long term.</w:t>
      </w:r>
    </w:p>
    <w:bookmarkEnd w:id="6"/>
    <w:p w14:paraId="17CC5594" w14:textId="02E2902A" w:rsidR="00ED0862" w:rsidRPr="00C21BAC" w:rsidRDefault="00ED0862" w:rsidP="00ED0862">
      <w:pPr>
        <w:rPr>
          <w:rFonts w:ascii="Calibri" w:hAnsi="Calibri"/>
          <w:color w:val="FF0000"/>
          <w:szCs w:val="24"/>
        </w:rPr>
      </w:pPr>
      <w:r>
        <w:rPr>
          <w:rFonts w:ascii="Calibri" w:hAnsi="Calibri"/>
        </w:rPr>
        <w:t xml:space="preserve">The present study is the first to investigate associations between declines in sexuality and multiple </w:t>
      </w:r>
      <w:r w:rsidR="00151401">
        <w:rPr>
          <w:rFonts w:ascii="Calibri" w:hAnsi="Calibri"/>
        </w:rPr>
        <w:t>aspects of wellbeing</w:t>
      </w:r>
      <w:r w:rsidR="00421E2A">
        <w:rPr>
          <w:rFonts w:ascii="Calibri" w:hAnsi="Calibri"/>
        </w:rPr>
        <w:t xml:space="preserve"> in older adults.</w:t>
      </w:r>
      <w:r>
        <w:rPr>
          <w:rFonts w:ascii="Calibri" w:hAnsi="Calibri"/>
        </w:rPr>
        <w:t xml:space="preserve"> </w:t>
      </w:r>
      <w:r w:rsidR="006579E8">
        <w:rPr>
          <w:rFonts w:ascii="Calibri" w:hAnsi="Calibri"/>
        </w:rPr>
        <w:t xml:space="preserve">Strengths include the large sample representative of the over-50s population in England and adjustment for a range of socio-demographic and health-related confounders. </w:t>
      </w:r>
      <w:r>
        <w:rPr>
          <w:rFonts w:ascii="Calibri" w:hAnsi="Calibri"/>
        </w:rPr>
        <w:t xml:space="preserve">However, </w:t>
      </w:r>
      <w:r w:rsidR="00930708">
        <w:rPr>
          <w:rFonts w:ascii="Calibri" w:hAnsi="Calibri"/>
        </w:rPr>
        <w:t>there were also several</w:t>
      </w:r>
      <w:r w:rsidR="006579E8">
        <w:rPr>
          <w:rFonts w:ascii="Calibri" w:hAnsi="Calibri"/>
        </w:rPr>
        <w:t xml:space="preserve"> </w:t>
      </w:r>
      <w:r>
        <w:rPr>
          <w:rFonts w:ascii="Calibri" w:hAnsi="Calibri"/>
        </w:rPr>
        <w:t>limitations.</w:t>
      </w:r>
      <w:r w:rsidR="00DE53FE">
        <w:rPr>
          <w:rFonts w:ascii="Calibri" w:hAnsi="Calibri"/>
        </w:rPr>
        <w:t xml:space="preserve"> The cross-sectional design precludes </w:t>
      </w:r>
      <w:r w:rsidR="00151401">
        <w:rPr>
          <w:rFonts w:ascii="Calibri" w:hAnsi="Calibri"/>
        </w:rPr>
        <w:t xml:space="preserve">any </w:t>
      </w:r>
      <w:r w:rsidR="00DE53FE">
        <w:rPr>
          <w:rFonts w:ascii="Calibri" w:hAnsi="Calibri"/>
        </w:rPr>
        <w:t>conclusions being drawn regarding the direction of causation</w:t>
      </w:r>
      <w:r w:rsidR="00001E5B">
        <w:rPr>
          <w:rFonts w:ascii="Calibri" w:hAnsi="Calibri"/>
        </w:rPr>
        <w:t>,</w:t>
      </w:r>
      <w:r w:rsidR="00151401">
        <w:rPr>
          <w:rFonts w:ascii="Calibri" w:hAnsi="Calibri"/>
        </w:rPr>
        <w:t xml:space="preserve"> as it is also likely that depressive symptoms and poor quality of life would impede upon sexual desire and function</w:t>
      </w:r>
      <w:r w:rsidR="00DE53FE">
        <w:rPr>
          <w:rFonts w:ascii="Calibri" w:hAnsi="Calibri"/>
        </w:rPr>
        <w:t xml:space="preserve">. </w:t>
      </w:r>
      <w:r w:rsidR="00450880">
        <w:rPr>
          <w:rFonts w:ascii="Calibri" w:hAnsi="Calibri"/>
        </w:rPr>
        <w:t xml:space="preserve">Indeed, decreased libido is a common symptom of depression </w:t>
      </w:r>
      <w:r w:rsidR="00301874">
        <w:rPr>
          <w:rFonts w:ascii="Calibri" w:hAnsi="Calibri"/>
        </w:rPr>
        <w:fldChar w:fldCharType="begin"/>
      </w:r>
      <w:r w:rsidR="00804887">
        <w:rPr>
          <w:rFonts w:ascii="Calibri" w:hAnsi="Calibri"/>
        </w:rPr>
        <w:instrText xml:space="preserve"> ADDIN ZOTERO_ITEM CSL_CITATION {"citationID":"5IpadRpL","properties":{"formattedCitation":"(38)","plainCitation":"(38)","noteIndex":0},"citationItems":[{"id":4751,"uris":["http://zotero.org/users/446899/items/4CFGVQTY"],"uri":["http://zotero.org/users/446899/items/4CFGVQTY"],"itemData":{"id":4751,"type":"article-journal","title":"Depression and sexual desire.","container-title":"American family physician","page":"782-786","volume":"62","issue":"4","source":"europepmc.org","abstract":"Abstract: Decreased libido disproportionately affects patients with depression. The relationship between depression and decreased libido may be blurred,...","ISSN":"0002-838X","note":"PMID: 10969857","journalAbbreviation":"Am Fam Physician","language":"eng","author":[{"family":"Phillips","given":"Jr RL"},{"family":"Slaughter","given":"J. R."}],"issued":{"date-parts":[["2000",8]]}}}],"schema":"https://github.com/citation-style-language/schema/raw/master/csl-citation.json"} </w:instrText>
      </w:r>
      <w:r w:rsidR="00301874">
        <w:rPr>
          <w:rFonts w:ascii="Calibri" w:hAnsi="Calibri"/>
        </w:rPr>
        <w:fldChar w:fldCharType="separate"/>
      </w:r>
      <w:r w:rsidR="00804887" w:rsidRPr="00804887">
        <w:rPr>
          <w:rFonts w:ascii="Calibri" w:hAnsi="Calibri" w:cs="Calibri"/>
        </w:rPr>
        <w:t>(38)</w:t>
      </w:r>
      <w:r w:rsidR="00301874">
        <w:rPr>
          <w:rFonts w:ascii="Calibri" w:hAnsi="Calibri"/>
        </w:rPr>
        <w:fldChar w:fldCharType="end"/>
      </w:r>
      <w:r w:rsidR="00450880">
        <w:rPr>
          <w:rFonts w:ascii="Calibri" w:hAnsi="Calibri"/>
        </w:rPr>
        <w:t xml:space="preserve">. </w:t>
      </w:r>
      <w:r w:rsidR="00B95172">
        <w:rPr>
          <w:rFonts w:ascii="Calibri" w:hAnsi="Calibri"/>
        </w:rPr>
        <w:t xml:space="preserve">We did not adjust for use of anti-depressants, which can affect both sexual desire and our outcomes of interest. </w:t>
      </w:r>
      <w:r>
        <w:rPr>
          <w:rFonts w:ascii="Calibri" w:hAnsi="Calibri"/>
        </w:rPr>
        <w:t>All measures were self-reported which may have introduce</w:t>
      </w:r>
      <w:r w:rsidR="00AC0E0C">
        <w:rPr>
          <w:rFonts w:ascii="Calibri" w:hAnsi="Calibri"/>
        </w:rPr>
        <w:t>d</w:t>
      </w:r>
      <w:r>
        <w:rPr>
          <w:rFonts w:ascii="Calibri" w:hAnsi="Calibri"/>
        </w:rPr>
        <w:t xml:space="preserve"> reporting bias. </w:t>
      </w:r>
      <w:r w:rsidRPr="00ED0862">
        <w:rPr>
          <w:rFonts w:ascii="Calibri" w:hAnsi="Calibri"/>
          <w:szCs w:val="24"/>
        </w:rPr>
        <w:t>However, it was made clear to participants that survey responses would remain anonymous and they were returned in a sealed envelope. Moreover, there is currently little other option to measure the variables investigated in the present study other than by self-report.</w:t>
      </w:r>
      <w:r w:rsidR="00C21BAC">
        <w:rPr>
          <w:rFonts w:ascii="Calibri" w:hAnsi="Calibri"/>
          <w:szCs w:val="24"/>
        </w:rPr>
        <w:t xml:space="preserve"> </w:t>
      </w:r>
      <w:bookmarkStart w:id="7" w:name="_Hlk528609756"/>
      <w:r w:rsidR="008B43A5" w:rsidRPr="00883692">
        <w:rPr>
          <w:rFonts w:ascii="Calibri" w:hAnsi="Calibri"/>
          <w:color w:val="FF0000"/>
          <w:szCs w:val="24"/>
        </w:rPr>
        <w:t>Complete data were not available for all men and women who took part in Wave 6 of ELSA, and our analysed sample was slightly older and wealthier than those who were excluded, and a higher proportion were white</w:t>
      </w:r>
      <w:r w:rsidR="00883692">
        <w:rPr>
          <w:rFonts w:ascii="Calibri" w:hAnsi="Calibri"/>
          <w:color w:val="FF0000"/>
          <w:szCs w:val="24"/>
        </w:rPr>
        <w:t xml:space="preserve"> (data not shown)</w:t>
      </w:r>
      <w:r w:rsidR="008B43A5" w:rsidRPr="00883692">
        <w:rPr>
          <w:rFonts w:ascii="Calibri" w:hAnsi="Calibri"/>
          <w:color w:val="FF0000"/>
          <w:szCs w:val="24"/>
        </w:rPr>
        <w:t>. Results may therefore not be fully generalisable to the older English population.</w:t>
      </w:r>
      <w:bookmarkEnd w:id="7"/>
    </w:p>
    <w:p w14:paraId="376BC20F" w14:textId="26F3D4BB" w:rsidR="00ED0862" w:rsidRDefault="00ED0862" w:rsidP="00484E90">
      <w:pPr>
        <w:rPr>
          <w:rFonts w:ascii="Calibri" w:hAnsi="Calibri"/>
        </w:rPr>
      </w:pPr>
      <w:r>
        <w:rPr>
          <w:rFonts w:ascii="Calibri" w:hAnsi="Calibri"/>
        </w:rPr>
        <w:t xml:space="preserve">In conclusion, </w:t>
      </w:r>
      <w:r w:rsidR="001545E3">
        <w:rPr>
          <w:rFonts w:ascii="Calibri" w:hAnsi="Calibri"/>
        </w:rPr>
        <w:t>these results demonstrate</w:t>
      </w:r>
      <w:r>
        <w:rPr>
          <w:rFonts w:ascii="Calibri" w:hAnsi="Calibri"/>
        </w:rPr>
        <w:t xml:space="preserve"> that a decline in sexuality in older adults is associated with poorer </w:t>
      </w:r>
      <w:r w:rsidR="00001E5B">
        <w:rPr>
          <w:rFonts w:ascii="Calibri" w:hAnsi="Calibri"/>
        </w:rPr>
        <w:t>well</w:t>
      </w:r>
      <w:r w:rsidR="00151401">
        <w:rPr>
          <w:rFonts w:ascii="Calibri" w:hAnsi="Calibri"/>
        </w:rPr>
        <w:t>being</w:t>
      </w:r>
      <w:r>
        <w:rPr>
          <w:rFonts w:ascii="Calibri" w:hAnsi="Calibri"/>
        </w:rPr>
        <w:t xml:space="preserve">. </w:t>
      </w:r>
      <w:r w:rsidR="00276B90">
        <w:rPr>
          <w:rFonts w:ascii="Calibri" w:hAnsi="Calibri"/>
        </w:rPr>
        <w:t>Future research is required to confirm/refute our findings and explore whether asking about a</w:t>
      </w:r>
      <w:r w:rsidR="00001E5B">
        <w:rPr>
          <w:rFonts w:ascii="Calibri" w:hAnsi="Calibri"/>
        </w:rPr>
        <w:t>n</w:t>
      </w:r>
      <w:r w:rsidR="00276B90">
        <w:rPr>
          <w:rFonts w:ascii="Calibri" w:hAnsi="Calibri"/>
        </w:rPr>
        <w:t xml:space="preserve">d supporting older adults with their sexual activity and relationships can improve their wellbeing.  </w:t>
      </w:r>
    </w:p>
    <w:p w14:paraId="346AB18F" w14:textId="5DB502BC" w:rsidR="00806F09" w:rsidRPr="00840289" w:rsidRDefault="00840289" w:rsidP="0091064B">
      <w:pPr>
        <w:spacing w:afterLines="120" w:after="288"/>
        <w:rPr>
          <w:color w:val="FF0000"/>
        </w:rPr>
      </w:pPr>
      <w:r w:rsidRPr="00840289">
        <w:rPr>
          <w:b/>
          <w:color w:val="FF0000"/>
        </w:rPr>
        <w:lastRenderedPageBreak/>
        <w:t xml:space="preserve">Acknowledgements: </w:t>
      </w:r>
      <w:r w:rsidRPr="00840289">
        <w:rPr>
          <w:color w:val="FF0000"/>
        </w:rPr>
        <w:t>None.</w:t>
      </w:r>
    </w:p>
    <w:p w14:paraId="6370EC32" w14:textId="77777777" w:rsidR="003D2335" w:rsidRDefault="003D2335" w:rsidP="0091064B">
      <w:pPr>
        <w:spacing w:afterLines="120" w:after="288"/>
      </w:pPr>
    </w:p>
    <w:p w14:paraId="12F4FD40" w14:textId="77777777" w:rsidR="003217CD" w:rsidRPr="00C274B8" w:rsidRDefault="003217CD" w:rsidP="0091064B">
      <w:pPr>
        <w:spacing w:afterLines="120" w:after="288"/>
        <w:rPr>
          <w:rFonts w:ascii="Calibri" w:hAnsi="Calibri"/>
        </w:rPr>
      </w:pPr>
    </w:p>
    <w:p w14:paraId="5C48AF01" w14:textId="77777777" w:rsidR="004E0147" w:rsidRPr="00C274B8" w:rsidRDefault="004E0147" w:rsidP="0091064B">
      <w:pPr>
        <w:spacing w:afterLines="120" w:after="288"/>
        <w:rPr>
          <w:rFonts w:ascii="Calibri" w:hAnsi="Calibri"/>
          <w:b/>
        </w:rPr>
      </w:pPr>
      <w:r w:rsidRPr="00C274B8">
        <w:rPr>
          <w:rFonts w:ascii="Calibri" w:hAnsi="Calibri"/>
        </w:rPr>
        <w:br w:type="page"/>
      </w:r>
    </w:p>
    <w:p w14:paraId="6B6E9765" w14:textId="77777777" w:rsidR="00E10802" w:rsidRDefault="00E10802" w:rsidP="0084428A">
      <w:pPr>
        <w:pStyle w:val="Heading1"/>
        <w:tabs>
          <w:tab w:val="left" w:pos="142"/>
        </w:tabs>
      </w:pPr>
      <w:r>
        <w:lastRenderedPageBreak/>
        <w:t>References</w:t>
      </w:r>
    </w:p>
    <w:p w14:paraId="59355F0E" w14:textId="77777777" w:rsidR="00804887" w:rsidRPr="00804887" w:rsidRDefault="00DE03C4" w:rsidP="00804887">
      <w:pPr>
        <w:pStyle w:val="Bibliography"/>
        <w:rPr>
          <w:rFonts w:ascii="Calibri" w:hAnsi="Calibri" w:cs="Calibri"/>
        </w:rPr>
      </w:pPr>
      <w:r>
        <w:fldChar w:fldCharType="begin"/>
      </w:r>
      <w:r>
        <w:instrText xml:space="preserve"> ADDIN ZOTERO_BIBL {"uncited":[],"omitted":[],"custom":[]} CSL_BIBLIOGRAPHY </w:instrText>
      </w:r>
      <w:r>
        <w:fldChar w:fldCharType="separate"/>
      </w:r>
      <w:r w:rsidR="00804887" w:rsidRPr="00804887">
        <w:rPr>
          <w:rFonts w:ascii="Calibri" w:hAnsi="Calibri" w:cs="Calibri"/>
        </w:rPr>
        <w:t xml:space="preserve">1. </w:t>
      </w:r>
      <w:r w:rsidR="00804887" w:rsidRPr="00804887">
        <w:rPr>
          <w:rFonts w:ascii="Calibri" w:hAnsi="Calibri" w:cs="Calibri"/>
        </w:rPr>
        <w:tab/>
        <w:t>World Health Organization. Defining sexual health [Internet]. [cited 2018 Aug 24]. Available from: http://www.who.int/reproductivehealth/topics/sexual_health/sh_definitions/en/</w:t>
      </w:r>
    </w:p>
    <w:p w14:paraId="6F8C7A0B" w14:textId="77777777" w:rsidR="00804887" w:rsidRPr="00804887" w:rsidRDefault="00804887" w:rsidP="00804887">
      <w:pPr>
        <w:pStyle w:val="Bibliography"/>
        <w:rPr>
          <w:rFonts w:ascii="Calibri" w:hAnsi="Calibri" w:cs="Calibri"/>
        </w:rPr>
      </w:pPr>
      <w:r w:rsidRPr="00804887">
        <w:rPr>
          <w:rFonts w:ascii="Calibri" w:hAnsi="Calibri" w:cs="Calibri"/>
        </w:rPr>
        <w:t xml:space="preserve">2. </w:t>
      </w:r>
      <w:r w:rsidRPr="00804887">
        <w:rPr>
          <w:rFonts w:ascii="Calibri" w:hAnsi="Calibri" w:cs="Calibri"/>
        </w:rPr>
        <w:tab/>
        <w:t xml:space="preserve">Ebrahim S, May M, Shlomo YB, McCarron P, Frankel S, Yarnell J, et al. Sexual intercourse and risk of ischaemic stroke and coronary heart disease: the Caerphilly study. J Epidemiol Community Health. 2002 Feb 1;56(2):99–102. </w:t>
      </w:r>
    </w:p>
    <w:p w14:paraId="7B32EFA7" w14:textId="77777777" w:rsidR="00804887" w:rsidRPr="00804887" w:rsidRDefault="00804887" w:rsidP="00804887">
      <w:pPr>
        <w:pStyle w:val="Bibliography"/>
        <w:rPr>
          <w:rFonts w:ascii="Calibri" w:hAnsi="Calibri" w:cs="Calibri"/>
        </w:rPr>
      </w:pPr>
      <w:r w:rsidRPr="00804887">
        <w:rPr>
          <w:rFonts w:ascii="Calibri" w:hAnsi="Calibri" w:cs="Calibri"/>
        </w:rPr>
        <w:t xml:space="preserve">3. </w:t>
      </w:r>
      <w:r w:rsidRPr="00804887">
        <w:rPr>
          <w:rFonts w:ascii="Calibri" w:hAnsi="Calibri" w:cs="Calibri"/>
        </w:rPr>
        <w:tab/>
        <w:t xml:space="preserve">Brody S, Preut R. Vaginal intercourse frequency and heart rate variability. J Sex Marital Ther. 2003 Dec;29(5):371–80. </w:t>
      </w:r>
    </w:p>
    <w:p w14:paraId="6C20DD04" w14:textId="77777777" w:rsidR="00804887" w:rsidRPr="00804887" w:rsidRDefault="00804887" w:rsidP="00804887">
      <w:pPr>
        <w:pStyle w:val="Bibliography"/>
        <w:rPr>
          <w:rFonts w:ascii="Calibri" w:hAnsi="Calibri" w:cs="Calibri"/>
        </w:rPr>
      </w:pPr>
      <w:r w:rsidRPr="00804887">
        <w:rPr>
          <w:rFonts w:ascii="Calibri" w:hAnsi="Calibri" w:cs="Calibri"/>
        </w:rPr>
        <w:t xml:space="preserve">4. </w:t>
      </w:r>
      <w:r w:rsidRPr="00804887">
        <w:rPr>
          <w:rFonts w:ascii="Calibri" w:hAnsi="Calibri" w:cs="Calibri"/>
        </w:rPr>
        <w:tab/>
        <w:t xml:space="preserve">Costa RM, Brody S. Sexual Satisfaction, Relationship Satisfaction, and Health Are Associated with Greater Frequency of Penile–Vaginal Intercourse. Arch Sex Behav. 2012 Feb 1;41(1):9–10. </w:t>
      </w:r>
    </w:p>
    <w:p w14:paraId="43CBCC54" w14:textId="77777777" w:rsidR="00804887" w:rsidRPr="00804887" w:rsidRDefault="00804887" w:rsidP="00804887">
      <w:pPr>
        <w:pStyle w:val="Bibliography"/>
        <w:rPr>
          <w:rFonts w:ascii="Calibri" w:hAnsi="Calibri" w:cs="Calibri"/>
        </w:rPr>
      </w:pPr>
      <w:r w:rsidRPr="00804887">
        <w:rPr>
          <w:rFonts w:ascii="Calibri" w:hAnsi="Calibri" w:cs="Calibri"/>
        </w:rPr>
        <w:t xml:space="preserve">5. </w:t>
      </w:r>
      <w:r w:rsidRPr="00804887">
        <w:rPr>
          <w:rFonts w:ascii="Calibri" w:hAnsi="Calibri" w:cs="Calibri"/>
        </w:rPr>
        <w:tab/>
        <w:t xml:space="preserve">Rider JR, Wilson KM, Sinnott JA, Kelly RS, Mucci LA, Giovannucci EL. Ejaculation Frequency and Risk of Prostate Cancer: Updated Results with an Additional Decade of Follow-up. Eur Urol. 2016;70(6):974–82. </w:t>
      </w:r>
    </w:p>
    <w:p w14:paraId="7C6A7F50" w14:textId="77777777" w:rsidR="00804887" w:rsidRPr="00804887" w:rsidRDefault="00804887" w:rsidP="00804887">
      <w:pPr>
        <w:pStyle w:val="Bibliography"/>
        <w:rPr>
          <w:rFonts w:ascii="Calibri" w:hAnsi="Calibri" w:cs="Calibri"/>
        </w:rPr>
      </w:pPr>
      <w:r w:rsidRPr="00804887">
        <w:rPr>
          <w:rFonts w:ascii="Calibri" w:hAnsi="Calibri" w:cs="Calibri"/>
        </w:rPr>
        <w:t xml:space="preserve">6. </w:t>
      </w:r>
      <w:r w:rsidRPr="00804887">
        <w:rPr>
          <w:rFonts w:ascii="Calibri" w:hAnsi="Calibri" w:cs="Calibri"/>
        </w:rPr>
        <w:tab/>
        <w:t xml:space="preserve">Smith GD, Frankel S, Yarnell J. Sex and death: are they related? Findings from the Caerphilly cohort study. BMJ. 1997 Dec 20;315(7123):1641–4. </w:t>
      </w:r>
    </w:p>
    <w:p w14:paraId="1CA3273C" w14:textId="77777777" w:rsidR="00804887" w:rsidRPr="00804887" w:rsidRDefault="00804887" w:rsidP="00804887">
      <w:pPr>
        <w:pStyle w:val="Bibliography"/>
        <w:rPr>
          <w:rFonts w:ascii="Calibri" w:hAnsi="Calibri" w:cs="Calibri"/>
        </w:rPr>
      </w:pPr>
      <w:r w:rsidRPr="00804887">
        <w:rPr>
          <w:rFonts w:ascii="Calibri" w:hAnsi="Calibri" w:cs="Calibri"/>
        </w:rPr>
        <w:t xml:space="preserve">7. </w:t>
      </w:r>
      <w:r w:rsidRPr="00804887">
        <w:rPr>
          <w:rFonts w:ascii="Calibri" w:hAnsi="Calibri" w:cs="Calibri"/>
        </w:rPr>
        <w:tab/>
        <w:t xml:space="preserve">Lee DM, Nazroo J, O’Connor DB, Blake M, Pendleton N. Sexual Health and Well-being Among Older Men and Women in England: Findings from the English Longitudinal Study of Ageing. Arch Sex Behav. 2015 Jan 27; </w:t>
      </w:r>
    </w:p>
    <w:p w14:paraId="3A24F659" w14:textId="77777777" w:rsidR="00804887" w:rsidRPr="00804887" w:rsidRDefault="00804887" w:rsidP="00804887">
      <w:pPr>
        <w:pStyle w:val="Bibliography"/>
        <w:rPr>
          <w:rFonts w:ascii="Calibri" w:hAnsi="Calibri" w:cs="Calibri"/>
        </w:rPr>
      </w:pPr>
      <w:r w:rsidRPr="00804887">
        <w:rPr>
          <w:rFonts w:ascii="Calibri" w:hAnsi="Calibri" w:cs="Calibri"/>
        </w:rPr>
        <w:t xml:space="preserve">8. </w:t>
      </w:r>
      <w:r w:rsidRPr="00804887">
        <w:rPr>
          <w:rFonts w:ascii="Calibri" w:hAnsi="Calibri" w:cs="Calibri"/>
        </w:rPr>
        <w:tab/>
        <w:t xml:space="preserve">Palmore EB. Predictors of the Longevity Difference: A 25-Year Follow-Up. The Gerontologist. 1982 Dec 1;22(6):513–8. </w:t>
      </w:r>
    </w:p>
    <w:p w14:paraId="370B8E19" w14:textId="77777777" w:rsidR="00804887" w:rsidRPr="00804887" w:rsidRDefault="00804887" w:rsidP="00804887">
      <w:pPr>
        <w:pStyle w:val="Bibliography"/>
        <w:rPr>
          <w:rFonts w:ascii="Calibri" w:hAnsi="Calibri" w:cs="Calibri"/>
        </w:rPr>
      </w:pPr>
      <w:r w:rsidRPr="00804887">
        <w:rPr>
          <w:rFonts w:ascii="Calibri" w:hAnsi="Calibri" w:cs="Calibri"/>
        </w:rPr>
        <w:t xml:space="preserve">9. </w:t>
      </w:r>
      <w:r w:rsidRPr="00804887">
        <w:rPr>
          <w:rFonts w:ascii="Calibri" w:hAnsi="Calibri" w:cs="Calibri"/>
        </w:rPr>
        <w:tab/>
        <w:t xml:space="preserve">Steptoe A, Deaton A, Stone AA. Subjective wellbeing, health, and ageing. The Lancet. 2015 Feb 14;385(9968):640–8. </w:t>
      </w:r>
    </w:p>
    <w:p w14:paraId="51571FC9" w14:textId="77777777" w:rsidR="00804887" w:rsidRPr="00804887" w:rsidRDefault="00804887" w:rsidP="00804887">
      <w:pPr>
        <w:pStyle w:val="Bibliography"/>
        <w:rPr>
          <w:rFonts w:ascii="Calibri" w:hAnsi="Calibri" w:cs="Calibri"/>
        </w:rPr>
      </w:pPr>
      <w:r w:rsidRPr="00804887">
        <w:rPr>
          <w:rFonts w:ascii="Calibri" w:hAnsi="Calibri" w:cs="Calibri"/>
        </w:rPr>
        <w:t xml:space="preserve">10. </w:t>
      </w:r>
      <w:r w:rsidRPr="00804887">
        <w:rPr>
          <w:rFonts w:ascii="Calibri" w:hAnsi="Calibri" w:cs="Calibri"/>
        </w:rPr>
        <w:tab/>
        <w:t xml:space="preserve">Mezones-Holguin E, Córdova-Marcelo W, Lau-Chu-Fon F, Aguilar-Silva C, Morales-Cabrera J, Bolaños-Díaz R, et al. Association between sexual function and depression in sexually active, mid-aged, Peruvian women. Climacteric. 2011 Dec 1;14(6):654–60. </w:t>
      </w:r>
    </w:p>
    <w:p w14:paraId="166B3F88" w14:textId="77777777" w:rsidR="00804887" w:rsidRPr="00804887" w:rsidRDefault="00804887" w:rsidP="00804887">
      <w:pPr>
        <w:pStyle w:val="Bibliography"/>
        <w:rPr>
          <w:rFonts w:ascii="Calibri" w:hAnsi="Calibri" w:cs="Calibri"/>
        </w:rPr>
      </w:pPr>
      <w:r w:rsidRPr="00804887">
        <w:rPr>
          <w:rFonts w:ascii="Calibri" w:hAnsi="Calibri" w:cs="Calibri"/>
        </w:rPr>
        <w:t xml:space="preserve">11. </w:t>
      </w:r>
      <w:r w:rsidRPr="00804887">
        <w:rPr>
          <w:rFonts w:ascii="Calibri" w:hAnsi="Calibri" w:cs="Calibri"/>
        </w:rPr>
        <w:tab/>
        <w:t xml:space="preserve">Hayes RD, Dennerstein L, Bennett CM, Sidat M, Gurrin LC, Fairley CK. Risk Factors for Female Sexual Dysfunction in the General Population: Exploring Factors Associated with Low Sexual Function and Sexual Distress. J Sex Med. 2008 Jul 1;5(7):1681–93. </w:t>
      </w:r>
    </w:p>
    <w:p w14:paraId="2B711242" w14:textId="77777777" w:rsidR="00804887" w:rsidRPr="00804887" w:rsidRDefault="00804887" w:rsidP="00804887">
      <w:pPr>
        <w:pStyle w:val="Bibliography"/>
        <w:rPr>
          <w:rFonts w:ascii="Calibri" w:hAnsi="Calibri" w:cs="Calibri"/>
        </w:rPr>
      </w:pPr>
      <w:r w:rsidRPr="00804887">
        <w:rPr>
          <w:rFonts w:ascii="Calibri" w:hAnsi="Calibri" w:cs="Calibri"/>
        </w:rPr>
        <w:t xml:space="preserve">12. </w:t>
      </w:r>
      <w:r w:rsidRPr="00804887">
        <w:rPr>
          <w:rFonts w:ascii="Calibri" w:hAnsi="Calibri" w:cs="Calibri"/>
        </w:rPr>
        <w:tab/>
        <w:t xml:space="preserve">Kriston L, Günzler C, Agyemang A, Bengel J, Berner MM. Effect of sexual function on health-related quality of life mediated by depressive symptoms in cardiac rehabilitation. findings of the SPARK project in 493 patients. J Sex Med. 2010 Jun;7(6):2044–55. </w:t>
      </w:r>
    </w:p>
    <w:p w14:paraId="2BD63D41" w14:textId="77777777" w:rsidR="00804887" w:rsidRPr="00804887" w:rsidRDefault="00804887" w:rsidP="00804887">
      <w:pPr>
        <w:pStyle w:val="Bibliography"/>
        <w:rPr>
          <w:rFonts w:ascii="Calibri" w:hAnsi="Calibri" w:cs="Calibri"/>
        </w:rPr>
      </w:pPr>
      <w:r w:rsidRPr="00804887">
        <w:rPr>
          <w:rFonts w:ascii="Calibri" w:hAnsi="Calibri" w:cs="Calibri"/>
        </w:rPr>
        <w:t xml:space="preserve">13. </w:t>
      </w:r>
      <w:r w:rsidRPr="00804887">
        <w:rPr>
          <w:rFonts w:ascii="Calibri" w:hAnsi="Calibri" w:cs="Calibri"/>
        </w:rPr>
        <w:tab/>
        <w:t xml:space="preserve">Pastuszak AW, Badhiwala N, Lipshultz LI, Khera M. Depression is correlated with the psychological and physical aspects of sexual dysfunction in men. Int J Impot Res. 2013 Sep;25(5):194–9. </w:t>
      </w:r>
    </w:p>
    <w:p w14:paraId="54F8A0D5" w14:textId="77777777" w:rsidR="00804887" w:rsidRPr="00804887" w:rsidRDefault="00804887" w:rsidP="00804887">
      <w:pPr>
        <w:pStyle w:val="Bibliography"/>
        <w:rPr>
          <w:rFonts w:ascii="Calibri" w:hAnsi="Calibri" w:cs="Calibri"/>
        </w:rPr>
      </w:pPr>
      <w:r w:rsidRPr="00804887">
        <w:rPr>
          <w:rFonts w:ascii="Calibri" w:hAnsi="Calibri" w:cs="Calibri"/>
        </w:rPr>
        <w:t xml:space="preserve">14. </w:t>
      </w:r>
      <w:r w:rsidRPr="00804887">
        <w:rPr>
          <w:rFonts w:ascii="Calibri" w:hAnsi="Calibri" w:cs="Calibri"/>
        </w:rPr>
        <w:tab/>
        <w:t xml:space="preserve">Syme ML, Klonoff EA, Macera CA, Brodine SK. Predicting Sexual Decline and Dissatisfaction Among Older Adults: The Role of Partnered and Individual Physical and Mental Health Factors. J Gerontol Ser B. 2013 May 1;68(3):323–32. </w:t>
      </w:r>
    </w:p>
    <w:p w14:paraId="613EEA63" w14:textId="77777777" w:rsidR="00804887" w:rsidRPr="00804887" w:rsidRDefault="00804887" w:rsidP="00804887">
      <w:pPr>
        <w:pStyle w:val="Bibliography"/>
        <w:rPr>
          <w:rFonts w:ascii="Calibri" w:hAnsi="Calibri" w:cs="Calibri"/>
        </w:rPr>
      </w:pPr>
      <w:r w:rsidRPr="00804887">
        <w:rPr>
          <w:rFonts w:ascii="Calibri" w:hAnsi="Calibri" w:cs="Calibri"/>
        </w:rPr>
        <w:lastRenderedPageBreak/>
        <w:t xml:space="preserve">15. </w:t>
      </w:r>
      <w:r w:rsidRPr="00804887">
        <w:rPr>
          <w:rFonts w:ascii="Calibri" w:hAnsi="Calibri" w:cs="Calibri"/>
        </w:rPr>
        <w:tab/>
        <w:t xml:space="preserve">Yangın HB, Sözer GA, Şengün N, Kukulu K. The relationship between depression and sexual function in menopause period. Maturitas. 2008 Nov 20;61(3):233–7. </w:t>
      </w:r>
    </w:p>
    <w:p w14:paraId="45B2BE18" w14:textId="77777777" w:rsidR="00804887" w:rsidRPr="00804887" w:rsidRDefault="00804887" w:rsidP="00804887">
      <w:pPr>
        <w:pStyle w:val="Bibliography"/>
        <w:rPr>
          <w:rFonts w:ascii="Calibri" w:hAnsi="Calibri" w:cs="Calibri"/>
        </w:rPr>
      </w:pPr>
      <w:r w:rsidRPr="00804887">
        <w:rPr>
          <w:rFonts w:ascii="Calibri" w:hAnsi="Calibri" w:cs="Calibri"/>
        </w:rPr>
        <w:t xml:space="preserve">16. </w:t>
      </w:r>
      <w:r w:rsidRPr="00804887">
        <w:rPr>
          <w:rFonts w:ascii="Calibri" w:hAnsi="Calibri" w:cs="Calibri"/>
        </w:rPr>
        <w:tab/>
        <w:t xml:space="preserve">Mitchell KR, Ploubidis GB, Datta J, Wellings K. The Natsal-SF: a validated measure of sexual function for use in community surveys. Eur J Epidemiol. 2012 Jun;27(6):409–18. </w:t>
      </w:r>
    </w:p>
    <w:p w14:paraId="7533684C" w14:textId="77777777" w:rsidR="00804887" w:rsidRPr="00804887" w:rsidRDefault="00804887" w:rsidP="00804887">
      <w:pPr>
        <w:pStyle w:val="Bibliography"/>
        <w:rPr>
          <w:rFonts w:ascii="Calibri" w:hAnsi="Calibri" w:cs="Calibri"/>
        </w:rPr>
      </w:pPr>
      <w:r w:rsidRPr="00804887">
        <w:rPr>
          <w:rFonts w:ascii="Calibri" w:hAnsi="Calibri" w:cs="Calibri"/>
        </w:rPr>
        <w:t xml:space="preserve">17. </w:t>
      </w:r>
      <w:r w:rsidRPr="00804887">
        <w:rPr>
          <w:rFonts w:ascii="Calibri" w:hAnsi="Calibri" w:cs="Calibri"/>
        </w:rPr>
        <w:tab/>
        <w:t xml:space="preserve">Flynn T-J, Gow AJ. Examining associations between sexual behaviours and quality of life in older adults. Age Ageing. 2015 Sep;44(5):823–8. </w:t>
      </w:r>
    </w:p>
    <w:p w14:paraId="503513AF" w14:textId="77777777" w:rsidR="00804887" w:rsidRPr="00804887" w:rsidRDefault="00804887" w:rsidP="00804887">
      <w:pPr>
        <w:pStyle w:val="Bibliography"/>
        <w:rPr>
          <w:rFonts w:ascii="Calibri" w:hAnsi="Calibri" w:cs="Calibri"/>
        </w:rPr>
      </w:pPr>
      <w:r w:rsidRPr="00804887">
        <w:rPr>
          <w:rFonts w:ascii="Calibri" w:hAnsi="Calibri" w:cs="Calibri"/>
        </w:rPr>
        <w:t xml:space="preserve">18. </w:t>
      </w:r>
      <w:r w:rsidRPr="00804887">
        <w:rPr>
          <w:rFonts w:ascii="Calibri" w:hAnsi="Calibri" w:cs="Calibri"/>
        </w:rPr>
        <w:tab/>
        <w:t xml:space="preserve">Brody S, Costa RM. Satisfaction (sexual, life, relationship, and mental health) is associated directly with penile-vaginal intercourse, but inversely with other sexual behavior frequencies. J Sex Med. 2009 Jul;6(7):1947–54. </w:t>
      </w:r>
    </w:p>
    <w:p w14:paraId="1F4105F4" w14:textId="77777777" w:rsidR="00804887" w:rsidRPr="00804887" w:rsidRDefault="00804887" w:rsidP="00804887">
      <w:pPr>
        <w:pStyle w:val="Bibliography"/>
        <w:rPr>
          <w:rFonts w:ascii="Calibri" w:hAnsi="Calibri" w:cs="Calibri"/>
        </w:rPr>
      </w:pPr>
      <w:r w:rsidRPr="00804887">
        <w:rPr>
          <w:rFonts w:ascii="Calibri" w:hAnsi="Calibri" w:cs="Calibri"/>
        </w:rPr>
        <w:t xml:space="preserve">19. </w:t>
      </w:r>
      <w:r w:rsidRPr="00804887">
        <w:rPr>
          <w:rFonts w:ascii="Calibri" w:hAnsi="Calibri" w:cs="Calibri"/>
        </w:rPr>
        <w:tab/>
        <w:t xml:space="preserve">Lambert KG. Rising rates of depression in today’s society: Consideration of the roles of effort-based rewards and enhanced resilience in day-to-day functioning. Neurosci Biobehav Rev. 2006 Jan 1;30(4):497–510. </w:t>
      </w:r>
    </w:p>
    <w:p w14:paraId="1C8E3244" w14:textId="77777777" w:rsidR="00804887" w:rsidRPr="00804887" w:rsidRDefault="00804887" w:rsidP="00804887">
      <w:pPr>
        <w:pStyle w:val="Bibliography"/>
        <w:rPr>
          <w:rFonts w:ascii="Calibri" w:hAnsi="Calibri" w:cs="Calibri"/>
        </w:rPr>
      </w:pPr>
      <w:r w:rsidRPr="00804887">
        <w:rPr>
          <w:rFonts w:ascii="Calibri" w:hAnsi="Calibri" w:cs="Calibri"/>
        </w:rPr>
        <w:t xml:space="preserve">20. </w:t>
      </w:r>
      <w:r w:rsidRPr="00804887">
        <w:rPr>
          <w:rFonts w:ascii="Calibri" w:hAnsi="Calibri" w:cs="Calibri"/>
        </w:rPr>
        <w:tab/>
        <w:t>Adult Psychiatric Morbidity Survey: Survey of Mental Health and Wellbeing, England, 2014 - NHS Digital [Internet]. [cited 2018 Oct 27]. Available from: http://webarchive.nationalarchives.gov.uk/20180328140249/http://digital.nhs.uk/catalogue/PUB21748</w:t>
      </w:r>
    </w:p>
    <w:p w14:paraId="162B1F44" w14:textId="77777777" w:rsidR="00804887" w:rsidRPr="00804887" w:rsidRDefault="00804887" w:rsidP="00804887">
      <w:pPr>
        <w:pStyle w:val="Bibliography"/>
        <w:rPr>
          <w:rFonts w:ascii="Calibri" w:hAnsi="Calibri" w:cs="Calibri"/>
        </w:rPr>
      </w:pPr>
      <w:r w:rsidRPr="00804887">
        <w:rPr>
          <w:rFonts w:ascii="Calibri" w:hAnsi="Calibri" w:cs="Calibri"/>
        </w:rPr>
        <w:t xml:space="preserve">21. </w:t>
      </w:r>
      <w:r w:rsidRPr="00804887">
        <w:rPr>
          <w:rFonts w:ascii="Calibri" w:hAnsi="Calibri" w:cs="Calibri"/>
        </w:rPr>
        <w:tab/>
        <w:t>World Health Organization. RISKS TO MENTAL HEALTH: AN OVERVIEW OF VULNERABILITIES AND RISK FACTORS [Internet]. World Health Organization; 2012 [cited 2018 Aug 24]. Available from: http://www.who.int/mental_health/mhgap/risks_to_mental_health_EN_27_08_12.pdf</w:t>
      </w:r>
    </w:p>
    <w:p w14:paraId="0F5B2EE6" w14:textId="77777777" w:rsidR="00804887" w:rsidRPr="00804887" w:rsidRDefault="00804887" w:rsidP="00804887">
      <w:pPr>
        <w:pStyle w:val="Bibliography"/>
        <w:rPr>
          <w:rFonts w:ascii="Calibri" w:hAnsi="Calibri" w:cs="Calibri"/>
        </w:rPr>
      </w:pPr>
      <w:r w:rsidRPr="00804887">
        <w:rPr>
          <w:rFonts w:ascii="Calibri" w:hAnsi="Calibri" w:cs="Calibri"/>
        </w:rPr>
        <w:t xml:space="preserve">22. </w:t>
      </w:r>
      <w:r w:rsidRPr="00804887">
        <w:rPr>
          <w:rFonts w:ascii="Calibri" w:hAnsi="Calibri" w:cs="Calibri"/>
        </w:rPr>
        <w:tab/>
        <w:t xml:space="preserve">Rodda J, Walker Z, Carter J. Depression in older adults. BMJ. 2011 Sep 28;343:d5219. </w:t>
      </w:r>
    </w:p>
    <w:p w14:paraId="3822F410" w14:textId="77777777" w:rsidR="00804887" w:rsidRPr="00804887" w:rsidRDefault="00804887" w:rsidP="00804887">
      <w:pPr>
        <w:pStyle w:val="Bibliography"/>
        <w:rPr>
          <w:rFonts w:ascii="Calibri" w:hAnsi="Calibri" w:cs="Calibri"/>
        </w:rPr>
      </w:pPr>
      <w:r w:rsidRPr="00804887">
        <w:rPr>
          <w:rFonts w:ascii="Calibri" w:hAnsi="Calibri" w:cs="Calibri"/>
        </w:rPr>
        <w:t xml:space="preserve">23. </w:t>
      </w:r>
      <w:r w:rsidRPr="00804887">
        <w:rPr>
          <w:rFonts w:ascii="Calibri" w:hAnsi="Calibri" w:cs="Calibri"/>
        </w:rPr>
        <w:tab/>
        <w:t xml:space="preserve">Lindau ST, Schumm LP, Laumann EO, Levinson W, O’Muircheartaigh CA, Waite LJ. A Study of Sexuality and Health among Older Adults in the United States. N Engl J Med. 2007 Aug 23;357(8):762–74. </w:t>
      </w:r>
    </w:p>
    <w:p w14:paraId="2FF9E0BB" w14:textId="77777777" w:rsidR="00804887" w:rsidRPr="00804887" w:rsidRDefault="00804887" w:rsidP="00804887">
      <w:pPr>
        <w:pStyle w:val="Bibliography"/>
        <w:rPr>
          <w:rFonts w:ascii="Calibri" w:hAnsi="Calibri" w:cs="Calibri"/>
        </w:rPr>
      </w:pPr>
      <w:r w:rsidRPr="00804887">
        <w:rPr>
          <w:rFonts w:ascii="Calibri" w:hAnsi="Calibri" w:cs="Calibri"/>
        </w:rPr>
        <w:t xml:space="preserve">24. </w:t>
      </w:r>
      <w:r w:rsidRPr="00804887">
        <w:rPr>
          <w:rFonts w:ascii="Calibri" w:hAnsi="Calibri" w:cs="Calibri"/>
        </w:rPr>
        <w:tab/>
        <w:t xml:space="preserve">Steptoe A, Breeze E, Banks J, Nazroo J. Cohort profile: the English Longitudinal Study of Ageing. Int J Epidemiol. 2013 Dec;42(6):1640–8. </w:t>
      </w:r>
    </w:p>
    <w:p w14:paraId="202F3463" w14:textId="77777777" w:rsidR="00804887" w:rsidRPr="00804887" w:rsidRDefault="00804887" w:rsidP="00804887">
      <w:pPr>
        <w:pStyle w:val="Bibliography"/>
        <w:rPr>
          <w:rFonts w:ascii="Calibri" w:hAnsi="Calibri" w:cs="Calibri"/>
        </w:rPr>
      </w:pPr>
      <w:r w:rsidRPr="00804887">
        <w:rPr>
          <w:rFonts w:ascii="Calibri" w:hAnsi="Calibri" w:cs="Calibri"/>
        </w:rPr>
        <w:t xml:space="preserve">25. </w:t>
      </w:r>
      <w:r w:rsidRPr="00804887">
        <w:rPr>
          <w:rFonts w:ascii="Calibri" w:hAnsi="Calibri" w:cs="Calibri"/>
        </w:rPr>
        <w:tab/>
        <w:t xml:space="preserve">Steffick DE. Documentation of affective functioning measures in the Health and Retirement Study. HRS Documentation Report DR-005; 2000. </w:t>
      </w:r>
    </w:p>
    <w:p w14:paraId="4DF97442" w14:textId="77777777" w:rsidR="00804887" w:rsidRPr="00804887" w:rsidRDefault="00804887" w:rsidP="00804887">
      <w:pPr>
        <w:pStyle w:val="Bibliography"/>
        <w:rPr>
          <w:rFonts w:ascii="Calibri" w:hAnsi="Calibri" w:cs="Calibri"/>
        </w:rPr>
      </w:pPr>
      <w:r w:rsidRPr="00804887">
        <w:rPr>
          <w:rFonts w:ascii="Calibri" w:hAnsi="Calibri" w:cs="Calibri"/>
        </w:rPr>
        <w:t xml:space="preserve">26. </w:t>
      </w:r>
      <w:r w:rsidRPr="00804887">
        <w:rPr>
          <w:rFonts w:ascii="Calibri" w:hAnsi="Calibri" w:cs="Calibri"/>
        </w:rPr>
        <w:tab/>
        <w:t xml:space="preserve">Hyde M, Wiggins RD, Higgs P, Blane DB. A measure of quality of life in early old age: the theory, development and properties of a needs satisfaction model (CASP-19). Aging Ment Health. 2003;7(3):186–194. </w:t>
      </w:r>
    </w:p>
    <w:p w14:paraId="75EDEDF3" w14:textId="77777777" w:rsidR="00804887" w:rsidRPr="00804887" w:rsidRDefault="00804887" w:rsidP="00804887">
      <w:pPr>
        <w:pStyle w:val="Bibliography"/>
        <w:rPr>
          <w:rFonts w:ascii="Calibri" w:hAnsi="Calibri" w:cs="Calibri"/>
        </w:rPr>
      </w:pPr>
      <w:r w:rsidRPr="00804887">
        <w:rPr>
          <w:rFonts w:ascii="Calibri" w:hAnsi="Calibri" w:cs="Calibri"/>
        </w:rPr>
        <w:t xml:space="preserve">27. </w:t>
      </w:r>
      <w:r w:rsidRPr="00804887">
        <w:rPr>
          <w:rFonts w:ascii="Calibri" w:hAnsi="Calibri" w:cs="Calibri"/>
        </w:rPr>
        <w:tab/>
        <w:t xml:space="preserve">Diener E, Emmons RA, Larsen RJ, Griffin S. The satisfaction with life scale. J Assess. 1985;49(1):71–75. </w:t>
      </w:r>
    </w:p>
    <w:p w14:paraId="43CE8BA6" w14:textId="77777777" w:rsidR="00804887" w:rsidRPr="00804887" w:rsidRDefault="00804887" w:rsidP="00804887">
      <w:pPr>
        <w:pStyle w:val="Bibliography"/>
        <w:rPr>
          <w:rFonts w:ascii="Calibri" w:hAnsi="Calibri" w:cs="Calibri"/>
        </w:rPr>
      </w:pPr>
      <w:r w:rsidRPr="00804887">
        <w:rPr>
          <w:rFonts w:ascii="Calibri" w:hAnsi="Calibri" w:cs="Calibri"/>
        </w:rPr>
        <w:t xml:space="preserve">28. </w:t>
      </w:r>
      <w:r w:rsidRPr="00804887">
        <w:rPr>
          <w:rFonts w:ascii="Calibri" w:hAnsi="Calibri" w:cs="Calibri"/>
        </w:rPr>
        <w:tab/>
        <w:t>Banks J, Karlsen S, Oldfield Z. Socio-economic position. 2003 [cited 2014 Mar 4]; Available from: http://discovery.ucl.ac.uk/15366/1/15366.pdf</w:t>
      </w:r>
    </w:p>
    <w:p w14:paraId="65D02942" w14:textId="77777777" w:rsidR="00804887" w:rsidRPr="00804887" w:rsidRDefault="00804887" w:rsidP="00804887">
      <w:pPr>
        <w:pStyle w:val="Bibliography"/>
        <w:rPr>
          <w:rFonts w:ascii="Calibri" w:hAnsi="Calibri" w:cs="Calibri"/>
        </w:rPr>
      </w:pPr>
      <w:r w:rsidRPr="00804887">
        <w:rPr>
          <w:rFonts w:ascii="Calibri" w:hAnsi="Calibri" w:cs="Calibri"/>
        </w:rPr>
        <w:t xml:space="preserve">29. </w:t>
      </w:r>
      <w:r w:rsidRPr="00804887">
        <w:rPr>
          <w:rFonts w:ascii="Calibri" w:hAnsi="Calibri" w:cs="Calibri"/>
        </w:rPr>
        <w:tab/>
        <w:t xml:space="preserve">Demakakos P, Hamer M, Stamatakis E, Steptoe A. Low-intensity physical activity is associated with reduced risk of incident type 2 diabetes in older adults: evidence from the English Longitudinal Study of Ageing. Diabetologia. 2010 May 22;53:1877–85. </w:t>
      </w:r>
    </w:p>
    <w:p w14:paraId="7DCBAD87" w14:textId="77777777" w:rsidR="00804887" w:rsidRPr="00804887" w:rsidRDefault="00804887" w:rsidP="00804887">
      <w:pPr>
        <w:pStyle w:val="Bibliography"/>
        <w:rPr>
          <w:rFonts w:ascii="Calibri" w:hAnsi="Calibri" w:cs="Calibri"/>
        </w:rPr>
      </w:pPr>
      <w:r w:rsidRPr="00804887">
        <w:rPr>
          <w:rFonts w:ascii="Calibri" w:hAnsi="Calibri" w:cs="Calibri"/>
        </w:rPr>
        <w:lastRenderedPageBreak/>
        <w:t xml:space="preserve">30. </w:t>
      </w:r>
      <w:r w:rsidRPr="00804887">
        <w:rPr>
          <w:rFonts w:ascii="Calibri" w:hAnsi="Calibri" w:cs="Calibri"/>
        </w:rPr>
        <w:tab/>
        <w:t xml:space="preserve">Hamer M, Molloy GJ, de Oliveira C, Demakakos P. Leisure time physical activity, risk of depressive symptoms, and inflammatory mediators: the English Longitudinal Study of Ageing. Psychoneuroendocrinology. 2009 Aug;34(7):1050–5. </w:t>
      </w:r>
    </w:p>
    <w:p w14:paraId="09CD0B1C" w14:textId="77777777" w:rsidR="00804887" w:rsidRPr="00804887" w:rsidRDefault="00804887" w:rsidP="00804887">
      <w:pPr>
        <w:pStyle w:val="Bibliography"/>
        <w:rPr>
          <w:rFonts w:ascii="Calibri" w:hAnsi="Calibri" w:cs="Calibri"/>
        </w:rPr>
      </w:pPr>
      <w:r w:rsidRPr="00804887">
        <w:rPr>
          <w:rFonts w:ascii="Calibri" w:hAnsi="Calibri" w:cs="Calibri"/>
        </w:rPr>
        <w:t xml:space="preserve">31. </w:t>
      </w:r>
      <w:r w:rsidRPr="00804887">
        <w:rPr>
          <w:rFonts w:ascii="Calibri" w:hAnsi="Calibri" w:cs="Calibri"/>
        </w:rPr>
        <w:tab/>
        <w:t xml:space="preserve">Eplov L, Giraldi A, Davidsen M, Garde K, Kamper‐Jørgensen F. ORIGINAL RESEARCH—EPIDEMIOLOGY: Sexual Desire in a Nationally Representative Danish Population. J Sex Med. 2007 Jan 1;4(1):47–56. </w:t>
      </w:r>
    </w:p>
    <w:p w14:paraId="1A2FD66A" w14:textId="77777777" w:rsidR="00804887" w:rsidRPr="00804887" w:rsidRDefault="00804887" w:rsidP="00804887">
      <w:pPr>
        <w:pStyle w:val="Bibliography"/>
        <w:rPr>
          <w:rFonts w:ascii="Calibri" w:hAnsi="Calibri" w:cs="Calibri"/>
        </w:rPr>
      </w:pPr>
      <w:r w:rsidRPr="00804887">
        <w:rPr>
          <w:rFonts w:ascii="Calibri" w:hAnsi="Calibri" w:cs="Calibri"/>
        </w:rPr>
        <w:t xml:space="preserve">32. </w:t>
      </w:r>
      <w:r w:rsidRPr="00804887">
        <w:rPr>
          <w:rFonts w:ascii="Calibri" w:hAnsi="Calibri" w:cs="Calibri"/>
        </w:rPr>
        <w:tab/>
        <w:t xml:space="preserve">Johannes CB, Araujo AB, Feldman HA, Derby CA, Kleinman KP, McKINLAY JB. INCIDENCE OF ERECTILE DYSFUNCTION IN MEN 40 TO 69 YEARS OLD: LONGITUDINAL RESULTS FROM THE MASSACHUSETTS MALE AGING STUDY. J Urol. 2000 Feb 1;163(2):460–3. </w:t>
      </w:r>
    </w:p>
    <w:p w14:paraId="38415E8D" w14:textId="77777777" w:rsidR="00804887" w:rsidRPr="00804887" w:rsidRDefault="00804887" w:rsidP="00804887">
      <w:pPr>
        <w:pStyle w:val="Bibliography"/>
        <w:rPr>
          <w:rFonts w:ascii="Calibri" w:hAnsi="Calibri" w:cs="Calibri"/>
        </w:rPr>
      </w:pPr>
      <w:r w:rsidRPr="00804887">
        <w:rPr>
          <w:rFonts w:ascii="Calibri" w:hAnsi="Calibri" w:cs="Calibri"/>
        </w:rPr>
        <w:t xml:space="preserve">33. </w:t>
      </w:r>
      <w:r w:rsidRPr="00804887">
        <w:rPr>
          <w:rFonts w:ascii="Calibri" w:hAnsi="Calibri" w:cs="Calibri"/>
        </w:rPr>
        <w:tab/>
        <w:t xml:space="preserve">Hayes R, Dennerstein L. The Impact of Aging on Sexual Function and Sexual Dysfunction in Women: A Review of Population-Based Studies. J Sex Med. 2005 May 1;2(3):317–30. </w:t>
      </w:r>
    </w:p>
    <w:p w14:paraId="3ED509FC" w14:textId="77777777" w:rsidR="00804887" w:rsidRPr="00804887" w:rsidRDefault="00804887" w:rsidP="00804887">
      <w:pPr>
        <w:pStyle w:val="Bibliography"/>
        <w:rPr>
          <w:rFonts w:ascii="Calibri" w:hAnsi="Calibri" w:cs="Calibri"/>
        </w:rPr>
      </w:pPr>
      <w:r w:rsidRPr="00804887">
        <w:rPr>
          <w:rFonts w:ascii="Calibri" w:hAnsi="Calibri" w:cs="Calibri"/>
        </w:rPr>
        <w:t xml:space="preserve">34. </w:t>
      </w:r>
      <w:r w:rsidRPr="00804887">
        <w:rPr>
          <w:rFonts w:ascii="Calibri" w:hAnsi="Calibri" w:cs="Calibri"/>
        </w:rPr>
        <w:tab/>
        <w:t>Rokade DPB. Release of Endomorphin Hormone and Its Effects on Our Body and Moods : A Review. Int Conf Chem Biol Environ Sci [Internet]. 2011 [cited 2018 Aug 24]; Available from: /paper/Release-of-Endomorphin-Hormone-and-Its-Effects-on-%3A-Rokade/d9d6a77f113bb866ea1588edf646a60e25ca1755</w:t>
      </w:r>
    </w:p>
    <w:p w14:paraId="0DECDC52" w14:textId="77777777" w:rsidR="00804887" w:rsidRPr="00804887" w:rsidRDefault="00804887" w:rsidP="00804887">
      <w:pPr>
        <w:pStyle w:val="Bibliography"/>
        <w:rPr>
          <w:rFonts w:ascii="Calibri" w:hAnsi="Calibri" w:cs="Calibri"/>
        </w:rPr>
      </w:pPr>
      <w:r w:rsidRPr="00804887">
        <w:rPr>
          <w:rFonts w:ascii="Calibri" w:hAnsi="Calibri" w:cs="Calibri"/>
        </w:rPr>
        <w:t xml:space="preserve">35. </w:t>
      </w:r>
      <w:r w:rsidRPr="00804887">
        <w:rPr>
          <w:rFonts w:ascii="Calibri" w:hAnsi="Calibri" w:cs="Calibri"/>
        </w:rPr>
        <w:tab/>
        <w:t xml:space="preserve">Morley JE, Kaiser FE, Perry HM, Patrick P, Morley PMK, Stauber PM, et al. Longitudinal changes in testosterone, luteinizing hormone, and follicle-stimulating hormone in healthy older men. Metabolism. 1997 Apr 1;46(4):410–3. </w:t>
      </w:r>
    </w:p>
    <w:p w14:paraId="52CCEC1C" w14:textId="77777777" w:rsidR="00804887" w:rsidRPr="00804887" w:rsidRDefault="00804887" w:rsidP="00804887">
      <w:pPr>
        <w:pStyle w:val="Bibliography"/>
        <w:rPr>
          <w:rFonts w:ascii="Calibri" w:hAnsi="Calibri" w:cs="Calibri"/>
        </w:rPr>
      </w:pPr>
      <w:r w:rsidRPr="00804887">
        <w:rPr>
          <w:rFonts w:ascii="Calibri" w:hAnsi="Calibri" w:cs="Calibri"/>
        </w:rPr>
        <w:t xml:space="preserve">36. </w:t>
      </w:r>
      <w:r w:rsidRPr="00804887">
        <w:rPr>
          <w:rFonts w:ascii="Calibri" w:hAnsi="Calibri" w:cs="Calibri"/>
        </w:rPr>
        <w:tab/>
        <w:t xml:space="preserve">Laughlin GA, Barrett-Connor E, Bergstrom J. Low Serum Testosterone and Mortality in Older Men. J Clin Endocrinol Metab. 2008 Jan 1;93(1):68–75. </w:t>
      </w:r>
    </w:p>
    <w:p w14:paraId="1A8AE277" w14:textId="77777777" w:rsidR="00804887" w:rsidRPr="00804887" w:rsidRDefault="00804887" w:rsidP="00804887">
      <w:pPr>
        <w:pStyle w:val="Bibliography"/>
        <w:rPr>
          <w:rFonts w:ascii="Calibri" w:hAnsi="Calibri" w:cs="Calibri"/>
        </w:rPr>
      </w:pPr>
      <w:r w:rsidRPr="00804887">
        <w:rPr>
          <w:rFonts w:ascii="Calibri" w:hAnsi="Calibri" w:cs="Calibri"/>
        </w:rPr>
        <w:t xml:space="preserve">37. </w:t>
      </w:r>
      <w:r w:rsidRPr="00804887">
        <w:rPr>
          <w:rFonts w:ascii="Calibri" w:hAnsi="Calibri" w:cs="Calibri"/>
        </w:rPr>
        <w:tab/>
        <w:t xml:space="preserve">Nobre PJ, Pinto-Gouveia J. Emotions During Sexual Activity: Differences Between Sexually Functional and Dysfunctional Men and Women. Arch Sex Behav. 2006 Aug 1;35(4):491–9. </w:t>
      </w:r>
    </w:p>
    <w:p w14:paraId="5D1E9F1C" w14:textId="77777777" w:rsidR="00804887" w:rsidRPr="00804887" w:rsidRDefault="00804887" w:rsidP="00804887">
      <w:pPr>
        <w:pStyle w:val="Bibliography"/>
        <w:rPr>
          <w:rFonts w:ascii="Calibri" w:hAnsi="Calibri" w:cs="Calibri"/>
        </w:rPr>
      </w:pPr>
      <w:r w:rsidRPr="00804887">
        <w:rPr>
          <w:rFonts w:ascii="Calibri" w:hAnsi="Calibri" w:cs="Calibri"/>
        </w:rPr>
        <w:t xml:space="preserve">38. </w:t>
      </w:r>
      <w:r w:rsidRPr="00804887">
        <w:rPr>
          <w:rFonts w:ascii="Calibri" w:hAnsi="Calibri" w:cs="Calibri"/>
        </w:rPr>
        <w:tab/>
        <w:t xml:space="preserve">Phillips JR, Slaughter JR. Depression and sexual desire. Am Fam Physician. 2000 Aug;62(4):782–6. </w:t>
      </w:r>
    </w:p>
    <w:p w14:paraId="500C752A" w14:textId="7ACAD1A1" w:rsidR="00165A61" w:rsidRDefault="00DE03C4">
      <w:r>
        <w:fldChar w:fldCharType="end"/>
      </w:r>
    </w:p>
    <w:p w14:paraId="08F7A859" w14:textId="77777777" w:rsidR="00165A61" w:rsidRDefault="00165A61" w:rsidP="00165A61">
      <w:r>
        <w:br w:type="page"/>
      </w:r>
    </w:p>
    <w:p w14:paraId="20021AE0" w14:textId="77777777" w:rsidR="00165A61" w:rsidRDefault="00165A61" w:rsidP="00165A61">
      <w:pPr>
        <w:pStyle w:val="Heading1"/>
      </w:pPr>
      <w:r>
        <w:lastRenderedPageBreak/>
        <w:t>Tables</w:t>
      </w:r>
    </w:p>
    <w:tbl>
      <w:tblPr>
        <w:tblStyle w:val="TableGrid"/>
        <w:tblW w:w="7048"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3493"/>
        <w:gridCol w:w="1606"/>
        <w:gridCol w:w="1665"/>
      </w:tblGrid>
      <w:tr w:rsidR="00165A61" w:rsidRPr="0093659C" w14:paraId="7253682B" w14:textId="77777777" w:rsidTr="00C520E0">
        <w:trPr>
          <w:trHeight w:val="242"/>
        </w:trPr>
        <w:tc>
          <w:tcPr>
            <w:tcW w:w="7048" w:type="dxa"/>
            <w:gridSpan w:val="4"/>
            <w:tcBorders>
              <w:top w:val="nil"/>
              <w:bottom w:val="single" w:sz="4" w:space="0" w:color="auto"/>
              <w:right w:val="nil"/>
            </w:tcBorders>
          </w:tcPr>
          <w:p w14:paraId="0BCDD43A" w14:textId="77777777" w:rsidR="00165A61" w:rsidRPr="0093659C" w:rsidRDefault="00165A61" w:rsidP="00C838D6">
            <w:pPr>
              <w:pStyle w:val="Beforetables"/>
              <w:spacing w:line="276" w:lineRule="auto"/>
              <w:ind w:left="720" w:hanging="720"/>
              <w:rPr>
                <w:rFonts w:cs="Arial"/>
                <w:sz w:val="20"/>
                <w:szCs w:val="20"/>
              </w:rPr>
            </w:pPr>
            <w:r w:rsidRPr="0093659C">
              <w:rPr>
                <w:rFonts w:cs="Arial"/>
                <w:b/>
                <w:sz w:val="20"/>
                <w:szCs w:val="20"/>
              </w:rPr>
              <w:t>Table 1</w:t>
            </w:r>
            <w:r w:rsidRPr="0093659C">
              <w:rPr>
                <w:rFonts w:cs="Arial"/>
                <w:sz w:val="20"/>
                <w:szCs w:val="20"/>
              </w:rPr>
              <w:t xml:space="preserve"> Sample characteristics</w:t>
            </w:r>
          </w:p>
        </w:tc>
      </w:tr>
      <w:tr w:rsidR="00165A61" w:rsidRPr="0093659C" w14:paraId="4A1F320A" w14:textId="77777777" w:rsidTr="00EE380E">
        <w:tc>
          <w:tcPr>
            <w:tcW w:w="3777" w:type="dxa"/>
            <w:gridSpan w:val="2"/>
            <w:tcBorders>
              <w:top w:val="nil"/>
              <w:bottom w:val="single" w:sz="8" w:space="0" w:color="auto"/>
              <w:right w:val="nil"/>
            </w:tcBorders>
            <w:vAlign w:val="center"/>
          </w:tcPr>
          <w:p w14:paraId="04D0352F" w14:textId="77777777" w:rsidR="00165A61" w:rsidRPr="0093659C" w:rsidRDefault="00165A61" w:rsidP="00C838D6">
            <w:pPr>
              <w:spacing w:after="0" w:line="276" w:lineRule="auto"/>
              <w:contextualSpacing/>
              <w:jc w:val="center"/>
              <w:rPr>
                <w:rFonts w:cs="Arial"/>
                <w:sz w:val="20"/>
                <w:szCs w:val="20"/>
              </w:rPr>
            </w:pPr>
          </w:p>
        </w:tc>
        <w:tc>
          <w:tcPr>
            <w:tcW w:w="1606" w:type="dxa"/>
            <w:tcBorders>
              <w:top w:val="single" w:sz="4" w:space="0" w:color="auto"/>
              <w:left w:val="nil"/>
              <w:bottom w:val="single" w:sz="8" w:space="0" w:color="auto"/>
              <w:right w:val="nil"/>
            </w:tcBorders>
            <w:vAlign w:val="center"/>
          </w:tcPr>
          <w:p w14:paraId="4294ED6B" w14:textId="741FC63A" w:rsidR="00165A61" w:rsidRPr="0093659C" w:rsidRDefault="00165A61" w:rsidP="00576BD8">
            <w:pPr>
              <w:spacing w:after="0" w:line="276" w:lineRule="auto"/>
              <w:jc w:val="center"/>
              <w:rPr>
                <w:rFonts w:cs="Arial"/>
                <w:b/>
                <w:sz w:val="20"/>
                <w:szCs w:val="20"/>
              </w:rPr>
            </w:pPr>
            <w:r w:rsidRPr="0093659C">
              <w:rPr>
                <w:rFonts w:cs="Arial"/>
                <w:b/>
                <w:sz w:val="20"/>
                <w:szCs w:val="20"/>
              </w:rPr>
              <w:t>Men (</w:t>
            </w:r>
            <w:r w:rsidRPr="0093659C">
              <w:rPr>
                <w:rFonts w:cs="Arial"/>
                <w:b/>
                <w:i/>
                <w:sz w:val="20"/>
                <w:szCs w:val="20"/>
              </w:rPr>
              <w:t>n</w:t>
            </w:r>
            <w:r w:rsidRPr="0093659C">
              <w:rPr>
                <w:rFonts w:cs="Arial"/>
                <w:b/>
                <w:sz w:val="20"/>
                <w:szCs w:val="20"/>
              </w:rPr>
              <w:t>=</w:t>
            </w:r>
            <w:r w:rsidR="00576BD8">
              <w:rPr>
                <w:rFonts w:cs="Arial"/>
                <w:b/>
                <w:sz w:val="20"/>
                <w:szCs w:val="20"/>
              </w:rPr>
              <w:t>2614</w:t>
            </w:r>
            <w:r w:rsidRPr="0093659C">
              <w:rPr>
                <w:rFonts w:cs="Arial"/>
                <w:b/>
                <w:sz w:val="20"/>
                <w:szCs w:val="20"/>
              </w:rPr>
              <w:t>)</w:t>
            </w:r>
          </w:p>
        </w:tc>
        <w:tc>
          <w:tcPr>
            <w:tcW w:w="1665" w:type="dxa"/>
            <w:tcBorders>
              <w:top w:val="single" w:sz="4" w:space="0" w:color="auto"/>
              <w:left w:val="nil"/>
              <w:bottom w:val="single" w:sz="8" w:space="0" w:color="auto"/>
              <w:right w:val="nil"/>
            </w:tcBorders>
            <w:vAlign w:val="center"/>
          </w:tcPr>
          <w:p w14:paraId="6664F530" w14:textId="7616C4C6" w:rsidR="00165A61" w:rsidRPr="0093659C" w:rsidRDefault="00165A61" w:rsidP="00F951C4">
            <w:pPr>
              <w:spacing w:after="0" w:line="276" w:lineRule="auto"/>
              <w:contextualSpacing/>
              <w:jc w:val="center"/>
              <w:rPr>
                <w:rFonts w:cs="Arial"/>
                <w:b/>
                <w:sz w:val="20"/>
                <w:szCs w:val="20"/>
              </w:rPr>
            </w:pPr>
            <w:r w:rsidRPr="0093659C">
              <w:rPr>
                <w:rFonts w:cs="Arial"/>
                <w:b/>
                <w:sz w:val="20"/>
                <w:szCs w:val="20"/>
              </w:rPr>
              <w:t>Women (</w:t>
            </w:r>
            <w:r w:rsidRPr="0093659C">
              <w:rPr>
                <w:rFonts w:cs="Arial"/>
                <w:b/>
                <w:i/>
                <w:sz w:val="20"/>
                <w:szCs w:val="20"/>
              </w:rPr>
              <w:t>n</w:t>
            </w:r>
            <w:r w:rsidRPr="0093659C">
              <w:rPr>
                <w:rFonts w:cs="Arial"/>
                <w:b/>
                <w:sz w:val="20"/>
                <w:szCs w:val="20"/>
              </w:rPr>
              <w:t>=</w:t>
            </w:r>
            <w:r w:rsidR="00F951C4">
              <w:rPr>
                <w:rFonts w:cs="Arial"/>
                <w:b/>
                <w:sz w:val="20"/>
                <w:szCs w:val="20"/>
              </w:rPr>
              <w:t>3217</w:t>
            </w:r>
            <w:r w:rsidRPr="0093659C">
              <w:rPr>
                <w:rFonts w:cs="Arial"/>
                <w:b/>
                <w:sz w:val="20"/>
                <w:szCs w:val="20"/>
              </w:rPr>
              <w:t>)</w:t>
            </w:r>
          </w:p>
        </w:tc>
      </w:tr>
      <w:tr w:rsidR="00165A61" w:rsidRPr="0093659C" w14:paraId="02A5E7A4" w14:textId="77777777" w:rsidTr="00EE380E">
        <w:tc>
          <w:tcPr>
            <w:tcW w:w="3777" w:type="dxa"/>
            <w:gridSpan w:val="2"/>
            <w:tcBorders>
              <w:top w:val="nil"/>
              <w:bottom w:val="single" w:sz="4" w:space="0" w:color="auto"/>
              <w:right w:val="nil"/>
            </w:tcBorders>
          </w:tcPr>
          <w:p w14:paraId="29CF9049"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Age (mean [SD] years)</w:t>
            </w:r>
          </w:p>
        </w:tc>
        <w:tc>
          <w:tcPr>
            <w:tcW w:w="1606" w:type="dxa"/>
            <w:tcBorders>
              <w:top w:val="nil"/>
              <w:bottom w:val="single" w:sz="4" w:space="0" w:color="auto"/>
            </w:tcBorders>
          </w:tcPr>
          <w:p w14:paraId="1ADF1484" w14:textId="6D210DC7" w:rsidR="00165A61" w:rsidRPr="0093659C" w:rsidRDefault="00C520E0" w:rsidP="00F951C4">
            <w:pPr>
              <w:spacing w:after="0" w:line="276" w:lineRule="auto"/>
              <w:contextualSpacing/>
              <w:jc w:val="center"/>
              <w:rPr>
                <w:rFonts w:cs="Arial"/>
                <w:sz w:val="20"/>
                <w:szCs w:val="20"/>
              </w:rPr>
            </w:pPr>
            <w:r>
              <w:rPr>
                <w:rFonts w:cs="Arial"/>
                <w:sz w:val="20"/>
                <w:szCs w:val="20"/>
              </w:rPr>
              <w:t>64.3</w:t>
            </w:r>
            <w:r w:rsidR="00F951C4">
              <w:rPr>
                <w:rFonts w:cs="Arial"/>
                <w:sz w:val="20"/>
                <w:szCs w:val="20"/>
              </w:rPr>
              <w:t>7</w:t>
            </w:r>
            <w:r>
              <w:rPr>
                <w:rFonts w:cs="Arial"/>
                <w:sz w:val="20"/>
                <w:szCs w:val="20"/>
              </w:rPr>
              <w:t xml:space="preserve"> (9.7</w:t>
            </w:r>
            <w:r w:rsidR="00F951C4">
              <w:rPr>
                <w:rFonts w:cs="Arial"/>
                <w:sz w:val="20"/>
                <w:szCs w:val="20"/>
              </w:rPr>
              <w:t>8</w:t>
            </w:r>
            <w:r>
              <w:rPr>
                <w:rFonts w:cs="Arial"/>
                <w:sz w:val="20"/>
                <w:szCs w:val="20"/>
              </w:rPr>
              <w:t>)</w:t>
            </w:r>
          </w:p>
        </w:tc>
        <w:tc>
          <w:tcPr>
            <w:tcW w:w="1665" w:type="dxa"/>
            <w:tcBorders>
              <w:top w:val="nil"/>
              <w:bottom w:val="single" w:sz="4" w:space="0" w:color="auto"/>
            </w:tcBorders>
          </w:tcPr>
          <w:p w14:paraId="7B22D72E" w14:textId="189AF009" w:rsidR="00165A61" w:rsidRPr="0093659C" w:rsidRDefault="00C520E0" w:rsidP="00F951C4">
            <w:pPr>
              <w:spacing w:after="0" w:line="276" w:lineRule="auto"/>
              <w:contextualSpacing/>
              <w:jc w:val="center"/>
              <w:rPr>
                <w:rFonts w:cs="Arial"/>
                <w:sz w:val="20"/>
                <w:szCs w:val="20"/>
                <w:lang w:val="en-US"/>
              </w:rPr>
            </w:pPr>
            <w:r>
              <w:rPr>
                <w:rFonts w:cs="Arial"/>
                <w:sz w:val="20"/>
                <w:szCs w:val="20"/>
                <w:lang w:val="en-US"/>
              </w:rPr>
              <w:t>65.26 (10.0</w:t>
            </w:r>
            <w:r w:rsidR="00F951C4">
              <w:rPr>
                <w:rFonts w:cs="Arial"/>
                <w:sz w:val="20"/>
                <w:szCs w:val="20"/>
                <w:lang w:val="en-US"/>
              </w:rPr>
              <w:t>8</w:t>
            </w:r>
            <w:r>
              <w:rPr>
                <w:rFonts w:cs="Arial"/>
                <w:sz w:val="20"/>
                <w:szCs w:val="20"/>
                <w:lang w:val="en-US"/>
              </w:rPr>
              <w:t>)</w:t>
            </w:r>
          </w:p>
        </w:tc>
      </w:tr>
      <w:tr w:rsidR="00165A61" w:rsidRPr="0093659C" w14:paraId="193F97AF" w14:textId="77777777" w:rsidTr="00EE380E">
        <w:tc>
          <w:tcPr>
            <w:tcW w:w="3777" w:type="dxa"/>
            <w:gridSpan w:val="2"/>
            <w:tcBorders>
              <w:top w:val="single" w:sz="4" w:space="0" w:color="auto"/>
              <w:bottom w:val="nil"/>
              <w:right w:val="nil"/>
            </w:tcBorders>
          </w:tcPr>
          <w:p w14:paraId="31B42FA8"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Partner status</w:t>
            </w:r>
          </w:p>
        </w:tc>
        <w:tc>
          <w:tcPr>
            <w:tcW w:w="1606" w:type="dxa"/>
            <w:tcBorders>
              <w:top w:val="single" w:sz="4" w:space="0" w:color="auto"/>
              <w:bottom w:val="nil"/>
            </w:tcBorders>
          </w:tcPr>
          <w:p w14:paraId="689518E5" w14:textId="77777777" w:rsidR="00165A61" w:rsidRPr="0093659C" w:rsidRDefault="00165A61" w:rsidP="00C838D6">
            <w:pPr>
              <w:spacing w:after="0" w:line="276" w:lineRule="auto"/>
              <w:contextualSpacing/>
              <w:jc w:val="center"/>
              <w:rPr>
                <w:rFonts w:cs="Arial"/>
                <w:sz w:val="20"/>
                <w:szCs w:val="20"/>
              </w:rPr>
            </w:pPr>
          </w:p>
        </w:tc>
        <w:tc>
          <w:tcPr>
            <w:tcW w:w="1665" w:type="dxa"/>
            <w:tcBorders>
              <w:top w:val="single" w:sz="4" w:space="0" w:color="auto"/>
              <w:bottom w:val="nil"/>
            </w:tcBorders>
          </w:tcPr>
          <w:p w14:paraId="3AE90A5E" w14:textId="77777777" w:rsidR="00165A61" w:rsidRPr="0093659C" w:rsidRDefault="00165A61" w:rsidP="00C838D6">
            <w:pPr>
              <w:spacing w:after="0" w:line="276" w:lineRule="auto"/>
              <w:contextualSpacing/>
              <w:jc w:val="center"/>
              <w:rPr>
                <w:rFonts w:cs="Arial"/>
                <w:sz w:val="20"/>
                <w:szCs w:val="20"/>
              </w:rPr>
            </w:pPr>
          </w:p>
        </w:tc>
      </w:tr>
      <w:tr w:rsidR="00165A61" w:rsidRPr="0093659C" w14:paraId="61BDC51D" w14:textId="77777777" w:rsidTr="00EE380E">
        <w:tc>
          <w:tcPr>
            <w:tcW w:w="284" w:type="dxa"/>
            <w:tcBorders>
              <w:top w:val="nil"/>
              <w:bottom w:val="nil"/>
              <w:right w:val="nil"/>
            </w:tcBorders>
          </w:tcPr>
          <w:p w14:paraId="37AADEC1"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nil"/>
              <w:left w:val="nil"/>
              <w:bottom w:val="single" w:sz="4" w:space="0" w:color="auto"/>
              <w:right w:val="nil"/>
            </w:tcBorders>
            <w:vAlign w:val="center"/>
          </w:tcPr>
          <w:p w14:paraId="31306536"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Married/cohabiting</w:t>
            </w:r>
          </w:p>
        </w:tc>
        <w:tc>
          <w:tcPr>
            <w:tcW w:w="1606" w:type="dxa"/>
            <w:tcBorders>
              <w:top w:val="nil"/>
              <w:left w:val="nil"/>
              <w:bottom w:val="single" w:sz="4" w:space="0" w:color="auto"/>
              <w:right w:val="nil"/>
            </w:tcBorders>
          </w:tcPr>
          <w:p w14:paraId="28A78CF4" w14:textId="15390FD3" w:rsidR="00165A61" w:rsidRPr="0093659C" w:rsidRDefault="00F951C4" w:rsidP="00C838D6">
            <w:pPr>
              <w:spacing w:after="0" w:line="276" w:lineRule="auto"/>
              <w:contextualSpacing/>
              <w:jc w:val="center"/>
              <w:rPr>
                <w:rFonts w:cs="Arial"/>
                <w:sz w:val="20"/>
                <w:szCs w:val="20"/>
              </w:rPr>
            </w:pPr>
            <w:r>
              <w:rPr>
                <w:rFonts w:cs="Arial"/>
                <w:sz w:val="20"/>
                <w:szCs w:val="20"/>
              </w:rPr>
              <w:t>73.6</w:t>
            </w:r>
          </w:p>
        </w:tc>
        <w:tc>
          <w:tcPr>
            <w:tcW w:w="1665" w:type="dxa"/>
            <w:tcBorders>
              <w:top w:val="nil"/>
              <w:left w:val="nil"/>
              <w:bottom w:val="single" w:sz="4" w:space="0" w:color="auto"/>
              <w:right w:val="nil"/>
            </w:tcBorders>
          </w:tcPr>
          <w:p w14:paraId="3ED7394B" w14:textId="5583B0B3" w:rsidR="00165A61" w:rsidRPr="0093659C" w:rsidRDefault="00C520E0" w:rsidP="00C838D6">
            <w:pPr>
              <w:spacing w:after="0" w:line="276" w:lineRule="auto"/>
              <w:contextualSpacing/>
              <w:jc w:val="center"/>
              <w:rPr>
                <w:rFonts w:cs="Arial"/>
                <w:sz w:val="20"/>
                <w:szCs w:val="20"/>
              </w:rPr>
            </w:pPr>
            <w:r>
              <w:rPr>
                <w:rFonts w:cs="Arial"/>
                <w:sz w:val="20"/>
                <w:szCs w:val="20"/>
              </w:rPr>
              <w:t>61.6</w:t>
            </w:r>
          </w:p>
        </w:tc>
      </w:tr>
      <w:tr w:rsidR="00165A61" w:rsidRPr="0093659C" w14:paraId="3BBFBF13" w14:textId="77777777" w:rsidTr="00EE380E">
        <w:tc>
          <w:tcPr>
            <w:tcW w:w="284" w:type="dxa"/>
            <w:tcBorders>
              <w:top w:val="nil"/>
              <w:bottom w:val="nil"/>
              <w:right w:val="nil"/>
            </w:tcBorders>
          </w:tcPr>
          <w:p w14:paraId="483FE5B1"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565B9051"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Separated/divorced</w:t>
            </w:r>
          </w:p>
        </w:tc>
        <w:tc>
          <w:tcPr>
            <w:tcW w:w="1606" w:type="dxa"/>
            <w:tcBorders>
              <w:top w:val="single" w:sz="4" w:space="0" w:color="auto"/>
              <w:left w:val="nil"/>
              <w:bottom w:val="single" w:sz="4" w:space="0" w:color="auto"/>
              <w:right w:val="nil"/>
            </w:tcBorders>
          </w:tcPr>
          <w:p w14:paraId="11BC452D" w14:textId="388461A9" w:rsidR="00165A61" w:rsidRPr="0093659C" w:rsidRDefault="00F951C4" w:rsidP="00C838D6">
            <w:pPr>
              <w:spacing w:after="0" w:line="276" w:lineRule="auto"/>
              <w:contextualSpacing/>
              <w:jc w:val="center"/>
              <w:rPr>
                <w:rFonts w:cs="Arial"/>
                <w:sz w:val="20"/>
                <w:szCs w:val="20"/>
              </w:rPr>
            </w:pPr>
            <w:r>
              <w:rPr>
                <w:rFonts w:cs="Arial"/>
                <w:sz w:val="20"/>
                <w:szCs w:val="20"/>
              </w:rPr>
              <w:t>11.4</w:t>
            </w:r>
          </w:p>
        </w:tc>
        <w:tc>
          <w:tcPr>
            <w:tcW w:w="1665" w:type="dxa"/>
            <w:tcBorders>
              <w:top w:val="single" w:sz="4" w:space="0" w:color="auto"/>
              <w:left w:val="nil"/>
              <w:bottom w:val="single" w:sz="4" w:space="0" w:color="auto"/>
              <w:right w:val="nil"/>
            </w:tcBorders>
          </w:tcPr>
          <w:p w14:paraId="7EB68957" w14:textId="568C67CB" w:rsidR="00165A61" w:rsidRPr="0093659C" w:rsidRDefault="00F951C4" w:rsidP="00C838D6">
            <w:pPr>
              <w:spacing w:after="0" w:line="276" w:lineRule="auto"/>
              <w:contextualSpacing/>
              <w:jc w:val="center"/>
              <w:rPr>
                <w:rFonts w:cs="Arial"/>
                <w:sz w:val="20"/>
                <w:szCs w:val="20"/>
              </w:rPr>
            </w:pPr>
            <w:r>
              <w:rPr>
                <w:rFonts w:cs="Arial"/>
                <w:sz w:val="20"/>
                <w:szCs w:val="20"/>
              </w:rPr>
              <w:t>15.9</w:t>
            </w:r>
          </w:p>
        </w:tc>
      </w:tr>
      <w:tr w:rsidR="00165A61" w:rsidRPr="0093659C" w14:paraId="4C3E63A8" w14:textId="77777777" w:rsidTr="00EE380E">
        <w:tc>
          <w:tcPr>
            <w:tcW w:w="284" w:type="dxa"/>
            <w:tcBorders>
              <w:top w:val="nil"/>
              <w:bottom w:val="nil"/>
              <w:right w:val="nil"/>
            </w:tcBorders>
          </w:tcPr>
          <w:p w14:paraId="4612081B"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3CCDC33C"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Widowed</w:t>
            </w:r>
          </w:p>
        </w:tc>
        <w:tc>
          <w:tcPr>
            <w:tcW w:w="1606" w:type="dxa"/>
            <w:tcBorders>
              <w:top w:val="single" w:sz="4" w:space="0" w:color="auto"/>
              <w:left w:val="nil"/>
              <w:bottom w:val="single" w:sz="4" w:space="0" w:color="auto"/>
              <w:right w:val="nil"/>
            </w:tcBorders>
          </w:tcPr>
          <w:p w14:paraId="3CC79CF4" w14:textId="3BB2994E" w:rsidR="00165A61" w:rsidRPr="0093659C" w:rsidRDefault="00F951C4" w:rsidP="00C838D6">
            <w:pPr>
              <w:spacing w:after="0" w:line="276" w:lineRule="auto"/>
              <w:contextualSpacing/>
              <w:jc w:val="center"/>
              <w:rPr>
                <w:rFonts w:cs="Arial"/>
                <w:sz w:val="20"/>
                <w:szCs w:val="20"/>
              </w:rPr>
            </w:pPr>
            <w:r>
              <w:rPr>
                <w:rFonts w:cs="Arial"/>
                <w:sz w:val="20"/>
                <w:szCs w:val="20"/>
              </w:rPr>
              <w:t>6.2</w:t>
            </w:r>
          </w:p>
        </w:tc>
        <w:tc>
          <w:tcPr>
            <w:tcW w:w="1665" w:type="dxa"/>
            <w:tcBorders>
              <w:top w:val="single" w:sz="4" w:space="0" w:color="auto"/>
              <w:left w:val="nil"/>
              <w:bottom w:val="single" w:sz="4" w:space="0" w:color="auto"/>
              <w:right w:val="nil"/>
            </w:tcBorders>
          </w:tcPr>
          <w:p w14:paraId="50DD1368" w14:textId="25E35AD2" w:rsidR="00165A61" w:rsidRPr="0093659C" w:rsidRDefault="00C520E0" w:rsidP="00C838D6">
            <w:pPr>
              <w:spacing w:after="0" w:line="276" w:lineRule="auto"/>
              <w:contextualSpacing/>
              <w:jc w:val="center"/>
              <w:rPr>
                <w:rFonts w:cs="Arial"/>
                <w:sz w:val="20"/>
                <w:szCs w:val="20"/>
              </w:rPr>
            </w:pPr>
            <w:r>
              <w:rPr>
                <w:rFonts w:cs="Arial"/>
                <w:sz w:val="20"/>
                <w:szCs w:val="20"/>
              </w:rPr>
              <w:t>16.8</w:t>
            </w:r>
          </w:p>
        </w:tc>
      </w:tr>
      <w:tr w:rsidR="00165A61" w:rsidRPr="0093659C" w14:paraId="2F4263ED" w14:textId="77777777" w:rsidTr="00EE380E">
        <w:tc>
          <w:tcPr>
            <w:tcW w:w="284" w:type="dxa"/>
            <w:tcBorders>
              <w:top w:val="nil"/>
              <w:bottom w:val="nil"/>
              <w:right w:val="nil"/>
            </w:tcBorders>
          </w:tcPr>
          <w:p w14:paraId="10820CEF"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nil"/>
              <w:right w:val="nil"/>
            </w:tcBorders>
            <w:vAlign w:val="center"/>
          </w:tcPr>
          <w:p w14:paraId="6836EBB0"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Single/never married</w:t>
            </w:r>
          </w:p>
        </w:tc>
        <w:tc>
          <w:tcPr>
            <w:tcW w:w="1606" w:type="dxa"/>
            <w:tcBorders>
              <w:top w:val="single" w:sz="4" w:space="0" w:color="auto"/>
              <w:left w:val="nil"/>
              <w:bottom w:val="nil"/>
              <w:right w:val="nil"/>
            </w:tcBorders>
          </w:tcPr>
          <w:p w14:paraId="1DFCA7FD" w14:textId="7944FB9B" w:rsidR="00165A61" w:rsidRPr="0093659C" w:rsidRDefault="00C520E0" w:rsidP="00C838D6">
            <w:pPr>
              <w:spacing w:after="0" w:line="276" w:lineRule="auto"/>
              <w:contextualSpacing/>
              <w:jc w:val="center"/>
              <w:rPr>
                <w:rFonts w:cs="Arial"/>
                <w:sz w:val="20"/>
                <w:szCs w:val="20"/>
              </w:rPr>
            </w:pPr>
            <w:r>
              <w:rPr>
                <w:rFonts w:cs="Arial"/>
                <w:sz w:val="20"/>
                <w:szCs w:val="20"/>
              </w:rPr>
              <w:t>8.7</w:t>
            </w:r>
          </w:p>
        </w:tc>
        <w:tc>
          <w:tcPr>
            <w:tcW w:w="1665" w:type="dxa"/>
            <w:tcBorders>
              <w:top w:val="single" w:sz="4" w:space="0" w:color="auto"/>
              <w:left w:val="nil"/>
              <w:bottom w:val="nil"/>
              <w:right w:val="nil"/>
            </w:tcBorders>
          </w:tcPr>
          <w:p w14:paraId="00C561B7" w14:textId="67BEA52B" w:rsidR="00165A61" w:rsidRPr="0093659C" w:rsidRDefault="00C520E0" w:rsidP="00C838D6">
            <w:pPr>
              <w:spacing w:after="0" w:line="276" w:lineRule="auto"/>
              <w:contextualSpacing/>
              <w:jc w:val="center"/>
              <w:rPr>
                <w:rFonts w:cs="Arial"/>
                <w:sz w:val="20"/>
                <w:szCs w:val="20"/>
              </w:rPr>
            </w:pPr>
            <w:r>
              <w:rPr>
                <w:rFonts w:cs="Arial"/>
                <w:sz w:val="20"/>
                <w:szCs w:val="20"/>
              </w:rPr>
              <w:t>5.8</w:t>
            </w:r>
          </w:p>
        </w:tc>
      </w:tr>
      <w:tr w:rsidR="00165A61" w:rsidRPr="0093659C" w14:paraId="01AF8141" w14:textId="77777777" w:rsidTr="00EE380E">
        <w:tc>
          <w:tcPr>
            <w:tcW w:w="3777" w:type="dxa"/>
            <w:gridSpan w:val="2"/>
            <w:tcBorders>
              <w:top w:val="single" w:sz="4" w:space="0" w:color="auto"/>
              <w:bottom w:val="nil"/>
              <w:right w:val="nil"/>
            </w:tcBorders>
          </w:tcPr>
          <w:p w14:paraId="210048A7"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Ethnicity</w:t>
            </w:r>
          </w:p>
        </w:tc>
        <w:tc>
          <w:tcPr>
            <w:tcW w:w="1606" w:type="dxa"/>
            <w:tcBorders>
              <w:top w:val="single" w:sz="4" w:space="0" w:color="auto"/>
              <w:bottom w:val="nil"/>
            </w:tcBorders>
          </w:tcPr>
          <w:p w14:paraId="22EFED93" w14:textId="77777777" w:rsidR="00165A61" w:rsidRPr="0093659C" w:rsidRDefault="00165A61" w:rsidP="00C838D6">
            <w:pPr>
              <w:spacing w:after="0" w:line="276" w:lineRule="auto"/>
              <w:contextualSpacing/>
              <w:jc w:val="center"/>
              <w:rPr>
                <w:rFonts w:cs="Arial"/>
                <w:sz w:val="20"/>
                <w:szCs w:val="20"/>
              </w:rPr>
            </w:pPr>
          </w:p>
        </w:tc>
        <w:tc>
          <w:tcPr>
            <w:tcW w:w="1665" w:type="dxa"/>
            <w:tcBorders>
              <w:top w:val="single" w:sz="4" w:space="0" w:color="auto"/>
              <w:bottom w:val="nil"/>
            </w:tcBorders>
          </w:tcPr>
          <w:p w14:paraId="6979D364" w14:textId="77777777" w:rsidR="00165A61" w:rsidRPr="0093659C" w:rsidRDefault="00165A61" w:rsidP="00C838D6">
            <w:pPr>
              <w:spacing w:after="0" w:line="276" w:lineRule="auto"/>
              <w:contextualSpacing/>
              <w:jc w:val="center"/>
              <w:rPr>
                <w:rFonts w:cs="Arial"/>
                <w:sz w:val="20"/>
                <w:szCs w:val="20"/>
              </w:rPr>
            </w:pPr>
          </w:p>
        </w:tc>
      </w:tr>
      <w:tr w:rsidR="00165A61" w:rsidRPr="0093659C" w14:paraId="6FE118D5" w14:textId="77777777" w:rsidTr="00EE380E">
        <w:tc>
          <w:tcPr>
            <w:tcW w:w="284" w:type="dxa"/>
            <w:tcBorders>
              <w:top w:val="nil"/>
              <w:bottom w:val="nil"/>
              <w:right w:val="nil"/>
            </w:tcBorders>
          </w:tcPr>
          <w:p w14:paraId="44FE5535"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nil"/>
              <w:left w:val="nil"/>
              <w:bottom w:val="single" w:sz="4" w:space="0" w:color="auto"/>
              <w:right w:val="nil"/>
            </w:tcBorders>
            <w:vAlign w:val="center"/>
          </w:tcPr>
          <w:p w14:paraId="6C17ADBE"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White</w:t>
            </w:r>
          </w:p>
        </w:tc>
        <w:tc>
          <w:tcPr>
            <w:tcW w:w="1606" w:type="dxa"/>
            <w:tcBorders>
              <w:top w:val="nil"/>
              <w:left w:val="nil"/>
              <w:bottom w:val="single" w:sz="4" w:space="0" w:color="auto"/>
              <w:right w:val="nil"/>
            </w:tcBorders>
          </w:tcPr>
          <w:p w14:paraId="63713A8C" w14:textId="13C656C2" w:rsidR="00165A61" w:rsidRPr="0093659C" w:rsidRDefault="00C520E0" w:rsidP="00C838D6">
            <w:pPr>
              <w:spacing w:after="0" w:line="276" w:lineRule="auto"/>
              <w:contextualSpacing/>
              <w:jc w:val="center"/>
              <w:rPr>
                <w:rFonts w:cs="Arial"/>
                <w:sz w:val="20"/>
                <w:szCs w:val="20"/>
              </w:rPr>
            </w:pPr>
            <w:r>
              <w:rPr>
                <w:rFonts w:cs="Arial"/>
                <w:sz w:val="20"/>
                <w:szCs w:val="20"/>
              </w:rPr>
              <w:t>93.8</w:t>
            </w:r>
          </w:p>
        </w:tc>
        <w:tc>
          <w:tcPr>
            <w:tcW w:w="1665" w:type="dxa"/>
            <w:tcBorders>
              <w:top w:val="nil"/>
              <w:left w:val="nil"/>
              <w:bottom w:val="single" w:sz="4" w:space="0" w:color="auto"/>
              <w:right w:val="nil"/>
            </w:tcBorders>
          </w:tcPr>
          <w:p w14:paraId="09DFF5B0" w14:textId="6DBFDE8F" w:rsidR="00165A61" w:rsidRPr="0093659C" w:rsidRDefault="00C520E0" w:rsidP="00C838D6">
            <w:pPr>
              <w:spacing w:after="0" w:line="276" w:lineRule="auto"/>
              <w:contextualSpacing/>
              <w:jc w:val="center"/>
              <w:rPr>
                <w:rFonts w:cs="Arial"/>
                <w:sz w:val="20"/>
                <w:szCs w:val="20"/>
              </w:rPr>
            </w:pPr>
            <w:r>
              <w:rPr>
                <w:rFonts w:cs="Arial"/>
                <w:sz w:val="20"/>
                <w:szCs w:val="20"/>
              </w:rPr>
              <w:t>96.0</w:t>
            </w:r>
          </w:p>
        </w:tc>
      </w:tr>
      <w:tr w:rsidR="00165A61" w:rsidRPr="0093659C" w14:paraId="38A36EE5" w14:textId="77777777" w:rsidTr="00EE380E">
        <w:tc>
          <w:tcPr>
            <w:tcW w:w="284" w:type="dxa"/>
            <w:tcBorders>
              <w:top w:val="nil"/>
              <w:bottom w:val="nil"/>
              <w:right w:val="nil"/>
            </w:tcBorders>
          </w:tcPr>
          <w:p w14:paraId="2982908D"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10F03DBA"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Non-white</w:t>
            </w:r>
          </w:p>
        </w:tc>
        <w:tc>
          <w:tcPr>
            <w:tcW w:w="1606" w:type="dxa"/>
            <w:tcBorders>
              <w:top w:val="single" w:sz="4" w:space="0" w:color="auto"/>
              <w:left w:val="nil"/>
              <w:bottom w:val="single" w:sz="4" w:space="0" w:color="auto"/>
              <w:right w:val="nil"/>
            </w:tcBorders>
          </w:tcPr>
          <w:p w14:paraId="6B7CCD81" w14:textId="499A4A4F" w:rsidR="00165A61" w:rsidRPr="0093659C" w:rsidRDefault="00C520E0" w:rsidP="00C838D6">
            <w:pPr>
              <w:spacing w:after="0" w:line="276" w:lineRule="auto"/>
              <w:contextualSpacing/>
              <w:jc w:val="center"/>
              <w:rPr>
                <w:rFonts w:cs="Arial"/>
                <w:sz w:val="20"/>
                <w:szCs w:val="20"/>
              </w:rPr>
            </w:pPr>
            <w:r>
              <w:rPr>
                <w:rFonts w:cs="Arial"/>
                <w:sz w:val="20"/>
                <w:szCs w:val="20"/>
              </w:rPr>
              <w:t>6.2</w:t>
            </w:r>
          </w:p>
        </w:tc>
        <w:tc>
          <w:tcPr>
            <w:tcW w:w="1665" w:type="dxa"/>
            <w:tcBorders>
              <w:top w:val="single" w:sz="4" w:space="0" w:color="auto"/>
              <w:left w:val="nil"/>
              <w:bottom w:val="single" w:sz="4" w:space="0" w:color="auto"/>
              <w:right w:val="nil"/>
            </w:tcBorders>
          </w:tcPr>
          <w:p w14:paraId="2DE4ABE6" w14:textId="22FB5042" w:rsidR="00165A61" w:rsidRPr="0093659C" w:rsidRDefault="00C520E0" w:rsidP="00C838D6">
            <w:pPr>
              <w:spacing w:after="0" w:line="276" w:lineRule="auto"/>
              <w:contextualSpacing/>
              <w:jc w:val="center"/>
              <w:rPr>
                <w:rFonts w:cs="Arial"/>
                <w:sz w:val="20"/>
                <w:szCs w:val="20"/>
              </w:rPr>
            </w:pPr>
            <w:r>
              <w:rPr>
                <w:rFonts w:cs="Arial"/>
                <w:sz w:val="20"/>
                <w:szCs w:val="20"/>
              </w:rPr>
              <w:t>4.0</w:t>
            </w:r>
          </w:p>
        </w:tc>
      </w:tr>
      <w:tr w:rsidR="00165A61" w:rsidRPr="0093659C" w14:paraId="528DC0A5" w14:textId="77777777" w:rsidTr="00EE380E">
        <w:tc>
          <w:tcPr>
            <w:tcW w:w="3777" w:type="dxa"/>
            <w:gridSpan w:val="2"/>
            <w:tcBorders>
              <w:top w:val="single" w:sz="4" w:space="0" w:color="auto"/>
              <w:bottom w:val="nil"/>
              <w:right w:val="nil"/>
            </w:tcBorders>
          </w:tcPr>
          <w:p w14:paraId="70E226F2"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Wealth quintile</w:t>
            </w:r>
          </w:p>
        </w:tc>
        <w:tc>
          <w:tcPr>
            <w:tcW w:w="1606" w:type="dxa"/>
            <w:tcBorders>
              <w:top w:val="single" w:sz="4" w:space="0" w:color="auto"/>
              <w:bottom w:val="nil"/>
            </w:tcBorders>
          </w:tcPr>
          <w:p w14:paraId="2EFD175D" w14:textId="77777777" w:rsidR="00165A61" w:rsidRPr="0093659C" w:rsidRDefault="00165A61" w:rsidP="00C838D6">
            <w:pPr>
              <w:spacing w:after="0" w:line="276" w:lineRule="auto"/>
              <w:contextualSpacing/>
              <w:jc w:val="center"/>
              <w:rPr>
                <w:rFonts w:cs="Arial"/>
                <w:sz w:val="20"/>
                <w:szCs w:val="20"/>
              </w:rPr>
            </w:pPr>
          </w:p>
        </w:tc>
        <w:tc>
          <w:tcPr>
            <w:tcW w:w="1665" w:type="dxa"/>
            <w:tcBorders>
              <w:top w:val="single" w:sz="4" w:space="0" w:color="auto"/>
              <w:bottom w:val="nil"/>
            </w:tcBorders>
          </w:tcPr>
          <w:p w14:paraId="3E761198" w14:textId="77777777" w:rsidR="00165A61" w:rsidRPr="0093659C" w:rsidRDefault="00165A61" w:rsidP="00C838D6">
            <w:pPr>
              <w:spacing w:after="0" w:line="276" w:lineRule="auto"/>
              <w:contextualSpacing/>
              <w:jc w:val="center"/>
              <w:rPr>
                <w:rFonts w:cs="Arial"/>
                <w:sz w:val="20"/>
                <w:szCs w:val="20"/>
              </w:rPr>
            </w:pPr>
          </w:p>
        </w:tc>
      </w:tr>
      <w:tr w:rsidR="00165A61" w:rsidRPr="0093659C" w14:paraId="2BA7F4A4" w14:textId="77777777" w:rsidTr="00EE380E">
        <w:tc>
          <w:tcPr>
            <w:tcW w:w="284" w:type="dxa"/>
            <w:tcBorders>
              <w:top w:val="nil"/>
              <w:bottom w:val="nil"/>
              <w:right w:val="nil"/>
            </w:tcBorders>
          </w:tcPr>
          <w:p w14:paraId="23245E46"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nil"/>
              <w:left w:val="nil"/>
              <w:bottom w:val="single" w:sz="4" w:space="0" w:color="auto"/>
              <w:right w:val="nil"/>
            </w:tcBorders>
            <w:vAlign w:val="center"/>
          </w:tcPr>
          <w:p w14:paraId="45415F39"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1 (poorest)</w:t>
            </w:r>
          </w:p>
        </w:tc>
        <w:tc>
          <w:tcPr>
            <w:tcW w:w="1606" w:type="dxa"/>
            <w:tcBorders>
              <w:top w:val="nil"/>
              <w:left w:val="nil"/>
              <w:bottom w:val="single" w:sz="4" w:space="0" w:color="auto"/>
              <w:right w:val="nil"/>
            </w:tcBorders>
          </w:tcPr>
          <w:p w14:paraId="77EEE598" w14:textId="3CD7CD6B" w:rsidR="00165A61" w:rsidRPr="0093659C" w:rsidRDefault="00C520E0" w:rsidP="00C838D6">
            <w:pPr>
              <w:spacing w:after="0" w:line="276" w:lineRule="auto"/>
              <w:contextualSpacing/>
              <w:jc w:val="center"/>
              <w:rPr>
                <w:rFonts w:cs="Arial"/>
                <w:sz w:val="20"/>
                <w:szCs w:val="20"/>
              </w:rPr>
            </w:pPr>
            <w:r>
              <w:rPr>
                <w:rFonts w:cs="Arial"/>
                <w:sz w:val="20"/>
                <w:szCs w:val="20"/>
              </w:rPr>
              <w:t>17.4</w:t>
            </w:r>
          </w:p>
        </w:tc>
        <w:tc>
          <w:tcPr>
            <w:tcW w:w="1665" w:type="dxa"/>
            <w:tcBorders>
              <w:top w:val="nil"/>
              <w:left w:val="nil"/>
              <w:bottom w:val="single" w:sz="4" w:space="0" w:color="auto"/>
              <w:right w:val="nil"/>
            </w:tcBorders>
          </w:tcPr>
          <w:p w14:paraId="22EAFAE5" w14:textId="0D81E63A" w:rsidR="00165A61" w:rsidRPr="0093659C" w:rsidRDefault="00F951C4" w:rsidP="00C838D6">
            <w:pPr>
              <w:spacing w:after="0" w:line="276" w:lineRule="auto"/>
              <w:contextualSpacing/>
              <w:jc w:val="center"/>
              <w:rPr>
                <w:rFonts w:cs="Arial"/>
                <w:sz w:val="20"/>
                <w:szCs w:val="20"/>
              </w:rPr>
            </w:pPr>
            <w:r>
              <w:rPr>
                <w:rFonts w:cs="Arial"/>
                <w:sz w:val="20"/>
                <w:szCs w:val="20"/>
              </w:rPr>
              <w:t>19.8</w:t>
            </w:r>
          </w:p>
        </w:tc>
      </w:tr>
      <w:tr w:rsidR="00165A61" w:rsidRPr="0093659C" w14:paraId="7C65CFE3" w14:textId="77777777" w:rsidTr="00EE380E">
        <w:tc>
          <w:tcPr>
            <w:tcW w:w="284" w:type="dxa"/>
            <w:tcBorders>
              <w:top w:val="nil"/>
              <w:bottom w:val="nil"/>
              <w:right w:val="nil"/>
            </w:tcBorders>
          </w:tcPr>
          <w:p w14:paraId="6560FC10"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54B2CC66"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2</w:t>
            </w:r>
          </w:p>
        </w:tc>
        <w:tc>
          <w:tcPr>
            <w:tcW w:w="1606" w:type="dxa"/>
            <w:tcBorders>
              <w:top w:val="single" w:sz="4" w:space="0" w:color="auto"/>
              <w:left w:val="nil"/>
              <w:bottom w:val="single" w:sz="4" w:space="0" w:color="auto"/>
              <w:right w:val="nil"/>
            </w:tcBorders>
          </w:tcPr>
          <w:p w14:paraId="6A58560B" w14:textId="31D29379" w:rsidR="00165A61" w:rsidRPr="0093659C" w:rsidRDefault="00F951C4" w:rsidP="00C838D6">
            <w:pPr>
              <w:spacing w:after="0" w:line="276" w:lineRule="auto"/>
              <w:contextualSpacing/>
              <w:jc w:val="center"/>
              <w:rPr>
                <w:rFonts w:cs="Arial"/>
                <w:sz w:val="20"/>
                <w:szCs w:val="20"/>
              </w:rPr>
            </w:pPr>
            <w:r>
              <w:rPr>
                <w:rFonts w:cs="Arial"/>
                <w:sz w:val="20"/>
                <w:szCs w:val="20"/>
              </w:rPr>
              <w:t>19.2</w:t>
            </w:r>
          </w:p>
        </w:tc>
        <w:tc>
          <w:tcPr>
            <w:tcW w:w="1665" w:type="dxa"/>
            <w:tcBorders>
              <w:top w:val="single" w:sz="4" w:space="0" w:color="auto"/>
              <w:left w:val="nil"/>
              <w:bottom w:val="single" w:sz="4" w:space="0" w:color="auto"/>
              <w:right w:val="nil"/>
            </w:tcBorders>
          </w:tcPr>
          <w:p w14:paraId="59E9E0E6" w14:textId="2159DB0F" w:rsidR="00165A61" w:rsidRPr="0093659C" w:rsidRDefault="00F951C4" w:rsidP="00C838D6">
            <w:pPr>
              <w:spacing w:after="0" w:line="276" w:lineRule="auto"/>
              <w:contextualSpacing/>
              <w:jc w:val="center"/>
              <w:rPr>
                <w:rFonts w:cs="Arial"/>
                <w:sz w:val="20"/>
                <w:szCs w:val="20"/>
              </w:rPr>
            </w:pPr>
            <w:r>
              <w:rPr>
                <w:rFonts w:cs="Arial"/>
                <w:sz w:val="20"/>
                <w:szCs w:val="20"/>
              </w:rPr>
              <w:t>20.6</w:t>
            </w:r>
          </w:p>
        </w:tc>
      </w:tr>
      <w:tr w:rsidR="00165A61" w:rsidRPr="0093659C" w14:paraId="0B4E0AA3" w14:textId="77777777" w:rsidTr="00EE380E">
        <w:tc>
          <w:tcPr>
            <w:tcW w:w="284" w:type="dxa"/>
            <w:tcBorders>
              <w:top w:val="nil"/>
              <w:bottom w:val="nil"/>
              <w:right w:val="nil"/>
            </w:tcBorders>
          </w:tcPr>
          <w:p w14:paraId="68E52CBA"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3AF1BFC0"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3</w:t>
            </w:r>
          </w:p>
        </w:tc>
        <w:tc>
          <w:tcPr>
            <w:tcW w:w="1606" w:type="dxa"/>
            <w:tcBorders>
              <w:top w:val="single" w:sz="4" w:space="0" w:color="auto"/>
              <w:left w:val="nil"/>
              <w:bottom w:val="single" w:sz="4" w:space="0" w:color="auto"/>
              <w:right w:val="nil"/>
            </w:tcBorders>
          </w:tcPr>
          <w:p w14:paraId="6755FCF8" w14:textId="40413F9C" w:rsidR="00165A61" w:rsidRPr="0093659C" w:rsidRDefault="00C520E0" w:rsidP="00C838D6">
            <w:pPr>
              <w:spacing w:after="0" w:line="276" w:lineRule="auto"/>
              <w:contextualSpacing/>
              <w:jc w:val="center"/>
              <w:rPr>
                <w:rFonts w:cs="Arial"/>
                <w:sz w:val="20"/>
                <w:szCs w:val="20"/>
              </w:rPr>
            </w:pPr>
            <w:r>
              <w:rPr>
                <w:rFonts w:cs="Arial"/>
                <w:sz w:val="20"/>
                <w:szCs w:val="20"/>
              </w:rPr>
              <w:t>19.7</w:t>
            </w:r>
          </w:p>
        </w:tc>
        <w:tc>
          <w:tcPr>
            <w:tcW w:w="1665" w:type="dxa"/>
            <w:tcBorders>
              <w:top w:val="single" w:sz="4" w:space="0" w:color="auto"/>
              <w:left w:val="nil"/>
              <w:bottom w:val="single" w:sz="4" w:space="0" w:color="auto"/>
              <w:right w:val="nil"/>
            </w:tcBorders>
          </w:tcPr>
          <w:p w14:paraId="68D69639" w14:textId="423854D8" w:rsidR="00165A61" w:rsidRPr="0093659C" w:rsidRDefault="00C520E0" w:rsidP="00C838D6">
            <w:pPr>
              <w:spacing w:after="0" w:line="276" w:lineRule="auto"/>
              <w:contextualSpacing/>
              <w:jc w:val="center"/>
              <w:rPr>
                <w:rFonts w:cs="Arial"/>
                <w:sz w:val="20"/>
                <w:szCs w:val="20"/>
              </w:rPr>
            </w:pPr>
            <w:r>
              <w:rPr>
                <w:rFonts w:cs="Arial"/>
                <w:sz w:val="20"/>
                <w:szCs w:val="20"/>
              </w:rPr>
              <w:t>21.0</w:t>
            </w:r>
          </w:p>
        </w:tc>
      </w:tr>
      <w:tr w:rsidR="00165A61" w:rsidRPr="0093659C" w14:paraId="5BB6336E" w14:textId="77777777" w:rsidTr="00EE380E">
        <w:tc>
          <w:tcPr>
            <w:tcW w:w="284" w:type="dxa"/>
            <w:tcBorders>
              <w:top w:val="nil"/>
              <w:bottom w:val="nil"/>
              <w:right w:val="nil"/>
            </w:tcBorders>
          </w:tcPr>
          <w:p w14:paraId="4BFAC157"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6DD8144C"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4</w:t>
            </w:r>
          </w:p>
        </w:tc>
        <w:tc>
          <w:tcPr>
            <w:tcW w:w="1606" w:type="dxa"/>
            <w:tcBorders>
              <w:top w:val="single" w:sz="4" w:space="0" w:color="auto"/>
              <w:left w:val="nil"/>
              <w:bottom w:val="single" w:sz="4" w:space="0" w:color="auto"/>
              <w:right w:val="nil"/>
            </w:tcBorders>
          </w:tcPr>
          <w:p w14:paraId="158FA4D1" w14:textId="58AC233C" w:rsidR="00165A61" w:rsidRPr="0093659C" w:rsidRDefault="00C520E0" w:rsidP="00C838D6">
            <w:pPr>
              <w:spacing w:after="0" w:line="276" w:lineRule="auto"/>
              <w:contextualSpacing/>
              <w:jc w:val="center"/>
              <w:rPr>
                <w:rFonts w:cs="Arial"/>
                <w:sz w:val="20"/>
                <w:szCs w:val="20"/>
              </w:rPr>
            </w:pPr>
            <w:r>
              <w:rPr>
                <w:rFonts w:cs="Arial"/>
                <w:sz w:val="20"/>
                <w:szCs w:val="20"/>
              </w:rPr>
              <w:t>22.0</w:t>
            </w:r>
          </w:p>
        </w:tc>
        <w:tc>
          <w:tcPr>
            <w:tcW w:w="1665" w:type="dxa"/>
            <w:tcBorders>
              <w:top w:val="single" w:sz="4" w:space="0" w:color="auto"/>
              <w:left w:val="nil"/>
              <w:bottom w:val="single" w:sz="4" w:space="0" w:color="auto"/>
              <w:right w:val="nil"/>
            </w:tcBorders>
          </w:tcPr>
          <w:p w14:paraId="42B2AD7C" w14:textId="7B4C6116" w:rsidR="00165A61" w:rsidRPr="0093659C" w:rsidRDefault="00C520E0" w:rsidP="00C838D6">
            <w:pPr>
              <w:spacing w:after="0" w:line="276" w:lineRule="auto"/>
              <w:contextualSpacing/>
              <w:jc w:val="center"/>
              <w:rPr>
                <w:rFonts w:cs="Arial"/>
                <w:sz w:val="20"/>
                <w:szCs w:val="20"/>
              </w:rPr>
            </w:pPr>
            <w:r>
              <w:rPr>
                <w:rFonts w:cs="Arial"/>
                <w:sz w:val="20"/>
                <w:szCs w:val="20"/>
              </w:rPr>
              <w:t>19.7</w:t>
            </w:r>
          </w:p>
        </w:tc>
      </w:tr>
      <w:tr w:rsidR="00165A61" w:rsidRPr="0093659C" w14:paraId="6C23DCB2" w14:textId="77777777" w:rsidTr="00EE380E">
        <w:tc>
          <w:tcPr>
            <w:tcW w:w="284" w:type="dxa"/>
            <w:tcBorders>
              <w:top w:val="nil"/>
              <w:bottom w:val="nil"/>
              <w:right w:val="nil"/>
            </w:tcBorders>
          </w:tcPr>
          <w:p w14:paraId="77DFE471"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nil"/>
              <w:right w:val="nil"/>
            </w:tcBorders>
            <w:vAlign w:val="center"/>
          </w:tcPr>
          <w:p w14:paraId="634BA8F4"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5 (richest)</w:t>
            </w:r>
          </w:p>
        </w:tc>
        <w:tc>
          <w:tcPr>
            <w:tcW w:w="1606" w:type="dxa"/>
            <w:tcBorders>
              <w:top w:val="single" w:sz="4" w:space="0" w:color="auto"/>
              <w:left w:val="nil"/>
              <w:bottom w:val="nil"/>
              <w:right w:val="nil"/>
            </w:tcBorders>
          </w:tcPr>
          <w:p w14:paraId="689D73AD" w14:textId="5FB07423" w:rsidR="00165A61" w:rsidRPr="0093659C" w:rsidRDefault="00F951C4" w:rsidP="00C838D6">
            <w:pPr>
              <w:spacing w:after="0" w:line="276" w:lineRule="auto"/>
              <w:contextualSpacing/>
              <w:jc w:val="center"/>
              <w:rPr>
                <w:rFonts w:cs="Arial"/>
                <w:sz w:val="20"/>
                <w:szCs w:val="20"/>
              </w:rPr>
            </w:pPr>
            <w:r>
              <w:rPr>
                <w:rFonts w:cs="Arial"/>
                <w:sz w:val="20"/>
                <w:szCs w:val="20"/>
              </w:rPr>
              <w:t>21.7</w:t>
            </w:r>
          </w:p>
        </w:tc>
        <w:tc>
          <w:tcPr>
            <w:tcW w:w="1665" w:type="dxa"/>
            <w:tcBorders>
              <w:top w:val="single" w:sz="4" w:space="0" w:color="auto"/>
              <w:left w:val="nil"/>
              <w:bottom w:val="nil"/>
              <w:right w:val="nil"/>
            </w:tcBorders>
          </w:tcPr>
          <w:p w14:paraId="7B6BA848" w14:textId="16DCBDE5" w:rsidR="00165A61" w:rsidRPr="0093659C" w:rsidRDefault="00C520E0" w:rsidP="00C838D6">
            <w:pPr>
              <w:spacing w:after="0" w:line="276" w:lineRule="auto"/>
              <w:contextualSpacing/>
              <w:jc w:val="center"/>
              <w:rPr>
                <w:rFonts w:cs="Arial"/>
                <w:sz w:val="20"/>
                <w:szCs w:val="20"/>
              </w:rPr>
            </w:pPr>
            <w:r>
              <w:rPr>
                <w:rFonts w:cs="Arial"/>
                <w:sz w:val="20"/>
                <w:szCs w:val="20"/>
              </w:rPr>
              <w:t>18.9</w:t>
            </w:r>
          </w:p>
        </w:tc>
      </w:tr>
      <w:tr w:rsidR="00165A61" w:rsidRPr="0093659C" w14:paraId="70FCE2D2" w14:textId="77777777" w:rsidTr="00EE380E">
        <w:tc>
          <w:tcPr>
            <w:tcW w:w="3777" w:type="dxa"/>
            <w:gridSpan w:val="2"/>
            <w:tcBorders>
              <w:top w:val="single" w:sz="4" w:space="0" w:color="auto"/>
              <w:bottom w:val="nil"/>
              <w:right w:val="nil"/>
            </w:tcBorders>
          </w:tcPr>
          <w:p w14:paraId="36D69353"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Smoking status</w:t>
            </w:r>
          </w:p>
        </w:tc>
        <w:tc>
          <w:tcPr>
            <w:tcW w:w="1606" w:type="dxa"/>
            <w:tcBorders>
              <w:top w:val="single" w:sz="4" w:space="0" w:color="auto"/>
              <w:bottom w:val="nil"/>
            </w:tcBorders>
          </w:tcPr>
          <w:p w14:paraId="60DE97F7" w14:textId="77777777" w:rsidR="00165A61" w:rsidRPr="0093659C" w:rsidRDefault="00165A61" w:rsidP="00C838D6">
            <w:pPr>
              <w:spacing w:after="0" w:line="276" w:lineRule="auto"/>
              <w:contextualSpacing/>
              <w:jc w:val="center"/>
              <w:rPr>
                <w:rFonts w:cs="Arial"/>
                <w:sz w:val="20"/>
                <w:szCs w:val="20"/>
              </w:rPr>
            </w:pPr>
          </w:p>
        </w:tc>
        <w:tc>
          <w:tcPr>
            <w:tcW w:w="1665" w:type="dxa"/>
            <w:tcBorders>
              <w:top w:val="single" w:sz="4" w:space="0" w:color="auto"/>
              <w:bottom w:val="nil"/>
            </w:tcBorders>
          </w:tcPr>
          <w:p w14:paraId="5678BD24" w14:textId="77777777" w:rsidR="00165A61" w:rsidRPr="0093659C" w:rsidRDefault="00165A61" w:rsidP="00C838D6">
            <w:pPr>
              <w:spacing w:after="0" w:line="276" w:lineRule="auto"/>
              <w:contextualSpacing/>
              <w:jc w:val="center"/>
              <w:rPr>
                <w:rFonts w:cs="Arial"/>
                <w:sz w:val="20"/>
                <w:szCs w:val="20"/>
              </w:rPr>
            </w:pPr>
          </w:p>
        </w:tc>
      </w:tr>
      <w:tr w:rsidR="00165A61" w:rsidRPr="0093659C" w14:paraId="49F81855" w14:textId="77777777" w:rsidTr="00EE380E">
        <w:tc>
          <w:tcPr>
            <w:tcW w:w="284" w:type="dxa"/>
            <w:tcBorders>
              <w:top w:val="nil"/>
              <w:bottom w:val="nil"/>
              <w:right w:val="nil"/>
            </w:tcBorders>
          </w:tcPr>
          <w:p w14:paraId="30967CD7"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nil"/>
              <w:left w:val="nil"/>
              <w:bottom w:val="single" w:sz="4" w:space="0" w:color="auto"/>
              <w:right w:val="nil"/>
            </w:tcBorders>
            <w:vAlign w:val="center"/>
          </w:tcPr>
          <w:p w14:paraId="184002F9" w14:textId="77777777" w:rsidR="00165A61" w:rsidRPr="0093659C" w:rsidRDefault="00165A61" w:rsidP="00C838D6">
            <w:pPr>
              <w:spacing w:after="0" w:line="276" w:lineRule="auto"/>
              <w:contextualSpacing/>
              <w:rPr>
                <w:rFonts w:cs="Arial"/>
                <w:sz w:val="20"/>
                <w:szCs w:val="20"/>
              </w:rPr>
            </w:pPr>
            <w:r>
              <w:rPr>
                <w:rFonts w:cs="Arial"/>
                <w:sz w:val="20"/>
                <w:szCs w:val="20"/>
              </w:rPr>
              <w:t>Non-s</w:t>
            </w:r>
            <w:r w:rsidRPr="0093659C">
              <w:rPr>
                <w:rFonts w:cs="Arial"/>
                <w:sz w:val="20"/>
                <w:szCs w:val="20"/>
              </w:rPr>
              <w:t>moker</w:t>
            </w:r>
          </w:p>
        </w:tc>
        <w:tc>
          <w:tcPr>
            <w:tcW w:w="1606" w:type="dxa"/>
            <w:tcBorders>
              <w:top w:val="nil"/>
              <w:left w:val="nil"/>
              <w:bottom w:val="single" w:sz="4" w:space="0" w:color="auto"/>
              <w:right w:val="nil"/>
            </w:tcBorders>
          </w:tcPr>
          <w:p w14:paraId="6ABECD24" w14:textId="505F672A" w:rsidR="00165A61" w:rsidRPr="0093659C" w:rsidRDefault="00F951C4" w:rsidP="00C838D6">
            <w:pPr>
              <w:spacing w:after="0" w:line="276" w:lineRule="auto"/>
              <w:contextualSpacing/>
              <w:jc w:val="center"/>
              <w:rPr>
                <w:rFonts w:cs="Arial"/>
                <w:sz w:val="20"/>
                <w:szCs w:val="20"/>
              </w:rPr>
            </w:pPr>
            <w:r>
              <w:rPr>
                <w:rFonts w:cs="Arial"/>
                <w:sz w:val="20"/>
                <w:szCs w:val="20"/>
              </w:rPr>
              <w:t>85.6</w:t>
            </w:r>
          </w:p>
        </w:tc>
        <w:tc>
          <w:tcPr>
            <w:tcW w:w="1665" w:type="dxa"/>
            <w:tcBorders>
              <w:top w:val="nil"/>
              <w:left w:val="nil"/>
              <w:bottom w:val="single" w:sz="4" w:space="0" w:color="auto"/>
              <w:right w:val="nil"/>
            </w:tcBorders>
          </w:tcPr>
          <w:p w14:paraId="34D0D13E" w14:textId="3C64EBE2" w:rsidR="00165A61" w:rsidRPr="0093659C" w:rsidRDefault="00F951C4" w:rsidP="00C838D6">
            <w:pPr>
              <w:spacing w:after="0" w:line="276" w:lineRule="auto"/>
              <w:contextualSpacing/>
              <w:jc w:val="center"/>
              <w:rPr>
                <w:rFonts w:cs="Arial"/>
                <w:sz w:val="20"/>
                <w:szCs w:val="20"/>
              </w:rPr>
            </w:pPr>
            <w:r>
              <w:rPr>
                <w:rFonts w:cs="Arial"/>
                <w:sz w:val="20"/>
                <w:szCs w:val="20"/>
              </w:rPr>
              <w:t>86.5</w:t>
            </w:r>
          </w:p>
        </w:tc>
      </w:tr>
      <w:tr w:rsidR="00165A61" w:rsidRPr="0093659C" w14:paraId="3C20A267" w14:textId="77777777" w:rsidTr="00EE380E">
        <w:tc>
          <w:tcPr>
            <w:tcW w:w="284" w:type="dxa"/>
            <w:tcBorders>
              <w:top w:val="nil"/>
              <w:bottom w:val="nil"/>
              <w:right w:val="nil"/>
            </w:tcBorders>
          </w:tcPr>
          <w:p w14:paraId="4DCA426E"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63634FB9" w14:textId="77777777" w:rsidR="00165A61" w:rsidRPr="0093659C" w:rsidRDefault="00165A61" w:rsidP="00C838D6">
            <w:pPr>
              <w:spacing w:after="0" w:line="276" w:lineRule="auto"/>
              <w:contextualSpacing/>
              <w:rPr>
                <w:rFonts w:cs="Arial"/>
                <w:sz w:val="20"/>
                <w:szCs w:val="20"/>
              </w:rPr>
            </w:pPr>
            <w:r>
              <w:rPr>
                <w:rFonts w:cs="Arial"/>
                <w:sz w:val="20"/>
                <w:szCs w:val="20"/>
              </w:rPr>
              <w:t>Sm</w:t>
            </w:r>
            <w:r w:rsidRPr="0093659C">
              <w:rPr>
                <w:rFonts w:cs="Arial"/>
                <w:sz w:val="20"/>
                <w:szCs w:val="20"/>
              </w:rPr>
              <w:t>oker</w:t>
            </w:r>
          </w:p>
        </w:tc>
        <w:tc>
          <w:tcPr>
            <w:tcW w:w="1606" w:type="dxa"/>
            <w:tcBorders>
              <w:top w:val="single" w:sz="4" w:space="0" w:color="auto"/>
              <w:left w:val="nil"/>
              <w:bottom w:val="single" w:sz="4" w:space="0" w:color="auto"/>
              <w:right w:val="nil"/>
            </w:tcBorders>
          </w:tcPr>
          <w:p w14:paraId="73F65D45" w14:textId="69B2977A" w:rsidR="00165A61" w:rsidRPr="0093659C" w:rsidRDefault="00F951C4" w:rsidP="00C838D6">
            <w:pPr>
              <w:spacing w:after="0" w:line="276" w:lineRule="auto"/>
              <w:contextualSpacing/>
              <w:jc w:val="center"/>
              <w:rPr>
                <w:rFonts w:cs="Arial"/>
                <w:sz w:val="20"/>
                <w:szCs w:val="20"/>
              </w:rPr>
            </w:pPr>
            <w:r>
              <w:rPr>
                <w:rFonts w:cs="Arial"/>
                <w:sz w:val="20"/>
                <w:szCs w:val="20"/>
              </w:rPr>
              <w:t>14.4</w:t>
            </w:r>
          </w:p>
        </w:tc>
        <w:tc>
          <w:tcPr>
            <w:tcW w:w="1665" w:type="dxa"/>
            <w:tcBorders>
              <w:top w:val="single" w:sz="4" w:space="0" w:color="auto"/>
              <w:left w:val="nil"/>
              <w:bottom w:val="single" w:sz="4" w:space="0" w:color="auto"/>
              <w:right w:val="nil"/>
            </w:tcBorders>
          </w:tcPr>
          <w:p w14:paraId="4D6523F1" w14:textId="402E2008" w:rsidR="00165A61" w:rsidRPr="0093659C" w:rsidRDefault="00F951C4" w:rsidP="00C838D6">
            <w:pPr>
              <w:spacing w:after="0" w:line="276" w:lineRule="auto"/>
              <w:contextualSpacing/>
              <w:jc w:val="center"/>
              <w:rPr>
                <w:rFonts w:cs="Arial"/>
                <w:sz w:val="20"/>
                <w:szCs w:val="20"/>
              </w:rPr>
            </w:pPr>
            <w:r>
              <w:rPr>
                <w:rFonts w:cs="Arial"/>
                <w:sz w:val="20"/>
                <w:szCs w:val="20"/>
              </w:rPr>
              <w:t>13.5</w:t>
            </w:r>
          </w:p>
        </w:tc>
      </w:tr>
      <w:tr w:rsidR="00165A61" w:rsidRPr="0093659C" w14:paraId="17264F4D" w14:textId="77777777" w:rsidTr="00EE380E">
        <w:tc>
          <w:tcPr>
            <w:tcW w:w="3777" w:type="dxa"/>
            <w:gridSpan w:val="2"/>
            <w:tcBorders>
              <w:top w:val="single" w:sz="4" w:space="0" w:color="auto"/>
              <w:bottom w:val="nil"/>
              <w:right w:val="nil"/>
            </w:tcBorders>
          </w:tcPr>
          <w:p w14:paraId="4B0318B1"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Alcohol intake</w:t>
            </w:r>
            <w:r w:rsidRPr="0093659C">
              <w:rPr>
                <w:rFonts w:cstheme="minorHAnsi"/>
                <w:sz w:val="20"/>
                <w:szCs w:val="20"/>
              </w:rPr>
              <w:t>¹</w:t>
            </w:r>
          </w:p>
        </w:tc>
        <w:tc>
          <w:tcPr>
            <w:tcW w:w="1606" w:type="dxa"/>
            <w:tcBorders>
              <w:top w:val="single" w:sz="4" w:space="0" w:color="auto"/>
              <w:bottom w:val="nil"/>
            </w:tcBorders>
          </w:tcPr>
          <w:p w14:paraId="50D71EE2" w14:textId="77777777" w:rsidR="00165A61" w:rsidRPr="0093659C" w:rsidRDefault="00165A61" w:rsidP="00C838D6">
            <w:pPr>
              <w:spacing w:after="0" w:line="276" w:lineRule="auto"/>
              <w:contextualSpacing/>
              <w:jc w:val="center"/>
              <w:rPr>
                <w:rFonts w:cs="Arial"/>
                <w:sz w:val="20"/>
                <w:szCs w:val="20"/>
              </w:rPr>
            </w:pPr>
          </w:p>
        </w:tc>
        <w:tc>
          <w:tcPr>
            <w:tcW w:w="1665" w:type="dxa"/>
            <w:tcBorders>
              <w:top w:val="single" w:sz="4" w:space="0" w:color="auto"/>
              <w:bottom w:val="nil"/>
            </w:tcBorders>
          </w:tcPr>
          <w:p w14:paraId="67C8A31C" w14:textId="77777777" w:rsidR="00165A61" w:rsidRPr="0093659C" w:rsidRDefault="00165A61" w:rsidP="00C838D6">
            <w:pPr>
              <w:spacing w:after="0" w:line="276" w:lineRule="auto"/>
              <w:contextualSpacing/>
              <w:jc w:val="center"/>
              <w:rPr>
                <w:rFonts w:cs="Arial"/>
                <w:sz w:val="20"/>
                <w:szCs w:val="20"/>
              </w:rPr>
            </w:pPr>
          </w:p>
        </w:tc>
      </w:tr>
      <w:tr w:rsidR="00165A61" w:rsidRPr="0093659C" w14:paraId="158B0F71" w14:textId="77777777" w:rsidTr="00EE380E">
        <w:tc>
          <w:tcPr>
            <w:tcW w:w="284" w:type="dxa"/>
            <w:tcBorders>
              <w:top w:val="nil"/>
              <w:bottom w:val="nil"/>
              <w:right w:val="nil"/>
            </w:tcBorders>
          </w:tcPr>
          <w:p w14:paraId="33BD068E"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nil"/>
              <w:left w:val="nil"/>
              <w:bottom w:val="single" w:sz="4" w:space="0" w:color="auto"/>
              <w:right w:val="nil"/>
            </w:tcBorders>
            <w:vAlign w:val="center"/>
          </w:tcPr>
          <w:p w14:paraId="75B1374C"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Never/rarely</w:t>
            </w:r>
          </w:p>
        </w:tc>
        <w:tc>
          <w:tcPr>
            <w:tcW w:w="1606" w:type="dxa"/>
            <w:tcBorders>
              <w:top w:val="nil"/>
              <w:left w:val="nil"/>
              <w:bottom w:val="single" w:sz="4" w:space="0" w:color="auto"/>
              <w:right w:val="nil"/>
            </w:tcBorders>
          </w:tcPr>
          <w:p w14:paraId="2AA343EA" w14:textId="26E16F55" w:rsidR="00165A61" w:rsidRPr="0093659C" w:rsidRDefault="00C520E0" w:rsidP="00C838D6">
            <w:pPr>
              <w:spacing w:after="0" w:line="276" w:lineRule="auto"/>
              <w:contextualSpacing/>
              <w:jc w:val="center"/>
              <w:rPr>
                <w:rFonts w:cs="Arial"/>
                <w:sz w:val="20"/>
                <w:szCs w:val="20"/>
              </w:rPr>
            </w:pPr>
            <w:r>
              <w:rPr>
                <w:rFonts w:cs="Arial"/>
                <w:sz w:val="20"/>
                <w:szCs w:val="20"/>
              </w:rPr>
              <w:t>16.0</w:t>
            </w:r>
          </w:p>
        </w:tc>
        <w:tc>
          <w:tcPr>
            <w:tcW w:w="1665" w:type="dxa"/>
            <w:tcBorders>
              <w:top w:val="nil"/>
              <w:left w:val="nil"/>
              <w:bottom w:val="single" w:sz="4" w:space="0" w:color="auto"/>
              <w:right w:val="nil"/>
            </w:tcBorders>
          </w:tcPr>
          <w:p w14:paraId="547131A9" w14:textId="2B936642" w:rsidR="00165A61" w:rsidRPr="0093659C" w:rsidRDefault="00C520E0" w:rsidP="00C838D6">
            <w:pPr>
              <w:spacing w:after="0" w:line="276" w:lineRule="auto"/>
              <w:contextualSpacing/>
              <w:jc w:val="center"/>
              <w:rPr>
                <w:rFonts w:cs="Arial"/>
                <w:sz w:val="20"/>
                <w:szCs w:val="20"/>
              </w:rPr>
            </w:pPr>
            <w:r>
              <w:rPr>
                <w:rFonts w:cs="Arial"/>
                <w:sz w:val="20"/>
                <w:szCs w:val="20"/>
              </w:rPr>
              <w:t>29.7</w:t>
            </w:r>
          </w:p>
        </w:tc>
      </w:tr>
      <w:tr w:rsidR="00165A61" w:rsidRPr="0093659C" w14:paraId="389DA513" w14:textId="77777777" w:rsidTr="00EE380E">
        <w:tc>
          <w:tcPr>
            <w:tcW w:w="284" w:type="dxa"/>
            <w:tcBorders>
              <w:top w:val="nil"/>
              <w:bottom w:val="nil"/>
              <w:right w:val="nil"/>
            </w:tcBorders>
          </w:tcPr>
          <w:p w14:paraId="12DC1CDF"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nil"/>
              <w:left w:val="nil"/>
              <w:bottom w:val="single" w:sz="4" w:space="0" w:color="auto"/>
              <w:right w:val="nil"/>
            </w:tcBorders>
            <w:vAlign w:val="center"/>
          </w:tcPr>
          <w:p w14:paraId="214C610B"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Regularly</w:t>
            </w:r>
          </w:p>
        </w:tc>
        <w:tc>
          <w:tcPr>
            <w:tcW w:w="1606" w:type="dxa"/>
            <w:tcBorders>
              <w:top w:val="nil"/>
              <w:left w:val="nil"/>
              <w:bottom w:val="single" w:sz="4" w:space="0" w:color="auto"/>
              <w:right w:val="nil"/>
            </w:tcBorders>
          </w:tcPr>
          <w:p w14:paraId="0A33A829" w14:textId="3E911910" w:rsidR="00165A61" w:rsidRPr="0093659C" w:rsidRDefault="00C520E0" w:rsidP="00C838D6">
            <w:pPr>
              <w:spacing w:after="0" w:line="276" w:lineRule="auto"/>
              <w:contextualSpacing/>
              <w:jc w:val="center"/>
              <w:rPr>
                <w:rFonts w:cs="Arial"/>
                <w:sz w:val="20"/>
                <w:szCs w:val="20"/>
              </w:rPr>
            </w:pPr>
            <w:r>
              <w:rPr>
                <w:rFonts w:cs="Arial"/>
                <w:sz w:val="20"/>
                <w:szCs w:val="20"/>
              </w:rPr>
              <w:t>41.9</w:t>
            </w:r>
          </w:p>
        </w:tc>
        <w:tc>
          <w:tcPr>
            <w:tcW w:w="1665" w:type="dxa"/>
            <w:tcBorders>
              <w:top w:val="nil"/>
              <w:left w:val="nil"/>
              <w:bottom w:val="single" w:sz="4" w:space="0" w:color="auto"/>
              <w:right w:val="nil"/>
            </w:tcBorders>
          </w:tcPr>
          <w:p w14:paraId="7AC6D31B" w14:textId="41580B79" w:rsidR="00165A61" w:rsidRPr="0093659C" w:rsidRDefault="00F951C4" w:rsidP="00C838D6">
            <w:pPr>
              <w:spacing w:after="0" w:line="276" w:lineRule="auto"/>
              <w:contextualSpacing/>
              <w:jc w:val="center"/>
              <w:rPr>
                <w:rFonts w:cs="Arial"/>
                <w:sz w:val="20"/>
                <w:szCs w:val="20"/>
              </w:rPr>
            </w:pPr>
            <w:r>
              <w:rPr>
                <w:rFonts w:cs="Arial"/>
                <w:sz w:val="20"/>
                <w:szCs w:val="20"/>
              </w:rPr>
              <w:t>43.8</w:t>
            </w:r>
          </w:p>
        </w:tc>
      </w:tr>
      <w:tr w:rsidR="00165A61" w:rsidRPr="0093659C" w14:paraId="722F1D8D" w14:textId="77777777" w:rsidTr="00EE380E">
        <w:tc>
          <w:tcPr>
            <w:tcW w:w="284" w:type="dxa"/>
            <w:tcBorders>
              <w:top w:val="nil"/>
              <w:bottom w:val="nil"/>
              <w:right w:val="nil"/>
            </w:tcBorders>
          </w:tcPr>
          <w:p w14:paraId="12D2A3E5" w14:textId="77777777" w:rsidR="00165A61" w:rsidRPr="0093659C" w:rsidRDefault="00165A61" w:rsidP="00C838D6">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35E64170" w14:textId="77777777" w:rsidR="00165A61" w:rsidRPr="0093659C" w:rsidRDefault="00165A61" w:rsidP="00C838D6">
            <w:pPr>
              <w:spacing w:after="0" w:line="276" w:lineRule="auto"/>
              <w:contextualSpacing/>
              <w:rPr>
                <w:rFonts w:cs="Arial"/>
                <w:sz w:val="20"/>
                <w:szCs w:val="20"/>
              </w:rPr>
            </w:pPr>
            <w:r w:rsidRPr="0093659C">
              <w:rPr>
                <w:rFonts w:cs="Arial"/>
                <w:sz w:val="20"/>
                <w:szCs w:val="20"/>
              </w:rPr>
              <w:t>Frequently</w:t>
            </w:r>
          </w:p>
        </w:tc>
        <w:tc>
          <w:tcPr>
            <w:tcW w:w="1606" w:type="dxa"/>
            <w:tcBorders>
              <w:top w:val="single" w:sz="4" w:space="0" w:color="auto"/>
              <w:left w:val="nil"/>
              <w:bottom w:val="single" w:sz="4" w:space="0" w:color="auto"/>
              <w:right w:val="nil"/>
            </w:tcBorders>
          </w:tcPr>
          <w:p w14:paraId="5D6936D5" w14:textId="4A645D47" w:rsidR="00165A61" w:rsidRPr="0093659C" w:rsidRDefault="00C520E0" w:rsidP="00C838D6">
            <w:pPr>
              <w:spacing w:after="0" w:line="276" w:lineRule="auto"/>
              <w:contextualSpacing/>
              <w:jc w:val="center"/>
              <w:rPr>
                <w:rFonts w:cs="Arial"/>
                <w:sz w:val="20"/>
                <w:szCs w:val="20"/>
              </w:rPr>
            </w:pPr>
            <w:r>
              <w:rPr>
                <w:rFonts w:cs="Arial"/>
                <w:sz w:val="20"/>
                <w:szCs w:val="20"/>
              </w:rPr>
              <w:t>42.1</w:t>
            </w:r>
          </w:p>
        </w:tc>
        <w:tc>
          <w:tcPr>
            <w:tcW w:w="1665" w:type="dxa"/>
            <w:tcBorders>
              <w:top w:val="single" w:sz="4" w:space="0" w:color="auto"/>
              <w:left w:val="nil"/>
              <w:bottom w:val="single" w:sz="4" w:space="0" w:color="auto"/>
              <w:right w:val="nil"/>
            </w:tcBorders>
          </w:tcPr>
          <w:p w14:paraId="28697EB8" w14:textId="50EDC635" w:rsidR="00165A61" w:rsidRPr="0093659C" w:rsidRDefault="00F951C4" w:rsidP="00C838D6">
            <w:pPr>
              <w:spacing w:after="0" w:line="276" w:lineRule="auto"/>
              <w:contextualSpacing/>
              <w:jc w:val="center"/>
              <w:rPr>
                <w:rFonts w:cs="Arial"/>
                <w:sz w:val="20"/>
                <w:szCs w:val="20"/>
              </w:rPr>
            </w:pPr>
            <w:r>
              <w:rPr>
                <w:rFonts w:cs="Arial"/>
                <w:sz w:val="20"/>
                <w:szCs w:val="20"/>
              </w:rPr>
              <w:t>26.5</w:t>
            </w:r>
          </w:p>
        </w:tc>
      </w:tr>
      <w:tr w:rsidR="00A04A56" w:rsidRPr="0093659C" w14:paraId="3996939F" w14:textId="77777777" w:rsidTr="00EE380E">
        <w:tc>
          <w:tcPr>
            <w:tcW w:w="3777" w:type="dxa"/>
            <w:gridSpan w:val="2"/>
            <w:tcBorders>
              <w:top w:val="single" w:sz="4" w:space="0" w:color="auto"/>
              <w:bottom w:val="nil"/>
              <w:right w:val="nil"/>
            </w:tcBorders>
          </w:tcPr>
          <w:p w14:paraId="0AFEF690" w14:textId="0C6974DA" w:rsidR="00A04A56" w:rsidRPr="0093659C" w:rsidRDefault="00A04A56" w:rsidP="0073780E">
            <w:pPr>
              <w:spacing w:after="0" w:line="276" w:lineRule="auto"/>
              <w:contextualSpacing/>
              <w:rPr>
                <w:rFonts w:cs="Arial"/>
                <w:sz w:val="20"/>
                <w:szCs w:val="20"/>
              </w:rPr>
            </w:pPr>
            <w:r>
              <w:rPr>
                <w:rFonts w:cs="Arial"/>
                <w:sz w:val="20"/>
                <w:szCs w:val="20"/>
              </w:rPr>
              <w:t>Physical activity</w:t>
            </w:r>
          </w:p>
        </w:tc>
        <w:tc>
          <w:tcPr>
            <w:tcW w:w="1606" w:type="dxa"/>
            <w:tcBorders>
              <w:top w:val="single" w:sz="4" w:space="0" w:color="auto"/>
              <w:bottom w:val="nil"/>
            </w:tcBorders>
          </w:tcPr>
          <w:p w14:paraId="724595FA" w14:textId="77777777" w:rsidR="00A04A56" w:rsidRPr="0093659C" w:rsidRDefault="00A04A56" w:rsidP="0073780E">
            <w:pPr>
              <w:spacing w:after="0" w:line="276" w:lineRule="auto"/>
              <w:contextualSpacing/>
              <w:jc w:val="center"/>
              <w:rPr>
                <w:rFonts w:cs="Arial"/>
                <w:sz w:val="20"/>
                <w:szCs w:val="20"/>
              </w:rPr>
            </w:pPr>
          </w:p>
        </w:tc>
        <w:tc>
          <w:tcPr>
            <w:tcW w:w="1665" w:type="dxa"/>
            <w:tcBorders>
              <w:top w:val="single" w:sz="4" w:space="0" w:color="auto"/>
              <w:bottom w:val="nil"/>
            </w:tcBorders>
          </w:tcPr>
          <w:p w14:paraId="72978357" w14:textId="77777777" w:rsidR="00A04A56" w:rsidRPr="0093659C" w:rsidRDefault="00A04A56" w:rsidP="0073780E">
            <w:pPr>
              <w:spacing w:after="0" w:line="276" w:lineRule="auto"/>
              <w:contextualSpacing/>
              <w:jc w:val="center"/>
              <w:rPr>
                <w:rFonts w:cs="Arial"/>
                <w:sz w:val="20"/>
                <w:szCs w:val="20"/>
              </w:rPr>
            </w:pPr>
          </w:p>
        </w:tc>
      </w:tr>
      <w:tr w:rsidR="00C520E0" w:rsidRPr="0093659C" w14:paraId="67EE9058" w14:textId="77777777" w:rsidTr="00EE380E">
        <w:tc>
          <w:tcPr>
            <w:tcW w:w="284" w:type="dxa"/>
            <w:tcBorders>
              <w:top w:val="nil"/>
              <w:bottom w:val="nil"/>
              <w:right w:val="nil"/>
            </w:tcBorders>
          </w:tcPr>
          <w:p w14:paraId="60AA0DB5" w14:textId="77777777" w:rsidR="00C520E0" w:rsidRPr="0093659C" w:rsidRDefault="00C520E0" w:rsidP="00C520E0">
            <w:pPr>
              <w:spacing w:after="0" w:line="276" w:lineRule="auto"/>
              <w:contextualSpacing/>
              <w:rPr>
                <w:rFonts w:cs="Arial"/>
                <w:color w:val="FF0000"/>
                <w:sz w:val="20"/>
                <w:szCs w:val="20"/>
              </w:rPr>
            </w:pPr>
          </w:p>
        </w:tc>
        <w:tc>
          <w:tcPr>
            <w:tcW w:w="3493" w:type="dxa"/>
            <w:tcBorders>
              <w:top w:val="nil"/>
              <w:left w:val="nil"/>
              <w:bottom w:val="single" w:sz="4" w:space="0" w:color="auto"/>
              <w:right w:val="nil"/>
            </w:tcBorders>
            <w:vAlign w:val="center"/>
          </w:tcPr>
          <w:p w14:paraId="76DCB583" w14:textId="47F2C044" w:rsidR="00C520E0" w:rsidRPr="0093659C" w:rsidRDefault="00C520E0" w:rsidP="00C520E0">
            <w:pPr>
              <w:spacing w:after="0" w:line="276" w:lineRule="auto"/>
              <w:contextualSpacing/>
              <w:rPr>
                <w:rFonts w:cs="Arial"/>
                <w:sz w:val="20"/>
                <w:szCs w:val="20"/>
              </w:rPr>
            </w:pPr>
            <w:r>
              <w:rPr>
                <w:rFonts w:cs="Arial"/>
                <w:sz w:val="20"/>
              </w:rPr>
              <w:t>Inactive</w:t>
            </w:r>
          </w:p>
        </w:tc>
        <w:tc>
          <w:tcPr>
            <w:tcW w:w="1606" w:type="dxa"/>
            <w:tcBorders>
              <w:top w:val="nil"/>
              <w:left w:val="nil"/>
              <w:bottom w:val="single" w:sz="4" w:space="0" w:color="auto"/>
              <w:right w:val="nil"/>
            </w:tcBorders>
          </w:tcPr>
          <w:p w14:paraId="0C2C5DDA" w14:textId="59AA3374" w:rsidR="00C520E0" w:rsidRPr="0093659C" w:rsidRDefault="00F951C4" w:rsidP="00C520E0">
            <w:pPr>
              <w:spacing w:after="0" w:line="276" w:lineRule="auto"/>
              <w:contextualSpacing/>
              <w:jc w:val="center"/>
              <w:rPr>
                <w:rFonts w:cs="Arial"/>
                <w:sz w:val="20"/>
                <w:szCs w:val="20"/>
              </w:rPr>
            </w:pPr>
            <w:r>
              <w:rPr>
                <w:rFonts w:cs="Arial"/>
                <w:sz w:val="20"/>
                <w:szCs w:val="20"/>
              </w:rPr>
              <w:t>19.8</w:t>
            </w:r>
          </w:p>
        </w:tc>
        <w:tc>
          <w:tcPr>
            <w:tcW w:w="1665" w:type="dxa"/>
            <w:tcBorders>
              <w:top w:val="nil"/>
              <w:left w:val="nil"/>
              <w:bottom w:val="single" w:sz="4" w:space="0" w:color="auto"/>
              <w:right w:val="nil"/>
            </w:tcBorders>
          </w:tcPr>
          <w:p w14:paraId="1D192008" w14:textId="0C7B41D8" w:rsidR="00C520E0" w:rsidRPr="0093659C" w:rsidRDefault="00F951C4" w:rsidP="00C520E0">
            <w:pPr>
              <w:spacing w:after="0" w:line="276" w:lineRule="auto"/>
              <w:contextualSpacing/>
              <w:jc w:val="center"/>
              <w:rPr>
                <w:rFonts w:cs="Arial"/>
                <w:sz w:val="20"/>
                <w:szCs w:val="20"/>
              </w:rPr>
            </w:pPr>
            <w:r>
              <w:rPr>
                <w:rFonts w:cs="Arial"/>
                <w:sz w:val="20"/>
                <w:szCs w:val="20"/>
              </w:rPr>
              <w:t>25.5</w:t>
            </w:r>
          </w:p>
        </w:tc>
      </w:tr>
      <w:tr w:rsidR="00C520E0" w:rsidRPr="0093659C" w14:paraId="028320C2" w14:textId="77777777" w:rsidTr="00EE380E">
        <w:tc>
          <w:tcPr>
            <w:tcW w:w="284" w:type="dxa"/>
            <w:tcBorders>
              <w:top w:val="nil"/>
              <w:bottom w:val="nil"/>
              <w:right w:val="nil"/>
            </w:tcBorders>
          </w:tcPr>
          <w:p w14:paraId="21B62D22" w14:textId="77777777" w:rsidR="00C520E0" w:rsidRPr="0093659C" w:rsidRDefault="00C520E0" w:rsidP="00C520E0">
            <w:pPr>
              <w:spacing w:after="0" w:line="276" w:lineRule="auto"/>
              <w:contextualSpacing/>
              <w:rPr>
                <w:rFonts w:cs="Arial"/>
                <w:color w:val="FF0000"/>
                <w:sz w:val="20"/>
                <w:szCs w:val="20"/>
              </w:rPr>
            </w:pPr>
          </w:p>
        </w:tc>
        <w:tc>
          <w:tcPr>
            <w:tcW w:w="3493" w:type="dxa"/>
            <w:tcBorders>
              <w:top w:val="nil"/>
              <w:left w:val="nil"/>
              <w:bottom w:val="single" w:sz="4" w:space="0" w:color="auto"/>
              <w:right w:val="nil"/>
            </w:tcBorders>
            <w:vAlign w:val="center"/>
          </w:tcPr>
          <w:p w14:paraId="64EE3576" w14:textId="46C6D63B" w:rsidR="00C520E0" w:rsidRDefault="00C520E0" w:rsidP="00C520E0">
            <w:pPr>
              <w:spacing w:after="0" w:line="276" w:lineRule="auto"/>
              <w:contextualSpacing/>
              <w:rPr>
                <w:rFonts w:cs="Arial"/>
                <w:sz w:val="20"/>
                <w:szCs w:val="20"/>
              </w:rPr>
            </w:pPr>
            <w:r>
              <w:rPr>
                <w:rFonts w:cs="Arial"/>
                <w:sz w:val="20"/>
              </w:rPr>
              <w:t>Moderately active at least once a week</w:t>
            </w:r>
          </w:p>
        </w:tc>
        <w:tc>
          <w:tcPr>
            <w:tcW w:w="1606" w:type="dxa"/>
            <w:tcBorders>
              <w:top w:val="nil"/>
              <w:left w:val="nil"/>
              <w:bottom w:val="single" w:sz="4" w:space="0" w:color="auto"/>
              <w:right w:val="nil"/>
            </w:tcBorders>
          </w:tcPr>
          <w:p w14:paraId="2185CDFB" w14:textId="3358580C" w:rsidR="00C520E0" w:rsidRDefault="00F52698" w:rsidP="00C520E0">
            <w:pPr>
              <w:spacing w:after="0" w:line="276" w:lineRule="auto"/>
              <w:contextualSpacing/>
              <w:jc w:val="center"/>
              <w:rPr>
                <w:rFonts w:cs="Arial"/>
                <w:sz w:val="20"/>
                <w:szCs w:val="20"/>
              </w:rPr>
            </w:pPr>
            <w:r>
              <w:rPr>
                <w:rFonts w:cs="Arial"/>
                <w:sz w:val="20"/>
                <w:szCs w:val="20"/>
              </w:rPr>
              <w:t>43.4</w:t>
            </w:r>
          </w:p>
        </w:tc>
        <w:tc>
          <w:tcPr>
            <w:tcW w:w="1665" w:type="dxa"/>
            <w:tcBorders>
              <w:top w:val="nil"/>
              <w:left w:val="nil"/>
              <w:bottom w:val="single" w:sz="4" w:space="0" w:color="auto"/>
              <w:right w:val="nil"/>
            </w:tcBorders>
          </w:tcPr>
          <w:p w14:paraId="253BCF0E" w14:textId="4B5E828B" w:rsidR="00C520E0" w:rsidRDefault="00F951C4" w:rsidP="00C520E0">
            <w:pPr>
              <w:spacing w:after="0" w:line="276" w:lineRule="auto"/>
              <w:contextualSpacing/>
              <w:jc w:val="center"/>
              <w:rPr>
                <w:rFonts w:cs="Arial"/>
                <w:sz w:val="20"/>
                <w:szCs w:val="20"/>
              </w:rPr>
            </w:pPr>
            <w:r>
              <w:rPr>
                <w:rFonts w:cs="Arial"/>
                <w:sz w:val="20"/>
                <w:szCs w:val="20"/>
              </w:rPr>
              <w:t>48.0</w:t>
            </w:r>
          </w:p>
        </w:tc>
      </w:tr>
      <w:tr w:rsidR="00C520E0" w:rsidRPr="0093659C" w14:paraId="159B23C1" w14:textId="77777777" w:rsidTr="00EE380E">
        <w:tc>
          <w:tcPr>
            <w:tcW w:w="284" w:type="dxa"/>
            <w:tcBorders>
              <w:top w:val="nil"/>
              <w:bottom w:val="nil"/>
              <w:right w:val="nil"/>
            </w:tcBorders>
          </w:tcPr>
          <w:p w14:paraId="46247E13" w14:textId="77777777" w:rsidR="00C520E0" w:rsidRPr="0093659C" w:rsidRDefault="00C520E0" w:rsidP="00C520E0">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01056D48" w14:textId="551573FE" w:rsidR="00C520E0" w:rsidRPr="0093659C" w:rsidRDefault="00C520E0" w:rsidP="00C520E0">
            <w:pPr>
              <w:spacing w:after="0" w:line="276" w:lineRule="auto"/>
              <w:contextualSpacing/>
              <w:rPr>
                <w:rFonts w:cs="Arial"/>
                <w:sz w:val="20"/>
                <w:szCs w:val="20"/>
              </w:rPr>
            </w:pPr>
            <w:r>
              <w:rPr>
                <w:rFonts w:cs="Arial"/>
                <w:sz w:val="20"/>
              </w:rPr>
              <w:t>Vigorously active at least once a week</w:t>
            </w:r>
          </w:p>
        </w:tc>
        <w:tc>
          <w:tcPr>
            <w:tcW w:w="1606" w:type="dxa"/>
            <w:tcBorders>
              <w:top w:val="single" w:sz="4" w:space="0" w:color="auto"/>
              <w:left w:val="nil"/>
              <w:bottom w:val="single" w:sz="4" w:space="0" w:color="auto"/>
              <w:right w:val="nil"/>
            </w:tcBorders>
          </w:tcPr>
          <w:p w14:paraId="483E167B" w14:textId="6E4EDBBC" w:rsidR="00C520E0" w:rsidRPr="0093659C" w:rsidRDefault="00F951C4" w:rsidP="00C520E0">
            <w:pPr>
              <w:spacing w:after="0" w:line="276" w:lineRule="auto"/>
              <w:contextualSpacing/>
              <w:jc w:val="center"/>
              <w:rPr>
                <w:rFonts w:cs="Arial"/>
                <w:sz w:val="20"/>
                <w:szCs w:val="20"/>
              </w:rPr>
            </w:pPr>
            <w:r>
              <w:rPr>
                <w:rFonts w:cs="Arial"/>
                <w:sz w:val="20"/>
                <w:szCs w:val="20"/>
              </w:rPr>
              <w:t>36.8</w:t>
            </w:r>
          </w:p>
        </w:tc>
        <w:tc>
          <w:tcPr>
            <w:tcW w:w="1665" w:type="dxa"/>
            <w:tcBorders>
              <w:top w:val="single" w:sz="4" w:space="0" w:color="auto"/>
              <w:left w:val="nil"/>
              <w:bottom w:val="single" w:sz="4" w:space="0" w:color="auto"/>
              <w:right w:val="nil"/>
            </w:tcBorders>
          </w:tcPr>
          <w:p w14:paraId="10F156C9" w14:textId="6E2BA988" w:rsidR="00C520E0" w:rsidRPr="0093659C" w:rsidRDefault="00F951C4" w:rsidP="00C520E0">
            <w:pPr>
              <w:spacing w:after="0" w:line="276" w:lineRule="auto"/>
              <w:contextualSpacing/>
              <w:jc w:val="center"/>
              <w:rPr>
                <w:rFonts w:cs="Arial"/>
                <w:sz w:val="20"/>
                <w:szCs w:val="20"/>
              </w:rPr>
            </w:pPr>
            <w:r>
              <w:rPr>
                <w:rFonts w:cs="Arial"/>
                <w:sz w:val="20"/>
                <w:szCs w:val="20"/>
              </w:rPr>
              <w:t>26.5</w:t>
            </w:r>
          </w:p>
        </w:tc>
      </w:tr>
      <w:tr w:rsidR="006977DC" w:rsidRPr="006977DC" w14:paraId="3B5EFF54" w14:textId="77777777" w:rsidTr="0077455E">
        <w:tc>
          <w:tcPr>
            <w:tcW w:w="3777" w:type="dxa"/>
            <w:gridSpan w:val="2"/>
            <w:tcBorders>
              <w:top w:val="single" w:sz="4" w:space="0" w:color="auto"/>
              <w:bottom w:val="nil"/>
              <w:right w:val="nil"/>
            </w:tcBorders>
          </w:tcPr>
          <w:p w14:paraId="2E57F0B9" w14:textId="566A7CB6" w:rsidR="006977DC" w:rsidRPr="006977DC" w:rsidRDefault="006977DC" w:rsidP="0077455E">
            <w:pPr>
              <w:spacing w:after="0" w:line="276" w:lineRule="auto"/>
              <w:contextualSpacing/>
              <w:rPr>
                <w:rFonts w:cs="Arial"/>
                <w:color w:val="FF0000"/>
                <w:sz w:val="20"/>
                <w:szCs w:val="20"/>
              </w:rPr>
            </w:pPr>
            <w:r>
              <w:rPr>
                <w:rFonts w:cs="Arial"/>
                <w:color w:val="FF0000"/>
                <w:sz w:val="20"/>
                <w:szCs w:val="20"/>
              </w:rPr>
              <w:t>Limiting long-standing illness</w:t>
            </w:r>
          </w:p>
        </w:tc>
        <w:tc>
          <w:tcPr>
            <w:tcW w:w="1606" w:type="dxa"/>
            <w:tcBorders>
              <w:top w:val="single" w:sz="4" w:space="0" w:color="auto"/>
              <w:bottom w:val="nil"/>
            </w:tcBorders>
          </w:tcPr>
          <w:p w14:paraId="7EBAC464" w14:textId="77777777" w:rsidR="006977DC" w:rsidRPr="006977DC" w:rsidRDefault="006977DC" w:rsidP="0077455E">
            <w:pPr>
              <w:spacing w:after="0" w:line="276" w:lineRule="auto"/>
              <w:contextualSpacing/>
              <w:jc w:val="center"/>
              <w:rPr>
                <w:rFonts w:cs="Arial"/>
                <w:color w:val="FF0000"/>
                <w:sz w:val="20"/>
                <w:szCs w:val="20"/>
              </w:rPr>
            </w:pPr>
          </w:p>
        </w:tc>
        <w:tc>
          <w:tcPr>
            <w:tcW w:w="1665" w:type="dxa"/>
            <w:tcBorders>
              <w:top w:val="single" w:sz="4" w:space="0" w:color="auto"/>
              <w:bottom w:val="nil"/>
            </w:tcBorders>
          </w:tcPr>
          <w:p w14:paraId="5E0D32B4" w14:textId="77777777" w:rsidR="006977DC" w:rsidRPr="006977DC" w:rsidRDefault="006977DC" w:rsidP="0077455E">
            <w:pPr>
              <w:spacing w:after="0" w:line="276" w:lineRule="auto"/>
              <w:contextualSpacing/>
              <w:jc w:val="center"/>
              <w:rPr>
                <w:rFonts w:cs="Arial"/>
                <w:color w:val="FF0000"/>
                <w:sz w:val="20"/>
                <w:szCs w:val="20"/>
              </w:rPr>
            </w:pPr>
          </w:p>
        </w:tc>
      </w:tr>
      <w:tr w:rsidR="006977DC" w:rsidRPr="006977DC" w14:paraId="1A8D0A02" w14:textId="77777777" w:rsidTr="0077455E">
        <w:tc>
          <w:tcPr>
            <w:tcW w:w="284" w:type="dxa"/>
            <w:tcBorders>
              <w:top w:val="nil"/>
              <w:bottom w:val="nil"/>
              <w:right w:val="nil"/>
            </w:tcBorders>
          </w:tcPr>
          <w:p w14:paraId="46760E7C" w14:textId="77777777" w:rsidR="006977DC" w:rsidRPr="006977DC" w:rsidRDefault="006977DC" w:rsidP="0077455E">
            <w:pPr>
              <w:spacing w:after="0" w:line="276" w:lineRule="auto"/>
              <w:contextualSpacing/>
              <w:rPr>
                <w:rFonts w:cs="Arial"/>
                <w:color w:val="FF0000"/>
                <w:sz w:val="20"/>
                <w:szCs w:val="20"/>
              </w:rPr>
            </w:pPr>
          </w:p>
        </w:tc>
        <w:tc>
          <w:tcPr>
            <w:tcW w:w="3493" w:type="dxa"/>
            <w:tcBorders>
              <w:top w:val="nil"/>
              <w:left w:val="nil"/>
              <w:bottom w:val="single" w:sz="4" w:space="0" w:color="auto"/>
              <w:right w:val="nil"/>
            </w:tcBorders>
            <w:vAlign w:val="center"/>
          </w:tcPr>
          <w:p w14:paraId="3A168423" w14:textId="6738B6AD" w:rsidR="006977DC" w:rsidRPr="006977DC" w:rsidRDefault="006977DC" w:rsidP="0077455E">
            <w:pPr>
              <w:spacing w:after="0" w:line="276" w:lineRule="auto"/>
              <w:contextualSpacing/>
              <w:rPr>
                <w:rFonts w:cs="Arial"/>
                <w:color w:val="FF0000"/>
                <w:sz w:val="20"/>
                <w:szCs w:val="20"/>
              </w:rPr>
            </w:pPr>
            <w:r>
              <w:rPr>
                <w:rFonts w:cs="Arial"/>
                <w:color w:val="FF0000"/>
                <w:sz w:val="20"/>
                <w:szCs w:val="20"/>
              </w:rPr>
              <w:t>No</w:t>
            </w:r>
          </w:p>
        </w:tc>
        <w:tc>
          <w:tcPr>
            <w:tcW w:w="1606" w:type="dxa"/>
            <w:tcBorders>
              <w:top w:val="nil"/>
              <w:left w:val="nil"/>
              <w:bottom w:val="single" w:sz="4" w:space="0" w:color="auto"/>
              <w:right w:val="nil"/>
            </w:tcBorders>
          </w:tcPr>
          <w:p w14:paraId="0CD80B6F" w14:textId="71A7AD44" w:rsidR="006977DC" w:rsidRPr="006977DC" w:rsidRDefault="007A2BB6" w:rsidP="0077455E">
            <w:pPr>
              <w:spacing w:after="0" w:line="276" w:lineRule="auto"/>
              <w:contextualSpacing/>
              <w:jc w:val="center"/>
              <w:rPr>
                <w:rFonts w:cs="Arial"/>
                <w:color w:val="FF0000"/>
                <w:sz w:val="20"/>
                <w:szCs w:val="20"/>
              </w:rPr>
            </w:pPr>
            <w:r>
              <w:rPr>
                <w:rFonts w:cs="Arial"/>
                <w:color w:val="FF0000"/>
                <w:sz w:val="20"/>
                <w:szCs w:val="20"/>
              </w:rPr>
              <w:t>68.6</w:t>
            </w:r>
          </w:p>
        </w:tc>
        <w:tc>
          <w:tcPr>
            <w:tcW w:w="1665" w:type="dxa"/>
            <w:tcBorders>
              <w:top w:val="nil"/>
              <w:left w:val="nil"/>
              <w:bottom w:val="single" w:sz="4" w:space="0" w:color="auto"/>
              <w:right w:val="nil"/>
            </w:tcBorders>
          </w:tcPr>
          <w:p w14:paraId="573B5732" w14:textId="0021FE50" w:rsidR="006977DC" w:rsidRPr="006977DC" w:rsidRDefault="007A2BB6" w:rsidP="0077455E">
            <w:pPr>
              <w:spacing w:after="0" w:line="276" w:lineRule="auto"/>
              <w:contextualSpacing/>
              <w:jc w:val="center"/>
              <w:rPr>
                <w:rFonts w:cs="Arial"/>
                <w:color w:val="FF0000"/>
                <w:sz w:val="20"/>
                <w:szCs w:val="20"/>
              </w:rPr>
            </w:pPr>
            <w:r>
              <w:rPr>
                <w:rFonts w:cs="Arial"/>
                <w:color w:val="FF0000"/>
                <w:sz w:val="20"/>
                <w:szCs w:val="20"/>
              </w:rPr>
              <w:t>64.0</w:t>
            </w:r>
          </w:p>
        </w:tc>
      </w:tr>
      <w:tr w:rsidR="006977DC" w:rsidRPr="006977DC" w14:paraId="329DE535" w14:textId="77777777" w:rsidTr="0077455E">
        <w:tc>
          <w:tcPr>
            <w:tcW w:w="284" w:type="dxa"/>
            <w:tcBorders>
              <w:top w:val="nil"/>
              <w:bottom w:val="nil"/>
              <w:right w:val="nil"/>
            </w:tcBorders>
          </w:tcPr>
          <w:p w14:paraId="2FC5B755" w14:textId="77777777" w:rsidR="006977DC" w:rsidRPr="006977DC" w:rsidRDefault="006977DC" w:rsidP="0077455E">
            <w:pPr>
              <w:spacing w:after="0" w:line="276" w:lineRule="auto"/>
              <w:contextualSpacing/>
              <w:rPr>
                <w:rFonts w:cs="Arial"/>
                <w:color w:val="FF0000"/>
                <w:sz w:val="20"/>
                <w:szCs w:val="20"/>
              </w:rPr>
            </w:pPr>
          </w:p>
        </w:tc>
        <w:tc>
          <w:tcPr>
            <w:tcW w:w="3493" w:type="dxa"/>
            <w:tcBorders>
              <w:top w:val="single" w:sz="4" w:space="0" w:color="auto"/>
              <w:left w:val="nil"/>
              <w:bottom w:val="single" w:sz="4" w:space="0" w:color="auto"/>
              <w:right w:val="nil"/>
            </w:tcBorders>
            <w:vAlign w:val="center"/>
          </w:tcPr>
          <w:p w14:paraId="4F171218" w14:textId="709A311F" w:rsidR="006977DC" w:rsidRPr="006977DC" w:rsidRDefault="006977DC" w:rsidP="0077455E">
            <w:pPr>
              <w:spacing w:after="0" w:line="276" w:lineRule="auto"/>
              <w:contextualSpacing/>
              <w:rPr>
                <w:rFonts w:cs="Arial"/>
                <w:color w:val="FF0000"/>
                <w:sz w:val="20"/>
                <w:szCs w:val="20"/>
              </w:rPr>
            </w:pPr>
            <w:r>
              <w:rPr>
                <w:rFonts w:cs="Arial"/>
                <w:color w:val="FF0000"/>
                <w:sz w:val="20"/>
                <w:szCs w:val="20"/>
              </w:rPr>
              <w:t>Yes</w:t>
            </w:r>
          </w:p>
        </w:tc>
        <w:tc>
          <w:tcPr>
            <w:tcW w:w="1606" w:type="dxa"/>
            <w:tcBorders>
              <w:top w:val="single" w:sz="4" w:space="0" w:color="auto"/>
              <w:left w:val="nil"/>
              <w:bottom w:val="single" w:sz="4" w:space="0" w:color="auto"/>
              <w:right w:val="nil"/>
            </w:tcBorders>
          </w:tcPr>
          <w:p w14:paraId="431DF0DE" w14:textId="6359E71D" w:rsidR="006977DC" w:rsidRPr="006977DC" w:rsidRDefault="007A2BB6" w:rsidP="0077455E">
            <w:pPr>
              <w:spacing w:after="0" w:line="276" w:lineRule="auto"/>
              <w:contextualSpacing/>
              <w:jc w:val="center"/>
              <w:rPr>
                <w:rFonts w:cs="Arial"/>
                <w:color w:val="FF0000"/>
                <w:sz w:val="20"/>
                <w:szCs w:val="20"/>
              </w:rPr>
            </w:pPr>
            <w:r>
              <w:rPr>
                <w:rFonts w:cs="Arial"/>
                <w:color w:val="FF0000"/>
                <w:sz w:val="20"/>
                <w:szCs w:val="20"/>
              </w:rPr>
              <w:t>31.4</w:t>
            </w:r>
          </w:p>
        </w:tc>
        <w:tc>
          <w:tcPr>
            <w:tcW w:w="1665" w:type="dxa"/>
            <w:tcBorders>
              <w:top w:val="single" w:sz="4" w:space="0" w:color="auto"/>
              <w:left w:val="nil"/>
              <w:bottom w:val="single" w:sz="4" w:space="0" w:color="auto"/>
              <w:right w:val="nil"/>
            </w:tcBorders>
          </w:tcPr>
          <w:p w14:paraId="6EAE5FCB" w14:textId="24687A95" w:rsidR="006977DC" w:rsidRPr="006977DC" w:rsidRDefault="007A2BB6" w:rsidP="0077455E">
            <w:pPr>
              <w:spacing w:after="0" w:line="276" w:lineRule="auto"/>
              <w:contextualSpacing/>
              <w:jc w:val="center"/>
              <w:rPr>
                <w:rFonts w:cs="Arial"/>
                <w:color w:val="FF0000"/>
                <w:sz w:val="20"/>
                <w:szCs w:val="20"/>
              </w:rPr>
            </w:pPr>
            <w:r>
              <w:rPr>
                <w:rFonts w:cs="Arial"/>
                <w:color w:val="FF0000"/>
                <w:sz w:val="20"/>
                <w:szCs w:val="20"/>
              </w:rPr>
              <w:t>36.0</w:t>
            </w:r>
          </w:p>
        </w:tc>
      </w:tr>
      <w:tr w:rsidR="00C520E0" w:rsidRPr="0093659C" w14:paraId="1E73DA84" w14:textId="77777777" w:rsidTr="00EE380E">
        <w:tc>
          <w:tcPr>
            <w:tcW w:w="3777" w:type="dxa"/>
            <w:gridSpan w:val="2"/>
            <w:tcBorders>
              <w:top w:val="single" w:sz="4" w:space="0" w:color="auto"/>
              <w:bottom w:val="single" w:sz="4" w:space="0" w:color="auto"/>
              <w:right w:val="nil"/>
            </w:tcBorders>
          </w:tcPr>
          <w:p w14:paraId="148D99B8" w14:textId="608EC489" w:rsidR="00C520E0" w:rsidRPr="0093659C" w:rsidRDefault="00C520E0" w:rsidP="00C520E0">
            <w:pPr>
              <w:spacing w:after="0" w:line="276" w:lineRule="auto"/>
              <w:contextualSpacing/>
              <w:rPr>
                <w:rFonts w:cs="Arial"/>
                <w:sz w:val="20"/>
                <w:szCs w:val="20"/>
              </w:rPr>
            </w:pPr>
            <w:r w:rsidRPr="0093659C">
              <w:rPr>
                <w:rFonts w:cs="Arial"/>
                <w:sz w:val="20"/>
                <w:szCs w:val="20"/>
              </w:rPr>
              <w:t>Depressive symptoms (0-8)</w:t>
            </w:r>
            <w:r w:rsidR="00130788" w:rsidRPr="00130788">
              <w:rPr>
                <w:rFonts w:cs="Arial"/>
                <w:sz w:val="20"/>
                <w:szCs w:val="20"/>
                <w:vertAlign w:val="superscript"/>
              </w:rPr>
              <w:t>2</w:t>
            </w:r>
            <w:r w:rsidRPr="0093659C">
              <w:rPr>
                <w:rFonts w:cs="Arial"/>
                <w:sz w:val="20"/>
                <w:szCs w:val="20"/>
              </w:rPr>
              <w:t xml:space="preserve"> (mean [SD]</w:t>
            </w:r>
            <w:r w:rsidR="00146F46">
              <w:rPr>
                <w:rFonts w:cs="Arial"/>
                <w:sz w:val="20"/>
                <w:szCs w:val="20"/>
              </w:rPr>
              <w:t>)</w:t>
            </w:r>
            <w:r w:rsidR="00833642">
              <w:rPr>
                <w:rFonts w:cs="Arial"/>
                <w:sz w:val="20"/>
                <w:szCs w:val="20"/>
              </w:rPr>
              <w:t xml:space="preserve"> IQR</w:t>
            </w:r>
          </w:p>
        </w:tc>
        <w:tc>
          <w:tcPr>
            <w:tcW w:w="1606" w:type="dxa"/>
            <w:tcBorders>
              <w:top w:val="single" w:sz="4" w:space="0" w:color="auto"/>
              <w:bottom w:val="single" w:sz="4" w:space="0" w:color="auto"/>
              <w:right w:val="nil"/>
            </w:tcBorders>
          </w:tcPr>
          <w:p w14:paraId="174EE61D" w14:textId="3263605D" w:rsidR="00C520E0" w:rsidRPr="0093659C" w:rsidRDefault="00C520E0" w:rsidP="00C520E0">
            <w:pPr>
              <w:spacing w:after="0" w:line="276" w:lineRule="auto"/>
              <w:contextualSpacing/>
              <w:jc w:val="center"/>
              <w:rPr>
                <w:rFonts w:cs="Arial"/>
                <w:sz w:val="20"/>
                <w:szCs w:val="20"/>
              </w:rPr>
            </w:pPr>
            <w:r>
              <w:rPr>
                <w:rFonts w:cs="Arial"/>
                <w:sz w:val="20"/>
                <w:szCs w:val="20"/>
              </w:rPr>
              <w:t>1.13 (1.82)</w:t>
            </w:r>
            <w:r w:rsidR="00AF1400">
              <w:rPr>
                <w:rFonts w:cs="Arial"/>
                <w:sz w:val="20"/>
                <w:szCs w:val="20"/>
              </w:rPr>
              <w:br/>
              <w:t>0-1</w:t>
            </w:r>
          </w:p>
        </w:tc>
        <w:tc>
          <w:tcPr>
            <w:tcW w:w="1665" w:type="dxa"/>
            <w:tcBorders>
              <w:top w:val="single" w:sz="4" w:space="0" w:color="auto"/>
              <w:left w:val="nil"/>
              <w:bottom w:val="single" w:sz="4" w:space="0" w:color="auto"/>
              <w:right w:val="nil"/>
            </w:tcBorders>
          </w:tcPr>
          <w:p w14:paraId="48DE97D6" w14:textId="517015EA" w:rsidR="00C520E0" w:rsidRPr="0093659C" w:rsidRDefault="00C520E0" w:rsidP="005410B5">
            <w:pPr>
              <w:spacing w:after="0" w:line="276" w:lineRule="auto"/>
              <w:contextualSpacing/>
              <w:jc w:val="center"/>
              <w:rPr>
                <w:rFonts w:cs="Arial"/>
                <w:sz w:val="20"/>
                <w:szCs w:val="20"/>
              </w:rPr>
            </w:pPr>
            <w:r>
              <w:rPr>
                <w:rFonts w:cs="Arial"/>
                <w:sz w:val="20"/>
                <w:szCs w:val="20"/>
              </w:rPr>
              <w:t>1.5</w:t>
            </w:r>
            <w:r w:rsidR="005410B5">
              <w:rPr>
                <w:rFonts w:cs="Arial"/>
                <w:sz w:val="20"/>
                <w:szCs w:val="20"/>
              </w:rPr>
              <w:t>7</w:t>
            </w:r>
            <w:r>
              <w:rPr>
                <w:rFonts w:cs="Arial"/>
                <w:sz w:val="20"/>
                <w:szCs w:val="20"/>
              </w:rPr>
              <w:t xml:space="preserve"> (2.01)</w:t>
            </w:r>
            <w:r w:rsidR="00AF1400">
              <w:rPr>
                <w:rFonts w:cs="Arial"/>
                <w:sz w:val="20"/>
                <w:szCs w:val="20"/>
              </w:rPr>
              <w:br/>
              <w:t>0-2</w:t>
            </w:r>
          </w:p>
        </w:tc>
      </w:tr>
      <w:tr w:rsidR="00C520E0" w:rsidRPr="0093659C" w14:paraId="1BDDCE76" w14:textId="77777777" w:rsidTr="00EE380E">
        <w:tc>
          <w:tcPr>
            <w:tcW w:w="3777" w:type="dxa"/>
            <w:gridSpan w:val="2"/>
            <w:tcBorders>
              <w:top w:val="single" w:sz="4" w:space="0" w:color="auto"/>
              <w:bottom w:val="single" w:sz="4" w:space="0" w:color="auto"/>
              <w:right w:val="nil"/>
            </w:tcBorders>
          </w:tcPr>
          <w:p w14:paraId="12659CDD" w14:textId="77777777" w:rsidR="00C520E0" w:rsidRDefault="00C520E0" w:rsidP="00130788">
            <w:pPr>
              <w:spacing w:after="0" w:line="276" w:lineRule="auto"/>
              <w:contextualSpacing/>
              <w:rPr>
                <w:rFonts w:cs="Arial"/>
                <w:sz w:val="20"/>
                <w:szCs w:val="20"/>
              </w:rPr>
            </w:pPr>
            <w:r>
              <w:rPr>
                <w:rFonts w:cs="Arial"/>
                <w:sz w:val="20"/>
                <w:szCs w:val="20"/>
              </w:rPr>
              <w:t>Quality of life (0-</w:t>
            </w:r>
            <w:r w:rsidR="00A21CAE">
              <w:rPr>
                <w:rFonts w:cs="Arial"/>
                <w:sz w:val="20"/>
                <w:szCs w:val="20"/>
              </w:rPr>
              <w:t>57</w:t>
            </w:r>
            <w:r>
              <w:rPr>
                <w:rFonts w:cs="Arial"/>
                <w:sz w:val="20"/>
                <w:szCs w:val="20"/>
              </w:rPr>
              <w:t>)</w:t>
            </w:r>
            <w:r w:rsidR="00130788" w:rsidRPr="00130788">
              <w:rPr>
                <w:rFonts w:cs="Arial"/>
                <w:sz w:val="20"/>
                <w:szCs w:val="20"/>
                <w:vertAlign w:val="superscript"/>
              </w:rPr>
              <w:t>2</w:t>
            </w:r>
            <w:r>
              <w:rPr>
                <w:rFonts w:cs="Arial"/>
                <w:sz w:val="20"/>
                <w:szCs w:val="20"/>
              </w:rPr>
              <w:t xml:space="preserve"> (mean [SD])</w:t>
            </w:r>
          </w:p>
          <w:p w14:paraId="063B36B8" w14:textId="40EEF76E" w:rsidR="00146F46" w:rsidRPr="0093659C" w:rsidRDefault="00146F46" w:rsidP="00130788">
            <w:pPr>
              <w:spacing w:after="0" w:line="276" w:lineRule="auto"/>
              <w:contextualSpacing/>
              <w:rPr>
                <w:rFonts w:cs="Arial"/>
                <w:sz w:val="20"/>
                <w:szCs w:val="20"/>
              </w:rPr>
            </w:pPr>
            <w:r>
              <w:rPr>
                <w:rFonts w:cs="Arial"/>
                <w:sz w:val="20"/>
                <w:szCs w:val="20"/>
              </w:rPr>
              <w:t>IQR</w:t>
            </w:r>
          </w:p>
        </w:tc>
        <w:tc>
          <w:tcPr>
            <w:tcW w:w="1606" w:type="dxa"/>
            <w:tcBorders>
              <w:top w:val="single" w:sz="4" w:space="0" w:color="auto"/>
              <w:bottom w:val="single" w:sz="4" w:space="0" w:color="auto"/>
              <w:right w:val="nil"/>
            </w:tcBorders>
          </w:tcPr>
          <w:p w14:paraId="28AEE37F" w14:textId="4FA09D1D" w:rsidR="00C520E0" w:rsidRPr="0093659C" w:rsidRDefault="005410B5" w:rsidP="00C520E0">
            <w:pPr>
              <w:spacing w:after="0" w:line="276" w:lineRule="auto"/>
              <w:contextualSpacing/>
              <w:jc w:val="center"/>
              <w:rPr>
                <w:rFonts w:cs="Arial"/>
                <w:sz w:val="20"/>
                <w:szCs w:val="20"/>
              </w:rPr>
            </w:pPr>
            <w:r>
              <w:rPr>
                <w:rFonts w:cs="Arial"/>
                <w:sz w:val="20"/>
                <w:szCs w:val="20"/>
              </w:rPr>
              <w:t>40.30 (9.18</w:t>
            </w:r>
            <w:r w:rsidR="00C520E0">
              <w:rPr>
                <w:rFonts w:cs="Arial"/>
                <w:sz w:val="20"/>
                <w:szCs w:val="20"/>
              </w:rPr>
              <w:t>)</w:t>
            </w:r>
            <w:r w:rsidR="00AF1400">
              <w:rPr>
                <w:rFonts w:cs="Arial"/>
                <w:sz w:val="20"/>
                <w:szCs w:val="20"/>
              </w:rPr>
              <w:br/>
              <w:t>34-47</w:t>
            </w:r>
          </w:p>
        </w:tc>
        <w:tc>
          <w:tcPr>
            <w:tcW w:w="1665" w:type="dxa"/>
            <w:tcBorders>
              <w:top w:val="single" w:sz="4" w:space="0" w:color="auto"/>
              <w:left w:val="nil"/>
              <w:bottom w:val="single" w:sz="4" w:space="0" w:color="auto"/>
              <w:right w:val="nil"/>
            </w:tcBorders>
          </w:tcPr>
          <w:p w14:paraId="585A50E2" w14:textId="39D33A05" w:rsidR="00C520E0" w:rsidRPr="0093659C" w:rsidRDefault="00C520E0" w:rsidP="005410B5">
            <w:pPr>
              <w:spacing w:after="0" w:line="276" w:lineRule="auto"/>
              <w:contextualSpacing/>
              <w:jc w:val="center"/>
              <w:rPr>
                <w:rFonts w:cs="Arial"/>
                <w:sz w:val="20"/>
                <w:szCs w:val="20"/>
              </w:rPr>
            </w:pPr>
            <w:r>
              <w:rPr>
                <w:rFonts w:cs="Arial"/>
                <w:sz w:val="20"/>
                <w:szCs w:val="20"/>
              </w:rPr>
              <w:t>40.3</w:t>
            </w:r>
            <w:r w:rsidR="005410B5">
              <w:rPr>
                <w:rFonts w:cs="Arial"/>
                <w:sz w:val="20"/>
                <w:szCs w:val="20"/>
              </w:rPr>
              <w:t>6</w:t>
            </w:r>
            <w:r>
              <w:rPr>
                <w:rFonts w:cs="Arial"/>
                <w:sz w:val="20"/>
                <w:szCs w:val="20"/>
              </w:rPr>
              <w:t xml:space="preserve"> (9.0</w:t>
            </w:r>
            <w:r w:rsidR="005410B5">
              <w:rPr>
                <w:rFonts w:cs="Arial"/>
                <w:sz w:val="20"/>
                <w:szCs w:val="20"/>
              </w:rPr>
              <w:t>6</w:t>
            </w:r>
            <w:r w:rsidR="00AF1400">
              <w:rPr>
                <w:rFonts w:cs="Arial"/>
                <w:sz w:val="20"/>
                <w:szCs w:val="20"/>
              </w:rPr>
              <w:t>)</w:t>
            </w:r>
            <w:r w:rsidR="00AF1400">
              <w:rPr>
                <w:rFonts w:cs="Arial"/>
                <w:sz w:val="20"/>
                <w:szCs w:val="20"/>
              </w:rPr>
              <w:br/>
              <w:t>35-47</w:t>
            </w:r>
          </w:p>
        </w:tc>
      </w:tr>
      <w:tr w:rsidR="00EE380E" w:rsidRPr="0093659C" w14:paraId="3694513A" w14:textId="77777777" w:rsidTr="00EE380E">
        <w:tc>
          <w:tcPr>
            <w:tcW w:w="3777" w:type="dxa"/>
            <w:gridSpan w:val="2"/>
            <w:tcBorders>
              <w:top w:val="single" w:sz="4" w:space="0" w:color="auto"/>
              <w:bottom w:val="single" w:sz="4" w:space="0" w:color="auto"/>
              <w:right w:val="nil"/>
            </w:tcBorders>
          </w:tcPr>
          <w:p w14:paraId="3720F13F" w14:textId="77777777" w:rsidR="00EE380E" w:rsidRDefault="00EE380E" w:rsidP="001453E8">
            <w:pPr>
              <w:spacing w:after="0" w:line="276" w:lineRule="auto"/>
              <w:contextualSpacing/>
              <w:rPr>
                <w:rFonts w:cs="Arial"/>
                <w:sz w:val="20"/>
                <w:szCs w:val="20"/>
              </w:rPr>
            </w:pPr>
            <w:r>
              <w:rPr>
                <w:rFonts w:cs="Arial"/>
                <w:sz w:val="20"/>
                <w:szCs w:val="20"/>
              </w:rPr>
              <w:t>Life satisfaction (0-30)</w:t>
            </w:r>
            <w:r w:rsidRPr="00130788">
              <w:rPr>
                <w:rFonts w:cs="Arial"/>
                <w:sz w:val="20"/>
                <w:szCs w:val="20"/>
                <w:vertAlign w:val="superscript"/>
              </w:rPr>
              <w:t>2</w:t>
            </w:r>
            <w:r>
              <w:rPr>
                <w:rFonts w:cs="Arial"/>
                <w:sz w:val="20"/>
                <w:szCs w:val="20"/>
              </w:rPr>
              <w:t xml:space="preserve"> (mean [SD])</w:t>
            </w:r>
          </w:p>
          <w:p w14:paraId="2D49CA0D" w14:textId="51548B86" w:rsidR="00146F46" w:rsidRPr="0093659C" w:rsidRDefault="00146F46" w:rsidP="001453E8">
            <w:pPr>
              <w:spacing w:after="0" w:line="276" w:lineRule="auto"/>
              <w:contextualSpacing/>
              <w:rPr>
                <w:rFonts w:cs="Arial"/>
                <w:sz w:val="20"/>
                <w:szCs w:val="20"/>
              </w:rPr>
            </w:pPr>
            <w:r>
              <w:rPr>
                <w:rFonts w:cs="Arial"/>
                <w:sz w:val="20"/>
                <w:szCs w:val="20"/>
              </w:rPr>
              <w:t>IQR</w:t>
            </w:r>
          </w:p>
        </w:tc>
        <w:tc>
          <w:tcPr>
            <w:tcW w:w="1606" w:type="dxa"/>
            <w:tcBorders>
              <w:top w:val="single" w:sz="4" w:space="0" w:color="auto"/>
              <w:bottom w:val="single" w:sz="4" w:space="0" w:color="auto"/>
              <w:right w:val="nil"/>
            </w:tcBorders>
          </w:tcPr>
          <w:p w14:paraId="02D91E9B" w14:textId="29C5EBCD" w:rsidR="00EE380E" w:rsidRPr="0093659C" w:rsidRDefault="00EE380E" w:rsidP="001453E8">
            <w:pPr>
              <w:spacing w:after="0" w:line="276" w:lineRule="auto"/>
              <w:contextualSpacing/>
              <w:jc w:val="center"/>
              <w:rPr>
                <w:rFonts w:cs="Arial"/>
                <w:sz w:val="20"/>
                <w:szCs w:val="20"/>
              </w:rPr>
            </w:pPr>
            <w:r>
              <w:rPr>
                <w:rFonts w:cs="Arial"/>
                <w:sz w:val="20"/>
                <w:szCs w:val="20"/>
              </w:rPr>
              <w:t>19.97 (6.68)</w:t>
            </w:r>
            <w:r w:rsidR="00AF1400">
              <w:rPr>
                <w:rFonts w:cs="Arial"/>
                <w:sz w:val="20"/>
                <w:szCs w:val="20"/>
              </w:rPr>
              <w:br/>
              <w:t>16-25</w:t>
            </w:r>
          </w:p>
        </w:tc>
        <w:tc>
          <w:tcPr>
            <w:tcW w:w="1665" w:type="dxa"/>
            <w:tcBorders>
              <w:top w:val="single" w:sz="4" w:space="0" w:color="auto"/>
              <w:left w:val="nil"/>
              <w:bottom w:val="single" w:sz="4" w:space="0" w:color="auto"/>
              <w:right w:val="nil"/>
            </w:tcBorders>
          </w:tcPr>
          <w:p w14:paraId="5E77D787" w14:textId="4AE7925F" w:rsidR="00EE380E" w:rsidRPr="0093659C" w:rsidRDefault="00EE380E" w:rsidP="001453E8">
            <w:pPr>
              <w:spacing w:after="0" w:line="276" w:lineRule="auto"/>
              <w:contextualSpacing/>
              <w:jc w:val="center"/>
              <w:rPr>
                <w:rFonts w:cs="Arial"/>
                <w:sz w:val="20"/>
                <w:szCs w:val="20"/>
              </w:rPr>
            </w:pPr>
            <w:r>
              <w:rPr>
                <w:rFonts w:cs="Arial"/>
                <w:sz w:val="20"/>
                <w:szCs w:val="20"/>
              </w:rPr>
              <w:t>19.84 (6.68)</w:t>
            </w:r>
            <w:r w:rsidR="00AF1400">
              <w:rPr>
                <w:rFonts w:cs="Arial"/>
                <w:sz w:val="20"/>
                <w:szCs w:val="20"/>
              </w:rPr>
              <w:br/>
              <w:t>16-25</w:t>
            </w:r>
          </w:p>
        </w:tc>
      </w:tr>
      <w:tr w:rsidR="00270F21" w:rsidRPr="00EE380E" w14:paraId="58E80EA9" w14:textId="77777777" w:rsidTr="001453E8">
        <w:tc>
          <w:tcPr>
            <w:tcW w:w="3777" w:type="dxa"/>
            <w:gridSpan w:val="2"/>
            <w:tcBorders>
              <w:top w:val="single" w:sz="4" w:space="0" w:color="auto"/>
              <w:bottom w:val="single" w:sz="4" w:space="0" w:color="auto"/>
              <w:right w:val="nil"/>
            </w:tcBorders>
          </w:tcPr>
          <w:p w14:paraId="00EA11B6" w14:textId="26AE9043" w:rsidR="00270F21" w:rsidRPr="00EE380E" w:rsidRDefault="00270F21" w:rsidP="001453E8">
            <w:pPr>
              <w:spacing w:after="0" w:line="276" w:lineRule="auto"/>
              <w:contextualSpacing/>
              <w:rPr>
                <w:rFonts w:cs="Arial"/>
                <w:color w:val="FF0000"/>
                <w:sz w:val="20"/>
                <w:szCs w:val="20"/>
              </w:rPr>
            </w:pPr>
            <w:r>
              <w:rPr>
                <w:rFonts w:cs="Arial"/>
                <w:color w:val="FF0000"/>
                <w:sz w:val="20"/>
                <w:szCs w:val="20"/>
              </w:rPr>
              <w:t>Sexually active in the past year</w:t>
            </w:r>
          </w:p>
        </w:tc>
        <w:tc>
          <w:tcPr>
            <w:tcW w:w="1606" w:type="dxa"/>
            <w:tcBorders>
              <w:top w:val="single" w:sz="4" w:space="0" w:color="auto"/>
              <w:bottom w:val="single" w:sz="4" w:space="0" w:color="auto"/>
              <w:right w:val="nil"/>
            </w:tcBorders>
          </w:tcPr>
          <w:p w14:paraId="2EB61164" w14:textId="6464A1C2" w:rsidR="00270F21" w:rsidRPr="00EE380E" w:rsidRDefault="00270F21" w:rsidP="001453E8">
            <w:pPr>
              <w:spacing w:after="0" w:line="276" w:lineRule="auto"/>
              <w:contextualSpacing/>
              <w:jc w:val="center"/>
              <w:rPr>
                <w:rFonts w:cs="Arial"/>
                <w:color w:val="FF0000"/>
                <w:sz w:val="20"/>
                <w:szCs w:val="20"/>
              </w:rPr>
            </w:pPr>
            <w:r>
              <w:rPr>
                <w:rFonts w:cs="Arial"/>
                <w:color w:val="FF0000"/>
                <w:sz w:val="20"/>
                <w:szCs w:val="20"/>
              </w:rPr>
              <w:t>77.7</w:t>
            </w:r>
          </w:p>
        </w:tc>
        <w:tc>
          <w:tcPr>
            <w:tcW w:w="1665" w:type="dxa"/>
            <w:tcBorders>
              <w:top w:val="single" w:sz="4" w:space="0" w:color="auto"/>
              <w:left w:val="nil"/>
              <w:bottom w:val="single" w:sz="4" w:space="0" w:color="auto"/>
              <w:right w:val="nil"/>
            </w:tcBorders>
          </w:tcPr>
          <w:p w14:paraId="19C5EB7E" w14:textId="5EFBDA62" w:rsidR="00270F21" w:rsidRPr="00EE380E" w:rsidRDefault="00270F21" w:rsidP="001453E8">
            <w:pPr>
              <w:spacing w:after="0" w:line="276" w:lineRule="auto"/>
              <w:contextualSpacing/>
              <w:jc w:val="center"/>
              <w:rPr>
                <w:rFonts w:cs="Arial"/>
                <w:color w:val="FF0000"/>
                <w:sz w:val="20"/>
                <w:szCs w:val="20"/>
              </w:rPr>
            </w:pPr>
            <w:r>
              <w:rPr>
                <w:rFonts w:cs="Arial"/>
                <w:color w:val="FF0000"/>
                <w:sz w:val="20"/>
                <w:szCs w:val="20"/>
              </w:rPr>
              <w:t>53.7</w:t>
            </w:r>
          </w:p>
        </w:tc>
      </w:tr>
      <w:tr w:rsidR="00EE380E" w:rsidRPr="00EE380E" w14:paraId="65F0C19A" w14:textId="77777777" w:rsidTr="00EE380E">
        <w:tc>
          <w:tcPr>
            <w:tcW w:w="3777" w:type="dxa"/>
            <w:gridSpan w:val="2"/>
            <w:tcBorders>
              <w:top w:val="single" w:sz="4" w:space="0" w:color="auto"/>
              <w:bottom w:val="single" w:sz="4" w:space="0" w:color="auto"/>
              <w:right w:val="nil"/>
            </w:tcBorders>
          </w:tcPr>
          <w:p w14:paraId="72FD0039" w14:textId="1880FDB0" w:rsidR="00EE380E" w:rsidRPr="00EE380E" w:rsidRDefault="00EE380E" w:rsidP="001453E8">
            <w:pPr>
              <w:spacing w:after="0" w:line="276" w:lineRule="auto"/>
              <w:contextualSpacing/>
              <w:rPr>
                <w:rFonts w:cs="Arial"/>
                <w:color w:val="FF0000"/>
                <w:sz w:val="20"/>
                <w:szCs w:val="20"/>
              </w:rPr>
            </w:pPr>
            <w:r w:rsidRPr="00EE380E">
              <w:rPr>
                <w:rFonts w:cs="Arial"/>
                <w:color w:val="FF0000"/>
                <w:sz w:val="20"/>
                <w:szCs w:val="20"/>
              </w:rPr>
              <w:t>Decline in sexual desire</w:t>
            </w:r>
          </w:p>
        </w:tc>
        <w:tc>
          <w:tcPr>
            <w:tcW w:w="1606" w:type="dxa"/>
            <w:tcBorders>
              <w:top w:val="single" w:sz="4" w:space="0" w:color="auto"/>
              <w:bottom w:val="single" w:sz="4" w:space="0" w:color="auto"/>
              <w:right w:val="nil"/>
            </w:tcBorders>
          </w:tcPr>
          <w:p w14:paraId="6EFE88F5" w14:textId="53DB1710" w:rsidR="00EE380E" w:rsidRPr="00EE380E" w:rsidRDefault="00270F21" w:rsidP="001453E8">
            <w:pPr>
              <w:spacing w:after="0" w:line="276" w:lineRule="auto"/>
              <w:contextualSpacing/>
              <w:jc w:val="center"/>
              <w:rPr>
                <w:rFonts w:cs="Arial"/>
                <w:color w:val="FF0000"/>
                <w:sz w:val="20"/>
                <w:szCs w:val="20"/>
              </w:rPr>
            </w:pPr>
            <w:r>
              <w:rPr>
                <w:rFonts w:cs="Arial"/>
                <w:color w:val="FF0000"/>
                <w:sz w:val="20"/>
                <w:szCs w:val="20"/>
              </w:rPr>
              <w:t>32.3</w:t>
            </w:r>
          </w:p>
        </w:tc>
        <w:tc>
          <w:tcPr>
            <w:tcW w:w="1665" w:type="dxa"/>
            <w:tcBorders>
              <w:top w:val="single" w:sz="4" w:space="0" w:color="auto"/>
              <w:left w:val="nil"/>
              <w:bottom w:val="single" w:sz="4" w:space="0" w:color="auto"/>
              <w:right w:val="nil"/>
            </w:tcBorders>
          </w:tcPr>
          <w:p w14:paraId="35D921C1" w14:textId="278EC9EA" w:rsidR="00EE380E" w:rsidRPr="00EE380E" w:rsidRDefault="00270F21" w:rsidP="001453E8">
            <w:pPr>
              <w:spacing w:after="0" w:line="276" w:lineRule="auto"/>
              <w:contextualSpacing/>
              <w:jc w:val="center"/>
              <w:rPr>
                <w:rFonts w:cs="Arial"/>
                <w:color w:val="FF0000"/>
                <w:sz w:val="20"/>
                <w:szCs w:val="20"/>
              </w:rPr>
            </w:pPr>
            <w:r>
              <w:rPr>
                <w:rFonts w:cs="Arial"/>
                <w:color w:val="FF0000"/>
                <w:sz w:val="20"/>
                <w:szCs w:val="20"/>
              </w:rPr>
              <w:t>33.0</w:t>
            </w:r>
          </w:p>
        </w:tc>
      </w:tr>
      <w:tr w:rsidR="00EE380E" w:rsidRPr="00EE380E" w14:paraId="79847F41" w14:textId="77777777" w:rsidTr="00EE380E">
        <w:tc>
          <w:tcPr>
            <w:tcW w:w="3777" w:type="dxa"/>
            <w:gridSpan w:val="2"/>
            <w:tcBorders>
              <w:top w:val="single" w:sz="4" w:space="0" w:color="auto"/>
              <w:bottom w:val="single" w:sz="4" w:space="0" w:color="auto"/>
              <w:right w:val="nil"/>
            </w:tcBorders>
          </w:tcPr>
          <w:p w14:paraId="60401EA4" w14:textId="503E587D" w:rsidR="00EE380E" w:rsidRPr="00EE380E" w:rsidRDefault="00EE380E" w:rsidP="001453E8">
            <w:pPr>
              <w:spacing w:after="0" w:line="276" w:lineRule="auto"/>
              <w:contextualSpacing/>
              <w:rPr>
                <w:rFonts w:cs="Arial"/>
                <w:color w:val="FF0000"/>
                <w:sz w:val="20"/>
                <w:szCs w:val="20"/>
              </w:rPr>
            </w:pPr>
            <w:r w:rsidRPr="00EE380E">
              <w:rPr>
                <w:rFonts w:cs="Arial"/>
                <w:color w:val="FF0000"/>
                <w:sz w:val="20"/>
                <w:szCs w:val="20"/>
              </w:rPr>
              <w:t>Decline in frequency of sexual activities</w:t>
            </w:r>
            <w:r w:rsidR="00DD4B70">
              <w:rPr>
                <w:rFonts w:cs="Arial"/>
                <w:color w:val="FF0000"/>
                <w:sz w:val="20"/>
                <w:szCs w:val="20"/>
                <w:vertAlign w:val="superscript"/>
              </w:rPr>
              <w:t>3</w:t>
            </w:r>
          </w:p>
        </w:tc>
        <w:tc>
          <w:tcPr>
            <w:tcW w:w="1606" w:type="dxa"/>
            <w:tcBorders>
              <w:top w:val="single" w:sz="4" w:space="0" w:color="auto"/>
              <w:bottom w:val="single" w:sz="4" w:space="0" w:color="auto"/>
              <w:right w:val="nil"/>
            </w:tcBorders>
          </w:tcPr>
          <w:p w14:paraId="16E4506C" w14:textId="3B818092" w:rsidR="00EE380E" w:rsidRPr="00EE380E" w:rsidRDefault="00270F21" w:rsidP="001453E8">
            <w:pPr>
              <w:spacing w:after="0" w:line="276" w:lineRule="auto"/>
              <w:contextualSpacing/>
              <w:jc w:val="center"/>
              <w:rPr>
                <w:rFonts w:cs="Arial"/>
                <w:color w:val="FF0000"/>
                <w:sz w:val="20"/>
                <w:szCs w:val="20"/>
              </w:rPr>
            </w:pPr>
            <w:r>
              <w:rPr>
                <w:rFonts w:cs="Arial"/>
                <w:color w:val="FF0000"/>
                <w:sz w:val="20"/>
                <w:szCs w:val="20"/>
              </w:rPr>
              <w:t>36.8</w:t>
            </w:r>
          </w:p>
        </w:tc>
        <w:tc>
          <w:tcPr>
            <w:tcW w:w="1665" w:type="dxa"/>
            <w:tcBorders>
              <w:top w:val="single" w:sz="4" w:space="0" w:color="auto"/>
              <w:left w:val="nil"/>
              <w:bottom w:val="single" w:sz="4" w:space="0" w:color="auto"/>
              <w:right w:val="nil"/>
            </w:tcBorders>
          </w:tcPr>
          <w:p w14:paraId="4FEE06B7" w14:textId="39E58926" w:rsidR="00EE380E" w:rsidRPr="00EE380E" w:rsidRDefault="00270F21" w:rsidP="001453E8">
            <w:pPr>
              <w:spacing w:after="0" w:line="276" w:lineRule="auto"/>
              <w:contextualSpacing/>
              <w:jc w:val="center"/>
              <w:rPr>
                <w:rFonts w:cs="Arial"/>
                <w:color w:val="FF0000"/>
                <w:sz w:val="20"/>
                <w:szCs w:val="20"/>
              </w:rPr>
            </w:pPr>
            <w:r>
              <w:rPr>
                <w:rFonts w:cs="Arial"/>
                <w:color w:val="FF0000"/>
                <w:sz w:val="20"/>
                <w:szCs w:val="20"/>
              </w:rPr>
              <w:t>39.2</w:t>
            </w:r>
          </w:p>
        </w:tc>
      </w:tr>
      <w:tr w:rsidR="00EE380E" w:rsidRPr="00EE380E" w14:paraId="563B49F6" w14:textId="77777777" w:rsidTr="001453E8">
        <w:tc>
          <w:tcPr>
            <w:tcW w:w="3777" w:type="dxa"/>
            <w:gridSpan w:val="2"/>
            <w:tcBorders>
              <w:top w:val="single" w:sz="4" w:space="0" w:color="auto"/>
              <w:bottom w:val="single" w:sz="4" w:space="0" w:color="auto"/>
              <w:right w:val="nil"/>
            </w:tcBorders>
          </w:tcPr>
          <w:p w14:paraId="67B77FA9" w14:textId="77777777" w:rsidR="00EE380E" w:rsidRPr="00EE380E" w:rsidRDefault="00EE380E" w:rsidP="001453E8">
            <w:pPr>
              <w:spacing w:after="0" w:line="276" w:lineRule="auto"/>
              <w:contextualSpacing/>
              <w:rPr>
                <w:rFonts w:cs="Arial"/>
                <w:color w:val="FF0000"/>
                <w:sz w:val="20"/>
                <w:szCs w:val="20"/>
              </w:rPr>
            </w:pPr>
            <w:r w:rsidRPr="00EE380E">
              <w:rPr>
                <w:rFonts w:cs="Arial"/>
                <w:color w:val="FF0000"/>
                <w:sz w:val="20"/>
                <w:szCs w:val="20"/>
              </w:rPr>
              <w:t>Decline in ability to have an erection</w:t>
            </w:r>
          </w:p>
        </w:tc>
        <w:tc>
          <w:tcPr>
            <w:tcW w:w="1606" w:type="dxa"/>
            <w:tcBorders>
              <w:top w:val="single" w:sz="4" w:space="0" w:color="auto"/>
              <w:bottom w:val="single" w:sz="4" w:space="0" w:color="auto"/>
              <w:right w:val="nil"/>
            </w:tcBorders>
          </w:tcPr>
          <w:p w14:paraId="05A96212" w14:textId="729B0145" w:rsidR="00EE380E" w:rsidRPr="00EE380E" w:rsidRDefault="00270F21" w:rsidP="001453E8">
            <w:pPr>
              <w:spacing w:after="0" w:line="276" w:lineRule="auto"/>
              <w:contextualSpacing/>
              <w:jc w:val="center"/>
              <w:rPr>
                <w:rFonts w:cs="Arial"/>
                <w:color w:val="FF0000"/>
                <w:sz w:val="20"/>
                <w:szCs w:val="20"/>
              </w:rPr>
            </w:pPr>
            <w:r>
              <w:rPr>
                <w:rFonts w:cs="Arial"/>
                <w:color w:val="FF0000"/>
                <w:sz w:val="20"/>
                <w:szCs w:val="20"/>
              </w:rPr>
              <w:t>26.3</w:t>
            </w:r>
          </w:p>
        </w:tc>
        <w:tc>
          <w:tcPr>
            <w:tcW w:w="1665" w:type="dxa"/>
            <w:tcBorders>
              <w:top w:val="single" w:sz="4" w:space="0" w:color="auto"/>
              <w:left w:val="nil"/>
              <w:bottom w:val="single" w:sz="4" w:space="0" w:color="auto"/>
              <w:right w:val="nil"/>
            </w:tcBorders>
          </w:tcPr>
          <w:p w14:paraId="4E2400B0" w14:textId="126E3E17" w:rsidR="00EE380E" w:rsidRPr="00EE380E" w:rsidRDefault="00EE380E" w:rsidP="001453E8">
            <w:pPr>
              <w:spacing w:after="0" w:line="276" w:lineRule="auto"/>
              <w:contextualSpacing/>
              <w:jc w:val="center"/>
              <w:rPr>
                <w:rFonts w:cs="Arial"/>
                <w:color w:val="FF0000"/>
                <w:sz w:val="20"/>
                <w:szCs w:val="20"/>
              </w:rPr>
            </w:pPr>
            <w:r>
              <w:rPr>
                <w:rFonts w:cs="Arial"/>
                <w:color w:val="FF0000"/>
                <w:sz w:val="20"/>
                <w:szCs w:val="20"/>
              </w:rPr>
              <w:t>-</w:t>
            </w:r>
          </w:p>
        </w:tc>
      </w:tr>
      <w:tr w:rsidR="00EE380E" w:rsidRPr="00EE380E" w14:paraId="27AB975C" w14:textId="77777777" w:rsidTr="00EE380E">
        <w:tc>
          <w:tcPr>
            <w:tcW w:w="3777" w:type="dxa"/>
            <w:gridSpan w:val="2"/>
            <w:tcBorders>
              <w:top w:val="single" w:sz="4" w:space="0" w:color="auto"/>
              <w:bottom w:val="single" w:sz="4" w:space="0" w:color="auto"/>
              <w:right w:val="nil"/>
            </w:tcBorders>
          </w:tcPr>
          <w:p w14:paraId="6B1FB28D" w14:textId="41A7D026" w:rsidR="00C520E0" w:rsidRPr="00EE380E" w:rsidRDefault="00EE380E" w:rsidP="00C520E0">
            <w:pPr>
              <w:spacing w:after="0" w:line="276" w:lineRule="auto"/>
              <w:contextualSpacing/>
              <w:rPr>
                <w:rFonts w:cs="Arial"/>
                <w:color w:val="FF0000"/>
                <w:sz w:val="20"/>
                <w:szCs w:val="20"/>
              </w:rPr>
            </w:pPr>
            <w:r w:rsidRPr="00EE380E">
              <w:rPr>
                <w:rFonts w:cs="Arial"/>
                <w:color w:val="FF0000"/>
                <w:sz w:val="20"/>
                <w:szCs w:val="20"/>
              </w:rPr>
              <w:t>Decline in ability to become sexually aroused</w:t>
            </w:r>
            <w:r w:rsidR="00DD4B70">
              <w:rPr>
                <w:rFonts w:cs="Arial"/>
                <w:color w:val="FF0000"/>
                <w:sz w:val="20"/>
                <w:szCs w:val="20"/>
                <w:vertAlign w:val="superscript"/>
              </w:rPr>
              <w:t>3</w:t>
            </w:r>
          </w:p>
        </w:tc>
        <w:tc>
          <w:tcPr>
            <w:tcW w:w="1606" w:type="dxa"/>
            <w:tcBorders>
              <w:top w:val="single" w:sz="4" w:space="0" w:color="auto"/>
              <w:bottom w:val="single" w:sz="4" w:space="0" w:color="auto"/>
              <w:right w:val="nil"/>
            </w:tcBorders>
          </w:tcPr>
          <w:p w14:paraId="3A11C7FB" w14:textId="098D3D53" w:rsidR="00C520E0" w:rsidRPr="00EE380E" w:rsidRDefault="00EE380E" w:rsidP="005410B5">
            <w:pPr>
              <w:spacing w:after="0" w:line="276" w:lineRule="auto"/>
              <w:contextualSpacing/>
              <w:jc w:val="center"/>
              <w:rPr>
                <w:rFonts w:cs="Arial"/>
                <w:color w:val="FF0000"/>
                <w:sz w:val="20"/>
                <w:szCs w:val="20"/>
              </w:rPr>
            </w:pPr>
            <w:r>
              <w:rPr>
                <w:rFonts w:cs="Arial"/>
                <w:color w:val="FF0000"/>
                <w:sz w:val="20"/>
                <w:szCs w:val="20"/>
              </w:rPr>
              <w:t>-</w:t>
            </w:r>
          </w:p>
        </w:tc>
        <w:tc>
          <w:tcPr>
            <w:tcW w:w="1665" w:type="dxa"/>
            <w:tcBorders>
              <w:top w:val="single" w:sz="4" w:space="0" w:color="auto"/>
              <w:left w:val="nil"/>
              <w:bottom w:val="single" w:sz="4" w:space="0" w:color="auto"/>
              <w:right w:val="nil"/>
            </w:tcBorders>
          </w:tcPr>
          <w:p w14:paraId="5731AC4B" w14:textId="03087112" w:rsidR="00C520E0" w:rsidRPr="00EE380E" w:rsidRDefault="00270F21" w:rsidP="005410B5">
            <w:pPr>
              <w:spacing w:after="0" w:line="276" w:lineRule="auto"/>
              <w:contextualSpacing/>
              <w:jc w:val="center"/>
              <w:rPr>
                <w:rFonts w:cs="Arial"/>
                <w:color w:val="FF0000"/>
                <w:sz w:val="20"/>
                <w:szCs w:val="20"/>
              </w:rPr>
            </w:pPr>
            <w:r>
              <w:rPr>
                <w:rFonts w:cs="Arial"/>
                <w:color w:val="FF0000"/>
                <w:sz w:val="20"/>
                <w:szCs w:val="20"/>
              </w:rPr>
              <w:t>26.6</w:t>
            </w:r>
          </w:p>
        </w:tc>
      </w:tr>
    </w:tbl>
    <w:p w14:paraId="5D92B166" w14:textId="77777777" w:rsidR="00165A61" w:rsidRPr="0093659C" w:rsidRDefault="00165A61" w:rsidP="00165A61">
      <w:pPr>
        <w:spacing w:after="0" w:line="240" w:lineRule="auto"/>
        <w:rPr>
          <w:rFonts w:cs="Arial"/>
          <w:sz w:val="20"/>
          <w:szCs w:val="20"/>
          <w:lang w:val="en-US"/>
        </w:rPr>
      </w:pPr>
      <w:r w:rsidRPr="0093659C">
        <w:rPr>
          <w:rFonts w:cs="Arial"/>
          <w:sz w:val="20"/>
          <w:szCs w:val="20"/>
          <w:lang w:val="en-US"/>
        </w:rPr>
        <w:t xml:space="preserve">Values are percentages unless otherwise stated. </w:t>
      </w:r>
    </w:p>
    <w:p w14:paraId="5FAC7FC7" w14:textId="77777777" w:rsidR="00165A61" w:rsidRPr="0093659C" w:rsidRDefault="00165A61" w:rsidP="00165A61">
      <w:pPr>
        <w:spacing w:after="0" w:line="240" w:lineRule="auto"/>
        <w:rPr>
          <w:rFonts w:cs="Arial"/>
          <w:sz w:val="20"/>
          <w:szCs w:val="20"/>
          <w:lang w:val="en-US"/>
        </w:rPr>
      </w:pPr>
      <w:r w:rsidRPr="0093659C">
        <w:rPr>
          <w:rFonts w:cs="Arial"/>
          <w:sz w:val="20"/>
          <w:szCs w:val="20"/>
          <w:lang w:val="en-US"/>
        </w:rPr>
        <w:t>All figures are weighted for sampling probabilities and differential non-response.</w:t>
      </w:r>
    </w:p>
    <w:p w14:paraId="77AEDA71" w14:textId="6A9BAB18" w:rsidR="00165A61" w:rsidRPr="0093659C" w:rsidRDefault="00165A61" w:rsidP="00165A61">
      <w:pPr>
        <w:spacing w:after="0" w:line="240" w:lineRule="auto"/>
        <w:rPr>
          <w:rFonts w:cs="Arial"/>
          <w:sz w:val="20"/>
          <w:szCs w:val="20"/>
          <w:lang w:val="en-US"/>
        </w:rPr>
      </w:pPr>
      <w:r w:rsidRPr="0093659C">
        <w:rPr>
          <w:rFonts w:cs="Arial"/>
          <w:sz w:val="20"/>
          <w:szCs w:val="20"/>
          <w:lang w:val="en-US"/>
        </w:rPr>
        <w:t>SD = standard deviation</w:t>
      </w:r>
      <w:r w:rsidR="00833642">
        <w:rPr>
          <w:rFonts w:cs="Arial"/>
          <w:sz w:val="20"/>
          <w:szCs w:val="20"/>
          <w:lang w:val="en-US"/>
        </w:rPr>
        <w:t>; IQR = interquartile range</w:t>
      </w:r>
      <w:r w:rsidRPr="0093659C">
        <w:rPr>
          <w:rFonts w:cs="Arial"/>
          <w:sz w:val="20"/>
          <w:szCs w:val="20"/>
          <w:lang w:val="en-US"/>
        </w:rPr>
        <w:t>.</w:t>
      </w:r>
    </w:p>
    <w:p w14:paraId="09FF2980" w14:textId="730552E5" w:rsidR="00165A61" w:rsidRDefault="00165A61" w:rsidP="00165A61">
      <w:pPr>
        <w:spacing w:after="0" w:line="240" w:lineRule="auto"/>
        <w:rPr>
          <w:rFonts w:cs="Arial"/>
          <w:sz w:val="20"/>
          <w:szCs w:val="20"/>
          <w:lang w:val="en-US"/>
        </w:rPr>
      </w:pPr>
      <w:r w:rsidRPr="0093659C">
        <w:rPr>
          <w:rFonts w:cstheme="minorHAnsi"/>
          <w:sz w:val="20"/>
          <w:szCs w:val="20"/>
          <w:lang w:val="en-US"/>
        </w:rPr>
        <w:lastRenderedPageBreak/>
        <w:t xml:space="preserve">¹ </w:t>
      </w:r>
      <w:r w:rsidRPr="0093659C">
        <w:rPr>
          <w:rFonts w:cs="Arial"/>
          <w:sz w:val="20"/>
          <w:szCs w:val="20"/>
          <w:lang w:val="en-US"/>
        </w:rPr>
        <w:t xml:space="preserve">Never/rarely = never – once or twice a year; regularly = once every </w:t>
      </w:r>
      <w:r w:rsidR="001453E8">
        <w:rPr>
          <w:rFonts w:cs="Arial"/>
          <w:sz w:val="20"/>
          <w:szCs w:val="20"/>
          <w:lang w:val="en-US"/>
        </w:rPr>
        <w:t xml:space="preserve">couple of </w:t>
      </w:r>
      <w:r w:rsidRPr="0093659C">
        <w:rPr>
          <w:rFonts w:cs="Arial"/>
          <w:sz w:val="20"/>
          <w:szCs w:val="20"/>
          <w:lang w:val="en-US"/>
        </w:rPr>
        <w:t>months – twice a week; frequently = 3 days a week – almost every day.</w:t>
      </w:r>
    </w:p>
    <w:p w14:paraId="558E494B" w14:textId="02D585AF" w:rsidR="00130788" w:rsidRDefault="00130788" w:rsidP="00165A61">
      <w:pPr>
        <w:spacing w:after="0" w:line="240" w:lineRule="auto"/>
        <w:rPr>
          <w:rFonts w:cs="Arial"/>
          <w:sz w:val="20"/>
          <w:szCs w:val="20"/>
          <w:lang w:val="en-US"/>
        </w:rPr>
      </w:pPr>
      <w:r w:rsidRPr="00130788">
        <w:rPr>
          <w:rFonts w:cs="Arial"/>
          <w:sz w:val="20"/>
          <w:szCs w:val="20"/>
          <w:vertAlign w:val="superscript"/>
          <w:lang w:val="en-US"/>
        </w:rPr>
        <w:t>2</w:t>
      </w:r>
      <w:r>
        <w:rPr>
          <w:rFonts w:cs="Arial"/>
          <w:sz w:val="20"/>
          <w:szCs w:val="20"/>
          <w:lang w:val="en-US"/>
        </w:rPr>
        <w:t xml:space="preserve"> Higher scores represent a greater number of depressive symptoms, greater quality of life, and greater life satisfaction.</w:t>
      </w:r>
    </w:p>
    <w:p w14:paraId="54764EFC" w14:textId="72E01D50" w:rsidR="00DD4B70" w:rsidRPr="00DD4B70" w:rsidRDefault="00DD4B70" w:rsidP="00165A61">
      <w:pPr>
        <w:spacing w:after="0" w:line="240" w:lineRule="auto"/>
        <w:rPr>
          <w:rFonts w:cs="Arial"/>
          <w:sz w:val="20"/>
          <w:szCs w:val="20"/>
          <w:lang w:val="en-US"/>
        </w:rPr>
      </w:pPr>
      <w:r>
        <w:rPr>
          <w:rFonts w:cs="Arial"/>
          <w:color w:val="FF0000"/>
          <w:sz w:val="20"/>
          <w:szCs w:val="20"/>
          <w:vertAlign w:val="superscript"/>
        </w:rPr>
        <w:t xml:space="preserve">3 </w:t>
      </w:r>
      <w:r>
        <w:rPr>
          <w:rFonts w:cs="Arial"/>
          <w:color w:val="FF0000"/>
          <w:sz w:val="20"/>
          <w:szCs w:val="20"/>
        </w:rPr>
        <w:t xml:space="preserve">Among those who </w:t>
      </w:r>
      <w:r w:rsidR="00AB698C">
        <w:rPr>
          <w:rFonts w:cs="Arial"/>
          <w:color w:val="FF0000"/>
          <w:sz w:val="20"/>
          <w:szCs w:val="20"/>
        </w:rPr>
        <w:t>reported any sexual activity in the past year</w:t>
      </w:r>
      <w:r>
        <w:rPr>
          <w:rFonts w:cs="Arial"/>
          <w:color w:val="FF0000"/>
          <w:sz w:val="20"/>
          <w:szCs w:val="20"/>
        </w:rPr>
        <w:t>.</w:t>
      </w:r>
    </w:p>
    <w:p w14:paraId="1CE7BE23" w14:textId="77777777" w:rsidR="00165A61" w:rsidRPr="00530C59" w:rsidRDefault="00165A61" w:rsidP="00165A61">
      <w:pPr>
        <w:rPr>
          <w:b/>
          <w:sz w:val="28"/>
        </w:rPr>
      </w:pPr>
    </w:p>
    <w:p w14:paraId="772190EE" w14:textId="1618EAC4" w:rsidR="00611C83" w:rsidRDefault="00611C83" w:rsidP="00611C83">
      <w:pPr>
        <w:tabs>
          <w:tab w:val="left" w:pos="1910"/>
        </w:tabs>
      </w:pPr>
    </w:p>
    <w:p w14:paraId="54F330ED" w14:textId="10A8D821" w:rsidR="001165D2" w:rsidRDefault="001165D2" w:rsidP="00611C83">
      <w:pPr>
        <w:tabs>
          <w:tab w:val="left" w:pos="1910"/>
        </w:tabs>
      </w:pPr>
    </w:p>
    <w:p w14:paraId="47B75CDD" w14:textId="77777777" w:rsidR="001165D2" w:rsidRDefault="001165D2" w:rsidP="00611C83">
      <w:pPr>
        <w:tabs>
          <w:tab w:val="left" w:pos="1910"/>
        </w:tabs>
        <w:sectPr w:rsidR="001165D2">
          <w:footerReference w:type="default" r:id="rId13"/>
          <w:pgSz w:w="11906" w:h="16838"/>
          <w:pgMar w:top="1440" w:right="1440" w:bottom="1440" w:left="1440" w:header="708" w:footer="708" w:gutter="0"/>
          <w:cols w:space="708"/>
          <w:docGrid w:linePitch="360"/>
        </w:sectPr>
      </w:pPr>
    </w:p>
    <w:p w14:paraId="38783046" w14:textId="75E0AF70" w:rsidR="001165D2" w:rsidRDefault="001165D2" w:rsidP="00611C83">
      <w:pPr>
        <w:tabs>
          <w:tab w:val="left" w:pos="1910"/>
        </w:tabs>
      </w:pPr>
    </w:p>
    <w:tbl>
      <w:tblPr>
        <w:tblStyle w:val="TableGrid"/>
        <w:tblpPr w:leftFromText="180" w:rightFromText="180" w:vertAnchor="text" w:horzAnchor="margin" w:tblpX="-993" w:tblpY="959"/>
        <w:tblW w:w="11340" w:type="dxa"/>
        <w:tblLayout w:type="fixed"/>
        <w:tblLook w:val="04A0" w:firstRow="1" w:lastRow="0" w:firstColumn="1" w:lastColumn="0" w:noHBand="0" w:noVBand="1"/>
      </w:tblPr>
      <w:tblGrid>
        <w:gridCol w:w="284"/>
        <w:gridCol w:w="2660"/>
        <w:gridCol w:w="600"/>
        <w:gridCol w:w="1843"/>
        <w:gridCol w:w="236"/>
        <w:gridCol w:w="665"/>
        <w:gridCol w:w="1893"/>
        <w:gridCol w:w="1244"/>
        <w:gridCol w:w="882"/>
        <w:gridCol w:w="1033"/>
      </w:tblGrid>
      <w:tr w:rsidR="007E77EE" w:rsidRPr="00F8326B" w14:paraId="5AC7C403" w14:textId="6E91D153" w:rsidTr="007E77EE">
        <w:tc>
          <w:tcPr>
            <w:tcW w:w="284" w:type="dxa"/>
            <w:tcBorders>
              <w:top w:val="nil"/>
              <w:left w:val="nil"/>
              <w:bottom w:val="nil"/>
              <w:right w:val="nil"/>
            </w:tcBorders>
          </w:tcPr>
          <w:p w14:paraId="4FE72CF2" w14:textId="77777777" w:rsidR="007E77EE" w:rsidRPr="00F8326B" w:rsidRDefault="007E77EE" w:rsidP="007E77EE">
            <w:pPr>
              <w:spacing w:after="0" w:line="240" w:lineRule="auto"/>
              <w:rPr>
                <w:rFonts w:eastAsia="Times New Roman"/>
                <w:b/>
                <w:color w:val="FF0000"/>
                <w:sz w:val="20"/>
                <w:shd w:val="clear" w:color="auto" w:fill="FFFFFF"/>
              </w:rPr>
            </w:pPr>
          </w:p>
        </w:tc>
        <w:tc>
          <w:tcPr>
            <w:tcW w:w="2660" w:type="dxa"/>
            <w:vMerge w:val="restart"/>
            <w:tcBorders>
              <w:top w:val="nil"/>
              <w:left w:val="nil"/>
              <w:right w:val="nil"/>
            </w:tcBorders>
            <w:vAlign w:val="center"/>
          </w:tcPr>
          <w:p w14:paraId="72B42810" w14:textId="77777777" w:rsidR="007E77EE" w:rsidRPr="00F8326B" w:rsidRDefault="007E77EE" w:rsidP="007E77EE">
            <w:pPr>
              <w:spacing w:after="0" w:line="240" w:lineRule="auto"/>
              <w:rPr>
                <w:rFonts w:eastAsia="Times New Roman"/>
                <w:b/>
                <w:color w:val="FF0000"/>
                <w:sz w:val="20"/>
                <w:shd w:val="clear" w:color="auto" w:fill="FFFFFF"/>
              </w:rPr>
            </w:pPr>
          </w:p>
        </w:tc>
        <w:tc>
          <w:tcPr>
            <w:tcW w:w="2443" w:type="dxa"/>
            <w:gridSpan w:val="2"/>
            <w:tcBorders>
              <w:top w:val="single" w:sz="8" w:space="0" w:color="auto"/>
              <w:left w:val="nil"/>
              <w:bottom w:val="single" w:sz="4" w:space="0" w:color="auto"/>
              <w:right w:val="nil"/>
            </w:tcBorders>
            <w:vAlign w:val="center"/>
          </w:tcPr>
          <w:p w14:paraId="0471DA16" w14:textId="77777777" w:rsidR="007E77EE" w:rsidRPr="00F8326B" w:rsidRDefault="007E77EE" w:rsidP="007E77EE">
            <w:pPr>
              <w:spacing w:after="0" w:line="240" w:lineRule="auto"/>
              <w:jc w:val="center"/>
              <w:rPr>
                <w:rFonts w:eastAsia="Times New Roman"/>
                <w:b/>
                <w:color w:val="FF0000"/>
                <w:sz w:val="20"/>
                <w:shd w:val="clear" w:color="auto" w:fill="FFFFFF"/>
              </w:rPr>
            </w:pPr>
            <w:r w:rsidRPr="00F8326B">
              <w:rPr>
                <w:rFonts w:eastAsia="Times New Roman"/>
                <w:b/>
                <w:color w:val="FF0000"/>
                <w:sz w:val="20"/>
                <w:shd w:val="clear" w:color="auto" w:fill="FFFFFF"/>
              </w:rPr>
              <w:t>Decline</w:t>
            </w:r>
          </w:p>
        </w:tc>
        <w:tc>
          <w:tcPr>
            <w:tcW w:w="236" w:type="dxa"/>
            <w:tcBorders>
              <w:top w:val="single" w:sz="8" w:space="0" w:color="auto"/>
              <w:left w:val="nil"/>
              <w:bottom w:val="nil"/>
              <w:right w:val="nil"/>
            </w:tcBorders>
          </w:tcPr>
          <w:p w14:paraId="1EC8439A"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2558" w:type="dxa"/>
            <w:gridSpan w:val="2"/>
            <w:tcBorders>
              <w:top w:val="single" w:sz="8" w:space="0" w:color="auto"/>
              <w:left w:val="nil"/>
              <w:bottom w:val="single" w:sz="4" w:space="0" w:color="auto"/>
              <w:right w:val="nil"/>
            </w:tcBorders>
            <w:vAlign w:val="center"/>
          </w:tcPr>
          <w:p w14:paraId="03D63AF9" w14:textId="77777777" w:rsidR="007E77EE" w:rsidRPr="00F8326B" w:rsidRDefault="007E77EE" w:rsidP="007E77EE">
            <w:pPr>
              <w:spacing w:after="0" w:line="240" w:lineRule="auto"/>
              <w:jc w:val="center"/>
              <w:rPr>
                <w:rFonts w:eastAsia="Times New Roman"/>
                <w:b/>
                <w:color w:val="FF0000"/>
                <w:sz w:val="20"/>
                <w:shd w:val="clear" w:color="auto" w:fill="FFFFFF"/>
              </w:rPr>
            </w:pPr>
            <w:r w:rsidRPr="00F8326B">
              <w:rPr>
                <w:rFonts w:eastAsia="Times New Roman"/>
                <w:b/>
                <w:color w:val="FF0000"/>
                <w:sz w:val="20"/>
                <w:shd w:val="clear" w:color="auto" w:fill="FFFFFF"/>
              </w:rPr>
              <w:t>No decline</w:t>
            </w:r>
          </w:p>
        </w:tc>
        <w:tc>
          <w:tcPr>
            <w:tcW w:w="1244" w:type="dxa"/>
            <w:vMerge w:val="restart"/>
            <w:tcBorders>
              <w:top w:val="single" w:sz="8" w:space="0" w:color="auto"/>
              <w:left w:val="nil"/>
              <w:right w:val="nil"/>
            </w:tcBorders>
            <w:vAlign w:val="center"/>
          </w:tcPr>
          <w:p w14:paraId="6AB53DB7" w14:textId="21CA5325" w:rsidR="007E77EE" w:rsidRPr="003B26A4" w:rsidRDefault="007E77EE" w:rsidP="007E77EE">
            <w:pPr>
              <w:spacing w:after="0" w:line="240" w:lineRule="auto"/>
              <w:jc w:val="center"/>
              <w:rPr>
                <w:rFonts w:eastAsia="Times New Roman"/>
                <w:b/>
                <w:color w:val="FF0000"/>
                <w:sz w:val="20"/>
                <w:shd w:val="clear" w:color="auto" w:fill="FFFFFF"/>
              </w:rPr>
            </w:pPr>
            <w:r w:rsidRPr="003B26A4">
              <w:rPr>
                <w:rFonts w:eastAsia="Times New Roman"/>
                <w:b/>
                <w:color w:val="FF0000"/>
                <w:sz w:val="20"/>
                <w:shd w:val="clear" w:color="auto" w:fill="FFFFFF"/>
              </w:rPr>
              <w:t>Difference</w:t>
            </w:r>
          </w:p>
        </w:tc>
        <w:tc>
          <w:tcPr>
            <w:tcW w:w="882" w:type="dxa"/>
            <w:vMerge w:val="restart"/>
            <w:tcBorders>
              <w:top w:val="single" w:sz="8" w:space="0" w:color="auto"/>
              <w:left w:val="nil"/>
              <w:right w:val="nil"/>
            </w:tcBorders>
            <w:vAlign w:val="center"/>
          </w:tcPr>
          <w:p w14:paraId="4CA115A2" w14:textId="61B4A89B" w:rsidR="007E77EE" w:rsidRPr="00F8326B" w:rsidRDefault="007E77EE" w:rsidP="007E77EE">
            <w:pPr>
              <w:spacing w:after="0" w:line="240" w:lineRule="auto"/>
              <w:jc w:val="center"/>
              <w:rPr>
                <w:rFonts w:eastAsia="Times New Roman"/>
                <w:b/>
                <w:i/>
                <w:color w:val="FF0000"/>
                <w:sz w:val="20"/>
                <w:shd w:val="clear" w:color="auto" w:fill="FFFFFF"/>
              </w:rPr>
            </w:pPr>
            <w:r w:rsidRPr="00F8326B">
              <w:rPr>
                <w:rFonts w:eastAsia="Times New Roman"/>
                <w:b/>
                <w:i/>
                <w:color w:val="FF0000"/>
                <w:sz w:val="20"/>
                <w:shd w:val="clear" w:color="auto" w:fill="FFFFFF"/>
              </w:rPr>
              <w:t>p</w:t>
            </w:r>
          </w:p>
        </w:tc>
        <w:tc>
          <w:tcPr>
            <w:tcW w:w="1033" w:type="dxa"/>
            <w:vMerge w:val="restart"/>
            <w:tcBorders>
              <w:top w:val="single" w:sz="8" w:space="0" w:color="auto"/>
              <w:left w:val="nil"/>
              <w:right w:val="nil"/>
            </w:tcBorders>
          </w:tcPr>
          <w:p w14:paraId="6B184C1E" w14:textId="3985BA51" w:rsidR="007E77EE" w:rsidRPr="007E77EE" w:rsidRDefault="007E77EE" w:rsidP="007E77EE">
            <w:pPr>
              <w:spacing w:after="0" w:line="240" w:lineRule="auto"/>
              <w:jc w:val="center"/>
              <w:rPr>
                <w:rFonts w:eastAsia="Times New Roman"/>
                <w:b/>
                <w:color w:val="FF0000"/>
                <w:sz w:val="20"/>
                <w:shd w:val="clear" w:color="auto" w:fill="FFFFFF"/>
              </w:rPr>
            </w:pPr>
            <w:r>
              <w:rPr>
                <w:rFonts w:eastAsia="Times New Roman"/>
                <w:b/>
                <w:color w:val="FF0000"/>
                <w:sz w:val="20"/>
                <w:shd w:val="clear" w:color="auto" w:fill="FFFFFF"/>
              </w:rPr>
              <w:t>Partial eta squared</w:t>
            </w:r>
          </w:p>
        </w:tc>
      </w:tr>
      <w:tr w:rsidR="007E77EE" w:rsidRPr="00F8326B" w14:paraId="576F3AD9" w14:textId="1E2D1B8D" w:rsidTr="007E77EE">
        <w:tc>
          <w:tcPr>
            <w:tcW w:w="284" w:type="dxa"/>
            <w:tcBorders>
              <w:top w:val="nil"/>
              <w:left w:val="nil"/>
              <w:bottom w:val="single" w:sz="4" w:space="0" w:color="auto"/>
              <w:right w:val="nil"/>
            </w:tcBorders>
          </w:tcPr>
          <w:p w14:paraId="3CB790F7"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vMerge/>
            <w:tcBorders>
              <w:left w:val="nil"/>
              <w:bottom w:val="single" w:sz="4" w:space="0" w:color="auto"/>
              <w:right w:val="nil"/>
            </w:tcBorders>
          </w:tcPr>
          <w:p w14:paraId="69412074" w14:textId="77777777" w:rsidR="007E77EE" w:rsidRPr="00F8326B" w:rsidRDefault="007E77EE" w:rsidP="007E77EE">
            <w:pPr>
              <w:spacing w:after="0" w:line="240" w:lineRule="auto"/>
              <w:rPr>
                <w:rFonts w:eastAsia="Times New Roman"/>
                <w:color w:val="FF0000"/>
                <w:sz w:val="20"/>
                <w:shd w:val="clear" w:color="auto" w:fill="FFFFFF"/>
              </w:rPr>
            </w:pPr>
          </w:p>
        </w:tc>
        <w:tc>
          <w:tcPr>
            <w:tcW w:w="600" w:type="dxa"/>
            <w:tcBorders>
              <w:top w:val="single" w:sz="8" w:space="0" w:color="auto"/>
              <w:left w:val="nil"/>
              <w:bottom w:val="single" w:sz="4" w:space="0" w:color="auto"/>
              <w:right w:val="nil"/>
            </w:tcBorders>
            <w:vAlign w:val="center"/>
          </w:tcPr>
          <w:p w14:paraId="02870259" w14:textId="77777777" w:rsidR="007E77EE" w:rsidRPr="00F8326B" w:rsidRDefault="007E77EE" w:rsidP="007E77EE">
            <w:pPr>
              <w:spacing w:after="0" w:line="240" w:lineRule="auto"/>
              <w:jc w:val="center"/>
              <w:rPr>
                <w:rFonts w:eastAsia="Times New Roman"/>
                <w:b/>
                <w:i/>
                <w:color w:val="FF0000"/>
                <w:sz w:val="20"/>
                <w:shd w:val="clear" w:color="auto" w:fill="FFFFFF"/>
              </w:rPr>
            </w:pPr>
            <w:r w:rsidRPr="00F8326B">
              <w:rPr>
                <w:rFonts w:eastAsia="Times New Roman"/>
                <w:b/>
                <w:i/>
                <w:color w:val="FF0000"/>
                <w:sz w:val="20"/>
                <w:shd w:val="clear" w:color="auto" w:fill="FFFFFF"/>
              </w:rPr>
              <w:t>n</w:t>
            </w:r>
            <w:r w:rsidRPr="00F8326B">
              <w:rPr>
                <w:rFonts w:eastAsia="Times New Roman"/>
                <w:b/>
                <w:color w:val="FF0000"/>
                <w:sz w:val="20"/>
                <w:shd w:val="clear" w:color="auto" w:fill="FFFFFF"/>
                <w:vertAlign w:val="superscript"/>
              </w:rPr>
              <w:t>1</w:t>
            </w:r>
          </w:p>
        </w:tc>
        <w:tc>
          <w:tcPr>
            <w:tcW w:w="1843" w:type="dxa"/>
            <w:tcBorders>
              <w:top w:val="single" w:sz="8" w:space="0" w:color="auto"/>
              <w:left w:val="nil"/>
              <w:bottom w:val="single" w:sz="4" w:space="0" w:color="auto"/>
              <w:right w:val="nil"/>
            </w:tcBorders>
            <w:vAlign w:val="center"/>
          </w:tcPr>
          <w:p w14:paraId="1071BBA5" w14:textId="40F90F85" w:rsidR="007E77EE" w:rsidRPr="00F8326B" w:rsidRDefault="007E77EE" w:rsidP="007E77EE">
            <w:pPr>
              <w:spacing w:after="0" w:line="240" w:lineRule="auto"/>
              <w:jc w:val="center"/>
              <w:rPr>
                <w:rFonts w:eastAsia="Times New Roman"/>
                <w:b/>
                <w:color w:val="FF0000"/>
                <w:sz w:val="20"/>
                <w:shd w:val="clear" w:color="auto" w:fill="FFFFFF"/>
              </w:rPr>
            </w:pPr>
            <w:r w:rsidRPr="00F8326B">
              <w:rPr>
                <w:rFonts w:eastAsia="Times New Roman"/>
                <w:b/>
                <w:color w:val="FF0000"/>
                <w:sz w:val="20"/>
                <w:shd w:val="clear" w:color="auto" w:fill="FFFFFF"/>
              </w:rPr>
              <w:t>Mean (</w:t>
            </w:r>
            <w:r>
              <w:rPr>
                <w:rFonts w:eastAsia="Times New Roman"/>
                <w:b/>
                <w:color w:val="FF0000"/>
                <w:sz w:val="20"/>
                <w:shd w:val="clear" w:color="auto" w:fill="FFFFFF"/>
              </w:rPr>
              <w:t>95% CI</w:t>
            </w:r>
            <w:r w:rsidRPr="00F8326B">
              <w:rPr>
                <w:rFonts w:eastAsia="Times New Roman"/>
                <w:b/>
                <w:color w:val="FF0000"/>
                <w:sz w:val="20"/>
                <w:shd w:val="clear" w:color="auto" w:fill="FFFFFF"/>
              </w:rPr>
              <w:t>)</w:t>
            </w:r>
          </w:p>
        </w:tc>
        <w:tc>
          <w:tcPr>
            <w:tcW w:w="236" w:type="dxa"/>
            <w:tcBorders>
              <w:top w:val="nil"/>
              <w:left w:val="nil"/>
              <w:bottom w:val="single" w:sz="4" w:space="0" w:color="auto"/>
              <w:right w:val="nil"/>
            </w:tcBorders>
          </w:tcPr>
          <w:p w14:paraId="76385BF8" w14:textId="77777777" w:rsidR="007E77EE" w:rsidRPr="00F8326B" w:rsidRDefault="007E77EE" w:rsidP="007E77EE">
            <w:pPr>
              <w:spacing w:after="0" w:line="240" w:lineRule="auto"/>
              <w:jc w:val="center"/>
              <w:rPr>
                <w:rFonts w:eastAsia="Times New Roman"/>
                <w:b/>
                <w:i/>
                <w:color w:val="FF0000"/>
                <w:sz w:val="20"/>
                <w:shd w:val="clear" w:color="auto" w:fill="FFFFFF"/>
              </w:rPr>
            </w:pPr>
          </w:p>
        </w:tc>
        <w:tc>
          <w:tcPr>
            <w:tcW w:w="665" w:type="dxa"/>
            <w:tcBorders>
              <w:top w:val="single" w:sz="8" w:space="0" w:color="auto"/>
              <w:left w:val="nil"/>
              <w:bottom w:val="single" w:sz="4" w:space="0" w:color="auto"/>
              <w:right w:val="nil"/>
            </w:tcBorders>
            <w:vAlign w:val="center"/>
          </w:tcPr>
          <w:p w14:paraId="6B2D1E52" w14:textId="77777777" w:rsidR="007E77EE" w:rsidRPr="00F8326B" w:rsidRDefault="007E77EE" w:rsidP="007E77EE">
            <w:pPr>
              <w:spacing w:after="0" w:line="240" w:lineRule="auto"/>
              <w:jc w:val="center"/>
              <w:rPr>
                <w:rFonts w:eastAsia="Times New Roman"/>
                <w:b/>
                <w:i/>
                <w:color w:val="FF0000"/>
                <w:sz w:val="20"/>
                <w:shd w:val="clear" w:color="auto" w:fill="FFFFFF"/>
              </w:rPr>
            </w:pPr>
            <w:r w:rsidRPr="00F8326B">
              <w:rPr>
                <w:rFonts w:eastAsia="Times New Roman"/>
                <w:b/>
                <w:i/>
                <w:color w:val="FF0000"/>
                <w:sz w:val="20"/>
                <w:shd w:val="clear" w:color="auto" w:fill="FFFFFF"/>
              </w:rPr>
              <w:t>n</w:t>
            </w:r>
            <w:r w:rsidRPr="00F8326B">
              <w:rPr>
                <w:rFonts w:eastAsia="Times New Roman"/>
                <w:b/>
                <w:color w:val="FF0000"/>
                <w:sz w:val="20"/>
                <w:shd w:val="clear" w:color="auto" w:fill="FFFFFF"/>
                <w:vertAlign w:val="superscript"/>
              </w:rPr>
              <w:t>1</w:t>
            </w:r>
          </w:p>
        </w:tc>
        <w:tc>
          <w:tcPr>
            <w:tcW w:w="1893" w:type="dxa"/>
            <w:tcBorders>
              <w:top w:val="single" w:sz="8" w:space="0" w:color="auto"/>
              <w:left w:val="nil"/>
              <w:bottom w:val="single" w:sz="4" w:space="0" w:color="auto"/>
              <w:right w:val="nil"/>
            </w:tcBorders>
            <w:vAlign w:val="center"/>
          </w:tcPr>
          <w:p w14:paraId="3CF118EA" w14:textId="271D9095" w:rsidR="007E77EE" w:rsidRPr="00F8326B" w:rsidRDefault="007E77EE" w:rsidP="007E77EE">
            <w:pPr>
              <w:spacing w:after="0" w:line="240" w:lineRule="auto"/>
              <w:jc w:val="center"/>
              <w:rPr>
                <w:rFonts w:eastAsia="Times New Roman"/>
                <w:b/>
                <w:i/>
                <w:color w:val="FF0000"/>
                <w:sz w:val="20"/>
                <w:shd w:val="clear" w:color="auto" w:fill="FFFFFF"/>
              </w:rPr>
            </w:pPr>
            <w:r w:rsidRPr="00F8326B">
              <w:rPr>
                <w:rFonts w:eastAsia="Times New Roman"/>
                <w:b/>
                <w:color w:val="FF0000"/>
                <w:sz w:val="20"/>
                <w:shd w:val="clear" w:color="auto" w:fill="FFFFFF"/>
              </w:rPr>
              <w:t>Mean (</w:t>
            </w:r>
            <w:r>
              <w:rPr>
                <w:rFonts w:eastAsia="Times New Roman"/>
                <w:b/>
                <w:color w:val="FF0000"/>
                <w:sz w:val="20"/>
                <w:shd w:val="clear" w:color="auto" w:fill="FFFFFF"/>
              </w:rPr>
              <w:t>95% CI</w:t>
            </w:r>
            <w:r w:rsidRPr="00F8326B">
              <w:rPr>
                <w:rFonts w:eastAsia="Times New Roman"/>
                <w:b/>
                <w:color w:val="FF0000"/>
                <w:sz w:val="20"/>
                <w:shd w:val="clear" w:color="auto" w:fill="FFFFFF"/>
              </w:rPr>
              <w:t>)</w:t>
            </w:r>
          </w:p>
        </w:tc>
        <w:tc>
          <w:tcPr>
            <w:tcW w:w="1244" w:type="dxa"/>
            <w:vMerge/>
            <w:tcBorders>
              <w:left w:val="nil"/>
              <w:bottom w:val="single" w:sz="4" w:space="0" w:color="auto"/>
              <w:right w:val="nil"/>
            </w:tcBorders>
          </w:tcPr>
          <w:p w14:paraId="0D6303BB" w14:textId="77777777" w:rsidR="007E77EE" w:rsidRPr="00F8326B" w:rsidRDefault="007E77EE" w:rsidP="007E77EE">
            <w:pPr>
              <w:spacing w:after="0" w:line="240" w:lineRule="auto"/>
              <w:jc w:val="center"/>
              <w:rPr>
                <w:rFonts w:eastAsia="Times New Roman"/>
                <w:b/>
                <w:i/>
                <w:color w:val="FF0000"/>
                <w:sz w:val="20"/>
                <w:shd w:val="clear" w:color="auto" w:fill="FFFFFF"/>
              </w:rPr>
            </w:pPr>
          </w:p>
        </w:tc>
        <w:tc>
          <w:tcPr>
            <w:tcW w:w="882" w:type="dxa"/>
            <w:vMerge/>
            <w:tcBorders>
              <w:left w:val="nil"/>
              <w:bottom w:val="single" w:sz="4" w:space="0" w:color="auto"/>
              <w:right w:val="nil"/>
            </w:tcBorders>
            <w:vAlign w:val="center"/>
          </w:tcPr>
          <w:p w14:paraId="08559CDB" w14:textId="460D758A" w:rsidR="007E77EE" w:rsidRPr="00F8326B" w:rsidRDefault="007E77EE" w:rsidP="007E77EE">
            <w:pPr>
              <w:spacing w:after="0" w:line="240" w:lineRule="auto"/>
              <w:jc w:val="center"/>
              <w:rPr>
                <w:rFonts w:eastAsia="Times New Roman"/>
                <w:b/>
                <w:i/>
                <w:color w:val="FF0000"/>
                <w:sz w:val="20"/>
                <w:shd w:val="clear" w:color="auto" w:fill="FFFFFF"/>
              </w:rPr>
            </w:pPr>
          </w:p>
        </w:tc>
        <w:tc>
          <w:tcPr>
            <w:tcW w:w="1033" w:type="dxa"/>
            <w:vMerge/>
            <w:tcBorders>
              <w:left w:val="nil"/>
              <w:bottom w:val="single" w:sz="4" w:space="0" w:color="auto"/>
              <w:right w:val="nil"/>
            </w:tcBorders>
          </w:tcPr>
          <w:p w14:paraId="4386C56B" w14:textId="77777777" w:rsidR="007E77EE" w:rsidRPr="00F8326B" w:rsidRDefault="007E77EE" w:rsidP="007E77EE">
            <w:pPr>
              <w:spacing w:after="0" w:line="240" w:lineRule="auto"/>
              <w:jc w:val="center"/>
              <w:rPr>
                <w:rFonts w:eastAsia="Times New Roman"/>
                <w:b/>
                <w:i/>
                <w:color w:val="FF0000"/>
                <w:sz w:val="20"/>
                <w:shd w:val="clear" w:color="auto" w:fill="FFFFFF"/>
              </w:rPr>
            </w:pPr>
          </w:p>
        </w:tc>
      </w:tr>
      <w:tr w:rsidR="007E77EE" w:rsidRPr="00F8326B" w14:paraId="5D9B6B01" w14:textId="24506181" w:rsidTr="007E77EE">
        <w:tc>
          <w:tcPr>
            <w:tcW w:w="2944" w:type="dxa"/>
            <w:gridSpan w:val="2"/>
            <w:tcBorders>
              <w:top w:val="single" w:sz="4" w:space="0" w:color="auto"/>
              <w:left w:val="nil"/>
              <w:bottom w:val="nil"/>
              <w:right w:val="nil"/>
            </w:tcBorders>
          </w:tcPr>
          <w:p w14:paraId="613186FF" w14:textId="77777777" w:rsidR="007E77EE" w:rsidRPr="00F8326B" w:rsidRDefault="007E77EE" w:rsidP="007E77EE">
            <w:pPr>
              <w:spacing w:after="0" w:line="240" w:lineRule="auto"/>
              <w:rPr>
                <w:rFonts w:eastAsia="Times New Roman"/>
                <w:b/>
                <w:color w:val="FF0000"/>
                <w:sz w:val="20"/>
                <w:shd w:val="clear" w:color="auto" w:fill="FFFFFF"/>
              </w:rPr>
            </w:pPr>
            <w:r w:rsidRPr="00F8326B">
              <w:rPr>
                <w:rFonts w:eastAsia="Times New Roman"/>
                <w:b/>
                <w:color w:val="FF0000"/>
                <w:sz w:val="20"/>
                <w:shd w:val="clear" w:color="auto" w:fill="FFFFFF"/>
              </w:rPr>
              <w:t>Sexual desire</w:t>
            </w:r>
          </w:p>
        </w:tc>
        <w:tc>
          <w:tcPr>
            <w:tcW w:w="600" w:type="dxa"/>
            <w:tcBorders>
              <w:top w:val="single" w:sz="4" w:space="0" w:color="auto"/>
              <w:left w:val="nil"/>
              <w:bottom w:val="nil"/>
              <w:right w:val="nil"/>
            </w:tcBorders>
          </w:tcPr>
          <w:p w14:paraId="4414E19E"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1843" w:type="dxa"/>
            <w:tcBorders>
              <w:top w:val="single" w:sz="4" w:space="0" w:color="auto"/>
              <w:left w:val="nil"/>
              <w:bottom w:val="nil"/>
              <w:right w:val="nil"/>
            </w:tcBorders>
          </w:tcPr>
          <w:p w14:paraId="70204356"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236" w:type="dxa"/>
            <w:tcBorders>
              <w:top w:val="single" w:sz="4" w:space="0" w:color="auto"/>
              <w:left w:val="nil"/>
              <w:bottom w:val="nil"/>
              <w:right w:val="nil"/>
            </w:tcBorders>
          </w:tcPr>
          <w:p w14:paraId="20C42B63"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665" w:type="dxa"/>
            <w:tcBorders>
              <w:top w:val="single" w:sz="4" w:space="0" w:color="auto"/>
              <w:left w:val="nil"/>
              <w:bottom w:val="nil"/>
              <w:right w:val="nil"/>
            </w:tcBorders>
          </w:tcPr>
          <w:p w14:paraId="20C1333C"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1893" w:type="dxa"/>
            <w:tcBorders>
              <w:top w:val="single" w:sz="4" w:space="0" w:color="auto"/>
              <w:left w:val="nil"/>
              <w:bottom w:val="nil"/>
              <w:right w:val="nil"/>
            </w:tcBorders>
          </w:tcPr>
          <w:p w14:paraId="2ED7361A"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1244" w:type="dxa"/>
            <w:tcBorders>
              <w:top w:val="single" w:sz="4" w:space="0" w:color="auto"/>
              <w:left w:val="nil"/>
              <w:bottom w:val="nil"/>
              <w:right w:val="nil"/>
            </w:tcBorders>
          </w:tcPr>
          <w:p w14:paraId="5DBC7908"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882" w:type="dxa"/>
            <w:tcBorders>
              <w:top w:val="single" w:sz="4" w:space="0" w:color="auto"/>
              <w:left w:val="nil"/>
              <w:bottom w:val="nil"/>
              <w:right w:val="nil"/>
            </w:tcBorders>
          </w:tcPr>
          <w:p w14:paraId="11434ADB" w14:textId="2A92D32F" w:rsidR="007E77EE" w:rsidRPr="00F8326B" w:rsidRDefault="007E77EE" w:rsidP="007E77EE">
            <w:pPr>
              <w:spacing w:after="0" w:line="240" w:lineRule="auto"/>
              <w:jc w:val="center"/>
              <w:rPr>
                <w:rFonts w:eastAsia="Times New Roman"/>
                <w:b/>
                <w:color w:val="FF0000"/>
                <w:sz w:val="20"/>
                <w:shd w:val="clear" w:color="auto" w:fill="FFFFFF"/>
              </w:rPr>
            </w:pPr>
          </w:p>
        </w:tc>
        <w:tc>
          <w:tcPr>
            <w:tcW w:w="1033" w:type="dxa"/>
            <w:tcBorders>
              <w:top w:val="single" w:sz="4" w:space="0" w:color="auto"/>
              <w:left w:val="nil"/>
              <w:bottom w:val="nil"/>
              <w:right w:val="nil"/>
            </w:tcBorders>
          </w:tcPr>
          <w:p w14:paraId="3AB95E37" w14:textId="77777777" w:rsidR="007E77EE" w:rsidRPr="00F8326B" w:rsidRDefault="007E77EE" w:rsidP="007E77EE">
            <w:pPr>
              <w:spacing w:after="0" w:line="240" w:lineRule="auto"/>
              <w:jc w:val="center"/>
              <w:rPr>
                <w:rFonts w:eastAsia="Times New Roman"/>
                <w:b/>
                <w:color w:val="FF0000"/>
                <w:sz w:val="20"/>
                <w:shd w:val="clear" w:color="auto" w:fill="FFFFFF"/>
              </w:rPr>
            </w:pPr>
          </w:p>
        </w:tc>
      </w:tr>
      <w:tr w:rsidR="007E77EE" w:rsidRPr="00F8326B" w14:paraId="007DFE38" w14:textId="74604157" w:rsidTr="007E77EE">
        <w:tc>
          <w:tcPr>
            <w:tcW w:w="284" w:type="dxa"/>
            <w:tcBorders>
              <w:top w:val="nil"/>
              <w:left w:val="nil"/>
              <w:bottom w:val="nil"/>
              <w:right w:val="nil"/>
            </w:tcBorders>
          </w:tcPr>
          <w:p w14:paraId="2E64EF17"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tcBorders>
              <w:top w:val="nil"/>
              <w:left w:val="nil"/>
              <w:bottom w:val="single" w:sz="4" w:space="0" w:color="auto"/>
              <w:right w:val="nil"/>
            </w:tcBorders>
          </w:tcPr>
          <w:p w14:paraId="71350425" w14:textId="77777777" w:rsidR="007E77EE" w:rsidRPr="00F8326B" w:rsidRDefault="007E77EE" w:rsidP="007E77E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Depressive symptoms</w:t>
            </w:r>
            <w:r w:rsidRPr="00F8326B">
              <w:rPr>
                <w:rFonts w:eastAsia="Times New Roman"/>
                <w:color w:val="FF0000"/>
                <w:sz w:val="20"/>
                <w:shd w:val="clear" w:color="auto" w:fill="FFFFFF"/>
                <w:vertAlign w:val="superscript"/>
              </w:rPr>
              <w:t>2</w:t>
            </w:r>
            <w:r w:rsidRPr="00F8326B">
              <w:rPr>
                <w:rFonts w:eastAsia="Times New Roman"/>
                <w:color w:val="FF0000"/>
                <w:sz w:val="20"/>
                <w:shd w:val="clear" w:color="auto" w:fill="FFFFFF"/>
              </w:rPr>
              <w:t xml:space="preserve"> (0-8)</w:t>
            </w:r>
          </w:p>
        </w:tc>
        <w:tc>
          <w:tcPr>
            <w:tcW w:w="600" w:type="dxa"/>
            <w:tcBorders>
              <w:top w:val="nil"/>
              <w:left w:val="nil"/>
              <w:bottom w:val="single" w:sz="4" w:space="0" w:color="auto"/>
              <w:right w:val="nil"/>
            </w:tcBorders>
          </w:tcPr>
          <w:p w14:paraId="19ECE186"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852</w:t>
            </w:r>
          </w:p>
        </w:tc>
        <w:tc>
          <w:tcPr>
            <w:tcW w:w="1843" w:type="dxa"/>
            <w:tcBorders>
              <w:top w:val="nil"/>
              <w:left w:val="nil"/>
              <w:bottom w:val="single" w:sz="4" w:space="0" w:color="auto"/>
              <w:right w:val="nil"/>
            </w:tcBorders>
          </w:tcPr>
          <w:p w14:paraId="2F94A2AE" w14:textId="78440602"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1.23 (</w:t>
            </w:r>
            <w:r>
              <w:rPr>
                <w:rFonts w:eastAsia="Times New Roman"/>
                <w:color w:val="FF0000"/>
                <w:sz w:val="20"/>
                <w:shd w:val="clear" w:color="auto" w:fill="FFFFFF"/>
              </w:rPr>
              <w:t>1.13-1.33</w:t>
            </w:r>
            <w:r w:rsidRPr="00F8326B">
              <w:rPr>
                <w:rFonts w:eastAsia="Times New Roman"/>
                <w:color w:val="FF0000"/>
                <w:sz w:val="20"/>
                <w:shd w:val="clear" w:color="auto" w:fill="FFFFFF"/>
              </w:rPr>
              <w:t>)</w:t>
            </w:r>
          </w:p>
        </w:tc>
        <w:tc>
          <w:tcPr>
            <w:tcW w:w="236" w:type="dxa"/>
            <w:tcBorders>
              <w:top w:val="nil"/>
              <w:left w:val="nil"/>
              <w:bottom w:val="single" w:sz="4" w:space="0" w:color="auto"/>
              <w:right w:val="nil"/>
            </w:tcBorders>
          </w:tcPr>
          <w:p w14:paraId="7431AE3F" w14:textId="77777777" w:rsidR="007E77EE" w:rsidRPr="00F8326B" w:rsidRDefault="007E77EE" w:rsidP="007E77EE">
            <w:pPr>
              <w:spacing w:after="0" w:line="240" w:lineRule="auto"/>
              <w:jc w:val="center"/>
              <w:rPr>
                <w:rFonts w:eastAsia="Times New Roman"/>
                <w:color w:val="FF0000"/>
                <w:sz w:val="20"/>
                <w:shd w:val="clear" w:color="auto" w:fill="FFFFFF"/>
              </w:rPr>
            </w:pPr>
          </w:p>
        </w:tc>
        <w:tc>
          <w:tcPr>
            <w:tcW w:w="665" w:type="dxa"/>
            <w:tcBorders>
              <w:top w:val="nil"/>
              <w:left w:val="nil"/>
              <w:bottom w:val="single" w:sz="4" w:space="0" w:color="auto"/>
              <w:right w:val="nil"/>
            </w:tcBorders>
          </w:tcPr>
          <w:p w14:paraId="30F69A34"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1725</w:t>
            </w:r>
          </w:p>
        </w:tc>
        <w:tc>
          <w:tcPr>
            <w:tcW w:w="1893" w:type="dxa"/>
            <w:tcBorders>
              <w:top w:val="nil"/>
              <w:left w:val="nil"/>
              <w:bottom w:val="single" w:sz="4" w:space="0" w:color="auto"/>
              <w:right w:val="nil"/>
            </w:tcBorders>
          </w:tcPr>
          <w:p w14:paraId="7F868558" w14:textId="6048B58C"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1.01 (</w:t>
            </w:r>
            <w:r>
              <w:rPr>
                <w:rFonts w:eastAsia="Times New Roman"/>
                <w:color w:val="FF0000"/>
                <w:sz w:val="20"/>
                <w:shd w:val="clear" w:color="auto" w:fill="FFFFFF"/>
              </w:rPr>
              <w:t>0.95-1.08</w:t>
            </w:r>
            <w:r w:rsidRPr="00F8326B">
              <w:rPr>
                <w:rFonts w:eastAsia="Times New Roman"/>
                <w:color w:val="FF0000"/>
                <w:sz w:val="20"/>
                <w:shd w:val="clear" w:color="auto" w:fill="FFFFFF"/>
              </w:rPr>
              <w:t>)</w:t>
            </w:r>
          </w:p>
        </w:tc>
        <w:tc>
          <w:tcPr>
            <w:tcW w:w="1244" w:type="dxa"/>
            <w:tcBorders>
              <w:top w:val="nil"/>
              <w:left w:val="nil"/>
              <w:bottom w:val="single" w:sz="4" w:space="0" w:color="auto"/>
              <w:right w:val="nil"/>
            </w:tcBorders>
          </w:tcPr>
          <w:p w14:paraId="0A6FED28" w14:textId="79E1E2E8" w:rsidR="007E77EE" w:rsidRPr="00F8326B" w:rsidRDefault="007E77EE"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0.213</w:t>
            </w:r>
          </w:p>
        </w:tc>
        <w:tc>
          <w:tcPr>
            <w:tcW w:w="882" w:type="dxa"/>
            <w:tcBorders>
              <w:top w:val="nil"/>
              <w:left w:val="nil"/>
              <w:bottom w:val="single" w:sz="4" w:space="0" w:color="auto"/>
              <w:right w:val="nil"/>
            </w:tcBorders>
          </w:tcPr>
          <w:p w14:paraId="66B6739B" w14:textId="227C0246"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0.001</w:t>
            </w:r>
          </w:p>
        </w:tc>
        <w:tc>
          <w:tcPr>
            <w:tcW w:w="1033" w:type="dxa"/>
            <w:tcBorders>
              <w:top w:val="nil"/>
              <w:left w:val="nil"/>
              <w:bottom w:val="single" w:sz="4" w:space="0" w:color="auto"/>
              <w:right w:val="nil"/>
            </w:tcBorders>
          </w:tcPr>
          <w:p w14:paraId="2BB78CE2" w14:textId="039998DB" w:rsidR="007E77EE" w:rsidRPr="00F8326B" w:rsidRDefault="005B5B8A"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0.004</w:t>
            </w:r>
          </w:p>
        </w:tc>
      </w:tr>
      <w:tr w:rsidR="007E77EE" w:rsidRPr="00F8326B" w14:paraId="2CE1B976" w14:textId="3BA491B1" w:rsidTr="007E77EE">
        <w:tc>
          <w:tcPr>
            <w:tcW w:w="284" w:type="dxa"/>
            <w:tcBorders>
              <w:top w:val="nil"/>
              <w:left w:val="nil"/>
              <w:bottom w:val="nil"/>
              <w:right w:val="nil"/>
            </w:tcBorders>
          </w:tcPr>
          <w:p w14:paraId="7C8E55F3"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tcBorders>
              <w:top w:val="single" w:sz="4" w:space="0" w:color="auto"/>
              <w:left w:val="nil"/>
              <w:bottom w:val="single" w:sz="4" w:space="0" w:color="auto"/>
              <w:right w:val="nil"/>
            </w:tcBorders>
          </w:tcPr>
          <w:p w14:paraId="7B84408A" w14:textId="77777777" w:rsidR="007E77EE" w:rsidRPr="00F8326B" w:rsidRDefault="007E77EE" w:rsidP="007E77E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Quality of life</w:t>
            </w:r>
            <w:r w:rsidRPr="00F8326B">
              <w:rPr>
                <w:rFonts w:eastAsia="Times New Roman"/>
                <w:color w:val="FF0000"/>
                <w:sz w:val="20"/>
                <w:shd w:val="clear" w:color="auto" w:fill="FFFFFF"/>
                <w:vertAlign w:val="superscript"/>
              </w:rPr>
              <w:t>2</w:t>
            </w:r>
            <w:r w:rsidRPr="00F8326B">
              <w:rPr>
                <w:rFonts w:eastAsia="Times New Roman"/>
                <w:color w:val="FF0000"/>
                <w:sz w:val="20"/>
                <w:shd w:val="clear" w:color="auto" w:fill="FFFFFF"/>
              </w:rPr>
              <w:t xml:space="preserve"> (0-57)</w:t>
            </w:r>
          </w:p>
        </w:tc>
        <w:tc>
          <w:tcPr>
            <w:tcW w:w="600" w:type="dxa"/>
            <w:tcBorders>
              <w:top w:val="single" w:sz="4" w:space="0" w:color="auto"/>
              <w:left w:val="nil"/>
              <w:right w:val="nil"/>
            </w:tcBorders>
          </w:tcPr>
          <w:p w14:paraId="1BACDDDA"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807</w:t>
            </w:r>
          </w:p>
        </w:tc>
        <w:tc>
          <w:tcPr>
            <w:tcW w:w="1843" w:type="dxa"/>
            <w:tcBorders>
              <w:top w:val="single" w:sz="4" w:space="0" w:color="auto"/>
              <w:left w:val="nil"/>
              <w:right w:val="nil"/>
            </w:tcBorders>
          </w:tcPr>
          <w:p w14:paraId="51C7C771" w14:textId="4619A021"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39.38 (</w:t>
            </w:r>
            <w:r>
              <w:rPr>
                <w:rFonts w:eastAsia="Times New Roman"/>
                <w:color w:val="FF0000"/>
                <w:sz w:val="20"/>
                <w:shd w:val="clear" w:color="auto" w:fill="FFFFFF"/>
              </w:rPr>
              <w:t>38.87-39.89</w:t>
            </w:r>
            <w:r w:rsidRPr="00F8326B">
              <w:rPr>
                <w:rFonts w:eastAsia="Times New Roman"/>
                <w:color w:val="FF0000"/>
                <w:sz w:val="20"/>
                <w:shd w:val="clear" w:color="auto" w:fill="FFFFFF"/>
              </w:rPr>
              <w:t>)</w:t>
            </w:r>
          </w:p>
        </w:tc>
        <w:tc>
          <w:tcPr>
            <w:tcW w:w="236" w:type="dxa"/>
            <w:tcBorders>
              <w:top w:val="single" w:sz="4" w:space="0" w:color="auto"/>
              <w:left w:val="nil"/>
              <w:right w:val="nil"/>
            </w:tcBorders>
          </w:tcPr>
          <w:p w14:paraId="783B0C52" w14:textId="77777777" w:rsidR="007E77EE" w:rsidRPr="00F8326B" w:rsidRDefault="007E77EE" w:rsidP="007E77EE">
            <w:pPr>
              <w:spacing w:after="0" w:line="240" w:lineRule="auto"/>
              <w:jc w:val="center"/>
              <w:rPr>
                <w:rFonts w:eastAsia="Times New Roman"/>
                <w:color w:val="FF0000"/>
                <w:sz w:val="20"/>
                <w:shd w:val="clear" w:color="auto" w:fill="FFFFFF"/>
              </w:rPr>
            </w:pPr>
          </w:p>
        </w:tc>
        <w:tc>
          <w:tcPr>
            <w:tcW w:w="665" w:type="dxa"/>
            <w:tcBorders>
              <w:top w:val="single" w:sz="4" w:space="0" w:color="auto"/>
              <w:left w:val="nil"/>
              <w:right w:val="nil"/>
            </w:tcBorders>
          </w:tcPr>
          <w:p w14:paraId="0C549091"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1676</w:t>
            </w:r>
          </w:p>
        </w:tc>
        <w:tc>
          <w:tcPr>
            <w:tcW w:w="1893" w:type="dxa"/>
            <w:tcBorders>
              <w:top w:val="single" w:sz="4" w:space="0" w:color="auto"/>
              <w:left w:val="nil"/>
              <w:right w:val="nil"/>
            </w:tcBorders>
          </w:tcPr>
          <w:p w14:paraId="233AB802" w14:textId="21A1FB79"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41.11 (</w:t>
            </w:r>
            <w:r>
              <w:rPr>
                <w:rFonts w:eastAsia="Times New Roman"/>
                <w:color w:val="FF0000"/>
                <w:sz w:val="20"/>
                <w:shd w:val="clear" w:color="auto" w:fill="FFFFFF"/>
              </w:rPr>
              <w:t>40.76-41.46</w:t>
            </w:r>
            <w:r w:rsidRPr="00F8326B">
              <w:rPr>
                <w:rFonts w:eastAsia="Times New Roman"/>
                <w:color w:val="FF0000"/>
                <w:sz w:val="20"/>
                <w:shd w:val="clear" w:color="auto" w:fill="FFFFFF"/>
              </w:rPr>
              <w:t>)</w:t>
            </w:r>
          </w:p>
        </w:tc>
        <w:tc>
          <w:tcPr>
            <w:tcW w:w="1244" w:type="dxa"/>
            <w:tcBorders>
              <w:top w:val="single" w:sz="4" w:space="0" w:color="auto"/>
              <w:left w:val="nil"/>
              <w:right w:val="nil"/>
            </w:tcBorders>
          </w:tcPr>
          <w:p w14:paraId="5F79ADC0" w14:textId="4044BBF7" w:rsidR="007E77EE" w:rsidRPr="00F8326B" w:rsidRDefault="007E77EE"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-1.726</w:t>
            </w:r>
          </w:p>
        </w:tc>
        <w:tc>
          <w:tcPr>
            <w:tcW w:w="882" w:type="dxa"/>
            <w:tcBorders>
              <w:top w:val="single" w:sz="4" w:space="0" w:color="auto"/>
              <w:left w:val="nil"/>
              <w:right w:val="nil"/>
            </w:tcBorders>
          </w:tcPr>
          <w:p w14:paraId="1EB1FA72" w14:textId="02E9D414"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1033" w:type="dxa"/>
            <w:tcBorders>
              <w:top w:val="single" w:sz="4" w:space="0" w:color="auto"/>
              <w:left w:val="nil"/>
              <w:right w:val="nil"/>
            </w:tcBorders>
          </w:tcPr>
          <w:p w14:paraId="33761A1A" w14:textId="26BB2E59" w:rsidR="007E77EE" w:rsidRPr="00F8326B" w:rsidRDefault="005B5B8A"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0.010</w:t>
            </w:r>
          </w:p>
        </w:tc>
      </w:tr>
      <w:tr w:rsidR="007E77EE" w:rsidRPr="00F8326B" w14:paraId="495837F9" w14:textId="54D43960" w:rsidTr="007E77EE">
        <w:tc>
          <w:tcPr>
            <w:tcW w:w="284" w:type="dxa"/>
            <w:tcBorders>
              <w:top w:val="nil"/>
              <w:left w:val="nil"/>
              <w:bottom w:val="nil"/>
              <w:right w:val="nil"/>
            </w:tcBorders>
          </w:tcPr>
          <w:p w14:paraId="6A94B9BC"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tcBorders>
              <w:top w:val="single" w:sz="4" w:space="0" w:color="auto"/>
              <w:left w:val="nil"/>
              <w:bottom w:val="single" w:sz="4" w:space="0" w:color="auto"/>
              <w:right w:val="nil"/>
            </w:tcBorders>
          </w:tcPr>
          <w:p w14:paraId="66A64147" w14:textId="77777777" w:rsidR="007E77EE" w:rsidRPr="00F8326B" w:rsidRDefault="007E77EE" w:rsidP="007E77E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Life satisfaction</w:t>
            </w:r>
            <w:r w:rsidRPr="00F8326B">
              <w:rPr>
                <w:rFonts w:eastAsia="Times New Roman"/>
                <w:color w:val="FF0000"/>
                <w:sz w:val="20"/>
                <w:shd w:val="clear" w:color="auto" w:fill="FFFFFF"/>
                <w:vertAlign w:val="superscript"/>
              </w:rPr>
              <w:t>2</w:t>
            </w:r>
            <w:r w:rsidRPr="00F8326B">
              <w:rPr>
                <w:rFonts w:eastAsia="Times New Roman"/>
                <w:color w:val="FF0000"/>
                <w:sz w:val="20"/>
                <w:shd w:val="clear" w:color="auto" w:fill="FFFFFF"/>
              </w:rPr>
              <w:t xml:space="preserve"> (0-30)</w:t>
            </w:r>
          </w:p>
        </w:tc>
        <w:tc>
          <w:tcPr>
            <w:tcW w:w="600" w:type="dxa"/>
            <w:tcBorders>
              <w:top w:val="nil"/>
              <w:left w:val="nil"/>
              <w:right w:val="nil"/>
            </w:tcBorders>
          </w:tcPr>
          <w:p w14:paraId="132334C9"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837</w:t>
            </w:r>
          </w:p>
        </w:tc>
        <w:tc>
          <w:tcPr>
            <w:tcW w:w="1843" w:type="dxa"/>
            <w:tcBorders>
              <w:top w:val="nil"/>
              <w:left w:val="nil"/>
              <w:right w:val="nil"/>
            </w:tcBorders>
          </w:tcPr>
          <w:p w14:paraId="48ACBD63" w14:textId="385390D9"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19.72 (</w:t>
            </w:r>
            <w:r>
              <w:rPr>
                <w:rFonts w:eastAsia="Times New Roman"/>
                <w:color w:val="FF0000"/>
                <w:sz w:val="20"/>
                <w:shd w:val="clear" w:color="auto" w:fill="FFFFFF"/>
              </w:rPr>
              <w:t>19.34-20.10</w:t>
            </w:r>
            <w:r w:rsidRPr="00F8326B">
              <w:rPr>
                <w:rFonts w:eastAsia="Times New Roman"/>
                <w:color w:val="FF0000"/>
                <w:sz w:val="20"/>
                <w:shd w:val="clear" w:color="auto" w:fill="FFFFFF"/>
              </w:rPr>
              <w:t>)</w:t>
            </w:r>
          </w:p>
        </w:tc>
        <w:tc>
          <w:tcPr>
            <w:tcW w:w="236" w:type="dxa"/>
            <w:tcBorders>
              <w:top w:val="nil"/>
              <w:left w:val="nil"/>
              <w:right w:val="nil"/>
            </w:tcBorders>
          </w:tcPr>
          <w:p w14:paraId="25EA6BEA" w14:textId="77777777" w:rsidR="007E77EE" w:rsidRPr="00F8326B" w:rsidRDefault="007E77EE" w:rsidP="007E77EE">
            <w:pPr>
              <w:spacing w:after="0" w:line="240" w:lineRule="auto"/>
              <w:jc w:val="center"/>
              <w:rPr>
                <w:rFonts w:eastAsia="Times New Roman"/>
                <w:color w:val="FF0000"/>
                <w:sz w:val="20"/>
                <w:shd w:val="clear" w:color="auto" w:fill="FFFFFF"/>
              </w:rPr>
            </w:pPr>
          </w:p>
        </w:tc>
        <w:tc>
          <w:tcPr>
            <w:tcW w:w="665" w:type="dxa"/>
            <w:tcBorders>
              <w:top w:val="nil"/>
              <w:left w:val="nil"/>
              <w:right w:val="nil"/>
            </w:tcBorders>
          </w:tcPr>
          <w:p w14:paraId="2D3AA788"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1696</w:t>
            </w:r>
          </w:p>
        </w:tc>
        <w:tc>
          <w:tcPr>
            <w:tcW w:w="1893" w:type="dxa"/>
            <w:tcBorders>
              <w:top w:val="nil"/>
              <w:left w:val="nil"/>
              <w:right w:val="nil"/>
            </w:tcBorders>
          </w:tcPr>
          <w:p w14:paraId="3E39D6BC" w14:textId="24124B03"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20.32 (</w:t>
            </w:r>
            <w:r>
              <w:rPr>
                <w:rFonts w:eastAsia="Times New Roman"/>
                <w:color w:val="FF0000"/>
                <w:sz w:val="20"/>
                <w:shd w:val="clear" w:color="auto" w:fill="FFFFFF"/>
              </w:rPr>
              <w:t>20.06-20.58</w:t>
            </w:r>
            <w:r w:rsidRPr="00F8326B">
              <w:rPr>
                <w:rFonts w:eastAsia="Times New Roman"/>
                <w:color w:val="FF0000"/>
                <w:sz w:val="20"/>
                <w:shd w:val="clear" w:color="auto" w:fill="FFFFFF"/>
              </w:rPr>
              <w:t>)</w:t>
            </w:r>
          </w:p>
        </w:tc>
        <w:tc>
          <w:tcPr>
            <w:tcW w:w="1244" w:type="dxa"/>
            <w:tcBorders>
              <w:top w:val="nil"/>
              <w:left w:val="nil"/>
              <w:right w:val="nil"/>
            </w:tcBorders>
          </w:tcPr>
          <w:p w14:paraId="050FC22E" w14:textId="1D67D664" w:rsidR="007E77EE" w:rsidRPr="00F8326B" w:rsidRDefault="007E77EE"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-0.594</w:t>
            </w:r>
          </w:p>
        </w:tc>
        <w:tc>
          <w:tcPr>
            <w:tcW w:w="882" w:type="dxa"/>
            <w:tcBorders>
              <w:top w:val="nil"/>
              <w:left w:val="nil"/>
              <w:right w:val="nil"/>
            </w:tcBorders>
          </w:tcPr>
          <w:p w14:paraId="4BEFCB54" w14:textId="5A0B783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0.012</w:t>
            </w:r>
          </w:p>
        </w:tc>
        <w:tc>
          <w:tcPr>
            <w:tcW w:w="1033" w:type="dxa"/>
            <w:tcBorders>
              <w:top w:val="nil"/>
              <w:left w:val="nil"/>
              <w:right w:val="nil"/>
            </w:tcBorders>
          </w:tcPr>
          <w:p w14:paraId="6CAA0139" w14:textId="5CEC728A" w:rsidR="007E77EE" w:rsidRPr="00F8326B" w:rsidRDefault="005B5B8A"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0.002</w:t>
            </w:r>
          </w:p>
        </w:tc>
      </w:tr>
      <w:tr w:rsidR="007E77EE" w:rsidRPr="00F8326B" w14:paraId="6A6C2FCF" w14:textId="50FDD062" w:rsidTr="007E77EE">
        <w:tc>
          <w:tcPr>
            <w:tcW w:w="2944" w:type="dxa"/>
            <w:gridSpan w:val="2"/>
            <w:tcBorders>
              <w:top w:val="single" w:sz="4" w:space="0" w:color="auto"/>
              <w:left w:val="nil"/>
              <w:bottom w:val="nil"/>
              <w:right w:val="nil"/>
            </w:tcBorders>
          </w:tcPr>
          <w:p w14:paraId="586818DB" w14:textId="77777777" w:rsidR="007E77EE" w:rsidRPr="00F8326B" w:rsidRDefault="007E77EE" w:rsidP="007E77EE">
            <w:pPr>
              <w:spacing w:after="0" w:line="240" w:lineRule="auto"/>
              <w:rPr>
                <w:rFonts w:eastAsia="Times New Roman"/>
                <w:b/>
                <w:color w:val="FF0000"/>
                <w:sz w:val="20"/>
                <w:shd w:val="clear" w:color="auto" w:fill="FFFFFF"/>
              </w:rPr>
            </w:pPr>
            <w:r w:rsidRPr="00F8326B">
              <w:rPr>
                <w:rFonts w:eastAsia="Times New Roman"/>
                <w:b/>
                <w:color w:val="FF0000"/>
                <w:sz w:val="20"/>
                <w:shd w:val="clear" w:color="auto" w:fill="FFFFFF"/>
              </w:rPr>
              <w:t>Frequency of sexual activities</w:t>
            </w:r>
            <w:r w:rsidRPr="00F8326B">
              <w:rPr>
                <w:rFonts w:eastAsia="Times New Roman"/>
                <w:b/>
                <w:color w:val="FF0000"/>
                <w:sz w:val="20"/>
                <w:shd w:val="clear" w:color="auto" w:fill="FFFFFF"/>
                <w:vertAlign w:val="superscript"/>
              </w:rPr>
              <w:t>3</w:t>
            </w:r>
          </w:p>
        </w:tc>
        <w:tc>
          <w:tcPr>
            <w:tcW w:w="600" w:type="dxa"/>
            <w:tcBorders>
              <w:top w:val="single" w:sz="4" w:space="0" w:color="auto"/>
              <w:left w:val="nil"/>
              <w:bottom w:val="nil"/>
              <w:right w:val="nil"/>
            </w:tcBorders>
          </w:tcPr>
          <w:p w14:paraId="2C8E7BC0"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1843" w:type="dxa"/>
            <w:tcBorders>
              <w:top w:val="single" w:sz="4" w:space="0" w:color="auto"/>
              <w:left w:val="nil"/>
              <w:bottom w:val="nil"/>
              <w:right w:val="nil"/>
            </w:tcBorders>
          </w:tcPr>
          <w:p w14:paraId="712E47B1"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236" w:type="dxa"/>
            <w:tcBorders>
              <w:top w:val="single" w:sz="4" w:space="0" w:color="auto"/>
              <w:left w:val="nil"/>
              <w:bottom w:val="nil"/>
              <w:right w:val="nil"/>
            </w:tcBorders>
          </w:tcPr>
          <w:p w14:paraId="1781546E"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665" w:type="dxa"/>
            <w:tcBorders>
              <w:top w:val="single" w:sz="4" w:space="0" w:color="auto"/>
              <w:left w:val="nil"/>
              <w:bottom w:val="nil"/>
              <w:right w:val="nil"/>
            </w:tcBorders>
          </w:tcPr>
          <w:p w14:paraId="5790AEA4"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1893" w:type="dxa"/>
            <w:tcBorders>
              <w:top w:val="single" w:sz="4" w:space="0" w:color="auto"/>
              <w:left w:val="nil"/>
              <w:bottom w:val="nil"/>
              <w:right w:val="nil"/>
            </w:tcBorders>
          </w:tcPr>
          <w:p w14:paraId="6488A9A2"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1244" w:type="dxa"/>
            <w:tcBorders>
              <w:top w:val="single" w:sz="4" w:space="0" w:color="auto"/>
              <w:left w:val="nil"/>
              <w:bottom w:val="nil"/>
              <w:right w:val="nil"/>
            </w:tcBorders>
          </w:tcPr>
          <w:p w14:paraId="3504F9F8"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882" w:type="dxa"/>
            <w:tcBorders>
              <w:top w:val="single" w:sz="4" w:space="0" w:color="auto"/>
              <w:left w:val="nil"/>
              <w:bottom w:val="nil"/>
              <w:right w:val="nil"/>
            </w:tcBorders>
          </w:tcPr>
          <w:p w14:paraId="69E0A6CF" w14:textId="48991D47" w:rsidR="007E77EE" w:rsidRPr="00F8326B" w:rsidRDefault="007E77EE" w:rsidP="007E77EE">
            <w:pPr>
              <w:spacing w:after="0" w:line="240" w:lineRule="auto"/>
              <w:jc w:val="center"/>
              <w:rPr>
                <w:rFonts w:eastAsia="Times New Roman"/>
                <w:b/>
                <w:color w:val="FF0000"/>
                <w:sz w:val="20"/>
                <w:shd w:val="clear" w:color="auto" w:fill="FFFFFF"/>
              </w:rPr>
            </w:pPr>
          </w:p>
        </w:tc>
        <w:tc>
          <w:tcPr>
            <w:tcW w:w="1033" w:type="dxa"/>
            <w:tcBorders>
              <w:top w:val="single" w:sz="4" w:space="0" w:color="auto"/>
              <w:left w:val="nil"/>
              <w:bottom w:val="nil"/>
              <w:right w:val="nil"/>
            </w:tcBorders>
          </w:tcPr>
          <w:p w14:paraId="34301000" w14:textId="77777777" w:rsidR="007E77EE" w:rsidRPr="00F8326B" w:rsidRDefault="007E77EE" w:rsidP="007E77EE">
            <w:pPr>
              <w:spacing w:after="0" w:line="240" w:lineRule="auto"/>
              <w:jc w:val="center"/>
              <w:rPr>
                <w:rFonts w:eastAsia="Times New Roman"/>
                <w:b/>
                <w:color w:val="FF0000"/>
                <w:sz w:val="20"/>
                <w:shd w:val="clear" w:color="auto" w:fill="FFFFFF"/>
              </w:rPr>
            </w:pPr>
          </w:p>
        </w:tc>
      </w:tr>
      <w:tr w:rsidR="007E77EE" w:rsidRPr="00F8326B" w14:paraId="4E67EA6C" w14:textId="32E2A605" w:rsidTr="007E77EE">
        <w:tc>
          <w:tcPr>
            <w:tcW w:w="284" w:type="dxa"/>
            <w:tcBorders>
              <w:top w:val="nil"/>
              <w:left w:val="nil"/>
              <w:bottom w:val="nil"/>
              <w:right w:val="nil"/>
            </w:tcBorders>
          </w:tcPr>
          <w:p w14:paraId="53730585"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tcBorders>
              <w:top w:val="nil"/>
              <w:left w:val="nil"/>
              <w:bottom w:val="single" w:sz="4" w:space="0" w:color="auto"/>
              <w:right w:val="nil"/>
            </w:tcBorders>
          </w:tcPr>
          <w:p w14:paraId="7EA799AD" w14:textId="77777777" w:rsidR="007E77EE" w:rsidRPr="00F8326B" w:rsidRDefault="007E77EE" w:rsidP="007E77E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Depressive symptoms (0-8)</w:t>
            </w:r>
          </w:p>
        </w:tc>
        <w:tc>
          <w:tcPr>
            <w:tcW w:w="600" w:type="dxa"/>
            <w:tcBorders>
              <w:top w:val="nil"/>
              <w:left w:val="nil"/>
              <w:bottom w:val="single" w:sz="4" w:space="0" w:color="auto"/>
              <w:right w:val="nil"/>
            </w:tcBorders>
          </w:tcPr>
          <w:p w14:paraId="7EBF844B"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733</w:t>
            </w:r>
          </w:p>
        </w:tc>
        <w:tc>
          <w:tcPr>
            <w:tcW w:w="1843" w:type="dxa"/>
            <w:tcBorders>
              <w:top w:val="nil"/>
              <w:left w:val="nil"/>
              <w:bottom w:val="single" w:sz="4" w:space="0" w:color="auto"/>
              <w:right w:val="nil"/>
            </w:tcBorders>
          </w:tcPr>
          <w:p w14:paraId="14433A98" w14:textId="7759E053"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1.16 (</w:t>
            </w:r>
            <w:r>
              <w:rPr>
                <w:rFonts w:eastAsia="Times New Roman"/>
                <w:color w:val="FF0000"/>
                <w:sz w:val="20"/>
                <w:shd w:val="clear" w:color="auto" w:fill="FFFFFF"/>
              </w:rPr>
              <w:t>1.06-1.26</w:t>
            </w:r>
            <w:r w:rsidRPr="00F8326B">
              <w:rPr>
                <w:rFonts w:eastAsia="Times New Roman"/>
                <w:color w:val="FF0000"/>
                <w:sz w:val="20"/>
                <w:shd w:val="clear" w:color="auto" w:fill="FFFFFF"/>
              </w:rPr>
              <w:t>)</w:t>
            </w:r>
          </w:p>
        </w:tc>
        <w:tc>
          <w:tcPr>
            <w:tcW w:w="236" w:type="dxa"/>
            <w:tcBorders>
              <w:top w:val="nil"/>
              <w:left w:val="nil"/>
              <w:bottom w:val="single" w:sz="4" w:space="0" w:color="auto"/>
              <w:right w:val="nil"/>
            </w:tcBorders>
          </w:tcPr>
          <w:p w14:paraId="722B8ABE" w14:textId="77777777" w:rsidR="007E77EE" w:rsidRPr="00F8326B" w:rsidRDefault="007E77EE" w:rsidP="007E77EE">
            <w:pPr>
              <w:spacing w:after="0" w:line="240" w:lineRule="auto"/>
              <w:jc w:val="center"/>
              <w:rPr>
                <w:rFonts w:eastAsia="Times New Roman"/>
                <w:color w:val="FF0000"/>
                <w:sz w:val="20"/>
                <w:shd w:val="clear" w:color="auto" w:fill="FFFFFF"/>
              </w:rPr>
            </w:pPr>
          </w:p>
        </w:tc>
        <w:tc>
          <w:tcPr>
            <w:tcW w:w="665" w:type="dxa"/>
            <w:tcBorders>
              <w:top w:val="nil"/>
              <w:left w:val="nil"/>
              <w:bottom w:val="single" w:sz="4" w:space="0" w:color="auto"/>
              <w:right w:val="nil"/>
            </w:tcBorders>
          </w:tcPr>
          <w:p w14:paraId="0B769DB4"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1241</w:t>
            </w:r>
          </w:p>
        </w:tc>
        <w:tc>
          <w:tcPr>
            <w:tcW w:w="1893" w:type="dxa"/>
            <w:tcBorders>
              <w:top w:val="nil"/>
              <w:left w:val="nil"/>
              <w:bottom w:val="single" w:sz="4" w:space="0" w:color="auto"/>
              <w:right w:val="nil"/>
            </w:tcBorders>
          </w:tcPr>
          <w:p w14:paraId="608CAD79" w14:textId="51148123"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0.89 (</w:t>
            </w:r>
            <w:r>
              <w:rPr>
                <w:rFonts w:eastAsia="Times New Roman"/>
                <w:color w:val="FF0000"/>
                <w:sz w:val="20"/>
                <w:shd w:val="clear" w:color="auto" w:fill="FFFFFF"/>
              </w:rPr>
              <w:t>0.81-0.97</w:t>
            </w:r>
            <w:r w:rsidRPr="00F8326B">
              <w:rPr>
                <w:rFonts w:eastAsia="Times New Roman"/>
                <w:color w:val="FF0000"/>
                <w:sz w:val="20"/>
                <w:shd w:val="clear" w:color="auto" w:fill="FFFFFF"/>
              </w:rPr>
              <w:t>)</w:t>
            </w:r>
          </w:p>
        </w:tc>
        <w:tc>
          <w:tcPr>
            <w:tcW w:w="1244" w:type="dxa"/>
            <w:tcBorders>
              <w:top w:val="nil"/>
              <w:left w:val="nil"/>
              <w:bottom w:val="single" w:sz="4" w:space="0" w:color="auto"/>
              <w:right w:val="nil"/>
            </w:tcBorders>
          </w:tcPr>
          <w:p w14:paraId="7D0E748B" w14:textId="75EBB5A4" w:rsidR="007E77EE" w:rsidRPr="00F8326B" w:rsidRDefault="007E77EE"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0.266</w:t>
            </w:r>
          </w:p>
        </w:tc>
        <w:tc>
          <w:tcPr>
            <w:tcW w:w="882" w:type="dxa"/>
            <w:tcBorders>
              <w:top w:val="nil"/>
              <w:left w:val="nil"/>
              <w:bottom w:val="single" w:sz="4" w:space="0" w:color="auto"/>
              <w:right w:val="nil"/>
            </w:tcBorders>
          </w:tcPr>
          <w:p w14:paraId="0FE7E5CF" w14:textId="1AF67C62"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1033" w:type="dxa"/>
            <w:tcBorders>
              <w:top w:val="nil"/>
              <w:left w:val="nil"/>
              <w:bottom w:val="single" w:sz="4" w:space="0" w:color="auto"/>
              <w:right w:val="nil"/>
            </w:tcBorders>
          </w:tcPr>
          <w:p w14:paraId="3C07D560" w14:textId="318AC696" w:rsidR="007E77EE" w:rsidRPr="00F8326B" w:rsidRDefault="00672B24"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0.007</w:t>
            </w:r>
          </w:p>
        </w:tc>
      </w:tr>
      <w:tr w:rsidR="007E77EE" w:rsidRPr="00F8326B" w14:paraId="615F22E7" w14:textId="13918943" w:rsidTr="007E77EE">
        <w:tc>
          <w:tcPr>
            <w:tcW w:w="284" w:type="dxa"/>
            <w:tcBorders>
              <w:top w:val="nil"/>
              <w:left w:val="nil"/>
              <w:bottom w:val="nil"/>
              <w:right w:val="nil"/>
            </w:tcBorders>
          </w:tcPr>
          <w:p w14:paraId="0399223B"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tcBorders>
              <w:top w:val="single" w:sz="4" w:space="0" w:color="auto"/>
              <w:left w:val="nil"/>
              <w:bottom w:val="single" w:sz="4" w:space="0" w:color="auto"/>
              <w:right w:val="nil"/>
            </w:tcBorders>
          </w:tcPr>
          <w:p w14:paraId="24C2E19D" w14:textId="77777777" w:rsidR="007E77EE" w:rsidRPr="00F8326B" w:rsidRDefault="007E77EE" w:rsidP="007E77E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Quality of life (0-57)</w:t>
            </w:r>
          </w:p>
        </w:tc>
        <w:tc>
          <w:tcPr>
            <w:tcW w:w="600" w:type="dxa"/>
            <w:tcBorders>
              <w:top w:val="single" w:sz="4" w:space="0" w:color="auto"/>
              <w:left w:val="nil"/>
              <w:right w:val="nil"/>
            </w:tcBorders>
          </w:tcPr>
          <w:p w14:paraId="63561601"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710</w:t>
            </w:r>
          </w:p>
        </w:tc>
        <w:tc>
          <w:tcPr>
            <w:tcW w:w="1843" w:type="dxa"/>
            <w:tcBorders>
              <w:top w:val="single" w:sz="4" w:space="0" w:color="auto"/>
              <w:left w:val="nil"/>
              <w:right w:val="nil"/>
            </w:tcBorders>
          </w:tcPr>
          <w:p w14:paraId="7897199F" w14:textId="3C10D821"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40.</w:t>
            </w:r>
            <w:r>
              <w:rPr>
                <w:rFonts w:eastAsia="Times New Roman"/>
                <w:color w:val="FF0000"/>
                <w:sz w:val="20"/>
                <w:shd w:val="clear" w:color="auto" w:fill="FFFFFF"/>
              </w:rPr>
              <w:t>3</w:t>
            </w:r>
            <w:r w:rsidRPr="00F8326B">
              <w:rPr>
                <w:rFonts w:eastAsia="Times New Roman"/>
                <w:color w:val="FF0000"/>
                <w:sz w:val="20"/>
                <w:shd w:val="clear" w:color="auto" w:fill="FFFFFF"/>
              </w:rPr>
              <w:t>8 (</w:t>
            </w:r>
            <w:r>
              <w:rPr>
                <w:rFonts w:eastAsia="Times New Roman"/>
                <w:color w:val="FF0000"/>
                <w:sz w:val="20"/>
                <w:shd w:val="clear" w:color="auto" w:fill="FFFFFF"/>
              </w:rPr>
              <w:t>39.87-40.89</w:t>
            </w:r>
            <w:r w:rsidRPr="00F8326B">
              <w:rPr>
                <w:rFonts w:eastAsia="Times New Roman"/>
                <w:color w:val="FF0000"/>
                <w:sz w:val="20"/>
                <w:shd w:val="clear" w:color="auto" w:fill="FFFFFF"/>
              </w:rPr>
              <w:t>)</w:t>
            </w:r>
          </w:p>
        </w:tc>
        <w:tc>
          <w:tcPr>
            <w:tcW w:w="236" w:type="dxa"/>
            <w:tcBorders>
              <w:top w:val="single" w:sz="4" w:space="0" w:color="auto"/>
              <w:left w:val="nil"/>
              <w:right w:val="nil"/>
            </w:tcBorders>
          </w:tcPr>
          <w:p w14:paraId="57BEF33A" w14:textId="77777777" w:rsidR="007E77EE" w:rsidRPr="00F8326B" w:rsidRDefault="007E77EE" w:rsidP="007E77EE">
            <w:pPr>
              <w:spacing w:after="0" w:line="240" w:lineRule="auto"/>
              <w:jc w:val="center"/>
              <w:rPr>
                <w:rFonts w:eastAsia="Times New Roman"/>
                <w:color w:val="FF0000"/>
                <w:sz w:val="20"/>
                <w:shd w:val="clear" w:color="auto" w:fill="FFFFFF"/>
              </w:rPr>
            </w:pPr>
          </w:p>
        </w:tc>
        <w:tc>
          <w:tcPr>
            <w:tcW w:w="665" w:type="dxa"/>
            <w:tcBorders>
              <w:top w:val="single" w:sz="4" w:space="0" w:color="auto"/>
              <w:left w:val="nil"/>
              <w:right w:val="nil"/>
            </w:tcBorders>
          </w:tcPr>
          <w:p w14:paraId="5385EBAF"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1208</w:t>
            </w:r>
          </w:p>
        </w:tc>
        <w:tc>
          <w:tcPr>
            <w:tcW w:w="1893" w:type="dxa"/>
            <w:tcBorders>
              <w:top w:val="single" w:sz="4" w:space="0" w:color="auto"/>
              <w:left w:val="nil"/>
              <w:right w:val="nil"/>
            </w:tcBorders>
          </w:tcPr>
          <w:p w14:paraId="53AF7CD4" w14:textId="180DFECC"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42.00 (</w:t>
            </w:r>
            <w:r>
              <w:rPr>
                <w:rFonts w:eastAsia="Times New Roman"/>
                <w:color w:val="FF0000"/>
                <w:sz w:val="20"/>
                <w:shd w:val="clear" w:color="auto" w:fill="FFFFFF"/>
              </w:rPr>
              <w:t>41.61-42.39</w:t>
            </w:r>
            <w:r w:rsidRPr="00F8326B">
              <w:rPr>
                <w:rFonts w:eastAsia="Times New Roman"/>
                <w:color w:val="FF0000"/>
                <w:sz w:val="20"/>
                <w:shd w:val="clear" w:color="auto" w:fill="FFFFFF"/>
              </w:rPr>
              <w:t>)</w:t>
            </w:r>
          </w:p>
        </w:tc>
        <w:tc>
          <w:tcPr>
            <w:tcW w:w="1244" w:type="dxa"/>
            <w:tcBorders>
              <w:top w:val="single" w:sz="4" w:space="0" w:color="auto"/>
              <w:left w:val="nil"/>
              <w:right w:val="nil"/>
            </w:tcBorders>
          </w:tcPr>
          <w:p w14:paraId="642BB9AB" w14:textId="4314E0C6" w:rsidR="007E77EE" w:rsidRPr="00F8326B" w:rsidRDefault="007E77EE"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-1.626</w:t>
            </w:r>
          </w:p>
        </w:tc>
        <w:tc>
          <w:tcPr>
            <w:tcW w:w="882" w:type="dxa"/>
            <w:tcBorders>
              <w:top w:val="single" w:sz="4" w:space="0" w:color="auto"/>
              <w:left w:val="nil"/>
              <w:right w:val="nil"/>
            </w:tcBorders>
          </w:tcPr>
          <w:p w14:paraId="0E54AC35" w14:textId="2E99FA80"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1033" w:type="dxa"/>
            <w:tcBorders>
              <w:top w:val="single" w:sz="4" w:space="0" w:color="auto"/>
              <w:left w:val="nil"/>
              <w:right w:val="nil"/>
            </w:tcBorders>
          </w:tcPr>
          <w:p w14:paraId="514B8A75" w14:textId="4750970D" w:rsidR="007E77EE" w:rsidRPr="00F8326B" w:rsidRDefault="00672B24"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0.010</w:t>
            </w:r>
          </w:p>
        </w:tc>
      </w:tr>
      <w:tr w:rsidR="007E77EE" w:rsidRPr="00F8326B" w14:paraId="5C3261A5" w14:textId="5A0B9068" w:rsidTr="007E77EE">
        <w:tc>
          <w:tcPr>
            <w:tcW w:w="284" w:type="dxa"/>
            <w:tcBorders>
              <w:top w:val="nil"/>
              <w:left w:val="nil"/>
              <w:bottom w:val="nil"/>
              <w:right w:val="nil"/>
            </w:tcBorders>
          </w:tcPr>
          <w:p w14:paraId="19CAD3DC"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tcBorders>
              <w:top w:val="single" w:sz="4" w:space="0" w:color="auto"/>
              <w:left w:val="nil"/>
              <w:bottom w:val="single" w:sz="4" w:space="0" w:color="auto"/>
              <w:right w:val="nil"/>
            </w:tcBorders>
          </w:tcPr>
          <w:p w14:paraId="152E4D88" w14:textId="77777777" w:rsidR="007E77EE" w:rsidRPr="00F8326B" w:rsidRDefault="007E77EE" w:rsidP="007E77E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Life satisfaction (0-30)</w:t>
            </w:r>
          </w:p>
        </w:tc>
        <w:tc>
          <w:tcPr>
            <w:tcW w:w="600" w:type="dxa"/>
            <w:tcBorders>
              <w:top w:val="nil"/>
              <w:left w:val="nil"/>
              <w:right w:val="nil"/>
            </w:tcBorders>
          </w:tcPr>
          <w:p w14:paraId="2C610D22"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725</w:t>
            </w:r>
          </w:p>
        </w:tc>
        <w:tc>
          <w:tcPr>
            <w:tcW w:w="1843" w:type="dxa"/>
            <w:tcBorders>
              <w:top w:val="nil"/>
              <w:left w:val="nil"/>
              <w:right w:val="nil"/>
            </w:tcBorders>
          </w:tcPr>
          <w:p w14:paraId="2241AA12" w14:textId="540A9283"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20.05 (</w:t>
            </w:r>
            <w:r>
              <w:rPr>
                <w:rFonts w:eastAsia="Times New Roman"/>
                <w:color w:val="FF0000"/>
                <w:sz w:val="20"/>
                <w:shd w:val="clear" w:color="auto" w:fill="FFFFFF"/>
              </w:rPr>
              <w:t>19.66-20.43</w:t>
            </w:r>
            <w:r w:rsidRPr="00F8326B">
              <w:rPr>
                <w:rFonts w:eastAsia="Times New Roman"/>
                <w:color w:val="FF0000"/>
                <w:sz w:val="20"/>
                <w:shd w:val="clear" w:color="auto" w:fill="FFFFFF"/>
              </w:rPr>
              <w:t>)</w:t>
            </w:r>
          </w:p>
        </w:tc>
        <w:tc>
          <w:tcPr>
            <w:tcW w:w="236" w:type="dxa"/>
            <w:tcBorders>
              <w:top w:val="nil"/>
              <w:left w:val="nil"/>
              <w:right w:val="nil"/>
            </w:tcBorders>
          </w:tcPr>
          <w:p w14:paraId="4C262A69" w14:textId="77777777" w:rsidR="007E77EE" w:rsidRPr="00F8326B" w:rsidRDefault="007E77EE" w:rsidP="007E77EE">
            <w:pPr>
              <w:spacing w:after="0" w:line="240" w:lineRule="auto"/>
              <w:jc w:val="center"/>
              <w:rPr>
                <w:rFonts w:eastAsia="Times New Roman"/>
                <w:color w:val="FF0000"/>
                <w:sz w:val="20"/>
                <w:shd w:val="clear" w:color="auto" w:fill="FFFFFF"/>
              </w:rPr>
            </w:pPr>
          </w:p>
        </w:tc>
        <w:tc>
          <w:tcPr>
            <w:tcW w:w="665" w:type="dxa"/>
            <w:tcBorders>
              <w:top w:val="nil"/>
              <w:left w:val="nil"/>
              <w:right w:val="nil"/>
            </w:tcBorders>
          </w:tcPr>
          <w:p w14:paraId="6F35EEFC"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1225</w:t>
            </w:r>
          </w:p>
        </w:tc>
        <w:tc>
          <w:tcPr>
            <w:tcW w:w="1893" w:type="dxa"/>
            <w:tcBorders>
              <w:top w:val="nil"/>
              <w:left w:val="nil"/>
              <w:right w:val="nil"/>
            </w:tcBorders>
          </w:tcPr>
          <w:p w14:paraId="031E2885" w14:textId="4A6367AC"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20.47 (</w:t>
            </w:r>
            <w:r>
              <w:rPr>
                <w:rFonts w:eastAsia="Times New Roman"/>
                <w:color w:val="FF0000"/>
                <w:sz w:val="20"/>
                <w:shd w:val="clear" w:color="auto" w:fill="FFFFFF"/>
              </w:rPr>
              <w:t>20.18-20.77</w:t>
            </w:r>
            <w:r w:rsidRPr="00F8326B">
              <w:rPr>
                <w:rFonts w:eastAsia="Times New Roman"/>
                <w:color w:val="FF0000"/>
                <w:sz w:val="20"/>
                <w:shd w:val="clear" w:color="auto" w:fill="FFFFFF"/>
              </w:rPr>
              <w:t>)</w:t>
            </w:r>
          </w:p>
        </w:tc>
        <w:tc>
          <w:tcPr>
            <w:tcW w:w="1244" w:type="dxa"/>
            <w:tcBorders>
              <w:top w:val="nil"/>
              <w:left w:val="nil"/>
              <w:right w:val="nil"/>
            </w:tcBorders>
          </w:tcPr>
          <w:p w14:paraId="2671DDDB" w14:textId="4BE08D41" w:rsidR="007E77EE" w:rsidRPr="00F8326B" w:rsidRDefault="007E77EE"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-0.427</w:t>
            </w:r>
          </w:p>
        </w:tc>
        <w:tc>
          <w:tcPr>
            <w:tcW w:w="882" w:type="dxa"/>
            <w:tcBorders>
              <w:top w:val="nil"/>
              <w:left w:val="nil"/>
              <w:right w:val="nil"/>
            </w:tcBorders>
          </w:tcPr>
          <w:p w14:paraId="37052A3E" w14:textId="7C7EC5A9"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0.086</w:t>
            </w:r>
          </w:p>
        </w:tc>
        <w:tc>
          <w:tcPr>
            <w:tcW w:w="1033" w:type="dxa"/>
            <w:tcBorders>
              <w:top w:val="nil"/>
              <w:left w:val="nil"/>
              <w:right w:val="nil"/>
            </w:tcBorders>
          </w:tcPr>
          <w:p w14:paraId="08AFC0D3" w14:textId="75341C28" w:rsidR="007E77EE" w:rsidRPr="00F8326B" w:rsidRDefault="00672B24"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0.001</w:t>
            </w:r>
          </w:p>
        </w:tc>
      </w:tr>
      <w:tr w:rsidR="007E77EE" w:rsidRPr="00F8326B" w14:paraId="4E606F0B" w14:textId="5985065D" w:rsidTr="007E77EE">
        <w:tc>
          <w:tcPr>
            <w:tcW w:w="2944" w:type="dxa"/>
            <w:gridSpan w:val="2"/>
            <w:tcBorders>
              <w:top w:val="single" w:sz="4" w:space="0" w:color="auto"/>
              <w:left w:val="nil"/>
              <w:bottom w:val="nil"/>
              <w:right w:val="nil"/>
            </w:tcBorders>
          </w:tcPr>
          <w:p w14:paraId="13D8CE9C" w14:textId="77777777" w:rsidR="007E77EE" w:rsidRPr="00F8326B" w:rsidRDefault="007E77EE" w:rsidP="007E77EE">
            <w:pPr>
              <w:spacing w:after="0" w:line="240" w:lineRule="auto"/>
              <w:rPr>
                <w:rFonts w:eastAsia="Times New Roman"/>
                <w:b/>
                <w:color w:val="FF0000"/>
                <w:sz w:val="20"/>
                <w:shd w:val="clear" w:color="auto" w:fill="FFFFFF"/>
              </w:rPr>
            </w:pPr>
            <w:r w:rsidRPr="00F8326B">
              <w:rPr>
                <w:rFonts w:eastAsia="Times New Roman"/>
                <w:b/>
                <w:color w:val="FF0000"/>
                <w:sz w:val="20"/>
                <w:shd w:val="clear" w:color="auto" w:fill="FFFFFF"/>
              </w:rPr>
              <w:t>Ability to have an erection</w:t>
            </w:r>
          </w:p>
        </w:tc>
        <w:tc>
          <w:tcPr>
            <w:tcW w:w="600" w:type="dxa"/>
            <w:tcBorders>
              <w:top w:val="single" w:sz="4" w:space="0" w:color="auto"/>
              <w:left w:val="nil"/>
              <w:bottom w:val="nil"/>
              <w:right w:val="nil"/>
            </w:tcBorders>
          </w:tcPr>
          <w:p w14:paraId="7F7AFE13"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1843" w:type="dxa"/>
            <w:tcBorders>
              <w:top w:val="single" w:sz="4" w:space="0" w:color="auto"/>
              <w:left w:val="nil"/>
              <w:bottom w:val="nil"/>
              <w:right w:val="nil"/>
            </w:tcBorders>
          </w:tcPr>
          <w:p w14:paraId="2C722314"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236" w:type="dxa"/>
            <w:tcBorders>
              <w:top w:val="single" w:sz="4" w:space="0" w:color="auto"/>
              <w:left w:val="nil"/>
              <w:bottom w:val="nil"/>
              <w:right w:val="nil"/>
            </w:tcBorders>
          </w:tcPr>
          <w:p w14:paraId="31B879A1"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665" w:type="dxa"/>
            <w:tcBorders>
              <w:top w:val="single" w:sz="4" w:space="0" w:color="auto"/>
              <w:left w:val="nil"/>
              <w:bottom w:val="nil"/>
              <w:right w:val="nil"/>
            </w:tcBorders>
          </w:tcPr>
          <w:p w14:paraId="0D1ED448"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1893" w:type="dxa"/>
            <w:tcBorders>
              <w:top w:val="single" w:sz="4" w:space="0" w:color="auto"/>
              <w:left w:val="nil"/>
              <w:bottom w:val="nil"/>
              <w:right w:val="nil"/>
            </w:tcBorders>
          </w:tcPr>
          <w:p w14:paraId="72C289DF"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1244" w:type="dxa"/>
            <w:tcBorders>
              <w:top w:val="single" w:sz="4" w:space="0" w:color="auto"/>
              <w:left w:val="nil"/>
              <w:bottom w:val="nil"/>
              <w:right w:val="nil"/>
            </w:tcBorders>
          </w:tcPr>
          <w:p w14:paraId="616EA3B6" w14:textId="77777777" w:rsidR="007E77EE" w:rsidRPr="00F8326B" w:rsidRDefault="007E77EE" w:rsidP="007E77EE">
            <w:pPr>
              <w:spacing w:after="0" w:line="240" w:lineRule="auto"/>
              <w:jc w:val="center"/>
              <w:rPr>
                <w:rFonts w:eastAsia="Times New Roman"/>
                <w:b/>
                <w:color w:val="FF0000"/>
                <w:sz w:val="20"/>
                <w:shd w:val="clear" w:color="auto" w:fill="FFFFFF"/>
              </w:rPr>
            </w:pPr>
          </w:p>
        </w:tc>
        <w:tc>
          <w:tcPr>
            <w:tcW w:w="882" w:type="dxa"/>
            <w:tcBorders>
              <w:top w:val="single" w:sz="4" w:space="0" w:color="auto"/>
              <w:left w:val="nil"/>
              <w:bottom w:val="nil"/>
              <w:right w:val="nil"/>
            </w:tcBorders>
          </w:tcPr>
          <w:p w14:paraId="2C30274D" w14:textId="7958DEF7" w:rsidR="007E77EE" w:rsidRPr="00F8326B" w:rsidRDefault="007E77EE" w:rsidP="007E77EE">
            <w:pPr>
              <w:spacing w:after="0" w:line="240" w:lineRule="auto"/>
              <w:jc w:val="center"/>
              <w:rPr>
                <w:rFonts w:eastAsia="Times New Roman"/>
                <w:b/>
                <w:color w:val="FF0000"/>
                <w:sz w:val="20"/>
                <w:shd w:val="clear" w:color="auto" w:fill="FFFFFF"/>
              </w:rPr>
            </w:pPr>
          </w:p>
        </w:tc>
        <w:tc>
          <w:tcPr>
            <w:tcW w:w="1033" w:type="dxa"/>
            <w:tcBorders>
              <w:top w:val="single" w:sz="4" w:space="0" w:color="auto"/>
              <w:left w:val="nil"/>
              <w:bottom w:val="nil"/>
              <w:right w:val="nil"/>
            </w:tcBorders>
          </w:tcPr>
          <w:p w14:paraId="5F5201F6" w14:textId="77777777" w:rsidR="007E77EE" w:rsidRPr="00F8326B" w:rsidRDefault="007E77EE" w:rsidP="007E77EE">
            <w:pPr>
              <w:spacing w:after="0" w:line="240" w:lineRule="auto"/>
              <w:jc w:val="center"/>
              <w:rPr>
                <w:rFonts w:eastAsia="Times New Roman"/>
                <w:b/>
                <w:color w:val="FF0000"/>
                <w:sz w:val="20"/>
                <w:shd w:val="clear" w:color="auto" w:fill="FFFFFF"/>
              </w:rPr>
            </w:pPr>
          </w:p>
        </w:tc>
      </w:tr>
      <w:tr w:rsidR="007E77EE" w:rsidRPr="00F8326B" w14:paraId="72F4E6BD" w14:textId="682234F3" w:rsidTr="007E77EE">
        <w:tc>
          <w:tcPr>
            <w:tcW w:w="284" w:type="dxa"/>
            <w:tcBorders>
              <w:top w:val="nil"/>
              <w:left w:val="nil"/>
              <w:bottom w:val="nil"/>
              <w:right w:val="nil"/>
            </w:tcBorders>
          </w:tcPr>
          <w:p w14:paraId="6490CA11"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tcBorders>
              <w:top w:val="nil"/>
              <w:left w:val="nil"/>
              <w:bottom w:val="single" w:sz="4" w:space="0" w:color="auto"/>
              <w:right w:val="nil"/>
            </w:tcBorders>
          </w:tcPr>
          <w:p w14:paraId="21A4DC8C" w14:textId="77777777" w:rsidR="007E77EE" w:rsidRPr="00F8326B" w:rsidRDefault="007E77EE" w:rsidP="007E77E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Depressive symptoms (0-8)</w:t>
            </w:r>
          </w:p>
        </w:tc>
        <w:tc>
          <w:tcPr>
            <w:tcW w:w="600" w:type="dxa"/>
            <w:tcBorders>
              <w:top w:val="nil"/>
              <w:left w:val="nil"/>
              <w:bottom w:val="single" w:sz="4" w:space="0" w:color="auto"/>
              <w:right w:val="nil"/>
            </w:tcBorders>
          </w:tcPr>
          <w:p w14:paraId="4CADAFB0"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710</w:t>
            </w:r>
          </w:p>
        </w:tc>
        <w:tc>
          <w:tcPr>
            <w:tcW w:w="1843" w:type="dxa"/>
            <w:tcBorders>
              <w:top w:val="nil"/>
              <w:left w:val="nil"/>
              <w:bottom w:val="single" w:sz="4" w:space="0" w:color="auto"/>
              <w:right w:val="nil"/>
            </w:tcBorders>
          </w:tcPr>
          <w:p w14:paraId="3E39E20E" w14:textId="09B52F06"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1.41 (</w:t>
            </w:r>
            <w:r>
              <w:rPr>
                <w:rFonts w:eastAsia="Times New Roman"/>
                <w:color w:val="FF0000"/>
                <w:sz w:val="20"/>
                <w:shd w:val="clear" w:color="auto" w:fill="FFFFFF"/>
              </w:rPr>
              <w:t>1.30-1.52</w:t>
            </w:r>
            <w:r w:rsidRPr="00F8326B">
              <w:rPr>
                <w:rFonts w:eastAsia="Times New Roman"/>
                <w:color w:val="FF0000"/>
                <w:sz w:val="20"/>
                <w:shd w:val="clear" w:color="auto" w:fill="FFFFFF"/>
              </w:rPr>
              <w:t>)</w:t>
            </w:r>
          </w:p>
        </w:tc>
        <w:tc>
          <w:tcPr>
            <w:tcW w:w="236" w:type="dxa"/>
            <w:tcBorders>
              <w:top w:val="nil"/>
              <w:left w:val="nil"/>
              <w:bottom w:val="single" w:sz="4" w:space="0" w:color="auto"/>
              <w:right w:val="nil"/>
            </w:tcBorders>
          </w:tcPr>
          <w:p w14:paraId="4DA21B3C" w14:textId="77777777" w:rsidR="007E77EE" w:rsidRPr="00F8326B" w:rsidRDefault="007E77EE" w:rsidP="007E77EE">
            <w:pPr>
              <w:spacing w:after="0" w:line="240" w:lineRule="auto"/>
              <w:jc w:val="center"/>
              <w:rPr>
                <w:rFonts w:eastAsia="Times New Roman"/>
                <w:color w:val="FF0000"/>
                <w:sz w:val="20"/>
                <w:shd w:val="clear" w:color="auto" w:fill="FFFFFF"/>
              </w:rPr>
            </w:pPr>
          </w:p>
        </w:tc>
        <w:tc>
          <w:tcPr>
            <w:tcW w:w="665" w:type="dxa"/>
            <w:tcBorders>
              <w:top w:val="nil"/>
              <w:left w:val="nil"/>
              <w:bottom w:val="single" w:sz="4" w:space="0" w:color="auto"/>
              <w:right w:val="nil"/>
            </w:tcBorders>
          </w:tcPr>
          <w:p w14:paraId="5EFBB911"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1860</w:t>
            </w:r>
          </w:p>
        </w:tc>
        <w:tc>
          <w:tcPr>
            <w:tcW w:w="1893" w:type="dxa"/>
            <w:tcBorders>
              <w:top w:val="nil"/>
              <w:left w:val="nil"/>
              <w:bottom w:val="single" w:sz="4" w:space="0" w:color="auto"/>
              <w:right w:val="nil"/>
            </w:tcBorders>
          </w:tcPr>
          <w:p w14:paraId="79F7AD12" w14:textId="50286B3B"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0.96 (</w:t>
            </w:r>
            <w:r>
              <w:rPr>
                <w:rFonts w:eastAsia="Times New Roman"/>
                <w:color w:val="FF0000"/>
                <w:sz w:val="20"/>
                <w:shd w:val="clear" w:color="auto" w:fill="FFFFFF"/>
              </w:rPr>
              <w:t>0.89-1.02</w:t>
            </w:r>
            <w:r w:rsidRPr="00F8326B">
              <w:rPr>
                <w:rFonts w:eastAsia="Times New Roman"/>
                <w:color w:val="FF0000"/>
                <w:sz w:val="20"/>
                <w:shd w:val="clear" w:color="auto" w:fill="FFFFFF"/>
              </w:rPr>
              <w:t>)</w:t>
            </w:r>
          </w:p>
        </w:tc>
        <w:tc>
          <w:tcPr>
            <w:tcW w:w="1244" w:type="dxa"/>
            <w:tcBorders>
              <w:top w:val="nil"/>
              <w:left w:val="nil"/>
              <w:bottom w:val="single" w:sz="4" w:space="0" w:color="auto"/>
              <w:right w:val="nil"/>
            </w:tcBorders>
          </w:tcPr>
          <w:p w14:paraId="3CAA179A" w14:textId="049C8B81" w:rsidR="007E77EE" w:rsidRPr="00F8326B" w:rsidRDefault="007E77EE"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0.452</w:t>
            </w:r>
          </w:p>
        </w:tc>
        <w:tc>
          <w:tcPr>
            <w:tcW w:w="882" w:type="dxa"/>
            <w:tcBorders>
              <w:top w:val="nil"/>
              <w:left w:val="nil"/>
              <w:bottom w:val="single" w:sz="4" w:space="0" w:color="auto"/>
              <w:right w:val="nil"/>
            </w:tcBorders>
          </w:tcPr>
          <w:p w14:paraId="2DB77AF5" w14:textId="6C8B723A"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1033" w:type="dxa"/>
            <w:tcBorders>
              <w:top w:val="nil"/>
              <w:left w:val="nil"/>
              <w:bottom w:val="single" w:sz="4" w:space="0" w:color="auto"/>
              <w:right w:val="nil"/>
            </w:tcBorders>
          </w:tcPr>
          <w:p w14:paraId="03562E6A" w14:textId="5A3EBAF9" w:rsidR="007E77EE" w:rsidRPr="00F8326B" w:rsidRDefault="00672B24"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0.016</w:t>
            </w:r>
          </w:p>
        </w:tc>
      </w:tr>
      <w:tr w:rsidR="007E77EE" w:rsidRPr="00F8326B" w14:paraId="0E6E3AB7" w14:textId="1C3F4DB6" w:rsidTr="007E77EE">
        <w:tc>
          <w:tcPr>
            <w:tcW w:w="284" w:type="dxa"/>
            <w:tcBorders>
              <w:top w:val="nil"/>
              <w:left w:val="nil"/>
              <w:bottom w:val="nil"/>
              <w:right w:val="nil"/>
            </w:tcBorders>
          </w:tcPr>
          <w:p w14:paraId="3844C36B"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tcBorders>
              <w:top w:val="single" w:sz="4" w:space="0" w:color="auto"/>
              <w:left w:val="nil"/>
              <w:bottom w:val="single" w:sz="4" w:space="0" w:color="auto"/>
              <w:right w:val="nil"/>
            </w:tcBorders>
          </w:tcPr>
          <w:p w14:paraId="4109A2EF" w14:textId="77777777" w:rsidR="007E77EE" w:rsidRPr="00F8326B" w:rsidRDefault="007E77EE" w:rsidP="007E77E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Quality of life (0-57)</w:t>
            </w:r>
          </w:p>
        </w:tc>
        <w:tc>
          <w:tcPr>
            <w:tcW w:w="600" w:type="dxa"/>
            <w:tcBorders>
              <w:top w:val="single" w:sz="4" w:space="0" w:color="auto"/>
              <w:left w:val="nil"/>
              <w:right w:val="nil"/>
            </w:tcBorders>
          </w:tcPr>
          <w:p w14:paraId="29BC741B"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671</w:t>
            </w:r>
          </w:p>
        </w:tc>
        <w:tc>
          <w:tcPr>
            <w:tcW w:w="1843" w:type="dxa"/>
            <w:tcBorders>
              <w:top w:val="single" w:sz="4" w:space="0" w:color="auto"/>
              <w:left w:val="nil"/>
              <w:right w:val="nil"/>
            </w:tcBorders>
          </w:tcPr>
          <w:p w14:paraId="3DBEFC03" w14:textId="5774379D"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38.91 (</w:t>
            </w:r>
            <w:r>
              <w:rPr>
                <w:rFonts w:eastAsia="Times New Roman"/>
                <w:color w:val="FF0000"/>
                <w:sz w:val="20"/>
                <w:shd w:val="clear" w:color="auto" w:fill="FFFFFF"/>
              </w:rPr>
              <w:t>38.35-39.48</w:t>
            </w:r>
            <w:r w:rsidRPr="00F8326B">
              <w:rPr>
                <w:rFonts w:eastAsia="Times New Roman"/>
                <w:color w:val="FF0000"/>
                <w:sz w:val="20"/>
                <w:shd w:val="clear" w:color="auto" w:fill="FFFFFF"/>
              </w:rPr>
              <w:t>)</w:t>
            </w:r>
          </w:p>
        </w:tc>
        <w:tc>
          <w:tcPr>
            <w:tcW w:w="236" w:type="dxa"/>
            <w:tcBorders>
              <w:top w:val="single" w:sz="4" w:space="0" w:color="auto"/>
              <w:left w:val="nil"/>
              <w:right w:val="nil"/>
            </w:tcBorders>
          </w:tcPr>
          <w:p w14:paraId="62D6CE83" w14:textId="77777777" w:rsidR="007E77EE" w:rsidRPr="00F8326B" w:rsidRDefault="007E77EE" w:rsidP="007E77EE">
            <w:pPr>
              <w:spacing w:after="0" w:line="240" w:lineRule="auto"/>
              <w:jc w:val="center"/>
              <w:rPr>
                <w:rFonts w:eastAsia="Times New Roman"/>
                <w:color w:val="FF0000"/>
                <w:sz w:val="20"/>
                <w:shd w:val="clear" w:color="auto" w:fill="FFFFFF"/>
              </w:rPr>
            </w:pPr>
          </w:p>
        </w:tc>
        <w:tc>
          <w:tcPr>
            <w:tcW w:w="665" w:type="dxa"/>
            <w:tcBorders>
              <w:top w:val="single" w:sz="4" w:space="0" w:color="auto"/>
              <w:left w:val="nil"/>
              <w:right w:val="nil"/>
            </w:tcBorders>
          </w:tcPr>
          <w:p w14:paraId="65BD661B"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1804</w:t>
            </w:r>
          </w:p>
        </w:tc>
        <w:tc>
          <w:tcPr>
            <w:tcW w:w="1893" w:type="dxa"/>
            <w:tcBorders>
              <w:top w:val="single" w:sz="4" w:space="0" w:color="auto"/>
              <w:left w:val="nil"/>
              <w:right w:val="nil"/>
            </w:tcBorders>
          </w:tcPr>
          <w:p w14:paraId="2E0316F1" w14:textId="24A16E81"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41.17 (</w:t>
            </w:r>
            <w:r>
              <w:rPr>
                <w:rFonts w:eastAsia="Times New Roman"/>
                <w:color w:val="FF0000"/>
                <w:sz w:val="20"/>
                <w:shd w:val="clear" w:color="auto" w:fill="FFFFFF"/>
              </w:rPr>
              <w:t>40.84-41.51</w:t>
            </w:r>
            <w:r w:rsidRPr="00F8326B">
              <w:rPr>
                <w:rFonts w:eastAsia="Times New Roman"/>
                <w:color w:val="FF0000"/>
                <w:sz w:val="20"/>
                <w:shd w:val="clear" w:color="auto" w:fill="FFFFFF"/>
              </w:rPr>
              <w:t>)</w:t>
            </w:r>
          </w:p>
        </w:tc>
        <w:tc>
          <w:tcPr>
            <w:tcW w:w="1244" w:type="dxa"/>
            <w:tcBorders>
              <w:top w:val="single" w:sz="4" w:space="0" w:color="auto"/>
              <w:left w:val="nil"/>
              <w:right w:val="nil"/>
            </w:tcBorders>
          </w:tcPr>
          <w:p w14:paraId="294C1FEF" w14:textId="71A3FE80" w:rsidR="007E77EE" w:rsidRPr="00F8326B" w:rsidRDefault="007E77EE"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-2.260</w:t>
            </w:r>
          </w:p>
        </w:tc>
        <w:tc>
          <w:tcPr>
            <w:tcW w:w="882" w:type="dxa"/>
            <w:tcBorders>
              <w:top w:val="single" w:sz="4" w:space="0" w:color="auto"/>
              <w:left w:val="nil"/>
              <w:right w:val="nil"/>
            </w:tcBorders>
          </w:tcPr>
          <w:p w14:paraId="4793DC10" w14:textId="64584496"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1033" w:type="dxa"/>
            <w:tcBorders>
              <w:top w:val="single" w:sz="4" w:space="0" w:color="auto"/>
              <w:left w:val="nil"/>
              <w:right w:val="nil"/>
            </w:tcBorders>
          </w:tcPr>
          <w:p w14:paraId="4394F13F" w14:textId="1583CA38" w:rsidR="007E77EE" w:rsidRPr="00F8326B" w:rsidRDefault="00672B24"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0.015</w:t>
            </w:r>
          </w:p>
        </w:tc>
      </w:tr>
      <w:tr w:rsidR="007E77EE" w:rsidRPr="00F8326B" w14:paraId="17D838A6" w14:textId="43F7C538" w:rsidTr="007E77EE">
        <w:tc>
          <w:tcPr>
            <w:tcW w:w="284" w:type="dxa"/>
            <w:tcBorders>
              <w:top w:val="nil"/>
              <w:left w:val="nil"/>
              <w:bottom w:val="nil"/>
              <w:right w:val="nil"/>
            </w:tcBorders>
          </w:tcPr>
          <w:p w14:paraId="35CF3D59" w14:textId="77777777" w:rsidR="007E77EE" w:rsidRPr="00F8326B" w:rsidRDefault="007E77EE" w:rsidP="007E77EE">
            <w:pPr>
              <w:spacing w:after="0" w:line="240" w:lineRule="auto"/>
              <w:rPr>
                <w:rFonts w:eastAsia="Times New Roman"/>
                <w:color w:val="FF0000"/>
                <w:sz w:val="20"/>
                <w:shd w:val="clear" w:color="auto" w:fill="FFFFFF"/>
              </w:rPr>
            </w:pPr>
          </w:p>
        </w:tc>
        <w:tc>
          <w:tcPr>
            <w:tcW w:w="2660" w:type="dxa"/>
            <w:tcBorders>
              <w:top w:val="single" w:sz="4" w:space="0" w:color="auto"/>
              <w:left w:val="nil"/>
              <w:bottom w:val="single" w:sz="4" w:space="0" w:color="auto"/>
              <w:right w:val="nil"/>
            </w:tcBorders>
          </w:tcPr>
          <w:p w14:paraId="6A714204" w14:textId="77777777" w:rsidR="007E77EE" w:rsidRPr="00F8326B" w:rsidRDefault="007E77EE" w:rsidP="007E77E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Life satisfaction (0-30)</w:t>
            </w:r>
          </w:p>
        </w:tc>
        <w:tc>
          <w:tcPr>
            <w:tcW w:w="600" w:type="dxa"/>
            <w:tcBorders>
              <w:top w:val="nil"/>
              <w:left w:val="nil"/>
              <w:right w:val="nil"/>
            </w:tcBorders>
          </w:tcPr>
          <w:p w14:paraId="15FE869F"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695</w:t>
            </w:r>
          </w:p>
        </w:tc>
        <w:tc>
          <w:tcPr>
            <w:tcW w:w="1843" w:type="dxa"/>
            <w:tcBorders>
              <w:top w:val="nil"/>
              <w:left w:val="nil"/>
              <w:right w:val="nil"/>
            </w:tcBorders>
          </w:tcPr>
          <w:p w14:paraId="607F3C34" w14:textId="770F2CB6"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19.38 (</w:t>
            </w:r>
            <w:r>
              <w:rPr>
                <w:rFonts w:eastAsia="Times New Roman"/>
                <w:color w:val="FF0000"/>
                <w:sz w:val="20"/>
                <w:shd w:val="clear" w:color="auto" w:fill="FFFFFF"/>
              </w:rPr>
              <w:t>18.97-19.80</w:t>
            </w:r>
            <w:r w:rsidRPr="00F8326B">
              <w:rPr>
                <w:rFonts w:eastAsia="Times New Roman"/>
                <w:color w:val="FF0000"/>
                <w:sz w:val="20"/>
                <w:shd w:val="clear" w:color="auto" w:fill="FFFFFF"/>
              </w:rPr>
              <w:t>)</w:t>
            </w:r>
          </w:p>
        </w:tc>
        <w:tc>
          <w:tcPr>
            <w:tcW w:w="236" w:type="dxa"/>
            <w:tcBorders>
              <w:top w:val="nil"/>
              <w:left w:val="nil"/>
              <w:right w:val="nil"/>
            </w:tcBorders>
          </w:tcPr>
          <w:p w14:paraId="0C358ACF" w14:textId="77777777" w:rsidR="007E77EE" w:rsidRPr="00F8326B" w:rsidRDefault="007E77EE" w:rsidP="007E77EE">
            <w:pPr>
              <w:spacing w:after="0" w:line="240" w:lineRule="auto"/>
              <w:jc w:val="center"/>
              <w:rPr>
                <w:rFonts w:eastAsia="Times New Roman"/>
                <w:color w:val="FF0000"/>
                <w:sz w:val="20"/>
                <w:shd w:val="clear" w:color="auto" w:fill="FFFFFF"/>
              </w:rPr>
            </w:pPr>
          </w:p>
        </w:tc>
        <w:tc>
          <w:tcPr>
            <w:tcW w:w="665" w:type="dxa"/>
            <w:tcBorders>
              <w:top w:val="nil"/>
              <w:left w:val="nil"/>
              <w:right w:val="nil"/>
            </w:tcBorders>
          </w:tcPr>
          <w:p w14:paraId="7D1ADA99" w14:textId="77777777"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1832</w:t>
            </w:r>
          </w:p>
        </w:tc>
        <w:tc>
          <w:tcPr>
            <w:tcW w:w="1893" w:type="dxa"/>
            <w:tcBorders>
              <w:top w:val="nil"/>
              <w:left w:val="nil"/>
              <w:right w:val="nil"/>
            </w:tcBorders>
          </w:tcPr>
          <w:p w14:paraId="0A4110A7" w14:textId="021D370D"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20.43 (</w:t>
            </w:r>
            <w:r>
              <w:rPr>
                <w:rFonts w:eastAsia="Times New Roman"/>
                <w:color w:val="FF0000"/>
                <w:sz w:val="20"/>
                <w:shd w:val="clear" w:color="auto" w:fill="FFFFFF"/>
              </w:rPr>
              <w:t>20.18-20.68</w:t>
            </w:r>
            <w:r w:rsidRPr="00F8326B">
              <w:rPr>
                <w:rFonts w:eastAsia="Times New Roman"/>
                <w:color w:val="FF0000"/>
                <w:sz w:val="20"/>
                <w:shd w:val="clear" w:color="auto" w:fill="FFFFFF"/>
              </w:rPr>
              <w:t>)</w:t>
            </w:r>
          </w:p>
        </w:tc>
        <w:tc>
          <w:tcPr>
            <w:tcW w:w="1244" w:type="dxa"/>
            <w:tcBorders>
              <w:top w:val="nil"/>
              <w:left w:val="nil"/>
              <w:right w:val="nil"/>
            </w:tcBorders>
          </w:tcPr>
          <w:p w14:paraId="75BD242B" w14:textId="7F1C4808" w:rsidR="007E77EE" w:rsidRPr="00F8326B" w:rsidRDefault="007E77EE"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-1.045</w:t>
            </w:r>
          </w:p>
        </w:tc>
        <w:tc>
          <w:tcPr>
            <w:tcW w:w="882" w:type="dxa"/>
            <w:tcBorders>
              <w:top w:val="nil"/>
              <w:left w:val="nil"/>
              <w:right w:val="nil"/>
            </w:tcBorders>
          </w:tcPr>
          <w:p w14:paraId="7D288DE3" w14:textId="6871EDD0" w:rsidR="007E77EE" w:rsidRPr="00F8326B" w:rsidRDefault="007E77EE" w:rsidP="007E77E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1033" w:type="dxa"/>
            <w:tcBorders>
              <w:top w:val="nil"/>
              <w:left w:val="nil"/>
              <w:right w:val="nil"/>
            </w:tcBorders>
          </w:tcPr>
          <w:p w14:paraId="1355CC30" w14:textId="714DF741" w:rsidR="007E77EE" w:rsidRPr="00F8326B" w:rsidRDefault="00672B24" w:rsidP="007E77E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0.006</w:t>
            </w:r>
          </w:p>
        </w:tc>
      </w:tr>
    </w:tbl>
    <w:p w14:paraId="60FE0BCB" w14:textId="77777777" w:rsidR="00611C83" w:rsidRDefault="00611C83" w:rsidP="00611C83">
      <w:pPr>
        <w:spacing w:after="0" w:line="240" w:lineRule="auto"/>
        <w:rPr>
          <w:rFonts w:eastAsia="Times New Roman"/>
          <w:sz w:val="20"/>
          <w:shd w:val="clear" w:color="auto" w:fill="FFFFFF"/>
        </w:rPr>
      </w:pPr>
      <w:r w:rsidRPr="00D0617D">
        <w:rPr>
          <w:rFonts w:eastAsia="Times New Roman"/>
          <w:b/>
          <w:sz w:val="20"/>
        </w:rPr>
        <w:t xml:space="preserve">Table </w:t>
      </w:r>
      <w:proofErr w:type="gramStart"/>
      <w:r>
        <w:rPr>
          <w:rFonts w:eastAsia="Times New Roman"/>
          <w:b/>
          <w:noProof/>
          <w:sz w:val="20"/>
        </w:rPr>
        <w:t>2</w:t>
      </w:r>
      <w:r w:rsidRPr="00D0617D">
        <w:rPr>
          <w:rFonts w:eastAsia="Times New Roman"/>
          <w:sz w:val="20"/>
        </w:rPr>
        <w:t xml:space="preserve">  </w:t>
      </w:r>
      <w:r>
        <w:rPr>
          <w:rFonts w:eastAsia="Times New Roman"/>
          <w:sz w:val="20"/>
          <w:shd w:val="clear" w:color="auto" w:fill="FFFFFF"/>
        </w:rPr>
        <w:t>Cross</w:t>
      </w:r>
      <w:proofErr w:type="gramEnd"/>
      <w:r>
        <w:rPr>
          <w:rFonts w:eastAsia="Times New Roman"/>
          <w:sz w:val="20"/>
          <w:shd w:val="clear" w:color="auto" w:fill="FFFFFF"/>
        </w:rPr>
        <w:t xml:space="preserve">-sectional associations in men between past-year decline in sexual desire, frequency of sexual activities, and ability to have an erection and mental health </w:t>
      </w:r>
    </w:p>
    <w:p w14:paraId="4133A755" w14:textId="21B83C3D" w:rsidR="00FB4F2E" w:rsidRDefault="00FB4F2E" w:rsidP="00611C83">
      <w:pPr>
        <w:tabs>
          <w:tab w:val="left" w:pos="1910"/>
        </w:tabs>
      </w:pPr>
    </w:p>
    <w:p w14:paraId="5C7C969E" w14:textId="77777777" w:rsidR="00FB4F2E" w:rsidRPr="00FB4F2E" w:rsidRDefault="00FB4F2E" w:rsidP="00FB4F2E"/>
    <w:p w14:paraId="473BF4AB" w14:textId="77777777" w:rsidR="00FB4F2E" w:rsidRDefault="00FB4F2E" w:rsidP="00FB4F2E">
      <w:pPr>
        <w:spacing w:after="0" w:line="240" w:lineRule="auto"/>
        <w:rPr>
          <w:rFonts w:eastAsia="Times New Roman"/>
          <w:sz w:val="20"/>
          <w:shd w:val="clear" w:color="auto" w:fill="FFFFFF"/>
        </w:rPr>
      </w:pPr>
      <w:r>
        <w:rPr>
          <w:rFonts w:eastAsia="Times New Roman"/>
          <w:sz w:val="20"/>
          <w:shd w:val="clear" w:color="auto" w:fill="FFFFFF"/>
          <w:vertAlign w:val="superscript"/>
        </w:rPr>
        <w:t xml:space="preserve">1 </w:t>
      </w:r>
      <w:r>
        <w:rPr>
          <w:rFonts w:eastAsia="Times New Roman"/>
          <w:sz w:val="20"/>
          <w:shd w:val="clear" w:color="auto" w:fill="FFFFFF"/>
        </w:rPr>
        <w:t>Total sample size (unweighted).</w:t>
      </w:r>
    </w:p>
    <w:p w14:paraId="6226321D" w14:textId="77777777" w:rsidR="00FB4F2E" w:rsidRPr="00130788" w:rsidRDefault="00FB4F2E" w:rsidP="00FB4F2E">
      <w:pPr>
        <w:spacing w:after="0" w:line="240" w:lineRule="auto"/>
        <w:rPr>
          <w:rFonts w:cs="Arial"/>
          <w:sz w:val="20"/>
          <w:szCs w:val="20"/>
          <w:lang w:val="en-US"/>
        </w:rPr>
      </w:pPr>
      <w:r>
        <w:rPr>
          <w:rFonts w:cs="Arial"/>
          <w:sz w:val="20"/>
          <w:szCs w:val="20"/>
          <w:vertAlign w:val="superscript"/>
          <w:lang w:val="en-US"/>
        </w:rPr>
        <w:t>2</w:t>
      </w:r>
      <w:r>
        <w:rPr>
          <w:rFonts w:cs="Arial"/>
          <w:sz w:val="20"/>
          <w:szCs w:val="20"/>
          <w:lang w:val="en-US"/>
        </w:rPr>
        <w:t xml:space="preserve"> Higher scores represent a greater number of depressive symptoms, greater quality of life, and greater life satisfaction.</w:t>
      </w:r>
    </w:p>
    <w:p w14:paraId="6E5D753F" w14:textId="77777777" w:rsidR="00FB4F2E" w:rsidRPr="0010261A" w:rsidRDefault="00FB4F2E" w:rsidP="00FB4F2E">
      <w:pPr>
        <w:spacing w:after="0" w:line="240" w:lineRule="auto"/>
        <w:rPr>
          <w:rFonts w:eastAsia="Times New Roman"/>
          <w:sz w:val="20"/>
          <w:shd w:val="clear" w:color="auto" w:fill="FFFFFF"/>
        </w:rPr>
      </w:pPr>
      <w:r>
        <w:rPr>
          <w:rFonts w:eastAsia="Times New Roman"/>
          <w:sz w:val="20"/>
          <w:shd w:val="clear" w:color="auto" w:fill="FFFFFF"/>
          <w:vertAlign w:val="superscript"/>
        </w:rPr>
        <w:t>3</w:t>
      </w:r>
      <w:r>
        <w:rPr>
          <w:rFonts w:eastAsia="Times New Roman"/>
          <w:sz w:val="20"/>
          <w:shd w:val="clear" w:color="auto" w:fill="FFFFFF"/>
        </w:rPr>
        <w:t xml:space="preserve"> Among those who reported being sexually active.</w:t>
      </w:r>
    </w:p>
    <w:p w14:paraId="1267F59D" w14:textId="04E0E282" w:rsidR="00FB4F2E" w:rsidRDefault="005B7739" w:rsidP="005B7739">
      <w:pPr>
        <w:spacing w:after="0" w:line="240" w:lineRule="auto"/>
        <w:rPr>
          <w:rFonts w:eastAsia="Times New Roman"/>
          <w:sz w:val="20"/>
          <w:shd w:val="clear" w:color="auto" w:fill="FFFFFF"/>
        </w:rPr>
      </w:pPr>
      <w:r>
        <w:rPr>
          <w:rFonts w:eastAsia="Times New Roman"/>
          <w:sz w:val="20"/>
          <w:shd w:val="clear" w:color="auto" w:fill="FFFFFF"/>
        </w:rPr>
        <w:t>CI = confidence interval.</w:t>
      </w:r>
      <w:r>
        <w:rPr>
          <w:rFonts w:eastAsia="Times New Roman"/>
          <w:sz w:val="20"/>
          <w:shd w:val="clear" w:color="auto" w:fill="FFFFFF"/>
        </w:rPr>
        <w:br/>
      </w:r>
      <w:r w:rsidR="00FB4F2E">
        <w:rPr>
          <w:rFonts w:eastAsia="Times New Roman"/>
          <w:sz w:val="20"/>
          <w:shd w:val="clear" w:color="auto" w:fill="FFFFFF"/>
        </w:rPr>
        <w:t xml:space="preserve">All means are adjusted for </w:t>
      </w:r>
      <w:r w:rsidR="00FB4F2E" w:rsidRPr="00C53B2D">
        <w:rPr>
          <w:rFonts w:eastAsia="Times New Roman"/>
          <w:sz w:val="20"/>
          <w:shd w:val="clear" w:color="auto" w:fill="FFFFFF"/>
        </w:rPr>
        <w:t xml:space="preserve">age, partnership status, ethnicity, wealth, smoking status, alcohol intake, physical activity and </w:t>
      </w:r>
      <w:r w:rsidR="00FB4F2E">
        <w:rPr>
          <w:rFonts w:eastAsia="Times New Roman"/>
          <w:sz w:val="20"/>
          <w:shd w:val="clear" w:color="auto" w:fill="FFFFFF"/>
        </w:rPr>
        <w:t>limiting long-standing illness</w:t>
      </w:r>
      <w:r w:rsidR="00FB4F2E" w:rsidRPr="00C53B2D">
        <w:rPr>
          <w:rFonts w:eastAsia="Times New Roman"/>
          <w:sz w:val="20"/>
          <w:shd w:val="clear" w:color="auto" w:fill="FFFFFF"/>
        </w:rPr>
        <w:t>,</w:t>
      </w:r>
      <w:r w:rsidR="00FB4F2E" w:rsidRPr="00480AFB">
        <w:rPr>
          <w:rFonts w:eastAsia="Times New Roman"/>
          <w:color w:val="FF0000"/>
          <w:sz w:val="20"/>
          <w:shd w:val="clear" w:color="auto" w:fill="FFFFFF"/>
        </w:rPr>
        <w:t xml:space="preserve"> </w:t>
      </w:r>
      <w:r w:rsidR="00FB4F2E">
        <w:rPr>
          <w:rFonts w:eastAsia="Times New Roman"/>
          <w:sz w:val="20"/>
          <w:shd w:val="clear" w:color="auto" w:fill="FFFFFF"/>
        </w:rPr>
        <w:t>and weighted for sampling probabilities and differential non-response.</w:t>
      </w:r>
    </w:p>
    <w:p w14:paraId="67A3F36E" w14:textId="77777777" w:rsidR="00FB4F2E" w:rsidRPr="00FB4F2E" w:rsidRDefault="00FB4F2E" w:rsidP="00FB4F2E">
      <w:pPr>
        <w:ind w:firstLine="720"/>
      </w:pPr>
    </w:p>
    <w:p w14:paraId="0B99FC36" w14:textId="77777777" w:rsidR="00FB4F2E" w:rsidRPr="00FB4F2E" w:rsidRDefault="00FB4F2E" w:rsidP="00FB4F2E"/>
    <w:p w14:paraId="55E9CE71" w14:textId="77777777" w:rsidR="00FB4F2E" w:rsidRPr="00FB4F2E" w:rsidRDefault="00FB4F2E" w:rsidP="00FB4F2E"/>
    <w:p w14:paraId="2744C0E1" w14:textId="77777777" w:rsidR="00FB4F2E" w:rsidRPr="00FB4F2E" w:rsidRDefault="00FB4F2E" w:rsidP="00FB4F2E"/>
    <w:p w14:paraId="35E4EAC6" w14:textId="77777777" w:rsidR="00FB4F2E" w:rsidRPr="00FB4F2E" w:rsidRDefault="00FB4F2E" w:rsidP="00FB4F2E"/>
    <w:p w14:paraId="33EBBF36" w14:textId="5848CC89" w:rsidR="00611C83" w:rsidRPr="00FB4F2E" w:rsidRDefault="00611C83" w:rsidP="00FB4F2E">
      <w:pPr>
        <w:sectPr w:rsidR="00611C83" w:rsidRPr="00FB4F2E">
          <w:pgSz w:w="11906" w:h="16838"/>
          <w:pgMar w:top="1440" w:right="1440" w:bottom="1440" w:left="1440" w:header="708" w:footer="708" w:gutter="0"/>
          <w:cols w:space="708"/>
          <w:docGrid w:linePitch="360"/>
        </w:sectPr>
      </w:pPr>
    </w:p>
    <w:p w14:paraId="5ED484A0" w14:textId="69C40A68" w:rsidR="00FB4F2E" w:rsidRDefault="00FB4F2E" w:rsidP="00FB4F2E">
      <w:r w:rsidRPr="00D0617D">
        <w:rPr>
          <w:rFonts w:eastAsia="Times New Roman"/>
          <w:b/>
          <w:sz w:val="20"/>
        </w:rPr>
        <w:lastRenderedPageBreak/>
        <w:t xml:space="preserve">Table </w:t>
      </w:r>
      <w:proofErr w:type="gramStart"/>
      <w:r>
        <w:rPr>
          <w:rFonts w:eastAsia="Times New Roman"/>
          <w:b/>
          <w:sz w:val="20"/>
        </w:rPr>
        <w:t>3</w:t>
      </w:r>
      <w:r w:rsidRPr="00D0617D">
        <w:rPr>
          <w:rFonts w:eastAsia="Times New Roman"/>
          <w:sz w:val="20"/>
        </w:rPr>
        <w:t xml:space="preserve">  </w:t>
      </w:r>
      <w:r>
        <w:rPr>
          <w:rFonts w:eastAsia="Times New Roman"/>
          <w:sz w:val="20"/>
          <w:shd w:val="clear" w:color="auto" w:fill="FFFFFF"/>
        </w:rPr>
        <w:t>Cross</w:t>
      </w:r>
      <w:proofErr w:type="gramEnd"/>
      <w:r>
        <w:rPr>
          <w:rFonts w:eastAsia="Times New Roman"/>
          <w:sz w:val="20"/>
          <w:shd w:val="clear" w:color="auto" w:fill="FFFFFF"/>
        </w:rPr>
        <w:t>-sectional associations in women between past-year decline in sexual desire, frequency of sexual activities, and ability to become sexually aroused and mental health</w:t>
      </w:r>
    </w:p>
    <w:tbl>
      <w:tblPr>
        <w:tblStyle w:val="TableGrid"/>
        <w:tblW w:w="11341" w:type="dxa"/>
        <w:tblInd w:w="-993" w:type="dxa"/>
        <w:tblLayout w:type="fixed"/>
        <w:tblLook w:val="04A0" w:firstRow="1" w:lastRow="0" w:firstColumn="1" w:lastColumn="0" w:noHBand="0" w:noVBand="1"/>
      </w:tblPr>
      <w:tblGrid>
        <w:gridCol w:w="284"/>
        <w:gridCol w:w="2659"/>
        <w:gridCol w:w="743"/>
        <w:gridCol w:w="1842"/>
        <w:gridCol w:w="236"/>
        <w:gridCol w:w="756"/>
        <w:gridCol w:w="1847"/>
        <w:gridCol w:w="1134"/>
        <w:gridCol w:w="882"/>
        <w:gridCol w:w="958"/>
      </w:tblGrid>
      <w:tr w:rsidR="00A04BE2" w:rsidRPr="00F8326B" w14:paraId="50D0DDED" w14:textId="73DCAD4B" w:rsidTr="00A04BE2">
        <w:tc>
          <w:tcPr>
            <w:tcW w:w="284" w:type="dxa"/>
            <w:tcBorders>
              <w:top w:val="nil"/>
              <w:left w:val="nil"/>
              <w:bottom w:val="nil"/>
              <w:right w:val="nil"/>
            </w:tcBorders>
          </w:tcPr>
          <w:p w14:paraId="5F83AC74" w14:textId="77777777" w:rsidR="00A04BE2" w:rsidRPr="00F8326B" w:rsidRDefault="00A04BE2" w:rsidP="0073780E">
            <w:pPr>
              <w:spacing w:after="0" w:line="240" w:lineRule="auto"/>
              <w:rPr>
                <w:rFonts w:eastAsia="Times New Roman"/>
                <w:b/>
                <w:color w:val="FF0000"/>
                <w:sz w:val="20"/>
                <w:shd w:val="clear" w:color="auto" w:fill="FFFFFF"/>
              </w:rPr>
            </w:pPr>
          </w:p>
        </w:tc>
        <w:tc>
          <w:tcPr>
            <w:tcW w:w="2659" w:type="dxa"/>
            <w:vMerge w:val="restart"/>
            <w:tcBorders>
              <w:top w:val="nil"/>
              <w:left w:val="nil"/>
              <w:right w:val="nil"/>
            </w:tcBorders>
            <w:vAlign w:val="center"/>
          </w:tcPr>
          <w:p w14:paraId="597BC684" w14:textId="77777777" w:rsidR="00A04BE2" w:rsidRPr="00F8326B" w:rsidRDefault="00A04BE2" w:rsidP="0073780E">
            <w:pPr>
              <w:spacing w:after="0" w:line="240" w:lineRule="auto"/>
              <w:rPr>
                <w:rFonts w:eastAsia="Times New Roman"/>
                <w:b/>
                <w:color w:val="FF0000"/>
                <w:sz w:val="20"/>
                <w:shd w:val="clear" w:color="auto" w:fill="FFFFFF"/>
              </w:rPr>
            </w:pPr>
          </w:p>
        </w:tc>
        <w:tc>
          <w:tcPr>
            <w:tcW w:w="2585" w:type="dxa"/>
            <w:gridSpan w:val="2"/>
            <w:tcBorders>
              <w:top w:val="single" w:sz="8" w:space="0" w:color="auto"/>
              <w:left w:val="nil"/>
              <w:bottom w:val="single" w:sz="4" w:space="0" w:color="auto"/>
              <w:right w:val="nil"/>
            </w:tcBorders>
            <w:vAlign w:val="center"/>
          </w:tcPr>
          <w:p w14:paraId="7C7B90C3" w14:textId="77777777" w:rsidR="00A04BE2" w:rsidRPr="00F8326B" w:rsidRDefault="00A04BE2" w:rsidP="0073780E">
            <w:pPr>
              <w:spacing w:after="0" w:line="240" w:lineRule="auto"/>
              <w:jc w:val="center"/>
              <w:rPr>
                <w:rFonts w:eastAsia="Times New Roman"/>
                <w:b/>
                <w:color w:val="FF0000"/>
                <w:sz w:val="20"/>
                <w:shd w:val="clear" w:color="auto" w:fill="FFFFFF"/>
              </w:rPr>
            </w:pPr>
            <w:r w:rsidRPr="00F8326B">
              <w:rPr>
                <w:rFonts w:eastAsia="Times New Roman"/>
                <w:b/>
                <w:color w:val="FF0000"/>
                <w:sz w:val="20"/>
                <w:shd w:val="clear" w:color="auto" w:fill="FFFFFF"/>
              </w:rPr>
              <w:t>Decline</w:t>
            </w:r>
          </w:p>
        </w:tc>
        <w:tc>
          <w:tcPr>
            <w:tcW w:w="236" w:type="dxa"/>
            <w:tcBorders>
              <w:top w:val="single" w:sz="8" w:space="0" w:color="auto"/>
              <w:left w:val="nil"/>
              <w:bottom w:val="nil"/>
              <w:right w:val="nil"/>
            </w:tcBorders>
          </w:tcPr>
          <w:p w14:paraId="2B6D8EBD" w14:textId="77777777" w:rsidR="00A04BE2" w:rsidRPr="00F8326B" w:rsidRDefault="00A04BE2" w:rsidP="0073780E">
            <w:pPr>
              <w:spacing w:after="0" w:line="240" w:lineRule="auto"/>
              <w:jc w:val="center"/>
              <w:rPr>
                <w:rFonts w:eastAsia="Times New Roman"/>
                <w:b/>
                <w:color w:val="FF0000"/>
                <w:sz w:val="20"/>
                <w:shd w:val="clear" w:color="auto" w:fill="FFFFFF"/>
              </w:rPr>
            </w:pPr>
          </w:p>
        </w:tc>
        <w:tc>
          <w:tcPr>
            <w:tcW w:w="2603" w:type="dxa"/>
            <w:gridSpan w:val="2"/>
            <w:tcBorders>
              <w:top w:val="single" w:sz="8" w:space="0" w:color="auto"/>
              <w:left w:val="nil"/>
              <w:bottom w:val="single" w:sz="4" w:space="0" w:color="auto"/>
              <w:right w:val="nil"/>
            </w:tcBorders>
            <w:vAlign w:val="center"/>
          </w:tcPr>
          <w:p w14:paraId="2509B2EB" w14:textId="77777777" w:rsidR="00A04BE2" w:rsidRPr="00F8326B" w:rsidRDefault="00A04BE2" w:rsidP="0073780E">
            <w:pPr>
              <w:spacing w:after="0" w:line="240" w:lineRule="auto"/>
              <w:jc w:val="center"/>
              <w:rPr>
                <w:rFonts w:eastAsia="Times New Roman"/>
                <w:b/>
                <w:color w:val="FF0000"/>
                <w:sz w:val="20"/>
                <w:shd w:val="clear" w:color="auto" w:fill="FFFFFF"/>
              </w:rPr>
            </w:pPr>
            <w:r w:rsidRPr="00F8326B">
              <w:rPr>
                <w:rFonts w:eastAsia="Times New Roman"/>
                <w:b/>
                <w:color w:val="FF0000"/>
                <w:sz w:val="20"/>
                <w:shd w:val="clear" w:color="auto" w:fill="FFFFFF"/>
              </w:rPr>
              <w:t>No decline</w:t>
            </w:r>
          </w:p>
        </w:tc>
        <w:tc>
          <w:tcPr>
            <w:tcW w:w="1134" w:type="dxa"/>
            <w:vMerge w:val="restart"/>
            <w:tcBorders>
              <w:top w:val="single" w:sz="8" w:space="0" w:color="auto"/>
              <w:left w:val="nil"/>
              <w:right w:val="nil"/>
            </w:tcBorders>
            <w:vAlign w:val="center"/>
          </w:tcPr>
          <w:p w14:paraId="77D7D526" w14:textId="065FF144" w:rsidR="00A04BE2" w:rsidRPr="003B26A4" w:rsidRDefault="00A04BE2" w:rsidP="003B26A4">
            <w:pPr>
              <w:spacing w:after="0" w:line="240" w:lineRule="auto"/>
              <w:jc w:val="center"/>
              <w:rPr>
                <w:rFonts w:eastAsia="Times New Roman"/>
                <w:b/>
                <w:color w:val="FF0000"/>
                <w:sz w:val="20"/>
                <w:shd w:val="clear" w:color="auto" w:fill="FFFFFF"/>
              </w:rPr>
            </w:pPr>
            <w:r w:rsidRPr="003B26A4">
              <w:rPr>
                <w:rFonts w:eastAsia="Times New Roman"/>
                <w:b/>
                <w:color w:val="FF0000"/>
                <w:sz w:val="20"/>
                <w:shd w:val="clear" w:color="auto" w:fill="FFFFFF"/>
              </w:rPr>
              <w:t>Difference</w:t>
            </w:r>
          </w:p>
        </w:tc>
        <w:tc>
          <w:tcPr>
            <w:tcW w:w="882" w:type="dxa"/>
            <w:vMerge w:val="restart"/>
            <w:tcBorders>
              <w:top w:val="single" w:sz="8" w:space="0" w:color="auto"/>
              <w:left w:val="nil"/>
              <w:right w:val="nil"/>
            </w:tcBorders>
            <w:vAlign w:val="center"/>
          </w:tcPr>
          <w:p w14:paraId="2360BA1E" w14:textId="1165576E" w:rsidR="00A04BE2" w:rsidRPr="00F8326B" w:rsidRDefault="00A04BE2" w:rsidP="0073780E">
            <w:pPr>
              <w:spacing w:after="0" w:line="240" w:lineRule="auto"/>
              <w:jc w:val="center"/>
              <w:rPr>
                <w:rFonts w:eastAsia="Times New Roman"/>
                <w:b/>
                <w:i/>
                <w:color w:val="FF0000"/>
                <w:sz w:val="20"/>
                <w:shd w:val="clear" w:color="auto" w:fill="FFFFFF"/>
              </w:rPr>
            </w:pPr>
            <w:r w:rsidRPr="00F8326B">
              <w:rPr>
                <w:rFonts w:eastAsia="Times New Roman"/>
                <w:b/>
                <w:i/>
                <w:color w:val="FF0000"/>
                <w:sz w:val="20"/>
                <w:shd w:val="clear" w:color="auto" w:fill="FFFFFF"/>
              </w:rPr>
              <w:t>p</w:t>
            </w:r>
          </w:p>
        </w:tc>
        <w:tc>
          <w:tcPr>
            <w:tcW w:w="958" w:type="dxa"/>
            <w:vMerge w:val="restart"/>
            <w:tcBorders>
              <w:top w:val="single" w:sz="8" w:space="0" w:color="auto"/>
              <w:left w:val="nil"/>
              <w:right w:val="nil"/>
            </w:tcBorders>
          </w:tcPr>
          <w:p w14:paraId="73F11D30" w14:textId="6917B621" w:rsidR="00A04BE2" w:rsidRPr="00A04BE2" w:rsidRDefault="00A04BE2" w:rsidP="0073780E">
            <w:pPr>
              <w:spacing w:after="0" w:line="240" w:lineRule="auto"/>
              <w:jc w:val="center"/>
              <w:rPr>
                <w:rFonts w:eastAsia="Times New Roman"/>
                <w:b/>
                <w:color w:val="FF0000"/>
                <w:sz w:val="20"/>
                <w:shd w:val="clear" w:color="auto" w:fill="FFFFFF"/>
              </w:rPr>
            </w:pPr>
            <w:r w:rsidRPr="00A04BE2">
              <w:rPr>
                <w:rFonts w:eastAsia="Times New Roman"/>
                <w:b/>
                <w:color w:val="FF0000"/>
                <w:sz w:val="20"/>
                <w:shd w:val="clear" w:color="auto" w:fill="FFFFFF"/>
              </w:rPr>
              <w:t>Partial eta squared</w:t>
            </w:r>
          </w:p>
        </w:tc>
      </w:tr>
      <w:tr w:rsidR="00A04BE2" w:rsidRPr="00F8326B" w14:paraId="171C2A23" w14:textId="03F9BFE4" w:rsidTr="00A04BE2">
        <w:tc>
          <w:tcPr>
            <w:tcW w:w="284" w:type="dxa"/>
            <w:tcBorders>
              <w:top w:val="nil"/>
              <w:left w:val="nil"/>
              <w:bottom w:val="single" w:sz="4" w:space="0" w:color="auto"/>
              <w:right w:val="nil"/>
            </w:tcBorders>
          </w:tcPr>
          <w:p w14:paraId="77DEAAD4" w14:textId="77777777" w:rsidR="00A04BE2" w:rsidRPr="00F8326B" w:rsidRDefault="00A04BE2" w:rsidP="0073780E">
            <w:pPr>
              <w:spacing w:after="0" w:line="240" w:lineRule="auto"/>
              <w:rPr>
                <w:rFonts w:eastAsia="Times New Roman"/>
                <w:color w:val="FF0000"/>
                <w:sz w:val="20"/>
                <w:shd w:val="clear" w:color="auto" w:fill="FFFFFF"/>
              </w:rPr>
            </w:pPr>
          </w:p>
        </w:tc>
        <w:tc>
          <w:tcPr>
            <w:tcW w:w="2659" w:type="dxa"/>
            <w:vMerge/>
            <w:tcBorders>
              <w:left w:val="nil"/>
              <w:bottom w:val="single" w:sz="4" w:space="0" w:color="auto"/>
              <w:right w:val="nil"/>
            </w:tcBorders>
          </w:tcPr>
          <w:p w14:paraId="344C9023" w14:textId="77777777" w:rsidR="00A04BE2" w:rsidRPr="00F8326B" w:rsidRDefault="00A04BE2" w:rsidP="0073780E">
            <w:pPr>
              <w:spacing w:after="0" w:line="240" w:lineRule="auto"/>
              <w:rPr>
                <w:rFonts w:eastAsia="Times New Roman"/>
                <w:color w:val="FF0000"/>
                <w:sz w:val="20"/>
                <w:shd w:val="clear" w:color="auto" w:fill="FFFFFF"/>
              </w:rPr>
            </w:pPr>
          </w:p>
        </w:tc>
        <w:tc>
          <w:tcPr>
            <w:tcW w:w="743" w:type="dxa"/>
            <w:tcBorders>
              <w:top w:val="single" w:sz="8" w:space="0" w:color="auto"/>
              <w:left w:val="nil"/>
              <w:bottom w:val="single" w:sz="4" w:space="0" w:color="auto"/>
              <w:right w:val="nil"/>
            </w:tcBorders>
            <w:vAlign w:val="center"/>
          </w:tcPr>
          <w:p w14:paraId="784251C6" w14:textId="77777777" w:rsidR="00A04BE2" w:rsidRPr="00F8326B" w:rsidRDefault="00A04BE2" w:rsidP="0073780E">
            <w:pPr>
              <w:spacing w:after="0" w:line="240" w:lineRule="auto"/>
              <w:jc w:val="center"/>
              <w:rPr>
                <w:rFonts w:eastAsia="Times New Roman"/>
                <w:b/>
                <w:i/>
                <w:color w:val="FF0000"/>
                <w:sz w:val="20"/>
                <w:shd w:val="clear" w:color="auto" w:fill="FFFFFF"/>
              </w:rPr>
            </w:pPr>
            <w:r w:rsidRPr="00F8326B">
              <w:rPr>
                <w:rFonts w:eastAsia="Times New Roman"/>
                <w:b/>
                <w:i/>
                <w:color w:val="FF0000"/>
                <w:sz w:val="20"/>
                <w:shd w:val="clear" w:color="auto" w:fill="FFFFFF"/>
              </w:rPr>
              <w:t>n</w:t>
            </w:r>
            <w:r w:rsidRPr="00F8326B">
              <w:rPr>
                <w:rFonts w:eastAsia="Times New Roman"/>
                <w:b/>
                <w:color w:val="FF0000"/>
                <w:sz w:val="20"/>
                <w:shd w:val="clear" w:color="auto" w:fill="FFFFFF"/>
                <w:vertAlign w:val="superscript"/>
              </w:rPr>
              <w:t>1</w:t>
            </w:r>
          </w:p>
        </w:tc>
        <w:tc>
          <w:tcPr>
            <w:tcW w:w="1842" w:type="dxa"/>
            <w:tcBorders>
              <w:top w:val="single" w:sz="8" w:space="0" w:color="auto"/>
              <w:left w:val="nil"/>
              <w:bottom w:val="single" w:sz="4" w:space="0" w:color="auto"/>
              <w:right w:val="nil"/>
            </w:tcBorders>
            <w:vAlign w:val="center"/>
          </w:tcPr>
          <w:p w14:paraId="23480893" w14:textId="699F4BB0" w:rsidR="00A04BE2" w:rsidRPr="00F8326B" w:rsidRDefault="00A04BE2" w:rsidP="0073780E">
            <w:pPr>
              <w:spacing w:after="0" w:line="240" w:lineRule="auto"/>
              <w:jc w:val="center"/>
              <w:rPr>
                <w:rFonts w:eastAsia="Times New Roman"/>
                <w:b/>
                <w:color w:val="FF0000"/>
                <w:sz w:val="20"/>
                <w:shd w:val="clear" w:color="auto" w:fill="FFFFFF"/>
              </w:rPr>
            </w:pPr>
            <w:r w:rsidRPr="00F8326B">
              <w:rPr>
                <w:rFonts w:eastAsia="Times New Roman"/>
                <w:b/>
                <w:color w:val="FF0000"/>
                <w:sz w:val="20"/>
                <w:shd w:val="clear" w:color="auto" w:fill="FFFFFF"/>
              </w:rPr>
              <w:t>Mean (</w:t>
            </w:r>
            <w:r>
              <w:rPr>
                <w:rFonts w:eastAsia="Times New Roman"/>
                <w:b/>
                <w:color w:val="FF0000"/>
                <w:sz w:val="20"/>
                <w:shd w:val="clear" w:color="auto" w:fill="FFFFFF"/>
              </w:rPr>
              <w:t>95% CI</w:t>
            </w:r>
            <w:r w:rsidRPr="00F8326B">
              <w:rPr>
                <w:rFonts w:eastAsia="Times New Roman"/>
                <w:b/>
                <w:color w:val="FF0000"/>
                <w:sz w:val="20"/>
                <w:shd w:val="clear" w:color="auto" w:fill="FFFFFF"/>
              </w:rPr>
              <w:t>)</w:t>
            </w:r>
          </w:p>
        </w:tc>
        <w:tc>
          <w:tcPr>
            <w:tcW w:w="236" w:type="dxa"/>
            <w:tcBorders>
              <w:top w:val="nil"/>
              <w:left w:val="nil"/>
              <w:bottom w:val="single" w:sz="4" w:space="0" w:color="auto"/>
              <w:right w:val="nil"/>
            </w:tcBorders>
          </w:tcPr>
          <w:p w14:paraId="1D7DBBC2" w14:textId="77777777" w:rsidR="00A04BE2" w:rsidRPr="00F8326B" w:rsidRDefault="00A04BE2" w:rsidP="0073780E">
            <w:pPr>
              <w:spacing w:after="0" w:line="240" w:lineRule="auto"/>
              <w:jc w:val="center"/>
              <w:rPr>
                <w:rFonts w:eastAsia="Times New Roman"/>
                <w:b/>
                <w:i/>
                <w:color w:val="FF0000"/>
                <w:sz w:val="20"/>
                <w:shd w:val="clear" w:color="auto" w:fill="FFFFFF"/>
              </w:rPr>
            </w:pPr>
          </w:p>
        </w:tc>
        <w:tc>
          <w:tcPr>
            <w:tcW w:w="756" w:type="dxa"/>
            <w:tcBorders>
              <w:top w:val="single" w:sz="8" w:space="0" w:color="auto"/>
              <w:left w:val="nil"/>
              <w:bottom w:val="single" w:sz="4" w:space="0" w:color="auto"/>
              <w:right w:val="nil"/>
            </w:tcBorders>
            <w:vAlign w:val="center"/>
          </w:tcPr>
          <w:p w14:paraId="7B98B878" w14:textId="77777777" w:rsidR="00A04BE2" w:rsidRPr="00F8326B" w:rsidRDefault="00A04BE2" w:rsidP="0073780E">
            <w:pPr>
              <w:spacing w:after="0" w:line="240" w:lineRule="auto"/>
              <w:jc w:val="center"/>
              <w:rPr>
                <w:rFonts w:eastAsia="Times New Roman"/>
                <w:b/>
                <w:i/>
                <w:color w:val="FF0000"/>
                <w:sz w:val="20"/>
                <w:shd w:val="clear" w:color="auto" w:fill="FFFFFF"/>
              </w:rPr>
            </w:pPr>
            <w:r w:rsidRPr="00F8326B">
              <w:rPr>
                <w:rFonts w:eastAsia="Times New Roman"/>
                <w:b/>
                <w:i/>
                <w:color w:val="FF0000"/>
                <w:sz w:val="20"/>
                <w:shd w:val="clear" w:color="auto" w:fill="FFFFFF"/>
              </w:rPr>
              <w:t>n</w:t>
            </w:r>
            <w:r w:rsidRPr="00F8326B">
              <w:rPr>
                <w:rFonts w:eastAsia="Times New Roman"/>
                <w:b/>
                <w:color w:val="FF0000"/>
                <w:sz w:val="20"/>
                <w:shd w:val="clear" w:color="auto" w:fill="FFFFFF"/>
                <w:vertAlign w:val="superscript"/>
              </w:rPr>
              <w:t>1</w:t>
            </w:r>
          </w:p>
        </w:tc>
        <w:tc>
          <w:tcPr>
            <w:tcW w:w="1847" w:type="dxa"/>
            <w:tcBorders>
              <w:top w:val="single" w:sz="8" w:space="0" w:color="auto"/>
              <w:left w:val="nil"/>
              <w:bottom w:val="single" w:sz="4" w:space="0" w:color="auto"/>
              <w:right w:val="nil"/>
            </w:tcBorders>
            <w:vAlign w:val="center"/>
          </w:tcPr>
          <w:p w14:paraId="2CE9E03C" w14:textId="532A621B" w:rsidR="00A04BE2" w:rsidRPr="00F8326B" w:rsidRDefault="00A04BE2" w:rsidP="0073780E">
            <w:pPr>
              <w:spacing w:after="0" w:line="240" w:lineRule="auto"/>
              <w:jc w:val="center"/>
              <w:rPr>
                <w:rFonts w:eastAsia="Times New Roman"/>
                <w:b/>
                <w:i/>
                <w:color w:val="FF0000"/>
                <w:sz w:val="20"/>
                <w:shd w:val="clear" w:color="auto" w:fill="FFFFFF"/>
              </w:rPr>
            </w:pPr>
            <w:r w:rsidRPr="00F8326B">
              <w:rPr>
                <w:rFonts w:eastAsia="Times New Roman"/>
                <w:b/>
                <w:color w:val="FF0000"/>
                <w:sz w:val="20"/>
                <w:shd w:val="clear" w:color="auto" w:fill="FFFFFF"/>
              </w:rPr>
              <w:t>Mean (</w:t>
            </w:r>
            <w:r>
              <w:rPr>
                <w:rFonts w:eastAsia="Times New Roman"/>
                <w:b/>
                <w:color w:val="FF0000"/>
                <w:sz w:val="20"/>
                <w:shd w:val="clear" w:color="auto" w:fill="FFFFFF"/>
              </w:rPr>
              <w:t>95% CI</w:t>
            </w:r>
            <w:r w:rsidRPr="00F8326B">
              <w:rPr>
                <w:rFonts w:eastAsia="Times New Roman"/>
                <w:b/>
                <w:color w:val="FF0000"/>
                <w:sz w:val="20"/>
                <w:shd w:val="clear" w:color="auto" w:fill="FFFFFF"/>
              </w:rPr>
              <w:t>)</w:t>
            </w:r>
          </w:p>
        </w:tc>
        <w:tc>
          <w:tcPr>
            <w:tcW w:w="1134" w:type="dxa"/>
            <w:vMerge/>
            <w:tcBorders>
              <w:left w:val="nil"/>
              <w:bottom w:val="single" w:sz="4" w:space="0" w:color="auto"/>
              <w:right w:val="nil"/>
            </w:tcBorders>
          </w:tcPr>
          <w:p w14:paraId="119C5541" w14:textId="77777777" w:rsidR="00A04BE2" w:rsidRPr="00F8326B" w:rsidRDefault="00A04BE2" w:rsidP="0073780E">
            <w:pPr>
              <w:spacing w:after="0" w:line="240" w:lineRule="auto"/>
              <w:jc w:val="center"/>
              <w:rPr>
                <w:rFonts w:eastAsia="Times New Roman"/>
                <w:b/>
                <w:i/>
                <w:color w:val="FF0000"/>
                <w:sz w:val="20"/>
                <w:shd w:val="clear" w:color="auto" w:fill="FFFFFF"/>
              </w:rPr>
            </w:pPr>
          </w:p>
        </w:tc>
        <w:tc>
          <w:tcPr>
            <w:tcW w:w="882" w:type="dxa"/>
            <w:vMerge/>
            <w:tcBorders>
              <w:left w:val="nil"/>
              <w:bottom w:val="single" w:sz="4" w:space="0" w:color="auto"/>
              <w:right w:val="nil"/>
            </w:tcBorders>
            <w:vAlign w:val="center"/>
          </w:tcPr>
          <w:p w14:paraId="3DA8FDC4" w14:textId="2E1909DE" w:rsidR="00A04BE2" w:rsidRPr="00F8326B" w:rsidRDefault="00A04BE2" w:rsidP="0073780E">
            <w:pPr>
              <w:spacing w:after="0" w:line="240" w:lineRule="auto"/>
              <w:jc w:val="center"/>
              <w:rPr>
                <w:rFonts w:eastAsia="Times New Roman"/>
                <w:b/>
                <w:i/>
                <w:color w:val="FF0000"/>
                <w:sz w:val="20"/>
                <w:shd w:val="clear" w:color="auto" w:fill="FFFFFF"/>
              </w:rPr>
            </w:pPr>
          </w:p>
        </w:tc>
        <w:tc>
          <w:tcPr>
            <w:tcW w:w="958" w:type="dxa"/>
            <w:vMerge/>
            <w:tcBorders>
              <w:left w:val="nil"/>
              <w:bottom w:val="single" w:sz="4" w:space="0" w:color="auto"/>
              <w:right w:val="nil"/>
            </w:tcBorders>
          </w:tcPr>
          <w:p w14:paraId="1F432E46" w14:textId="77777777" w:rsidR="00A04BE2" w:rsidRPr="00F8326B" w:rsidRDefault="00A04BE2" w:rsidP="0073780E">
            <w:pPr>
              <w:spacing w:after="0" w:line="240" w:lineRule="auto"/>
              <w:jc w:val="center"/>
              <w:rPr>
                <w:rFonts w:eastAsia="Times New Roman"/>
                <w:b/>
                <w:i/>
                <w:color w:val="FF0000"/>
                <w:sz w:val="20"/>
                <w:shd w:val="clear" w:color="auto" w:fill="FFFFFF"/>
              </w:rPr>
            </w:pPr>
          </w:p>
        </w:tc>
      </w:tr>
      <w:tr w:rsidR="00A04BE2" w:rsidRPr="00F8326B" w14:paraId="3D84BF64" w14:textId="6F52FFDB" w:rsidTr="00A04BE2">
        <w:tc>
          <w:tcPr>
            <w:tcW w:w="2943" w:type="dxa"/>
            <w:gridSpan w:val="2"/>
            <w:tcBorders>
              <w:top w:val="single" w:sz="4" w:space="0" w:color="auto"/>
              <w:left w:val="nil"/>
              <w:bottom w:val="nil"/>
              <w:right w:val="nil"/>
            </w:tcBorders>
          </w:tcPr>
          <w:p w14:paraId="2E8943B4" w14:textId="77777777" w:rsidR="00A04BE2" w:rsidRPr="00F8326B" w:rsidRDefault="00A04BE2" w:rsidP="0073780E">
            <w:pPr>
              <w:spacing w:after="0" w:line="240" w:lineRule="auto"/>
              <w:rPr>
                <w:rFonts w:eastAsia="Times New Roman"/>
                <w:b/>
                <w:color w:val="FF0000"/>
                <w:sz w:val="20"/>
                <w:shd w:val="clear" w:color="auto" w:fill="FFFFFF"/>
              </w:rPr>
            </w:pPr>
            <w:r w:rsidRPr="00F8326B">
              <w:rPr>
                <w:rFonts w:eastAsia="Times New Roman"/>
                <w:b/>
                <w:color w:val="FF0000"/>
                <w:sz w:val="20"/>
                <w:shd w:val="clear" w:color="auto" w:fill="FFFFFF"/>
              </w:rPr>
              <w:t>Sexual desire</w:t>
            </w:r>
          </w:p>
        </w:tc>
        <w:tc>
          <w:tcPr>
            <w:tcW w:w="743" w:type="dxa"/>
            <w:tcBorders>
              <w:top w:val="single" w:sz="4" w:space="0" w:color="auto"/>
              <w:left w:val="nil"/>
              <w:bottom w:val="nil"/>
              <w:right w:val="nil"/>
            </w:tcBorders>
          </w:tcPr>
          <w:p w14:paraId="62F712B3" w14:textId="77777777" w:rsidR="00A04BE2" w:rsidRPr="00F8326B" w:rsidRDefault="00A04BE2" w:rsidP="0073780E">
            <w:pPr>
              <w:spacing w:after="0" w:line="240" w:lineRule="auto"/>
              <w:jc w:val="center"/>
              <w:rPr>
                <w:rFonts w:eastAsia="Times New Roman"/>
                <w:b/>
                <w:color w:val="FF0000"/>
                <w:sz w:val="20"/>
                <w:shd w:val="clear" w:color="auto" w:fill="FFFFFF"/>
              </w:rPr>
            </w:pPr>
          </w:p>
        </w:tc>
        <w:tc>
          <w:tcPr>
            <w:tcW w:w="1842" w:type="dxa"/>
            <w:tcBorders>
              <w:top w:val="single" w:sz="4" w:space="0" w:color="auto"/>
              <w:left w:val="nil"/>
              <w:bottom w:val="nil"/>
              <w:right w:val="nil"/>
            </w:tcBorders>
          </w:tcPr>
          <w:p w14:paraId="3B9553B7" w14:textId="77777777" w:rsidR="00A04BE2" w:rsidRPr="00F8326B" w:rsidRDefault="00A04BE2" w:rsidP="0073780E">
            <w:pPr>
              <w:spacing w:after="0" w:line="240" w:lineRule="auto"/>
              <w:jc w:val="center"/>
              <w:rPr>
                <w:rFonts w:eastAsia="Times New Roman"/>
                <w:b/>
                <w:color w:val="FF0000"/>
                <w:sz w:val="20"/>
                <w:shd w:val="clear" w:color="auto" w:fill="FFFFFF"/>
              </w:rPr>
            </w:pPr>
          </w:p>
        </w:tc>
        <w:tc>
          <w:tcPr>
            <w:tcW w:w="236" w:type="dxa"/>
            <w:tcBorders>
              <w:top w:val="single" w:sz="4" w:space="0" w:color="auto"/>
              <w:left w:val="nil"/>
              <w:bottom w:val="nil"/>
              <w:right w:val="nil"/>
            </w:tcBorders>
          </w:tcPr>
          <w:p w14:paraId="6AB96287" w14:textId="77777777" w:rsidR="00A04BE2" w:rsidRPr="00F8326B" w:rsidRDefault="00A04BE2" w:rsidP="0073780E">
            <w:pPr>
              <w:spacing w:after="0" w:line="240" w:lineRule="auto"/>
              <w:jc w:val="center"/>
              <w:rPr>
                <w:rFonts w:eastAsia="Times New Roman"/>
                <w:b/>
                <w:color w:val="FF0000"/>
                <w:sz w:val="20"/>
                <w:shd w:val="clear" w:color="auto" w:fill="FFFFFF"/>
              </w:rPr>
            </w:pPr>
          </w:p>
        </w:tc>
        <w:tc>
          <w:tcPr>
            <w:tcW w:w="756" w:type="dxa"/>
            <w:tcBorders>
              <w:top w:val="single" w:sz="4" w:space="0" w:color="auto"/>
              <w:left w:val="nil"/>
              <w:bottom w:val="nil"/>
              <w:right w:val="nil"/>
            </w:tcBorders>
          </w:tcPr>
          <w:p w14:paraId="6505C715" w14:textId="77777777" w:rsidR="00A04BE2" w:rsidRPr="00F8326B" w:rsidRDefault="00A04BE2" w:rsidP="0073780E">
            <w:pPr>
              <w:spacing w:after="0" w:line="240" w:lineRule="auto"/>
              <w:jc w:val="center"/>
              <w:rPr>
                <w:rFonts w:eastAsia="Times New Roman"/>
                <w:b/>
                <w:color w:val="FF0000"/>
                <w:sz w:val="20"/>
                <w:shd w:val="clear" w:color="auto" w:fill="FFFFFF"/>
              </w:rPr>
            </w:pPr>
          </w:p>
        </w:tc>
        <w:tc>
          <w:tcPr>
            <w:tcW w:w="1847" w:type="dxa"/>
            <w:tcBorders>
              <w:top w:val="single" w:sz="4" w:space="0" w:color="auto"/>
              <w:left w:val="nil"/>
              <w:bottom w:val="nil"/>
              <w:right w:val="nil"/>
            </w:tcBorders>
          </w:tcPr>
          <w:p w14:paraId="29B35C01" w14:textId="77777777" w:rsidR="00A04BE2" w:rsidRPr="00F8326B" w:rsidRDefault="00A04BE2" w:rsidP="0073780E">
            <w:pPr>
              <w:spacing w:after="0" w:line="240" w:lineRule="auto"/>
              <w:jc w:val="center"/>
              <w:rPr>
                <w:rFonts w:eastAsia="Times New Roman"/>
                <w:b/>
                <w:color w:val="FF0000"/>
                <w:sz w:val="20"/>
                <w:shd w:val="clear" w:color="auto" w:fill="FFFFFF"/>
              </w:rPr>
            </w:pPr>
          </w:p>
        </w:tc>
        <w:tc>
          <w:tcPr>
            <w:tcW w:w="1134" w:type="dxa"/>
            <w:tcBorders>
              <w:top w:val="single" w:sz="4" w:space="0" w:color="auto"/>
              <w:left w:val="nil"/>
              <w:bottom w:val="nil"/>
              <w:right w:val="nil"/>
            </w:tcBorders>
          </w:tcPr>
          <w:p w14:paraId="72125BCA" w14:textId="77777777" w:rsidR="00A04BE2" w:rsidRPr="00F8326B" w:rsidRDefault="00A04BE2" w:rsidP="0073780E">
            <w:pPr>
              <w:spacing w:after="0" w:line="240" w:lineRule="auto"/>
              <w:jc w:val="center"/>
              <w:rPr>
                <w:rFonts w:eastAsia="Times New Roman"/>
                <w:b/>
                <w:color w:val="FF0000"/>
                <w:sz w:val="20"/>
                <w:shd w:val="clear" w:color="auto" w:fill="FFFFFF"/>
              </w:rPr>
            </w:pPr>
          </w:p>
        </w:tc>
        <w:tc>
          <w:tcPr>
            <w:tcW w:w="882" w:type="dxa"/>
            <w:tcBorders>
              <w:top w:val="single" w:sz="4" w:space="0" w:color="auto"/>
              <w:left w:val="nil"/>
              <w:bottom w:val="nil"/>
              <w:right w:val="nil"/>
            </w:tcBorders>
          </w:tcPr>
          <w:p w14:paraId="25796782" w14:textId="357F5CA8" w:rsidR="00A04BE2" w:rsidRPr="00F8326B" w:rsidRDefault="00A04BE2" w:rsidP="0073780E">
            <w:pPr>
              <w:spacing w:after="0" w:line="240" w:lineRule="auto"/>
              <w:jc w:val="center"/>
              <w:rPr>
                <w:rFonts w:eastAsia="Times New Roman"/>
                <w:b/>
                <w:color w:val="FF0000"/>
                <w:sz w:val="20"/>
                <w:shd w:val="clear" w:color="auto" w:fill="FFFFFF"/>
              </w:rPr>
            </w:pPr>
          </w:p>
        </w:tc>
        <w:tc>
          <w:tcPr>
            <w:tcW w:w="958" w:type="dxa"/>
            <w:tcBorders>
              <w:top w:val="single" w:sz="4" w:space="0" w:color="auto"/>
              <w:left w:val="nil"/>
              <w:bottom w:val="nil"/>
              <w:right w:val="nil"/>
            </w:tcBorders>
          </w:tcPr>
          <w:p w14:paraId="5E2E58E3" w14:textId="77777777" w:rsidR="00A04BE2" w:rsidRPr="00F8326B" w:rsidRDefault="00A04BE2" w:rsidP="0073780E">
            <w:pPr>
              <w:spacing w:after="0" w:line="240" w:lineRule="auto"/>
              <w:jc w:val="center"/>
              <w:rPr>
                <w:rFonts w:eastAsia="Times New Roman"/>
                <w:b/>
                <w:color w:val="FF0000"/>
                <w:sz w:val="20"/>
                <w:shd w:val="clear" w:color="auto" w:fill="FFFFFF"/>
              </w:rPr>
            </w:pPr>
          </w:p>
        </w:tc>
      </w:tr>
      <w:tr w:rsidR="00A04BE2" w:rsidRPr="00F8326B" w14:paraId="6AB5D37E" w14:textId="3314DEB2" w:rsidTr="00A04BE2">
        <w:tc>
          <w:tcPr>
            <w:tcW w:w="284" w:type="dxa"/>
            <w:tcBorders>
              <w:top w:val="nil"/>
              <w:left w:val="nil"/>
              <w:bottom w:val="nil"/>
              <w:right w:val="nil"/>
            </w:tcBorders>
          </w:tcPr>
          <w:p w14:paraId="28AF3F03" w14:textId="77777777" w:rsidR="00A04BE2" w:rsidRPr="00F8326B" w:rsidRDefault="00A04BE2" w:rsidP="00A21CAE">
            <w:pPr>
              <w:spacing w:after="0" w:line="240" w:lineRule="auto"/>
              <w:rPr>
                <w:rFonts w:eastAsia="Times New Roman"/>
                <w:color w:val="FF0000"/>
                <w:sz w:val="20"/>
                <w:shd w:val="clear" w:color="auto" w:fill="FFFFFF"/>
              </w:rPr>
            </w:pPr>
          </w:p>
        </w:tc>
        <w:tc>
          <w:tcPr>
            <w:tcW w:w="2659" w:type="dxa"/>
            <w:tcBorders>
              <w:top w:val="nil"/>
              <w:left w:val="nil"/>
              <w:bottom w:val="single" w:sz="4" w:space="0" w:color="auto"/>
              <w:right w:val="nil"/>
            </w:tcBorders>
          </w:tcPr>
          <w:p w14:paraId="66112E34" w14:textId="45418473" w:rsidR="00A04BE2" w:rsidRPr="00F8326B" w:rsidRDefault="00A04BE2" w:rsidP="00A21CA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Depressive symptoms</w:t>
            </w:r>
            <w:r w:rsidRPr="00F8326B">
              <w:rPr>
                <w:rFonts w:eastAsia="Times New Roman"/>
                <w:color w:val="FF0000"/>
                <w:sz w:val="20"/>
                <w:shd w:val="clear" w:color="auto" w:fill="FFFFFF"/>
                <w:vertAlign w:val="superscript"/>
              </w:rPr>
              <w:t>2</w:t>
            </w:r>
            <w:r w:rsidRPr="00F8326B">
              <w:rPr>
                <w:rFonts w:eastAsia="Times New Roman"/>
                <w:color w:val="FF0000"/>
                <w:sz w:val="20"/>
                <w:shd w:val="clear" w:color="auto" w:fill="FFFFFF"/>
              </w:rPr>
              <w:t xml:space="preserve"> (0-8)</w:t>
            </w:r>
          </w:p>
        </w:tc>
        <w:tc>
          <w:tcPr>
            <w:tcW w:w="743" w:type="dxa"/>
            <w:tcBorders>
              <w:top w:val="nil"/>
              <w:left w:val="nil"/>
              <w:bottom w:val="single" w:sz="4" w:space="0" w:color="auto"/>
              <w:right w:val="nil"/>
            </w:tcBorders>
          </w:tcPr>
          <w:p w14:paraId="3C26721C" w14:textId="1C7C859B"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1009</w:t>
            </w:r>
          </w:p>
        </w:tc>
        <w:tc>
          <w:tcPr>
            <w:tcW w:w="1842" w:type="dxa"/>
            <w:tcBorders>
              <w:top w:val="nil"/>
              <w:left w:val="nil"/>
              <w:bottom w:val="single" w:sz="4" w:space="0" w:color="auto"/>
              <w:right w:val="nil"/>
            </w:tcBorders>
          </w:tcPr>
          <w:p w14:paraId="29F46142" w14:textId="4FAD9DF8"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1.69 (</w:t>
            </w:r>
            <w:r>
              <w:rPr>
                <w:rFonts w:eastAsia="Times New Roman"/>
                <w:color w:val="FF0000"/>
                <w:sz w:val="20"/>
                <w:shd w:val="clear" w:color="auto" w:fill="FFFFFF"/>
              </w:rPr>
              <w:t>1.58-1.80</w:t>
            </w:r>
            <w:r w:rsidRPr="00F8326B">
              <w:rPr>
                <w:rFonts w:eastAsia="Times New Roman"/>
                <w:color w:val="FF0000"/>
                <w:sz w:val="20"/>
                <w:shd w:val="clear" w:color="auto" w:fill="FFFFFF"/>
              </w:rPr>
              <w:t>)</w:t>
            </w:r>
          </w:p>
        </w:tc>
        <w:tc>
          <w:tcPr>
            <w:tcW w:w="236" w:type="dxa"/>
            <w:tcBorders>
              <w:top w:val="nil"/>
              <w:left w:val="nil"/>
              <w:bottom w:val="single" w:sz="4" w:space="0" w:color="auto"/>
              <w:right w:val="nil"/>
            </w:tcBorders>
          </w:tcPr>
          <w:p w14:paraId="1F43E696" w14:textId="77777777" w:rsidR="00A04BE2" w:rsidRPr="00F8326B" w:rsidRDefault="00A04BE2" w:rsidP="00A21CAE">
            <w:pPr>
              <w:spacing w:after="0" w:line="240" w:lineRule="auto"/>
              <w:jc w:val="center"/>
              <w:rPr>
                <w:rFonts w:eastAsia="Times New Roman"/>
                <w:color w:val="FF0000"/>
                <w:sz w:val="20"/>
                <w:shd w:val="clear" w:color="auto" w:fill="FFFFFF"/>
              </w:rPr>
            </w:pPr>
          </w:p>
        </w:tc>
        <w:tc>
          <w:tcPr>
            <w:tcW w:w="756" w:type="dxa"/>
            <w:tcBorders>
              <w:top w:val="nil"/>
              <w:left w:val="nil"/>
              <w:bottom w:val="single" w:sz="4" w:space="0" w:color="auto"/>
              <w:right w:val="nil"/>
            </w:tcBorders>
          </w:tcPr>
          <w:p w14:paraId="0AF1D885" w14:textId="52B3ECD3"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2185</w:t>
            </w:r>
          </w:p>
        </w:tc>
        <w:tc>
          <w:tcPr>
            <w:tcW w:w="1847" w:type="dxa"/>
            <w:tcBorders>
              <w:top w:val="nil"/>
              <w:left w:val="nil"/>
              <w:bottom w:val="single" w:sz="4" w:space="0" w:color="auto"/>
              <w:right w:val="nil"/>
            </w:tcBorders>
          </w:tcPr>
          <w:p w14:paraId="7B0C197D" w14:textId="0497E9CB"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1.46 (</w:t>
            </w:r>
            <w:r>
              <w:rPr>
                <w:rFonts w:eastAsia="Times New Roman"/>
                <w:color w:val="FF0000"/>
                <w:sz w:val="20"/>
                <w:shd w:val="clear" w:color="auto" w:fill="FFFFFF"/>
              </w:rPr>
              <w:t>1.38-1.53</w:t>
            </w:r>
            <w:r w:rsidRPr="00F8326B">
              <w:rPr>
                <w:rFonts w:eastAsia="Times New Roman"/>
                <w:color w:val="FF0000"/>
                <w:sz w:val="20"/>
                <w:shd w:val="clear" w:color="auto" w:fill="FFFFFF"/>
              </w:rPr>
              <w:t>)</w:t>
            </w:r>
          </w:p>
        </w:tc>
        <w:tc>
          <w:tcPr>
            <w:tcW w:w="1134" w:type="dxa"/>
            <w:tcBorders>
              <w:top w:val="nil"/>
              <w:left w:val="nil"/>
              <w:bottom w:val="single" w:sz="4" w:space="0" w:color="auto"/>
              <w:right w:val="nil"/>
            </w:tcBorders>
          </w:tcPr>
          <w:p w14:paraId="67C8FACA" w14:textId="53D4F984" w:rsidR="00A04BE2" w:rsidRPr="00F8326B" w:rsidRDefault="00A04BE2"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0.233</w:t>
            </w:r>
          </w:p>
        </w:tc>
        <w:tc>
          <w:tcPr>
            <w:tcW w:w="882" w:type="dxa"/>
            <w:tcBorders>
              <w:top w:val="nil"/>
              <w:left w:val="nil"/>
              <w:bottom w:val="single" w:sz="4" w:space="0" w:color="auto"/>
              <w:right w:val="nil"/>
            </w:tcBorders>
          </w:tcPr>
          <w:p w14:paraId="5DBB04D9" w14:textId="45584E84"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0.001</w:t>
            </w:r>
          </w:p>
        </w:tc>
        <w:tc>
          <w:tcPr>
            <w:tcW w:w="958" w:type="dxa"/>
            <w:tcBorders>
              <w:top w:val="nil"/>
              <w:left w:val="nil"/>
              <w:bottom w:val="single" w:sz="4" w:space="0" w:color="auto"/>
              <w:right w:val="nil"/>
            </w:tcBorders>
          </w:tcPr>
          <w:p w14:paraId="42B03186" w14:textId="32BB313A" w:rsidR="00A04BE2" w:rsidRPr="00F8326B" w:rsidRDefault="005B5B8A"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0.004</w:t>
            </w:r>
          </w:p>
        </w:tc>
      </w:tr>
      <w:tr w:rsidR="00A04BE2" w:rsidRPr="00F8326B" w14:paraId="7825A1D1" w14:textId="7C68B9DE" w:rsidTr="00A04BE2">
        <w:tc>
          <w:tcPr>
            <w:tcW w:w="284" w:type="dxa"/>
            <w:tcBorders>
              <w:top w:val="nil"/>
              <w:left w:val="nil"/>
              <w:bottom w:val="nil"/>
              <w:right w:val="nil"/>
            </w:tcBorders>
          </w:tcPr>
          <w:p w14:paraId="5C7F80BB" w14:textId="77777777" w:rsidR="00A04BE2" w:rsidRPr="00F8326B" w:rsidRDefault="00A04BE2" w:rsidP="00A21CAE">
            <w:pPr>
              <w:spacing w:after="0" w:line="240" w:lineRule="auto"/>
              <w:rPr>
                <w:rFonts w:eastAsia="Times New Roman"/>
                <w:color w:val="FF0000"/>
                <w:sz w:val="20"/>
                <w:shd w:val="clear" w:color="auto" w:fill="FFFFFF"/>
              </w:rPr>
            </w:pPr>
          </w:p>
        </w:tc>
        <w:tc>
          <w:tcPr>
            <w:tcW w:w="2659" w:type="dxa"/>
            <w:tcBorders>
              <w:top w:val="single" w:sz="4" w:space="0" w:color="auto"/>
              <w:left w:val="nil"/>
              <w:bottom w:val="single" w:sz="4" w:space="0" w:color="auto"/>
              <w:right w:val="nil"/>
            </w:tcBorders>
          </w:tcPr>
          <w:p w14:paraId="227A7EB8" w14:textId="37A40375" w:rsidR="00A04BE2" w:rsidRPr="00F8326B" w:rsidRDefault="00A04BE2" w:rsidP="00A21CA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Quality of life</w:t>
            </w:r>
            <w:r w:rsidRPr="00F8326B">
              <w:rPr>
                <w:rFonts w:eastAsia="Times New Roman"/>
                <w:color w:val="FF0000"/>
                <w:sz w:val="20"/>
                <w:shd w:val="clear" w:color="auto" w:fill="FFFFFF"/>
                <w:vertAlign w:val="superscript"/>
              </w:rPr>
              <w:t>2</w:t>
            </w:r>
            <w:r w:rsidRPr="00F8326B">
              <w:rPr>
                <w:rFonts w:eastAsia="Times New Roman"/>
                <w:color w:val="FF0000"/>
                <w:sz w:val="20"/>
                <w:shd w:val="clear" w:color="auto" w:fill="FFFFFF"/>
              </w:rPr>
              <w:t xml:space="preserve"> (0-57)</w:t>
            </w:r>
          </w:p>
        </w:tc>
        <w:tc>
          <w:tcPr>
            <w:tcW w:w="743" w:type="dxa"/>
            <w:tcBorders>
              <w:top w:val="single" w:sz="4" w:space="0" w:color="auto"/>
              <w:left w:val="nil"/>
              <w:right w:val="nil"/>
            </w:tcBorders>
          </w:tcPr>
          <w:p w14:paraId="505C2B30" w14:textId="0EAFEE9F"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940</w:t>
            </w:r>
          </w:p>
        </w:tc>
        <w:tc>
          <w:tcPr>
            <w:tcW w:w="1842" w:type="dxa"/>
            <w:tcBorders>
              <w:top w:val="single" w:sz="4" w:space="0" w:color="auto"/>
              <w:left w:val="nil"/>
              <w:right w:val="nil"/>
            </w:tcBorders>
          </w:tcPr>
          <w:p w14:paraId="7AF1C22D" w14:textId="25FCCA17"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39.59 (</w:t>
            </w:r>
            <w:r>
              <w:rPr>
                <w:rFonts w:eastAsia="Times New Roman"/>
                <w:color w:val="FF0000"/>
                <w:sz w:val="20"/>
                <w:shd w:val="clear" w:color="auto" w:fill="FFFFFF"/>
              </w:rPr>
              <w:t>39.11-40.07</w:t>
            </w:r>
            <w:r w:rsidRPr="00F8326B">
              <w:rPr>
                <w:rFonts w:eastAsia="Times New Roman"/>
                <w:color w:val="FF0000"/>
                <w:sz w:val="20"/>
                <w:shd w:val="clear" w:color="auto" w:fill="FFFFFF"/>
              </w:rPr>
              <w:t>)</w:t>
            </w:r>
          </w:p>
        </w:tc>
        <w:tc>
          <w:tcPr>
            <w:tcW w:w="236" w:type="dxa"/>
            <w:tcBorders>
              <w:top w:val="single" w:sz="4" w:space="0" w:color="auto"/>
              <w:left w:val="nil"/>
              <w:right w:val="nil"/>
            </w:tcBorders>
          </w:tcPr>
          <w:p w14:paraId="27B32E36" w14:textId="77777777" w:rsidR="00A04BE2" w:rsidRPr="00F8326B" w:rsidRDefault="00A04BE2" w:rsidP="00A21CAE">
            <w:pPr>
              <w:spacing w:after="0" w:line="240" w:lineRule="auto"/>
              <w:jc w:val="center"/>
              <w:rPr>
                <w:rFonts w:eastAsia="Times New Roman"/>
                <w:color w:val="FF0000"/>
                <w:sz w:val="20"/>
                <w:shd w:val="clear" w:color="auto" w:fill="FFFFFF"/>
              </w:rPr>
            </w:pPr>
          </w:p>
        </w:tc>
        <w:tc>
          <w:tcPr>
            <w:tcW w:w="756" w:type="dxa"/>
            <w:tcBorders>
              <w:top w:val="single" w:sz="4" w:space="0" w:color="auto"/>
              <w:left w:val="nil"/>
              <w:right w:val="nil"/>
            </w:tcBorders>
          </w:tcPr>
          <w:p w14:paraId="20009CD2" w14:textId="62FC6863"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2049</w:t>
            </w:r>
          </w:p>
        </w:tc>
        <w:tc>
          <w:tcPr>
            <w:tcW w:w="1847" w:type="dxa"/>
            <w:tcBorders>
              <w:top w:val="single" w:sz="4" w:space="0" w:color="auto"/>
              <w:left w:val="nil"/>
              <w:right w:val="nil"/>
            </w:tcBorders>
          </w:tcPr>
          <w:p w14:paraId="528CD78A" w14:textId="58A0AC17"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40.97 (</w:t>
            </w:r>
            <w:r>
              <w:rPr>
                <w:rFonts w:eastAsia="Times New Roman"/>
                <w:color w:val="FF0000"/>
                <w:sz w:val="20"/>
                <w:shd w:val="clear" w:color="auto" w:fill="FFFFFF"/>
              </w:rPr>
              <w:t>40.64-41.31</w:t>
            </w:r>
            <w:r w:rsidRPr="00F8326B">
              <w:rPr>
                <w:rFonts w:eastAsia="Times New Roman"/>
                <w:color w:val="FF0000"/>
                <w:sz w:val="20"/>
                <w:shd w:val="clear" w:color="auto" w:fill="FFFFFF"/>
              </w:rPr>
              <w:t>)</w:t>
            </w:r>
          </w:p>
        </w:tc>
        <w:tc>
          <w:tcPr>
            <w:tcW w:w="1134" w:type="dxa"/>
            <w:tcBorders>
              <w:top w:val="single" w:sz="4" w:space="0" w:color="auto"/>
              <w:left w:val="nil"/>
              <w:right w:val="nil"/>
            </w:tcBorders>
          </w:tcPr>
          <w:p w14:paraId="440585E3" w14:textId="4387004B" w:rsidR="00A04BE2" w:rsidRPr="00F8326B" w:rsidRDefault="00A04BE2"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-1.385</w:t>
            </w:r>
          </w:p>
        </w:tc>
        <w:tc>
          <w:tcPr>
            <w:tcW w:w="882" w:type="dxa"/>
            <w:tcBorders>
              <w:top w:val="single" w:sz="4" w:space="0" w:color="auto"/>
              <w:left w:val="nil"/>
              <w:right w:val="nil"/>
            </w:tcBorders>
          </w:tcPr>
          <w:p w14:paraId="261E6C18" w14:textId="2449F33F"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958" w:type="dxa"/>
            <w:tcBorders>
              <w:top w:val="single" w:sz="4" w:space="0" w:color="auto"/>
              <w:left w:val="nil"/>
              <w:right w:val="nil"/>
            </w:tcBorders>
          </w:tcPr>
          <w:p w14:paraId="58AF71D5" w14:textId="5C3CC826" w:rsidR="00A04BE2" w:rsidRPr="00F8326B" w:rsidRDefault="005B5B8A"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0.007</w:t>
            </w:r>
          </w:p>
        </w:tc>
      </w:tr>
      <w:tr w:rsidR="00A04BE2" w:rsidRPr="00F8326B" w14:paraId="2374C099" w14:textId="5DAEDFB4" w:rsidTr="00A04BE2">
        <w:tc>
          <w:tcPr>
            <w:tcW w:w="284" w:type="dxa"/>
            <w:tcBorders>
              <w:top w:val="nil"/>
              <w:left w:val="nil"/>
              <w:bottom w:val="nil"/>
              <w:right w:val="nil"/>
            </w:tcBorders>
          </w:tcPr>
          <w:p w14:paraId="56BDD9FE" w14:textId="77777777" w:rsidR="00A04BE2" w:rsidRPr="00F8326B" w:rsidRDefault="00A04BE2" w:rsidP="00A21CAE">
            <w:pPr>
              <w:spacing w:after="0" w:line="240" w:lineRule="auto"/>
              <w:rPr>
                <w:rFonts w:eastAsia="Times New Roman"/>
                <w:color w:val="FF0000"/>
                <w:sz w:val="20"/>
                <w:shd w:val="clear" w:color="auto" w:fill="FFFFFF"/>
              </w:rPr>
            </w:pPr>
          </w:p>
        </w:tc>
        <w:tc>
          <w:tcPr>
            <w:tcW w:w="2659" w:type="dxa"/>
            <w:tcBorders>
              <w:top w:val="single" w:sz="4" w:space="0" w:color="auto"/>
              <w:left w:val="nil"/>
              <w:bottom w:val="single" w:sz="4" w:space="0" w:color="auto"/>
              <w:right w:val="nil"/>
            </w:tcBorders>
          </w:tcPr>
          <w:p w14:paraId="4C60C3E8" w14:textId="2A255EE5" w:rsidR="00A04BE2" w:rsidRPr="00F8326B" w:rsidRDefault="00A04BE2" w:rsidP="00A21CA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Life satisfaction</w:t>
            </w:r>
            <w:r w:rsidRPr="00F8326B">
              <w:rPr>
                <w:rFonts w:eastAsia="Times New Roman"/>
                <w:color w:val="FF0000"/>
                <w:sz w:val="20"/>
                <w:shd w:val="clear" w:color="auto" w:fill="FFFFFF"/>
                <w:vertAlign w:val="superscript"/>
              </w:rPr>
              <w:t>2</w:t>
            </w:r>
            <w:r w:rsidRPr="00F8326B">
              <w:rPr>
                <w:rFonts w:eastAsia="Times New Roman"/>
                <w:color w:val="FF0000"/>
                <w:sz w:val="20"/>
                <w:shd w:val="clear" w:color="auto" w:fill="FFFFFF"/>
              </w:rPr>
              <w:t xml:space="preserve"> (0-30)</w:t>
            </w:r>
          </w:p>
        </w:tc>
        <w:tc>
          <w:tcPr>
            <w:tcW w:w="743" w:type="dxa"/>
            <w:tcBorders>
              <w:top w:val="nil"/>
              <w:left w:val="nil"/>
              <w:right w:val="nil"/>
            </w:tcBorders>
          </w:tcPr>
          <w:p w14:paraId="374884EE" w14:textId="3950EDE3"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967</w:t>
            </w:r>
          </w:p>
        </w:tc>
        <w:tc>
          <w:tcPr>
            <w:tcW w:w="1842" w:type="dxa"/>
            <w:tcBorders>
              <w:top w:val="nil"/>
              <w:left w:val="nil"/>
              <w:right w:val="nil"/>
            </w:tcBorders>
          </w:tcPr>
          <w:p w14:paraId="74207CA5" w14:textId="280A60A1"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19.82 (</w:t>
            </w:r>
            <w:r>
              <w:rPr>
                <w:rFonts w:eastAsia="Times New Roman"/>
                <w:color w:val="FF0000"/>
                <w:sz w:val="20"/>
                <w:shd w:val="clear" w:color="auto" w:fill="FFFFFF"/>
              </w:rPr>
              <w:t>19.45-20.20</w:t>
            </w:r>
            <w:r w:rsidRPr="00F8326B">
              <w:rPr>
                <w:rFonts w:eastAsia="Times New Roman"/>
                <w:color w:val="FF0000"/>
                <w:sz w:val="20"/>
                <w:shd w:val="clear" w:color="auto" w:fill="FFFFFF"/>
              </w:rPr>
              <w:t>)</w:t>
            </w:r>
          </w:p>
        </w:tc>
        <w:tc>
          <w:tcPr>
            <w:tcW w:w="236" w:type="dxa"/>
            <w:tcBorders>
              <w:top w:val="nil"/>
              <w:left w:val="nil"/>
              <w:right w:val="nil"/>
            </w:tcBorders>
          </w:tcPr>
          <w:p w14:paraId="1D5AAC25" w14:textId="77777777" w:rsidR="00A04BE2" w:rsidRPr="00F8326B" w:rsidRDefault="00A04BE2" w:rsidP="00A21CAE">
            <w:pPr>
              <w:spacing w:after="0" w:line="240" w:lineRule="auto"/>
              <w:jc w:val="center"/>
              <w:rPr>
                <w:rFonts w:eastAsia="Times New Roman"/>
                <w:color w:val="FF0000"/>
                <w:sz w:val="20"/>
                <w:shd w:val="clear" w:color="auto" w:fill="FFFFFF"/>
              </w:rPr>
            </w:pPr>
          </w:p>
        </w:tc>
        <w:tc>
          <w:tcPr>
            <w:tcW w:w="756" w:type="dxa"/>
            <w:tcBorders>
              <w:top w:val="nil"/>
              <w:left w:val="nil"/>
              <w:right w:val="nil"/>
            </w:tcBorders>
          </w:tcPr>
          <w:p w14:paraId="3A8AD7FD" w14:textId="6695DE5A"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2130</w:t>
            </w:r>
          </w:p>
        </w:tc>
        <w:tc>
          <w:tcPr>
            <w:tcW w:w="1847" w:type="dxa"/>
            <w:tcBorders>
              <w:top w:val="nil"/>
              <w:left w:val="nil"/>
              <w:right w:val="nil"/>
            </w:tcBorders>
          </w:tcPr>
          <w:p w14:paraId="7B8CE8DC" w14:textId="064E68D6"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19.97 (</w:t>
            </w:r>
            <w:r>
              <w:rPr>
                <w:rFonts w:eastAsia="Times New Roman"/>
                <w:color w:val="FF0000"/>
                <w:sz w:val="20"/>
                <w:shd w:val="clear" w:color="auto" w:fill="FFFFFF"/>
              </w:rPr>
              <w:t>19.72-20.23</w:t>
            </w:r>
            <w:r w:rsidRPr="00F8326B">
              <w:rPr>
                <w:rFonts w:eastAsia="Times New Roman"/>
                <w:color w:val="FF0000"/>
                <w:sz w:val="20"/>
                <w:shd w:val="clear" w:color="auto" w:fill="FFFFFF"/>
              </w:rPr>
              <w:t>)</w:t>
            </w:r>
          </w:p>
        </w:tc>
        <w:tc>
          <w:tcPr>
            <w:tcW w:w="1134" w:type="dxa"/>
            <w:tcBorders>
              <w:top w:val="nil"/>
              <w:left w:val="nil"/>
              <w:right w:val="nil"/>
            </w:tcBorders>
          </w:tcPr>
          <w:p w14:paraId="271AEF31" w14:textId="3C313C1E" w:rsidR="00A04BE2" w:rsidRPr="00F8326B" w:rsidRDefault="00A04BE2"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-0.151</w:t>
            </w:r>
          </w:p>
        </w:tc>
        <w:tc>
          <w:tcPr>
            <w:tcW w:w="882" w:type="dxa"/>
            <w:tcBorders>
              <w:top w:val="nil"/>
              <w:left w:val="nil"/>
              <w:right w:val="nil"/>
            </w:tcBorders>
          </w:tcPr>
          <w:p w14:paraId="704508F0" w14:textId="22EE32AE"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0.517</w:t>
            </w:r>
          </w:p>
        </w:tc>
        <w:tc>
          <w:tcPr>
            <w:tcW w:w="958" w:type="dxa"/>
            <w:tcBorders>
              <w:top w:val="nil"/>
              <w:left w:val="nil"/>
              <w:right w:val="nil"/>
            </w:tcBorders>
          </w:tcPr>
          <w:p w14:paraId="18C8E8BD" w14:textId="537B20B3" w:rsidR="00A04BE2" w:rsidRPr="00F8326B" w:rsidRDefault="005B5B8A"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0.000</w:t>
            </w:r>
          </w:p>
        </w:tc>
      </w:tr>
      <w:tr w:rsidR="00A04BE2" w:rsidRPr="00F8326B" w14:paraId="3FFC499C" w14:textId="6E956729" w:rsidTr="00A04BE2">
        <w:tc>
          <w:tcPr>
            <w:tcW w:w="2943" w:type="dxa"/>
            <w:gridSpan w:val="2"/>
            <w:tcBorders>
              <w:top w:val="single" w:sz="4" w:space="0" w:color="auto"/>
              <w:left w:val="nil"/>
              <w:bottom w:val="nil"/>
              <w:right w:val="nil"/>
            </w:tcBorders>
          </w:tcPr>
          <w:p w14:paraId="510D6627" w14:textId="1B0DB047" w:rsidR="00A04BE2" w:rsidRPr="00F8326B" w:rsidRDefault="00A04BE2" w:rsidP="00A21CAE">
            <w:pPr>
              <w:spacing w:after="0" w:line="240" w:lineRule="auto"/>
              <w:rPr>
                <w:rFonts w:eastAsia="Times New Roman"/>
                <w:b/>
                <w:color w:val="FF0000"/>
                <w:sz w:val="20"/>
                <w:shd w:val="clear" w:color="auto" w:fill="FFFFFF"/>
              </w:rPr>
            </w:pPr>
            <w:r w:rsidRPr="00F8326B">
              <w:rPr>
                <w:rFonts w:eastAsia="Times New Roman"/>
                <w:b/>
                <w:color w:val="FF0000"/>
                <w:sz w:val="20"/>
                <w:shd w:val="clear" w:color="auto" w:fill="FFFFFF"/>
              </w:rPr>
              <w:t>Frequency of sexual activities</w:t>
            </w:r>
            <w:r w:rsidRPr="00F8326B">
              <w:rPr>
                <w:rFonts w:eastAsia="Times New Roman"/>
                <w:b/>
                <w:color w:val="FF0000"/>
                <w:sz w:val="20"/>
                <w:shd w:val="clear" w:color="auto" w:fill="FFFFFF"/>
                <w:vertAlign w:val="superscript"/>
              </w:rPr>
              <w:t>3</w:t>
            </w:r>
          </w:p>
        </w:tc>
        <w:tc>
          <w:tcPr>
            <w:tcW w:w="743" w:type="dxa"/>
            <w:tcBorders>
              <w:top w:val="single" w:sz="4" w:space="0" w:color="auto"/>
              <w:left w:val="nil"/>
              <w:bottom w:val="nil"/>
              <w:right w:val="nil"/>
            </w:tcBorders>
          </w:tcPr>
          <w:p w14:paraId="0A14C555"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1842" w:type="dxa"/>
            <w:tcBorders>
              <w:top w:val="single" w:sz="4" w:space="0" w:color="auto"/>
              <w:left w:val="nil"/>
              <w:bottom w:val="nil"/>
              <w:right w:val="nil"/>
            </w:tcBorders>
          </w:tcPr>
          <w:p w14:paraId="59E2F537"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236" w:type="dxa"/>
            <w:tcBorders>
              <w:top w:val="single" w:sz="4" w:space="0" w:color="auto"/>
              <w:left w:val="nil"/>
              <w:bottom w:val="nil"/>
              <w:right w:val="nil"/>
            </w:tcBorders>
          </w:tcPr>
          <w:p w14:paraId="72E626AE"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756" w:type="dxa"/>
            <w:tcBorders>
              <w:top w:val="single" w:sz="4" w:space="0" w:color="auto"/>
              <w:left w:val="nil"/>
              <w:bottom w:val="nil"/>
              <w:right w:val="nil"/>
            </w:tcBorders>
          </w:tcPr>
          <w:p w14:paraId="0266CA0A"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1847" w:type="dxa"/>
            <w:tcBorders>
              <w:top w:val="single" w:sz="4" w:space="0" w:color="auto"/>
              <w:left w:val="nil"/>
              <w:bottom w:val="nil"/>
              <w:right w:val="nil"/>
            </w:tcBorders>
          </w:tcPr>
          <w:p w14:paraId="3C61999B"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1134" w:type="dxa"/>
            <w:tcBorders>
              <w:top w:val="single" w:sz="4" w:space="0" w:color="auto"/>
              <w:left w:val="nil"/>
              <w:bottom w:val="nil"/>
              <w:right w:val="nil"/>
            </w:tcBorders>
          </w:tcPr>
          <w:p w14:paraId="537D313F"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882" w:type="dxa"/>
            <w:tcBorders>
              <w:top w:val="single" w:sz="4" w:space="0" w:color="auto"/>
              <w:left w:val="nil"/>
              <w:bottom w:val="nil"/>
              <w:right w:val="nil"/>
            </w:tcBorders>
          </w:tcPr>
          <w:p w14:paraId="6DED344C" w14:textId="4F56E432" w:rsidR="00A04BE2" w:rsidRPr="00F8326B" w:rsidRDefault="00A04BE2" w:rsidP="00A21CAE">
            <w:pPr>
              <w:spacing w:after="0" w:line="240" w:lineRule="auto"/>
              <w:jc w:val="center"/>
              <w:rPr>
                <w:rFonts w:eastAsia="Times New Roman"/>
                <w:b/>
                <w:color w:val="FF0000"/>
                <w:sz w:val="20"/>
                <w:shd w:val="clear" w:color="auto" w:fill="FFFFFF"/>
              </w:rPr>
            </w:pPr>
          </w:p>
        </w:tc>
        <w:tc>
          <w:tcPr>
            <w:tcW w:w="958" w:type="dxa"/>
            <w:tcBorders>
              <w:top w:val="single" w:sz="4" w:space="0" w:color="auto"/>
              <w:left w:val="nil"/>
              <w:bottom w:val="nil"/>
              <w:right w:val="nil"/>
            </w:tcBorders>
          </w:tcPr>
          <w:p w14:paraId="74A37B30" w14:textId="77777777" w:rsidR="00A04BE2" w:rsidRPr="00F8326B" w:rsidRDefault="00A04BE2" w:rsidP="00A21CAE">
            <w:pPr>
              <w:spacing w:after="0" w:line="240" w:lineRule="auto"/>
              <w:jc w:val="center"/>
              <w:rPr>
                <w:rFonts w:eastAsia="Times New Roman"/>
                <w:b/>
                <w:color w:val="FF0000"/>
                <w:sz w:val="20"/>
                <w:shd w:val="clear" w:color="auto" w:fill="FFFFFF"/>
              </w:rPr>
            </w:pPr>
          </w:p>
        </w:tc>
      </w:tr>
      <w:tr w:rsidR="00A04BE2" w:rsidRPr="00F8326B" w14:paraId="377353C6" w14:textId="3EB9E4D6" w:rsidTr="00A04BE2">
        <w:tc>
          <w:tcPr>
            <w:tcW w:w="284" w:type="dxa"/>
            <w:tcBorders>
              <w:top w:val="nil"/>
              <w:left w:val="nil"/>
              <w:bottom w:val="nil"/>
              <w:right w:val="nil"/>
            </w:tcBorders>
          </w:tcPr>
          <w:p w14:paraId="4CA0C534" w14:textId="77777777" w:rsidR="00A04BE2" w:rsidRPr="00F8326B" w:rsidRDefault="00A04BE2" w:rsidP="00A21CAE">
            <w:pPr>
              <w:spacing w:after="0" w:line="240" w:lineRule="auto"/>
              <w:rPr>
                <w:rFonts w:eastAsia="Times New Roman"/>
                <w:color w:val="FF0000"/>
                <w:sz w:val="20"/>
                <w:shd w:val="clear" w:color="auto" w:fill="FFFFFF"/>
              </w:rPr>
            </w:pPr>
          </w:p>
        </w:tc>
        <w:tc>
          <w:tcPr>
            <w:tcW w:w="2659" w:type="dxa"/>
            <w:tcBorders>
              <w:top w:val="nil"/>
              <w:left w:val="nil"/>
              <w:bottom w:val="single" w:sz="4" w:space="0" w:color="auto"/>
              <w:right w:val="nil"/>
            </w:tcBorders>
          </w:tcPr>
          <w:p w14:paraId="4EBA4C6F" w14:textId="6D8AF456" w:rsidR="00A04BE2" w:rsidRPr="00F8326B" w:rsidRDefault="00A04BE2" w:rsidP="00A21CA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Depressive symptoms (0-8)</w:t>
            </w:r>
          </w:p>
        </w:tc>
        <w:tc>
          <w:tcPr>
            <w:tcW w:w="743" w:type="dxa"/>
            <w:tcBorders>
              <w:top w:val="nil"/>
              <w:left w:val="nil"/>
              <w:bottom w:val="single" w:sz="4" w:space="0" w:color="auto"/>
              <w:right w:val="nil"/>
            </w:tcBorders>
          </w:tcPr>
          <w:p w14:paraId="5C13116B" w14:textId="450D0D5A"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665</w:t>
            </w:r>
          </w:p>
        </w:tc>
        <w:tc>
          <w:tcPr>
            <w:tcW w:w="1842" w:type="dxa"/>
            <w:tcBorders>
              <w:top w:val="nil"/>
              <w:left w:val="nil"/>
              <w:bottom w:val="single" w:sz="4" w:space="0" w:color="auto"/>
              <w:right w:val="nil"/>
            </w:tcBorders>
          </w:tcPr>
          <w:p w14:paraId="62902091" w14:textId="2562CA57"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1.54 (</w:t>
            </w:r>
            <w:r>
              <w:rPr>
                <w:rFonts w:eastAsia="Times New Roman"/>
                <w:color w:val="FF0000"/>
                <w:sz w:val="20"/>
                <w:shd w:val="clear" w:color="auto" w:fill="FFFFFF"/>
              </w:rPr>
              <w:t>1.42-1.67</w:t>
            </w:r>
            <w:r w:rsidRPr="00F8326B">
              <w:rPr>
                <w:rFonts w:eastAsia="Times New Roman"/>
                <w:color w:val="FF0000"/>
                <w:sz w:val="20"/>
                <w:shd w:val="clear" w:color="auto" w:fill="FFFFFF"/>
              </w:rPr>
              <w:t>)</w:t>
            </w:r>
          </w:p>
        </w:tc>
        <w:tc>
          <w:tcPr>
            <w:tcW w:w="236" w:type="dxa"/>
            <w:tcBorders>
              <w:top w:val="nil"/>
              <w:left w:val="nil"/>
              <w:bottom w:val="single" w:sz="4" w:space="0" w:color="auto"/>
              <w:right w:val="nil"/>
            </w:tcBorders>
          </w:tcPr>
          <w:p w14:paraId="4E3E4DB1" w14:textId="77777777" w:rsidR="00A04BE2" w:rsidRPr="00F8326B" w:rsidRDefault="00A04BE2" w:rsidP="00A21CAE">
            <w:pPr>
              <w:spacing w:after="0" w:line="240" w:lineRule="auto"/>
              <w:jc w:val="center"/>
              <w:rPr>
                <w:rFonts w:eastAsia="Times New Roman"/>
                <w:color w:val="FF0000"/>
                <w:sz w:val="20"/>
                <w:shd w:val="clear" w:color="auto" w:fill="FFFFFF"/>
              </w:rPr>
            </w:pPr>
          </w:p>
        </w:tc>
        <w:tc>
          <w:tcPr>
            <w:tcW w:w="756" w:type="dxa"/>
            <w:tcBorders>
              <w:top w:val="nil"/>
              <w:left w:val="nil"/>
              <w:bottom w:val="single" w:sz="4" w:space="0" w:color="auto"/>
              <w:right w:val="nil"/>
            </w:tcBorders>
          </w:tcPr>
          <w:p w14:paraId="4737522C" w14:textId="0E93D3AD"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1074</w:t>
            </w:r>
          </w:p>
        </w:tc>
        <w:tc>
          <w:tcPr>
            <w:tcW w:w="1847" w:type="dxa"/>
            <w:tcBorders>
              <w:top w:val="nil"/>
              <w:left w:val="nil"/>
              <w:bottom w:val="single" w:sz="4" w:space="0" w:color="auto"/>
              <w:right w:val="nil"/>
            </w:tcBorders>
          </w:tcPr>
          <w:p w14:paraId="305837C7" w14:textId="0B840128"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1.17 (</w:t>
            </w:r>
            <w:r>
              <w:rPr>
                <w:rFonts w:eastAsia="Times New Roman"/>
                <w:color w:val="FF0000"/>
                <w:sz w:val="20"/>
                <w:shd w:val="clear" w:color="auto" w:fill="FFFFFF"/>
              </w:rPr>
              <w:t>1.07-1.27</w:t>
            </w:r>
            <w:r w:rsidRPr="00F8326B">
              <w:rPr>
                <w:rFonts w:eastAsia="Times New Roman"/>
                <w:color w:val="FF0000"/>
                <w:sz w:val="20"/>
                <w:shd w:val="clear" w:color="auto" w:fill="FFFFFF"/>
              </w:rPr>
              <w:t>)</w:t>
            </w:r>
          </w:p>
        </w:tc>
        <w:tc>
          <w:tcPr>
            <w:tcW w:w="1134" w:type="dxa"/>
            <w:tcBorders>
              <w:top w:val="nil"/>
              <w:left w:val="nil"/>
              <w:bottom w:val="single" w:sz="4" w:space="0" w:color="auto"/>
              <w:right w:val="nil"/>
            </w:tcBorders>
          </w:tcPr>
          <w:p w14:paraId="4D98CB01" w14:textId="03E5ED51" w:rsidR="00A04BE2" w:rsidRPr="00F8326B" w:rsidRDefault="00A04BE2"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0.374</w:t>
            </w:r>
          </w:p>
        </w:tc>
        <w:tc>
          <w:tcPr>
            <w:tcW w:w="882" w:type="dxa"/>
            <w:tcBorders>
              <w:top w:val="nil"/>
              <w:left w:val="nil"/>
              <w:bottom w:val="single" w:sz="4" w:space="0" w:color="auto"/>
              <w:right w:val="nil"/>
            </w:tcBorders>
          </w:tcPr>
          <w:p w14:paraId="6DD8F672" w14:textId="04D72AFC"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958" w:type="dxa"/>
            <w:tcBorders>
              <w:top w:val="nil"/>
              <w:left w:val="nil"/>
              <w:bottom w:val="single" w:sz="4" w:space="0" w:color="auto"/>
              <w:right w:val="nil"/>
            </w:tcBorders>
          </w:tcPr>
          <w:p w14:paraId="7C8CBE14" w14:textId="7DD60D4F" w:rsidR="00A04BE2" w:rsidRPr="00F8326B" w:rsidRDefault="00672B24"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0.011</w:t>
            </w:r>
          </w:p>
        </w:tc>
      </w:tr>
      <w:tr w:rsidR="00A04BE2" w:rsidRPr="00F8326B" w14:paraId="03A93D3A" w14:textId="3E650B63" w:rsidTr="00A04BE2">
        <w:tc>
          <w:tcPr>
            <w:tcW w:w="284" w:type="dxa"/>
            <w:tcBorders>
              <w:top w:val="nil"/>
              <w:left w:val="nil"/>
              <w:bottom w:val="nil"/>
              <w:right w:val="nil"/>
            </w:tcBorders>
          </w:tcPr>
          <w:p w14:paraId="5E619D2F" w14:textId="77777777" w:rsidR="00A04BE2" w:rsidRPr="00F8326B" w:rsidRDefault="00A04BE2" w:rsidP="00A21CAE">
            <w:pPr>
              <w:spacing w:after="0" w:line="240" w:lineRule="auto"/>
              <w:rPr>
                <w:rFonts w:eastAsia="Times New Roman"/>
                <w:color w:val="FF0000"/>
                <w:sz w:val="20"/>
                <w:shd w:val="clear" w:color="auto" w:fill="FFFFFF"/>
              </w:rPr>
            </w:pPr>
          </w:p>
        </w:tc>
        <w:tc>
          <w:tcPr>
            <w:tcW w:w="2659" w:type="dxa"/>
            <w:tcBorders>
              <w:top w:val="single" w:sz="4" w:space="0" w:color="auto"/>
              <w:left w:val="nil"/>
              <w:bottom w:val="single" w:sz="4" w:space="0" w:color="auto"/>
              <w:right w:val="nil"/>
            </w:tcBorders>
          </w:tcPr>
          <w:p w14:paraId="61D7EE23" w14:textId="6AEBA668" w:rsidR="00A04BE2" w:rsidRPr="00F8326B" w:rsidRDefault="00A04BE2" w:rsidP="00A21CA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Quality of life (0-57)</w:t>
            </w:r>
          </w:p>
        </w:tc>
        <w:tc>
          <w:tcPr>
            <w:tcW w:w="743" w:type="dxa"/>
            <w:tcBorders>
              <w:top w:val="single" w:sz="4" w:space="0" w:color="auto"/>
              <w:left w:val="nil"/>
              <w:right w:val="nil"/>
            </w:tcBorders>
          </w:tcPr>
          <w:p w14:paraId="33D79B4B" w14:textId="155BD0D7"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640</w:t>
            </w:r>
          </w:p>
        </w:tc>
        <w:tc>
          <w:tcPr>
            <w:tcW w:w="1842" w:type="dxa"/>
            <w:tcBorders>
              <w:top w:val="single" w:sz="4" w:space="0" w:color="auto"/>
              <w:left w:val="nil"/>
              <w:right w:val="nil"/>
            </w:tcBorders>
          </w:tcPr>
          <w:p w14:paraId="716D5945" w14:textId="5F894189"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40.66 (</w:t>
            </w:r>
            <w:r>
              <w:rPr>
                <w:rFonts w:eastAsia="Times New Roman"/>
                <w:color w:val="FF0000"/>
                <w:sz w:val="20"/>
                <w:shd w:val="clear" w:color="auto" w:fill="FFFFFF"/>
              </w:rPr>
              <w:t>40.09-42.65</w:t>
            </w:r>
            <w:r w:rsidRPr="00F8326B">
              <w:rPr>
                <w:rFonts w:eastAsia="Times New Roman"/>
                <w:color w:val="FF0000"/>
                <w:sz w:val="20"/>
                <w:shd w:val="clear" w:color="auto" w:fill="FFFFFF"/>
              </w:rPr>
              <w:t>)</w:t>
            </w:r>
          </w:p>
        </w:tc>
        <w:tc>
          <w:tcPr>
            <w:tcW w:w="236" w:type="dxa"/>
            <w:tcBorders>
              <w:top w:val="single" w:sz="4" w:space="0" w:color="auto"/>
              <w:left w:val="nil"/>
              <w:right w:val="nil"/>
            </w:tcBorders>
          </w:tcPr>
          <w:p w14:paraId="0B06A1C8" w14:textId="77777777" w:rsidR="00A04BE2" w:rsidRPr="00F8326B" w:rsidRDefault="00A04BE2" w:rsidP="00A21CAE">
            <w:pPr>
              <w:spacing w:after="0" w:line="240" w:lineRule="auto"/>
              <w:jc w:val="center"/>
              <w:rPr>
                <w:rFonts w:eastAsia="Times New Roman"/>
                <w:color w:val="FF0000"/>
                <w:sz w:val="20"/>
                <w:shd w:val="clear" w:color="auto" w:fill="FFFFFF"/>
              </w:rPr>
            </w:pPr>
          </w:p>
        </w:tc>
        <w:tc>
          <w:tcPr>
            <w:tcW w:w="756" w:type="dxa"/>
            <w:tcBorders>
              <w:top w:val="single" w:sz="4" w:space="0" w:color="auto"/>
              <w:left w:val="nil"/>
              <w:right w:val="nil"/>
            </w:tcBorders>
          </w:tcPr>
          <w:p w14:paraId="187936EC" w14:textId="2EC9309C"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1021</w:t>
            </w:r>
          </w:p>
        </w:tc>
        <w:tc>
          <w:tcPr>
            <w:tcW w:w="1847" w:type="dxa"/>
            <w:tcBorders>
              <w:top w:val="single" w:sz="4" w:space="0" w:color="auto"/>
              <w:left w:val="nil"/>
              <w:right w:val="nil"/>
            </w:tcBorders>
          </w:tcPr>
          <w:p w14:paraId="7D3CB739" w14:textId="3ABEBAF8"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43.10 (</w:t>
            </w:r>
            <w:r>
              <w:rPr>
                <w:rFonts w:eastAsia="Times New Roman"/>
                <w:color w:val="FF0000"/>
                <w:sz w:val="20"/>
                <w:shd w:val="clear" w:color="auto" w:fill="FFFFFF"/>
              </w:rPr>
              <w:t>42.65-43.55</w:t>
            </w:r>
            <w:r w:rsidRPr="00F8326B">
              <w:rPr>
                <w:rFonts w:eastAsia="Times New Roman"/>
                <w:color w:val="FF0000"/>
                <w:sz w:val="20"/>
                <w:shd w:val="clear" w:color="auto" w:fill="FFFFFF"/>
              </w:rPr>
              <w:t>)</w:t>
            </w:r>
          </w:p>
        </w:tc>
        <w:tc>
          <w:tcPr>
            <w:tcW w:w="1134" w:type="dxa"/>
            <w:tcBorders>
              <w:top w:val="single" w:sz="4" w:space="0" w:color="auto"/>
              <w:left w:val="nil"/>
              <w:right w:val="nil"/>
            </w:tcBorders>
          </w:tcPr>
          <w:p w14:paraId="0ED48659" w14:textId="6DB002C6" w:rsidR="00A04BE2" w:rsidRPr="00F8326B" w:rsidRDefault="00A04BE2"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-2.447</w:t>
            </w:r>
          </w:p>
        </w:tc>
        <w:tc>
          <w:tcPr>
            <w:tcW w:w="882" w:type="dxa"/>
            <w:tcBorders>
              <w:top w:val="single" w:sz="4" w:space="0" w:color="auto"/>
              <w:left w:val="nil"/>
              <w:right w:val="nil"/>
            </w:tcBorders>
          </w:tcPr>
          <w:p w14:paraId="568D3EA6" w14:textId="79B0CDCF"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958" w:type="dxa"/>
            <w:tcBorders>
              <w:top w:val="single" w:sz="4" w:space="0" w:color="auto"/>
              <w:left w:val="nil"/>
              <w:right w:val="nil"/>
            </w:tcBorders>
          </w:tcPr>
          <w:p w14:paraId="4572B433" w14:textId="7E9D6D33" w:rsidR="00A04BE2" w:rsidRPr="00F8326B" w:rsidRDefault="00672B24"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0.024</w:t>
            </w:r>
          </w:p>
        </w:tc>
      </w:tr>
      <w:tr w:rsidR="00A04BE2" w:rsidRPr="00F8326B" w14:paraId="40D8C4EA" w14:textId="5C77DD32" w:rsidTr="00A04BE2">
        <w:tc>
          <w:tcPr>
            <w:tcW w:w="284" w:type="dxa"/>
            <w:tcBorders>
              <w:top w:val="nil"/>
              <w:left w:val="nil"/>
              <w:bottom w:val="nil"/>
              <w:right w:val="nil"/>
            </w:tcBorders>
          </w:tcPr>
          <w:p w14:paraId="0E9E8229" w14:textId="77777777" w:rsidR="00A04BE2" w:rsidRPr="00F8326B" w:rsidRDefault="00A04BE2" w:rsidP="00A21CAE">
            <w:pPr>
              <w:spacing w:after="0" w:line="240" w:lineRule="auto"/>
              <w:rPr>
                <w:rFonts w:eastAsia="Times New Roman"/>
                <w:color w:val="FF0000"/>
                <w:sz w:val="20"/>
                <w:shd w:val="clear" w:color="auto" w:fill="FFFFFF"/>
              </w:rPr>
            </w:pPr>
          </w:p>
        </w:tc>
        <w:tc>
          <w:tcPr>
            <w:tcW w:w="2659" w:type="dxa"/>
            <w:tcBorders>
              <w:top w:val="single" w:sz="4" w:space="0" w:color="auto"/>
              <w:left w:val="nil"/>
              <w:bottom w:val="single" w:sz="4" w:space="0" w:color="auto"/>
              <w:right w:val="nil"/>
            </w:tcBorders>
          </w:tcPr>
          <w:p w14:paraId="71F41930" w14:textId="76CAC8F2" w:rsidR="00A04BE2" w:rsidRPr="00F8326B" w:rsidRDefault="00A04BE2" w:rsidP="00A21CA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Life satisfaction (0-30)</w:t>
            </w:r>
          </w:p>
        </w:tc>
        <w:tc>
          <w:tcPr>
            <w:tcW w:w="743" w:type="dxa"/>
            <w:tcBorders>
              <w:top w:val="nil"/>
              <w:left w:val="nil"/>
              <w:right w:val="nil"/>
            </w:tcBorders>
          </w:tcPr>
          <w:p w14:paraId="3C772C6A" w14:textId="21D28B5E"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656</w:t>
            </w:r>
          </w:p>
        </w:tc>
        <w:tc>
          <w:tcPr>
            <w:tcW w:w="1842" w:type="dxa"/>
            <w:tcBorders>
              <w:top w:val="nil"/>
              <w:left w:val="nil"/>
              <w:right w:val="nil"/>
            </w:tcBorders>
          </w:tcPr>
          <w:p w14:paraId="42EFC097" w14:textId="65083137"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20.12 (</w:t>
            </w:r>
            <w:r>
              <w:rPr>
                <w:rFonts w:eastAsia="Times New Roman"/>
                <w:color w:val="FF0000"/>
                <w:sz w:val="20"/>
                <w:shd w:val="clear" w:color="auto" w:fill="FFFFFF"/>
              </w:rPr>
              <w:t>19.69-20.56</w:t>
            </w:r>
            <w:r w:rsidRPr="00F8326B">
              <w:rPr>
                <w:rFonts w:eastAsia="Times New Roman"/>
                <w:color w:val="FF0000"/>
                <w:sz w:val="20"/>
                <w:shd w:val="clear" w:color="auto" w:fill="FFFFFF"/>
              </w:rPr>
              <w:t>)</w:t>
            </w:r>
          </w:p>
        </w:tc>
        <w:tc>
          <w:tcPr>
            <w:tcW w:w="236" w:type="dxa"/>
            <w:tcBorders>
              <w:top w:val="nil"/>
              <w:left w:val="nil"/>
              <w:right w:val="nil"/>
            </w:tcBorders>
          </w:tcPr>
          <w:p w14:paraId="02BC31C8" w14:textId="77777777" w:rsidR="00A04BE2" w:rsidRPr="00F8326B" w:rsidRDefault="00A04BE2" w:rsidP="00A21CAE">
            <w:pPr>
              <w:spacing w:after="0" w:line="240" w:lineRule="auto"/>
              <w:jc w:val="center"/>
              <w:rPr>
                <w:rFonts w:eastAsia="Times New Roman"/>
                <w:color w:val="FF0000"/>
                <w:sz w:val="20"/>
                <w:shd w:val="clear" w:color="auto" w:fill="FFFFFF"/>
              </w:rPr>
            </w:pPr>
          </w:p>
        </w:tc>
        <w:tc>
          <w:tcPr>
            <w:tcW w:w="756" w:type="dxa"/>
            <w:tcBorders>
              <w:top w:val="nil"/>
              <w:left w:val="nil"/>
              <w:right w:val="nil"/>
            </w:tcBorders>
          </w:tcPr>
          <w:p w14:paraId="08CE7FBB" w14:textId="49009768"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1060</w:t>
            </w:r>
          </w:p>
        </w:tc>
        <w:tc>
          <w:tcPr>
            <w:tcW w:w="1847" w:type="dxa"/>
            <w:tcBorders>
              <w:top w:val="nil"/>
              <w:left w:val="nil"/>
              <w:right w:val="nil"/>
            </w:tcBorders>
          </w:tcPr>
          <w:p w14:paraId="7506D3A4" w14:textId="4778509A"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21.40 (</w:t>
            </w:r>
            <w:r>
              <w:rPr>
                <w:rFonts w:eastAsia="Times New Roman"/>
                <w:color w:val="FF0000"/>
                <w:sz w:val="20"/>
                <w:shd w:val="clear" w:color="auto" w:fill="FFFFFF"/>
              </w:rPr>
              <w:t>21.06-21.75</w:t>
            </w:r>
            <w:r w:rsidRPr="00F8326B">
              <w:rPr>
                <w:rFonts w:eastAsia="Times New Roman"/>
                <w:color w:val="FF0000"/>
                <w:sz w:val="20"/>
                <w:shd w:val="clear" w:color="auto" w:fill="FFFFFF"/>
              </w:rPr>
              <w:t>)</w:t>
            </w:r>
          </w:p>
        </w:tc>
        <w:tc>
          <w:tcPr>
            <w:tcW w:w="1134" w:type="dxa"/>
            <w:tcBorders>
              <w:top w:val="nil"/>
              <w:left w:val="nil"/>
              <w:right w:val="nil"/>
            </w:tcBorders>
          </w:tcPr>
          <w:p w14:paraId="57018F06" w14:textId="64DCD8D4" w:rsidR="00A04BE2" w:rsidRPr="00F8326B" w:rsidRDefault="00A04BE2"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-1.279</w:t>
            </w:r>
          </w:p>
        </w:tc>
        <w:tc>
          <w:tcPr>
            <w:tcW w:w="882" w:type="dxa"/>
            <w:tcBorders>
              <w:top w:val="nil"/>
              <w:left w:val="nil"/>
              <w:right w:val="nil"/>
            </w:tcBorders>
          </w:tcPr>
          <w:p w14:paraId="658BD78A" w14:textId="0A32B976"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958" w:type="dxa"/>
            <w:tcBorders>
              <w:top w:val="nil"/>
              <w:left w:val="nil"/>
              <w:right w:val="nil"/>
            </w:tcBorders>
          </w:tcPr>
          <w:p w14:paraId="7D6DAABE" w14:textId="08BEA22E" w:rsidR="00A04BE2" w:rsidRPr="00F8326B" w:rsidRDefault="00672B24"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0.011</w:t>
            </w:r>
          </w:p>
        </w:tc>
      </w:tr>
      <w:tr w:rsidR="00A04BE2" w:rsidRPr="00F8326B" w14:paraId="190D939F" w14:textId="733C2438" w:rsidTr="00A04BE2">
        <w:tc>
          <w:tcPr>
            <w:tcW w:w="2943" w:type="dxa"/>
            <w:gridSpan w:val="2"/>
            <w:tcBorders>
              <w:top w:val="single" w:sz="4" w:space="0" w:color="auto"/>
              <w:left w:val="nil"/>
              <w:bottom w:val="nil"/>
              <w:right w:val="nil"/>
            </w:tcBorders>
          </w:tcPr>
          <w:p w14:paraId="5707218B" w14:textId="7EF3D405" w:rsidR="00A04BE2" w:rsidRPr="00F8326B" w:rsidRDefault="00A04BE2" w:rsidP="00A21CAE">
            <w:pPr>
              <w:spacing w:after="0" w:line="240" w:lineRule="auto"/>
              <w:rPr>
                <w:rFonts w:eastAsia="Times New Roman"/>
                <w:b/>
                <w:color w:val="FF0000"/>
                <w:sz w:val="20"/>
                <w:shd w:val="clear" w:color="auto" w:fill="FFFFFF"/>
              </w:rPr>
            </w:pPr>
            <w:r w:rsidRPr="00F8326B">
              <w:rPr>
                <w:rFonts w:eastAsia="Times New Roman"/>
                <w:b/>
                <w:color w:val="FF0000"/>
                <w:sz w:val="20"/>
                <w:shd w:val="clear" w:color="auto" w:fill="FFFFFF"/>
              </w:rPr>
              <w:t>Ability to become sexually aroused</w:t>
            </w:r>
            <w:r w:rsidRPr="00F8326B">
              <w:rPr>
                <w:rFonts w:eastAsia="Times New Roman"/>
                <w:b/>
                <w:color w:val="FF0000"/>
                <w:sz w:val="20"/>
                <w:shd w:val="clear" w:color="auto" w:fill="FFFFFF"/>
                <w:vertAlign w:val="superscript"/>
              </w:rPr>
              <w:t>2</w:t>
            </w:r>
          </w:p>
        </w:tc>
        <w:tc>
          <w:tcPr>
            <w:tcW w:w="743" w:type="dxa"/>
            <w:tcBorders>
              <w:top w:val="single" w:sz="4" w:space="0" w:color="auto"/>
              <w:left w:val="nil"/>
              <w:bottom w:val="nil"/>
              <w:right w:val="nil"/>
            </w:tcBorders>
          </w:tcPr>
          <w:p w14:paraId="479EB7D9"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1842" w:type="dxa"/>
            <w:tcBorders>
              <w:top w:val="single" w:sz="4" w:space="0" w:color="auto"/>
              <w:left w:val="nil"/>
              <w:bottom w:val="nil"/>
              <w:right w:val="nil"/>
            </w:tcBorders>
          </w:tcPr>
          <w:p w14:paraId="2EFFDE51"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236" w:type="dxa"/>
            <w:tcBorders>
              <w:top w:val="single" w:sz="4" w:space="0" w:color="auto"/>
              <w:left w:val="nil"/>
              <w:bottom w:val="nil"/>
              <w:right w:val="nil"/>
            </w:tcBorders>
          </w:tcPr>
          <w:p w14:paraId="2900A524"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756" w:type="dxa"/>
            <w:tcBorders>
              <w:top w:val="single" w:sz="4" w:space="0" w:color="auto"/>
              <w:left w:val="nil"/>
              <w:bottom w:val="nil"/>
              <w:right w:val="nil"/>
            </w:tcBorders>
          </w:tcPr>
          <w:p w14:paraId="18CC1625"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1847" w:type="dxa"/>
            <w:tcBorders>
              <w:top w:val="single" w:sz="4" w:space="0" w:color="auto"/>
              <w:left w:val="nil"/>
              <w:bottom w:val="nil"/>
              <w:right w:val="nil"/>
            </w:tcBorders>
          </w:tcPr>
          <w:p w14:paraId="687A4887"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1134" w:type="dxa"/>
            <w:tcBorders>
              <w:top w:val="single" w:sz="4" w:space="0" w:color="auto"/>
              <w:left w:val="nil"/>
              <w:bottom w:val="nil"/>
              <w:right w:val="nil"/>
            </w:tcBorders>
          </w:tcPr>
          <w:p w14:paraId="24F06F1B" w14:textId="77777777" w:rsidR="00A04BE2" w:rsidRPr="00F8326B" w:rsidRDefault="00A04BE2" w:rsidP="00A21CAE">
            <w:pPr>
              <w:spacing w:after="0" w:line="240" w:lineRule="auto"/>
              <w:jc w:val="center"/>
              <w:rPr>
                <w:rFonts w:eastAsia="Times New Roman"/>
                <w:b/>
                <w:color w:val="FF0000"/>
                <w:sz w:val="20"/>
                <w:shd w:val="clear" w:color="auto" w:fill="FFFFFF"/>
              </w:rPr>
            </w:pPr>
          </w:p>
        </w:tc>
        <w:tc>
          <w:tcPr>
            <w:tcW w:w="882" w:type="dxa"/>
            <w:tcBorders>
              <w:top w:val="single" w:sz="4" w:space="0" w:color="auto"/>
              <w:left w:val="nil"/>
              <w:bottom w:val="nil"/>
              <w:right w:val="nil"/>
            </w:tcBorders>
          </w:tcPr>
          <w:p w14:paraId="6BBEFD70" w14:textId="71D8CAFE" w:rsidR="00A04BE2" w:rsidRPr="00F8326B" w:rsidRDefault="00A04BE2" w:rsidP="00A21CAE">
            <w:pPr>
              <w:spacing w:after="0" w:line="240" w:lineRule="auto"/>
              <w:jc w:val="center"/>
              <w:rPr>
                <w:rFonts w:eastAsia="Times New Roman"/>
                <w:b/>
                <w:color w:val="FF0000"/>
                <w:sz w:val="20"/>
                <w:shd w:val="clear" w:color="auto" w:fill="FFFFFF"/>
              </w:rPr>
            </w:pPr>
          </w:p>
        </w:tc>
        <w:tc>
          <w:tcPr>
            <w:tcW w:w="958" w:type="dxa"/>
            <w:tcBorders>
              <w:top w:val="single" w:sz="4" w:space="0" w:color="auto"/>
              <w:left w:val="nil"/>
              <w:bottom w:val="nil"/>
              <w:right w:val="nil"/>
            </w:tcBorders>
          </w:tcPr>
          <w:p w14:paraId="65467971" w14:textId="77777777" w:rsidR="00A04BE2" w:rsidRPr="00F8326B" w:rsidRDefault="00A04BE2" w:rsidP="00A21CAE">
            <w:pPr>
              <w:spacing w:after="0" w:line="240" w:lineRule="auto"/>
              <w:jc w:val="center"/>
              <w:rPr>
                <w:rFonts w:eastAsia="Times New Roman"/>
                <w:b/>
                <w:color w:val="FF0000"/>
                <w:sz w:val="20"/>
                <w:shd w:val="clear" w:color="auto" w:fill="FFFFFF"/>
              </w:rPr>
            </w:pPr>
          </w:p>
        </w:tc>
      </w:tr>
      <w:tr w:rsidR="00A04BE2" w:rsidRPr="00F8326B" w14:paraId="0550035A" w14:textId="5BADE30E" w:rsidTr="00A04BE2">
        <w:tc>
          <w:tcPr>
            <w:tcW w:w="284" w:type="dxa"/>
            <w:tcBorders>
              <w:top w:val="nil"/>
              <w:left w:val="nil"/>
              <w:bottom w:val="nil"/>
              <w:right w:val="nil"/>
            </w:tcBorders>
          </w:tcPr>
          <w:p w14:paraId="38E4FDD3" w14:textId="77777777" w:rsidR="00A04BE2" w:rsidRPr="00F8326B" w:rsidRDefault="00A04BE2" w:rsidP="00A21CAE">
            <w:pPr>
              <w:spacing w:after="0" w:line="240" w:lineRule="auto"/>
              <w:rPr>
                <w:rFonts w:eastAsia="Times New Roman"/>
                <w:color w:val="FF0000"/>
                <w:sz w:val="20"/>
                <w:shd w:val="clear" w:color="auto" w:fill="FFFFFF"/>
              </w:rPr>
            </w:pPr>
          </w:p>
        </w:tc>
        <w:tc>
          <w:tcPr>
            <w:tcW w:w="2659" w:type="dxa"/>
            <w:tcBorders>
              <w:top w:val="nil"/>
              <w:left w:val="nil"/>
              <w:bottom w:val="single" w:sz="4" w:space="0" w:color="auto"/>
              <w:right w:val="nil"/>
            </w:tcBorders>
          </w:tcPr>
          <w:p w14:paraId="43EA50EF" w14:textId="5D09CB70" w:rsidR="00A04BE2" w:rsidRPr="00F8326B" w:rsidRDefault="00A04BE2" w:rsidP="00A21CA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Depressive symptoms (0-8)</w:t>
            </w:r>
          </w:p>
        </w:tc>
        <w:tc>
          <w:tcPr>
            <w:tcW w:w="743" w:type="dxa"/>
            <w:tcBorders>
              <w:top w:val="nil"/>
              <w:left w:val="nil"/>
              <w:bottom w:val="single" w:sz="4" w:space="0" w:color="auto"/>
              <w:right w:val="nil"/>
            </w:tcBorders>
          </w:tcPr>
          <w:p w14:paraId="0F2FAD08" w14:textId="02E740AD"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362</w:t>
            </w:r>
          </w:p>
        </w:tc>
        <w:tc>
          <w:tcPr>
            <w:tcW w:w="1842" w:type="dxa"/>
            <w:tcBorders>
              <w:top w:val="nil"/>
              <w:left w:val="nil"/>
              <w:bottom w:val="single" w:sz="4" w:space="0" w:color="auto"/>
              <w:right w:val="nil"/>
            </w:tcBorders>
          </w:tcPr>
          <w:p w14:paraId="330DB4F8" w14:textId="20FBC75C"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1.53 (</w:t>
            </w:r>
            <w:r>
              <w:rPr>
                <w:rFonts w:eastAsia="Times New Roman"/>
                <w:color w:val="FF0000"/>
                <w:sz w:val="20"/>
                <w:shd w:val="clear" w:color="auto" w:fill="FFFFFF"/>
              </w:rPr>
              <w:t>1.36-1.69</w:t>
            </w:r>
            <w:r w:rsidRPr="00F8326B">
              <w:rPr>
                <w:rFonts w:eastAsia="Times New Roman"/>
                <w:color w:val="FF0000"/>
                <w:sz w:val="20"/>
                <w:shd w:val="clear" w:color="auto" w:fill="FFFFFF"/>
              </w:rPr>
              <w:t>)</w:t>
            </w:r>
          </w:p>
        </w:tc>
        <w:tc>
          <w:tcPr>
            <w:tcW w:w="236" w:type="dxa"/>
            <w:tcBorders>
              <w:top w:val="nil"/>
              <w:left w:val="nil"/>
              <w:bottom w:val="single" w:sz="4" w:space="0" w:color="auto"/>
              <w:right w:val="nil"/>
            </w:tcBorders>
          </w:tcPr>
          <w:p w14:paraId="2FE45640" w14:textId="77777777" w:rsidR="00A04BE2" w:rsidRPr="00F8326B" w:rsidRDefault="00A04BE2" w:rsidP="00A21CAE">
            <w:pPr>
              <w:spacing w:after="0" w:line="240" w:lineRule="auto"/>
              <w:jc w:val="center"/>
              <w:rPr>
                <w:rFonts w:eastAsia="Times New Roman"/>
                <w:color w:val="FF0000"/>
                <w:sz w:val="20"/>
                <w:shd w:val="clear" w:color="auto" w:fill="FFFFFF"/>
              </w:rPr>
            </w:pPr>
          </w:p>
        </w:tc>
        <w:tc>
          <w:tcPr>
            <w:tcW w:w="756" w:type="dxa"/>
            <w:tcBorders>
              <w:top w:val="nil"/>
              <w:left w:val="nil"/>
              <w:bottom w:val="single" w:sz="4" w:space="0" w:color="auto"/>
              <w:right w:val="nil"/>
            </w:tcBorders>
          </w:tcPr>
          <w:p w14:paraId="65CDAC04" w14:textId="38A7410A"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1005</w:t>
            </w:r>
          </w:p>
        </w:tc>
        <w:tc>
          <w:tcPr>
            <w:tcW w:w="1847" w:type="dxa"/>
            <w:tcBorders>
              <w:top w:val="nil"/>
              <w:left w:val="nil"/>
              <w:bottom w:val="single" w:sz="4" w:space="0" w:color="auto"/>
              <w:right w:val="nil"/>
            </w:tcBorders>
          </w:tcPr>
          <w:p w14:paraId="1E4CFC55" w14:textId="6293C588"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1.17 (</w:t>
            </w:r>
            <w:r>
              <w:rPr>
                <w:rFonts w:eastAsia="Times New Roman"/>
                <w:color w:val="FF0000"/>
                <w:sz w:val="20"/>
                <w:shd w:val="clear" w:color="auto" w:fill="FFFFFF"/>
              </w:rPr>
              <w:t>1.07-1.27</w:t>
            </w:r>
            <w:r w:rsidRPr="00F8326B">
              <w:rPr>
                <w:rFonts w:eastAsia="Times New Roman"/>
                <w:color w:val="FF0000"/>
                <w:sz w:val="20"/>
                <w:shd w:val="clear" w:color="auto" w:fill="FFFFFF"/>
              </w:rPr>
              <w:t>)</w:t>
            </w:r>
          </w:p>
        </w:tc>
        <w:tc>
          <w:tcPr>
            <w:tcW w:w="1134" w:type="dxa"/>
            <w:tcBorders>
              <w:top w:val="nil"/>
              <w:left w:val="nil"/>
              <w:bottom w:val="single" w:sz="4" w:space="0" w:color="auto"/>
              <w:right w:val="nil"/>
            </w:tcBorders>
          </w:tcPr>
          <w:p w14:paraId="43CDA353" w14:textId="2E20144F" w:rsidR="00A04BE2" w:rsidRPr="00F8326B" w:rsidRDefault="00A04BE2"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0.356</w:t>
            </w:r>
          </w:p>
        </w:tc>
        <w:tc>
          <w:tcPr>
            <w:tcW w:w="882" w:type="dxa"/>
            <w:tcBorders>
              <w:top w:val="nil"/>
              <w:left w:val="nil"/>
              <w:bottom w:val="single" w:sz="4" w:space="0" w:color="auto"/>
              <w:right w:val="nil"/>
            </w:tcBorders>
          </w:tcPr>
          <w:p w14:paraId="60B7C6BC" w14:textId="36E329F6"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958" w:type="dxa"/>
            <w:tcBorders>
              <w:top w:val="nil"/>
              <w:left w:val="nil"/>
              <w:bottom w:val="single" w:sz="4" w:space="0" w:color="auto"/>
              <w:right w:val="nil"/>
            </w:tcBorders>
          </w:tcPr>
          <w:p w14:paraId="38EC655B" w14:textId="6BB86003" w:rsidR="00A04BE2" w:rsidRPr="00F8326B" w:rsidRDefault="00672B24"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0.009</w:t>
            </w:r>
          </w:p>
        </w:tc>
      </w:tr>
      <w:tr w:rsidR="00A04BE2" w:rsidRPr="00F8326B" w14:paraId="6CF1A454" w14:textId="5FF922A8" w:rsidTr="00A04BE2">
        <w:tc>
          <w:tcPr>
            <w:tcW w:w="284" w:type="dxa"/>
            <w:tcBorders>
              <w:top w:val="nil"/>
              <w:left w:val="nil"/>
              <w:bottom w:val="nil"/>
              <w:right w:val="nil"/>
            </w:tcBorders>
          </w:tcPr>
          <w:p w14:paraId="699D3A22" w14:textId="77777777" w:rsidR="00A04BE2" w:rsidRPr="00F8326B" w:rsidRDefault="00A04BE2" w:rsidP="00A21CAE">
            <w:pPr>
              <w:spacing w:after="0" w:line="240" w:lineRule="auto"/>
              <w:rPr>
                <w:rFonts w:eastAsia="Times New Roman"/>
                <w:color w:val="FF0000"/>
                <w:sz w:val="20"/>
                <w:shd w:val="clear" w:color="auto" w:fill="FFFFFF"/>
              </w:rPr>
            </w:pPr>
          </w:p>
        </w:tc>
        <w:tc>
          <w:tcPr>
            <w:tcW w:w="2659" w:type="dxa"/>
            <w:tcBorders>
              <w:top w:val="single" w:sz="4" w:space="0" w:color="auto"/>
              <w:left w:val="nil"/>
              <w:bottom w:val="single" w:sz="4" w:space="0" w:color="auto"/>
              <w:right w:val="nil"/>
            </w:tcBorders>
          </w:tcPr>
          <w:p w14:paraId="4FCC0B29" w14:textId="178EA912" w:rsidR="00A04BE2" w:rsidRPr="00F8326B" w:rsidRDefault="00A04BE2" w:rsidP="00A21CA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Quality of life (0-57)</w:t>
            </w:r>
          </w:p>
        </w:tc>
        <w:tc>
          <w:tcPr>
            <w:tcW w:w="743" w:type="dxa"/>
            <w:tcBorders>
              <w:top w:val="single" w:sz="4" w:space="0" w:color="auto"/>
              <w:left w:val="nil"/>
              <w:right w:val="nil"/>
            </w:tcBorders>
          </w:tcPr>
          <w:p w14:paraId="61D4F172" w14:textId="6042B976"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348</w:t>
            </w:r>
          </w:p>
        </w:tc>
        <w:tc>
          <w:tcPr>
            <w:tcW w:w="1842" w:type="dxa"/>
            <w:tcBorders>
              <w:top w:val="single" w:sz="4" w:space="0" w:color="auto"/>
              <w:left w:val="nil"/>
              <w:right w:val="nil"/>
            </w:tcBorders>
          </w:tcPr>
          <w:p w14:paraId="413F7C2E" w14:textId="19BDB9A2"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41.05 (</w:t>
            </w:r>
            <w:r>
              <w:rPr>
                <w:rFonts w:eastAsia="Times New Roman"/>
                <w:color w:val="FF0000"/>
                <w:sz w:val="20"/>
                <w:shd w:val="clear" w:color="auto" w:fill="FFFFFF"/>
              </w:rPr>
              <w:t>40.28-41.82</w:t>
            </w:r>
            <w:r w:rsidRPr="00F8326B">
              <w:rPr>
                <w:rFonts w:eastAsia="Times New Roman"/>
                <w:color w:val="FF0000"/>
                <w:sz w:val="20"/>
                <w:shd w:val="clear" w:color="auto" w:fill="FFFFFF"/>
              </w:rPr>
              <w:t>)</w:t>
            </w:r>
          </w:p>
        </w:tc>
        <w:tc>
          <w:tcPr>
            <w:tcW w:w="236" w:type="dxa"/>
            <w:tcBorders>
              <w:top w:val="single" w:sz="4" w:space="0" w:color="auto"/>
              <w:left w:val="nil"/>
              <w:right w:val="nil"/>
            </w:tcBorders>
          </w:tcPr>
          <w:p w14:paraId="3B8BBB6A" w14:textId="77777777" w:rsidR="00A04BE2" w:rsidRPr="00F8326B" w:rsidRDefault="00A04BE2" w:rsidP="00A21CAE">
            <w:pPr>
              <w:spacing w:after="0" w:line="240" w:lineRule="auto"/>
              <w:jc w:val="center"/>
              <w:rPr>
                <w:rFonts w:eastAsia="Times New Roman"/>
                <w:color w:val="FF0000"/>
                <w:sz w:val="20"/>
                <w:shd w:val="clear" w:color="auto" w:fill="FFFFFF"/>
              </w:rPr>
            </w:pPr>
          </w:p>
        </w:tc>
        <w:tc>
          <w:tcPr>
            <w:tcW w:w="756" w:type="dxa"/>
            <w:tcBorders>
              <w:top w:val="single" w:sz="4" w:space="0" w:color="auto"/>
              <w:left w:val="nil"/>
              <w:right w:val="nil"/>
            </w:tcBorders>
          </w:tcPr>
          <w:p w14:paraId="7AA1AF04" w14:textId="0F0FD8D6"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968</w:t>
            </w:r>
          </w:p>
        </w:tc>
        <w:tc>
          <w:tcPr>
            <w:tcW w:w="1847" w:type="dxa"/>
            <w:tcBorders>
              <w:top w:val="single" w:sz="4" w:space="0" w:color="auto"/>
              <w:left w:val="nil"/>
              <w:right w:val="nil"/>
            </w:tcBorders>
          </w:tcPr>
          <w:p w14:paraId="27C420AB" w14:textId="7E7B8DD0"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42.94 (</w:t>
            </w:r>
            <w:r>
              <w:rPr>
                <w:rFonts w:eastAsia="Times New Roman"/>
                <w:color w:val="FF0000"/>
                <w:sz w:val="20"/>
                <w:shd w:val="clear" w:color="auto" w:fill="FFFFFF"/>
              </w:rPr>
              <w:t>42.48-43.39</w:t>
            </w:r>
            <w:r w:rsidRPr="00F8326B">
              <w:rPr>
                <w:rFonts w:eastAsia="Times New Roman"/>
                <w:color w:val="FF0000"/>
                <w:sz w:val="20"/>
                <w:shd w:val="clear" w:color="auto" w:fill="FFFFFF"/>
              </w:rPr>
              <w:t>)</w:t>
            </w:r>
          </w:p>
        </w:tc>
        <w:tc>
          <w:tcPr>
            <w:tcW w:w="1134" w:type="dxa"/>
            <w:tcBorders>
              <w:top w:val="single" w:sz="4" w:space="0" w:color="auto"/>
              <w:left w:val="nil"/>
              <w:right w:val="nil"/>
            </w:tcBorders>
          </w:tcPr>
          <w:p w14:paraId="5F439F19" w14:textId="3B6809BA" w:rsidR="00A04BE2" w:rsidRPr="00F8326B" w:rsidRDefault="00A04BE2"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-1.891</w:t>
            </w:r>
          </w:p>
        </w:tc>
        <w:tc>
          <w:tcPr>
            <w:tcW w:w="882" w:type="dxa"/>
            <w:tcBorders>
              <w:top w:val="single" w:sz="4" w:space="0" w:color="auto"/>
              <w:left w:val="nil"/>
              <w:right w:val="nil"/>
            </w:tcBorders>
          </w:tcPr>
          <w:p w14:paraId="112C5626" w14:textId="42FF82A4"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&lt;0.001</w:t>
            </w:r>
          </w:p>
        </w:tc>
        <w:tc>
          <w:tcPr>
            <w:tcW w:w="958" w:type="dxa"/>
            <w:tcBorders>
              <w:top w:val="single" w:sz="4" w:space="0" w:color="auto"/>
              <w:left w:val="nil"/>
              <w:right w:val="nil"/>
            </w:tcBorders>
          </w:tcPr>
          <w:p w14:paraId="73B3759F" w14:textId="0DB85987" w:rsidR="00A04BE2" w:rsidRPr="00F8326B" w:rsidRDefault="00672B24"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0.012</w:t>
            </w:r>
          </w:p>
        </w:tc>
      </w:tr>
      <w:tr w:rsidR="00A04BE2" w:rsidRPr="00F8326B" w14:paraId="794B7973" w14:textId="46B458DC" w:rsidTr="00A04BE2">
        <w:tc>
          <w:tcPr>
            <w:tcW w:w="284" w:type="dxa"/>
            <w:tcBorders>
              <w:top w:val="nil"/>
              <w:left w:val="nil"/>
              <w:bottom w:val="nil"/>
              <w:right w:val="nil"/>
            </w:tcBorders>
          </w:tcPr>
          <w:p w14:paraId="0D3A1105" w14:textId="77777777" w:rsidR="00A04BE2" w:rsidRPr="00F8326B" w:rsidRDefault="00A04BE2" w:rsidP="00A21CAE">
            <w:pPr>
              <w:spacing w:after="0" w:line="240" w:lineRule="auto"/>
              <w:rPr>
                <w:rFonts w:eastAsia="Times New Roman"/>
                <w:color w:val="FF0000"/>
                <w:sz w:val="20"/>
                <w:shd w:val="clear" w:color="auto" w:fill="FFFFFF"/>
              </w:rPr>
            </w:pPr>
          </w:p>
        </w:tc>
        <w:tc>
          <w:tcPr>
            <w:tcW w:w="2659" w:type="dxa"/>
            <w:tcBorders>
              <w:top w:val="single" w:sz="4" w:space="0" w:color="auto"/>
              <w:left w:val="nil"/>
              <w:bottom w:val="single" w:sz="4" w:space="0" w:color="auto"/>
              <w:right w:val="nil"/>
            </w:tcBorders>
          </w:tcPr>
          <w:p w14:paraId="07ABB2E1" w14:textId="24292C41" w:rsidR="00A04BE2" w:rsidRPr="00F8326B" w:rsidRDefault="00A04BE2" w:rsidP="00A21CAE">
            <w:pPr>
              <w:spacing w:after="0" w:line="240" w:lineRule="auto"/>
              <w:rPr>
                <w:rFonts w:eastAsia="Times New Roman"/>
                <w:color w:val="FF0000"/>
                <w:sz w:val="20"/>
                <w:shd w:val="clear" w:color="auto" w:fill="FFFFFF"/>
              </w:rPr>
            </w:pPr>
            <w:r w:rsidRPr="00F8326B">
              <w:rPr>
                <w:rFonts w:eastAsia="Times New Roman"/>
                <w:color w:val="FF0000"/>
                <w:sz w:val="20"/>
                <w:shd w:val="clear" w:color="auto" w:fill="FFFFFF"/>
              </w:rPr>
              <w:t>Life satisfaction (0-30)</w:t>
            </w:r>
          </w:p>
        </w:tc>
        <w:tc>
          <w:tcPr>
            <w:tcW w:w="743" w:type="dxa"/>
            <w:tcBorders>
              <w:top w:val="nil"/>
              <w:left w:val="nil"/>
              <w:right w:val="nil"/>
            </w:tcBorders>
          </w:tcPr>
          <w:p w14:paraId="60FA0ED8" w14:textId="3E0D7017"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361</w:t>
            </w:r>
          </w:p>
        </w:tc>
        <w:tc>
          <w:tcPr>
            <w:tcW w:w="1842" w:type="dxa"/>
            <w:tcBorders>
              <w:top w:val="nil"/>
              <w:left w:val="nil"/>
              <w:right w:val="nil"/>
            </w:tcBorders>
          </w:tcPr>
          <w:p w14:paraId="74185BA4" w14:textId="5EC7C417"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20.41 (</w:t>
            </w:r>
            <w:r>
              <w:rPr>
                <w:rFonts w:eastAsia="Times New Roman"/>
                <w:color w:val="FF0000"/>
                <w:sz w:val="20"/>
                <w:shd w:val="clear" w:color="auto" w:fill="FFFFFF"/>
              </w:rPr>
              <w:t>19.84-20.99</w:t>
            </w:r>
            <w:r w:rsidRPr="00F8326B">
              <w:rPr>
                <w:rFonts w:eastAsia="Times New Roman"/>
                <w:color w:val="FF0000"/>
                <w:sz w:val="20"/>
                <w:shd w:val="clear" w:color="auto" w:fill="FFFFFF"/>
              </w:rPr>
              <w:t>)</w:t>
            </w:r>
          </w:p>
        </w:tc>
        <w:tc>
          <w:tcPr>
            <w:tcW w:w="236" w:type="dxa"/>
            <w:tcBorders>
              <w:top w:val="nil"/>
              <w:left w:val="nil"/>
              <w:right w:val="nil"/>
            </w:tcBorders>
          </w:tcPr>
          <w:p w14:paraId="6580A759" w14:textId="77777777" w:rsidR="00A04BE2" w:rsidRPr="00F8326B" w:rsidRDefault="00A04BE2" w:rsidP="00A21CAE">
            <w:pPr>
              <w:spacing w:after="0" w:line="240" w:lineRule="auto"/>
              <w:jc w:val="center"/>
              <w:rPr>
                <w:rFonts w:eastAsia="Times New Roman"/>
                <w:color w:val="FF0000"/>
                <w:sz w:val="20"/>
                <w:shd w:val="clear" w:color="auto" w:fill="FFFFFF"/>
              </w:rPr>
            </w:pPr>
          </w:p>
        </w:tc>
        <w:tc>
          <w:tcPr>
            <w:tcW w:w="756" w:type="dxa"/>
            <w:tcBorders>
              <w:top w:val="nil"/>
              <w:left w:val="nil"/>
              <w:right w:val="nil"/>
            </w:tcBorders>
          </w:tcPr>
          <w:p w14:paraId="13A0FC71" w14:textId="240737C7"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992</w:t>
            </w:r>
          </w:p>
        </w:tc>
        <w:tc>
          <w:tcPr>
            <w:tcW w:w="1847" w:type="dxa"/>
            <w:tcBorders>
              <w:top w:val="nil"/>
              <w:left w:val="nil"/>
              <w:right w:val="nil"/>
            </w:tcBorders>
          </w:tcPr>
          <w:p w14:paraId="22013F3D" w14:textId="0FDF4CFF"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21.18 (</w:t>
            </w:r>
            <w:r>
              <w:rPr>
                <w:rFonts w:eastAsia="Times New Roman"/>
                <w:color w:val="FF0000"/>
                <w:sz w:val="20"/>
                <w:shd w:val="clear" w:color="auto" w:fill="FFFFFF"/>
              </w:rPr>
              <w:t>20.84-21.53</w:t>
            </w:r>
            <w:r w:rsidRPr="00F8326B">
              <w:rPr>
                <w:rFonts w:eastAsia="Times New Roman"/>
                <w:color w:val="FF0000"/>
                <w:sz w:val="20"/>
                <w:shd w:val="clear" w:color="auto" w:fill="FFFFFF"/>
              </w:rPr>
              <w:t>)</w:t>
            </w:r>
          </w:p>
        </w:tc>
        <w:tc>
          <w:tcPr>
            <w:tcW w:w="1134" w:type="dxa"/>
            <w:tcBorders>
              <w:top w:val="nil"/>
              <w:left w:val="nil"/>
              <w:right w:val="nil"/>
            </w:tcBorders>
          </w:tcPr>
          <w:p w14:paraId="43DA1506" w14:textId="3CF07ABC" w:rsidR="00A04BE2" w:rsidRPr="00F8326B" w:rsidRDefault="00A04BE2"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-0.770</w:t>
            </w:r>
          </w:p>
        </w:tc>
        <w:tc>
          <w:tcPr>
            <w:tcW w:w="882" w:type="dxa"/>
            <w:tcBorders>
              <w:top w:val="nil"/>
              <w:left w:val="nil"/>
              <w:right w:val="nil"/>
            </w:tcBorders>
          </w:tcPr>
          <w:p w14:paraId="512AFD7D" w14:textId="403B73E6" w:rsidR="00A04BE2" w:rsidRPr="00F8326B" w:rsidRDefault="00A04BE2" w:rsidP="00A21CAE">
            <w:pPr>
              <w:spacing w:after="0" w:line="240" w:lineRule="auto"/>
              <w:jc w:val="center"/>
              <w:rPr>
                <w:rFonts w:eastAsia="Times New Roman"/>
                <w:color w:val="FF0000"/>
                <w:sz w:val="20"/>
                <w:shd w:val="clear" w:color="auto" w:fill="FFFFFF"/>
              </w:rPr>
            </w:pPr>
            <w:r w:rsidRPr="00F8326B">
              <w:rPr>
                <w:rFonts w:eastAsia="Times New Roman"/>
                <w:color w:val="FF0000"/>
                <w:sz w:val="20"/>
                <w:shd w:val="clear" w:color="auto" w:fill="FFFFFF"/>
              </w:rPr>
              <w:t>0.024</w:t>
            </w:r>
          </w:p>
        </w:tc>
        <w:tc>
          <w:tcPr>
            <w:tcW w:w="958" w:type="dxa"/>
            <w:tcBorders>
              <w:top w:val="nil"/>
              <w:left w:val="nil"/>
              <w:right w:val="nil"/>
            </w:tcBorders>
          </w:tcPr>
          <w:p w14:paraId="0FC1D2C1" w14:textId="6AEF3AF6" w:rsidR="00A04BE2" w:rsidRPr="00F8326B" w:rsidRDefault="00672B24" w:rsidP="00A21CAE">
            <w:pPr>
              <w:spacing w:after="0" w:line="240" w:lineRule="auto"/>
              <w:jc w:val="center"/>
              <w:rPr>
                <w:rFonts w:eastAsia="Times New Roman"/>
                <w:color w:val="FF0000"/>
                <w:sz w:val="20"/>
                <w:shd w:val="clear" w:color="auto" w:fill="FFFFFF"/>
              </w:rPr>
            </w:pPr>
            <w:r>
              <w:rPr>
                <w:rFonts w:eastAsia="Times New Roman"/>
                <w:color w:val="FF0000"/>
                <w:sz w:val="20"/>
                <w:shd w:val="clear" w:color="auto" w:fill="FFFFFF"/>
              </w:rPr>
              <w:t>0.003</w:t>
            </w:r>
          </w:p>
        </w:tc>
      </w:tr>
    </w:tbl>
    <w:p w14:paraId="1E243437" w14:textId="5EBFAB85" w:rsidR="00165A61" w:rsidRDefault="00165A61" w:rsidP="00165A61">
      <w:pPr>
        <w:spacing w:after="160" w:line="259" w:lineRule="auto"/>
      </w:pPr>
    </w:p>
    <w:p w14:paraId="0768C25F" w14:textId="77777777" w:rsidR="00FB4F2E" w:rsidRDefault="00FB4F2E" w:rsidP="00FB4F2E">
      <w:pPr>
        <w:spacing w:after="0" w:line="240" w:lineRule="auto"/>
        <w:rPr>
          <w:rFonts w:eastAsia="Times New Roman"/>
          <w:sz w:val="20"/>
          <w:shd w:val="clear" w:color="auto" w:fill="FFFFFF"/>
        </w:rPr>
      </w:pPr>
      <w:r>
        <w:rPr>
          <w:rFonts w:eastAsia="Times New Roman"/>
          <w:sz w:val="20"/>
          <w:shd w:val="clear" w:color="auto" w:fill="FFFFFF"/>
          <w:vertAlign w:val="superscript"/>
        </w:rPr>
        <w:t xml:space="preserve">1 </w:t>
      </w:r>
      <w:r>
        <w:rPr>
          <w:rFonts w:eastAsia="Times New Roman"/>
          <w:sz w:val="20"/>
          <w:shd w:val="clear" w:color="auto" w:fill="FFFFFF"/>
        </w:rPr>
        <w:t>Total sample size (unweighted).</w:t>
      </w:r>
    </w:p>
    <w:p w14:paraId="58F57D05" w14:textId="77777777" w:rsidR="00FB4F2E" w:rsidRPr="00130788" w:rsidRDefault="00FB4F2E" w:rsidP="00FB4F2E">
      <w:pPr>
        <w:spacing w:after="0" w:line="240" w:lineRule="auto"/>
        <w:rPr>
          <w:rFonts w:cs="Arial"/>
          <w:sz w:val="20"/>
          <w:szCs w:val="20"/>
          <w:lang w:val="en-US"/>
        </w:rPr>
      </w:pPr>
      <w:r>
        <w:rPr>
          <w:rFonts w:eastAsia="Times New Roman"/>
          <w:sz w:val="20"/>
          <w:shd w:val="clear" w:color="auto" w:fill="FFFFFF"/>
          <w:vertAlign w:val="superscript"/>
        </w:rPr>
        <w:t>2</w:t>
      </w:r>
      <w:r>
        <w:rPr>
          <w:rFonts w:eastAsia="Times New Roman"/>
          <w:sz w:val="20"/>
          <w:shd w:val="clear" w:color="auto" w:fill="FFFFFF"/>
        </w:rPr>
        <w:t xml:space="preserve"> </w:t>
      </w:r>
      <w:r>
        <w:rPr>
          <w:rFonts w:cs="Arial"/>
          <w:sz w:val="20"/>
          <w:szCs w:val="20"/>
          <w:lang w:val="en-US"/>
        </w:rPr>
        <w:t>Higher scores represent a greater number of depressive symptoms, greater quality of life, and greater life satisfaction.</w:t>
      </w:r>
    </w:p>
    <w:p w14:paraId="5CC9FFBB" w14:textId="77777777" w:rsidR="00FB4F2E" w:rsidRPr="0010261A" w:rsidRDefault="00FB4F2E" w:rsidP="00FB4F2E">
      <w:pPr>
        <w:spacing w:after="0" w:line="240" w:lineRule="auto"/>
        <w:rPr>
          <w:rFonts w:eastAsia="Times New Roman"/>
          <w:sz w:val="20"/>
          <w:shd w:val="clear" w:color="auto" w:fill="FFFFFF"/>
        </w:rPr>
      </w:pPr>
      <w:r w:rsidRPr="00001E5B">
        <w:rPr>
          <w:rFonts w:eastAsia="Times New Roman"/>
          <w:sz w:val="20"/>
          <w:shd w:val="clear" w:color="auto" w:fill="FFFFFF"/>
          <w:vertAlign w:val="superscript"/>
        </w:rPr>
        <w:t>3</w:t>
      </w:r>
      <w:r>
        <w:rPr>
          <w:rFonts w:eastAsia="Times New Roman"/>
          <w:sz w:val="20"/>
          <w:shd w:val="clear" w:color="auto" w:fill="FFFFFF"/>
        </w:rPr>
        <w:t xml:space="preserve"> </w:t>
      </w:r>
      <w:r w:rsidRPr="007924B1">
        <w:rPr>
          <w:rFonts w:eastAsia="Times New Roman"/>
          <w:sz w:val="20"/>
          <w:shd w:val="clear" w:color="auto" w:fill="FFFFFF"/>
        </w:rPr>
        <w:t>Among</w:t>
      </w:r>
      <w:r>
        <w:rPr>
          <w:rFonts w:eastAsia="Times New Roman"/>
          <w:sz w:val="20"/>
          <w:shd w:val="clear" w:color="auto" w:fill="FFFFFF"/>
        </w:rPr>
        <w:t xml:space="preserve"> those who reported being sexually active.</w:t>
      </w:r>
    </w:p>
    <w:p w14:paraId="010BCF81" w14:textId="3B78053F" w:rsidR="00632564" w:rsidRPr="00632564" w:rsidRDefault="00632564" w:rsidP="00FB4F2E">
      <w:pPr>
        <w:spacing w:after="160" w:line="259" w:lineRule="auto"/>
        <w:rPr>
          <w:rFonts w:eastAsia="Times New Roman"/>
          <w:sz w:val="20"/>
          <w:shd w:val="clear" w:color="auto" w:fill="FFFFFF"/>
        </w:rPr>
      </w:pPr>
      <w:r>
        <w:rPr>
          <w:rFonts w:eastAsia="Times New Roman"/>
          <w:sz w:val="20"/>
          <w:shd w:val="clear" w:color="auto" w:fill="FFFFFF"/>
        </w:rPr>
        <w:t>CI = confidence interval.</w:t>
      </w:r>
      <w:r>
        <w:rPr>
          <w:rFonts w:eastAsia="Times New Roman"/>
          <w:sz w:val="20"/>
          <w:shd w:val="clear" w:color="auto" w:fill="FFFFFF"/>
        </w:rPr>
        <w:br/>
      </w:r>
      <w:r w:rsidR="00FB4F2E">
        <w:rPr>
          <w:rFonts w:eastAsia="Times New Roman"/>
          <w:sz w:val="20"/>
          <w:shd w:val="clear" w:color="auto" w:fill="FFFFFF"/>
        </w:rPr>
        <w:t xml:space="preserve">All means are adjusted for </w:t>
      </w:r>
      <w:r w:rsidR="00FB4F2E" w:rsidRPr="00C53B2D">
        <w:rPr>
          <w:rFonts w:eastAsia="Times New Roman"/>
          <w:sz w:val="20"/>
          <w:shd w:val="clear" w:color="auto" w:fill="FFFFFF"/>
        </w:rPr>
        <w:t xml:space="preserve">age, partnership status, ethnicity, wealth, smoking status, alcohol intake, physical activity and </w:t>
      </w:r>
      <w:r w:rsidR="00FB4F2E">
        <w:rPr>
          <w:rFonts w:eastAsia="Times New Roman"/>
          <w:sz w:val="20"/>
          <w:shd w:val="clear" w:color="auto" w:fill="FFFFFF"/>
        </w:rPr>
        <w:t>limiting long-standing illness</w:t>
      </w:r>
      <w:r w:rsidR="00FB4F2E" w:rsidRPr="00C53B2D">
        <w:rPr>
          <w:rFonts w:eastAsia="Times New Roman"/>
          <w:sz w:val="20"/>
          <w:shd w:val="clear" w:color="auto" w:fill="FFFFFF"/>
        </w:rPr>
        <w:t>,</w:t>
      </w:r>
      <w:r w:rsidR="00FB4F2E" w:rsidRPr="00480AFB">
        <w:rPr>
          <w:rFonts w:eastAsia="Times New Roman"/>
          <w:color w:val="FF0000"/>
          <w:sz w:val="20"/>
          <w:shd w:val="clear" w:color="auto" w:fill="FFFFFF"/>
        </w:rPr>
        <w:t xml:space="preserve"> </w:t>
      </w:r>
      <w:r w:rsidR="00FB4F2E">
        <w:rPr>
          <w:rFonts w:eastAsia="Times New Roman"/>
          <w:sz w:val="20"/>
          <w:shd w:val="clear" w:color="auto" w:fill="FFFFFF"/>
        </w:rPr>
        <w:t>and weighted for sampling probabilities and differential non-response.</w:t>
      </w:r>
    </w:p>
    <w:p w14:paraId="099DCA37" w14:textId="056347D9" w:rsidR="00611C83" w:rsidRDefault="00611C83" w:rsidP="00165A61">
      <w:pPr>
        <w:spacing w:after="160" w:line="259" w:lineRule="auto"/>
      </w:pPr>
    </w:p>
    <w:p w14:paraId="4CC7F539" w14:textId="77777777" w:rsidR="00611C83" w:rsidRDefault="00611C83" w:rsidP="00165A61">
      <w:pPr>
        <w:spacing w:after="160" w:line="259" w:lineRule="auto"/>
      </w:pPr>
    </w:p>
    <w:p w14:paraId="1D593470" w14:textId="2E1757B0" w:rsidR="00611C83" w:rsidRDefault="00611C83" w:rsidP="00165A61">
      <w:pPr>
        <w:spacing w:after="160" w:line="259" w:lineRule="auto"/>
      </w:pPr>
    </w:p>
    <w:p w14:paraId="508BB575" w14:textId="46AB2456" w:rsidR="00FB4F2E" w:rsidRDefault="00FB4F2E" w:rsidP="00611C83"/>
    <w:p w14:paraId="2B4D213A" w14:textId="77777777" w:rsidR="00FB4F2E" w:rsidRPr="00FB4F2E" w:rsidRDefault="00FB4F2E" w:rsidP="00FB4F2E"/>
    <w:p w14:paraId="3328D5CD" w14:textId="77777777" w:rsidR="00FB4F2E" w:rsidRPr="00FB4F2E" w:rsidRDefault="00FB4F2E" w:rsidP="00FB4F2E"/>
    <w:p w14:paraId="2E9DD966" w14:textId="409EF410" w:rsidR="00FB4F2E" w:rsidRDefault="00FB4F2E" w:rsidP="00FB4F2E"/>
    <w:sectPr w:rsidR="00FB4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C7F22" w14:textId="77777777" w:rsidR="00687A35" w:rsidRDefault="00687A35" w:rsidP="00611C83">
      <w:pPr>
        <w:spacing w:after="0" w:line="240" w:lineRule="auto"/>
      </w:pPr>
      <w:r>
        <w:separator/>
      </w:r>
    </w:p>
  </w:endnote>
  <w:endnote w:type="continuationSeparator" w:id="0">
    <w:p w14:paraId="3AD29BFE" w14:textId="77777777" w:rsidR="00687A35" w:rsidRDefault="00687A35" w:rsidP="0061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2931" w14:textId="347836D6" w:rsidR="001453E8" w:rsidRDefault="001453E8">
    <w:pPr>
      <w:pStyle w:val="Footer"/>
    </w:pPr>
  </w:p>
  <w:p w14:paraId="02DC76A1" w14:textId="77777777" w:rsidR="001453E8" w:rsidRDefault="0014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56C2C" w14:textId="77777777" w:rsidR="00687A35" w:rsidRDefault="00687A35" w:rsidP="00611C83">
      <w:pPr>
        <w:spacing w:after="0" w:line="240" w:lineRule="auto"/>
      </w:pPr>
      <w:r>
        <w:separator/>
      </w:r>
    </w:p>
  </w:footnote>
  <w:footnote w:type="continuationSeparator" w:id="0">
    <w:p w14:paraId="396FEE0E" w14:textId="77777777" w:rsidR="00687A35" w:rsidRDefault="00687A35" w:rsidP="00611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1A40"/>
    <w:multiLevelType w:val="hybridMultilevel"/>
    <w:tmpl w:val="750E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D7EE4"/>
    <w:multiLevelType w:val="hybridMultilevel"/>
    <w:tmpl w:val="5DBC7D3C"/>
    <w:lvl w:ilvl="0" w:tplc="E2F452BC">
      <w:start w:val="1"/>
      <w:numFmt w:val="lowerLetter"/>
      <w:lvlText w:val="%1."/>
      <w:lvlJc w:val="left"/>
      <w:pPr>
        <w:ind w:left="360" w:hanging="360"/>
      </w:pPr>
      <w:rPr>
        <w:rFonts w:ascii="Arial" w:eastAsiaTheme="minorEastAsia"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EC6635"/>
    <w:multiLevelType w:val="hybridMultilevel"/>
    <w:tmpl w:val="9926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C188F"/>
    <w:multiLevelType w:val="hybridMultilevel"/>
    <w:tmpl w:val="A570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0rx900m0dzrlee2d7vep5ep0rxa0dtxvtp&quot;&gt;Social housing paper travelling EndNote Library&lt;record-ids&gt;&lt;item&gt;32&lt;/item&gt;&lt;item&gt;33&lt;/item&gt;&lt;item&gt;34&lt;/item&gt;&lt;item&gt;35&lt;/item&gt;&lt;/record-ids&gt;&lt;/item&gt;&lt;/Libraries&gt;"/>
  </w:docVars>
  <w:rsids>
    <w:rsidRoot w:val="00480AFB"/>
    <w:rsid w:val="0000073B"/>
    <w:rsid w:val="00001E5B"/>
    <w:rsid w:val="00001F19"/>
    <w:rsid w:val="0000217C"/>
    <w:rsid w:val="000048CF"/>
    <w:rsid w:val="000054E3"/>
    <w:rsid w:val="00005619"/>
    <w:rsid w:val="00012A1C"/>
    <w:rsid w:val="0001372C"/>
    <w:rsid w:val="00015D73"/>
    <w:rsid w:val="00020697"/>
    <w:rsid w:val="00020C41"/>
    <w:rsid w:val="00020FF5"/>
    <w:rsid w:val="00025AFB"/>
    <w:rsid w:val="00031081"/>
    <w:rsid w:val="00034C24"/>
    <w:rsid w:val="0004331D"/>
    <w:rsid w:val="00043685"/>
    <w:rsid w:val="00043B52"/>
    <w:rsid w:val="0004572B"/>
    <w:rsid w:val="000513C0"/>
    <w:rsid w:val="00051BFC"/>
    <w:rsid w:val="00053763"/>
    <w:rsid w:val="00053A69"/>
    <w:rsid w:val="0005634E"/>
    <w:rsid w:val="00056354"/>
    <w:rsid w:val="00056878"/>
    <w:rsid w:val="00056F90"/>
    <w:rsid w:val="000618A4"/>
    <w:rsid w:val="00063381"/>
    <w:rsid w:val="000668B0"/>
    <w:rsid w:val="00071898"/>
    <w:rsid w:val="00082032"/>
    <w:rsid w:val="000820DD"/>
    <w:rsid w:val="0008499C"/>
    <w:rsid w:val="00084C60"/>
    <w:rsid w:val="0009358E"/>
    <w:rsid w:val="000940D5"/>
    <w:rsid w:val="0009594B"/>
    <w:rsid w:val="000A428A"/>
    <w:rsid w:val="000B4F3F"/>
    <w:rsid w:val="000B56FA"/>
    <w:rsid w:val="000B6A28"/>
    <w:rsid w:val="000C0B1B"/>
    <w:rsid w:val="000C14DC"/>
    <w:rsid w:val="000C6D7F"/>
    <w:rsid w:val="000C7983"/>
    <w:rsid w:val="000D42E4"/>
    <w:rsid w:val="000E0873"/>
    <w:rsid w:val="000E0C55"/>
    <w:rsid w:val="000E1930"/>
    <w:rsid w:val="000E219D"/>
    <w:rsid w:val="000E7937"/>
    <w:rsid w:val="000F07BE"/>
    <w:rsid w:val="000F2D34"/>
    <w:rsid w:val="000F4A6B"/>
    <w:rsid w:val="00100C35"/>
    <w:rsid w:val="00101123"/>
    <w:rsid w:val="00101C81"/>
    <w:rsid w:val="0010261A"/>
    <w:rsid w:val="0010276F"/>
    <w:rsid w:val="001109D6"/>
    <w:rsid w:val="00110BF7"/>
    <w:rsid w:val="00111C68"/>
    <w:rsid w:val="00114DBC"/>
    <w:rsid w:val="001165D2"/>
    <w:rsid w:val="001167CC"/>
    <w:rsid w:val="001176C9"/>
    <w:rsid w:val="00117825"/>
    <w:rsid w:val="001234D2"/>
    <w:rsid w:val="00123EBE"/>
    <w:rsid w:val="00127B7F"/>
    <w:rsid w:val="00130527"/>
    <w:rsid w:val="00130788"/>
    <w:rsid w:val="0013307A"/>
    <w:rsid w:val="001356D7"/>
    <w:rsid w:val="00142E50"/>
    <w:rsid w:val="001430AD"/>
    <w:rsid w:val="001453E8"/>
    <w:rsid w:val="001462ED"/>
    <w:rsid w:val="00146F46"/>
    <w:rsid w:val="00151401"/>
    <w:rsid w:val="0015167C"/>
    <w:rsid w:val="001545E3"/>
    <w:rsid w:val="001554C6"/>
    <w:rsid w:val="001601B1"/>
    <w:rsid w:val="00160D3A"/>
    <w:rsid w:val="00161F83"/>
    <w:rsid w:val="00165386"/>
    <w:rsid w:val="00165A61"/>
    <w:rsid w:val="00166D8C"/>
    <w:rsid w:val="00170190"/>
    <w:rsid w:val="00173124"/>
    <w:rsid w:val="0017312B"/>
    <w:rsid w:val="00173147"/>
    <w:rsid w:val="00173AC0"/>
    <w:rsid w:val="00173E5E"/>
    <w:rsid w:val="00180989"/>
    <w:rsid w:val="001848A3"/>
    <w:rsid w:val="001859AB"/>
    <w:rsid w:val="001932BF"/>
    <w:rsid w:val="001A31EB"/>
    <w:rsid w:val="001A5D17"/>
    <w:rsid w:val="001B1478"/>
    <w:rsid w:val="001B1F26"/>
    <w:rsid w:val="001B6397"/>
    <w:rsid w:val="001B6F8B"/>
    <w:rsid w:val="001C2D55"/>
    <w:rsid w:val="001C7938"/>
    <w:rsid w:val="001C7C43"/>
    <w:rsid w:val="001D0F8A"/>
    <w:rsid w:val="001D15A1"/>
    <w:rsid w:val="001D1F3F"/>
    <w:rsid w:val="001D4087"/>
    <w:rsid w:val="001D5154"/>
    <w:rsid w:val="001E023E"/>
    <w:rsid w:val="001E1885"/>
    <w:rsid w:val="001E27C7"/>
    <w:rsid w:val="001E2F7F"/>
    <w:rsid w:val="001E3CA6"/>
    <w:rsid w:val="001E7730"/>
    <w:rsid w:val="001E7B94"/>
    <w:rsid w:val="001F102D"/>
    <w:rsid w:val="001F5D6C"/>
    <w:rsid w:val="001F614E"/>
    <w:rsid w:val="001F63D8"/>
    <w:rsid w:val="001F71FF"/>
    <w:rsid w:val="001F758C"/>
    <w:rsid w:val="001F7E56"/>
    <w:rsid w:val="00200594"/>
    <w:rsid w:val="00203FDF"/>
    <w:rsid w:val="00204287"/>
    <w:rsid w:val="00205C9F"/>
    <w:rsid w:val="00207B39"/>
    <w:rsid w:val="00214565"/>
    <w:rsid w:val="0021511C"/>
    <w:rsid w:val="002221B2"/>
    <w:rsid w:val="0022370A"/>
    <w:rsid w:val="00223ED4"/>
    <w:rsid w:val="0022722B"/>
    <w:rsid w:val="0023219F"/>
    <w:rsid w:val="002348C8"/>
    <w:rsid w:val="00241DC8"/>
    <w:rsid w:val="002421C9"/>
    <w:rsid w:val="00244766"/>
    <w:rsid w:val="00245CCF"/>
    <w:rsid w:val="00246CCE"/>
    <w:rsid w:val="00250590"/>
    <w:rsid w:val="0025151F"/>
    <w:rsid w:val="0025476D"/>
    <w:rsid w:val="0026019B"/>
    <w:rsid w:val="00261ABF"/>
    <w:rsid w:val="002622A3"/>
    <w:rsid w:val="0026279F"/>
    <w:rsid w:val="00265D3B"/>
    <w:rsid w:val="002701D1"/>
    <w:rsid w:val="00270F21"/>
    <w:rsid w:val="00275A4D"/>
    <w:rsid w:val="00276B90"/>
    <w:rsid w:val="00284AB9"/>
    <w:rsid w:val="002859FE"/>
    <w:rsid w:val="00290723"/>
    <w:rsid w:val="00290A4E"/>
    <w:rsid w:val="0029212C"/>
    <w:rsid w:val="00293DBC"/>
    <w:rsid w:val="00296ABB"/>
    <w:rsid w:val="00296B10"/>
    <w:rsid w:val="002A046D"/>
    <w:rsid w:val="002A1673"/>
    <w:rsid w:val="002A4E4E"/>
    <w:rsid w:val="002A5B61"/>
    <w:rsid w:val="002A6D59"/>
    <w:rsid w:val="002A6E1C"/>
    <w:rsid w:val="002A7D2C"/>
    <w:rsid w:val="002B1D79"/>
    <w:rsid w:val="002B5116"/>
    <w:rsid w:val="002C3BEE"/>
    <w:rsid w:val="002C4131"/>
    <w:rsid w:val="002C67E5"/>
    <w:rsid w:val="002D00FD"/>
    <w:rsid w:val="002D145C"/>
    <w:rsid w:val="002D3A80"/>
    <w:rsid w:val="002D6473"/>
    <w:rsid w:val="002D6EC0"/>
    <w:rsid w:val="002D702A"/>
    <w:rsid w:val="002E3805"/>
    <w:rsid w:val="002E4AD7"/>
    <w:rsid w:val="002E6584"/>
    <w:rsid w:val="002F179D"/>
    <w:rsid w:val="002F1EEF"/>
    <w:rsid w:val="002F3455"/>
    <w:rsid w:val="002F4DD1"/>
    <w:rsid w:val="002F77D7"/>
    <w:rsid w:val="002F7FB4"/>
    <w:rsid w:val="00301874"/>
    <w:rsid w:val="00304074"/>
    <w:rsid w:val="003069F4"/>
    <w:rsid w:val="00314CD7"/>
    <w:rsid w:val="003154F6"/>
    <w:rsid w:val="00317CA6"/>
    <w:rsid w:val="00320A1F"/>
    <w:rsid w:val="003217CD"/>
    <w:rsid w:val="00324E73"/>
    <w:rsid w:val="00325BE7"/>
    <w:rsid w:val="00327D96"/>
    <w:rsid w:val="00330E10"/>
    <w:rsid w:val="003315ED"/>
    <w:rsid w:val="00331D62"/>
    <w:rsid w:val="00334E70"/>
    <w:rsid w:val="00342907"/>
    <w:rsid w:val="0034584A"/>
    <w:rsid w:val="00347819"/>
    <w:rsid w:val="00352431"/>
    <w:rsid w:val="00354A56"/>
    <w:rsid w:val="0035619D"/>
    <w:rsid w:val="003619E1"/>
    <w:rsid w:val="00362799"/>
    <w:rsid w:val="003635F9"/>
    <w:rsid w:val="00364D50"/>
    <w:rsid w:val="00365F95"/>
    <w:rsid w:val="003677FD"/>
    <w:rsid w:val="003702CF"/>
    <w:rsid w:val="00371457"/>
    <w:rsid w:val="003768B9"/>
    <w:rsid w:val="0038135F"/>
    <w:rsid w:val="003821EF"/>
    <w:rsid w:val="0038321E"/>
    <w:rsid w:val="00384C01"/>
    <w:rsid w:val="00386308"/>
    <w:rsid w:val="0038749E"/>
    <w:rsid w:val="00387A71"/>
    <w:rsid w:val="00390242"/>
    <w:rsid w:val="003912CB"/>
    <w:rsid w:val="00393B09"/>
    <w:rsid w:val="00396601"/>
    <w:rsid w:val="003A3E58"/>
    <w:rsid w:val="003A524C"/>
    <w:rsid w:val="003A61C0"/>
    <w:rsid w:val="003B1F47"/>
    <w:rsid w:val="003B26A4"/>
    <w:rsid w:val="003B37AD"/>
    <w:rsid w:val="003B677F"/>
    <w:rsid w:val="003C232D"/>
    <w:rsid w:val="003C43EC"/>
    <w:rsid w:val="003C6649"/>
    <w:rsid w:val="003C71F9"/>
    <w:rsid w:val="003D2335"/>
    <w:rsid w:val="003D2924"/>
    <w:rsid w:val="003D6BCC"/>
    <w:rsid w:val="003E2028"/>
    <w:rsid w:val="003E5B8F"/>
    <w:rsid w:val="003F433A"/>
    <w:rsid w:val="003F66A3"/>
    <w:rsid w:val="003F75D2"/>
    <w:rsid w:val="003F7817"/>
    <w:rsid w:val="00401BA9"/>
    <w:rsid w:val="00404588"/>
    <w:rsid w:val="004068E3"/>
    <w:rsid w:val="004122DE"/>
    <w:rsid w:val="00413394"/>
    <w:rsid w:val="00414FA4"/>
    <w:rsid w:val="00421E2A"/>
    <w:rsid w:val="00424FC9"/>
    <w:rsid w:val="00425BB1"/>
    <w:rsid w:val="00425D74"/>
    <w:rsid w:val="00426978"/>
    <w:rsid w:val="004337AA"/>
    <w:rsid w:val="00435028"/>
    <w:rsid w:val="00435F13"/>
    <w:rsid w:val="00435FB0"/>
    <w:rsid w:val="004410A0"/>
    <w:rsid w:val="0044287D"/>
    <w:rsid w:val="0044585F"/>
    <w:rsid w:val="004459C4"/>
    <w:rsid w:val="00445B56"/>
    <w:rsid w:val="00450880"/>
    <w:rsid w:val="004526B5"/>
    <w:rsid w:val="00452935"/>
    <w:rsid w:val="00455478"/>
    <w:rsid w:val="00456076"/>
    <w:rsid w:val="00457E79"/>
    <w:rsid w:val="00457F88"/>
    <w:rsid w:val="0046112F"/>
    <w:rsid w:val="0046163C"/>
    <w:rsid w:val="00461BCE"/>
    <w:rsid w:val="004628D5"/>
    <w:rsid w:val="0047244B"/>
    <w:rsid w:val="0047580C"/>
    <w:rsid w:val="00480AFB"/>
    <w:rsid w:val="00481736"/>
    <w:rsid w:val="0048209E"/>
    <w:rsid w:val="00482581"/>
    <w:rsid w:val="004825E9"/>
    <w:rsid w:val="00484E90"/>
    <w:rsid w:val="00487537"/>
    <w:rsid w:val="004A2BCD"/>
    <w:rsid w:val="004B0F07"/>
    <w:rsid w:val="004B14BB"/>
    <w:rsid w:val="004B1629"/>
    <w:rsid w:val="004B27C3"/>
    <w:rsid w:val="004B45A1"/>
    <w:rsid w:val="004B5D61"/>
    <w:rsid w:val="004C0431"/>
    <w:rsid w:val="004C38D1"/>
    <w:rsid w:val="004C5EE9"/>
    <w:rsid w:val="004D23EA"/>
    <w:rsid w:val="004D5CCB"/>
    <w:rsid w:val="004E0147"/>
    <w:rsid w:val="004E45E6"/>
    <w:rsid w:val="004E4EE3"/>
    <w:rsid w:val="004E56D9"/>
    <w:rsid w:val="004F332C"/>
    <w:rsid w:val="004F556F"/>
    <w:rsid w:val="004F7002"/>
    <w:rsid w:val="004F7A38"/>
    <w:rsid w:val="005005E2"/>
    <w:rsid w:val="005006B4"/>
    <w:rsid w:val="005053FE"/>
    <w:rsid w:val="00510E82"/>
    <w:rsid w:val="00514F73"/>
    <w:rsid w:val="005166C6"/>
    <w:rsid w:val="00517D09"/>
    <w:rsid w:val="00520AC1"/>
    <w:rsid w:val="00524C66"/>
    <w:rsid w:val="005264D9"/>
    <w:rsid w:val="00527D38"/>
    <w:rsid w:val="00530862"/>
    <w:rsid w:val="00535044"/>
    <w:rsid w:val="00536387"/>
    <w:rsid w:val="00536C68"/>
    <w:rsid w:val="00537DA8"/>
    <w:rsid w:val="005410B5"/>
    <w:rsid w:val="00542754"/>
    <w:rsid w:val="005434ED"/>
    <w:rsid w:val="00544017"/>
    <w:rsid w:val="0054462C"/>
    <w:rsid w:val="005466AB"/>
    <w:rsid w:val="005466EA"/>
    <w:rsid w:val="00553665"/>
    <w:rsid w:val="005540F1"/>
    <w:rsid w:val="005621DE"/>
    <w:rsid w:val="00562EE7"/>
    <w:rsid w:val="00572B54"/>
    <w:rsid w:val="005732E5"/>
    <w:rsid w:val="00575436"/>
    <w:rsid w:val="00576BD8"/>
    <w:rsid w:val="00581CA0"/>
    <w:rsid w:val="00584BF7"/>
    <w:rsid w:val="00590077"/>
    <w:rsid w:val="00590B5C"/>
    <w:rsid w:val="00595BA0"/>
    <w:rsid w:val="005961E9"/>
    <w:rsid w:val="00596920"/>
    <w:rsid w:val="00596B90"/>
    <w:rsid w:val="00597BB4"/>
    <w:rsid w:val="00597FE0"/>
    <w:rsid w:val="005A02A6"/>
    <w:rsid w:val="005A0717"/>
    <w:rsid w:val="005A0EF2"/>
    <w:rsid w:val="005A1520"/>
    <w:rsid w:val="005A245F"/>
    <w:rsid w:val="005B34E7"/>
    <w:rsid w:val="005B3699"/>
    <w:rsid w:val="005B518F"/>
    <w:rsid w:val="005B5B8A"/>
    <w:rsid w:val="005B7498"/>
    <w:rsid w:val="005B7739"/>
    <w:rsid w:val="005C2DCC"/>
    <w:rsid w:val="005C529A"/>
    <w:rsid w:val="005D0455"/>
    <w:rsid w:val="005D47BD"/>
    <w:rsid w:val="005D5F01"/>
    <w:rsid w:val="005D75BF"/>
    <w:rsid w:val="005E0674"/>
    <w:rsid w:val="005E40B7"/>
    <w:rsid w:val="005E61F5"/>
    <w:rsid w:val="005E72AD"/>
    <w:rsid w:val="005F4BD9"/>
    <w:rsid w:val="005F7018"/>
    <w:rsid w:val="00600438"/>
    <w:rsid w:val="006006C2"/>
    <w:rsid w:val="00600A2B"/>
    <w:rsid w:val="00604583"/>
    <w:rsid w:val="006073DD"/>
    <w:rsid w:val="00607C5C"/>
    <w:rsid w:val="00610C78"/>
    <w:rsid w:val="00611C83"/>
    <w:rsid w:val="006175E6"/>
    <w:rsid w:val="006223CB"/>
    <w:rsid w:val="00623F7E"/>
    <w:rsid w:val="00624110"/>
    <w:rsid w:val="00624483"/>
    <w:rsid w:val="0062478D"/>
    <w:rsid w:val="0062685C"/>
    <w:rsid w:val="00627FBA"/>
    <w:rsid w:val="006303E0"/>
    <w:rsid w:val="00632564"/>
    <w:rsid w:val="00634E39"/>
    <w:rsid w:val="00635C27"/>
    <w:rsid w:val="006412B4"/>
    <w:rsid w:val="00641644"/>
    <w:rsid w:val="006418E3"/>
    <w:rsid w:val="006429C4"/>
    <w:rsid w:val="00645682"/>
    <w:rsid w:val="006462FB"/>
    <w:rsid w:val="0065471A"/>
    <w:rsid w:val="00654FB6"/>
    <w:rsid w:val="006579E8"/>
    <w:rsid w:val="00660877"/>
    <w:rsid w:val="006609D8"/>
    <w:rsid w:val="00667837"/>
    <w:rsid w:val="00670095"/>
    <w:rsid w:val="00670640"/>
    <w:rsid w:val="00670886"/>
    <w:rsid w:val="00672B24"/>
    <w:rsid w:val="006748E1"/>
    <w:rsid w:val="0067763B"/>
    <w:rsid w:val="00677A44"/>
    <w:rsid w:val="00680C03"/>
    <w:rsid w:val="0068315C"/>
    <w:rsid w:val="006854FE"/>
    <w:rsid w:val="00687516"/>
    <w:rsid w:val="00687A35"/>
    <w:rsid w:val="00690AED"/>
    <w:rsid w:val="00692080"/>
    <w:rsid w:val="00693169"/>
    <w:rsid w:val="00696084"/>
    <w:rsid w:val="006975DC"/>
    <w:rsid w:val="006977DC"/>
    <w:rsid w:val="006A0B94"/>
    <w:rsid w:val="006A1A36"/>
    <w:rsid w:val="006A5E92"/>
    <w:rsid w:val="006B0E10"/>
    <w:rsid w:val="006B2B38"/>
    <w:rsid w:val="006B2D87"/>
    <w:rsid w:val="006B4BB2"/>
    <w:rsid w:val="006B7FC2"/>
    <w:rsid w:val="006C057F"/>
    <w:rsid w:val="006C25F5"/>
    <w:rsid w:val="006C2F52"/>
    <w:rsid w:val="006C55DD"/>
    <w:rsid w:val="006C63BC"/>
    <w:rsid w:val="006D07D4"/>
    <w:rsid w:val="006D5667"/>
    <w:rsid w:val="006D6BFF"/>
    <w:rsid w:val="006E20CF"/>
    <w:rsid w:val="006E2340"/>
    <w:rsid w:val="006E40D9"/>
    <w:rsid w:val="006E4F17"/>
    <w:rsid w:val="006E63E7"/>
    <w:rsid w:val="006E7C77"/>
    <w:rsid w:val="006F25C5"/>
    <w:rsid w:val="006F4E9C"/>
    <w:rsid w:val="00704CA0"/>
    <w:rsid w:val="007116CB"/>
    <w:rsid w:val="00711A46"/>
    <w:rsid w:val="007152B5"/>
    <w:rsid w:val="00720999"/>
    <w:rsid w:val="00720BCD"/>
    <w:rsid w:val="00724360"/>
    <w:rsid w:val="00724A4F"/>
    <w:rsid w:val="00725B91"/>
    <w:rsid w:val="0073072C"/>
    <w:rsid w:val="00730E55"/>
    <w:rsid w:val="00731A21"/>
    <w:rsid w:val="00735D59"/>
    <w:rsid w:val="0073780E"/>
    <w:rsid w:val="00743252"/>
    <w:rsid w:val="00744334"/>
    <w:rsid w:val="00745DEF"/>
    <w:rsid w:val="00756A75"/>
    <w:rsid w:val="00756AC8"/>
    <w:rsid w:val="007656A9"/>
    <w:rsid w:val="007700A0"/>
    <w:rsid w:val="00771658"/>
    <w:rsid w:val="00776CFD"/>
    <w:rsid w:val="00777A92"/>
    <w:rsid w:val="007828BA"/>
    <w:rsid w:val="00783A16"/>
    <w:rsid w:val="007860BE"/>
    <w:rsid w:val="00787F6B"/>
    <w:rsid w:val="007924B1"/>
    <w:rsid w:val="007926C2"/>
    <w:rsid w:val="00796743"/>
    <w:rsid w:val="00796792"/>
    <w:rsid w:val="007971C8"/>
    <w:rsid w:val="007A140D"/>
    <w:rsid w:val="007A1564"/>
    <w:rsid w:val="007A1BEC"/>
    <w:rsid w:val="007A2BB6"/>
    <w:rsid w:val="007A375E"/>
    <w:rsid w:val="007A3E51"/>
    <w:rsid w:val="007A6839"/>
    <w:rsid w:val="007A7390"/>
    <w:rsid w:val="007B355F"/>
    <w:rsid w:val="007B4C4D"/>
    <w:rsid w:val="007C0FBD"/>
    <w:rsid w:val="007C1735"/>
    <w:rsid w:val="007D3736"/>
    <w:rsid w:val="007D51E3"/>
    <w:rsid w:val="007D5F1B"/>
    <w:rsid w:val="007D6F1B"/>
    <w:rsid w:val="007D75FF"/>
    <w:rsid w:val="007E0044"/>
    <w:rsid w:val="007E02F5"/>
    <w:rsid w:val="007E38AC"/>
    <w:rsid w:val="007E77EE"/>
    <w:rsid w:val="007F7176"/>
    <w:rsid w:val="007F733A"/>
    <w:rsid w:val="007F7526"/>
    <w:rsid w:val="008026DC"/>
    <w:rsid w:val="00804887"/>
    <w:rsid w:val="0080503B"/>
    <w:rsid w:val="00805D27"/>
    <w:rsid w:val="00806E24"/>
    <w:rsid w:val="00806F09"/>
    <w:rsid w:val="00810BBF"/>
    <w:rsid w:val="008110DD"/>
    <w:rsid w:val="0081126E"/>
    <w:rsid w:val="00815116"/>
    <w:rsid w:val="00821169"/>
    <w:rsid w:val="00821903"/>
    <w:rsid w:val="00823345"/>
    <w:rsid w:val="008269F2"/>
    <w:rsid w:val="00832B4B"/>
    <w:rsid w:val="00833642"/>
    <w:rsid w:val="0083456F"/>
    <w:rsid w:val="00840289"/>
    <w:rsid w:val="00840BA3"/>
    <w:rsid w:val="00840D6E"/>
    <w:rsid w:val="00841088"/>
    <w:rsid w:val="008413B6"/>
    <w:rsid w:val="008417AD"/>
    <w:rsid w:val="0084428A"/>
    <w:rsid w:val="00844539"/>
    <w:rsid w:val="0084559B"/>
    <w:rsid w:val="00850326"/>
    <w:rsid w:val="0085209B"/>
    <w:rsid w:val="00852F97"/>
    <w:rsid w:val="00853694"/>
    <w:rsid w:val="00854085"/>
    <w:rsid w:val="00854121"/>
    <w:rsid w:val="008545E7"/>
    <w:rsid w:val="0085484A"/>
    <w:rsid w:val="00860E57"/>
    <w:rsid w:val="0087219B"/>
    <w:rsid w:val="00872504"/>
    <w:rsid w:val="008729CE"/>
    <w:rsid w:val="00873C0D"/>
    <w:rsid w:val="00874865"/>
    <w:rsid w:val="00880D76"/>
    <w:rsid w:val="008818D5"/>
    <w:rsid w:val="00883692"/>
    <w:rsid w:val="008843B0"/>
    <w:rsid w:val="0088485A"/>
    <w:rsid w:val="0088636C"/>
    <w:rsid w:val="0088794F"/>
    <w:rsid w:val="00894CA3"/>
    <w:rsid w:val="008960E6"/>
    <w:rsid w:val="008965E1"/>
    <w:rsid w:val="008971D6"/>
    <w:rsid w:val="008A4AE4"/>
    <w:rsid w:val="008A7BB5"/>
    <w:rsid w:val="008B40A0"/>
    <w:rsid w:val="008B43A5"/>
    <w:rsid w:val="008B55B0"/>
    <w:rsid w:val="008B5971"/>
    <w:rsid w:val="008B718B"/>
    <w:rsid w:val="008B79AE"/>
    <w:rsid w:val="008C73A4"/>
    <w:rsid w:val="008D09D6"/>
    <w:rsid w:val="008E1647"/>
    <w:rsid w:val="008E22F8"/>
    <w:rsid w:val="008E6F52"/>
    <w:rsid w:val="008E74EC"/>
    <w:rsid w:val="008E7616"/>
    <w:rsid w:val="008E7D09"/>
    <w:rsid w:val="008F1904"/>
    <w:rsid w:val="008F3B34"/>
    <w:rsid w:val="008F43DE"/>
    <w:rsid w:val="008F74AA"/>
    <w:rsid w:val="00901469"/>
    <w:rsid w:val="00903259"/>
    <w:rsid w:val="0091064B"/>
    <w:rsid w:val="00911CA7"/>
    <w:rsid w:val="00925E74"/>
    <w:rsid w:val="0092727D"/>
    <w:rsid w:val="00930708"/>
    <w:rsid w:val="0093659C"/>
    <w:rsid w:val="00937B04"/>
    <w:rsid w:val="0094291F"/>
    <w:rsid w:val="00954202"/>
    <w:rsid w:val="00955994"/>
    <w:rsid w:val="009562D4"/>
    <w:rsid w:val="00956797"/>
    <w:rsid w:val="00962AB8"/>
    <w:rsid w:val="00963AA5"/>
    <w:rsid w:val="009662D3"/>
    <w:rsid w:val="00976ADF"/>
    <w:rsid w:val="00976B5C"/>
    <w:rsid w:val="009906B5"/>
    <w:rsid w:val="00992D9F"/>
    <w:rsid w:val="009A2C85"/>
    <w:rsid w:val="009B4ECF"/>
    <w:rsid w:val="009B4EFE"/>
    <w:rsid w:val="009B4FFB"/>
    <w:rsid w:val="009B7C52"/>
    <w:rsid w:val="009D587A"/>
    <w:rsid w:val="009D7DB3"/>
    <w:rsid w:val="009E0FBB"/>
    <w:rsid w:val="009E6BE6"/>
    <w:rsid w:val="009F0F93"/>
    <w:rsid w:val="009F39E5"/>
    <w:rsid w:val="009F3D37"/>
    <w:rsid w:val="009F777D"/>
    <w:rsid w:val="009F79BF"/>
    <w:rsid w:val="009F7D85"/>
    <w:rsid w:val="00A00A8E"/>
    <w:rsid w:val="00A01F07"/>
    <w:rsid w:val="00A02DC1"/>
    <w:rsid w:val="00A03500"/>
    <w:rsid w:val="00A04379"/>
    <w:rsid w:val="00A0438E"/>
    <w:rsid w:val="00A04A56"/>
    <w:rsid w:val="00A04BE2"/>
    <w:rsid w:val="00A11C15"/>
    <w:rsid w:val="00A134F8"/>
    <w:rsid w:val="00A162C4"/>
    <w:rsid w:val="00A16807"/>
    <w:rsid w:val="00A21CAE"/>
    <w:rsid w:val="00A32CC7"/>
    <w:rsid w:val="00A34317"/>
    <w:rsid w:val="00A37580"/>
    <w:rsid w:val="00A45EE5"/>
    <w:rsid w:val="00A45FD5"/>
    <w:rsid w:val="00A51A86"/>
    <w:rsid w:val="00A54315"/>
    <w:rsid w:val="00A55B5D"/>
    <w:rsid w:val="00A56236"/>
    <w:rsid w:val="00A57031"/>
    <w:rsid w:val="00A576AC"/>
    <w:rsid w:val="00A62CF6"/>
    <w:rsid w:val="00A65D76"/>
    <w:rsid w:val="00A66C36"/>
    <w:rsid w:val="00A723D9"/>
    <w:rsid w:val="00A73471"/>
    <w:rsid w:val="00A74235"/>
    <w:rsid w:val="00A80C7C"/>
    <w:rsid w:val="00A80D6B"/>
    <w:rsid w:val="00A810C5"/>
    <w:rsid w:val="00A84ECC"/>
    <w:rsid w:val="00A85822"/>
    <w:rsid w:val="00A86155"/>
    <w:rsid w:val="00A87DBD"/>
    <w:rsid w:val="00A91428"/>
    <w:rsid w:val="00A9161C"/>
    <w:rsid w:val="00A93426"/>
    <w:rsid w:val="00A93D79"/>
    <w:rsid w:val="00A971DC"/>
    <w:rsid w:val="00A976B3"/>
    <w:rsid w:val="00AA2FA8"/>
    <w:rsid w:val="00AA423C"/>
    <w:rsid w:val="00AA62FC"/>
    <w:rsid w:val="00AB0551"/>
    <w:rsid w:val="00AB0D8C"/>
    <w:rsid w:val="00AB698C"/>
    <w:rsid w:val="00AC0E0C"/>
    <w:rsid w:val="00AC0F90"/>
    <w:rsid w:val="00AC36B7"/>
    <w:rsid w:val="00AC69AF"/>
    <w:rsid w:val="00AC78A6"/>
    <w:rsid w:val="00AD12FE"/>
    <w:rsid w:val="00AE0AD6"/>
    <w:rsid w:val="00AE270A"/>
    <w:rsid w:val="00AE5271"/>
    <w:rsid w:val="00AE64F6"/>
    <w:rsid w:val="00AF1400"/>
    <w:rsid w:val="00B0009A"/>
    <w:rsid w:val="00B00FF1"/>
    <w:rsid w:val="00B03C8C"/>
    <w:rsid w:val="00B06008"/>
    <w:rsid w:val="00B14A4A"/>
    <w:rsid w:val="00B24300"/>
    <w:rsid w:val="00B25863"/>
    <w:rsid w:val="00B26770"/>
    <w:rsid w:val="00B31DEE"/>
    <w:rsid w:val="00B3413C"/>
    <w:rsid w:val="00B35AA6"/>
    <w:rsid w:val="00B35B5B"/>
    <w:rsid w:val="00B36EF0"/>
    <w:rsid w:val="00B37346"/>
    <w:rsid w:val="00B41E2C"/>
    <w:rsid w:val="00B44E7E"/>
    <w:rsid w:val="00B459EA"/>
    <w:rsid w:val="00B50570"/>
    <w:rsid w:val="00B5185D"/>
    <w:rsid w:val="00B55075"/>
    <w:rsid w:val="00B55608"/>
    <w:rsid w:val="00B566C5"/>
    <w:rsid w:val="00B606CB"/>
    <w:rsid w:val="00B6365C"/>
    <w:rsid w:val="00B646A7"/>
    <w:rsid w:val="00B66740"/>
    <w:rsid w:val="00B763D5"/>
    <w:rsid w:val="00B8140E"/>
    <w:rsid w:val="00B83894"/>
    <w:rsid w:val="00B84E34"/>
    <w:rsid w:val="00B84EA9"/>
    <w:rsid w:val="00B918EF"/>
    <w:rsid w:val="00B9472A"/>
    <w:rsid w:val="00B95172"/>
    <w:rsid w:val="00B97E2B"/>
    <w:rsid w:val="00BA2645"/>
    <w:rsid w:val="00BA4E15"/>
    <w:rsid w:val="00BA50AA"/>
    <w:rsid w:val="00BB0B73"/>
    <w:rsid w:val="00BB2C5B"/>
    <w:rsid w:val="00BB50AF"/>
    <w:rsid w:val="00BC100E"/>
    <w:rsid w:val="00BC147E"/>
    <w:rsid w:val="00BC3479"/>
    <w:rsid w:val="00BC3D5B"/>
    <w:rsid w:val="00BC46B8"/>
    <w:rsid w:val="00BC55A8"/>
    <w:rsid w:val="00BD28F7"/>
    <w:rsid w:val="00BE44D3"/>
    <w:rsid w:val="00BE68AE"/>
    <w:rsid w:val="00BE6C0F"/>
    <w:rsid w:val="00BE76DE"/>
    <w:rsid w:val="00BE7BC3"/>
    <w:rsid w:val="00BF6819"/>
    <w:rsid w:val="00C157F8"/>
    <w:rsid w:val="00C21BAC"/>
    <w:rsid w:val="00C23091"/>
    <w:rsid w:val="00C2550B"/>
    <w:rsid w:val="00C26BC4"/>
    <w:rsid w:val="00C274B8"/>
    <w:rsid w:val="00C31422"/>
    <w:rsid w:val="00C32BA9"/>
    <w:rsid w:val="00C36948"/>
    <w:rsid w:val="00C37A79"/>
    <w:rsid w:val="00C40DA8"/>
    <w:rsid w:val="00C4217F"/>
    <w:rsid w:val="00C471FB"/>
    <w:rsid w:val="00C47E60"/>
    <w:rsid w:val="00C507B6"/>
    <w:rsid w:val="00C520E0"/>
    <w:rsid w:val="00C527D7"/>
    <w:rsid w:val="00C53B2D"/>
    <w:rsid w:val="00C5626D"/>
    <w:rsid w:val="00C5798C"/>
    <w:rsid w:val="00C6285B"/>
    <w:rsid w:val="00C628AC"/>
    <w:rsid w:val="00C64461"/>
    <w:rsid w:val="00C672FC"/>
    <w:rsid w:val="00C7081F"/>
    <w:rsid w:val="00C7360E"/>
    <w:rsid w:val="00C74711"/>
    <w:rsid w:val="00C74C73"/>
    <w:rsid w:val="00C8033D"/>
    <w:rsid w:val="00C838D6"/>
    <w:rsid w:val="00C844C8"/>
    <w:rsid w:val="00C849B0"/>
    <w:rsid w:val="00C858AB"/>
    <w:rsid w:val="00C86833"/>
    <w:rsid w:val="00C905FB"/>
    <w:rsid w:val="00C92BEF"/>
    <w:rsid w:val="00CA6630"/>
    <w:rsid w:val="00CB08A5"/>
    <w:rsid w:val="00CB0F8F"/>
    <w:rsid w:val="00CB241E"/>
    <w:rsid w:val="00CB2CC2"/>
    <w:rsid w:val="00CB44E1"/>
    <w:rsid w:val="00CB51C0"/>
    <w:rsid w:val="00CC52E0"/>
    <w:rsid w:val="00CC5300"/>
    <w:rsid w:val="00CC5FB8"/>
    <w:rsid w:val="00CD0DD3"/>
    <w:rsid w:val="00CD131E"/>
    <w:rsid w:val="00CD1640"/>
    <w:rsid w:val="00CD1998"/>
    <w:rsid w:val="00CD2378"/>
    <w:rsid w:val="00CE15A2"/>
    <w:rsid w:val="00CE20E1"/>
    <w:rsid w:val="00CE217F"/>
    <w:rsid w:val="00CE30BB"/>
    <w:rsid w:val="00CF2FC8"/>
    <w:rsid w:val="00CF483D"/>
    <w:rsid w:val="00D00F09"/>
    <w:rsid w:val="00D041AF"/>
    <w:rsid w:val="00D05719"/>
    <w:rsid w:val="00D059DE"/>
    <w:rsid w:val="00D06153"/>
    <w:rsid w:val="00D07B21"/>
    <w:rsid w:val="00D10D41"/>
    <w:rsid w:val="00D115CB"/>
    <w:rsid w:val="00D11BE1"/>
    <w:rsid w:val="00D11F1A"/>
    <w:rsid w:val="00D1207C"/>
    <w:rsid w:val="00D13071"/>
    <w:rsid w:val="00D136AC"/>
    <w:rsid w:val="00D236BB"/>
    <w:rsid w:val="00D26060"/>
    <w:rsid w:val="00D27ACC"/>
    <w:rsid w:val="00D309D1"/>
    <w:rsid w:val="00D340F2"/>
    <w:rsid w:val="00D34ABB"/>
    <w:rsid w:val="00D34ACE"/>
    <w:rsid w:val="00D351C1"/>
    <w:rsid w:val="00D3561F"/>
    <w:rsid w:val="00D46E2B"/>
    <w:rsid w:val="00D5062D"/>
    <w:rsid w:val="00D50D20"/>
    <w:rsid w:val="00D54A9B"/>
    <w:rsid w:val="00D5670E"/>
    <w:rsid w:val="00D56B69"/>
    <w:rsid w:val="00D6062D"/>
    <w:rsid w:val="00D608A2"/>
    <w:rsid w:val="00D60B7C"/>
    <w:rsid w:val="00D61681"/>
    <w:rsid w:val="00D62467"/>
    <w:rsid w:val="00D67E53"/>
    <w:rsid w:val="00D73379"/>
    <w:rsid w:val="00D740C8"/>
    <w:rsid w:val="00D76DFA"/>
    <w:rsid w:val="00D808CD"/>
    <w:rsid w:val="00D81332"/>
    <w:rsid w:val="00D814E3"/>
    <w:rsid w:val="00D81DD2"/>
    <w:rsid w:val="00D821FD"/>
    <w:rsid w:val="00D83EA0"/>
    <w:rsid w:val="00D85B30"/>
    <w:rsid w:val="00D90EE5"/>
    <w:rsid w:val="00D94157"/>
    <w:rsid w:val="00D9724A"/>
    <w:rsid w:val="00DA5FBB"/>
    <w:rsid w:val="00DA63BF"/>
    <w:rsid w:val="00DA66A4"/>
    <w:rsid w:val="00DA6E58"/>
    <w:rsid w:val="00DB024E"/>
    <w:rsid w:val="00DB0979"/>
    <w:rsid w:val="00DB2973"/>
    <w:rsid w:val="00DB3212"/>
    <w:rsid w:val="00DB4F1B"/>
    <w:rsid w:val="00DB7EFE"/>
    <w:rsid w:val="00DC04CF"/>
    <w:rsid w:val="00DC09E5"/>
    <w:rsid w:val="00DD194B"/>
    <w:rsid w:val="00DD4B70"/>
    <w:rsid w:val="00DD672A"/>
    <w:rsid w:val="00DD67B9"/>
    <w:rsid w:val="00DD70BB"/>
    <w:rsid w:val="00DE03C4"/>
    <w:rsid w:val="00DE281D"/>
    <w:rsid w:val="00DE299A"/>
    <w:rsid w:val="00DE3A1F"/>
    <w:rsid w:val="00DE53FE"/>
    <w:rsid w:val="00DE7090"/>
    <w:rsid w:val="00DF2766"/>
    <w:rsid w:val="00DF4665"/>
    <w:rsid w:val="00DF59F4"/>
    <w:rsid w:val="00E0268F"/>
    <w:rsid w:val="00E03373"/>
    <w:rsid w:val="00E078F9"/>
    <w:rsid w:val="00E10802"/>
    <w:rsid w:val="00E26942"/>
    <w:rsid w:val="00E2708A"/>
    <w:rsid w:val="00E314E5"/>
    <w:rsid w:val="00E326DE"/>
    <w:rsid w:val="00E327C4"/>
    <w:rsid w:val="00E402B5"/>
    <w:rsid w:val="00E40359"/>
    <w:rsid w:val="00E424D7"/>
    <w:rsid w:val="00E468E4"/>
    <w:rsid w:val="00E502C6"/>
    <w:rsid w:val="00E526C9"/>
    <w:rsid w:val="00E54510"/>
    <w:rsid w:val="00E56591"/>
    <w:rsid w:val="00E610EF"/>
    <w:rsid w:val="00E626EB"/>
    <w:rsid w:val="00E62B47"/>
    <w:rsid w:val="00E65028"/>
    <w:rsid w:val="00E6520B"/>
    <w:rsid w:val="00E65E0B"/>
    <w:rsid w:val="00E66DFE"/>
    <w:rsid w:val="00E70850"/>
    <w:rsid w:val="00E7214E"/>
    <w:rsid w:val="00E73FAC"/>
    <w:rsid w:val="00E81C44"/>
    <w:rsid w:val="00E858D7"/>
    <w:rsid w:val="00E901BD"/>
    <w:rsid w:val="00E90D5A"/>
    <w:rsid w:val="00E93FCC"/>
    <w:rsid w:val="00E952BF"/>
    <w:rsid w:val="00E9687F"/>
    <w:rsid w:val="00E96F67"/>
    <w:rsid w:val="00E9780B"/>
    <w:rsid w:val="00EA128D"/>
    <w:rsid w:val="00EA22BB"/>
    <w:rsid w:val="00EA2A05"/>
    <w:rsid w:val="00EA2A07"/>
    <w:rsid w:val="00EA6B55"/>
    <w:rsid w:val="00EB0E8E"/>
    <w:rsid w:val="00EB3F4B"/>
    <w:rsid w:val="00EB7EF2"/>
    <w:rsid w:val="00EC08F1"/>
    <w:rsid w:val="00EC090D"/>
    <w:rsid w:val="00EC0B88"/>
    <w:rsid w:val="00EC35A6"/>
    <w:rsid w:val="00EC5D39"/>
    <w:rsid w:val="00EC6F75"/>
    <w:rsid w:val="00ED0862"/>
    <w:rsid w:val="00ED1A18"/>
    <w:rsid w:val="00ED3271"/>
    <w:rsid w:val="00ED717D"/>
    <w:rsid w:val="00ED774D"/>
    <w:rsid w:val="00EE20B0"/>
    <w:rsid w:val="00EE21C5"/>
    <w:rsid w:val="00EE380E"/>
    <w:rsid w:val="00EE3D0D"/>
    <w:rsid w:val="00EE543C"/>
    <w:rsid w:val="00EE57CA"/>
    <w:rsid w:val="00EF0580"/>
    <w:rsid w:val="00EF1A7F"/>
    <w:rsid w:val="00EF2443"/>
    <w:rsid w:val="00EF403C"/>
    <w:rsid w:val="00EF4F29"/>
    <w:rsid w:val="00EF69F1"/>
    <w:rsid w:val="00F0254D"/>
    <w:rsid w:val="00F029EF"/>
    <w:rsid w:val="00F041A9"/>
    <w:rsid w:val="00F10207"/>
    <w:rsid w:val="00F12C7C"/>
    <w:rsid w:val="00F20122"/>
    <w:rsid w:val="00F210E5"/>
    <w:rsid w:val="00F2172C"/>
    <w:rsid w:val="00F23222"/>
    <w:rsid w:val="00F23D73"/>
    <w:rsid w:val="00F27A2C"/>
    <w:rsid w:val="00F30E63"/>
    <w:rsid w:val="00F318DD"/>
    <w:rsid w:val="00F31F1B"/>
    <w:rsid w:val="00F41B63"/>
    <w:rsid w:val="00F43F2C"/>
    <w:rsid w:val="00F4525B"/>
    <w:rsid w:val="00F472A2"/>
    <w:rsid w:val="00F52698"/>
    <w:rsid w:val="00F55544"/>
    <w:rsid w:val="00F560BA"/>
    <w:rsid w:val="00F66CFE"/>
    <w:rsid w:val="00F67859"/>
    <w:rsid w:val="00F7493E"/>
    <w:rsid w:val="00F7649B"/>
    <w:rsid w:val="00F7665A"/>
    <w:rsid w:val="00F800D1"/>
    <w:rsid w:val="00F8252E"/>
    <w:rsid w:val="00F8326B"/>
    <w:rsid w:val="00F85021"/>
    <w:rsid w:val="00F85067"/>
    <w:rsid w:val="00F856B2"/>
    <w:rsid w:val="00F872AF"/>
    <w:rsid w:val="00F9165B"/>
    <w:rsid w:val="00F951C4"/>
    <w:rsid w:val="00F95947"/>
    <w:rsid w:val="00F95C3D"/>
    <w:rsid w:val="00FA198C"/>
    <w:rsid w:val="00FA2131"/>
    <w:rsid w:val="00FA3A35"/>
    <w:rsid w:val="00FA4EBA"/>
    <w:rsid w:val="00FA6786"/>
    <w:rsid w:val="00FB2537"/>
    <w:rsid w:val="00FB2734"/>
    <w:rsid w:val="00FB37E8"/>
    <w:rsid w:val="00FB4F2E"/>
    <w:rsid w:val="00FB5083"/>
    <w:rsid w:val="00FB7685"/>
    <w:rsid w:val="00FC0064"/>
    <w:rsid w:val="00FC66B4"/>
    <w:rsid w:val="00FD19B7"/>
    <w:rsid w:val="00FD29AB"/>
    <w:rsid w:val="00FD349F"/>
    <w:rsid w:val="00FD6871"/>
    <w:rsid w:val="00FE3173"/>
    <w:rsid w:val="00FE4F77"/>
    <w:rsid w:val="00FE53B8"/>
    <w:rsid w:val="00FE5EAC"/>
    <w:rsid w:val="00FF433A"/>
    <w:rsid w:val="00FF4802"/>
    <w:rsid w:val="00FF5D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9EFE1"/>
  <w15:docId w15:val="{5C012381-2020-4D27-9DD5-ADD989C1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FB"/>
    <w:pPr>
      <w:spacing w:after="240" w:line="360" w:lineRule="auto"/>
    </w:pPr>
    <w:rPr>
      <w:rFonts w:eastAsiaTheme="minorEastAsia"/>
    </w:rPr>
  </w:style>
  <w:style w:type="paragraph" w:styleId="Heading1">
    <w:name w:val="heading 1"/>
    <w:basedOn w:val="Normal"/>
    <w:next w:val="Normal"/>
    <w:link w:val="Heading1Char"/>
    <w:uiPriority w:val="9"/>
    <w:qFormat/>
    <w:rsid w:val="001F71FF"/>
    <w:pPr>
      <w:outlineLvl w:val="0"/>
    </w:pPr>
    <w:rPr>
      <w:b/>
      <w:sz w:val="26"/>
      <w:szCs w:val="26"/>
    </w:rPr>
  </w:style>
  <w:style w:type="paragraph" w:styleId="Heading2">
    <w:name w:val="heading 2"/>
    <w:basedOn w:val="Heading1"/>
    <w:next w:val="Normal"/>
    <w:link w:val="Heading2Char"/>
    <w:uiPriority w:val="9"/>
    <w:unhideWhenUsed/>
    <w:qFormat/>
    <w:rsid w:val="001F71FF"/>
    <w:pPr>
      <w:outlineLvl w:val="1"/>
    </w:pPr>
    <w:rPr>
      <w:sz w:val="24"/>
      <w:szCs w:val="24"/>
    </w:rPr>
  </w:style>
  <w:style w:type="paragraph" w:styleId="Heading3">
    <w:name w:val="heading 3"/>
    <w:basedOn w:val="Normal"/>
    <w:next w:val="Normal"/>
    <w:link w:val="Heading3Char"/>
    <w:uiPriority w:val="9"/>
    <w:unhideWhenUsed/>
    <w:qFormat/>
    <w:rsid w:val="0055366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A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E4F77"/>
    <w:pPr>
      <w:ind w:left="720"/>
      <w:contextualSpacing/>
    </w:pPr>
  </w:style>
  <w:style w:type="character" w:customStyle="1" w:styleId="Heading1Char">
    <w:name w:val="Heading 1 Char"/>
    <w:basedOn w:val="DefaultParagraphFont"/>
    <w:link w:val="Heading1"/>
    <w:uiPriority w:val="9"/>
    <w:rsid w:val="001F71FF"/>
    <w:rPr>
      <w:rFonts w:eastAsiaTheme="minorEastAsia"/>
      <w:b/>
      <w:sz w:val="26"/>
      <w:szCs w:val="26"/>
    </w:rPr>
  </w:style>
  <w:style w:type="character" w:customStyle="1" w:styleId="Heading2Char">
    <w:name w:val="Heading 2 Char"/>
    <w:basedOn w:val="DefaultParagraphFont"/>
    <w:link w:val="Heading2"/>
    <w:uiPriority w:val="9"/>
    <w:rsid w:val="001F71FF"/>
    <w:rPr>
      <w:rFonts w:eastAsiaTheme="minorEastAsia"/>
      <w:b/>
      <w:sz w:val="24"/>
      <w:szCs w:val="24"/>
    </w:rPr>
  </w:style>
  <w:style w:type="paragraph" w:customStyle="1" w:styleId="Beforetables">
    <w:name w:val="Before tables"/>
    <w:basedOn w:val="Normal"/>
    <w:link w:val="BeforetablesChar"/>
    <w:qFormat/>
    <w:rsid w:val="0093659C"/>
    <w:pPr>
      <w:spacing w:after="0"/>
    </w:pPr>
    <w:rPr>
      <w:sz w:val="8"/>
      <w:szCs w:val="8"/>
    </w:rPr>
  </w:style>
  <w:style w:type="character" w:customStyle="1" w:styleId="BeforetablesChar">
    <w:name w:val="Before tables Char"/>
    <w:basedOn w:val="DefaultParagraphFont"/>
    <w:link w:val="Beforetables"/>
    <w:rsid w:val="0093659C"/>
    <w:rPr>
      <w:rFonts w:eastAsiaTheme="minorEastAsia"/>
      <w:sz w:val="8"/>
      <w:szCs w:val="8"/>
    </w:rPr>
  </w:style>
  <w:style w:type="paragraph" w:styleId="Bibliography">
    <w:name w:val="Bibliography"/>
    <w:basedOn w:val="Normal"/>
    <w:next w:val="Normal"/>
    <w:uiPriority w:val="37"/>
    <w:unhideWhenUsed/>
    <w:rsid w:val="004F7002"/>
    <w:pPr>
      <w:tabs>
        <w:tab w:val="left" w:pos="384"/>
      </w:tabs>
      <w:spacing w:line="240" w:lineRule="auto"/>
      <w:ind w:left="384" w:hanging="384"/>
    </w:pPr>
  </w:style>
  <w:style w:type="character" w:styleId="Hyperlink">
    <w:name w:val="Hyperlink"/>
    <w:basedOn w:val="DefaultParagraphFont"/>
    <w:uiPriority w:val="99"/>
    <w:unhideWhenUsed/>
    <w:rsid w:val="00D340F2"/>
    <w:rPr>
      <w:color w:val="0563C1" w:themeColor="hyperlink"/>
      <w:u w:val="single"/>
    </w:rPr>
  </w:style>
  <w:style w:type="paragraph" w:customStyle="1" w:styleId="EndNoteBibliographyTitle">
    <w:name w:val="EndNote Bibliography Title"/>
    <w:basedOn w:val="Normal"/>
    <w:link w:val="EndNoteBibliographyTitleChar"/>
    <w:rsid w:val="004133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3394"/>
    <w:rPr>
      <w:rFonts w:ascii="Calibri" w:eastAsiaTheme="minorEastAsia" w:hAnsi="Calibri" w:cs="Calibri"/>
      <w:noProof/>
      <w:lang w:val="en-US"/>
    </w:rPr>
  </w:style>
  <w:style w:type="paragraph" w:customStyle="1" w:styleId="EndNoteBibliography">
    <w:name w:val="EndNote Bibliography"/>
    <w:basedOn w:val="Normal"/>
    <w:link w:val="EndNoteBibliographyChar"/>
    <w:rsid w:val="0041339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13394"/>
    <w:rPr>
      <w:rFonts w:ascii="Calibri" w:eastAsiaTheme="minorEastAsia" w:hAnsi="Calibri" w:cs="Calibri"/>
      <w:noProof/>
      <w:lang w:val="en-US"/>
    </w:rPr>
  </w:style>
  <w:style w:type="character" w:styleId="CommentReference">
    <w:name w:val="annotation reference"/>
    <w:basedOn w:val="DefaultParagraphFont"/>
    <w:uiPriority w:val="99"/>
    <w:semiHidden/>
    <w:unhideWhenUsed/>
    <w:rsid w:val="007116CB"/>
    <w:rPr>
      <w:sz w:val="16"/>
      <w:szCs w:val="16"/>
    </w:rPr>
  </w:style>
  <w:style w:type="paragraph" w:styleId="CommentText">
    <w:name w:val="annotation text"/>
    <w:basedOn w:val="Normal"/>
    <w:link w:val="CommentTextChar"/>
    <w:uiPriority w:val="99"/>
    <w:unhideWhenUsed/>
    <w:rsid w:val="007116CB"/>
    <w:pPr>
      <w:spacing w:line="240" w:lineRule="auto"/>
    </w:pPr>
    <w:rPr>
      <w:sz w:val="20"/>
      <w:szCs w:val="20"/>
    </w:rPr>
  </w:style>
  <w:style w:type="character" w:customStyle="1" w:styleId="CommentTextChar">
    <w:name w:val="Comment Text Char"/>
    <w:basedOn w:val="DefaultParagraphFont"/>
    <w:link w:val="CommentText"/>
    <w:uiPriority w:val="99"/>
    <w:rsid w:val="007116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16CB"/>
    <w:rPr>
      <w:b/>
      <w:bCs/>
    </w:rPr>
  </w:style>
  <w:style w:type="character" w:customStyle="1" w:styleId="CommentSubjectChar">
    <w:name w:val="Comment Subject Char"/>
    <w:basedOn w:val="CommentTextChar"/>
    <w:link w:val="CommentSubject"/>
    <w:uiPriority w:val="99"/>
    <w:semiHidden/>
    <w:rsid w:val="007116CB"/>
    <w:rPr>
      <w:rFonts w:eastAsiaTheme="minorEastAsia"/>
      <w:b/>
      <w:bCs/>
      <w:sz w:val="20"/>
      <w:szCs w:val="20"/>
    </w:rPr>
  </w:style>
  <w:style w:type="paragraph" w:styleId="BalloonText">
    <w:name w:val="Balloon Text"/>
    <w:basedOn w:val="Normal"/>
    <w:link w:val="BalloonTextChar"/>
    <w:uiPriority w:val="99"/>
    <w:semiHidden/>
    <w:unhideWhenUsed/>
    <w:rsid w:val="0071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CB"/>
    <w:rPr>
      <w:rFonts w:ascii="Tahoma" w:eastAsiaTheme="minorEastAsia" w:hAnsi="Tahoma" w:cs="Tahoma"/>
      <w:sz w:val="16"/>
      <w:szCs w:val="16"/>
    </w:rPr>
  </w:style>
  <w:style w:type="character" w:customStyle="1" w:styleId="UnresolvedMention1">
    <w:name w:val="Unresolved Mention1"/>
    <w:basedOn w:val="DefaultParagraphFont"/>
    <w:uiPriority w:val="99"/>
    <w:semiHidden/>
    <w:unhideWhenUsed/>
    <w:rsid w:val="00C838D6"/>
    <w:rPr>
      <w:color w:val="808080"/>
      <w:shd w:val="clear" w:color="auto" w:fill="E6E6E6"/>
    </w:rPr>
  </w:style>
  <w:style w:type="character" w:styleId="Emphasis">
    <w:name w:val="Emphasis"/>
    <w:basedOn w:val="DefaultParagraphFont"/>
    <w:uiPriority w:val="20"/>
    <w:qFormat/>
    <w:rsid w:val="000513C0"/>
    <w:rPr>
      <w:i/>
      <w:iCs/>
    </w:rPr>
  </w:style>
  <w:style w:type="character" w:customStyle="1" w:styleId="Heading3Char">
    <w:name w:val="Heading 3 Char"/>
    <w:basedOn w:val="DefaultParagraphFont"/>
    <w:link w:val="Heading3"/>
    <w:uiPriority w:val="9"/>
    <w:rsid w:val="00553665"/>
    <w:rPr>
      <w:rFonts w:eastAsiaTheme="minorEastAsia"/>
      <w:u w:val="single"/>
    </w:rPr>
  </w:style>
  <w:style w:type="character" w:customStyle="1" w:styleId="Menzionenonrisolta1">
    <w:name w:val="Menzione non risolta1"/>
    <w:basedOn w:val="DefaultParagraphFont"/>
    <w:uiPriority w:val="99"/>
    <w:semiHidden/>
    <w:unhideWhenUsed/>
    <w:rsid w:val="00E2708A"/>
    <w:rPr>
      <w:color w:val="808080"/>
      <w:shd w:val="clear" w:color="auto" w:fill="E6E6E6"/>
    </w:rPr>
  </w:style>
  <w:style w:type="character" w:styleId="FollowedHyperlink">
    <w:name w:val="FollowedHyperlink"/>
    <w:basedOn w:val="DefaultParagraphFont"/>
    <w:uiPriority w:val="99"/>
    <w:semiHidden/>
    <w:unhideWhenUsed/>
    <w:rsid w:val="00D11BE1"/>
    <w:rPr>
      <w:color w:val="954F72" w:themeColor="followedHyperlink"/>
      <w:u w:val="single"/>
    </w:rPr>
  </w:style>
  <w:style w:type="paragraph" w:styleId="NoSpacing">
    <w:name w:val="No Spacing"/>
    <w:uiPriority w:val="1"/>
    <w:qFormat/>
    <w:rsid w:val="00AE0AD6"/>
    <w:pPr>
      <w:spacing w:after="0" w:line="240" w:lineRule="auto"/>
    </w:pPr>
    <w:rPr>
      <w:rFonts w:eastAsiaTheme="minorEastAsia"/>
    </w:rPr>
  </w:style>
  <w:style w:type="paragraph" w:styleId="Header">
    <w:name w:val="header"/>
    <w:basedOn w:val="Normal"/>
    <w:link w:val="HeaderChar"/>
    <w:uiPriority w:val="99"/>
    <w:unhideWhenUsed/>
    <w:rsid w:val="00611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C83"/>
    <w:rPr>
      <w:rFonts w:eastAsiaTheme="minorEastAsia"/>
    </w:rPr>
  </w:style>
  <w:style w:type="paragraph" w:styleId="Footer">
    <w:name w:val="footer"/>
    <w:basedOn w:val="Normal"/>
    <w:link w:val="FooterChar"/>
    <w:uiPriority w:val="99"/>
    <w:unhideWhenUsed/>
    <w:rsid w:val="00611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C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article?id=10.1371/journal.pone.00662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_elsa_w6_technical_report_v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do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ukdataservice.ac.uk/doc/" TargetMode="External"/><Relationship Id="rId4" Type="http://schemas.openxmlformats.org/officeDocument/2006/relationships/settings" Target="settings.xml"/><Relationship Id="rId9" Type="http://schemas.openxmlformats.org/officeDocument/2006/relationships/hyperlink" Target="http://journals.plos.org/plosone/article?id=10.1371/journal.pone.01045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7591-6C3D-4BDB-91B0-B50E55EF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2A965DE</Template>
  <TotalTime>0</TotalTime>
  <Pages>18</Pages>
  <Words>20634</Words>
  <Characters>117614</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Jackson</dc:creator>
  <cp:lastModifiedBy>Smith, Lee</cp:lastModifiedBy>
  <cp:revision>4</cp:revision>
  <cp:lastPrinted>2018-08-25T07:13:00Z</cp:lastPrinted>
  <dcterms:created xsi:type="dcterms:W3CDTF">2018-10-30T09:47:00Z</dcterms:created>
  <dcterms:modified xsi:type="dcterms:W3CDTF">2018-11-12T14:49:00Z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id="dDiUGk7G"/&gt;&lt;style id="http://www.zotero.org/styles/vancouver" locale="en-US"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ies>
</file>