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DC" w:rsidRDefault="007111DC" w:rsidP="007111DC">
      <w:pPr>
        <w:pStyle w:val="Heading1"/>
      </w:pPr>
      <w:r>
        <w:t>Towards a constructive unbalancing:</w:t>
      </w:r>
      <w:r>
        <w:t xml:space="preserve"> the reflexive turn in information literacy</w:t>
      </w:r>
    </w:p>
    <w:p w:rsidR="00F758E2" w:rsidRPr="007111DC" w:rsidRDefault="00F758E2"/>
    <w:p w:rsidR="002F53C8" w:rsidRDefault="004B35DC" w:rsidP="002F53C8">
      <w:pPr>
        <w:ind w:left="567"/>
      </w:pPr>
      <w:r>
        <w:t>A</w:t>
      </w:r>
      <w:r w:rsidR="002F53C8">
        <w:t xml:space="preserve"> roar of indignation shook the room. Before the commotion had settled down another teacher had stuck his head in the door to see what the trouble was.</w:t>
      </w:r>
    </w:p>
    <w:p w:rsidR="002F53C8" w:rsidRDefault="002F53C8" w:rsidP="00601AA0">
      <w:pPr>
        <w:ind w:left="567"/>
      </w:pPr>
      <w:r>
        <w:t>“It’s all right,” Phaedrus said. “We just accidentally stumbled over a genuine question, and the shock is hard to recover from.”</w:t>
      </w:r>
      <w:r w:rsidR="00520A4A">
        <w:rPr>
          <w:rStyle w:val="EndnoteReference"/>
        </w:rPr>
        <w:endnoteReference w:id="1"/>
      </w:r>
      <w:r w:rsidR="00601AA0">
        <w:t xml:space="preserve"> </w:t>
      </w:r>
    </w:p>
    <w:p w:rsidR="008221E5" w:rsidRDefault="00104848" w:rsidP="008221E5">
      <w:r>
        <w:t>The last two decades have seen a</w:t>
      </w:r>
      <w:r w:rsidR="00086837">
        <w:t xml:space="preserve"> shift in the most fundamental issues of our concern</w:t>
      </w:r>
      <w:r w:rsidR="00291D8D">
        <w:t xml:space="preserve">. This </w:t>
      </w:r>
      <w:r w:rsidR="00F7582C">
        <w:t>transformation</w:t>
      </w:r>
      <w:r w:rsidR="00291D8D">
        <w:t xml:space="preserve"> can be traced in the thought patterns, concepts and metaphors through which we see</w:t>
      </w:r>
      <w:r w:rsidR="00086837">
        <w:t xml:space="preserve"> our practice</w:t>
      </w:r>
      <w:r w:rsidR="00291D8D">
        <w:t xml:space="preserve"> as teaching</w:t>
      </w:r>
      <w:r w:rsidR="00F7582C">
        <w:t xml:space="preserve"> or instruction</w:t>
      </w:r>
      <w:r w:rsidR="00291D8D">
        <w:t xml:space="preserve"> librarians, and which in turn structure it</w:t>
      </w:r>
      <w:r w:rsidR="00086837">
        <w:t xml:space="preserve">. </w:t>
      </w:r>
      <w:r w:rsidR="00291D8D">
        <w:t xml:space="preserve">Above all, </w:t>
      </w:r>
      <w:r w:rsidR="00426D36">
        <w:t>it manifests</w:t>
      </w:r>
      <w:r w:rsidR="00291D8D">
        <w:t xml:space="preserve"> in </w:t>
      </w:r>
      <w:r w:rsidR="00F7582C">
        <w:t>a</w:t>
      </w:r>
      <w:r w:rsidR="00291D8D">
        <w:t xml:space="preserve"> </w:t>
      </w:r>
      <w:r w:rsidR="00F418FA">
        <w:t>relinquishment, ho</w:t>
      </w:r>
      <w:bookmarkStart w:id="0" w:name="_GoBack"/>
      <w:bookmarkEnd w:id="0"/>
      <w:r w:rsidR="00F418FA">
        <w:t xml:space="preserve">wever reluctant, of </w:t>
      </w:r>
      <w:r w:rsidR="00291D8D">
        <w:t>a monolithic</w:t>
      </w:r>
      <w:r w:rsidR="00D712FF">
        <w:t xml:space="preserve"> or absolutist</w:t>
      </w:r>
      <w:r w:rsidR="00291D8D">
        <w:t xml:space="preserve"> vision of information literacy as a sing</w:t>
      </w:r>
      <w:r w:rsidR="008B1A6B">
        <w:t>ular</w:t>
      </w:r>
      <w:r w:rsidR="00291D8D">
        <w:t xml:space="preserve">, </w:t>
      </w:r>
      <w:r w:rsidR="00F8683F">
        <w:t>constant and stably definable</w:t>
      </w:r>
      <w:r w:rsidR="00291D8D">
        <w:t xml:space="preserve"> </w:t>
      </w:r>
      <w:r w:rsidR="00F8683F">
        <w:t>state, in favour of a relational</w:t>
      </w:r>
      <w:r w:rsidR="00F418FA">
        <w:rPr>
          <w:rStyle w:val="EndnoteReference"/>
        </w:rPr>
        <w:endnoteReference w:id="2"/>
      </w:r>
      <w:r w:rsidR="00F418FA">
        <w:t xml:space="preserve"> and</w:t>
      </w:r>
      <w:r w:rsidR="00426D36">
        <w:t xml:space="preserve"> embodied</w:t>
      </w:r>
      <w:r w:rsidR="00F418FA">
        <w:rPr>
          <w:rStyle w:val="EndnoteReference"/>
        </w:rPr>
        <w:endnoteReference w:id="3"/>
      </w:r>
      <w:r w:rsidR="00F8683F">
        <w:t xml:space="preserve"> phenomenon in which </w:t>
      </w:r>
      <w:r w:rsidR="002E1E37">
        <w:t xml:space="preserve">the individual’s unique </w:t>
      </w:r>
      <w:r w:rsidR="00F8683F">
        <w:t>context and connections are of paramount importance.</w:t>
      </w:r>
      <w:r w:rsidR="008176F8">
        <w:t xml:space="preserve"> This</w:t>
      </w:r>
      <w:r w:rsidR="00D712FF">
        <w:t xml:space="preserve"> white</w:t>
      </w:r>
      <w:r w:rsidR="008176F8">
        <w:t xml:space="preserve"> paper highlights both the multiplicity of those contexts</w:t>
      </w:r>
      <w:r w:rsidR="008221E5" w:rsidRPr="008221E5">
        <w:t xml:space="preserve"> </w:t>
      </w:r>
      <w:r w:rsidR="008176F8">
        <w:t>and the global interconnections between our divergent experiences.</w:t>
      </w:r>
    </w:p>
    <w:p w:rsidR="00906F81" w:rsidRDefault="00C25FF4" w:rsidP="00C25FF4">
      <w:r>
        <w:t xml:space="preserve">The monolithic vision of IL </w:t>
      </w:r>
      <w:r w:rsidR="00426D36">
        <w:t>is grounded i</w:t>
      </w:r>
      <w:r>
        <w:t>n a belief that there are</w:t>
      </w:r>
      <w:r w:rsidR="00AD22A7">
        <w:t xml:space="preserve"> comprehensive and</w:t>
      </w:r>
      <w:r>
        <w:t xml:space="preserve"> universally applicable standards both for </w:t>
      </w:r>
      <w:r w:rsidR="00F418FA">
        <w:t xml:space="preserve">information </w:t>
      </w:r>
      <w:r>
        <w:t xml:space="preserve">behaviour and </w:t>
      </w:r>
      <w:r w:rsidR="00F418FA">
        <w:t xml:space="preserve">information </w:t>
      </w:r>
      <w:r>
        <w:t>competency</w:t>
      </w:r>
      <w:r w:rsidR="00906F81">
        <w:t>:</w:t>
      </w:r>
      <w:r>
        <w:t xml:space="preserve"> </w:t>
      </w:r>
      <w:r w:rsidR="00906F81">
        <w:t>‘right ways’ of using information</w:t>
      </w:r>
      <w:r w:rsidR="00F418FA">
        <w:rPr>
          <w:rStyle w:val="EndnoteReference"/>
        </w:rPr>
        <w:endnoteReference w:id="4"/>
      </w:r>
      <w:r w:rsidR="00906F81">
        <w:t xml:space="preserve">, and measurable levels of attainment in doing so. This </w:t>
      </w:r>
      <w:r w:rsidR="00F418FA">
        <w:t>idea</w:t>
      </w:r>
      <w:r w:rsidR="00906F81">
        <w:t xml:space="preserve"> of a </w:t>
      </w:r>
      <w:r w:rsidR="00906F81" w:rsidRPr="00F418FA">
        <w:rPr>
          <w:i/>
        </w:rPr>
        <w:t>universal</w:t>
      </w:r>
      <w:r w:rsidR="00906F81">
        <w:t xml:space="preserve"> form of IL that could be not only </w:t>
      </w:r>
      <w:r w:rsidR="00F418FA">
        <w:t>identified,</w:t>
      </w:r>
      <w:r w:rsidR="00906F81">
        <w:t xml:space="preserve"> but also taught and assessed</w:t>
      </w:r>
      <w:r w:rsidR="00F418FA">
        <w:t>,</w:t>
      </w:r>
      <w:r w:rsidR="00906F81">
        <w:t xml:space="preserve"> seemed to take root early on</w:t>
      </w:r>
      <w:r w:rsidR="00F418FA">
        <w:t xml:space="preserve"> in IL’</w:t>
      </w:r>
      <w:r w:rsidR="006D44C1">
        <w:t>s 40-year</w:t>
      </w:r>
      <w:r w:rsidR="00F418FA">
        <w:t xml:space="preserve"> history</w:t>
      </w:r>
      <w:r w:rsidR="00906F81">
        <w:t xml:space="preserve">. Corporate definitions </w:t>
      </w:r>
      <w:r w:rsidR="008221E5">
        <w:t xml:space="preserve">and models </w:t>
      </w:r>
      <w:r w:rsidR="00906F81">
        <w:t xml:space="preserve">anatomised the encounter with information into a linear process </w:t>
      </w:r>
      <w:r w:rsidR="008540A2">
        <w:t>with a defined end-point</w:t>
      </w:r>
      <w:r w:rsidR="00906F81">
        <w:t xml:space="preserve">, and mandated an order and a method in which that process should </w:t>
      </w:r>
      <w:r w:rsidR="008221E5">
        <w:t>be carried out</w:t>
      </w:r>
      <w:r w:rsidR="008540A2">
        <w:t>. The trajectory carried the learner</w:t>
      </w:r>
      <w:r w:rsidR="00906F81">
        <w:t xml:space="preserve"> </w:t>
      </w:r>
      <w:r>
        <w:t xml:space="preserve">from need identification through searching and </w:t>
      </w:r>
      <w:r w:rsidR="00906F81">
        <w:t xml:space="preserve">locating, through </w:t>
      </w:r>
      <w:r>
        <w:t xml:space="preserve">evaluating to </w:t>
      </w:r>
      <w:r w:rsidR="00D712FF">
        <w:t>cit</w:t>
      </w:r>
      <w:r w:rsidR="00F418FA">
        <w:t>ing, and thus to the</w:t>
      </w:r>
      <w:r w:rsidR="00906F81">
        <w:t xml:space="preserve"> end of</w:t>
      </w:r>
      <w:r w:rsidR="00F418FA">
        <w:t xml:space="preserve"> the</w:t>
      </w:r>
      <w:r w:rsidR="00906F81">
        <w:t xml:space="preserve"> transaction</w:t>
      </w:r>
      <w:r w:rsidR="008540A2">
        <w:t xml:space="preserve"> - as though IL were a convergent force designed to uncover a singular, final answer.</w:t>
      </w:r>
    </w:p>
    <w:p w:rsidR="008221E5" w:rsidRDefault="00906F81" w:rsidP="00C25FF4">
      <w:r>
        <w:t>Despite the unyielding solidity of the models, many IL practitioners</w:t>
      </w:r>
      <w:r w:rsidR="00F01438">
        <w:t xml:space="preserve"> found</w:t>
      </w:r>
      <w:r>
        <w:t xml:space="preserve"> </w:t>
      </w:r>
      <w:r w:rsidR="00F01438">
        <w:t xml:space="preserve">the reality of their teaching to be </w:t>
      </w:r>
      <w:r w:rsidR="00C25FF4">
        <w:t xml:space="preserve">far more </w:t>
      </w:r>
      <w:r w:rsidR="00F01438">
        <w:t>fluid</w:t>
      </w:r>
      <w:r w:rsidR="001A3E60">
        <w:t xml:space="preserve">, </w:t>
      </w:r>
      <w:r w:rsidR="00F7582C">
        <w:t>uncovering</w:t>
      </w:r>
      <w:r w:rsidR="001A3E60">
        <w:t xml:space="preserve"> multiple </w:t>
      </w:r>
      <w:r w:rsidR="008221E5">
        <w:t>legitimate</w:t>
      </w:r>
      <w:r w:rsidR="001A3E60">
        <w:t xml:space="preserve"> app</w:t>
      </w:r>
      <w:r w:rsidR="008221E5">
        <w:t xml:space="preserve">roaches to research problems, contradictory yet valid interpretations of evidence, and instances </w:t>
      </w:r>
      <w:r w:rsidR="00F7582C">
        <w:t>like the one</w:t>
      </w:r>
      <w:r w:rsidR="008221E5">
        <w:t xml:space="preserve"> above where, together with our learners, we stumbled over questions to which we could not immediately</w:t>
      </w:r>
      <w:r w:rsidR="00F7582C">
        <w:t xml:space="preserve"> - or perhaps ever -</w:t>
      </w:r>
      <w:r w:rsidR="008221E5">
        <w:t xml:space="preserve"> find </w:t>
      </w:r>
      <w:r w:rsidR="00F7582C">
        <w:t xml:space="preserve">stable </w:t>
      </w:r>
      <w:r w:rsidR="008221E5">
        <w:t xml:space="preserve">solutions. We learned that knowledge itself is less about acquiring definitive </w:t>
      </w:r>
      <w:r w:rsidR="00F7582C">
        <w:t xml:space="preserve">answers and </w:t>
      </w:r>
      <w:r w:rsidR="008221E5">
        <w:t xml:space="preserve">ways of doing, and more about participating in a dynamic, socially constructed and endlessly developing work. </w:t>
      </w:r>
    </w:p>
    <w:p w:rsidR="00F01438" w:rsidRDefault="008221E5" w:rsidP="00C25FF4">
      <w:r>
        <w:t xml:space="preserve">Our </w:t>
      </w:r>
      <w:r w:rsidR="00865345">
        <w:t xml:space="preserve">certainties have been called into question; our </w:t>
      </w:r>
      <w:r>
        <w:t>equilibrium has been disturbed</w:t>
      </w:r>
      <w:r w:rsidR="00865345">
        <w:t xml:space="preserve">, perhaps beyond </w:t>
      </w:r>
      <w:r w:rsidR="00CF4CE4">
        <w:t>recovery</w:t>
      </w:r>
      <w:r>
        <w:t xml:space="preserve"> - and we are</w:t>
      </w:r>
      <w:r w:rsidR="00865345">
        <w:t>, I believe,</w:t>
      </w:r>
      <w:r>
        <w:t xml:space="preserve"> the better for it.</w:t>
      </w:r>
    </w:p>
    <w:p w:rsidR="00F01438" w:rsidRDefault="00C25FF4" w:rsidP="00F01438">
      <w:r>
        <w:t>In our own understanding and practice, o</w:t>
      </w:r>
      <w:r w:rsidR="00086837">
        <w:t xml:space="preserve">ur roles as information literacy librarians are no longer about guiding </w:t>
      </w:r>
      <w:r w:rsidR="00B11007">
        <w:t xml:space="preserve">students to the ‘right’ resource, and we can no longer </w:t>
      </w:r>
      <w:r w:rsidR="00F418FA">
        <w:t>position</w:t>
      </w:r>
      <w:r w:rsidR="00B11007">
        <w:t xml:space="preserve"> ourselves as mediators, connectors, gatekeepers or kindly sages</w:t>
      </w:r>
      <w:r w:rsidR="00672922">
        <w:rPr>
          <w:rStyle w:val="EndnoteReference"/>
        </w:rPr>
        <w:endnoteReference w:id="5"/>
      </w:r>
      <w:r w:rsidR="00B11007">
        <w:t xml:space="preserve">. Our use is not in </w:t>
      </w:r>
      <w:r w:rsidR="00291D8D">
        <w:t>pointing out the right route to</w:t>
      </w:r>
      <w:r w:rsidR="00F8683F">
        <w:t xml:space="preserve"> academic</w:t>
      </w:r>
      <w:r w:rsidR="00291D8D">
        <w:t xml:space="preserve"> information</w:t>
      </w:r>
      <w:r w:rsidR="00B11007">
        <w:t xml:space="preserve">, but in </w:t>
      </w:r>
      <w:r w:rsidR="00291D8D">
        <w:t>exploring and enacting</w:t>
      </w:r>
      <w:r w:rsidR="00CF4CE4">
        <w:t xml:space="preserve"> as part of a learning community</w:t>
      </w:r>
      <w:r w:rsidR="00291D8D">
        <w:t xml:space="preserve"> the various ways in which </w:t>
      </w:r>
      <w:r w:rsidR="006D44C1">
        <w:t>knowledge</w:t>
      </w:r>
      <w:r w:rsidR="00291D8D">
        <w:t xml:space="preserve"> in any domain may be framed, analysed</w:t>
      </w:r>
      <w:r>
        <w:t>, interpreted</w:t>
      </w:r>
      <w:r w:rsidR="006D44C1">
        <w:t>, questioned, communicated and lived</w:t>
      </w:r>
      <w:r w:rsidR="00F8683F">
        <w:t>.</w:t>
      </w:r>
      <w:r w:rsidR="00865345">
        <w:t xml:space="preserve"> </w:t>
      </w:r>
      <w:r w:rsidR="00B50407">
        <w:t xml:space="preserve">This evolution is captured in the terminological shift from </w:t>
      </w:r>
      <w:r w:rsidR="00865345">
        <w:t xml:space="preserve">‘user education’ </w:t>
      </w:r>
      <w:r w:rsidR="00905652">
        <w:t xml:space="preserve">- </w:t>
      </w:r>
      <w:r w:rsidR="00865345">
        <w:t xml:space="preserve">something done </w:t>
      </w:r>
      <w:r w:rsidR="00865345" w:rsidRPr="00905652">
        <w:rPr>
          <w:i/>
        </w:rPr>
        <w:t>to</w:t>
      </w:r>
      <w:r w:rsidR="00865345">
        <w:t xml:space="preserve"> learners </w:t>
      </w:r>
      <w:r w:rsidR="00865345" w:rsidRPr="00905652">
        <w:rPr>
          <w:i/>
        </w:rPr>
        <w:t>by</w:t>
      </w:r>
      <w:r w:rsidR="00865345">
        <w:t xml:space="preserve"> librarians - to </w:t>
      </w:r>
      <w:r w:rsidR="00865345" w:rsidRPr="00B50407">
        <w:t xml:space="preserve">the language used by </w:t>
      </w:r>
      <w:r w:rsidR="00B50407">
        <w:t>the authors in this paper</w:t>
      </w:r>
      <w:r w:rsidR="00865345" w:rsidRPr="00B50407">
        <w:t xml:space="preserve"> to position their work</w:t>
      </w:r>
      <w:r w:rsidR="00865345">
        <w:t xml:space="preserve">: curriculum integration, academic development, </w:t>
      </w:r>
      <w:r w:rsidR="008C5DBF">
        <w:t>situated practice</w:t>
      </w:r>
      <w:r w:rsidR="00865345">
        <w:t>.</w:t>
      </w:r>
      <w:r w:rsidR="00CF4CE4">
        <w:t xml:space="preserve"> </w:t>
      </w:r>
    </w:p>
    <w:p w:rsidR="00291D8D" w:rsidRDefault="00CF4CE4">
      <w:r>
        <w:t xml:space="preserve">This growing awareness of </w:t>
      </w:r>
      <w:r w:rsidR="006D44C1">
        <w:t>the contextual and co-constructed nature of information, reflected in the ACRL’s movement from ‘standards’ to a negotiated ‘framework’</w:t>
      </w:r>
      <w:r w:rsidR="006D44C1">
        <w:rPr>
          <w:rStyle w:val="EndnoteReference"/>
        </w:rPr>
        <w:endnoteReference w:id="6"/>
      </w:r>
      <w:r w:rsidR="006D44C1">
        <w:t>,</w:t>
      </w:r>
      <w:r>
        <w:t xml:space="preserve"> allows us to recognise the connections between IL and learning. </w:t>
      </w:r>
      <w:r w:rsidR="006360BF">
        <w:t>Once we begin to understand</w:t>
      </w:r>
      <w:r>
        <w:t xml:space="preserve"> learning as “a qualitative change in a person’s way of seeing … rather than a change in the amount of knowledge which someone possesses”</w:t>
      </w:r>
      <w:r w:rsidR="00520A4A">
        <w:rPr>
          <w:rStyle w:val="EndnoteReference"/>
        </w:rPr>
        <w:endnoteReference w:id="7"/>
      </w:r>
      <w:r w:rsidR="00BB723B">
        <w:t xml:space="preserve"> </w:t>
      </w:r>
      <w:r w:rsidR="00620613">
        <w:t>we perceive that,</w:t>
      </w:r>
      <w:r>
        <w:t xml:space="preserve"> </w:t>
      </w:r>
      <w:r w:rsidR="00620613">
        <w:t>as a constituent part of the process of learning</w:t>
      </w:r>
      <w:r>
        <w:t xml:space="preserve">, IL is not </w:t>
      </w:r>
      <w:r w:rsidR="00620613">
        <w:t xml:space="preserve">merely </w:t>
      </w:r>
      <w:r w:rsidRPr="00B11007">
        <w:t>additive</w:t>
      </w:r>
      <w:r>
        <w:t xml:space="preserve"> but transformative.</w:t>
      </w:r>
      <w:r w:rsidR="00620613">
        <w:t xml:space="preserve"> </w:t>
      </w:r>
      <w:r w:rsidR="001E061F">
        <w:t xml:space="preserve">Admitting the validity of information that challenges or contradicts our beliefs, and revising our stance accordingly, is a crucial element of </w:t>
      </w:r>
      <w:r w:rsidR="00AD22A7">
        <w:t xml:space="preserve">transformative </w:t>
      </w:r>
      <w:r w:rsidR="001E061F">
        <w:t>learning and</w:t>
      </w:r>
      <w:r w:rsidR="00AD22A7">
        <w:t xml:space="preserve"> personal</w:t>
      </w:r>
      <w:r w:rsidR="001E061F">
        <w:t xml:space="preserve"> development. Thus, e</w:t>
      </w:r>
      <w:r w:rsidR="00620613">
        <w:t xml:space="preserve">ngaging in </w:t>
      </w:r>
      <w:r w:rsidR="001E061F">
        <w:t>critical encounters with information</w:t>
      </w:r>
      <w:r w:rsidR="00620613">
        <w:t xml:space="preserve"> changes more than the learner’s understanding: it also changes the learner, perhaps profoundly.</w:t>
      </w:r>
      <w:r w:rsidR="001E061F">
        <w:t xml:space="preserve"> </w:t>
      </w:r>
    </w:p>
    <w:p w:rsidR="00EB5760" w:rsidRDefault="00D712FF">
      <w:r>
        <w:t>As a result</w:t>
      </w:r>
      <w:r w:rsidR="00351757">
        <w:t xml:space="preserve">, this </w:t>
      </w:r>
      <w:r w:rsidR="00996CC1">
        <w:t xml:space="preserve">shift towards </w:t>
      </w:r>
      <w:r w:rsidR="00351757">
        <w:t>a more questioning, relational view of IL</w:t>
      </w:r>
      <w:r w:rsidR="00996CC1">
        <w:t xml:space="preserve"> </w:t>
      </w:r>
      <w:r w:rsidR="00351757">
        <w:t>inescapably brings with it</w:t>
      </w:r>
      <w:r w:rsidR="00996CC1">
        <w:t xml:space="preserve"> a </w:t>
      </w:r>
      <w:r w:rsidR="00351757">
        <w:t>destabilising</w:t>
      </w:r>
      <w:r w:rsidR="00996CC1">
        <w:t xml:space="preserve"> of the ‘ownership’ of IL. Within the </w:t>
      </w:r>
      <w:r>
        <w:t>absolutist</w:t>
      </w:r>
      <w:r w:rsidR="00996CC1">
        <w:t xml:space="preserve"> vision of IL</w:t>
      </w:r>
      <w:r w:rsidR="00905652">
        <w:t xml:space="preserve"> as a set of universally </w:t>
      </w:r>
      <w:r w:rsidR="00AD22A7">
        <w:t>defined</w:t>
      </w:r>
      <w:r w:rsidR="00905652">
        <w:t xml:space="preserve"> </w:t>
      </w:r>
      <w:r w:rsidR="00EB5760">
        <w:t>competencies</w:t>
      </w:r>
      <w:r w:rsidR="00996CC1">
        <w:t xml:space="preserve">, it is librarians who articulate what information literacy looks like, assess whether learners have met the </w:t>
      </w:r>
      <w:r w:rsidR="00EB5760">
        <w:t>required</w:t>
      </w:r>
      <w:r w:rsidR="00996CC1">
        <w:t xml:space="preserve"> </w:t>
      </w:r>
      <w:r w:rsidR="00EB5760">
        <w:t xml:space="preserve">standard, and </w:t>
      </w:r>
      <w:r w:rsidR="00AD22A7">
        <w:t xml:space="preserve">graciously </w:t>
      </w:r>
      <w:r w:rsidR="00EB5760">
        <w:t>confer the status of ‘information literate’</w:t>
      </w:r>
      <w:r w:rsidR="00996CC1">
        <w:t xml:space="preserve">. But </w:t>
      </w:r>
      <w:r w:rsidR="00AD22A7">
        <w:t>once we recognise</w:t>
      </w:r>
      <w:r w:rsidR="00EB5760">
        <w:t xml:space="preserve"> </w:t>
      </w:r>
      <w:r w:rsidR="00AD22A7">
        <w:t>the transformational nature of</w:t>
      </w:r>
      <w:r w:rsidR="00EB5760">
        <w:t xml:space="preserve"> the encounter between the individual and information</w:t>
      </w:r>
      <w:r w:rsidR="00996CC1">
        <w:t xml:space="preserve">, </w:t>
      </w:r>
      <w:r w:rsidR="00EB5760">
        <w:t>the agency pass</w:t>
      </w:r>
      <w:r w:rsidR="00AD22A7">
        <w:t>es</w:t>
      </w:r>
      <w:r w:rsidR="00EB5760">
        <w:t xml:space="preserve"> from the librarian to the learner. Once we understand that the value of information varies according to the context within which it is used, we also recognise that it is the individual who is best placed to decide </w:t>
      </w:r>
      <w:r w:rsidR="00996CC1">
        <w:t xml:space="preserve">whether and how to deploy </w:t>
      </w:r>
      <w:r w:rsidR="00EB5760">
        <w:t xml:space="preserve">that </w:t>
      </w:r>
      <w:r>
        <w:t>information</w:t>
      </w:r>
      <w:r w:rsidR="00996CC1">
        <w:t xml:space="preserve"> </w:t>
      </w:r>
      <w:r w:rsidR="00EB5760">
        <w:t xml:space="preserve">to make it serve </w:t>
      </w:r>
      <w:r w:rsidR="00EB5760">
        <w:lastRenderedPageBreak/>
        <w:t>their needs</w:t>
      </w:r>
      <w:r w:rsidR="00AD22A7">
        <w:t xml:space="preserve"> within that context</w:t>
      </w:r>
      <w:r w:rsidR="00EB5760">
        <w:t xml:space="preserve">. </w:t>
      </w:r>
      <w:r w:rsidR="00AD22A7">
        <w:t>Rather than a skill conferred by professionals, we begin to see IL as a state of mind, like Bruner’s description of academic disciplines as “less repositories of knowledge than … methods for the use of mind”.</w:t>
      </w:r>
      <w:r w:rsidR="00AD22A7">
        <w:rPr>
          <w:rStyle w:val="EndnoteReference"/>
        </w:rPr>
        <w:endnoteReference w:id="8"/>
      </w:r>
      <w:r w:rsidR="00AD22A7">
        <w:t xml:space="preserve"> (1960, p.20) From this perspective, information literacy is a critical lens through which we interact with the world and make meaning of it; a way of seeing, and therefore a way of </w:t>
      </w:r>
      <w:r w:rsidR="00AD22A7">
        <w:rPr>
          <w:i/>
        </w:rPr>
        <w:t>being</w:t>
      </w:r>
      <w:r w:rsidR="00AD22A7">
        <w:t>.</w:t>
      </w:r>
    </w:p>
    <w:p w:rsidR="00346BF6" w:rsidRDefault="00EB5760">
      <w:r>
        <w:t xml:space="preserve">To relinquish </w:t>
      </w:r>
      <w:r w:rsidR="008540A2">
        <w:t xml:space="preserve">the </w:t>
      </w:r>
      <w:r w:rsidR="007979E4">
        <w:t xml:space="preserve">reassuring </w:t>
      </w:r>
      <w:r w:rsidR="008540A2">
        <w:t xml:space="preserve">conception of IL as a </w:t>
      </w:r>
      <w:r w:rsidR="00AD22A7">
        <w:t>“prescriptive enumeration of</w:t>
      </w:r>
      <w:r w:rsidR="008540A2">
        <w:t xml:space="preserve"> skill</w:t>
      </w:r>
      <w:r w:rsidR="00AD22A7">
        <w:t>s”</w:t>
      </w:r>
      <w:r w:rsidR="00AD22A7">
        <w:rPr>
          <w:rStyle w:val="EndnoteReference"/>
        </w:rPr>
        <w:endnoteReference w:id="9"/>
      </w:r>
      <w:r w:rsidR="00B50407">
        <w:t xml:space="preserve"> </w:t>
      </w:r>
      <w:r w:rsidR="008540A2">
        <w:t xml:space="preserve">that is the </w:t>
      </w:r>
      <w:r w:rsidR="00B50407">
        <w:t>occupation</w:t>
      </w:r>
      <w:r w:rsidR="00346BF6">
        <w:t xml:space="preserve"> and the </w:t>
      </w:r>
      <w:r w:rsidR="008540A2">
        <w:t>proper preserve of the library</w:t>
      </w:r>
      <w:r>
        <w:t xml:space="preserve"> may seem a loss to mourn. Yet </w:t>
      </w:r>
      <w:r w:rsidR="00AD22A7">
        <w:t>if we</w:t>
      </w:r>
      <w:r>
        <w:t xml:space="preserve"> let go of this idea of our </w:t>
      </w:r>
      <w:r w:rsidR="008540A2">
        <w:t>practice as</w:t>
      </w:r>
      <w:r w:rsidR="007979E4">
        <w:t xml:space="preserve"> a skillset uniquely propounded by librarians</w:t>
      </w:r>
      <w:r>
        <w:t xml:space="preserve"> and </w:t>
      </w:r>
      <w:r w:rsidR="00AD22A7">
        <w:t xml:space="preserve">start </w:t>
      </w:r>
      <w:r>
        <w:t xml:space="preserve">to see it instead </w:t>
      </w:r>
      <w:r w:rsidR="008540A2">
        <w:t>as</w:t>
      </w:r>
      <w:r w:rsidR="008E4499">
        <w:t xml:space="preserve"> a “cluster of interconnected … concepts”</w:t>
      </w:r>
      <w:r w:rsidR="008E4499">
        <w:rPr>
          <w:rStyle w:val="EndnoteReference"/>
        </w:rPr>
        <w:endnoteReference w:id="10"/>
      </w:r>
      <w:r w:rsidR="00B50407">
        <w:t>,</w:t>
      </w:r>
      <w:r w:rsidR="008540A2">
        <w:t xml:space="preserve"> part of a larger enterprise </w:t>
      </w:r>
      <w:r w:rsidR="008E4499">
        <w:t>whose purpose is</w:t>
      </w:r>
      <w:r w:rsidR="008540A2">
        <w:t xml:space="preserve"> both </w:t>
      </w:r>
      <w:r w:rsidR="008E4499">
        <w:t>to educate</w:t>
      </w:r>
      <w:r w:rsidR="008540A2">
        <w:t xml:space="preserve"> and </w:t>
      </w:r>
      <w:r w:rsidR="008E4499">
        <w:t>to discover</w:t>
      </w:r>
      <w:r>
        <w:t xml:space="preserve">, </w:t>
      </w:r>
      <w:r w:rsidR="008E4499">
        <w:t>we</w:t>
      </w:r>
      <w:r>
        <w:t xml:space="preserve"> gain </w:t>
      </w:r>
      <w:r w:rsidR="008E4499">
        <w:t xml:space="preserve">something greater: </w:t>
      </w:r>
      <w:r w:rsidR="008C5DBF">
        <w:t>partnership</w:t>
      </w:r>
      <w:r>
        <w:t xml:space="preserve"> </w:t>
      </w:r>
      <w:r w:rsidR="008C5DBF">
        <w:t xml:space="preserve">in a community engaged in </w:t>
      </w:r>
      <w:r w:rsidR="008540A2">
        <w:t xml:space="preserve">the </w:t>
      </w:r>
      <w:r w:rsidR="00096D7A">
        <w:t>construction</w:t>
      </w:r>
      <w:r w:rsidR="008540A2">
        <w:t xml:space="preserve"> of knowledge.</w:t>
      </w:r>
      <w:r w:rsidR="00346BF6">
        <w:t xml:space="preserve"> </w:t>
      </w:r>
    </w:p>
    <w:p w:rsidR="00B50407" w:rsidRPr="00096D7A" w:rsidRDefault="00B50407" w:rsidP="00B50407">
      <w:pPr>
        <w:rPr>
          <w:rFonts w:cs="Arial"/>
        </w:rPr>
      </w:pPr>
      <w:r w:rsidRPr="00096D7A">
        <w:rPr>
          <w:rFonts w:cs="Arial"/>
        </w:rPr>
        <w:t xml:space="preserve">Good teachers don’t just </w:t>
      </w:r>
      <w:r w:rsidRPr="00096D7A">
        <w:rPr>
          <w:rFonts w:cs="Arial"/>
          <w:i/>
        </w:rPr>
        <w:t>do</w:t>
      </w:r>
      <w:r w:rsidRPr="00096D7A">
        <w:rPr>
          <w:rFonts w:cs="Arial"/>
        </w:rPr>
        <w:t xml:space="preserve">; they </w:t>
      </w:r>
      <w:r w:rsidRPr="00096D7A">
        <w:rPr>
          <w:rFonts w:cs="Arial"/>
          <w:i/>
        </w:rPr>
        <w:t>are</w:t>
      </w:r>
      <w:r w:rsidRPr="00096D7A">
        <w:rPr>
          <w:rFonts w:cs="Arial"/>
        </w:rPr>
        <w:t>.</w:t>
      </w:r>
      <w:r>
        <w:rPr>
          <w:rFonts w:cs="Arial"/>
        </w:rPr>
        <w:t xml:space="preserve"> </w:t>
      </w:r>
      <w:r w:rsidRPr="00096D7A">
        <w:rPr>
          <w:rFonts w:cs="Arial"/>
        </w:rPr>
        <w:t>T</w:t>
      </w:r>
      <w:r>
        <w:rPr>
          <w:rFonts w:cs="Arial"/>
        </w:rPr>
        <w:t xml:space="preserve">hey model </w:t>
      </w:r>
      <w:r w:rsidRPr="00096D7A">
        <w:rPr>
          <w:rFonts w:cs="Arial"/>
        </w:rPr>
        <w:t>way</w:t>
      </w:r>
      <w:r>
        <w:rPr>
          <w:rFonts w:cs="Arial"/>
        </w:rPr>
        <w:t>s</w:t>
      </w:r>
      <w:r w:rsidRPr="00096D7A">
        <w:rPr>
          <w:rFonts w:cs="Arial"/>
        </w:rPr>
        <w:t xml:space="preserve"> of being, approach</w:t>
      </w:r>
      <w:r>
        <w:rPr>
          <w:rFonts w:cs="Arial"/>
        </w:rPr>
        <w:t>es</w:t>
      </w:r>
      <w:r w:rsidRPr="00096D7A">
        <w:rPr>
          <w:rFonts w:cs="Arial"/>
        </w:rPr>
        <w:t xml:space="preserve"> </w:t>
      </w:r>
      <w:r>
        <w:rPr>
          <w:rFonts w:cs="Arial"/>
        </w:rPr>
        <w:t xml:space="preserve">and </w:t>
      </w:r>
      <w:r w:rsidRPr="00096D7A">
        <w:rPr>
          <w:rFonts w:cs="Arial"/>
        </w:rPr>
        <w:t>mindset</w:t>
      </w:r>
      <w:r>
        <w:rPr>
          <w:rFonts w:cs="Arial"/>
        </w:rPr>
        <w:t>s</w:t>
      </w:r>
      <w:r w:rsidRPr="00096D7A">
        <w:rPr>
          <w:rFonts w:cs="Arial"/>
        </w:rPr>
        <w:t>, that can help learners to decide who and how they want to be. Our role</w:t>
      </w:r>
      <w:r>
        <w:rPr>
          <w:rFonts w:cs="Arial"/>
        </w:rPr>
        <w:t xml:space="preserve"> as information literacy practitioners</w:t>
      </w:r>
      <w:r w:rsidRPr="00096D7A">
        <w:rPr>
          <w:rFonts w:cs="Arial"/>
        </w:rPr>
        <w:t xml:space="preserve"> is not to describe a critical </w:t>
      </w:r>
      <w:r>
        <w:rPr>
          <w:rFonts w:cs="Arial"/>
        </w:rPr>
        <w:t>relationship with information,</w:t>
      </w:r>
      <w:r w:rsidRPr="00096D7A">
        <w:rPr>
          <w:rFonts w:cs="Arial"/>
        </w:rPr>
        <w:t xml:space="preserve"> but to </w:t>
      </w:r>
      <w:r w:rsidR="007979E4">
        <w:rPr>
          <w:rFonts w:cs="Arial"/>
        </w:rPr>
        <w:t>enact</w:t>
      </w:r>
      <w:r w:rsidRPr="00096D7A">
        <w:rPr>
          <w:rFonts w:cs="Arial"/>
        </w:rPr>
        <w:t xml:space="preserve"> it: to </w:t>
      </w:r>
      <w:r w:rsidR="007979E4">
        <w:rPr>
          <w:rFonts w:cs="Arial"/>
        </w:rPr>
        <w:t>model</w:t>
      </w:r>
      <w:r w:rsidRPr="00096D7A">
        <w:rPr>
          <w:rFonts w:cs="Arial"/>
        </w:rPr>
        <w:t xml:space="preserve"> what </w:t>
      </w:r>
      <w:r>
        <w:rPr>
          <w:rFonts w:cs="Arial"/>
        </w:rPr>
        <w:t>an approach</w:t>
      </w:r>
      <w:r w:rsidRPr="00096D7A">
        <w:rPr>
          <w:rFonts w:cs="Arial"/>
        </w:rPr>
        <w:t xml:space="preserve"> based on critical appraisal and discernment, on asking questions, on weighing evidence, on probing arguments, statistics and </w:t>
      </w:r>
      <w:r>
        <w:rPr>
          <w:rFonts w:cs="Arial"/>
        </w:rPr>
        <w:t>claims</w:t>
      </w:r>
      <w:r w:rsidRPr="00096D7A">
        <w:rPr>
          <w:rFonts w:cs="Arial"/>
        </w:rPr>
        <w:t xml:space="preserve"> looks like, not only in the academic </w:t>
      </w:r>
      <w:r>
        <w:rPr>
          <w:rFonts w:cs="Arial"/>
        </w:rPr>
        <w:t>arena</w:t>
      </w:r>
      <w:r w:rsidRPr="00096D7A">
        <w:rPr>
          <w:rFonts w:cs="Arial"/>
        </w:rPr>
        <w:t xml:space="preserve"> but in everyday life. </w:t>
      </w:r>
    </w:p>
    <w:p w:rsidR="00672922" w:rsidRDefault="00B50407" w:rsidP="00997742">
      <w:r>
        <w:t xml:space="preserve">Adopting this role brings with it </w:t>
      </w:r>
      <w:r w:rsidR="00302496">
        <w:t xml:space="preserve">one </w:t>
      </w:r>
      <w:r>
        <w:t>other disconcerting responsibility</w:t>
      </w:r>
      <w:r w:rsidR="00DA6238">
        <w:t xml:space="preserve">: </w:t>
      </w:r>
      <w:r w:rsidR="00714E33">
        <w:t xml:space="preserve">to apply as far as we can the same </w:t>
      </w:r>
      <w:r w:rsidR="00DA6238">
        <w:t xml:space="preserve">critical gaze </w:t>
      </w:r>
      <w:r w:rsidR="00714E33">
        <w:t>to</w:t>
      </w:r>
      <w:r w:rsidR="00DA6238">
        <w:t xml:space="preserve"> the </w:t>
      </w:r>
      <w:r w:rsidR="00302496">
        <w:t>underpinning values</w:t>
      </w:r>
      <w:r w:rsidR="007979E4">
        <w:t xml:space="preserve"> of our own practice. This movement, which is broadly labelled c</w:t>
      </w:r>
      <w:r w:rsidR="00DA6238">
        <w:t xml:space="preserve">ritical </w:t>
      </w:r>
      <w:r w:rsidR="00302496">
        <w:t>information literacy</w:t>
      </w:r>
      <w:r w:rsidR="007979E4">
        <w:t>,</w:t>
      </w:r>
      <w:r w:rsidR="00302496">
        <w:t xml:space="preserve"> represents a reflexive turn in IL thinking which argues that </w:t>
      </w:r>
      <w:r w:rsidR="00DA6238">
        <w:t xml:space="preserve">as educators </w:t>
      </w:r>
      <w:r w:rsidR="00302496">
        <w:t xml:space="preserve">we are </w:t>
      </w:r>
      <w:r w:rsidR="00DA6238">
        <w:t xml:space="preserve">inescapably </w:t>
      </w:r>
      <w:r w:rsidR="00302496">
        <w:t xml:space="preserve">involved </w:t>
      </w:r>
      <w:r w:rsidR="00DA6238">
        <w:t>in an unequal power structure</w:t>
      </w:r>
      <w:r w:rsidR="00DA6238" w:rsidRPr="00DA6238">
        <w:t xml:space="preserve"> </w:t>
      </w:r>
      <w:r w:rsidR="00DA6238">
        <w:t xml:space="preserve">whose greatest achievement may be the pretence of being innate. Our choice is either </w:t>
      </w:r>
      <w:r w:rsidR="00302496">
        <w:t xml:space="preserve">to accept or </w:t>
      </w:r>
      <w:r w:rsidR="00714E33">
        <w:t xml:space="preserve">to </w:t>
      </w:r>
      <w:r w:rsidR="00DA6238">
        <w:t>question that structure</w:t>
      </w:r>
      <w:r w:rsidR="00714E33">
        <w:t>:</w:t>
      </w:r>
      <w:r w:rsidR="00DA6238">
        <w:t xml:space="preserve"> we </w:t>
      </w:r>
      <w:r w:rsidR="00714E33">
        <w:t xml:space="preserve">cannot remove ourselves from it, to </w:t>
      </w:r>
      <w:r w:rsidR="00DA6238">
        <w:t>criticise it from a position of objectivity. “Neutrality is not an option”</w:t>
      </w:r>
      <w:r w:rsidR="00997742">
        <w:rPr>
          <w:rStyle w:val="EndnoteReference"/>
        </w:rPr>
        <w:endnoteReference w:id="11"/>
      </w:r>
      <w:r w:rsidR="00DA6238">
        <w:t>.</w:t>
      </w:r>
      <w:r w:rsidR="00997742">
        <w:t xml:space="preserve">  </w:t>
      </w:r>
    </w:p>
    <w:p w:rsidR="0007492C" w:rsidRDefault="0007492C" w:rsidP="0087654F">
      <w:r>
        <w:t>This reflexive position disconcerts</w:t>
      </w:r>
      <w:r w:rsidR="00C9647A">
        <w:t xml:space="preserve"> once again</w:t>
      </w:r>
      <w:r>
        <w:t xml:space="preserve"> our achieved beliefs</w:t>
      </w:r>
      <w:r w:rsidR="00C9647A">
        <w:t xml:space="preserve"> and</w:t>
      </w:r>
      <w:r>
        <w:t xml:space="preserve"> erodes</w:t>
      </w:r>
      <w:r w:rsidR="007979E4">
        <w:t xml:space="preserve"> even</w:t>
      </w:r>
      <w:r w:rsidR="00C9647A">
        <w:t xml:space="preserve"> </w:t>
      </w:r>
      <w:r>
        <w:t xml:space="preserve">the </w:t>
      </w:r>
      <w:r w:rsidR="00B1250D">
        <w:t xml:space="preserve">provisional </w:t>
      </w:r>
      <w:r w:rsidR="007979E4">
        <w:t>securities</w:t>
      </w:r>
      <w:r>
        <w:t xml:space="preserve"> of our </w:t>
      </w:r>
      <w:r w:rsidR="00C9647A">
        <w:t>reflective practice</w:t>
      </w:r>
      <w:r>
        <w:t>. But</w:t>
      </w:r>
      <w:r w:rsidR="00B1250D">
        <w:t>, again,</w:t>
      </w:r>
      <w:r>
        <w:t xml:space="preserve"> that loss of certainty and comfort is compensated</w:t>
      </w:r>
      <w:r w:rsidR="00B1250D">
        <w:t xml:space="preserve"> for</w:t>
      </w:r>
      <w:r>
        <w:t xml:space="preserve"> by </w:t>
      </w:r>
      <w:r w:rsidR="00B1250D">
        <w:t>the possibility of</w:t>
      </w:r>
      <w:r>
        <w:t xml:space="preserve"> a greater integrity, a deeper insight, and a </w:t>
      </w:r>
      <w:r w:rsidR="00B1250D">
        <w:t>new</w:t>
      </w:r>
      <w:r>
        <w:t xml:space="preserve"> awareness of our place as learners and inquirers wi</w:t>
      </w:r>
      <w:r w:rsidR="00997742">
        <w:t>thin a wider community of practice, one which consists of an intersecting set of communities such as that modelled in this work.</w:t>
      </w:r>
    </w:p>
    <w:p w:rsidR="00A6071A" w:rsidRDefault="00997742">
      <w:r>
        <w:t xml:space="preserve">The work does not end with the </w:t>
      </w:r>
      <w:r w:rsidR="00CA36F0">
        <w:t>abjuring of our neutrality. Rather, it is from that unstable point that it begins. R</w:t>
      </w:r>
      <w:r w:rsidR="006E34DD">
        <w:t xml:space="preserve">adical commitment to a vision of IL that embraces uncertainty, </w:t>
      </w:r>
      <w:r w:rsidR="00CA36F0">
        <w:t>multiple viewpoints and unfixed knowledge</w:t>
      </w:r>
      <w:r w:rsidR="006E34DD">
        <w:t xml:space="preserve"> may still be reappropriated by a more determinate position, </w:t>
      </w:r>
      <w:r w:rsidR="00CA36F0">
        <w:t>petrified</w:t>
      </w:r>
      <w:r w:rsidR="006E34DD">
        <w:t xml:space="preserve"> by institutional pressures, </w:t>
      </w:r>
      <w:r w:rsidR="00CA36F0">
        <w:t xml:space="preserve">brought to a standstill by </w:t>
      </w:r>
      <w:r w:rsidR="006E34DD">
        <w:t>economic imperat</w:t>
      </w:r>
      <w:r w:rsidR="00CA36F0">
        <w:t>ives surrounding the university</w:t>
      </w:r>
      <w:r w:rsidR="006E34DD">
        <w:t xml:space="preserve"> </w:t>
      </w:r>
      <w:r w:rsidR="007979E4">
        <w:t>(</w:t>
      </w:r>
      <w:r w:rsidR="00CA36F0">
        <w:t>such as</w:t>
      </w:r>
      <w:r w:rsidR="006E34DD">
        <w:t xml:space="preserve"> ever-increasing calls to demonstrate value</w:t>
      </w:r>
      <w:r w:rsidR="007979E4">
        <w:t xml:space="preserve"> through quantitative measures)</w:t>
      </w:r>
      <w:r w:rsidR="006E34DD">
        <w:t xml:space="preserve">. </w:t>
      </w:r>
      <w:r w:rsidR="00A6071A">
        <w:t xml:space="preserve">To maintain our commitment to openness, contingency, pushing beyond ‘right answers’, we need the support </w:t>
      </w:r>
      <w:r w:rsidR="00CA36F0">
        <w:t xml:space="preserve">and provocation </w:t>
      </w:r>
      <w:r w:rsidR="00A6071A">
        <w:t xml:space="preserve">of our peers. If it takes a village to raise a child, it takes a community of practice to maintain a reflective </w:t>
      </w:r>
      <w:r w:rsidR="00BE4339">
        <w:t>information literacy practitioner</w:t>
      </w:r>
      <w:r w:rsidR="001D3EBF">
        <w:t>: a librarian</w:t>
      </w:r>
      <w:r w:rsidR="00BE4339">
        <w:t xml:space="preserve"> capable of embracing uncertainty and </w:t>
      </w:r>
      <w:r w:rsidR="00023325">
        <w:t xml:space="preserve">of </w:t>
      </w:r>
      <w:r w:rsidR="00CB6D75">
        <w:t>turning an unfearing</w:t>
      </w:r>
      <w:r w:rsidR="00BE4339">
        <w:t xml:space="preserve"> questioning gaze on their own identity and entitlement.</w:t>
      </w:r>
    </w:p>
    <w:p w:rsidR="00F050CD" w:rsidRPr="0087654F" w:rsidRDefault="00F050CD" w:rsidP="00F758E2"/>
    <w:sectPr w:rsidR="00F050CD" w:rsidRPr="0087654F" w:rsidSect="007703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1D" w:rsidRDefault="007F161D" w:rsidP="00520A4A">
      <w:pPr>
        <w:spacing w:after="0"/>
      </w:pPr>
      <w:r>
        <w:separator/>
      </w:r>
    </w:p>
  </w:endnote>
  <w:endnote w:type="continuationSeparator" w:id="0">
    <w:p w:rsidR="007F161D" w:rsidRDefault="007F161D" w:rsidP="00520A4A">
      <w:pPr>
        <w:spacing w:after="0"/>
      </w:pPr>
      <w:r>
        <w:continuationSeparator/>
      </w:r>
    </w:p>
  </w:endnote>
  <w:endnote w:id="1">
    <w:p w:rsidR="00520A4A" w:rsidRPr="00520A4A" w:rsidRDefault="00520A4A" w:rsidP="003F6651">
      <w:pPr>
        <w:pStyle w:val="EndnoteText"/>
        <w:spacing w:after="120"/>
      </w:pPr>
      <w:r>
        <w:rPr>
          <w:rStyle w:val="EndnoteReference"/>
        </w:rPr>
        <w:endnoteRef/>
      </w:r>
      <w:r>
        <w:t xml:space="preserve"> Robert M. Pirsig, </w:t>
      </w:r>
      <w:r>
        <w:rPr>
          <w:i/>
        </w:rPr>
        <w:t>Zen and the Art of Motorcycle Maintenance: An Inquiry into Values</w:t>
      </w:r>
      <w:r>
        <w:t xml:space="preserve"> (London: </w:t>
      </w:r>
      <w:r w:rsidR="00376C0C">
        <w:t>Bodley Head</w:t>
      </w:r>
      <w:r>
        <w:t>, 19</w:t>
      </w:r>
      <w:r w:rsidR="00376C0C">
        <w:t>74</w:t>
      </w:r>
      <w:r>
        <w:t>), 20</w:t>
      </w:r>
      <w:r w:rsidR="00376C0C">
        <w:t>5</w:t>
      </w:r>
      <w:r>
        <w:t>.</w:t>
      </w:r>
    </w:p>
  </w:endnote>
  <w:endnote w:id="2">
    <w:p w:rsidR="00F418FA" w:rsidRDefault="00F418FA" w:rsidP="003F6651">
      <w:r>
        <w:rPr>
          <w:rStyle w:val="EndnoteReference"/>
        </w:rPr>
        <w:endnoteRef/>
      </w:r>
      <w:r>
        <w:t xml:space="preserve"> </w:t>
      </w:r>
      <w:r w:rsidR="00376C0C" w:rsidRPr="00376C0C">
        <w:rPr>
          <w:rStyle w:val="selectable"/>
          <w:sz w:val="20"/>
          <w:szCs w:val="20"/>
        </w:rPr>
        <w:t>Christine</w:t>
      </w:r>
      <w:r w:rsidR="00376C0C">
        <w:rPr>
          <w:rStyle w:val="selectable"/>
          <w:sz w:val="20"/>
          <w:szCs w:val="20"/>
        </w:rPr>
        <w:t xml:space="preserve"> Bruce</w:t>
      </w:r>
      <w:r w:rsidR="00376C0C" w:rsidRPr="00376C0C">
        <w:rPr>
          <w:rStyle w:val="selectable"/>
          <w:sz w:val="20"/>
          <w:szCs w:val="20"/>
        </w:rPr>
        <w:t>, S</w:t>
      </w:r>
      <w:r w:rsidR="00376C0C">
        <w:rPr>
          <w:rStyle w:val="selectable"/>
          <w:sz w:val="20"/>
          <w:szCs w:val="20"/>
        </w:rPr>
        <w:t>ylvia Edwards, and Mandy Lupton,</w:t>
      </w:r>
      <w:r w:rsidR="00376C0C" w:rsidRPr="00376C0C">
        <w:rPr>
          <w:rStyle w:val="selectable"/>
          <w:sz w:val="20"/>
          <w:szCs w:val="20"/>
        </w:rPr>
        <w:t xml:space="preserve"> "Six Frames For Information Literacy Education: A Conceptual Framework For Interpreting The Relationships Between Theory And Practice</w:t>
      </w:r>
      <w:r w:rsidR="00376C0C">
        <w:rPr>
          <w:rStyle w:val="selectable"/>
          <w:sz w:val="20"/>
          <w:szCs w:val="20"/>
        </w:rPr>
        <w:t>,</w:t>
      </w:r>
      <w:r w:rsidR="00376C0C" w:rsidRPr="00376C0C">
        <w:rPr>
          <w:rStyle w:val="selectable"/>
          <w:sz w:val="20"/>
          <w:szCs w:val="20"/>
        </w:rPr>
        <w:t>"</w:t>
      </w:r>
      <w:r w:rsidR="00376C0C">
        <w:rPr>
          <w:rStyle w:val="selectable"/>
          <w:sz w:val="20"/>
          <w:szCs w:val="20"/>
        </w:rPr>
        <w:t xml:space="preserve"> </w:t>
      </w:r>
      <w:r w:rsidR="00376C0C" w:rsidRPr="00376C0C">
        <w:rPr>
          <w:rStyle w:val="selectable"/>
          <w:i/>
          <w:iCs/>
          <w:sz w:val="20"/>
          <w:szCs w:val="20"/>
        </w:rPr>
        <w:t>Innovation In Teaching And Learning In Information And Computer Sciences</w:t>
      </w:r>
      <w:r w:rsidR="00376C0C" w:rsidRPr="00376C0C">
        <w:rPr>
          <w:rStyle w:val="selectable"/>
          <w:sz w:val="20"/>
          <w:szCs w:val="20"/>
        </w:rPr>
        <w:t xml:space="preserve"> 5</w:t>
      </w:r>
      <w:r w:rsidR="00E44819">
        <w:rPr>
          <w:rStyle w:val="selectable"/>
          <w:sz w:val="20"/>
          <w:szCs w:val="20"/>
        </w:rPr>
        <w:t>, no. 1 (2006</w:t>
      </w:r>
      <w:r w:rsidR="00376C0C" w:rsidRPr="00376C0C">
        <w:rPr>
          <w:rStyle w:val="selectable"/>
          <w:sz w:val="20"/>
          <w:szCs w:val="20"/>
        </w:rPr>
        <w:t>): 1-18</w:t>
      </w:r>
      <w:r w:rsidR="00376C0C">
        <w:rPr>
          <w:rStyle w:val="selectable"/>
          <w:sz w:val="20"/>
          <w:szCs w:val="20"/>
        </w:rPr>
        <w:t>, accessed January 10, 2017,</w:t>
      </w:r>
      <w:r w:rsidR="00376C0C" w:rsidRPr="00376C0C">
        <w:rPr>
          <w:rStyle w:val="selectable"/>
          <w:sz w:val="20"/>
          <w:szCs w:val="20"/>
        </w:rPr>
        <w:t xml:space="preserve"> doi:10.11120/ital.2006.05010002.</w:t>
      </w:r>
    </w:p>
  </w:endnote>
  <w:endnote w:id="3">
    <w:p w:rsidR="00993C96" w:rsidRDefault="00F418FA" w:rsidP="003F6651">
      <w:pPr>
        <w:pStyle w:val="EndnoteText"/>
        <w:spacing w:after="120"/>
      </w:pPr>
      <w:r>
        <w:rPr>
          <w:rStyle w:val="EndnoteReference"/>
        </w:rPr>
        <w:endnoteRef/>
      </w:r>
      <w:r>
        <w:t xml:space="preserve"> </w:t>
      </w:r>
      <w:r w:rsidR="00993C96">
        <w:t xml:space="preserve">Annemaree </w:t>
      </w:r>
      <w:r>
        <w:t>Lloyd</w:t>
      </w:r>
      <w:r w:rsidR="00993C96">
        <w:t xml:space="preserve">, “Information Literacy Landscapes: An Emerging Picture,” </w:t>
      </w:r>
      <w:r w:rsidR="00993C96">
        <w:rPr>
          <w:i/>
        </w:rPr>
        <w:t>Journal of Documentation</w:t>
      </w:r>
      <w:r w:rsidR="00993C96">
        <w:t xml:space="preserve"> 62</w:t>
      </w:r>
      <w:r w:rsidR="00402053">
        <w:t>, no. 5</w:t>
      </w:r>
      <w:r w:rsidR="00993C96">
        <w:t xml:space="preserve"> (</w:t>
      </w:r>
      <w:r w:rsidR="00402053">
        <w:t>2006</w:t>
      </w:r>
      <w:r w:rsidR="00993C96">
        <w:t>): 570-583, accessed January 12, 2017, doi:</w:t>
      </w:r>
      <w:hyperlink r:id="rId1" w:history="1">
        <w:r w:rsidR="00993C96" w:rsidRPr="00993C96">
          <w:rPr>
            <w:rStyle w:val="Hyperlink"/>
            <w:rFonts w:cs="Arial"/>
            <w:color w:val="auto"/>
            <w:spacing w:val="5"/>
            <w:u w:val="none"/>
            <w:shd w:val="clear" w:color="auto" w:fill="FFFFFF"/>
          </w:rPr>
          <w:t>10.1108/00220410610688723</w:t>
        </w:r>
      </w:hyperlink>
      <w:r w:rsidR="00993C96">
        <w:t>.</w:t>
      </w:r>
    </w:p>
  </w:endnote>
  <w:endnote w:id="4">
    <w:p w:rsidR="00F51670" w:rsidRDefault="00F418FA" w:rsidP="003F6651">
      <w:pPr>
        <w:pStyle w:val="EndnoteText"/>
        <w:spacing w:after="120"/>
      </w:pPr>
      <w:r>
        <w:rPr>
          <w:rStyle w:val="EndnoteReference"/>
        </w:rPr>
        <w:endnoteRef/>
      </w:r>
      <w:r>
        <w:t xml:space="preserve"> </w:t>
      </w:r>
      <w:r w:rsidR="00F51670">
        <w:t xml:space="preserve">Andrew </w:t>
      </w:r>
      <w:r>
        <w:t>Whitworth</w:t>
      </w:r>
      <w:r w:rsidR="00F51670">
        <w:t xml:space="preserve">, “Communicative Competence in the Information Age: Towards a Critical Theory of Information Literacy Education,” </w:t>
      </w:r>
      <w:r w:rsidR="00F51670">
        <w:rPr>
          <w:i/>
        </w:rPr>
        <w:t>Italics</w:t>
      </w:r>
      <w:r w:rsidR="00F51670">
        <w:t xml:space="preserve"> 5</w:t>
      </w:r>
      <w:r w:rsidR="00402053">
        <w:t>, no. 1 (2006</w:t>
      </w:r>
      <w:r w:rsidR="00F51670">
        <w:t xml:space="preserve">), </w:t>
      </w:r>
      <w:r w:rsidR="00402053">
        <w:t>accessed January 12, 2017, doi:</w:t>
      </w:r>
      <w:r w:rsidR="00F51670" w:rsidRPr="00F51670">
        <w:t>10.11120/ital.2006.05010007</w:t>
      </w:r>
      <w:r w:rsidR="00F51670">
        <w:t>.</w:t>
      </w:r>
    </w:p>
  </w:endnote>
  <w:endnote w:id="5">
    <w:p w:rsidR="00672922" w:rsidRPr="00F51670" w:rsidRDefault="00672922" w:rsidP="003F6651">
      <w:pPr>
        <w:pStyle w:val="EndnoteText"/>
        <w:spacing w:after="120"/>
      </w:pPr>
      <w:r>
        <w:rPr>
          <w:rStyle w:val="EndnoteReference"/>
        </w:rPr>
        <w:endnoteRef/>
      </w:r>
      <w:r>
        <w:t xml:space="preserve"> </w:t>
      </w:r>
      <w:r w:rsidR="00F51670">
        <w:t xml:space="preserve">Andrew Walsh and Emma Coonan, eds., </w:t>
      </w:r>
      <w:r w:rsidRPr="00F51670">
        <w:rPr>
          <w:i/>
        </w:rPr>
        <w:t>Only Connect</w:t>
      </w:r>
      <w:r>
        <w:t xml:space="preserve"> </w:t>
      </w:r>
      <w:r w:rsidR="00F51670" w:rsidRPr="00F51670">
        <w:rPr>
          <w:i/>
        </w:rPr>
        <w:t xml:space="preserve">… </w:t>
      </w:r>
      <w:r w:rsidR="00CB6D75">
        <w:rPr>
          <w:i/>
        </w:rPr>
        <w:t xml:space="preserve">: </w:t>
      </w:r>
      <w:r w:rsidR="00F51670" w:rsidRPr="00F51670">
        <w:rPr>
          <w:i/>
        </w:rPr>
        <w:t xml:space="preserve">Discovery </w:t>
      </w:r>
      <w:r w:rsidR="00F51670">
        <w:rPr>
          <w:i/>
        </w:rPr>
        <w:t>Pathways, Library Explorations and the Information Adventure</w:t>
      </w:r>
      <w:r w:rsidR="00F51670">
        <w:t xml:space="preserve"> (Huddersfield: Innovative Libraries, 2013), 8-9.</w:t>
      </w:r>
    </w:p>
  </w:endnote>
  <w:endnote w:id="6">
    <w:p w:rsidR="006D44C1" w:rsidRDefault="006D44C1" w:rsidP="003F6651">
      <w:pPr>
        <w:pStyle w:val="EndnoteText"/>
        <w:spacing w:after="120"/>
      </w:pPr>
      <w:r>
        <w:rPr>
          <w:rStyle w:val="EndnoteReference"/>
        </w:rPr>
        <w:endnoteRef/>
      </w:r>
      <w:r>
        <w:t xml:space="preserve"> ACRL</w:t>
      </w:r>
      <w:r w:rsidR="00F51670">
        <w:t>.</w:t>
      </w:r>
      <w:r>
        <w:t xml:space="preserve"> </w:t>
      </w:r>
      <w:r w:rsidR="00F51670">
        <w:t>“</w:t>
      </w:r>
      <w:r>
        <w:t xml:space="preserve">Framework </w:t>
      </w:r>
      <w:r w:rsidR="00F51670">
        <w:t xml:space="preserve">for Information Literacy for Higher Education”. Accessed January 10, 2017. </w:t>
      </w:r>
      <w:r w:rsidR="00F51670" w:rsidRPr="00F51670">
        <w:t>http://www.ala.org/acrl/standards/ilframework</w:t>
      </w:r>
      <w:r w:rsidR="00F51670">
        <w:t>.</w:t>
      </w:r>
    </w:p>
  </w:endnote>
  <w:endnote w:id="7">
    <w:p w:rsidR="00520A4A" w:rsidRPr="0034579B" w:rsidRDefault="00520A4A" w:rsidP="003F6651">
      <w:pPr>
        <w:pStyle w:val="EndnoteText"/>
        <w:spacing w:after="120"/>
      </w:pPr>
      <w:r>
        <w:rPr>
          <w:rStyle w:val="EndnoteReference"/>
        </w:rPr>
        <w:endnoteRef/>
      </w:r>
      <w:r>
        <w:t xml:space="preserve"> Ference Marton and Paul Ramsden</w:t>
      </w:r>
      <w:r w:rsidR="00927026">
        <w:t>, “What does it take to improve learning?”</w:t>
      </w:r>
      <w:r w:rsidR="0034579B">
        <w:t xml:space="preserve"> in </w:t>
      </w:r>
      <w:r w:rsidR="0034579B">
        <w:rPr>
          <w:i/>
        </w:rPr>
        <w:t>Improving Learning: New Perspectives</w:t>
      </w:r>
      <w:r w:rsidR="0034579B">
        <w:t>, ed. Paul Rams</w:t>
      </w:r>
      <w:r w:rsidR="005E7A95">
        <w:t>d</w:t>
      </w:r>
      <w:r w:rsidR="0034579B">
        <w:t>en (London: Kogan Page, 1988), 271.</w:t>
      </w:r>
    </w:p>
  </w:endnote>
  <w:endnote w:id="8">
    <w:p w:rsidR="00AD22A7" w:rsidRPr="00BB723B" w:rsidRDefault="00AD22A7" w:rsidP="003F6651">
      <w:pPr>
        <w:pStyle w:val="EndnoteText"/>
        <w:spacing w:after="120"/>
      </w:pPr>
      <w:r>
        <w:rPr>
          <w:rStyle w:val="EndnoteReference"/>
        </w:rPr>
        <w:endnoteRef/>
      </w:r>
      <w:r>
        <w:t xml:space="preserve"> Jerome Bruner, </w:t>
      </w:r>
      <w:r w:rsidR="00BB723B">
        <w:rPr>
          <w:i/>
        </w:rPr>
        <w:t xml:space="preserve">The Process Of </w:t>
      </w:r>
      <w:r w:rsidR="00BB723B" w:rsidRPr="00BB723B">
        <w:rPr>
          <w:i/>
        </w:rPr>
        <w:t>Education</w:t>
      </w:r>
      <w:r w:rsidR="00BB723B">
        <w:t xml:space="preserve"> (Cambridge, MA: Harvard University Press, </w:t>
      </w:r>
      <w:r w:rsidR="00BB723B" w:rsidRPr="00BB723B">
        <w:t>1960</w:t>
      </w:r>
      <w:r w:rsidR="00BB723B">
        <w:t xml:space="preserve">), quoted in Noel Entwistle, </w:t>
      </w:r>
      <w:r w:rsidR="00BB723B">
        <w:rPr>
          <w:i/>
        </w:rPr>
        <w:t>Teaching for Understanding At University: Deep Approaches and Distinctive Ways of Thinking</w:t>
      </w:r>
      <w:r w:rsidR="00BB723B">
        <w:t xml:space="preserve"> (Basingstoke: Palgrave Macmillan, 2009), 1.</w:t>
      </w:r>
    </w:p>
  </w:endnote>
  <w:endnote w:id="9">
    <w:p w:rsidR="00AD22A7" w:rsidRDefault="00AD22A7" w:rsidP="003F6651">
      <w:pPr>
        <w:pStyle w:val="EndnoteText"/>
        <w:spacing w:after="120"/>
      </w:pPr>
      <w:r>
        <w:rPr>
          <w:rStyle w:val="EndnoteReference"/>
        </w:rPr>
        <w:endnoteRef/>
      </w:r>
      <w:r>
        <w:t xml:space="preserve"> </w:t>
      </w:r>
      <w:r w:rsidR="00BB723B">
        <w:t>ACRL. “Framework”.</w:t>
      </w:r>
    </w:p>
  </w:endnote>
  <w:endnote w:id="10">
    <w:p w:rsidR="008E4499" w:rsidRDefault="008E4499" w:rsidP="003F6651">
      <w:pPr>
        <w:pStyle w:val="EndnoteText"/>
        <w:spacing w:after="120"/>
      </w:pPr>
      <w:r>
        <w:rPr>
          <w:rStyle w:val="EndnoteReference"/>
        </w:rPr>
        <w:endnoteRef/>
      </w:r>
      <w:r>
        <w:t xml:space="preserve"> </w:t>
      </w:r>
      <w:r w:rsidR="00BB723B">
        <w:t>Ibid</w:t>
      </w:r>
      <w:r>
        <w:t>.</w:t>
      </w:r>
    </w:p>
  </w:endnote>
  <w:endnote w:id="11">
    <w:p w:rsidR="00997742" w:rsidRPr="00402053" w:rsidRDefault="00997742" w:rsidP="003F6651">
      <w:pPr>
        <w:pStyle w:val="EndnoteText"/>
        <w:spacing w:after="120"/>
      </w:pPr>
      <w:r>
        <w:rPr>
          <w:rStyle w:val="EndnoteReference"/>
        </w:rPr>
        <w:endnoteRef/>
      </w:r>
      <w:r>
        <w:t xml:space="preserve"> </w:t>
      </w:r>
      <w:r w:rsidR="00E44819">
        <w:t xml:space="preserve">James </w:t>
      </w:r>
      <w:r>
        <w:t>Elmborg</w:t>
      </w:r>
      <w:r w:rsidR="00E44819">
        <w:t xml:space="preserve">, “Critical Information Literacy: Implications for Instructional Practice,” </w:t>
      </w:r>
      <w:r w:rsidR="00E44819">
        <w:rPr>
          <w:i/>
        </w:rPr>
        <w:t>Journal of Academic Librarianship</w:t>
      </w:r>
      <w:r w:rsidR="00E44819">
        <w:t xml:space="preserve"> 32</w:t>
      </w:r>
      <w:r w:rsidR="00402053">
        <w:t>, no. 2</w:t>
      </w:r>
      <w:r w:rsidR="00E44819">
        <w:t xml:space="preserve"> (</w:t>
      </w:r>
      <w:r w:rsidR="00402053">
        <w:t>2006</w:t>
      </w:r>
      <w:r w:rsidR="00E44819">
        <w:t>): 192-199, accessed January 12, 2017</w:t>
      </w:r>
      <w:r w:rsidR="00402053">
        <w:t>, doi:</w:t>
      </w:r>
      <w:r w:rsidR="00402053" w:rsidRPr="00402053">
        <w:rPr>
          <w:rFonts w:cs="Arial"/>
          <w:bdr w:val="none" w:sz="0" w:space="0" w:color="auto" w:frame="1"/>
          <w:shd w:val="clear" w:color="auto" w:fill="FFFFFF"/>
        </w:rPr>
        <w:t>10.1016/j.acalib.2005.12.004</w:t>
      </w:r>
      <w:r w:rsidR="00402053">
        <w:rPr>
          <w:rFonts w:cs="Arial"/>
          <w:bdr w:val="none" w:sz="0" w:space="0" w:color="auto" w:frame="1"/>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1D" w:rsidRDefault="007F161D" w:rsidP="00520A4A">
      <w:pPr>
        <w:spacing w:after="0"/>
      </w:pPr>
      <w:r>
        <w:separator/>
      </w:r>
    </w:p>
  </w:footnote>
  <w:footnote w:type="continuationSeparator" w:id="0">
    <w:p w:rsidR="007F161D" w:rsidRDefault="007F161D" w:rsidP="00520A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C1"/>
    <w:rsid w:val="00023325"/>
    <w:rsid w:val="0007492C"/>
    <w:rsid w:val="00086837"/>
    <w:rsid w:val="00096D7A"/>
    <w:rsid w:val="000D455C"/>
    <w:rsid w:val="00104848"/>
    <w:rsid w:val="00110D91"/>
    <w:rsid w:val="00196F77"/>
    <w:rsid w:val="001A3E60"/>
    <w:rsid w:val="001D3EBF"/>
    <w:rsid w:val="001E061F"/>
    <w:rsid w:val="001E57B4"/>
    <w:rsid w:val="00206A1D"/>
    <w:rsid w:val="00217819"/>
    <w:rsid w:val="00291D8D"/>
    <w:rsid w:val="002C1148"/>
    <w:rsid w:val="002E1E37"/>
    <w:rsid w:val="002F53C8"/>
    <w:rsid w:val="00302496"/>
    <w:rsid w:val="0034579B"/>
    <w:rsid w:val="00346BF6"/>
    <w:rsid w:val="00351757"/>
    <w:rsid w:val="00373DF8"/>
    <w:rsid w:val="00376C0C"/>
    <w:rsid w:val="00383304"/>
    <w:rsid w:val="003C2F04"/>
    <w:rsid w:val="003F6651"/>
    <w:rsid w:val="00402053"/>
    <w:rsid w:val="00426D36"/>
    <w:rsid w:val="004473D1"/>
    <w:rsid w:val="004A109C"/>
    <w:rsid w:val="004B35DC"/>
    <w:rsid w:val="00520A4A"/>
    <w:rsid w:val="005E7A95"/>
    <w:rsid w:val="00601AA0"/>
    <w:rsid w:val="00620613"/>
    <w:rsid w:val="006360BF"/>
    <w:rsid w:val="00672922"/>
    <w:rsid w:val="00674995"/>
    <w:rsid w:val="006D44C1"/>
    <w:rsid w:val="006E34DD"/>
    <w:rsid w:val="007111DC"/>
    <w:rsid w:val="0071231E"/>
    <w:rsid w:val="00714E33"/>
    <w:rsid w:val="007703BF"/>
    <w:rsid w:val="007979E4"/>
    <w:rsid w:val="007E5CD2"/>
    <w:rsid w:val="007F161D"/>
    <w:rsid w:val="007F22EA"/>
    <w:rsid w:val="008176F8"/>
    <w:rsid w:val="008221E5"/>
    <w:rsid w:val="008540A2"/>
    <w:rsid w:val="00865345"/>
    <w:rsid w:val="0087654F"/>
    <w:rsid w:val="008B1A6B"/>
    <w:rsid w:val="008C5DBF"/>
    <w:rsid w:val="008D1561"/>
    <w:rsid w:val="008E4499"/>
    <w:rsid w:val="00905652"/>
    <w:rsid w:val="00906F81"/>
    <w:rsid w:val="00912F74"/>
    <w:rsid w:val="00927026"/>
    <w:rsid w:val="00993C96"/>
    <w:rsid w:val="00996CC1"/>
    <w:rsid w:val="00997742"/>
    <w:rsid w:val="009F5173"/>
    <w:rsid w:val="00A6071A"/>
    <w:rsid w:val="00AD22A7"/>
    <w:rsid w:val="00B11007"/>
    <w:rsid w:val="00B1250D"/>
    <w:rsid w:val="00B50407"/>
    <w:rsid w:val="00B80749"/>
    <w:rsid w:val="00BB723B"/>
    <w:rsid w:val="00BE4339"/>
    <w:rsid w:val="00C25FF4"/>
    <w:rsid w:val="00C80F10"/>
    <w:rsid w:val="00C9647A"/>
    <w:rsid w:val="00CA36F0"/>
    <w:rsid w:val="00CB6347"/>
    <w:rsid w:val="00CB6D75"/>
    <w:rsid w:val="00CF4CE4"/>
    <w:rsid w:val="00D712FF"/>
    <w:rsid w:val="00DA6238"/>
    <w:rsid w:val="00DD1D2C"/>
    <w:rsid w:val="00E35134"/>
    <w:rsid w:val="00E44819"/>
    <w:rsid w:val="00EB5760"/>
    <w:rsid w:val="00EF6522"/>
    <w:rsid w:val="00F01438"/>
    <w:rsid w:val="00F050CD"/>
    <w:rsid w:val="00F40B11"/>
    <w:rsid w:val="00F418FA"/>
    <w:rsid w:val="00F51670"/>
    <w:rsid w:val="00F7582C"/>
    <w:rsid w:val="00F758E2"/>
    <w:rsid w:val="00F8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CC1"/>
    <w:rPr>
      <w:b/>
      <w:bCs/>
    </w:rPr>
  </w:style>
  <w:style w:type="character" w:customStyle="1" w:styleId="Heading1Char">
    <w:name w:val="Heading 1 Char"/>
    <w:basedOn w:val="DefaultParagraphFont"/>
    <w:link w:val="Heading1"/>
    <w:uiPriority w:val="9"/>
    <w:rsid w:val="00912F7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F050CD"/>
  </w:style>
  <w:style w:type="paragraph" w:styleId="EndnoteText">
    <w:name w:val="endnote text"/>
    <w:basedOn w:val="Normal"/>
    <w:link w:val="EndnoteTextChar"/>
    <w:uiPriority w:val="99"/>
    <w:semiHidden/>
    <w:unhideWhenUsed/>
    <w:rsid w:val="00520A4A"/>
    <w:pPr>
      <w:spacing w:after="0"/>
    </w:pPr>
    <w:rPr>
      <w:sz w:val="20"/>
      <w:szCs w:val="20"/>
    </w:rPr>
  </w:style>
  <w:style w:type="character" w:customStyle="1" w:styleId="EndnoteTextChar">
    <w:name w:val="Endnote Text Char"/>
    <w:basedOn w:val="DefaultParagraphFont"/>
    <w:link w:val="EndnoteText"/>
    <w:uiPriority w:val="99"/>
    <w:semiHidden/>
    <w:rsid w:val="00520A4A"/>
    <w:rPr>
      <w:sz w:val="20"/>
      <w:szCs w:val="20"/>
    </w:rPr>
  </w:style>
  <w:style w:type="character" w:styleId="EndnoteReference">
    <w:name w:val="endnote reference"/>
    <w:basedOn w:val="DefaultParagraphFont"/>
    <w:uiPriority w:val="99"/>
    <w:semiHidden/>
    <w:unhideWhenUsed/>
    <w:rsid w:val="00520A4A"/>
    <w:rPr>
      <w:vertAlign w:val="superscript"/>
    </w:rPr>
  </w:style>
  <w:style w:type="character" w:customStyle="1" w:styleId="selectable">
    <w:name w:val="selectable"/>
    <w:basedOn w:val="DefaultParagraphFont"/>
    <w:rsid w:val="00217819"/>
  </w:style>
  <w:style w:type="paragraph" w:styleId="CommentText">
    <w:name w:val="annotation text"/>
    <w:basedOn w:val="Normal"/>
    <w:link w:val="CommentTextChar"/>
    <w:uiPriority w:val="99"/>
    <w:semiHidden/>
    <w:unhideWhenUsed/>
    <w:rsid w:val="006E34DD"/>
    <w:rPr>
      <w:sz w:val="24"/>
      <w:szCs w:val="24"/>
    </w:rPr>
  </w:style>
  <w:style w:type="character" w:customStyle="1" w:styleId="CommentTextChar">
    <w:name w:val="Comment Text Char"/>
    <w:basedOn w:val="DefaultParagraphFont"/>
    <w:link w:val="CommentText"/>
    <w:uiPriority w:val="99"/>
    <w:semiHidden/>
    <w:rsid w:val="006E34DD"/>
    <w:rPr>
      <w:sz w:val="24"/>
      <w:szCs w:val="24"/>
    </w:rPr>
  </w:style>
  <w:style w:type="character" w:styleId="Hyperlink">
    <w:name w:val="Hyperlink"/>
    <w:basedOn w:val="DefaultParagraphFont"/>
    <w:uiPriority w:val="99"/>
    <w:semiHidden/>
    <w:unhideWhenUsed/>
    <w:rsid w:val="00993C96"/>
    <w:rPr>
      <w:color w:val="0000FF"/>
      <w:u w:val="single"/>
    </w:rPr>
  </w:style>
  <w:style w:type="character" w:styleId="Emphasis">
    <w:name w:val="Emphasis"/>
    <w:basedOn w:val="DefaultParagraphFont"/>
    <w:uiPriority w:val="20"/>
    <w:qFormat/>
    <w:rsid w:val="00BB7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CC1"/>
    <w:rPr>
      <w:b/>
      <w:bCs/>
    </w:rPr>
  </w:style>
  <w:style w:type="character" w:customStyle="1" w:styleId="Heading1Char">
    <w:name w:val="Heading 1 Char"/>
    <w:basedOn w:val="DefaultParagraphFont"/>
    <w:link w:val="Heading1"/>
    <w:uiPriority w:val="9"/>
    <w:rsid w:val="00912F7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F050CD"/>
  </w:style>
  <w:style w:type="paragraph" w:styleId="EndnoteText">
    <w:name w:val="endnote text"/>
    <w:basedOn w:val="Normal"/>
    <w:link w:val="EndnoteTextChar"/>
    <w:uiPriority w:val="99"/>
    <w:semiHidden/>
    <w:unhideWhenUsed/>
    <w:rsid w:val="00520A4A"/>
    <w:pPr>
      <w:spacing w:after="0"/>
    </w:pPr>
    <w:rPr>
      <w:sz w:val="20"/>
      <w:szCs w:val="20"/>
    </w:rPr>
  </w:style>
  <w:style w:type="character" w:customStyle="1" w:styleId="EndnoteTextChar">
    <w:name w:val="Endnote Text Char"/>
    <w:basedOn w:val="DefaultParagraphFont"/>
    <w:link w:val="EndnoteText"/>
    <w:uiPriority w:val="99"/>
    <w:semiHidden/>
    <w:rsid w:val="00520A4A"/>
    <w:rPr>
      <w:sz w:val="20"/>
      <w:szCs w:val="20"/>
    </w:rPr>
  </w:style>
  <w:style w:type="character" w:styleId="EndnoteReference">
    <w:name w:val="endnote reference"/>
    <w:basedOn w:val="DefaultParagraphFont"/>
    <w:uiPriority w:val="99"/>
    <w:semiHidden/>
    <w:unhideWhenUsed/>
    <w:rsid w:val="00520A4A"/>
    <w:rPr>
      <w:vertAlign w:val="superscript"/>
    </w:rPr>
  </w:style>
  <w:style w:type="character" w:customStyle="1" w:styleId="selectable">
    <w:name w:val="selectable"/>
    <w:basedOn w:val="DefaultParagraphFont"/>
    <w:rsid w:val="00217819"/>
  </w:style>
  <w:style w:type="paragraph" w:styleId="CommentText">
    <w:name w:val="annotation text"/>
    <w:basedOn w:val="Normal"/>
    <w:link w:val="CommentTextChar"/>
    <w:uiPriority w:val="99"/>
    <w:semiHidden/>
    <w:unhideWhenUsed/>
    <w:rsid w:val="006E34DD"/>
    <w:rPr>
      <w:sz w:val="24"/>
      <w:szCs w:val="24"/>
    </w:rPr>
  </w:style>
  <w:style w:type="character" w:customStyle="1" w:styleId="CommentTextChar">
    <w:name w:val="Comment Text Char"/>
    <w:basedOn w:val="DefaultParagraphFont"/>
    <w:link w:val="CommentText"/>
    <w:uiPriority w:val="99"/>
    <w:semiHidden/>
    <w:rsid w:val="006E34DD"/>
    <w:rPr>
      <w:sz w:val="24"/>
      <w:szCs w:val="24"/>
    </w:rPr>
  </w:style>
  <w:style w:type="character" w:styleId="Hyperlink">
    <w:name w:val="Hyperlink"/>
    <w:basedOn w:val="DefaultParagraphFont"/>
    <w:uiPriority w:val="99"/>
    <w:semiHidden/>
    <w:unhideWhenUsed/>
    <w:rsid w:val="00993C96"/>
    <w:rPr>
      <w:color w:val="0000FF"/>
      <w:u w:val="single"/>
    </w:rPr>
  </w:style>
  <w:style w:type="character" w:styleId="Emphasis">
    <w:name w:val="Emphasis"/>
    <w:basedOn w:val="DefaultParagraphFont"/>
    <w:uiPriority w:val="20"/>
    <w:qFormat/>
    <w:rsid w:val="00BB7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1108/00220410610688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Pir74</b:Tag>
    <b:SourceType>Book</b:SourceType>
    <b:Guid>{5BCD0D96-69CE-4EB0-9887-217F42051436}</b:Guid>
    <b:Author>
      <b:Author>
        <b:NameList>
          <b:Person>
            <b:Last>Pirsig</b:Last>
            <b:First>Robert</b:First>
            <b:Middle>M</b:Middle>
          </b:Person>
        </b:NameList>
      </b:Author>
    </b:Author>
    <b:Title>Zen</b:Title>
    <b:Year>1974</b:Year>
    <b:City>London</b:City>
    <b:Publisher>Black Swan</b:Publisher>
    <b:RefOrder>1</b:RefOrder>
  </b:Source>
</b:Sources>
</file>

<file path=customXml/itemProps1.xml><?xml version="1.0" encoding="utf-8"?>
<ds:datastoreItem xmlns:ds="http://schemas.openxmlformats.org/officeDocument/2006/customXml" ds:itemID="{B73CBAEF-556B-4303-8186-FAE394AF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 10 User</dc:creator>
  <cp:lastModifiedBy>user</cp:lastModifiedBy>
  <cp:revision>50</cp:revision>
  <cp:lastPrinted>2017-01-08T07:19:00Z</cp:lastPrinted>
  <dcterms:created xsi:type="dcterms:W3CDTF">2017-01-08T08:51:00Z</dcterms:created>
  <dcterms:modified xsi:type="dcterms:W3CDTF">2017-01-15T14:39:00Z</dcterms:modified>
</cp:coreProperties>
</file>