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580" w:rsidRPr="004F0097" w:rsidRDefault="00823580" w:rsidP="004F54BC">
      <w:pPr>
        <w:spacing w:line="480" w:lineRule="auto"/>
        <w:rPr>
          <w:rFonts w:ascii="Times New Roman" w:hAnsi="Times New Roman" w:cs="Times New Roman"/>
          <w:b/>
          <w:sz w:val="24"/>
          <w:szCs w:val="24"/>
        </w:rPr>
      </w:pPr>
      <w:r w:rsidRPr="004F0097">
        <w:rPr>
          <w:rFonts w:ascii="Times New Roman" w:hAnsi="Times New Roman" w:cs="Times New Roman"/>
          <w:b/>
          <w:sz w:val="24"/>
          <w:szCs w:val="24"/>
        </w:rPr>
        <w:t>Frailty: an independent predictor of burns mortality following in-patient admission</w:t>
      </w:r>
    </w:p>
    <w:p w:rsidR="00823580" w:rsidRPr="004F54BC" w:rsidRDefault="008D3E0E" w:rsidP="004F54BC">
      <w:pPr>
        <w:spacing w:line="480" w:lineRule="auto"/>
        <w:rPr>
          <w:rFonts w:ascii="Times New Roman" w:hAnsi="Times New Roman" w:cs="Times New Roman"/>
          <w:sz w:val="24"/>
          <w:szCs w:val="24"/>
        </w:rPr>
      </w:pPr>
      <w:r w:rsidRPr="008D3E0E">
        <w:rPr>
          <w:rFonts w:ascii="Times New Roman" w:hAnsi="Times New Roman" w:cs="Times New Roman"/>
          <w:sz w:val="24"/>
          <w:szCs w:val="24"/>
          <w:vertAlign w:val="superscript"/>
        </w:rPr>
        <w:t>1</w:t>
      </w:r>
      <w:r w:rsidR="00823580" w:rsidRPr="004F54BC">
        <w:rPr>
          <w:rFonts w:ascii="Times New Roman" w:hAnsi="Times New Roman" w:cs="Times New Roman"/>
          <w:sz w:val="24"/>
          <w:szCs w:val="24"/>
        </w:rPr>
        <w:t>Joseph War</w:t>
      </w:r>
      <w:r>
        <w:rPr>
          <w:rFonts w:ascii="Times New Roman" w:hAnsi="Times New Roman" w:cs="Times New Roman"/>
          <w:sz w:val="24"/>
          <w:szCs w:val="24"/>
        </w:rPr>
        <w:t>d BMedSc(Hons) MBChB MSc MRCS</w:t>
      </w:r>
      <w:r w:rsidR="004F0097">
        <w:rPr>
          <w:rFonts w:ascii="Times New Roman" w:hAnsi="Times New Roman" w:cs="Times New Roman"/>
          <w:sz w:val="24"/>
          <w:szCs w:val="24"/>
        </w:rPr>
        <w:t xml:space="preserve">, </w:t>
      </w:r>
      <w:r w:rsidRPr="008D3E0E">
        <w:rPr>
          <w:rFonts w:ascii="Times New Roman" w:hAnsi="Times New Roman" w:cs="Times New Roman"/>
          <w:sz w:val="24"/>
          <w:szCs w:val="24"/>
          <w:vertAlign w:val="superscript"/>
        </w:rPr>
        <w:t>1</w:t>
      </w:r>
      <w:r>
        <w:rPr>
          <w:rFonts w:ascii="Times New Roman" w:hAnsi="Times New Roman" w:cs="Times New Roman"/>
          <w:sz w:val="24"/>
          <w:szCs w:val="24"/>
        </w:rPr>
        <w:t>Georgina Phillips MBBS MRCS</w:t>
      </w:r>
      <w:r w:rsidR="004F0097">
        <w:rPr>
          <w:rFonts w:ascii="Times New Roman" w:hAnsi="Times New Roman" w:cs="Times New Roman"/>
          <w:sz w:val="24"/>
          <w:szCs w:val="24"/>
        </w:rPr>
        <w:t>,</w:t>
      </w:r>
    </w:p>
    <w:p w:rsidR="00823580" w:rsidRPr="004F54BC" w:rsidRDefault="008D3E0E" w:rsidP="004F54BC">
      <w:pPr>
        <w:spacing w:line="480" w:lineRule="auto"/>
        <w:rPr>
          <w:rFonts w:ascii="Times New Roman" w:hAnsi="Times New Roman" w:cs="Times New Roman"/>
          <w:sz w:val="24"/>
          <w:szCs w:val="24"/>
        </w:rPr>
      </w:pPr>
      <w:r w:rsidRPr="008D3E0E">
        <w:rPr>
          <w:rFonts w:ascii="Times New Roman" w:hAnsi="Times New Roman" w:cs="Times New Roman"/>
          <w:sz w:val="24"/>
          <w:szCs w:val="24"/>
          <w:vertAlign w:val="superscript"/>
        </w:rPr>
        <w:t>1</w:t>
      </w:r>
      <w:r w:rsidR="00823580" w:rsidRPr="004F54BC">
        <w:rPr>
          <w:rFonts w:ascii="Times New Roman" w:hAnsi="Times New Roman" w:cs="Times New Roman"/>
          <w:sz w:val="24"/>
          <w:szCs w:val="24"/>
        </w:rPr>
        <w:t>Ishan Rad</w:t>
      </w:r>
      <w:r>
        <w:rPr>
          <w:rFonts w:ascii="Times New Roman" w:hAnsi="Times New Roman" w:cs="Times New Roman"/>
          <w:sz w:val="24"/>
          <w:szCs w:val="24"/>
        </w:rPr>
        <w:t>otra BMedSci(Hons) MBChB MRCS</w:t>
      </w:r>
      <w:r w:rsidR="004F0097">
        <w:rPr>
          <w:rFonts w:ascii="Times New Roman" w:hAnsi="Times New Roman" w:cs="Times New Roman"/>
          <w:sz w:val="24"/>
          <w:szCs w:val="24"/>
        </w:rPr>
        <w:t xml:space="preserve">, </w:t>
      </w:r>
      <w:r w:rsidRPr="008D3E0E">
        <w:rPr>
          <w:rFonts w:ascii="Times New Roman" w:hAnsi="Times New Roman" w:cs="Times New Roman"/>
          <w:sz w:val="24"/>
          <w:szCs w:val="24"/>
          <w:vertAlign w:val="superscript"/>
        </w:rPr>
        <w:t>1</w:t>
      </w:r>
      <w:r w:rsidR="00823580" w:rsidRPr="004F54BC">
        <w:rPr>
          <w:rFonts w:ascii="Times New Roman" w:hAnsi="Times New Roman" w:cs="Times New Roman"/>
          <w:sz w:val="24"/>
          <w:szCs w:val="24"/>
        </w:rPr>
        <w:t>Sarah S</w:t>
      </w:r>
      <w:r w:rsidR="009D1BA6">
        <w:rPr>
          <w:rFonts w:ascii="Times New Roman" w:hAnsi="Times New Roman" w:cs="Times New Roman"/>
          <w:sz w:val="24"/>
          <w:szCs w:val="24"/>
        </w:rPr>
        <w:t xml:space="preserve">mailes PhD BSc(Hons) MCSP SRP, </w:t>
      </w:r>
      <w:r w:rsidRPr="008D3E0E">
        <w:rPr>
          <w:rFonts w:ascii="Times New Roman" w:hAnsi="Times New Roman" w:cs="Times New Roman"/>
          <w:sz w:val="24"/>
          <w:szCs w:val="24"/>
          <w:vertAlign w:val="superscript"/>
        </w:rPr>
        <w:t>1,2</w:t>
      </w:r>
      <w:r w:rsidR="00823580" w:rsidRPr="004F54BC">
        <w:rPr>
          <w:rFonts w:ascii="Times New Roman" w:hAnsi="Times New Roman" w:cs="Times New Roman"/>
          <w:sz w:val="24"/>
          <w:szCs w:val="24"/>
        </w:rPr>
        <w:t>Peter Dziewul</w:t>
      </w:r>
      <w:r w:rsidR="004F0097">
        <w:rPr>
          <w:rFonts w:ascii="Times New Roman" w:hAnsi="Times New Roman" w:cs="Times New Roman"/>
          <w:sz w:val="24"/>
          <w:szCs w:val="24"/>
        </w:rPr>
        <w:t>ski</w:t>
      </w:r>
      <w:r>
        <w:rPr>
          <w:rFonts w:ascii="Times New Roman" w:hAnsi="Times New Roman" w:cs="Times New Roman"/>
          <w:sz w:val="24"/>
          <w:szCs w:val="24"/>
        </w:rPr>
        <w:t xml:space="preserve"> FFICM FRCS FRCS(Plast)</w:t>
      </w:r>
      <w:r w:rsidR="004F0097">
        <w:rPr>
          <w:rFonts w:ascii="Times New Roman" w:hAnsi="Times New Roman" w:cs="Times New Roman"/>
          <w:sz w:val="24"/>
          <w:szCs w:val="24"/>
        </w:rPr>
        <w:t xml:space="preserve">, </w:t>
      </w:r>
      <w:r w:rsidRPr="008D3E0E">
        <w:rPr>
          <w:rFonts w:ascii="Times New Roman" w:hAnsi="Times New Roman" w:cs="Times New Roman"/>
          <w:sz w:val="24"/>
          <w:szCs w:val="24"/>
          <w:vertAlign w:val="superscript"/>
        </w:rPr>
        <w:t>2</w:t>
      </w:r>
      <w:r>
        <w:rPr>
          <w:rFonts w:ascii="Times New Roman" w:hAnsi="Times New Roman" w:cs="Times New Roman"/>
          <w:sz w:val="24"/>
          <w:szCs w:val="24"/>
        </w:rPr>
        <w:t>Jufen Zhang BSc MSc PhD</w:t>
      </w:r>
      <w:r w:rsidR="004F0097">
        <w:rPr>
          <w:rFonts w:ascii="Times New Roman" w:hAnsi="Times New Roman" w:cs="Times New Roman"/>
          <w:sz w:val="24"/>
          <w:szCs w:val="24"/>
        </w:rPr>
        <w:t xml:space="preserve">, </w:t>
      </w:r>
      <w:r w:rsidRPr="008D3E0E">
        <w:rPr>
          <w:rFonts w:ascii="Times New Roman" w:hAnsi="Times New Roman" w:cs="Times New Roman"/>
          <w:sz w:val="24"/>
          <w:szCs w:val="24"/>
          <w:vertAlign w:val="superscript"/>
        </w:rPr>
        <w:t>1,3,4</w:t>
      </w:r>
      <w:r w:rsidR="00823580" w:rsidRPr="004F54BC">
        <w:rPr>
          <w:rFonts w:ascii="Times New Roman" w:hAnsi="Times New Roman" w:cs="Times New Roman"/>
          <w:sz w:val="24"/>
          <w:szCs w:val="24"/>
        </w:rPr>
        <w:t>Niall Martin MBB</w:t>
      </w:r>
      <w:r>
        <w:rPr>
          <w:rFonts w:ascii="Times New Roman" w:hAnsi="Times New Roman" w:cs="Times New Roman"/>
          <w:sz w:val="24"/>
          <w:szCs w:val="24"/>
        </w:rPr>
        <w:t>S MD MSc AKC FRCS(Plast)</w:t>
      </w:r>
    </w:p>
    <w:p w:rsidR="00823580" w:rsidRPr="004F54BC" w:rsidRDefault="008D3E0E" w:rsidP="004F54BC">
      <w:pPr>
        <w:spacing w:line="480" w:lineRule="auto"/>
        <w:rPr>
          <w:rFonts w:ascii="Times New Roman" w:hAnsi="Times New Roman" w:cs="Times New Roman"/>
          <w:sz w:val="24"/>
          <w:szCs w:val="24"/>
        </w:rPr>
      </w:pPr>
      <w:r w:rsidRPr="008D3E0E">
        <w:rPr>
          <w:rFonts w:ascii="Times New Roman" w:hAnsi="Times New Roman" w:cs="Times New Roman"/>
          <w:sz w:val="24"/>
          <w:szCs w:val="24"/>
          <w:vertAlign w:val="superscript"/>
        </w:rPr>
        <w:t>1</w:t>
      </w:r>
      <w:r w:rsidR="00823580" w:rsidRPr="004F54BC">
        <w:rPr>
          <w:rFonts w:ascii="Times New Roman" w:hAnsi="Times New Roman" w:cs="Times New Roman"/>
          <w:sz w:val="24"/>
          <w:szCs w:val="24"/>
        </w:rPr>
        <w:t>St Andrew’s Centre for Plastic Surgery and Burns, Broomfield Hospital, Chelmsford, Essex, CM1 7ET.</w:t>
      </w:r>
    </w:p>
    <w:p w:rsidR="00823580" w:rsidRPr="004F54BC" w:rsidRDefault="008D3E0E" w:rsidP="004F54BC">
      <w:pPr>
        <w:spacing w:line="480" w:lineRule="auto"/>
        <w:rPr>
          <w:rFonts w:ascii="Times New Roman" w:hAnsi="Times New Roman" w:cs="Times New Roman"/>
          <w:sz w:val="24"/>
          <w:szCs w:val="24"/>
        </w:rPr>
      </w:pPr>
      <w:r w:rsidRPr="008D3E0E">
        <w:rPr>
          <w:rFonts w:ascii="Times New Roman" w:hAnsi="Times New Roman" w:cs="Times New Roman"/>
          <w:sz w:val="24"/>
          <w:szCs w:val="24"/>
          <w:vertAlign w:val="superscript"/>
        </w:rPr>
        <w:t>2</w:t>
      </w:r>
      <w:r w:rsidR="00823580" w:rsidRPr="004F54BC">
        <w:rPr>
          <w:rFonts w:ascii="Times New Roman" w:hAnsi="Times New Roman" w:cs="Times New Roman"/>
          <w:sz w:val="24"/>
          <w:szCs w:val="24"/>
        </w:rPr>
        <w:t>St Andrew’s Anglia Ruskin (StAAR) Research Group, Faculty of Medical Science, Anglia Ruskin University, Essex, CM1 1SQ.</w:t>
      </w:r>
    </w:p>
    <w:p w:rsidR="00823580" w:rsidRPr="004F54BC" w:rsidRDefault="00823580" w:rsidP="004F54BC">
      <w:pPr>
        <w:spacing w:line="480" w:lineRule="auto"/>
        <w:rPr>
          <w:rFonts w:ascii="Times New Roman" w:hAnsi="Times New Roman" w:cs="Times New Roman"/>
          <w:sz w:val="24"/>
          <w:szCs w:val="24"/>
        </w:rPr>
      </w:pPr>
      <w:r w:rsidRPr="008D3E0E">
        <w:rPr>
          <w:rFonts w:ascii="Times New Roman" w:hAnsi="Times New Roman" w:cs="Times New Roman"/>
          <w:sz w:val="24"/>
          <w:szCs w:val="24"/>
          <w:vertAlign w:val="superscript"/>
        </w:rPr>
        <w:t>3</w:t>
      </w:r>
      <w:r w:rsidRPr="004F54BC">
        <w:rPr>
          <w:rFonts w:ascii="Times New Roman" w:hAnsi="Times New Roman" w:cs="Times New Roman"/>
          <w:sz w:val="24"/>
          <w:szCs w:val="24"/>
        </w:rPr>
        <w:t>Centre for Trauma Sciences, Blizard Institute, Queen Mary University of London, London, E1 2AT.</w:t>
      </w:r>
    </w:p>
    <w:p w:rsidR="00823580" w:rsidRPr="004F54BC" w:rsidRDefault="00823580" w:rsidP="004F54BC">
      <w:pPr>
        <w:spacing w:line="480" w:lineRule="auto"/>
        <w:rPr>
          <w:rFonts w:ascii="Times New Roman" w:hAnsi="Times New Roman" w:cs="Times New Roman"/>
          <w:sz w:val="24"/>
          <w:szCs w:val="24"/>
        </w:rPr>
      </w:pPr>
      <w:r w:rsidRPr="008D3E0E">
        <w:rPr>
          <w:rFonts w:ascii="Times New Roman" w:hAnsi="Times New Roman" w:cs="Times New Roman"/>
          <w:sz w:val="24"/>
          <w:szCs w:val="24"/>
          <w:vertAlign w:val="superscript"/>
        </w:rPr>
        <w:t>4</w:t>
      </w:r>
      <w:r w:rsidRPr="004F54BC">
        <w:rPr>
          <w:rFonts w:ascii="Times New Roman" w:hAnsi="Times New Roman" w:cs="Times New Roman"/>
          <w:sz w:val="24"/>
          <w:szCs w:val="24"/>
        </w:rPr>
        <w:t>Academic Department of Military Surgery and Trauma, Royal Centre for Defence Medicine, Queen Elizabeth Hospital, Birmingham, B15 2TH.</w:t>
      </w:r>
    </w:p>
    <w:p w:rsidR="00823580" w:rsidRPr="004F54BC" w:rsidRDefault="00823580" w:rsidP="004F54BC">
      <w:pPr>
        <w:spacing w:line="480" w:lineRule="auto"/>
        <w:rPr>
          <w:rFonts w:ascii="Times New Roman" w:hAnsi="Times New Roman" w:cs="Times New Roman"/>
          <w:sz w:val="24"/>
          <w:szCs w:val="24"/>
        </w:rPr>
      </w:pP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Corresponding author:</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Mr Joseph Ward joseph.a.ward@btinternet.com</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 </w:t>
      </w:r>
    </w:p>
    <w:p w:rsidR="004F0097" w:rsidRDefault="004F0097" w:rsidP="004F54BC">
      <w:pPr>
        <w:spacing w:line="480" w:lineRule="auto"/>
        <w:rPr>
          <w:rFonts w:ascii="Times New Roman" w:hAnsi="Times New Roman" w:cs="Times New Roman"/>
          <w:sz w:val="24"/>
          <w:szCs w:val="24"/>
        </w:rPr>
      </w:pPr>
    </w:p>
    <w:p w:rsidR="004F0097" w:rsidRDefault="004F0097" w:rsidP="004F54BC">
      <w:pPr>
        <w:spacing w:line="480" w:lineRule="auto"/>
        <w:rPr>
          <w:rFonts w:ascii="Times New Roman" w:hAnsi="Times New Roman" w:cs="Times New Roman"/>
          <w:sz w:val="24"/>
          <w:szCs w:val="24"/>
        </w:rPr>
      </w:pPr>
    </w:p>
    <w:p w:rsidR="004F0097" w:rsidRDefault="004F0097" w:rsidP="004F54BC">
      <w:pPr>
        <w:spacing w:line="480" w:lineRule="auto"/>
        <w:rPr>
          <w:rFonts w:ascii="Times New Roman" w:hAnsi="Times New Roman" w:cs="Times New Roman"/>
          <w:sz w:val="24"/>
          <w:szCs w:val="24"/>
        </w:rPr>
      </w:pPr>
    </w:p>
    <w:p w:rsidR="004F0097" w:rsidRDefault="004F0097" w:rsidP="004F54BC">
      <w:pPr>
        <w:spacing w:line="480" w:lineRule="auto"/>
        <w:rPr>
          <w:rFonts w:ascii="Times New Roman" w:hAnsi="Times New Roman" w:cs="Times New Roman"/>
          <w:sz w:val="24"/>
          <w:szCs w:val="24"/>
        </w:rPr>
      </w:pPr>
    </w:p>
    <w:p w:rsidR="003E0C08" w:rsidRDefault="003E0C08" w:rsidP="004F54B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rsidR="00823580" w:rsidRPr="009D1BA6" w:rsidRDefault="004F0097" w:rsidP="004F54BC">
      <w:pPr>
        <w:spacing w:line="480" w:lineRule="auto"/>
        <w:rPr>
          <w:rFonts w:ascii="Times New Roman" w:hAnsi="Times New Roman" w:cs="Times New Roman"/>
          <w:sz w:val="24"/>
          <w:szCs w:val="24"/>
        </w:rPr>
      </w:pPr>
      <w:r w:rsidRPr="009D1BA6">
        <w:rPr>
          <w:rFonts w:ascii="Times New Roman" w:hAnsi="Times New Roman" w:cs="Times New Roman"/>
          <w:sz w:val="24"/>
          <w:szCs w:val="24"/>
        </w:rPr>
        <w:t>Introduction</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Burn injury in the elderly is associated with increased mor</w:t>
      </w:r>
      <w:r w:rsidR="009D1BA6">
        <w:rPr>
          <w:rFonts w:ascii="Times New Roman" w:hAnsi="Times New Roman" w:cs="Times New Roman"/>
          <w:sz w:val="24"/>
          <w:szCs w:val="24"/>
        </w:rPr>
        <w:t xml:space="preserve">bidity and mortality. It is not </w:t>
      </w:r>
      <w:r w:rsidRPr="004F54BC">
        <w:rPr>
          <w:rFonts w:ascii="Times New Roman" w:hAnsi="Times New Roman" w:cs="Times New Roman"/>
          <w:sz w:val="24"/>
          <w:szCs w:val="24"/>
        </w:rPr>
        <w:t>uncommon for biological age, or frailty, to differ from chronological age in this patient group and thus predicting individual clinical outcomes remains challenging. It has been previously shown that Rockwood’s Clinical Frailty Score, a global clinical measure of fitness and frailty in older people, can be a useful adjunct for predicting outcomes for elderl</w:t>
      </w:r>
      <w:r w:rsidR="003E0C08">
        <w:rPr>
          <w:rFonts w:ascii="Times New Roman" w:hAnsi="Times New Roman" w:cs="Times New Roman"/>
          <w:sz w:val="24"/>
          <w:szCs w:val="24"/>
        </w:rPr>
        <w:t>y patients with burns</w:t>
      </w:r>
      <w:r w:rsidRPr="004F54BC">
        <w:rPr>
          <w:rFonts w:ascii="Times New Roman" w:hAnsi="Times New Roman" w:cs="Times New Roman"/>
          <w:sz w:val="24"/>
          <w:szCs w:val="24"/>
        </w:rPr>
        <w:t>&gt;10%TBSA. We refine our previous work to investigate the impact of frailty on mortality of elderly patients with thermal burns of any size admitted to a burns unit and explore its role as a meaningful adjunct to the modified Baux scor</w:t>
      </w:r>
      <w:r w:rsidR="003E0C08">
        <w:rPr>
          <w:rFonts w:ascii="Times New Roman" w:hAnsi="Times New Roman" w:cs="Times New Roman"/>
          <w:sz w:val="24"/>
          <w:szCs w:val="24"/>
        </w:rPr>
        <w:t>e.</w:t>
      </w:r>
    </w:p>
    <w:p w:rsidR="00823580" w:rsidRPr="004F54BC" w:rsidRDefault="003E0C08" w:rsidP="004F54BC">
      <w:pPr>
        <w:spacing w:line="480" w:lineRule="auto"/>
        <w:rPr>
          <w:rFonts w:ascii="Times New Roman" w:hAnsi="Times New Roman" w:cs="Times New Roman"/>
          <w:sz w:val="24"/>
          <w:szCs w:val="24"/>
        </w:rPr>
      </w:pPr>
      <w:r>
        <w:rPr>
          <w:rFonts w:ascii="Times New Roman" w:hAnsi="Times New Roman" w:cs="Times New Roman"/>
          <w:sz w:val="24"/>
          <w:szCs w:val="24"/>
        </w:rPr>
        <w:t>Methods</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A retrospective analysis of case notes for all patients ≥65 years admitted to our burns centre as an in-patient during an 8-year period was performed with standard demographics, burn injury parameters, length of stay and mortality outcomes collected. Measures of frailty were reviewed and statistically analysed to assess the impact of biological aging on clinical outcome in order to assess how the modified Baux score may be developed for the elderly using Roc</w:t>
      </w:r>
      <w:r w:rsidR="003E0C08">
        <w:rPr>
          <w:rFonts w:ascii="Times New Roman" w:hAnsi="Times New Roman" w:cs="Times New Roman"/>
          <w:sz w:val="24"/>
          <w:szCs w:val="24"/>
        </w:rPr>
        <w:t>kwood’s Clinical Frailty Score.</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Resu</w:t>
      </w:r>
      <w:r w:rsidR="003E0C08">
        <w:rPr>
          <w:rFonts w:ascii="Times New Roman" w:hAnsi="Times New Roman" w:cs="Times New Roman"/>
          <w:sz w:val="24"/>
          <w:szCs w:val="24"/>
        </w:rPr>
        <w:t>lts</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239 patients met the inclusion criteria. Mean age was 77 years (range: 65-99 years) and mean burn size was 14.46% TBSA (Range: 0.1-98% TBSA). The modified Baux and Frailty Score were both independent predictors of mortality (p&lt;0.0001). Increased premorbid Frailty Score was associated with increased in-hospital (OR: 2.33, 95% CI: 1.63-3.34) and one-year mortality (OR: 3.13, 95% CI: 2.22-4.41) independent of burn size compared to the modified Baux Score (IHM OR: 1.09; 95% CI: 1.07-1.13, 1yr M: OR 1.08; 95% CI: 1.05-1.11). The</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lastRenderedPageBreak/>
        <w:t>Frailty Score (&gt;3) was a much more sensitive predictor of one-year mortality (Sensitivity: 83.9%; Specificity: 66.4%) than the modified Baux (&gt;97) (Sensitivity: 59.8%; Specificity: 82.9%). A Frailty Score &gt;3 when combined with the modified Baux score demonstrated increased area under ROC curve for both in-hospital (0.89 (95% CI: 0.85-0.94); p=0.02) and one-year (0.88 (95% CI: 0.84-0.92); p=0.02) mortality when compa</w:t>
      </w:r>
      <w:r w:rsidR="003E0C08">
        <w:rPr>
          <w:rFonts w:ascii="Times New Roman" w:hAnsi="Times New Roman" w:cs="Times New Roman"/>
          <w:sz w:val="24"/>
          <w:szCs w:val="24"/>
        </w:rPr>
        <w:t>red to the modified Baux alone.</w:t>
      </w:r>
    </w:p>
    <w:p w:rsidR="00823580" w:rsidRPr="004F54BC" w:rsidRDefault="003E0C08" w:rsidP="004F54BC">
      <w:pPr>
        <w:spacing w:line="480" w:lineRule="auto"/>
        <w:rPr>
          <w:rFonts w:ascii="Times New Roman" w:hAnsi="Times New Roman" w:cs="Times New Roman"/>
          <w:sz w:val="24"/>
          <w:szCs w:val="24"/>
        </w:rPr>
      </w:pPr>
      <w:r>
        <w:rPr>
          <w:rFonts w:ascii="Times New Roman" w:hAnsi="Times New Roman" w:cs="Times New Roman"/>
          <w:sz w:val="24"/>
          <w:szCs w:val="24"/>
        </w:rPr>
        <w:t>Conclusion</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We demonstrate that Rockwood’s Clinical Frailty Score can be used to independently predict in-hospital and one-year mortality for thermal burns of any size in the elderly admitted as an in-patient to a burns unit. We also find that the Frailty Score can be employed in combination with the modified Baux score to improve mortality prediction. We recommend that Frailty Score is integrated into the modified Baux score and used to focus burn care resources appropriately.</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 </w:t>
      </w:r>
    </w:p>
    <w:p w:rsidR="003E0C08" w:rsidRDefault="003E0C08">
      <w:pPr>
        <w:rPr>
          <w:rFonts w:ascii="Times New Roman" w:hAnsi="Times New Roman" w:cs="Times New Roman"/>
          <w:sz w:val="24"/>
          <w:szCs w:val="24"/>
        </w:rPr>
      </w:pPr>
      <w:r>
        <w:rPr>
          <w:rFonts w:ascii="Times New Roman" w:hAnsi="Times New Roman" w:cs="Times New Roman"/>
          <w:sz w:val="24"/>
          <w:szCs w:val="24"/>
        </w:rPr>
        <w:br w:type="page"/>
      </w:r>
    </w:p>
    <w:p w:rsidR="00823580" w:rsidRPr="003E0C08" w:rsidRDefault="003E0C08" w:rsidP="004F54BC">
      <w:pPr>
        <w:spacing w:line="480" w:lineRule="auto"/>
        <w:rPr>
          <w:rFonts w:ascii="Times New Roman" w:hAnsi="Times New Roman" w:cs="Times New Roman"/>
          <w:b/>
          <w:sz w:val="24"/>
          <w:szCs w:val="24"/>
        </w:rPr>
      </w:pPr>
      <w:r w:rsidRPr="003E0C08">
        <w:rPr>
          <w:rFonts w:ascii="Times New Roman" w:hAnsi="Times New Roman" w:cs="Times New Roman"/>
          <w:b/>
          <w:sz w:val="24"/>
          <w:szCs w:val="24"/>
        </w:rPr>
        <w:lastRenderedPageBreak/>
        <w:t>Introduction</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In the context of an aging developed world population 1, burn care teams can expect to manage increasing numbers of frail elderly patients with complex medical and social needs </w:t>
      </w:r>
      <w:r w:rsidRPr="00CF33CC">
        <w:rPr>
          <w:rFonts w:ascii="Times New Roman" w:hAnsi="Times New Roman" w:cs="Times New Roman"/>
          <w:sz w:val="24"/>
          <w:szCs w:val="24"/>
          <w:vertAlign w:val="superscript"/>
        </w:rPr>
        <w:t>2 3</w:t>
      </w:r>
      <w:r w:rsidRPr="004F54BC">
        <w:rPr>
          <w:rFonts w:ascii="Times New Roman" w:hAnsi="Times New Roman" w:cs="Times New Roman"/>
          <w:sz w:val="24"/>
          <w:szCs w:val="24"/>
        </w:rPr>
        <w:t>. It is widely accepted that elderly patients tend to have a higher mortality risk and poorer outcome than younger patients with similar burn injuries, particularly as burn size and depth</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increases </w:t>
      </w:r>
      <w:r w:rsidRPr="00CF33CC">
        <w:rPr>
          <w:rFonts w:ascii="Times New Roman" w:hAnsi="Times New Roman" w:cs="Times New Roman"/>
          <w:sz w:val="24"/>
          <w:szCs w:val="24"/>
          <w:vertAlign w:val="superscript"/>
        </w:rPr>
        <w:t>4-11</w:t>
      </w:r>
      <w:r w:rsidRPr="004F54BC">
        <w:rPr>
          <w:rFonts w:ascii="Times New Roman" w:hAnsi="Times New Roman" w:cs="Times New Roman"/>
          <w:sz w:val="24"/>
          <w:szCs w:val="24"/>
        </w:rPr>
        <w:t xml:space="preserve">. When caring for elderly patients, medical teams are not only faced with the clinical challenge of providing the highest standards of burn care in the context of multiple medical comorbidities but also face the ethical challenge of separating patients that are likely to benefit from aggressive surgical management and intensive care from those where such treatment is likely to be futile and best supportive care is most appropriate </w:t>
      </w:r>
      <w:r w:rsidRPr="00CF33CC">
        <w:rPr>
          <w:rFonts w:ascii="Times New Roman" w:hAnsi="Times New Roman" w:cs="Times New Roman"/>
          <w:sz w:val="24"/>
          <w:szCs w:val="24"/>
          <w:vertAlign w:val="superscript"/>
        </w:rPr>
        <w:t>9 12</w:t>
      </w:r>
      <w:r w:rsidRPr="004F54BC">
        <w:rPr>
          <w:rFonts w:ascii="Times New Roman" w:hAnsi="Times New Roman" w:cs="Times New Roman"/>
          <w:sz w:val="24"/>
          <w:szCs w:val="24"/>
        </w:rPr>
        <w:t>.</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When making decisions on the utility and futility of treatment, a number of validated outcome measures such as the modified Baux can be used to predict survival </w:t>
      </w:r>
      <w:r w:rsidRPr="00CF33CC">
        <w:rPr>
          <w:rFonts w:ascii="Times New Roman" w:hAnsi="Times New Roman" w:cs="Times New Roman"/>
          <w:sz w:val="24"/>
          <w:szCs w:val="24"/>
          <w:vertAlign w:val="superscript"/>
        </w:rPr>
        <w:t>8 10 13-17</w:t>
      </w:r>
      <w:r w:rsidRPr="004F54BC">
        <w:rPr>
          <w:rFonts w:ascii="Times New Roman" w:hAnsi="Times New Roman" w:cs="Times New Roman"/>
          <w:sz w:val="24"/>
          <w:szCs w:val="24"/>
        </w:rPr>
        <w:t xml:space="preserve">. These measures employ chronological rather than biological age and, as a result, are limited by the fact that they fail to incorporate the subtle complexity of clinical judgement in their predictions. In particular, they cannot discriminate between two patients of similar chronological age with marked differences in their premorbid biological state when comorbidities, physiological reserve and societal factors are considered </w:t>
      </w:r>
      <w:r w:rsidRPr="00CF33CC">
        <w:rPr>
          <w:rFonts w:ascii="Times New Roman" w:hAnsi="Times New Roman" w:cs="Times New Roman"/>
          <w:sz w:val="24"/>
          <w:szCs w:val="24"/>
          <w:vertAlign w:val="superscript"/>
        </w:rPr>
        <w:t>10 18-20</w:t>
      </w:r>
      <w:r w:rsidRPr="004F54BC">
        <w:rPr>
          <w:rFonts w:ascii="Times New Roman" w:hAnsi="Times New Roman" w:cs="Times New Roman"/>
          <w:sz w:val="24"/>
          <w:szCs w:val="24"/>
        </w:rPr>
        <w:t>.</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One way to incorporate biological rather than chronological age into the prediction of survival is to consider the presence of frailty as a proxy for physiological age </w:t>
      </w:r>
      <w:r w:rsidRPr="00CF33CC">
        <w:rPr>
          <w:rFonts w:ascii="Times New Roman" w:hAnsi="Times New Roman" w:cs="Times New Roman"/>
          <w:sz w:val="24"/>
          <w:szCs w:val="24"/>
          <w:vertAlign w:val="superscript"/>
        </w:rPr>
        <w:t>21</w:t>
      </w:r>
      <w:r w:rsidRPr="004F54BC">
        <w:rPr>
          <w:rFonts w:ascii="Times New Roman" w:hAnsi="Times New Roman" w:cs="Times New Roman"/>
          <w:sz w:val="24"/>
          <w:szCs w:val="24"/>
        </w:rPr>
        <w:t xml:space="preserve">. Frailty represents a loss of resilience for an individual and is characterised by generalised loss of reserves across multiple organ systems that increases vulnerability to physiological decompensation following stressors. It can be defined as a clinical syndrome in older adults that carries increased risk for poorer health outcomes, in particular falls, incident disability, hospitalization and mortality </w:t>
      </w:r>
      <w:r w:rsidRPr="00CF33CC">
        <w:rPr>
          <w:rFonts w:ascii="Times New Roman" w:hAnsi="Times New Roman" w:cs="Times New Roman"/>
          <w:sz w:val="24"/>
          <w:szCs w:val="24"/>
          <w:vertAlign w:val="superscript"/>
        </w:rPr>
        <w:t>22</w:t>
      </w:r>
      <w:r w:rsidRPr="004F54BC">
        <w:rPr>
          <w:rFonts w:ascii="Times New Roman" w:hAnsi="Times New Roman" w:cs="Times New Roman"/>
          <w:sz w:val="24"/>
          <w:szCs w:val="24"/>
        </w:rPr>
        <w:t xml:space="preserve">. The Canadian Study for Health and Aging derived a scale, </w:t>
      </w:r>
      <w:r w:rsidRPr="004F54BC">
        <w:rPr>
          <w:rFonts w:ascii="Times New Roman" w:hAnsi="Times New Roman" w:cs="Times New Roman"/>
          <w:sz w:val="24"/>
          <w:szCs w:val="24"/>
        </w:rPr>
        <w:lastRenderedPageBreak/>
        <w:t xml:space="preserve">the Clinical Frailty Scale (herein “Frailty Score”), for quantifying frailty (see Figure 1). The measure ranges from one (“very fit”) to seven (“severely frail”) and judges the fitness, dependency and symptom control </w:t>
      </w:r>
      <w:r w:rsidRPr="0016385B">
        <w:rPr>
          <w:rFonts w:ascii="Times New Roman" w:hAnsi="Times New Roman" w:cs="Times New Roman"/>
          <w:sz w:val="24"/>
          <w:szCs w:val="24"/>
          <w:vertAlign w:val="superscript"/>
        </w:rPr>
        <w:t>23</w:t>
      </w:r>
      <w:r w:rsidRPr="004F54BC">
        <w:rPr>
          <w:rFonts w:ascii="Times New Roman" w:hAnsi="Times New Roman" w:cs="Times New Roman"/>
          <w:sz w:val="24"/>
          <w:szCs w:val="24"/>
        </w:rPr>
        <w:t xml:space="preserve"> of an older individual.</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The effects of frailty have previously been considered in burns, including previous published work from our institution showing that the Frailty Score can accurately predict survival in the elderly for burns &gt;10% TBSA requiring admission to a Burns Intensive Care Unit </w:t>
      </w:r>
      <w:r w:rsidRPr="00643F7A">
        <w:rPr>
          <w:rFonts w:ascii="Times New Roman" w:hAnsi="Times New Roman" w:cs="Times New Roman"/>
          <w:sz w:val="24"/>
          <w:szCs w:val="24"/>
          <w:vertAlign w:val="superscript"/>
        </w:rPr>
        <w:t>18</w:t>
      </w:r>
      <w:r w:rsidRPr="004F54BC">
        <w:rPr>
          <w:rFonts w:ascii="Times New Roman" w:hAnsi="Times New Roman" w:cs="Times New Roman"/>
          <w:sz w:val="24"/>
          <w:szCs w:val="24"/>
        </w:rPr>
        <w:t>. In this latest study, we set out to improve our understanding of how the Frailty Score could be used in our institution to predict mortality for elderly patients with a burn of any size that necessitated admission for further management and compared its predictive efficacy to established tools for predicting burn mortality.</w:t>
      </w:r>
    </w:p>
    <w:p w:rsidR="00823580" w:rsidRPr="004F54BC" w:rsidRDefault="00823580" w:rsidP="004F54BC">
      <w:pPr>
        <w:spacing w:line="480" w:lineRule="auto"/>
        <w:rPr>
          <w:rFonts w:ascii="Times New Roman" w:hAnsi="Times New Roman" w:cs="Times New Roman"/>
          <w:sz w:val="24"/>
          <w:szCs w:val="24"/>
        </w:rPr>
      </w:pPr>
    </w:p>
    <w:p w:rsidR="00823580" w:rsidRPr="00B737BE" w:rsidRDefault="00B737BE" w:rsidP="004F54BC">
      <w:pPr>
        <w:spacing w:line="480" w:lineRule="auto"/>
        <w:rPr>
          <w:rFonts w:ascii="Times New Roman" w:hAnsi="Times New Roman" w:cs="Times New Roman"/>
          <w:b/>
          <w:sz w:val="24"/>
          <w:szCs w:val="24"/>
        </w:rPr>
      </w:pPr>
      <w:r>
        <w:rPr>
          <w:rFonts w:ascii="Times New Roman" w:hAnsi="Times New Roman" w:cs="Times New Roman"/>
          <w:b/>
          <w:sz w:val="24"/>
          <w:szCs w:val="24"/>
        </w:rPr>
        <w:t>Methodology</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A retrospective analysis of prospectively collected data was performed for all patients aged 65 years (current UK pensionable age) or older who had sustained thermal burns of any size that were admitted to our burns centre for more than 24 hours between 1 January 2008 and 31 December 2015. For each patient, the following variables were collected: burn type, percentage total body surface area, sites involved, presence of inhalation injury, medical history, presence of polypharmacy (&gt;4 medications), surgical management, length of stay on burns intensive care, total inpatient stay and mortality (both in-hospital and one-year).</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Inhalational injury was identified on the basis of the reported mechanism of injury and bronchoscopic findings of mucosal damage during the initial clinical assessment.</w:t>
      </w:r>
    </w:p>
    <w:p w:rsidR="00147F35"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The premorbid independence and social care needs of every patient are recorded as standard in our institution but a specific Frailty Score has only been assigned since 2012. The medical records of every patient were reviewed and a Frailty Score (1-7) was retrospectively allocated </w:t>
      </w:r>
      <w:r w:rsidRPr="004F54BC">
        <w:rPr>
          <w:rFonts w:ascii="Times New Roman" w:hAnsi="Times New Roman" w:cs="Times New Roman"/>
          <w:sz w:val="24"/>
          <w:szCs w:val="24"/>
        </w:rPr>
        <w:lastRenderedPageBreak/>
        <w:t>in accordance with the Canadian Study of Health and Aging Clinical Frailty Scale (Figure 1) by two independent burn specialists. Where disagreement occurred, either between the original or the retrospectively assigned Frailty Score, the opinion of a third deciding burn specialist was sought and accepted. No other data was available to them apart from the detailed descriptions of the clinical comorbidities and premorbid needs of each patient. The modified Baux score and Abbreviated Burn Severity Index were calculated for each patient. Univariate statistical analysis was performed using the Mann-Whitney U and Chi square tests. Multivariate statistical analysis was performed using multiple logistic regression analysis. ROC curve analysis was performed for the modified Baux score alone and combined with the Frailty Score as predictors of mortality. Th</w:t>
      </w:r>
      <w:r w:rsidR="00B737BE">
        <w:rPr>
          <w:rFonts w:ascii="Times New Roman" w:hAnsi="Times New Roman" w:cs="Times New Roman"/>
          <w:sz w:val="24"/>
          <w:szCs w:val="24"/>
        </w:rPr>
        <w:t xml:space="preserve">e Frailty Score was analysed as </w:t>
      </w:r>
      <w:r w:rsidRPr="004F54BC">
        <w:rPr>
          <w:rFonts w:ascii="Times New Roman" w:hAnsi="Times New Roman" w:cs="Times New Roman"/>
          <w:sz w:val="24"/>
          <w:szCs w:val="24"/>
        </w:rPr>
        <w:t>a continuous and categorical va</w:t>
      </w:r>
      <w:r w:rsidR="00B737BE">
        <w:rPr>
          <w:rFonts w:ascii="Times New Roman" w:hAnsi="Times New Roman" w:cs="Times New Roman"/>
          <w:sz w:val="24"/>
          <w:szCs w:val="24"/>
        </w:rPr>
        <w:t xml:space="preserve">riable (cut-offs at &gt;3 and &gt;4). </w:t>
      </w:r>
    </w:p>
    <w:p w:rsidR="00823580" w:rsidRPr="00B737BE" w:rsidRDefault="00B737BE" w:rsidP="004F54BC">
      <w:pPr>
        <w:spacing w:line="480" w:lineRule="auto"/>
        <w:rPr>
          <w:rFonts w:ascii="Times New Roman" w:hAnsi="Times New Roman" w:cs="Times New Roman"/>
          <w:b/>
          <w:sz w:val="24"/>
          <w:szCs w:val="24"/>
        </w:rPr>
      </w:pPr>
      <w:r>
        <w:rPr>
          <w:rFonts w:ascii="Times New Roman" w:hAnsi="Times New Roman" w:cs="Times New Roman"/>
          <w:b/>
          <w:sz w:val="24"/>
          <w:szCs w:val="24"/>
        </w:rPr>
        <w:t>Results</w:t>
      </w:r>
    </w:p>
    <w:p w:rsidR="00823580" w:rsidRPr="00B737BE" w:rsidRDefault="00B737BE" w:rsidP="004F54BC">
      <w:pPr>
        <w:spacing w:line="480" w:lineRule="auto"/>
        <w:rPr>
          <w:rFonts w:ascii="Times New Roman" w:hAnsi="Times New Roman" w:cs="Times New Roman"/>
          <w:b/>
          <w:sz w:val="24"/>
          <w:szCs w:val="24"/>
        </w:rPr>
      </w:pPr>
      <w:r w:rsidRPr="00B737BE">
        <w:rPr>
          <w:rFonts w:ascii="Times New Roman" w:hAnsi="Times New Roman" w:cs="Times New Roman"/>
          <w:b/>
          <w:sz w:val="24"/>
          <w:szCs w:val="24"/>
        </w:rPr>
        <w:t>Sample</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During the study period, 372 patients ≥65 years of age were admitted to the burns service with 239 patients meeting the study inclusion criteria. Patients admitted for less than 24 hours were excluded because they were considered to require outpatient level care only. Most of these patients presented late in the evening and were admitted overnight for practical non-medical considerations, such as transport home or supervised care on discharge, to be addressed. Patients with medical causes of skin loss (.e.g. SJS-TENs), undergoing secondary elective burns reconstructive procedures or the small number of patients (n=14) with non-thermal burns (friction, chemical or radiation burns) were excluded. All admitted patients with flame, scald, contact and electrical burns were included. The study sample comprised 135 males (56.5%) and 104 (43.5%) females. The median age was 76 years (Range: 65-99 years). The median Frailty Score was 5 (range: 1-7). The distribution of the frailty score </w:t>
      </w:r>
      <w:r w:rsidRPr="004F54BC">
        <w:rPr>
          <w:rFonts w:ascii="Times New Roman" w:hAnsi="Times New Roman" w:cs="Times New Roman"/>
          <w:sz w:val="24"/>
          <w:szCs w:val="24"/>
        </w:rPr>
        <w:lastRenderedPageBreak/>
        <w:t>within the cohort is demonstrated in Figure 1. Concordance between frailty scorers was &gt;90%. There was no association between age and Frailty Score. The median burn size was 7% TBSA (Range: 0.1-98% TBSA) and the median length of stay was 15 days (Range: 1-308 days). 124 patients (51.9%) underwent surgical debridement this included 109/190 survivors (57.3%) and 15/49 non-survivors (3</w:t>
      </w:r>
      <w:r w:rsidR="00147F35">
        <w:rPr>
          <w:rFonts w:ascii="Times New Roman" w:hAnsi="Times New Roman" w:cs="Times New Roman"/>
          <w:sz w:val="24"/>
          <w:szCs w:val="24"/>
        </w:rPr>
        <w:t>0.6%).</w:t>
      </w:r>
    </w:p>
    <w:p w:rsidR="00823580" w:rsidRPr="00147F35" w:rsidRDefault="00823580" w:rsidP="004F54BC">
      <w:pPr>
        <w:spacing w:line="480" w:lineRule="auto"/>
        <w:rPr>
          <w:rFonts w:ascii="Times New Roman" w:hAnsi="Times New Roman" w:cs="Times New Roman"/>
          <w:b/>
          <w:sz w:val="24"/>
          <w:szCs w:val="24"/>
        </w:rPr>
      </w:pPr>
      <w:r w:rsidRPr="00147F35">
        <w:rPr>
          <w:rFonts w:ascii="Times New Roman" w:hAnsi="Times New Roman" w:cs="Times New Roman"/>
          <w:b/>
          <w:sz w:val="24"/>
          <w:szCs w:val="24"/>
        </w:rPr>
        <w:t>I</w:t>
      </w:r>
      <w:r w:rsidR="00147F35">
        <w:rPr>
          <w:rFonts w:ascii="Times New Roman" w:hAnsi="Times New Roman" w:cs="Times New Roman"/>
          <w:b/>
          <w:sz w:val="24"/>
          <w:szCs w:val="24"/>
        </w:rPr>
        <w:t>n-hospital &amp; One-year Mortality</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49 patients (21%) died during their in-patient stay with 190 patients (79%) surviving to discharge. 87 patients died (36.4%) within one-year of hospital admission with 152 patients (63.6%) surviving to one-year post-discharge. For in-hospital and one-year mortality univariate analysis demonstrated that there were statistically significant differences between survivors and non-survivors for TBSA, presence of inhalational injury, modified Baux and Frailty Score – all factors that were all associated with mortality (see Figure 2).</w:t>
      </w:r>
    </w:p>
    <w:p w:rsidR="00823580" w:rsidRPr="004F54BC" w:rsidRDefault="00823580" w:rsidP="004F54BC">
      <w:pPr>
        <w:spacing w:line="480" w:lineRule="auto"/>
        <w:rPr>
          <w:rFonts w:ascii="Times New Roman" w:hAnsi="Times New Roman" w:cs="Times New Roman"/>
          <w:sz w:val="24"/>
          <w:szCs w:val="24"/>
        </w:rPr>
      </w:pPr>
    </w:p>
    <w:p w:rsidR="00823580" w:rsidRPr="00B23382" w:rsidRDefault="00B23382" w:rsidP="004F54BC">
      <w:pPr>
        <w:spacing w:line="480" w:lineRule="auto"/>
        <w:rPr>
          <w:rFonts w:ascii="Times New Roman" w:hAnsi="Times New Roman" w:cs="Times New Roman"/>
          <w:b/>
          <w:sz w:val="24"/>
          <w:szCs w:val="24"/>
        </w:rPr>
      </w:pPr>
      <w:r>
        <w:rPr>
          <w:rFonts w:ascii="Times New Roman" w:hAnsi="Times New Roman" w:cs="Times New Roman"/>
          <w:b/>
          <w:sz w:val="24"/>
          <w:szCs w:val="24"/>
        </w:rPr>
        <w:t>Mortality Association</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The degree of statistical correlation between the modified Baux and Frailty scores towards in-hospital and one-year mortality was further examined using the Spearman’s Rank Correlation Co-efficient (Rho) – (see Figure 3). Both variables had a moderate statistical correlation with in-hospital mortality with the modified Baux score demonstrating the strongest association. The Frailty Score demonstrated the strongest association with one-year mortality.</w:t>
      </w:r>
    </w:p>
    <w:p w:rsidR="00823580" w:rsidRPr="004F54BC" w:rsidRDefault="00823580" w:rsidP="004F54BC">
      <w:pPr>
        <w:spacing w:line="480" w:lineRule="auto"/>
        <w:rPr>
          <w:rFonts w:ascii="Times New Roman" w:hAnsi="Times New Roman" w:cs="Times New Roman"/>
          <w:sz w:val="24"/>
          <w:szCs w:val="24"/>
        </w:rPr>
      </w:pPr>
    </w:p>
    <w:p w:rsidR="00823580" w:rsidRPr="00B23382" w:rsidRDefault="00B23382" w:rsidP="004F54BC">
      <w:pPr>
        <w:spacing w:line="480" w:lineRule="auto"/>
        <w:rPr>
          <w:rFonts w:ascii="Times New Roman" w:hAnsi="Times New Roman" w:cs="Times New Roman"/>
          <w:b/>
          <w:sz w:val="24"/>
          <w:szCs w:val="24"/>
        </w:rPr>
      </w:pPr>
      <w:r>
        <w:rPr>
          <w:rFonts w:ascii="Times New Roman" w:hAnsi="Times New Roman" w:cs="Times New Roman"/>
          <w:b/>
          <w:sz w:val="24"/>
          <w:szCs w:val="24"/>
        </w:rPr>
        <w:t>Regression Analysis</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To more fully analyse and compare the individual predictive effects of the modified Baux and Frailty Scores on mortality, multiple logistic regression analysis was performed (adjusted for </w:t>
      </w:r>
      <w:r w:rsidRPr="004F54BC">
        <w:rPr>
          <w:rFonts w:ascii="Times New Roman" w:hAnsi="Times New Roman" w:cs="Times New Roman"/>
          <w:sz w:val="24"/>
          <w:szCs w:val="24"/>
        </w:rPr>
        <w:lastRenderedPageBreak/>
        <w:t>confounders). Odds of mortality for every single-point score increase in the modified Baux and Frailty Score were calculated (see Figure 4). Odds of mortality for every single point increase were greatest for the Frailty Score and equivalent for the modified Baux when one-year and in-hosp</w:t>
      </w:r>
      <w:r w:rsidR="00B23382">
        <w:rPr>
          <w:rFonts w:ascii="Times New Roman" w:hAnsi="Times New Roman" w:cs="Times New Roman"/>
          <w:sz w:val="24"/>
          <w:szCs w:val="24"/>
        </w:rPr>
        <w:t>ital mortality were considered.</w:t>
      </w:r>
    </w:p>
    <w:p w:rsidR="00823580" w:rsidRPr="00B23382" w:rsidRDefault="00B23382" w:rsidP="004F54BC">
      <w:pPr>
        <w:spacing w:line="480" w:lineRule="auto"/>
        <w:rPr>
          <w:rFonts w:ascii="Times New Roman" w:hAnsi="Times New Roman" w:cs="Times New Roman"/>
          <w:b/>
          <w:sz w:val="24"/>
          <w:szCs w:val="24"/>
        </w:rPr>
      </w:pPr>
      <w:r>
        <w:rPr>
          <w:rFonts w:ascii="Times New Roman" w:hAnsi="Times New Roman" w:cs="Times New Roman"/>
          <w:b/>
          <w:sz w:val="24"/>
          <w:szCs w:val="24"/>
        </w:rPr>
        <w:t>ROC Curve Analysis</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To identify whether the modified Baux and Frailty Score may improve the accuracy of mortality prediction when combined, ROC curve analysis was performed (see Figure 5). For in-hospital and one-year mortality, the modified Baux and Frailty Scores in combination (as a continuous and categorical variable with a cut-off at both 3 and 4) demonstrated statistically significant improved mortality prediction compared to the modified Baux score alone.</w:t>
      </w:r>
    </w:p>
    <w:p w:rsidR="00823580" w:rsidRPr="004F54BC" w:rsidRDefault="00823580" w:rsidP="004F54BC">
      <w:pPr>
        <w:spacing w:line="480" w:lineRule="auto"/>
        <w:rPr>
          <w:rFonts w:ascii="Times New Roman" w:hAnsi="Times New Roman" w:cs="Times New Roman"/>
          <w:sz w:val="24"/>
          <w:szCs w:val="24"/>
        </w:rPr>
      </w:pPr>
    </w:p>
    <w:p w:rsidR="00823580" w:rsidRPr="00B23382" w:rsidRDefault="00823580" w:rsidP="004F54BC">
      <w:pPr>
        <w:spacing w:line="480" w:lineRule="auto"/>
        <w:rPr>
          <w:rFonts w:ascii="Times New Roman" w:hAnsi="Times New Roman" w:cs="Times New Roman"/>
          <w:b/>
          <w:sz w:val="24"/>
          <w:szCs w:val="24"/>
        </w:rPr>
      </w:pPr>
      <w:r w:rsidRPr="00B23382">
        <w:rPr>
          <w:rFonts w:ascii="Times New Roman" w:hAnsi="Times New Roman" w:cs="Times New Roman"/>
          <w:b/>
          <w:sz w:val="24"/>
          <w:szCs w:val="24"/>
        </w:rPr>
        <w:t>Discussion</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Frailty can be considered as two concepts: either as a phenotype, or conversely as a</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Frailty Score we have considered frailty in accordance with the frailty phenotype model. The concept of frailty is difficult to define and has been debated in the literature for over 25 years. </w:t>
      </w:r>
      <w:r w:rsidRPr="0016385B">
        <w:rPr>
          <w:rFonts w:ascii="Times New Roman" w:hAnsi="Times New Roman" w:cs="Times New Roman"/>
          <w:sz w:val="24"/>
          <w:szCs w:val="24"/>
          <w:vertAlign w:val="superscript"/>
        </w:rPr>
        <w:t>24 26</w:t>
      </w:r>
      <w:r w:rsidRPr="004F54BC">
        <w:rPr>
          <w:rFonts w:ascii="Times New Roman" w:hAnsi="Times New Roman" w:cs="Times New Roman"/>
          <w:sz w:val="24"/>
          <w:szCs w:val="24"/>
        </w:rPr>
        <w:t>. It remains controversial particularly regarding its definition, position on the spectrum</w:t>
      </w:r>
    </w:p>
    <w:p w:rsidR="00823580" w:rsidRDefault="00823580" w:rsidP="004F54BC">
      <w:pPr>
        <w:spacing w:line="480" w:lineRule="auto"/>
        <w:rPr>
          <w:rFonts w:ascii="Times New Roman" w:hAnsi="Times New Roman" w:cs="Times New Roman"/>
          <w:sz w:val="24"/>
          <w:szCs w:val="24"/>
          <w:vertAlign w:val="superscript"/>
        </w:rPr>
      </w:pPr>
      <w:r w:rsidRPr="004F54BC">
        <w:rPr>
          <w:rFonts w:ascii="Times New Roman" w:hAnsi="Times New Roman" w:cs="Times New Roman"/>
          <w:sz w:val="24"/>
          <w:szCs w:val="24"/>
        </w:rPr>
        <w:t xml:space="preserve">between normal ageing and pathological physiology as well as whether it is a syndrome or series of age-related adversity risk factors. The contribution of cognitive impairment, affective disorders and socio-demographic factors also add to the debate. </w:t>
      </w:r>
      <w:r w:rsidRPr="0016385B">
        <w:rPr>
          <w:rFonts w:ascii="Times New Roman" w:hAnsi="Times New Roman" w:cs="Times New Roman"/>
          <w:sz w:val="24"/>
          <w:szCs w:val="24"/>
          <w:vertAlign w:val="superscript"/>
        </w:rPr>
        <w:t>24</w:t>
      </w:r>
    </w:p>
    <w:p w:rsidR="003B49C0" w:rsidRPr="004F54BC" w:rsidRDefault="003B49C0" w:rsidP="004F54BC">
      <w:pPr>
        <w:spacing w:line="480" w:lineRule="auto"/>
        <w:rPr>
          <w:rFonts w:ascii="Times New Roman" w:hAnsi="Times New Roman" w:cs="Times New Roman"/>
          <w:sz w:val="24"/>
          <w:szCs w:val="24"/>
        </w:rPr>
      </w:pPr>
    </w:p>
    <w:p w:rsidR="00660F42" w:rsidRDefault="00823580" w:rsidP="00660F42">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In the UK, the role of frailty as a risk factor for morbidity, mortality and prolonged hospital admission has been recognised by the influential National Confidential Inquiry into Patient Outcome and Death (NCEPOD). Its report “an age old problem” recommends the presence of </w:t>
      </w:r>
      <w:r w:rsidRPr="004F54BC">
        <w:rPr>
          <w:rFonts w:ascii="Times New Roman" w:hAnsi="Times New Roman" w:cs="Times New Roman"/>
          <w:sz w:val="24"/>
          <w:szCs w:val="24"/>
        </w:rPr>
        <w:lastRenderedPageBreak/>
        <w:t>frailty is specifically sought as a marker of adverse outcome and met with tailored specialist care (NCEPOD, 2010). Its conclusion that frailty is a marker of adverse surgical outcome for elective surgery is well evidenced in the literature. In particular a well-designed prospective study of 594 patients demonstrated frailty to be associated with post-operative complication (OR: 2.54; 95% CI: 1.12–5.77), prolonged admission (OR: 1.69; 95% CI: 1.28–2.23) and dependency on discharge (OR: 20.48; 95% CI 5.54–75.68)27. These findings are echoed by other authors showing frailty to be a marker or adverse outcome in every surgical</w:t>
      </w:r>
      <w:r w:rsidR="00660F42">
        <w:rPr>
          <w:rFonts w:ascii="Times New Roman" w:hAnsi="Times New Roman" w:cs="Times New Roman"/>
          <w:sz w:val="24"/>
          <w:szCs w:val="24"/>
        </w:rPr>
        <w:t xml:space="preserve"> </w:t>
      </w:r>
      <w:r w:rsidR="00660F42" w:rsidRPr="00660F42">
        <w:rPr>
          <w:rFonts w:ascii="Times New Roman" w:hAnsi="Times New Roman" w:cs="Times New Roman"/>
          <w:sz w:val="24"/>
          <w:szCs w:val="24"/>
        </w:rPr>
        <w:t xml:space="preserve">outcome for elective surgery is well evidenced in the literature. </w:t>
      </w:r>
    </w:p>
    <w:p w:rsidR="003B49C0" w:rsidRPr="00660F42" w:rsidRDefault="003B49C0" w:rsidP="00660F42">
      <w:pPr>
        <w:spacing w:line="480" w:lineRule="auto"/>
        <w:rPr>
          <w:rFonts w:ascii="Times New Roman" w:hAnsi="Times New Roman" w:cs="Times New Roman"/>
          <w:sz w:val="24"/>
          <w:szCs w:val="24"/>
        </w:rPr>
      </w:pP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 A number of instruments are available to screen for and measure frailty. The most</w:t>
      </w:r>
      <w:r w:rsidR="00660F42">
        <w:rPr>
          <w:rFonts w:ascii="Times New Roman" w:hAnsi="Times New Roman" w:cs="Times New Roman"/>
          <w:sz w:val="24"/>
          <w:szCs w:val="24"/>
        </w:rPr>
        <w:t xml:space="preserve"> </w:t>
      </w:r>
      <w:r w:rsidRPr="004F54BC">
        <w:rPr>
          <w:rFonts w:ascii="Times New Roman" w:hAnsi="Times New Roman" w:cs="Times New Roman"/>
          <w:sz w:val="24"/>
          <w:szCs w:val="24"/>
        </w:rPr>
        <w:t>evidenced based and reliably predict adverse outcomes or treatment responders. Instruments</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vary with some validated as population-based screening rather than diagnostic tools</w:t>
      </w:r>
      <w:r w:rsidRPr="00643F7A">
        <w:rPr>
          <w:rFonts w:ascii="Times New Roman" w:hAnsi="Times New Roman" w:cs="Times New Roman"/>
          <w:sz w:val="24"/>
          <w:szCs w:val="24"/>
          <w:vertAlign w:val="superscript"/>
        </w:rPr>
        <w:t>40</w:t>
      </w:r>
      <w:r w:rsidRPr="004F54BC">
        <w:rPr>
          <w:rFonts w:ascii="Times New Roman" w:hAnsi="Times New Roman" w:cs="Times New Roman"/>
          <w:sz w:val="24"/>
          <w:szCs w:val="24"/>
        </w:rPr>
        <w:t>. In our study, we chose to use Rockwood’s Clinical Frailty Scale (“Frailty Score”) because its simplicity, previous wide-use, validation (compared to the other models) and clear criterion made it the most suitable instrument for our burns practice.</w:t>
      </w:r>
    </w:p>
    <w:p w:rsidR="00823580" w:rsidRPr="004F54BC" w:rsidRDefault="00426224" w:rsidP="004F54B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23580" w:rsidRPr="004F54BC">
        <w:rPr>
          <w:rFonts w:ascii="Times New Roman" w:hAnsi="Times New Roman" w:cs="Times New Roman"/>
          <w:sz w:val="24"/>
          <w:szCs w:val="24"/>
        </w:rPr>
        <w:t xml:space="preserve">To determine the impact of frailty on burns survival in the elderly, we report mortality for all patients greater than 65 years of age managed within our regional burns service during an 8-year period. We observed in-hospital and one-year mortality for our cohort of 21% and 36.4% respectively. </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In our study, we found a statistically significant association with both in-hospital and one-year mortality for the Frailty Score but no association between the dual mortalities and age &gt;65 years. The stronger association between Frailty Score and mortality in comparison to age alone reflects that frailty score provides a global appreciation of a patient’s health and functioning and encompasses how variation in co-morbidity impacts upon functioning more </w:t>
      </w:r>
      <w:r w:rsidRPr="004F54BC">
        <w:rPr>
          <w:rFonts w:ascii="Times New Roman" w:hAnsi="Times New Roman" w:cs="Times New Roman"/>
          <w:sz w:val="24"/>
          <w:szCs w:val="24"/>
        </w:rPr>
        <w:lastRenderedPageBreak/>
        <w:t>pragmatically than age. The utility of the Frailty Score for predicting outcomes post-burn has been examined by Romanski et al. in a 2 year retrospective review of 89 patients &gt;65 years. The study found age and discharge to a skilled nursing facility were both associated with increased Frailty Score, whilst a lower Frailty Score was associated with survival. Excluding Masud’s previous work from our centre, Romanski et al. is the only directly comparable</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 </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research to our work but unfortunately did not consider longer-term mortality although by examining the proxy measure of discharge dependency highlights how assessing the frailty score on admission can provide an insight into longer-term outcomes </w:t>
      </w:r>
      <w:r w:rsidRPr="003B49C0">
        <w:rPr>
          <w:rFonts w:ascii="Times New Roman" w:hAnsi="Times New Roman" w:cs="Times New Roman"/>
          <w:sz w:val="24"/>
          <w:szCs w:val="24"/>
          <w:vertAlign w:val="superscript"/>
        </w:rPr>
        <w:t>56</w:t>
      </w:r>
      <w:r w:rsidRPr="004F54BC">
        <w:rPr>
          <w:rFonts w:ascii="Times New Roman" w:hAnsi="Times New Roman" w:cs="Times New Roman"/>
          <w:sz w:val="24"/>
          <w:szCs w:val="24"/>
        </w:rPr>
        <w:t>.</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The simplicity and pragmatic ease of applying the Frailty Score when burns physicians are judging the likely utility vs. futility of acute burn treatment is important. During the initial period following any burn, information regarding the circumstances of injury, as well as personal and medical background of a patient, are frequently unavailable. This means that clinicians can be called upon to make treatment decisions based on limited information - a situation that the Frailty Score lends itself towards by requiring only very basic lay information about a patient’s health and dependency with little prior history. In the complex and busy period of an initial burn care, the Frailty Score is simple to calculate with clear criterions based on defined levels of patient functioning, whilst being easy to understand and communicate.</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The association between Frailty Score and mortality was stronger and more discriminative for one-year mortality than in-hospital mortality. This is an important finding demonstrating the utility of the Frailty Score for predicting outcomes from any elderly burns in the longer-term. By reflecting on one-year mortality, clinicians can discuss realistic outcomes with patients and their relatives, especially those who do not return to their premorbid level of health and </w:t>
      </w:r>
      <w:r w:rsidRPr="004F54BC">
        <w:rPr>
          <w:rFonts w:ascii="Times New Roman" w:hAnsi="Times New Roman" w:cs="Times New Roman"/>
          <w:sz w:val="24"/>
          <w:szCs w:val="24"/>
        </w:rPr>
        <w:lastRenderedPageBreak/>
        <w:t>succumb to their comorbidities on discharge (whether this is dependent or independent of the burn injury). More holistically, measuring one-year mortality allows burn care teams to look beyond the effect of the acute hospital care and measure the impact of social care, primary care and post-burn follow-up on burn outcomes.</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In our study we directly compared the Frailty Score against the modified Baux score. We found that both scores independently predicted in-hospital and one-year mortality. The multiple logistical regression analysis demonstrated that for both in-hospital and one-year mortality the Frailty Score for every single-point increase was more discriminative with odds ratios of 2.33 and 3.13 for in-hospital and one-year mortality compared with 1.09 and 1.08 for the modified Baux score. The higher odds ratios for each single-point increase in Frailty Score is useful because it reduces the utility of a futility cut-off that is commonly employed and frequently criticised when interpreting the modified Baux score. It also emphasises the point that no matter the size of burn, increased frailty is a predictor of post-burn mortality and therefore any burn in the elderly, regardless of size, should be managed judiciously. Finally, our work demonstrates that when combined the Frailty Score and modified Baux score predict both one-year and in-hospital mortality with greater sensitivity and specificity than the modified Baux score alone. This finding held true for both mortalities when frailty was employed as a continuous and categorical variable &gt;3 and demonstrates that incorporating the Frailty Score into the modified Baux will improve the accuracy of mortality predictions for elderly patients.</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With the association between frailty score on admission and mortality clear, the ethical and moral perspective for offering aggressive burn care to the frail patient should be reflected upon as society places increasing imperative on a “good” and “dignified” death.</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lastRenderedPageBreak/>
        <w:t>When it is clear a moderately or severely frail patient (with or without apparent co-morbidity) is at risk of probable mortality following burn excision, clinicians should broach the appropriateness of best supportive care alone</w:t>
      </w:r>
      <w:r w:rsidRPr="00660F42">
        <w:rPr>
          <w:rFonts w:ascii="Times New Roman" w:hAnsi="Times New Roman" w:cs="Times New Roman"/>
          <w:sz w:val="24"/>
          <w:szCs w:val="24"/>
          <w:vertAlign w:val="superscript"/>
        </w:rPr>
        <w:t xml:space="preserve"> 57</w:t>
      </w:r>
      <w:r w:rsidRPr="004F54BC">
        <w:rPr>
          <w:rFonts w:ascii="Times New Roman" w:hAnsi="Times New Roman" w:cs="Times New Roman"/>
          <w:sz w:val="24"/>
          <w:szCs w:val="24"/>
        </w:rPr>
        <w:t xml:space="preserve"> clearly discussing care goals</w:t>
      </w:r>
      <w:r w:rsidRPr="00660F42">
        <w:rPr>
          <w:rFonts w:ascii="Times New Roman" w:hAnsi="Times New Roman" w:cs="Times New Roman"/>
          <w:sz w:val="24"/>
          <w:szCs w:val="24"/>
          <w:vertAlign w:val="superscript"/>
        </w:rPr>
        <w:t>58</w:t>
      </w:r>
      <w:r w:rsidRPr="004F54BC">
        <w:rPr>
          <w:rFonts w:ascii="Times New Roman" w:hAnsi="Times New Roman" w:cs="Times New Roman"/>
          <w:sz w:val="24"/>
          <w:szCs w:val="24"/>
        </w:rPr>
        <w:t xml:space="preserve">. The scenario of burn excision complicated by graft loss, non-healing wounds, prolonged admission, gradual decline and mortality in a frail patient with multiple comorbidities should be avoided whenever there is predictive certainty on admission. We would encourage burn care teams to use the Frailty Score as a tool to offer evidence-based ethical burn care and, where possible, guide properly informed consent for aggressive burn care in the lucid but frail patient admitted to a burns service </w:t>
      </w:r>
      <w:r w:rsidRPr="00660F42">
        <w:rPr>
          <w:rFonts w:ascii="Times New Roman" w:hAnsi="Times New Roman" w:cs="Times New Roman"/>
          <w:sz w:val="24"/>
          <w:szCs w:val="24"/>
          <w:vertAlign w:val="superscript"/>
        </w:rPr>
        <w:t>59</w:t>
      </w:r>
      <w:r w:rsidRPr="004F54BC">
        <w:rPr>
          <w:rFonts w:ascii="Times New Roman" w:hAnsi="Times New Roman" w:cs="Times New Roman"/>
          <w:sz w:val="24"/>
          <w:szCs w:val="24"/>
        </w:rPr>
        <w:t>.</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Our study has two major limitations. Firstly, it is an analysis of the impact of frailty from a single-centre and therefore represents outcomes based on our local practice of burn care. Variation in the specific delivery of care between burn services, whether nationally or internationally, may be subtle but can influence outcomes significantly and, as a result, this study reflects our standards of burn care and may not be directly transferrable to others.</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Nevertheless, we believe that this study highlights the importance of frailty in burn care and would encourage other burn services to consider adopting its routine use as part of their standard practice. Secondly, the Frailty Score was attributed to some patients retrospectively through case-note review rather than prospectively collected on admission. This may be a source of observer error although the use of two independent burns specialists to review</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 medical records and allocate the score was an attempt to minimise such error. To overcome these limitations, we reiterate the recommendation that a prospectively conducted multi- centre review of the impact of the Frailty Score on burns would be worthwhile</w:t>
      </w:r>
      <w:r w:rsidRPr="00C545E1">
        <w:rPr>
          <w:rFonts w:ascii="Times New Roman" w:hAnsi="Times New Roman" w:cs="Times New Roman"/>
          <w:sz w:val="24"/>
          <w:szCs w:val="24"/>
          <w:vertAlign w:val="superscript"/>
        </w:rPr>
        <w:t>18</w:t>
      </w:r>
      <w:r w:rsidRPr="004F54BC">
        <w:rPr>
          <w:rFonts w:ascii="Times New Roman" w:hAnsi="Times New Roman" w:cs="Times New Roman"/>
          <w:sz w:val="24"/>
          <w:szCs w:val="24"/>
        </w:rPr>
        <w:t xml:space="preserve">. A minor limitation was the exclusion of non-thermal burns, including chemical burns, from the study although the intention had been to reduce variability in the patient study population. This will </w:t>
      </w:r>
      <w:r w:rsidRPr="004F54BC">
        <w:rPr>
          <w:rFonts w:ascii="Times New Roman" w:hAnsi="Times New Roman" w:cs="Times New Roman"/>
          <w:sz w:val="24"/>
          <w:szCs w:val="24"/>
        </w:rPr>
        <w:lastRenderedPageBreak/>
        <w:t>be considered by the authors in future work. A final minor limitation of our study is that we did not consider impact of frailty in patients less than 65 years of age. As health inequalities increase discordance between physiological and chronological age, it is likely that the young elderly (60-65 years)</w:t>
      </w:r>
      <w:r w:rsidRPr="003B49C0">
        <w:rPr>
          <w:rFonts w:ascii="Times New Roman" w:hAnsi="Times New Roman" w:cs="Times New Roman"/>
          <w:sz w:val="24"/>
          <w:szCs w:val="24"/>
          <w:vertAlign w:val="superscript"/>
        </w:rPr>
        <w:t>60</w:t>
      </w:r>
      <w:r w:rsidRPr="004F54BC">
        <w:rPr>
          <w:rFonts w:ascii="Times New Roman" w:hAnsi="Times New Roman" w:cs="Times New Roman"/>
          <w:sz w:val="24"/>
          <w:szCs w:val="24"/>
        </w:rPr>
        <w:t xml:space="preserve"> or patients at risk of early senescence (e.g. Down's Syndrome) could potentially be considered as distinctive cohorts whose association between frailty and outcome warrant further investigation.</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In summary, it is clear that increased frailty is a valid marker of poorer burn outcome in patients &gt; 65 years than is currently appreciated and that chronological age alone does not predict survivorship. It is also clear that association with frailty applies regardless of the size of the burn. We recommend that burn services assess the frailty of all patients &gt; 65 years on admission and target burn care appropriately. We recommend further statistical work integrating the Frailty Score into the modified Baux score for patients greater than 65 years of age to more robustly predict the mortality risk in elderly burn victims.</w:t>
      </w:r>
    </w:p>
    <w:p w:rsidR="00823580" w:rsidRPr="004F54BC" w:rsidRDefault="00823580" w:rsidP="004F54BC">
      <w:pPr>
        <w:spacing w:line="480" w:lineRule="auto"/>
        <w:rPr>
          <w:rFonts w:ascii="Times New Roman" w:hAnsi="Times New Roman" w:cs="Times New Roman"/>
          <w:sz w:val="24"/>
          <w:szCs w:val="24"/>
        </w:rPr>
      </w:pP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Acknowledgements</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We acknowledge and thank Michael Wiseman, Deanna Lavender and Vanessa Johnston for their invaluable assistance with sourcing medical records and data handling.</w:t>
      </w:r>
    </w:p>
    <w:p w:rsidR="00823580" w:rsidRPr="004F54BC" w:rsidRDefault="00823580" w:rsidP="004F54BC">
      <w:pPr>
        <w:spacing w:line="480" w:lineRule="auto"/>
        <w:rPr>
          <w:rFonts w:ascii="Times New Roman" w:hAnsi="Times New Roman" w:cs="Times New Roman"/>
          <w:sz w:val="24"/>
          <w:szCs w:val="24"/>
        </w:rPr>
      </w:pPr>
    </w:p>
    <w:p w:rsidR="00A34CD9" w:rsidRDefault="00A34CD9">
      <w:pPr>
        <w:rPr>
          <w:rFonts w:ascii="Times New Roman" w:hAnsi="Times New Roman" w:cs="Times New Roman"/>
          <w:sz w:val="24"/>
          <w:szCs w:val="24"/>
        </w:rPr>
      </w:pPr>
      <w:r>
        <w:rPr>
          <w:rFonts w:ascii="Times New Roman" w:hAnsi="Times New Roman" w:cs="Times New Roman"/>
          <w:sz w:val="24"/>
          <w:szCs w:val="24"/>
        </w:rPr>
        <w:br w:type="page"/>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lastRenderedPageBreak/>
        <w:t>References</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1.</w:t>
      </w:r>
      <w:r w:rsidRPr="004F54BC">
        <w:rPr>
          <w:rFonts w:ascii="Times New Roman" w:hAnsi="Times New Roman" w:cs="Times New Roman"/>
          <w:sz w:val="24"/>
          <w:szCs w:val="24"/>
        </w:rPr>
        <w:tab/>
        <w:t>Kontis V, Bennett JE, Mathers CD, et al. Future life expectancy in 35 industrialised countries: projections with a Bayesian model ensemble. Lancet 2017;389(10076):1323-35.</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2.</w:t>
      </w:r>
      <w:r w:rsidRPr="004F54BC">
        <w:rPr>
          <w:rFonts w:ascii="Times New Roman" w:hAnsi="Times New Roman" w:cs="Times New Roman"/>
          <w:sz w:val="24"/>
          <w:szCs w:val="24"/>
        </w:rPr>
        <w:tab/>
        <w:t>Abu-Sittah GS, Chahine FM, Janom H. Management of burns in the elderly. Ann Burns Fire Disasters 2016;29(4):249-45.</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3.</w:t>
      </w:r>
      <w:r w:rsidRPr="004F54BC">
        <w:rPr>
          <w:rFonts w:ascii="Times New Roman" w:hAnsi="Times New Roman" w:cs="Times New Roman"/>
          <w:sz w:val="24"/>
          <w:szCs w:val="24"/>
        </w:rPr>
        <w:tab/>
        <w:t>Lumenta DB, Hautier A, Desouches C, et al. Mortality and morbidity among elderly people with burns--evaluation of data on admission. Burns 2008;34(7):965-74.</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4.</w:t>
      </w:r>
      <w:r w:rsidRPr="004F54BC">
        <w:rPr>
          <w:rFonts w:ascii="Times New Roman" w:hAnsi="Times New Roman" w:cs="Times New Roman"/>
          <w:sz w:val="24"/>
          <w:szCs w:val="24"/>
        </w:rPr>
        <w:tab/>
        <w:t>Anous MM, Heimbach DM. Causes of death and predictors in burned patients more than 60 years of age. J Trauma 1986;26(2):135-9.</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5.</w:t>
      </w:r>
      <w:r w:rsidRPr="004F54BC">
        <w:rPr>
          <w:rFonts w:ascii="Times New Roman" w:hAnsi="Times New Roman" w:cs="Times New Roman"/>
          <w:sz w:val="24"/>
          <w:szCs w:val="24"/>
        </w:rPr>
        <w:tab/>
        <w:t>Lionelli GT, Pickus EJ, Beckum OK, et al. A three decade analysis of factors affecting burn mortality in the elderly. Burns 2005;31(8):958-63.</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6.</w:t>
      </w:r>
      <w:r w:rsidRPr="004F54BC">
        <w:rPr>
          <w:rFonts w:ascii="Times New Roman" w:hAnsi="Times New Roman" w:cs="Times New Roman"/>
          <w:sz w:val="24"/>
          <w:szCs w:val="24"/>
        </w:rPr>
        <w:tab/>
        <w:t>Mann R, Heimbach D. Prognosis and treatment of burns. West J Med 1996;165(4):215-20.</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7.</w:t>
      </w:r>
      <w:r w:rsidRPr="004F54BC">
        <w:rPr>
          <w:rFonts w:ascii="Times New Roman" w:hAnsi="Times New Roman" w:cs="Times New Roman"/>
          <w:sz w:val="24"/>
          <w:szCs w:val="24"/>
        </w:rPr>
        <w:tab/>
        <w:t>McGill V, Kowal-Vern A, Gamelli RL. Outcome for older burn patients. Arch Surg 2000;135(3):320-5.</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8.</w:t>
      </w:r>
      <w:r w:rsidRPr="004F54BC">
        <w:rPr>
          <w:rFonts w:ascii="Times New Roman" w:hAnsi="Times New Roman" w:cs="Times New Roman"/>
          <w:sz w:val="24"/>
          <w:szCs w:val="24"/>
        </w:rPr>
        <w:tab/>
        <w:t>Ryan CM, Schoenfeld DA, Thorpe WP, et al. Objective estimates of the probability of death from burn injuries. N Engl J Med 1998;338(6):362-6.</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9.</w:t>
      </w:r>
      <w:r w:rsidRPr="004F54BC">
        <w:rPr>
          <w:rFonts w:ascii="Times New Roman" w:hAnsi="Times New Roman" w:cs="Times New Roman"/>
          <w:sz w:val="24"/>
          <w:szCs w:val="24"/>
        </w:rPr>
        <w:tab/>
        <w:t>Stassen NA, Lukan JK, Mizuguchi NN, et al. Thermal injury in the elderly: when is comfort care the right choice? Am Surg 2001;67(7):704-8.</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10.</w:t>
      </w:r>
      <w:r w:rsidRPr="004F54BC">
        <w:rPr>
          <w:rFonts w:ascii="Times New Roman" w:hAnsi="Times New Roman" w:cs="Times New Roman"/>
          <w:sz w:val="24"/>
          <w:szCs w:val="24"/>
        </w:rPr>
        <w:tab/>
        <w:t>Baux S, Mimoun M, Saade H, et al. Burns in the elderly. Burns 1989;15(4):239-40.</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lastRenderedPageBreak/>
        <w:t>11.</w:t>
      </w:r>
      <w:r w:rsidRPr="004F54BC">
        <w:rPr>
          <w:rFonts w:ascii="Times New Roman" w:hAnsi="Times New Roman" w:cs="Times New Roman"/>
          <w:sz w:val="24"/>
          <w:szCs w:val="24"/>
        </w:rPr>
        <w:tab/>
        <w:t>Colohan SM. Predicting prognosis in thermal burns with associated inhalational injury: a systematic review of prognostic factors in adult burn victims. J Burn Care Res 2010;31(4):529-39.</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12.</w:t>
      </w:r>
      <w:r w:rsidRPr="004F54BC">
        <w:rPr>
          <w:rFonts w:ascii="Times New Roman" w:hAnsi="Times New Roman" w:cs="Times New Roman"/>
          <w:sz w:val="24"/>
          <w:szCs w:val="24"/>
        </w:rPr>
        <w:tab/>
        <w:t>Roberts G, Lloyd M, Parker M, et al. The Baux score is dead. Long live the Baux score: a 27-year retrospective cohort study of mortality at a regional burns service. J Trauma Acute Care Surg 2012;72(1):251-6.</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13.</w:t>
      </w:r>
      <w:r w:rsidRPr="004F54BC">
        <w:rPr>
          <w:rFonts w:ascii="Times New Roman" w:hAnsi="Times New Roman" w:cs="Times New Roman"/>
          <w:sz w:val="24"/>
          <w:szCs w:val="24"/>
        </w:rPr>
        <w:tab/>
        <w:t>Osler T, Glance LG, Hosmer DW. Simplified estimates of the probability of death after burn injuries: extending and updating the baux score. J Trauma 2010;68(3):690-7.</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14.</w:t>
      </w:r>
      <w:r w:rsidRPr="004F54BC">
        <w:rPr>
          <w:rFonts w:ascii="Times New Roman" w:hAnsi="Times New Roman" w:cs="Times New Roman"/>
          <w:sz w:val="24"/>
          <w:szCs w:val="24"/>
        </w:rPr>
        <w:tab/>
        <w:t>Tobiasen J, Hiebert JM, Edlich RF. The abbreviated burn severity index. Ann Emerg Med 1982;11(5):260-2.</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15.</w:t>
      </w:r>
      <w:r w:rsidRPr="004F54BC">
        <w:rPr>
          <w:rFonts w:ascii="Times New Roman" w:hAnsi="Times New Roman" w:cs="Times New Roman"/>
          <w:sz w:val="24"/>
          <w:szCs w:val="24"/>
        </w:rPr>
        <w:tab/>
        <w:t>Belgian Outcome in Burn Injury Study G. Development and validation of a model for prediction of mortality in patients with acute burn injury. Br J Surg 2009;96(1):111-7.</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16.</w:t>
      </w:r>
      <w:r w:rsidRPr="004F54BC">
        <w:rPr>
          <w:rFonts w:ascii="Times New Roman" w:hAnsi="Times New Roman" w:cs="Times New Roman"/>
          <w:sz w:val="24"/>
          <w:szCs w:val="24"/>
        </w:rPr>
        <w:tab/>
        <w:t>Godwin Y, Wood SH. Major burns in Cape Town: a modified burns score for patient triage. Burns 1998;24(1):58-63.</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17.</w:t>
      </w:r>
      <w:r w:rsidRPr="004F54BC">
        <w:rPr>
          <w:rFonts w:ascii="Times New Roman" w:hAnsi="Times New Roman" w:cs="Times New Roman"/>
          <w:sz w:val="24"/>
          <w:szCs w:val="24"/>
        </w:rPr>
        <w:tab/>
        <w:t>Ho WS, Ying SY, Burd A. Outcome analysis of 286 severely burned patients: retrospective study. Hong Kong Med J 2002;8(4):235-9.</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 </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18.</w:t>
      </w:r>
      <w:r w:rsidRPr="004F54BC">
        <w:rPr>
          <w:rFonts w:ascii="Times New Roman" w:hAnsi="Times New Roman" w:cs="Times New Roman"/>
          <w:sz w:val="24"/>
          <w:szCs w:val="24"/>
        </w:rPr>
        <w:tab/>
        <w:t>Masud D, Norton S, Smailes S, et al. The use of a frailty scoring system for burns in the elderly. Burns 2013;39(1):30-6.</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19.</w:t>
      </w:r>
      <w:r w:rsidRPr="004F54BC">
        <w:rPr>
          <w:rFonts w:ascii="Times New Roman" w:hAnsi="Times New Roman" w:cs="Times New Roman"/>
          <w:sz w:val="24"/>
          <w:szCs w:val="24"/>
        </w:rPr>
        <w:tab/>
        <w:t>EM. WLSEAATMKMM. Chapter 14: Anaesthesia for burned patients; Total Burn Care (Edited by Herndon DN).</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lastRenderedPageBreak/>
        <w:t>20.</w:t>
      </w:r>
      <w:r w:rsidRPr="004F54BC">
        <w:rPr>
          <w:rFonts w:ascii="Times New Roman" w:hAnsi="Times New Roman" w:cs="Times New Roman"/>
          <w:sz w:val="24"/>
          <w:szCs w:val="24"/>
        </w:rPr>
        <w:tab/>
        <w:t>Bortolani A BD. Burns in the elderly. Epidemiology and mortality: analysis of 53 cases. . Ann Burns Fire Disasters 1997; X (Dec (4)).</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21.</w:t>
      </w:r>
      <w:r w:rsidRPr="004F54BC">
        <w:rPr>
          <w:rFonts w:ascii="Times New Roman" w:hAnsi="Times New Roman" w:cs="Times New Roman"/>
          <w:sz w:val="24"/>
          <w:szCs w:val="24"/>
        </w:rPr>
        <w:tab/>
        <w:t>Moorhouse P, Rockwood K. Frailty and its quantitative clinical evaluation. J R Coll Physicians Edinb 2012;42(4):333-40.</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22.</w:t>
      </w:r>
      <w:r w:rsidRPr="004F54BC">
        <w:rPr>
          <w:rFonts w:ascii="Times New Roman" w:hAnsi="Times New Roman" w:cs="Times New Roman"/>
          <w:sz w:val="24"/>
          <w:szCs w:val="24"/>
        </w:rPr>
        <w:tab/>
        <w:t>Xue QL. The frailty syndrome: definition and natural history. Clin Geriatr Med 2011;27(1):1-15.</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23.</w:t>
      </w:r>
      <w:r w:rsidRPr="004F54BC">
        <w:rPr>
          <w:rFonts w:ascii="Times New Roman" w:hAnsi="Times New Roman" w:cs="Times New Roman"/>
          <w:sz w:val="24"/>
          <w:szCs w:val="24"/>
        </w:rPr>
        <w:tab/>
        <w:t>Rockwood K, Song X, MacKnight C, et al. A global clinical measure of fitness and frailty in elderly people. CMAJ 2005;173(5):489-95.</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24.</w:t>
      </w:r>
      <w:r w:rsidRPr="004F54BC">
        <w:rPr>
          <w:rFonts w:ascii="Times New Roman" w:hAnsi="Times New Roman" w:cs="Times New Roman"/>
          <w:sz w:val="24"/>
          <w:szCs w:val="24"/>
        </w:rPr>
        <w:tab/>
        <w:t>Partridge JS, Harari D, Dhesi JK. Frailty in the older surgical patient: a review. Age Ageing 2012;41(2):142-7.</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25.</w:t>
      </w:r>
      <w:r w:rsidRPr="004F54BC">
        <w:rPr>
          <w:rFonts w:ascii="Times New Roman" w:hAnsi="Times New Roman" w:cs="Times New Roman"/>
          <w:sz w:val="24"/>
          <w:szCs w:val="24"/>
        </w:rPr>
        <w:tab/>
        <w:t>Fried LP, Tangen CM, Walston J, et al. Frailty in older adults: evidence for a phenotype. J Gerontol A Biol Sci Med Sci 2001;56(3):M146-56.</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26.</w:t>
      </w:r>
      <w:r w:rsidRPr="004F54BC">
        <w:rPr>
          <w:rFonts w:ascii="Times New Roman" w:hAnsi="Times New Roman" w:cs="Times New Roman"/>
          <w:sz w:val="24"/>
          <w:szCs w:val="24"/>
        </w:rPr>
        <w:tab/>
        <w:t>Conroy S. Defining frailty--the Holy Grail of geriatric medicine. J Nutr Health Aging 2009;13(4):389.</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27.</w:t>
      </w:r>
      <w:r w:rsidRPr="004F54BC">
        <w:rPr>
          <w:rFonts w:ascii="Times New Roman" w:hAnsi="Times New Roman" w:cs="Times New Roman"/>
          <w:sz w:val="24"/>
          <w:szCs w:val="24"/>
        </w:rPr>
        <w:tab/>
        <w:t>Makary MA, Segev DL, Pronovost PJ, et al. Frailty as a predictor of surgical outcomes in older patients. J Am Coll Surg 2010;210(6):901-8.</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28.</w:t>
      </w:r>
      <w:r w:rsidRPr="004F54BC">
        <w:rPr>
          <w:rFonts w:ascii="Times New Roman" w:hAnsi="Times New Roman" w:cs="Times New Roman"/>
          <w:sz w:val="24"/>
          <w:szCs w:val="24"/>
        </w:rPr>
        <w:tab/>
        <w:t>Kistler EA, Nicholas JA, Kates SL, et al. Frailty and Short-Term Outcomes in Patients With Hip Fracture. Geriatr Orthop Surg Rehabil 2015;6(3):209-14.</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29.</w:t>
      </w:r>
      <w:r w:rsidRPr="004F54BC">
        <w:rPr>
          <w:rFonts w:ascii="Times New Roman" w:hAnsi="Times New Roman" w:cs="Times New Roman"/>
          <w:sz w:val="24"/>
          <w:szCs w:val="24"/>
        </w:rPr>
        <w:tab/>
        <w:t>Partridge JS, Fuller M, Harari D, et al. Frailty and poor functional status are common in arterial vascular surgical patients and affect postoperative outcomes. Int J Surg 2015;18:57-63.</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lastRenderedPageBreak/>
        <w:t>30.</w:t>
      </w:r>
      <w:r w:rsidRPr="004F54BC">
        <w:rPr>
          <w:rFonts w:ascii="Times New Roman" w:hAnsi="Times New Roman" w:cs="Times New Roman"/>
          <w:sz w:val="24"/>
          <w:szCs w:val="24"/>
        </w:rPr>
        <w:tab/>
        <w:t>Sundermann SH, Dademasch A, Seifert B, et al. Frailty is a predictor of short- and mid-term mortality after elective cardiac surgery independently of age. Interact Cardiovasc Thorac Surg 2014;18(5):580-5.</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31.</w:t>
      </w:r>
      <w:r w:rsidRPr="004F54BC">
        <w:rPr>
          <w:rFonts w:ascii="Times New Roman" w:hAnsi="Times New Roman" w:cs="Times New Roman"/>
          <w:sz w:val="24"/>
          <w:szCs w:val="24"/>
        </w:rPr>
        <w:tab/>
        <w:t>Leven DM, Lee NJ, Kothari P, et al. Frailty Index Is a Significant Predictor of Complications and Mortality After Surgery for Adult Spinal Deformity. Spine (Phila Pa 1976) 2016;41(23):E1394-E401.</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32.</w:t>
      </w:r>
      <w:r w:rsidRPr="004F54BC">
        <w:rPr>
          <w:rFonts w:ascii="Times New Roman" w:hAnsi="Times New Roman" w:cs="Times New Roman"/>
          <w:sz w:val="24"/>
          <w:szCs w:val="24"/>
        </w:rPr>
        <w:tab/>
        <w:t>Adams P, Ghanem T, Stachler R, et al. Frailty as a predictor of morbidity and mortality in inpatient head and neck surgery. JAMA Otolaryngol Head Neck Surg 2013;139(8):783-9.</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33.</w:t>
      </w:r>
      <w:r w:rsidRPr="004F54BC">
        <w:rPr>
          <w:rFonts w:ascii="Times New Roman" w:hAnsi="Times New Roman" w:cs="Times New Roman"/>
          <w:sz w:val="24"/>
          <w:szCs w:val="24"/>
        </w:rPr>
        <w:tab/>
        <w:t>Moro FD, Morlacco A, Motterle G, et al. Frailty and elderly in urology: Is there an impact on post- operative complications? Cent European J Urol 2017;70(2):197-205.</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34.</w:t>
      </w:r>
      <w:r w:rsidRPr="004F54BC">
        <w:rPr>
          <w:rFonts w:ascii="Times New Roman" w:hAnsi="Times New Roman" w:cs="Times New Roman"/>
          <w:sz w:val="24"/>
          <w:szCs w:val="24"/>
        </w:rPr>
        <w:tab/>
        <w:t>Juma S, Taabazuing MM, Montero-Odasso M. Clinical Frailty Scale in an Acute Medicine Unit: a Simple Tool That Predicts Length of Stay. Can Geriatr J 2016;19(2):34-9.</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35.</w:t>
      </w:r>
      <w:r w:rsidRPr="004F54BC">
        <w:rPr>
          <w:rFonts w:ascii="Times New Roman" w:hAnsi="Times New Roman" w:cs="Times New Roman"/>
          <w:sz w:val="24"/>
          <w:szCs w:val="24"/>
        </w:rPr>
        <w:tab/>
        <w:t>Gilbert T, Conroy S. Frailty on the acute medical unit. Br J Hosp Med (Lond) 2017;78(10):C152- C55.</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36.</w:t>
      </w:r>
      <w:r w:rsidRPr="004F54BC">
        <w:rPr>
          <w:rFonts w:ascii="Times New Roman" w:hAnsi="Times New Roman" w:cs="Times New Roman"/>
          <w:sz w:val="24"/>
          <w:szCs w:val="24"/>
        </w:rPr>
        <w:tab/>
        <w:t>Muscedere J, Waters B, Varambally A, et al. The impact of frailty on intensive care unit outcomes: a systematic review and meta-analysis. Intensive Care Med 2017;43(8):1105-22.</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37.</w:t>
      </w:r>
      <w:r w:rsidRPr="004F54BC">
        <w:rPr>
          <w:rFonts w:ascii="Times New Roman" w:hAnsi="Times New Roman" w:cs="Times New Roman"/>
          <w:sz w:val="24"/>
          <w:szCs w:val="24"/>
        </w:rPr>
        <w:tab/>
        <w:t>Rose M, Pan H, Levinson MR, et al. Can frailty predict complicated care needs and length of stay? Intern Med J 2014;44(8):800-5.</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38.</w:t>
      </w:r>
      <w:r w:rsidRPr="004F54BC">
        <w:rPr>
          <w:rFonts w:ascii="Times New Roman" w:hAnsi="Times New Roman" w:cs="Times New Roman"/>
          <w:sz w:val="24"/>
          <w:szCs w:val="24"/>
        </w:rPr>
        <w:tab/>
        <w:t>Rolfson DB, Majumdar SR, Tsuyuki RT, et al. Validity and reliability of the Edmonton Frail Scale. Age Ageing 2006;35(5):526-9.</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lastRenderedPageBreak/>
        <w:t>39.</w:t>
      </w:r>
      <w:r w:rsidRPr="004F54BC">
        <w:rPr>
          <w:rFonts w:ascii="Times New Roman" w:hAnsi="Times New Roman" w:cs="Times New Roman"/>
          <w:sz w:val="24"/>
          <w:szCs w:val="24"/>
        </w:rPr>
        <w:tab/>
        <w:t>Morley JE, Malmstrom TK, Miller DK. A simple frailty questionnaire (FRAIL) predicts outcomes in middle aged African Americans. J Nutr Health Aging 2012;16(7):601-8.</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40.</w:t>
      </w:r>
      <w:r w:rsidRPr="004F54BC">
        <w:rPr>
          <w:rFonts w:ascii="Times New Roman" w:hAnsi="Times New Roman" w:cs="Times New Roman"/>
          <w:sz w:val="24"/>
          <w:szCs w:val="24"/>
        </w:rPr>
        <w:tab/>
        <w:t>Dent E, Kowal P, Hoogendijk EO. Frailty measurement in research and clinical practice: A review. Eur J Intern Med 2016;31:3-10.</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41.</w:t>
      </w:r>
      <w:r w:rsidRPr="004F54BC">
        <w:rPr>
          <w:rFonts w:ascii="Times New Roman" w:hAnsi="Times New Roman" w:cs="Times New Roman"/>
          <w:sz w:val="24"/>
          <w:szCs w:val="24"/>
        </w:rPr>
        <w:tab/>
        <w:t>Wearn C, Hardwicke J, Kitsios A, et al. Outcomes of burns in the elderly: revised estimates from the Birmingham Burn Centre. Burns 2015;41(6):1161-8.</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42.</w:t>
      </w:r>
      <w:r w:rsidRPr="004F54BC">
        <w:rPr>
          <w:rFonts w:ascii="Times New Roman" w:hAnsi="Times New Roman" w:cs="Times New Roman"/>
          <w:sz w:val="24"/>
          <w:szCs w:val="24"/>
        </w:rPr>
        <w:tab/>
        <w:t>Khadim MF, Rashid A, Fogarty B, et al. Mortality estimates in the elderly burn patients: the Northern Ireland experience. Burns 2009;35(1):107-13.</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43.</w:t>
      </w:r>
      <w:r w:rsidRPr="004F54BC">
        <w:rPr>
          <w:rFonts w:ascii="Times New Roman" w:hAnsi="Times New Roman" w:cs="Times New Roman"/>
          <w:sz w:val="24"/>
          <w:szCs w:val="24"/>
        </w:rPr>
        <w:tab/>
        <w:t>Rao K, Ali SN, Moiemen NS. Aetiology and outcome of burns in the elderly. Burns 2006;32(7):802-5.</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44.</w:t>
      </w:r>
      <w:r w:rsidRPr="004F54BC">
        <w:rPr>
          <w:rFonts w:ascii="Times New Roman" w:hAnsi="Times New Roman" w:cs="Times New Roman"/>
          <w:sz w:val="24"/>
          <w:szCs w:val="24"/>
        </w:rPr>
        <w:tab/>
        <w:t>Macrino S, Slater H, Aballay A, et al. A three-decade review of thermal injuries among the elderly at a regional burn centre. Burns 2008;34(4):509-11.</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45.</w:t>
      </w:r>
      <w:r w:rsidRPr="004F54BC">
        <w:rPr>
          <w:rFonts w:ascii="Times New Roman" w:hAnsi="Times New Roman" w:cs="Times New Roman"/>
          <w:sz w:val="24"/>
          <w:szCs w:val="24"/>
        </w:rPr>
        <w:tab/>
        <w:t>Chang EJ, Edelman LS, Morris SE, et al. Gender influences on burn outcomes in the elderly. Burns 2005;31(1):31-5.</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46.</w:t>
      </w:r>
      <w:r w:rsidRPr="004F54BC">
        <w:rPr>
          <w:rFonts w:ascii="Times New Roman" w:hAnsi="Times New Roman" w:cs="Times New Roman"/>
          <w:sz w:val="24"/>
          <w:szCs w:val="24"/>
        </w:rPr>
        <w:tab/>
        <w:t>Wibbenmeyer LA, Amelon MJ, Morgan LJ, et al. Predicting survival in an elderly burn patient population. Burns 2001;27(6):583-90.</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 xml:space="preserve"> </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47.</w:t>
      </w:r>
      <w:r w:rsidRPr="004F54BC">
        <w:rPr>
          <w:rFonts w:ascii="Times New Roman" w:hAnsi="Times New Roman" w:cs="Times New Roman"/>
          <w:sz w:val="24"/>
          <w:szCs w:val="24"/>
        </w:rPr>
        <w:tab/>
        <w:t>Pomahac B, Matros E, Semel M, et al. Predictors of survival and length of stay in burn patients older than 80 years of age: does age really matter? J Burn Care Res 2006;27(3):265-9.</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48.</w:t>
      </w:r>
      <w:r w:rsidRPr="004F54BC">
        <w:rPr>
          <w:rFonts w:ascii="Times New Roman" w:hAnsi="Times New Roman" w:cs="Times New Roman"/>
          <w:sz w:val="24"/>
          <w:szCs w:val="24"/>
        </w:rPr>
        <w:tab/>
        <w:t>Covington DS, Wainwright DJ, Parks DH. Prognostic indicators in the elderly patient with burns. J Burn Care Rehabil 1996;17(3):222-30.</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lastRenderedPageBreak/>
        <w:t>49.</w:t>
      </w:r>
      <w:r w:rsidRPr="004F54BC">
        <w:rPr>
          <w:rFonts w:ascii="Times New Roman" w:hAnsi="Times New Roman" w:cs="Times New Roman"/>
          <w:sz w:val="24"/>
          <w:szCs w:val="24"/>
        </w:rPr>
        <w:tab/>
        <w:t>Lundgren RS, Kramer CB, Rivara FP, et al. Influence of comorbidities and age on outcome following burn injury in older adults. J Burn Care Res 2009;30(2):307-14.</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50.</w:t>
      </w:r>
      <w:r w:rsidRPr="004F54BC">
        <w:rPr>
          <w:rFonts w:ascii="Times New Roman" w:hAnsi="Times New Roman" w:cs="Times New Roman"/>
          <w:sz w:val="24"/>
          <w:szCs w:val="24"/>
        </w:rPr>
        <w:tab/>
        <w:t>Albornoz CR, Villegas J, Sylvester M, et al. Burns are more aggressive in the elderly: proportion of deep burn area/total burn area might have a role in mortality. Burns 2011;37(6):1058-61.</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51.</w:t>
      </w:r>
      <w:r w:rsidRPr="004F54BC">
        <w:rPr>
          <w:rFonts w:ascii="Times New Roman" w:hAnsi="Times New Roman" w:cs="Times New Roman"/>
          <w:sz w:val="24"/>
          <w:szCs w:val="24"/>
        </w:rPr>
        <w:tab/>
        <w:t>Mabrouk A, Maher A, Nasser S. An epidemiologic study of elderly burn patients in Ain Shams University Burn Unit, Cairo, Egypt. Burns 2003;29(7):687-90.</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52.</w:t>
      </w:r>
      <w:r w:rsidRPr="004F54BC">
        <w:rPr>
          <w:rFonts w:ascii="Times New Roman" w:hAnsi="Times New Roman" w:cs="Times New Roman"/>
          <w:sz w:val="24"/>
          <w:szCs w:val="24"/>
        </w:rPr>
        <w:tab/>
        <w:t>Ho WS, Ying SY, Chan HH. A study of burn injuries in the elderly in a regional burn centre. Burns 2001;27(4):382-5.</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53.</w:t>
      </w:r>
      <w:r w:rsidRPr="004F54BC">
        <w:rPr>
          <w:rFonts w:ascii="Times New Roman" w:hAnsi="Times New Roman" w:cs="Times New Roman"/>
          <w:sz w:val="24"/>
          <w:szCs w:val="24"/>
        </w:rPr>
        <w:tab/>
        <w:t>Morita S, Higami S, Yamagiwa T, et al. Characteristics of elderly Japanese patients with severe burns. Burns 2010;36(7):1116-21.</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54.</w:t>
      </w:r>
      <w:r w:rsidRPr="004F54BC">
        <w:rPr>
          <w:rFonts w:ascii="Times New Roman" w:hAnsi="Times New Roman" w:cs="Times New Roman"/>
          <w:sz w:val="24"/>
          <w:szCs w:val="24"/>
        </w:rPr>
        <w:tab/>
        <w:t>Li X, Peng Y, Shang X, et al. Epidemiologic investigation of geriatric burns in Southwest China. Burns 2009;35(5):714-8.</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55.</w:t>
      </w:r>
      <w:r w:rsidRPr="004F54BC">
        <w:rPr>
          <w:rFonts w:ascii="Times New Roman" w:hAnsi="Times New Roman" w:cs="Times New Roman"/>
          <w:sz w:val="24"/>
          <w:szCs w:val="24"/>
        </w:rPr>
        <w:tab/>
        <w:t>Yin Z, Qin Z, Xin W, et al. The characteristics of elderly burns in Shanghai. Burns 2010;36(3):430- 5.</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56.</w:t>
      </w:r>
      <w:r w:rsidRPr="004F54BC">
        <w:rPr>
          <w:rFonts w:ascii="Times New Roman" w:hAnsi="Times New Roman" w:cs="Times New Roman"/>
          <w:sz w:val="24"/>
          <w:szCs w:val="24"/>
        </w:rPr>
        <w:tab/>
        <w:t>Romanowski KS, Barsun A, Pamlieri TL, et al. Frailty score on admission predicts outcomes in elderly burn injury. J Burn Care Res 2015;36(1):1-6.</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57.</w:t>
      </w:r>
      <w:r w:rsidRPr="004F54BC">
        <w:rPr>
          <w:rFonts w:ascii="Times New Roman" w:hAnsi="Times New Roman" w:cs="Times New Roman"/>
          <w:sz w:val="24"/>
          <w:szCs w:val="24"/>
        </w:rPr>
        <w:tab/>
        <w:t>Fratianne RB, Brandt C, Yurko L, et al. When is enough enough? Ethical dilemmas on the burn unit. J Burn Care Rehabil 1992;13(5):600-4.</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58.</w:t>
      </w:r>
      <w:r w:rsidRPr="004F54BC">
        <w:rPr>
          <w:rFonts w:ascii="Times New Roman" w:hAnsi="Times New Roman" w:cs="Times New Roman"/>
          <w:sz w:val="24"/>
          <w:szCs w:val="24"/>
        </w:rPr>
        <w:tab/>
        <w:t>Madni TD, Nakonezny PA, Wolf SE, et al. The Relationship Between Frailty and the Subjective Decision to Conduct a Goals of Care Discussion With Burned Elders. J Burn Care Res 2017.</w:t>
      </w:r>
    </w:p>
    <w:p w:rsidR="00823580" w:rsidRPr="004F54BC"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lastRenderedPageBreak/>
        <w:t>59.</w:t>
      </w:r>
      <w:r w:rsidRPr="004F54BC">
        <w:rPr>
          <w:rFonts w:ascii="Times New Roman" w:hAnsi="Times New Roman" w:cs="Times New Roman"/>
          <w:sz w:val="24"/>
          <w:szCs w:val="24"/>
        </w:rPr>
        <w:tab/>
        <w:t>Cole P, Stal D, Hollier L. Ethical considerations in burn management. J Craniofac Surg 2008;19(4):895-8.</w:t>
      </w:r>
    </w:p>
    <w:p w:rsidR="009B6814" w:rsidRDefault="00823580" w:rsidP="004F54BC">
      <w:pPr>
        <w:spacing w:line="480" w:lineRule="auto"/>
        <w:rPr>
          <w:rFonts w:ascii="Times New Roman" w:hAnsi="Times New Roman" w:cs="Times New Roman"/>
          <w:sz w:val="24"/>
          <w:szCs w:val="24"/>
        </w:rPr>
      </w:pPr>
      <w:r w:rsidRPr="004F54BC">
        <w:rPr>
          <w:rFonts w:ascii="Times New Roman" w:hAnsi="Times New Roman" w:cs="Times New Roman"/>
          <w:sz w:val="24"/>
          <w:szCs w:val="24"/>
        </w:rPr>
        <w:t>60.</w:t>
      </w:r>
      <w:r w:rsidRPr="004F54BC">
        <w:rPr>
          <w:rFonts w:ascii="Times New Roman" w:hAnsi="Times New Roman" w:cs="Times New Roman"/>
          <w:sz w:val="24"/>
          <w:szCs w:val="24"/>
        </w:rPr>
        <w:tab/>
        <w:t>Gobbens RJ, van Assen MA, Luijkx KG, et al. [Young frail elderly: assessed using the Tilburg Frailty Indicator]. Tijdschr Gerontol Geriatr 2012;43(6):296-307.</w:t>
      </w:r>
    </w:p>
    <w:p w:rsidR="009A4B45" w:rsidRDefault="009A4B45" w:rsidP="004F54BC">
      <w:pPr>
        <w:spacing w:line="480" w:lineRule="auto"/>
        <w:rPr>
          <w:rFonts w:ascii="Times New Roman" w:hAnsi="Times New Roman" w:cs="Times New Roman"/>
          <w:sz w:val="24"/>
          <w:szCs w:val="24"/>
        </w:rPr>
        <w:sectPr w:rsidR="009A4B45">
          <w:pgSz w:w="11906" w:h="16838"/>
          <w:pgMar w:top="1440" w:right="1440" w:bottom="1440" w:left="1440" w:header="708" w:footer="708" w:gutter="0"/>
          <w:cols w:space="708"/>
          <w:docGrid w:linePitch="360"/>
        </w:sectPr>
      </w:pPr>
    </w:p>
    <w:p w:rsidR="009A4B45" w:rsidRDefault="009A4B45" w:rsidP="009A4B45">
      <w:pPr>
        <w:spacing w:before="131"/>
        <w:rPr>
          <w:b/>
          <w:sz w:val="20"/>
        </w:rPr>
      </w:pPr>
      <w:r>
        <w:rPr>
          <w:b/>
          <w:sz w:val="20"/>
        </w:rPr>
        <w:lastRenderedPageBreak/>
        <w:t xml:space="preserve">                             </w:t>
      </w:r>
    </w:p>
    <w:p w:rsidR="009A4B45" w:rsidRDefault="009A4B45" w:rsidP="009A4B45">
      <w:pPr>
        <w:spacing w:before="131"/>
        <w:rPr>
          <w:b/>
          <w:sz w:val="20"/>
        </w:rPr>
      </w:pPr>
    </w:p>
    <w:p w:rsidR="009A4B45" w:rsidRDefault="009A4B45" w:rsidP="009A4B45">
      <w:pPr>
        <w:spacing w:before="131"/>
        <w:rPr>
          <w:b/>
          <w:sz w:val="20"/>
        </w:rPr>
      </w:pPr>
    </w:p>
    <w:p w:rsidR="009A4B45" w:rsidRDefault="009A4B45" w:rsidP="009A4B45">
      <w:pPr>
        <w:spacing w:before="131"/>
        <w:rPr>
          <w:b/>
          <w:sz w:val="20"/>
        </w:rPr>
      </w:pPr>
      <w:r>
        <w:rPr>
          <w:b/>
          <w:sz w:val="20"/>
        </w:rPr>
        <w:t xml:space="preserve">                            Figure 1. “Frailty Score” distribution within sample &amp; CSHA</w:t>
      </w:r>
      <w:r>
        <w:rPr>
          <w:b/>
          <w:sz w:val="20"/>
          <w:vertAlign w:val="superscript"/>
        </w:rPr>
        <w:t>23</w:t>
      </w:r>
      <w:r>
        <w:rPr>
          <w:b/>
          <w:sz w:val="20"/>
        </w:rPr>
        <w:t xml:space="preserve"> criterion for each score</w:t>
      </w:r>
    </w:p>
    <w:p w:rsidR="009A4B45" w:rsidRDefault="009A4B45" w:rsidP="009A4B45">
      <w:pPr>
        <w:pStyle w:val="BodyText"/>
        <w:spacing w:before="6"/>
        <w:rPr>
          <w:b/>
        </w:rPr>
      </w:pPr>
    </w:p>
    <w:tbl>
      <w:tblPr>
        <w:tblW w:w="0" w:type="auto"/>
        <w:tblInd w:w="1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9"/>
        <w:gridCol w:w="742"/>
        <w:gridCol w:w="5147"/>
      </w:tblGrid>
      <w:tr w:rsidR="009A4B45" w:rsidTr="00D45140">
        <w:trPr>
          <w:trHeight w:val="230"/>
        </w:trPr>
        <w:tc>
          <w:tcPr>
            <w:tcW w:w="2629" w:type="dxa"/>
          </w:tcPr>
          <w:p w:rsidR="009A4B45" w:rsidRDefault="009A4B45" w:rsidP="00D45140">
            <w:pPr>
              <w:pStyle w:val="TableParagraph"/>
              <w:rPr>
                <w:sz w:val="20"/>
              </w:rPr>
            </w:pPr>
            <w:r>
              <w:rPr>
                <w:sz w:val="20"/>
              </w:rPr>
              <w:t>Frailty Score</w:t>
            </w:r>
          </w:p>
        </w:tc>
        <w:tc>
          <w:tcPr>
            <w:tcW w:w="742" w:type="dxa"/>
          </w:tcPr>
          <w:p w:rsidR="009A4B45" w:rsidRDefault="009A4B45" w:rsidP="00D45140">
            <w:pPr>
              <w:pStyle w:val="TableParagraph"/>
              <w:ind w:left="232" w:right="231"/>
              <w:jc w:val="center"/>
              <w:rPr>
                <w:sz w:val="20"/>
              </w:rPr>
            </w:pPr>
            <w:r>
              <w:rPr>
                <w:sz w:val="20"/>
              </w:rPr>
              <w:t>n=</w:t>
            </w:r>
          </w:p>
        </w:tc>
        <w:tc>
          <w:tcPr>
            <w:tcW w:w="5147" w:type="dxa"/>
          </w:tcPr>
          <w:p w:rsidR="009A4B45" w:rsidRDefault="009A4B45" w:rsidP="00D45140">
            <w:pPr>
              <w:pStyle w:val="TableParagraph"/>
              <w:ind w:left="106"/>
              <w:rPr>
                <w:sz w:val="20"/>
              </w:rPr>
            </w:pPr>
            <w:r>
              <w:rPr>
                <w:sz w:val="20"/>
              </w:rPr>
              <w:t>Description</w:t>
            </w:r>
          </w:p>
        </w:tc>
      </w:tr>
      <w:tr w:rsidR="009A4B45" w:rsidTr="00D45140">
        <w:trPr>
          <w:trHeight w:val="688"/>
        </w:trPr>
        <w:tc>
          <w:tcPr>
            <w:tcW w:w="2629" w:type="dxa"/>
          </w:tcPr>
          <w:p w:rsidR="009A4B45" w:rsidRDefault="009A4B45" w:rsidP="00D45140">
            <w:pPr>
              <w:pStyle w:val="TableParagraph"/>
              <w:spacing w:line="225" w:lineRule="exact"/>
              <w:rPr>
                <w:i/>
                <w:sz w:val="20"/>
              </w:rPr>
            </w:pPr>
            <w:r>
              <w:rPr>
                <w:sz w:val="20"/>
              </w:rPr>
              <w:t xml:space="preserve">1 - </w:t>
            </w:r>
            <w:r>
              <w:rPr>
                <w:i/>
                <w:sz w:val="20"/>
              </w:rPr>
              <w:t>Very fit</w:t>
            </w:r>
          </w:p>
        </w:tc>
        <w:tc>
          <w:tcPr>
            <w:tcW w:w="742" w:type="dxa"/>
          </w:tcPr>
          <w:p w:rsidR="009A4B45" w:rsidRDefault="009A4B45" w:rsidP="00D45140">
            <w:pPr>
              <w:pStyle w:val="TableParagraph"/>
              <w:spacing w:before="8" w:line="240" w:lineRule="auto"/>
              <w:ind w:left="0"/>
              <w:rPr>
                <w:b/>
                <w:sz w:val="19"/>
              </w:rPr>
            </w:pPr>
          </w:p>
          <w:p w:rsidR="009A4B45" w:rsidRDefault="009A4B45" w:rsidP="00D45140">
            <w:pPr>
              <w:pStyle w:val="TableParagraph"/>
              <w:spacing w:before="1" w:line="240" w:lineRule="auto"/>
              <w:ind w:left="6"/>
              <w:jc w:val="center"/>
              <w:rPr>
                <w:sz w:val="20"/>
              </w:rPr>
            </w:pPr>
            <w:r>
              <w:rPr>
                <w:w w:val="99"/>
                <w:sz w:val="20"/>
              </w:rPr>
              <w:t>7</w:t>
            </w:r>
          </w:p>
        </w:tc>
        <w:tc>
          <w:tcPr>
            <w:tcW w:w="5147" w:type="dxa"/>
          </w:tcPr>
          <w:p w:rsidR="009A4B45" w:rsidRDefault="009A4B45" w:rsidP="00D45140">
            <w:pPr>
              <w:pStyle w:val="TableParagraph"/>
              <w:spacing w:line="227" w:lineRule="exact"/>
              <w:ind w:left="106"/>
              <w:rPr>
                <w:sz w:val="20"/>
              </w:rPr>
            </w:pPr>
            <w:r>
              <w:rPr>
                <w:sz w:val="20"/>
              </w:rPr>
              <w:t>Robust, active, energetic, well-motivated and fit; these</w:t>
            </w:r>
          </w:p>
          <w:p w:rsidR="009A4B45" w:rsidRDefault="009A4B45" w:rsidP="00D45140">
            <w:pPr>
              <w:pStyle w:val="TableParagraph"/>
              <w:spacing w:before="5" w:line="228" w:lineRule="exact"/>
              <w:ind w:left="106" w:right="541"/>
              <w:rPr>
                <w:sz w:val="20"/>
              </w:rPr>
            </w:pPr>
            <w:r>
              <w:rPr>
                <w:sz w:val="20"/>
              </w:rPr>
              <w:t>people commonly exercise regularly and are in the most fit group for their age</w:t>
            </w:r>
          </w:p>
        </w:tc>
      </w:tr>
      <w:tr w:rsidR="009A4B45" w:rsidTr="00D45140">
        <w:trPr>
          <w:trHeight w:val="460"/>
        </w:trPr>
        <w:tc>
          <w:tcPr>
            <w:tcW w:w="2629" w:type="dxa"/>
          </w:tcPr>
          <w:p w:rsidR="009A4B45" w:rsidRDefault="009A4B45" w:rsidP="00D45140">
            <w:pPr>
              <w:pStyle w:val="TableParagraph"/>
              <w:spacing w:line="225" w:lineRule="exact"/>
              <w:rPr>
                <w:i/>
                <w:sz w:val="20"/>
              </w:rPr>
            </w:pPr>
            <w:r>
              <w:rPr>
                <w:sz w:val="20"/>
              </w:rPr>
              <w:t xml:space="preserve">2 - </w:t>
            </w:r>
            <w:r>
              <w:rPr>
                <w:i/>
                <w:sz w:val="20"/>
              </w:rPr>
              <w:t>Well</w:t>
            </w:r>
          </w:p>
        </w:tc>
        <w:tc>
          <w:tcPr>
            <w:tcW w:w="742" w:type="dxa"/>
          </w:tcPr>
          <w:p w:rsidR="009A4B45" w:rsidRDefault="009A4B45" w:rsidP="00D45140">
            <w:pPr>
              <w:pStyle w:val="TableParagraph"/>
              <w:spacing w:before="112" w:line="240" w:lineRule="auto"/>
              <w:ind w:left="232" w:right="231"/>
              <w:jc w:val="center"/>
              <w:rPr>
                <w:sz w:val="20"/>
              </w:rPr>
            </w:pPr>
            <w:r>
              <w:rPr>
                <w:sz w:val="20"/>
              </w:rPr>
              <w:t>22</w:t>
            </w:r>
          </w:p>
        </w:tc>
        <w:tc>
          <w:tcPr>
            <w:tcW w:w="5147" w:type="dxa"/>
          </w:tcPr>
          <w:p w:rsidR="009A4B45" w:rsidRDefault="009A4B45" w:rsidP="00D45140">
            <w:pPr>
              <w:pStyle w:val="TableParagraph"/>
              <w:spacing w:line="230" w:lineRule="exact"/>
              <w:ind w:left="106"/>
              <w:rPr>
                <w:sz w:val="20"/>
              </w:rPr>
            </w:pPr>
            <w:r>
              <w:rPr>
                <w:sz w:val="20"/>
              </w:rPr>
              <w:t>Without active disease, but less fit than people in category 1</w:t>
            </w:r>
          </w:p>
        </w:tc>
      </w:tr>
      <w:tr w:rsidR="009A4B45" w:rsidTr="00D45140">
        <w:trPr>
          <w:trHeight w:val="460"/>
        </w:trPr>
        <w:tc>
          <w:tcPr>
            <w:tcW w:w="2629" w:type="dxa"/>
          </w:tcPr>
          <w:p w:rsidR="009A4B45" w:rsidRDefault="009A4B45" w:rsidP="00D45140">
            <w:pPr>
              <w:pStyle w:val="TableParagraph"/>
              <w:spacing w:line="225" w:lineRule="exact"/>
              <w:rPr>
                <w:i/>
                <w:sz w:val="20"/>
              </w:rPr>
            </w:pPr>
            <w:r>
              <w:rPr>
                <w:sz w:val="20"/>
              </w:rPr>
              <w:t xml:space="preserve">3 - </w:t>
            </w:r>
            <w:r>
              <w:rPr>
                <w:i/>
                <w:sz w:val="20"/>
              </w:rPr>
              <w:t>Well, with controlled co-</w:t>
            </w:r>
          </w:p>
          <w:p w:rsidR="009A4B45" w:rsidRDefault="009A4B45" w:rsidP="00D45140">
            <w:pPr>
              <w:pStyle w:val="TableParagraph"/>
              <w:spacing w:line="215" w:lineRule="exact"/>
              <w:rPr>
                <w:i/>
                <w:sz w:val="20"/>
              </w:rPr>
            </w:pPr>
            <w:r>
              <w:rPr>
                <w:i/>
                <w:sz w:val="20"/>
              </w:rPr>
              <w:t>morbidities</w:t>
            </w:r>
          </w:p>
        </w:tc>
        <w:tc>
          <w:tcPr>
            <w:tcW w:w="742" w:type="dxa"/>
          </w:tcPr>
          <w:p w:rsidR="009A4B45" w:rsidRDefault="009A4B45" w:rsidP="00D45140">
            <w:pPr>
              <w:pStyle w:val="TableParagraph"/>
              <w:spacing w:before="112" w:line="240" w:lineRule="auto"/>
              <w:ind w:left="232" w:right="231"/>
              <w:jc w:val="center"/>
              <w:rPr>
                <w:sz w:val="20"/>
              </w:rPr>
            </w:pPr>
            <w:r>
              <w:rPr>
                <w:sz w:val="20"/>
              </w:rPr>
              <w:t>87</w:t>
            </w:r>
          </w:p>
        </w:tc>
        <w:tc>
          <w:tcPr>
            <w:tcW w:w="5147" w:type="dxa"/>
          </w:tcPr>
          <w:p w:rsidR="009A4B45" w:rsidRDefault="009A4B45" w:rsidP="00D45140">
            <w:pPr>
              <w:pStyle w:val="TableParagraph"/>
              <w:spacing w:line="230" w:lineRule="exact"/>
              <w:ind w:left="106" w:right="475"/>
              <w:rPr>
                <w:sz w:val="20"/>
              </w:rPr>
            </w:pPr>
            <w:r>
              <w:rPr>
                <w:sz w:val="20"/>
              </w:rPr>
              <w:t>Disease symptoms are well-controlled compared to those in category 4</w:t>
            </w:r>
          </w:p>
        </w:tc>
      </w:tr>
      <w:tr w:rsidR="009A4B45" w:rsidTr="00D45140">
        <w:trPr>
          <w:trHeight w:val="690"/>
        </w:trPr>
        <w:tc>
          <w:tcPr>
            <w:tcW w:w="2629" w:type="dxa"/>
          </w:tcPr>
          <w:p w:rsidR="009A4B45" w:rsidRDefault="009A4B45" w:rsidP="00D45140">
            <w:pPr>
              <w:pStyle w:val="TableParagraph"/>
              <w:spacing w:line="225" w:lineRule="exact"/>
              <w:rPr>
                <w:i/>
                <w:sz w:val="20"/>
              </w:rPr>
            </w:pPr>
            <w:r>
              <w:rPr>
                <w:sz w:val="20"/>
              </w:rPr>
              <w:t xml:space="preserve">4 - </w:t>
            </w:r>
            <w:r>
              <w:rPr>
                <w:i/>
                <w:sz w:val="20"/>
              </w:rPr>
              <w:t>Apparently vulnerable</w:t>
            </w:r>
          </w:p>
        </w:tc>
        <w:tc>
          <w:tcPr>
            <w:tcW w:w="742" w:type="dxa"/>
          </w:tcPr>
          <w:p w:rsidR="009A4B45" w:rsidRDefault="009A4B45" w:rsidP="00D45140">
            <w:pPr>
              <w:pStyle w:val="TableParagraph"/>
              <w:spacing w:before="8" w:line="240" w:lineRule="auto"/>
              <w:ind w:left="0"/>
              <w:rPr>
                <w:b/>
                <w:sz w:val="19"/>
              </w:rPr>
            </w:pPr>
          </w:p>
          <w:p w:rsidR="009A4B45" w:rsidRDefault="009A4B45" w:rsidP="00D45140">
            <w:pPr>
              <w:pStyle w:val="TableParagraph"/>
              <w:spacing w:before="1" w:line="240" w:lineRule="auto"/>
              <w:ind w:left="232" w:right="231"/>
              <w:jc w:val="center"/>
              <w:rPr>
                <w:sz w:val="20"/>
              </w:rPr>
            </w:pPr>
            <w:r>
              <w:rPr>
                <w:sz w:val="20"/>
              </w:rPr>
              <w:t>60</w:t>
            </w:r>
          </w:p>
        </w:tc>
        <w:tc>
          <w:tcPr>
            <w:tcW w:w="5147" w:type="dxa"/>
          </w:tcPr>
          <w:p w:rsidR="009A4B45" w:rsidRDefault="009A4B45" w:rsidP="00D45140">
            <w:pPr>
              <w:pStyle w:val="TableParagraph"/>
              <w:spacing w:line="230" w:lineRule="exact"/>
              <w:ind w:left="106" w:right="541"/>
              <w:rPr>
                <w:sz w:val="20"/>
              </w:rPr>
            </w:pPr>
            <w:r>
              <w:rPr>
                <w:sz w:val="20"/>
              </w:rPr>
              <w:t>Although not frankly dependent, these people commonly complain of being “slowed up” or have disease symptoms</w:t>
            </w:r>
          </w:p>
        </w:tc>
      </w:tr>
      <w:tr w:rsidR="009A4B45" w:rsidTr="00D45140">
        <w:trPr>
          <w:trHeight w:val="458"/>
        </w:trPr>
        <w:tc>
          <w:tcPr>
            <w:tcW w:w="2629" w:type="dxa"/>
          </w:tcPr>
          <w:p w:rsidR="009A4B45" w:rsidRDefault="009A4B45" w:rsidP="00D45140">
            <w:pPr>
              <w:pStyle w:val="TableParagraph"/>
              <w:spacing w:line="225" w:lineRule="exact"/>
              <w:rPr>
                <w:i/>
                <w:sz w:val="20"/>
              </w:rPr>
            </w:pPr>
            <w:r>
              <w:rPr>
                <w:sz w:val="20"/>
              </w:rPr>
              <w:t xml:space="preserve">5 - </w:t>
            </w:r>
            <w:r>
              <w:rPr>
                <w:i/>
                <w:sz w:val="20"/>
              </w:rPr>
              <w:t>Mildly frail</w:t>
            </w:r>
          </w:p>
        </w:tc>
        <w:tc>
          <w:tcPr>
            <w:tcW w:w="742" w:type="dxa"/>
          </w:tcPr>
          <w:p w:rsidR="009A4B45" w:rsidRDefault="009A4B45" w:rsidP="00D45140">
            <w:pPr>
              <w:pStyle w:val="TableParagraph"/>
              <w:spacing w:before="112" w:line="240" w:lineRule="auto"/>
              <w:ind w:left="232" w:right="231"/>
              <w:jc w:val="center"/>
              <w:rPr>
                <w:sz w:val="20"/>
              </w:rPr>
            </w:pPr>
            <w:r>
              <w:rPr>
                <w:sz w:val="20"/>
              </w:rPr>
              <w:t>38</w:t>
            </w:r>
          </w:p>
        </w:tc>
        <w:tc>
          <w:tcPr>
            <w:tcW w:w="5147" w:type="dxa"/>
          </w:tcPr>
          <w:p w:rsidR="009A4B45" w:rsidRDefault="009A4B45" w:rsidP="00D45140">
            <w:pPr>
              <w:pStyle w:val="TableParagraph"/>
              <w:spacing w:line="230" w:lineRule="exact"/>
              <w:ind w:left="106" w:right="497"/>
              <w:rPr>
                <w:sz w:val="20"/>
              </w:rPr>
            </w:pPr>
            <w:r>
              <w:rPr>
                <w:sz w:val="20"/>
              </w:rPr>
              <w:t>With limited dependence on others for instrumental activities of daily living</w:t>
            </w:r>
          </w:p>
        </w:tc>
      </w:tr>
      <w:tr w:rsidR="009A4B45" w:rsidTr="00D45140">
        <w:trPr>
          <w:trHeight w:val="458"/>
        </w:trPr>
        <w:tc>
          <w:tcPr>
            <w:tcW w:w="2629" w:type="dxa"/>
          </w:tcPr>
          <w:p w:rsidR="009A4B45" w:rsidRDefault="009A4B45" w:rsidP="00D45140">
            <w:pPr>
              <w:pStyle w:val="TableParagraph"/>
              <w:spacing w:line="225" w:lineRule="exact"/>
              <w:rPr>
                <w:i/>
                <w:sz w:val="20"/>
              </w:rPr>
            </w:pPr>
            <w:r>
              <w:rPr>
                <w:sz w:val="20"/>
              </w:rPr>
              <w:t xml:space="preserve">6 - </w:t>
            </w:r>
            <w:r>
              <w:rPr>
                <w:i/>
                <w:sz w:val="20"/>
              </w:rPr>
              <w:t>Moderately frail</w:t>
            </w:r>
          </w:p>
        </w:tc>
        <w:tc>
          <w:tcPr>
            <w:tcW w:w="742" w:type="dxa"/>
          </w:tcPr>
          <w:p w:rsidR="009A4B45" w:rsidRDefault="009A4B45" w:rsidP="00D45140">
            <w:pPr>
              <w:pStyle w:val="TableParagraph"/>
              <w:spacing w:before="110" w:line="240" w:lineRule="auto"/>
              <w:ind w:left="232" w:right="231"/>
              <w:jc w:val="center"/>
              <w:rPr>
                <w:sz w:val="20"/>
              </w:rPr>
            </w:pPr>
            <w:r>
              <w:rPr>
                <w:sz w:val="20"/>
              </w:rPr>
              <w:t>33</w:t>
            </w:r>
          </w:p>
        </w:tc>
        <w:tc>
          <w:tcPr>
            <w:tcW w:w="5147" w:type="dxa"/>
          </w:tcPr>
          <w:p w:rsidR="009A4B45" w:rsidRDefault="009A4B45" w:rsidP="00D45140">
            <w:pPr>
              <w:pStyle w:val="TableParagraph"/>
              <w:spacing w:before="2" w:line="228" w:lineRule="exact"/>
              <w:ind w:left="106" w:right="830"/>
              <w:rPr>
                <w:sz w:val="20"/>
              </w:rPr>
            </w:pPr>
            <w:r>
              <w:rPr>
                <w:sz w:val="20"/>
              </w:rPr>
              <w:t>Help is needed with both instrumental and non- instrumental activities of daily living</w:t>
            </w:r>
          </w:p>
        </w:tc>
      </w:tr>
      <w:tr w:rsidR="009A4B45" w:rsidTr="00D45140">
        <w:trPr>
          <w:trHeight w:val="460"/>
        </w:trPr>
        <w:tc>
          <w:tcPr>
            <w:tcW w:w="2629" w:type="dxa"/>
          </w:tcPr>
          <w:p w:rsidR="009A4B45" w:rsidRDefault="009A4B45" w:rsidP="00D45140">
            <w:pPr>
              <w:pStyle w:val="TableParagraph"/>
              <w:spacing w:line="225" w:lineRule="exact"/>
              <w:rPr>
                <w:i/>
                <w:sz w:val="20"/>
              </w:rPr>
            </w:pPr>
            <w:r>
              <w:rPr>
                <w:sz w:val="20"/>
              </w:rPr>
              <w:t xml:space="preserve">7 - </w:t>
            </w:r>
            <w:r>
              <w:rPr>
                <w:i/>
                <w:sz w:val="20"/>
              </w:rPr>
              <w:t>Severely frail</w:t>
            </w:r>
          </w:p>
        </w:tc>
        <w:tc>
          <w:tcPr>
            <w:tcW w:w="742" w:type="dxa"/>
          </w:tcPr>
          <w:p w:rsidR="009A4B45" w:rsidRDefault="009A4B45" w:rsidP="00D45140">
            <w:pPr>
              <w:pStyle w:val="TableParagraph"/>
              <w:spacing w:before="113" w:line="240" w:lineRule="auto"/>
              <w:ind w:left="6"/>
              <w:jc w:val="center"/>
              <w:rPr>
                <w:sz w:val="20"/>
              </w:rPr>
            </w:pPr>
            <w:r>
              <w:rPr>
                <w:w w:val="99"/>
                <w:sz w:val="20"/>
              </w:rPr>
              <w:t>2</w:t>
            </w:r>
          </w:p>
        </w:tc>
        <w:tc>
          <w:tcPr>
            <w:tcW w:w="5147" w:type="dxa"/>
          </w:tcPr>
          <w:p w:rsidR="009A4B45" w:rsidRDefault="009A4B45" w:rsidP="00D45140">
            <w:pPr>
              <w:pStyle w:val="TableParagraph"/>
              <w:spacing w:line="227" w:lineRule="exact"/>
              <w:ind w:left="106"/>
              <w:rPr>
                <w:sz w:val="20"/>
              </w:rPr>
            </w:pPr>
            <w:r>
              <w:rPr>
                <w:sz w:val="20"/>
              </w:rPr>
              <w:t>Completely dependent on others for the activities of</w:t>
            </w:r>
          </w:p>
          <w:p w:rsidR="009A4B45" w:rsidRDefault="009A4B45" w:rsidP="00D45140">
            <w:pPr>
              <w:pStyle w:val="TableParagraph"/>
              <w:spacing w:before="1" w:line="213" w:lineRule="exact"/>
              <w:ind w:left="106"/>
              <w:rPr>
                <w:sz w:val="20"/>
              </w:rPr>
            </w:pPr>
            <w:r>
              <w:rPr>
                <w:sz w:val="20"/>
              </w:rPr>
              <w:t>daily living, or terminally ill.</w:t>
            </w:r>
          </w:p>
        </w:tc>
      </w:tr>
    </w:tbl>
    <w:p w:rsidR="009A4B45" w:rsidRPr="00CA5026" w:rsidRDefault="009A4B45" w:rsidP="009A4B45"/>
    <w:p w:rsidR="009A4B45" w:rsidRPr="00CA5026" w:rsidRDefault="009A4B45" w:rsidP="009A4B45"/>
    <w:p w:rsidR="009A4B45" w:rsidRDefault="009A4B45" w:rsidP="009A4B45">
      <w:pPr>
        <w:ind w:left="1800"/>
        <w:rPr>
          <w:b/>
          <w:sz w:val="20"/>
        </w:rPr>
      </w:pPr>
      <w:r>
        <w:rPr>
          <w:b/>
          <w:sz w:val="20"/>
        </w:rPr>
        <w:t>Figure 2. Univariate analysis for in-hospital and one-year mortality</w:t>
      </w:r>
    </w:p>
    <w:p w:rsidR="009A4B45" w:rsidRDefault="009A4B45" w:rsidP="009A4B45">
      <w:pPr>
        <w:pStyle w:val="BodyText"/>
        <w:spacing w:before="6"/>
        <w:rPr>
          <w:b/>
        </w:rPr>
      </w:pPr>
    </w:p>
    <w:tbl>
      <w:tblPr>
        <w:tblW w:w="0" w:type="auto"/>
        <w:tblInd w:w="1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1745"/>
        <w:gridCol w:w="1850"/>
        <w:gridCol w:w="1001"/>
      </w:tblGrid>
      <w:tr w:rsidR="009A4B45" w:rsidTr="00D45140">
        <w:trPr>
          <w:trHeight w:val="230"/>
        </w:trPr>
        <w:tc>
          <w:tcPr>
            <w:tcW w:w="6670" w:type="dxa"/>
            <w:gridSpan w:val="4"/>
            <w:shd w:val="clear" w:color="auto" w:fill="A6A6A6"/>
          </w:tcPr>
          <w:p w:rsidR="009A4B45" w:rsidRDefault="009A4B45" w:rsidP="00D45140">
            <w:pPr>
              <w:pStyle w:val="TableParagraph"/>
              <w:rPr>
                <w:b/>
                <w:sz w:val="20"/>
              </w:rPr>
            </w:pPr>
            <w:r>
              <w:rPr>
                <w:b/>
                <w:sz w:val="20"/>
              </w:rPr>
              <w:t>In-Hospital Mortality</w:t>
            </w:r>
          </w:p>
        </w:tc>
      </w:tr>
      <w:tr w:rsidR="009A4B45" w:rsidTr="00D45140">
        <w:trPr>
          <w:trHeight w:val="230"/>
        </w:trPr>
        <w:tc>
          <w:tcPr>
            <w:tcW w:w="2074" w:type="dxa"/>
          </w:tcPr>
          <w:p w:rsidR="009A4B45" w:rsidRDefault="009A4B45" w:rsidP="00D45140">
            <w:pPr>
              <w:pStyle w:val="TableParagraph"/>
              <w:spacing w:line="240" w:lineRule="auto"/>
              <w:ind w:left="0"/>
              <w:rPr>
                <w:rFonts w:ascii="Times New Roman"/>
                <w:sz w:val="16"/>
              </w:rPr>
            </w:pPr>
          </w:p>
        </w:tc>
        <w:tc>
          <w:tcPr>
            <w:tcW w:w="1745" w:type="dxa"/>
          </w:tcPr>
          <w:p w:rsidR="009A4B45" w:rsidRDefault="009A4B45" w:rsidP="00D45140">
            <w:pPr>
              <w:pStyle w:val="TableParagraph"/>
              <w:rPr>
                <w:b/>
                <w:sz w:val="20"/>
              </w:rPr>
            </w:pPr>
            <w:r>
              <w:rPr>
                <w:b/>
                <w:sz w:val="20"/>
              </w:rPr>
              <w:t>Survived n= 190</w:t>
            </w:r>
          </w:p>
        </w:tc>
        <w:tc>
          <w:tcPr>
            <w:tcW w:w="1850" w:type="dxa"/>
          </w:tcPr>
          <w:p w:rsidR="009A4B45" w:rsidRDefault="009A4B45" w:rsidP="00D45140">
            <w:pPr>
              <w:pStyle w:val="TableParagraph"/>
              <w:ind w:left="108"/>
              <w:rPr>
                <w:b/>
                <w:sz w:val="20"/>
              </w:rPr>
            </w:pPr>
            <w:r>
              <w:rPr>
                <w:b/>
                <w:sz w:val="20"/>
              </w:rPr>
              <w:t>Died n= 49</w:t>
            </w:r>
          </w:p>
        </w:tc>
        <w:tc>
          <w:tcPr>
            <w:tcW w:w="1001" w:type="dxa"/>
          </w:tcPr>
          <w:p w:rsidR="009A4B45" w:rsidRDefault="009A4B45" w:rsidP="00D45140">
            <w:pPr>
              <w:pStyle w:val="TableParagraph"/>
              <w:ind w:left="108"/>
              <w:rPr>
                <w:b/>
                <w:i/>
                <w:sz w:val="20"/>
              </w:rPr>
            </w:pPr>
            <w:r>
              <w:rPr>
                <w:b/>
                <w:i/>
                <w:sz w:val="20"/>
              </w:rPr>
              <w:t>P=</w:t>
            </w:r>
          </w:p>
        </w:tc>
      </w:tr>
      <w:tr w:rsidR="009A4B45" w:rsidTr="00D45140">
        <w:trPr>
          <w:trHeight w:val="229"/>
        </w:trPr>
        <w:tc>
          <w:tcPr>
            <w:tcW w:w="2074" w:type="dxa"/>
          </w:tcPr>
          <w:p w:rsidR="009A4B45" w:rsidRDefault="009A4B45" w:rsidP="00D45140">
            <w:pPr>
              <w:pStyle w:val="TableParagraph"/>
              <w:rPr>
                <w:b/>
                <w:sz w:val="20"/>
              </w:rPr>
            </w:pPr>
            <w:r>
              <w:rPr>
                <w:b/>
                <w:sz w:val="20"/>
              </w:rPr>
              <w:t>TBSA (%)*</w:t>
            </w:r>
          </w:p>
        </w:tc>
        <w:tc>
          <w:tcPr>
            <w:tcW w:w="1745" w:type="dxa"/>
          </w:tcPr>
          <w:p w:rsidR="009A4B45" w:rsidRDefault="009A4B45" w:rsidP="00D45140">
            <w:pPr>
              <w:pStyle w:val="TableParagraph"/>
              <w:rPr>
                <w:sz w:val="20"/>
              </w:rPr>
            </w:pPr>
            <w:r>
              <w:rPr>
                <w:sz w:val="20"/>
              </w:rPr>
              <w:t>6 (5 – 7)</w:t>
            </w:r>
          </w:p>
        </w:tc>
        <w:tc>
          <w:tcPr>
            <w:tcW w:w="1850" w:type="dxa"/>
          </w:tcPr>
          <w:p w:rsidR="009A4B45" w:rsidRDefault="009A4B45" w:rsidP="00D45140">
            <w:pPr>
              <w:pStyle w:val="TableParagraph"/>
              <w:ind w:left="108"/>
              <w:rPr>
                <w:sz w:val="20"/>
              </w:rPr>
            </w:pPr>
            <w:r>
              <w:rPr>
                <w:sz w:val="20"/>
              </w:rPr>
              <w:t>28 (20 – 44)</w:t>
            </w:r>
          </w:p>
        </w:tc>
        <w:tc>
          <w:tcPr>
            <w:tcW w:w="1001" w:type="dxa"/>
          </w:tcPr>
          <w:p w:rsidR="009A4B45" w:rsidRDefault="009A4B45" w:rsidP="00D45140">
            <w:pPr>
              <w:pStyle w:val="TableParagraph"/>
              <w:ind w:left="108"/>
              <w:rPr>
                <w:sz w:val="20"/>
              </w:rPr>
            </w:pPr>
            <w:r>
              <w:rPr>
                <w:sz w:val="20"/>
              </w:rPr>
              <w:t>&lt;0.0001</w:t>
            </w:r>
          </w:p>
        </w:tc>
      </w:tr>
      <w:tr w:rsidR="009A4B45" w:rsidTr="00D45140">
        <w:trPr>
          <w:trHeight w:val="230"/>
        </w:trPr>
        <w:tc>
          <w:tcPr>
            <w:tcW w:w="2074" w:type="dxa"/>
          </w:tcPr>
          <w:p w:rsidR="009A4B45" w:rsidRDefault="009A4B45" w:rsidP="00D45140">
            <w:pPr>
              <w:pStyle w:val="TableParagraph"/>
              <w:rPr>
                <w:b/>
                <w:sz w:val="20"/>
              </w:rPr>
            </w:pPr>
            <w:r>
              <w:rPr>
                <w:b/>
                <w:sz w:val="20"/>
              </w:rPr>
              <w:t>Patient age (years)*</w:t>
            </w:r>
          </w:p>
        </w:tc>
        <w:tc>
          <w:tcPr>
            <w:tcW w:w="1745" w:type="dxa"/>
          </w:tcPr>
          <w:p w:rsidR="009A4B45" w:rsidRDefault="009A4B45" w:rsidP="00D45140">
            <w:pPr>
              <w:pStyle w:val="TableParagraph"/>
              <w:rPr>
                <w:sz w:val="20"/>
              </w:rPr>
            </w:pPr>
            <w:r>
              <w:rPr>
                <w:sz w:val="20"/>
              </w:rPr>
              <w:t>76 (74 – 78)</w:t>
            </w:r>
          </w:p>
        </w:tc>
        <w:tc>
          <w:tcPr>
            <w:tcW w:w="1850" w:type="dxa"/>
          </w:tcPr>
          <w:p w:rsidR="009A4B45" w:rsidRDefault="009A4B45" w:rsidP="00D45140">
            <w:pPr>
              <w:pStyle w:val="TableParagraph"/>
              <w:ind w:left="108"/>
              <w:rPr>
                <w:sz w:val="20"/>
              </w:rPr>
            </w:pPr>
            <w:r>
              <w:rPr>
                <w:sz w:val="20"/>
              </w:rPr>
              <w:t>76 (73 – 79)</w:t>
            </w:r>
          </w:p>
        </w:tc>
        <w:tc>
          <w:tcPr>
            <w:tcW w:w="1001" w:type="dxa"/>
          </w:tcPr>
          <w:p w:rsidR="009A4B45" w:rsidRDefault="009A4B45" w:rsidP="00D45140">
            <w:pPr>
              <w:pStyle w:val="TableParagraph"/>
              <w:ind w:left="108"/>
              <w:rPr>
                <w:sz w:val="20"/>
              </w:rPr>
            </w:pPr>
            <w:r>
              <w:rPr>
                <w:sz w:val="20"/>
              </w:rPr>
              <w:t>0.48</w:t>
            </w:r>
          </w:p>
        </w:tc>
      </w:tr>
      <w:tr w:rsidR="009A4B45" w:rsidTr="00D45140">
        <w:trPr>
          <w:trHeight w:val="230"/>
        </w:trPr>
        <w:tc>
          <w:tcPr>
            <w:tcW w:w="2074" w:type="dxa"/>
          </w:tcPr>
          <w:p w:rsidR="009A4B45" w:rsidRDefault="009A4B45" w:rsidP="00D45140">
            <w:pPr>
              <w:pStyle w:val="TableParagraph"/>
              <w:rPr>
                <w:b/>
                <w:sz w:val="20"/>
              </w:rPr>
            </w:pPr>
            <w:r>
              <w:rPr>
                <w:b/>
                <w:sz w:val="20"/>
              </w:rPr>
              <w:t>Inhalation injury</w:t>
            </w:r>
          </w:p>
        </w:tc>
        <w:tc>
          <w:tcPr>
            <w:tcW w:w="1745" w:type="dxa"/>
          </w:tcPr>
          <w:p w:rsidR="009A4B45" w:rsidRDefault="009A4B45" w:rsidP="00D45140">
            <w:pPr>
              <w:pStyle w:val="TableParagraph"/>
              <w:rPr>
                <w:sz w:val="20"/>
              </w:rPr>
            </w:pPr>
            <w:r>
              <w:rPr>
                <w:sz w:val="20"/>
              </w:rPr>
              <w:t>12</w:t>
            </w:r>
          </w:p>
        </w:tc>
        <w:tc>
          <w:tcPr>
            <w:tcW w:w="1850" w:type="dxa"/>
          </w:tcPr>
          <w:p w:rsidR="009A4B45" w:rsidRDefault="009A4B45" w:rsidP="00D45140">
            <w:pPr>
              <w:pStyle w:val="TableParagraph"/>
              <w:ind w:left="108"/>
              <w:rPr>
                <w:sz w:val="20"/>
              </w:rPr>
            </w:pPr>
            <w:r>
              <w:rPr>
                <w:sz w:val="20"/>
              </w:rPr>
              <w:t>20</w:t>
            </w:r>
          </w:p>
        </w:tc>
        <w:tc>
          <w:tcPr>
            <w:tcW w:w="1001" w:type="dxa"/>
          </w:tcPr>
          <w:p w:rsidR="009A4B45" w:rsidRDefault="009A4B45" w:rsidP="00D45140">
            <w:pPr>
              <w:pStyle w:val="TableParagraph"/>
              <w:ind w:left="108"/>
              <w:rPr>
                <w:sz w:val="20"/>
              </w:rPr>
            </w:pPr>
            <w:r>
              <w:rPr>
                <w:sz w:val="20"/>
              </w:rPr>
              <w:t>&lt; 0.0001</w:t>
            </w:r>
          </w:p>
        </w:tc>
      </w:tr>
      <w:tr w:rsidR="009A4B45" w:rsidTr="00D45140">
        <w:trPr>
          <w:trHeight w:val="230"/>
        </w:trPr>
        <w:tc>
          <w:tcPr>
            <w:tcW w:w="2074" w:type="dxa"/>
          </w:tcPr>
          <w:p w:rsidR="009A4B45" w:rsidRDefault="009A4B45" w:rsidP="00D45140">
            <w:pPr>
              <w:pStyle w:val="TableParagraph"/>
              <w:rPr>
                <w:b/>
                <w:sz w:val="20"/>
              </w:rPr>
            </w:pPr>
            <w:r>
              <w:rPr>
                <w:b/>
                <w:sz w:val="20"/>
              </w:rPr>
              <w:t>Modified Baux*</w:t>
            </w:r>
          </w:p>
        </w:tc>
        <w:tc>
          <w:tcPr>
            <w:tcW w:w="1745" w:type="dxa"/>
          </w:tcPr>
          <w:p w:rsidR="009A4B45" w:rsidRDefault="009A4B45" w:rsidP="00D45140">
            <w:pPr>
              <w:pStyle w:val="TableParagraph"/>
              <w:rPr>
                <w:sz w:val="20"/>
              </w:rPr>
            </w:pPr>
            <w:r>
              <w:rPr>
                <w:sz w:val="20"/>
              </w:rPr>
              <w:t>86 (83 – 89)</w:t>
            </w:r>
          </w:p>
        </w:tc>
        <w:tc>
          <w:tcPr>
            <w:tcW w:w="1850" w:type="dxa"/>
          </w:tcPr>
          <w:p w:rsidR="009A4B45" w:rsidRDefault="009A4B45" w:rsidP="00D45140">
            <w:pPr>
              <w:pStyle w:val="TableParagraph"/>
              <w:ind w:left="108"/>
              <w:rPr>
                <w:sz w:val="20"/>
              </w:rPr>
            </w:pPr>
            <w:r>
              <w:rPr>
                <w:sz w:val="20"/>
              </w:rPr>
              <w:t>108 (101 – 126)</w:t>
            </w:r>
          </w:p>
        </w:tc>
        <w:tc>
          <w:tcPr>
            <w:tcW w:w="1001" w:type="dxa"/>
          </w:tcPr>
          <w:p w:rsidR="009A4B45" w:rsidRDefault="009A4B45" w:rsidP="00D45140">
            <w:pPr>
              <w:pStyle w:val="TableParagraph"/>
              <w:ind w:left="108"/>
              <w:rPr>
                <w:sz w:val="20"/>
              </w:rPr>
            </w:pPr>
            <w:r>
              <w:rPr>
                <w:sz w:val="20"/>
              </w:rPr>
              <w:t>&lt; 0.0001</w:t>
            </w:r>
          </w:p>
        </w:tc>
      </w:tr>
      <w:tr w:rsidR="009A4B45" w:rsidTr="00D45140">
        <w:trPr>
          <w:trHeight w:val="230"/>
        </w:trPr>
        <w:tc>
          <w:tcPr>
            <w:tcW w:w="2074" w:type="dxa"/>
          </w:tcPr>
          <w:p w:rsidR="009A4B45" w:rsidRDefault="009A4B45" w:rsidP="00D45140">
            <w:pPr>
              <w:pStyle w:val="TableParagraph"/>
              <w:rPr>
                <w:b/>
                <w:sz w:val="20"/>
              </w:rPr>
            </w:pPr>
            <w:r>
              <w:rPr>
                <w:b/>
                <w:sz w:val="20"/>
              </w:rPr>
              <w:t>Frailty score*</w:t>
            </w:r>
          </w:p>
        </w:tc>
        <w:tc>
          <w:tcPr>
            <w:tcW w:w="1745" w:type="dxa"/>
          </w:tcPr>
          <w:p w:rsidR="009A4B45" w:rsidRDefault="009A4B45" w:rsidP="00D45140">
            <w:pPr>
              <w:pStyle w:val="TableParagraph"/>
              <w:rPr>
                <w:sz w:val="20"/>
              </w:rPr>
            </w:pPr>
            <w:r>
              <w:rPr>
                <w:sz w:val="20"/>
              </w:rPr>
              <w:t>3 (3 – 4)</w:t>
            </w:r>
          </w:p>
        </w:tc>
        <w:tc>
          <w:tcPr>
            <w:tcW w:w="1850" w:type="dxa"/>
          </w:tcPr>
          <w:p w:rsidR="009A4B45" w:rsidRDefault="009A4B45" w:rsidP="00D45140">
            <w:pPr>
              <w:pStyle w:val="TableParagraph"/>
              <w:ind w:left="108"/>
              <w:rPr>
                <w:sz w:val="20"/>
              </w:rPr>
            </w:pPr>
            <w:r>
              <w:rPr>
                <w:sz w:val="20"/>
              </w:rPr>
              <w:t>4 (4 – 5)</w:t>
            </w:r>
          </w:p>
        </w:tc>
        <w:tc>
          <w:tcPr>
            <w:tcW w:w="1001" w:type="dxa"/>
          </w:tcPr>
          <w:p w:rsidR="009A4B45" w:rsidRDefault="009A4B45" w:rsidP="00D45140">
            <w:pPr>
              <w:pStyle w:val="TableParagraph"/>
              <w:ind w:left="108"/>
              <w:rPr>
                <w:sz w:val="20"/>
              </w:rPr>
            </w:pPr>
            <w:r>
              <w:rPr>
                <w:sz w:val="20"/>
              </w:rPr>
              <w:t>&lt; 0.0001</w:t>
            </w:r>
          </w:p>
        </w:tc>
      </w:tr>
      <w:tr w:rsidR="009A4B45" w:rsidTr="00D45140">
        <w:trPr>
          <w:trHeight w:val="230"/>
        </w:trPr>
        <w:tc>
          <w:tcPr>
            <w:tcW w:w="2074" w:type="dxa"/>
          </w:tcPr>
          <w:p w:rsidR="009A4B45" w:rsidRDefault="009A4B45" w:rsidP="00D45140">
            <w:pPr>
              <w:pStyle w:val="TableParagraph"/>
              <w:rPr>
                <w:b/>
                <w:sz w:val="20"/>
              </w:rPr>
            </w:pPr>
            <w:r>
              <w:rPr>
                <w:b/>
                <w:sz w:val="20"/>
              </w:rPr>
              <w:t>&gt;= 4 Meds</w:t>
            </w:r>
          </w:p>
        </w:tc>
        <w:tc>
          <w:tcPr>
            <w:tcW w:w="1745" w:type="dxa"/>
          </w:tcPr>
          <w:p w:rsidR="009A4B45" w:rsidRDefault="009A4B45" w:rsidP="00D45140">
            <w:pPr>
              <w:pStyle w:val="TableParagraph"/>
              <w:rPr>
                <w:sz w:val="20"/>
              </w:rPr>
            </w:pPr>
            <w:r>
              <w:rPr>
                <w:sz w:val="20"/>
              </w:rPr>
              <w:t>100</w:t>
            </w:r>
          </w:p>
        </w:tc>
        <w:tc>
          <w:tcPr>
            <w:tcW w:w="1850" w:type="dxa"/>
          </w:tcPr>
          <w:p w:rsidR="009A4B45" w:rsidRDefault="009A4B45" w:rsidP="00D45140">
            <w:pPr>
              <w:pStyle w:val="TableParagraph"/>
              <w:ind w:left="108"/>
              <w:rPr>
                <w:sz w:val="20"/>
              </w:rPr>
            </w:pPr>
            <w:r>
              <w:rPr>
                <w:sz w:val="20"/>
              </w:rPr>
              <w:t>26</w:t>
            </w:r>
          </w:p>
        </w:tc>
        <w:tc>
          <w:tcPr>
            <w:tcW w:w="1001" w:type="dxa"/>
          </w:tcPr>
          <w:p w:rsidR="009A4B45" w:rsidRDefault="009A4B45" w:rsidP="00D45140">
            <w:pPr>
              <w:pStyle w:val="TableParagraph"/>
              <w:ind w:left="108"/>
              <w:rPr>
                <w:sz w:val="20"/>
              </w:rPr>
            </w:pPr>
            <w:r>
              <w:rPr>
                <w:sz w:val="20"/>
              </w:rPr>
              <w:t>0.85</w:t>
            </w:r>
          </w:p>
        </w:tc>
      </w:tr>
      <w:tr w:rsidR="009A4B45" w:rsidTr="00D45140">
        <w:trPr>
          <w:trHeight w:val="230"/>
        </w:trPr>
        <w:tc>
          <w:tcPr>
            <w:tcW w:w="2074" w:type="dxa"/>
          </w:tcPr>
          <w:p w:rsidR="009A4B45" w:rsidRDefault="009A4B45" w:rsidP="00D45140">
            <w:pPr>
              <w:pStyle w:val="TableParagraph"/>
              <w:rPr>
                <w:b/>
                <w:sz w:val="20"/>
              </w:rPr>
            </w:pPr>
            <w:r>
              <w:rPr>
                <w:b/>
                <w:sz w:val="20"/>
              </w:rPr>
              <w:t>Gender (males)</w:t>
            </w:r>
          </w:p>
        </w:tc>
        <w:tc>
          <w:tcPr>
            <w:tcW w:w="1745" w:type="dxa"/>
          </w:tcPr>
          <w:p w:rsidR="009A4B45" w:rsidRDefault="009A4B45" w:rsidP="00D45140">
            <w:pPr>
              <w:pStyle w:val="TableParagraph"/>
              <w:rPr>
                <w:sz w:val="20"/>
              </w:rPr>
            </w:pPr>
            <w:r>
              <w:rPr>
                <w:sz w:val="20"/>
              </w:rPr>
              <w:t>106</w:t>
            </w:r>
          </w:p>
        </w:tc>
        <w:tc>
          <w:tcPr>
            <w:tcW w:w="1850" w:type="dxa"/>
          </w:tcPr>
          <w:p w:rsidR="009A4B45" w:rsidRDefault="009A4B45" w:rsidP="00D45140">
            <w:pPr>
              <w:pStyle w:val="TableParagraph"/>
              <w:ind w:left="108"/>
              <w:rPr>
                <w:sz w:val="20"/>
              </w:rPr>
            </w:pPr>
            <w:r>
              <w:rPr>
                <w:sz w:val="20"/>
              </w:rPr>
              <w:t>31</w:t>
            </w:r>
          </w:p>
        </w:tc>
        <w:tc>
          <w:tcPr>
            <w:tcW w:w="1001" w:type="dxa"/>
          </w:tcPr>
          <w:p w:rsidR="009A4B45" w:rsidRDefault="009A4B45" w:rsidP="00D45140">
            <w:pPr>
              <w:pStyle w:val="TableParagraph"/>
              <w:ind w:left="108"/>
              <w:rPr>
                <w:sz w:val="20"/>
              </w:rPr>
            </w:pPr>
            <w:r>
              <w:rPr>
                <w:sz w:val="20"/>
              </w:rPr>
              <w:t>0.34</w:t>
            </w:r>
          </w:p>
        </w:tc>
      </w:tr>
      <w:tr w:rsidR="009A4B45" w:rsidTr="00D45140">
        <w:trPr>
          <w:trHeight w:val="230"/>
        </w:trPr>
        <w:tc>
          <w:tcPr>
            <w:tcW w:w="6670" w:type="dxa"/>
            <w:gridSpan w:val="4"/>
            <w:shd w:val="clear" w:color="auto" w:fill="A6A6A6"/>
          </w:tcPr>
          <w:p w:rsidR="009A4B45" w:rsidRDefault="009A4B45" w:rsidP="00D45140">
            <w:pPr>
              <w:pStyle w:val="TableParagraph"/>
              <w:rPr>
                <w:b/>
                <w:sz w:val="20"/>
              </w:rPr>
            </w:pPr>
            <w:r>
              <w:rPr>
                <w:b/>
                <w:sz w:val="20"/>
              </w:rPr>
              <w:t>One-Year Mortality</w:t>
            </w:r>
          </w:p>
        </w:tc>
      </w:tr>
      <w:tr w:rsidR="009A4B45" w:rsidTr="00D45140">
        <w:trPr>
          <w:trHeight w:val="230"/>
        </w:trPr>
        <w:tc>
          <w:tcPr>
            <w:tcW w:w="2074" w:type="dxa"/>
          </w:tcPr>
          <w:p w:rsidR="009A4B45" w:rsidRDefault="009A4B45" w:rsidP="00D45140">
            <w:pPr>
              <w:pStyle w:val="TableParagraph"/>
              <w:spacing w:line="240" w:lineRule="auto"/>
              <w:ind w:left="0"/>
              <w:rPr>
                <w:rFonts w:ascii="Times New Roman"/>
                <w:sz w:val="16"/>
              </w:rPr>
            </w:pPr>
          </w:p>
        </w:tc>
        <w:tc>
          <w:tcPr>
            <w:tcW w:w="1745" w:type="dxa"/>
          </w:tcPr>
          <w:p w:rsidR="009A4B45" w:rsidRDefault="009A4B45" w:rsidP="00D45140">
            <w:pPr>
              <w:pStyle w:val="TableParagraph"/>
              <w:rPr>
                <w:b/>
                <w:sz w:val="20"/>
              </w:rPr>
            </w:pPr>
            <w:r>
              <w:rPr>
                <w:b/>
                <w:sz w:val="20"/>
              </w:rPr>
              <w:t>Survived n= 152</w:t>
            </w:r>
          </w:p>
        </w:tc>
        <w:tc>
          <w:tcPr>
            <w:tcW w:w="1850" w:type="dxa"/>
          </w:tcPr>
          <w:p w:rsidR="009A4B45" w:rsidRDefault="009A4B45" w:rsidP="00D45140">
            <w:pPr>
              <w:pStyle w:val="TableParagraph"/>
              <w:ind w:left="108"/>
              <w:rPr>
                <w:b/>
                <w:sz w:val="20"/>
              </w:rPr>
            </w:pPr>
            <w:r>
              <w:rPr>
                <w:b/>
                <w:sz w:val="20"/>
              </w:rPr>
              <w:t>Died n= 87</w:t>
            </w:r>
          </w:p>
        </w:tc>
        <w:tc>
          <w:tcPr>
            <w:tcW w:w="1001" w:type="dxa"/>
          </w:tcPr>
          <w:p w:rsidR="009A4B45" w:rsidRDefault="009A4B45" w:rsidP="00D45140">
            <w:pPr>
              <w:pStyle w:val="TableParagraph"/>
              <w:ind w:left="108"/>
              <w:rPr>
                <w:b/>
                <w:i/>
                <w:sz w:val="20"/>
              </w:rPr>
            </w:pPr>
            <w:r>
              <w:rPr>
                <w:b/>
                <w:i/>
                <w:sz w:val="20"/>
              </w:rPr>
              <w:t>P=</w:t>
            </w:r>
          </w:p>
        </w:tc>
      </w:tr>
      <w:tr w:rsidR="009A4B45" w:rsidTr="00D45140">
        <w:trPr>
          <w:trHeight w:val="230"/>
        </w:trPr>
        <w:tc>
          <w:tcPr>
            <w:tcW w:w="2074" w:type="dxa"/>
          </w:tcPr>
          <w:p w:rsidR="009A4B45" w:rsidRDefault="009A4B45" w:rsidP="00D45140">
            <w:pPr>
              <w:pStyle w:val="TableParagraph"/>
              <w:rPr>
                <w:b/>
                <w:sz w:val="20"/>
              </w:rPr>
            </w:pPr>
            <w:r>
              <w:rPr>
                <w:b/>
                <w:sz w:val="20"/>
              </w:rPr>
              <w:t>TBSA (%)</w:t>
            </w:r>
          </w:p>
        </w:tc>
        <w:tc>
          <w:tcPr>
            <w:tcW w:w="1745" w:type="dxa"/>
          </w:tcPr>
          <w:p w:rsidR="009A4B45" w:rsidRDefault="009A4B45" w:rsidP="00D45140">
            <w:pPr>
              <w:pStyle w:val="TableParagraph"/>
              <w:rPr>
                <w:sz w:val="20"/>
              </w:rPr>
            </w:pPr>
            <w:r>
              <w:rPr>
                <w:sz w:val="20"/>
              </w:rPr>
              <w:t>6 (5 – 6.5)</w:t>
            </w:r>
          </w:p>
        </w:tc>
        <w:tc>
          <w:tcPr>
            <w:tcW w:w="1850" w:type="dxa"/>
          </w:tcPr>
          <w:p w:rsidR="009A4B45" w:rsidRDefault="009A4B45" w:rsidP="00D45140">
            <w:pPr>
              <w:pStyle w:val="TableParagraph"/>
              <w:ind w:left="108"/>
              <w:rPr>
                <w:sz w:val="20"/>
              </w:rPr>
            </w:pPr>
            <w:r>
              <w:rPr>
                <w:sz w:val="20"/>
              </w:rPr>
              <w:t>15 (8.9 – 20)</w:t>
            </w:r>
          </w:p>
        </w:tc>
        <w:tc>
          <w:tcPr>
            <w:tcW w:w="1001" w:type="dxa"/>
          </w:tcPr>
          <w:p w:rsidR="009A4B45" w:rsidRDefault="009A4B45" w:rsidP="00D45140">
            <w:pPr>
              <w:pStyle w:val="TableParagraph"/>
              <w:ind w:left="108"/>
              <w:rPr>
                <w:sz w:val="20"/>
              </w:rPr>
            </w:pPr>
            <w:r>
              <w:rPr>
                <w:sz w:val="20"/>
              </w:rPr>
              <w:t>&lt;0.0001</w:t>
            </w:r>
          </w:p>
        </w:tc>
      </w:tr>
      <w:tr w:rsidR="009A4B45" w:rsidTr="00D45140">
        <w:trPr>
          <w:trHeight w:val="230"/>
        </w:trPr>
        <w:tc>
          <w:tcPr>
            <w:tcW w:w="2074" w:type="dxa"/>
          </w:tcPr>
          <w:p w:rsidR="009A4B45" w:rsidRDefault="009A4B45" w:rsidP="00D45140">
            <w:pPr>
              <w:pStyle w:val="TableParagraph"/>
              <w:rPr>
                <w:b/>
                <w:sz w:val="20"/>
              </w:rPr>
            </w:pPr>
            <w:r>
              <w:rPr>
                <w:b/>
                <w:sz w:val="20"/>
              </w:rPr>
              <w:t>Age (years)</w:t>
            </w:r>
          </w:p>
        </w:tc>
        <w:tc>
          <w:tcPr>
            <w:tcW w:w="1745" w:type="dxa"/>
          </w:tcPr>
          <w:p w:rsidR="009A4B45" w:rsidRDefault="009A4B45" w:rsidP="00D45140">
            <w:pPr>
              <w:pStyle w:val="TableParagraph"/>
              <w:rPr>
                <w:sz w:val="20"/>
              </w:rPr>
            </w:pPr>
            <w:r>
              <w:rPr>
                <w:sz w:val="20"/>
              </w:rPr>
              <w:t>75 (73 – 78)</w:t>
            </w:r>
          </w:p>
        </w:tc>
        <w:tc>
          <w:tcPr>
            <w:tcW w:w="1850" w:type="dxa"/>
          </w:tcPr>
          <w:p w:rsidR="009A4B45" w:rsidRDefault="009A4B45" w:rsidP="00D45140">
            <w:pPr>
              <w:pStyle w:val="TableParagraph"/>
              <w:ind w:left="108"/>
              <w:rPr>
                <w:sz w:val="20"/>
              </w:rPr>
            </w:pPr>
            <w:r>
              <w:rPr>
                <w:sz w:val="20"/>
              </w:rPr>
              <w:t>78 (75 – 80)</w:t>
            </w:r>
          </w:p>
        </w:tc>
        <w:tc>
          <w:tcPr>
            <w:tcW w:w="1001" w:type="dxa"/>
          </w:tcPr>
          <w:p w:rsidR="009A4B45" w:rsidRDefault="009A4B45" w:rsidP="00D45140">
            <w:pPr>
              <w:pStyle w:val="TableParagraph"/>
              <w:ind w:left="108"/>
              <w:rPr>
                <w:sz w:val="20"/>
              </w:rPr>
            </w:pPr>
            <w:r>
              <w:rPr>
                <w:sz w:val="20"/>
              </w:rPr>
              <w:t>0.15</w:t>
            </w:r>
          </w:p>
        </w:tc>
      </w:tr>
      <w:tr w:rsidR="009A4B45" w:rsidTr="00D45140">
        <w:trPr>
          <w:trHeight w:val="230"/>
        </w:trPr>
        <w:tc>
          <w:tcPr>
            <w:tcW w:w="2074" w:type="dxa"/>
          </w:tcPr>
          <w:p w:rsidR="009A4B45" w:rsidRDefault="009A4B45" w:rsidP="00D45140">
            <w:pPr>
              <w:pStyle w:val="TableParagraph"/>
              <w:rPr>
                <w:b/>
                <w:sz w:val="20"/>
              </w:rPr>
            </w:pPr>
            <w:r>
              <w:rPr>
                <w:b/>
                <w:sz w:val="20"/>
              </w:rPr>
              <w:t>Inhalation injury</w:t>
            </w:r>
          </w:p>
        </w:tc>
        <w:tc>
          <w:tcPr>
            <w:tcW w:w="1745" w:type="dxa"/>
          </w:tcPr>
          <w:p w:rsidR="009A4B45" w:rsidRDefault="009A4B45" w:rsidP="00D45140">
            <w:pPr>
              <w:pStyle w:val="TableParagraph"/>
              <w:rPr>
                <w:sz w:val="20"/>
              </w:rPr>
            </w:pPr>
            <w:r>
              <w:rPr>
                <w:w w:val="99"/>
                <w:sz w:val="20"/>
              </w:rPr>
              <w:t>7</w:t>
            </w:r>
          </w:p>
        </w:tc>
        <w:tc>
          <w:tcPr>
            <w:tcW w:w="1850" w:type="dxa"/>
          </w:tcPr>
          <w:p w:rsidR="009A4B45" w:rsidRDefault="009A4B45" w:rsidP="00D45140">
            <w:pPr>
              <w:pStyle w:val="TableParagraph"/>
              <w:ind w:left="108"/>
              <w:rPr>
                <w:sz w:val="20"/>
              </w:rPr>
            </w:pPr>
            <w:r>
              <w:rPr>
                <w:sz w:val="20"/>
              </w:rPr>
              <w:t>25</w:t>
            </w:r>
          </w:p>
        </w:tc>
        <w:tc>
          <w:tcPr>
            <w:tcW w:w="1001" w:type="dxa"/>
          </w:tcPr>
          <w:p w:rsidR="009A4B45" w:rsidRDefault="009A4B45" w:rsidP="00D45140">
            <w:pPr>
              <w:pStyle w:val="TableParagraph"/>
              <w:ind w:left="108"/>
              <w:rPr>
                <w:sz w:val="20"/>
              </w:rPr>
            </w:pPr>
            <w:r>
              <w:rPr>
                <w:sz w:val="20"/>
              </w:rPr>
              <w:t>&lt; 0.0001</w:t>
            </w:r>
          </w:p>
        </w:tc>
      </w:tr>
      <w:tr w:rsidR="009A4B45" w:rsidTr="00D45140">
        <w:trPr>
          <w:trHeight w:val="230"/>
        </w:trPr>
        <w:tc>
          <w:tcPr>
            <w:tcW w:w="2074" w:type="dxa"/>
          </w:tcPr>
          <w:p w:rsidR="009A4B45" w:rsidRDefault="009A4B45" w:rsidP="00D45140">
            <w:pPr>
              <w:pStyle w:val="TableParagraph"/>
              <w:rPr>
                <w:b/>
                <w:sz w:val="20"/>
              </w:rPr>
            </w:pPr>
            <w:r>
              <w:rPr>
                <w:b/>
                <w:sz w:val="20"/>
              </w:rPr>
              <w:t>Modified Baux</w:t>
            </w:r>
          </w:p>
        </w:tc>
        <w:tc>
          <w:tcPr>
            <w:tcW w:w="1745" w:type="dxa"/>
          </w:tcPr>
          <w:p w:rsidR="009A4B45" w:rsidRDefault="009A4B45" w:rsidP="00D45140">
            <w:pPr>
              <w:pStyle w:val="TableParagraph"/>
              <w:rPr>
                <w:sz w:val="20"/>
              </w:rPr>
            </w:pPr>
            <w:r>
              <w:rPr>
                <w:sz w:val="20"/>
              </w:rPr>
              <w:t>85 (81 – 87.6)</w:t>
            </w:r>
          </w:p>
        </w:tc>
        <w:tc>
          <w:tcPr>
            <w:tcW w:w="1850" w:type="dxa"/>
          </w:tcPr>
          <w:p w:rsidR="009A4B45" w:rsidRDefault="009A4B45" w:rsidP="00D45140">
            <w:pPr>
              <w:pStyle w:val="TableParagraph"/>
              <w:ind w:left="108"/>
              <w:rPr>
                <w:sz w:val="20"/>
              </w:rPr>
            </w:pPr>
            <w:r>
              <w:rPr>
                <w:sz w:val="20"/>
              </w:rPr>
              <w:t>101 (96.9 – 105.1)</w:t>
            </w:r>
          </w:p>
        </w:tc>
        <w:tc>
          <w:tcPr>
            <w:tcW w:w="1001" w:type="dxa"/>
          </w:tcPr>
          <w:p w:rsidR="009A4B45" w:rsidRDefault="009A4B45" w:rsidP="00D45140">
            <w:pPr>
              <w:pStyle w:val="TableParagraph"/>
              <w:ind w:left="108"/>
              <w:rPr>
                <w:sz w:val="20"/>
              </w:rPr>
            </w:pPr>
            <w:r>
              <w:rPr>
                <w:sz w:val="20"/>
              </w:rPr>
              <w:t>&lt; 0.0001</w:t>
            </w:r>
          </w:p>
        </w:tc>
      </w:tr>
      <w:tr w:rsidR="009A4B45" w:rsidTr="00D45140">
        <w:trPr>
          <w:trHeight w:val="230"/>
        </w:trPr>
        <w:tc>
          <w:tcPr>
            <w:tcW w:w="2074" w:type="dxa"/>
          </w:tcPr>
          <w:p w:rsidR="009A4B45" w:rsidRDefault="009A4B45" w:rsidP="00D45140">
            <w:pPr>
              <w:pStyle w:val="TableParagraph"/>
              <w:spacing w:line="211" w:lineRule="exact"/>
              <w:rPr>
                <w:b/>
                <w:sz w:val="20"/>
              </w:rPr>
            </w:pPr>
            <w:r>
              <w:rPr>
                <w:b/>
                <w:sz w:val="20"/>
              </w:rPr>
              <w:t>Frailty Score</w:t>
            </w:r>
          </w:p>
        </w:tc>
        <w:tc>
          <w:tcPr>
            <w:tcW w:w="1745" w:type="dxa"/>
          </w:tcPr>
          <w:p w:rsidR="009A4B45" w:rsidRDefault="009A4B45" w:rsidP="00D45140">
            <w:pPr>
              <w:pStyle w:val="TableParagraph"/>
              <w:spacing w:line="211" w:lineRule="exact"/>
              <w:rPr>
                <w:sz w:val="20"/>
              </w:rPr>
            </w:pPr>
            <w:r>
              <w:rPr>
                <w:sz w:val="20"/>
              </w:rPr>
              <w:t>3 (3 – 3)</w:t>
            </w:r>
          </w:p>
        </w:tc>
        <w:tc>
          <w:tcPr>
            <w:tcW w:w="1850" w:type="dxa"/>
          </w:tcPr>
          <w:p w:rsidR="009A4B45" w:rsidRDefault="009A4B45" w:rsidP="00D45140">
            <w:pPr>
              <w:pStyle w:val="TableParagraph"/>
              <w:spacing w:line="211" w:lineRule="exact"/>
              <w:ind w:left="108"/>
              <w:rPr>
                <w:sz w:val="20"/>
              </w:rPr>
            </w:pPr>
            <w:r>
              <w:rPr>
                <w:sz w:val="20"/>
              </w:rPr>
              <w:t>5 (4 – 5)</w:t>
            </w:r>
          </w:p>
        </w:tc>
        <w:tc>
          <w:tcPr>
            <w:tcW w:w="1001" w:type="dxa"/>
          </w:tcPr>
          <w:p w:rsidR="009A4B45" w:rsidRDefault="009A4B45" w:rsidP="00D45140">
            <w:pPr>
              <w:pStyle w:val="TableParagraph"/>
              <w:spacing w:line="211" w:lineRule="exact"/>
              <w:ind w:left="108"/>
              <w:rPr>
                <w:sz w:val="20"/>
              </w:rPr>
            </w:pPr>
            <w:r>
              <w:rPr>
                <w:sz w:val="20"/>
              </w:rPr>
              <w:t>&lt; 0.0001</w:t>
            </w:r>
          </w:p>
        </w:tc>
      </w:tr>
      <w:tr w:rsidR="009A4B45" w:rsidTr="00D45140">
        <w:trPr>
          <w:trHeight w:val="230"/>
        </w:trPr>
        <w:tc>
          <w:tcPr>
            <w:tcW w:w="2074" w:type="dxa"/>
          </w:tcPr>
          <w:p w:rsidR="009A4B45" w:rsidRDefault="009A4B45" w:rsidP="00D45140">
            <w:pPr>
              <w:pStyle w:val="TableParagraph"/>
              <w:rPr>
                <w:b/>
                <w:sz w:val="20"/>
              </w:rPr>
            </w:pPr>
            <w:r>
              <w:rPr>
                <w:b/>
                <w:sz w:val="20"/>
              </w:rPr>
              <w:t>&gt;= 4 Meds</w:t>
            </w:r>
          </w:p>
        </w:tc>
        <w:tc>
          <w:tcPr>
            <w:tcW w:w="1745" w:type="dxa"/>
          </w:tcPr>
          <w:p w:rsidR="009A4B45" w:rsidRDefault="009A4B45" w:rsidP="00D45140">
            <w:pPr>
              <w:pStyle w:val="TableParagraph"/>
              <w:rPr>
                <w:sz w:val="20"/>
              </w:rPr>
            </w:pPr>
            <w:r>
              <w:rPr>
                <w:sz w:val="20"/>
              </w:rPr>
              <w:t>74</w:t>
            </w:r>
          </w:p>
        </w:tc>
        <w:tc>
          <w:tcPr>
            <w:tcW w:w="1850" w:type="dxa"/>
          </w:tcPr>
          <w:p w:rsidR="009A4B45" w:rsidRDefault="009A4B45" w:rsidP="00D45140">
            <w:pPr>
              <w:pStyle w:val="TableParagraph"/>
              <w:ind w:left="108"/>
              <w:rPr>
                <w:sz w:val="20"/>
              </w:rPr>
            </w:pPr>
            <w:r>
              <w:rPr>
                <w:sz w:val="20"/>
              </w:rPr>
              <w:t>52</w:t>
            </w:r>
          </w:p>
        </w:tc>
        <w:tc>
          <w:tcPr>
            <w:tcW w:w="1001" w:type="dxa"/>
          </w:tcPr>
          <w:p w:rsidR="009A4B45" w:rsidRDefault="009A4B45" w:rsidP="00D45140">
            <w:pPr>
              <w:pStyle w:val="TableParagraph"/>
              <w:ind w:left="108"/>
              <w:rPr>
                <w:sz w:val="20"/>
              </w:rPr>
            </w:pPr>
            <w:r>
              <w:rPr>
                <w:sz w:val="20"/>
              </w:rPr>
              <w:t>0.08</w:t>
            </w:r>
          </w:p>
        </w:tc>
      </w:tr>
      <w:tr w:rsidR="009A4B45" w:rsidTr="00D45140">
        <w:trPr>
          <w:trHeight w:val="230"/>
        </w:trPr>
        <w:tc>
          <w:tcPr>
            <w:tcW w:w="2074" w:type="dxa"/>
          </w:tcPr>
          <w:p w:rsidR="009A4B45" w:rsidRDefault="009A4B45" w:rsidP="00D45140">
            <w:pPr>
              <w:pStyle w:val="TableParagraph"/>
              <w:rPr>
                <w:b/>
                <w:sz w:val="20"/>
              </w:rPr>
            </w:pPr>
            <w:r>
              <w:rPr>
                <w:b/>
                <w:sz w:val="20"/>
              </w:rPr>
              <w:t>Gender (males)</w:t>
            </w:r>
          </w:p>
        </w:tc>
        <w:tc>
          <w:tcPr>
            <w:tcW w:w="1745" w:type="dxa"/>
          </w:tcPr>
          <w:p w:rsidR="009A4B45" w:rsidRDefault="009A4B45" w:rsidP="00D45140">
            <w:pPr>
              <w:pStyle w:val="TableParagraph"/>
              <w:rPr>
                <w:sz w:val="20"/>
              </w:rPr>
            </w:pPr>
            <w:r>
              <w:rPr>
                <w:sz w:val="20"/>
              </w:rPr>
              <w:t>92</w:t>
            </w:r>
          </w:p>
        </w:tc>
        <w:tc>
          <w:tcPr>
            <w:tcW w:w="1850" w:type="dxa"/>
          </w:tcPr>
          <w:p w:rsidR="009A4B45" w:rsidRDefault="009A4B45" w:rsidP="00D45140">
            <w:pPr>
              <w:pStyle w:val="TableParagraph"/>
              <w:ind w:left="108"/>
              <w:rPr>
                <w:sz w:val="20"/>
              </w:rPr>
            </w:pPr>
            <w:r>
              <w:rPr>
                <w:sz w:val="20"/>
              </w:rPr>
              <w:t>45</w:t>
            </w:r>
          </w:p>
        </w:tc>
        <w:tc>
          <w:tcPr>
            <w:tcW w:w="1001" w:type="dxa"/>
          </w:tcPr>
          <w:p w:rsidR="009A4B45" w:rsidRDefault="009A4B45" w:rsidP="00D45140">
            <w:pPr>
              <w:pStyle w:val="TableParagraph"/>
              <w:ind w:left="108"/>
              <w:rPr>
                <w:sz w:val="20"/>
              </w:rPr>
            </w:pPr>
            <w:r>
              <w:rPr>
                <w:sz w:val="20"/>
              </w:rPr>
              <w:t>0.18</w:t>
            </w:r>
          </w:p>
        </w:tc>
      </w:tr>
    </w:tbl>
    <w:p w:rsidR="009A4B45" w:rsidRPr="00AA1D31" w:rsidRDefault="009A4B45" w:rsidP="009A4B45">
      <w:pPr>
        <w:rPr>
          <w:sz w:val="20"/>
        </w:rPr>
      </w:pPr>
    </w:p>
    <w:p w:rsidR="009A4B45" w:rsidRPr="00AA1D31" w:rsidRDefault="009A4B45" w:rsidP="009A4B45">
      <w:pPr>
        <w:rPr>
          <w:sz w:val="20"/>
        </w:rPr>
      </w:pPr>
    </w:p>
    <w:p w:rsidR="009A4B45" w:rsidRDefault="009A4B45" w:rsidP="009A4B45">
      <w:pPr>
        <w:rPr>
          <w:sz w:val="20"/>
        </w:rPr>
      </w:pPr>
    </w:p>
    <w:p w:rsidR="009A4B45" w:rsidRDefault="009A4B45" w:rsidP="009A4B45">
      <w:pPr>
        <w:ind w:left="1800"/>
        <w:rPr>
          <w:b/>
          <w:sz w:val="20"/>
        </w:rPr>
      </w:pPr>
      <w:r>
        <w:rPr>
          <w:sz w:val="20"/>
        </w:rPr>
        <w:tab/>
      </w:r>
      <w:r>
        <w:rPr>
          <w:b/>
          <w:sz w:val="20"/>
        </w:rPr>
        <w:t>Figure 3. Mortality Associations</w:t>
      </w:r>
    </w:p>
    <w:p w:rsidR="009A4B45" w:rsidRDefault="009A4B45" w:rsidP="009A4B45">
      <w:pPr>
        <w:pStyle w:val="BodyText"/>
        <w:spacing w:before="6"/>
        <w:rPr>
          <w:b/>
        </w:rPr>
      </w:pPr>
    </w:p>
    <w:tbl>
      <w:tblPr>
        <w:tblW w:w="0" w:type="auto"/>
        <w:tblInd w:w="1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7"/>
        <w:gridCol w:w="1882"/>
        <w:gridCol w:w="1056"/>
        <w:gridCol w:w="1796"/>
        <w:gridCol w:w="1001"/>
      </w:tblGrid>
      <w:tr w:rsidR="009A4B45" w:rsidTr="00D45140">
        <w:trPr>
          <w:trHeight w:val="230"/>
        </w:trPr>
        <w:tc>
          <w:tcPr>
            <w:tcW w:w="2197" w:type="dxa"/>
          </w:tcPr>
          <w:p w:rsidR="009A4B45" w:rsidRDefault="009A4B45" w:rsidP="00D45140">
            <w:pPr>
              <w:pStyle w:val="TableParagraph"/>
              <w:rPr>
                <w:b/>
                <w:sz w:val="20"/>
              </w:rPr>
            </w:pPr>
            <w:r>
              <w:rPr>
                <w:b/>
                <w:sz w:val="20"/>
              </w:rPr>
              <w:t>Variable</w:t>
            </w:r>
          </w:p>
        </w:tc>
        <w:tc>
          <w:tcPr>
            <w:tcW w:w="1882" w:type="dxa"/>
          </w:tcPr>
          <w:p w:rsidR="009A4B45" w:rsidRDefault="009A4B45" w:rsidP="00D45140">
            <w:pPr>
              <w:pStyle w:val="TableParagraph"/>
              <w:rPr>
                <w:b/>
                <w:sz w:val="20"/>
              </w:rPr>
            </w:pPr>
            <w:r>
              <w:rPr>
                <w:b/>
                <w:sz w:val="20"/>
              </w:rPr>
              <w:t>Rho (IH Mortality)</w:t>
            </w:r>
          </w:p>
        </w:tc>
        <w:tc>
          <w:tcPr>
            <w:tcW w:w="1056" w:type="dxa"/>
          </w:tcPr>
          <w:p w:rsidR="009A4B45" w:rsidRDefault="009A4B45" w:rsidP="00D45140">
            <w:pPr>
              <w:pStyle w:val="TableParagraph"/>
              <w:rPr>
                <w:b/>
                <w:i/>
                <w:sz w:val="20"/>
              </w:rPr>
            </w:pPr>
            <w:r>
              <w:rPr>
                <w:b/>
                <w:i/>
                <w:sz w:val="20"/>
              </w:rPr>
              <w:t>P-value</w:t>
            </w:r>
          </w:p>
        </w:tc>
        <w:tc>
          <w:tcPr>
            <w:tcW w:w="1796" w:type="dxa"/>
          </w:tcPr>
          <w:p w:rsidR="009A4B45" w:rsidRDefault="009A4B45" w:rsidP="00D45140">
            <w:pPr>
              <w:pStyle w:val="TableParagraph"/>
              <w:rPr>
                <w:b/>
                <w:sz w:val="20"/>
              </w:rPr>
            </w:pPr>
            <w:r>
              <w:rPr>
                <w:b/>
                <w:sz w:val="20"/>
              </w:rPr>
              <w:t>Rho (1-year M)</w:t>
            </w:r>
          </w:p>
        </w:tc>
        <w:tc>
          <w:tcPr>
            <w:tcW w:w="1001" w:type="dxa"/>
          </w:tcPr>
          <w:p w:rsidR="009A4B45" w:rsidRDefault="009A4B45" w:rsidP="00D45140">
            <w:pPr>
              <w:pStyle w:val="TableParagraph"/>
              <w:ind w:left="13" w:right="80"/>
              <w:jc w:val="center"/>
              <w:rPr>
                <w:b/>
                <w:i/>
                <w:sz w:val="20"/>
              </w:rPr>
            </w:pPr>
            <w:r>
              <w:rPr>
                <w:b/>
                <w:i/>
                <w:sz w:val="20"/>
              </w:rPr>
              <w:t>P-value</w:t>
            </w:r>
          </w:p>
        </w:tc>
      </w:tr>
      <w:tr w:rsidR="009A4B45" w:rsidTr="00D45140">
        <w:trPr>
          <w:trHeight w:val="230"/>
        </w:trPr>
        <w:tc>
          <w:tcPr>
            <w:tcW w:w="2197" w:type="dxa"/>
          </w:tcPr>
          <w:p w:rsidR="009A4B45" w:rsidRDefault="009A4B45" w:rsidP="00D45140">
            <w:pPr>
              <w:pStyle w:val="TableParagraph"/>
              <w:rPr>
                <w:b/>
                <w:sz w:val="20"/>
              </w:rPr>
            </w:pPr>
            <w:r>
              <w:rPr>
                <w:b/>
                <w:sz w:val="20"/>
              </w:rPr>
              <w:t>Modified Baux Score</w:t>
            </w:r>
          </w:p>
        </w:tc>
        <w:tc>
          <w:tcPr>
            <w:tcW w:w="1882" w:type="dxa"/>
          </w:tcPr>
          <w:p w:rsidR="009A4B45" w:rsidRDefault="009A4B45" w:rsidP="00D45140">
            <w:pPr>
              <w:pStyle w:val="TableParagraph"/>
              <w:rPr>
                <w:sz w:val="20"/>
              </w:rPr>
            </w:pPr>
            <w:r>
              <w:rPr>
                <w:sz w:val="20"/>
              </w:rPr>
              <w:t>0.50 (0.4 – 0.59)</w:t>
            </w:r>
          </w:p>
        </w:tc>
        <w:tc>
          <w:tcPr>
            <w:tcW w:w="1056" w:type="dxa"/>
          </w:tcPr>
          <w:p w:rsidR="009A4B45" w:rsidRDefault="009A4B45" w:rsidP="00D45140">
            <w:pPr>
              <w:pStyle w:val="TableParagraph"/>
              <w:rPr>
                <w:sz w:val="20"/>
              </w:rPr>
            </w:pPr>
            <w:r>
              <w:rPr>
                <w:sz w:val="20"/>
              </w:rPr>
              <w:t>&lt; 0.0001</w:t>
            </w:r>
          </w:p>
        </w:tc>
        <w:tc>
          <w:tcPr>
            <w:tcW w:w="1796" w:type="dxa"/>
          </w:tcPr>
          <w:p w:rsidR="009A4B45" w:rsidRDefault="009A4B45" w:rsidP="00D45140">
            <w:pPr>
              <w:pStyle w:val="TableParagraph"/>
              <w:rPr>
                <w:sz w:val="20"/>
              </w:rPr>
            </w:pPr>
            <w:r>
              <w:rPr>
                <w:sz w:val="20"/>
              </w:rPr>
              <w:t>0.47 (0.37 – 0.56)</w:t>
            </w:r>
          </w:p>
        </w:tc>
        <w:tc>
          <w:tcPr>
            <w:tcW w:w="1001" w:type="dxa"/>
          </w:tcPr>
          <w:p w:rsidR="009A4B45" w:rsidRDefault="009A4B45" w:rsidP="00D45140">
            <w:pPr>
              <w:pStyle w:val="TableParagraph"/>
              <w:ind w:left="85" w:right="80"/>
              <w:jc w:val="center"/>
              <w:rPr>
                <w:sz w:val="20"/>
              </w:rPr>
            </w:pPr>
            <w:r>
              <w:rPr>
                <w:sz w:val="20"/>
              </w:rPr>
              <w:t>&lt; 0.0001</w:t>
            </w:r>
          </w:p>
        </w:tc>
      </w:tr>
      <w:tr w:rsidR="009A4B45" w:rsidTr="00D45140">
        <w:trPr>
          <w:trHeight w:val="229"/>
        </w:trPr>
        <w:tc>
          <w:tcPr>
            <w:tcW w:w="2197" w:type="dxa"/>
          </w:tcPr>
          <w:p w:rsidR="009A4B45" w:rsidRDefault="009A4B45" w:rsidP="00D45140">
            <w:pPr>
              <w:pStyle w:val="TableParagraph"/>
              <w:rPr>
                <w:b/>
                <w:sz w:val="20"/>
              </w:rPr>
            </w:pPr>
            <w:r>
              <w:rPr>
                <w:b/>
                <w:sz w:val="20"/>
              </w:rPr>
              <w:t>Frailty Score</w:t>
            </w:r>
          </w:p>
        </w:tc>
        <w:tc>
          <w:tcPr>
            <w:tcW w:w="1882" w:type="dxa"/>
          </w:tcPr>
          <w:p w:rsidR="009A4B45" w:rsidRDefault="009A4B45" w:rsidP="00D45140">
            <w:pPr>
              <w:pStyle w:val="TableParagraph"/>
              <w:rPr>
                <w:sz w:val="20"/>
              </w:rPr>
            </w:pPr>
            <w:r>
              <w:rPr>
                <w:sz w:val="20"/>
              </w:rPr>
              <w:t>0.31 (0.19 – 0.42)</w:t>
            </w:r>
          </w:p>
        </w:tc>
        <w:tc>
          <w:tcPr>
            <w:tcW w:w="1056" w:type="dxa"/>
          </w:tcPr>
          <w:p w:rsidR="009A4B45" w:rsidRDefault="009A4B45" w:rsidP="00D45140">
            <w:pPr>
              <w:pStyle w:val="TableParagraph"/>
              <w:rPr>
                <w:sz w:val="20"/>
              </w:rPr>
            </w:pPr>
            <w:r>
              <w:rPr>
                <w:sz w:val="20"/>
              </w:rPr>
              <w:t>&lt;</w:t>
            </w:r>
            <w:r>
              <w:rPr>
                <w:spacing w:val="51"/>
                <w:sz w:val="20"/>
              </w:rPr>
              <w:t xml:space="preserve"> </w:t>
            </w:r>
            <w:r>
              <w:rPr>
                <w:sz w:val="20"/>
              </w:rPr>
              <w:t>0.0001</w:t>
            </w:r>
          </w:p>
        </w:tc>
        <w:tc>
          <w:tcPr>
            <w:tcW w:w="1796" w:type="dxa"/>
          </w:tcPr>
          <w:p w:rsidR="009A4B45" w:rsidRDefault="009A4B45" w:rsidP="00D45140">
            <w:pPr>
              <w:pStyle w:val="TableParagraph"/>
              <w:rPr>
                <w:sz w:val="20"/>
              </w:rPr>
            </w:pPr>
            <w:r>
              <w:rPr>
                <w:sz w:val="20"/>
              </w:rPr>
              <w:t>0.50 (0.40 – 0.60)</w:t>
            </w:r>
          </w:p>
        </w:tc>
        <w:tc>
          <w:tcPr>
            <w:tcW w:w="1001" w:type="dxa"/>
          </w:tcPr>
          <w:p w:rsidR="009A4B45" w:rsidRDefault="009A4B45" w:rsidP="00D45140">
            <w:pPr>
              <w:pStyle w:val="TableParagraph"/>
              <w:ind w:left="85" w:right="80"/>
              <w:jc w:val="center"/>
              <w:rPr>
                <w:sz w:val="20"/>
              </w:rPr>
            </w:pPr>
            <w:r>
              <w:rPr>
                <w:sz w:val="20"/>
              </w:rPr>
              <w:t>&lt; 0.0001</w:t>
            </w:r>
          </w:p>
        </w:tc>
      </w:tr>
    </w:tbl>
    <w:p w:rsidR="009A4B45" w:rsidRDefault="009A4B45" w:rsidP="009A4B45">
      <w:pPr>
        <w:pStyle w:val="BodyText"/>
        <w:spacing w:before="9"/>
        <w:rPr>
          <w:b/>
          <w:sz w:val="19"/>
        </w:rPr>
      </w:pPr>
    </w:p>
    <w:p w:rsidR="009A4B45" w:rsidRDefault="009A4B45" w:rsidP="009A4B45">
      <w:pPr>
        <w:pStyle w:val="BodyText"/>
        <w:ind w:left="1800" w:right="6930"/>
      </w:pPr>
      <w:r>
        <w:t>Rho 0.1-0.29: small association Rho 0.3-0.49: moderate</w:t>
      </w:r>
      <w:r>
        <w:rPr>
          <w:spacing w:val="-9"/>
        </w:rPr>
        <w:t xml:space="preserve"> </w:t>
      </w:r>
      <w:r>
        <w:t>association Rho &gt;0.5 large</w:t>
      </w:r>
      <w:r>
        <w:rPr>
          <w:spacing w:val="-1"/>
        </w:rPr>
        <w:t xml:space="preserve"> </w:t>
      </w:r>
      <w:r>
        <w:t>association</w:t>
      </w:r>
    </w:p>
    <w:p w:rsidR="009A4B45" w:rsidRDefault="009A4B45" w:rsidP="009A4B45">
      <w:pPr>
        <w:tabs>
          <w:tab w:val="left" w:pos="1740"/>
        </w:tabs>
        <w:rPr>
          <w:sz w:val="20"/>
        </w:rPr>
      </w:pPr>
    </w:p>
    <w:p w:rsidR="009A4B45" w:rsidRPr="00AA1D31" w:rsidRDefault="009A4B45" w:rsidP="009A4B45">
      <w:pPr>
        <w:tabs>
          <w:tab w:val="left" w:pos="1740"/>
        </w:tabs>
        <w:rPr>
          <w:sz w:val="20"/>
        </w:rPr>
        <w:sectPr w:rsidR="009A4B45" w:rsidRPr="00AA1D31">
          <w:pgSz w:w="11900" w:h="16850"/>
          <w:pgMar w:top="0" w:right="0" w:bottom="280" w:left="0" w:header="720" w:footer="720" w:gutter="0"/>
          <w:cols w:space="720"/>
        </w:sectPr>
      </w:pPr>
      <w:r>
        <w:rPr>
          <w:sz w:val="20"/>
        </w:rPr>
        <w:tab/>
      </w:r>
    </w:p>
    <w:p w:rsidR="009A4B45" w:rsidRDefault="009A4B45" w:rsidP="009A4B45">
      <w:pPr>
        <w:ind w:left="1800" w:right="1839"/>
        <w:rPr>
          <w:b/>
          <w:sz w:val="20"/>
        </w:rPr>
      </w:pPr>
    </w:p>
    <w:p w:rsidR="009A4B45" w:rsidRDefault="009A4B45" w:rsidP="009A4B45">
      <w:pPr>
        <w:ind w:right="1839"/>
        <w:rPr>
          <w:b/>
          <w:sz w:val="20"/>
        </w:rPr>
      </w:pPr>
    </w:p>
    <w:p w:rsidR="009A4B45" w:rsidRDefault="009A4B45" w:rsidP="009A4B45">
      <w:pPr>
        <w:ind w:left="1800" w:right="1839"/>
        <w:rPr>
          <w:b/>
          <w:sz w:val="20"/>
        </w:rPr>
      </w:pPr>
    </w:p>
    <w:p w:rsidR="009A4B45" w:rsidRDefault="009A4B45" w:rsidP="009A4B45">
      <w:pPr>
        <w:ind w:left="1800" w:right="1839"/>
        <w:rPr>
          <w:b/>
          <w:sz w:val="20"/>
        </w:rPr>
      </w:pPr>
      <w:r>
        <w:rPr>
          <w:b/>
          <w:sz w:val="20"/>
        </w:rPr>
        <w:t>Figure 4. Odds of Mortality (in-hospital and one-year) for the modified Baux and Frailty Score</w:t>
      </w:r>
    </w:p>
    <w:p w:rsidR="009A4B45" w:rsidRDefault="009A4B45" w:rsidP="009A4B45">
      <w:pPr>
        <w:pStyle w:val="BodyText"/>
        <w:spacing w:before="4"/>
        <w:rPr>
          <w:b/>
        </w:rPr>
      </w:pPr>
    </w:p>
    <w:tbl>
      <w:tblPr>
        <w:tblW w:w="0" w:type="auto"/>
        <w:tblInd w:w="1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7"/>
        <w:gridCol w:w="1796"/>
        <w:gridCol w:w="1001"/>
        <w:gridCol w:w="1796"/>
        <w:gridCol w:w="1001"/>
      </w:tblGrid>
      <w:tr w:rsidR="009A4B45" w:rsidTr="00D45140">
        <w:trPr>
          <w:trHeight w:val="460"/>
        </w:trPr>
        <w:tc>
          <w:tcPr>
            <w:tcW w:w="2197" w:type="dxa"/>
          </w:tcPr>
          <w:p w:rsidR="009A4B45" w:rsidRDefault="009A4B45" w:rsidP="00D45140">
            <w:pPr>
              <w:pStyle w:val="TableParagraph"/>
              <w:spacing w:line="227" w:lineRule="exact"/>
              <w:rPr>
                <w:b/>
                <w:sz w:val="20"/>
              </w:rPr>
            </w:pPr>
            <w:r>
              <w:rPr>
                <w:b/>
                <w:sz w:val="20"/>
              </w:rPr>
              <w:t>Variable</w:t>
            </w:r>
          </w:p>
        </w:tc>
        <w:tc>
          <w:tcPr>
            <w:tcW w:w="1796" w:type="dxa"/>
          </w:tcPr>
          <w:p w:rsidR="009A4B45" w:rsidRDefault="009A4B45" w:rsidP="00D45140">
            <w:pPr>
              <w:pStyle w:val="TableParagraph"/>
              <w:spacing w:before="2" w:line="228" w:lineRule="exact"/>
              <w:ind w:right="310"/>
              <w:rPr>
                <w:b/>
                <w:sz w:val="20"/>
              </w:rPr>
            </w:pPr>
            <w:r>
              <w:rPr>
                <w:b/>
                <w:sz w:val="20"/>
              </w:rPr>
              <w:t>IH Mortality OR (95% CI)</w:t>
            </w:r>
          </w:p>
        </w:tc>
        <w:tc>
          <w:tcPr>
            <w:tcW w:w="1001" w:type="dxa"/>
          </w:tcPr>
          <w:p w:rsidR="009A4B45" w:rsidRDefault="009A4B45" w:rsidP="00D45140">
            <w:pPr>
              <w:pStyle w:val="TableParagraph"/>
              <w:spacing w:line="227" w:lineRule="exact"/>
              <w:ind w:left="106"/>
              <w:rPr>
                <w:b/>
                <w:sz w:val="20"/>
              </w:rPr>
            </w:pPr>
            <w:r>
              <w:rPr>
                <w:b/>
                <w:i/>
                <w:sz w:val="20"/>
              </w:rPr>
              <w:t xml:space="preserve">P </w:t>
            </w:r>
            <w:r>
              <w:rPr>
                <w:b/>
                <w:sz w:val="20"/>
              </w:rPr>
              <w:t>value</w:t>
            </w:r>
          </w:p>
        </w:tc>
        <w:tc>
          <w:tcPr>
            <w:tcW w:w="1796" w:type="dxa"/>
          </w:tcPr>
          <w:p w:rsidR="009A4B45" w:rsidRDefault="009A4B45" w:rsidP="00D45140">
            <w:pPr>
              <w:pStyle w:val="TableParagraph"/>
              <w:spacing w:before="2" w:line="228" w:lineRule="exact"/>
              <w:ind w:left="106" w:right="181"/>
              <w:rPr>
                <w:b/>
                <w:sz w:val="20"/>
              </w:rPr>
            </w:pPr>
            <w:r>
              <w:rPr>
                <w:b/>
                <w:sz w:val="20"/>
              </w:rPr>
              <w:t>1-year Mortality OR (95% CI)</w:t>
            </w:r>
          </w:p>
        </w:tc>
        <w:tc>
          <w:tcPr>
            <w:tcW w:w="1001" w:type="dxa"/>
          </w:tcPr>
          <w:p w:rsidR="009A4B45" w:rsidRDefault="009A4B45" w:rsidP="00D45140">
            <w:pPr>
              <w:pStyle w:val="TableParagraph"/>
              <w:spacing w:line="227" w:lineRule="exact"/>
              <w:ind w:left="104"/>
              <w:rPr>
                <w:b/>
                <w:sz w:val="20"/>
              </w:rPr>
            </w:pPr>
            <w:r>
              <w:rPr>
                <w:b/>
                <w:i/>
                <w:sz w:val="20"/>
              </w:rPr>
              <w:t xml:space="preserve">P </w:t>
            </w:r>
            <w:r>
              <w:rPr>
                <w:b/>
                <w:sz w:val="20"/>
              </w:rPr>
              <w:t>value</w:t>
            </w:r>
          </w:p>
        </w:tc>
      </w:tr>
      <w:tr w:rsidR="009A4B45" w:rsidTr="00D45140">
        <w:trPr>
          <w:trHeight w:val="230"/>
        </w:trPr>
        <w:tc>
          <w:tcPr>
            <w:tcW w:w="2197" w:type="dxa"/>
          </w:tcPr>
          <w:p w:rsidR="009A4B45" w:rsidRDefault="009A4B45" w:rsidP="00D45140">
            <w:pPr>
              <w:pStyle w:val="TableParagraph"/>
              <w:rPr>
                <w:b/>
                <w:sz w:val="20"/>
              </w:rPr>
            </w:pPr>
            <w:r>
              <w:rPr>
                <w:b/>
                <w:sz w:val="20"/>
              </w:rPr>
              <w:t>Modified Baux Score</w:t>
            </w:r>
          </w:p>
        </w:tc>
        <w:tc>
          <w:tcPr>
            <w:tcW w:w="1796" w:type="dxa"/>
          </w:tcPr>
          <w:p w:rsidR="009A4B45" w:rsidRDefault="009A4B45" w:rsidP="00D45140">
            <w:pPr>
              <w:pStyle w:val="TableParagraph"/>
              <w:ind w:left="85" w:right="81"/>
              <w:jc w:val="center"/>
              <w:rPr>
                <w:sz w:val="20"/>
              </w:rPr>
            </w:pPr>
            <w:r>
              <w:rPr>
                <w:sz w:val="20"/>
              </w:rPr>
              <w:t>1.09 (1.07 – 1.13)</w:t>
            </w:r>
          </w:p>
        </w:tc>
        <w:tc>
          <w:tcPr>
            <w:tcW w:w="1001" w:type="dxa"/>
          </w:tcPr>
          <w:p w:rsidR="009A4B45" w:rsidRDefault="009A4B45" w:rsidP="00D45140">
            <w:pPr>
              <w:pStyle w:val="TableParagraph"/>
              <w:ind w:left="106"/>
              <w:rPr>
                <w:sz w:val="20"/>
              </w:rPr>
            </w:pPr>
            <w:r>
              <w:rPr>
                <w:sz w:val="20"/>
              </w:rPr>
              <w:t>&lt; 0.0001</w:t>
            </w:r>
          </w:p>
        </w:tc>
        <w:tc>
          <w:tcPr>
            <w:tcW w:w="1796" w:type="dxa"/>
          </w:tcPr>
          <w:p w:rsidR="009A4B45" w:rsidRDefault="009A4B45" w:rsidP="00D45140">
            <w:pPr>
              <w:pStyle w:val="TableParagraph"/>
              <w:ind w:left="84" w:right="81"/>
              <w:jc w:val="center"/>
              <w:rPr>
                <w:sz w:val="20"/>
              </w:rPr>
            </w:pPr>
            <w:r>
              <w:rPr>
                <w:sz w:val="20"/>
              </w:rPr>
              <w:t>1.08 (1.05 – 1.11)</w:t>
            </w:r>
          </w:p>
        </w:tc>
        <w:tc>
          <w:tcPr>
            <w:tcW w:w="1001" w:type="dxa"/>
          </w:tcPr>
          <w:p w:rsidR="009A4B45" w:rsidRDefault="009A4B45" w:rsidP="00D45140">
            <w:pPr>
              <w:pStyle w:val="TableParagraph"/>
              <w:ind w:left="104"/>
              <w:rPr>
                <w:sz w:val="20"/>
              </w:rPr>
            </w:pPr>
            <w:r>
              <w:rPr>
                <w:sz w:val="20"/>
              </w:rPr>
              <w:t>&lt; 0.0001</w:t>
            </w:r>
          </w:p>
        </w:tc>
      </w:tr>
      <w:tr w:rsidR="009A4B45" w:rsidTr="00D45140">
        <w:trPr>
          <w:trHeight w:val="230"/>
        </w:trPr>
        <w:tc>
          <w:tcPr>
            <w:tcW w:w="2197" w:type="dxa"/>
          </w:tcPr>
          <w:p w:rsidR="009A4B45" w:rsidRDefault="009A4B45" w:rsidP="00D45140">
            <w:pPr>
              <w:pStyle w:val="TableParagraph"/>
              <w:rPr>
                <w:b/>
                <w:sz w:val="20"/>
              </w:rPr>
            </w:pPr>
            <w:r>
              <w:rPr>
                <w:b/>
                <w:sz w:val="20"/>
              </w:rPr>
              <w:t>Frailty score</w:t>
            </w:r>
          </w:p>
        </w:tc>
        <w:tc>
          <w:tcPr>
            <w:tcW w:w="1796" w:type="dxa"/>
          </w:tcPr>
          <w:p w:rsidR="009A4B45" w:rsidRDefault="009A4B45" w:rsidP="00D45140">
            <w:pPr>
              <w:pStyle w:val="TableParagraph"/>
              <w:ind w:left="85" w:right="81"/>
              <w:jc w:val="center"/>
              <w:rPr>
                <w:sz w:val="20"/>
              </w:rPr>
            </w:pPr>
            <w:r>
              <w:rPr>
                <w:sz w:val="20"/>
              </w:rPr>
              <w:t>2.33 (1.63 – 3.34)</w:t>
            </w:r>
          </w:p>
        </w:tc>
        <w:tc>
          <w:tcPr>
            <w:tcW w:w="1001" w:type="dxa"/>
          </w:tcPr>
          <w:p w:rsidR="009A4B45" w:rsidRDefault="009A4B45" w:rsidP="00D45140">
            <w:pPr>
              <w:pStyle w:val="TableParagraph"/>
              <w:ind w:left="106"/>
              <w:rPr>
                <w:sz w:val="20"/>
              </w:rPr>
            </w:pPr>
            <w:r>
              <w:rPr>
                <w:sz w:val="20"/>
              </w:rPr>
              <w:t>&lt; 0.0001</w:t>
            </w:r>
          </w:p>
        </w:tc>
        <w:tc>
          <w:tcPr>
            <w:tcW w:w="1796" w:type="dxa"/>
          </w:tcPr>
          <w:p w:rsidR="009A4B45" w:rsidRDefault="009A4B45" w:rsidP="00D45140">
            <w:pPr>
              <w:pStyle w:val="TableParagraph"/>
              <w:ind w:left="84" w:right="81"/>
              <w:jc w:val="center"/>
              <w:rPr>
                <w:sz w:val="20"/>
              </w:rPr>
            </w:pPr>
            <w:r>
              <w:rPr>
                <w:sz w:val="20"/>
              </w:rPr>
              <w:t>3.13 (2.22 – 4.41)</w:t>
            </w:r>
          </w:p>
        </w:tc>
        <w:tc>
          <w:tcPr>
            <w:tcW w:w="1001" w:type="dxa"/>
          </w:tcPr>
          <w:p w:rsidR="009A4B45" w:rsidRDefault="009A4B45" w:rsidP="00D45140">
            <w:pPr>
              <w:pStyle w:val="TableParagraph"/>
              <w:ind w:left="104"/>
              <w:rPr>
                <w:sz w:val="20"/>
              </w:rPr>
            </w:pPr>
            <w:r>
              <w:rPr>
                <w:sz w:val="20"/>
              </w:rPr>
              <w:t>&lt; 0.0001</w:t>
            </w:r>
          </w:p>
        </w:tc>
      </w:tr>
    </w:tbl>
    <w:p w:rsidR="009A4B45" w:rsidRDefault="009A4B45" w:rsidP="009A4B45"/>
    <w:p w:rsidR="009A4B45" w:rsidRPr="00AA1D31" w:rsidRDefault="009A4B45" w:rsidP="009A4B45"/>
    <w:p w:rsidR="009A4B45" w:rsidRDefault="009A4B45" w:rsidP="009A4B45"/>
    <w:p w:rsidR="009A4B45" w:rsidRDefault="009A4B45" w:rsidP="009A4B45">
      <w:pPr>
        <w:ind w:left="1800" w:right="1839"/>
        <w:rPr>
          <w:b/>
          <w:sz w:val="20"/>
        </w:rPr>
      </w:pPr>
      <w:r>
        <w:rPr>
          <w:b/>
          <w:sz w:val="20"/>
        </w:rPr>
        <w:t>Figure 5. ROC scores for in-hospital &amp; one-year mortality: Frailty Score &amp; modified Baux</w:t>
      </w:r>
    </w:p>
    <w:p w:rsidR="009A4B45" w:rsidRDefault="009A4B45" w:rsidP="009A4B45">
      <w:pPr>
        <w:pStyle w:val="BodyText"/>
        <w:spacing w:before="4"/>
        <w:rPr>
          <w:b/>
        </w:rPr>
      </w:pPr>
    </w:p>
    <w:tbl>
      <w:tblPr>
        <w:tblW w:w="0" w:type="auto"/>
        <w:tblInd w:w="1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2504"/>
        <w:gridCol w:w="2501"/>
      </w:tblGrid>
      <w:tr w:rsidR="009A4B45" w:rsidTr="00D45140">
        <w:trPr>
          <w:trHeight w:val="230"/>
        </w:trPr>
        <w:tc>
          <w:tcPr>
            <w:tcW w:w="3512" w:type="dxa"/>
            <w:vMerge w:val="restart"/>
            <w:tcBorders>
              <w:top w:val="nil"/>
              <w:left w:val="nil"/>
              <w:bottom w:val="nil"/>
              <w:right w:val="nil"/>
            </w:tcBorders>
            <w:shd w:val="clear" w:color="auto" w:fill="000000"/>
          </w:tcPr>
          <w:p w:rsidR="009A4B45" w:rsidRDefault="009A4B45" w:rsidP="00D45140">
            <w:pPr>
              <w:pStyle w:val="TableParagraph"/>
              <w:spacing w:line="240" w:lineRule="auto"/>
              <w:ind w:left="0"/>
              <w:rPr>
                <w:rFonts w:ascii="Times New Roman"/>
                <w:sz w:val="18"/>
              </w:rPr>
            </w:pPr>
          </w:p>
        </w:tc>
        <w:tc>
          <w:tcPr>
            <w:tcW w:w="2504" w:type="dxa"/>
            <w:shd w:val="clear" w:color="auto" w:fill="A6A6A6"/>
          </w:tcPr>
          <w:p w:rsidR="009A4B45" w:rsidRDefault="009A4B45" w:rsidP="00D45140">
            <w:pPr>
              <w:pStyle w:val="TableParagraph"/>
              <w:ind w:left="0" w:right="280"/>
              <w:jc w:val="right"/>
              <w:rPr>
                <w:b/>
                <w:sz w:val="20"/>
              </w:rPr>
            </w:pPr>
            <w:r>
              <w:rPr>
                <w:b/>
                <w:sz w:val="20"/>
              </w:rPr>
              <w:t>In-Hospital Mortality</w:t>
            </w:r>
          </w:p>
        </w:tc>
        <w:tc>
          <w:tcPr>
            <w:tcW w:w="2501" w:type="dxa"/>
            <w:shd w:val="clear" w:color="auto" w:fill="A6A6A6"/>
          </w:tcPr>
          <w:p w:rsidR="009A4B45" w:rsidRDefault="009A4B45" w:rsidP="00D45140">
            <w:pPr>
              <w:pStyle w:val="TableParagraph"/>
              <w:ind w:left="0" w:right="349"/>
              <w:jc w:val="right"/>
              <w:rPr>
                <w:b/>
                <w:sz w:val="20"/>
              </w:rPr>
            </w:pPr>
            <w:r>
              <w:rPr>
                <w:b/>
                <w:sz w:val="20"/>
              </w:rPr>
              <w:t>One-Year Mortality</w:t>
            </w:r>
          </w:p>
        </w:tc>
      </w:tr>
      <w:tr w:rsidR="009A4B45" w:rsidTr="00D45140">
        <w:trPr>
          <w:trHeight w:val="230"/>
        </w:trPr>
        <w:tc>
          <w:tcPr>
            <w:tcW w:w="3512" w:type="dxa"/>
            <w:vMerge/>
            <w:tcBorders>
              <w:top w:val="nil"/>
              <w:left w:val="nil"/>
              <w:bottom w:val="nil"/>
              <w:right w:val="nil"/>
            </w:tcBorders>
            <w:shd w:val="clear" w:color="auto" w:fill="000000"/>
          </w:tcPr>
          <w:p w:rsidR="009A4B45" w:rsidRDefault="009A4B45" w:rsidP="00D45140">
            <w:pPr>
              <w:rPr>
                <w:sz w:val="2"/>
                <w:szCs w:val="2"/>
              </w:rPr>
            </w:pPr>
          </w:p>
        </w:tc>
        <w:tc>
          <w:tcPr>
            <w:tcW w:w="5005" w:type="dxa"/>
            <w:gridSpan w:val="2"/>
          </w:tcPr>
          <w:p w:rsidR="009A4B45" w:rsidRDefault="009A4B45" w:rsidP="00D45140">
            <w:pPr>
              <w:pStyle w:val="TableParagraph"/>
              <w:ind w:left="1413"/>
              <w:rPr>
                <w:b/>
                <w:sz w:val="20"/>
              </w:rPr>
            </w:pPr>
            <w:r>
              <w:rPr>
                <w:b/>
                <w:sz w:val="20"/>
              </w:rPr>
              <w:t>ROC Area (95% CI); SE</w:t>
            </w:r>
          </w:p>
        </w:tc>
      </w:tr>
      <w:tr w:rsidR="009A4B45" w:rsidTr="00D45140">
        <w:trPr>
          <w:trHeight w:val="460"/>
        </w:trPr>
        <w:tc>
          <w:tcPr>
            <w:tcW w:w="3512" w:type="dxa"/>
          </w:tcPr>
          <w:p w:rsidR="009A4B45" w:rsidRDefault="009A4B45" w:rsidP="00D45140">
            <w:pPr>
              <w:pStyle w:val="TableParagraph"/>
              <w:spacing w:line="228" w:lineRule="exact"/>
              <w:rPr>
                <w:sz w:val="20"/>
              </w:rPr>
            </w:pPr>
            <w:r>
              <w:rPr>
                <w:sz w:val="20"/>
              </w:rPr>
              <w:t>Mod Baux Score</w:t>
            </w:r>
          </w:p>
          <w:p w:rsidR="009A4B45" w:rsidRDefault="009A4B45" w:rsidP="00D45140">
            <w:pPr>
              <w:pStyle w:val="TableParagraph"/>
              <w:spacing w:line="212" w:lineRule="exact"/>
              <w:rPr>
                <w:sz w:val="20"/>
              </w:rPr>
            </w:pPr>
            <w:r>
              <w:rPr>
                <w:sz w:val="20"/>
              </w:rPr>
              <w:t>&amp; Frailty Score (continuous)</w:t>
            </w:r>
          </w:p>
        </w:tc>
        <w:tc>
          <w:tcPr>
            <w:tcW w:w="2504" w:type="dxa"/>
          </w:tcPr>
          <w:p w:rsidR="009A4B45" w:rsidRDefault="009A4B45" w:rsidP="00D45140">
            <w:pPr>
              <w:pStyle w:val="TableParagraph"/>
              <w:spacing w:line="229" w:lineRule="exact"/>
              <w:ind w:left="0" w:right="281"/>
              <w:jc w:val="right"/>
              <w:rPr>
                <w:sz w:val="20"/>
              </w:rPr>
            </w:pPr>
            <w:r>
              <w:rPr>
                <w:sz w:val="20"/>
              </w:rPr>
              <w:t>0.90 (0.85-0.95); 0.02</w:t>
            </w:r>
          </w:p>
        </w:tc>
        <w:tc>
          <w:tcPr>
            <w:tcW w:w="2501" w:type="dxa"/>
          </w:tcPr>
          <w:p w:rsidR="009A4B45" w:rsidRDefault="009A4B45" w:rsidP="00D45140">
            <w:pPr>
              <w:pStyle w:val="TableParagraph"/>
              <w:spacing w:line="229" w:lineRule="exact"/>
              <w:ind w:left="0" w:right="278"/>
              <w:jc w:val="right"/>
              <w:rPr>
                <w:sz w:val="20"/>
              </w:rPr>
            </w:pPr>
            <w:r>
              <w:rPr>
                <w:sz w:val="20"/>
              </w:rPr>
              <w:t>0.88 (0.84-0.93); 0.02</w:t>
            </w:r>
          </w:p>
        </w:tc>
      </w:tr>
      <w:tr w:rsidR="009A4B45" w:rsidTr="00D45140">
        <w:trPr>
          <w:trHeight w:val="230"/>
        </w:trPr>
        <w:tc>
          <w:tcPr>
            <w:tcW w:w="3512" w:type="dxa"/>
          </w:tcPr>
          <w:p w:rsidR="009A4B45" w:rsidRDefault="009A4B45" w:rsidP="00D45140">
            <w:pPr>
              <w:pStyle w:val="TableParagraph"/>
              <w:rPr>
                <w:sz w:val="20"/>
              </w:rPr>
            </w:pPr>
            <w:r>
              <w:rPr>
                <w:sz w:val="20"/>
              </w:rPr>
              <w:t>Mod Baux Score &amp; Frailty Score &gt;3</w:t>
            </w:r>
          </w:p>
        </w:tc>
        <w:tc>
          <w:tcPr>
            <w:tcW w:w="2504" w:type="dxa"/>
          </w:tcPr>
          <w:p w:rsidR="009A4B45" w:rsidRDefault="009A4B45" w:rsidP="00D45140">
            <w:pPr>
              <w:pStyle w:val="TableParagraph"/>
              <w:ind w:left="0" w:right="281"/>
              <w:jc w:val="right"/>
              <w:rPr>
                <w:sz w:val="20"/>
              </w:rPr>
            </w:pPr>
            <w:r>
              <w:rPr>
                <w:sz w:val="20"/>
              </w:rPr>
              <w:t>0.89 (0.85-0.94); 0.02</w:t>
            </w:r>
          </w:p>
        </w:tc>
        <w:tc>
          <w:tcPr>
            <w:tcW w:w="2501" w:type="dxa"/>
          </w:tcPr>
          <w:p w:rsidR="009A4B45" w:rsidRDefault="009A4B45" w:rsidP="00D45140">
            <w:pPr>
              <w:pStyle w:val="TableParagraph"/>
              <w:ind w:left="0" w:right="278"/>
              <w:jc w:val="right"/>
              <w:rPr>
                <w:sz w:val="20"/>
              </w:rPr>
            </w:pPr>
            <w:r>
              <w:rPr>
                <w:sz w:val="20"/>
              </w:rPr>
              <w:t>0.88 (0.84-0.92); 0.02</w:t>
            </w:r>
          </w:p>
        </w:tc>
      </w:tr>
      <w:tr w:rsidR="009A4B45" w:rsidTr="00D45140">
        <w:trPr>
          <w:trHeight w:val="230"/>
        </w:trPr>
        <w:tc>
          <w:tcPr>
            <w:tcW w:w="3512" w:type="dxa"/>
          </w:tcPr>
          <w:p w:rsidR="009A4B45" w:rsidRDefault="009A4B45" w:rsidP="00D45140">
            <w:pPr>
              <w:pStyle w:val="TableParagraph"/>
              <w:rPr>
                <w:sz w:val="20"/>
              </w:rPr>
            </w:pPr>
            <w:r>
              <w:rPr>
                <w:sz w:val="20"/>
              </w:rPr>
              <w:t>Mod Baux Score &amp; Frailty Score &gt;4</w:t>
            </w:r>
          </w:p>
        </w:tc>
        <w:tc>
          <w:tcPr>
            <w:tcW w:w="2504" w:type="dxa"/>
          </w:tcPr>
          <w:p w:rsidR="009A4B45" w:rsidRDefault="009A4B45" w:rsidP="00D45140">
            <w:pPr>
              <w:pStyle w:val="TableParagraph"/>
              <w:ind w:left="0" w:right="281"/>
              <w:jc w:val="right"/>
              <w:rPr>
                <w:sz w:val="20"/>
              </w:rPr>
            </w:pPr>
            <w:r>
              <w:rPr>
                <w:sz w:val="20"/>
              </w:rPr>
              <w:t>0.88 (0.82-0.93); 0.03</w:t>
            </w:r>
          </w:p>
        </w:tc>
        <w:tc>
          <w:tcPr>
            <w:tcW w:w="2501" w:type="dxa"/>
          </w:tcPr>
          <w:p w:rsidR="009A4B45" w:rsidRDefault="009A4B45" w:rsidP="00D45140">
            <w:pPr>
              <w:pStyle w:val="TableParagraph"/>
              <w:ind w:left="0" w:right="278"/>
              <w:jc w:val="right"/>
              <w:rPr>
                <w:sz w:val="20"/>
              </w:rPr>
            </w:pPr>
            <w:r>
              <w:rPr>
                <w:sz w:val="20"/>
              </w:rPr>
              <w:t>0.84 (0.78-0.89); 0.03</w:t>
            </w:r>
          </w:p>
        </w:tc>
      </w:tr>
      <w:tr w:rsidR="009A4B45" w:rsidTr="00D45140">
        <w:trPr>
          <w:trHeight w:val="230"/>
        </w:trPr>
        <w:tc>
          <w:tcPr>
            <w:tcW w:w="3512" w:type="dxa"/>
          </w:tcPr>
          <w:p w:rsidR="009A4B45" w:rsidRDefault="009A4B45" w:rsidP="00D45140">
            <w:pPr>
              <w:pStyle w:val="TableParagraph"/>
              <w:rPr>
                <w:sz w:val="20"/>
              </w:rPr>
            </w:pPr>
            <w:r>
              <w:rPr>
                <w:sz w:val="20"/>
              </w:rPr>
              <w:t>Mod Baux Score alone</w:t>
            </w:r>
          </w:p>
        </w:tc>
        <w:tc>
          <w:tcPr>
            <w:tcW w:w="2504" w:type="dxa"/>
          </w:tcPr>
          <w:p w:rsidR="009A4B45" w:rsidRDefault="009A4B45" w:rsidP="00D45140">
            <w:pPr>
              <w:pStyle w:val="TableParagraph"/>
              <w:ind w:left="0" w:right="281"/>
              <w:jc w:val="right"/>
              <w:rPr>
                <w:sz w:val="20"/>
              </w:rPr>
            </w:pPr>
            <w:r>
              <w:rPr>
                <w:sz w:val="20"/>
              </w:rPr>
              <w:t>0.85 (0.79-0.91); 0.03</w:t>
            </w:r>
          </w:p>
        </w:tc>
        <w:tc>
          <w:tcPr>
            <w:tcW w:w="2501" w:type="dxa"/>
          </w:tcPr>
          <w:p w:rsidR="009A4B45" w:rsidRDefault="009A4B45" w:rsidP="00D45140">
            <w:pPr>
              <w:pStyle w:val="TableParagraph"/>
              <w:ind w:left="0" w:right="278"/>
              <w:jc w:val="right"/>
              <w:rPr>
                <w:sz w:val="20"/>
              </w:rPr>
            </w:pPr>
            <w:r>
              <w:rPr>
                <w:sz w:val="20"/>
              </w:rPr>
              <w:t>0.78 (0.71-0.84); 0.03</w:t>
            </w:r>
          </w:p>
        </w:tc>
      </w:tr>
    </w:tbl>
    <w:p w:rsidR="009A4B45" w:rsidRPr="00AA1D31" w:rsidRDefault="009A4B45" w:rsidP="009A4B45">
      <w:pPr>
        <w:tabs>
          <w:tab w:val="left" w:pos="1830"/>
        </w:tabs>
        <w:sectPr w:rsidR="009A4B45" w:rsidRPr="00AA1D31">
          <w:pgSz w:w="11900" w:h="16850"/>
          <w:pgMar w:top="0" w:right="0" w:bottom="280" w:left="0" w:header="720" w:footer="720" w:gutter="0"/>
          <w:cols w:space="720"/>
        </w:sectPr>
      </w:pPr>
    </w:p>
    <w:p w:rsidR="009A4B45" w:rsidRDefault="009A4B45" w:rsidP="009A4B45">
      <w:pPr>
        <w:rPr>
          <w:rFonts w:ascii="Courier New" w:hAnsi="Courier New" w:cs="Courier New"/>
          <w:noProof/>
          <w:sz w:val="16"/>
          <w:szCs w:val="16"/>
          <w:lang w:eastAsia="en-GB"/>
        </w:rPr>
      </w:pPr>
    </w:p>
    <w:p w:rsidR="009A4B45" w:rsidRDefault="009A4B45" w:rsidP="009A4B45">
      <w:r w:rsidRPr="00BB04CD">
        <w:rPr>
          <w:rFonts w:ascii="Courier New" w:hAnsi="Courier New" w:cs="Courier New"/>
          <w:noProof/>
          <w:sz w:val="16"/>
          <w:szCs w:val="16"/>
          <w:lang w:eastAsia="en-GB"/>
        </w:rPr>
        <w:drawing>
          <wp:inline distT="0" distB="0" distL="0" distR="0" wp14:anchorId="6C4377F9" wp14:editId="735E8A62">
            <wp:extent cx="5731510" cy="41427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4142737"/>
                    </a:xfrm>
                    <a:prstGeom prst="rect">
                      <a:avLst/>
                    </a:prstGeom>
                    <a:noFill/>
                    <a:ln>
                      <a:noFill/>
                    </a:ln>
                  </pic:spPr>
                </pic:pic>
              </a:graphicData>
            </a:graphic>
          </wp:inline>
        </w:drawing>
      </w:r>
    </w:p>
    <w:p w:rsidR="009A4B45" w:rsidRDefault="009A4B45" w:rsidP="009A4B45">
      <w:r>
        <w:t>Figure 6. ROC curvel panel. a). In-hosp</w:t>
      </w:r>
      <w:bookmarkStart w:id="0" w:name="_GoBack"/>
      <w:bookmarkEnd w:id="0"/>
      <w:r>
        <w:t>ital mortality</w:t>
      </w:r>
    </w:p>
    <w:p w:rsidR="009A4B45" w:rsidRDefault="009A4B45" w:rsidP="009A4B45">
      <w:r w:rsidRPr="00933A45">
        <w:rPr>
          <w:rFonts w:ascii="Courier New" w:hAnsi="Courier New" w:cs="Courier New"/>
          <w:noProof/>
          <w:sz w:val="20"/>
          <w:szCs w:val="20"/>
          <w:lang w:eastAsia="en-GB"/>
        </w:rPr>
        <w:lastRenderedPageBreak/>
        <w:drawing>
          <wp:inline distT="0" distB="0" distL="0" distR="0" wp14:anchorId="0CEFC66B" wp14:editId="659BB13D">
            <wp:extent cx="5700603" cy="4171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5931" cy="4175849"/>
                    </a:xfrm>
                    <a:prstGeom prst="rect">
                      <a:avLst/>
                    </a:prstGeom>
                    <a:noFill/>
                    <a:ln>
                      <a:noFill/>
                    </a:ln>
                  </pic:spPr>
                </pic:pic>
              </a:graphicData>
            </a:graphic>
          </wp:inline>
        </w:drawing>
      </w:r>
    </w:p>
    <w:p w:rsidR="009A4B45" w:rsidRDefault="009A4B45" w:rsidP="009A4B45">
      <w:r>
        <w:t>Figure 6. b). One-year mortality</w:t>
      </w:r>
    </w:p>
    <w:p w:rsidR="009A4B45" w:rsidRPr="00CA5026" w:rsidRDefault="009A4B45" w:rsidP="009A4B45"/>
    <w:p w:rsidR="009A4B45" w:rsidRPr="004F54BC" w:rsidRDefault="009A4B45" w:rsidP="004F54BC">
      <w:pPr>
        <w:spacing w:line="480" w:lineRule="auto"/>
        <w:rPr>
          <w:rFonts w:ascii="Times New Roman" w:hAnsi="Times New Roman" w:cs="Times New Roman"/>
          <w:sz w:val="24"/>
          <w:szCs w:val="24"/>
        </w:rPr>
      </w:pPr>
    </w:p>
    <w:sectPr w:rsidR="009A4B45" w:rsidRPr="004F5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80"/>
    <w:rsid w:val="000A39C7"/>
    <w:rsid w:val="00147F35"/>
    <w:rsid w:val="0016385B"/>
    <w:rsid w:val="003B49C0"/>
    <w:rsid w:val="003E0C08"/>
    <w:rsid w:val="00426224"/>
    <w:rsid w:val="004F0097"/>
    <w:rsid w:val="004F54BC"/>
    <w:rsid w:val="00643F7A"/>
    <w:rsid w:val="00660F42"/>
    <w:rsid w:val="00823580"/>
    <w:rsid w:val="008D3E0E"/>
    <w:rsid w:val="009A4B45"/>
    <w:rsid w:val="009B6814"/>
    <w:rsid w:val="009D1BA6"/>
    <w:rsid w:val="00A34CD9"/>
    <w:rsid w:val="00B23382"/>
    <w:rsid w:val="00B737BE"/>
    <w:rsid w:val="00C545E1"/>
    <w:rsid w:val="00CF33CC"/>
    <w:rsid w:val="00E43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AE67"/>
  <w15:chartTrackingRefBased/>
  <w15:docId w15:val="{0470EEB2-D4E7-4E0B-A007-16F8DA0B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B45"/>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9A4B45"/>
    <w:rPr>
      <w:rFonts w:ascii="Arial" w:eastAsia="Arial" w:hAnsi="Arial" w:cs="Arial"/>
      <w:sz w:val="20"/>
      <w:szCs w:val="20"/>
      <w:lang w:val="en-US"/>
    </w:rPr>
  </w:style>
  <w:style w:type="paragraph" w:customStyle="1" w:styleId="TableParagraph">
    <w:name w:val="Table Paragraph"/>
    <w:basedOn w:val="Normal"/>
    <w:uiPriority w:val="1"/>
    <w:qFormat/>
    <w:rsid w:val="009A4B45"/>
    <w:pPr>
      <w:widowControl w:val="0"/>
      <w:autoSpaceDE w:val="0"/>
      <w:autoSpaceDN w:val="0"/>
      <w:spacing w:after="0" w:line="210" w:lineRule="exact"/>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991F3FFE</Template>
  <TotalTime>28</TotalTime>
  <Pages>24</Pages>
  <Words>5070</Words>
  <Characters>28903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Jufen</dc:creator>
  <cp:keywords/>
  <dc:description/>
  <cp:lastModifiedBy>Blanshard, Lisa</cp:lastModifiedBy>
  <cp:revision>17</cp:revision>
  <dcterms:created xsi:type="dcterms:W3CDTF">2018-10-02T15:52:00Z</dcterms:created>
  <dcterms:modified xsi:type="dcterms:W3CDTF">2018-10-09T14:28:00Z</dcterms:modified>
</cp:coreProperties>
</file>