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5D" w:rsidRPr="0055205D" w:rsidRDefault="0055205D" w:rsidP="0055205D">
      <w:pPr>
        <w:rPr>
          <w:b/>
          <w:bCs/>
        </w:rPr>
      </w:pPr>
      <w:r w:rsidRPr="0055205D">
        <w:rPr>
          <w:b/>
          <w:bCs/>
        </w:rPr>
        <w:t>Age-related prevalence and twelve-month incidence of illicit drug use in a cohort of Australian gay and bisexual men: Results from the Flux Study</w:t>
      </w:r>
    </w:p>
    <w:p w:rsidR="0055205D" w:rsidRPr="0055205D" w:rsidRDefault="0055205D" w:rsidP="0055205D">
      <w:bookmarkStart w:id="0" w:name="baut0005"/>
      <w:proofErr w:type="spellStart"/>
      <w:r w:rsidRPr="0055205D">
        <w:t>Fengyi</w:t>
      </w:r>
      <w:proofErr w:type="spellEnd"/>
      <w:r w:rsidR="007A4334">
        <w:t xml:space="preserve"> </w:t>
      </w:r>
      <w:proofErr w:type="spellStart"/>
      <w:r w:rsidRPr="0055205D">
        <w:t>Jin</w:t>
      </w:r>
      <w:r w:rsidRPr="0055205D">
        <w:rPr>
          <w:vertAlign w:val="superscript"/>
        </w:rPr>
        <w:t>a</w:t>
      </w:r>
      <w:bookmarkStart w:id="1" w:name="baut0010"/>
      <w:bookmarkEnd w:id="0"/>
      <w:proofErr w:type="spellEnd"/>
      <w:r>
        <w:t xml:space="preserve"> </w:t>
      </w:r>
      <w:r w:rsidRPr="0055205D">
        <w:t>Mohamed A.</w:t>
      </w:r>
      <w:r w:rsidR="007A4334">
        <w:t xml:space="preserve"> </w:t>
      </w:r>
      <w:proofErr w:type="spellStart"/>
      <w:proofErr w:type="gramStart"/>
      <w:r w:rsidRPr="0055205D">
        <w:t>Hammoud</w:t>
      </w:r>
      <w:r w:rsidRPr="0055205D">
        <w:rPr>
          <w:vertAlign w:val="superscript"/>
        </w:rPr>
        <w:t>a</w:t>
      </w:r>
      <w:bookmarkStart w:id="2" w:name="baut0015"/>
      <w:bookmarkEnd w:id="1"/>
      <w:proofErr w:type="spellEnd"/>
      <w:r w:rsidR="007A4334">
        <w:rPr>
          <w:vertAlign w:val="superscript"/>
        </w:rPr>
        <w:t xml:space="preserve"> </w:t>
      </w:r>
      <w:r>
        <w:rPr>
          <w:vertAlign w:val="superscript"/>
        </w:rPr>
        <w:t xml:space="preserve"> </w:t>
      </w:r>
      <w:r w:rsidRPr="0055205D">
        <w:t>Lisa</w:t>
      </w:r>
      <w:proofErr w:type="gramEnd"/>
      <w:r w:rsidR="007A4334">
        <w:t xml:space="preserve"> </w:t>
      </w:r>
      <w:proofErr w:type="spellStart"/>
      <w:r w:rsidRPr="0055205D">
        <w:t>Maher</w:t>
      </w:r>
      <w:r w:rsidRPr="0055205D">
        <w:rPr>
          <w:vertAlign w:val="superscript"/>
        </w:rPr>
        <w:t>a</w:t>
      </w:r>
      <w:bookmarkStart w:id="3" w:name="baut0020"/>
      <w:bookmarkEnd w:id="2"/>
      <w:proofErr w:type="spellEnd"/>
      <w:r>
        <w:rPr>
          <w:vertAlign w:val="superscript"/>
        </w:rPr>
        <w:t xml:space="preserve"> </w:t>
      </w:r>
      <w:r w:rsidR="007A4334">
        <w:rPr>
          <w:vertAlign w:val="superscript"/>
        </w:rPr>
        <w:t xml:space="preserve"> </w:t>
      </w:r>
      <w:r w:rsidRPr="0055205D">
        <w:t>Louisa</w:t>
      </w:r>
      <w:r w:rsidR="007A4334">
        <w:t xml:space="preserve"> </w:t>
      </w:r>
      <w:proofErr w:type="spellStart"/>
      <w:r w:rsidRPr="0055205D">
        <w:t>Degenhardt</w:t>
      </w:r>
      <w:r w:rsidRPr="0055205D">
        <w:rPr>
          <w:vertAlign w:val="superscript"/>
        </w:rPr>
        <w:t>b</w:t>
      </w:r>
      <w:bookmarkStart w:id="4" w:name="baut0025"/>
      <w:bookmarkEnd w:id="3"/>
      <w:proofErr w:type="spellEnd"/>
      <w:r>
        <w:rPr>
          <w:vertAlign w:val="superscript"/>
        </w:rPr>
        <w:t xml:space="preserve"> </w:t>
      </w:r>
      <w:r w:rsidR="007A4334">
        <w:rPr>
          <w:vertAlign w:val="superscript"/>
        </w:rPr>
        <w:t xml:space="preserve"> </w:t>
      </w:r>
      <w:r w:rsidRPr="0055205D">
        <w:t>Adam</w:t>
      </w:r>
      <w:r w:rsidR="007A4334">
        <w:t xml:space="preserve"> </w:t>
      </w:r>
      <w:proofErr w:type="spellStart"/>
      <w:r w:rsidRPr="0055205D">
        <w:t>Bourne</w:t>
      </w:r>
      <w:r w:rsidRPr="0055205D">
        <w:rPr>
          <w:vertAlign w:val="superscript"/>
        </w:rPr>
        <w:t>c</w:t>
      </w:r>
      <w:bookmarkStart w:id="5" w:name="baut0030"/>
      <w:bookmarkEnd w:id="4"/>
      <w:proofErr w:type="spellEnd"/>
      <w:r>
        <w:rPr>
          <w:vertAlign w:val="superscript"/>
        </w:rPr>
        <w:t xml:space="preserve"> </w:t>
      </w:r>
      <w:r w:rsidR="007A4334">
        <w:rPr>
          <w:vertAlign w:val="superscript"/>
        </w:rPr>
        <w:t xml:space="preserve"> </w:t>
      </w:r>
      <w:r w:rsidRPr="0055205D">
        <w:t>Toby</w:t>
      </w:r>
      <w:r w:rsidR="007A4334">
        <w:t xml:space="preserve"> </w:t>
      </w:r>
      <w:bookmarkStart w:id="6" w:name="_GoBack"/>
      <w:bookmarkEnd w:id="6"/>
      <w:proofErr w:type="spellStart"/>
      <w:r w:rsidRPr="0055205D">
        <w:t>Lea</w:t>
      </w:r>
      <w:r w:rsidRPr="0055205D">
        <w:rPr>
          <w:vertAlign w:val="superscript"/>
        </w:rPr>
        <w:t>de</w:t>
      </w:r>
      <w:bookmarkStart w:id="7" w:name="baut0035"/>
      <w:bookmarkEnd w:id="5"/>
      <w:proofErr w:type="spellEnd"/>
      <w:r>
        <w:rPr>
          <w:vertAlign w:val="superscript"/>
        </w:rPr>
        <w:t xml:space="preserve"> </w:t>
      </w:r>
      <w:r w:rsidRPr="0055205D">
        <w:t>Stefanie</w:t>
      </w:r>
      <w:r w:rsidR="007A4334">
        <w:t xml:space="preserve"> </w:t>
      </w:r>
      <w:proofErr w:type="spellStart"/>
      <w:r w:rsidRPr="0055205D">
        <w:t>Vaccher</w:t>
      </w:r>
      <w:r w:rsidRPr="0055205D">
        <w:rPr>
          <w:vertAlign w:val="superscript"/>
        </w:rPr>
        <w:t>a</w:t>
      </w:r>
      <w:bookmarkStart w:id="8" w:name="baut0040"/>
      <w:bookmarkEnd w:id="7"/>
      <w:proofErr w:type="spellEnd"/>
      <w:r w:rsidR="007A4334">
        <w:rPr>
          <w:vertAlign w:val="superscript"/>
        </w:rPr>
        <w:t xml:space="preserve"> </w:t>
      </w:r>
      <w:r>
        <w:rPr>
          <w:vertAlign w:val="superscript"/>
        </w:rPr>
        <w:t xml:space="preserve"> </w:t>
      </w:r>
      <w:r w:rsidRPr="0055205D">
        <w:t>Jeffrey</w:t>
      </w:r>
      <w:r w:rsidR="007A4334">
        <w:t xml:space="preserve"> </w:t>
      </w:r>
      <w:proofErr w:type="spellStart"/>
      <w:r w:rsidRPr="0055205D">
        <w:t>Grierson</w:t>
      </w:r>
      <w:r w:rsidRPr="0055205D">
        <w:rPr>
          <w:vertAlign w:val="superscript"/>
        </w:rPr>
        <w:t>f</w:t>
      </w:r>
      <w:bookmarkStart w:id="9" w:name="baut0045"/>
      <w:bookmarkEnd w:id="8"/>
      <w:proofErr w:type="spellEnd"/>
      <w:r>
        <w:rPr>
          <w:vertAlign w:val="superscript"/>
        </w:rPr>
        <w:t xml:space="preserve"> </w:t>
      </w:r>
      <w:r w:rsidR="007A4334">
        <w:rPr>
          <w:vertAlign w:val="superscript"/>
        </w:rPr>
        <w:t xml:space="preserve"> </w:t>
      </w:r>
      <w:r w:rsidRPr="0055205D">
        <w:t>Bridget</w:t>
      </w:r>
      <w:r>
        <w:t xml:space="preserve"> </w:t>
      </w:r>
      <w:proofErr w:type="spellStart"/>
      <w:r w:rsidRPr="0055205D">
        <w:t>Haire</w:t>
      </w:r>
      <w:r w:rsidRPr="0055205D">
        <w:rPr>
          <w:vertAlign w:val="superscript"/>
        </w:rPr>
        <w:t>a</w:t>
      </w:r>
      <w:bookmarkStart w:id="10" w:name="baut0050"/>
      <w:bookmarkEnd w:id="9"/>
      <w:proofErr w:type="spellEnd"/>
      <w:r>
        <w:rPr>
          <w:vertAlign w:val="superscript"/>
        </w:rPr>
        <w:t xml:space="preserve"> </w:t>
      </w:r>
      <w:r w:rsidR="007A4334">
        <w:rPr>
          <w:vertAlign w:val="superscript"/>
        </w:rPr>
        <w:t xml:space="preserve"> </w:t>
      </w:r>
      <w:r>
        <w:rPr>
          <w:vertAlign w:val="superscript"/>
        </w:rPr>
        <w:t xml:space="preserve"> </w:t>
      </w:r>
      <w:r w:rsidRPr="0055205D">
        <w:t>Garrett P</w:t>
      </w:r>
      <w:r w:rsidR="007A4334">
        <w:t xml:space="preserve"> </w:t>
      </w:r>
      <w:proofErr w:type="spellStart"/>
      <w:r w:rsidRPr="0055205D">
        <w:t>Prestage</w:t>
      </w:r>
      <w:r w:rsidRPr="0055205D">
        <w:rPr>
          <w:vertAlign w:val="superscript"/>
        </w:rPr>
        <w:t>a</w:t>
      </w:r>
      <w:bookmarkEnd w:id="10"/>
      <w:proofErr w:type="spellEnd"/>
    </w:p>
    <w:p w:rsidR="0055205D" w:rsidRPr="0055205D" w:rsidRDefault="0055205D" w:rsidP="0055205D">
      <w:pPr>
        <w:rPr>
          <w:b/>
          <w:bCs/>
        </w:rPr>
      </w:pPr>
      <w:r w:rsidRPr="0055205D">
        <w:rPr>
          <w:b/>
          <w:bCs/>
        </w:rPr>
        <w:t>Highlights</w:t>
      </w:r>
    </w:p>
    <w:p w:rsidR="0055205D" w:rsidRPr="0055205D" w:rsidRDefault="0055205D" w:rsidP="0055205D">
      <w:r w:rsidRPr="0055205D">
        <w:t>•</w:t>
      </w:r>
      <w:r>
        <w:t xml:space="preserve"> </w:t>
      </w:r>
      <w:r w:rsidRPr="0055205D">
        <w:t xml:space="preserve">Over 80% of Australian gay and </w:t>
      </w:r>
      <w:r w:rsidRPr="009657B8">
        <w:t>bisexual</w:t>
      </w:r>
      <w:r w:rsidRPr="0055205D">
        <w:t xml:space="preserve"> men reported lifetime illicit drug use.</w:t>
      </w:r>
    </w:p>
    <w:p w:rsidR="0055205D" w:rsidRPr="0055205D" w:rsidRDefault="0055205D" w:rsidP="0055205D">
      <w:r w:rsidRPr="0055205D">
        <w:t>•</w:t>
      </w:r>
      <w:r>
        <w:t xml:space="preserve"> </w:t>
      </w:r>
      <w:r w:rsidRPr="0055205D">
        <w:t>Approximately one in two men reported use of illicit drugs in the last six months.</w:t>
      </w:r>
    </w:p>
    <w:p w:rsidR="0055205D" w:rsidRPr="0055205D" w:rsidRDefault="0055205D" w:rsidP="0055205D">
      <w:r w:rsidRPr="0055205D">
        <w:t>•</w:t>
      </w:r>
      <w:r>
        <w:t xml:space="preserve"> </w:t>
      </w:r>
      <w:r w:rsidRPr="0055205D">
        <w:t>Recent drug use was mostly infrequent.</w:t>
      </w:r>
    </w:p>
    <w:p w:rsidR="0055205D" w:rsidRPr="0055205D" w:rsidRDefault="0055205D" w:rsidP="0055205D">
      <w:r w:rsidRPr="0055205D">
        <w:t>•</w:t>
      </w:r>
      <w:r>
        <w:t xml:space="preserve"> </w:t>
      </w:r>
      <w:r w:rsidRPr="0055205D">
        <w:t xml:space="preserve">Drug initiation rate </w:t>
      </w:r>
      <w:proofErr w:type="gramStart"/>
      <w:r w:rsidRPr="0055205D">
        <w:t>was generally decreased</w:t>
      </w:r>
      <w:proofErr w:type="gramEnd"/>
      <w:r w:rsidRPr="0055205D">
        <w:t xml:space="preserve"> with increasing age.</w:t>
      </w:r>
    </w:p>
    <w:p w:rsidR="0055205D" w:rsidRPr="0055205D" w:rsidRDefault="0055205D" w:rsidP="0055205D">
      <w:r w:rsidRPr="0055205D">
        <w:t>•</w:t>
      </w:r>
      <w:r>
        <w:t xml:space="preserve"> </w:t>
      </w:r>
      <w:r w:rsidRPr="0055205D">
        <w:t xml:space="preserve">Close to 3% of men initiated </w:t>
      </w:r>
      <w:r w:rsidRPr="009657B8">
        <w:t>crystal meth</w:t>
      </w:r>
      <w:r w:rsidRPr="0055205D">
        <w:t xml:space="preserve"> in the first year regardless of age.</w:t>
      </w:r>
    </w:p>
    <w:p w:rsidR="0055205D" w:rsidRPr="0055205D" w:rsidRDefault="0055205D" w:rsidP="0055205D">
      <w:pPr>
        <w:rPr>
          <w:b/>
          <w:bCs/>
        </w:rPr>
      </w:pPr>
      <w:r w:rsidRPr="0055205D">
        <w:rPr>
          <w:b/>
          <w:bCs/>
        </w:rPr>
        <w:t>Abstract</w:t>
      </w:r>
    </w:p>
    <w:p w:rsidR="0055205D" w:rsidRPr="0055205D" w:rsidRDefault="0055205D" w:rsidP="0055205D">
      <w:pPr>
        <w:rPr>
          <w:b/>
          <w:bCs/>
        </w:rPr>
      </w:pPr>
      <w:r w:rsidRPr="0055205D">
        <w:rPr>
          <w:b/>
          <w:bCs/>
        </w:rPr>
        <w:t>Background</w:t>
      </w:r>
    </w:p>
    <w:p w:rsidR="0055205D" w:rsidRPr="0055205D" w:rsidRDefault="0055205D" w:rsidP="0055205D">
      <w:r w:rsidRPr="0055205D">
        <w:t>We report prevalence and incidence of drug use initiation in Australian gay and bisexual men (GBM) participating in an online cohort study.</w:t>
      </w:r>
    </w:p>
    <w:p w:rsidR="0055205D" w:rsidRPr="0055205D" w:rsidRDefault="0055205D" w:rsidP="0055205D">
      <w:pPr>
        <w:rPr>
          <w:b/>
          <w:bCs/>
        </w:rPr>
      </w:pPr>
      <w:r w:rsidRPr="0055205D">
        <w:rPr>
          <w:b/>
          <w:bCs/>
        </w:rPr>
        <w:t>Methods</w:t>
      </w:r>
    </w:p>
    <w:p w:rsidR="0055205D" w:rsidRPr="0055205D" w:rsidRDefault="0055205D" w:rsidP="0055205D">
      <w:r w:rsidRPr="0055205D">
        <w:t xml:space="preserve">Between September 2014 and June 2015, 1,710 GBM </w:t>
      </w:r>
      <w:proofErr w:type="gramStart"/>
      <w:r w:rsidRPr="0055205D">
        <w:t>were enrolled</w:t>
      </w:r>
      <w:proofErr w:type="gramEnd"/>
      <w:r w:rsidRPr="0055205D">
        <w:t xml:space="preserve"> in the Following Lives Undergoing Change Study and followed-up six monthly. Participants </w:t>
      </w:r>
      <w:proofErr w:type="gramStart"/>
      <w:r w:rsidRPr="0055205D">
        <w:t>were asked</w:t>
      </w:r>
      <w:proofErr w:type="gramEnd"/>
      <w:r w:rsidRPr="0055205D">
        <w:t xml:space="preserve"> about measures of lifetime use at baseline and recent use (last six months) at all visits. Drug use initiation </w:t>
      </w:r>
      <w:proofErr w:type="gramStart"/>
      <w:r w:rsidRPr="0055205D">
        <w:t>was defined</w:t>
      </w:r>
      <w:proofErr w:type="gramEnd"/>
      <w:r w:rsidRPr="0055205D">
        <w:t xml:space="preserve"> as men who reported having never used a specific drug prior to baseline and reported recent use at follow-up.</w:t>
      </w:r>
    </w:p>
    <w:p w:rsidR="0055205D" w:rsidRPr="0055205D" w:rsidRDefault="0055205D" w:rsidP="0055205D">
      <w:pPr>
        <w:rPr>
          <w:b/>
          <w:bCs/>
        </w:rPr>
      </w:pPr>
      <w:r w:rsidRPr="0055205D">
        <w:rPr>
          <w:b/>
          <w:bCs/>
        </w:rPr>
        <w:t>Results</w:t>
      </w:r>
    </w:p>
    <w:p w:rsidR="0055205D" w:rsidRPr="0055205D" w:rsidRDefault="0055205D" w:rsidP="0055205D">
      <w:r w:rsidRPr="0055205D">
        <w:t>Participants’ median age was 31 years (range: 16–81). Prevalence of lifetime use was significantly associated with older age for all individual drugs (p trend&lt;0.001), and 84.1% reported lifetime use of any drugs. Just above half (51.9%) reported recent use at baseline, with the majority reporting occasional use (once or twice in the previous six-months). Among men who reported no history of drug use at baseline, drug initiation was highest for amyl nitrite, with an incidence of 10.5 per 100 person-years (95% CI 7.9–13.9), followed by cannabis (7.3 per 100 person-years, 95% CI 5.0–10.6) and ecstasy (5.0 per 100 person-years, 95% CI 3.6–7.0). Younger age was significantly associated with higher incidence of initiation of amyl nitrite, ecstasy, cocaine, ketamine, GHB, and LSD (p trend &lt;0.05 for all).</w:t>
      </w:r>
    </w:p>
    <w:p w:rsidR="0055205D" w:rsidRPr="0055205D" w:rsidRDefault="0055205D" w:rsidP="0055205D">
      <w:pPr>
        <w:rPr>
          <w:b/>
          <w:bCs/>
        </w:rPr>
      </w:pPr>
      <w:r w:rsidRPr="0055205D">
        <w:rPr>
          <w:b/>
          <w:bCs/>
        </w:rPr>
        <w:lastRenderedPageBreak/>
        <w:t>Conclusion</w:t>
      </w:r>
    </w:p>
    <w:p w:rsidR="0055205D" w:rsidRPr="0055205D" w:rsidRDefault="0055205D" w:rsidP="0055205D">
      <w:r w:rsidRPr="0055205D">
        <w:t>Prevalence of lifetime illicit drug use is lower in younger GBM than in their older counterparts. However, incidence of drug use initiation is high among younger men, providing an opportunity for early intervention.</w:t>
      </w:r>
    </w:p>
    <w:p w:rsidR="0055205D" w:rsidRPr="0055205D" w:rsidRDefault="0055205D" w:rsidP="0055205D">
      <w:pPr>
        <w:rPr>
          <w:b/>
          <w:bCs/>
        </w:rPr>
      </w:pPr>
      <w:r w:rsidRPr="0055205D">
        <w:rPr>
          <w:b/>
          <w:bCs/>
        </w:rPr>
        <w:t>Keywords</w:t>
      </w:r>
    </w:p>
    <w:p w:rsidR="0055205D" w:rsidRPr="0055205D" w:rsidRDefault="0055205D" w:rsidP="0055205D">
      <w:r w:rsidRPr="0055205D">
        <w:t>Illicit drug use</w:t>
      </w:r>
    </w:p>
    <w:p w:rsidR="0055205D" w:rsidRPr="0055205D" w:rsidRDefault="0055205D" w:rsidP="0055205D">
      <w:r w:rsidRPr="0055205D">
        <w:t>Gay and bisexual men</w:t>
      </w:r>
    </w:p>
    <w:p w:rsidR="0055205D" w:rsidRPr="0055205D" w:rsidRDefault="0055205D" w:rsidP="0055205D">
      <w:r w:rsidRPr="0055205D">
        <w:t>Prevalence</w:t>
      </w:r>
    </w:p>
    <w:p w:rsidR="0055205D" w:rsidRPr="0055205D" w:rsidRDefault="0055205D" w:rsidP="0055205D">
      <w:r w:rsidRPr="0055205D">
        <w:t>Incidence</w:t>
      </w:r>
    </w:p>
    <w:p w:rsidR="0055205D" w:rsidRPr="0055205D" w:rsidRDefault="0055205D" w:rsidP="0055205D">
      <w:r w:rsidRPr="0055205D">
        <w:t>Cohort study</w:t>
      </w:r>
    </w:p>
    <w:p w:rsidR="0055205D" w:rsidRPr="0055205D" w:rsidRDefault="0055205D" w:rsidP="0055205D">
      <w:pPr>
        <w:rPr>
          <w:b/>
          <w:bCs/>
        </w:rPr>
      </w:pPr>
      <w:r w:rsidRPr="0055205D">
        <w:rPr>
          <w:b/>
          <w:bCs/>
        </w:rPr>
        <w:t>1. Introduction</w:t>
      </w:r>
    </w:p>
    <w:p w:rsidR="0055205D" w:rsidRPr="0055205D" w:rsidRDefault="0055205D" w:rsidP="0055205D">
      <w:r w:rsidRPr="0055205D">
        <w:t xml:space="preserve">Illicit drug use is more prevalent among gay and bisexual men (GBM) </w:t>
      </w:r>
      <w:proofErr w:type="gramStart"/>
      <w:r w:rsidRPr="0055205D">
        <w:t>than heterosexual men</w:t>
      </w:r>
      <w:proofErr w:type="gramEnd"/>
      <w:r w:rsidRPr="0055205D">
        <w:t xml:space="preserve"> in most industrialised countries (</w:t>
      </w:r>
      <w:bookmarkStart w:id="11" w:name="bbib0010"/>
      <w:r w:rsidRPr="009657B8">
        <w:t>Cochran et al., 2004</w:t>
      </w:r>
      <w:bookmarkEnd w:id="11"/>
      <w:r w:rsidRPr="0055205D">
        <w:t xml:space="preserve">; </w:t>
      </w:r>
      <w:bookmarkStart w:id="12" w:name="bbib0015"/>
      <w:r w:rsidRPr="009657B8">
        <w:t>Drabble et al., 2005</w:t>
      </w:r>
      <w:bookmarkEnd w:id="12"/>
      <w:r w:rsidRPr="0055205D">
        <w:t xml:space="preserve">; </w:t>
      </w:r>
      <w:bookmarkStart w:id="13" w:name="bbib0060"/>
      <w:r w:rsidRPr="009657B8">
        <w:t>Roxburgh et al., 2016</w:t>
      </w:r>
      <w:r w:rsidRPr="0055205D">
        <w:t xml:space="preserve">). While Bourne and </w:t>
      </w:r>
      <w:proofErr w:type="spellStart"/>
      <w:r w:rsidRPr="0055205D">
        <w:t>Weatherburn</w:t>
      </w:r>
      <w:proofErr w:type="spellEnd"/>
      <w:r w:rsidRPr="0055205D">
        <w:t xml:space="preserve"> attributed illicit drug use among GBM to: 1) enhancing a sense of belonging; 2) coping with everyday problems; and 3) enhancing pleasure (</w:t>
      </w:r>
      <w:bookmarkStart w:id="14" w:name="bbib0005"/>
      <w:r w:rsidRPr="009657B8">
        <w:t xml:space="preserve">Bourne and </w:t>
      </w:r>
      <w:proofErr w:type="spellStart"/>
      <w:r w:rsidRPr="009657B8">
        <w:t>Weatherburn</w:t>
      </w:r>
      <w:proofErr w:type="spellEnd"/>
      <w:r w:rsidRPr="009657B8">
        <w:t>, 2017</w:t>
      </w:r>
      <w:bookmarkEnd w:id="14"/>
      <w:r w:rsidRPr="0055205D">
        <w:t xml:space="preserve">), problematic drug use can lead to adverse health outcomes. In particular, the use of amphetamine-type stimulants is associated with </w:t>
      </w:r>
      <w:proofErr w:type="spellStart"/>
      <w:r w:rsidRPr="0055205D">
        <w:t>condomless</w:t>
      </w:r>
      <w:proofErr w:type="spellEnd"/>
      <w:r w:rsidRPr="0055205D">
        <w:t xml:space="preserve"> anal intercourse with casual partners (</w:t>
      </w:r>
      <w:bookmarkStart w:id="15" w:name="bbib0050"/>
      <w:proofErr w:type="spellStart"/>
      <w:r w:rsidRPr="009657B8">
        <w:t>Prestage</w:t>
      </w:r>
      <w:proofErr w:type="spellEnd"/>
      <w:r w:rsidRPr="009657B8">
        <w:t xml:space="preserve"> et al., 2007</w:t>
      </w:r>
      <w:bookmarkEnd w:id="15"/>
      <w:r w:rsidRPr="0055205D">
        <w:t xml:space="preserve">) and subsequent risk of </w:t>
      </w:r>
      <w:r w:rsidRPr="009657B8">
        <w:t>HIV</w:t>
      </w:r>
      <w:r w:rsidRPr="0055205D">
        <w:t xml:space="preserve"> acquisition (</w:t>
      </w:r>
      <w:bookmarkStart w:id="16" w:name="bbib0055"/>
      <w:proofErr w:type="spellStart"/>
      <w:r w:rsidRPr="009657B8">
        <w:t>Prestage</w:t>
      </w:r>
      <w:proofErr w:type="spellEnd"/>
      <w:r w:rsidRPr="009657B8">
        <w:t xml:space="preserve"> et al., 2009</w:t>
      </w:r>
      <w:bookmarkEnd w:id="16"/>
      <w:r w:rsidRPr="0055205D">
        <w:t>). ‘Chemsex’ (the use of drugs to enhance sexual pleasure, particularly in the context of sex partying), has been increasingly reported in a minority of GBM in recent years and has been associated with transmission of HIV (</w:t>
      </w:r>
      <w:bookmarkStart w:id="17" w:name="bbib0065"/>
      <w:r w:rsidRPr="009657B8">
        <w:t>Schmidt et al., 2016</w:t>
      </w:r>
      <w:r w:rsidRPr="0055205D">
        <w:t>).</w:t>
      </w:r>
    </w:p>
    <w:p w:rsidR="0055205D" w:rsidRPr="0055205D" w:rsidRDefault="0055205D" w:rsidP="0055205D">
      <w:r w:rsidRPr="0055205D">
        <w:t xml:space="preserve">There are few data on the incidence of drug use initiation in </w:t>
      </w:r>
      <w:r w:rsidRPr="009657B8">
        <w:t>high-risk populations</w:t>
      </w:r>
      <w:r w:rsidRPr="0055205D">
        <w:t>, such as GBM, despite the recognition of early drug initiation as a risk factor for subsequent adverse health outcomes (</w:t>
      </w:r>
      <w:bookmarkStart w:id="18" w:name="bbib0035"/>
      <w:proofErr w:type="spellStart"/>
      <w:r w:rsidRPr="009657B8">
        <w:t>Kecojevic</w:t>
      </w:r>
      <w:proofErr w:type="spellEnd"/>
      <w:r w:rsidRPr="009657B8">
        <w:t xml:space="preserve"> et al., 2017</w:t>
      </w:r>
      <w:bookmarkEnd w:id="18"/>
      <w:r w:rsidRPr="0055205D">
        <w:t>). In this paper, we report age-specific patterns of drug use frequency and the incidence of twelve-month drug initiation in a cohort of GBM in Australia.</w:t>
      </w:r>
    </w:p>
    <w:p w:rsidR="0055205D" w:rsidRPr="0055205D" w:rsidRDefault="0055205D" w:rsidP="0055205D">
      <w:pPr>
        <w:rPr>
          <w:b/>
          <w:bCs/>
        </w:rPr>
      </w:pPr>
      <w:r w:rsidRPr="0055205D">
        <w:rPr>
          <w:b/>
          <w:bCs/>
        </w:rPr>
        <w:t>2. Methods</w:t>
      </w:r>
    </w:p>
    <w:p w:rsidR="0055205D" w:rsidRPr="0055205D" w:rsidRDefault="0055205D" w:rsidP="0055205D">
      <w:r w:rsidRPr="0055205D">
        <w:t xml:space="preserve">The </w:t>
      </w:r>
      <w:r w:rsidRPr="0055205D">
        <w:rPr>
          <w:i/>
          <w:iCs/>
        </w:rPr>
        <w:t>Following Lives Undergoing Change</w:t>
      </w:r>
      <w:r w:rsidRPr="0055205D">
        <w:t xml:space="preserve"> (Flux) is an ongoing, online, observational </w:t>
      </w:r>
      <w:r w:rsidRPr="009657B8">
        <w:t>cohort study</w:t>
      </w:r>
      <w:r w:rsidRPr="0055205D">
        <w:t xml:space="preserve"> among Australian GBM. The methods </w:t>
      </w:r>
      <w:proofErr w:type="gramStart"/>
      <w:r w:rsidRPr="0055205D">
        <w:t>have been described</w:t>
      </w:r>
      <w:proofErr w:type="gramEnd"/>
      <w:r w:rsidRPr="0055205D">
        <w:t xml:space="preserve"> in detail elsewhere (</w:t>
      </w:r>
      <w:bookmarkStart w:id="19" w:name="bbib0020"/>
      <w:r w:rsidRPr="009657B8">
        <w:t>Hammoud et al., 2017</w:t>
      </w:r>
      <w:r w:rsidRPr="0055205D">
        <w:t xml:space="preserve">). Men living in Australia aged 16.5 years and above were eligible if they self-identified as gay/homosexual or </w:t>
      </w:r>
      <w:r w:rsidRPr="009657B8">
        <w:t>bisexual</w:t>
      </w:r>
      <w:r w:rsidRPr="0055205D">
        <w:t xml:space="preserve"> or reported sex with at least one man in the preceding 12 months.</w:t>
      </w:r>
    </w:p>
    <w:p w:rsidR="0055205D" w:rsidRPr="0055205D" w:rsidRDefault="0055205D" w:rsidP="0055205D">
      <w:r w:rsidRPr="0055205D">
        <w:t>Potential participants were approached via online advertising through social media with varying degrees of gay community engagement, including popular ‘dating’ sites and apps for gay and bisexual men looking for potential male sexual partners, including Squirt</w:t>
      </w:r>
      <w:r w:rsidRPr="0055205D">
        <w:rPr>
          <w:vertAlign w:val="superscript"/>
        </w:rPr>
        <w:t>™</w:t>
      </w:r>
      <w:r w:rsidRPr="0055205D">
        <w:t>, Manhunt</w:t>
      </w:r>
      <w:r w:rsidRPr="0055205D">
        <w:rPr>
          <w:vertAlign w:val="superscript"/>
        </w:rPr>
        <w:t>™</w:t>
      </w:r>
      <w:r w:rsidRPr="0055205D">
        <w:t>, and Grindr</w:t>
      </w:r>
      <w:r w:rsidRPr="0055205D">
        <w:rPr>
          <w:vertAlign w:val="superscript"/>
        </w:rPr>
        <w:t>™</w:t>
      </w:r>
      <w:r w:rsidRPr="0055205D">
        <w:t xml:space="preserve">, and Facebook. Once enrolled, participants </w:t>
      </w:r>
      <w:proofErr w:type="gramStart"/>
      <w:r w:rsidRPr="0055205D">
        <w:t>were followed up</w:t>
      </w:r>
      <w:proofErr w:type="gramEnd"/>
      <w:r w:rsidRPr="0055205D">
        <w:t xml:space="preserve"> with six-monthly online surveys. Participants provided informed consent and the study was approved by the Human Research Ethics Committee at UNSW Sydney (HC14075).</w:t>
      </w:r>
    </w:p>
    <w:p w:rsidR="0055205D" w:rsidRPr="0055205D" w:rsidRDefault="0055205D" w:rsidP="0055205D">
      <w:r w:rsidRPr="0055205D">
        <w:lastRenderedPageBreak/>
        <w:t xml:space="preserve">At baseline, participants were asked about lifetime and recent (‘last six-month’) use of amyl </w:t>
      </w:r>
      <w:r w:rsidRPr="009657B8">
        <w:t>nitrite</w:t>
      </w:r>
      <w:r w:rsidRPr="0055205D">
        <w:t xml:space="preserve">, </w:t>
      </w:r>
      <w:r w:rsidRPr="009657B8">
        <w:t>cannabis</w:t>
      </w:r>
      <w:r w:rsidRPr="0055205D">
        <w:t xml:space="preserve">, ecstasy, </w:t>
      </w:r>
      <w:r w:rsidRPr="009657B8">
        <w:t>meth/amphetamine</w:t>
      </w:r>
      <w:r w:rsidRPr="0055205D">
        <w:t xml:space="preserve"> (speed), </w:t>
      </w:r>
      <w:r w:rsidRPr="009657B8">
        <w:t>cocaine</w:t>
      </w:r>
      <w:r w:rsidRPr="0055205D">
        <w:t xml:space="preserve">, </w:t>
      </w:r>
      <w:r w:rsidRPr="009657B8">
        <w:t>lysergic acid diethylamide</w:t>
      </w:r>
      <w:r w:rsidRPr="0055205D">
        <w:t xml:space="preserve"> (LSD), crystal methamphetamine (crystal), </w:t>
      </w:r>
      <w:r w:rsidRPr="009657B8">
        <w:t>ketamine</w:t>
      </w:r>
      <w:r w:rsidRPr="0055205D">
        <w:t xml:space="preserve">, </w:t>
      </w:r>
      <w:r w:rsidRPr="009657B8">
        <w:t xml:space="preserve">gamma </w:t>
      </w:r>
      <w:proofErr w:type="spellStart"/>
      <w:r w:rsidRPr="009657B8">
        <w:t>hydroxybutyrate</w:t>
      </w:r>
      <w:proofErr w:type="spellEnd"/>
      <w:r w:rsidRPr="0055205D">
        <w:t xml:space="preserve"> (GHB), and </w:t>
      </w:r>
      <w:r w:rsidRPr="009657B8">
        <w:t>heroin</w:t>
      </w:r>
      <w:r w:rsidRPr="0055205D">
        <w:t xml:space="preserve">. To minimise the confusion between the terms ‘meth/amphetamine’ and ‘crystal methamphetamine’ among participants as both are different forms of methamphetamine, the former was referred to as “speed” and the latter “crystal” in study questionnaires, as per common usage in the study population in Australia. Frequency of recent drug use was measured </w:t>
      </w:r>
      <w:proofErr w:type="gramStart"/>
      <w:r w:rsidRPr="0055205D">
        <w:t>as:</w:t>
      </w:r>
      <w:proofErr w:type="gramEnd"/>
      <w:r w:rsidRPr="0055205D">
        <w:t xml:space="preserve"> occasional use (once or twice in the last six months), at least monthly use, weekly use and daily use. Participants </w:t>
      </w:r>
      <w:proofErr w:type="gramStart"/>
      <w:r w:rsidRPr="0055205D">
        <w:t>were also asked</w:t>
      </w:r>
      <w:proofErr w:type="gramEnd"/>
      <w:r w:rsidRPr="0055205D">
        <w:t xml:space="preserve"> at baseline at what age they first used cannabis, and at what age they first used any ‘party’ drugs, which referred to any use of meth/amphetamine (speed), crystal methamphetamine (crystal), ecstasy, cocaine, or GHB. Questions about recent use and frequency of use </w:t>
      </w:r>
      <w:proofErr w:type="gramStart"/>
      <w:r w:rsidRPr="0055205D">
        <w:t>were repeated</w:t>
      </w:r>
      <w:proofErr w:type="gramEnd"/>
      <w:r w:rsidRPr="0055205D">
        <w:t xml:space="preserve"> at each follow-up.</w:t>
      </w:r>
    </w:p>
    <w:p w:rsidR="0055205D" w:rsidRPr="0055205D" w:rsidRDefault="0055205D" w:rsidP="0055205D">
      <w:r w:rsidRPr="0055205D">
        <w:t xml:space="preserve">The twelve-month incidence of drug initiation </w:t>
      </w:r>
      <w:proofErr w:type="gramStart"/>
      <w:r w:rsidRPr="0055205D">
        <w:t>was estimated</w:t>
      </w:r>
      <w:proofErr w:type="gramEnd"/>
      <w:r w:rsidRPr="0055205D">
        <w:t xml:space="preserve"> among participants who completed at least one of the first two follow-up biannual surveys at six- and/or twelve-months after baseline interview. Twelve-month incidence of initiation </w:t>
      </w:r>
      <w:proofErr w:type="gramStart"/>
      <w:r w:rsidRPr="0055205D">
        <w:t>was measured</w:t>
      </w:r>
      <w:proofErr w:type="gramEnd"/>
      <w:r w:rsidRPr="0055205D">
        <w:t xml:space="preserve"> as: 1) overall drug initiation rates, with only those who reported having never used any drugs at baseline; and 2) drug-specific initiation rates, among those who reported having never used a specific drug prior to baseline. Incidence rates </w:t>
      </w:r>
      <w:proofErr w:type="gramStart"/>
      <w:r w:rsidRPr="0055205D">
        <w:t>were calculated</w:t>
      </w:r>
      <w:proofErr w:type="gramEnd"/>
      <w:r w:rsidRPr="0055205D">
        <w:t xml:space="preserve"> by dividing the number of those who initiated any drug use or use of a specific drug by total person-years of follow-up. Incidence per 100 person-years of follow-up </w:t>
      </w:r>
      <w:proofErr w:type="gramStart"/>
      <w:r w:rsidRPr="0055205D">
        <w:t>is presented</w:t>
      </w:r>
      <w:proofErr w:type="gramEnd"/>
      <w:r w:rsidRPr="0055205D">
        <w:t xml:space="preserve"> with associated 95% confidence intervals (95% CI). For overall drug initiation, due to small numbers of initiation observed for individual drugs, incidence rates were grouped into two categories of drugs; first, cannabis and amyl nitrite; and second, any of the ‘party drugs.’</w:t>
      </w:r>
    </w:p>
    <w:p w:rsidR="0055205D" w:rsidRPr="0055205D" w:rsidRDefault="0055205D" w:rsidP="0055205D">
      <w:r w:rsidRPr="0055205D">
        <w:t xml:space="preserve">Statistical analyses </w:t>
      </w:r>
      <w:proofErr w:type="gramStart"/>
      <w:r w:rsidRPr="0055205D">
        <w:t>were carried</w:t>
      </w:r>
      <w:proofErr w:type="gramEnd"/>
      <w:r w:rsidRPr="0055205D">
        <w:t xml:space="preserve"> out using Stata version 14.2 (College Station, Texas, USA). Age was categorised into roughly quartile groups (16.5–24, 25–29, 30–39, 40 and above). </w:t>
      </w:r>
      <w:proofErr w:type="spellStart"/>
      <w:r w:rsidRPr="0055205D">
        <w:t>Univariable</w:t>
      </w:r>
      <w:proofErr w:type="spellEnd"/>
      <w:r w:rsidRPr="0055205D">
        <w:t xml:space="preserve"> logistic regression </w:t>
      </w:r>
      <w:proofErr w:type="gramStart"/>
      <w:r w:rsidRPr="0055205D">
        <w:t>was used</w:t>
      </w:r>
      <w:proofErr w:type="gramEnd"/>
      <w:r w:rsidRPr="0055205D">
        <w:t xml:space="preserve"> to examine the trend associations between age groups and prevalence and frequency of drug use. </w:t>
      </w:r>
      <w:proofErr w:type="spellStart"/>
      <w:r w:rsidRPr="0055205D">
        <w:t>Univariable</w:t>
      </w:r>
      <w:proofErr w:type="spellEnd"/>
      <w:r w:rsidRPr="0055205D">
        <w:t xml:space="preserve"> Cox regression </w:t>
      </w:r>
      <w:proofErr w:type="gramStart"/>
      <w:r w:rsidRPr="0055205D">
        <w:t>was used</w:t>
      </w:r>
      <w:proofErr w:type="gramEnd"/>
      <w:r w:rsidRPr="0055205D">
        <w:t xml:space="preserve"> to examine the trend associations between age groups and drug initiation.</w:t>
      </w:r>
    </w:p>
    <w:p w:rsidR="0055205D" w:rsidRPr="0055205D" w:rsidRDefault="0055205D" w:rsidP="0055205D">
      <w:pPr>
        <w:rPr>
          <w:b/>
          <w:bCs/>
        </w:rPr>
      </w:pPr>
      <w:r w:rsidRPr="0055205D">
        <w:rPr>
          <w:b/>
          <w:bCs/>
        </w:rPr>
        <w:t>3. Results</w:t>
      </w:r>
    </w:p>
    <w:p w:rsidR="0055205D" w:rsidRPr="0055205D" w:rsidRDefault="0055205D" w:rsidP="0055205D">
      <w:r w:rsidRPr="0055205D">
        <w:t xml:space="preserve">Between September 2014 and June 2015, </w:t>
      </w:r>
      <w:proofErr w:type="gramStart"/>
      <w:r w:rsidRPr="0055205D">
        <w:t>a total of 1710</w:t>
      </w:r>
      <w:proofErr w:type="gramEnd"/>
      <w:r w:rsidRPr="0055205D">
        <w:t xml:space="preserve"> men were enrolled. Most (97.4%) self-identified as gay or </w:t>
      </w:r>
      <w:r w:rsidRPr="009657B8">
        <w:t>bisexual</w:t>
      </w:r>
      <w:r w:rsidRPr="0055205D">
        <w:t>, while the majority of the remaining self-identified as queer (1.9%) The median age was 31 years (range</w:t>
      </w:r>
      <w:proofErr w:type="gramStart"/>
      <w:r w:rsidRPr="0055205D">
        <w:t>:16</w:t>
      </w:r>
      <w:proofErr w:type="gramEnd"/>
      <w:r w:rsidRPr="0055205D">
        <w:t xml:space="preserve">–81), and 44 men (2.6%) were aged under 18 at the time of baseline survey. Nearly three quarters (n = 1,279, 74.8%) reported testing HIV-negative, 8.1% (n = 138) reported testing </w:t>
      </w:r>
      <w:r w:rsidRPr="009657B8">
        <w:t>HIV-positive</w:t>
      </w:r>
      <w:r w:rsidRPr="0055205D">
        <w:t>. The remaining 17.1% (n = 293) were unsure of their HIV status, mainly due to not having been tested (n = 275); a few recently tested participants had not yet received their test results at the time of the survey.</w:t>
      </w:r>
    </w:p>
    <w:p w:rsidR="0055205D" w:rsidRPr="0055205D" w:rsidRDefault="0055205D" w:rsidP="0055205D">
      <w:pPr>
        <w:rPr>
          <w:b/>
          <w:bCs/>
        </w:rPr>
      </w:pPr>
      <w:r w:rsidRPr="0055205D">
        <w:rPr>
          <w:b/>
          <w:bCs/>
        </w:rPr>
        <w:t>3.1. Lifetime illicit drug use</w:t>
      </w:r>
    </w:p>
    <w:p w:rsidR="0055205D" w:rsidRPr="0055205D" w:rsidRDefault="0055205D" w:rsidP="0055205D">
      <w:r w:rsidRPr="0055205D">
        <w:t>Overall, 1438 (84.1%) men reported lifetime use of any of the listed illicit drugs at baseline. Lifetime prevalence of illicit drug use was higher in men aged 40 years and older (90.5%) compared with those aged less than 25 years (70.9%, p &lt; 0.001).</w:t>
      </w:r>
    </w:p>
    <w:p w:rsidR="0055205D" w:rsidRPr="0055205D" w:rsidRDefault="0055205D" w:rsidP="0055205D">
      <w:r w:rsidRPr="0055205D">
        <w:t xml:space="preserve">The prevalence of lifetime illicit drug use ranged from 72.1% for </w:t>
      </w:r>
      <w:r w:rsidRPr="009657B8">
        <w:t>cannabis</w:t>
      </w:r>
      <w:r w:rsidRPr="0055205D">
        <w:t xml:space="preserve"> to 4.5% for </w:t>
      </w:r>
      <w:r w:rsidRPr="009657B8">
        <w:t>heroin</w:t>
      </w:r>
      <w:r w:rsidRPr="0055205D">
        <w:t xml:space="preserve"> (</w:t>
      </w:r>
      <w:bookmarkStart w:id="20" w:name="btbl0005"/>
      <w:r w:rsidRPr="009657B8">
        <w:t>Table 1</w:t>
      </w:r>
      <w:r w:rsidRPr="0055205D">
        <w:t xml:space="preserve">). Prevalence of lifetime use increased significantly with increasing age for all drugs (p &lt; 0.001 for all), although the highest prevalence was observed in those aged in their thirties for all drugs except amyl </w:t>
      </w:r>
      <w:r w:rsidRPr="009657B8">
        <w:t>nitrite</w:t>
      </w:r>
      <w:r w:rsidRPr="0055205D">
        <w:t xml:space="preserve"> and heroin.</w:t>
      </w:r>
    </w:p>
    <w:p w:rsidR="0055205D" w:rsidRPr="0055205D" w:rsidRDefault="0055205D" w:rsidP="0055205D">
      <w:r w:rsidRPr="0055205D">
        <w:lastRenderedPageBreak/>
        <w:t>Table 1. Prevalence of lifetime and recent and twelve-month incidence of illicit drug use and their association with age in the study of Following Lives Undergoing Change.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2"/>
        <w:gridCol w:w="494"/>
        <w:gridCol w:w="443"/>
        <w:gridCol w:w="508"/>
        <w:gridCol w:w="657"/>
        <w:gridCol w:w="385"/>
        <w:gridCol w:w="443"/>
        <w:gridCol w:w="508"/>
        <w:gridCol w:w="657"/>
        <w:gridCol w:w="278"/>
        <w:gridCol w:w="738"/>
        <w:gridCol w:w="908"/>
        <w:gridCol w:w="443"/>
        <w:gridCol w:w="672"/>
      </w:tblGrid>
      <w:tr w:rsidR="0055205D" w:rsidRPr="0055205D" w:rsidTr="0055205D">
        <w:trPr>
          <w:tblHeader/>
          <w:tblCellSpacing w:w="15" w:type="dxa"/>
        </w:trPr>
        <w:tc>
          <w:tcPr>
            <w:tcW w:w="0" w:type="auto"/>
            <w:vAlign w:val="center"/>
            <w:hideMark/>
          </w:tcPr>
          <w:p w:rsidR="0055205D" w:rsidRPr="0055205D" w:rsidRDefault="0055205D" w:rsidP="0055205D"/>
        </w:tc>
        <w:tc>
          <w:tcPr>
            <w:tcW w:w="0" w:type="auto"/>
            <w:gridSpan w:val="4"/>
            <w:vAlign w:val="center"/>
            <w:hideMark/>
          </w:tcPr>
          <w:p w:rsidR="0055205D" w:rsidRPr="0055205D" w:rsidRDefault="0055205D" w:rsidP="0055205D">
            <w:pPr>
              <w:rPr>
                <w:b/>
                <w:bCs/>
              </w:rPr>
            </w:pPr>
            <w:r w:rsidRPr="0055205D">
              <w:rPr>
                <w:b/>
                <w:bCs/>
              </w:rPr>
              <w:t>Lifetime use (N = 1710)</w:t>
            </w:r>
          </w:p>
        </w:tc>
        <w:tc>
          <w:tcPr>
            <w:tcW w:w="0" w:type="auto"/>
            <w:gridSpan w:val="4"/>
            <w:vAlign w:val="center"/>
            <w:hideMark/>
          </w:tcPr>
          <w:p w:rsidR="0055205D" w:rsidRPr="0055205D" w:rsidRDefault="0055205D" w:rsidP="0055205D">
            <w:pPr>
              <w:rPr>
                <w:b/>
                <w:bCs/>
              </w:rPr>
            </w:pPr>
            <w:r w:rsidRPr="0055205D">
              <w:rPr>
                <w:b/>
                <w:bCs/>
              </w:rPr>
              <w:t>Recent (last 6-month) use (N = 1710)</w:t>
            </w:r>
          </w:p>
        </w:tc>
        <w:tc>
          <w:tcPr>
            <w:tcW w:w="0" w:type="auto"/>
            <w:gridSpan w:val="5"/>
            <w:vAlign w:val="center"/>
            <w:hideMark/>
          </w:tcPr>
          <w:p w:rsidR="0055205D" w:rsidRPr="0055205D" w:rsidRDefault="0055205D" w:rsidP="0055205D">
            <w:pPr>
              <w:rPr>
                <w:b/>
                <w:bCs/>
              </w:rPr>
            </w:pPr>
            <w:r w:rsidRPr="0055205D">
              <w:rPr>
                <w:b/>
                <w:bCs/>
              </w:rPr>
              <w:t>Twelve-month incidence</w:t>
            </w:r>
          </w:p>
        </w:tc>
      </w:tr>
      <w:tr w:rsidR="0055205D" w:rsidRPr="0055205D" w:rsidTr="0055205D">
        <w:trPr>
          <w:tblHeader/>
          <w:tblCellSpacing w:w="15" w:type="dxa"/>
        </w:trPr>
        <w:tc>
          <w:tcPr>
            <w:tcW w:w="0" w:type="auto"/>
            <w:vAlign w:val="center"/>
            <w:hideMark/>
          </w:tcPr>
          <w:p w:rsidR="0055205D" w:rsidRPr="0055205D" w:rsidRDefault="0055205D" w:rsidP="0055205D">
            <w:pPr>
              <w:rPr>
                <w:b/>
                <w:bCs/>
              </w:rPr>
            </w:pPr>
          </w:p>
        </w:tc>
        <w:tc>
          <w:tcPr>
            <w:tcW w:w="0" w:type="auto"/>
            <w:vAlign w:val="center"/>
            <w:hideMark/>
          </w:tcPr>
          <w:p w:rsidR="0055205D" w:rsidRPr="0055205D" w:rsidRDefault="0055205D" w:rsidP="0055205D">
            <w:pPr>
              <w:rPr>
                <w:b/>
                <w:bCs/>
              </w:rPr>
            </w:pPr>
            <w:r w:rsidRPr="0055205D">
              <w:rPr>
                <w:b/>
                <w:bCs/>
              </w:rPr>
              <w:t>n</w:t>
            </w:r>
          </w:p>
        </w:tc>
        <w:tc>
          <w:tcPr>
            <w:tcW w:w="0" w:type="auto"/>
            <w:vAlign w:val="center"/>
            <w:hideMark/>
          </w:tcPr>
          <w:p w:rsidR="0055205D" w:rsidRPr="0055205D" w:rsidRDefault="0055205D" w:rsidP="0055205D">
            <w:pPr>
              <w:rPr>
                <w:b/>
                <w:bCs/>
              </w:rPr>
            </w:pPr>
            <w:r w:rsidRPr="0055205D">
              <w:rPr>
                <w:b/>
                <w:bCs/>
              </w:rPr>
              <w:t>%</w:t>
            </w:r>
          </w:p>
        </w:tc>
        <w:tc>
          <w:tcPr>
            <w:tcW w:w="0" w:type="auto"/>
            <w:vAlign w:val="center"/>
            <w:hideMark/>
          </w:tcPr>
          <w:p w:rsidR="0055205D" w:rsidRPr="0055205D" w:rsidRDefault="0055205D" w:rsidP="0055205D">
            <w:pPr>
              <w:rPr>
                <w:b/>
                <w:bCs/>
              </w:rPr>
            </w:pPr>
            <w:r w:rsidRPr="0055205D">
              <w:rPr>
                <w:b/>
                <w:bCs/>
              </w:rPr>
              <w:t>95% CI</w:t>
            </w:r>
          </w:p>
        </w:tc>
        <w:tc>
          <w:tcPr>
            <w:tcW w:w="0" w:type="auto"/>
            <w:vAlign w:val="center"/>
            <w:hideMark/>
          </w:tcPr>
          <w:p w:rsidR="0055205D" w:rsidRPr="0055205D" w:rsidRDefault="0055205D" w:rsidP="0055205D">
            <w:pPr>
              <w:rPr>
                <w:b/>
                <w:bCs/>
              </w:rPr>
            </w:pPr>
            <w:r w:rsidRPr="0055205D">
              <w:rPr>
                <w:b/>
                <w:bCs/>
              </w:rPr>
              <w:t>P value for trend</w:t>
            </w:r>
          </w:p>
        </w:tc>
        <w:tc>
          <w:tcPr>
            <w:tcW w:w="0" w:type="auto"/>
            <w:vAlign w:val="center"/>
            <w:hideMark/>
          </w:tcPr>
          <w:p w:rsidR="0055205D" w:rsidRPr="0055205D" w:rsidRDefault="0055205D" w:rsidP="0055205D">
            <w:pPr>
              <w:rPr>
                <w:b/>
                <w:bCs/>
              </w:rPr>
            </w:pPr>
            <w:r w:rsidRPr="0055205D">
              <w:rPr>
                <w:b/>
                <w:bCs/>
              </w:rPr>
              <w:t>n</w:t>
            </w:r>
          </w:p>
        </w:tc>
        <w:tc>
          <w:tcPr>
            <w:tcW w:w="0" w:type="auto"/>
            <w:vAlign w:val="center"/>
            <w:hideMark/>
          </w:tcPr>
          <w:p w:rsidR="0055205D" w:rsidRPr="0055205D" w:rsidRDefault="0055205D" w:rsidP="0055205D">
            <w:pPr>
              <w:rPr>
                <w:b/>
                <w:bCs/>
              </w:rPr>
            </w:pPr>
            <w:r w:rsidRPr="0055205D">
              <w:rPr>
                <w:b/>
                <w:bCs/>
              </w:rPr>
              <w:t>%</w:t>
            </w:r>
          </w:p>
        </w:tc>
        <w:tc>
          <w:tcPr>
            <w:tcW w:w="0" w:type="auto"/>
            <w:vAlign w:val="center"/>
            <w:hideMark/>
          </w:tcPr>
          <w:p w:rsidR="0055205D" w:rsidRPr="0055205D" w:rsidRDefault="0055205D" w:rsidP="0055205D">
            <w:pPr>
              <w:rPr>
                <w:b/>
                <w:bCs/>
              </w:rPr>
            </w:pPr>
            <w:r w:rsidRPr="0055205D">
              <w:rPr>
                <w:b/>
                <w:bCs/>
              </w:rPr>
              <w:t>95% CI</w:t>
            </w:r>
          </w:p>
        </w:tc>
        <w:tc>
          <w:tcPr>
            <w:tcW w:w="0" w:type="auto"/>
            <w:vAlign w:val="center"/>
            <w:hideMark/>
          </w:tcPr>
          <w:p w:rsidR="0055205D" w:rsidRPr="0055205D" w:rsidRDefault="0055205D" w:rsidP="0055205D">
            <w:pPr>
              <w:rPr>
                <w:b/>
                <w:bCs/>
              </w:rPr>
            </w:pPr>
            <w:r w:rsidRPr="0055205D">
              <w:rPr>
                <w:b/>
                <w:bCs/>
              </w:rPr>
              <w:t>P value for trend</w:t>
            </w:r>
          </w:p>
        </w:tc>
        <w:tc>
          <w:tcPr>
            <w:tcW w:w="0" w:type="auto"/>
            <w:vAlign w:val="center"/>
            <w:hideMark/>
          </w:tcPr>
          <w:p w:rsidR="0055205D" w:rsidRPr="0055205D" w:rsidRDefault="0055205D" w:rsidP="0055205D">
            <w:pPr>
              <w:rPr>
                <w:b/>
                <w:bCs/>
              </w:rPr>
            </w:pPr>
            <w:r w:rsidRPr="0055205D">
              <w:rPr>
                <w:b/>
                <w:bCs/>
              </w:rPr>
              <w:t>n</w:t>
            </w:r>
          </w:p>
        </w:tc>
        <w:tc>
          <w:tcPr>
            <w:tcW w:w="0" w:type="auto"/>
            <w:vAlign w:val="center"/>
            <w:hideMark/>
          </w:tcPr>
          <w:p w:rsidR="0055205D" w:rsidRPr="0055205D" w:rsidRDefault="0055205D" w:rsidP="0055205D">
            <w:pPr>
              <w:rPr>
                <w:b/>
                <w:bCs/>
              </w:rPr>
            </w:pPr>
            <w:r w:rsidRPr="0055205D">
              <w:rPr>
                <w:b/>
                <w:bCs/>
              </w:rPr>
              <w:t>Person-years</w:t>
            </w:r>
          </w:p>
        </w:tc>
        <w:tc>
          <w:tcPr>
            <w:tcW w:w="0" w:type="auto"/>
            <w:vAlign w:val="center"/>
            <w:hideMark/>
          </w:tcPr>
          <w:p w:rsidR="0055205D" w:rsidRPr="0055205D" w:rsidRDefault="0055205D" w:rsidP="0055205D">
            <w:pPr>
              <w:rPr>
                <w:b/>
                <w:bCs/>
              </w:rPr>
            </w:pPr>
            <w:r w:rsidRPr="0055205D">
              <w:rPr>
                <w:b/>
                <w:bCs/>
              </w:rPr>
              <w:t>Incidence</w:t>
            </w:r>
            <w:r w:rsidRPr="0055205D">
              <w:rPr>
                <w:b/>
                <w:bCs/>
              </w:rPr>
              <w:br/>
              <w:t>(per 100 person-years)</w:t>
            </w:r>
          </w:p>
        </w:tc>
        <w:tc>
          <w:tcPr>
            <w:tcW w:w="0" w:type="auto"/>
            <w:vAlign w:val="center"/>
            <w:hideMark/>
          </w:tcPr>
          <w:p w:rsidR="0055205D" w:rsidRPr="0055205D" w:rsidRDefault="0055205D" w:rsidP="0055205D">
            <w:pPr>
              <w:rPr>
                <w:b/>
                <w:bCs/>
              </w:rPr>
            </w:pPr>
            <w:r w:rsidRPr="0055205D">
              <w:rPr>
                <w:b/>
                <w:bCs/>
              </w:rPr>
              <w:t>95% CI</w:t>
            </w:r>
          </w:p>
        </w:tc>
        <w:tc>
          <w:tcPr>
            <w:tcW w:w="0" w:type="auto"/>
            <w:vAlign w:val="center"/>
            <w:hideMark/>
          </w:tcPr>
          <w:p w:rsidR="0055205D" w:rsidRPr="0055205D" w:rsidRDefault="0055205D" w:rsidP="0055205D">
            <w:pPr>
              <w:rPr>
                <w:b/>
                <w:bCs/>
              </w:rPr>
            </w:pPr>
            <w:r w:rsidRPr="0055205D">
              <w:rPr>
                <w:b/>
                <w:bCs/>
              </w:rPr>
              <w:t>P value for trend</w:t>
            </w: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i/>
                <w:iCs/>
              </w:rPr>
              <w:t>Cannabis</w:t>
            </w:r>
          </w:p>
        </w:tc>
        <w:tc>
          <w:tcPr>
            <w:tcW w:w="0" w:type="auto"/>
            <w:vAlign w:val="center"/>
            <w:hideMark/>
          </w:tcPr>
          <w:p w:rsidR="0055205D" w:rsidRPr="0055205D" w:rsidRDefault="0055205D" w:rsidP="0055205D">
            <w:r w:rsidRPr="0055205D">
              <w:rPr>
                <w:b/>
                <w:bCs/>
                <w:i/>
                <w:iCs/>
              </w:rPr>
              <w:t>1233</w:t>
            </w:r>
          </w:p>
        </w:tc>
        <w:tc>
          <w:tcPr>
            <w:tcW w:w="0" w:type="auto"/>
            <w:vAlign w:val="center"/>
            <w:hideMark/>
          </w:tcPr>
          <w:p w:rsidR="0055205D" w:rsidRPr="0055205D" w:rsidRDefault="0055205D" w:rsidP="0055205D">
            <w:r w:rsidRPr="0055205D">
              <w:rPr>
                <w:b/>
                <w:bCs/>
                <w:i/>
                <w:iCs/>
              </w:rPr>
              <w:t>72.1</w:t>
            </w:r>
          </w:p>
        </w:tc>
        <w:tc>
          <w:tcPr>
            <w:tcW w:w="0" w:type="auto"/>
            <w:vAlign w:val="center"/>
            <w:hideMark/>
          </w:tcPr>
          <w:p w:rsidR="0055205D" w:rsidRPr="0055205D" w:rsidRDefault="0055205D" w:rsidP="0055205D">
            <w:r w:rsidRPr="0055205D">
              <w:rPr>
                <w:b/>
                <w:bCs/>
                <w:i/>
                <w:iCs/>
              </w:rPr>
              <w:t>69.9-74.2</w:t>
            </w:r>
          </w:p>
        </w:tc>
        <w:tc>
          <w:tcPr>
            <w:tcW w:w="0" w:type="auto"/>
            <w:vAlign w:val="center"/>
            <w:hideMark/>
          </w:tcPr>
          <w:p w:rsidR="0055205D" w:rsidRPr="0055205D" w:rsidRDefault="0055205D" w:rsidP="0055205D">
            <w:r w:rsidRPr="0055205D">
              <w:rPr>
                <w:b/>
                <w:bCs/>
                <w:i/>
                <w:iCs/>
              </w:rPr>
              <w:t>&lt;0.001</w:t>
            </w:r>
          </w:p>
        </w:tc>
        <w:tc>
          <w:tcPr>
            <w:tcW w:w="0" w:type="auto"/>
            <w:vAlign w:val="center"/>
            <w:hideMark/>
          </w:tcPr>
          <w:p w:rsidR="0055205D" w:rsidRPr="0055205D" w:rsidRDefault="0055205D" w:rsidP="0055205D">
            <w:r w:rsidRPr="0055205D">
              <w:rPr>
                <w:b/>
                <w:bCs/>
                <w:i/>
                <w:iCs/>
              </w:rPr>
              <w:t>521</w:t>
            </w:r>
          </w:p>
        </w:tc>
        <w:tc>
          <w:tcPr>
            <w:tcW w:w="0" w:type="auto"/>
            <w:vAlign w:val="center"/>
            <w:hideMark/>
          </w:tcPr>
          <w:p w:rsidR="0055205D" w:rsidRPr="0055205D" w:rsidRDefault="0055205D" w:rsidP="0055205D">
            <w:r w:rsidRPr="0055205D">
              <w:rPr>
                <w:b/>
                <w:bCs/>
                <w:i/>
                <w:iCs/>
              </w:rPr>
              <w:t>30.5</w:t>
            </w:r>
          </w:p>
        </w:tc>
        <w:tc>
          <w:tcPr>
            <w:tcW w:w="0" w:type="auto"/>
            <w:vAlign w:val="center"/>
            <w:hideMark/>
          </w:tcPr>
          <w:p w:rsidR="0055205D" w:rsidRPr="0055205D" w:rsidRDefault="0055205D" w:rsidP="0055205D">
            <w:r w:rsidRPr="0055205D">
              <w:rPr>
                <w:b/>
                <w:bCs/>
                <w:i/>
                <w:iCs/>
              </w:rPr>
              <w:t>28.3-32.7</w:t>
            </w:r>
          </w:p>
        </w:tc>
        <w:tc>
          <w:tcPr>
            <w:tcW w:w="0" w:type="auto"/>
            <w:vAlign w:val="center"/>
            <w:hideMark/>
          </w:tcPr>
          <w:p w:rsidR="0055205D" w:rsidRPr="0055205D" w:rsidRDefault="0055205D" w:rsidP="0055205D">
            <w:r w:rsidRPr="0055205D">
              <w:rPr>
                <w:b/>
                <w:bCs/>
                <w:i/>
                <w:iCs/>
              </w:rPr>
              <w:t>&lt;0.001</w:t>
            </w:r>
          </w:p>
        </w:tc>
        <w:tc>
          <w:tcPr>
            <w:tcW w:w="0" w:type="auto"/>
            <w:vAlign w:val="center"/>
            <w:hideMark/>
          </w:tcPr>
          <w:p w:rsidR="0055205D" w:rsidRPr="0055205D" w:rsidRDefault="0055205D" w:rsidP="0055205D">
            <w:r w:rsidRPr="0055205D">
              <w:rPr>
                <w:b/>
                <w:bCs/>
                <w:i/>
                <w:iCs/>
              </w:rPr>
              <w:t>28</w:t>
            </w:r>
          </w:p>
        </w:tc>
        <w:tc>
          <w:tcPr>
            <w:tcW w:w="0" w:type="auto"/>
            <w:vAlign w:val="center"/>
            <w:hideMark/>
          </w:tcPr>
          <w:p w:rsidR="0055205D" w:rsidRPr="0055205D" w:rsidRDefault="0055205D" w:rsidP="0055205D">
            <w:r w:rsidRPr="0055205D">
              <w:rPr>
                <w:b/>
                <w:bCs/>
                <w:i/>
                <w:iCs/>
              </w:rPr>
              <w:t>384.2</w:t>
            </w:r>
          </w:p>
        </w:tc>
        <w:tc>
          <w:tcPr>
            <w:tcW w:w="0" w:type="auto"/>
            <w:vAlign w:val="center"/>
            <w:hideMark/>
          </w:tcPr>
          <w:p w:rsidR="0055205D" w:rsidRPr="0055205D" w:rsidRDefault="0055205D" w:rsidP="0055205D">
            <w:r w:rsidRPr="0055205D">
              <w:rPr>
                <w:b/>
                <w:bCs/>
                <w:i/>
                <w:iCs/>
              </w:rPr>
              <w:t>7.3</w:t>
            </w:r>
          </w:p>
        </w:tc>
        <w:tc>
          <w:tcPr>
            <w:tcW w:w="0" w:type="auto"/>
            <w:vAlign w:val="center"/>
            <w:hideMark/>
          </w:tcPr>
          <w:p w:rsidR="0055205D" w:rsidRPr="0055205D" w:rsidRDefault="0055205D" w:rsidP="0055205D">
            <w:r w:rsidRPr="0055205D">
              <w:rPr>
                <w:b/>
                <w:bCs/>
                <w:i/>
                <w:iCs/>
              </w:rPr>
              <w:t>5.0-10.6</w:t>
            </w:r>
          </w:p>
        </w:tc>
        <w:tc>
          <w:tcPr>
            <w:tcW w:w="0" w:type="auto"/>
            <w:vAlign w:val="center"/>
            <w:hideMark/>
          </w:tcPr>
          <w:p w:rsidR="0055205D" w:rsidRPr="0055205D" w:rsidRDefault="0055205D" w:rsidP="0055205D">
            <w:r w:rsidRPr="0055205D">
              <w:rPr>
                <w:b/>
                <w:bCs/>
                <w:i/>
                <w:iCs/>
              </w:rPr>
              <w:t>0.059</w:t>
            </w: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16-24 years</w:t>
            </w:r>
          </w:p>
        </w:tc>
        <w:tc>
          <w:tcPr>
            <w:tcW w:w="0" w:type="auto"/>
            <w:vAlign w:val="center"/>
            <w:hideMark/>
          </w:tcPr>
          <w:p w:rsidR="0055205D" w:rsidRPr="0055205D" w:rsidRDefault="0055205D" w:rsidP="0055205D">
            <w:r w:rsidRPr="0055205D">
              <w:t>304</w:t>
            </w:r>
          </w:p>
        </w:tc>
        <w:tc>
          <w:tcPr>
            <w:tcW w:w="0" w:type="auto"/>
            <w:vAlign w:val="center"/>
            <w:hideMark/>
          </w:tcPr>
          <w:p w:rsidR="0055205D" w:rsidRPr="0055205D" w:rsidRDefault="0055205D" w:rsidP="0055205D">
            <w:r w:rsidRPr="0055205D">
              <w:t>60.7</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171</w:t>
            </w:r>
          </w:p>
        </w:tc>
        <w:tc>
          <w:tcPr>
            <w:tcW w:w="0" w:type="auto"/>
            <w:vAlign w:val="center"/>
            <w:hideMark/>
          </w:tcPr>
          <w:p w:rsidR="0055205D" w:rsidRPr="0055205D" w:rsidRDefault="0055205D" w:rsidP="0055205D">
            <w:r w:rsidRPr="0055205D">
              <w:t>34.1</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12</w:t>
            </w:r>
          </w:p>
        </w:tc>
        <w:tc>
          <w:tcPr>
            <w:tcW w:w="0" w:type="auto"/>
            <w:vAlign w:val="center"/>
            <w:hideMark/>
          </w:tcPr>
          <w:p w:rsidR="0055205D" w:rsidRPr="0055205D" w:rsidRDefault="0055205D" w:rsidP="0055205D">
            <w:r w:rsidRPr="0055205D">
              <w:t>121.9</w:t>
            </w:r>
          </w:p>
        </w:tc>
        <w:tc>
          <w:tcPr>
            <w:tcW w:w="0" w:type="auto"/>
            <w:vAlign w:val="center"/>
            <w:hideMark/>
          </w:tcPr>
          <w:p w:rsidR="0055205D" w:rsidRPr="0055205D" w:rsidRDefault="0055205D" w:rsidP="0055205D">
            <w:r w:rsidRPr="0055205D">
              <w:t>9.8</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25-29 years</w:t>
            </w:r>
          </w:p>
        </w:tc>
        <w:tc>
          <w:tcPr>
            <w:tcW w:w="0" w:type="auto"/>
            <w:vAlign w:val="center"/>
            <w:hideMark/>
          </w:tcPr>
          <w:p w:rsidR="0055205D" w:rsidRPr="0055205D" w:rsidRDefault="0055205D" w:rsidP="0055205D">
            <w:r w:rsidRPr="0055205D">
              <w:t>229</w:t>
            </w:r>
          </w:p>
        </w:tc>
        <w:tc>
          <w:tcPr>
            <w:tcW w:w="0" w:type="auto"/>
            <w:vAlign w:val="center"/>
            <w:hideMark/>
          </w:tcPr>
          <w:p w:rsidR="0055205D" w:rsidRPr="0055205D" w:rsidRDefault="0055205D" w:rsidP="0055205D">
            <w:r w:rsidRPr="0055205D">
              <w:t>75.1</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115</w:t>
            </w:r>
          </w:p>
        </w:tc>
        <w:tc>
          <w:tcPr>
            <w:tcW w:w="0" w:type="auto"/>
            <w:vAlign w:val="center"/>
            <w:hideMark/>
          </w:tcPr>
          <w:p w:rsidR="0055205D" w:rsidRPr="0055205D" w:rsidRDefault="0055205D" w:rsidP="0055205D">
            <w:r w:rsidRPr="0055205D">
              <w:t>37.7</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5</w:t>
            </w:r>
          </w:p>
        </w:tc>
        <w:tc>
          <w:tcPr>
            <w:tcW w:w="0" w:type="auto"/>
            <w:vAlign w:val="center"/>
            <w:hideMark/>
          </w:tcPr>
          <w:p w:rsidR="0055205D" w:rsidRPr="0055205D" w:rsidRDefault="0055205D" w:rsidP="0055205D">
            <w:r w:rsidRPr="0055205D">
              <w:t>72.3</w:t>
            </w:r>
          </w:p>
        </w:tc>
        <w:tc>
          <w:tcPr>
            <w:tcW w:w="0" w:type="auto"/>
            <w:vAlign w:val="center"/>
            <w:hideMark/>
          </w:tcPr>
          <w:p w:rsidR="0055205D" w:rsidRPr="0055205D" w:rsidRDefault="0055205D" w:rsidP="0055205D">
            <w:r w:rsidRPr="0055205D">
              <w:t>6.8</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30-39 years</w:t>
            </w:r>
          </w:p>
        </w:tc>
        <w:tc>
          <w:tcPr>
            <w:tcW w:w="0" w:type="auto"/>
            <w:vAlign w:val="center"/>
            <w:hideMark/>
          </w:tcPr>
          <w:p w:rsidR="0055205D" w:rsidRPr="0055205D" w:rsidRDefault="0055205D" w:rsidP="0055205D">
            <w:r w:rsidRPr="0055205D">
              <w:t>330</w:t>
            </w:r>
          </w:p>
        </w:tc>
        <w:tc>
          <w:tcPr>
            <w:tcW w:w="0" w:type="auto"/>
            <w:vAlign w:val="center"/>
            <w:hideMark/>
          </w:tcPr>
          <w:p w:rsidR="0055205D" w:rsidRPr="0055205D" w:rsidRDefault="0055205D" w:rsidP="0055205D">
            <w:r w:rsidRPr="0055205D">
              <w:t>79.1</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123</w:t>
            </w:r>
          </w:p>
        </w:tc>
        <w:tc>
          <w:tcPr>
            <w:tcW w:w="0" w:type="auto"/>
            <w:vAlign w:val="center"/>
            <w:hideMark/>
          </w:tcPr>
          <w:p w:rsidR="0055205D" w:rsidRPr="0055205D" w:rsidRDefault="0055205D" w:rsidP="0055205D">
            <w:r w:rsidRPr="0055205D">
              <w:t>29.5</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9</w:t>
            </w:r>
          </w:p>
        </w:tc>
        <w:tc>
          <w:tcPr>
            <w:tcW w:w="0" w:type="auto"/>
            <w:vAlign w:val="center"/>
            <w:hideMark/>
          </w:tcPr>
          <w:p w:rsidR="0055205D" w:rsidRPr="0055205D" w:rsidRDefault="0055205D" w:rsidP="0055205D">
            <w:r w:rsidRPr="0055205D">
              <w:t>86.5</w:t>
            </w:r>
          </w:p>
        </w:tc>
        <w:tc>
          <w:tcPr>
            <w:tcW w:w="0" w:type="auto"/>
            <w:vAlign w:val="center"/>
            <w:hideMark/>
          </w:tcPr>
          <w:p w:rsidR="0055205D" w:rsidRPr="0055205D" w:rsidRDefault="0055205D" w:rsidP="0055205D">
            <w:r w:rsidRPr="0055205D">
              <w:t>10.4</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≥40 years</w:t>
            </w:r>
          </w:p>
        </w:tc>
        <w:tc>
          <w:tcPr>
            <w:tcW w:w="0" w:type="auto"/>
            <w:vAlign w:val="center"/>
            <w:hideMark/>
          </w:tcPr>
          <w:p w:rsidR="0055205D" w:rsidRPr="0055205D" w:rsidRDefault="0055205D" w:rsidP="0055205D">
            <w:r w:rsidRPr="0055205D">
              <w:t>370</w:t>
            </w:r>
          </w:p>
        </w:tc>
        <w:tc>
          <w:tcPr>
            <w:tcW w:w="0" w:type="auto"/>
            <w:vAlign w:val="center"/>
            <w:hideMark/>
          </w:tcPr>
          <w:p w:rsidR="0055205D" w:rsidRPr="0055205D" w:rsidRDefault="0055205D" w:rsidP="0055205D">
            <w:r w:rsidRPr="0055205D">
              <w:t>76.0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112</w:t>
            </w:r>
          </w:p>
        </w:tc>
        <w:tc>
          <w:tcPr>
            <w:tcW w:w="0" w:type="auto"/>
            <w:vAlign w:val="center"/>
            <w:hideMark/>
          </w:tcPr>
          <w:p w:rsidR="0055205D" w:rsidRPr="0055205D" w:rsidRDefault="0055205D" w:rsidP="0055205D">
            <w:r w:rsidRPr="0055205D">
              <w:t>23.0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2</w:t>
            </w:r>
          </w:p>
        </w:tc>
        <w:tc>
          <w:tcPr>
            <w:tcW w:w="0" w:type="auto"/>
            <w:vAlign w:val="center"/>
            <w:hideMark/>
          </w:tcPr>
          <w:p w:rsidR="0055205D" w:rsidRPr="0055205D" w:rsidRDefault="0055205D" w:rsidP="0055205D">
            <w:r w:rsidRPr="0055205D">
              <w:t>102.6</w:t>
            </w:r>
          </w:p>
        </w:tc>
        <w:tc>
          <w:tcPr>
            <w:tcW w:w="0" w:type="auto"/>
            <w:vAlign w:val="center"/>
            <w:hideMark/>
          </w:tcPr>
          <w:p w:rsidR="0055205D" w:rsidRPr="0055205D" w:rsidRDefault="0055205D" w:rsidP="0055205D">
            <w:r w:rsidRPr="0055205D">
              <w:t>2.0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gridSpan w:val="14"/>
            <w:vAlign w:val="center"/>
            <w:hideMark/>
          </w:tcPr>
          <w:p w:rsidR="0055205D" w:rsidRPr="0055205D" w:rsidRDefault="0055205D" w:rsidP="0055205D">
            <w:pPr>
              <w:rPr>
                <w:b/>
                <w:bCs/>
              </w:rPr>
            </w:pP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i/>
                <w:iCs/>
              </w:rPr>
              <w:t>Amyl nitrite</w:t>
            </w:r>
          </w:p>
        </w:tc>
        <w:tc>
          <w:tcPr>
            <w:tcW w:w="0" w:type="auto"/>
            <w:vAlign w:val="center"/>
            <w:hideMark/>
          </w:tcPr>
          <w:p w:rsidR="0055205D" w:rsidRPr="0055205D" w:rsidRDefault="0055205D" w:rsidP="0055205D">
            <w:r w:rsidRPr="0055205D">
              <w:rPr>
                <w:b/>
                <w:bCs/>
                <w:i/>
                <w:iCs/>
              </w:rPr>
              <w:t>1127</w:t>
            </w:r>
          </w:p>
        </w:tc>
        <w:tc>
          <w:tcPr>
            <w:tcW w:w="0" w:type="auto"/>
            <w:vAlign w:val="center"/>
            <w:hideMark/>
          </w:tcPr>
          <w:p w:rsidR="0055205D" w:rsidRPr="0055205D" w:rsidRDefault="0055205D" w:rsidP="0055205D">
            <w:r w:rsidRPr="0055205D">
              <w:rPr>
                <w:b/>
                <w:bCs/>
                <w:i/>
                <w:iCs/>
              </w:rPr>
              <w:t>65.9</w:t>
            </w:r>
          </w:p>
        </w:tc>
        <w:tc>
          <w:tcPr>
            <w:tcW w:w="0" w:type="auto"/>
            <w:vAlign w:val="center"/>
            <w:hideMark/>
          </w:tcPr>
          <w:p w:rsidR="0055205D" w:rsidRPr="0055205D" w:rsidRDefault="0055205D" w:rsidP="0055205D">
            <w:r w:rsidRPr="0055205D">
              <w:rPr>
                <w:b/>
                <w:bCs/>
                <w:i/>
                <w:iCs/>
              </w:rPr>
              <w:t>63.6-68.2</w:t>
            </w:r>
          </w:p>
        </w:tc>
        <w:tc>
          <w:tcPr>
            <w:tcW w:w="0" w:type="auto"/>
            <w:vAlign w:val="center"/>
            <w:hideMark/>
          </w:tcPr>
          <w:p w:rsidR="0055205D" w:rsidRPr="0055205D" w:rsidRDefault="0055205D" w:rsidP="0055205D">
            <w:r w:rsidRPr="0055205D">
              <w:rPr>
                <w:b/>
                <w:bCs/>
                <w:i/>
                <w:iCs/>
              </w:rPr>
              <w:t>&lt;0.001</w:t>
            </w:r>
          </w:p>
        </w:tc>
        <w:tc>
          <w:tcPr>
            <w:tcW w:w="0" w:type="auto"/>
            <w:vAlign w:val="center"/>
            <w:hideMark/>
          </w:tcPr>
          <w:p w:rsidR="0055205D" w:rsidRPr="0055205D" w:rsidRDefault="0055205D" w:rsidP="0055205D">
            <w:r w:rsidRPr="0055205D">
              <w:rPr>
                <w:b/>
                <w:bCs/>
                <w:i/>
                <w:iCs/>
              </w:rPr>
              <w:t>577</w:t>
            </w:r>
          </w:p>
        </w:tc>
        <w:tc>
          <w:tcPr>
            <w:tcW w:w="0" w:type="auto"/>
            <w:vAlign w:val="center"/>
            <w:hideMark/>
          </w:tcPr>
          <w:p w:rsidR="0055205D" w:rsidRPr="0055205D" w:rsidRDefault="0055205D" w:rsidP="0055205D">
            <w:r w:rsidRPr="0055205D">
              <w:rPr>
                <w:b/>
                <w:bCs/>
                <w:i/>
                <w:iCs/>
              </w:rPr>
              <w:t>33.7</w:t>
            </w:r>
          </w:p>
        </w:tc>
        <w:tc>
          <w:tcPr>
            <w:tcW w:w="0" w:type="auto"/>
            <w:vAlign w:val="center"/>
            <w:hideMark/>
          </w:tcPr>
          <w:p w:rsidR="0055205D" w:rsidRPr="0055205D" w:rsidRDefault="0055205D" w:rsidP="0055205D">
            <w:r w:rsidRPr="0055205D">
              <w:rPr>
                <w:b/>
                <w:bCs/>
                <w:i/>
                <w:iCs/>
              </w:rPr>
              <w:t>31.5-36.0</w:t>
            </w:r>
          </w:p>
        </w:tc>
        <w:tc>
          <w:tcPr>
            <w:tcW w:w="0" w:type="auto"/>
            <w:vAlign w:val="center"/>
            <w:hideMark/>
          </w:tcPr>
          <w:p w:rsidR="0055205D" w:rsidRPr="0055205D" w:rsidRDefault="0055205D" w:rsidP="0055205D">
            <w:r w:rsidRPr="0055205D">
              <w:rPr>
                <w:b/>
                <w:bCs/>
                <w:i/>
                <w:iCs/>
              </w:rPr>
              <w:t>&lt;0.001</w:t>
            </w:r>
          </w:p>
        </w:tc>
        <w:tc>
          <w:tcPr>
            <w:tcW w:w="0" w:type="auto"/>
            <w:vAlign w:val="center"/>
            <w:hideMark/>
          </w:tcPr>
          <w:p w:rsidR="0055205D" w:rsidRPr="0055205D" w:rsidRDefault="0055205D" w:rsidP="0055205D">
            <w:r w:rsidRPr="0055205D">
              <w:rPr>
                <w:b/>
                <w:bCs/>
                <w:i/>
                <w:iCs/>
              </w:rPr>
              <w:t>48</w:t>
            </w:r>
          </w:p>
        </w:tc>
        <w:tc>
          <w:tcPr>
            <w:tcW w:w="0" w:type="auto"/>
            <w:vAlign w:val="center"/>
            <w:hideMark/>
          </w:tcPr>
          <w:p w:rsidR="0055205D" w:rsidRPr="0055205D" w:rsidRDefault="0055205D" w:rsidP="0055205D">
            <w:r w:rsidRPr="0055205D">
              <w:rPr>
                <w:b/>
                <w:bCs/>
                <w:i/>
                <w:iCs/>
              </w:rPr>
              <w:t>458.1</w:t>
            </w:r>
          </w:p>
        </w:tc>
        <w:tc>
          <w:tcPr>
            <w:tcW w:w="0" w:type="auto"/>
            <w:vAlign w:val="center"/>
            <w:hideMark/>
          </w:tcPr>
          <w:p w:rsidR="0055205D" w:rsidRPr="0055205D" w:rsidRDefault="0055205D" w:rsidP="0055205D">
            <w:r w:rsidRPr="0055205D">
              <w:rPr>
                <w:b/>
                <w:bCs/>
                <w:i/>
                <w:iCs/>
              </w:rPr>
              <w:t>10.5</w:t>
            </w:r>
          </w:p>
        </w:tc>
        <w:tc>
          <w:tcPr>
            <w:tcW w:w="0" w:type="auto"/>
            <w:vAlign w:val="center"/>
            <w:hideMark/>
          </w:tcPr>
          <w:p w:rsidR="0055205D" w:rsidRPr="0055205D" w:rsidRDefault="0055205D" w:rsidP="0055205D">
            <w:r w:rsidRPr="0055205D">
              <w:rPr>
                <w:b/>
                <w:bCs/>
                <w:i/>
                <w:iCs/>
              </w:rPr>
              <w:t>7.9-13.9</w:t>
            </w:r>
          </w:p>
        </w:tc>
        <w:tc>
          <w:tcPr>
            <w:tcW w:w="0" w:type="auto"/>
            <w:vAlign w:val="center"/>
            <w:hideMark/>
          </w:tcPr>
          <w:p w:rsidR="0055205D" w:rsidRPr="0055205D" w:rsidRDefault="0055205D" w:rsidP="0055205D">
            <w:r w:rsidRPr="0055205D">
              <w:rPr>
                <w:b/>
                <w:bCs/>
                <w:i/>
                <w:iCs/>
              </w:rPr>
              <w:t>&lt;0.001</w:t>
            </w: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16-24 years</w:t>
            </w:r>
          </w:p>
        </w:tc>
        <w:tc>
          <w:tcPr>
            <w:tcW w:w="0" w:type="auto"/>
            <w:vAlign w:val="center"/>
            <w:hideMark/>
          </w:tcPr>
          <w:p w:rsidR="0055205D" w:rsidRPr="0055205D" w:rsidRDefault="0055205D" w:rsidP="0055205D">
            <w:r w:rsidRPr="0055205D">
              <w:t>211</w:t>
            </w:r>
          </w:p>
        </w:tc>
        <w:tc>
          <w:tcPr>
            <w:tcW w:w="0" w:type="auto"/>
            <w:vAlign w:val="center"/>
            <w:hideMark/>
          </w:tcPr>
          <w:p w:rsidR="0055205D" w:rsidRPr="0055205D" w:rsidRDefault="0055205D" w:rsidP="0055205D">
            <w:r w:rsidRPr="0055205D">
              <w:t>42.1</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115</w:t>
            </w:r>
          </w:p>
        </w:tc>
        <w:tc>
          <w:tcPr>
            <w:tcW w:w="0" w:type="auto"/>
            <w:vAlign w:val="center"/>
            <w:hideMark/>
          </w:tcPr>
          <w:p w:rsidR="0055205D" w:rsidRPr="0055205D" w:rsidRDefault="0055205D" w:rsidP="0055205D">
            <w:r w:rsidRPr="0055205D">
              <w:t>23.0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33</w:t>
            </w:r>
          </w:p>
        </w:tc>
        <w:tc>
          <w:tcPr>
            <w:tcW w:w="0" w:type="auto"/>
            <w:vAlign w:val="center"/>
            <w:hideMark/>
          </w:tcPr>
          <w:p w:rsidR="0055205D" w:rsidRPr="0055205D" w:rsidRDefault="0055205D" w:rsidP="0055205D">
            <w:r w:rsidRPr="0055205D">
              <w:t>187.8</w:t>
            </w:r>
          </w:p>
        </w:tc>
        <w:tc>
          <w:tcPr>
            <w:tcW w:w="0" w:type="auto"/>
            <w:vAlign w:val="center"/>
            <w:hideMark/>
          </w:tcPr>
          <w:p w:rsidR="0055205D" w:rsidRPr="0055205D" w:rsidRDefault="0055205D" w:rsidP="0055205D">
            <w:r w:rsidRPr="0055205D">
              <w:t>17.6</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25-29 years</w:t>
            </w:r>
          </w:p>
        </w:tc>
        <w:tc>
          <w:tcPr>
            <w:tcW w:w="0" w:type="auto"/>
            <w:vAlign w:val="center"/>
            <w:hideMark/>
          </w:tcPr>
          <w:p w:rsidR="0055205D" w:rsidRPr="0055205D" w:rsidRDefault="0055205D" w:rsidP="0055205D">
            <w:r w:rsidRPr="0055205D">
              <w:t>203</w:t>
            </w:r>
          </w:p>
        </w:tc>
        <w:tc>
          <w:tcPr>
            <w:tcW w:w="0" w:type="auto"/>
            <w:vAlign w:val="center"/>
            <w:hideMark/>
          </w:tcPr>
          <w:p w:rsidR="0055205D" w:rsidRPr="0055205D" w:rsidRDefault="0055205D" w:rsidP="0055205D">
            <w:r w:rsidRPr="0055205D">
              <w:t>66.6</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111</w:t>
            </w:r>
          </w:p>
        </w:tc>
        <w:tc>
          <w:tcPr>
            <w:tcW w:w="0" w:type="auto"/>
            <w:vAlign w:val="center"/>
            <w:hideMark/>
          </w:tcPr>
          <w:p w:rsidR="0055205D" w:rsidRPr="0055205D" w:rsidRDefault="0055205D" w:rsidP="0055205D">
            <w:r w:rsidRPr="0055205D">
              <w:t>36.4</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7</w:t>
            </w:r>
          </w:p>
        </w:tc>
        <w:tc>
          <w:tcPr>
            <w:tcW w:w="0" w:type="auto"/>
            <w:vAlign w:val="center"/>
            <w:hideMark/>
          </w:tcPr>
          <w:p w:rsidR="0055205D" w:rsidRPr="0055205D" w:rsidRDefault="0055205D" w:rsidP="0055205D">
            <w:r w:rsidRPr="0055205D">
              <w:t>87.6</w:t>
            </w:r>
          </w:p>
        </w:tc>
        <w:tc>
          <w:tcPr>
            <w:tcW w:w="0" w:type="auto"/>
            <w:vAlign w:val="center"/>
            <w:hideMark/>
          </w:tcPr>
          <w:p w:rsidR="0055205D" w:rsidRPr="0055205D" w:rsidRDefault="0055205D" w:rsidP="0055205D">
            <w:r w:rsidRPr="0055205D">
              <w:t>8.0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30-39 years</w:t>
            </w:r>
          </w:p>
        </w:tc>
        <w:tc>
          <w:tcPr>
            <w:tcW w:w="0" w:type="auto"/>
            <w:vAlign w:val="center"/>
            <w:hideMark/>
          </w:tcPr>
          <w:p w:rsidR="0055205D" w:rsidRPr="0055205D" w:rsidRDefault="0055205D" w:rsidP="0055205D">
            <w:r w:rsidRPr="0055205D">
              <w:t>314</w:t>
            </w:r>
          </w:p>
        </w:tc>
        <w:tc>
          <w:tcPr>
            <w:tcW w:w="0" w:type="auto"/>
            <w:vAlign w:val="center"/>
            <w:hideMark/>
          </w:tcPr>
          <w:p w:rsidR="0055205D" w:rsidRPr="0055205D" w:rsidRDefault="0055205D" w:rsidP="0055205D">
            <w:r w:rsidRPr="0055205D">
              <w:t>75.3</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169</w:t>
            </w:r>
          </w:p>
        </w:tc>
        <w:tc>
          <w:tcPr>
            <w:tcW w:w="0" w:type="auto"/>
            <w:vAlign w:val="center"/>
            <w:hideMark/>
          </w:tcPr>
          <w:p w:rsidR="0055205D" w:rsidRPr="0055205D" w:rsidRDefault="0055205D" w:rsidP="0055205D">
            <w:r w:rsidRPr="0055205D">
              <w:t>40.5</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5</w:t>
            </w:r>
          </w:p>
        </w:tc>
        <w:tc>
          <w:tcPr>
            <w:tcW w:w="0" w:type="auto"/>
            <w:vAlign w:val="center"/>
            <w:hideMark/>
          </w:tcPr>
          <w:p w:rsidR="0055205D" w:rsidRPr="0055205D" w:rsidRDefault="0055205D" w:rsidP="0055205D">
            <w:r w:rsidRPr="0055205D">
              <w:t>107.3</w:t>
            </w:r>
          </w:p>
        </w:tc>
        <w:tc>
          <w:tcPr>
            <w:tcW w:w="0" w:type="auto"/>
            <w:vAlign w:val="center"/>
            <w:hideMark/>
          </w:tcPr>
          <w:p w:rsidR="0055205D" w:rsidRPr="0055205D" w:rsidRDefault="0055205D" w:rsidP="0055205D">
            <w:r w:rsidRPr="0055205D">
              <w:t>4.7</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≥40 years</w:t>
            </w:r>
          </w:p>
        </w:tc>
        <w:tc>
          <w:tcPr>
            <w:tcW w:w="0" w:type="auto"/>
            <w:vAlign w:val="center"/>
            <w:hideMark/>
          </w:tcPr>
          <w:p w:rsidR="0055205D" w:rsidRPr="0055205D" w:rsidRDefault="0055205D" w:rsidP="0055205D">
            <w:r w:rsidRPr="0055205D">
              <w:t>399</w:t>
            </w:r>
          </w:p>
        </w:tc>
        <w:tc>
          <w:tcPr>
            <w:tcW w:w="0" w:type="auto"/>
            <w:vAlign w:val="center"/>
            <w:hideMark/>
          </w:tcPr>
          <w:p w:rsidR="0055205D" w:rsidRPr="0055205D" w:rsidRDefault="0055205D" w:rsidP="0055205D">
            <w:r w:rsidRPr="0055205D">
              <w:t>81.9</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182</w:t>
            </w:r>
          </w:p>
        </w:tc>
        <w:tc>
          <w:tcPr>
            <w:tcW w:w="0" w:type="auto"/>
            <w:vAlign w:val="center"/>
            <w:hideMark/>
          </w:tcPr>
          <w:p w:rsidR="0055205D" w:rsidRPr="0055205D" w:rsidRDefault="0055205D" w:rsidP="0055205D">
            <w:r w:rsidRPr="0055205D">
              <w:t>37.4</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3</w:t>
            </w:r>
          </w:p>
        </w:tc>
        <w:tc>
          <w:tcPr>
            <w:tcW w:w="0" w:type="auto"/>
            <w:vAlign w:val="center"/>
            <w:hideMark/>
          </w:tcPr>
          <w:p w:rsidR="0055205D" w:rsidRPr="0055205D" w:rsidRDefault="0055205D" w:rsidP="0055205D">
            <w:r w:rsidRPr="0055205D">
              <w:t>75.5</w:t>
            </w:r>
          </w:p>
        </w:tc>
        <w:tc>
          <w:tcPr>
            <w:tcW w:w="0" w:type="auto"/>
            <w:vAlign w:val="center"/>
            <w:hideMark/>
          </w:tcPr>
          <w:p w:rsidR="0055205D" w:rsidRPr="0055205D" w:rsidRDefault="0055205D" w:rsidP="0055205D">
            <w:r w:rsidRPr="0055205D">
              <w:t>4.0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gridSpan w:val="14"/>
            <w:vAlign w:val="center"/>
            <w:hideMark/>
          </w:tcPr>
          <w:p w:rsidR="0055205D" w:rsidRPr="0055205D" w:rsidRDefault="0055205D" w:rsidP="0055205D">
            <w:pPr>
              <w:rPr>
                <w:b/>
                <w:bCs/>
              </w:rPr>
            </w:pP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i/>
                <w:iCs/>
              </w:rPr>
              <w:lastRenderedPageBreak/>
              <w:t>Ecstasy</w:t>
            </w:r>
          </w:p>
        </w:tc>
        <w:tc>
          <w:tcPr>
            <w:tcW w:w="0" w:type="auto"/>
            <w:vAlign w:val="center"/>
            <w:hideMark/>
          </w:tcPr>
          <w:p w:rsidR="0055205D" w:rsidRPr="0055205D" w:rsidRDefault="0055205D" w:rsidP="0055205D">
            <w:r w:rsidRPr="0055205D">
              <w:rPr>
                <w:b/>
                <w:bCs/>
                <w:i/>
                <w:iCs/>
              </w:rPr>
              <w:t>880</w:t>
            </w:r>
          </w:p>
        </w:tc>
        <w:tc>
          <w:tcPr>
            <w:tcW w:w="0" w:type="auto"/>
            <w:vAlign w:val="center"/>
            <w:hideMark/>
          </w:tcPr>
          <w:p w:rsidR="0055205D" w:rsidRPr="0055205D" w:rsidRDefault="0055205D" w:rsidP="0055205D">
            <w:r w:rsidRPr="0055205D">
              <w:rPr>
                <w:b/>
                <w:bCs/>
                <w:i/>
                <w:iCs/>
              </w:rPr>
              <w:t>51.5</w:t>
            </w:r>
          </w:p>
        </w:tc>
        <w:tc>
          <w:tcPr>
            <w:tcW w:w="0" w:type="auto"/>
            <w:vAlign w:val="center"/>
            <w:hideMark/>
          </w:tcPr>
          <w:p w:rsidR="0055205D" w:rsidRPr="0055205D" w:rsidRDefault="0055205D" w:rsidP="0055205D">
            <w:r w:rsidRPr="0055205D">
              <w:rPr>
                <w:b/>
                <w:bCs/>
                <w:i/>
                <w:iCs/>
              </w:rPr>
              <w:t>49.1-53.9</w:t>
            </w:r>
          </w:p>
        </w:tc>
        <w:tc>
          <w:tcPr>
            <w:tcW w:w="0" w:type="auto"/>
            <w:vAlign w:val="center"/>
            <w:hideMark/>
          </w:tcPr>
          <w:p w:rsidR="0055205D" w:rsidRPr="0055205D" w:rsidRDefault="0055205D" w:rsidP="0055205D">
            <w:r w:rsidRPr="0055205D">
              <w:rPr>
                <w:b/>
                <w:bCs/>
                <w:i/>
                <w:iCs/>
              </w:rPr>
              <w:t>&lt;0.001</w:t>
            </w:r>
          </w:p>
        </w:tc>
        <w:tc>
          <w:tcPr>
            <w:tcW w:w="0" w:type="auto"/>
            <w:vAlign w:val="center"/>
            <w:hideMark/>
          </w:tcPr>
          <w:p w:rsidR="0055205D" w:rsidRPr="0055205D" w:rsidRDefault="0055205D" w:rsidP="0055205D">
            <w:r w:rsidRPr="0055205D">
              <w:rPr>
                <w:b/>
                <w:bCs/>
                <w:i/>
                <w:iCs/>
              </w:rPr>
              <w:t>328</w:t>
            </w:r>
          </w:p>
        </w:tc>
        <w:tc>
          <w:tcPr>
            <w:tcW w:w="0" w:type="auto"/>
            <w:vAlign w:val="center"/>
            <w:hideMark/>
          </w:tcPr>
          <w:p w:rsidR="0055205D" w:rsidRPr="0055205D" w:rsidRDefault="0055205D" w:rsidP="0055205D">
            <w:r w:rsidRPr="0055205D">
              <w:rPr>
                <w:b/>
                <w:bCs/>
                <w:i/>
                <w:iCs/>
              </w:rPr>
              <w:t>19.2</w:t>
            </w:r>
          </w:p>
        </w:tc>
        <w:tc>
          <w:tcPr>
            <w:tcW w:w="0" w:type="auto"/>
            <w:vAlign w:val="center"/>
            <w:hideMark/>
          </w:tcPr>
          <w:p w:rsidR="0055205D" w:rsidRPr="0055205D" w:rsidRDefault="0055205D" w:rsidP="0055205D">
            <w:r w:rsidRPr="0055205D">
              <w:rPr>
                <w:b/>
                <w:bCs/>
                <w:i/>
                <w:iCs/>
              </w:rPr>
              <w:t>17.3-21.1</w:t>
            </w:r>
          </w:p>
        </w:tc>
        <w:tc>
          <w:tcPr>
            <w:tcW w:w="0" w:type="auto"/>
            <w:vAlign w:val="center"/>
            <w:hideMark/>
          </w:tcPr>
          <w:p w:rsidR="0055205D" w:rsidRPr="0055205D" w:rsidRDefault="0055205D" w:rsidP="0055205D">
            <w:r w:rsidRPr="0055205D">
              <w:rPr>
                <w:b/>
                <w:bCs/>
                <w:i/>
                <w:iCs/>
              </w:rPr>
              <w:t>0.090</w:t>
            </w:r>
          </w:p>
        </w:tc>
        <w:tc>
          <w:tcPr>
            <w:tcW w:w="0" w:type="auto"/>
            <w:vAlign w:val="center"/>
            <w:hideMark/>
          </w:tcPr>
          <w:p w:rsidR="0055205D" w:rsidRPr="0055205D" w:rsidRDefault="0055205D" w:rsidP="0055205D">
            <w:r w:rsidRPr="0055205D">
              <w:rPr>
                <w:b/>
                <w:bCs/>
                <w:i/>
                <w:iCs/>
              </w:rPr>
              <w:t>34</w:t>
            </w:r>
          </w:p>
        </w:tc>
        <w:tc>
          <w:tcPr>
            <w:tcW w:w="0" w:type="auto"/>
            <w:vAlign w:val="center"/>
            <w:hideMark/>
          </w:tcPr>
          <w:p w:rsidR="0055205D" w:rsidRPr="0055205D" w:rsidRDefault="0055205D" w:rsidP="0055205D">
            <w:r w:rsidRPr="0055205D">
              <w:rPr>
                <w:b/>
                <w:bCs/>
                <w:i/>
                <w:iCs/>
              </w:rPr>
              <w:t>683.5</w:t>
            </w:r>
          </w:p>
        </w:tc>
        <w:tc>
          <w:tcPr>
            <w:tcW w:w="0" w:type="auto"/>
            <w:vAlign w:val="center"/>
            <w:hideMark/>
          </w:tcPr>
          <w:p w:rsidR="0055205D" w:rsidRPr="0055205D" w:rsidRDefault="0055205D" w:rsidP="0055205D">
            <w:r w:rsidRPr="0055205D">
              <w:rPr>
                <w:b/>
                <w:bCs/>
                <w:i/>
                <w:iCs/>
              </w:rPr>
              <w:t>5.0</w:t>
            </w:r>
          </w:p>
        </w:tc>
        <w:tc>
          <w:tcPr>
            <w:tcW w:w="0" w:type="auto"/>
            <w:vAlign w:val="center"/>
            <w:hideMark/>
          </w:tcPr>
          <w:p w:rsidR="0055205D" w:rsidRPr="0055205D" w:rsidRDefault="0055205D" w:rsidP="0055205D">
            <w:r w:rsidRPr="0055205D">
              <w:rPr>
                <w:b/>
                <w:bCs/>
                <w:i/>
                <w:iCs/>
              </w:rPr>
              <w:t>3.6-7.0</w:t>
            </w:r>
          </w:p>
        </w:tc>
        <w:tc>
          <w:tcPr>
            <w:tcW w:w="0" w:type="auto"/>
            <w:vAlign w:val="center"/>
            <w:hideMark/>
          </w:tcPr>
          <w:p w:rsidR="0055205D" w:rsidRPr="0055205D" w:rsidRDefault="0055205D" w:rsidP="0055205D">
            <w:r w:rsidRPr="0055205D">
              <w:rPr>
                <w:b/>
                <w:bCs/>
                <w:i/>
                <w:iCs/>
              </w:rPr>
              <w:t>0.004</w:t>
            </w: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16-24 years</w:t>
            </w:r>
          </w:p>
        </w:tc>
        <w:tc>
          <w:tcPr>
            <w:tcW w:w="0" w:type="auto"/>
            <w:vAlign w:val="center"/>
            <w:hideMark/>
          </w:tcPr>
          <w:p w:rsidR="0055205D" w:rsidRPr="0055205D" w:rsidRDefault="0055205D" w:rsidP="0055205D">
            <w:r w:rsidRPr="0055205D">
              <w:t>149</w:t>
            </w:r>
          </w:p>
        </w:tc>
        <w:tc>
          <w:tcPr>
            <w:tcW w:w="0" w:type="auto"/>
            <w:vAlign w:val="center"/>
            <w:hideMark/>
          </w:tcPr>
          <w:p w:rsidR="0055205D" w:rsidRPr="0055205D" w:rsidRDefault="0055205D" w:rsidP="0055205D">
            <w:r w:rsidRPr="0055205D">
              <w:t>29.7</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87</w:t>
            </w:r>
          </w:p>
        </w:tc>
        <w:tc>
          <w:tcPr>
            <w:tcW w:w="0" w:type="auto"/>
            <w:vAlign w:val="center"/>
            <w:hideMark/>
          </w:tcPr>
          <w:p w:rsidR="0055205D" w:rsidRPr="0055205D" w:rsidRDefault="0055205D" w:rsidP="0055205D">
            <w:r w:rsidRPr="0055205D">
              <w:t>17.4</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19</w:t>
            </w:r>
          </w:p>
        </w:tc>
        <w:tc>
          <w:tcPr>
            <w:tcW w:w="0" w:type="auto"/>
            <w:vAlign w:val="center"/>
            <w:hideMark/>
          </w:tcPr>
          <w:p w:rsidR="0055205D" w:rsidRPr="0055205D" w:rsidRDefault="0055205D" w:rsidP="0055205D">
            <w:r w:rsidRPr="0055205D">
              <w:t>224.8</w:t>
            </w:r>
          </w:p>
        </w:tc>
        <w:tc>
          <w:tcPr>
            <w:tcW w:w="0" w:type="auto"/>
            <w:vAlign w:val="center"/>
            <w:hideMark/>
          </w:tcPr>
          <w:p w:rsidR="0055205D" w:rsidRPr="0055205D" w:rsidRDefault="0055205D" w:rsidP="0055205D">
            <w:r w:rsidRPr="0055205D">
              <w:t>8.5</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25-29 years</w:t>
            </w:r>
          </w:p>
        </w:tc>
        <w:tc>
          <w:tcPr>
            <w:tcW w:w="0" w:type="auto"/>
            <w:vAlign w:val="center"/>
            <w:hideMark/>
          </w:tcPr>
          <w:p w:rsidR="0055205D" w:rsidRPr="0055205D" w:rsidRDefault="0055205D" w:rsidP="0055205D">
            <w:r w:rsidRPr="0055205D">
              <w:t>169</w:t>
            </w:r>
          </w:p>
        </w:tc>
        <w:tc>
          <w:tcPr>
            <w:tcW w:w="0" w:type="auto"/>
            <w:vAlign w:val="center"/>
            <w:hideMark/>
          </w:tcPr>
          <w:p w:rsidR="0055205D" w:rsidRPr="0055205D" w:rsidRDefault="0055205D" w:rsidP="0055205D">
            <w:r w:rsidRPr="0055205D">
              <w:t>55.4</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86</w:t>
            </w:r>
          </w:p>
        </w:tc>
        <w:tc>
          <w:tcPr>
            <w:tcW w:w="0" w:type="auto"/>
            <w:vAlign w:val="center"/>
            <w:hideMark/>
          </w:tcPr>
          <w:p w:rsidR="0055205D" w:rsidRPr="0055205D" w:rsidRDefault="0055205D" w:rsidP="0055205D">
            <w:r w:rsidRPr="0055205D">
              <w:t>28.2</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7</w:t>
            </w:r>
          </w:p>
        </w:tc>
        <w:tc>
          <w:tcPr>
            <w:tcW w:w="0" w:type="auto"/>
            <w:vAlign w:val="center"/>
            <w:hideMark/>
          </w:tcPr>
          <w:p w:rsidR="0055205D" w:rsidRPr="0055205D" w:rsidRDefault="0055205D" w:rsidP="0055205D">
            <w:r w:rsidRPr="0055205D">
              <w:t>128.7</w:t>
            </w:r>
          </w:p>
        </w:tc>
        <w:tc>
          <w:tcPr>
            <w:tcW w:w="0" w:type="auto"/>
            <w:vAlign w:val="center"/>
            <w:hideMark/>
          </w:tcPr>
          <w:p w:rsidR="0055205D" w:rsidRPr="0055205D" w:rsidRDefault="0055205D" w:rsidP="0055205D">
            <w:r w:rsidRPr="0055205D">
              <w:t>5.4</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30-39 years</w:t>
            </w:r>
          </w:p>
        </w:tc>
        <w:tc>
          <w:tcPr>
            <w:tcW w:w="0" w:type="auto"/>
            <w:vAlign w:val="center"/>
            <w:hideMark/>
          </w:tcPr>
          <w:p w:rsidR="0055205D" w:rsidRPr="0055205D" w:rsidRDefault="0055205D" w:rsidP="0055205D">
            <w:r w:rsidRPr="0055205D">
              <w:t>277</w:t>
            </w:r>
          </w:p>
        </w:tc>
        <w:tc>
          <w:tcPr>
            <w:tcW w:w="0" w:type="auto"/>
            <w:vAlign w:val="center"/>
            <w:hideMark/>
          </w:tcPr>
          <w:p w:rsidR="0055205D" w:rsidRPr="0055205D" w:rsidRDefault="0055205D" w:rsidP="0055205D">
            <w:r w:rsidRPr="0055205D">
              <w:t>66.4</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85</w:t>
            </w:r>
          </w:p>
        </w:tc>
        <w:tc>
          <w:tcPr>
            <w:tcW w:w="0" w:type="auto"/>
            <w:vAlign w:val="center"/>
            <w:hideMark/>
          </w:tcPr>
          <w:p w:rsidR="0055205D" w:rsidRPr="0055205D" w:rsidRDefault="0055205D" w:rsidP="0055205D">
            <w:r w:rsidRPr="0055205D">
              <w:t>20.4</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5</w:t>
            </w:r>
          </w:p>
        </w:tc>
        <w:tc>
          <w:tcPr>
            <w:tcW w:w="0" w:type="auto"/>
            <w:vAlign w:val="center"/>
            <w:hideMark/>
          </w:tcPr>
          <w:p w:rsidR="0055205D" w:rsidRPr="0055205D" w:rsidRDefault="0055205D" w:rsidP="0055205D">
            <w:r w:rsidRPr="0055205D">
              <w:t>146.9</w:t>
            </w:r>
          </w:p>
        </w:tc>
        <w:tc>
          <w:tcPr>
            <w:tcW w:w="0" w:type="auto"/>
            <w:vAlign w:val="center"/>
            <w:hideMark/>
          </w:tcPr>
          <w:p w:rsidR="0055205D" w:rsidRPr="0055205D" w:rsidRDefault="0055205D" w:rsidP="0055205D">
            <w:r w:rsidRPr="0055205D">
              <w:t>3.4</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≥40 years</w:t>
            </w:r>
          </w:p>
        </w:tc>
        <w:tc>
          <w:tcPr>
            <w:tcW w:w="0" w:type="auto"/>
            <w:vAlign w:val="center"/>
            <w:hideMark/>
          </w:tcPr>
          <w:p w:rsidR="0055205D" w:rsidRPr="0055205D" w:rsidRDefault="0055205D" w:rsidP="0055205D">
            <w:r w:rsidRPr="0055205D">
              <w:t>282</w:t>
            </w:r>
          </w:p>
        </w:tc>
        <w:tc>
          <w:tcPr>
            <w:tcW w:w="0" w:type="auto"/>
            <w:vAlign w:val="center"/>
            <w:hideMark/>
          </w:tcPr>
          <w:p w:rsidR="0055205D" w:rsidRPr="0055205D" w:rsidRDefault="0055205D" w:rsidP="0055205D">
            <w:r w:rsidRPr="0055205D">
              <w:t>58.5</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70</w:t>
            </w:r>
          </w:p>
        </w:tc>
        <w:tc>
          <w:tcPr>
            <w:tcW w:w="0" w:type="auto"/>
            <w:vAlign w:val="center"/>
            <w:hideMark/>
          </w:tcPr>
          <w:p w:rsidR="0055205D" w:rsidRPr="0055205D" w:rsidRDefault="0055205D" w:rsidP="0055205D">
            <w:r w:rsidRPr="0055205D">
              <w:t>14.4</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3</w:t>
            </w:r>
          </w:p>
        </w:tc>
        <w:tc>
          <w:tcPr>
            <w:tcW w:w="0" w:type="auto"/>
            <w:vAlign w:val="center"/>
            <w:hideMark/>
          </w:tcPr>
          <w:p w:rsidR="0055205D" w:rsidRPr="0055205D" w:rsidRDefault="0055205D" w:rsidP="0055205D">
            <w:r w:rsidRPr="0055205D">
              <w:t>183.0</w:t>
            </w:r>
          </w:p>
        </w:tc>
        <w:tc>
          <w:tcPr>
            <w:tcW w:w="0" w:type="auto"/>
            <w:vAlign w:val="center"/>
            <w:hideMark/>
          </w:tcPr>
          <w:p w:rsidR="0055205D" w:rsidRPr="0055205D" w:rsidRDefault="0055205D" w:rsidP="0055205D">
            <w:r w:rsidRPr="0055205D">
              <w:t>1.6</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gridSpan w:val="14"/>
            <w:vAlign w:val="center"/>
            <w:hideMark/>
          </w:tcPr>
          <w:p w:rsidR="0055205D" w:rsidRPr="0055205D" w:rsidRDefault="0055205D" w:rsidP="0055205D">
            <w:pPr>
              <w:rPr>
                <w:b/>
                <w:bCs/>
              </w:rPr>
            </w:pP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i/>
                <w:iCs/>
              </w:rPr>
              <w:t>Meth/amphetamine (Speed)</w:t>
            </w:r>
          </w:p>
        </w:tc>
        <w:tc>
          <w:tcPr>
            <w:tcW w:w="0" w:type="auto"/>
            <w:vAlign w:val="center"/>
            <w:hideMark/>
          </w:tcPr>
          <w:p w:rsidR="0055205D" w:rsidRPr="0055205D" w:rsidRDefault="0055205D" w:rsidP="0055205D">
            <w:r w:rsidRPr="0055205D">
              <w:rPr>
                <w:b/>
                <w:bCs/>
                <w:i/>
                <w:iCs/>
              </w:rPr>
              <w:t>732</w:t>
            </w:r>
          </w:p>
        </w:tc>
        <w:tc>
          <w:tcPr>
            <w:tcW w:w="0" w:type="auto"/>
            <w:vAlign w:val="center"/>
            <w:hideMark/>
          </w:tcPr>
          <w:p w:rsidR="0055205D" w:rsidRPr="0055205D" w:rsidRDefault="0055205D" w:rsidP="0055205D">
            <w:r w:rsidRPr="0055205D">
              <w:rPr>
                <w:b/>
                <w:bCs/>
                <w:i/>
                <w:iCs/>
              </w:rPr>
              <w:t>42.8</w:t>
            </w:r>
          </w:p>
        </w:tc>
        <w:tc>
          <w:tcPr>
            <w:tcW w:w="0" w:type="auto"/>
            <w:vAlign w:val="center"/>
            <w:hideMark/>
          </w:tcPr>
          <w:p w:rsidR="0055205D" w:rsidRPr="0055205D" w:rsidRDefault="0055205D" w:rsidP="0055205D">
            <w:r w:rsidRPr="0055205D">
              <w:rPr>
                <w:b/>
                <w:bCs/>
                <w:i/>
                <w:iCs/>
              </w:rPr>
              <w:t>40.4-45.2</w:t>
            </w:r>
          </w:p>
        </w:tc>
        <w:tc>
          <w:tcPr>
            <w:tcW w:w="0" w:type="auto"/>
            <w:vAlign w:val="center"/>
            <w:hideMark/>
          </w:tcPr>
          <w:p w:rsidR="0055205D" w:rsidRPr="0055205D" w:rsidRDefault="0055205D" w:rsidP="0055205D">
            <w:r w:rsidRPr="0055205D">
              <w:rPr>
                <w:b/>
                <w:bCs/>
                <w:i/>
                <w:iCs/>
              </w:rPr>
              <w:t>&lt;0.001</w:t>
            </w:r>
          </w:p>
        </w:tc>
        <w:tc>
          <w:tcPr>
            <w:tcW w:w="0" w:type="auto"/>
            <w:vAlign w:val="center"/>
            <w:hideMark/>
          </w:tcPr>
          <w:p w:rsidR="0055205D" w:rsidRPr="0055205D" w:rsidRDefault="0055205D" w:rsidP="0055205D">
            <w:r w:rsidRPr="0055205D">
              <w:rPr>
                <w:b/>
                <w:bCs/>
                <w:i/>
                <w:iCs/>
              </w:rPr>
              <w:t>109</w:t>
            </w:r>
          </w:p>
        </w:tc>
        <w:tc>
          <w:tcPr>
            <w:tcW w:w="0" w:type="auto"/>
            <w:vAlign w:val="center"/>
            <w:hideMark/>
          </w:tcPr>
          <w:p w:rsidR="0055205D" w:rsidRPr="0055205D" w:rsidRDefault="0055205D" w:rsidP="0055205D">
            <w:r w:rsidRPr="0055205D">
              <w:rPr>
                <w:b/>
                <w:bCs/>
                <w:i/>
                <w:iCs/>
              </w:rPr>
              <w:t>6.4</w:t>
            </w:r>
          </w:p>
        </w:tc>
        <w:tc>
          <w:tcPr>
            <w:tcW w:w="0" w:type="auto"/>
            <w:vAlign w:val="center"/>
            <w:hideMark/>
          </w:tcPr>
          <w:p w:rsidR="0055205D" w:rsidRPr="0055205D" w:rsidRDefault="0055205D" w:rsidP="0055205D">
            <w:r w:rsidRPr="0055205D">
              <w:rPr>
                <w:b/>
                <w:bCs/>
                <w:i/>
                <w:iCs/>
              </w:rPr>
              <w:t>5.3-7.6</w:t>
            </w:r>
          </w:p>
        </w:tc>
        <w:tc>
          <w:tcPr>
            <w:tcW w:w="0" w:type="auto"/>
            <w:vAlign w:val="center"/>
            <w:hideMark/>
          </w:tcPr>
          <w:p w:rsidR="0055205D" w:rsidRPr="0055205D" w:rsidRDefault="0055205D" w:rsidP="0055205D">
            <w:r w:rsidRPr="0055205D">
              <w:rPr>
                <w:b/>
                <w:bCs/>
                <w:i/>
                <w:iCs/>
              </w:rPr>
              <w:t>0.014</w:t>
            </w:r>
          </w:p>
        </w:tc>
        <w:tc>
          <w:tcPr>
            <w:tcW w:w="0" w:type="auto"/>
            <w:vAlign w:val="center"/>
            <w:hideMark/>
          </w:tcPr>
          <w:p w:rsidR="0055205D" w:rsidRPr="0055205D" w:rsidRDefault="0055205D" w:rsidP="0055205D">
            <w:r w:rsidRPr="0055205D">
              <w:rPr>
                <w:b/>
                <w:bCs/>
                <w:i/>
                <w:iCs/>
              </w:rPr>
              <w:t>17</w:t>
            </w:r>
          </w:p>
        </w:tc>
        <w:tc>
          <w:tcPr>
            <w:tcW w:w="0" w:type="auto"/>
            <w:vAlign w:val="center"/>
            <w:hideMark/>
          </w:tcPr>
          <w:p w:rsidR="0055205D" w:rsidRPr="0055205D" w:rsidRDefault="0055205D" w:rsidP="0055205D">
            <w:r w:rsidRPr="0055205D">
              <w:rPr>
                <w:b/>
                <w:bCs/>
                <w:i/>
                <w:iCs/>
              </w:rPr>
              <w:t>819.8</w:t>
            </w:r>
          </w:p>
        </w:tc>
        <w:tc>
          <w:tcPr>
            <w:tcW w:w="0" w:type="auto"/>
            <w:vAlign w:val="center"/>
            <w:hideMark/>
          </w:tcPr>
          <w:p w:rsidR="0055205D" w:rsidRPr="0055205D" w:rsidRDefault="0055205D" w:rsidP="0055205D">
            <w:r w:rsidRPr="0055205D">
              <w:rPr>
                <w:b/>
                <w:bCs/>
                <w:i/>
                <w:iCs/>
              </w:rPr>
              <w:t>2.1</w:t>
            </w:r>
          </w:p>
        </w:tc>
        <w:tc>
          <w:tcPr>
            <w:tcW w:w="0" w:type="auto"/>
            <w:vAlign w:val="center"/>
            <w:hideMark/>
          </w:tcPr>
          <w:p w:rsidR="0055205D" w:rsidRPr="0055205D" w:rsidRDefault="0055205D" w:rsidP="0055205D">
            <w:r w:rsidRPr="0055205D">
              <w:rPr>
                <w:b/>
                <w:bCs/>
                <w:i/>
                <w:iCs/>
              </w:rPr>
              <w:t>1.3-3.3</w:t>
            </w:r>
          </w:p>
        </w:tc>
        <w:tc>
          <w:tcPr>
            <w:tcW w:w="0" w:type="auto"/>
            <w:vAlign w:val="center"/>
            <w:hideMark/>
          </w:tcPr>
          <w:p w:rsidR="0055205D" w:rsidRPr="0055205D" w:rsidRDefault="0055205D" w:rsidP="0055205D">
            <w:r w:rsidRPr="0055205D">
              <w:rPr>
                <w:b/>
                <w:bCs/>
                <w:i/>
                <w:iCs/>
              </w:rPr>
              <w:t>0.078</w:t>
            </w: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16-24 years</w:t>
            </w:r>
          </w:p>
        </w:tc>
        <w:tc>
          <w:tcPr>
            <w:tcW w:w="0" w:type="auto"/>
            <w:vAlign w:val="center"/>
            <w:hideMark/>
          </w:tcPr>
          <w:p w:rsidR="0055205D" w:rsidRPr="0055205D" w:rsidRDefault="0055205D" w:rsidP="0055205D">
            <w:r w:rsidRPr="0055205D">
              <w:t>104</w:t>
            </w:r>
          </w:p>
        </w:tc>
        <w:tc>
          <w:tcPr>
            <w:tcW w:w="0" w:type="auto"/>
            <w:vAlign w:val="center"/>
            <w:hideMark/>
          </w:tcPr>
          <w:p w:rsidR="0055205D" w:rsidRPr="0055205D" w:rsidRDefault="0055205D" w:rsidP="0055205D">
            <w:r w:rsidRPr="0055205D">
              <w:t>20.8</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33</w:t>
            </w:r>
          </w:p>
        </w:tc>
        <w:tc>
          <w:tcPr>
            <w:tcW w:w="0" w:type="auto"/>
            <w:vAlign w:val="center"/>
            <w:hideMark/>
          </w:tcPr>
          <w:p w:rsidR="0055205D" w:rsidRPr="0055205D" w:rsidRDefault="0055205D" w:rsidP="0055205D">
            <w:r w:rsidRPr="0055205D">
              <w:t>6.6</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10</w:t>
            </w:r>
          </w:p>
        </w:tc>
        <w:tc>
          <w:tcPr>
            <w:tcW w:w="0" w:type="auto"/>
            <w:vAlign w:val="center"/>
            <w:hideMark/>
          </w:tcPr>
          <w:p w:rsidR="0055205D" w:rsidRPr="0055205D" w:rsidRDefault="0055205D" w:rsidP="0055205D">
            <w:r w:rsidRPr="0055205D">
              <w:t>259.3</w:t>
            </w:r>
          </w:p>
        </w:tc>
        <w:tc>
          <w:tcPr>
            <w:tcW w:w="0" w:type="auto"/>
            <w:vAlign w:val="center"/>
            <w:hideMark/>
          </w:tcPr>
          <w:p w:rsidR="0055205D" w:rsidRPr="0055205D" w:rsidRDefault="0055205D" w:rsidP="0055205D">
            <w:r w:rsidRPr="0055205D">
              <w:t>3.9</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25-29 years</w:t>
            </w:r>
          </w:p>
        </w:tc>
        <w:tc>
          <w:tcPr>
            <w:tcW w:w="0" w:type="auto"/>
            <w:vAlign w:val="center"/>
            <w:hideMark/>
          </w:tcPr>
          <w:p w:rsidR="0055205D" w:rsidRPr="0055205D" w:rsidRDefault="0055205D" w:rsidP="0055205D">
            <w:r w:rsidRPr="0055205D">
              <w:t>135</w:t>
            </w:r>
          </w:p>
        </w:tc>
        <w:tc>
          <w:tcPr>
            <w:tcW w:w="0" w:type="auto"/>
            <w:vAlign w:val="center"/>
            <w:hideMark/>
          </w:tcPr>
          <w:p w:rsidR="0055205D" w:rsidRPr="0055205D" w:rsidRDefault="0055205D" w:rsidP="0055205D">
            <w:r w:rsidRPr="0055205D">
              <w:t>44.3</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34</w:t>
            </w:r>
          </w:p>
        </w:tc>
        <w:tc>
          <w:tcPr>
            <w:tcW w:w="0" w:type="auto"/>
            <w:vAlign w:val="center"/>
            <w:hideMark/>
          </w:tcPr>
          <w:p w:rsidR="0055205D" w:rsidRPr="0055205D" w:rsidRDefault="0055205D" w:rsidP="0055205D">
            <w:r w:rsidRPr="0055205D">
              <w:t>11.2</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3</w:t>
            </w:r>
          </w:p>
        </w:tc>
        <w:tc>
          <w:tcPr>
            <w:tcW w:w="0" w:type="auto"/>
            <w:vAlign w:val="center"/>
            <w:hideMark/>
          </w:tcPr>
          <w:p w:rsidR="0055205D" w:rsidRPr="0055205D" w:rsidRDefault="0055205D" w:rsidP="0055205D">
            <w:r w:rsidRPr="0055205D">
              <w:t>160.5</w:t>
            </w:r>
          </w:p>
        </w:tc>
        <w:tc>
          <w:tcPr>
            <w:tcW w:w="0" w:type="auto"/>
            <w:vAlign w:val="center"/>
            <w:hideMark/>
          </w:tcPr>
          <w:p w:rsidR="0055205D" w:rsidRPr="0055205D" w:rsidRDefault="0055205D" w:rsidP="0055205D">
            <w:r w:rsidRPr="0055205D">
              <w:t>1.9</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30-39 years</w:t>
            </w:r>
          </w:p>
        </w:tc>
        <w:tc>
          <w:tcPr>
            <w:tcW w:w="0" w:type="auto"/>
            <w:vAlign w:val="center"/>
            <w:hideMark/>
          </w:tcPr>
          <w:p w:rsidR="0055205D" w:rsidRPr="0055205D" w:rsidRDefault="0055205D" w:rsidP="0055205D">
            <w:r w:rsidRPr="0055205D">
              <w:t>242</w:t>
            </w:r>
          </w:p>
        </w:tc>
        <w:tc>
          <w:tcPr>
            <w:tcW w:w="0" w:type="auto"/>
            <w:vAlign w:val="center"/>
            <w:hideMark/>
          </w:tcPr>
          <w:p w:rsidR="0055205D" w:rsidRPr="0055205D" w:rsidRDefault="0055205D" w:rsidP="0055205D">
            <w:r w:rsidRPr="0055205D">
              <w:t>58.0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24</w:t>
            </w:r>
          </w:p>
        </w:tc>
        <w:tc>
          <w:tcPr>
            <w:tcW w:w="0" w:type="auto"/>
            <w:vAlign w:val="center"/>
            <w:hideMark/>
          </w:tcPr>
          <w:p w:rsidR="0055205D" w:rsidRPr="0055205D" w:rsidRDefault="0055205D" w:rsidP="0055205D">
            <w:r w:rsidRPr="0055205D">
              <w:t>5.8</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w:t>
            </w:r>
          </w:p>
        </w:tc>
        <w:tc>
          <w:tcPr>
            <w:tcW w:w="0" w:type="auto"/>
            <w:vAlign w:val="center"/>
            <w:hideMark/>
          </w:tcPr>
          <w:p w:rsidR="0055205D" w:rsidRPr="0055205D" w:rsidRDefault="0055205D" w:rsidP="0055205D">
            <w:r w:rsidRPr="0055205D">
              <w:t>180.2</w:t>
            </w:r>
          </w:p>
        </w:tc>
        <w:tc>
          <w:tcPr>
            <w:tcW w:w="0" w:type="auto"/>
            <w:vAlign w:val="center"/>
            <w:hideMark/>
          </w:tcPr>
          <w:p w:rsidR="0055205D" w:rsidRPr="0055205D" w:rsidRDefault="0055205D" w:rsidP="0055205D">
            <w:r w:rsidRPr="0055205D">
              <w:t>0.56</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≥40 years</w:t>
            </w:r>
          </w:p>
        </w:tc>
        <w:tc>
          <w:tcPr>
            <w:tcW w:w="0" w:type="auto"/>
            <w:vAlign w:val="center"/>
            <w:hideMark/>
          </w:tcPr>
          <w:p w:rsidR="0055205D" w:rsidRPr="0055205D" w:rsidRDefault="0055205D" w:rsidP="0055205D">
            <w:r w:rsidRPr="0055205D">
              <w:t>251</w:t>
            </w:r>
          </w:p>
        </w:tc>
        <w:tc>
          <w:tcPr>
            <w:tcW w:w="0" w:type="auto"/>
            <w:vAlign w:val="center"/>
            <w:hideMark/>
          </w:tcPr>
          <w:p w:rsidR="0055205D" w:rsidRPr="0055205D" w:rsidRDefault="0055205D" w:rsidP="0055205D">
            <w:r w:rsidRPr="0055205D">
              <w:t>51.5</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18</w:t>
            </w:r>
          </w:p>
        </w:tc>
        <w:tc>
          <w:tcPr>
            <w:tcW w:w="0" w:type="auto"/>
            <w:vAlign w:val="center"/>
            <w:hideMark/>
          </w:tcPr>
          <w:p w:rsidR="0055205D" w:rsidRPr="0055205D" w:rsidRDefault="0055205D" w:rsidP="0055205D">
            <w:r w:rsidRPr="0055205D">
              <w:t>3.7</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3</w:t>
            </w:r>
          </w:p>
        </w:tc>
        <w:tc>
          <w:tcPr>
            <w:tcW w:w="0" w:type="auto"/>
            <w:vAlign w:val="center"/>
            <w:hideMark/>
          </w:tcPr>
          <w:p w:rsidR="0055205D" w:rsidRPr="0055205D" w:rsidRDefault="0055205D" w:rsidP="0055205D">
            <w:r w:rsidRPr="0055205D">
              <w:t>219.8</w:t>
            </w:r>
          </w:p>
        </w:tc>
        <w:tc>
          <w:tcPr>
            <w:tcW w:w="0" w:type="auto"/>
            <w:vAlign w:val="center"/>
            <w:hideMark/>
          </w:tcPr>
          <w:p w:rsidR="0055205D" w:rsidRPr="0055205D" w:rsidRDefault="0055205D" w:rsidP="0055205D">
            <w:r w:rsidRPr="0055205D">
              <w:t>1.4</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gridSpan w:val="14"/>
            <w:vAlign w:val="center"/>
            <w:hideMark/>
          </w:tcPr>
          <w:p w:rsidR="0055205D" w:rsidRPr="0055205D" w:rsidRDefault="0055205D" w:rsidP="0055205D">
            <w:pPr>
              <w:rPr>
                <w:b/>
                <w:bCs/>
              </w:rPr>
            </w:pP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i/>
                <w:iCs/>
              </w:rPr>
              <w:t>Cocaine</w:t>
            </w:r>
          </w:p>
        </w:tc>
        <w:tc>
          <w:tcPr>
            <w:tcW w:w="0" w:type="auto"/>
            <w:vAlign w:val="center"/>
            <w:hideMark/>
          </w:tcPr>
          <w:p w:rsidR="0055205D" w:rsidRPr="0055205D" w:rsidRDefault="0055205D" w:rsidP="0055205D">
            <w:r w:rsidRPr="0055205D">
              <w:rPr>
                <w:b/>
                <w:bCs/>
                <w:i/>
                <w:iCs/>
              </w:rPr>
              <w:t>695</w:t>
            </w:r>
          </w:p>
        </w:tc>
        <w:tc>
          <w:tcPr>
            <w:tcW w:w="0" w:type="auto"/>
            <w:vAlign w:val="center"/>
            <w:hideMark/>
          </w:tcPr>
          <w:p w:rsidR="0055205D" w:rsidRPr="0055205D" w:rsidRDefault="0055205D" w:rsidP="0055205D">
            <w:r w:rsidRPr="0055205D">
              <w:rPr>
                <w:b/>
                <w:bCs/>
                <w:i/>
                <w:iCs/>
              </w:rPr>
              <w:t>40.6</w:t>
            </w:r>
          </w:p>
        </w:tc>
        <w:tc>
          <w:tcPr>
            <w:tcW w:w="0" w:type="auto"/>
            <w:vAlign w:val="center"/>
            <w:hideMark/>
          </w:tcPr>
          <w:p w:rsidR="0055205D" w:rsidRPr="0055205D" w:rsidRDefault="0055205D" w:rsidP="0055205D">
            <w:r w:rsidRPr="0055205D">
              <w:rPr>
                <w:b/>
                <w:bCs/>
                <w:i/>
                <w:iCs/>
              </w:rPr>
              <w:t>38.3-43.0</w:t>
            </w:r>
          </w:p>
        </w:tc>
        <w:tc>
          <w:tcPr>
            <w:tcW w:w="0" w:type="auto"/>
            <w:vAlign w:val="center"/>
            <w:hideMark/>
          </w:tcPr>
          <w:p w:rsidR="0055205D" w:rsidRPr="0055205D" w:rsidRDefault="0055205D" w:rsidP="0055205D">
            <w:r w:rsidRPr="0055205D">
              <w:rPr>
                <w:b/>
                <w:bCs/>
                <w:i/>
                <w:iCs/>
              </w:rPr>
              <w:t>&lt;0.001</w:t>
            </w:r>
          </w:p>
        </w:tc>
        <w:tc>
          <w:tcPr>
            <w:tcW w:w="0" w:type="auto"/>
            <w:vAlign w:val="center"/>
            <w:hideMark/>
          </w:tcPr>
          <w:p w:rsidR="0055205D" w:rsidRPr="0055205D" w:rsidRDefault="0055205D" w:rsidP="0055205D">
            <w:r w:rsidRPr="0055205D">
              <w:rPr>
                <w:b/>
                <w:bCs/>
                <w:i/>
                <w:iCs/>
              </w:rPr>
              <w:t>229</w:t>
            </w:r>
          </w:p>
        </w:tc>
        <w:tc>
          <w:tcPr>
            <w:tcW w:w="0" w:type="auto"/>
            <w:vAlign w:val="center"/>
            <w:hideMark/>
          </w:tcPr>
          <w:p w:rsidR="0055205D" w:rsidRPr="0055205D" w:rsidRDefault="0055205D" w:rsidP="0055205D">
            <w:r w:rsidRPr="0055205D">
              <w:rPr>
                <w:b/>
                <w:bCs/>
                <w:i/>
                <w:iCs/>
              </w:rPr>
              <w:t>13.4</w:t>
            </w:r>
          </w:p>
        </w:tc>
        <w:tc>
          <w:tcPr>
            <w:tcW w:w="0" w:type="auto"/>
            <w:vAlign w:val="center"/>
            <w:hideMark/>
          </w:tcPr>
          <w:p w:rsidR="0055205D" w:rsidRPr="0055205D" w:rsidRDefault="0055205D" w:rsidP="0055205D">
            <w:r w:rsidRPr="0055205D">
              <w:rPr>
                <w:b/>
                <w:bCs/>
                <w:i/>
                <w:iCs/>
              </w:rPr>
              <w:t>11.8-15.1</w:t>
            </w:r>
          </w:p>
        </w:tc>
        <w:tc>
          <w:tcPr>
            <w:tcW w:w="0" w:type="auto"/>
            <w:vAlign w:val="center"/>
            <w:hideMark/>
          </w:tcPr>
          <w:p w:rsidR="0055205D" w:rsidRPr="0055205D" w:rsidRDefault="0055205D" w:rsidP="0055205D">
            <w:r w:rsidRPr="0055205D">
              <w:rPr>
                <w:b/>
                <w:bCs/>
                <w:i/>
                <w:iCs/>
              </w:rPr>
              <w:t>0.344</w:t>
            </w:r>
          </w:p>
        </w:tc>
        <w:tc>
          <w:tcPr>
            <w:tcW w:w="0" w:type="auto"/>
            <w:vAlign w:val="center"/>
            <w:hideMark/>
          </w:tcPr>
          <w:p w:rsidR="0055205D" w:rsidRPr="0055205D" w:rsidRDefault="0055205D" w:rsidP="0055205D">
            <w:r w:rsidRPr="0055205D">
              <w:rPr>
                <w:b/>
                <w:bCs/>
                <w:i/>
                <w:iCs/>
              </w:rPr>
              <w:t>36</w:t>
            </w:r>
          </w:p>
        </w:tc>
        <w:tc>
          <w:tcPr>
            <w:tcW w:w="0" w:type="auto"/>
            <w:vAlign w:val="center"/>
            <w:hideMark/>
          </w:tcPr>
          <w:p w:rsidR="0055205D" w:rsidRPr="0055205D" w:rsidRDefault="0055205D" w:rsidP="0055205D">
            <w:r w:rsidRPr="0055205D">
              <w:rPr>
                <w:b/>
                <w:bCs/>
                <w:i/>
                <w:iCs/>
              </w:rPr>
              <w:t>838.9</w:t>
            </w:r>
          </w:p>
        </w:tc>
        <w:tc>
          <w:tcPr>
            <w:tcW w:w="0" w:type="auto"/>
            <w:vAlign w:val="center"/>
            <w:hideMark/>
          </w:tcPr>
          <w:p w:rsidR="0055205D" w:rsidRPr="0055205D" w:rsidRDefault="0055205D" w:rsidP="0055205D">
            <w:r w:rsidRPr="0055205D">
              <w:rPr>
                <w:b/>
                <w:bCs/>
                <w:i/>
                <w:iCs/>
              </w:rPr>
              <w:t>4.3</w:t>
            </w:r>
          </w:p>
        </w:tc>
        <w:tc>
          <w:tcPr>
            <w:tcW w:w="0" w:type="auto"/>
            <w:vAlign w:val="center"/>
            <w:hideMark/>
          </w:tcPr>
          <w:p w:rsidR="0055205D" w:rsidRPr="0055205D" w:rsidRDefault="0055205D" w:rsidP="0055205D">
            <w:r w:rsidRPr="0055205D">
              <w:rPr>
                <w:b/>
                <w:bCs/>
                <w:i/>
                <w:iCs/>
              </w:rPr>
              <w:t>3.1-6.0</w:t>
            </w:r>
          </w:p>
        </w:tc>
        <w:tc>
          <w:tcPr>
            <w:tcW w:w="0" w:type="auto"/>
            <w:vAlign w:val="center"/>
            <w:hideMark/>
          </w:tcPr>
          <w:p w:rsidR="0055205D" w:rsidRPr="0055205D" w:rsidRDefault="0055205D" w:rsidP="0055205D">
            <w:r w:rsidRPr="0055205D">
              <w:rPr>
                <w:b/>
                <w:bCs/>
                <w:i/>
                <w:iCs/>
              </w:rPr>
              <w:t>0.003</w:t>
            </w: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lastRenderedPageBreak/>
              <w:t> 16-24 years</w:t>
            </w:r>
          </w:p>
        </w:tc>
        <w:tc>
          <w:tcPr>
            <w:tcW w:w="0" w:type="auto"/>
            <w:vAlign w:val="center"/>
            <w:hideMark/>
          </w:tcPr>
          <w:p w:rsidR="0055205D" w:rsidRPr="0055205D" w:rsidRDefault="0055205D" w:rsidP="0055205D">
            <w:r w:rsidRPr="0055205D">
              <w:t>98</w:t>
            </w:r>
          </w:p>
        </w:tc>
        <w:tc>
          <w:tcPr>
            <w:tcW w:w="0" w:type="auto"/>
            <w:vAlign w:val="center"/>
            <w:hideMark/>
          </w:tcPr>
          <w:p w:rsidR="0055205D" w:rsidRPr="0055205D" w:rsidRDefault="0055205D" w:rsidP="0055205D">
            <w:r w:rsidRPr="0055205D">
              <w:t>19.6</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42</w:t>
            </w:r>
          </w:p>
        </w:tc>
        <w:tc>
          <w:tcPr>
            <w:tcW w:w="0" w:type="auto"/>
            <w:vAlign w:val="center"/>
            <w:hideMark/>
          </w:tcPr>
          <w:p w:rsidR="0055205D" w:rsidRPr="0055205D" w:rsidRDefault="0055205D" w:rsidP="0055205D">
            <w:r w:rsidRPr="0055205D">
              <w:t>8.4</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20</w:t>
            </w:r>
          </w:p>
        </w:tc>
        <w:tc>
          <w:tcPr>
            <w:tcW w:w="0" w:type="auto"/>
            <w:vAlign w:val="center"/>
            <w:hideMark/>
          </w:tcPr>
          <w:p w:rsidR="0055205D" w:rsidRPr="0055205D" w:rsidRDefault="0055205D" w:rsidP="0055205D">
            <w:r w:rsidRPr="0055205D">
              <w:t>254.4</w:t>
            </w:r>
          </w:p>
        </w:tc>
        <w:tc>
          <w:tcPr>
            <w:tcW w:w="0" w:type="auto"/>
            <w:vAlign w:val="center"/>
            <w:hideMark/>
          </w:tcPr>
          <w:p w:rsidR="0055205D" w:rsidRPr="0055205D" w:rsidRDefault="0055205D" w:rsidP="0055205D">
            <w:r w:rsidRPr="0055205D">
              <w:t>7.9</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25-29 years</w:t>
            </w:r>
          </w:p>
        </w:tc>
        <w:tc>
          <w:tcPr>
            <w:tcW w:w="0" w:type="auto"/>
            <w:vAlign w:val="center"/>
            <w:hideMark/>
          </w:tcPr>
          <w:p w:rsidR="0055205D" w:rsidRPr="0055205D" w:rsidRDefault="0055205D" w:rsidP="0055205D">
            <w:r w:rsidRPr="0055205D">
              <w:t>141</w:t>
            </w:r>
          </w:p>
        </w:tc>
        <w:tc>
          <w:tcPr>
            <w:tcW w:w="0" w:type="auto"/>
            <w:vAlign w:val="center"/>
            <w:hideMark/>
          </w:tcPr>
          <w:p w:rsidR="0055205D" w:rsidRPr="0055205D" w:rsidRDefault="0055205D" w:rsidP="0055205D">
            <w:r w:rsidRPr="0055205D">
              <w:t>46.2</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61</w:t>
            </w:r>
          </w:p>
        </w:tc>
        <w:tc>
          <w:tcPr>
            <w:tcW w:w="0" w:type="auto"/>
            <w:vAlign w:val="center"/>
            <w:hideMark/>
          </w:tcPr>
          <w:p w:rsidR="0055205D" w:rsidRPr="0055205D" w:rsidRDefault="0055205D" w:rsidP="0055205D">
            <w:r w:rsidRPr="0055205D">
              <w:t>20.0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6</w:t>
            </w:r>
          </w:p>
        </w:tc>
        <w:tc>
          <w:tcPr>
            <w:tcW w:w="0" w:type="auto"/>
            <w:vAlign w:val="center"/>
            <w:hideMark/>
          </w:tcPr>
          <w:p w:rsidR="0055205D" w:rsidRPr="0055205D" w:rsidRDefault="0055205D" w:rsidP="0055205D">
            <w:r w:rsidRPr="0055205D">
              <w:t>154.9</w:t>
            </w:r>
          </w:p>
        </w:tc>
        <w:tc>
          <w:tcPr>
            <w:tcW w:w="0" w:type="auto"/>
            <w:vAlign w:val="center"/>
            <w:hideMark/>
          </w:tcPr>
          <w:p w:rsidR="0055205D" w:rsidRPr="0055205D" w:rsidRDefault="0055205D" w:rsidP="0055205D">
            <w:r w:rsidRPr="0055205D">
              <w:t>3.9</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30-39 years</w:t>
            </w:r>
          </w:p>
        </w:tc>
        <w:tc>
          <w:tcPr>
            <w:tcW w:w="0" w:type="auto"/>
            <w:vAlign w:val="center"/>
            <w:hideMark/>
          </w:tcPr>
          <w:p w:rsidR="0055205D" w:rsidRPr="0055205D" w:rsidRDefault="0055205D" w:rsidP="0055205D">
            <w:r w:rsidRPr="0055205D">
              <w:t>224</w:t>
            </w:r>
          </w:p>
        </w:tc>
        <w:tc>
          <w:tcPr>
            <w:tcW w:w="0" w:type="auto"/>
            <w:vAlign w:val="center"/>
            <w:hideMark/>
          </w:tcPr>
          <w:p w:rsidR="0055205D" w:rsidRPr="0055205D" w:rsidRDefault="0055205D" w:rsidP="0055205D">
            <w:r w:rsidRPr="0055205D">
              <w:t>53.7</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75</w:t>
            </w:r>
          </w:p>
        </w:tc>
        <w:tc>
          <w:tcPr>
            <w:tcW w:w="0" w:type="auto"/>
            <w:vAlign w:val="center"/>
            <w:hideMark/>
          </w:tcPr>
          <w:p w:rsidR="0055205D" w:rsidRPr="0055205D" w:rsidRDefault="0055205D" w:rsidP="0055205D">
            <w:r w:rsidRPr="0055205D">
              <w:t>18.0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5</w:t>
            </w:r>
          </w:p>
        </w:tc>
        <w:tc>
          <w:tcPr>
            <w:tcW w:w="0" w:type="auto"/>
            <w:vAlign w:val="center"/>
            <w:hideMark/>
          </w:tcPr>
          <w:p w:rsidR="0055205D" w:rsidRPr="0055205D" w:rsidRDefault="0055205D" w:rsidP="0055205D">
            <w:r w:rsidRPr="0055205D">
              <w:t>196.4</w:t>
            </w:r>
          </w:p>
        </w:tc>
        <w:tc>
          <w:tcPr>
            <w:tcW w:w="0" w:type="auto"/>
            <w:vAlign w:val="center"/>
            <w:hideMark/>
          </w:tcPr>
          <w:p w:rsidR="0055205D" w:rsidRPr="0055205D" w:rsidRDefault="0055205D" w:rsidP="0055205D">
            <w:r w:rsidRPr="0055205D">
              <w:t>2.5</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≥40 years</w:t>
            </w:r>
          </w:p>
        </w:tc>
        <w:tc>
          <w:tcPr>
            <w:tcW w:w="0" w:type="auto"/>
            <w:vAlign w:val="center"/>
            <w:hideMark/>
          </w:tcPr>
          <w:p w:rsidR="0055205D" w:rsidRPr="0055205D" w:rsidRDefault="0055205D" w:rsidP="0055205D">
            <w:r w:rsidRPr="0055205D">
              <w:t>232</w:t>
            </w:r>
          </w:p>
        </w:tc>
        <w:tc>
          <w:tcPr>
            <w:tcW w:w="0" w:type="auto"/>
            <w:vAlign w:val="center"/>
            <w:hideMark/>
          </w:tcPr>
          <w:p w:rsidR="0055205D" w:rsidRPr="0055205D" w:rsidRDefault="0055205D" w:rsidP="0055205D">
            <w:r w:rsidRPr="0055205D">
              <w:t>47.6</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51</w:t>
            </w:r>
          </w:p>
        </w:tc>
        <w:tc>
          <w:tcPr>
            <w:tcW w:w="0" w:type="auto"/>
            <w:vAlign w:val="center"/>
            <w:hideMark/>
          </w:tcPr>
          <w:p w:rsidR="0055205D" w:rsidRPr="0055205D" w:rsidRDefault="0055205D" w:rsidP="0055205D">
            <w:r w:rsidRPr="0055205D">
              <w:t>10.5</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5</w:t>
            </w:r>
          </w:p>
        </w:tc>
        <w:tc>
          <w:tcPr>
            <w:tcW w:w="0" w:type="auto"/>
            <w:vAlign w:val="center"/>
            <w:hideMark/>
          </w:tcPr>
          <w:p w:rsidR="0055205D" w:rsidRPr="0055205D" w:rsidRDefault="0055205D" w:rsidP="0055205D">
            <w:r w:rsidRPr="0055205D">
              <w:t>233.2</w:t>
            </w:r>
          </w:p>
        </w:tc>
        <w:tc>
          <w:tcPr>
            <w:tcW w:w="0" w:type="auto"/>
            <w:vAlign w:val="center"/>
            <w:hideMark/>
          </w:tcPr>
          <w:p w:rsidR="0055205D" w:rsidRPr="0055205D" w:rsidRDefault="0055205D" w:rsidP="0055205D">
            <w:r w:rsidRPr="0055205D">
              <w:t>2.1</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gridSpan w:val="14"/>
            <w:vAlign w:val="center"/>
            <w:hideMark/>
          </w:tcPr>
          <w:p w:rsidR="0055205D" w:rsidRPr="0055205D" w:rsidRDefault="0055205D" w:rsidP="0055205D">
            <w:pPr>
              <w:rPr>
                <w:b/>
                <w:bCs/>
              </w:rPr>
            </w:pP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i/>
                <w:iCs/>
              </w:rPr>
              <w:t>Crystal methamphetamine (Crystal)</w:t>
            </w:r>
          </w:p>
        </w:tc>
        <w:tc>
          <w:tcPr>
            <w:tcW w:w="0" w:type="auto"/>
            <w:vAlign w:val="center"/>
            <w:hideMark/>
          </w:tcPr>
          <w:p w:rsidR="0055205D" w:rsidRPr="0055205D" w:rsidRDefault="0055205D" w:rsidP="0055205D">
            <w:r w:rsidRPr="0055205D">
              <w:rPr>
                <w:b/>
                <w:bCs/>
                <w:i/>
                <w:iCs/>
              </w:rPr>
              <w:t>507</w:t>
            </w:r>
          </w:p>
        </w:tc>
        <w:tc>
          <w:tcPr>
            <w:tcW w:w="0" w:type="auto"/>
            <w:vAlign w:val="center"/>
            <w:hideMark/>
          </w:tcPr>
          <w:p w:rsidR="0055205D" w:rsidRPr="0055205D" w:rsidRDefault="0055205D" w:rsidP="0055205D">
            <w:r w:rsidRPr="0055205D">
              <w:rPr>
                <w:b/>
                <w:bCs/>
                <w:i/>
                <w:iCs/>
              </w:rPr>
              <w:t>29.7</w:t>
            </w:r>
          </w:p>
        </w:tc>
        <w:tc>
          <w:tcPr>
            <w:tcW w:w="0" w:type="auto"/>
            <w:vAlign w:val="center"/>
            <w:hideMark/>
          </w:tcPr>
          <w:p w:rsidR="0055205D" w:rsidRPr="0055205D" w:rsidRDefault="0055205D" w:rsidP="0055205D">
            <w:r w:rsidRPr="0055205D">
              <w:rPr>
                <w:b/>
                <w:bCs/>
                <w:i/>
                <w:iCs/>
              </w:rPr>
              <w:t>27.5-31.9</w:t>
            </w:r>
          </w:p>
        </w:tc>
        <w:tc>
          <w:tcPr>
            <w:tcW w:w="0" w:type="auto"/>
            <w:vAlign w:val="center"/>
            <w:hideMark/>
          </w:tcPr>
          <w:p w:rsidR="0055205D" w:rsidRPr="0055205D" w:rsidRDefault="0055205D" w:rsidP="0055205D">
            <w:r w:rsidRPr="0055205D">
              <w:rPr>
                <w:b/>
                <w:bCs/>
                <w:i/>
                <w:iCs/>
              </w:rPr>
              <w:t>&lt;0.001</w:t>
            </w:r>
          </w:p>
        </w:tc>
        <w:tc>
          <w:tcPr>
            <w:tcW w:w="0" w:type="auto"/>
            <w:vAlign w:val="center"/>
            <w:hideMark/>
          </w:tcPr>
          <w:p w:rsidR="0055205D" w:rsidRPr="0055205D" w:rsidRDefault="0055205D" w:rsidP="0055205D">
            <w:r w:rsidRPr="0055205D">
              <w:rPr>
                <w:b/>
                <w:bCs/>
                <w:i/>
                <w:iCs/>
              </w:rPr>
              <w:t>224</w:t>
            </w:r>
          </w:p>
        </w:tc>
        <w:tc>
          <w:tcPr>
            <w:tcW w:w="0" w:type="auto"/>
            <w:vAlign w:val="center"/>
            <w:hideMark/>
          </w:tcPr>
          <w:p w:rsidR="0055205D" w:rsidRPr="0055205D" w:rsidRDefault="0055205D" w:rsidP="0055205D">
            <w:r w:rsidRPr="0055205D">
              <w:rPr>
                <w:b/>
                <w:bCs/>
                <w:i/>
                <w:iCs/>
              </w:rPr>
              <w:t>13.1</w:t>
            </w:r>
          </w:p>
        </w:tc>
        <w:tc>
          <w:tcPr>
            <w:tcW w:w="0" w:type="auto"/>
            <w:vAlign w:val="center"/>
            <w:hideMark/>
          </w:tcPr>
          <w:p w:rsidR="0055205D" w:rsidRPr="0055205D" w:rsidRDefault="0055205D" w:rsidP="0055205D">
            <w:r w:rsidRPr="0055205D">
              <w:rPr>
                <w:b/>
                <w:bCs/>
                <w:i/>
                <w:iCs/>
              </w:rPr>
              <w:t>11.6-14.8</w:t>
            </w:r>
          </w:p>
        </w:tc>
        <w:tc>
          <w:tcPr>
            <w:tcW w:w="0" w:type="auto"/>
            <w:vAlign w:val="center"/>
            <w:hideMark/>
          </w:tcPr>
          <w:p w:rsidR="0055205D" w:rsidRPr="0055205D" w:rsidRDefault="0055205D" w:rsidP="0055205D">
            <w:r w:rsidRPr="0055205D">
              <w:rPr>
                <w:b/>
                <w:bCs/>
                <w:i/>
                <w:iCs/>
              </w:rPr>
              <w:t>&lt;0.001</w:t>
            </w:r>
          </w:p>
        </w:tc>
        <w:tc>
          <w:tcPr>
            <w:tcW w:w="0" w:type="auto"/>
            <w:vAlign w:val="center"/>
            <w:hideMark/>
          </w:tcPr>
          <w:p w:rsidR="0055205D" w:rsidRPr="0055205D" w:rsidRDefault="0055205D" w:rsidP="0055205D">
            <w:r w:rsidRPr="0055205D">
              <w:rPr>
                <w:b/>
                <w:bCs/>
                <w:i/>
                <w:iCs/>
              </w:rPr>
              <w:t>27</w:t>
            </w:r>
          </w:p>
        </w:tc>
        <w:tc>
          <w:tcPr>
            <w:tcW w:w="0" w:type="auto"/>
            <w:vAlign w:val="center"/>
            <w:hideMark/>
          </w:tcPr>
          <w:p w:rsidR="0055205D" w:rsidRPr="0055205D" w:rsidRDefault="0055205D" w:rsidP="0055205D">
            <w:r w:rsidRPr="0055205D">
              <w:rPr>
                <w:b/>
                <w:bCs/>
                <w:i/>
                <w:iCs/>
              </w:rPr>
              <w:t>1005.6</w:t>
            </w:r>
          </w:p>
        </w:tc>
        <w:tc>
          <w:tcPr>
            <w:tcW w:w="0" w:type="auto"/>
            <w:vAlign w:val="center"/>
            <w:hideMark/>
          </w:tcPr>
          <w:p w:rsidR="0055205D" w:rsidRPr="0055205D" w:rsidRDefault="0055205D" w:rsidP="0055205D">
            <w:r w:rsidRPr="0055205D">
              <w:rPr>
                <w:b/>
                <w:bCs/>
                <w:i/>
                <w:iCs/>
              </w:rPr>
              <w:t>2.7</w:t>
            </w:r>
          </w:p>
        </w:tc>
        <w:tc>
          <w:tcPr>
            <w:tcW w:w="0" w:type="auto"/>
            <w:vAlign w:val="center"/>
            <w:hideMark/>
          </w:tcPr>
          <w:p w:rsidR="0055205D" w:rsidRPr="0055205D" w:rsidRDefault="0055205D" w:rsidP="0055205D">
            <w:r w:rsidRPr="0055205D">
              <w:rPr>
                <w:b/>
                <w:bCs/>
                <w:i/>
                <w:iCs/>
              </w:rPr>
              <w:t>1.8-3.9</w:t>
            </w:r>
          </w:p>
        </w:tc>
        <w:tc>
          <w:tcPr>
            <w:tcW w:w="0" w:type="auto"/>
            <w:vAlign w:val="center"/>
            <w:hideMark/>
          </w:tcPr>
          <w:p w:rsidR="0055205D" w:rsidRPr="0055205D" w:rsidRDefault="0055205D" w:rsidP="0055205D">
            <w:r w:rsidRPr="0055205D">
              <w:rPr>
                <w:b/>
                <w:bCs/>
                <w:i/>
                <w:iCs/>
              </w:rPr>
              <w:t>0.240</w:t>
            </w: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16-24 years</w:t>
            </w:r>
          </w:p>
        </w:tc>
        <w:tc>
          <w:tcPr>
            <w:tcW w:w="0" w:type="auto"/>
            <w:vAlign w:val="center"/>
            <w:hideMark/>
          </w:tcPr>
          <w:p w:rsidR="0055205D" w:rsidRPr="0055205D" w:rsidRDefault="0055205D" w:rsidP="0055205D">
            <w:r w:rsidRPr="0055205D">
              <w:t>53</w:t>
            </w:r>
          </w:p>
        </w:tc>
        <w:tc>
          <w:tcPr>
            <w:tcW w:w="0" w:type="auto"/>
            <w:vAlign w:val="center"/>
            <w:hideMark/>
          </w:tcPr>
          <w:p w:rsidR="0055205D" w:rsidRPr="0055205D" w:rsidRDefault="0055205D" w:rsidP="0055205D">
            <w:r w:rsidRPr="0055205D">
              <w:t>10.6</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25</w:t>
            </w:r>
          </w:p>
        </w:tc>
        <w:tc>
          <w:tcPr>
            <w:tcW w:w="0" w:type="auto"/>
            <w:vAlign w:val="center"/>
            <w:hideMark/>
          </w:tcPr>
          <w:p w:rsidR="0055205D" w:rsidRPr="0055205D" w:rsidRDefault="0055205D" w:rsidP="0055205D">
            <w:r w:rsidRPr="0055205D">
              <w:t>5.0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12</w:t>
            </w:r>
          </w:p>
        </w:tc>
        <w:tc>
          <w:tcPr>
            <w:tcW w:w="0" w:type="auto"/>
            <w:vAlign w:val="center"/>
            <w:hideMark/>
          </w:tcPr>
          <w:p w:rsidR="0055205D" w:rsidRPr="0055205D" w:rsidRDefault="0055205D" w:rsidP="0055205D">
            <w:r w:rsidRPr="0055205D">
              <w:t>285.6</w:t>
            </w:r>
          </w:p>
        </w:tc>
        <w:tc>
          <w:tcPr>
            <w:tcW w:w="0" w:type="auto"/>
            <w:vAlign w:val="center"/>
            <w:hideMark/>
          </w:tcPr>
          <w:p w:rsidR="0055205D" w:rsidRPr="0055205D" w:rsidRDefault="0055205D" w:rsidP="0055205D">
            <w:r w:rsidRPr="0055205D">
              <w:t>4.2</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25-29 years</w:t>
            </w:r>
          </w:p>
        </w:tc>
        <w:tc>
          <w:tcPr>
            <w:tcW w:w="0" w:type="auto"/>
            <w:vAlign w:val="center"/>
            <w:hideMark/>
          </w:tcPr>
          <w:p w:rsidR="0055205D" w:rsidRPr="0055205D" w:rsidRDefault="0055205D" w:rsidP="0055205D">
            <w:r w:rsidRPr="0055205D">
              <w:t>79</w:t>
            </w:r>
          </w:p>
        </w:tc>
        <w:tc>
          <w:tcPr>
            <w:tcW w:w="0" w:type="auto"/>
            <w:vAlign w:val="center"/>
            <w:hideMark/>
          </w:tcPr>
          <w:p w:rsidR="0055205D" w:rsidRPr="0055205D" w:rsidRDefault="0055205D" w:rsidP="0055205D">
            <w:r w:rsidRPr="0055205D">
              <w:t>25.9</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49</w:t>
            </w:r>
          </w:p>
        </w:tc>
        <w:tc>
          <w:tcPr>
            <w:tcW w:w="0" w:type="auto"/>
            <w:vAlign w:val="center"/>
            <w:hideMark/>
          </w:tcPr>
          <w:p w:rsidR="0055205D" w:rsidRPr="0055205D" w:rsidRDefault="0055205D" w:rsidP="0055205D">
            <w:r w:rsidRPr="0055205D">
              <w:t>13.1</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5</w:t>
            </w:r>
          </w:p>
        </w:tc>
        <w:tc>
          <w:tcPr>
            <w:tcW w:w="0" w:type="auto"/>
            <w:vAlign w:val="center"/>
            <w:hideMark/>
          </w:tcPr>
          <w:p w:rsidR="0055205D" w:rsidRPr="0055205D" w:rsidRDefault="0055205D" w:rsidP="0055205D">
            <w:r w:rsidRPr="0055205D">
              <w:t>204.9</w:t>
            </w:r>
          </w:p>
        </w:tc>
        <w:tc>
          <w:tcPr>
            <w:tcW w:w="0" w:type="auto"/>
            <w:vAlign w:val="center"/>
            <w:hideMark/>
          </w:tcPr>
          <w:p w:rsidR="0055205D" w:rsidRPr="0055205D" w:rsidRDefault="0055205D" w:rsidP="0055205D">
            <w:r w:rsidRPr="0055205D">
              <w:t>2.4</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30-39 years</w:t>
            </w:r>
          </w:p>
        </w:tc>
        <w:tc>
          <w:tcPr>
            <w:tcW w:w="0" w:type="auto"/>
            <w:vAlign w:val="center"/>
            <w:hideMark/>
          </w:tcPr>
          <w:p w:rsidR="0055205D" w:rsidRPr="0055205D" w:rsidRDefault="0055205D" w:rsidP="0055205D">
            <w:r w:rsidRPr="0055205D">
              <w:t>184</w:t>
            </w:r>
          </w:p>
        </w:tc>
        <w:tc>
          <w:tcPr>
            <w:tcW w:w="0" w:type="auto"/>
            <w:vAlign w:val="center"/>
            <w:hideMark/>
          </w:tcPr>
          <w:p w:rsidR="0055205D" w:rsidRPr="0055205D" w:rsidRDefault="0055205D" w:rsidP="0055205D">
            <w:r w:rsidRPr="0055205D">
              <w:t>44.1</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75</w:t>
            </w:r>
          </w:p>
        </w:tc>
        <w:tc>
          <w:tcPr>
            <w:tcW w:w="0" w:type="auto"/>
            <w:vAlign w:val="center"/>
            <w:hideMark/>
          </w:tcPr>
          <w:p w:rsidR="0055205D" w:rsidRPr="0055205D" w:rsidRDefault="0055205D" w:rsidP="0055205D">
            <w:r w:rsidRPr="0055205D">
              <w:t>18.0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2</w:t>
            </w:r>
          </w:p>
        </w:tc>
        <w:tc>
          <w:tcPr>
            <w:tcW w:w="0" w:type="auto"/>
            <w:vAlign w:val="center"/>
            <w:hideMark/>
          </w:tcPr>
          <w:p w:rsidR="0055205D" w:rsidRPr="0055205D" w:rsidRDefault="0055205D" w:rsidP="0055205D">
            <w:r w:rsidRPr="0055205D">
              <w:t>242.1</w:t>
            </w:r>
          </w:p>
        </w:tc>
        <w:tc>
          <w:tcPr>
            <w:tcW w:w="0" w:type="auto"/>
            <w:vAlign w:val="center"/>
            <w:hideMark/>
          </w:tcPr>
          <w:p w:rsidR="0055205D" w:rsidRPr="0055205D" w:rsidRDefault="0055205D" w:rsidP="0055205D">
            <w:r w:rsidRPr="0055205D">
              <w:t>0.83</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≥40 years</w:t>
            </w:r>
          </w:p>
        </w:tc>
        <w:tc>
          <w:tcPr>
            <w:tcW w:w="0" w:type="auto"/>
            <w:vAlign w:val="center"/>
            <w:hideMark/>
          </w:tcPr>
          <w:p w:rsidR="0055205D" w:rsidRPr="0055205D" w:rsidRDefault="0055205D" w:rsidP="0055205D">
            <w:r w:rsidRPr="0055205D">
              <w:t>191</w:t>
            </w:r>
          </w:p>
        </w:tc>
        <w:tc>
          <w:tcPr>
            <w:tcW w:w="0" w:type="auto"/>
            <w:vAlign w:val="center"/>
            <w:hideMark/>
          </w:tcPr>
          <w:p w:rsidR="0055205D" w:rsidRPr="0055205D" w:rsidRDefault="0055205D" w:rsidP="0055205D">
            <w:r w:rsidRPr="0055205D">
              <w:t>39.2</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84</w:t>
            </w:r>
          </w:p>
        </w:tc>
        <w:tc>
          <w:tcPr>
            <w:tcW w:w="0" w:type="auto"/>
            <w:vAlign w:val="center"/>
            <w:hideMark/>
          </w:tcPr>
          <w:p w:rsidR="0055205D" w:rsidRPr="0055205D" w:rsidRDefault="0055205D" w:rsidP="0055205D">
            <w:r w:rsidRPr="0055205D">
              <w:t>17.3</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8</w:t>
            </w:r>
          </w:p>
        </w:tc>
        <w:tc>
          <w:tcPr>
            <w:tcW w:w="0" w:type="auto"/>
            <w:vAlign w:val="center"/>
            <w:hideMark/>
          </w:tcPr>
          <w:p w:rsidR="0055205D" w:rsidRPr="0055205D" w:rsidRDefault="0055205D" w:rsidP="0055205D">
            <w:r w:rsidRPr="0055205D">
              <w:t>273.1</w:t>
            </w:r>
          </w:p>
        </w:tc>
        <w:tc>
          <w:tcPr>
            <w:tcW w:w="0" w:type="auto"/>
            <w:vAlign w:val="center"/>
            <w:hideMark/>
          </w:tcPr>
          <w:p w:rsidR="0055205D" w:rsidRPr="0055205D" w:rsidRDefault="0055205D" w:rsidP="0055205D">
            <w:r w:rsidRPr="0055205D">
              <w:t>2.9</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gridSpan w:val="14"/>
            <w:vAlign w:val="center"/>
            <w:hideMark/>
          </w:tcPr>
          <w:p w:rsidR="0055205D" w:rsidRPr="0055205D" w:rsidRDefault="0055205D" w:rsidP="0055205D">
            <w:pPr>
              <w:rPr>
                <w:b/>
                <w:bCs/>
              </w:rPr>
            </w:pP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i/>
                <w:iCs/>
              </w:rPr>
              <w:t>Ketamine</w:t>
            </w:r>
          </w:p>
        </w:tc>
        <w:tc>
          <w:tcPr>
            <w:tcW w:w="0" w:type="auto"/>
            <w:vAlign w:val="center"/>
            <w:hideMark/>
          </w:tcPr>
          <w:p w:rsidR="0055205D" w:rsidRPr="0055205D" w:rsidRDefault="0055205D" w:rsidP="0055205D">
            <w:r w:rsidRPr="0055205D">
              <w:rPr>
                <w:b/>
                <w:bCs/>
                <w:i/>
                <w:iCs/>
              </w:rPr>
              <w:t>422</w:t>
            </w:r>
          </w:p>
        </w:tc>
        <w:tc>
          <w:tcPr>
            <w:tcW w:w="0" w:type="auto"/>
            <w:vAlign w:val="center"/>
            <w:hideMark/>
          </w:tcPr>
          <w:p w:rsidR="0055205D" w:rsidRPr="0055205D" w:rsidRDefault="0055205D" w:rsidP="0055205D">
            <w:r w:rsidRPr="0055205D">
              <w:rPr>
                <w:b/>
                <w:bCs/>
                <w:i/>
                <w:iCs/>
              </w:rPr>
              <w:t>24.7</w:t>
            </w:r>
          </w:p>
        </w:tc>
        <w:tc>
          <w:tcPr>
            <w:tcW w:w="0" w:type="auto"/>
            <w:vAlign w:val="center"/>
            <w:hideMark/>
          </w:tcPr>
          <w:p w:rsidR="0055205D" w:rsidRPr="0055205D" w:rsidRDefault="0055205D" w:rsidP="0055205D">
            <w:r w:rsidRPr="0055205D">
              <w:rPr>
                <w:b/>
                <w:bCs/>
                <w:i/>
                <w:iCs/>
              </w:rPr>
              <w:t>22.7-26.8</w:t>
            </w:r>
          </w:p>
        </w:tc>
        <w:tc>
          <w:tcPr>
            <w:tcW w:w="0" w:type="auto"/>
            <w:vAlign w:val="center"/>
            <w:hideMark/>
          </w:tcPr>
          <w:p w:rsidR="0055205D" w:rsidRPr="0055205D" w:rsidRDefault="0055205D" w:rsidP="0055205D">
            <w:r w:rsidRPr="0055205D">
              <w:rPr>
                <w:b/>
                <w:bCs/>
                <w:i/>
                <w:iCs/>
              </w:rPr>
              <w:t>&lt;0.001</w:t>
            </w:r>
          </w:p>
        </w:tc>
        <w:tc>
          <w:tcPr>
            <w:tcW w:w="0" w:type="auto"/>
            <w:vAlign w:val="center"/>
            <w:hideMark/>
          </w:tcPr>
          <w:p w:rsidR="0055205D" w:rsidRPr="0055205D" w:rsidRDefault="0055205D" w:rsidP="0055205D">
            <w:r w:rsidRPr="0055205D">
              <w:rPr>
                <w:b/>
                <w:bCs/>
                <w:i/>
                <w:iCs/>
              </w:rPr>
              <w:t>74</w:t>
            </w:r>
          </w:p>
        </w:tc>
        <w:tc>
          <w:tcPr>
            <w:tcW w:w="0" w:type="auto"/>
            <w:vAlign w:val="center"/>
            <w:hideMark/>
          </w:tcPr>
          <w:p w:rsidR="0055205D" w:rsidRPr="0055205D" w:rsidRDefault="0055205D" w:rsidP="0055205D">
            <w:r w:rsidRPr="0055205D">
              <w:rPr>
                <w:b/>
                <w:bCs/>
                <w:i/>
                <w:iCs/>
              </w:rPr>
              <w:t>4.3</w:t>
            </w:r>
          </w:p>
        </w:tc>
        <w:tc>
          <w:tcPr>
            <w:tcW w:w="0" w:type="auto"/>
            <w:vAlign w:val="center"/>
            <w:hideMark/>
          </w:tcPr>
          <w:p w:rsidR="0055205D" w:rsidRPr="0055205D" w:rsidRDefault="0055205D" w:rsidP="0055205D">
            <w:r w:rsidRPr="0055205D">
              <w:rPr>
                <w:b/>
                <w:bCs/>
                <w:i/>
                <w:iCs/>
              </w:rPr>
              <w:t>3.4-5.4</w:t>
            </w:r>
          </w:p>
        </w:tc>
        <w:tc>
          <w:tcPr>
            <w:tcW w:w="0" w:type="auto"/>
            <w:vAlign w:val="center"/>
            <w:hideMark/>
          </w:tcPr>
          <w:p w:rsidR="0055205D" w:rsidRPr="0055205D" w:rsidRDefault="0055205D" w:rsidP="0055205D">
            <w:r w:rsidRPr="0055205D">
              <w:rPr>
                <w:b/>
                <w:bCs/>
                <w:i/>
                <w:iCs/>
              </w:rPr>
              <w:t>0.651</w:t>
            </w:r>
          </w:p>
        </w:tc>
        <w:tc>
          <w:tcPr>
            <w:tcW w:w="0" w:type="auto"/>
            <w:vAlign w:val="center"/>
            <w:hideMark/>
          </w:tcPr>
          <w:p w:rsidR="0055205D" w:rsidRPr="0055205D" w:rsidRDefault="0055205D" w:rsidP="0055205D">
            <w:r w:rsidRPr="0055205D">
              <w:rPr>
                <w:b/>
                <w:bCs/>
                <w:i/>
                <w:iCs/>
              </w:rPr>
              <w:t>23</w:t>
            </w:r>
          </w:p>
        </w:tc>
        <w:tc>
          <w:tcPr>
            <w:tcW w:w="0" w:type="auto"/>
            <w:vAlign w:val="center"/>
            <w:hideMark/>
          </w:tcPr>
          <w:p w:rsidR="0055205D" w:rsidRPr="0055205D" w:rsidRDefault="0055205D" w:rsidP="0055205D">
            <w:r w:rsidRPr="0055205D">
              <w:rPr>
                <w:b/>
                <w:bCs/>
                <w:i/>
                <w:iCs/>
              </w:rPr>
              <w:t>1073.3</w:t>
            </w:r>
          </w:p>
        </w:tc>
        <w:tc>
          <w:tcPr>
            <w:tcW w:w="0" w:type="auto"/>
            <w:vAlign w:val="center"/>
            <w:hideMark/>
          </w:tcPr>
          <w:p w:rsidR="0055205D" w:rsidRPr="0055205D" w:rsidRDefault="0055205D" w:rsidP="0055205D">
            <w:r w:rsidRPr="0055205D">
              <w:rPr>
                <w:b/>
                <w:bCs/>
                <w:i/>
                <w:iCs/>
              </w:rPr>
              <w:t>2.1</w:t>
            </w:r>
          </w:p>
        </w:tc>
        <w:tc>
          <w:tcPr>
            <w:tcW w:w="0" w:type="auto"/>
            <w:vAlign w:val="center"/>
            <w:hideMark/>
          </w:tcPr>
          <w:p w:rsidR="0055205D" w:rsidRPr="0055205D" w:rsidRDefault="0055205D" w:rsidP="0055205D">
            <w:r w:rsidRPr="0055205D">
              <w:rPr>
                <w:b/>
                <w:bCs/>
                <w:i/>
                <w:iCs/>
              </w:rPr>
              <w:t>1.4-3.2</w:t>
            </w:r>
          </w:p>
        </w:tc>
        <w:tc>
          <w:tcPr>
            <w:tcW w:w="0" w:type="auto"/>
            <w:vAlign w:val="center"/>
            <w:hideMark/>
          </w:tcPr>
          <w:p w:rsidR="0055205D" w:rsidRPr="0055205D" w:rsidRDefault="0055205D" w:rsidP="0055205D">
            <w:r w:rsidRPr="0055205D">
              <w:rPr>
                <w:b/>
                <w:bCs/>
                <w:i/>
                <w:iCs/>
              </w:rPr>
              <w:t>0.003</w:t>
            </w: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16-24 years</w:t>
            </w:r>
          </w:p>
        </w:tc>
        <w:tc>
          <w:tcPr>
            <w:tcW w:w="0" w:type="auto"/>
            <w:vAlign w:val="center"/>
            <w:hideMark/>
          </w:tcPr>
          <w:p w:rsidR="0055205D" w:rsidRPr="0055205D" w:rsidRDefault="0055205D" w:rsidP="0055205D">
            <w:r w:rsidRPr="0055205D">
              <w:t>46</w:t>
            </w:r>
          </w:p>
        </w:tc>
        <w:tc>
          <w:tcPr>
            <w:tcW w:w="0" w:type="auto"/>
            <w:vAlign w:val="center"/>
            <w:hideMark/>
          </w:tcPr>
          <w:p w:rsidR="0055205D" w:rsidRPr="0055205D" w:rsidRDefault="0055205D" w:rsidP="0055205D">
            <w:r w:rsidRPr="0055205D">
              <w:t>9.2</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16</w:t>
            </w:r>
          </w:p>
        </w:tc>
        <w:tc>
          <w:tcPr>
            <w:tcW w:w="0" w:type="auto"/>
            <w:vAlign w:val="center"/>
            <w:hideMark/>
          </w:tcPr>
          <w:p w:rsidR="0055205D" w:rsidRPr="0055205D" w:rsidRDefault="0055205D" w:rsidP="0055205D">
            <w:r w:rsidRPr="0055205D">
              <w:t>3.2</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12</w:t>
            </w:r>
          </w:p>
        </w:tc>
        <w:tc>
          <w:tcPr>
            <w:tcW w:w="0" w:type="auto"/>
            <w:vAlign w:val="center"/>
            <w:hideMark/>
          </w:tcPr>
          <w:p w:rsidR="0055205D" w:rsidRPr="0055205D" w:rsidRDefault="0055205D" w:rsidP="0055205D">
            <w:r w:rsidRPr="0055205D">
              <w:t>294.6</w:t>
            </w:r>
          </w:p>
        </w:tc>
        <w:tc>
          <w:tcPr>
            <w:tcW w:w="0" w:type="auto"/>
            <w:vAlign w:val="center"/>
            <w:hideMark/>
          </w:tcPr>
          <w:p w:rsidR="0055205D" w:rsidRPr="0055205D" w:rsidRDefault="0055205D" w:rsidP="0055205D">
            <w:r w:rsidRPr="0055205D">
              <w:t>4.1</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lastRenderedPageBreak/>
              <w:t> 25-29 years</w:t>
            </w:r>
          </w:p>
        </w:tc>
        <w:tc>
          <w:tcPr>
            <w:tcW w:w="0" w:type="auto"/>
            <w:vAlign w:val="center"/>
            <w:hideMark/>
          </w:tcPr>
          <w:p w:rsidR="0055205D" w:rsidRPr="0055205D" w:rsidRDefault="0055205D" w:rsidP="0055205D">
            <w:r w:rsidRPr="0055205D">
              <w:t>66</w:t>
            </w:r>
          </w:p>
        </w:tc>
        <w:tc>
          <w:tcPr>
            <w:tcW w:w="0" w:type="auto"/>
            <w:vAlign w:val="center"/>
            <w:hideMark/>
          </w:tcPr>
          <w:p w:rsidR="0055205D" w:rsidRPr="0055205D" w:rsidRDefault="0055205D" w:rsidP="0055205D">
            <w:r w:rsidRPr="0055205D">
              <w:t>21.6</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22</w:t>
            </w:r>
          </w:p>
        </w:tc>
        <w:tc>
          <w:tcPr>
            <w:tcW w:w="0" w:type="auto"/>
            <w:vAlign w:val="center"/>
            <w:hideMark/>
          </w:tcPr>
          <w:p w:rsidR="0055205D" w:rsidRPr="0055205D" w:rsidRDefault="0055205D" w:rsidP="0055205D">
            <w:r w:rsidRPr="0055205D">
              <w:t>7.2</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7</w:t>
            </w:r>
          </w:p>
        </w:tc>
        <w:tc>
          <w:tcPr>
            <w:tcW w:w="0" w:type="auto"/>
            <w:vAlign w:val="center"/>
            <w:hideMark/>
          </w:tcPr>
          <w:p w:rsidR="0055205D" w:rsidRPr="0055205D" w:rsidRDefault="0055205D" w:rsidP="0055205D">
            <w:r w:rsidRPr="0055205D">
              <w:t>211.9</w:t>
            </w:r>
          </w:p>
        </w:tc>
        <w:tc>
          <w:tcPr>
            <w:tcW w:w="0" w:type="auto"/>
            <w:vAlign w:val="center"/>
            <w:hideMark/>
          </w:tcPr>
          <w:p w:rsidR="0055205D" w:rsidRPr="0055205D" w:rsidRDefault="0055205D" w:rsidP="0055205D">
            <w:r w:rsidRPr="0055205D">
              <w:t>3.3</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30-39 years</w:t>
            </w:r>
          </w:p>
        </w:tc>
        <w:tc>
          <w:tcPr>
            <w:tcW w:w="0" w:type="auto"/>
            <w:vAlign w:val="center"/>
            <w:hideMark/>
          </w:tcPr>
          <w:p w:rsidR="0055205D" w:rsidRPr="0055205D" w:rsidRDefault="0055205D" w:rsidP="0055205D">
            <w:r w:rsidRPr="0055205D">
              <w:t>153</w:t>
            </w:r>
          </w:p>
        </w:tc>
        <w:tc>
          <w:tcPr>
            <w:tcW w:w="0" w:type="auto"/>
            <w:vAlign w:val="center"/>
            <w:hideMark/>
          </w:tcPr>
          <w:p w:rsidR="0055205D" w:rsidRPr="0055205D" w:rsidRDefault="0055205D" w:rsidP="0055205D">
            <w:r w:rsidRPr="0055205D">
              <w:t>36.7</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22</w:t>
            </w:r>
          </w:p>
        </w:tc>
        <w:tc>
          <w:tcPr>
            <w:tcW w:w="0" w:type="auto"/>
            <w:vAlign w:val="center"/>
            <w:hideMark/>
          </w:tcPr>
          <w:p w:rsidR="0055205D" w:rsidRPr="0055205D" w:rsidRDefault="0055205D" w:rsidP="0055205D">
            <w:r w:rsidRPr="0055205D">
              <w:t>5.3</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w:t>
            </w:r>
          </w:p>
        </w:tc>
        <w:tc>
          <w:tcPr>
            <w:tcW w:w="0" w:type="auto"/>
            <w:vAlign w:val="center"/>
            <w:hideMark/>
          </w:tcPr>
          <w:p w:rsidR="0055205D" w:rsidRPr="0055205D" w:rsidRDefault="0055205D" w:rsidP="0055205D">
            <w:r w:rsidRPr="0055205D">
              <w:t>261.8</w:t>
            </w:r>
          </w:p>
        </w:tc>
        <w:tc>
          <w:tcPr>
            <w:tcW w:w="0" w:type="auto"/>
            <w:vAlign w:val="center"/>
            <w:hideMark/>
          </w:tcPr>
          <w:p w:rsidR="0055205D" w:rsidRPr="0055205D" w:rsidRDefault="0055205D" w:rsidP="0055205D">
            <w:r w:rsidRPr="0055205D">
              <w:t>0.38</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≥40 years</w:t>
            </w:r>
          </w:p>
        </w:tc>
        <w:tc>
          <w:tcPr>
            <w:tcW w:w="0" w:type="auto"/>
            <w:vAlign w:val="center"/>
            <w:hideMark/>
          </w:tcPr>
          <w:p w:rsidR="0055205D" w:rsidRPr="0055205D" w:rsidRDefault="0055205D" w:rsidP="0055205D">
            <w:r w:rsidRPr="0055205D">
              <w:t>157</w:t>
            </w:r>
          </w:p>
        </w:tc>
        <w:tc>
          <w:tcPr>
            <w:tcW w:w="0" w:type="auto"/>
            <w:vAlign w:val="center"/>
            <w:hideMark/>
          </w:tcPr>
          <w:p w:rsidR="0055205D" w:rsidRPr="0055205D" w:rsidRDefault="0055205D" w:rsidP="0055205D">
            <w:r w:rsidRPr="0055205D">
              <w:t>32.2</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14</w:t>
            </w:r>
          </w:p>
        </w:tc>
        <w:tc>
          <w:tcPr>
            <w:tcW w:w="0" w:type="auto"/>
            <w:vAlign w:val="center"/>
            <w:hideMark/>
          </w:tcPr>
          <w:p w:rsidR="0055205D" w:rsidRPr="0055205D" w:rsidRDefault="0055205D" w:rsidP="0055205D">
            <w:r w:rsidRPr="0055205D">
              <w:t>2.9</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3</w:t>
            </w:r>
          </w:p>
        </w:tc>
        <w:tc>
          <w:tcPr>
            <w:tcW w:w="0" w:type="auto"/>
            <w:vAlign w:val="center"/>
            <w:hideMark/>
          </w:tcPr>
          <w:p w:rsidR="0055205D" w:rsidRPr="0055205D" w:rsidRDefault="0055205D" w:rsidP="0055205D">
            <w:r w:rsidRPr="0055205D">
              <w:t>305.0</w:t>
            </w:r>
          </w:p>
        </w:tc>
        <w:tc>
          <w:tcPr>
            <w:tcW w:w="0" w:type="auto"/>
            <w:vAlign w:val="center"/>
            <w:hideMark/>
          </w:tcPr>
          <w:p w:rsidR="0055205D" w:rsidRPr="0055205D" w:rsidRDefault="0055205D" w:rsidP="0055205D">
            <w:r w:rsidRPr="0055205D">
              <w:t>0.98</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gridSpan w:val="14"/>
            <w:vAlign w:val="center"/>
            <w:hideMark/>
          </w:tcPr>
          <w:p w:rsidR="0055205D" w:rsidRPr="0055205D" w:rsidRDefault="0055205D" w:rsidP="0055205D">
            <w:pPr>
              <w:rPr>
                <w:b/>
                <w:bCs/>
              </w:rPr>
            </w:pP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i/>
                <w:iCs/>
              </w:rPr>
              <w:t xml:space="preserve">Gamma </w:t>
            </w:r>
            <w:proofErr w:type="spellStart"/>
            <w:r w:rsidRPr="0055205D">
              <w:rPr>
                <w:b/>
                <w:bCs/>
                <w:i/>
                <w:iCs/>
              </w:rPr>
              <w:t>hydroxybutyrate</w:t>
            </w:r>
            <w:proofErr w:type="spellEnd"/>
            <w:r w:rsidRPr="0055205D">
              <w:rPr>
                <w:b/>
                <w:bCs/>
                <w:i/>
                <w:iCs/>
              </w:rPr>
              <w:t xml:space="preserve"> (GHB)</w:t>
            </w:r>
          </w:p>
        </w:tc>
        <w:tc>
          <w:tcPr>
            <w:tcW w:w="0" w:type="auto"/>
            <w:vAlign w:val="center"/>
            <w:hideMark/>
          </w:tcPr>
          <w:p w:rsidR="0055205D" w:rsidRPr="0055205D" w:rsidRDefault="0055205D" w:rsidP="0055205D">
            <w:r w:rsidRPr="0055205D">
              <w:rPr>
                <w:b/>
                <w:bCs/>
                <w:i/>
                <w:iCs/>
              </w:rPr>
              <w:t>388</w:t>
            </w:r>
          </w:p>
        </w:tc>
        <w:tc>
          <w:tcPr>
            <w:tcW w:w="0" w:type="auto"/>
            <w:vAlign w:val="center"/>
            <w:hideMark/>
          </w:tcPr>
          <w:p w:rsidR="0055205D" w:rsidRPr="0055205D" w:rsidRDefault="0055205D" w:rsidP="0055205D">
            <w:r w:rsidRPr="0055205D">
              <w:rPr>
                <w:b/>
                <w:bCs/>
                <w:i/>
                <w:iCs/>
              </w:rPr>
              <w:t>22.7</w:t>
            </w:r>
          </w:p>
        </w:tc>
        <w:tc>
          <w:tcPr>
            <w:tcW w:w="0" w:type="auto"/>
            <w:vAlign w:val="center"/>
            <w:hideMark/>
          </w:tcPr>
          <w:p w:rsidR="0055205D" w:rsidRPr="0055205D" w:rsidRDefault="0055205D" w:rsidP="0055205D">
            <w:r w:rsidRPr="0055205D">
              <w:rPr>
                <w:b/>
                <w:bCs/>
                <w:i/>
                <w:iCs/>
              </w:rPr>
              <w:t>20.7-27.8</w:t>
            </w:r>
          </w:p>
        </w:tc>
        <w:tc>
          <w:tcPr>
            <w:tcW w:w="0" w:type="auto"/>
            <w:vAlign w:val="center"/>
            <w:hideMark/>
          </w:tcPr>
          <w:p w:rsidR="0055205D" w:rsidRPr="0055205D" w:rsidRDefault="0055205D" w:rsidP="0055205D">
            <w:r w:rsidRPr="0055205D">
              <w:rPr>
                <w:b/>
                <w:bCs/>
                <w:i/>
                <w:iCs/>
              </w:rPr>
              <w:t>&lt;0.001</w:t>
            </w:r>
          </w:p>
        </w:tc>
        <w:tc>
          <w:tcPr>
            <w:tcW w:w="0" w:type="auto"/>
            <w:vAlign w:val="center"/>
            <w:hideMark/>
          </w:tcPr>
          <w:p w:rsidR="0055205D" w:rsidRPr="0055205D" w:rsidRDefault="0055205D" w:rsidP="0055205D">
            <w:r w:rsidRPr="0055205D">
              <w:rPr>
                <w:b/>
                <w:bCs/>
                <w:i/>
                <w:iCs/>
              </w:rPr>
              <w:t>132</w:t>
            </w:r>
          </w:p>
        </w:tc>
        <w:tc>
          <w:tcPr>
            <w:tcW w:w="0" w:type="auto"/>
            <w:vAlign w:val="center"/>
            <w:hideMark/>
          </w:tcPr>
          <w:p w:rsidR="0055205D" w:rsidRPr="0055205D" w:rsidRDefault="0055205D" w:rsidP="0055205D">
            <w:r w:rsidRPr="0055205D">
              <w:rPr>
                <w:b/>
                <w:bCs/>
                <w:i/>
                <w:iCs/>
              </w:rPr>
              <w:t>7.7</w:t>
            </w:r>
          </w:p>
        </w:tc>
        <w:tc>
          <w:tcPr>
            <w:tcW w:w="0" w:type="auto"/>
            <w:vAlign w:val="center"/>
            <w:hideMark/>
          </w:tcPr>
          <w:p w:rsidR="0055205D" w:rsidRPr="0055205D" w:rsidRDefault="0055205D" w:rsidP="0055205D">
            <w:r w:rsidRPr="0055205D">
              <w:rPr>
                <w:b/>
                <w:bCs/>
                <w:i/>
                <w:iCs/>
              </w:rPr>
              <w:t>6.5-9.1</w:t>
            </w:r>
          </w:p>
        </w:tc>
        <w:tc>
          <w:tcPr>
            <w:tcW w:w="0" w:type="auto"/>
            <w:vAlign w:val="center"/>
            <w:hideMark/>
          </w:tcPr>
          <w:p w:rsidR="0055205D" w:rsidRPr="0055205D" w:rsidRDefault="0055205D" w:rsidP="0055205D">
            <w:r w:rsidRPr="0055205D">
              <w:rPr>
                <w:b/>
                <w:bCs/>
                <w:i/>
                <w:iCs/>
              </w:rPr>
              <w:t>0.007</w:t>
            </w:r>
          </w:p>
        </w:tc>
        <w:tc>
          <w:tcPr>
            <w:tcW w:w="0" w:type="auto"/>
            <w:vAlign w:val="center"/>
            <w:hideMark/>
          </w:tcPr>
          <w:p w:rsidR="0055205D" w:rsidRPr="0055205D" w:rsidRDefault="0055205D" w:rsidP="0055205D">
            <w:r w:rsidRPr="0055205D">
              <w:rPr>
                <w:b/>
                <w:bCs/>
                <w:i/>
                <w:iCs/>
              </w:rPr>
              <w:t>19</w:t>
            </w:r>
          </w:p>
        </w:tc>
        <w:tc>
          <w:tcPr>
            <w:tcW w:w="0" w:type="auto"/>
            <w:vAlign w:val="center"/>
            <w:hideMark/>
          </w:tcPr>
          <w:p w:rsidR="0055205D" w:rsidRPr="0055205D" w:rsidRDefault="0055205D" w:rsidP="0055205D">
            <w:r w:rsidRPr="0055205D">
              <w:rPr>
                <w:b/>
                <w:bCs/>
                <w:i/>
                <w:iCs/>
              </w:rPr>
              <w:t>1106.4</w:t>
            </w:r>
          </w:p>
        </w:tc>
        <w:tc>
          <w:tcPr>
            <w:tcW w:w="0" w:type="auto"/>
            <w:vAlign w:val="center"/>
            <w:hideMark/>
          </w:tcPr>
          <w:p w:rsidR="0055205D" w:rsidRPr="0055205D" w:rsidRDefault="0055205D" w:rsidP="0055205D">
            <w:r w:rsidRPr="0055205D">
              <w:rPr>
                <w:b/>
                <w:bCs/>
                <w:i/>
                <w:iCs/>
              </w:rPr>
              <w:t>1.7</w:t>
            </w:r>
          </w:p>
        </w:tc>
        <w:tc>
          <w:tcPr>
            <w:tcW w:w="0" w:type="auto"/>
            <w:vAlign w:val="center"/>
            <w:hideMark/>
          </w:tcPr>
          <w:p w:rsidR="0055205D" w:rsidRPr="0055205D" w:rsidRDefault="0055205D" w:rsidP="0055205D">
            <w:r w:rsidRPr="0055205D">
              <w:rPr>
                <w:b/>
                <w:bCs/>
                <w:i/>
                <w:iCs/>
              </w:rPr>
              <w:t>1.1-2.7</w:t>
            </w:r>
          </w:p>
        </w:tc>
        <w:tc>
          <w:tcPr>
            <w:tcW w:w="0" w:type="auto"/>
            <w:vAlign w:val="center"/>
            <w:hideMark/>
          </w:tcPr>
          <w:p w:rsidR="0055205D" w:rsidRPr="0055205D" w:rsidRDefault="0055205D" w:rsidP="0055205D">
            <w:r w:rsidRPr="0055205D">
              <w:rPr>
                <w:b/>
                <w:bCs/>
                <w:i/>
                <w:iCs/>
              </w:rPr>
              <w:t>0.003</w:t>
            </w: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16-24 years</w:t>
            </w:r>
          </w:p>
        </w:tc>
        <w:tc>
          <w:tcPr>
            <w:tcW w:w="0" w:type="auto"/>
            <w:vAlign w:val="center"/>
            <w:hideMark/>
          </w:tcPr>
          <w:p w:rsidR="0055205D" w:rsidRPr="0055205D" w:rsidRDefault="0055205D" w:rsidP="0055205D">
            <w:r w:rsidRPr="0055205D">
              <w:t>47</w:t>
            </w:r>
          </w:p>
        </w:tc>
        <w:tc>
          <w:tcPr>
            <w:tcW w:w="0" w:type="auto"/>
            <w:vAlign w:val="center"/>
            <w:hideMark/>
          </w:tcPr>
          <w:p w:rsidR="0055205D" w:rsidRPr="0055205D" w:rsidRDefault="0055205D" w:rsidP="0055205D">
            <w:r w:rsidRPr="0055205D">
              <w:t>9.4</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20</w:t>
            </w:r>
          </w:p>
        </w:tc>
        <w:tc>
          <w:tcPr>
            <w:tcW w:w="0" w:type="auto"/>
            <w:vAlign w:val="center"/>
            <w:hideMark/>
          </w:tcPr>
          <w:p w:rsidR="0055205D" w:rsidRPr="0055205D" w:rsidRDefault="0055205D" w:rsidP="0055205D">
            <w:r w:rsidRPr="0055205D">
              <w:t>4.0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6</w:t>
            </w:r>
          </w:p>
        </w:tc>
        <w:tc>
          <w:tcPr>
            <w:tcW w:w="0" w:type="auto"/>
            <w:vAlign w:val="center"/>
            <w:hideMark/>
          </w:tcPr>
          <w:p w:rsidR="0055205D" w:rsidRPr="0055205D" w:rsidRDefault="0055205D" w:rsidP="0055205D">
            <w:r w:rsidRPr="0055205D">
              <w:t>295.9</w:t>
            </w:r>
          </w:p>
        </w:tc>
        <w:tc>
          <w:tcPr>
            <w:tcW w:w="0" w:type="auto"/>
            <w:vAlign w:val="center"/>
            <w:hideMark/>
          </w:tcPr>
          <w:p w:rsidR="0055205D" w:rsidRPr="0055205D" w:rsidRDefault="0055205D" w:rsidP="0055205D">
            <w:r w:rsidRPr="0055205D">
              <w:t>2.0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25-29 years</w:t>
            </w:r>
          </w:p>
        </w:tc>
        <w:tc>
          <w:tcPr>
            <w:tcW w:w="0" w:type="auto"/>
            <w:vAlign w:val="center"/>
            <w:hideMark/>
          </w:tcPr>
          <w:p w:rsidR="0055205D" w:rsidRPr="0055205D" w:rsidRDefault="0055205D" w:rsidP="0055205D">
            <w:r w:rsidRPr="0055205D">
              <w:t>72</w:t>
            </w:r>
          </w:p>
        </w:tc>
        <w:tc>
          <w:tcPr>
            <w:tcW w:w="0" w:type="auto"/>
            <w:vAlign w:val="center"/>
            <w:hideMark/>
          </w:tcPr>
          <w:p w:rsidR="0055205D" w:rsidRPr="0055205D" w:rsidRDefault="0055205D" w:rsidP="0055205D">
            <w:r w:rsidRPr="0055205D">
              <w:t>23.6</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30</w:t>
            </w:r>
          </w:p>
        </w:tc>
        <w:tc>
          <w:tcPr>
            <w:tcW w:w="0" w:type="auto"/>
            <w:vAlign w:val="center"/>
            <w:hideMark/>
          </w:tcPr>
          <w:p w:rsidR="0055205D" w:rsidRPr="0055205D" w:rsidRDefault="0055205D" w:rsidP="0055205D">
            <w:r w:rsidRPr="0055205D">
              <w:t>9.8</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5</w:t>
            </w:r>
          </w:p>
        </w:tc>
        <w:tc>
          <w:tcPr>
            <w:tcW w:w="0" w:type="auto"/>
            <w:vAlign w:val="center"/>
            <w:hideMark/>
          </w:tcPr>
          <w:p w:rsidR="0055205D" w:rsidRPr="0055205D" w:rsidRDefault="0055205D" w:rsidP="0055205D">
            <w:r w:rsidRPr="0055205D">
              <w:t>199.2</w:t>
            </w:r>
          </w:p>
        </w:tc>
        <w:tc>
          <w:tcPr>
            <w:tcW w:w="0" w:type="auto"/>
            <w:vAlign w:val="center"/>
            <w:hideMark/>
          </w:tcPr>
          <w:p w:rsidR="0055205D" w:rsidRPr="0055205D" w:rsidRDefault="0055205D" w:rsidP="0055205D">
            <w:r w:rsidRPr="0055205D">
              <w:t>2.5</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30-39 years</w:t>
            </w:r>
          </w:p>
        </w:tc>
        <w:tc>
          <w:tcPr>
            <w:tcW w:w="0" w:type="auto"/>
            <w:vAlign w:val="center"/>
            <w:hideMark/>
          </w:tcPr>
          <w:p w:rsidR="0055205D" w:rsidRPr="0055205D" w:rsidRDefault="0055205D" w:rsidP="0055205D">
            <w:r w:rsidRPr="0055205D">
              <w:t>145</w:t>
            </w:r>
          </w:p>
        </w:tc>
        <w:tc>
          <w:tcPr>
            <w:tcW w:w="0" w:type="auto"/>
            <w:vAlign w:val="center"/>
            <w:hideMark/>
          </w:tcPr>
          <w:p w:rsidR="0055205D" w:rsidRPr="0055205D" w:rsidRDefault="0055205D" w:rsidP="0055205D">
            <w:r w:rsidRPr="0055205D">
              <w:t>34.8</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40</w:t>
            </w:r>
          </w:p>
        </w:tc>
        <w:tc>
          <w:tcPr>
            <w:tcW w:w="0" w:type="auto"/>
            <w:vAlign w:val="center"/>
            <w:hideMark/>
          </w:tcPr>
          <w:p w:rsidR="0055205D" w:rsidRPr="0055205D" w:rsidRDefault="0055205D" w:rsidP="0055205D">
            <w:r w:rsidRPr="0055205D">
              <w:t>9.6</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3</w:t>
            </w:r>
          </w:p>
        </w:tc>
        <w:tc>
          <w:tcPr>
            <w:tcW w:w="0" w:type="auto"/>
            <w:vAlign w:val="center"/>
            <w:hideMark/>
          </w:tcPr>
          <w:p w:rsidR="0055205D" w:rsidRPr="0055205D" w:rsidRDefault="0055205D" w:rsidP="0055205D">
            <w:r w:rsidRPr="0055205D">
              <w:t>274.1</w:t>
            </w:r>
          </w:p>
        </w:tc>
        <w:tc>
          <w:tcPr>
            <w:tcW w:w="0" w:type="auto"/>
            <w:vAlign w:val="center"/>
            <w:hideMark/>
          </w:tcPr>
          <w:p w:rsidR="0055205D" w:rsidRPr="0055205D" w:rsidRDefault="0055205D" w:rsidP="0055205D">
            <w:r w:rsidRPr="0055205D">
              <w:t>1.1</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≥40 years</w:t>
            </w:r>
          </w:p>
        </w:tc>
        <w:tc>
          <w:tcPr>
            <w:tcW w:w="0" w:type="auto"/>
            <w:vAlign w:val="center"/>
            <w:hideMark/>
          </w:tcPr>
          <w:p w:rsidR="0055205D" w:rsidRPr="0055205D" w:rsidRDefault="0055205D" w:rsidP="0055205D">
            <w:r w:rsidRPr="0055205D">
              <w:t>124</w:t>
            </w:r>
          </w:p>
        </w:tc>
        <w:tc>
          <w:tcPr>
            <w:tcW w:w="0" w:type="auto"/>
            <w:vAlign w:val="center"/>
            <w:hideMark/>
          </w:tcPr>
          <w:p w:rsidR="0055205D" w:rsidRPr="0055205D" w:rsidRDefault="0055205D" w:rsidP="0055205D">
            <w:r w:rsidRPr="0055205D">
              <w:t>25.5</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42</w:t>
            </w:r>
          </w:p>
        </w:tc>
        <w:tc>
          <w:tcPr>
            <w:tcW w:w="0" w:type="auto"/>
            <w:vAlign w:val="center"/>
            <w:hideMark/>
          </w:tcPr>
          <w:p w:rsidR="0055205D" w:rsidRPr="0055205D" w:rsidRDefault="0055205D" w:rsidP="0055205D">
            <w:r w:rsidRPr="0055205D">
              <w:t>8.6</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5</w:t>
            </w:r>
          </w:p>
        </w:tc>
        <w:tc>
          <w:tcPr>
            <w:tcW w:w="0" w:type="auto"/>
            <w:vAlign w:val="center"/>
            <w:hideMark/>
          </w:tcPr>
          <w:p w:rsidR="0055205D" w:rsidRPr="0055205D" w:rsidRDefault="0055205D" w:rsidP="0055205D">
            <w:r w:rsidRPr="0055205D">
              <w:t>337.2</w:t>
            </w:r>
          </w:p>
        </w:tc>
        <w:tc>
          <w:tcPr>
            <w:tcW w:w="0" w:type="auto"/>
            <w:vAlign w:val="center"/>
            <w:hideMark/>
          </w:tcPr>
          <w:p w:rsidR="0055205D" w:rsidRPr="0055205D" w:rsidRDefault="0055205D" w:rsidP="0055205D">
            <w:r w:rsidRPr="0055205D">
              <w:t>1.5</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gridSpan w:val="14"/>
            <w:vAlign w:val="center"/>
            <w:hideMark/>
          </w:tcPr>
          <w:p w:rsidR="0055205D" w:rsidRPr="0055205D" w:rsidRDefault="0055205D" w:rsidP="0055205D">
            <w:pPr>
              <w:rPr>
                <w:b/>
                <w:bCs/>
              </w:rPr>
            </w:pP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i/>
                <w:iCs/>
              </w:rPr>
              <w:t>Lysergic acid diethylamide (LSD)</w:t>
            </w:r>
          </w:p>
        </w:tc>
        <w:tc>
          <w:tcPr>
            <w:tcW w:w="0" w:type="auto"/>
            <w:vAlign w:val="center"/>
            <w:hideMark/>
          </w:tcPr>
          <w:p w:rsidR="0055205D" w:rsidRPr="0055205D" w:rsidRDefault="0055205D" w:rsidP="0055205D">
            <w:r w:rsidRPr="0055205D">
              <w:rPr>
                <w:b/>
                <w:bCs/>
                <w:i/>
                <w:iCs/>
              </w:rPr>
              <w:t>500</w:t>
            </w:r>
          </w:p>
        </w:tc>
        <w:tc>
          <w:tcPr>
            <w:tcW w:w="0" w:type="auto"/>
            <w:vAlign w:val="center"/>
            <w:hideMark/>
          </w:tcPr>
          <w:p w:rsidR="0055205D" w:rsidRPr="0055205D" w:rsidRDefault="0055205D" w:rsidP="0055205D">
            <w:r w:rsidRPr="0055205D">
              <w:rPr>
                <w:b/>
                <w:bCs/>
                <w:i/>
                <w:iCs/>
              </w:rPr>
              <w:t>29.2</w:t>
            </w:r>
          </w:p>
        </w:tc>
        <w:tc>
          <w:tcPr>
            <w:tcW w:w="0" w:type="auto"/>
            <w:vAlign w:val="center"/>
            <w:hideMark/>
          </w:tcPr>
          <w:p w:rsidR="0055205D" w:rsidRPr="0055205D" w:rsidRDefault="0055205D" w:rsidP="0055205D">
            <w:r w:rsidRPr="0055205D">
              <w:rPr>
                <w:b/>
                <w:bCs/>
                <w:i/>
                <w:iCs/>
              </w:rPr>
              <w:t>27.1-31.5</w:t>
            </w:r>
          </w:p>
        </w:tc>
        <w:tc>
          <w:tcPr>
            <w:tcW w:w="0" w:type="auto"/>
            <w:vAlign w:val="center"/>
            <w:hideMark/>
          </w:tcPr>
          <w:p w:rsidR="0055205D" w:rsidRPr="0055205D" w:rsidRDefault="0055205D" w:rsidP="0055205D">
            <w:r w:rsidRPr="0055205D">
              <w:rPr>
                <w:b/>
                <w:bCs/>
                <w:i/>
                <w:iCs/>
              </w:rPr>
              <w:t>&lt;0.001</w:t>
            </w:r>
          </w:p>
        </w:tc>
        <w:tc>
          <w:tcPr>
            <w:tcW w:w="0" w:type="auto"/>
            <w:vAlign w:val="center"/>
            <w:hideMark/>
          </w:tcPr>
          <w:p w:rsidR="0055205D" w:rsidRPr="0055205D" w:rsidRDefault="0055205D" w:rsidP="0055205D">
            <w:r w:rsidRPr="0055205D">
              <w:rPr>
                <w:b/>
                <w:bCs/>
                <w:i/>
                <w:iCs/>
              </w:rPr>
              <w:t>72</w:t>
            </w:r>
          </w:p>
        </w:tc>
        <w:tc>
          <w:tcPr>
            <w:tcW w:w="0" w:type="auto"/>
            <w:vAlign w:val="center"/>
            <w:hideMark/>
          </w:tcPr>
          <w:p w:rsidR="0055205D" w:rsidRPr="0055205D" w:rsidRDefault="0055205D" w:rsidP="0055205D">
            <w:r w:rsidRPr="0055205D">
              <w:rPr>
                <w:b/>
                <w:bCs/>
                <w:i/>
                <w:iCs/>
              </w:rPr>
              <w:t>4.2</w:t>
            </w:r>
          </w:p>
        </w:tc>
        <w:tc>
          <w:tcPr>
            <w:tcW w:w="0" w:type="auto"/>
            <w:vAlign w:val="center"/>
            <w:hideMark/>
          </w:tcPr>
          <w:p w:rsidR="0055205D" w:rsidRPr="0055205D" w:rsidRDefault="0055205D" w:rsidP="0055205D">
            <w:r w:rsidRPr="0055205D">
              <w:rPr>
                <w:b/>
                <w:bCs/>
                <w:i/>
                <w:iCs/>
              </w:rPr>
              <w:t>3.3-5.3</w:t>
            </w:r>
          </w:p>
        </w:tc>
        <w:tc>
          <w:tcPr>
            <w:tcW w:w="0" w:type="auto"/>
            <w:vAlign w:val="center"/>
            <w:hideMark/>
          </w:tcPr>
          <w:p w:rsidR="0055205D" w:rsidRPr="0055205D" w:rsidRDefault="0055205D" w:rsidP="0055205D">
            <w:r w:rsidRPr="0055205D">
              <w:rPr>
                <w:b/>
                <w:bCs/>
                <w:i/>
                <w:iCs/>
              </w:rPr>
              <w:t>0.018</w:t>
            </w:r>
          </w:p>
        </w:tc>
        <w:tc>
          <w:tcPr>
            <w:tcW w:w="0" w:type="auto"/>
            <w:vAlign w:val="center"/>
            <w:hideMark/>
          </w:tcPr>
          <w:p w:rsidR="0055205D" w:rsidRPr="0055205D" w:rsidRDefault="0055205D" w:rsidP="0055205D">
            <w:r w:rsidRPr="0055205D">
              <w:rPr>
                <w:b/>
                <w:bCs/>
                <w:i/>
                <w:iCs/>
              </w:rPr>
              <w:t>23</w:t>
            </w:r>
          </w:p>
        </w:tc>
        <w:tc>
          <w:tcPr>
            <w:tcW w:w="0" w:type="auto"/>
            <w:vAlign w:val="center"/>
            <w:hideMark/>
          </w:tcPr>
          <w:p w:rsidR="0055205D" w:rsidRPr="0055205D" w:rsidRDefault="0055205D" w:rsidP="0055205D">
            <w:r w:rsidRPr="0055205D">
              <w:rPr>
                <w:b/>
                <w:bCs/>
                <w:i/>
                <w:iCs/>
              </w:rPr>
              <w:t>1008.4</w:t>
            </w:r>
          </w:p>
        </w:tc>
        <w:tc>
          <w:tcPr>
            <w:tcW w:w="0" w:type="auto"/>
            <w:vAlign w:val="center"/>
            <w:hideMark/>
          </w:tcPr>
          <w:p w:rsidR="0055205D" w:rsidRPr="0055205D" w:rsidRDefault="0055205D" w:rsidP="0055205D">
            <w:r w:rsidRPr="0055205D">
              <w:rPr>
                <w:b/>
                <w:bCs/>
                <w:i/>
                <w:iCs/>
              </w:rPr>
              <w:t>2.3</w:t>
            </w:r>
          </w:p>
        </w:tc>
        <w:tc>
          <w:tcPr>
            <w:tcW w:w="0" w:type="auto"/>
            <w:vAlign w:val="center"/>
            <w:hideMark/>
          </w:tcPr>
          <w:p w:rsidR="0055205D" w:rsidRPr="0055205D" w:rsidRDefault="0055205D" w:rsidP="0055205D">
            <w:r w:rsidRPr="0055205D">
              <w:rPr>
                <w:b/>
                <w:bCs/>
                <w:i/>
                <w:iCs/>
              </w:rPr>
              <w:t>1.5-3.4</w:t>
            </w:r>
          </w:p>
        </w:tc>
        <w:tc>
          <w:tcPr>
            <w:tcW w:w="0" w:type="auto"/>
            <w:vAlign w:val="center"/>
            <w:hideMark/>
          </w:tcPr>
          <w:p w:rsidR="0055205D" w:rsidRPr="0055205D" w:rsidRDefault="0055205D" w:rsidP="0055205D">
            <w:r w:rsidRPr="0055205D">
              <w:rPr>
                <w:b/>
                <w:bCs/>
                <w:i/>
                <w:iCs/>
              </w:rPr>
              <w:t>0.001</w:t>
            </w: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16-24 years</w:t>
            </w:r>
          </w:p>
        </w:tc>
        <w:tc>
          <w:tcPr>
            <w:tcW w:w="0" w:type="auto"/>
            <w:vAlign w:val="center"/>
            <w:hideMark/>
          </w:tcPr>
          <w:p w:rsidR="0055205D" w:rsidRPr="0055205D" w:rsidRDefault="0055205D" w:rsidP="0055205D">
            <w:r w:rsidRPr="0055205D">
              <w:t>79</w:t>
            </w:r>
          </w:p>
        </w:tc>
        <w:tc>
          <w:tcPr>
            <w:tcW w:w="0" w:type="auto"/>
            <w:vAlign w:val="center"/>
            <w:hideMark/>
          </w:tcPr>
          <w:p w:rsidR="0055205D" w:rsidRPr="0055205D" w:rsidRDefault="0055205D" w:rsidP="0055205D">
            <w:r w:rsidRPr="0055205D">
              <w:t>15.8</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26</w:t>
            </w:r>
          </w:p>
        </w:tc>
        <w:tc>
          <w:tcPr>
            <w:tcW w:w="0" w:type="auto"/>
            <w:vAlign w:val="center"/>
            <w:hideMark/>
          </w:tcPr>
          <w:p w:rsidR="0055205D" w:rsidRPr="0055205D" w:rsidRDefault="0055205D" w:rsidP="0055205D">
            <w:r w:rsidRPr="0055205D">
              <w:t>5.2</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15</w:t>
            </w:r>
          </w:p>
        </w:tc>
        <w:tc>
          <w:tcPr>
            <w:tcW w:w="0" w:type="auto"/>
            <w:vAlign w:val="center"/>
            <w:hideMark/>
          </w:tcPr>
          <w:p w:rsidR="0055205D" w:rsidRPr="0055205D" w:rsidRDefault="0055205D" w:rsidP="0055205D">
            <w:r w:rsidRPr="0055205D">
              <w:t>268.5</w:t>
            </w:r>
          </w:p>
        </w:tc>
        <w:tc>
          <w:tcPr>
            <w:tcW w:w="0" w:type="auto"/>
            <w:vAlign w:val="center"/>
            <w:hideMark/>
          </w:tcPr>
          <w:p w:rsidR="0055205D" w:rsidRPr="0055205D" w:rsidRDefault="0055205D" w:rsidP="0055205D">
            <w:r w:rsidRPr="0055205D">
              <w:t>5.6</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25-29 years</w:t>
            </w:r>
          </w:p>
        </w:tc>
        <w:tc>
          <w:tcPr>
            <w:tcW w:w="0" w:type="auto"/>
            <w:vAlign w:val="center"/>
            <w:hideMark/>
          </w:tcPr>
          <w:p w:rsidR="0055205D" w:rsidRPr="0055205D" w:rsidRDefault="0055205D" w:rsidP="0055205D">
            <w:r w:rsidRPr="0055205D">
              <w:t>85</w:t>
            </w:r>
          </w:p>
        </w:tc>
        <w:tc>
          <w:tcPr>
            <w:tcW w:w="0" w:type="auto"/>
            <w:vAlign w:val="center"/>
            <w:hideMark/>
          </w:tcPr>
          <w:p w:rsidR="0055205D" w:rsidRPr="0055205D" w:rsidRDefault="0055205D" w:rsidP="0055205D">
            <w:r w:rsidRPr="0055205D">
              <w:t>27.9</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18</w:t>
            </w:r>
          </w:p>
        </w:tc>
        <w:tc>
          <w:tcPr>
            <w:tcW w:w="0" w:type="auto"/>
            <w:vAlign w:val="center"/>
            <w:hideMark/>
          </w:tcPr>
          <w:p w:rsidR="0055205D" w:rsidRPr="0055205D" w:rsidRDefault="0055205D" w:rsidP="0055205D">
            <w:r w:rsidRPr="0055205D">
              <w:t>5.9</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2</w:t>
            </w:r>
          </w:p>
        </w:tc>
        <w:tc>
          <w:tcPr>
            <w:tcW w:w="0" w:type="auto"/>
            <w:vAlign w:val="center"/>
            <w:hideMark/>
          </w:tcPr>
          <w:p w:rsidR="0055205D" w:rsidRPr="0055205D" w:rsidRDefault="0055205D" w:rsidP="0055205D">
            <w:r w:rsidRPr="0055205D">
              <w:t>192.6</w:t>
            </w:r>
          </w:p>
        </w:tc>
        <w:tc>
          <w:tcPr>
            <w:tcW w:w="0" w:type="auto"/>
            <w:vAlign w:val="center"/>
            <w:hideMark/>
          </w:tcPr>
          <w:p w:rsidR="0055205D" w:rsidRPr="0055205D" w:rsidRDefault="0055205D" w:rsidP="0055205D">
            <w:r w:rsidRPr="0055205D">
              <w:t>1.0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30-39 years</w:t>
            </w:r>
          </w:p>
        </w:tc>
        <w:tc>
          <w:tcPr>
            <w:tcW w:w="0" w:type="auto"/>
            <w:vAlign w:val="center"/>
            <w:hideMark/>
          </w:tcPr>
          <w:p w:rsidR="0055205D" w:rsidRPr="0055205D" w:rsidRDefault="0055205D" w:rsidP="0055205D">
            <w:r w:rsidRPr="0055205D">
              <w:t>161</w:t>
            </w:r>
          </w:p>
        </w:tc>
        <w:tc>
          <w:tcPr>
            <w:tcW w:w="0" w:type="auto"/>
            <w:vAlign w:val="center"/>
            <w:hideMark/>
          </w:tcPr>
          <w:p w:rsidR="0055205D" w:rsidRPr="0055205D" w:rsidRDefault="0055205D" w:rsidP="0055205D">
            <w:r w:rsidRPr="0055205D">
              <w:t>38.6</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16</w:t>
            </w:r>
          </w:p>
        </w:tc>
        <w:tc>
          <w:tcPr>
            <w:tcW w:w="0" w:type="auto"/>
            <w:vAlign w:val="center"/>
            <w:hideMark/>
          </w:tcPr>
          <w:p w:rsidR="0055205D" w:rsidRPr="0055205D" w:rsidRDefault="0055205D" w:rsidP="0055205D">
            <w:r w:rsidRPr="0055205D">
              <w:t>3.8</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5</w:t>
            </w:r>
          </w:p>
        </w:tc>
        <w:tc>
          <w:tcPr>
            <w:tcW w:w="0" w:type="auto"/>
            <w:vAlign w:val="center"/>
            <w:hideMark/>
          </w:tcPr>
          <w:p w:rsidR="0055205D" w:rsidRPr="0055205D" w:rsidRDefault="0055205D" w:rsidP="0055205D">
            <w:r w:rsidRPr="0055205D">
              <w:t>256.2</w:t>
            </w:r>
          </w:p>
        </w:tc>
        <w:tc>
          <w:tcPr>
            <w:tcW w:w="0" w:type="auto"/>
            <w:vAlign w:val="center"/>
            <w:hideMark/>
          </w:tcPr>
          <w:p w:rsidR="0055205D" w:rsidRPr="0055205D" w:rsidRDefault="0055205D" w:rsidP="0055205D">
            <w:r w:rsidRPr="0055205D">
              <w:t>2.0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lastRenderedPageBreak/>
              <w:t> ≥40 years</w:t>
            </w:r>
          </w:p>
        </w:tc>
        <w:tc>
          <w:tcPr>
            <w:tcW w:w="0" w:type="auto"/>
            <w:vAlign w:val="center"/>
            <w:hideMark/>
          </w:tcPr>
          <w:p w:rsidR="0055205D" w:rsidRPr="0055205D" w:rsidRDefault="0055205D" w:rsidP="0055205D">
            <w:r w:rsidRPr="0055205D">
              <w:t>175</w:t>
            </w:r>
          </w:p>
        </w:tc>
        <w:tc>
          <w:tcPr>
            <w:tcW w:w="0" w:type="auto"/>
            <w:vAlign w:val="center"/>
            <w:hideMark/>
          </w:tcPr>
          <w:p w:rsidR="0055205D" w:rsidRPr="0055205D" w:rsidRDefault="0055205D" w:rsidP="0055205D">
            <w:r w:rsidRPr="0055205D">
              <w:t>35.9</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12</w:t>
            </w:r>
          </w:p>
        </w:tc>
        <w:tc>
          <w:tcPr>
            <w:tcW w:w="0" w:type="auto"/>
            <w:vAlign w:val="center"/>
            <w:hideMark/>
          </w:tcPr>
          <w:p w:rsidR="0055205D" w:rsidRPr="0055205D" w:rsidRDefault="0055205D" w:rsidP="0055205D">
            <w:r w:rsidRPr="0055205D">
              <w:t>2.5</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w:t>
            </w:r>
          </w:p>
        </w:tc>
        <w:tc>
          <w:tcPr>
            <w:tcW w:w="0" w:type="auto"/>
            <w:vAlign w:val="center"/>
            <w:hideMark/>
          </w:tcPr>
          <w:p w:rsidR="0055205D" w:rsidRPr="0055205D" w:rsidRDefault="0055205D" w:rsidP="0055205D">
            <w:r w:rsidRPr="0055205D">
              <w:t>291.1</w:t>
            </w:r>
          </w:p>
        </w:tc>
        <w:tc>
          <w:tcPr>
            <w:tcW w:w="0" w:type="auto"/>
            <w:vAlign w:val="center"/>
            <w:hideMark/>
          </w:tcPr>
          <w:p w:rsidR="0055205D" w:rsidRPr="0055205D" w:rsidRDefault="0055205D" w:rsidP="0055205D">
            <w:r w:rsidRPr="0055205D">
              <w:t>0.34</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gridSpan w:val="14"/>
            <w:vAlign w:val="center"/>
            <w:hideMark/>
          </w:tcPr>
          <w:p w:rsidR="0055205D" w:rsidRPr="0055205D" w:rsidRDefault="0055205D" w:rsidP="0055205D">
            <w:pPr>
              <w:rPr>
                <w:b/>
                <w:bCs/>
              </w:rPr>
            </w:pP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i/>
                <w:iCs/>
              </w:rPr>
              <w:t>Heroin</w:t>
            </w:r>
          </w:p>
        </w:tc>
        <w:tc>
          <w:tcPr>
            <w:tcW w:w="0" w:type="auto"/>
            <w:vAlign w:val="center"/>
            <w:hideMark/>
          </w:tcPr>
          <w:p w:rsidR="0055205D" w:rsidRPr="0055205D" w:rsidRDefault="0055205D" w:rsidP="0055205D">
            <w:r w:rsidRPr="0055205D">
              <w:rPr>
                <w:b/>
                <w:bCs/>
                <w:i/>
                <w:iCs/>
              </w:rPr>
              <w:t>77</w:t>
            </w:r>
          </w:p>
        </w:tc>
        <w:tc>
          <w:tcPr>
            <w:tcW w:w="0" w:type="auto"/>
            <w:vAlign w:val="center"/>
            <w:hideMark/>
          </w:tcPr>
          <w:p w:rsidR="0055205D" w:rsidRPr="0055205D" w:rsidRDefault="0055205D" w:rsidP="0055205D">
            <w:r w:rsidRPr="0055205D">
              <w:rPr>
                <w:b/>
                <w:bCs/>
                <w:i/>
                <w:iCs/>
              </w:rPr>
              <w:t>4.5</w:t>
            </w:r>
          </w:p>
        </w:tc>
        <w:tc>
          <w:tcPr>
            <w:tcW w:w="0" w:type="auto"/>
            <w:vAlign w:val="center"/>
            <w:hideMark/>
          </w:tcPr>
          <w:p w:rsidR="0055205D" w:rsidRPr="0055205D" w:rsidRDefault="0055205D" w:rsidP="0055205D">
            <w:r w:rsidRPr="0055205D">
              <w:rPr>
                <w:b/>
                <w:bCs/>
                <w:i/>
                <w:iCs/>
              </w:rPr>
              <w:t>3.6-5.6</w:t>
            </w:r>
          </w:p>
        </w:tc>
        <w:tc>
          <w:tcPr>
            <w:tcW w:w="0" w:type="auto"/>
            <w:vAlign w:val="center"/>
            <w:hideMark/>
          </w:tcPr>
          <w:p w:rsidR="0055205D" w:rsidRPr="0055205D" w:rsidRDefault="0055205D" w:rsidP="0055205D">
            <w:r w:rsidRPr="0055205D">
              <w:rPr>
                <w:b/>
                <w:bCs/>
                <w:i/>
                <w:iCs/>
              </w:rPr>
              <w:t>&lt;0.001</w:t>
            </w:r>
          </w:p>
        </w:tc>
        <w:tc>
          <w:tcPr>
            <w:tcW w:w="0" w:type="auto"/>
            <w:vAlign w:val="center"/>
            <w:hideMark/>
          </w:tcPr>
          <w:p w:rsidR="0055205D" w:rsidRPr="0055205D" w:rsidRDefault="0055205D" w:rsidP="0055205D">
            <w:r w:rsidRPr="0055205D">
              <w:rPr>
                <w:b/>
                <w:bCs/>
                <w:i/>
                <w:iCs/>
              </w:rPr>
              <w:t>3</w:t>
            </w:r>
          </w:p>
        </w:tc>
        <w:tc>
          <w:tcPr>
            <w:tcW w:w="0" w:type="auto"/>
            <w:vAlign w:val="center"/>
            <w:hideMark/>
          </w:tcPr>
          <w:p w:rsidR="0055205D" w:rsidRPr="0055205D" w:rsidRDefault="0055205D" w:rsidP="0055205D">
            <w:r w:rsidRPr="0055205D">
              <w:rPr>
                <w:b/>
                <w:bCs/>
                <w:i/>
                <w:iCs/>
              </w:rPr>
              <w:t>0.2</w:t>
            </w:r>
          </w:p>
        </w:tc>
        <w:tc>
          <w:tcPr>
            <w:tcW w:w="0" w:type="auto"/>
            <w:vAlign w:val="center"/>
            <w:hideMark/>
          </w:tcPr>
          <w:p w:rsidR="0055205D" w:rsidRPr="0055205D" w:rsidRDefault="0055205D" w:rsidP="0055205D">
            <w:r w:rsidRPr="0055205D">
              <w:rPr>
                <w:b/>
                <w:bCs/>
                <w:i/>
                <w:iCs/>
              </w:rPr>
              <w:t>0.03-0.5</w:t>
            </w:r>
          </w:p>
        </w:tc>
        <w:tc>
          <w:tcPr>
            <w:tcW w:w="0" w:type="auto"/>
            <w:vAlign w:val="center"/>
            <w:hideMark/>
          </w:tcPr>
          <w:p w:rsidR="0055205D" w:rsidRPr="0055205D" w:rsidRDefault="0055205D" w:rsidP="0055205D">
            <w:r w:rsidRPr="0055205D">
              <w:rPr>
                <w:b/>
                <w:bCs/>
                <w:i/>
                <w:iCs/>
              </w:rPr>
              <w:t>0.270</w:t>
            </w:r>
          </w:p>
        </w:tc>
        <w:tc>
          <w:tcPr>
            <w:tcW w:w="0" w:type="auto"/>
            <w:vAlign w:val="center"/>
            <w:hideMark/>
          </w:tcPr>
          <w:p w:rsidR="0055205D" w:rsidRPr="0055205D" w:rsidRDefault="0055205D" w:rsidP="0055205D">
            <w:r w:rsidRPr="0055205D">
              <w:rPr>
                <w:b/>
                <w:bCs/>
                <w:i/>
                <w:iCs/>
              </w:rPr>
              <w:t>0</w:t>
            </w:r>
          </w:p>
        </w:tc>
        <w:tc>
          <w:tcPr>
            <w:tcW w:w="0" w:type="auto"/>
            <w:vAlign w:val="center"/>
            <w:hideMark/>
          </w:tcPr>
          <w:p w:rsidR="0055205D" w:rsidRPr="0055205D" w:rsidRDefault="0055205D" w:rsidP="0055205D">
            <w:r w:rsidRPr="0055205D">
              <w:rPr>
                <w:b/>
                <w:bCs/>
                <w:i/>
                <w:iCs/>
              </w:rPr>
              <w:t>1373.2</w:t>
            </w:r>
          </w:p>
        </w:tc>
        <w:tc>
          <w:tcPr>
            <w:tcW w:w="0" w:type="auto"/>
            <w:vAlign w:val="center"/>
            <w:hideMark/>
          </w:tcPr>
          <w:p w:rsidR="0055205D" w:rsidRPr="0055205D" w:rsidRDefault="0055205D" w:rsidP="0055205D">
            <w:r w:rsidRPr="0055205D">
              <w:rPr>
                <w:b/>
                <w:bCs/>
                <w:i/>
                <w:iCs/>
              </w:rPr>
              <w:t>0.0</w:t>
            </w:r>
          </w:p>
        </w:tc>
        <w:tc>
          <w:tcPr>
            <w:tcW w:w="0" w:type="auto"/>
            <w:vAlign w:val="center"/>
            <w:hideMark/>
          </w:tcPr>
          <w:p w:rsidR="0055205D" w:rsidRPr="0055205D" w:rsidRDefault="0055205D" w:rsidP="0055205D">
            <w:r w:rsidRPr="0055205D">
              <w:rPr>
                <w:b/>
                <w:bCs/>
                <w:i/>
                <w:iCs/>
              </w:rPr>
              <w:t>0.0-0.3</w:t>
            </w:r>
          </w:p>
        </w:tc>
        <w:tc>
          <w:tcPr>
            <w:tcW w:w="0" w:type="auto"/>
            <w:vAlign w:val="center"/>
            <w:hideMark/>
          </w:tcPr>
          <w:p w:rsidR="0055205D" w:rsidRPr="0055205D" w:rsidRDefault="0055205D" w:rsidP="0055205D">
            <w:r w:rsidRPr="0055205D">
              <w:rPr>
                <w:b/>
                <w:bCs/>
                <w:i/>
                <w:iCs/>
              </w:rPr>
              <w:t>---</w:t>
            </w:r>
          </w:p>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16-24 years</w:t>
            </w:r>
          </w:p>
        </w:tc>
        <w:tc>
          <w:tcPr>
            <w:tcW w:w="0" w:type="auto"/>
            <w:vAlign w:val="center"/>
            <w:hideMark/>
          </w:tcPr>
          <w:p w:rsidR="0055205D" w:rsidRPr="0055205D" w:rsidRDefault="0055205D" w:rsidP="0055205D">
            <w:r w:rsidRPr="0055205D">
              <w:t>6</w:t>
            </w:r>
          </w:p>
        </w:tc>
        <w:tc>
          <w:tcPr>
            <w:tcW w:w="0" w:type="auto"/>
            <w:vAlign w:val="center"/>
            <w:hideMark/>
          </w:tcPr>
          <w:p w:rsidR="0055205D" w:rsidRPr="0055205D" w:rsidRDefault="0055205D" w:rsidP="0055205D">
            <w:r w:rsidRPr="0055205D">
              <w:t>1.2</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0</w:t>
            </w:r>
          </w:p>
        </w:tc>
        <w:tc>
          <w:tcPr>
            <w:tcW w:w="0" w:type="auto"/>
            <w:vAlign w:val="center"/>
            <w:hideMark/>
          </w:tcPr>
          <w:p w:rsidR="0055205D" w:rsidRPr="0055205D" w:rsidRDefault="0055205D" w:rsidP="0055205D">
            <w:r w:rsidRPr="0055205D">
              <w:t>0.0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w:t>
            </w:r>
          </w:p>
        </w:tc>
        <w:tc>
          <w:tcPr>
            <w:tcW w:w="0" w:type="auto"/>
            <w:vAlign w:val="center"/>
            <w:hideMark/>
          </w:tcPr>
          <w:p w:rsidR="0055205D" w:rsidRPr="0055205D" w:rsidRDefault="0055205D" w:rsidP="0055205D">
            <w:r w:rsidRPr="0055205D">
              <w:t>---</w:t>
            </w:r>
          </w:p>
        </w:tc>
        <w:tc>
          <w:tcPr>
            <w:tcW w:w="0" w:type="auto"/>
            <w:vAlign w:val="center"/>
            <w:hideMark/>
          </w:tcPr>
          <w:p w:rsidR="0055205D" w:rsidRPr="0055205D" w:rsidRDefault="0055205D" w:rsidP="0055205D">
            <w:r w:rsidRPr="0055205D">
              <w:t>---</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25-29 years</w:t>
            </w:r>
          </w:p>
        </w:tc>
        <w:tc>
          <w:tcPr>
            <w:tcW w:w="0" w:type="auto"/>
            <w:vAlign w:val="center"/>
            <w:hideMark/>
          </w:tcPr>
          <w:p w:rsidR="0055205D" w:rsidRPr="0055205D" w:rsidRDefault="0055205D" w:rsidP="0055205D">
            <w:r w:rsidRPr="0055205D">
              <w:t>11</w:t>
            </w:r>
          </w:p>
        </w:tc>
        <w:tc>
          <w:tcPr>
            <w:tcW w:w="0" w:type="auto"/>
            <w:vAlign w:val="center"/>
            <w:hideMark/>
          </w:tcPr>
          <w:p w:rsidR="0055205D" w:rsidRPr="0055205D" w:rsidRDefault="0055205D" w:rsidP="0055205D">
            <w:r w:rsidRPr="0055205D">
              <w:t>3.6</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1</w:t>
            </w:r>
          </w:p>
        </w:tc>
        <w:tc>
          <w:tcPr>
            <w:tcW w:w="0" w:type="auto"/>
            <w:vAlign w:val="center"/>
            <w:hideMark/>
          </w:tcPr>
          <w:p w:rsidR="0055205D" w:rsidRPr="0055205D" w:rsidRDefault="0055205D" w:rsidP="0055205D">
            <w:r w:rsidRPr="0055205D">
              <w:t>0.3</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w:t>
            </w:r>
          </w:p>
        </w:tc>
        <w:tc>
          <w:tcPr>
            <w:tcW w:w="0" w:type="auto"/>
            <w:vAlign w:val="center"/>
            <w:hideMark/>
          </w:tcPr>
          <w:p w:rsidR="0055205D" w:rsidRPr="0055205D" w:rsidRDefault="0055205D" w:rsidP="0055205D">
            <w:r w:rsidRPr="0055205D">
              <w:t>---</w:t>
            </w:r>
          </w:p>
        </w:tc>
        <w:tc>
          <w:tcPr>
            <w:tcW w:w="0" w:type="auto"/>
            <w:vAlign w:val="center"/>
            <w:hideMark/>
          </w:tcPr>
          <w:p w:rsidR="0055205D" w:rsidRPr="0055205D" w:rsidRDefault="0055205D" w:rsidP="0055205D">
            <w:r w:rsidRPr="0055205D">
              <w:t>---</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30-39 years</w:t>
            </w:r>
          </w:p>
        </w:tc>
        <w:tc>
          <w:tcPr>
            <w:tcW w:w="0" w:type="auto"/>
            <w:vAlign w:val="center"/>
            <w:hideMark/>
          </w:tcPr>
          <w:p w:rsidR="0055205D" w:rsidRPr="0055205D" w:rsidRDefault="0055205D" w:rsidP="0055205D">
            <w:r w:rsidRPr="0055205D">
              <w:t>25</w:t>
            </w:r>
          </w:p>
        </w:tc>
        <w:tc>
          <w:tcPr>
            <w:tcW w:w="0" w:type="auto"/>
            <w:vAlign w:val="center"/>
            <w:hideMark/>
          </w:tcPr>
          <w:p w:rsidR="0055205D" w:rsidRPr="0055205D" w:rsidRDefault="0055205D" w:rsidP="0055205D">
            <w:r w:rsidRPr="0055205D">
              <w:t>6.0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0</w:t>
            </w:r>
          </w:p>
        </w:tc>
        <w:tc>
          <w:tcPr>
            <w:tcW w:w="0" w:type="auto"/>
            <w:vAlign w:val="center"/>
            <w:hideMark/>
          </w:tcPr>
          <w:p w:rsidR="0055205D" w:rsidRPr="0055205D" w:rsidRDefault="0055205D" w:rsidP="0055205D">
            <w:r w:rsidRPr="0055205D">
              <w:t>0.0</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w:t>
            </w:r>
          </w:p>
        </w:tc>
        <w:tc>
          <w:tcPr>
            <w:tcW w:w="0" w:type="auto"/>
            <w:vAlign w:val="center"/>
            <w:hideMark/>
          </w:tcPr>
          <w:p w:rsidR="0055205D" w:rsidRPr="0055205D" w:rsidRDefault="0055205D" w:rsidP="0055205D">
            <w:r w:rsidRPr="0055205D">
              <w:t>---</w:t>
            </w:r>
          </w:p>
        </w:tc>
        <w:tc>
          <w:tcPr>
            <w:tcW w:w="0" w:type="auto"/>
            <w:vAlign w:val="center"/>
            <w:hideMark/>
          </w:tcPr>
          <w:p w:rsidR="0055205D" w:rsidRPr="0055205D" w:rsidRDefault="0055205D" w:rsidP="0055205D">
            <w:r w:rsidRPr="0055205D">
              <w:t>---</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r w:rsidR="0055205D" w:rsidRPr="0055205D" w:rsidTr="0055205D">
        <w:trPr>
          <w:tblCellSpacing w:w="15" w:type="dxa"/>
        </w:trPr>
        <w:tc>
          <w:tcPr>
            <w:tcW w:w="0" w:type="auto"/>
            <w:vAlign w:val="center"/>
            <w:hideMark/>
          </w:tcPr>
          <w:p w:rsidR="0055205D" w:rsidRPr="0055205D" w:rsidRDefault="0055205D" w:rsidP="0055205D">
            <w:pPr>
              <w:rPr>
                <w:b/>
                <w:bCs/>
              </w:rPr>
            </w:pPr>
            <w:r w:rsidRPr="0055205D">
              <w:rPr>
                <w:b/>
                <w:bCs/>
              </w:rPr>
              <w:t> ≥40 years</w:t>
            </w:r>
          </w:p>
        </w:tc>
        <w:tc>
          <w:tcPr>
            <w:tcW w:w="0" w:type="auto"/>
            <w:vAlign w:val="center"/>
            <w:hideMark/>
          </w:tcPr>
          <w:p w:rsidR="0055205D" w:rsidRPr="0055205D" w:rsidRDefault="0055205D" w:rsidP="0055205D">
            <w:r w:rsidRPr="0055205D">
              <w:t>35</w:t>
            </w:r>
          </w:p>
        </w:tc>
        <w:tc>
          <w:tcPr>
            <w:tcW w:w="0" w:type="auto"/>
            <w:vAlign w:val="center"/>
            <w:hideMark/>
          </w:tcPr>
          <w:p w:rsidR="0055205D" w:rsidRPr="0055205D" w:rsidRDefault="0055205D" w:rsidP="0055205D">
            <w:r w:rsidRPr="0055205D">
              <w:t>7.2</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2</w:t>
            </w:r>
          </w:p>
        </w:tc>
        <w:tc>
          <w:tcPr>
            <w:tcW w:w="0" w:type="auto"/>
            <w:vAlign w:val="center"/>
            <w:hideMark/>
          </w:tcPr>
          <w:p w:rsidR="0055205D" w:rsidRPr="0055205D" w:rsidRDefault="0055205D" w:rsidP="0055205D">
            <w:r w:rsidRPr="0055205D">
              <w:t>0.4</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r w:rsidRPr="0055205D">
              <w:t>---</w:t>
            </w:r>
          </w:p>
        </w:tc>
        <w:tc>
          <w:tcPr>
            <w:tcW w:w="0" w:type="auto"/>
            <w:vAlign w:val="center"/>
            <w:hideMark/>
          </w:tcPr>
          <w:p w:rsidR="0055205D" w:rsidRPr="0055205D" w:rsidRDefault="0055205D" w:rsidP="0055205D">
            <w:r w:rsidRPr="0055205D">
              <w:t>---</w:t>
            </w:r>
          </w:p>
        </w:tc>
        <w:tc>
          <w:tcPr>
            <w:tcW w:w="0" w:type="auto"/>
            <w:vAlign w:val="center"/>
            <w:hideMark/>
          </w:tcPr>
          <w:p w:rsidR="0055205D" w:rsidRPr="0055205D" w:rsidRDefault="0055205D" w:rsidP="0055205D">
            <w:r w:rsidRPr="0055205D">
              <w:t>---</w:t>
            </w:r>
          </w:p>
        </w:tc>
        <w:tc>
          <w:tcPr>
            <w:tcW w:w="0" w:type="auto"/>
            <w:vAlign w:val="center"/>
            <w:hideMark/>
          </w:tcPr>
          <w:p w:rsidR="0055205D" w:rsidRPr="0055205D" w:rsidRDefault="0055205D" w:rsidP="0055205D"/>
        </w:tc>
        <w:tc>
          <w:tcPr>
            <w:tcW w:w="0" w:type="auto"/>
            <w:vAlign w:val="center"/>
            <w:hideMark/>
          </w:tcPr>
          <w:p w:rsidR="0055205D" w:rsidRPr="0055205D" w:rsidRDefault="0055205D" w:rsidP="0055205D"/>
        </w:tc>
      </w:tr>
    </w:tbl>
    <w:p w:rsidR="0055205D" w:rsidRPr="0055205D" w:rsidRDefault="0055205D" w:rsidP="0055205D">
      <w:r w:rsidRPr="0055205D">
        <w:t>The mean age of first cannabis use was 18.7 years (SD = 5.20; median = 18), whereas the mean age at first use of any ‘party drugs’ was 21.6 years (SD = 6.63; median = 20). The majority of those who had ever used any ‘party drugs’ (58.8%) indicated first using ecstasy.</w:t>
      </w:r>
    </w:p>
    <w:p w:rsidR="0055205D" w:rsidRPr="0055205D" w:rsidRDefault="0055205D" w:rsidP="0055205D">
      <w:pPr>
        <w:rPr>
          <w:b/>
          <w:bCs/>
        </w:rPr>
      </w:pPr>
      <w:r w:rsidRPr="0055205D">
        <w:rPr>
          <w:b/>
          <w:bCs/>
        </w:rPr>
        <w:t>3.2. Recent illicit drug use</w:t>
      </w:r>
    </w:p>
    <w:p w:rsidR="0055205D" w:rsidRPr="0055205D" w:rsidRDefault="0055205D" w:rsidP="0055205D">
      <w:r w:rsidRPr="0055205D">
        <w:t xml:space="preserve">At baseline, approximately one in two men (51.9%) reported using illicit drugs in the previous six months. Men aged less than 25 years were slightly less likely to report recent use than older </w:t>
      </w:r>
      <w:proofErr w:type="gramStart"/>
      <w:r w:rsidRPr="0055205D">
        <w:t>men</w:t>
      </w:r>
      <w:proofErr w:type="gramEnd"/>
      <w:r w:rsidRPr="0055205D">
        <w:t xml:space="preserve"> (46.3% vs 54.2%, p = 0.003).</w:t>
      </w:r>
    </w:p>
    <w:p w:rsidR="0055205D" w:rsidRPr="0055205D" w:rsidRDefault="0055205D" w:rsidP="0055205D">
      <w:r w:rsidRPr="0055205D">
        <w:t>Prevalence of recent use of specific drugs ranged from 33.7% for amyl nitrite to 0.3% for heroin (</w:t>
      </w:r>
      <w:r w:rsidRPr="009657B8">
        <w:t>Table 1</w:t>
      </w:r>
      <w:r w:rsidRPr="0055205D">
        <w:t xml:space="preserve">). Among participants who reported lifetime use of a certain drug, the proportion of recent use was highest for amyl nitrite, for which 51.2% of the 1127 men who reported lifetime use of amyl nitrite also reported use in the last six months. This </w:t>
      </w:r>
      <w:proofErr w:type="gramStart"/>
      <w:r w:rsidRPr="0055205D">
        <w:t>was followed</w:t>
      </w:r>
      <w:proofErr w:type="gramEnd"/>
      <w:r w:rsidRPr="0055205D">
        <w:t xml:space="preserve"> by </w:t>
      </w:r>
      <w:r w:rsidRPr="009657B8">
        <w:t>crystal methamphetamine</w:t>
      </w:r>
      <w:r w:rsidRPr="0055205D">
        <w:t xml:space="preserve"> (crystal) at 44.2%, cannabis at 42.3%, and ecstasy at 37.3%.</w:t>
      </w:r>
    </w:p>
    <w:p w:rsidR="0055205D" w:rsidRPr="0055205D" w:rsidRDefault="0055205D" w:rsidP="0055205D">
      <w:r w:rsidRPr="0055205D">
        <w:t xml:space="preserve">The association between the prevalence of recent drug use and age was not consistent. Recent use of amyl nitrite (p &lt; 0.001), crystal methamphetamine (crystal, p &lt; 0.001), and GHB (p = 0.007) were significantly associated with increasing age. There was an inverse association with age for recent use of cannabis (p &lt; 0.001), speed (p = 0.014), and </w:t>
      </w:r>
      <w:r w:rsidRPr="009657B8">
        <w:t>LSD</w:t>
      </w:r>
      <w:r w:rsidRPr="0055205D">
        <w:t xml:space="preserve"> (p = 0.018) (</w:t>
      </w:r>
      <w:r w:rsidRPr="009657B8">
        <w:t>Table 1</w:t>
      </w:r>
      <w:r w:rsidRPr="0055205D">
        <w:t>).</w:t>
      </w:r>
    </w:p>
    <w:p w:rsidR="0055205D" w:rsidRPr="0055205D" w:rsidRDefault="0055205D" w:rsidP="0055205D">
      <w:r w:rsidRPr="0055205D">
        <w:t xml:space="preserve">Among men who reported recent use at baseline, the majority reported occasional use, except for amyl nitrite, for which 51.8% of recent users reported at least monthly use. Older men were significantly more likely to report at least monthly use of amyl nitrite (p &lt; 0.001, </w:t>
      </w:r>
      <w:bookmarkStart w:id="21" w:name="bfig0005"/>
      <w:r w:rsidRPr="009657B8">
        <w:t>Fig. 1</w:t>
      </w:r>
      <w:bookmarkEnd w:id="21"/>
      <w:r w:rsidRPr="0055205D">
        <w:t>). In contrast, younger men were significantly more likely to report at least monthly use of ecstasy (p &lt; 0.001).</w:t>
      </w:r>
    </w:p>
    <w:p w:rsidR="009657B8" w:rsidRDefault="009657B8" w:rsidP="0055205D">
      <w:r w:rsidRPr="0037064D">
        <w:rPr>
          <w:rFonts w:ascii="Times New Roman" w:hAnsi="Times New Roman"/>
          <w:noProof/>
          <w:sz w:val="24"/>
          <w:szCs w:val="24"/>
          <w:lang w:eastAsia="en-GB"/>
        </w:rPr>
        <w:lastRenderedPageBreak/>
        <w:drawing>
          <wp:inline distT="0" distB="0" distL="0" distR="0">
            <wp:extent cx="5731510" cy="419203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192032"/>
                    </a:xfrm>
                    <a:prstGeom prst="rect">
                      <a:avLst/>
                    </a:prstGeom>
                    <a:noFill/>
                    <a:ln>
                      <a:noFill/>
                    </a:ln>
                  </pic:spPr>
                </pic:pic>
              </a:graphicData>
            </a:graphic>
          </wp:inline>
        </w:drawing>
      </w:r>
    </w:p>
    <w:p w:rsidR="0055205D" w:rsidRPr="0055205D" w:rsidRDefault="0055205D" w:rsidP="0055205D"/>
    <w:p w:rsidR="0055205D" w:rsidRPr="0055205D" w:rsidRDefault="0055205D" w:rsidP="0055205D">
      <w:r w:rsidRPr="0055205D">
        <w:t xml:space="preserve">Fig. 1. </w:t>
      </w:r>
      <w:r w:rsidR="009657B8" w:rsidRPr="009657B8">
        <w:t>The association between age and frequency of recent illicit drug use in the study of Following Lives Undergoing Change</w:t>
      </w:r>
      <w:r w:rsidRPr="009657B8">
        <w:t>.</w:t>
      </w:r>
    </w:p>
    <w:p w:rsidR="0055205D" w:rsidRPr="0055205D" w:rsidRDefault="0055205D" w:rsidP="0055205D">
      <w:r w:rsidRPr="0055205D">
        <w:t xml:space="preserve">Just over three-quarters (77.5%) of men completed the six-month follow-up survey and 71.3% completed the 12-month survey. Participants lost to follow-up after baseline (17.4%) were similar to those who continued in the study with respect to socio-demographic characteristics, drug use and self-reported HIV </w:t>
      </w:r>
      <w:proofErr w:type="spellStart"/>
      <w:r w:rsidRPr="0055205D">
        <w:t>serostatus</w:t>
      </w:r>
      <w:proofErr w:type="spellEnd"/>
      <w:r w:rsidRPr="0055205D">
        <w:t>. However, those who only completed the baseline survey were significantly younger (mean age 29.6 vs 34.4 years, p &lt; 0.001) than those who provided follow-up data.</w:t>
      </w:r>
    </w:p>
    <w:p w:rsidR="0055205D" w:rsidRPr="0055205D" w:rsidRDefault="0055205D" w:rsidP="0055205D">
      <w:pPr>
        <w:rPr>
          <w:b/>
          <w:bCs/>
        </w:rPr>
      </w:pPr>
      <w:r w:rsidRPr="0055205D">
        <w:rPr>
          <w:b/>
          <w:bCs/>
        </w:rPr>
        <w:t>3.3. Overall drug use initiation</w:t>
      </w:r>
    </w:p>
    <w:p w:rsidR="0055205D" w:rsidRPr="0055205D" w:rsidRDefault="0055205D" w:rsidP="0055205D">
      <w:proofErr w:type="gramStart"/>
      <w:r w:rsidRPr="0055205D">
        <w:t>A total of 219</w:t>
      </w:r>
      <w:proofErr w:type="gramEnd"/>
      <w:r w:rsidRPr="0055205D">
        <w:t xml:space="preserve"> men who reported at baseline that they had never used illicit drugs completed at least one biannual follow-up survey. Just above half (n = 110, 50.2%) were aged under 25 years, 37 (16.9%) were aged between 25 and 29 years, 34 (15.5%) were aged between 30 and 39 years, and 38 (17.4%) were above 40 years. Among them, 24 reported using cannabis or amyl nitrite during follow-up. The overall incidence of initiation of these two drugs was 11.4 per 100 person-years (95% CI 7.6–17.0). Very few men (n = 6) with no history of illicit drug use at baseline initiated any of the ‘party drugs’, with an incidence rate of 2.8 per 100 person-years (95% CI 1.2-6.1). All six men who initiated any of the ‘party drugs’ also initiated cannabis or amyl nitrite.</w:t>
      </w:r>
    </w:p>
    <w:p w:rsidR="0055205D" w:rsidRPr="0055205D" w:rsidRDefault="0055205D" w:rsidP="0055205D">
      <w:pPr>
        <w:rPr>
          <w:b/>
          <w:bCs/>
        </w:rPr>
      </w:pPr>
      <w:r w:rsidRPr="0055205D">
        <w:rPr>
          <w:b/>
          <w:bCs/>
        </w:rPr>
        <w:t>3.4. Drug-specific incidence</w:t>
      </w:r>
    </w:p>
    <w:p w:rsidR="0055205D" w:rsidRPr="0055205D" w:rsidRDefault="0055205D" w:rsidP="0055205D">
      <w:r w:rsidRPr="0055205D">
        <w:t xml:space="preserve">The drug-specific initiation rate was highest for amyl nitrite, with an incidence of 10.5 per 100 person-years (95% CI 7.9–13.9, </w:t>
      </w:r>
      <w:r w:rsidRPr="009657B8">
        <w:t>Table 1</w:t>
      </w:r>
      <w:r w:rsidRPr="0055205D">
        <w:t xml:space="preserve">). This was followed by cannabis and ecstasy, with an </w:t>
      </w:r>
      <w:r w:rsidRPr="0055205D">
        <w:lastRenderedPageBreak/>
        <w:t xml:space="preserve">incidence of 7.3 (95% CI 5.0–10.6) and 5.0 (95% CI 3.6-7.0) per 100 person-years, respectively. Incidence of crystal methamphetamine (crystal) was 2.7 per 100 person-years (95% CI 1.8-3.9). No cases of initiation of heroin use </w:t>
      </w:r>
      <w:proofErr w:type="gramStart"/>
      <w:r w:rsidRPr="0055205D">
        <w:t>were observed</w:t>
      </w:r>
      <w:proofErr w:type="gramEnd"/>
      <w:r w:rsidRPr="0055205D">
        <w:t xml:space="preserve"> in the first 12 months of follow-up.</w:t>
      </w:r>
    </w:p>
    <w:p w:rsidR="0055205D" w:rsidRPr="0055205D" w:rsidRDefault="0055205D" w:rsidP="0055205D">
      <w:r w:rsidRPr="0055205D">
        <w:t xml:space="preserve">The incidence of initiation was inversely associated with increasing age for almost all drugs except crystal methamphetamine (crystal, </w:t>
      </w:r>
      <w:r w:rsidRPr="009657B8">
        <w:t>Table 1</w:t>
      </w:r>
      <w:bookmarkEnd w:id="20"/>
      <w:r w:rsidRPr="0055205D">
        <w:t xml:space="preserve">). This inverse association with increasing age was statistically significant for amyl nitrite (p &lt; 0.001), ecstasy (p = 0.004), </w:t>
      </w:r>
      <w:r w:rsidRPr="009657B8">
        <w:t>cocaine</w:t>
      </w:r>
      <w:r w:rsidRPr="0055205D">
        <w:t xml:space="preserve"> (p = 0.003), </w:t>
      </w:r>
      <w:r w:rsidRPr="009657B8">
        <w:t>ketamine</w:t>
      </w:r>
      <w:r w:rsidRPr="0055205D">
        <w:t xml:space="preserve"> (p = 0.003), GHB (p = 0.003), and LSD (p = 0.001).</w:t>
      </w:r>
    </w:p>
    <w:p w:rsidR="0055205D" w:rsidRPr="0055205D" w:rsidRDefault="0055205D" w:rsidP="0055205D">
      <w:pPr>
        <w:rPr>
          <w:b/>
          <w:bCs/>
        </w:rPr>
      </w:pPr>
      <w:r w:rsidRPr="0055205D">
        <w:rPr>
          <w:b/>
          <w:bCs/>
        </w:rPr>
        <w:t>4. Discussion</w:t>
      </w:r>
    </w:p>
    <w:p w:rsidR="0055205D" w:rsidRPr="0055205D" w:rsidRDefault="0055205D" w:rsidP="0055205D">
      <w:r w:rsidRPr="0055205D">
        <w:t xml:space="preserve">Illicit drug use was common in this sample of Australian GBM, although most recent use was infrequent. Age was a strong predictor of lifetime, recent and incident use. While prevalence of illicit drug use was generally associated with increasing age, this association with age reversed for recent use of </w:t>
      </w:r>
      <w:r w:rsidRPr="009657B8">
        <w:t>cannabis</w:t>
      </w:r>
      <w:r w:rsidRPr="0055205D">
        <w:t xml:space="preserve">, speed and </w:t>
      </w:r>
      <w:r w:rsidRPr="009657B8">
        <w:t>LSD</w:t>
      </w:r>
      <w:r w:rsidRPr="0055205D">
        <w:t xml:space="preserve">. The incidence of initiation was generally inversely associated with increasing age, with the exception of </w:t>
      </w:r>
      <w:r w:rsidRPr="009657B8">
        <w:t>crystal methamphetamine</w:t>
      </w:r>
      <w:r w:rsidRPr="0055205D">
        <w:t xml:space="preserve"> (crystal).</w:t>
      </w:r>
    </w:p>
    <w:p w:rsidR="0055205D" w:rsidRPr="0055205D" w:rsidRDefault="0055205D" w:rsidP="0055205D">
      <w:r w:rsidRPr="0055205D">
        <w:t>Prevalence of both lifetime and recent use of any illicit drug in the Flux Study is substantially higher than that reported among GBM in a 2013 Australian population-based household survey, which found that 58.7% reported lifetime use and 35.9% reported use in the last 12 months (</w:t>
      </w:r>
      <w:r w:rsidRPr="009657B8">
        <w:t>Roxburgh et al., 2016</w:t>
      </w:r>
      <w:bookmarkEnd w:id="13"/>
      <w:r w:rsidRPr="0055205D">
        <w:t>). While these differences could be attributable to different sampling strategies between the two studies, the higher prevalence observed in the current study, at 84.1% for lifetime use and 51.9% for recent use, may also reflect changes over time in drug use patterns among Australian GBM (</w:t>
      </w:r>
      <w:bookmarkStart w:id="22" w:name="bbib0040"/>
      <w:r w:rsidRPr="009657B8">
        <w:t>Lea et al., 2016</w:t>
      </w:r>
      <w:r w:rsidRPr="0055205D">
        <w:t xml:space="preserve">). Behavioural surveillance conducted </w:t>
      </w:r>
      <w:proofErr w:type="gramStart"/>
      <w:r w:rsidRPr="0055205D">
        <w:t>among</w:t>
      </w:r>
      <w:proofErr w:type="gramEnd"/>
      <w:r w:rsidRPr="0055205D">
        <w:t xml:space="preserve"> GBM in Sydney and Melbourne in 2016 indicates that approximately 65% of men report using </w:t>
      </w:r>
      <w:r w:rsidRPr="009657B8">
        <w:t>recreational drugs</w:t>
      </w:r>
      <w:r w:rsidRPr="0055205D">
        <w:t xml:space="preserve"> in the previous six months, which also included the use of </w:t>
      </w:r>
      <w:r w:rsidRPr="009657B8">
        <w:t>steroids</w:t>
      </w:r>
      <w:r w:rsidRPr="0055205D">
        <w:t xml:space="preserve"> and erectile dysfunctional medications (</w:t>
      </w:r>
      <w:bookmarkStart w:id="23" w:name="bbib0025"/>
      <w:r w:rsidRPr="009657B8">
        <w:t>Hull et al., 2017</w:t>
      </w:r>
      <w:bookmarkEnd w:id="23"/>
      <w:r w:rsidRPr="0055205D">
        <w:t xml:space="preserve">; </w:t>
      </w:r>
      <w:bookmarkStart w:id="24" w:name="bbib0045"/>
      <w:r w:rsidRPr="009657B8">
        <w:t>Lee et al., 2017</w:t>
      </w:r>
      <w:bookmarkEnd w:id="24"/>
      <w:r w:rsidRPr="0055205D">
        <w:t xml:space="preserve">). Internationally, a large survey of 174,209 </w:t>
      </w:r>
      <w:r w:rsidRPr="009657B8">
        <w:t>men who have sex with men</w:t>
      </w:r>
      <w:r w:rsidRPr="0055205D">
        <w:t xml:space="preserve"> from 44 European cities conducted in 2010 reported slightly lower prevalence of lifetime and of recent use of illicit drugs, but wide variations in drug use existed across cities (</w:t>
      </w:r>
      <w:r w:rsidRPr="009657B8">
        <w:t>Schmidt et al., 2016</w:t>
      </w:r>
      <w:bookmarkEnd w:id="17"/>
      <w:r w:rsidRPr="0055205D">
        <w:t>). Nevertheless, between Sydney and Melbourne, the patterns of recent recreational drug use were more similar.</w:t>
      </w:r>
    </w:p>
    <w:p w:rsidR="0055205D" w:rsidRPr="0055205D" w:rsidRDefault="0055205D" w:rsidP="0055205D">
      <w:r w:rsidRPr="0055205D">
        <w:t xml:space="preserve">While it is not surprising that the prevalence of lifetime drug use was strongly associated with increasing age, a distinctive pattern emerged in the prevalence of recent use in association with age. Recent use of amyl </w:t>
      </w:r>
      <w:r w:rsidRPr="009657B8">
        <w:t>nitrite</w:t>
      </w:r>
      <w:r w:rsidRPr="0055205D">
        <w:t>, crystal methamphetamine (crystal), and GHB were associated with increasing age, but this association with age reversed for recent use of cannabis and speed. This might suggest the existence of age-based social networks among GBM who use drugs.</w:t>
      </w:r>
    </w:p>
    <w:p w:rsidR="0055205D" w:rsidRPr="0055205D" w:rsidRDefault="0055205D" w:rsidP="0055205D">
      <w:r w:rsidRPr="0055205D">
        <w:t xml:space="preserve">To the best of our knowledge, this is the first study to report on the incidence of initiation of a comprehensive range of illicit drugs among GBM. Being a large-scale prospective </w:t>
      </w:r>
      <w:r w:rsidRPr="009657B8">
        <w:t>cohort study</w:t>
      </w:r>
      <w:r w:rsidRPr="0055205D">
        <w:t>, Flux benefited from its design being entirely online, with high retention (71.3%) at 12 months (</w:t>
      </w:r>
      <w:r w:rsidRPr="009657B8">
        <w:t>Hammoud et al., 2017</w:t>
      </w:r>
      <w:r w:rsidRPr="0055205D">
        <w:t>). In men who had never used illicit drugs prior to study enrolment, the 12-month incidence of ‘party’ drugs was much lower than initiation of cannabis and amyl nitrite use. This suggests that most drug naïve GBM may initiate use of cannabis or amyl nitrite before using other drugs. This is also supported by the younger age at initiation of cannabis (18.7 years) compared with ‘party’ drugs (21.6 years) reported by participants at baseline, indicating a temporal sequence between the initiation of cannabis and other illicit drugs.</w:t>
      </w:r>
    </w:p>
    <w:p w:rsidR="0055205D" w:rsidRPr="0055205D" w:rsidRDefault="0055205D" w:rsidP="0055205D">
      <w:r w:rsidRPr="0055205D">
        <w:t xml:space="preserve">Our study has limitations. Flux targeted younger men in whom the prevalence of lifetime illicit drug use </w:t>
      </w:r>
      <w:proofErr w:type="gramStart"/>
      <w:r w:rsidRPr="0055205D">
        <w:t>was expected</w:t>
      </w:r>
      <w:proofErr w:type="gramEnd"/>
      <w:r w:rsidRPr="0055205D">
        <w:t xml:space="preserve"> to be lower, aiming to maximise the likelihood of capturing events of drug initiation during the study. To achieve this, just under 30% of study participants were under 25 years when recruited, higher than previous studies among GBM in Australia (</w:t>
      </w:r>
      <w:bookmarkStart w:id="25" w:name="bbib0030"/>
      <w:proofErr w:type="spellStart"/>
      <w:r w:rsidRPr="009657B8">
        <w:t>Jin</w:t>
      </w:r>
      <w:proofErr w:type="spellEnd"/>
      <w:r w:rsidRPr="009657B8">
        <w:t xml:space="preserve"> et al., 2010</w:t>
      </w:r>
      <w:bookmarkEnd w:id="25"/>
      <w:r w:rsidRPr="0055205D">
        <w:t xml:space="preserve">; </w:t>
      </w:r>
      <w:r w:rsidRPr="009657B8">
        <w:t xml:space="preserve">Lea et al., </w:t>
      </w:r>
      <w:r w:rsidRPr="009657B8">
        <w:lastRenderedPageBreak/>
        <w:t>2016</w:t>
      </w:r>
      <w:bookmarkEnd w:id="22"/>
      <w:r w:rsidRPr="0055205D">
        <w:t xml:space="preserve">). </w:t>
      </w:r>
      <w:proofErr w:type="gramStart"/>
      <w:r w:rsidRPr="0055205D">
        <w:t>Being an entirely online cohort study,</w:t>
      </w:r>
      <w:proofErr w:type="gramEnd"/>
      <w:r w:rsidRPr="0055205D">
        <w:t xml:space="preserve"> </w:t>
      </w:r>
      <w:proofErr w:type="gramStart"/>
      <w:r w:rsidRPr="0055205D">
        <w:t>participants</w:t>
      </w:r>
      <w:proofErr w:type="gramEnd"/>
      <w:r w:rsidRPr="0055205D">
        <w:t xml:space="preserve"> were predominantly recruited from online social network sites (</w:t>
      </w:r>
      <w:r w:rsidRPr="009657B8">
        <w:t>Hammoud et al., 2017</w:t>
      </w:r>
      <w:bookmarkEnd w:id="19"/>
      <w:r w:rsidRPr="0055205D">
        <w:t xml:space="preserve">). These characteristics could limit the generalisability of study results. The study was widely advertised through gay-friendly online sources and through gay community organisations in Australia, and thus results could be more representative of men engaged in gay community. Participants’ geographic distribution and other characteristics were similar to samples recruited in previous studies conducted by the research team. Longer follow-up of the cohort will facilitate the understanding of factors associated with some individuals becoming problematic drug users, which is of great public health importance to this </w:t>
      </w:r>
      <w:r w:rsidRPr="009657B8">
        <w:t>marginalised population</w:t>
      </w:r>
      <w:r w:rsidRPr="0055205D">
        <w:t>.</w:t>
      </w:r>
    </w:p>
    <w:p w:rsidR="0055205D" w:rsidRPr="0055205D" w:rsidRDefault="0055205D" w:rsidP="0055205D">
      <w:r w:rsidRPr="0055205D">
        <w:t xml:space="preserve">Illicit drug use is common among GBM in Australia. Although younger GBM are less likely to report lifetime drug use than their older </w:t>
      </w:r>
      <w:proofErr w:type="gramStart"/>
      <w:r w:rsidRPr="0055205D">
        <w:t>counterparts</w:t>
      </w:r>
      <w:proofErr w:type="gramEnd"/>
      <w:r w:rsidRPr="0055205D">
        <w:t xml:space="preserve">, a marked proportion of younger men experience high incidence of drug initiation in their adulthood, which might provide an opportunity for early intervention. Importantly, incidence of crystal methamphetamine (crystal) use, a drug whose use </w:t>
      </w:r>
      <w:proofErr w:type="gramStart"/>
      <w:r w:rsidRPr="0055205D">
        <w:t>has been linked</w:t>
      </w:r>
      <w:proofErr w:type="gramEnd"/>
      <w:r w:rsidRPr="0055205D">
        <w:t xml:space="preserve"> to incident </w:t>
      </w:r>
      <w:r w:rsidRPr="009657B8">
        <w:t>HIV</w:t>
      </w:r>
      <w:r w:rsidRPr="0055205D">
        <w:t xml:space="preserve"> infection, was high in men aged above 40, indicating a need for targeted </w:t>
      </w:r>
      <w:r w:rsidRPr="009657B8">
        <w:t>harm reduction</w:t>
      </w:r>
      <w:r w:rsidRPr="0055205D">
        <w:t xml:space="preserve"> efforts.</w:t>
      </w:r>
    </w:p>
    <w:p w:rsidR="0055205D" w:rsidRPr="0055205D" w:rsidRDefault="0055205D" w:rsidP="0055205D">
      <w:pPr>
        <w:rPr>
          <w:b/>
          <w:bCs/>
        </w:rPr>
      </w:pPr>
      <w:r w:rsidRPr="0055205D">
        <w:rPr>
          <w:b/>
          <w:bCs/>
        </w:rPr>
        <w:t>Role of the funding source</w:t>
      </w:r>
    </w:p>
    <w:p w:rsidR="0055205D" w:rsidRPr="0055205D" w:rsidRDefault="0055205D" w:rsidP="0055205D">
      <w:proofErr w:type="gramStart"/>
      <w:r w:rsidRPr="0055205D">
        <w:t xml:space="preserve">The Following Lives Undergoing Change (Flux) Study is funded by an Australian Research Council Discovery Project (DP </w:t>
      </w:r>
      <w:r w:rsidRPr="009657B8">
        <w:t>140102483</w:t>
      </w:r>
      <w:r w:rsidRPr="0055205D">
        <w:t>)</w:t>
      </w:r>
      <w:proofErr w:type="gramEnd"/>
      <w:r w:rsidRPr="0055205D">
        <w:t xml:space="preserve">. The Kirby Institute and the Centre for Social Research in Health </w:t>
      </w:r>
      <w:proofErr w:type="gramStart"/>
      <w:r w:rsidRPr="0055205D">
        <w:t>are affiliated with UNSW Sydney and funded by the Australian Government Department of Health</w:t>
      </w:r>
      <w:proofErr w:type="gramEnd"/>
      <w:r w:rsidRPr="0055205D">
        <w:t xml:space="preserve">. The National Drug and Alcohol Research Centre, UNSW is supported by funding from the Australian Government under the </w:t>
      </w:r>
      <w:r w:rsidRPr="009657B8">
        <w:t>Substance Misuse</w:t>
      </w:r>
      <w:r w:rsidRPr="0055205D">
        <w:t xml:space="preserve"> Prevention and Service Improvements Grants Fund. </w:t>
      </w:r>
      <w:proofErr w:type="gramStart"/>
      <w:r w:rsidRPr="0055205D">
        <w:t>Lisa Maher is supported by an Australian National Health and Medical Research Council (NHMRC) Senior Research Fellowship</w:t>
      </w:r>
      <w:proofErr w:type="gramEnd"/>
      <w:r w:rsidRPr="0055205D">
        <w:t xml:space="preserve">. </w:t>
      </w:r>
      <w:proofErr w:type="gramStart"/>
      <w:r w:rsidRPr="0055205D">
        <w:t>Louisa Degenhardt is supported by a NHMRC Principal Research Fellowship</w:t>
      </w:r>
      <w:proofErr w:type="gramEnd"/>
      <w:r w:rsidRPr="0055205D">
        <w:t xml:space="preserve">. Toby Lea </w:t>
      </w:r>
      <w:proofErr w:type="gramStart"/>
      <w:r w:rsidRPr="0055205D">
        <w:t>is supported</w:t>
      </w:r>
      <w:proofErr w:type="gramEnd"/>
      <w:r w:rsidRPr="0055205D">
        <w:t xml:space="preserve"> by an Alexander von Humboldt Postdoctoral Research Fellowship.</w:t>
      </w:r>
    </w:p>
    <w:p w:rsidR="0055205D" w:rsidRPr="0055205D" w:rsidRDefault="0055205D" w:rsidP="0055205D">
      <w:r w:rsidRPr="0055205D">
        <w:t>The views expressed in this publication do not necessarily represent the position of the Australian Government.</w:t>
      </w:r>
    </w:p>
    <w:p w:rsidR="0055205D" w:rsidRPr="0055205D" w:rsidRDefault="0055205D" w:rsidP="0055205D">
      <w:pPr>
        <w:rPr>
          <w:b/>
          <w:bCs/>
        </w:rPr>
      </w:pPr>
      <w:r w:rsidRPr="0055205D">
        <w:rPr>
          <w:b/>
          <w:bCs/>
        </w:rPr>
        <w:t>Contributors</w:t>
      </w:r>
    </w:p>
    <w:p w:rsidR="0055205D" w:rsidRPr="0055205D" w:rsidRDefault="0055205D" w:rsidP="0055205D">
      <w:r w:rsidRPr="0055205D">
        <w:t>GPP, LM, LD and FJ conceptualised the Flux cohort. GPP, MAM, and FJ developed the study analysis plan. FJ drafted the manuscript. All authors commented on the draft and approved the final version of the manuscript.</w:t>
      </w:r>
    </w:p>
    <w:p w:rsidR="0055205D" w:rsidRPr="0055205D" w:rsidRDefault="0055205D" w:rsidP="0055205D">
      <w:pPr>
        <w:rPr>
          <w:b/>
          <w:bCs/>
        </w:rPr>
      </w:pPr>
      <w:r w:rsidRPr="0055205D">
        <w:rPr>
          <w:b/>
          <w:bCs/>
        </w:rPr>
        <w:t>Conflicts of interest</w:t>
      </w:r>
    </w:p>
    <w:p w:rsidR="0055205D" w:rsidRPr="0055205D" w:rsidRDefault="0055205D" w:rsidP="0055205D">
      <w:r w:rsidRPr="0055205D">
        <w:t>The authors declare no conflicts of interest.</w:t>
      </w:r>
    </w:p>
    <w:p w:rsidR="0055205D" w:rsidRPr="0055205D" w:rsidRDefault="0055205D" w:rsidP="0055205D">
      <w:pPr>
        <w:rPr>
          <w:b/>
          <w:bCs/>
        </w:rPr>
      </w:pPr>
      <w:r w:rsidRPr="0055205D">
        <w:rPr>
          <w:b/>
          <w:bCs/>
        </w:rPr>
        <w:t>Acknowledgements</w:t>
      </w:r>
    </w:p>
    <w:p w:rsidR="0055205D" w:rsidRPr="0055205D" w:rsidRDefault="0055205D" w:rsidP="0055205D">
      <w:r w:rsidRPr="0055205D">
        <w:t>The authors thank all the participants of the Flux Study.</w:t>
      </w:r>
    </w:p>
    <w:p w:rsidR="0055205D" w:rsidRPr="0055205D" w:rsidRDefault="0055205D" w:rsidP="0055205D">
      <w:pPr>
        <w:rPr>
          <w:b/>
          <w:bCs/>
        </w:rPr>
      </w:pPr>
      <w:r w:rsidRPr="0055205D">
        <w:rPr>
          <w:b/>
          <w:bCs/>
        </w:rPr>
        <w:t>References</w:t>
      </w:r>
    </w:p>
    <w:p w:rsidR="0055205D" w:rsidRPr="0055205D" w:rsidRDefault="0055205D" w:rsidP="0055205D">
      <w:r w:rsidRPr="007A4334">
        <w:t xml:space="preserve">Bourne and </w:t>
      </w:r>
      <w:proofErr w:type="spellStart"/>
      <w:r w:rsidRPr="007A4334">
        <w:t>Weatherburn</w:t>
      </w:r>
      <w:proofErr w:type="spellEnd"/>
      <w:r w:rsidRPr="007A4334">
        <w:t>, 2017</w:t>
      </w:r>
    </w:p>
    <w:p w:rsidR="0055205D" w:rsidRPr="0055205D" w:rsidRDefault="0055205D" w:rsidP="0055205D">
      <w:r w:rsidRPr="0055205D">
        <w:t xml:space="preserve">A. Bourne, P. </w:t>
      </w:r>
      <w:proofErr w:type="spellStart"/>
      <w:r w:rsidRPr="0055205D">
        <w:t>Weatherburn</w:t>
      </w:r>
      <w:r w:rsidRPr="0055205D">
        <w:rPr>
          <w:b/>
          <w:bCs/>
        </w:rPr>
        <w:t>Substance</w:t>
      </w:r>
      <w:proofErr w:type="spellEnd"/>
      <w:r w:rsidRPr="0055205D">
        <w:rPr>
          <w:b/>
          <w:bCs/>
        </w:rPr>
        <w:t xml:space="preserve"> use among men who have sex with men: patterns, motivations, impacts and intervention development need</w:t>
      </w:r>
    </w:p>
    <w:p w:rsidR="0055205D" w:rsidRPr="0055205D" w:rsidRDefault="0055205D" w:rsidP="0055205D">
      <w:r w:rsidRPr="0055205D">
        <w:t xml:space="preserve">Sex. </w:t>
      </w:r>
      <w:proofErr w:type="spellStart"/>
      <w:r w:rsidRPr="0055205D">
        <w:t>Transm</w:t>
      </w:r>
      <w:proofErr w:type="spellEnd"/>
      <w:r w:rsidRPr="0055205D">
        <w:t xml:space="preserve">. </w:t>
      </w:r>
      <w:proofErr w:type="gramStart"/>
      <w:r w:rsidRPr="0055205D">
        <w:t>Infect.,</w:t>
      </w:r>
      <w:proofErr w:type="gramEnd"/>
      <w:r w:rsidRPr="0055205D">
        <w:t xml:space="preserve"> 93 (2017), pp. 342-346</w:t>
      </w:r>
    </w:p>
    <w:p w:rsidR="0055205D" w:rsidRPr="0055205D" w:rsidRDefault="0055205D" w:rsidP="0055205D">
      <w:r w:rsidRPr="007A4334">
        <w:t>Cochran et al., 2004</w:t>
      </w:r>
    </w:p>
    <w:p w:rsidR="0055205D" w:rsidRPr="0055205D" w:rsidRDefault="0055205D" w:rsidP="0055205D">
      <w:r w:rsidRPr="0055205D">
        <w:t xml:space="preserve">S.D. Cochran, D. Ackerman, V.M. Mays, M.W. </w:t>
      </w:r>
      <w:proofErr w:type="spellStart"/>
      <w:r w:rsidRPr="0055205D">
        <w:t>Ross</w:t>
      </w:r>
      <w:r w:rsidRPr="0055205D">
        <w:rPr>
          <w:b/>
          <w:bCs/>
        </w:rPr>
        <w:t>Prevalence</w:t>
      </w:r>
      <w:proofErr w:type="spellEnd"/>
      <w:r w:rsidRPr="0055205D">
        <w:rPr>
          <w:b/>
          <w:bCs/>
        </w:rPr>
        <w:t xml:space="preserve"> of non-medical drug use and dependence among homosexually active men and women in the US population</w:t>
      </w:r>
    </w:p>
    <w:p w:rsidR="0055205D" w:rsidRPr="0055205D" w:rsidRDefault="0055205D" w:rsidP="0055205D">
      <w:r w:rsidRPr="0055205D">
        <w:t>Addiction, 99 (2004), pp. 989-998</w:t>
      </w:r>
    </w:p>
    <w:p w:rsidR="0055205D" w:rsidRPr="0055205D" w:rsidRDefault="0055205D" w:rsidP="0055205D">
      <w:r w:rsidRPr="007A4334">
        <w:t>Drabble et al., 2005</w:t>
      </w:r>
    </w:p>
    <w:p w:rsidR="0055205D" w:rsidRPr="0055205D" w:rsidRDefault="0055205D" w:rsidP="0055205D">
      <w:r w:rsidRPr="0055205D">
        <w:t xml:space="preserve">L. Drabble, L.T. </w:t>
      </w:r>
      <w:proofErr w:type="spellStart"/>
      <w:r w:rsidRPr="0055205D">
        <w:t>Midanik</w:t>
      </w:r>
      <w:proofErr w:type="spellEnd"/>
      <w:r w:rsidRPr="0055205D">
        <w:t xml:space="preserve">, K. </w:t>
      </w:r>
      <w:proofErr w:type="spellStart"/>
      <w:r w:rsidRPr="0055205D">
        <w:t>Trocki</w:t>
      </w:r>
      <w:r w:rsidRPr="0055205D">
        <w:rPr>
          <w:b/>
          <w:bCs/>
        </w:rPr>
        <w:t>Reports</w:t>
      </w:r>
      <w:proofErr w:type="spellEnd"/>
      <w:r w:rsidRPr="0055205D">
        <w:rPr>
          <w:b/>
          <w:bCs/>
        </w:rPr>
        <w:t xml:space="preserve"> of alcohol consumption and alcohol-related problems among homosexual, bisexual and heterosexual respondents: results from the 2000 National Alcohol Survey</w:t>
      </w:r>
    </w:p>
    <w:p w:rsidR="0055205D" w:rsidRPr="0055205D" w:rsidRDefault="0055205D" w:rsidP="0055205D">
      <w:r w:rsidRPr="0055205D">
        <w:t xml:space="preserve">J. Stud. </w:t>
      </w:r>
      <w:proofErr w:type="gramStart"/>
      <w:r w:rsidRPr="0055205D">
        <w:t>Alcohol.,</w:t>
      </w:r>
      <w:proofErr w:type="gramEnd"/>
      <w:r w:rsidRPr="0055205D">
        <w:t xml:space="preserve"> 66 (2005), pp. 111-120</w:t>
      </w:r>
    </w:p>
    <w:p w:rsidR="0055205D" w:rsidRPr="0055205D" w:rsidRDefault="0055205D" w:rsidP="0055205D">
      <w:r w:rsidRPr="007A4334">
        <w:t>Hammoud et al., 2017</w:t>
      </w:r>
    </w:p>
    <w:p w:rsidR="0055205D" w:rsidRPr="0055205D" w:rsidRDefault="0055205D" w:rsidP="0055205D">
      <w:r w:rsidRPr="0055205D">
        <w:t xml:space="preserve">M.A. Hammoud, F. </w:t>
      </w:r>
      <w:proofErr w:type="spellStart"/>
      <w:r w:rsidRPr="0055205D">
        <w:t>Jin</w:t>
      </w:r>
      <w:proofErr w:type="spellEnd"/>
      <w:r w:rsidRPr="0055205D">
        <w:t xml:space="preserve">, L. Degenhardt, T. Lea, L. Maher, J. Grierson, B. Mackie, M. </w:t>
      </w:r>
      <w:proofErr w:type="spellStart"/>
      <w:r w:rsidRPr="0055205D">
        <w:t>Pastorelli</w:t>
      </w:r>
      <w:proofErr w:type="spellEnd"/>
      <w:r w:rsidRPr="0055205D">
        <w:t xml:space="preserve">, C. </w:t>
      </w:r>
      <w:proofErr w:type="spellStart"/>
      <w:r w:rsidRPr="0055205D">
        <w:t>Batrouney</w:t>
      </w:r>
      <w:proofErr w:type="spellEnd"/>
      <w:r w:rsidRPr="0055205D">
        <w:t xml:space="preserve">, N. Bath, J. Bradley, G.P. </w:t>
      </w:r>
      <w:proofErr w:type="spellStart"/>
      <w:r w:rsidRPr="0055205D">
        <w:t>Prestage</w:t>
      </w:r>
      <w:r w:rsidRPr="0055205D">
        <w:rPr>
          <w:b/>
          <w:bCs/>
        </w:rPr>
        <w:t>Following</w:t>
      </w:r>
      <w:proofErr w:type="spellEnd"/>
      <w:r w:rsidRPr="0055205D">
        <w:rPr>
          <w:b/>
          <w:bCs/>
        </w:rPr>
        <w:t xml:space="preserve"> lives undergoing change (Flux) study: implementation and baseline prevalence of drug use in an online cohort study of gay and bisexual men in Australia</w:t>
      </w:r>
    </w:p>
    <w:p w:rsidR="0055205D" w:rsidRPr="0055205D" w:rsidRDefault="0055205D" w:rsidP="0055205D">
      <w:r w:rsidRPr="0055205D">
        <w:t>Int. J. Drug Policy, 41 (2017), pp. 41-50</w:t>
      </w:r>
    </w:p>
    <w:p w:rsidR="0055205D" w:rsidRPr="0055205D" w:rsidRDefault="0055205D" w:rsidP="0055205D">
      <w:r w:rsidRPr="007A4334">
        <w:t>Hull et al., 2017</w:t>
      </w:r>
    </w:p>
    <w:p w:rsidR="0055205D" w:rsidRPr="0055205D" w:rsidRDefault="0055205D" w:rsidP="0055205D">
      <w:r w:rsidRPr="0055205D">
        <w:t xml:space="preserve">P. Hull, L. Mao, T. Lea, L. Lee, J. </w:t>
      </w:r>
      <w:proofErr w:type="spellStart"/>
      <w:r w:rsidRPr="0055205D">
        <w:t>Kolstee</w:t>
      </w:r>
      <w:proofErr w:type="spellEnd"/>
      <w:r w:rsidRPr="0055205D">
        <w:t xml:space="preserve">, T. Duck, L. Feeney, G. </w:t>
      </w:r>
      <w:proofErr w:type="spellStart"/>
      <w:r w:rsidRPr="0055205D">
        <w:t>Prestage</w:t>
      </w:r>
      <w:proofErr w:type="spellEnd"/>
      <w:r w:rsidRPr="0055205D">
        <w:t xml:space="preserve">, I. </w:t>
      </w:r>
      <w:proofErr w:type="spellStart"/>
      <w:r w:rsidRPr="0055205D">
        <w:t>Zablotska</w:t>
      </w:r>
      <w:proofErr w:type="spellEnd"/>
      <w:r w:rsidRPr="0055205D">
        <w:t xml:space="preserve">, J. De Wit, M. </w:t>
      </w:r>
      <w:proofErr w:type="spellStart"/>
      <w:r w:rsidRPr="0055205D">
        <w:t>Holt</w:t>
      </w:r>
      <w:r w:rsidRPr="0055205D">
        <w:rPr>
          <w:b/>
          <w:bCs/>
        </w:rPr>
        <w:t>Gay</w:t>
      </w:r>
      <w:proofErr w:type="spellEnd"/>
      <w:r w:rsidRPr="0055205D">
        <w:rPr>
          <w:b/>
          <w:bCs/>
        </w:rPr>
        <w:t xml:space="preserve"> Community Periodic Survey: Sydney 2017</w:t>
      </w:r>
    </w:p>
    <w:p w:rsidR="0055205D" w:rsidRPr="0055205D" w:rsidRDefault="0055205D" w:rsidP="0055205D">
      <w:proofErr w:type="spellStart"/>
      <w:r w:rsidRPr="007A4334">
        <w:t>Jin</w:t>
      </w:r>
      <w:proofErr w:type="spellEnd"/>
      <w:r w:rsidRPr="007A4334">
        <w:t xml:space="preserve"> et al., 2010</w:t>
      </w:r>
    </w:p>
    <w:p w:rsidR="0055205D" w:rsidRPr="0055205D" w:rsidRDefault="0055205D" w:rsidP="0055205D">
      <w:r w:rsidRPr="0055205D">
        <w:t xml:space="preserve">F. </w:t>
      </w:r>
      <w:proofErr w:type="spellStart"/>
      <w:r w:rsidRPr="0055205D">
        <w:t>Jin</w:t>
      </w:r>
      <w:proofErr w:type="spellEnd"/>
      <w:r w:rsidRPr="0055205D">
        <w:t xml:space="preserve">, G.P. </w:t>
      </w:r>
      <w:proofErr w:type="spellStart"/>
      <w:r w:rsidRPr="0055205D">
        <w:t>Prestage</w:t>
      </w:r>
      <w:proofErr w:type="spellEnd"/>
      <w:r w:rsidRPr="0055205D">
        <w:t xml:space="preserve">, G. Matthews, I. </w:t>
      </w:r>
      <w:proofErr w:type="spellStart"/>
      <w:r w:rsidRPr="0055205D">
        <w:t>Zablotska</w:t>
      </w:r>
      <w:proofErr w:type="spellEnd"/>
      <w:r w:rsidRPr="0055205D">
        <w:t xml:space="preserve">, P. </w:t>
      </w:r>
      <w:proofErr w:type="spellStart"/>
      <w:r w:rsidRPr="0055205D">
        <w:t>Rawstorne</w:t>
      </w:r>
      <w:proofErr w:type="spellEnd"/>
      <w:r w:rsidRPr="0055205D">
        <w:t xml:space="preserve">, S.C. Kippax, J.M. </w:t>
      </w:r>
      <w:proofErr w:type="spellStart"/>
      <w:r w:rsidRPr="0055205D">
        <w:t>Kaldor</w:t>
      </w:r>
      <w:proofErr w:type="spellEnd"/>
      <w:r w:rsidRPr="0055205D">
        <w:t xml:space="preserve">, A.E. </w:t>
      </w:r>
      <w:proofErr w:type="spellStart"/>
      <w:r w:rsidRPr="0055205D">
        <w:t>Grulich</w:t>
      </w:r>
      <w:r w:rsidRPr="0055205D">
        <w:rPr>
          <w:b/>
          <w:bCs/>
        </w:rPr>
        <w:t>Prevalence</w:t>
      </w:r>
      <w:proofErr w:type="spellEnd"/>
      <w:r w:rsidRPr="0055205D">
        <w:rPr>
          <w:b/>
          <w:bCs/>
        </w:rPr>
        <w:t>, incidence and risk factors for hepatitis C in homosexual men: data from two cohorts of HIV-negative and HIV-positive men in Sydney, Australia</w:t>
      </w:r>
    </w:p>
    <w:p w:rsidR="0055205D" w:rsidRPr="0055205D" w:rsidRDefault="0055205D" w:rsidP="0055205D">
      <w:r w:rsidRPr="0055205D">
        <w:t xml:space="preserve">Sex. </w:t>
      </w:r>
      <w:proofErr w:type="spellStart"/>
      <w:r w:rsidRPr="0055205D">
        <w:t>Transm</w:t>
      </w:r>
      <w:proofErr w:type="spellEnd"/>
      <w:r w:rsidRPr="0055205D">
        <w:t>. Infect. (86) (2010), pp. 25-28</w:t>
      </w:r>
    </w:p>
    <w:p w:rsidR="0055205D" w:rsidRPr="0055205D" w:rsidRDefault="0055205D" w:rsidP="0055205D">
      <w:proofErr w:type="spellStart"/>
      <w:r w:rsidRPr="007A4334">
        <w:t>Kecojevic</w:t>
      </w:r>
      <w:proofErr w:type="spellEnd"/>
      <w:r w:rsidRPr="007A4334">
        <w:t xml:space="preserve"> et al., 2017</w:t>
      </w:r>
    </w:p>
    <w:p w:rsidR="0055205D" w:rsidRPr="0055205D" w:rsidRDefault="0055205D" w:rsidP="0055205D">
      <w:r w:rsidRPr="0055205D">
        <w:t xml:space="preserve">A. </w:t>
      </w:r>
      <w:proofErr w:type="spellStart"/>
      <w:r w:rsidRPr="0055205D">
        <w:t>Kecojevic</w:t>
      </w:r>
      <w:proofErr w:type="spellEnd"/>
      <w:r w:rsidRPr="0055205D">
        <w:t xml:space="preserve">, C.H. </w:t>
      </w:r>
      <w:proofErr w:type="spellStart"/>
      <w:r w:rsidRPr="0055205D">
        <w:t>Basch</w:t>
      </w:r>
      <w:proofErr w:type="spellEnd"/>
      <w:r w:rsidRPr="0055205D">
        <w:t xml:space="preserve">, S.E. </w:t>
      </w:r>
      <w:proofErr w:type="spellStart"/>
      <w:r w:rsidRPr="0055205D">
        <w:t>Lankenau</w:t>
      </w:r>
      <w:r w:rsidRPr="0055205D">
        <w:rPr>
          <w:b/>
          <w:bCs/>
        </w:rPr>
        <w:t>Early</w:t>
      </w:r>
      <w:proofErr w:type="spellEnd"/>
      <w:r w:rsidRPr="0055205D">
        <w:rPr>
          <w:b/>
          <w:bCs/>
        </w:rPr>
        <w:t xml:space="preserve"> initiation of substance use as an indicator of problematic substance use among young men who have sex with men (YMSM)</w:t>
      </w:r>
    </w:p>
    <w:p w:rsidR="0055205D" w:rsidRPr="0055205D" w:rsidRDefault="0055205D" w:rsidP="0055205D">
      <w:r w:rsidRPr="0055205D">
        <w:t>Subst. Use Misuse, 53 (2017), pp. 51-58</w:t>
      </w:r>
    </w:p>
    <w:p w:rsidR="0055205D" w:rsidRPr="0055205D" w:rsidRDefault="0055205D" w:rsidP="0055205D">
      <w:r w:rsidRPr="009657B8">
        <w:t>Lea et al., 2016</w:t>
      </w:r>
    </w:p>
    <w:p w:rsidR="0055205D" w:rsidRPr="0055205D" w:rsidRDefault="0055205D" w:rsidP="0055205D">
      <w:r w:rsidRPr="0055205D">
        <w:lastRenderedPageBreak/>
        <w:t xml:space="preserve">T. Lea, L. Mao, M. Hopwood, G. </w:t>
      </w:r>
      <w:proofErr w:type="spellStart"/>
      <w:r w:rsidRPr="0055205D">
        <w:t>Prestage</w:t>
      </w:r>
      <w:proofErr w:type="spellEnd"/>
      <w:r w:rsidRPr="0055205D">
        <w:t xml:space="preserve">, I. </w:t>
      </w:r>
      <w:proofErr w:type="spellStart"/>
      <w:r w:rsidRPr="0055205D">
        <w:t>ZabLOTSKA</w:t>
      </w:r>
      <w:proofErr w:type="spellEnd"/>
      <w:r w:rsidRPr="0055205D">
        <w:t xml:space="preserve">, J. De Wit, M. </w:t>
      </w:r>
      <w:proofErr w:type="spellStart"/>
      <w:r w:rsidRPr="0055205D">
        <w:t>Holt</w:t>
      </w:r>
      <w:r w:rsidRPr="0055205D">
        <w:rPr>
          <w:b/>
          <w:bCs/>
        </w:rPr>
        <w:t>Methamphetamine</w:t>
      </w:r>
      <w:proofErr w:type="spellEnd"/>
      <w:r w:rsidRPr="0055205D">
        <w:rPr>
          <w:b/>
          <w:bCs/>
        </w:rPr>
        <w:t xml:space="preserve"> use among gay and bisexual men in Australia: trends in recent and regular use from the gay community periodic surveys</w:t>
      </w:r>
    </w:p>
    <w:p w:rsidR="0055205D" w:rsidRPr="0055205D" w:rsidRDefault="0055205D" w:rsidP="0055205D">
      <w:r w:rsidRPr="0055205D">
        <w:t>Int. J. Drug Policy, 29 (2016), pp. 66-72</w:t>
      </w:r>
    </w:p>
    <w:p w:rsidR="0055205D" w:rsidRPr="0055205D" w:rsidRDefault="0055205D" w:rsidP="0055205D">
      <w:r w:rsidRPr="009657B8">
        <w:t>Lee et al., 2017</w:t>
      </w:r>
    </w:p>
    <w:p w:rsidR="0055205D" w:rsidRPr="0055205D" w:rsidRDefault="0055205D" w:rsidP="0055205D">
      <w:r w:rsidRPr="0055205D">
        <w:t xml:space="preserve">E. Lee, L. Mao, T. Lea, T. McKenzie, C. </w:t>
      </w:r>
      <w:proofErr w:type="spellStart"/>
      <w:r w:rsidRPr="0055205D">
        <w:t>BAtrouney</w:t>
      </w:r>
      <w:proofErr w:type="spellEnd"/>
      <w:r w:rsidRPr="0055205D">
        <w:t xml:space="preserve">, B. Allan, M. West, G. </w:t>
      </w:r>
      <w:proofErr w:type="spellStart"/>
      <w:r w:rsidRPr="0055205D">
        <w:t>Prestage</w:t>
      </w:r>
      <w:proofErr w:type="spellEnd"/>
      <w:r w:rsidRPr="0055205D">
        <w:t xml:space="preserve">, I. </w:t>
      </w:r>
      <w:proofErr w:type="spellStart"/>
      <w:r w:rsidRPr="0055205D">
        <w:t>Zablotska</w:t>
      </w:r>
      <w:proofErr w:type="spellEnd"/>
      <w:r w:rsidRPr="0055205D">
        <w:t xml:space="preserve">, J. De Wit, M. </w:t>
      </w:r>
      <w:proofErr w:type="spellStart"/>
      <w:r w:rsidRPr="0055205D">
        <w:t>Holt</w:t>
      </w:r>
      <w:r w:rsidRPr="0055205D">
        <w:rPr>
          <w:b/>
          <w:bCs/>
        </w:rPr>
        <w:t>Gay</w:t>
      </w:r>
      <w:proofErr w:type="spellEnd"/>
      <w:r w:rsidRPr="0055205D">
        <w:rPr>
          <w:b/>
          <w:bCs/>
        </w:rPr>
        <w:t xml:space="preserve"> Community Periodic Survey: Melbourne 2017</w:t>
      </w:r>
    </w:p>
    <w:p w:rsidR="0055205D" w:rsidRPr="0055205D" w:rsidRDefault="0055205D" w:rsidP="0055205D">
      <w:r w:rsidRPr="0055205D">
        <w:t>Centre for Social Research in Health, UNSW, Sydney (2017)</w:t>
      </w:r>
    </w:p>
    <w:p w:rsidR="0055205D" w:rsidRPr="0055205D" w:rsidRDefault="0055205D" w:rsidP="0055205D">
      <w:proofErr w:type="spellStart"/>
      <w:r w:rsidRPr="009657B8">
        <w:t>Prestage</w:t>
      </w:r>
      <w:proofErr w:type="spellEnd"/>
      <w:r w:rsidRPr="009657B8">
        <w:t xml:space="preserve"> et al., 2007</w:t>
      </w:r>
    </w:p>
    <w:p w:rsidR="0055205D" w:rsidRPr="0055205D" w:rsidRDefault="0055205D" w:rsidP="0055205D">
      <w:r w:rsidRPr="0055205D">
        <w:t xml:space="preserve">G. </w:t>
      </w:r>
      <w:proofErr w:type="spellStart"/>
      <w:r w:rsidRPr="0055205D">
        <w:t>Prestage</w:t>
      </w:r>
      <w:proofErr w:type="spellEnd"/>
      <w:r w:rsidRPr="0055205D">
        <w:t xml:space="preserve">, L. Degenhardt, F. </w:t>
      </w:r>
      <w:proofErr w:type="spellStart"/>
      <w:r w:rsidRPr="0055205D">
        <w:t>Jin</w:t>
      </w:r>
      <w:proofErr w:type="spellEnd"/>
      <w:r w:rsidRPr="0055205D">
        <w:t xml:space="preserve">, A. </w:t>
      </w:r>
      <w:proofErr w:type="spellStart"/>
      <w:r w:rsidRPr="0055205D">
        <w:t>Grulich</w:t>
      </w:r>
      <w:proofErr w:type="spellEnd"/>
      <w:r w:rsidRPr="0055205D">
        <w:t xml:space="preserve">, J. </w:t>
      </w:r>
      <w:proofErr w:type="spellStart"/>
      <w:r w:rsidRPr="0055205D">
        <w:t>Imrie</w:t>
      </w:r>
      <w:proofErr w:type="spellEnd"/>
      <w:r w:rsidRPr="0055205D">
        <w:t xml:space="preserve">, J. </w:t>
      </w:r>
      <w:proofErr w:type="spellStart"/>
      <w:r w:rsidRPr="0055205D">
        <w:t>Kaldor</w:t>
      </w:r>
      <w:proofErr w:type="spellEnd"/>
      <w:r w:rsidRPr="0055205D">
        <w:t xml:space="preserve">, S. </w:t>
      </w:r>
      <w:proofErr w:type="spellStart"/>
      <w:r w:rsidRPr="0055205D">
        <w:t>Kippax</w:t>
      </w:r>
      <w:r w:rsidRPr="0055205D">
        <w:rPr>
          <w:b/>
          <w:bCs/>
        </w:rPr>
        <w:t>Predictors</w:t>
      </w:r>
      <w:proofErr w:type="spellEnd"/>
      <w:r w:rsidRPr="0055205D">
        <w:rPr>
          <w:b/>
          <w:bCs/>
        </w:rPr>
        <w:t xml:space="preserve"> of frequent use of amphetamine type stimulants among HIV-negative gay men in Sydney, Australia</w:t>
      </w:r>
    </w:p>
    <w:p w:rsidR="0055205D" w:rsidRPr="0055205D" w:rsidRDefault="0055205D" w:rsidP="0055205D">
      <w:r w:rsidRPr="0055205D">
        <w:t xml:space="preserve">Drug Alcohol </w:t>
      </w:r>
      <w:proofErr w:type="gramStart"/>
      <w:r w:rsidRPr="0055205D">
        <w:t>Depend.,</w:t>
      </w:r>
      <w:proofErr w:type="gramEnd"/>
      <w:r w:rsidRPr="0055205D">
        <w:t xml:space="preserve"> 91 (2007), pp. 260-268</w:t>
      </w:r>
    </w:p>
    <w:p w:rsidR="0055205D" w:rsidRPr="0055205D" w:rsidRDefault="0055205D" w:rsidP="0055205D">
      <w:proofErr w:type="spellStart"/>
      <w:r w:rsidRPr="009657B8">
        <w:t>Prestage</w:t>
      </w:r>
      <w:proofErr w:type="spellEnd"/>
      <w:r w:rsidRPr="009657B8">
        <w:t xml:space="preserve"> et al., 2009</w:t>
      </w:r>
    </w:p>
    <w:p w:rsidR="0055205D" w:rsidRPr="0055205D" w:rsidRDefault="0055205D" w:rsidP="0055205D">
      <w:r w:rsidRPr="0055205D">
        <w:t xml:space="preserve">G. </w:t>
      </w:r>
      <w:proofErr w:type="spellStart"/>
      <w:r w:rsidRPr="0055205D">
        <w:t>Prestage</w:t>
      </w:r>
      <w:proofErr w:type="spellEnd"/>
      <w:r w:rsidRPr="0055205D">
        <w:t xml:space="preserve">, F. </w:t>
      </w:r>
      <w:proofErr w:type="spellStart"/>
      <w:r w:rsidRPr="0055205D">
        <w:t>Jin</w:t>
      </w:r>
      <w:proofErr w:type="spellEnd"/>
      <w:r w:rsidRPr="0055205D">
        <w:t xml:space="preserve">, S. Kippax, I. </w:t>
      </w:r>
      <w:proofErr w:type="spellStart"/>
      <w:r w:rsidRPr="0055205D">
        <w:t>Zablotska</w:t>
      </w:r>
      <w:proofErr w:type="spellEnd"/>
      <w:r w:rsidRPr="0055205D">
        <w:t xml:space="preserve">, J. </w:t>
      </w:r>
      <w:proofErr w:type="spellStart"/>
      <w:r w:rsidRPr="0055205D">
        <w:t>Imrie</w:t>
      </w:r>
      <w:proofErr w:type="spellEnd"/>
      <w:r w:rsidRPr="0055205D">
        <w:t xml:space="preserve">, A. </w:t>
      </w:r>
      <w:proofErr w:type="spellStart"/>
      <w:r w:rsidRPr="0055205D">
        <w:t>Grulich</w:t>
      </w:r>
      <w:r w:rsidRPr="0055205D">
        <w:rPr>
          <w:b/>
          <w:bCs/>
        </w:rPr>
        <w:t>Use</w:t>
      </w:r>
      <w:proofErr w:type="spellEnd"/>
      <w:r w:rsidRPr="0055205D">
        <w:rPr>
          <w:b/>
          <w:bCs/>
        </w:rPr>
        <w:t xml:space="preserve"> of illicit drugs and erectile dysfunction medications and subsequent HIV infection among gay men in Sydney</w:t>
      </w:r>
    </w:p>
    <w:p w:rsidR="0055205D" w:rsidRPr="0055205D" w:rsidRDefault="0055205D" w:rsidP="0055205D">
      <w:r w:rsidRPr="0055205D">
        <w:t>Australia. J. Sex. Med., 6 (2009), pp. 2311-2320</w:t>
      </w:r>
    </w:p>
    <w:p w:rsidR="0055205D" w:rsidRPr="0055205D" w:rsidRDefault="0055205D" w:rsidP="0055205D">
      <w:r w:rsidRPr="009657B8">
        <w:t>Roxburgh et al., 2016</w:t>
      </w:r>
    </w:p>
    <w:p w:rsidR="0055205D" w:rsidRPr="0055205D" w:rsidRDefault="0055205D" w:rsidP="0055205D">
      <w:r w:rsidRPr="0055205D">
        <w:t xml:space="preserve">A. Roxburgh, T. Lea, J. De Wit, L. </w:t>
      </w:r>
      <w:proofErr w:type="spellStart"/>
      <w:r w:rsidRPr="0055205D">
        <w:t>Degenhardt</w:t>
      </w:r>
      <w:r w:rsidRPr="0055205D">
        <w:rPr>
          <w:b/>
          <w:bCs/>
        </w:rPr>
        <w:t>Sexual</w:t>
      </w:r>
      <w:proofErr w:type="spellEnd"/>
      <w:r w:rsidRPr="0055205D">
        <w:rPr>
          <w:b/>
          <w:bCs/>
        </w:rPr>
        <w:t xml:space="preserve"> identity and prevalence of alcohol and other drug use among Australians in the general population</w:t>
      </w:r>
    </w:p>
    <w:p w:rsidR="0055205D" w:rsidRPr="0055205D" w:rsidRDefault="0055205D" w:rsidP="0055205D">
      <w:r w:rsidRPr="0055205D">
        <w:t>Int. J. Drug Policy, 28 (2016), pp. 76-82</w:t>
      </w:r>
    </w:p>
    <w:p w:rsidR="0055205D" w:rsidRPr="0055205D" w:rsidRDefault="0055205D" w:rsidP="0055205D">
      <w:r w:rsidRPr="009657B8">
        <w:t>Schmidt et al., 2016</w:t>
      </w:r>
    </w:p>
    <w:p w:rsidR="0055205D" w:rsidRPr="0055205D" w:rsidRDefault="0055205D" w:rsidP="0055205D">
      <w:r w:rsidRPr="0055205D">
        <w:t xml:space="preserve">A.J. Schmidt, A. Bourne, P. </w:t>
      </w:r>
      <w:proofErr w:type="spellStart"/>
      <w:r w:rsidRPr="0055205D">
        <w:t>Weatherburn</w:t>
      </w:r>
      <w:proofErr w:type="spellEnd"/>
      <w:r w:rsidRPr="0055205D">
        <w:t xml:space="preserve">, D. Reid, U. Marcus, F. </w:t>
      </w:r>
      <w:proofErr w:type="spellStart"/>
      <w:r w:rsidRPr="0055205D">
        <w:t>Hickson</w:t>
      </w:r>
      <w:proofErr w:type="spellEnd"/>
      <w:r w:rsidRPr="0055205D">
        <w:t xml:space="preserve">, E.M.I.S. </w:t>
      </w:r>
      <w:proofErr w:type="spellStart"/>
      <w:r w:rsidRPr="0055205D">
        <w:t>Network</w:t>
      </w:r>
      <w:r w:rsidRPr="0055205D">
        <w:rPr>
          <w:b/>
          <w:bCs/>
        </w:rPr>
        <w:t>Illicit</w:t>
      </w:r>
      <w:proofErr w:type="spellEnd"/>
      <w:r w:rsidRPr="0055205D">
        <w:rPr>
          <w:b/>
          <w:bCs/>
        </w:rPr>
        <w:t xml:space="preserve"> drug use among gay and bisexual men in 44 cities: findings from the European MSM Internet Survey (EMIS)</w:t>
      </w:r>
    </w:p>
    <w:p w:rsidR="0055205D" w:rsidRPr="0055205D" w:rsidRDefault="0055205D" w:rsidP="0055205D">
      <w:r w:rsidRPr="0055205D">
        <w:t>Int. J. Drug Policy, 38 (2016), pp. 4-12</w:t>
      </w:r>
    </w:p>
    <w:p w:rsidR="0055205D" w:rsidRDefault="0055205D"/>
    <w:sectPr w:rsidR="00552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77A19"/>
    <w:multiLevelType w:val="multilevel"/>
    <w:tmpl w:val="AC3E4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D50E78"/>
    <w:multiLevelType w:val="multilevel"/>
    <w:tmpl w:val="8DDE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5D"/>
    <w:rsid w:val="0055205D"/>
    <w:rsid w:val="007A4334"/>
    <w:rsid w:val="00803AE5"/>
    <w:rsid w:val="009657B8"/>
    <w:rsid w:val="00A11422"/>
    <w:rsid w:val="00DD1EA6"/>
    <w:rsid w:val="00FC2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3AEF"/>
  <w15:chartTrackingRefBased/>
  <w15:docId w15:val="{86ED14C9-F5DD-4A9D-9C35-8E7DE71F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20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520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520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05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5205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5205D"/>
    <w:rPr>
      <w:rFonts w:ascii="Times New Roman" w:eastAsia="Times New Roman" w:hAnsi="Times New Roman" w:cs="Times New Roman"/>
      <w:b/>
      <w:bCs/>
      <w:sz w:val="27"/>
      <w:szCs w:val="27"/>
      <w:lang w:eastAsia="en-GB"/>
    </w:rPr>
  </w:style>
  <w:style w:type="table" w:customStyle="1" w:styleId="AS1">
    <w:name w:val="AS1"/>
    <w:basedOn w:val="GridTable5Dark-Accent5"/>
    <w:uiPriority w:val="99"/>
    <w:rsid w:val="00FC20AD"/>
    <w:pPr>
      <w:jc w:val="center"/>
    </w:pPr>
    <w:rPr>
      <w:color w:val="000000" w:themeColor="text1"/>
      <w:sz w:val="20"/>
      <w:szCs w:val="20"/>
      <w:lang w:eastAsia="en-GB"/>
    </w:rPr>
    <w:tblPr/>
    <w:tcPr>
      <w:shd w:val="clear" w:color="auto" w:fill="D9E2F3" w:themeFill="accent5" w:themeFillTint="33"/>
      <w:vAlign w:val="bottom"/>
    </w:tcPr>
    <w:tblStylePr w:type="firstRow">
      <w:rPr>
        <w:b/>
        <w:bCs/>
        <w:color w:val="000000" w:themeColor="text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AADB" w:themeFill="accent5" w:themeFillTint="99"/>
      </w:tcPr>
    </w:tblStylePr>
    <w:tblStylePr w:type="lastRow">
      <w:rPr>
        <w:b/>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AADB" w:themeFill="accent5" w:themeFillTint="99"/>
      </w:tcPr>
    </w:tblStylePr>
    <w:tblStylePr w:type="firstCol">
      <w:pPr>
        <w:jc w:val="left"/>
      </w:pPr>
      <w:rPr>
        <w:b/>
        <w:bCs/>
        <w:color w:val="000000" w:themeColor="text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AADB" w:themeFill="accent5" w:themeFillTint="99"/>
      </w:tcPr>
    </w:tblStylePr>
    <w:tblStylePr w:type="lastCol">
      <w:rPr>
        <w:b w:val="0"/>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C6E7" w:themeFill="accent5" w:themeFillTint="66"/>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tblStylePr w:type="band2Horz">
      <w:tblPr/>
      <w:tcPr>
        <w:shd w:val="clear" w:color="auto" w:fill="D9E2F3" w:themeFill="accent5" w:themeFillTint="33"/>
      </w:tcPr>
    </w:tblStylePr>
  </w:style>
  <w:style w:type="table" w:styleId="GridTable5Dark-Accent5">
    <w:name w:val="Grid Table 5 Dark Accent 5"/>
    <w:basedOn w:val="TableNormal"/>
    <w:uiPriority w:val="50"/>
    <w:rsid w:val="00FC20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msonormal0">
    <w:name w:val="msonormal"/>
    <w:basedOn w:val="Normal"/>
    <w:rsid w:val="005520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text">
    <w:name w:val="title-text"/>
    <w:basedOn w:val="DefaultParagraphFont"/>
    <w:rsid w:val="0055205D"/>
  </w:style>
  <w:style w:type="character" w:customStyle="1" w:styleId="sr-only">
    <w:name w:val="sr-only"/>
    <w:basedOn w:val="DefaultParagraphFont"/>
    <w:rsid w:val="0055205D"/>
  </w:style>
  <w:style w:type="character" w:styleId="Hyperlink">
    <w:name w:val="Hyperlink"/>
    <w:basedOn w:val="DefaultParagraphFont"/>
    <w:uiPriority w:val="99"/>
    <w:unhideWhenUsed/>
    <w:rsid w:val="0055205D"/>
    <w:rPr>
      <w:color w:val="0000FF"/>
      <w:u w:val="single"/>
    </w:rPr>
  </w:style>
  <w:style w:type="character" w:customStyle="1" w:styleId="content">
    <w:name w:val="content"/>
    <w:basedOn w:val="DefaultParagraphFont"/>
    <w:rsid w:val="0055205D"/>
  </w:style>
  <w:style w:type="character" w:customStyle="1" w:styleId="text">
    <w:name w:val="text"/>
    <w:basedOn w:val="DefaultParagraphFont"/>
    <w:rsid w:val="0055205D"/>
  </w:style>
  <w:style w:type="character" w:customStyle="1" w:styleId="author-ref">
    <w:name w:val="author-ref"/>
    <w:basedOn w:val="DefaultParagraphFont"/>
    <w:rsid w:val="0055205D"/>
  </w:style>
  <w:style w:type="paragraph" w:styleId="NormalWeb">
    <w:name w:val="Normal (Web)"/>
    <w:basedOn w:val="Normal"/>
    <w:uiPriority w:val="99"/>
    <w:semiHidden/>
    <w:unhideWhenUsed/>
    <w:rsid w:val="005520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tton-alternative-text">
    <w:name w:val="button-alternative-text"/>
    <w:basedOn w:val="DefaultParagraphFont"/>
    <w:rsid w:val="0055205D"/>
  </w:style>
  <w:style w:type="character" w:styleId="Strong">
    <w:name w:val="Strong"/>
    <w:basedOn w:val="DefaultParagraphFont"/>
    <w:uiPriority w:val="22"/>
    <w:qFormat/>
    <w:rsid w:val="0055205D"/>
    <w:rPr>
      <w:b/>
      <w:bCs/>
    </w:rPr>
  </w:style>
  <w:style w:type="character" w:customStyle="1" w:styleId="extra-detail">
    <w:name w:val="extra-detail"/>
    <w:basedOn w:val="DefaultParagraphFont"/>
    <w:rsid w:val="0055205D"/>
  </w:style>
  <w:style w:type="character" w:styleId="Emphasis">
    <w:name w:val="Emphasis"/>
    <w:basedOn w:val="DefaultParagraphFont"/>
    <w:uiPriority w:val="20"/>
    <w:qFormat/>
    <w:rsid w:val="0055205D"/>
    <w:rPr>
      <w:i/>
      <w:iCs/>
    </w:rPr>
  </w:style>
  <w:style w:type="character" w:customStyle="1" w:styleId="label">
    <w:name w:val="label"/>
    <w:basedOn w:val="DefaultParagraphFont"/>
    <w:rsid w:val="0055205D"/>
  </w:style>
  <w:style w:type="character" w:customStyle="1" w:styleId="anchor-text">
    <w:name w:val="anchor-text"/>
    <w:basedOn w:val="DefaultParagraphFont"/>
    <w:rsid w:val="0055205D"/>
  </w:style>
  <w:style w:type="character" w:customStyle="1" w:styleId="copyright-line">
    <w:name w:val="copyright-line"/>
    <w:basedOn w:val="DefaultParagraphFont"/>
    <w:rsid w:val="0055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766743">
      <w:bodyDiv w:val="1"/>
      <w:marLeft w:val="0"/>
      <w:marRight w:val="0"/>
      <w:marTop w:val="0"/>
      <w:marBottom w:val="0"/>
      <w:divBdr>
        <w:top w:val="none" w:sz="0" w:space="0" w:color="auto"/>
        <w:left w:val="none" w:sz="0" w:space="0" w:color="auto"/>
        <w:bottom w:val="none" w:sz="0" w:space="0" w:color="auto"/>
        <w:right w:val="none" w:sz="0" w:space="0" w:color="auto"/>
      </w:divBdr>
      <w:divsChild>
        <w:div w:id="336004476">
          <w:marLeft w:val="0"/>
          <w:marRight w:val="0"/>
          <w:marTop w:val="0"/>
          <w:marBottom w:val="0"/>
          <w:divBdr>
            <w:top w:val="none" w:sz="0" w:space="0" w:color="auto"/>
            <w:left w:val="none" w:sz="0" w:space="0" w:color="auto"/>
            <w:bottom w:val="none" w:sz="0" w:space="0" w:color="auto"/>
            <w:right w:val="none" w:sz="0" w:space="0" w:color="auto"/>
          </w:divBdr>
          <w:divsChild>
            <w:div w:id="1148479789">
              <w:marLeft w:val="0"/>
              <w:marRight w:val="0"/>
              <w:marTop w:val="0"/>
              <w:marBottom w:val="0"/>
              <w:divBdr>
                <w:top w:val="none" w:sz="0" w:space="0" w:color="auto"/>
                <w:left w:val="none" w:sz="0" w:space="0" w:color="auto"/>
                <w:bottom w:val="none" w:sz="0" w:space="0" w:color="auto"/>
                <w:right w:val="none" w:sz="0" w:space="0" w:color="auto"/>
              </w:divBdr>
              <w:divsChild>
                <w:div w:id="865562126">
                  <w:marLeft w:val="0"/>
                  <w:marRight w:val="0"/>
                  <w:marTop w:val="0"/>
                  <w:marBottom w:val="0"/>
                  <w:divBdr>
                    <w:top w:val="none" w:sz="0" w:space="0" w:color="auto"/>
                    <w:left w:val="none" w:sz="0" w:space="0" w:color="auto"/>
                    <w:bottom w:val="none" w:sz="0" w:space="0" w:color="auto"/>
                    <w:right w:val="none" w:sz="0" w:space="0" w:color="auto"/>
                  </w:divBdr>
                  <w:divsChild>
                    <w:div w:id="21045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67991">
          <w:marLeft w:val="0"/>
          <w:marRight w:val="0"/>
          <w:marTop w:val="0"/>
          <w:marBottom w:val="0"/>
          <w:divBdr>
            <w:top w:val="none" w:sz="0" w:space="0" w:color="auto"/>
            <w:left w:val="none" w:sz="0" w:space="0" w:color="auto"/>
            <w:bottom w:val="none" w:sz="0" w:space="0" w:color="auto"/>
            <w:right w:val="none" w:sz="0" w:space="0" w:color="auto"/>
          </w:divBdr>
        </w:div>
        <w:div w:id="1655378865">
          <w:marLeft w:val="0"/>
          <w:marRight w:val="0"/>
          <w:marTop w:val="0"/>
          <w:marBottom w:val="0"/>
          <w:divBdr>
            <w:top w:val="none" w:sz="0" w:space="0" w:color="auto"/>
            <w:left w:val="none" w:sz="0" w:space="0" w:color="auto"/>
            <w:bottom w:val="none" w:sz="0" w:space="0" w:color="auto"/>
            <w:right w:val="none" w:sz="0" w:space="0" w:color="auto"/>
          </w:divBdr>
          <w:divsChild>
            <w:div w:id="1892500247">
              <w:marLeft w:val="0"/>
              <w:marRight w:val="0"/>
              <w:marTop w:val="0"/>
              <w:marBottom w:val="0"/>
              <w:divBdr>
                <w:top w:val="none" w:sz="0" w:space="0" w:color="auto"/>
                <w:left w:val="none" w:sz="0" w:space="0" w:color="auto"/>
                <w:bottom w:val="none" w:sz="0" w:space="0" w:color="auto"/>
                <w:right w:val="none" w:sz="0" w:space="0" w:color="auto"/>
              </w:divBdr>
              <w:divsChild>
                <w:div w:id="576289283">
                  <w:marLeft w:val="0"/>
                  <w:marRight w:val="0"/>
                  <w:marTop w:val="0"/>
                  <w:marBottom w:val="0"/>
                  <w:divBdr>
                    <w:top w:val="none" w:sz="0" w:space="0" w:color="auto"/>
                    <w:left w:val="none" w:sz="0" w:space="0" w:color="auto"/>
                    <w:bottom w:val="none" w:sz="0" w:space="0" w:color="auto"/>
                    <w:right w:val="none" w:sz="0" w:space="0" w:color="auto"/>
                  </w:divBdr>
                </w:div>
              </w:divsChild>
            </w:div>
            <w:div w:id="1745370192">
              <w:marLeft w:val="0"/>
              <w:marRight w:val="0"/>
              <w:marTop w:val="0"/>
              <w:marBottom w:val="0"/>
              <w:divBdr>
                <w:top w:val="none" w:sz="0" w:space="0" w:color="auto"/>
                <w:left w:val="none" w:sz="0" w:space="0" w:color="auto"/>
                <w:bottom w:val="none" w:sz="0" w:space="0" w:color="auto"/>
                <w:right w:val="none" w:sz="0" w:space="0" w:color="auto"/>
              </w:divBdr>
              <w:divsChild>
                <w:div w:id="1689983604">
                  <w:marLeft w:val="0"/>
                  <w:marRight w:val="0"/>
                  <w:marTop w:val="0"/>
                  <w:marBottom w:val="0"/>
                  <w:divBdr>
                    <w:top w:val="none" w:sz="0" w:space="0" w:color="auto"/>
                    <w:left w:val="none" w:sz="0" w:space="0" w:color="auto"/>
                    <w:bottom w:val="none" w:sz="0" w:space="0" w:color="auto"/>
                    <w:right w:val="none" w:sz="0" w:space="0" w:color="auto"/>
                  </w:divBdr>
                </w:div>
                <w:div w:id="1652784985">
                  <w:marLeft w:val="0"/>
                  <w:marRight w:val="0"/>
                  <w:marTop w:val="0"/>
                  <w:marBottom w:val="0"/>
                  <w:divBdr>
                    <w:top w:val="none" w:sz="0" w:space="0" w:color="auto"/>
                    <w:left w:val="none" w:sz="0" w:space="0" w:color="auto"/>
                    <w:bottom w:val="none" w:sz="0" w:space="0" w:color="auto"/>
                    <w:right w:val="none" w:sz="0" w:space="0" w:color="auto"/>
                  </w:divBdr>
                </w:div>
                <w:div w:id="414202508">
                  <w:marLeft w:val="0"/>
                  <w:marRight w:val="0"/>
                  <w:marTop w:val="0"/>
                  <w:marBottom w:val="0"/>
                  <w:divBdr>
                    <w:top w:val="none" w:sz="0" w:space="0" w:color="auto"/>
                    <w:left w:val="none" w:sz="0" w:space="0" w:color="auto"/>
                    <w:bottom w:val="none" w:sz="0" w:space="0" w:color="auto"/>
                    <w:right w:val="none" w:sz="0" w:space="0" w:color="auto"/>
                  </w:divBdr>
                </w:div>
                <w:div w:id="4934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8592">
          <w:marLeft w:val="0"/>
          <w:marRight w:val="0"/>
          <w:marTop w:val="0"/>
          <w:marBottom w:val="0"/>
          <w:divBdr>
            <w:top w:val="none" w:sz="0" w:space="0" w:color="auto"/>
            <w:left w:val="none" w:sz="0" w:space="0" w:color="auto"/>
            <w:bottom w:val="none" w:sz="0" w:space="0" w:color="auto"/>
            <w:right w:val="none" w:sz="0" w:space="0" w:color="auto"/>
          </w:divBdr>
          <w:divsChild>
            <w:div w:id="1854219819">
              <w:marLeft w:val="0"/>
              <w:marRight w:val="0"/>
              <w:marTop w:val="0"/>
              <w:marBottom w:val="0"/>
              <w:divBdr>
                <w:top w:val="none" w:sz="0" w:space="0" w:color="auto"/>
                <w:left w:val="none" w:sz="0" w:space="0" w:color="auto"/>
                <w:bottom w:val="none" w:sz="0" w:space="0" w:color="auto"/>
                <w:right w:val="none" w:sz="0" w:space="0" w:color="auto"/>
              </w:divBdr>
              <w:divsChild>
                <w:div w:id="278147086">
                  <w:marLeft w:val="0"/>
                  <w:marRight w:val="0"/>
                  <w:marTop w:val="0"/>
                  <w:marBottom w:val="0"/>
                  <w:divBdr>
                    <w:top w:val="none" w:sz="0" w:space="0" w:color="auto"/>
                    <w:left w:val="none" w:sz="0" w:space="0" w:color="auto"/>
                    <w:bottom w:val="none" w:sz="0" w:space="0" w:color="auto"/>
                    <w:right w:val="none" w:sz="0" w:space="0" w:color="auto"/>
                  </w:divBdr>
                </w:div>
                <w:div w:id="518857452">
                  <w:marLeft w:val="0"/>
                  <w:marRight w:val="0"/>
                  <w:marTop w:val="0"/>
                  <w:marBottom w:val="0"/>
                  <w:divBdr>
                    <w:top w:val="none" w:sz="0" w:space="0" w:color="auto"/>
                    <w:left w:val="none" w:sz="0" w:space="0" w:color="auto"/>
                    <w:bottom w:val="none" w:sz="0" w:space="0" w:color="auto"/>
                    <w:right w:val="none" w:sz="0" w:space="0" w:color="auto"/>
                  </w:divBdr>
                </w:div>
                <w:div w:id="1228687677">
                  <w:marLeft w:val="0"/>
                  <w:marRight w:val="0"/>
                  <w:marTop w:val="0"/>
                  <w:marBottom w:val="0"/>
                  <w:divBdr>
                    <w:top w:val="none" w:sz="0" w:space="0" w:color="auto"/>
                    <w:left w:val="none" w:sz="0" w:space="0" w:color="auto"/>
                    <w:bottom w:val="none" w:sz="0" w:space="0" w:color="auto"/>
                    <w:right w:val="none" w:sz="0" w:space="0" w:color="auto"/>
                  </w:divBdr>
                </w:div>
                <w:div w:id="1446341080">
                  <w:marLeft w:val="0"/>
                  <w:marRight w:val="0"/>
                  <w:marTop w:val="0"/>
                  <w:marBottom w:val="0"/>
                  <w:divBdr>
                    <w:top w:val="none" w:sz="0" w:space="0" w:color="auto"/>
                    <w:left w:val="none" w:sz="0" w:space="0" w:color="auto"/>
                    <w:bottom w:val="none" w:sz="0" w:space="0" w:color="auto"/>
                    <w:right w:val="none" w:sz="0" w:space="0" w:color="auto"/>
                  </w:divBdr>
                </w:div>
                <w:div w:id="5335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967">
          <w:marLeft w:val="0"/>
          <w:marRight w:val="0"/>
          <w:marTop w:val="0"/>
          <w:marBottom w:val="0"/>
          <w:divBdr>
            <w:top w:val="none" w:sz="0" w:space="0" w:color="auto"/>
            <w:left w:val="none" w:sz="0" w:space="0" w:color="auto"/>
            <w:bottom w:val="none" w:sz="0" w:space="0" w:color="auto"/>
            <w:right w:val="none" w:sz="0" w:space="0" w:color="auto"/>
          </w:divBdr>
          <w:divsChild>
            <w:div w:id="325089662">
              <w:marLeft w:val="0"/>
              <w:marRight w:val="0"/>
              <w:marTop w:val="0"/>
              <w:marBottom w:val="0"/>
              <w:divBdr>
                <w:top w:val="none" w:sz="0" w:space="0" w:color="auto"/>
                <w:left w:val="none" w:sz="0" w:space="0" w:color="auto"/>
                <w:bottom w:val="none" w:sz="0" w:space="0" w:color="auto"/>
                <w:right w:val="none" w:sz="0" w:space="0" w:color="auto"/>
              </w:divBdr>
              <w:divsChild>
                <w:div w:id="468480651">
                  <w:marLeft w:val="0"/>
                  <w:marRight w:val="0"/>
                  <w:marTop w:val="0"/>
                  <w:marBottom w:val="0"/>
                  <w:divBdr>
                    <w:top w:val="none" w:sz="0" w:space="0" w:color="auto"/>
                    <w:left w:val="none" w:sz="0" w:space="0" w:color="auto"/>
                    <w:bottom w:val="none" w:sz="0" w:space="0" w:color="auto"/>
                    <w:right w:val="none" w:sz="0" w:space="0" w:color="auto"/>
                  </w:divBdr>
                  <w:divsChild>
                    <w:div w:id="1534221799">
                      <w:marLeft w:val="0"/>
                      <w:marRight w:val="0"/>
                      <w:marTop w:val="0"/>
                      <w:marBottom w:val="0"/>
                      <w:divBdr>
                        <w:top w:val="none" w:sz="0" w:space="0" w:color="auto"/>
                        <w:left w:val="none" w:sz="0" w:space="0" w:color="auto"/>
                        <w:bottom w:val="none" w:sz="0" w:space="0" w:color="auto"/>
                        <w:right w:val="none" w:sz="0" w:space="0" w:color="auto"/>
                      </w:divBdr>
                      <w:divsChild>
                        <w:div w:id="666712062">
                          <w:marLeft w:val="0"/>
                          <w:marRight w:val="0"/>
                          <w:marTop w:val="0"/>
                          <w:marBottom w:val="0"/>
                          <w:divBdr>
                            <w:top w:val="none" w:sz="0" w:space="0" w:color="auto"/>
                            <w:left w:val="none" w:sz="0" w:space="0" w:color="auto"/>
                            <w:bottom w:val="none" w:sz="0" w:space="0" w:color="auto"/>
                            <w:right w:val="none" w:sz="0" w:space="0" w:color="auto"/>
                          </w:divBdr>
                        </w:div>
                        <w:div w:id="16366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244">
                  <w:marLeft w:val="0"/>
                  <w:marRight w:val="0"/>
                  <w:marTop w:val="0"/>
                  <w:marBottom w:val="0"/>
                  <w:divBdr>
                    <w:top w:val="none" w:sz="0" w:space="0" w:color="auto"/>
                    <w:left w:val="none" w:sz="0" w:space="0" w:color="auto"/>
                    <w:bottom w:val="none" w:sz="0" w:space="0" w:color="auto"/>
                    <w:right w:val="none" w:sz="0" w:space="0" w:color="auto"/>
                  </w:divBdr>
                  <w:divsChild>
                    <w:div w:id="20165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932">
          <w:marLeft w:val="0"/>
          <w:marRight w:val="0"/>
          <w:marTop w:val="0"/>
          <w:marBottom w:val="0"/>
          <w:divBdr>
            <w:top w:val="none" w:sz="0" w:space="0" w:color="auto"/>
            <w:left w:val="none" w:sz="0" w:space="0" w:color="auto"/>
            <w:bottom w:val="none" w:sz="0" w:space="0" w:color="auto"/>
            <w:right w:val="none" w:sz="0" w:space="0" w:color="auto"/>
          </w:divBdr>
        </w:div>
        <w:div w:id="1671714137">
          <w:marLeft w:val="0"/>
          <w:marRight w:val="0"/>
          <w:marTop w:val="0"/>
          <w:marBottom w:val="0"/>
          <w:divBdr>
            <w:top w:val="none" w:sz="0" w:space="0" w:color="auto"/>
            <w:left w:val="none" w:sz="0" w:space="0" w:color="auto"/>
            <w:bottom w:val="none" w:sz="0" w:space="0" w:color="auto"/>
            <w:right w:val="none" w:sz="0" w:space="0" w:color="auto"/>
          </w:divBdr>
        </w:div>
        <w:div w:id="1726026476">
          <w:marLeft w:val="0"/>
          <w:marRight w:val="0"/>
          <w:marTop w:val="0"/>
          <w:marBottom w:val="0"/>
          <w:divBdr>
            <w:top w:val="none" w:sz="0" w:space="0" w:color="auto"/>
            <w:left w:val="none" w:sz="0" w:space="0" w:color="auto"/>
            <w:bottom w:val="none" w:sz="0" w:space="0" w:color="auto"/>
            <w:right w:val="none" w:sz="0" w:space="0" w:color="auto"/>
          </w:divBdr>
        </w:div>
        <w:div w:id="1910992677">
          <w:marLeft w:val="0"/>
          <w:marRight w:val="0"/>
          <w:marTop w:val="0"/>
          <w:marBottom w:val="0"/>
          <w:divBdr>
            <w:top w:val="none" w:sz="0" w:space="0" w:color="auto"/>
            <w:left w:val="none" w:sz="0" w:space="0" w:color="auto"/>
            <w:bottom w:val="none" w:sz="0" w:space="0" w:color="auto"/>
            <w:right w:val="none" w:sz="0" w:space="0" w:color="auto"/>
          </w:divBdr>
        </w:div>
        <w:div w:id="381248449">
          <w:marLeft w:val="0"/>
          <w:marRight w:val="0"/>
          <w:marTop w:val="0"/>
          <w:marBottom w:val="0"/>
          <w:divBdr>
            <w:top w:val="none" w:sz="0" w:space="0" w:color="auto"/>
            <w:left w:val="none" w:sz="0" w:space="0" w:color="auto"/>
            <w:bottom w:val="none" w:sz="0" w:space="0" w:color="auto"/>
            <w:right w:val="none" w:sz="0" w:space="0" w:color="auto"/>
          </w:divBdr>
        </w:div>
        <w:div w:id="99843538">
          <w:marLeft w:val="0"/>
          <w:marRight w:val="0"/>
          <w:marTop w:val="0"/>
          <w:marBottom w:val="0"/>
          <w:divBdr>
            <w:top w:val="none" w:sz="0" w:space="0" w:color="auto"/>
            <w:left w:val="none" w:sz="0" w:space="0" w:color="auto"/>
            <w:bottom w:val="none" w:sz="0" w:space="0" w:color="auto"/>
            <w:right w:val="none" w:sz="0" w:space="0" w:color="auto"/>
          </w:divBdr>
        </w:div>
        <w:div w:id="2119719987">
          <w:marLeft w:val="0"/>
          <w:marRight w:val="0"/>
          <w:marTop w:val="0"/>
          <w:marBottom w:val="0"/>
          <w:divBdr>
            <w:top w:val="none" w:sz="0" w:space="0" w:color="auto"/>
            <w:left w:val="none" w:sz="0" w:space="0" w:color="auto"/>
            <w:bottom w:val="none" w:sz="0" w:space="0" w:color="auto"/>
            <w:right w:val="none" w:sz="0" w:space="0" w:color="auto"/>
          </w:divBdr>
        </w:div>
        <w:div w:id="1162160029">
          <w:marLeft w:val="0"/>
          <w:marRight w:val="0"/>
          <w:marTop w:val="0"/>
          <w:marBottom w:val="0"/>
          <w:divBdr>
            <w:top w:val="none" w:sz="0" w:space="0" w:color="auto"/>
            <w:left w:val="none" w:sz="0" w:space="0" w:color="auto"/>
            <w:bottom w:val="none" w:sz="0" w:space="0" w:color="auto"/>
            <w:right w:val="none" w:sz="0" w:space="0" w:color="auto"/>
          </w:divBdr>
        </w:div>
        <w:div w:id="1035623275">
          <w:marLeft w:val="0"/>
          <w:marRight w:val="0"/>
          <w:marTop w:val="0"/>
          <w:marBottom w:val="0"/>
          <w:divBdr>
            <w:top w:val="none" w:sz="0" w:space="0" w:color="auto"/>
            <w:left w:val="none" w:sz="0" w:space="0" w:color="auto"/>
            <w:bottom w:val="none" w:sz="0" w:space="0" w:color="auto"/>
            <w:right w:val="none" w:sz="0" w:space="0" w:color="auto"/>
          </w:divBdr>
        </w:div>
        <w:div w:id="832523336">
          <w:marLeft w:val="0"/>
          <w:marRight w:val="0"/>
          <w:marTop w:val="0"/>
          <w:marBottom w:val="0"/>
          <w:divBdr>
            <w:top w:val="none" w:sz="0" w:space="0" w:color="auto"/>
            <w:left w:val="none" w:sz="0" w:space="0" w:color="auto"/>
            <w:bottom w:val="none" w:sz="0" w:space="0" w:color="auto"/>
            <w:right w:val="none" w:sz="0" w:space="0" w:color="auto"/>
          </w:divBdr>
        </w:div>
        <w:div w:id="1928534240">
          <w:marLeft w:val="0"/>
          <w:marRight w:val="0"/>
          <w:marTop w:val="0"/>
          <w:marBottom w:val="0"/>
          <w:divBdr>
            <w:top w:val="none" w:sz="0" w:space="0" w:color="auto"/>
            <w:left w:val="none" w:sz="0" w:space="0" w:color="auto"/>
            <w:bottom w:val="none" w:sz="0" w:space="0" w:color="auto"/>
            <w:right w:val="none" w:sz="0" w:space="0" w:color="auto"/>
          </w:divBdr>
        </w:div>
        <w:div w:id="1283614496">
          <w:marLeft w:val="0"/>
          <w:marRight w:val="0"/>
          <w:marTop w:val="0"/>
          <w:marBottom w:val="0"/>
          <w:divBdr>
            <w:top w:val="none" w:sz="0" w:space="0" w:color="auto"/>
            <w:left w:val="none" w:sz="0" w:space="0" w:color="auto"/>
            <w:bottom w:val="none" w:sz="0" w:space="0" w:color="auto"/>
            <w:right w:val="none" w:sz="0" w:space="0" w:color="auto"/>
          </w:divBdr>
        </w:div>
        <w:div w:id="1373186368">
          <w:marLeft w:val="0"/>
          <w:marRight w:val="0"/>
          <w:marTop w:val="0"/>
          <w:marBottom w:val="0"/>
          <w:divBdr>
            <w:top w:val="none" w:sz="0" w:space="0" w:color="auto"/>
            <w:left w:val="none" w:sz="0" w:space="0" w:color="auto"/>
            <w:bottom w:val="none" w:sz="0" w:space="0" w:color="auto"/>
            <w:right w:val="none" w:sz="0" w:space="0" w:color="auto"/>
          </w:divBdr>
        </w:div>
        <w:div w:id="161050922">
          <w:marLeft w:val="0"/>
          <w:marRight w:val="0"/>
          <w:marTop w:val="0"/>
          <w:marBottom w:val="0"/>
          <w:divBdr>
            <w:top w:val="none" w:sz="0" w:space="0" w:color="auto"/>
            <w:left w:val="none" w:sz="0" w:space="0" w:color="auto"/>
            <w:bottom w:val="none" w:sz="0" w:space="0" w:color="auto"/>
            <w:right w:val="none" w:sz="0" w:space="0" w:color="auto"/>
          </w:divBdr>
        </w:div>
        <w:div w:id="305664213">
          <w:marLeft w:val="0"/>
          <w:marRight w:val="0"/>
          <w:marTop w:val="0"/>
          <w:marBottom w:val="0"/>
          <w:divBdr>
            <w:top w:val="none" w:sz="0" w:space="0" w:color="auto"/>
            <w:left w:val="none" w:sz="0" w:space="0" w:color="auto"/>
            <w:bottom w:val="none" w:sz="0" w:space="0" w:color="auto"/>
            <w:right w:val="none" w:sz="0" w:space="0" w:color="auto"/>
          </w:divBdr>
        </w:div>
        <w:div w:id="952978963">
          <w:marLeft w:val="0"/>
          <w:marRight w:val="0"/>
          <w:marTop w:val="0"/>
          <w:marBottom w:val="0"/>
          <w:divBdr>
            <w:top w:val="none" w:sz="0" w:space="0" w:color="auto"/>
            <w:left w:val="none" w:sz="0" w:space="0" w:color="auto"/>
            <w:bottom w:val="none" w:sz="0" w:space="0" w:color="auto"/>
            <w:right w:val="none" w:sz="0" w:space="0" w:color="auto"/>
          </w:divBdr>
        </w:div>
        <w:div w:id="1631859791">
          <w:marLeft w:val="0"/>
          <w:marRight w:val="0"/>
          <w:marTop w:val="0"/>
          <w:marBottom w:val="0"/>
          <w:divBdr>
            <w:top w:val="none" w:sz="0" w:space="0" w:color="auto"/>
            <w:left w:val="none" w:sz="0" w:space="0" w:color="auto"/>
            <w:bottom w:val="none" w:sz="0" w:space="0" w:color="auto"/>
            <w:right w:val="none" w:sz="0" w:space="0" w:color="auto"/>
          </w:divBdr>
        </w:div>
        <w:div w:id="1141463718">
          <w:marLeft w:val="0"/>
          <w:marRight w:val="0"/>
          <w:marTop w:val="0"/>
          <w:marBottom w:val="0"/>
          <w:divBdr>
            <w:top w:val="none" w:sz="0" w:space="0" w:color="auto"/>
            <w:left w:val="none" w:sz="0" w:space="0" w:color="auto"/>
            <w:bottom w:val="none" w:sz="0" w:space="0" w:color="auto"/>
            <w:right w:val="none" w:sz="0" w:space="0" w:color="auto"/>
          </w:divBdr>
        </w:div>
        <w:div w:id="833186125">
          <w:marLeft w:val="0"/>
          <w:marRight w:val="0"/>
          <w:marTop w:val="0"/>
          <w:marBottom w:val="0"/>
          <w:divBdr>
            <w:top w:val="none" w:sz="0" w:space="0" w:color="auto"/>
            <w:left w:val="none" w:sz="0" w:space="0" w:color="auto"/>
            <w:bottom w:val="none" w:sz="0" w:space="0" w:color="auto"/>
            <w:right w:val="none" w:sz="0" w:space="0" w:color="auto"/>
          </w:divBdr>
        </w:div>
        <w:div w:id="1645966209">
          <w:marLeft w:val="0"/>
          <w:marRight w:val="0"/>
          <w:marTop w:val="0"/>
          <w:marBottom w:val="0"/>
          <w:divBdr>
            <w:top w:val="none" w:sz="0" w:space="0" w:color="auto"/>
            <w:left w:val="none" w:sz="0" w:space="0" w:color="auto"/>
            <w:bottom w:val="none" w:sz="0" w:space="0" w:color="auto"/>
            <w:right w:val="none" w:sz="0" w:space="0" w:color="auto"/>
          </w:divBdr>
        </w:div>
        <w:div w:id="1209686721">
          <w:marLeft w:val="0"/>
          <w:marRight w:val="0"/>
          <w:marTop w:val="0"/>
          <w:marBottom w:val="0"/>
          <w:divBdr>
            <w:top w:val="none" w:sz="0" w:space="0" w:color="auto"/>
            <w:left w:val="none" w:sz="0" w:space="0" w:color="auto"/>
            <w:bottom w:val="none" w:sz="0" w:space="0" w:color="auto"/>
            <w:right w:val="none" w:sz="0" w:space="0" w:color="auto"/>
          </w:divBdr>
        </w:div>
        <w:div w:id="1343781490">
          <w:marLeft w:val="0"/>
          <w:marRight w:val="0"/>
          <w:marTop w:val="0"/>
          <w:marBottom w:val="0"/>
          <w:divBdr>
            <w:top w:val="none" w:sz="0" w:space="0" w:color="auto"/>
            <w:left w:val="none" w:sz="0" w:space="0" w:color="auto"/>
            <w:bottom w:val="none" w:sz="0" w:space="0" w:color="auto"/>
            <w:right w:val="none" w:sz="0" w:space="0" w:color="auto"/>
          </w:divBdr>
        </w:div>
        <w:div w:id="482432664">
          <w:marLeft w:val="0"/>
          <w:marRight w:val="0"/>
          <w:marTop w:val="0"/>
          <w:marBottom w:val="0"/>
          <w:divBdr>
            <w:top w:val="none" w:sz="0" w:space="0" w:color="auto"/>
            <w:left w:val="none" w:sz="0" w:space="0" w:color="auto"/>
            <w:bottom w:val="none" w:sz="0" w:space="0" w:color="auto"/>
            <w:right w:val="none" w:sz="0" w:space="0" w:color="auto"/>
          </w:divBdr>
        </w:div>
        <w:div w:id="506215603">
          <w:marLeft w:val="0"/>
          <w:marRight w:val="0"/>
          <w:marTop w:val="0"/>
          <w:marBottom w:val="0"/>
          <w:divBdr>
            <w:top w:val="none" w:sz="0" w:space="0" w:color="auto"/>
            <w:left w:val="none" w:sz="0" w:space="0" w:color="auto"/>
            <w:bottom w:val="none" w:sz="0" w:space="0" w:color="auto"/>
            <w:right w:val="none" w:sz="0" w:space="0" w:color="auto"/>
          </w:divBdr>
        </w:div>
        <w:div w:id="647978847">
          <w:marLeft w:val="0"/>
          <w:marRight w:val="0"/>
          <w:marTop w:val="0"/>
          <w:marBottom w:val="0"/>
          <w:divBdr>
            <w:top w:val="none" w:sz="0" w:space="0" w:color="auto"/>
            <w:left w:val="none" w:sz="0" w:space="0" w:color="auto"/>
            <w:bottom w:val="none" w:sz="0" w:space="0" w:color="auto"/>
            <w:right w:val="none" w:sz="0" w:space="0" w:color="auto"/>
          </w:divBdr>
        </w:div>
        <w:div w:id="1915580486">
          <w:marLeft w:val="0"/>
          <w:marRight w:val="0"/>
          <w:marTop w:val="0"/>
          <w:marBottom w:val="0"/>
          <w:divBdr>
            <w:top w:val="none" w:sz="0" w:space="0" w:color="auto"/>
            <w:left w:val="none" w:sz="0" w:space="0" w:color="auto"/>
            <w:bottom w:val="none" w:sz="0" w:space="0" w:color="auto"/>
            <w:right w:val="none" w:sz="0" w:space="0" w:color="auto"/>
          </w:divBdr>
        </w:div>
        <w:div w:id="1265654814">
          <w:marLeft w:val="0"/>
          <w:marRight w:val="0"/>
          <w:marTop w:val="0"/>
          <w:marBottom w:val="0"/>
          <w:divBdr>
            <w:top w:val="none" w:sz="0" w:space="0" w:color="auto"/>
            <w:left w:val="none" w:sz="0" w:space="0" w:color="auto"/>
            <w:bottom w:val="none" w:sz="0" w:space="0" w:color="auto"/>
            <w:right w:val="none" w:sz="0" w:space="0" w:color="auto"/>
          </w:divBdr>
        </w:div>
        <w:div w:id="230578983">
          <w:marLeft w:val="0"/>
          <w:marRight w:val="0"/>
          <w:marTop w:val="0"/>
          <w:marBottom w:val="0"/>
          <w:divBdr>
            <w:top w:val="none" w:sz="0" w:space="0" w:color="auto"/>
            <w:left w:val="none" w:sz="0" w:space="0" w:color="auto"/>
            <w:bottom w:val="none" w:sz="0" w:space="0" w:color="auto"/>
            <w:right w:val="none" w:sz="0" w:space="0" w:color="auto"/>
          </w:divBdr>
        </w:div>
        <w:div w:id="355036016">
          <w:marLeft w:val="0"/>
          <w:marRight w:val="0"/>
          <w:marTop w:val="0"/>
          <w:marBottom w:val="0"/>
          <w:divBdr>
            <w:top w:val="none" w:sz="0" w:space="0" w:color="auto"/>
            <w:left w:val="none" w:sz="0" w:space="0" w:color="auto"/>
            <w:bottom w:val="none" w:sz="0" w:space="0" w:color="auto"/>
            <w:right w:val="none" w:sz="0" w:space="0" w:color="auto"/>
          </w:divBdr>
        </w:div>
        <w:div w:id="1386375733">
          <w:marLeft w:val="0"/>
          <w:marRight w:val="0"/>
          <w:marTop w:val="0"/>
          <w:marBottom w:val="0"/>
          <w:divBdr>
            <w:top w:val="none" w:sz="0" w:space="0" w:color="auto"/>
            <w:left w:val="none" w:sz="0" w:space="0" w:color="auto"/>
            <w:bottom w:val="none" w:sz="0" w:space="0" w:color="auto"/>
            <w:right w:val="none" w:sz="0" w:space="0" w:color="auto"/>
          </w:divBdr>
        </w:div>
        <w:div w:id="310671472">
          <w:marLeft w:val="0"/>
          <w:marRight w:val="0"/>
          <w:marTop w:val="0"/>
          <w:marBottom w:val="0"/>
          <w:divBdr>
            <w:top w:val="none" w:sz="0" w:space="0" w:color="auto"/>
            <w:left w:val="none" w:sz="0" w:space="0" w:color="auto"/>
            <w:bottom w:val="none" w:sz="0" w:space="0" w:color="auto"/>
            <w:right w:val="none" w:sz="0" w:space="0" w:color="auto"/>
          </w:divBdr>
        </w:div>
        <w:div w:id="314919622">
          <w:marLeft w:val="0"/>
          <w:marRight w:val="0"/>
          <w:marTop w:val="0"/>
          <w:marBottom w:val="0"/>
          <w:divBdr>
            <w:top w:val="none" w:sz="0" w:space="0" w:color="auto"/>
            <w:left w:val="none" w:sz="0" w:space="0" w:color="auto"/>
            <w:bottom w:val="none" w:sz="0" w:space="0" w:color="auto"/>
            <w:right w:val="none" w:sz="0" w:space="0" w:color="auto"/>
          </w:divBdr>
        </w:div>
        <w:div w:id="1056052273">
          <w:marLeft w:val="0"/>
          <w:marRight w:val="0"/>
          <w:marTop w:val="0"/>
          <w:marBottom w:val="0"/>
          <w:divBdr>
            <w:top w:val="none" w:sz="0" w:space="0" w:color="auto"/>
            <w:left w:val="none" w:sz="0" w:space="0" w:color="auto"/>
            <w:bottom w:val="none" w:sz="0" w:space="0" w:color="auto"/>
            <w:right w:val="none" w:sz="0" w:space="0" w:color="auto"/>
          </w:divBdr>
        </w:div>
        <w:div w:id="818159146">
          <w:marLeft w:val="0"/>
          <w:marRight w:val="0"/>
          <w:marTop w:val="0"/>
          <w:marBottom w:val="0"/>
          <w:divBdr>
            <w:top w:val="none" w:sz="0" w:space="0" w:color="auto"/>
            <w:left w:val="none" w:sz="0" w:space="0" w:color="auto"/>
            <w:bottom w:val="none" w:sz="0" w:space="0" w:color="auto"/>
            <w:right w:val="none" w:sz="0" w:space="0" w:color="auto"/>
          </w:divBdr>
        </w:div>
        <w:div w:id="1121338622">
          <w:marLeft w:val="0"/>
          <w:marRight w:val="0"/>
          <w:marTop w:val="0"/>
          <w:marBottom w:val="0"/>
          <w:divBdr>
            <w:top w:val="none" w:sz="0" w:space="0" w:color="auto"/>
            <w:left w:val="none" w:sz="0" w:space="0" w:color="auto"/>
            <w:bottom w:val="none" w:sz="0" w:space="0" w:color="auto"/>
            <w:right w:val="none" w:sz="0" w:space="0" w:color="auto"/>
          </w:divBdr>
        </w:div>
        <w:div w:id="1546333154">
          <w:marLeft w:val="0"/>
          <w:marRight w:val="0"/>
          <w:marTop w:val="0"/>
          <w:marBottom w:val="0"/>
          <w:divBdr>
            <w:top w:val="none" w:sz="0" w:space="0" w:color="auto"/>
            <w:left w:val="none" w:sz="0" w:space="0" w:color="auto"/>
            <w:bottom w:val="none" w:sz="0" w:space="0" w:color="auto"/>
            <w:right w:val="none" w:sz="0" w:space="0" w:color="auto"/>
          </w:divBdr>
        </w:div>
        <w:div w:id="26885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85A8A-69FF-4D5B-B3F1-597F71AC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20B72A00.dotm</Template>
  <TotalTime>88</TotalTime>
  <Pages>12</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Grierson, Jeffrey</dc:creator>
  <cp:keywords/>
  <dc:description/>
  <cp:lastModifiedBy>Grierson, Jeffrey</cp:lastModifiedBy>
  <cp:revision>1</cp:revision>
  <dcterms:created xsi:type="dcterms:W3CDTF">2018-09-05T10:56:00Z</dcterms:created>
  <dcterms:modified xsi:type="dcterms:W3CDTF">2018-09-05T12:27:00Z</dcterms:modified>
</cp:coreProperties>
</file>