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B99C1" w14:textId="2EDA176E" w:rsidR="006D0459" w:rsidRPr="00017FC1" w:rsidRDefault="006D0459" w:rsidP="005369C0">
      <w:pPr>
        <w:widowControl w:val="0"/>
        <w:autoSpaceDE w:val="0"/>
        <w:autoSpaceDN w:val="0"/>
        <w:adjustRightInd w:val="0"/>
        <w:spacing w:line="480" w:lineRule="auto"/>
        <w:jc w:val="center"/>
        <w:rPr>
          <w:rFonts w:ascii="Garamond" w:hAnsi="Garamond" w:cs="Calibri"/>
          <w:b/>
          <w:color w:val="191919"/>
          <w:sz w:val="28"/>
          <w:szCs w:val="28"/>
        </w:rPr>
      </w:pPr>
      <w:bookmarkStart w:id="0" w:name="_GoBack"/>
      <w:bookmarkEnd w:id="0"/>
      <w:r>
        <w:rPr>
          <w:rFonts w:ascii="Garamond" w:hAnsi="Garamond"/>
          <w:b/>
          <w:sz w:val="28"/>
          <w:szCs w:val="28"/>
        </w:rPr>
        <w:t xml:space="preserve">Establishing a Research Agenda on Mobile Health Technologies and Later-Life Pain Using an Evidence-Based Consensus </w:t>
      </w:r>
      <w:r w:rsidR="00D57E51">
        <w:rPr>
          <w:rFonts w:ascii="Garamond" w:hAnsi="Garamond"/>
          <w:b/>
          <w:sz w:val="28"/>
          <w:szCs w:val="28"/>
        </w:rPr>
        <w:t xml:space="preserve">Workshop </w:t>
      </w:r>
      <w:r>
        <w:rPr>
          <w:rFonts w:ascii="Garamond" w:hAnsi="Garamond"/>
          <w:b/>
          <w:sz w:val="28"/>
          <w:szCs w:val="28"/>
        </w:rPr>
        <w:t>Approach</w:t>
      </w:r>
    </w:p>
    <w:p w14:paraId="74867FD0" w14:textId="77777777" w:rsidR="00D47623" w:rsidRDefault="006D0459" w:rsidP="005369C0">
      <w:pPr>
        <w:widowControl w:val="0"/>
        <w:autoSpaceDE w:val="0"/>
        <w:autoSpaceDN w:val="0"/>
        <w:adjustRightInd w:val="0"/>
        <w:spacing w:line="480" w:lineRule="auto"/>
        <w:jc w:val="center"/>
        <w:outlineLvl w:val="0"/>
        <w:rPr>
          <w:rFonts w:ascii="Garamond" w:hAnsi="Garamond" w:cs="Calibri"/>
          <w:color w:val="191919"/>
          <w:vertAlign w:val="superscript"/>
        </w:rPr>
      </w:pPr>
      <w:r w:rsidRPr="00787BAC">
        <w:rPr>
          <w:rFonts w:ascii="Garamond" w:hAnsi="Garamond" w:cs="Calibri"/>
          <w:color w:val="191919"/>
        </w:rPr>
        <w:t>Elaine Wethington</w:t>
      </w:r>
      <w:r w:rsidRPr="00220D81">
        <w:rPr>
          <w:rFonts w:ascii="Garamond" w:hAnsi="Garamond" w:cs="Calibri"/>
          <w:color w:val="191919"/>
          <w:vertAlign w:val="superscript"/>
        </w:rPr>
        <w:t>a</w:t>
      </w:r>
      <w:r>
        <w:rPr>
          <w:rFonts w:ascii="Garamond" w:hAnsi="Garamond" w:cs="Calibri"/>
          <w:color w:val="191919"/>
        </w:rPr>
        <w:t xml:space="preserve">, </w:t>
      </w:r>
      <w:r w:rsidRPr="00787BAC">
        <w:rPr>
          <w:rFonts w:ascii="Garamond" w:hAnsi="Garamond" w:cs="Calibri"/>
          <w:color w:val="191919"/>
        </w:rPr>
        <w:t>Christopher Eccleston</w:t>
      </w:r>
      <w:r w:rsidRPr="00220D81">
        <w:rPr>
          <w:rFonts w:ascii="Garamond" w:hAnsi="Garamond" w:cs="Calibri"/>
          <w:color w:val="191919"/>
          <w:vertAlign w:val="superscript"/>
        </w:rPr>
        <w:t>b</w:t>
      </w:r>
      <w:r>
        <w:rPr>
          <w:rFonts w:ascii="Garamond" w:hAnsi="Garamond" w:cs="Calibri"/>
          <w:color w:val="191919"/>
        </w:rPr>
        <w:t xml:space="preserve">, </w:t>
      </w:r>
      <w:r w:rsidRPr="00787BAC">
        <w:rPr>
          <w:rFonts w:ascii="Garamond" w:hAnsi="Garamond" w:cs="Calibri"/>
          <w:color w:val="191919"/>
        </w:rPr>
        <w:t>Geri Gay</w:t>
      </w:r>
      <w:r w:rsidRPr="00220D81">
        <w:rPr>
          <w:rFonts w:ascii="Garamond" w:hAnsi="Garamond" w:cs="Calibri"/>
          <w:color w:val="191919"/>
          <w:vertAlign w:val="superscript"/>
        </w:rPr>
        <w:t>c</w:t>
      </w:r>
      <w:r>
        <w:rPr>
          <w:rFonts w:ascii="Garamond" w:hAnsi="Garamond" w:cs="Calibri"/>
          <w:color w:val="191919"/>
        </w:rPr>
        <w:t>,</w:t>
      </w:r>
      <w:r>
        <w:rPr>
          <w:rFonts w:ascii="Garamond" w:hAnsi="Garamond" w:cs="Calibri"/>
          <w:vertAlign w:val="superscript"/>
        </w:rPr>
        <w:t xml:space="preserve"> </w:t>
      </w:r>
      <w:r w:rsidRPr="00787BAC">
        <w:rPr>
          <w:rFonts w:ascii="Garamond" w:hAnsi="Garamond" w:cs="Calibri"/>
          <w:color w:val="191919"/>
        </w:rPr>
        <w:t>Rachael Gooberman-Hill</w:t>
      </w:r>
      <w:r w:rsidRPr="00220D81">
        <w:rPr>
          <w:rFonts w:ascii="Garamond" w:hAnsi="Garamond" w:cs="Calibri"/>
          <w:color w:val="191919"/>
          <w:vertAlign w:val="superscript"/>
        </w:rPr>
        <w:t>d</w:t>
      </w:r>
      <w:r>
        <w:rPr>
          <w:rFonts w:ascii="Garamond" w:hAnsi="Garamond" w:cs="Calibri"/>
          <w:color w:val="191919"/>
        </w:rPr>
        <w:t>,</w:t>
      </w:r>
      <w:r>
        <w:rPr>
          <w:rFonts w:ascii="Garamond" w:hAnsi="Garamond" w:cs="Calibri"/>
          <w:color w:val="191919"/>
          <w:vertAlign w:val="superscript"/>
        </w:rPr>
        <w:t xml:space="preserve"> </w:t>
      </w:r>
    </w:p>
    <w:p w14:paraId="66E254AF" w14:textId="77777777" w:rsidR="00D47623" w:rsidRDefault="006D0459" w:rsidP="005369C0">
      <w:pPr>
        <w:widowControl w:val="0"/>
        <w:autoSpaceDE w:val="0"/>
        <w:autoSpaceDN w:val="0"/>
        <w:adjustRightInd w:val="0"/>
        <w:spacing w:line="480" w:lineRule="auto"/>
        <w:jc w:val="center"/>
        <w:outlineLvl w:val="0"/>
        <w:rPr>
          <w:rFonts w:ascii="Garamond" w:hAnsi="Garamond" w:cs="Calibri"/>
          <w:color w:val="191919"/>
          <w:vertAlign w:val="superscript"/>
        </w:rPr>
      </w:pPr>
      <w:r w:rsidRPr="00787BAC">
        <w:rPr>
          <w:rFonts w:ascii="Garamond" w:hAnsi="Garamond" w:cs="Calibri"/>
          <w:color w:val="191919"/>
        </w:rPr>
        <w:t>Patricia Schofield</w:t>
      </w:r>
      <w:r w:rsidRPr="00220D81">
        <w:rPr>
          <w:rFonts w:ascii="Garamond" w:hAnsi="Garamond" w:cs="Calibri"/>
          <w:color w:val="191919"/>
          <w:vertAlign w:val="superscript"/>
        </w:rPr>
        <w:t>e</w:t>
      </w:r>
      <w:r>
        <w:rPr>
          <w:rFonts w:ascii="Garamond" w:hAnsi="Garamond" w:cs="Calibri"/>
          <w:color w:val="191919"/>
        </w:rPr>
        <w:t>,</w:t>
      </w:r>
      <w:r>
        <w:rPr>
          <w:rFonts w:ascii="Garamond" w:hAnsi="Garamond" w:cs="Calibri"/>
          <w:vertAlign w:val="superscript"/>
        </w:rPr>
        <w:t xml:space="preserve"> </w:t>
      </w:r>
      <w:r>
        <w:rPr>
          <w:rFonts w:ascii="Garamond" w:hAnsi="Garamond" w:cs="Calibri"/>
          <w:color w:val="191919"/>
        </w:rPr>
        <w:t>Elizabeth</w:t>
      </w:r>
      <w:r w:rsidRPr="00787BAC">
        <w:rPr>
          <w:rFonts w:ascii="Garamond" w:hAnsi="Garamond" w:cs="Calibri"/>
          <w:color w:val="191919"/>
        </w:rPr>
        <w:t xml:space="preserve"> Bacon</w:t>
      </w:r>
      <w:r w:rsidRPr="00220D81">
        <w:rPr>
          <w:rFonts w:ascii="Garamond" w:hAnsi="Garamond" w:cs="Calibri"/>
          <w:color w:val="191919"/>
          <w:vertAlign w:val="superscript"/>
        </w:rPr>
        <w:t>f</w:t>
      </w:r>
      <w:r>
        <w:rPr>
          <w:rFonts w:ascii="Garamond" w:hAnsi="Garamond" w:cs="Calibri"/>
          <w:color w:val="191919"/>
        </w:rPr>
        <w:t>,</w:t>
      </w:r>
      <w:r>
        <w:rPr>
          <w:rFonts w:ascii="Garamond" w:hAnsi="Garamond" w:cs="Calibri"/>
          <w:vertAlign w:val="superscript"/>
        </w:rPr>
        <w:t xml:space="preserve"> </w:t>
      </w:r>
      <w:r w:rsidRPr="00787BAC">
        <w:rPr>
          <w:rFonts w:ascii="Garamond" w:hAnsi="Garamond" w:cs="Calibri"/>
          <w:color w:val="191919"/>
        </w:rPr>
        <w:t>Wen Dombrowski</w:t>
      </w:r>
      <w:r w:rsidRPr="00220D81">
        <w:rPr>
          <w:rFonts w:ascii="Garamond" w:hAnsi="Garamond" w:cs="Calibri"/>
          <w:color w:val="191919"/>
          <w:vertAlign w:val="superscript"/>
        </w:rPr>
        <w:t>g</w:t>
      </w:r>
      <w:r>
        <w:rPr>
          <w:rFonts w:ascii="Garamond" w:hAnsi="Garamond" w:cs="Calibri"/>
          <w:color w:val="191919"/>
        </w:rPr>
        <w:t>,</w:t>
      </w:r>
      <w:r>
        <w:rPr>
          <w:rFonts w:ascii="Garamond" w:hAnsi="Garamond" w:cs="Calibri"/>
          <w:color w:val="191919"/>
          <w:vertAlign w:val="superscript"/>
        </w:rPr>
        <w:t xml:space="preserve">  </w:t>
      </w:r>
      <w:r>
        <w:rPr>
          <w:rFonts w:ascii="Garamond" w:hAnsi="Garamond" w:cs="Calibri"/>
          <w:color w:val="191919"/>
        </w:rPr>
        <w:t>Robert Jamison</w:t>
      </w:r>
      <w:r w:rsidRPr="00220D81">
        <w:rPr>
          <w:rFonts w:ascii="Garamond" w:hAnsi="Garamond" w:cs="Calibri"/>
          <w:color w:val="191919"/>
          <w:vertAlign w:val="superscript"/>
        </w:rPr>
        <w:t>h</w:t>
      </w:r>
      <w:r>
        <w:rPr>
          <w:rFonts w:ascii="Garamond" w:hAnsi="Garamond" w:cs="Calibri"/>
          <w:color w:val="191919"/>
        </w:rPr>
        <w:t>,</w:t>
      </w:r>
      <w:r>
        <w:rPr>
          <w:rFonts w:ascii="Garamond" w:hAnsi="Garamond" w:cs="Calibri"/>
          <w:color w:val="191919"/>
          <w:vertAlign w:val="superscript"/>
        </w:rPr>
        <w:t xml:space="preserve"> </w:t>
      </w:r>
      <w:r w:rsidRPr="00787BAC">
        <w:rPr>
          <w:rFonts w:ascii="Garamond" w:hAnsi="Garamond" w:cs="Calibri"/>
          <w:color w:val="191919"/>
        </w:rPr>
        <w:t>Max Rothman</w:t>
      </w:r>
      <w:r w:rsidRPr="00220D81">
        <w:rPr>
          <w:rFonts w:ascii="Garamond" w:hAnsi="Garamond" w:cs="Calibri"/>
          <w:color w:val="191919"/>
          <w:vertAlign w:val="superscript"/>
        </w:rPr>
        <w:t>a</w:t>
      </w:r>
      <w:r>
        <w:rPr>
          <w:rFonts w:ascii="Garamond" w:hAnsi="Garamond" w:cs="Calibri"/>
          <w:color w:val="191919"/>
        </w:rPr>
        <w:t>,</w:t>
      </w:r>
      <w:r>
        <w:rPr>
          <w:rFonts w:ascii="Garamond" w:hAnsi="Garamond" w:cs="Calibri"/>
          <w:color w:val="191919"/>
          <w:vertAlign w:val="superscript"/>
        </w:rPr>
        <w:t xml:space="preserve"> </w:t>
      </w:r>
    </w:p>
    <w:p w14:paraId="13D79CD0" w14:textId="77777777" w:rsidR="006D0459" w:rsidRDefault="006D0459" w:rsidP="00D47623">
      <w:pPr>
        <w:widowControl w:val="0"/>
        <w:autoSpaceDE w:val="0"/>
        <w:autoSpaceDN w:val="0"/>
        <w:adjustRightInd w:val="0"/>
        <w:spacing w:line="480" w:lineRule="auto"/>
        <w:jc w:val="center"/>
        <w:outlineLvl w:val="0"/>
        <w:rPr>
          <w:rFonts w:ascii="Garamond" w:hAnsi="Garamond" w:cs="Calibri"/>
          <w:vertAlign w:val="superscript"/>
        </w:rPr>
      </w:pPr>
      <w:r w:rsidRPr="00787BAC">
        <w:rPr>
          <w:rFonts w:ascii="Garamond" w:hAnsi="Garamond" w:cs="Calibri"/>
          <w:color w:val="191919"/>
        </w:rPr>
        <w:t>Lauren Meador</w:t>
      </w:r>
      <w:r w:rsidRPr="00220D81">
        <w:rPr>
          <w:rFonts w:ascii="Garamond" w:hAnsi="Garamond" w:cs="Calibri"/>
          <w:color w:val="191919"/>
          <w:vertAlign w:val="superscript"/>
        </w:rPr>
        <w:t>i</w:t>
      </w:r>
      <w:r>
        <w:rPr>
          <w:rFonts w:ascii="Garamond" w:hAnsi="Garamond" w:cs="Calibri"/>
          <w:color w:val="191919"/>
        </w:rPr>
        <w:t>,</w:t>
      </w:r>
      <w:r w:rsidR="00063395">
        <w:rPr>
          <w:rFonts w:ascii="Garamond" w:hAnsi="Garamond" w:cs="Calibri"/>
          <w:color w:val="191919"/>
        </w:rPr>
        <w:t xml:space="preserve"> </w:t>
      </w:r>
      <w:r w:rsidRPr="00787BAC">
        <w:rPr>
          <w:rFonts w:ascii="Garamond" w:hAnsi="Garamond" w:cs="Calibri"/>
          <w:color w:val="191919"/>
        </w:rPr>
        <w:t>Cara Kenien</w:t>
      </w:r>
      <w:r w:rsidRPr="00220D81">
        <w:rPr>
          <w:rFonts w:ascii="Garamond" w:hAnsi="Garamond" w:cs="Calibri"/>
          <w:color w:val="191919"/>
          <w:vertAlign w:val="superscript"/>
        </w:rPr>
        <w:t>i</w:t>
      </w:r>
      <w:r>
        <w:rPr>
          <w:rFonts w:ascii="Garamond" w:hAnsi="Garamond" w:cs="Calibri"/>
          <w:color w:val="191919"/>
        </w:rPr>
        <w:t xml:space="preserve">, </w:t>
      </w:r>
      <w:r w:rsidRPr="00787BAC">
        <w:rPr>
          <w:rFonts w:ascii="Garamond" w:hAnsi="Garamond" w:cs="Calibri"/>
          <w:color w:val="191919"/>
        </w:rPr>
        <w:t>Karl Pillemer</w:t>
      </w:r>
      <w:r w:rsidRPr="00220D81">
        <w:rPr>
          <w:rFonts w:ascii="Garamond" w:hAnsi="Garamond" w:cs="Calibri"/>
          <w:color w:val="191919"/>
          <w:vertAlign w:val="superscript"/>
        </w:rPr>
        <w:t>a</w:t>
      </w:r>
      <w:r>
        <w:rPr>
          <w:rFonts w:ascii="Garamond" w:hAnsi="Garamond" w:cs="Calibri"/>
          <w:color w:val="191919"/>
        </w:rPr>
        <w:t>,</w:t>
      </w:r>
      <w:r>
        <w:rPr>
          <w:rFonts w:ascii="Garamond" w:hAnsi="Garamond" w:cs="Calibri"/>
          <w:vertAlign w:val="superscript"/>
        </w:rPr>
        <w:t xml:space="preserve"> </w:t>
      </w:r>
      <w:r w:rsidRPr="00787BAC">
        <w:rPr>
          <w:rFonts w:ascii="Garamond" w:hAnsi="Garamond" w:cs="Calibri"/>
          <w:color w:val="191919"/>
        </w:rPr>
        <w:t>Corinna L</w:t>
      </w:r>
      <w:r w:rsidR="005369C0">
        <w:rPr>
          <w:rFonts w:ascii="Garamond" w:hAnsi="Garamond" w:cs="Calibri"/>
          <w:color w:val="191919"/>
        </w:rPr>
        <w:t>ö</w:t>
      </w:r>
      <w:r w:rsidRPr="00787BAC">
        <w:rPr>
          <w:rFonts w:ascii="Garamond" w:hAnsi="Garamond" w:cs="Calibri"/>
          <w:color w:val="191919"/>
        </w:rPr>
        <w:t>ckenhoff</w:t>
      </w:r>
      <w:r w:rsidRPr="00220D81">
        <w:rPr>
          <w:rFonts w:ascii="Garamond" w:hAnsi="Garamond" w:cs="Calibri"/>
          <w:color w:val="191919"/>
          <w:vertAlign w:val="superscript"/>
        </w:rPr>
        <w:t>a</w:t>
      </w:r>
      <w:r>
        <w:rPr>
          <w:rFonts w:ascii="Garamond" w:hAnsi="Garamond" w:cs="Calibri"/>
          <w:color w:val="191919"/>
        </w:rPr>
        <w:t>, and M</w:t>
      </w:r>
      <w:r w:rsidRPr="00787BAC">
        <w:rPr>
          <w:rFonts w:ascii="Garamond" w:hAnsi="Garamond" w:cs="Calibri"/>
          <w:color w:val="191919"/>
        </w:rPr>
        <w:t>. Carrington Reid</w:t>
      </w:r>
      <w:r w:rsidRPr="00220D81">
        <w:rPr>
          <w:rFonts w:ascii="Garamond" w:hAnsi="Garamond" w:cs="Calibri"/>
          <w:color w:val="191919"/>
          <w:vertAlign w:val="superscript"/>
        </w:rPr>
        <w:t>i</w:t>
      </w:r>
    </w:p>
    <w:p w14:paraId="51A785DE" w14:textId="77777777" w:rsidR="006D0459" w:rsidRPr="00350750" w:rsidRDefault="006D0459" w:rsidP="005369C0">
      <w:pPr>
        <w:widowControl w:val="0"/>
        <w:autoSpaceDE w:val="0"/>
        <w:autoSpaceDN w:val="0"/>
        <w:adjustRightInd w:val="0"/>
        <w:spacing w:line="480" w:lineRule="auto"/>
        <w:jc w:val="center"/>
        <w:rPr>
          <w:rFonts w:ascii="Garamond" w:hAnsi="Garamond" w:cs="Calibri"/>
          <w:vertAlign w:val="superscript"/>
        </w:rPr>
      </w:pPr>
    </w:p>
    <w:p w14:paraId="22C7793B" w14:textId="77777777" w:rsidR="006D0459" w:rsidRDefault="006D0459" w:rsidP="005369C0">
      <w:pPr>
        <w:widowControl w:val="0"/>
        <w:autoSpaceDE w:val="0"/>
        <w:autoSpaceDN w:val="0"/>
        <w:adjustRightInd w:val="0"/>
        <w:spacing w:line="360" w:lineRule="auto"/>
        <w:outlineLvl w:val="0"/>
        <w:rPr>
          <w:rFonts w:ascii="Garamond" w:hAnsi="Garamond" w:cs="Calibri"/>
          <w:color w:val="191919"/>
        </w:rPr>
      </w:pPr>
      <w:r w:rsidRPr="00017FC1">
        <w:rPr>
          <w:rFonts w:ascii="Garamond" w:hAnsi="Garamond" w:cs="Calibri"/>
          <w:color w:val="191919"/>
          <w:vertAlign w:val="superscript"/>
        </w:rPr>
        <w:t>a</w:t>
      </w:r>
      <w:r>
        <w:rPr>
          <w:rFonts w:ascii="Garamond" w:hAnsi="Garamond" w:cs="Calibri"/>
          <w:color w:val="191919"/>
          <w:vertAlign w:val="superscript"/>
        </w:rPr>
        <w:t xml:space="preserve"> </w:t>
      </w:r>
      <w:r>
        <w:rPr>
          <w:rFonts w:ascii="Garamond" w:hAnsi="Garamond" w:cs="Calibri"/>
          <w:color w:val="191919"/>
        </w:rPr>
        <w:t xml:space="preserve">Department of Human Development, </w:t>
      </w:r>
      <w:r w:rsidRPr="00787BAC">
        <w:rPr>
          <w:rFonts w:ascii="Garamond" w:hAnsi="Garamond" w:cs="Calibri"/>
          <w:color w:val="191919"/>
        </w:rPr>
        <w:t>Cornell University</w:t>
      </w:r>
      <w:r>
        <w:rPr>
          <w:rFonts w:ascii="Garamond" w:hAnsi="Garamond" w:cs="Calibri"/>
          <w:color w:val="191919"/>
        </w:rPr>
        <w:t>,</w:t>
      </w:r>
      <w:r>
        <w:rPr>
          <w:rFonts w:ascii="Garamond" w:hAnsi="Garamond" w:cs="Calibri"/>
          <w:color w:val="191919"/>
          <w:vertAlign w:val="superscript"/>
        </w:rPr>
        <w:t xml:space="preserve"> </w:t>
      </w:r>
      <w:r>
        <w:rPr>
          <w:rFonts w:ascii="Garamond" w:hAnsi="Garamond" w:cs="Calibri"/>
          <w:color w:val="191919"/>
        </w:rPr>
        <w:t>Ithaca, NY</w:t>
      </w:r>
    </w:p>
    <w:p w14:paraId="59828F45" w14:textId="77777777" w:rsidR="006D0459" w:rsidRDefault="006D0459" w:rsidP="005369C0">
      <w:pPr>
        <w:widowControl w:val="0"/>
        <w:autoSpaceDE w:val="0"/>
        <w:autoSpaceDN w:val="0"/>
        <w:adjustRightInd w:val="0"/>
        <w:spacing w:line="360" w:lineRule="auto"/>
        <w:outlineLvl w:val="0"/>
        <w:rPr>
          <w:rFonts w:ascii="Garamond" w:hAnsi="Garamond" w:cs="Calibri"/>
          <w:color w:val="191919"/>
        </w:rPr>
      </w:pPr>
      <w:r w:rsidRPr="00017FC1">
        <w:rPr>
          <w:rFonts w:ascii="Garamond" w:hAnsi="Garamond" w:cs="Calibri"/>
          <w:color w:val="191919"/>
          <w:vertAlign w:val="superscript"/>
        </w:rPr>
        <w:t>b</w:t>
      </w:r>
      <w:r>
        <w:rPr>
          <w:rFonts w:ascii="Garamond" w:hAnsi="Garamond" w:cs="Calibri"/>
          <w:color w:val="191919"/>
        </w:rPr>
        <w:t xml:space="preserve">Department for Health, </w:t>
      </w:r>
      <w:r w:rsidRPr="00787BAC">
        <w:rPr>
          <w:rFonts w:ascii="Garamond" w:hAnsi="Garamond" w:cs="Calibri"/>
          <w:color w:val="191919"/>
        </w:rPr>
        <w:t>University of Bath</w:t>
      </w:r>
      <w:r>
        <w:rPr>
          <w:rFonts w:ascii="Garamond" w:hAnsi="Garamond" w:cs="Calibri"/>
          <w:color w:val="191919"/>
        </w:rPr>
        <w:t>, Bath, UK</w:t>
      </w:r>
    </w:p>
    <w:p w14:paraId="00BF24CF" w14:textId="77777777" w:rsidR="006D0459" w:rsidRPr="00017FC1" w:rsidRDefault="006D0459" w:rsidP="005369C0">
      <w:pPr>
        <w:spacing w:line="360" w:lineRule="auto"/>
        <w:rPr>
          <w:rFonts w:ascii="Garamond" w:eastAsia="Times New Roman" w:hAnsi="Garamond" w:cs="Segoe UI"/>
          <w:color w:val="212121"/>
          <w:szCs w:val="23"/>
        </w:rPr>
      </w:pPr>
      <w:r>
        <w:rPr>
          <w:rFonts w:ascii="Garamond" w:hAnsi="Garamond" w:cs="Calibri"/>
          <w:color w:val="191919"/>
          <w:vertAlign w:val="superscript"/>
        </w:rPr>
        <w:t xml:space="preserve">c </w:t>
      </w:r>
      <w:r w:rsidRPr="003607CE">
        <w:rPr>
          <w:rFonts w:ascii="Garamond" w:eastAsia="Times New Roman" w:hAnsi="Garamond" w:cs="Segoe UI"/>
          <w:color w:val="212121"/>
          <w:szCs w:val="23"/>
        </w:rPr>
        <w:t xml:space="preserve">Departments of Information Science &amp; Communication, Cornell University, Ithaca, NY </w:t>
      </w:r>
    </w:p>
    <w:p w14:paraId="3FF3CB67" w14:textId="77777777" w:rsidR="006D0459" w:rsidRPr="003607CE" w:rsidRDefault="006D0459" w:rsidP="005369C0">
      <w:pPr>
        <w:spacing w:line="360" w:lineRule="auto"/>
        <w:rPr>
          <w:rFonts w:ascii="Garamond" w:eastAsia="Times New Roman" w:hAnsi="Garamond" w:cs="Calibri"/>
          <w:color w:val="000000" w:themeColor="text1"/>
          <w:szCs w:val="22"/>
        </w:rPr>
      </w:pPr>
      <w:r>
        <w:rPr>
          <w:rFonts w:ascii="Garamond" w:hAnsi="Garamond" w:cs="Calibri"/>
          <w:color w:val="191919"/>
          <w:vertAlign w:val="superscript"/>
        </w:rPr>
        <w:t>d</w:t>
      </w:r>
      <w:r w:rsidRPr="00017FC1">
        <w:rPr>
          <w:rFonts w:ascii="Garamond" w:hAnsi="Garamond" w:cs="Calibri"/>
          <w:color w:val="191919"/>
          <w:vertAlign w:val="superscript"/>
        </w:rPr>
        <w:t xml:space="preserve"> </w:t>
      </w:r>
      <w:r w:rsidRPr="003607CE">
        <w:rPr>
          <w:rFonts w:ascii="Garamond" w:eastAsia="Times New Roman" w:hAnsi="Garamond" w:cs="Calibri"/>
          <w:color w:val="000000" w:themeColor="text1"/>
          <w:szCs w:val="22"/>
        </w:rPr>
        <w:t>Translational Health Sciences, Bristol Medical School, University of Bristol</w:t>
      </w:r>
      <w:r>
        <w:rPr>
          <w:rFonts w:ascii="Garamond" w:eastAsia="Times New Roman" w:hAnsi="Garamond" w:cs="Calibri"/>
          <w:color w:val="000000" w:themeColor="text1"/>
          <w:szCs w:val="22"/>
        </w:rPr>
        <w:t>, Bristol, UK</w:t>
      </w:r>
    </w:p>
    <w:p w14:paraId="06CEFCB9" w14:textId="77777777" w:rsidR="006D0459" w:rsidRDefault="006D0459" w:rsidP="005369C0">
      <w:pPr>
        <w:widowControl w:val="0"/>
        <w:autoSpaceDE w:val="0"/>
        <w:autoSpaceDN w:val="0"/>
        <w:adjustRightInd w:val="0"/>
        <w:spacing w:line="360" w:lineRule="auto"/>
        <w:outlineLvl w:val="0"/>
        <w:rPr>
          <w:rFonts w:ascii="Garamond" w:hAnsi="Garamond"/>
        </w:rPr>
      </w:pPr>
      <w:r>
        <w:rPr>
          <w:rFonts w:ascii="Garamond" w:hAnsi="Garamond" w:cs="Calibri"/>
          <w:color w:val="191919"/>
          <w:vertAlign w:val="superscript"/>
        </w:rPr>
        <w:t xml:space="preserve">e </w:t>
      </w:r>
      <w:r w:rsidRPr="003607CE">
        <w:rPr>
          <w:rFonts w:ascii="Garamond" w:hAnsi="Garamond"/>
        </w:rPr>
        <w:t>Department of Research and Income Generation, Anglia Ruskin University, Chelmsford, UK</w:t>
      </w:r>
    </w:p>
    <w:p w14:paraId="4DC1FD07" w14:textId="77777777" w:rsidR="006D0459" w:rsidRDefault="006D0459" w:rsidP="005369C0">
      <w:pPr>
        <w:widowControl w:val="0"/>
        <w:autoSpaceDE w:val="0"/>
        <w:autoSpaceDN w:val="0"/>
        <w:adjustRightInd w:val="0"/>
        <w:spacing w:line="360" w:lineRule="auto"/>
        <w:outlineLvl w:val="0"/>
        <w:rPr>
          <w:rFonts w:ascii="Garamond" w:hAnsi="Garamond"/>
        </w:rPr>
      </w:pPr>
      <w:r w:rsidRPr="00F56D76">
        <w:rPr>
          <w:rFonts w:ascii="Garamond" w:hAnsi="Garamond"/>
          <w:vertAlign w:val="superscript"/>
        </w:rPr>
        <w:t>f</w:t>
      </w:r>
      <w:r>
        <w:rPr>
          <w:rFonts w:ascii="Garamond" w:hAnsi="Garamond"/>
          <w:vertAlign w:val="superscript"/>
        </w:rPr>
        <w:t xml:space="preserve"> </w:t>
      </w:r>
      <w:r w:rsidRPr="003607CE">
        <w:rPr>
          <w:rFonts w:ascii="Garamond" w:hAnsi="Garamond"/>
        </w:rPr>
        <w:t>Department of Computing and Information Systems, University of Greenwich, Greenwich U</w:t>
      </w:r>
      <w:r>
        <w:rPr>
          <w:rFonts w:ascii="Garamond" w:hAnsi="Garamond"/>
        </w:rPr>
        <w:t>K</w:t>
      </w:r>
    </w:p>
    <w:p w14:paraId="2614DBBF" w14:textId="77777777" w:rsidR="006D0459" w:rsidRDefault="006D0459" w:rsidP="005369C0">
      <w:pPr>
        <w:widowControl w:val="0"/>
        <w:autoSpaceDE w:val="0"/>
        <w:autoSpaceDN w:val="0"/>
        <w:adjustRightInd w:val="0"/>
        <w:spacing w:line="360" w:lineRule="auto"/>
        <w:outlineLvl w:val="0"/>
        <w:rPr>
          <w:rFonts w:ascii="Garamond" w:hAnsi="Garamond"/>
        </w:rPr>
      </w:pPr>
      <w:r w:rsidRPr="00F56D76">
        <w:rPr>
          <w:rFonts w:ascii="Garamond" w:hAnsi="Garamond"/>
          <w:vertAlign w:val="superscript"/>
        </w:rPr>
        <w:t xml:space="preserve">g </w:t>
      </w:r>
      <w:r w:rsidRPr="00C87C0F">
        <w:rPr>
          <w:rFonts w:ascii="Garamond" w:hAnsi="Garamond"/>
        </w:rPr>
        <w:t>Catalaize, Los Angeles, CA</w:t>
      </w:r>
    </w:p>
    <w:p w14:paraId="093EFEF0" w14:textId="77777777" w:rsidR="006D0459" w:rsidRDefault="006D0459" w:rsidP="005369C0">
      <w:pPr>
        <w:widowControl w:val="0"/>
        <w:autoSpaceDE w:val="0"/>
        <w:autoSpaceDN w:val="0"/>
        <w:adjustRightInd w:val="0"/>
        <w:spacing w:line="360" w:lineRule="auto"/>
        <w:outlineLvl w:val="0"/>
        <w:rPr>
          <w:rFonts w:ascii="Garamond" w:eastAsia="Times New Roman" w:hAnsi="Garamond" w:cs="Calibri"/>
          <w:color w:val="000000" w:themeColor="text1"/>
        </w:rPr>
      </w:pPr>
      <w:r w:rsidRPr="00F56D76">
        <w:rPr>
          <w:rFonts w:ascii="Garamond" w:hAnsi="Garamond"/>
          <w:vertAlign w:val="superscript"/>
        </w:rPr>
        <w:t>h</w:t>
      </w:r>
      <w:r>
        <w:rPr>
          <w:rFonts w:ascii="Garamond" w:hAnsi="Garamond"/>
          <w:vertAlign w:val="superscript"/>
        </w:rPr>
        <w:t xml:space="preserve"> </w:t>
      </w:r>
      <w:r w:rsidRPr="00F56D76">
        <w:rPr>
          <w:rFonts w:ascii="Garamond" w:eastAsia="Times New Roman" w:hAnsi="Garamond" w:cs="Calibri"/>
          <w:color w:val="000000" w:themeColor="text1"/>
        </w:rPr>
        <w:t>Departments of Anesthesia and Psychiatry</w:t>
      </w:r>
      <w:r w:rsidRPr="00F56D76">
        <w:rPr>
          <w:rFonts w:ascii="Garamond" w:eastAsia="Times New Roman" w:hAnsi="Garamond" w:cs="Segoe UI"/>
          <w:color w:val="000000" w:themeColor="text1"/>
        </w:rPr>
        <w:t xml:space="preserve">, </w:t>
      </w:r>
      <w:r w:rsidRPr="00F56D76">
        <w:rPr>
          <w:rFonts w:ascii="Garamond" w:eastAsia="Times New Roman" w:hAnsi="Garamond" w:cs="Calibri"/>
          <w:color w:val="000000" w:themeColor="text1"/>
        </w:rPr>
        <w:t>Brigham and Women's Hospital</w:t>
      </w:r>
      <w:r w:rsidRPr="00F56D76">
        <w:rPr>
          <w:rFonts w:ascii="Garamond" w:eastAsia="Times New Roman" w:hAnsi="Garamond" w:cs="Segoe UI"/>
          <w:color w:val="000000" w:themeColor="text1"/>
        </w:rPr>
        <w:t xml:space="preserve">, </w:t>
      </w:r>
      <w:r w:rsidRPr="00F56D76">
        <w:rPr>
          <w:rFonts w:ascii="Garamond" w:eastAsia="Times New Roman" w:hAnsi="Garamond" w:cs="Calibri"/>
          <w:color w:val="000000" w:themeColor="text1"/>
        </w:rPr>
        <w:t>Harvard Medical</w:t>
      </w:r>
    </w:p>
    <w:p w14:paraId="50C6FAC7" w14:textId="77777777" w:rsidR="006D0459" w:rsidRDefault="006D0459" w:rsidP="005369C0">
      <w:pPr>
        <w:widowControl w:val="0"/>
        <w:autoSpaceDE w:val="0"/>
        <w:autoSpaceDN w:val="0"/>
        <w:adjustRightInd w:val="0"/>
        <w:spacing w:line="360" w:lineRule="auto"/>
        <w:outlineLvl w:val="0"/>
        <w:rPr>
          <w:rFonts w:ascii="Garamond" w:eastAsia="Times New Roman" w:hAnsi="Garamond" w:cs="Calibri"/>
          <w:color w:val="000000" w:themeColor="text1"/>
        </w:rPr>
      </w:pPr>
      <w:r w:rsidRPr="00F56D76">
        <w:rPr>
          <w:rFonts w:ascii="Garamond" w:eastAsia="Times New Roman" w:hAnsi="Garamond" w:cs="Calibri"/>
          <w:color w:val="000000" w:themeColor="text1"/>
        </w:rPr>
        <w:t xml:space="preserve"> </w:t>
      </w:r>
      <w:r>
        <w:rPr>
          <w:rFonts w:ascii="Garamond" w:eastAsia="Times New Roman" w:hAnsi="Garamond" w:cs="Calibri"/>
          <w:color w:val="000000" w:themeColor="text1"/>
        </w:rPr>
        <w:t xml:space="preserve"> </w:t>
      </w:r>
      <w:r w:rsidRPr="00F56D76">
        <w:rPr>
          <w:rFonts w:ascii="Garamond" w:eastAsia="Times New Roman" w:hAnsi="Garamond" w:cs="Calibri"/>
          <w:color w:val="000000" w:themeColor="text1"/>
        </w:rPr>
        <w:t>School, Boston, MA</w:t>
      </w:r>
    </w:p>
    <w:p w14:paraId="7C8F89F8" w14:textId="77777777" w:rsidR="006D0459" w:rsidRPr="00F56D76" w:rsidRDefault="006D0459" w:rsidP="005369C0">
      <w:pPr>
        <w:widowControl w:val="0"/>
        <w:autoSpaceDE w:val="0"/>
        <w:autoSpaceDN w:val="0"/>
        <w:adjustRightInd w:val="0"/>
        <w:spacing w:line="360" w:lineRule="auto"/>
        <w:outlineLvl w:val="0"/>
        <w:rPr>
          <w:rFonts w:ascii="Garamond" w:hAnsi="Garamond" w:cs="Calibri"/>
          <w:color w:val="191919"/>
        </w:rPr>
      </w:pPr>
      <w:r>
        <w:rPr>
          <w:rFonts w:ascii="Garamond" w:eastAsia="Times New Roman" w:hAnsi="Garamond" w:cs="Calibri"/>
          <w:color w:val="000000" w:themeColor="text1"/>
          <w:vertAlign w:val="superscript"/>
        </w:rPr>
        <w:t xml:space="preserve">i </w:t>
      </w:r>
      <w:r>
        <w:rPr>
          <w:rFonts w:ascii="Garamond" w:eastAsia="Times New Roman" w:hAnsi="Garamond" w:cs="Calibri"/>
          <w:color w:val="000000" w:themeColor="text1"/>
        </w:rPr>
        <w:t>Department of Medicine, Weill Cornell Medicine, New York, NY</w:t>
      </w:r>
    </w:p>
    <w:p w14:paraId="29ACDB97" w14:textId="77777777" w:rsidR="006D0459" w:rsidRPr="00736728" w:rsidRDefault="006D0459" w:rsidP="005369C0">
      <w:pPr>
        <w:widowControl w:val="0"/>
        <w:autoSpaceDE w:val="0"/>
        <w:autoSpaceDN w:val="0"/>
        <w:adjustRightInd w:val="0"/>
        <w:jc w:val="center"/>
        <w:rPr>
          <w:rFonts w:ascii="Garamond" w:hAnsi="Garamond" w:cs="Calibri"/>
          <w:sz w:val="28"/>
          <w:szCs w:val="28"/>
        </w:rPr>
      </w:pPr>
    </w:p>
    <w:p w14:paraId="67710A4B" w14:textId="77777777" w:rsidR="006D0459" w:rsidRDefault="006D0459" w:rsidP="005369C0">
      <w:pPr>
        <w:widowControl w:val="0"/>
        <w:tabs>
          <w:tab w:val="left" w:pos="360"/>
        </w:tabs>
        <w:spacing w:line="360" w:lineRule="auto"/>
        <w:rPr>
          <w:rFonts w:ascii="Garamond" w:hAnsi="Garamond"/>
        </w:rPr>
      </w:pPr>
      <w:r>
        <w:rPr>
          <w:rFonts w:ascii="Garamond" w:hAnsi="Garamond" w:cs="Georgia"/>
        </w:rPr>
        <w:t>This research</w:t>
      </w:r>
      <w:r w:rsidRPr="00825736">
        <w:rPr>
          <w:rFonts w:ascii="Garamond" w:hAnsi="Garamond" w:cs="Georgia"/>
        </w:rPr>
        <w:t xml:space="preserve"> </w:t>
      </w:r>
      <w:r w:rsidRPr="00825736">
        <w:rPr>
          <w:rFonts w:ascii="Garamond" w:hAnsi="Garamond"/>
        </w:rPr>
        <w:t xml:space="preserve">was supported by a </w:t>
      </w:r>
      <w:r>
        <w:rPr>
          <w:rFonts w:ascii="Garamond" w:hAnsi="Garamond"/>
        </w:rPr>
        <w:t xml:space="preserve">conference </w:t>
      </w:r>
      <w:r w:rsidRPr="00825736">
        <w:rPr>
          <w:rFonts w:ascii="Garamond" w:hAnsi="Garamond"/>
        </w:rPr>
        <w:t>(</w:t>
      </w:r>
      <w:r w:rsidRPr="00825736">
        <w:rPr>
          <w:rFonts w:ascii="Garamond" w:hAnsi="Garamond" w:cs="ArialMT"/>
        </w:rPr>
        <w:t>R13AG053044</w:t>
      </w:r>
      <w:r>
        <w:rPr>
          <w:rFonts w:ascii="Garamond" w:hAnsi="Garamond" w:cs="ArialMT"/>
        </w:rPr>
        <w:t>) and program project (</w:t>
      </w:r>
      <w:r w:rsidRPr="00825736">
        <w:rPr>
          <w:rFonts w:ascii="Garamond" w:hAnsi="Garamond"/>
        </w:rPr>
        <w:t>P30AG022845</w:t>
      </w:r>
      <w:r w:rsidRPr="00825736">
        <w:rPr>
          <w:rFonts w:ascii="Garamond" w:hAnsi="Garamond" w:cs="ArialMT"/>
        </w:rPr>
        <w:t xml:space="preserve">) </w:t>
      </w:r>
      <w:r>
        <w:rPr>
          <w:rFonts w:ascii="Garamond" w:hAnsi="Garamond" w:cs="ArialMT"/>
        </w:rPr>
        <w:t xml:space="preserve">grant </w:t>
      </w:r>
      <w:r w:rsidRPr="00825736">
        <w:rPr>
          <w:rFonts w:ascii="Garamond" w:hAnsi="Garamond"/>
        </w:rPr>
        <w:t>from the National Institute on Aging</w:t>
      </w:r>
      <w:r w:rsidRPr="000F50BE">
        <w:rPr>
          <w:rFonts w:ascii="Garamond" w:hAnsi="Garamond"/>
        </w:rPr>
        <w:t xml:space="preserve"> and </w:t>
      </w:r>
      <w:r w:rsidRPr="005369C0">
        <w:rPr>
          <w:rFonts w:ascii="Garamond" w:hAnsi="Garamond"/>
        </w:rPr>
        <w:t xml:space="preserve">by </w:t>
      </w:r>
      <w:r w:rsidRPr="005369C0">
        <w:rPr>
          <w:rStyle w:val="clsstaticdata1"/>
          <w:rFonts w:ascii="Garamond" w:hAnsi="Garamond"/>
          <w:sz w:val="24"/>
          <w:szCs w:val="24"/>
        </w:rPr>
        <w:t>the Howard and Phyllis Schwartz Philanthropic Fund</w:t>
      </w:r>
      <w:r w:rsidRPr="005369C0">
        <w:rPr>
          <w:rFonts w:ascii="Garamond" w:hAnsi="Garamond"/>
        </w:rPr>
        <w:t>.</w:t>
      </w:r>
      <w:r w:rsidRPr="000F50BE">
        <w:rPr>
          <w:rFonts w:ascii="Garamond" w:hAnsi="Garamond"/>
        </w:rPr>
        <w:t xml:space="preserve">  </w:t>
      </w:r>
    </w:p>
    <w:p w14:paraId="76A4C24C" w14:textId="77777777" w:rsidR="006D0459" w:rsidRDefault="006D0459" w:rsidP="005369C0">
      <w:pPr>
        <w:widowControl w:val="0"/>
        <w:tabs>
          <w:tab w:val="left" w:pos="360"/>
        </w:tabs>
        <w:spacing w:line="360" w:lineRule="auto"/>
        <w:rPr>
          <w:rFonts w:ascii="Garamond" w:hAnsi="Garamond"/>
        </w:rPr>
      </w:pPr>
      <w:r>
        <w:rPr>
          <w:rFonts w:ascii="Garamond" w:hAnsi="Garamond"/>
        </w:rPr>
        <w:t xml:space="preserve">Study sponsors had no role in study design, collection, analysis and interpretation of the data; writing the report; and the decision to submit the report for publication. </w:t>
      </w:r>
    </w:p>
    <w:p w14:paraId="29BEE2C2" w14:textId="77777777" w:rsidR="006D0459" w:rsidRDefault="006D0459" w:rsidP="005369C0">
      <w:pPr>
        <w:widowControl w:val="0"/>
        <w:tabs>
          <w:tab w:val="left" w:pos="360"/>
        </w:tabs>
        <w:spacing w:line="360" w:lineRule="auto"/>
        <w:rPr>
          <w:rFonts w:ascii="Garamond" w:hAnsi="Garamond"/>
        </w:rPr>
      </w:pPr>
      <w:r>
        <w:rPr>
          <w:rFonts w:ascii="Garamond" w:hAnsi="Garamond"/>
        </w:rPr>
        <w:t>The authors have no conflicts of interest to declare.</w:t>
      </w:r>
    </w:p>
    <w:p w14:paraId="1B0DFDC7" w14:textId="77777777" w:rsidR="006D0459" w:rsidRPr="009C7CB3" w:rsidRDefault="006D0459" w:rsidP="005369C0">
      <w:pPr>
        <w:widowControl w:val="0"/>
        <w:tabs>
          <w:tab w:val="left" w:pos="360"/>
        </w:tabs>
        <w:spacing w:line="360" w:lineRule="auto"/>
        <w:rPr>
          <w:rFonts w:ascii="Garamond" w:hAnsi="Garamond"/>
          <w:b/>
        </w:rPr>
      </w:pPr>
      <w:r>
        <w:rPr>
          <w:rFonts w:ascii="Garamond" w:hAnsi="Garamond"/>
        </w:rPr>
        <w:t>Address reprint requests to: Dr. Cary Reid, MD, PhD, Division of Geriatrics and Palliative Medicine, 525 East 68</w:t>
      </w:r>
      <w:r w:rsidRPr="00350750">
        <w:rPr>
          <w:rFonts w:ascii="Garamond" w:hAnsi="Garamond"/>
          <w:vertAlign w:val="superscript"/>
        </w:rPr>
        <w:t>th</w:t>
      </w:r>
      <w:r>
        <w:rPr>
          <w:rFonts w:ascii="Garamond" w:hAnsi="Garamond"/>
        </w:rPr>
        <w:t xml:space="preserve"> Street, #39, Weill Cornell Medical College, New York, NY, 10065</w:t>
      </w:r>
      <w:r w:rsidR="009067A4">
        <w:rPr>
          <w:rFonts w:ascii="Garamond" w:hAnsi="Garamond"/>
        </w:rPr>
        <w:t>.</w:t>
      </w:r>
      <w:r>
        <w:rPr>
          <w:rFonts w:ascii="Garamond" w:hAnsi="Garamond"/>
        </w:rPr>
        <w:t xml:space="preserve"> E-mail: mcr2004@med.cornell.edu</w:t>
      </w:r>
    </w:p>
    <w:p w14:paraId="02CD71D8" w14:textId="77777777" w:rsidR="006D0459" w:rsidRDefault="006D0459" w:rsidP="005369C0">
      <w:pPr>
        <w:rPr>
          <w:rFonts w:ascii="Garamond" w:hAnsi="Garamond" w:cs="SegoeUI"/>
          <w:color w:val="191919"/>
          <w:sz w:val="28"/>
          <w:szCs w:val="28"/>
        </w:rPr>
      </w:pPr>
    </w:p>
    <w:p w14:paraId="1E9527F0" w14:textId="77777777" w:rsidR="006D0459" w:rsidRPr="00350750" w:rsidRDefault="006D0459" w:rsidP="005369C0">
      <w:pPr>
        <w:rPr>
          <w:rFonts w:ascii="Garamond" w:hAnsi="Garamond" w:cs="SegoeUI"/>
          <w:color w:val="191919"/>
        </w:rPr>
      </w:pPr>
      <w:r w:rsidRPr="007239D6">
        <w:rPr>
          <w:rFonts w:ascii="Garamond" w:hAnsi="Garamond" w:cs="SegoeUI"/>
          <w:b/>
          <w:color w:val="191919"/>
        </w:rPr>
        <w:t>Running title</w:t>
      </w:r>
      <w:r w:rsidRPr="00350750">
        <w:rPr>
          <w:rFonts w:ascii="Garamond" w:hAnsi="Garamond" w:cs="SegoeUI"/>
          <w:color w:val="191919"/>
        </w:rPr>
        <w:t>:</w:t>
      </w:r>
      <w:r>
        <w:rPr>
          <w:rFonts w:ascii="Garamond" w:hAnsi="Garamond" w:cs="SegoeUI"/>
          <w:color w:val="191919"/>
        </w:rPr>
        <w:t xml:space="preserve"> A research agenda on mHealth and later-life pain</w:t>
      </w:r>
      <w:r w:rsidRPr="00350750">
        <w:rPr>
          <w:rFonts w:ascii="Garamond" w:hAnsi="Garamond" w:cs="SegoeUI"/>
          <w:color w:val="191919"/>
        </w:rPr>
        <w:br/>
      </w:r>
    </w:p>
    <w:p w14:paraId="5B29EC11" w14:textId="7FC1A841" w:rsidR="006D0459" w:rsidRDefault="006D0459" w:rsidP="005369C0">
      <w:pPr>
        <w:spacing w:line="480" w:lineRule="auto"/>
        <w:rPr>
          <w:rFonts w:ascii="Garamond" w:hAnsi="Garamond" w:cs="Helvetica"/>
          <w:b/>
        </w:rPr>
      </w:pPr>
      <w:r w:rsidRPr="00350750">
        <w:rPr>
          <w:rFonts w:ascii="Garamond" w:hAnsi="Garamond" w:cs="Helvetica"/>
          <w:b/>
        </w:rPr>
        <w:lastRenderedPageBreak/>
        <w:t>Abstract</w:t>
      </w:r>
      <w:r>
        <w:rPr>
          <w:rFonts w:ascii="Garamond" w:hAnsi="Garamond" w:cs="Helvetica"/>
          <w:b/>
        </w:rPr>
        <w:t xml:space="preserve">:  </w:t>
      </w:r>
      <w:r w:rsidRPr="00E72840">
        <w:rPr>
          <w:rFonts w:ascii="Garamond" w:hAnsi="Garamond" w:cs="Times New Roman"/>
        </w:rPr>
        <w:t xml:space="preserve">The rapid </w:t>
      </w:r>
      <w:r>
        <w:rPr>
          <w:rFonts w:ascii="Garamond" w:hAnsi="Garamond" w:cs="Times New Roman"/>
        </w:rPr>
        <w:t>growth</w:t>
      </w:r>
      <w:r w:rsidRPr="00E72840">
        <w:rPr>
          <w:rFonts w:ascii="Garamond" w:hAnsi="Garamond" w:cs="Times New Roman"/>
        </w:rPr>
        <w:t xml:space="preserve"> of mHealth devices holds substantial potential for imp</w:t>
      </w:r>
      <w:r>
        <w:rPr>
          <w:rFonts w:ascii="Garamond" w:hAnsi="Garamond" w:cs="Times New Roman"/>
        </w:rPr>
        <w:t>roving care and care outcomes in all patient populations, including</w:t>
      </w:r>
      <w:r w:rsidRPr="00E72840">
        <w:rPr>
          <w:rFonts w:ascii="Garamond" w:hAnsi="Garamond" w:cs="Times New Roman"/>
        </w:rPr>
        <w:t xml:space="preserve"> older adults with </w:t>
      </w:r>
      <w:r w:rsidRPr="008378E0">
        <w:rPr>
          <w:rFonts w:ascii="Garamond" w:hAnsi="Garamond" w:cs="Times New Roman"/>
        </w:rPr>
        <w:t>pain.</w:t>
      </w:r>
      <w:r>
        <w:rPr>
          <w:rFonts w:ascii="Garamond" w:hAnsi="Garamond" w:cs="Times New Roman"/>
        </w:rPr>
        <w:t xml:space="preserve"> </w:t>
      </w:r>
      <w:r>
        <w:rPr>
          <w:rFonts w:ascii="Garamond" w:eastAsiaTheme="minorHAnsi" w:hAnsi="Garamond" w:cs="ArialMT"/>
        </w:rPr>
        <w:t>However, e</w:t>
      </w:r>
      <w:r w:rsidRPr="00480346">
        <w:rPr>
          <w:rFonts w:ascii="Garamond" w:eastAsiaTheme="minorHAnsi" w:hAnsi="Garamond" w:cs="ArialMT"/>
        </w:rPr>
        <w:t xml:space="preserve">xisting research </w:t>
      </w:r>
      <w:r>
        <w:rPr>
          <w:rFonts w:ascii="Garamond" w:eastAsiaTheme="minorHAnsi" w:hAnsi="Garamond" w:cs="ArialMT"/>
        </w:rPr>
        <w:t>reflects a substantial gap</w:t>
      </w:r>
      <w:r w:rsidRPr="00480346">
        <w:rPr>
          <w:rFonts w:ascii="Garamond" w:eastAsiaTheme="minorHAnsi" w:hAnsi="Garamond" w:cs="ArialMT"/>
        </w:rPr>
        <w:t xml:space="preserve"> in knowledge ab</w:t>
      </w:r>
      <w:r>
        <w:rPr>
          <w:rFonts w:ascii="Garamond" w:eastAsiaTheme="minorHAnsi" w:hAnsi="Garamond" w:cs="ArialMT"/>
        </w:rPr>
        <w:t xml:space="preserve">out how to design, </w:t>
      </w:r>
      <w:r w:rsidRPr="00480346">
        <w:rPr>
          <w:rFonts w:ascii="Garamond" w:eastAsiaTheme="minorHAnsi" w:hAnsi="Garamond" w:cs="ArialMT"/>
        </w:rPr>
        <w:t>evaluate</w:t>
      </w:r>
      <w:r>
        <w:rPr>
          <w:rFonts w:ascii="Garamond" w:eastAsiaTheme="minorHAnsi" w:hAnsi="Garamond" w:cs="ArialMT"/>
        </w:rPr>
        <w:t>, and disseminate</w:t>
      </w:r>
      <w:r w:rsidRPr="00480346">
        <w:rPr>
          <w:rFonts w:ascii="Garamond" w:eastAsiaTheme="minorHAnsi" w:hAnsi="Garamond" w:cs="ArialMT"/>
        </w:rPr>
        <w:t xml:space="preserve"> devices</w:t>
      </w:r>
      <w:r>
        <w:rPr>
          <w:rFonts w:ascii="Garamond" w:eastAsiaTheme="minorHAnsi" w:hAnsi="Garamond" w:cs="ArialMT"/>
        </w:rPr>
        <w:t xml:space="preserve"> to optimally address the many challenges associated with managing pain in older persons. </w:t>
      </w:r>
      <w:r w:rsidRPr="00480346">
        <w:rPr>
          <w:rFonts w:ascii="Garamond" w:hAnsi="Garamond"/>
        </w:rPr>
        <w:t xml:space="preserve">Given these </w:t>
      </w:r>
      <w:r>
        <w:rPr>
          <w:rFonts w:ascii="Garamond" w:hAnsi="Garamond"/>
        </w:rPr>
        <w:t>knowledge gaps</w:t>
      </w:r>
      <w:r w:rsidRPr="00480346">
        <w:rPr>
          <w:rFonts w:ascii="Garamond" w:hAnsi="Garamond"/>
        </w:rPr>
        <w:t xml:space="preserve">, we sought to develop a set of </w:t>
      </w:r>
      <w:r>
        <w:rPr>
          <w:rFonts w:ascii="Garamond" w:hAnsi="Garamond"/>
        </w:rPr>
        <w:t xml:space="preserve">practice-based </w:t>
      </w:r>
      <w:r w:rsidRPr="00480346">
        <w:rPr>
          <w:rFonts w:ascii="Garamond" w:hAnsi="Garamond"/>
        </w:rPr>
        <w:t>research priorities</w:t>
      </w:r>
      <w:r>
        <w:rPr>
          <w:rFonts w:ascii="Garamond" w:hAnsi="Garamond"/>
        </w:rPr>
        <w:t xml:space="preserve"> to facilitate innovation in this</w:t>
      </w:r>
      <w:r w:rsidRPr="00480346">
        <w:rPr>
          <w:rFonts w:ascii="Garamond" w:hAnsi="Garamond"/>
        </w:rPr>
        <w:t xml:space="preserve"> </w:t>
      </w:r>
      <w:r>
        <w:rPr>
          <w:rFonts w:ascii="Garamond" w:hAnsi="Garamond"/>
        </w:rPr>
        <w:t>field</w:t>
      </w:r>
      <w:r w:rsidRPr="00480346">
        <w:rPr>
          <w:rFonts w:ascii="Garamond" w:hAnsi="Garamond"/>
        </w:rPr>
        <w:t xml:space="preserve">.  We employed the </w:t>
      </w:r>
      <w:r>
        <w:rPr>
          <w:rFonts w:ascii="Garamond" w:hAnsi="Garamond"/>
        </w:rPr>
        <w:t>Cornell Research-to-</w:t>
      </w:r>
      <w:r w:rsidRPr="00480346">
        <w:rPr>
          <w:rFonts w:ascii="Garamond" w:hAnsi="Garamond"/>
        </w:rPr>
        <w:t>Pra</w:t>
      </w:r>
      <w:r>
        <w:rPr>
          <w:rFonts w:ascii="Garamond" w:hAnsi="Garamond"/>
        </w:rPr>
        <w:t xml:space="preserve">ctice Consensus </w:t>
      </w:r>
      <w:r w:rsidR="009067A4">
        <w:rPr>
          <w:rFonts w:ascii="Garamond" w:hAnsi="Garamond"/>
        </w:rPr>
        <w:t xml:space="preserve">Workshop </w:t>
      </w:r>
      <w:r>
        <w:rPr>
          <w:rFonts w:ascii="Garamond" w:hAnsi="Garamond"/>
        </w:rPr>
        <w:t xml:space="preserve">Model, </w:t>
      </w:r>
      <w:r w:rsidRPr="00480346">
        <w:rPr>
          <w:rFonts w:ascii="Garamond" w:hAnsi="Garamond"/>
        </w:rPr>
        <w:t>an evi</w:t>
      </w:r>
      <w:r>
        <w:rPr>
          <w:rFonts w:ascii="Garamond" w:hAnsi="Garamond"/>
        </w:rPr>
        <w:t>dence-based approach to generating</w:t>
      </w:r>
      <w:r w:rsidRPr="00480346">
        <w:rPr>
          <w:rFonts w:ascii="Garamond" w:hAnsi="Garamond"/>
        </w:rPr>
        <w:t xml:space="preserve"> </w:t>
      </w:r>
      <w:r>
        <w:rPr>
          <w:rFonts w:ascii="Garamond" w:hAnsi="Garamond"/>
        </w:rPr>
        <w:t xml:space="preserve">research priorities. Sixty participants attended the conference, where stakeholder groups included older adults with pain and their caregivers, behavioral and social scientists, healthcare providers, pain experts, and specialists in mHealth </w:t>
      </w:r>
      <w:r w:rsidRPr="002E7F5E">
        <w:rPr>
          <w:rFonts w:ascii="Garamond" w:hAnsi="Garamond"/>
        </w:rPr>
        <w:t xml:space="preserve">and health policy. Participants generated 13 </w:t>
      </w:r>
      <w:r>
        <w:rPr>
          <w:rFonts w:ascii="Garamond" w:hAnsi="Garamond"/>
        </w:rPr>
        <w:t xml:space="preserve">recommendations classified into two </w:t>
      </w:r>
      <w:r w:rsidRPr="002E7F5E">
        <w:rPr>
          <w:rFonts w:ascii="Garamond" w:hAnsi="Garamond"/>
        </w:rPr>
        <w:t>categories:</w:t>
      </w:r>
      <w:r w:rsidRPr="002E7F5E">
        <w:rPr>
          <w:rFonts w:ascii="Garamond" w:hAnsi="Garamond" w:cs="Helvetica"/>
          <w:b/>
        </w:rPr>
        <w:t xml:space="preserve"> </w:t>
      </w:r>
      <w:r w:rsidRPr="002E7F5E">
        <w:rPr>
          <w:rFonts w:ascii="Garamond" w:hAnsi="Garamond" w:cs="Times New Roman"/>
        </w:rPr>
        <w:t xml:space="preserve">1) Implications for designing research on mHealth </w:t>
      </w:r>
      <w:r w:rsidRPr="007239D6">
        <w:rPr>
          <w:rFonts w:ascii="Garamond" w:hAnsi="Garamond" w:cs="Times New Roman"/>
        </w:rPr>
        <w:t>among older adults</w:t>
      </w:r>
      <w:r>
        <w:rPr>
          <w:rFonts w:ascii="Garamond" w:hAnsi="Garamond" w:cs="Times New Roman"/>
        </w:rPr>
        <w:t xml:space="preserve">, </w:t>
      </w:r>
      <w:r w:rsidRPr="007239D6">
        <w:rPr>
          <w:rFonts w:ascii="Garamond" w:hAnsi="Garamond" w:cs="Times New Roman"/>
        </w:rPr>
        <w:t>e.g., conduct research on ways to enhance accessibility of mHealth tools among diverse groups of older adults with pain, expand research on mHealth sensing applications; and 2) Implementation of mHealth technology into practice and associated regulatory issues</w:t>
      </w:r>
      <w:r>
        <w:rPr>
          <w:rFonts w:ascii="Garamond" w:hAnsi="Garamond" w:cs="Times New Roman"/>
        </w:rPr>
        <w:t xml:space="preserve">, </w:t>
      </w:r>
      <w:r w:rsidRPr="007239D6">
        <w:rPr>
          <w:rFonts w:ascii="Garamond" w:hAnsi="Garamond" w:cs="Times New Roman"/>
        </w:rPr>
        <w:t>e.g., promote research on ways to initiate/sustain patient behavior change, expand research on mHealth cyber-security and privacy issues</w:t>
      </w:r>
      <w:r>
        <w:rPr>
          <w:rFonts w:ascii="Garamond" w:hAnsi="Garamond" w:cs="Times New Roman"/>
        </w:rPr>
        <w:t>.</w:t>
      </w:r>
      <w:r w:rsidRPr="002E7F5E">
        <w:rPr>
          <w:rFonts w:ascii="Garamond" w:hAnsi="Garamond" w:cs="Helvetica"/>
          <w:b/>
        </w:rPr>
        <w:t xml:space="preserve"> </w:t>
      </w:r>
    </w:p>
    <w:p w14:paraId="72523CC3" w14:textId="77777777" w:rsidR="006D0459" w:rsidRDefault="006D0459" w:rsidP="005369C0">
      <w:pPr>
        <w:spacing w:line="480" w:lineRule="auto"/>
        <w:rPr>
          <w:rFonts w:ascii="Garamond" w:hAnsi="Garamond" w:cs="Times New Roman"/>
          <w:color w:val="000000"/>
        </w:rPr>
      </w:pPr>
    </w:p>
    <w:p w14:paraId="57F1F6F4" w14:textId="77777777" w:rsidR="006D0459" w:rsidRDefault="006D0459" w:rsidP="005369C0">
      <w:pPr>
        <w:spacing w:line="480" w:lineRule="auto"/>
        <w:jc w:val="both"/>
        <w:rPr>
          <w:rFonts w:ascii="Garamond" w:hAnsi="Garamond" w:cs="Helvetica"/>
          <w:b/>
        </w:rPr>
      </w:pPr>
      <w:r w:rsidRPr="00350750">
        <w:rPr>
          <w:rFonts w:ascii="Garamond" w:hAnsi="Garamond" w:cs="Helvetica"/>
          <w:b/>
        </w:rPr>
        <w:t>Perspective:</w:t>
      </w:r>
      <w:r>
        <w:rPr>
          <w:rFonts w:ascii="Garamond" w:hAnsi="Garamond" w:cs="Helvetica"/>
          <w:b/>
        </w:rPr>
        <w:t xml:space="preserve">  </w:t>
      </w:r>
      <w:r>
        <w:rPr>
          <w:rFonts w:ascii="Garamond" w:hAnsi="Garamond" w:cs="Times New Roman"/>
          <w:color w:val="000000"/>
        </w:rPr>
        <w:t>T</w:t>
      </w:r>
      <w:r w:rsidRPr="00E72840">
        <w:rPr>
          <w:rFonts w:ascii="Garamond" w:hAnsi="Garamond" w:cs="Times New Roman"/>
          <w:color w:val="000000"/>
        </w:rPr>
        <w:t>his re</w:t>
      </w:r>
      <w:r>
        <w:rPr>
          <w:rFonts w:ascii="Garamond" w:hAnsi="Garamond" w:cs="Times New Roman"/>
          <w:color w:val="000000"/>
        </w:rPr>
        <w:t xml:space="preserve">port highlights a set of research priorities in the area of mHealth and later-life pain </w:t>
      </w:r>
      <w:r>
        <w:rPr>
          <w:rFonts w:ascii="Garamond" w:eastAsia="Calibri" w:hAnsi="Garamond" w:cs="Arial"/>
        </w:rPr>
        <w:t xml:space="preserve">derived from the joint perspectives of researchers and key </w:t>
      </w:r>
      <w:r w:rsidRPr="005104D6">
        <w:rPr>
          <w:rFonts w:ascii="Garamond" w:eastAsia="Calibri" w:hAnsi="Garamond" w:cs="Arial"/>
        </w:rPr>
        <w:t>stakeh</w:t>
      </w:r>
      <w:r>
        <w:rPr>
          <w:rFonts w:ascii="Garamond" w:eastAsia="Calibri" w:hAnsi="Garamond" w:cs="Arial"/>
        </w:rPr>
        <w:t>older groups.</w:t>
      </w:r>
      <w:r>
        <w:rPr>
          <w:rFonts w:ascii="Garamond" w:hAnsi="Garamond" w:cs="Times New Roman"/>
          <w:color w:val="000000"/>
        </w:rPr>
        <w:t xml:space="preserve"> Addressing these priorities could help to improve the quality of care delivered to older adults with pain.</w:t>
      </w:r>
      <w:r w:rsidRPr="00350750">
        <w:rPr>
          <w:rFonts w:ascii="Garamond" w:hAnsi="Garamond" w:cs="Helvetica"/>
          <w:b/>
        </w:rPr>
        <w:t xml:space="preserve"> </w:t>
      </w:r>
    </w:p>
    <w:p w14:paraId="789BE10E" w14:textId="77777777" w:rsidR="006D0459" w:rsidRDefault="006D0459" w:rsidP="005369C0">
      <w:pPr>
        <w:spacing w:line="480" w:lineRule="auto"/>
        <w:jc w:val="both"/>
        <w:rPr>
          <w:rFonts w:ascii="Garamond" w:hAnsi="Garamond" w:cs="Helvetica"/>
          <w:b/>
        </w:rPr>
      </w:pPr>
    </w:p>
    <w:p w14:paraId="0F15BDF1" w14:textId="77777777" w:rsidR="006D0459" w:rsidRPr="00350750" w:rsidRDefault="006D0459" w:rsidP="005369C0">
      <w:pPr>
        <w:spacing w:line="480" w:lineRule="auto"/>
        <w:jc w:val="both"/>
        <w:rPr>
          <w:rFonts w:ascii="Garamond" w:hAnsi="Garamond" w:cs="Helvetica"/>
          <w:b/>
        </w:rPr>
      </w:pPr>
      <w:r>
        <w:rPr>
          <w:rFonts w:ascii="Garamond" w:hAnsi="Garamond" w:cs="Helvetica"/>
          <w:b/>
        </w:rPr>
        <w:t xml:space="preserve">Keywords: </w:t>
      </w:r>
      <w:r>
        <w:rPr>
          <w:rFonts w:ascii="Garamond" w:hAnsi="Garamond" w:cs="Helvetica"/>
          <w:b/>
        </w:rPr>
        <w:tab/>
      </w:r>
      <w:r w:rsidRPr="00076A32">
        <w:rPr>
          <w:rFonts w:ascii="Garamond" w:hAnsi="Garamond" w:cs="Helvetica"/>
        </w:rPr>
        <w:t>Pain</w:t>
      </w:r>
      <w:r>
        <w:rPr>
          <w:rFonts w:ascii="Garamond" w:hAnsi="Garamond" w:cs="Helvetica"/>
          <w:b/>
        </w:rPr>
        <w:t xml:space="preserve">, </w:t>
      </w:r>
      <w:r w:rsidRPr="00076A32">
        <w:rPr>
          <w:rFonts w:ascii="Garamond" w:hAnsi="Garamond" w:cs="Helvetica"/>
        </w:rPr>
        <w:t>Aging, Mobile Health, Research Recommendations</w:t>
      </w:r>
      <w:r w:rsidRPr="00350750">
        <w:rPr>
          <w:rFonts w:ascii="Garamond" w:hAnsi="Garamond" w:cs="Helvetica"/>
          <w:b/>
        </w:rPr>
        <w:br w:type="page"/>
      </w:r>
    </w:p>
    <w:p w14:paraId="502470BC" w14:textId="77777777" w:rsidR="006D0459" w:rsidRPr="00420F6E" w:rsidRDefault="006D0459" w:rsidP="005369C0">
      <w:pPr>
        <w:widowControl w:val="0"/>
        <w:autoSpaceDE w:val="0"/>
        <w:autoSpaceDN w:val="0"/>
        <w:adjustRightInd w:val="0"/>
        <w:spacing w:line="480" w:lineRule="auto"/>
        <w:rPr>
          <w:rFonts w:ascii="Garamond" w:hAnsi="Garamond" w:cs="Helvetica"/>
          <w:b/>
        </w:rPr>
      </w:pPr>
      <w:r w:rsidRPr="00420F6E">
        <w:rPr>
          <w:rFonts w:ascii="Garamond" w:hAnsi="Garamond" w:cs="Helvetica"/>
          <w:b/>
        </w:rPr>
        <w:lastRenderedPageBreak/>
        <w:t>INTRODUCTION</w:t>
      </w:r>
    </w:p>
    <w:p w14:paraId="74AD3CED" w14:textId="6F809064" w:rsidR="006D0459" w:rsidRPr="00B6087C" w:rsidRDefault="006D0459" w:rsidP="005369C0">
      <w:pPr>
        <w:widowControl w:val="0"/>
        <w:autoSpaceDE w:val="0"/>
        <w:autoSpaceDN w:val="0"/>
        <w:adjustRightInd w:val="0"/>
        <w:spacing w:line="480" w:lineRule="auto"/>
        <w:ind w:firstLine="720"/>
        <w:rPr>
          <w:rFonts w:ascii="Garamond" w:hAnsi="Garamond" w:cs="SegoeUI"/>
          <w:vertAlign w:val="superscript"/>
        </w:rPr>
      </w:pPr>
      <w:r w:rsidRPr="00B6087C">
        <w:rPr>
          <w:rFonts w:ascii="Garamond" w:hAnsi="Garamond" w:cs="Helvetica"/>
        </w:rPr>
        <w:t>The health of aging populations in developed countries has not kept pace with improvements in life expectancy.</w:t>
      </w:r>
      <w:r w:rsidRPr="00B6087C">
        <w:rPr>
          <w:rFonts w:ascii="Garamond" w:hAnsi="Garamond" w:cs="Helvetica"/>
          <w:noProof/>
          <w:vertAlign w:val="superscript"/>
        </w:rPr>
        <w:t>9</w:t>
      </w:r>
      <w:r w:rsidRPr="00B6087C">
        <w:rPr>
          <w:rFonts w:ascii="Garamond" w:hAnsi="Garamond" w:cs="Helvetica"/>
        </w:rPr>
        <w:t xml:space="preserve"> Many older adults spend their final years coping with and managing multiple chronic conditions, many of which have pain as a primary symptom</w:t>
      </w:r>
      <w:r w:rsidRPr="00B6087C">
        <w:rPr>
          <w:rFonts w:ascii="Garamond" w:hAnsi="Garamond" w:cs="SegoeUI"/>
        </w:rPr>
        <w:t>.</w:t>
      </w:r>
      <w:r w:rsidRPr="00B6087C">
        <w:rPr>
          <w:rFonts w:ascii="Garamond" w:hAnsi="Garamond" w:cs="SegoeUI"/>
          <w:noProof/>
          <w:vertAlign w:val="superscript"/>
        </w:rPr>
        <w:t>17</w:t>
      </w:r>
      <w:r w:rsidR="000251F2" w:rsidRPr="00B6087C">
        <w:rPr>
          <w:rFonts w:ascii="Garamond" w:hAnsi="Garamond" w:cs="SegoeUI"/>
          <w:noProof/>
          <w:vertAlign w:val="superscript"/>
        </w:rPr>
        <w:t>,29</w:t>
      </w:r>
      <w:r w:rsidRPr="00B6087C">
        <w:rPr>
          <w:rFonts w:ascii="Garamond" w:hAnsi="Garamond" w:cs="SegoeUI"/>
        </w:rPr>
        <w:t xml:space="preserve"> </w:t>
      </w:r>
      <w:r w:rsidRPr="00B6087C">
        <w:rPr>
          <w:rFonts w:ascii="Garamond" w:eastAsia="Calibri" w:hAnsi="Garamond"/>
          <w:lang w:val="en-GB"/>
        </w:rPr>
        <w:t>Later-life pain is associated with substantial disability and suffering</w:t>
      </w:r>
      <w:r w:rsidRPr="00B6087C">
        <w:rPr>
          <w:rFonts w:ascii="Garamond" w:hAnsi="Garamond"/>
          <w:color w:val="000000"/>
          <w:lang w:val="en-GB"/>
        </w:rPr>
        <w:t>.</w:t>
      </w:r>
      <w:r w:rsidRPr="00B6087C">
        <w:rPr>
          <w:rFonts w:ascii="Garamond" w:hAnsi="Garamond"/>
          <w:noProof/>
          <w:color w:val="000000"/>
          <w:vertAlign w:val="superscript"/>
          <w:lang w:val="en-GB"/>
        </w:rPr>
        <w:t>17</w:t>
      </w:r>
      <w:r w:rsidR="000251F2" w:rsidRPr="00B6087C">
        <w:rPr>
          <w:rFonts w:ascii="Garamond" w:hAnsi="Garamond"/>
          <w:noProof/>
          <w:color w:val="000000"/>
          <w:vertAlign w:val="superscript"/>
          <w:lang w:val="en-GB"/>
        </w:rPr>
        <w:t>,29</w:t>
      </w:r>
      <w:r w:rsidRPr="00B6087C">
        <w:rPr>
          <w:rFonts w:ascii="Garamond" w:hAnsi="Garamond"/>
          <w:color w:val="000000"/>
          <w:lang w:val="en-GB"/>
        </w:rPr>
        <w:t xml:space="preserve"> </w:t>
      </w:r>
      <w:r w:rsidRPr="00B6087C">
        <w:rPr>
          <w:rFonts w:ascii="Garamond" w:hAnsi="Garamond" w:cs="SegoeUI"/>
        </w:rPr>
        <w:t>Given the rapid increase in the number of aging adults living with chronic conditions and pain, rising healthcare costs, and shortage of caregivers to help care for affected individuals, experts have asked whether emerging technologies, in particular mobile health (mHealth) devices, can help to address these important and related challenges.</w:t>
      </w:r>
      <w:r w:rsidRPr="00B6087C">
        <w:rPr>
          <w:rFonts w:ascii="Garamond" w:hAnsi="Garamond" w:cs="SegoeUI"/>
          <w:noProof/>
          <w:vertAlign w:val="superscript"/>
        </w:rPr>
        <w:t>13</w:t>
      </w:r>
      <w:r w:rsidR="000251F2" w:rsidRPr="00B6087C">
        <w:rPr>
          <w:rFonts w:ascii="Garamond" w:hAnsi="Garamond" w:cs="SegoeUI"/>
          <w:noProof/>
          <w:vertAlign w:val="superscript"/>
        </w:rPr>
        <w:t>,</w:t>
      </w:r>
      <w:r w:rsidRPr="00B6087C">
        <w:rPr>
          <w:rFonts w:ascii="Garamond" w:hAnsi="Garamond" w:cs="SegoeUI"/>
          <w:noProof/>
          <w:vertAlign w:val="superscript"/>
        </w:rPr>
        <w:t>18</w:t>
      </w:r>
      <w:r w:rsidR="000251F2" w:rsidRPr="00B6087C">
        <w:rPr>
          <w:rFonts w:ascii="Garamond" w:hAnsi="Garamond" w:cs="SegoeUI"/>
          <w:noProof/>
          <w:vertAlign w:val="superscript"/>
        </w:rPr>
        <w:t>,31</w:t>
      </w:r>
      <w:r w:rsidRPr="00B6087C">
        <w:rPr>
          <w:rFonts w:ascii="Garamond" w:hAnsi="Garamond" w:cs="SegoeUI"/>
        </w:rPr>
        <w:t xml:space="preserve">  </w:t>
      </w:r>
      <w:r w:rsidRPr="00B6087C">
        <w:rPr>
          <w:rFonts w:ascii="Garamond" w:eastAsia="Times New Roman" w:hAnsi="Garamond" w:cs="Tahoma"/>
          <w:color w:val="212121"/>
        </w:rPr>
        <w:t>While there are many cha</w:t>
      </w:r>
      <w:r w:rsidR="00CB04B6" w:rsidRPr="00B6087C">
        <w:rPr>
          <w:rFonts w:ascii="Garamond" w:eastAsia="Times New Roman" w:hAnsi="Garamond" w:cs="Tahoma"/>
          <w:color w:val="212121"/>
        </w:rPr>
        <w:t xml:space="preserve">llenges associated </w:t>
      </w:r>
      <w:r w:rsidRPr="00B6087C">
        <w:rPr>
          <w:rFonts w:ascii="Garamond" w:eastAsia="Times New Roman" w:hAnsi="Garamond" w:cs="Tahoma"/>
          <w:color w:val="212121"/>
        </w:rPr>
        <w:t xml:space="preserve">with </w:t>
      </w:r>
      <w:r w:rsidR="00CB04B6" w:rsidRPr="00B6087C">
        <w:rPr>
          <w:rFonts w:ascii="Garamond" w:eastAsia="Times New Roman" w:hAnsi="Garamond" w:cs="Tahoma"/>
          <w:color w:val="212121"/>
        </w:rPr>
        <w:t xml:space="preserve">managing </w:t>
      </w:r>
      <w:r w:rsidRPr="00B6087C">
        <w:rPr>
          <w:rFonts w:ascii="Garamond" w:eastAsia="Times New Roman" w:hAnsi="Garamond" w:cs="Tahoma"/>
          <w:color w:val="212121"/>
        </w:rPr>
        <w:t>pain across the life span, a focus on pain, aging and technology is appropriate</w:t>
      </w:r>
      <w:r w:rsidR="00CB04B6" w:rsidRPr="00B6087C">
        <w:rPr>
          <w:rFonts w:ascii="Garamond" w:eastAsia="Times New Roman" w:hAnsi="Garamond" w:cs="Tahoma"/>
          <w:color w:val="212121"/>
        </w:rPr>
        <w:t xml:space="preserve"> because of its </w:t>
      </w:r>
      <w:r w:rsidRPr="00B6087C">
        <w:rPr>
          <w:rFonts w:ascii="Garamond" w:eastAsia="Times New Roman" w:hAnsi="Garamond" w:cs="Tahoma"/>
          <w:color w:val="212121"/>
        </w:rPr>
        <w:t xml:space="preserve">high population health </w:t>
      </w:r>
      <w:r w:rsidR="00CB04B6" w:rsidRPr="00B6087C">
        <w:rPr>
          <w:rFonts w:ascii="Garamond" w:eastAsia="Times New Roman" w:hAnsi="Garamond" w:cs="Tahoma"/>
          <w:color w:val="212121"/>
        </w:rPr>
        <w:t xml:space="preserve">impact in </w:t>
      </w:r>
      <w:r w:rsidRPr="00B6087C">
        <w:rPr>
          <w:rFonts w:ascii="Garamond" w:eastAsia="Times New Roman" w:hAnsi="Garamond" w:cs="Tahoma"/>
          <w:color w:val="212121"/>
        </w:rPr>
        <w:t>later-life and because age is an established risk factor for underassessing and under-treating pain.</w:t>
      </w:r>
      <w:r w:rsidR="000251F2" w:rsidRPr="00B6087C">
        <w:rPr>
          <w:rFonts w:ascii="Garamond" w:eastAsia="Times New Roman" w:hAnsi="Garamond" w:cs="Tahoma"/>
          <w:noProof/>
          <w:color w:val="212121"/>
          <w:vertAlign w:val="superscript"/>
        </w:rPr>
        <w:t>8,11,</w:t>
      </w:r>
      <w:r w:rsidRPr="00B6087C">
        <w:rPr>
          <w:rFonts w:ascii="Garamond" w:eastAsia="Times New Roman" w:hAnsi="Garamond" w:cs="Tahoma"/>
          <w:noProof/>
          <w:color w:val="212121"/>
          <w:vertAlign w:val="superscript"/>
        </w:rPr>
        <w:t>20</w:t>
      </w:r>
      <w:r w:rsidR="000251F2" w:rsidRPr="00B6087C" w:rsidDel="00221D8F">
        <w:rPr>
          <w:rFonts w:ascii="Garamond" w:eastAsia="Times New Roman" w:hAnsi="Garamond" w:cs="Tahoma"/>
          <w:color w:val="212121"/>
          <w:vertAlign w:val="superscript"/>
        </w:rPr>
        <w:t xml:space="preserve"> </w:t>
      </w:r>
    </w:p>
    <w:p w14:paraId="35073C98" w14:textId="439D4ADE" w:rsidR="006D0459" w:rsidRPr="00B6087C" w:rsidRDefault="006D0459" w:rsidP="005369C0">
      <w:pPr>
        <w:widowControl w:val="0"/>
        <w:autoSpaceDE w:val="0"/>
        <w:autoSpaceDN w:val="0"/>
        <w:adjustRightInd w:val="0"/>
        <w:spacing w:line="480" w:lineRule="auto"/>
        <w:ind w:firstLine="720"/>
        <w:rPr>
          <w:rFonts w:ascii="Garamond" w:eastAsiaTheme="minorHAnsi" w:hAnsi="Garamond" w:cs="ArialMT"/>
        </w:rPr>
      </w:pPr>
      <w:r w:rsidRPr="00B6087C">
        <w:rPr>
          <w:rFonts w:ascii="Garamond" w:hAnsi="Garamond" w:cs="SegoeUI"/>
          <w:color w:val="191919"/>
        </w:rPr>
        <w:t>The World Health Organization defines mHealth as the “practice of medical and public health through the use of mobile devices.”</w:t>
      </w:r>
      <w:r w:rsidRPr="00B6087C">
        <w:rPr>
          <w:rFonts w:ascii="Garamond" w:hAnsi="Garamond" w:cs="SegoeUI"/>
          <w:noProof/>
          <w:color w:val="191919"/>
          <w:vertAlign w:val="superscript"/>
        </w:rPr>
        <w:t>33</w:t>
      </w:r>
      <w:r w:rsidRPr="00B6087C">
        <w:rPr>
          <w:rFonts w:ascii="Garamond" w:hAnsi="Garamond" w:cs="SegoeUI"/>
          <w:color w:val="191919"/>
        </w:rPr>
        <w:t xml:space="preserve"> mHealth tools include applications (apps) stored on devices such as smartphones, tablets, and wearables. </w:t>
      </w:r>
      <w:r w:rsidRPr="00B6087C">
        <w:rPr>
          <w:rFonts w:ascii="Garamond" w:eastAsiaTheme="minorHAnsi" w:hAnsi="Garamond" w:cs="ArialMT"/>
        </w:rPr>
        <w:t>Sensors on smartphones and wearables (e.g.</w:t>
      </w:r>
      <w:r w:rsidR="009067A4" w:rsidRPr="00B6087C">
        <w:rPr>
          <w:rFonts w:ascii="Garamond" w:eastAsiaTheme="minorHAnsi" w:hAnsi="Garamond" w:cs="ArialMT"/>
        </w:rPr>
        <w:t>,</w:t>
      </w:r>
      <w:r w:rsidRPr="00B6087C">
        <w:rPr>
          <w:rFonts w:ascii="Garamond" w:eastAsiaTheme="minorHAnsi" w:hAnsi="Garamond" w:cs="ArialMT"/>
        </w:rPr>
        <w:t xml:space="preserve"> Fitbit, Apple Watch) include GPS, accelerometer, compass, gyroscope, microphone, and camera capabilities and can automatically monitor outcomes relevant to the pain experience, including movement and sleep patterns. In addition, adoption of sensor-laden smartphones and wearables has grown rapidly. By 2020, almost 87% of North Americans and 82% of Europeans will use mobile phones;</w:t>
      </w:r>
      <w:r w:rsidRPr="00B6087C">
        <w:rPr>
          <w:rFonts w:ascii="Garamond" w:eastAsiaTheme="minorHAnsi" w:hAnsi="Garamond" w:cs="ArialMT"/>
          <w:noProof/>
          <w:vertAlign w:val="superscript"/>
        </w:rPr>
        <w:t>28</w:t>
      </w:r>
      <w:r w:rsidRPr="00B6087C">
        <w:rPr>
          <w:rFonts w:ascii="Garamond" w:eastAsiaTheme="minorHAnsi" w:hAnsi="Garamond" w:cs="ArialMT"/>
        </w:rPr>
        <w:t xml:space="preserve"> many will employ the devices to track health indicators. </w:t>
      </w:r>
    </w:p>
    <w:p w14:paraId="71AC6DA8" w14:textId="77777777" w:rsidR="006D0459" w:rsidRPr="00B6087C" w:rsidRDefault="006D0459" w:rsidP="005369C0">
      <w:pPr>
        <w:widowControl w:val="0"/>
        <w:autoSpaceDE w:val="0"/>
        <w:autoSpaceDN w:val="0"/>
        <w:adjustRightInd w:val="0"/>
        <w:spacing w:line="480" w:lineRule="auto"/>
        <w:ind w:firstLine="720"/>
        <w:rPr>
          <w:rFonts w:ascii="Garamond" w:eastAsiaTheme="minorHAnsi" w:hAnsi="Garamond" w:cs="ArialMT"/>
        </w:rPr>
      </w:pPr>
      <w:r w:rsidRPr="00B6087C">
        <w:rPr>
          <w:rFonts w:ascii="Garamond" w:eastAsiaTheme="minorHAnsi" w:hAnsi="Garamond" w:cs="ArialMT"/>
        </w:rPr>
        <w:t>Although research has demonstrated the feasibility of using mHealth devices to enhance medication adherence,</w:t>
      </w:r>
      <w:r w:rsidR="000251F2" w:rsidRPr="00B6087C">
        <w:rPr>
          <w:rFonts w:ascii="Garamond" w:eastAsiaTheme="minorHAnsi" w:hAnsi="Garamond" w:cs="ArialMT"/>
          <w:noProof/>
          <w:vertAlign w:val="superscript"/>
        </w:rPr>
        <w:t xml:space="preserve">15 </w:t>
      </w:r>
      <w:r w:rsidRPr="00B6087C">
        <w:rPr>
          <w:rFonts w:ascii="Garamond" w:eastAsiaTheme="minorHAnsi" w:hAnsi="Garamond" w:cs="ArialMT"/>
          <w:vertAlign w:val="superscript"/>
        </w:rPr>
        <w:t xml:space="preserve"> </w:t>
      </w:r>
      <w:r w:rsidRPr="00B6087C">
        <w:rPr>
          <w:rFonts w:ascii="Garamond" w:eastAsiaTheme="minorHAnsi" w:hAnsi="Garamond" w:cs="ArialMT"/>
        </w:rPr>
        <w:t>support behavior change,</w:t>
      </w:r>
      <w:r w:rsidRPr="00B6087C">
        <w:rPr>
          <w:rFonts w:ascii="Garamond" w:eastAsiaTheme="minorHAnsi" w:hAnsi="Garamond" w:cs="ArialMT"/>
          <w:noProof/>
          <w:vertAlign w:val="superscript"/>
        </w:rPr>
        <w:t>3</w:t>
      </w:r>
      <w:r w:rsidRPr="00B6087C">
        <w:rPr>
          <w:rFonts w:ascii="Garamond" w:eastAsiaTheme="minorHAnsi" w:hAnsi="Garamond" w:cs="ArialMT"/>
        </w:rPr>
        <w:t xml:space="preserve"> promote exercise,</w:t>
      </w:r>
      <w:r w:rsidRPr="00B6087C">
        <w:rPr>
          <w:rFonts w:ascii="Garamond" w:eastAsiaTheme="minorHAnsi" w:hAnsi="Garamond" w:cs="ArialMT"/>
          <w:noProof/>
          <w:vertAlign w:val="superscript"/>
        </w:rPr>
        <w:t>21</w:t>
      </w:r>
      <w:r w:rsidRPr="00B6087C">
        <w:rPr>
          <w:rFonts w:ascii="Garamond" w:eastAsiaTheme="minorHAnsi" w:hAnsi="Garamond" w:cs="ArialMT"/>
        </w:rPr>
        <w:t xml:space="preserve"> and support self-management</w:t>
      </w:r>
      <w:r w:rsidRPr="00B6087C">
        <w:rPr>
          <w:rFonts w:ascii="Garamond" w:eastAsiaTheme="minorHAnsi" w:hAnsi="Garamond" w:cs="ArialMT"/>
          <w:noProof/>
          <w:vertAlign w:val="superscript"/>
        </w:rPr>
        <w:t>12</w:t>
      </w:r>
      <w:r w:rsidRPr="00B6087C">
        <w:rPr>
          <w:rFonts w:ascii="Garamond" w:eastAsiaTheme="minorHAnsi" w:hAnsi="Garamond" w:cs="ArialMT"/>
        </w:rPr>
        <w:t xml:space="preserve"> among older adults, mHealth has had limited reach and impact in pain care</w:t>
      </w:r>
      <w:r w:rsidR="00FA1FE4" w:rsidRPr="00B6087C">
        <w:rPr>
          <w:rFonts w:ascii="Garamond" w:eastAsiaTheme="minorHAnsi" w:hAnsi="Garamond" w:cs="ArialMT"/>
        </w:rPr>
        <w:t>.</w:t>
      </w:r>
      <w:r w:rsidR="00FA1FE4" w:rsidRPr="00B6087C">
        <w:rPr>
          <w:rFonts w:ascii="Garamond" w:eastAsiaTheme="minorHAnsi" w:hAnsi="Garamond" w:cs="ArialMT"/>
          <w:vertAlign w:val="superscript"/>
        </w:rPr>
        <w:t>5,7,27,32</w:t>
      </w:r>
      <w:r w:rsidR="00FA1FE4" w:rsidRPr="00B6087C">
        <w:rPr>
          <w:rFonts w:ascii="Garamond" w:eastAsiaTheme="minorHAnsi" w:hAnsi="Garamond" w:cs="ArialMT"/>
        </w:rPr>
        <w:t xml:space="preserve"> </w:t>
      </w:r>
      <w:r w:rsidRPr="00B6087C">
        <w:rPr>
          <w:rFonts w:ascii="Garamond" w:eastAsiaTheme="minorHAnsi" w:hAnsi="Garamond" w:cs="ArialMT"/>
        </w:rPr>
        <w:t>Existing research reflects a substantial gap in knowledge about how to design, evaluate, and disseminate devices to address the many challenges associated with managing pain in older persons. This research indicates limited to no involvement of healthcare providers, no end-user involvement in design and application development, limited device uptake in clinical settings, multiple barriers to routine device use at the patient and provider level, and scant evidence that mHealth devices improve outcomes.</w:t>
      </w:r>
      <w:r w:rsidR="00FA1FE4" w:rsidRPr="00B6087C">
        <w:rPr>
          <w:rFonts w:ascii="Garamond" w:eastAsiaTheme="minorHAnsi" w:hAnsi="Garamond" w:cs="ArialMT"/>
          <w:vertAlign w:val="superscript"/>
        </w:rPr>
        <w:t>5,7,27,32</w:t>
      </w:r>
      <w:r w:rsidR="00FA1FE4" w:rsidRPr="00B6087C">
        <w:rPr>
          <w:rFonts w:ascii="Garamond" w:eastAsiaTheme="minorHAnsi" w:hAnsi="Garamond" w:cs="ArialMT"/>
        </w:rPr>
        <w:t xml:space="preserve"> </w:t>
      </w:r>
      <w:r w:rsidRPr="00B6087C">
        <w:rPr>
          <w:rFonts w:ascii="Garamond" w:eastAsiaTheme="minorHAnsi" w:hAnsi="Garamond" w:cs="ArialMT"/>
        </w:rPr>
        <w:t>Nevertheless, other research demonstrates that older adults with chronic pain and their healthcare providers are interested in trying mHealth devices to reduce pain and improve outcomes</w:t>
      </w:r>
      <w:r w:rsidR="00FA1FE4" w:rsidRPr="00B6087C">
        <w:rPr>
          <w:rFonts w:ascii="Garamond" w:eastAsiaTheme="minorHAnsi" w:hAnsi="Garamond" w:cs="ArialMT"/>
        </w:rPr>
        <w:t>.</w:t>
      </w:r>
      <w:r w:rsidR="00FA1FE4" w:rsidRPr="00B6087C">
        <w:rPr>
          <w:rFonts w:ascii="Garamond" w:eastAsiaTheme="minorHAnsi" w:hAnsi="Garamond" w:cs="ArialMT"/>
          <w:noProof/>
          <w:vertAlign w:val="superscript"/>
        </w:rPr>
        <w:t>16,</w:t>
      </w:r>
      <w:r w:rsidRPr="00B6087C">
        <w:rPr>
          <w:rFonts w:ascii="Garamond" w:eastAsiaTheme="minorHAnsi" w:hAnsi="Garamond" w:cs="ArialMT"/>
          <w:noProof/>
          <w:vertAlign w:val="superscript"/>
        </w:rPr>
        <w:t>24</w:t>
      </w:r>
      <w:r w:rsidRPr="00B6087C">
        <w:rPr>
          <w:rFonts w:ascii="Garamond" w:eastAsiaTheme="minorHAnsi" w:hAnsi="Garamond" w:cs="ArialMT"/>
        </w:rPr>
        <w:t xml:space="preserve"> </w:t>
      </w:r>
    </w:p>
    <w:p w14:paraId="7EF7A915" w14:textId="43F39C10" w:rsidR="006D0459" w:rsidRPr="00B6087C" w:rsidRDefault="006D0459" w:rsidP="005369C0">
      <w:pPr>
        <w:pStyle w:val="ListParagraph"/>
        <w:spacing w:line="480" w:lineRule="auto"/>
        <w:ind w:left="0" w:firstLine="720"/>
        <w:rPr>
          <w:rFonts w:ascii="Garamond" w:hAnsi="Garamond"/>
        </w:rPr>
      </w:pPr>
      <w:r w:rsidRPr="00B6087C">
        <w:rPr>
          <w:rFonts w:ascii="Garamond" w:hAnsi="Garamond"/>
        </w:rPr>
        <w:t>Given these limitations in the knowledge base, we sought to develop a set of practice-based research priorities to facilitate innovation in this field.  We employed the Cornell Research-to-Practice Consensus Workshop Model,</w:t>
      </w:r>
      <w:r w:rsidRPr="00B6087C">
        <w:rPr>
          <w:rFonts w:ascii="Garamond" w:hAnsi="Garamond"/>
          <w:noProof/>
          <w:vertAlign w:val="superscript"/>
        </w:rPr>
        <w:t>30</w:t>
      </w:r>
      <w:r w:rsidRPr="00B6087C">
        <w:rPr>
          <w:rFonts w:ascii="Garamond" w:hAnsi="Garamond"/>
        </w:rPr>
        <w:t xml:space="preserve"> an evidence-based approach to generating research priorities.</w:t>
      </w:r>
      <w:r w:rsidR="00FA1FE4" w:rsidRPr="00B6087C">
        <w:rPr>
          <w:rFonts w:ascii="Garamond" w:hAnsi="Garamond"/>
          <w:noProof/>
          <w:vertAlign w:val="superscript"/>
        </w:rPr>
        <w:t>19</w:t>
      </w:r>
      <w:r w:rsidR="00DF462F" w:rsidRPr="00B6087C">
        <w:rPr>
          <w:rFonts w:ascii="Garamond" w:hAnsi="Garamond"/>
          <w:noProof/>
          <w:vertAlign w:val="superscript"/>
        </w:rPr>
        <w:t>,25,26</w:t>
      </w:r>
      <w:r w:rsidRPr="00B6087C">
        <w:rPr>
          <w:rFonts w:ascii="Garamond" w:hAnsi="Garamond"/>
        </w:rPr>
        <w:t xml:space="preserve"> This model harnesses the collective wisdom of conference participants by engaging them in a process of generating research priorities that honors scientific expertise, practice wisdom, and experiential knowledge. </w:t>
      </w:r>
      <w:r w:rsidRPr="00B6087C">
        <w:t xml:space="preserve"> </w:t>
      </w:r>
      <w:r w:rsidRPr="00B6087C">
        <w:rPr>
          <w:rFonts w:ascii="Garamond" w:hAnsi="Garamond" w:cs="Times New Roman"/>
        </w:rPr>
        <w:t>The goal of the model is to generate a research agenda that fits more closely with the needs of key stakeholder groups, e.g., patients and providers.</w:t>
      </w:r>
      <w:r w:rsidR="00FA1FE4" w:rsidRPr="00B6087C">
        <w:rPr>
          <w:rFonts w:ascii="Garamond" w:hAnsi="Garamond" w:cs="Times New Roman"/>
          <w:noProof/>
          <w:vertAlign w:val="superscript"/>
        </w:rPr>
        <w:t>25</w:t>
      </w:r>
      <w:r w:rsidRPr="00B6087C">
        <w:rPr>
          <w:rFonts w:ascii="Garamond" w:hAnsi="Garamond" w:cs="Times New Roman"/>
        </w:rPr>
        <w:t xml:space="preserve"> </w:t>
      </w:r>
    </w:p>
    <w:p w14:paraId="7E1E8FEC" w14:textId="77777777" w:rsidR="006D0459" w:rsidRPr="00B6087C" w:rsidRDefault="006D0459" w:rsidP="005369C0">
      <w:pPr>
        <w:spacing w:line="480" w:lineRule="auto"/>
        <w:contextualSpacing/>
        <w:outlineLvl w:val="0"/>
        <w:rPr>
          <w:rFonts w:ascii="Garamond" w:hAnsi="Garamond" w:cs="Times New Roman"/>
          <w:b/>
        </w:rPr>
      </w:pPr>
      <w:r w:rsidRPr="00B6087C">
        <w:rPr>
          <w:rFonts w:ascii="Garamond" w:hAnsi="Garamond" w:cs="Times New Roman"/>
          <w:b/>
        </w:rPr>
        <w:t>METHODS</w:t>
      </w:r>
    </w:p>
    <w:p w14:paraId="75845654" w14:textId="77777777" w:rsidR="006D0459" w:rsidRPr="00B6087C" w:rsidRDefault="006D0459" w:rsidP="005369C0">
      <w:pPr>
        <w:spacing w:line="480" w:lineRule="auto"/>
        <w:rPr>
          <w:rFonts w:ascii="Garamond" w:hAnsi="Garamond" w:cs="Times New Roman"/>
          <w:vertAlign w:val="superscript"/>
        </w:rPr>
      </w:pPr>
      <w:r w:rsidRPr="00B6087C">
        <w:rPr>
          <w:rFonts w:ascii="Garamond" w:hAnsi="Garamond" w:cs="Times New Roman"/>
        </w:rPr>
        <w:tab/>
        <w:t xml:space="preserve">The Cornell </w:t>
      </w:r>
      <w:r w:rsidR="00D57E51" w:rsidRPr="00B6087C">
        <w:rPr>
          <w:rFonts w:ascii="Garamond" w:hAnsi="Garamond" w:cs="Times New Roman"/>
        </w:rPr>
        <w:t>m</w:t>
      </w:r>
      <w:r w:rsidRPr="00B6087C">
        <w:rPr>
          <w:rFonts w:ascii="Garamond" w:hAnsi="Garamond" w:cs="Times New Roman"/>
        </w:rPr>
        <w:t>odel has been published</w:t>
      </w:r>
      <w:r w:rsidRPr="00B6087C">
        <w:rPr>
          <w:rFonts w:ascii="Garamond" w:hAnsi="Garamond" w:cs="Times New Roman"/>
          <w:noProof/>
          <w:vertAlign w:val="superscript"/>
        </w:rPr>
        <w:t>30</w:t>
      </w:r>
      <w:r w:rsidRPr="00B6087C">
        <w:rPr>
          <w:rFonts w:ascii="Garamond" w:hAnsi="Garamond" w:cs="Times New Roman"/>
        </w:rPr>
        <w:t xml:space="preserve"> and methods are available online;</w:t>
      </w:r>
      <w:r w:rsidRPr="00B6087C">
        <w:rPr>
          <w:rFonts w:ascii="Garamond" w:hAnsi="Garamond" w:cs="Times New Roman"/>
          <w:noProof/>
          <w:vertAlign w:val="superscript"/>
        </w:rPr>
        <w:t>6</w:t>
      </w:r>
    </w:p>
    <w:p w14:paraId="70F0CF9F" w14:textId="73B6FAEF" w:rsidR="006D0459" w:rsidRPr="00B6087C" w:rsidRDefault="006D0459" w:rsidP="005369C0">
      <w:pPr>
        <w:spacing w:line="480" w:lineRule="auto"/>
        <w:rPr>
          <w:rFonts w:ascii="Garamond" w:hAnsi="Garamond" w:cs="Times New Roman"/>
          <w:iCs/>
        </w:rPr>
      </w:pPr>
      <w:r w:rsidRPr="00B6087C">
        <w:rPr>
          <w:rFonts w:ascii="Garamond" w:hAnsi="Garamond" w:cs="Times New Roman"/>
        </w:rPr>
        <w:t xml:space="preserve"> we therefore summarize briefly the method’s steps below. The Weill Cornell Institutional Review Board approved the study and all participants provided informed consent.</w:t>
      </w:r>
    </w:p>
    <w:p w14:paraId="6159F162" w14:textId="77777777" w:rsidR="006D0459" w:rsidRPr="00B6087C" w:rsidRDefault="006D0459" w:rsidP="005369C0">
      <w:pPr>
        <w:spacing w:line="480" w:lineRule="auto"/>
        <w:outlineLvl w:val="0"/>
        <w:rPr>
          <w:rFonts w:ascii="Garamond" w:hAnsi="Garamond" w:cs="Times New Roman"/>
        </w:rPr>
      </w:pPr>
      <w:r w:rsidRPr="00B6087C">
        <w:rPr>
          <w:rFonts w:ascii="Garamond" w:hAnsi="Garamond" w:cs="Times New Roman"/>
          <w:i/>
          <w:iCs/>
        </w:rPr>
        <w:t>Non-Technical Background Report</w:t>
      </w:r>
    </w:p>
    <w:p w14:paraId="528E28B9" w14:textId="77777777" w:rsidR="006D0459" w:rsidRPr="00B6087C" w:rsidRDefault="006D0459" w:rsidP="005369C0">
      <w:pPr>
        <w:spacing w:line="480" w:lineRule="auto"/>
        <w:ind w:firstLine="720"/>
        <w:rPr>
          <w:rFonts w:ascii="Garamond" w:hAnsi="Garamond" w:cs="Times New Roman"/>
        </w:rPr>
      </w:pPr>
      <w:r w:rsidRPr="00B6087C">
        <w:rPr>
          <w:rFonts w:ascii="Garamond" w:hAnsi="Garamond" w:cs="Times New Roman"/>
        </w:rPr>
        <w:t>The project team first developed a background report that summarized major issues in the area of mHealth and later-life pain care including recommendations for future research. The investigative team</w:t>
      </w:r>
      <w:r w:rsidRPr="00B6087C">
        <w:rPr>
          <w:rFonts w:ascii="Garamond" w:hAnsi="Garamond"/>
        </w:rPr>
        <w:t xml:space="preserve"> searched MEDLINE for English-language articles published from January 1 2000 through March 1</w:t>
      </w:r>
      <w:r w:rsidRPr="00B6087C">
        <w:rPr>
          <w:rFonts w:ascii="Garamond" w:hAnsi="Garamond"/>
          <w:vertAlign w:val="superscript"/>
        </w:rPr>
        <w:t>st</w:t>
      </w:r>
      <w:r w:rsidRPr="00B6087C">
        <w:rPr>
          <w:rFonts w:ascii="Garamond" w:hAnsi="Garamond"/>
        </w:rPr>
        <w:t xml:space="preserve"> 2017 using a variety of search terms to identify relevant articles. </w:t>
      </w:r>
      <w:r w:rsidRPr="00B6087C">
        <w:rPr>
          <w:rFonts w:ascii="Garamond" w:hAnsi="Garamond" w:cs="Times New Roman"/>
        </w:rPr>
        <w:t>The report, sent to invitees before the conference, aimed to provide participants with a common knowledge foundation and stimulate informed discussions regarding existing knowledge gaps. In preparation for the conference, invitees were encouraged to read the report paying attention to three questions:</w:t>
      </w:r>
      <w:r w:rsidRPr="00B6087C">
        <w:rPr>
          <w:rFonts w:ascii="Garamond" w:hAnsi="Garamond"/>
        </w:rPr>
        <w:t xml:space="preserve"> (1) Do you agree with the knowledge gaps listed in the report?; (2) Do you disagree with any of the researchers’ priorities for new knowledge?; and (3) Based on your own experience, what are the most important areas where knowledge is limited? </w:t>
      </w:r>
    </w:p>
    <w:p w14:paraId="32BD1F2B" w14:textId="77777777" w:rsidR="006D0459" w:rsidRPr="00B6087C" w:rsidRDefault="006D0459" w:rsidP="005369C0">
      <w:pPr>
        <w:spacing w:line="480" w:lineRule="auto"/>
        <w:contextualSpacing/>
        <w:outlineLvl w:val="0"/>
        <w:rPr>
          <w:rFonts w:ascii="Garamond" w:hAnsi="Garamond" w:cs="Times New Roman"/>
          <w:i/>
          <w:iCs/>
        </w:rPr>
      </w:pPr>
      <w:r w:rsidRPr="00B6087C">
        <w:rPr>
          <w:rFonts w:ascii="Garamond" w:hAnsi="Garamond" w:cs="Times New Roman"/>
          <w:i/>
          <w:iCs/>
        </w:rPr>
        <w:t>Conference Participants</w:t>
      </w:r>
    </w:p>
    <w:p w14:paraId="1C6185EC" w14:textId="77777777" w:rsidR="006D0459" w:rsidRPr="00B6087C" w:rsidRDefault="006D0459" w:rsidP="005369C0">
      <w:pPr>
        <w:spacing w:line="480" w:lineRule="auto"/>
        <w:ind w:firstLine="720"/>
        <w:rPr>
          <w:rFonts w:ascii="Garamond" w:eastAsia="Times New Roman" w:hAnsi="Garamond" w:cs="Tahoma"/>
          <w:color w:val="000000"/>
          <w:shd w:val="clear" w:color="auto" w:fill="FFFFFF"/>
        </w:rPr>
      </w:pPr>
      <w:r w:rsidRPr="00B6087C">
        <w:rPr>
          <w:rFonts w:ascii="Garamond" w:eastAsia="Times New Roman" w:hAnsi="Garamond" w:cs="Tahoma"/>
          <w:color w:val="000000"/>
          <w:shd w:val="clear" w:color="auto" w:fill="FFFFFF"/>
        </w:rPr>
        <w:t xml:space="preserve">We employed purposive sampling, a non-random sampling technique used to identify and select individuals or groups of individuals with particular knowledge of or experience with a given condition. Investigators used their respective networks to identify prospective participants with a goal of assembling a diverse sample with respect to age, gender, and race/ethnicity.  </w:t>
      </w:r>
      <w:r w:rsidRPr="00B6087C">
        <w:rPr>
          <w:rFonts w:ascii="Garamond" w:hAnsi="Garamond" w:cs="Times New Roman"/>
        </w:rPr>
        <w:t>Prospective participants (N=72) were contacted by email or telephone, invited to participate, and asked to recommend additional individuals to invite. Project team members invited individuals iteratively until reaching approximately 70 participants, suggested by the method’s originators</w:t>
      </w:r>
      <w:r w:rsidRPr="00B6087C">
        <w:rPr>
          <w:rFonts w:ascii="Garamond" w:hAnsi="Garamond" w:cs="Times New Roman"/>
          <w:noProof/>
          <w:vertAlign w:val="superscript"/>
        </w:rPr>
        <w:t>6</w:t>
      </w:r>
      <w:r w:rsidRPr="00B6087C">
        <w:rPr>
          <w:rFonts w:ascii="Garamond" w:hAnsi="Garamond" w:cs="Times New Roman"/>
        </w:rPr>
        <w:t xml:space="preserve"> as an optimal number for an effective conference process.</w:t>
      </w:r>
    </w:p>
    <w:p w14:paraId="645B6548" w14:textId="77777777" w:rsidR="006D0459" w:rsidRPr="00B6087C" w:rsidRDefault="006D0459" w:rsidP="005369C0">
      <w:pPr>
        <w:spacing w:line="480" w:lineRule="auto"/>
        <w:ind w:firstLine="720"/>
        <w:contextualSpacing/>
        <w:rPr>
          <w:rFonts w:ascii="Garamond" w:hAnsi="Garamond" w:cs="Times New Roman"/>
        </w:rPr>
      </w:pPr>
      <w:r w:rsidRPr="00B6087C">
        <w:rPr>
          <w:rFonts w:ascii="Garamond" w:hAnsi="Garamond" w:cs="Times New Roman"/>
        </w:rPr>
        <w:t xml:space="preserve">Eligibility guidelines for the 6 stakeholder groups were: 1) Older patients had to have chronic non-cancer pain (pain on most days over the previous 3 months), while caregivers were spouses/significant others of invited patients; 2) Behavioral and social scientists were selected based on their expertise with aging issues; 3) Healthcare providers had to be involved in direct service provision, with familiarity in providing care to older adults; 4) Pain experts had to have expertise in pain care delivery or researching pain; 5) Technology experts had to have expertise in developing, evaluating and/or marketing mHealth products; while 6) Health policy experts had expertise in developing and/or implementing health policy.  </w:t>
      </w:r>
    </w:p>
    <w:p w14:paraId="21495DFD" w14:textId="77777777" w:rsidR="006D0459" w:rsidRPr="00B6087C" w:rsidRDefault="006D0459" w:rsidP="005369C0">
      <w:pPr>
        <w:spacing w:line="480" w:lineRule="auto"/>
        <w:ind w:firstLine="720"/>
        <w:contextualSpacing/>
        <w:rPr>
          <w:rFonts w:ascii="Garamond" w:hAnsi="Garamond" w:cs="Times New Roman"/>
        </w:rPr>
      </w:pPr>
      <w:r w:rsidRPr="00B6087C">
        <w:rPr>
          <w:rFonts w:ascii="Garamond" w:hAnsi="Garamond" w:cs="Times New Roman"/>
        </w:rPr>
        <w:t xml:space="preserve">Of the 72 invitees, 60 (83%) attended the conference on April 7, 2017. </w:t>
      </w:r>
      <w:r w:rsidRPr="00B6087C">
        <w:rPr>
          <w:rFonts w:ascii="Garamond" w:eastAsia="Times New Roman" w:hAnsi="Garamond" w:cs="Tahoma"/>
        </w:rPr>
        <w:t>Participants were not compensated for their time.</w:t>
      </w:r>
      <w:r w:rsidRPr="00B6087C">
        <w:rPr>
          <w:rFonts w:ascii="Tahoma" w:eastAsia="Times New Roman" w:hAnsi="Tahoma" w:cs="Tahoma"/>
          <w:sz w:val="22"/>
          <w:szCs w:val="22"/>
        </w:rPr>
        <w:t xml:space="preserve"> </w:t>
      </w:r>
      <w:r w:rsidRPr="00B6087C">
        <w:rPr>
          <w:rFonts w:ascii="Garamond" w:hAnsi="Garamond" w:cs="Times New Roman"/>
        </w:rPr>
        <w:t xml:space="preserve">Most participants (Table 1) were female (n=42, 70%) and white (n=44, 73%). Healthcare providers included nurses (n=2), social workers (n=2), physicians (n=3) and pharmacists (n=4). Disciplines represented in the behavioral and social science group included sociology (n=4), psychology (n=5), and health communication (n=3). Pain experts included practitioners (n=3), as well as investigators (n=8) focused on translational pain research. Finally, professionals working in policy roles provided expertise regarding funding and implementation (n=3). Technology stakeholders included startup company leaders (n=3), staff members (n=2) and researchers (n=5) working on various mHealth devices. </w:t>
      </w:r>
    </w:p>
    <w:p w14:paraId="16A77CCB" w14:textId="77777777" w:rsidR="006D0459" w:rsidRPr="00B6087C" w:rsidRDefault="006D0459" w:rsidP="005369C0">
      <w:pPr>
        <w:spacing w:line="480" w:lineRule="auto"/>
        <w:outlineLvl w:val="0"/>
        <w:rPr>
          <w:rFonts w:ascii="Garamond" w:hAnsi="Garamond" w:cs="Times New Roman"/>
        </w:rPr>
      </w:pPr>
      <w:r w:rsidRPr="00B6087C">
        <w:rPr>
          <w:rFonts w:ascii="Garamond" w:hAnsi="Garamond" w:cs="Times New Roman"/>
          <w:i/>
        </w:rPr>
        <w:t>Panel of Expert Discussants</w:t>
      </w:r>
      <w:r w:rsidRPr="00B6087C">
        <w:rPr>
          <w:rFonts w:ascii="Garamond" w:hAnsi="Garamond" w:cs="Times New Roman"/>
        </w:rPr>
        <w:t xml:space="preserve"> </w:t>
      </w:r>
    </w:p>
    <w:p w14:paraId="326B2EF8" w14:textId="77777777" w:rsidR="006D0459" w:rsidRPr="00B6087C" w:rsidRDefault="006D0459" w:rsidP="005369C0">
      <w:pPr>
        <w:spacing w:line="480" w:lineRule="auto"/>
        <w:ind w:firstLine="720"/>
        <w:rPr>
          <w:rFonts w:ascii="Garamond" w:hAnsi="Garamond" w:cs="Times New Roman"/>
        </w:rPr>
      </w:pPr>
      <w:r w:rsidRPr="00B6087C">
        <w:rPr>
          <w:rFonts w:ascii="Garamond" w:hAnsi="Garamond" w:cs="Times New Roman"/>
        </w:rPr>
        <w:t>Before the conference we identified one discussant from four of the six stakeholder groups (technology, pain, social/behavioral science, healthcare providers), who agreed to share their perspectives on the report with attendees at the start of the conference. We did not ask a member f</w:t>
      </w:r>
      <w:r w:rsidR="00CB04B6" w:rsidRPr="00B6087C">
        <w:rPr>
          <w:rFonts w:ascii="Garamond" w:hAnsi="Garamond" w:cs="Times New Roman"/>
        </w:rPr>
        <w:t>rom all six groups to speak because of</w:t>
      </w:r>
      <w:r w:rsidRPr="00B6087C">
        <w:rPr>
          <w:rFonts w:ascii="Garamond" w:hAnsi="Garamond" w:cs="Times New Roman"/>
        </w:rPr>
        <w:t xml:space="preserve"> time concerns. These presentations aimed to promote the equal value of scientists’, practitioners’ and other stakeholder groups’ views and to model respectful and productive dialogue. </w:t>
      </w:r>
    </w:p>
    <w:p w14:paraId="54F5B4E9" w14:textId="77777777" w:rsidR="006D0459" w:rsidRPr="00B6087C" w:rsidRDefault="006D0459" w:rsidP="005369C0">
      <w:pPr>
        <w:spacing w:line="480" w:lineRule="auto"/>
        <w:outlineLvl w:val="0"/>
        <w:rPr>
          <w:rFonts w:ascii="Garamond" w:hAnsi="Garamond" w:cs="Times New Roman"/>
        </w:rPr>
      </w:pPr>
      <w:r w:rsidRPr="00B6087C">
        <w:rPr>
          <w:rFonts w:ascii="Garamond" w:hAnsi="Garamond" w:cs="Times New Roman"/>
          <w:i/>
          <w:iCs/>
        </w:rPr>
        <w:t>Consensus Conference</w:t>
      </w:r>
    </w:p>
    <w:p w14:paraId="712A4029" w14:textId="77777777" w:rsidR="006D0459" w:rsidRPr="00B6087C" w:rsidRDefault="006D0459" w:rsidP="005369C0">
      <w:pPr>
        <w:spacing w:line="480" w:lineRule="auto"/>
        <w:ind w:firstLine="720"/>
        <w:rPr>
          <w:rFonts w:ascii="Garamond" w:hAnsi="Garamond"/>
        </w:rPr>
      </w:pPr>
      <w:r w:rsidRPr="00B6087C">
        <w:rPr>
          <w:rFonts w:ascii="Garamond" w:hAnsi="Garamond" w:cs="Times New Roman"/>
        </w:rPr>
        <w:t>Following the presentations, attendees met in 9 small groups composed of 7-8 participants each for 60 minutes to generate recommendations, guided by a facilitator who</w:t>
      </w:r>
      <w:r w:rsidR="00063395" w:rsidRPr="00B6087C">
        <w:rPr>
          <w:rFonts w:ascii="Garamond" w:hAnsi="Garamond" w:cs="Times New Roman"/>
        </w:rPr>
        <w:t xml:space="preserve"> was familiar with the Cornell </w:t>
      </w:r>
      <w:r w:rsidR="00C400A1" w:rsidRPr="00B6087C">
        <w:rPr>
          <w:rFonts w:ascii="Garamond" w:hAnsi="Garamond" w:cs="Times New Roman"/>
        </w:rPr>
        <w:t>m</w:t>
      </w:r>
      <w:r w:rsidRPr="00B6087C">
        <w:rPr>
          <w:rFonts w:ascii="Garamond" w:hAnsi="Garamond" w:cs="Times New Roman"/>
        </w:rPr>
        <w:t xml:space="preserve">odel. Each group contained at least one member of each stakeholder category, with the exception of the health policy group as there were too few health policy experts to be represented at each table (Table 1). Each group was asked to generate approximately 10 recommendations. All groups reported their recommendations to the larger group, which allowed for further clarification and discussion.  The groups collectively generated 95 recommendations. </w:t>
      </w:r>
      <w:r w:rsidRPr="00B6087C">
        <w:rPr>
          <w:rFonts w:ascii="Garamond" w:hAnsi="Garamond"/>
        </w:rPr>
        <w:t>There were many duplicate recommendations, which were commented on by presenters who described their group’s recommendations. A notetaker simultaneously recorded the discussion of the recommendations, including notes about duplication. Immediately following the presentation (and prior to the afternoon</w:t>
      </w:r>
      <w:r w:rsidR="00CB04B6" w:rsidRPr="00B6087C">
        <w:rPr>
          <w:rFonts w:ascii="Garamond" w:hAnsi="Garamond"/>
        </w:rPr>
        <w:t xml:space="preserve"> session), the investigators</w:t>
      </w:r>
      <w:r w:rsidRPr="00B6087C">
        <w:rPr>
          <w:rFonts w:ascii="Garamond" w:hAnsi="Garamond"/>
        </w:rPr>
        <w:t xml:space="preserve"> and notetaker summarized the 95 recommendations into 24 general themes, merging the many duplicate recommendations. </w:t>
      </w:r>
    </w:p>
    <w:p w14:paraId="7CEC45D9" w14:textId="77777777" w:rsidR="006D0459" w:rsidRPr="00B6087C" w:rsidRDefault="006D0459" w:rsidP="005369C0">
      <w:pPr>
        <w:spacing w:line="480" w:lineRule="auto"/>
        <w:ind w:firstLine="720"/>
        <w:rPr>
          <w:rFonts w:ascii="Garamond" w:hAnsi="Garamond" w:cs="Times New Roman"/>
        </w:rPr>
      </w:pPr>
      <w:r w:rsidRPr="00B6087C">
        <w:rPr>
          <w:rFonts w:ascii="Garamond" w:hAnsi="Garamond" w:cs="Times New Roman"/>
        </w:rPr>
        <w:t>In the afternoon session, the entire group reviewed and discussed the 24 recommendations, then voted on them. Participants were allotted 10 votes and instructed to vote on the recommendations they considered to be the most important priorities for future research. Five participants did not vote (having to leave the conference before the voting took place), while four cast fewer than 10 votes.</w:t>
      </w:r>
    </w:p>
    <w:p w14:paraId="0F4097D6" w14:textId="77777777" w:rsidR="006D0459" w:rsidRPr="00B6087C" w:rsidRDefault="006D0459" w:rsidP="005369C0">
      <w:pPr>
        <w:spacing w:line="480" w:lineRule="auto"/>
        <w:outlineLvl w:val="0"/>
        <w:rPr>
          <w:rFonts w:ascii="Garamond" w:hAnsi="Garamond" w:cs="Times New Roman"/>
        </w:rPr>
      </w:pPr>
      <w:r w:rsidRPr="00B6087C">
        <w:rPr>
          <w:rFonts w:ascii="Garamond" w:hAnsi="Garamond" w:cs="Times New Roman"/>
          <w:i/>
          <w:iCs/>
        </w:rPr>
        <w:t>Follow-up Roundtable Meeting</w:t>
      </w:r>
    </w:p>
    <w:p w14:paraId="3C0DA5EA" w14:textId="77777777" w:rsidR="006D0459" w:rsidRPr="00B6087C" w:rsidRDefault="006D0459" w:rsidP="005369C0">
      <w:pPr>
        <w:spacing w:line="480" w:lineRule="auto"/>
        <w:ind w:firstLine="720"/>
        <w:rPr>
          <w:rFonts w:eastAsiaTheme="minorHAnsi"/>
          <w:sz w:val="22"/>
          <w:szCs w:val="22"/>
        </w:rPr>
      </w:pPr>
      <w:r w:rsidRPr="00B6087C">
        <w:rPr>
          <w:rFonts w:ascii="Garamond" w:hAnsi="Garamond"/>
        </w:rPr>
        <w:t xml:space="preserve">Following the conference, the investigators (CR, EW, KP, CEL) met as a group twice to discuss how to combine recommendations into categories. The group determined that further merging was possible and developed a list of 14 recommendations (e.g., making the tools accessible for diverse racial, ethnic, socioeconomic, age, and patient groups was combined into one recommendation </w:t>
      </w:r>
      <w:r w:rsidR="00CB04B6" w:rsidRPr="00B6087C">
        <w:rPr>
          <w:rFonts w:ascii="Garamond" w:hAnsi="Garamond"/>
        </w:rPr>
        <w:t>(thereby reducing 5 recommendations into 1)</w:t>
      </w:r>
      <w:r w:rsidRPr="00B6087C">
        <w:rPr>
          <w:rFonts w:ascii="Garamond" w:hAnsi="Garamond"/>
        </w:rPr>
        <w:t>; while security and privacy</w:t>
      </w:r>
      <w:r w:rsidR="00CB04B6" w:rsidRPr="00B6087C">
        <w:rPr>
          <w:rFonts w:ascii="Garamond" w:hAnsi="Garamond"/>
        </w:rPr>
        <w:t xml:space="preserve"> concern</w:t>
      </w:r>
      <w:r w:rsidRPr="00B6087C">
        <w:rPr>
          <w:rFonts w:ascii="Garamond" w:hAnsi="Garamond"/>
        </w:rPr>
        <w:t xml:space="preserve"> issues were combined into another recommendation.)</w:t>
      </w:r>
      <w:r w:rsidRPr="00B6087C">
        <w:t xml:space="preserve"> </w:t>
      </w:r>
      <w:r w:rsidRPr="00B6087C">
        <w:rPr>
          <w:rFonts w:eastAsiaTheme="minorHAnsi"/>
          <w:sz w:val="22"/>
          <w:szCs w:val="22"/>
        </w:rPr>
        <w:t xml:space="preserve"> </w:t>
      </w:r>
      <w:r w:rsidRPr="00B6087C">
        <w:rPr>
          <w:rFonts w:ascii="Garamond" w:hAnsi="Garamond" w:cs="Times New Roman"/>
        </w:rPr>
        <w:t xml:space="preserve">The project team created a document with the 14 recommendations and a summary of the group discussions, which was then sent to participants several weeks after the conference, </w:t>
      </w:r>
      <w:r w:rsidR="00CB04B6" w:rsidRPr="00B6087C">
        <w:rPr>
          <w:rFonts w:ascii="Garamond" w:hAnsi="Garamond" w:cs="Times New Roman"/>
        </w:rPr>
        <w:t xml:space="preserve">along </w:t>
      </w:r>
      <w:r w:rsidRPr="00B6087C">
        <w:rPr>
          <w:rFonts w:ascii="Garamond" w:hAnsi="Garamond" w:cs="Times New Roman"/>
        </w:rPr>
        <w:t xml:space="preserve">with an invitation to participate in a two-hour, follow-up meeting. At the meeting, participants clarified the wording and meaning of several recommendations and consolidated two recommendations felt to be similar. </w:t>
      </w:r>
      <w:r w:rsidRPr="00B6087C">
        <w:rPr>
          <w:rFonts w:ascii="Garamond" w:hAnsi="Garamond" w:cs="Tahoma"/>
        </w:rPr>
        <w:t>All members of the follow-up roundtable meeting agreed to making these changes.</w:t>
      </w:r>
    </w:p>
    <w:p w14:paraId="72A2CC2F" w14:textId="77777777" w:rsidR="006D0459" w:rsidRPr="00B6087C" w:rsidRDefault="006D0459" w:rsidP="005369C0">
      <w:pPr>
        <w:spacing w:line="480" w:lineRule="auto"/>
        <w:outlineLvl w:val="0"/>
        <w:rPr>
          <w:rFonts w:ascii="Garamond" w:hAnsi="Garamond" w:cs="Times New Roman"/>
        </w:rPr>
      </w:pPr>
      <w:r w:rsidRPr="00B6087C">
        <w:rPr>
          <w:rFonts w:ascii="Garamond" w:hAnsi="Garamond" w:cs="Times New Roman"/>
          <w:i/>
        </w:rPr>
        <w:t>Analysis</w:t>
      </w:r>
    </w:p>
    <w:p w14:paraId="6A802088" w14:textId="77777777" w:rsidR="006D0459" w:rsidRPr="00B6087C" w:rsidRDefault="006D0459" w:rsidP="005369C0">
      <w:pPr>
        <w:spacing w:line="480" w:lineRule="auto"/>
        <w:rPr>
          <w:rFonts w:ascii="Garamond" w:hAnsi="Garamond" w:cs="Times New Roman"/>
        </w:rPr>
      </w:pPr>
      <w:r w:rsidRPr="00B6087C">
        <w:rPr>
          <w:rFonts w:ascii="Garamond" w:hAnsi="Garamond" w:cs="Times New Roman"/>
        </w:rPr>
        <w:tab/>
        <w:t>Descriptive statistics were performed to characterize the sample. Votes were tallied for the recommendations generated at the conference and summed for the merged recommendations. The stickers used for voting had been consecutively numbered and color-coded by stakeholder group, making it possible to aggregate votes by group.</w:t>
      </w:r>
    </w:p>
    <w:p w14:paraId="506CEC2E" w14:textId="77777777" w:rsidR="006D0459" w:rsidRPr="00B6087C" w:rsidRDefault="006D0459" w:rsidP="005369C0">
      <w:pPr>
        <w:spacing w:line="480" w:lineRule="auto"/>
        <w:outlineLvl w:val="0"/>
        <w:rPr>
          <w:rFonts w:ascii="Garamond" w:hAnsi="Garamond" w:cs="Times New Roman"/>
        </w:rPr>
      </w:pPr>
      <w:r w:rsidRPr="00B6087C">
        <w:rPr>
          <w:rFonts w:ascii="Garamond" w:hAnsi="Garamond" w:cs="Times New Roman"/>
          <w:b/>
        </w:rPr>
        <w:t>RESULTS</w:t>
      </w:r>
    </w:p>
    <w:p w14:paraId="7DAD7454" w14:textId="77777777" w:rsidR="006D0459" w:rsidRPr="00B6087C" w:rsidRDefault="006D0459" w:rsidP="005369C0">
      <w:pPr>
        <w:spacing w:line="480" w:lineRule="auto"/>
        <w:rPr>
          <w:rFonts w:ascii="Garamond" w:hAnsi="Garamond" w:cs="Times New Roman"/>
        </w:rPr>
      </w:pPr>
      <w:r w:rsidRPr="00B6087C">
        <w:rPr>
          <w:rFonts w:ascii="Garamond" w:hAnsi="Garamond" w:cs="Times New Roman"/>
        </w:rPr>
        <w:tab/>
        <w:t>The Cornell method generated 13 recommendations (Table 2). Two categories of recommendations emerged: 1) Implications for designing research on mHealth among older adults; and 2) Implementation of mHealth technology into practice and associated regulatory issues. Table 2 presents recommendations by category, organized by strength of endorsement (i.e., total number of votes), from the most strongly (n =135) to least strongly (n = 11) endorsed.</w:t>
      </w:r>
    </w:p>
    <w:p w14:paraId="0254AFA2" w14:textId="77777777" w:rsidR="00C400A1" w:rsidRPr="00B6087C" w:rsidRDefault="00C400A1" w:rsidP="00C400A1">
      <w:pPr>
        <w:spacing w:line="480" w:lineRule="auto"/>
        <w:rPr>
          <w:rFonts w:ascii="Garamond" w:hAnsi="Garamond" w:cs="Times New Roman"/>
          <w:b/>
        </w:rPr>
      </w:pPr>
      <w:r w:rsidRPr="00B6087C">
        <w:rPr>
          <w:rFonts w:ascii="Garamond" w:hAnsi="Garamond" w:cs="Times New Roman"/>
          <w:b/>
        </w:rPr>
        <w:t>Implications for Designing Research on mHealth among Older Adults</w:t>
      </w:r>
    </w:p>
    <w:p w14:paraId="05E289BC" w14:textId="77777777" w:rsidR="006D0459" w:rsidRPr="00B6087C" w:rsidRDefault="006D0459" w:rsidP="005369C0">
      <w:pPr>
        <w:spacing w:line="480" w:lineRule="auto"/>
        <w:ind w:firstLine="720"/>
        <w:rPr>
          <w:rFonts w:ascii="Garamond" w:hAnsi="Garamond" w:cs="Times New Roman"/>
        </w:rPr>
      </w:pPr>
      <w:r w:rsidRPr="00B6087C">
        <w:rPr>
          <w:rFonts w:ascii="Garamond" w:hAnsi="Garamond" w:cs="Times New Roman"/>
        </w:rPr>
        <w:t xml:space="preserve">Of the 543 total votes cast, 435 votes (80%) endorsed the eight recommendations outlined below. </w:t>
      </w:r>
    </w:p>
    <w:p w14:paraId="5ECAA765" w14:textId="46935618" w:rsidR="006D0459" w:rsidRPr="00B6087C" w:rsidRDefault="006D0459" w:rsidP="00C400A1">
      <w:pPr>
        <w:spacing w:line="480" w:lineRule="auto"/>
        <w:ind w:firstLine="360"/>
        <w:rPr>
          <w:rFonts w:ascii="Garamond" w:hAnsi="Garamond" w:cs="Times New Roman"/>
        </w:rPr>
      </w:pPr>
      <w:r w:rsidRPr="00B6087C">
        <w:rPr>
          <w:rFonts w:ascii="Garamond" w:hAnsi="Garamond" w:cs="Times New Roman"/>
          <w:i/>
        </w:rPr>
        <w:t>Conduct research on ways to enhance accessibility of mHealth tools among diverse groups of older adults with pain</w:t>
      </w:r>
      <w:r w:rsidRPr="00B6087C">
        <w:rPr>
          <w:rFonts w:ascii="Garamond" w:hAnsi="Garamond" w:cs="Times New Roman"/>
        </w:rPr>
        <w:t xml:space="preserve"> (135 votes, 24.9%). Specific suggestions in this category included designing mHealth tools to be as affordable as possible to achieve the greatest possible reach across income groups. Participants across all stakeholder groups endorsed the design of mHealth platforms that would be usable across diverse older age groups with pain, including the oldest old, different levels of educational attainment, and across different cultural groups. The participants defined usability across diverse groups as mHealth tools that could meet the needs for information, understanding, and taking action among older adults with pain, regardless of background.</w:t>
      </w:r>
    </w:p>
    <w:p w14:paraId="1F84C412" w14:textId="11297F85" w:rsidR="006D0459" w:rsidRPr="00B6087C" w:rsidRDefault="006D0459" w:rsidP="005369C0">
      <w:pPr>
        <w:spacing w:line="480" w:lineRule="auto"/>
        <w:rPr>
          <w:rFonts w:ascii="Garamond" w:hAnsi="Garamond" w:cs="Times New Roman"/>
        </w:rPr>
      </w:pPr>
      <w:r w:rsidRPr="00B6087C">
        <w:rPr>
          <w:rFonts w:ascii="Garamond" w:hAnsi="Garamond" w:cs="Times New Roman"/>
        </w:rPr>
        <w:t xml:space="preserve">     </w:t>
      </w:r>
      <w:r w:rsidRPr="00B6087C">
        <w:rPr>
          <w:rFonts w:ascii="Garamond" w:hAnsi="Garamond" w:cs="Times New Roman"/>
          <w:i/>
        </w:rPr>
        <w:t xml:space="preserve">Promote research/commercial partnerships and other initiatives that expedite bringing mHealth innovations into practice </w:t>
      </w:r>
      <w:r w:rsidRPr="00B6087C">
        <w:rPr>
          <w:rFonts w:ascii="Garamond" w:hAnsi="Garamond" w:cs="Times New Roman"/>
        </w:rPr>
        <w:t>(67 votes, 12.3%). Many participants voiced the importance of having multiple disciplines (</w:t>
      </w:r>
      <w:r w:rsidR="00CB04B6" w:rsidRPr="00B6087C">
        <w:rPr>
          <w:rFonts w:ascii="Garamond" w:hAnsi="Garamond" w:cs="Times New Roman"/>
        </w:rPr>
        <w:t xml:space="preserve">e.g., </w:t>
      </w:r>
      <w:r w:rsidRPr="00B6087C">
        <w:rPr>
          <w:rFonts w:ascii="Garamond" w:hAnsi="Garamond" w:cs="Times New Roman"/>
        </w:rPr>
        <w:t xml:space="preserve">medicine, clinical practice, information science, psychology, sociology) represented in the co-development of effective mHealth tools for pain management. Participants thought that establishment of multidisciplinary partnerships, including specialists in commercial development, had substantial potential to address device development and implementation barriers more quickly.  </w:t>
      </w:r>
    </w:p>
    <w:p w14:paraId="4362B0CB" w14:textId="77777777" w:rsidR="006D0459" w:rsidRPr="00B6087C" w:rsidRDefault="006D0459" w:rsidP="005369C0">
      <w:pPr>
        <w:spacing w:line="480" w:lineRule="auto"/>
        <w:rPr>
          <w:rFonts w:ascii="Garamond" w:hAnsi="Garamond" w:cs="Times New Roman"/>
          <w:i/>
        </w:rPr>
      </w:pPr>
      <w:r w:rsidRPr="00B6087C">
        <w:rPr>
          <w:rFonts w:ascii="Garamond" w:hAnsi="Garamond" w:cs="Times New Roman"/>
        </w:rPr>
        <w:t xml:space="preserve">     </w:t>
      </w:r>
      <w:r w:rsidRPr="00B6087C">
        <w:rPr>
          <w:rFonts w:ascii="Garamond" w:hAnsi="Garamond" w:cs="Times New Roman"/>
          <w:i/>
        </w:rPr>
        <w:t xml:space="preserve">Conduct research on the impacts of mHealth on physical and mental well-being </w:t>
      </w:r>
      <w:r w:rsidRPr="00B6087C">
        <w:rPr>
          <w:rFonts w:ascii="Garamond" w:hAnsi="Garamond" w:cs="Times New Roman"/>
        </w:rPr>
        <w:t>(56 votes, 10.3%). Participants voiced concerns about the psychological and social impacts of mHealth, including potentially negative effects on users’ mental health and level of social interaction. A key concern was that mHealth adoption by older patients with pain and their providers could increase users’ social isolation; or that unevenness of implementation and adoption might increase social exclusion and promote health disparities. Possible solutions included developing mHealth tools that improve access to social support. Conducting research that compares mHealth support with health support from in-person interactions with providers constitutes one approach to addressing this recommendation. Another possible solution proposed was to develop mHealth tools that connect older patients with pain to one another. In addition, participants recommended that researchers explore how mHealth use might impact users’ level of physical activity, quality of life, and psychological well-being, as well as perception of pain, i.e., could it cause users to focus too much on their pain? These endorsements were particularly common among patient and caregiver participants; nearly 50% of their votes endorsed a need for research on human-media interaction.</w:t>
      </w:r>
    </w:p>
    <w:p w14:paraId="3C2535CF" w14:textId="77777777" w:rsidR="006D0459" w:rsidRPr="00B6087C" w:rsidRDefault="006D0459" w:rsidP="005369C0">
      <w:pPr>
        <w:spacing w:line="480" w:lineRule="auto"/>
        <w:rPr>
          <w:rFonts w:ascii="Garamond" w:hAnsi="Garamond" w:cs="Times New Roman"/>
        </w:rPr>
      </w:pPr>
      <w:r w:rsidRPr="00B6087C">
        <w:rPr>
          <w:rFonts w:ascii="Garamond" w:hAnsi="Garamond" w:cs="Times New Roman"/>
        </w:rPr>
        <w:t xml:space="preserve">     </w:t>
      </w:r>
      <w:r w:rsidRPr="00B6087C">
        <w:rPr>
          <w:rFonts w:ascii="Garamond" w:hAnsi="Garamond" w:cs="Times New Roman"/>
          <w:i/>
        </w:rPr>
        <w:t>Expand research on mHealth sensing applications</w:t>
      </w:r>
      <w:r w:rsidRPr="00B6087C">
        <w:rPr>
          <w:rFonts w:ascii="Garamond" w:hAnsi="Garamond" w:cs="Times New Roman"/>
        </w:rPr>
        <w:t xml:space="preserve"> (43 votes, 7.9%). One of the innovative ways that mHea</w:t>
      </w:r>
      <w:r w:rsidR="00CB04B6" w:rsidRPr="00B6087C">
        <w:rPr>
          <w:rFonts w:ascii="Garamond" w:hAnsi="Garamond" w:cs="Times New Roman"/>
        </w:rPr>
        <w:t>lth applications can capture an individual’s</w:t>
      </w:r>
      <w:r w:rsidRPr="00B6087C">
        <w:rPr>
          <w:rFonts w:ascii="Garamond" w:hAnsi="Garamond" w:cs="Times New Roman"/>
        </w:rPr>
        <w:t xml:space="preserve"> pain experience</w:t>
      </w:r>
      <w:r w:rsidR="00CB04B6" w:rsidRPr="00B6087C">
        <w:rPr>
          <w:rFonts w:ascii="Garamond" w:hAnsi="Garamond" w:cs="Times New Roman"/>
        </w:rPr>
        <w:t xml:space="preserve"> </w:t>
      </w:r>
      <w:r w:rsidRPr="00B6087C">
        <w:rPr>
          <w:rFonts w:ascii="Garamond" w:hAnsi="Garamond" w:cs="Times New Roman"/>
        </w:rPr>
        <w:t>is to implement features that collect data passively, e.g., using tools that capture movement and gait. These technologies could supplement the more time-intensive process of self-report. Stakeholders suggested that sensing could provide insights into how certain situations and events might trigger pain episodes. Such data could be fed back to patien</w:t>
      </w:r>
      <w:r w:rsidR="00CB04B6" w:rsidRPr="00B6087C">
        <w:rPr>
          <w:rFonts w:ascii="Garamond" w:hAnsi="Garamond" w:cs="Times New Roman"/>
        </w:rPr>
        <w:t>ts to help them avoid or mitigate</w:t>
      </w:r>
      <w:r w:rsidRPr="00B6087C">
        <w:rPr>
          <w:rFonts w:ascii="Garamond" w:hAnsi="Garamond" w:cs="Times New Roman"/>
        </w:rPr>
        <w:t xml:space="preserve"> future episodes. Healthcare providers would also be able to use these data to supplement information collected during office visits.</w:t>
      </w:r>
    </w:p>
    <w:p w14:paraId="7A8E2CC6" w14:textId="77777777" w:rsidR="006D0459" w:rsidRPr="00B6087C" w:rsidRDefault="006D0459" w:rsidP="005369C0">
      <w:pPr>
        <w:spacing w:line="480" w:lineRule="auto"/>
        <w:rPr>
          <w:rFonts w:ascii="Garamond" w:hAnsi="Garamond" w:cs="Times New Roman"/>
        </w:rPr>
      </w:pPr>
      <w:r w:rsidRPr="00B6087C">
        <w:rPr>
          <w:rFonts w:ascii="Garamond" w:hAnsi="Garamond" w:cs="Times New Roman"/>
        </w:rPr>
        <w:t xml:space="preserve">     </w:t>
      </w:r>
      <w:r w:rsidRPr="00B6087C">
        <w:rPr>
          <w:rFonts w:ascii="Garamond" w:hAnsi="Garamond" w:cs="Times New Roman"/>
          <w:i/>
        </w:rPr>
        <w:t>Promote integration of users into basic research issues regarding mHealth and later-life pain</w:t>
      </w:r>
      <w:r w:rsidRPr="00B6087C">
        <w:rPr>
          <w:rFonts w:ascii="Garamond" w:hAnsi="Garamond" w:cs="Times New Roman"/>
        </w:rPr>
        <w:t xml:space="preserve"> (43 votes, 7.9%). Particip</w:t>
      </w:r>
      <w:r w:rsidR="00CB04B6" w:rsidRPr="00B6087C">
        <w:rPr>
          <w:rFonts w:ascii="Garamond" w:hAnsi="Garamond" w:cs="Times New Roman"/>
        </w:rPr>
        <w:t>ants endorsed integrating the input of older patients with pain</w:t>
      </w:r>
      <w:r w:rsidRPr="00B6087C">
        <w:rPr>
          <w:rFonts w:ascii="Garamond" w:hAnsi="Garamond" w:cs="Times New Roman"/>
        </w:rPr>
        <w:t xml:space="preserve"> into basic research on mHealth. The strength of interdisciplinary teams is their capacity for innovation and their ability to facilitate movement of ideas across research areas. Participants recommended that research teams include not only healthcare providers, mHealth technologists, and designers/developers, but also older patients with pain.</w:t>
      </w:r>
    </w:p>
    <w:p w14:paraId="3B589B52" w14:textId="662303B9" w:rsidR="006D0459" w:rsidRPr="00B6087C" w:rsidRDefault="006D0459" w:rsidP="005369C0">
      <w:pPr>
        <w:spacing w:line="480" w:lineRule="auto"/>
        <w:rPr>
          <w:rFonts w:ascii="Garamond" w:hAnsi="Garamond" w:cs="Times New Roman"/>
        </w:rPr>
      </w:pPr>
      <w:r w:rsidRPr="00B6087C">
        <w:rPr>
          <w:rFonts w:ascii="Garamond" w:hAnsi="Garamond" w:cs="Times New Roman"/>
        </w:rPr>
        <w:t xml:space="preserve">     </w:t>
      </w:r>
      <w:r w:rsidRPr="00B6087C">
        <w:rPr>
          <w:rFonts w:ascii="Garamond" w:hAnsi="Garamond" w:cs="Times New Roman"/>
          <w:i/>
        </w:rPr>
        <w:t xml:space="preserve">Conduct research on ways to personalize and tailor mHealth tools for individual users </w:t>
      </w:r>
      <w:r w:rsidRPr="00B6087C">
        <w:rPr>
          <w:rFonts w:ascii="Garamond" w:eastAsiaTheme="minorHAnsi" w:hAnsi="Garamond" w:cs="Times New Roman"/>
          <w:i/>
        </w:rPr>
        <w:t>with pain</w:t>
      </w:r>
      <w:r w:rsidRPr="00B6087C">
        <w:rPr>
          <w:rFonts w:ascii="Garamond" w:hAnsi="Garamond" w:cs="Times New Roman"/>
        </w:rPr>
        <w:t xml:space="preserve"> (37 votes, 6.8%). Participants recognized that personalizing mHealth tools to accommodate individual preferences and characteristics and by tailoring devices for use by older individuals with different types of pain, living situations, and physical abilities could increase their uptake and impact. The tools might also provide services such as automatic appointment scheduling with a healthcare provider when needed to manage pain.  More generally, tools tailored to individual context might also be able to connect older pain patients more effectively to local resources.  </w:t>
      </w:r>
    </w:p>
    <w:p w14:paraId="514B6823" w14:textId="77777777" w:rsidR="006D0459" w:rsidRPr="00B6087C" w:rsidRDefault="006D0459" w:rsidP="005369C0">
      <w:pPr>
        <w:spacing w:line="480" w:lineRule="auto"/>
        <w:rPr>
          <w:rFonts w:ascii="Garamond" w:hAnsi="Garamond" w:cs="Times New Roman"/>
        </w:rPr>
      </w:pPr>
      <w:r w:rsidRPr="00B6087C">
        <w:rPr>
          <w:rFonts w:ascii="Garamond" w:hAnsi="Garamond" w:cs="Times New Roman"/>
        </w:rPr>
        <w:t xml:space="preserve">     </w:t>
      </w:r>
      <w:r w:rsidRPr="00B6087C">
        <w:rPr>
          <w:rFonts w:ascii="Garamond" w:hAnsi="Garamond" w:cs="Times New Roman"/>
          <w:i/>
        </w:rPr>
        <w:t xml:space="preserve">Expand research on ways mHealth data can inform intervention development and on ways to expand mHealth tool reach in clinical and non-clinical settings </w:t>
      </w:r>
      <w:r w:rsidRPr="00B6087C">
        <w:rPr>
          <w:rFonts w:ascii="Garamond" w:hAnsi="Garamond" w:cs="Times New Roman"/>
        </w:rPr>
        <w:t>(28 votes, 5.2%). Participants suggested that data collected via mHealth tools would be useful for developing new interventions. Broad use of mHealth, combined with data on individual patient characteristics, has the potential to provide detailed data on individuals’ pain experience over time, including triggers for pain episodes and the effectiveness of various treatments. Researchers and developers could explore these data for new ideas about how to treat more people, and how existing treatments might be improved. Although the focus of mHealth tends to be on individual users who live in the community, participants recognized that mHealth tools might also be useful for managing pain among older adults living in congregate settings such as assisted living and nursing homes.</w:t>
      </w:r>
    </w:p>
    <w:p w14:paraId="54E6EE44" w14:textId="77777777" w:rsidR="006D0459" w:rsidRPr="00B6087C" w:rsidRDefault="006D0459" w:rsidP="005369C0">
      <w:pPr>
        <w:spacing w:line="480" w:lineRule="auto"/>
        <w:rPr>
          <w:rFonts w:ascii="Garamond" w:hAnsi="Garamond" w:cs="Times New Roman"/>
        </w:rPr>
      </w:pPr>
      <w:r w:rsidRPr="00B6087C">
        <w:rPr>
          <w:rFonts w:ascii="Garamond" w:hAnsi="Garamond" w:cs="Times New Roman"/>
        </w:rPr>
        <w:t xml:space="preserve">     </w:t>
      </w:r>
      <w:r w:rsidRPr="00B6087C">
        <w:rPr>
          <w:rFonts w:ascii="Garamond" w:hAnsi="Garamond" w:cs="Times New Roman"/>
          <w:i/>
        </w:rPr>
        <w:t>Develop a core set of mHealth data and outcome assessments</w:t>
      </w:r>
      <w:r w:rsidRPr="00B6087C">
        <w:rPr>
          <w:rFonts w:ascii="Garamond" w:hAnsi="Garamond" w:cs="Times New Roman"/>
        </w:rPr>
        <w:t xml:space="preserve"> (26 votes, 4.8%). Participants endorsed enhancing the value of research to establish a core set of outcomes and indicators for pain and related outcomes collected using mHealth devices.  Use of a consistent set of outcomes would facilitate more rapid sharing of data. Moreover, if patients saw these outcomes as a high priority, the effectiveness of pain care could increase. Participants recognized a need for standard analysis procedures that would maximize the usefulness of the data for both patients and providers.</w:t>
      </w:r>
    </w:p>
    <w:p w14:paraId="3A4F8198" w14:textId="77777777" w:rsidR="006D0459" w:rsidRPr="00B6087C" w:rsidRDefault="006D0459" w:rsidP="005369C0">
      <w:pPr>
        <w:pStyle w:val="ListParagraph"/>
        <w:spacing w:line="480" w:lineRule="auto"/>
        <w:ind w:left="0"/>
        <w:outlineLvl w:val="0"/>
        <w:rPr>
          <w:rFonts w:ascii="Garamond" w:hAnsi="Garamond" w:cs="Times New Roman"/>
          <w:b/>
        </w:rPr>
      </w:pPr>
      <w:r w:rsidRPr="00B6087C">
        <w:rPr>
          <w:rFonts w:ascii="Garamond" w:hAnsi="Garamond" w:cs="Times New Roman"/>
          <w:b/>
        </w:rPr>
        <w:t>Implementation of mHealth into Practice and Associated Regulatory Issues</w:t>
      </w:r>
    </w:p>
    <w:p w14:paraId="172B645C" w14:textId="77777777" w:rsidR="006D0459" w:rsidRPr="00B6087C" w:rsidRDefault="006D0459" w:rsidP="005369C0">
      <w:pPr>
        <w:spacing w:line="480" w:lineRule="auto"/>
        <w:rPr>
          <w:rFonts w:ascii="Garamond" w:hAnsi="Garamond" w:cs="Times New Roman"/>
        </w:rPr>
      </w:pPr>
      <w:r w:rsidRPr="00B6087C">
        <w:rPr>
          <w:rFonts w:ascii="Garamond" w:hAnsi="Garamond" w:cs="Times New Roman"/>
        </w:rPr>
        <w:tab/>
        <w:t>Participants cast 108 votes for the recommendations grouped in this category (20% of all votes cast).</w:t>
      </w:r>
    </w:p>
    <w:p w14:paraId="76B5E37A" w14:textId="77777777" w:rsidR="006D0459" w:rsidRPr="00B6087C" w:rsidRDefault="006D0459" w:rsidP="005369C0">
      <w:pPr>
        <w:spacing w:line="480" w:lineRule="auto"/>
        <w:rPr>
          <w:rFonts w:ascii="Garamond" w:hAnsi="Garamond" w:cs="Times New Roman"/>
        </w:rPr>
      </w:pPr>
      <w:r w:rsidRPr="00B6087C">
        <w:rPr>
          <w:rFonts w:ascii="Garamond" w:hAnsi="Garamond" w:cs="Times New Roman"/>
        </w:rPr>
        <w:t xml:space="preserve">    </w:t>
      </w:r>
      <w:r w:rsidRPr="00B6087C">
        <w:rPr>
          <w:rFonts w:ascii="Garamond" w:hAnsi="Garamond" w:cs="Times New Roman"/>
          <w:i/>
        </w:rPr>
        <w:t>Promote research on ways to initiate/sustain patient behavior change using mHealth tools</w:t>
      </w:r>
      <w:r w:rsidRPr="00B6087C">
        <w:rPr>
          <w:rFonts w:ascii="Garamond" w:hAnsi="Garamond" w:cs="Times New Roman"/>
        </w:rPr>
        <w:t xml:space="preserve"> (35 votes, 6.4%). Participants recommended multiple areas of research regarding initiating and sustaining patient behavior change facilitated through use of mHealth to include: 1) taking pain medications as prescribed; 2) tracking pain levels and prompting appropriate pharmacologic and/or non-pharmacologic interventions and corresponding use; 3) pairing medication or pain management with tools to help co-manage depression and other conditions that might lead to non-adherence; 4) engaging caregivers in pain management, particularly for those patients with cognitive deficits; and 5) developing tools to help caregivers of older adults’ with pain support behavioral change.</w:t>
      </w:r>
    </w:p>
    <w:p w14:paraId="3AE4B928" w14:textId="77777777" w:rsidR="006D0459" w:rsidRPr="00B6087C" w:rsidRDefault="006D0459" w:rsidP="005369C0">
      <w:pPr>
        <w:spacing w:line="480" w:lineRule="auto"/>
        <w:rPr>
          <w:rFonts w:ascii="Garamond" w:hAnsi="Garamond" w:cs="Times New Roman"/>
        </w:rPr>
      </w:pPr>
      <w:r w:rsidRPr="00B6087C">
        <w:rPr>
          <w:rFonts w:ascii="Garamond" w:hAnsi="Garamond" w:cs="Times New Roman"/>
        </w:rPr>
        <w:t xml:space="preserve">     </w:t>
      </w:r>
      <w:r w:rsidRPr="00B6087C">
        <w:rPr>
          <w:rFonts w:ascii="Garamond" w:hAnsi="Garamond" w:cs="Times New Roman"/>
          <w:i/>
        </w:rPr>
        <w:t>Conduct research on health system, workforce and patient education issues regarding mHealth use</w:t>
      </w:r>
      <w:r w:rsidRPr="00B6087C">
        <w:rPr>
          <w:rFonts w:ascii="Garamond" w:hAnsi="Garamond" w:cs="Times New Roman"/>
        </w:rPr>
        <w:t xml:space="preserve"> (26 votes, 4.8%). Participants endorsed research efforts focused on how best to inform older adults about the use of mHealth tools. They recognized that the use of mHealth tools would depend on healthcare providers having access to adequate education about these tools.  Participants further recommended that researchers study the readiness of different healthcare systems to incorporate mHealth tools into practice, as well as their capacity to use data generated by the devices.</w:t>
      </w:r>
    </w:p>
    <w:p w14:paraId="739FF47E" w14:textId="0248131C" w:rsidR="006D0459" w:rsidRPr="00B6087C" w:rsidRDefault="006D0459" w:rsidP="005369C0">
      <w:pPr>
        <w:spacing w:line="480" w:lineRule="auto"/>
        <w:rPr>
          <w:rFonts w:ascii="Garamond" w:hAnsi="Garamond" w:cs="Times New Roman"/>
          <w:vertAlign w:val="superscript"/>
        </w:rPr>
      </w:pPr>
      <w:r w:rsidRPr="00B6087C">
        <w:rPr>
          <w:rFonts w:ascii="Garamond" w:hAnsi="Garamond" w:cs="Times New Roman"/>
        </w:rPr>
        <w:t xml:space="preserve">     </w:t>
      </w:r>
      <w:r w:rsidRPr="00B6087C">
        <w:rPr>
          <w:rFonts w:ascii="Garamond" w:hAnsi="Garamond" w:cs="Times New Roman"/>
          <w:i/>
        </w:rPr>
        <w:t xml:space="preserve">Expand research on mHealth cyber-security and privacy issues </w:t>
      </w:r>
      <w:r w:rsidRPr="00B6087C">
        <w:rPr>
          <w:rFonts w:ascii="Garamond" w:hAnsi="Garamond" w:cs="Times New Roman"/>
        </w:rPr>
        <w:t>(20 votes, 3.7%). Although the number of votes for this recommendation was small, older adults with pain who attended the follow-up meeting emphasized how important privacy and security issues would be for earning their trust. Participants raised a variety of issues, including the secure sharing and management of data generated by mHealth tools, the rights of patients to provide informed consent for research or commercial use of the data, long-term privacy of data (particularly when</w:t>
      </w:r>
      <w:r w:rsidR="00CB04B6" w:rsidRPr="00B6087C">
        <w:rPr>
          <w:rFonts w:ascii="Garamond" w:hAnsi="Garamond" w:cs="Times New Roman"/>
        </w:rPr>
        <w:t xml:space="preserve"> merged with other health data)</w:t>
      </w:r>
      <w:r w:rsidRPr="00B6087C">
        <w:rPr>
          <w:rFonts w:ascii="Garamond" w:hAnsi="Garamond" w:cs="Times New Roman"/>
        </w:rPr>
        <w:t xml:space="preserve"> and how commercial entities might access mHealth data for profit. </w:t>
      </w:r>
    </w:p>
    <w:p w14:paraId="5A73721E" w14:textId="77777777" w:rsidR="006D0459" w:rsidRPr="00B6087C" w:rsidRDefault="006D0459" w:rsidP="005369C0">
      <w:pPr>
        <w:spacing w:line="480" w:lineRule="auto"/>
        <w:rPr>
          <w:rFonts w:ascii="Garamond" w:hAnsi="Garamond" w:cs="Times New Roman"/>
        </w:rPr>
      </w:pPr>
      <w:r w:rsidRPr="00B6087C">
        <w:rPr>
          <w:rFonts w:ascii="Garamond" w:hAnsi="Garamond" w:cs="Times New Roman"/>
        </w:rPr>
        <w:t xml:space="preserve">     </w:t>
      </w:r>
      <w:r w:rsidRPr="00B6087C">
        <w:rPr>
          <w:rFonts w:ascii="Garamond" w:hAnsi="Garamond" w:cs="Times New Roman"/>
          <w:i/>
        </w:rPr>
        <w:t>Expand research on sustainability of mHealth use at the patient, provider, and health system levels</w:t>
      </w:r>
      <w:r w:rsidRPr="00B6087C">
        <w:rPr>
          <w:rFonts w:ascii="Garamond" w:hAnsi="Garamond" w:cs="Times New Roman"/>
        </w:rPr>
        <w:t xml:space="preserve"> (16 votes, 2.9%). Participants were aware that many commercial mHealth tools are used over short (rather than long) periods of time.</w:t>
      </w:r>
      <w:r w:rsidRPr="00B6087C">
        <w:rPr>
          <w:rFonts w:ascii="Garamond" w:hAnsi="Garamond" w:cs="Times New Roman"/>
          <w:noProof/>
          <w:vertAlign w:val="superscript"/>
        </w:rPr>
        <w:t>4</w:t>
      </w:r>
      <w:r w:rsidR="00FA1FE4" w:rsidRPr="00B6087C">
        <w:rPr>
          <w:rFonts w:ascii="Garamond" w:hAnsi="Garamond" w:cs="Times New Roman"/>
          <w:noProof/>
          <w:vertAlign w:val="superscript"/>
        </w:rPr>
        <w:t>,</w:t>
      </w:r>
      <w:r w:rsidRPr="00B6087C">
        <w:rPr>
          <w:rFonts w:ascii="Garamond" w:hAnsi="Garamond" w:cs="Times New Roman"/>
          <w:noProof/>
          <w:vertAlign w:val="superscript"/>
        </w:rPr>
        <w:t>10</w:t>
      </w:r>
      <w:r w:rsidRPr="00B6087C">
        <w:rPr>
          <w:rFonts w:ascii="Garamond" w:hAnsi="Garamond" w:cs="Times New Roman"/>
        </w:rPr>
        <w:t xml:space="preserve"> Eighty-one percent of these votes came from the researcher stakeholder group; there were no endorsements from the patient/caregiver group. Endorsees recommended research on how to sustain long-term tool use. An interesting sub-theme was rapid technological change, and how to update and replace outdated tools as new tools/systems emerged.</w:t>
      </w:r>
    </w:p>
    <w:p w14:paraId="19EDDBEA" w14:textId="77777777" w:rsidR="006D0459" w:rsidRPr="00B6087C" w:rsidRDefault="006D0459">
      <w:pPr>
        <w:spacing w:line="480" w:lineRule="auto"/>
        <w:rPr>
          <w:rFonts w:ascii="Garamond" w:hAnsi="Garamond" w:cs="Times New Roman"/>
        </w:rPr>
      </w:pPr>
      <w:r w:rsidRPr="00B6087C">
        <w:rPr>
          <w:rFonts w:ascii="Garamond" w:hAnsi="Garamond" w:cs="Times New Roman"/>
        </w:rPr>
        <w:t xml:space="preserve">     </w:t>
      </w:r>
      <w:r w:rsidRPr="00B6087C">
        <w:rPr>
          <w:rFonts w:ascii="Garamond" w:hAnsi="Garamond" w:cs="Times New Roman"/>
          <w:i/>
        </w:rPr>
        <w:t>Promote research on ways mHealth tools can improve patient-provider (and provider-provider) communication</w:t>
      </w:r>
      <w:r w:rsidRPr="00B6087C">
        <w:rPr>
          <w:rFonts w:ascii="Garamond" w:hAnsi="Garamond" w:cs="Times New Roman"/>
        </w:rPr>
        <w:t xml:space="preserve"> (11 votes, 20%). More than half of the endorsements for this recommendation came from the healthcare providers and patient/caregiver stakeholders. Although not frequently endorsed, participants who voted for this recommendation suggested that mHealth tools promote or increase patient-provider interaction, rather than replace it. They also endorsed the potential for mHealth tools to increase information sharing among provider teams and provider-caregiver dyads, thereby enhancing and improving care to promote a more patient-centered approach. </w:t>
      </w:r>
    </w:p>
    <w:p w14:paraId="551A72E1" w14:textId="77777777" w:rsidR="006D0459" w:rsidRPr="00B6087C" w:rsidRDefault="006D0459" w:rsidP="005369C0">
      <w:pPr>
        <w:spacing w:line="480" w:lineRule="auto"/>
        <w:outlineLvl w:val="0"/>
        <w:rPr>
          <w:rFonts w:ascii="Garamond" w:hAnsi="Garamond" w:cs="Times New Roman"/>
          <w:b/>
        </w:rPr>
      </w:pPr>
      <w:r w:rsidRPr="00B6087C">
        <w:rPr>
          <w:rFonts w:ascii="Garamond" w:hAnsi="Garamond" w:cs="Times New Roman"/>
          <w:b/>
        </w:rPr>
        <w:t>DISCUSSION</w:t>
      </w:r>
    </w:p>
    <w:p w14:paraId="72B5F787" w14:textId="214EFDB0" w:rsidR="006D0459" w:rsidRPr="00B6087C" w:rsidRDefault="006D0459" w:rsidP="005369C0">
      <w:pPr>
        <w:spacing w:line="480" w:lineRule="auto"/>
        <w:rPr>
          <w:rFonts w:ascii="Garamond" w:hAnsi="Garamond" w:cs="Times New Roman"/>
        </w:rPr>
      </w:pPr>
      <w:r w:rsidRPr="00B6087C">
        <w:rPr>
          <w:rFonts w:ascii="Garamond" w:hAnsi="Garamond" w:cs="Times New Roman"/>
        </w:rPr>
        <w:tab/>
        <w:t>The rapid growth of mHealth devices holds substantial potential for improving care and care outcomes in all patient populations, including older adults with pain. Efforts to address whether mHealth tools can improve pain outcomes in older adults are warranted.</w:t>
      </w:r>
      <w:r w:rsidRPr="00B6087C">
        <w:rPr>
          <w:rFonts w:ascii="Garamond" w:hAnsi="Garamond" w:cs="Times New Roman"/>
          <w:noProof/>
          <w:vertAlign w:val="superscript"/>
        </w:rPr>
        <w:t>8</w:t>
      </w:r>
      <w:r w:rsidR="00FA1FE4" w:rsidRPr="00B6087C">
        <w:rPr>
          <w:rFonts w:ascii="Garamond" w:hAnsi="Garamond" w:cs="Times New Roman"/>
          <w:noProof/>
          <w:vertAlign w:val="superscript"/>
        </w:rPr>
        <w:t>,</w:t>
      </w:r>
      <w:r w:rsidRPr="00B6087C">
        <w:rPr>
          <w:rFonts w:ascii="Garamond" w:hAnsi="Garamond" w:cs="Times New Roman"/>
          <w:noProof/>
          <w:vertAlign w:val="superscript"/>
        </w:rPr>
        <w:t>11</w:t>
      </w:r>
      <w:r w:rsidR="00FA1FE4" w:rsidRPr="00B6087C">
        <w:rPr>
          <w:rFonts w:ascii="Garamond" w:hAnsi="Garamond" w:cs="Times New Roman"/>
          <w:noProof/>
          <w:vertAlign w:val="superscript"/>
        </w:rPr>
        <w:t>,20</w:t>
      </w:r>
      <w:r w:rsidRPr="00B6087C">
        <w:rPr>
          <w:rFonts w:ascii="Garamond" w:hAnsi="Garamond" w:cs="Times New Roman"/>
        </w:rPr>
        <w:t xml:space="preserve"> </w:t>
      </w:r>
      <w:r w:rsidRPr="00B6087C">
        <w:rPr>
          <w:rFonts w:ascii="Garamond" w:hAnsi="Garamond" w:cs="Times New Roman"/>
          <w:vertAlign w:val="superscript"/>
        </w:rPr>
        <w:t xml:space="preserve"> </w:t>
      </w:r>
      <w:r w:rsidRPr="00B6087C">
        <w:rPr>
          <w:rFonts w:ascii="Garamond" w:hAnsi="Garamond" w:cs="Times New Roman"/>
        </w:rPr>
        <w:t>However, the reach of mHealth devices in pain care has been, to date, quite limited. To increase understanding of how utilization of mHealth can become more effective and widespread, we employed an evidence-based consensus conference model that deliberately engages researchers and other stakeholder groups as equal partners. Conference participants proposed 13 recommendations that represent promising starting points for translational research efforts in this area. The first set relate to research design and targets of research, while the second set relate to research practice and regulation.</w:t>
      </w:r>
    </w:p>
    <w:p w14:paraId="49E5F56C" w14:textId="77777777" w:rsidR="006D0459" w:rsidRPr="00B6087C" w:rsidRDefault="006D0459" w:rsidP="005369C0">
      <w:pPr>
        <w:spacing w:line="480" w:lineRule="auto"/>
        <w:ind w:firstLine="720"/>
        <w:rPr>
          <w:rFonts w:ascii="Garamond" w:hAnsi="Garamond" w:cs="Times New Roman"/>
        </w:rPr>
      </w:pPr>
      <w:r w:rsidRPr="00B6087C">
        <w:rPr>
          <w:rFonts w:ascii="Garamond" w:hAnsi="Garamond" w:cs="Times New Roman"/>
        </w:rPr>
        <w:t xml:space="preserve">The first set of recommendations can be characterized by the need for “inclusion,” “tailoring device use to older adults,” and a focus on “real world validity,” while assuring that as mHealth research and commercial development advances, the psychological and social needs of people with pain in later life are taken into account. An important insight from this conference was that several patients and providers raised concerns that adoption of mHealth might isolate older patients from their providers and lead to </w:t>
      </w:r>
      <w:r w:rsidRPr="00B6087C">
        <w:rPr>
          <w:rFonts w:ascii="Garamond" w:hAnsi="Garamond" w:cs="Times New Roman"/>
          <w:i/>
        </w:rPr>
        <w:t>less</w:t>
      </w:r>
      <w:r w:rsidRPr="00B6087C">
        <w:rPr>
          <w:rFonts w:ascii="Garamond" w:hAnsi="Garamond" w:cs="Times New Roman"/>
        </w:rPr>
        <w:t xml:space="preserve"> personalized care.</w:t>
      </w:r>
    </w:p>
    <w:p w14:paraId="160501FC" w14:textId="77777777" w:rsidR="006D0459" w:rsidRPr="00B6087C" w:rsidRDefault="006D0459" w:rsidP="005369C0">
      <w:pPr>
        <w:pStyle w:val="NormalWeb"/>
        <w:spacing w:before="0" w:beforeAutospacing="0" w:after="0" w:afterAutospacing="0" w:line="480" w:lineRule="auto"/>
        <w:ind w:firstLine="720"/>
        <w:rPr>
          <w:rFonts w:ascii="Garamond" w:hAnsi="Garamond"/>
          <w:sz w:val="24"/>
          <w:szCs w:val="24"/>
        </w:rPr>
      </w:pPr>
      <w:r w:rsidRPr="00B6087C">
        <w:rPr>
          <w:rFonts w:ascii="Garamond" w:hAnsi="Garamond"/>
          <w:color w:val="000000"/>
          <w:sz w:val="24"/>
          <w:szCs w:val="24"/>
        </w:rPr>
        <w:t xml:space="preserve">The second set of recommendations followed a similar track in that implementation into practice should take into account the situational needs of older adults for managing chronic illness, </w:t>
      </w:r>
      <w:r w:rsidRPr="00B6087C">
        <w:rPr>
          <w:rFonts w:ascii="Garamond" w:hAnsi="Garamond"/>
          <w:sz w:val="24"/>
          <w:szCs w:val="24"/>
        </w:rPr>
        <w:t>providing information that is accessible to older adults of varying education and experience, and the fit of these tools into local medical systems that serve older adults. That is, mHealth should be implemented in a way that adds value to care that is already being delivered, rather than displace pre-existing relationships.</w:t>
      </w:r>
    </w:p>
    <w:p w14:paraId="5929DA8A" w14:textId="020A63DF" w:rsidR="006D0459" w:rsidRPr="00B6087C" w:rsidRDefault="006D0459" w:rsidP="005369C0">
      <w:pPr>
        <w:pStyle w:val="NormalWeb"/>
        <w:spacing w:before="0" w:beforeAutospacing="0" w:after="0" w:afterAutospacing="0" w:line="480" w:lineRule="auto"/>
        <w:ind w:firstLine="720"/>
        <w:rPr>
          <w:rFonts w:ascii="Garamond" w:hAnsi="Garamond"/>
          <w:color w:val="000000"/>
          <w:sz w:val="24"/>
          <w:szCs w:val="24"/>
        </w:rPr>
      </w:pPr>
      <w:r w:rsidRPr="00B6087C">
        <w:rPr>
          <w:rFonts w:ascii="Garamond" w:hAnsi="Garamond"/>
          <w:color w:val="000000"/>
          <w:sz w:val="24"/>
          <w:szCs w:val="24"/>
        </w:rPr>
        <w:t>Several of the recommendations from this conference have been raised in other publications and reports. The concerns about patient rights to informed consent, confidentiality, and privacy echo consumer research on the use of mHealth devices</w:t>
      </w:r>
      <w:r w:rsidR="00FA1FE4" w:rsidRPr="00B6087C">
        <w:rPr>
          <w:rFonts w:ascii="Garamond" w:hAnsi="Garamond"/>
          <w:color w:val="000000"/>
          <w:sz w:val="24"/>
          <w:szCs w:val="24"/>
        </w:rPr>
        <w:t>,</w:t>
      </w:r>
      <w:r w:rsidR="00FA1FE4" w:rsidRPr="00B6087C">
        <w:rPr>
          <w:rFonts w:ascii="Garamond" w:hAnsi="Garamond"/>
          <w:noProof/>
          <w:color w:val="000000"/>
          <w:sz w:val="24"/>
          <w:szCs w:val="24"/>
          <w:vertAlign w:val="superscript"/>
        </w:rPr>
        <w:t>2</w:t>
      </w:r>
      <w:r w:rsidR="00FA1FE4" w:rsidRPr="00B6087C">
        <w:rPr>
          <w:rFonts w:ascii="Garamond" w:hAnsi="Garamond"/>
          <w:noProof/>
          <w:color w:val="000000"/>
          <w:sz w:val="24"/>
          <w:szCs w:val="24"/>
        </w:rPr>
        <w:t xml:space="preserve"> </w:t>
      </w:r>
      <w:r w:rsidRPr="00B6087C">
        <w:rPr>
          <w:rFonts w:ascii="Garamond" w:hAnsi="Garamond"/>
          <w:color w:val="000000"/>
          <w:sz w:val="24"/>
          <w:szCs w:val="24"/>
        </w:rPr>
        <w:t>as well as published reviews and strategic</w:t>
      </w:r>
      <w:r w:rsidR="00FA1FE4" w:rsidRPr="00B6087C">
        <w:rPr>
          <w:rFonts w:ascii="Garamond" w:hAnsi="Garamond"/>
          <w:color w:val="000000"/>
          <w:sz w:val="24"/>
          <w:szCs w:val="24"/>
        </w:rPr>
        <w:t xml:space="preserve"> plans for mHealth development</w:t>
      </w:r>
      <w:r w:rsidR="00AB2A2E" w:rsidRPr="00B6087C">
        <w:rPr>
          <w:rFonts w:ascii="Garamond" w:hAnsi="Garamond"/>
          <w:color w:val="000000"/>
          <w:sz w:val="24"/>
          <w:szCs w:val="24"/>
        </w:rPr>
        <w:t>.</w:t>
      </w:r>
      <w:r w:rsidRPr="00B6087C">
        <w:rPr>
          <w:rFonts w:ascii="Garamond" w:hAnsi="Garamond"/>
          <w:noProof/>
          <w:color w:val="000000"/>
          <w:sz w:val="24"/>
          <w:szCs w:val="24"/>
          <w:vertAlign w:val="superscript"/>
        </w:rPr>
        <w:t>1</w:t>
      </w:r>
      <w:r w:rsidR="008A3AA5" w:rsidRPr="00B6087C">
        <w:rPr>
          <w:rFonts w:ascii="Garamond" w:hAnsi="Garamond"/>
          <w:noProof/>
          <w:color w:val="000000"/>
          <w:sz w:val="24"/>
          <w:szCs w:val="24"/>
          <w:vertAlign w:val="superscript"/>
        </w:rPr>
        <w:t>,</w:t>
      </w:r>
      <w:r w:rsidRPr="00B6087C">
        <w:rPr>
          <w:rFonts w:ascii="Garamond" w:hAnsi="Garamond"/>
          <w:noProof/>
          <w:color w:val="000000"/>
          <w:sz w:val="24"/>
          <w:szCs w:val="24"/>
          <w:vertAlign w:val="superscript"/>
        </w:rPr>
        <w:t>14</w:t>
      </w:r>
      <w:r w:rsidR="008A3AA5" w:rsidRPr="00B6087C">
        <w:rPr>
          <w:rFonts w:ascii="Garamond" w:hAnsi="Garamond"/>
          <w:noProof/>
          <w:color w:val="000000"/>
          <w:sz w:val="24"/>
          <w:szCs w:val="24"/>
          <w:vertAlign w:val="superscript"/>
        </w:rPr>
        <w:t>,23</w:t>
      </w:r>
      <w:r w:rsidR="00AB2A2E" w:rsidRPr="00B6087C">
        <w:rPr>
          <w:rFonts w:ascii="Garamond" w:hAnsi="Garamond"/>
          <w:noProof/>
          <w:color w:val="000000"/>
          <w:sz w:val="24"/>
          <w:szCs w:val="24"/>
        </w:rPr>
        <w:t xml:space="preserve"> </w:t>
      </w:r>
      <w:r w:rsidRPr="00B6087C">
        <w:rPr>
          <w:rFonts w:ascii="Garamond" w:hAnsi="Garamond"/>
          <w:color w:val="000000"/>
          <w:sz w:val="24"/>
          <w:szCs w:val="24"/>
        </w:rPr>
        <w:t>In addition, assuring accessibility for diverse users and integrating mHealth into existing health care delivery systems were also key recommendations of a recent draft mHealth development strategy by the National Science and Technology Council.</w:t>
      </w:r>
      <w:r w:rsidR="008A3AA5" w:rsidRPr="00B6087C">
        <w:rPr>
          <w:rFonts w:ascii="Garamond" w:hAnsi="Garamond"/>
          <w:noProof/>
          <w:color w:val="000000"/>
          <w:sz w:val="24"/>
          <w:szCs w:val="24"/>
          <w:vertAlign w:val="superscript"/>
        </w:rPr>
        <w:t>23</w:t>
      </w:r>
    </w:p>
    <w:p w14:paraId="35B1D09A" w14:textId="77777777" w:rsidR="006D0459" w:rsidRPr="00B6087C" w:rsidRDefault="006D0459" w:rsidP="005369C0">
      <w:pPr>
        <w:pStyle w:val="NormalWeb"/>
        <w:spacing w:before="0" w:beforeAutospacing="0" w:after="0" w:afterAutospacing="0" w:line="480" w:lineRule="auto"/>
        <w:ind w:firstLine="720"/>
        <w:rPr>
          <w:rFonts w:ascii="Garamond" w:hAnsi="Garamond"/>
          <w:color w:val="000000"/>
          <w:sz w:val="24"/>
          <w:szCs w:val="24"/>
        </w:rPr>
      </w:pPr>
      <w:r w:rsidRPr="00B6087C">
        <w:rPr>
          <w:rFonts w:ascii="Garamond" w:hAnsi="Garamond"/>
          <w:color w:val="000000"/>
          <w:sz w:val="24"/>
          <w:szCs w:val="24"/>
        </w:rPr>
        <w:t>Addressing the research priorities described herein could have dividends at multiple levels. For healthcare providers faced with the task of caring for older adults with chronic pain, developing tools that improve both the monitoring and management of pain could improve the quality of care they deliver. At the patient level, generating a set of mHealth tools that promote access to quality pain care could improve users’ self-efficacy for managing pain and associated outcomes. Addressing the priorities described above could also have dividends at the system level, to include helping insurers determine which mHealth tools to reimburse for use in clinical settings.</w:t>
      </w:r>
    </w:p>
    <w:p w14:paraId="019C7014" w14:textId="77777777" w:rsidR="006D0459" w:rsidRPr="00B6087C" w:rsidRDefault="006D0459" w:rsidP="005369C0">
      <w:pPr>
        <w:spacing w:line="480" w:lineRule="auto"/>
        <w:ind w:firstLine="720"/>
        <w:rPr>
          <w:rFonts w:ascii="Garamond" w:eastAsia="Calibri" w:hAnsi="Garamond" w:cs="Arial"/>
        </w:rPr>
      </w:pPr>
      <w:r w:rsidRPr="00B6087C">
        <w:rPr>
          <w:rFonts w:ascii="Garamond" w:eastAsia="Calibri" w:hAnsi="Garamond" w:cs="Arial"/>
        </w:rPr>
        <w:t>The major strength of this project is its use of an evidence-based approach</w:t>
      </w:r>
      <w:r w:rsidRPr="00B6087C">
        <w:rPr>
          <w:rFonts w:ascii="Garamond" w:eastAsia="Calibri" w:hAnsi="Garamond" w:cs="Arial"/>
          <w:noProof/>
          <w:vertAlign w:val="superscript"/>
        </w:rPr>
        <w:t>30</w:t>
      </w:r>
      <w:r w:rsidRPr="00B6087C">
        <w:rPr>
          <w:rFonts w:ascii="Garamond" w:eastAsia="Calibri" w:hAnsi="Garamond" w:cs="Arial"/>
        </w:rPr>
        <w:t xml:space="preserve"> to generate consensus research recommendations derived from the joint perspectives of researchers and key stakeholder groups. Direct involvement of patients with pain and their caregivers in generating the recommendations constitutes an important value-added aspect of the process. Furthermore, the recommendations are sufficiently general to have relevance to research on mHealth that focuses on other chronic conditions in later life. Despite these strengths, several limitations warrant consideration. The recommendations emerged from a relatively small participant sample and thus are limited by their experience, expertise and concerns. Participants were primarily female and White; future discussions of these recommendations would benefit from more diverse inclusion. We would also like to see this process repeated in other countries, with varied constituencies, and compare the findings. In addition, we did not test the reading level of the background report b</w:t>
      </w:r>
      <w:r w:rsidR="00CB04B6" w:rsidRPr="00B6087C">
        <w:rPr>
          <w:rFonts w:ascii="Garamond" w:eastAsia="Calibri" w:hAnsi="Garamond" w:cs="Arial"/>
        </w:rPr>
        <w:t>efore distributing it to conference invitees</w:t>
      </w:r>
      <w:r w:rsidRPr="00B6087C">
        <w:rPr>
          <w:rFonts w:ascii="Garamond" w:eastAsia="Calibri" w:hAnsi="Garamond" w:cs="Arial"/>
        </w:rPr>
        <w:t>. This could have resulted in non-professionals (patients and caregivers) having less understanding of research priorities judged to be important by th</w:t>
      </w:r>
      <w:r w:rsidR="00CB04B6" w:rsidRPr="00B6087C">
        <w:rPr>
          <w:rFonts w:ascii="Garamond" w:eastAsia="Calibri" w:hAnsi="Garamond" w:cs="Arial"/>
        </w:rPr>
        <w:t xml:space="preserve">e research community. Finally, </w:t>
      </w:r>
      <w:r w:rsidRPr="00B6087C">
        <w:rPr>
          <w:rFonts w:ascii="Garamond" w:eastAsia="Times New Roman" w:hAnsi="Garamond" w:cs="Tahoma"/>
          <w:shd w:val="clear" w:color="auto" w:fill="FFFFFF"/>
        </w:rPr>
        <w:t>providing a preset agenda of res</w:t>
      </w:r>
      <w:r w:rsidR="00CB04B6" w:rsidRPr="00B6087C">
        <w:rPr>
          <w:rFonts w:ascii="Garamond" w:eastAsia="Times New Roman" w:hAnsi="Garamond" w:cs="Tahoma"/>
          <w:shd w:val="clear" w:color="auto" w:fill="FFFFFF"/>
        </w:rPr>
        <w:t xml:space="preserve">earch recommendations (generated </w:t>
      </w:r>
      <w:r w:rsidRPr="00B6087C">
        <w:rPr>
          <w:rFonts w:ascii="Garamond" w:eastAsia="Times New Roman" w:hAnsi="Garamond" w:cs="Tahoma"/>
          <w:shd w:val="clear" w:color="auto" w:fill="FFFFFF"/>
        </w:rPr>
        <w:t>by researchers) may have created a bias in the consensus process. We compared the researcher recommendations discussed during the conference with the final set of conference recommendations and found an overlap of approximately 60%. Stated another way, 40% of the final recommendations were completely new supporting the consensus conference model as a way of generating ideas above and beyond what researc</w:t>
      </w:r>
      <w:r w:rsidR="00CB04B6" w:rsidRPr="00B6087C">
        <w:rPr>
          <w:rFonts w:ascii="Garamond" w:eastAsia="Times New Roman" w:hAnsi="Garamond" w:cs="Tahoma"/>
          <w:shd w:val="clear" w:color="auto" w:fill="FFFFFF"/>
        </w:rPr>
        <w:t>hers perceive are</w:t>
      </w:r>
      <w:r w:rsidRPr="00B6087C">
        <w:rPr>
          <w:rFonts w:ascii="Garamond" w:eastAsia="Times New Roman" w:hAnsi="Garamond" w:cs="Tahoma"/>
          <w:shd w:val="clear" w:color="auto" w:fill="FFFFFF"/>
        </w:rPr>
        <w:t xml:space="preserve"> important to investigate. </w:t>
      </w:r>
    </w:p>
    <w:p w14:paraId="6984515B" w14:textId="77777777" w:rsidR="006D0459" w:rsidRPr="00B6087C" w:rsidRDefault="006D0459" w:rsidP="005369C0">
      <w:pPr>
        <w:spacing w:line="480" w:lineRule="auto"/>
        <w:ind w:firstLine="720"/>
        <w:rPr>
          <w:rFonts w:ascii="Garamond" w:hAnsi="Garamond" w:cs="Times New Roman"/>
          <w:color w:val="000000"/>
        </w:rPr>
      </w:pPr>
      <w:r w:rsidRPr="00B6087C">
        <w:rPr>
          <w:rFonts w:ascii="Garamond" w:hAnsi="Garamond" w:cs="Times New Roman"/>
          <w:color w:val="000000"/>
        </w:rPr>
        <w:t>In conclusion, this report highlights research priorities in the area of mHealth and later-life pain that, if addressed, could help to improve the quality of care delivered to this growing population of patients.</w:t>
      </w:r>
      <w:r w:rsidRPr="00B6087C">
        <w:rPr>
          <w:rFonts w:ascii="Garamond" w:hAnsi="Garamond" w:cs="Times New Roman"/>
          <w:noProof/>
          <w:color w:val="000000"/>
          <w:vertAlign w:val="superscript"/>
        </w:rPr>
        <w:t>22</w:t>
      </w:r>
      <w:r w:rsidRPr="00B6087C">
        <w:rPr>
          <w:rFonts w:ascii="Garamond" w:hAnsi="Garamond" w:cs="Times New Roman"/>
          <w:color w:val="000000"/>
        </w:rPr>
        <w:t xml:space="preserve"> The recommendations reflect a maturing and expanding of mHealth as a discipline and reflect the desire for greater inclusivity, depth, pathway to commercialization and adoption, and individualization of solutions.</w:t>
      </w:r>
      <w:r w:rsidRPr="00B6087C">
        <w:rPr>
          <w:rFonts w:ascii="Garamond" w:hAnsi="Garamond" w:cs="Times New Roman"/>
          <w:noProof/>
          <w:color w:val="000000"/>
          <w:vertAlign w:val="superscript"/>
        </w:rPr>
        <w:t>23</w:t>
      </w:r>
      <w:r w:rsidRPr="00B6087C">
        <w:rPr>
          <w:rFonts w:ascii="Garamond" w:hAnsi="Garamond" w:cs="Times New Roman"/>
          <w:color w:val="000000"/>
        </w:rPr>
        <w:t xml:space="preserve"> The priorities give clear guidance on the need for greater research on sensing technology, and on the broader social and mental health context in which pain is experienced.  These findings could help to establish an ambitious research agenda and should prove valuable to diverse stakeholders, including technologists, researchers, healthcare providers, funders, and policy makers interested in improving the care of adults with later-life pain. </w:t>
      </w:r>
    </w:p>
    <w:p w14:paraId="143202B4" w14:textId="77777777" w:rsidR="006D0459" w:rsidRPr="00B6087C" w:rsidRDefault="006D0459">
      <w:pPr>
        <w:spacing w:after="160" w:line="259" w:lineRule="auto"/>
        <w:rPr>
          <w:rFonts w:ascii="Garamond" w:hAnsi="Garamond" w:cs="Times New Roman"/>
          <w:color w:val="000000"/>
        </w:rPr>
      </w:pPr>
      <w:r w:rsidRPr="00B6087C">
        <w:rPr>
          <w:rFonts w:ascii="Garamond" w:hAnsi="Garamond" w:cs="Times New Roman"/>
          <w:color w:val="000000"/>
        </w:rPr>
        <w:br w:type="page"/>
      </w:r>
    </w:p>
    <w:p w14:paraId="5D9E6EE2" w14:textId="77777777" w:rsidR="006D0459" w:rsidRPr="0010153C" w:rsidRDefault="006D0459" w:rsidP="005369C0">
      <w:pPr>
        <w:spacing w:line="480" w:lineRule="auto"/>
        <w:outlineLvl w:val="0"/>
        <w:rPr>
          <w:rFonts w:ascii="Garamond" w:eastAsia="Times New Roman" w:hAnsi="Garamond" w:cs="Times New Roman"/>
          <w:b/>
        </w:rPr>
      </w:pPr>
      <w:r w:rsidRPr="0010153C">
        <w:rPr>
          <w:rFonts w:ascii="Garamond" w:eastAsia="Times New Roman" w:hAnsi="Garamond" w:cs="Times New Roman"/>
          <w:b/>
        </w:rPr>
        <w:t>Acknowledgements</w:t>
      </w:r>
    </w:p>
    <w:p w14:paraId="2210B67C" w14:textId="77777777" w:rsidR="001C2630" w:rsidRPr="001C2630" w:rsidRDefault="006D0459" w:rsidP="001C2630">
      <w:pPr>
        <w:pStyle w:val="NormalWeb"/>
        <w:spacing w:before="0" w:beforeAutospacing="0" w:after="0" w:afterAutospacing="0" w:line="480" w:lineRule="auto"/>
        <w:ind w:firstLine="720"/>
        <w:rPr>
          <w:rFonts w:ascii="Garamond" w:hAnsi="Garamond"/>
          <w:color w:val="000000"/>
          <w:sz w:val="24"/>
          <w:szCs w:val="24"/>
        </w:rPr>
      </w:pPr>
      <w:r w:rsidRPr="001C2630">
        <w:rPr>
          <w:rFonts w:ascii="Garamond" w:hAnsi="Garamond"/>
          <w:color w:val="000000"/>
          <w:sz w:val="24"/>
          <w:szCs w:val="24"/>
        </w:rPr>
        <w:t>We gratefully acknowledge Jacquie Howard's editorial assistance and her help both planning and executing the consensus conferen</w:t>
      </w:r>
      <w:r w:rsidRPr="001C2630">
        <w:rPr>
          <w:rFonts w:ascii="Garamond" w:hAnsi="Garamond"/>
          <w:sz w:val="24"/>
          <w:szCs w:val="24"/>
        </w:rPr>
        <w:t>ce.</w:t>
      </w:r>
      <w:r w:rsidR="001C2630" w:rsidRPr="001C2630">
        <w:rPr>
          <w:rFonts w:ascii="Garamond" w:hAnsi="Garamond"/>
          <w:sz w:val="24"/>
          <w:szCs w:val="24"/>
        </w:rPr>
        <w:t xml:space="preserve">  </w:t>
      </w:r>
      <w:r w:rsidR="001C2630" w:rsidRPr="001C2630">
        <w:rPr>
          <w:rFonts w:ascii="Garamond" w:hAnsi="Garamond" w:cs="Arial"/>
          <w:sz w:val="24"/>
          <w:szCs w:val="24"/>
        </w:rPr>
        <w:t xml:space="preserve">We are </w:t>
      </w:r>
      <w:r w:rsidR="001C2630">
        <w:rPr>
          <w:rFonts w:ascii="Garamond" w:hAnsi="Garamond" w:cs="Arial"/>
          <w:sz w:val="24"/>
          <w:szCs w:val="24"/>
        </w:rPr>
        <w:t>also grateful to all of the individuals who attended the consensus conference</w:t>
      </w:r>
      <w:r w:rsidR="001C2630" w:rsidRPr="001C2630">
        <w:rPr>
          <w:rFonts w:ascii="Garamond" w:hAnsi="Garamond" w:cs="Arial"/>
          <w:sz w:val="24"/>
          <w:szCs w:val="24"/>
        </w:rPr>
        <w:t xml:space="preserve"> and roundtable</w:t>
      </w:r>
      <w:r w:rsidR="001C2630">
        <w:rPr>
          <w:rFonts w:ascii="Garamond" w:hAnsi="Garamond" w:cs="Arial"/>
          <w:sz w:val="24"/>
          <w:szCs w:val="24"/>
        </w:rPr>
        <w:t xml:space="preserve"> meeting for their contributions and assistance in generating the ideas reported in this article. </w:t>
      </w:r>
    </w:p>
    <w:p w14:paraId="7635797A" w14:textId="77777777" w:rsidR="006D0459" w:rsidRPr="00DD0532" w:rsidRDefault="006D0459" w:rsidP="005369C0">
      <w:pPr>
        <w:pStyle w:val="NormalWeb"/>
        <w:spacing w:before="0" w:beforeAutospacing="0" w:after="0" w:afterAutospacing="0" w:line="480" w:lineRule="auto"/>
        <w:ind w:firstLine="720"/>
        <w:rPr>
          <w:rFonts w:ascii="Garamond" w:hAnsi="Garamond"/>
          <w:color w:val="000000"/>
          <w:sz w:val="24"/>
          <w:szCs w:val="24"/>
        </w:rPr>
      </w:pPr>
    </w:p>
    <w:p w14:paraId="7C8233A1" w14:textId="77777777" w:rsidR="006D0459" w:rsidRPr="0010153C" w:rsidRDefault="006D0459" w:rsidP="005369C0">
      <w:pPr>
        <w:spacing w:line="480" w:lineRule="auto"/>
        <w:ind w:firstLine="720"/>
        <w:rPr>
          <w:rFonts w:ascii="Garamond" w:eastAsia="Times New Roman" w:hAnsi="Garamond" w:cs="Times New Roman"/>
        </w:rPr>
      </w:pPr>
      <w:r w:rsidRPr="0010153C">
        <w:rPr>
          <w:rFonts w:ascii="Garamond" w:eastAsia="Times New Roman" w:hAnsi="Garamond" w:cs="Times New Roman"/>
        </w:rPr>
        <w:t xml:space="preserve">. </w:t>
      </w:r>
    </w:p>
    <w:p w14:paraId="2A03A080" w14:textId="77777777" w:rsidR="006D0459" w:rsidRPr="00E72840" w:rsidRDefault="006D0459" w:rsidP="005369C0">
      <w:pPr>
        <w:pStyle w:val="p"/>
        <w:spacing w:before="0" w:beforeAutospacing="0" w:after="0" w:afterAutospacing="0" w:line="480" w:lineRule="auto"/>
        <w:ind w:firstLine="720"/>
        <w:rPr>
          <w:rFonts w:ascii="Garamond" w:hAnsi="Garamond" w:cs="Times New Roman"/>
          <w:color w:val="000000"/>
          <w:sz w:val="24"/>
          <w:szCs w:val="24"/>
        </w:rPr>
      </w:pPr>
    </w:p>
    <w:p w14:paraId="68310F76" w14:textId="77777777" w:rsidR="006D0459" w:rsidRPr="006D0459" w:rsidRDefault="006D0459" w:rsidP="006D0459">
      <w:pPr>
        <w:spacing w:line="480" w:lineRule="auto"/>
        <w:rPr>
          <w:rFonts w:ascii="Times New Roman" w:hAnsi="Times New Roman" w:cs="Times New Roman"/>
        </w:rPr>
      </w:pPr>
      <w:r>
        <w:rPr>
          <w:rFonts w:ascii="Times New Roman" w:hAnsi="Times New Roman" w:cs="Times New Roman"/>
        </w:rPr>
        <w:br w:type="page"/>
      </w:r>
    </w:p>
    <w:p w14:paraId="3D2B0E37" w14:textId="77777777" w:rsidR="006D0459" w:rsidRPr="002A40E4" w:rsidRDefault="006D0459" w:rsidP="006D0459">
      <w:pPr>
        <w:pStyle w:val="EndNoteBibliographyTitle"/>
        <w:jc w:val="left"/>
        <w:rPr>
          <w:b/>
          <w:noProof/>
        </w:rPr>
      </w:pPr>
      <w:r w:rsidRPr="002A40E4">
        <w:rPr>
          <w:b/>
          <w:noProof/>
        </w:rPr>
        <w:t>References</w:t>
      </w:r>
    </w:p>
    <w:p w14:paraId="37CD207C" w14:textId="77777777" w:rsidR="006D0459" w:rsidRPr="002A40E4" w:rsidRDefault="006D0459" w:rsidP="005369C0">
      <w:pPr>
        <w:pStyle w:val="EndNoteBibliographyTitle"/>
        <w:rPr>
          <w:b/>
          <w:noProof/>
        </w:rPr>
      </w:pPr>
    </w:p>
    <w:p w14:paraId="5363F9FB" w14:textId="77777777" w:rsidR="006D0459" w:rsidRPr="002A40E4" w:rsidRDefault="00C85DE6" w:rsidP="005369C0">
      <w:pPr>
        <w:pStyle w:val="EndNoteBibliography0"/>
        <w:spacing w:after="240"/>
      </w:pPr>
      <w:r>
        <w:t>1.</w:t>
      </w:r>
      <w:r w:rsidR="006D0459" w:rsidRPr="002A40E4">
        <w:t xml:space="preserve"> Arora S, Yttri J, Nilse W</w:t>
      </w:r>
      <w:r w:rsidR="006D0459">
        <w:t>:</w:t>
      </w:r>
      <w:r w:rsidR="006D0459" w:rsidRPr="002A40E4">
        <w:t xml:space="preserve"> Privacy and security in mobile health (mHealth) research. Alcohol Res </w:t>
      </w:r>
      <w:r w:rsidR="006D0459">
        <w:t>3</w:t>
      </w:r>
      <w:r w:rsidR="006D0459" w:rsidRPr="002A40E4">
        <w:t>:143-151</w:t>
      </w:r>
      <w:r w:rsidR="006D0459">
        <w:t>,</w:t>
      </w:r>
      <w:r w:rsidR="006D0459" w:rsidRPr="006D0459">
        <w:t xml:space="preserve"> </w:t>
      </w:r>
      <w:r w:rsidR="006D0459" w:rsidRPr="002A40E4">
        <w:t>2014</w:t>
      </w:r>
      <w:r w:rsidR="006D0459">
        <w:t>.</w:t>
      </w:r>
    </w:p>
    <w:p w14:paraId="3D79F038" w14:textId="77777777" w:rsidR="006D0459" w:rsidRDefault="006D0459" w:rsidP="005369C0">
      <w:pPr>
        <w:pStyle w:val="EndNoteBibliography0"/>
        <w:spacing w:after="240"/>
      </w:pPr>
      <w:r w:rsidRPr="002A40E4">
        <w:t>2</w:t>
      </w:r>
      <w:r w:rsidR="00C85DE6">
        <w:t>.</w:t>
      </w:r>
      <w:r w:rsidRPr="002A40E4">
        <w:t xml:space="preserve"> Atienza AA, Zarcadoolas C, Vaughon W, Hughes P, Patel V, Chou WY, Pritts J</w:t>
      </w:r>
      <w:r w:rsidR="00892BAD">
        <w:t>:</w:t>
      </w:r>
      <w:r w:rsidRPr="002A40E4">
        <w:t xml:space="preserve"> Consumer attitudes and perceptions on mHealth privacy and security: Findings from a mixed-methods study. J Health Commun</w:t>
      </w:r>
      <w:r>
        <w:t xml:space="preserve"> 20</w:t>
      </w:r>
      <w:r w:rsidRPr="002A40E4">
        <w:t>:673-679</w:t>
      </w:r>
      <w:r>
        <w:t xml:space="preserve">, </w:t>
      </w:r>
      <w:r w:rsidRPr="002A40E4">
        <w:t>2015.</w:t>
      </w:r>
      <w:r w:rsidR="00892BAD">
        <w:t xml:space="preserve"> </w:t>
      </w:r>
      <w:hyperlink r:id="rId7" w:history="1">
        <w:r w:rsidR="00892BAD" w:rsidRPr="00DB45B8">
          <w:rPr>
            <w:rStyle w:val="Hyperlink"/>
          </w:rPr>
          <w:t>https://doi.org/10.1080/10810730.2015.1018560</w:t>
        </w:r>
      </w:hyperlink>
    </w:p>
    <w:p w14:paraId="0A016C9D" w14:textId="77777777" w:rsidR="006D0459" w:rsidRDefault="00C85DE6" w:rsidP="00892BAD">
      <w:pPr>
        <w:rPr>
          <w:rFonts w:ascii="Garamond" w:hAnsi="Garamond"/>
        </w:rPr>
      </w:pPr>
      <w:r>
        <w:rPr>
          <w:rFonts w:ascii="Garamond" w:hAnsi="Garamond"/>
          <w:noProof/>
        </w:rPr>
        <w:t>3.</w:t>
      </w:r>
      <w:r w:rsidR="006D0459" w:rsidRPr="00892BAD">
        <w:rPr>
          <w:rFonts w:ascii="Garamond" w:hAnsi="Garamond"/>
          <w:noProof/>
        </w:rPr>
        <w:t xml:space="preserve"> Batsis JA, Naslund JA, Gill LE, Masutani RK, Agarwal N, Bartels SJ</w:t>
      </w:r>
      <w:r w:rsidR="00892BAD">
        <w:rPr>
          <w:rFonts w:ascii="Garamond" w:hAnsi="Garamond"/>
          <w:noProof/>
        </w:rPr>
        <w:t>:</w:t>
      </w:r>
      <w:r w:rsidR="006D0459" w:rsidRPr="00892BAD">
        <w:rPr>
          <w:rFonts w:ascii="Garamond" w:hAnsi="Garamond"/>
          <w:noProof/>
        </w:rPr>
        <w:t xml:space="preserve"> Use of a </w:t>
      </w:r>
      <w:r w:rsidR="006D0459" w:rsidRPr="00892BAD">
        <w:rPr>
          <w:rFonts w:ascii="Garamond" w:hAnsi="Garamond"/>
        </w:rPr>
        <w:t>wearable activity device in rural older obese adults</w:t>
      </w:r>
      <w:r w:rsidR="006D0459" w:rsidRPr="00892BAD">
        <w:rPr>
          <w:rFonts w:ascii="Garamond" w:hAnsi="Garamond"/>
          <w:noProof/>
        </w:rPr>
        <w:t xml:space="preserve">: A </w:t>
      </w:r>
      <w:r w:rsidR="006D0459" w:rsidRPr="00892BAD">
        <w:rPr>
          <w:rFonts w:ascii="Garamond" w:hAnsi="Garamond"/>
        </w:rPr>
        <w:t>pilot study</w:t>
      </w:r>
      <w:r w:rsidR="006D0459" w:rsidRPr="00892BAD">
        <w:rPr>
          <w:rFonts w:ascii="Garamond" w:hAnsi="Garamond"/>
          <w:noProof/>
        </w:rPr>
        <w:t>. Gerontol Geriatr Med 2:2333721416678076</w:t>
      </w:r>
      <w:r w:rsidR="006D0459" w:rsidRPr="00892BAD">
        <w:rPr>
          <w:rFonts w:ascii="Garamond" w:hAnsi="Garamond"/>
        </w:rPr>
        <w:t>, 2016</w:t>
      </w:r>
      <w:r w:rsidR="006D0459" w:rsidRPr="00892BAD">
        <w:rPr>
          <w:rFonts w:ascii="Garamond" w:hAnsi="Garamond"/>
          <w:noProof/>
        </w:rPr>
        <w:t>.</w:t>
      </w:r>
      <w:r w:rsidR="006D0459" w:rsidRPr="00892BAD">
        <w:rPr>
          <w:rFonts w:ascii="Garamond" w:hAnsi="Garamond"/>
        </w:rPr>
        <w:t xml:space="preserve"> </w:t>
      </w:r>
      <w:hyperlink r:id="rId8" w:history="1">
        <w:r w:rsidR="006D0459" w:rsidRPr="00892BAD">
          <w:rPr>
            <w:rStyle w:val="Hyperlink"/>
            <w:rFonts w:ascii="Garamond" w:hAnsi="Garamond" w:cs="Arial"/>
            <w:color w:val="006ACC"/>
          </w:rPr>
          <w:t>https://doi.org/10.1177/2333721416678076</w:t>
        </w:r>
      </w:hyperlink>
    </w:p>
    <w:p w14:paraId="73B07576" w14:textId="77777777" w:rsidR="00892BAD" w:rsidRPr="00892BAD" w:rsidRDefault="00892BAD" w:rsidP="00892BAD">
      <w:pPr>
        <w:rPr>
          <w:rFonts w:ascii="Garamond" w:eastAsia="Times New Roman" w:hAnsi="Garamond"/>
        </w:rPr>
      </w:pPr>
    </w:p>
    <w:p w14:paraId="53971312" w14:textId="77777777" w:rsidR="006D0459" w:rsidRPr="002A40E4" w:rsidRDefault="006D0459" w:rsidP="005369C0">
      <w:pPr>
        <w:pStyle w:val="EndNoteBibliography0"/>
        <w:spacing w:after="240"/>
      </w:pPr>
      <w:r w:rsidRPr="002A40E4">
        <w:t>4</w:t>
      </w:r>
      <w:r w:rsidR="00C85DE6">
        <w:t>.</w:t>
      </w:r>
      <w:r w:rsidRPr="002A40E4">
        <w:t xml:space="preserve"> Bauer AM, Rue T, Keppel GA, Cole AM, Baldwin LM, Katon W</w:t>
      </w:r>
      <w:r w:rsidR="00892BAD">
        <w:t>:</w:t>
      </w:r>
      <w:r w:rsidRPr="002A40E4">
        <w:t xml:space="preserve"> Use of mobile health (mHealth) tools by primary care patients in the WWAMI region Practice and Research Network (WPRN). J Am Board Fam Med</w:t>
      </w:r>
      <w:r w:rsidR="00892BAD">
        <w:t xml:space="preserve"> 27</w:t>
      </w:r>
      <w:r w:rsidRPr="002A40E4">
        <w:t>:780-788</w:t>
      </w:r>
      <w:r w:rsidR="00892BAD">
        <w:t>,</w:t>
      </w:r>
      <w:r w:rsidR="00892BAD" w:rsidRPr="00892BAD">
        <w:t xml:space="preserve"> </w:t>
      </w:r>
      <w:r w:rsidR="00892BAD" w:rsidRPr="002A40E4">
        <w:t>2014</w:t>
      </w:r>
      <w:r w:rsidR="00892BAD">
        <w:t xml:space="preserve">. </w:t>
      </w:r>
    </w:p>
    <w:p w14:paraId="65C38642" w14:textId="77777777" w:rsidR="006D0459" w:rsidRDefault="006D0459" w:rsidP="005369C0">
      <w:pPr>
        <w:pStyle w:val="EndNoteBibliography0"/>
        <w:spacing w:after="240"/>
      </w:pPr>
      <w:r w:rsidRPr="002A40E4">
        <w:t>5</w:t>
      </w:r>
      <w:r w:rsidR="00C85DE6">
        <w:t>.</w:t>
      </w:r>
      <w:r w:rsidRPr="002A40E4">
        <w:t xml:space="preserve"> Bhattarai P, Newton-John T, Phillips JL</w:t>
      </w:r>
      <w:r w:rsidR="00A7573F">
        <w:t>:</w:t>
      </w:r>
      <w:r w:rsidRPr="002A40E4">
        <w:t xml:space="preserve"> Quality and </w:t>
      </w:r>
      <w:r w:rsidR="006838E4" w:rsidRPr="002A40E4">
        <w:t>usability of arthritic pain self-management apps for older adults</w:t>
      </w:r>
      <w:r w:rsidRPr="002A40E4">
        <w:t xml:space="preserve">: A </w:t>
      </w:r>
      <w:r w:rsidR="006838E4" w:rsidRPr="002A40E4">
        <w:t>systematic review</w:t>
      </w:r>
      <w:r w:rsidRPr="002A40E4">
        <w:t>. Pain Med</w:t>
      </w:r>
      <w:r w:rsidR="006838E4">
        <w:t xml:space="preserve"> 19:471-484,</w:t>
      </w:r>
      <w:r w:rsidRPr="002A40E4">
        <w:t xml:space="preserve"> 201</w:t>
      </w:r>
      <w:r w:rsidR="006838E4">
        <w:t>8</w:t>
      </w:r>
      <w:r w:rsidRPr="002A40E4">
        <w:t>.</w:t>
      </w:r>
      <w:r w:rsidR="006838E4">
        <w:t xml:space="preserve"> </w:t>
      </w:r>
      <w:hyperlink r:id="rId9" w:history="1">
        <w:r w:rsidR="006838E4" w:rsidRPr="00DB45B8">
          <w:rPr>
            <w:rStyle w:val="Hyperlink"/>
          </w:rPr>
          <w:t>https://doi.org/10.1093/pm/pnx090</w:t>
        </w:r>
      </w:hyperlink>
    </w:p>
    <w:p w14:paraId="19028153" w14:textId="77777777" w:rsidR="006D0459" w:rsidRPr="002A40E4" w:rsidRDefault="00C85DE6" w:rsidP="005369C0">
      <w:pPr>
        <w:pStyle w:val="EndNoteBibliography0"/>
        <w:spacing w:after="240"/>
      </w:pPr>
      <w:r>
        <w:t>6.</w:t>
      </w:r>
      <w:r w:rsidR="006838E4">
        <w:t xml:space="preserve"> CITRA</w:t>
      </w:r>
      <w:r w:rsidR="00A7573F">
        <w:t xml:space="preserve"> Report on Research-Practice Consensus Workshop Model (RPCW). Available at: </w:t>
      </w:r>
      <w:hyperlink r:id="rId10" w:history="1">
        <w:r w:rsidR="006D0459" w:rsidRPr="00A7573F">
          <w:rPr>
            <w:rStyle w:val="Hyperlink"/>
          </w:rPr>
          <w:t>http://citra-rpcw.human.cornell.edu</w:t>
        </w:r>
      </w:hyperlink>
      <w:r w:rsidR="006D0459" w:rsidRPr="002A40E4">
        <w:t>.</w:t>
      </w:r>
      <w:r w:rsidR="00A7573F">
        <w:t xml:space="preserve"> Accessed January 24, 2018.</w:t>
      </w:r>
    </w:p>
    <w:p w14:paraId="1027FD7C" w14:textId="77777777" w:rsidR="006D0459" w:rsidRPr="002A40E4" w:rsidRDefault="006D0459" w:rsidP="005369C0">
      <w:pPr>
        <w:pStyle w:val="EndNoteBibliography0"/>
        <w:spacing w:after="240"/>
      </w:pPr>
      <w:r w:rsidRPr="002A40E4">
        <w:t>7</w:t>
      </w:r>
      <w:r w:rsidR="00C85DE6">
        <w:t>.</w:t>
      </w:r>
      <w:r w:rsidRPr="002A40E4">
        <w:t xml:space="preserve"> de la Vega R, Miró J</w:t>
      </w:r>
      <w:r w:rsidR="00A7573F">
        <w:t>:</w:t>
      </w:r>
      <w:r w:rsidRPr="002A40E4">
        <w:t xml:space="preserve"> mHealth: A </w:t>
      </w:r>
      <w:r w:rsidR="00A7573F" w:rsidRPr="002A40E4">
        <w:t>strategic field without a solid scientific soul</w:t>
      </w:r>
      <w:r w:rsidRPr="002A40E4">
        <w:t xml:space="preserve">. A </w:t>
      </w:r>
      <w:r w:rsidR="00A7573F" w:rsidRPr="002A40E4">
        <w:t>systematic review of pain-related apps</w:t>
      </w:r>
      <w:r w:rsidRPr="002A40E4">
        <w:t>. PLoS ONE</w:t>
      </w:r>
      <w:r w:rsidR="00A7573F">
        <w:t xml:space="preserve"> 9</w:t>
      </w:r>
      <w:r w:rsidRPr="002A40E4">
        <w:t>:e101312</w:t>
      </w:r>
      <w:r w:rsidR="00A7573F">
        <w:t>,</w:t>
      </w:r>
      <w:r w:rsidR="00A7573F" w:rsidRPr="00A7573F">
        <w:t xml:space="preserve"> </w:t>
      </w:r>
      <w:r w:rsidR="00A7573F" w:rsidRPr="002A40E4">
        <w:t>2014</w:t>
      </w:r>
      <w:r w:rsidR="00A7573F">
        <w:t>.</w:t>
      </w:r>
    </w:p>
    <w:p w14:paraId="69343797" w14:textId="77777777" w:rsidR="006D0459" w:rsidRPr="002A40E4" w:rsidRDefault="00C85DE6" w:rsidP="005369C0">
      <w:pPr>
        <w:pStyle w:val="EndNoteBibliography0"/>
        <w:spacing w:after="240"/>
      </w:pPr>
      <w:r>
        <w:t>8.</w:t>
      </w:r>
      <w:r w:rsidR="006D0459" w:rsidRPr="002A40E4">
        <w:t xml:space="preserve"> Denny DL, Guido GW</w:t>
      </w:r>
      <w:r w:rsidR="009367CA">
        <w:t>:</w:t>
      </w:r>
      <w:r w:rsidR="006D0459" w:rsidRPr="002A40E4">
        <w:t xml:space="preserve"> Undertreatment of pain in older adults: an application of beneficence. Nurs Ethics</w:t>
      </w:r>
      <w:r w:rsidR="009367CA">
        <w:t xml:space="preserve"> 19</w:t>
      </w:r>
      <w:r w:rsidR="006D0459" w:rsidRPr="002A40E4">
        <w:t>:800-809</w:t>
      </w:r>
      <w:r w:rsidR="009367CA">
        <w:t>,</w:t>
      </w:r>
      <w:r w:rsidR="009367CA" w:rsidRPr="009367CA">
        <w:t xml:space="preserve"> </w:t>
      </w:r>
      <w:r w:rsidR="009367CA" w:rsidRPr="002A40E4">
        <w:t>2012</w:t>
      </w:r>
      <w:r w:rsidR="00C15F53">
        <w:t>.</w:t>
      </w:r>
    </w:p>
    <w:p w14:paraId="134588E1" w14:textId="77777777" w:rsidR="006D0459" w:rsidRPr="002A40E4" w:rsidRDefault="00C85DE6" w:rsidP="005369C0">
      <w:pPr>
        <w:pStyle w:val="EndNoteBibliography0"/>
        <w:spacing w:after="240"/>
      </w:pPr>
      <w:r>
        <w:t>9.</w:t>
      </w:r>
      <w:r w:rsidR="006D0459" w:rsidRPr="002A40E4">
        <w:t xml:space="preserve"> Hudson RB</w:t>
      </w:r>
      <w:r w:rsidR="009367CA">
        <w:t>:</w:t>
      </w:r>
      <w:r w:rsidR="006D0459" w:rsidRPr="002A40E4">
        <w:t xml:space="preserve"> The New Politics of Old Age Policy. Baltimore: Johns Hopkins University Press, 2014.</w:t>
      </w:r>
    </w:p>
    <w:p w14:paraId="6DA0DE3A" w14:textId="77777777" w:rsidR="006D0459" w:rsidRPr="002A40E4" w:rsidRDefault="00C85DE6" w:rsidP="005369C0">
      <w:pPr>
        <w:pStyle w:val="EndNoteBibliography0"/>
        <w:spacing w:after="240"/>
      </w:pPr>
      <w:r>
        <w:t>10.</w:t>
      </w:r>
      <w:r w:rsidR="006D0459" w:rsidRPr="002A40E4">
        <w:t xml:space="preserve"> IMS Institute for Healthcare Informatics. Patient Adoption of mHealth; Use, evidence and remaining barriers to mainstream acceptance., Vol. 2018, 2015.</w:t>
      </w:r>
    </w:p>
    <w:p w14:paraId="4F7A43A4" w14:textId="77777777" w:rsidR="006D0459" w:rsidRPr="002A40E4" w:rsidRDefault="00C85DE6" w:rsidP="005369C0">
      <w:pPr>
        <w:pStyle w:val="EndNoteBibliography0"/>
        <w:spacing w:after="240"/>
      </w:pPr>
      <w:r>
        <w:t>11.</w:t>
      </w:r>
      <w:r w:rsidR="006D0459" w:rsidRPr="002A40E4">
        <w:t xml:space="preserve"> Institute of Medicine (US) Committee on Advancing </w:t>
      </w:r>
      <w:r w:rsidR="009367CA">
        <w:t>Pain Research, Care, and Education:</w:t>
      </w:r>
      <w:r w:rsidR="006D0459" w:rsidRPr="002A40E4">
        <w:t xml:space="preserve">  Relieving Pain in America: A Blueprint for Transforming Prevention, Care, Education, and Research. N</w:t>
      </w:r>
      <w:r w:rsidR="009367CA">
        <w:t xml:space="preserve">ational </w:t>
      </w:r>
      <w:r w:rsidR="006D0459" w:rsidRPr="002A40E4">
        <w:t>A</w:t>
      </w:r>
      <w:r w:rsidR="009367CA">
        <w:t>cademies</w:t>
      </w:r>
      <w:r w:rsidR="006D0459" w:rsidRPr="002A40E4">
        <w:t xml:space="preserve"> Press </w:t>
      </w:r>
      <w:r w:rsidR="009367CA">
        <w:t>(US)</w:t>
      </w:r>
      <w:r w:rsidR="006D0459" w:rsidRPr="002A40E4">
        <w:t>, 2011.</w:t>
      </w:r>
    </w:p>
    <w:p w14:paraId="2081CC10" w14:textId="77777777" w:rsidR="006D0459" w:rsidRPr="002A40E4" w:rsidRDefault="00AC5E91" w:rsidP="005369C0">
      <w:pPr>
        <w:pStyle w:val="EndNoteBibliography0"/>
        <w:spacing w:after="240"/>
      </w:pPr>
      <w:r>
        <w:t>12.</w:t>
      </w:r>
      <w:r w:rsidR="006D0459" w:rsidRPr="002A40E4">
        <w:t xml:space="preserve"> Kim BY, Lee J</w:t>
      </w:r>
      <w:r w:rsidR="00877781">
        <w:t>:</w:t>
      </w:r>
      <w:r w:rsidR="006D0459" w:rsidRPr="002A40E4">
        <w:t xml:space="preserve"> </w:t>
      </w:r>
      <w:r w:rsidR="00877781" w:rsidRPr="002A40E4">
        <w:t>smart devices for older adults managing chronic disease</w:t>
      </w:r>
      <w:r w:rsidR="006D0459" w:rsidRPr="002A40E4">
        <w:t xml:space="preserve">: A </w:t>
      </w:r>
      <w:r w:rsidR="00877781" w:rsidRPr="002A40E4">
        <w:t>scoping review</w:t>
      </w:r>
      <w:r w:rsidR="006D0459" w:rsidRPr="002A40E4">
        <w:t>. JMIR Mhealth Uhealth</w:t>
      </w:r>
      <w:r w:rsidR="009367CA">
        <w:t xml:space="preserve"> 5</w:t>
      </w:r>
      <w:r w:rsidR="006D0459" w:rsidRPr="002A40E4">
        <w:t>:e69</w:t>
      </w:r>
      <w:r w:rsidR="009367CA">
        <w:t>,</w:t>
      </w:r>
      <w:r w:rsidR="009367CA" w:rsidRPr="009367CA">
        <w:t xml:space="preserve"> </w:t>
      </w:r>
      <w:r w:rsidR="009367CA" w:rsidRPr="002A40E4">
        <w:t>2017</w:t>
      </w:r>
      <w:r w:rsidR="009367CA">
        <w:t>.</w:t>
      </w:r>
    </w:p>
    <w:p w14:paraId="2E7E415A" w14:textId="77777777" w:rsidR="006D0459" w:rsidRPr="002A40E4" w:rsidRDefault="006D0459" w:rsidP="005369C0">
      <w:pPr>
        <w:pStyle w:val="EndNoteBibliography0"/>
        <w:spacing w:after="240"/>
      </w:pPr>
      <w:r w:rsidRPr="002A40E4">
        <w:t>13</w:t>
      </w:r>
      <w:r w:rsidR="00AC5E91">
        <w:t>.</w:t>
      </w:r>
      <w:r w:rsidRPr="002A40E4">
        <w:t xml:space="preserve"> Klimova B</w:t>
      </w:r>
      <w:r w:rsidR="00877781">
        <w:t>:</w:t>
      </w:r>
      <w:r w:rsidRPr="002A40E4">
        <w:t xml:space="preserve"> Mobile </w:t>
      </w:r>
      <w:r w:rsidR="00877781" w:rsidRPr="002A40E4">
        <w:t>health devices for aging population groups</w:t>
      </w:r>
      <w:r w:rsidRPr="002A40E4">
        <w:t xml:space="preserve">: A </w:t>
      </w:r>
      <w:r w:rsidR="00877781" w:rsidRPr="002A40E4">
        <w:t>review study</w:t>
      </w:r>
      <w:r w:rsidRPr="002A40E4">
        <w:t xml:space="preserve">. </w:t>
      </w:r>
      <w:r w:rsidR="00877781" w:rsidRPr="00FC7BFA">
        <w:rPr>
          <w:i/>
          <w:color w:val="000000"/>
        </w:rPr>
        <w:t>Int Conference Mob Web Info Syst</w:t>
      </w:r>
      <w:r w:rsidRPr="002A40E4">
        <w:t>, pp. 295-301.</w:t>
      </w:r>
      <w:r w:rsidR="00877781" w:rsidRPr="00877781">
        <w:t xml:space="preserve"> </w:t>
      </w:r>
      <w:r w:rsidR="00877781" w:rsidRPr="002A40E4">
        <w:t>2016.</w:t>
      </w:r>
    </w:p>
    <w:p w14:paraId="3C9DF4BC" w14:textId="77777777" w:rsidR="006D0459" w:rsidRPr="002A40E4" w:rsidRDefault="006D0459" w:rsidP="005369C0">
      <w:pPr>
        <w:pStyle w:val="EndNoteBibliography0"/>
        <w:spacing w:after="240"/>
      </w:pPr>
      <w:r w:rsidRPr="002A40E4">
        <w:t>14</w:t>
      </w:r>
      <w:r w:rsidR="00AC5E91">
        <w:t>.</w:t>
      </w:r>
      <w:r w:rsidRPr="002A40E4">
        <w:t xml:space="preserve"> Kotz D, Gunter CA, Kumar S, Weiner JP</w:t>
      </w:r>
      <w:r w:rsidR="00877781">
        <w:t>:</w:t>
      </w:r>
      <w:r w:rsidRPr="002A40E4">
        <w:t xml:space="preserve"> Privacy </w:t>
      </w:r>
      <w:r w:rsidR="00877781" w:rsidRPr="002A40E4">
        <w:t>and security in mobile health</w:t>
      </w:r>
      <w:r w:rsidRPr="002A40E4">
        <w:t xml:space="preserve">: A </w:t>
      </w:r>
      <w:r w:rsidR="00877781" w:rsidRPr="002A40E4">
        <w:t>research agenda</w:t>
      </w:r>
      <w:r w:rsidRPr="002A40E4">
        <w:t>. Computer</w:t>
      </w:r>
      <w:r w:rsidR="00877781">
        <w:t xml:space="preserve"> 49</w:t>
      </w:r>
      <w:r w:rsidRPr="002A40E4">
        <w:t>:22-30</w:t>
      </w:r>
      <w:r w:rsidR="00877781">
        <w:t>,</w:t>
      </w:r>
      <w:r w:rsidR="00877781" w:rsidRPr="00877781">
        <w:t xml:space="preserve"> </w:t>
      </w:r>
      <w:r w:rsidR="00877781" w:rsidRPr="002A40E4">
        <w:t>2016</w:t>
      </w:r>
      <w:r w:rsidR="00877781">
        <w:t>.</w:t>
      </w:r>
    </w:p>
    <w:p w14:paraId="12C29E60" w14:textId="77777777" w:rsidR="006D0459" w:rsidRPr="002A40E4" w:rsidRDefault="00AC5E91" w:rsidP="005369C0">
      <w:pPr>
        <w:pStyle w:val="EndNoteBibliography0"/>
        <w:spacing w:after="240"/>
      </w:pPr>
      <w:r>
        <w:t>15.</w:t>
      </w:r>
      <w:r w:rsidR="00877781">
        <w:t xml:space="preserve"> Lee JA, Evangelista LS, Moore AA</w:t>
      </w:r>
      <w:r w:rsidR="006D0459" w:rsidRPr="002A40E4">
        <w:t>, Juth V, Guo Y, Gago-Masague S, Lem C, Nguyen M, Khatibi P, Baje M, Amin AN</w:t>
      </w:r>
      <w:r w:rsidR="00877781">
        <w:t>:</w:t>
      </w:r>
      <w:r w:rsidR="006D0459" w:rsidRPr="002A40E4">
        <w:t xml:space="preserve"> Feasibility </w:t>
      </w:r>
      <w:r w:rsidR="00877781" w:rsidRPr="002A40E4">
        <w:t>study of a mobile health intervention for older adults on oral anticoagulation therapy</w:t>
      </w:r>
      <w:r w:rsidR="006D0459" w:rsidRPr="002A40E4">
        <w:t>. Gerontology and Geriatric Medicine 2:1-8</w:t>
      </w:r>
      <w:r w:rsidR="00877781">
        <w:t>,</w:t>
      </w:r>
      <w:r w:rsidR="00877781" w:rsidRPr="00877781">
        <w:t xml:space="preserve"> </w:t>
      </w:r>
      <w:r w:rsidR="00877781">
        <w:t>2016.</w:t>
      </w:r>
    </w:p>
    <w:p w14:paraId="4F4286B1" w14:textId="77777777" w:rsidR="006D0459" w:rsidRPr="002A40E4" w:rsidRDefault="00AC5E91" w:rsidP="005369C0">
      <w:pPr>
        <w:pStyle w:val="EndNoteBibliography0"/>
        <w:spacing w:after="240"/>
      </w:pPr>
      <w:r>
        <w:t>16.</w:t>
      </w:r>
      <w:r w:rsidR="006D0459" w:rsidRPr="002A40E4">
        <w:t xml:space="preserve"> Levine M, Richardson JE, Granieri E, Reid MC</w:t>
      </w:r>
      <w:r w:rsidR="00877781">
        <w:t>:</w:t>
      </w:r>
      <w:r w:rsidR="006D0459" w:rsidRPr="002A40E4">
        <w:t xml:space="preserve"> Novel telemedicine technologies in geriatric chronic non-cancer pain: primary care providers' perspectives. Pain Med</w:t>
      </w:r>
      <w:r w:rsidR="00877781">
        <w:t xml:space="preserve"> 15</w:t>
      </w:r>
      <w:r w:rsidR="006D0459" w:rsidRPr="002A40E4">
        <w:t>:206-213</w:t>
      </w:r>
      <w:r w:rsidR="00877781">
        <w:t>,</w:t>
      </w:r>
      <w:r w:rsidR="00877781" w:rsidRPr="00877781">
        <w:t xml:space="preserve"> </w:t>
      </w:r>
      <w:r w:rsidR="00877781" w:rsidRPr="002A40E4">
        <w:t>2014</w:t>
      </w:r>
      <w:r w:rsidR="00877781">
        <w:t>.</w:t>
      </w:r>
    </w:p>
    <w:p w14:paraId="46360885" w14:textId="77777777" w:rsidR="006D0459" w:rsidRPr="002A40E4" w:rsidRDefault="00AC5E91" w:rsidP="005369C0">
      <w:pPr>
        <w:pStyle w:val="EndNoteBibliography0"/>
        <w:spacing w:after="240"/>
      </w:pPr>
      <w:r>
        <w:t>17.</w:t>
      </w:r>
      <w:r w:rsidR="006D0459" w:rsidRPr="002A40E4">
        <w:t xml:space="preserve"> Makris UE, Abrams RC, Gurland B, Reid MC</w:t>
      </w:r>
      <w:r w:rsidR="00877781">
        <w:t>:</w:t>
      </w:r>
      <w:r w:rsidR="006D0459" w:rsidRPr="002A40E4">
        <w:t xml:space="preserve"> Management of persistent pain in the older patient: a clinical review. JAMA</w:t>
      </w:r>
      <w:r w:rsidR="00877781">
        <w:t xml:space="preserve"> 312</w:t>
      </w:r>
      <w:r w:rsidR="006D0459" w:rsidRPr="002A40E4">
        <w:t>:825-836</w:t>
      </w:r>
      <w:r w:rsidR="00877781">
        <w:t>,</w:t>
      </w:r>
      <w:r w:rsidR="00877781" w:rsidRPr="00877781">
        <w:t xml:space="preserve"> </w:t>
      </w:r>
      <w:r w:rsidR="00877781" w:rsidRPr="002A40E4">
        <w:t>2014</w:t>
      </w:r>
      <w:r w:rsidR="00C15F53">
        <w:t>.</w:t>
      </w:r>
    </w:p>
    <w:p w14:paraId="21F1B674" w14:textId="77777777" w:rsidR="006D0459" w:rsidRPr="002A40E4" w:rsidRDefault="006D0459" w:rsidP="005369C0">
      <w:pPr>
        <w:pStyle w:val="EndNoteBibliography0"/>
        <w:spacing w:after="240"/>
      </w:pPr>
      <w:r w:rsidRPr="002A40E4">
        <w:t>18</w:t>
      </w:r>
      <w:r w:rsidR="00AC5E91">
        <w:t>.</w:t>
      </w:r>
      <w:r w:rsidRPr="002A40E4">
        <w:t xml:space="preserve"> Martin T</w:t>
      </w:r>
      <w:r w:rsidR="00877781">
        <w:t>:</w:t>
      </w:r>
      <w:r w:rsidRPr="002A40E4">
        <w:t xml:space="preserve"> Assessing mHealth: opportunities and barriers to patient engagement. J Health Care Poor Underserved</w:t>
      </w:r>
      <w:r w:rsidR="00877781">
        <w:t xml:space="preserve"> 23</w:t>
      </w:r>
      <w:r w:rsidRPr="002A40E4">
        <w:t>:935-941</w:t>
      </w:r>
      <w:r w:rsidR="00877781">
        <w:t>,</w:t>
      </w:r>
      <w:r w:rsidR="00877781" w:rsidRPr="00877781">
        <w:t xml:space="preserve"> </w:t>
      </w:r>
      <w:r w:rsidR="00877781" w:rsidRPr="002A40E4">
        <w:t>2012</w:t>
      </w:r>
      <w:r w:rsidR="00C15F53">
        <w:t>.</w:t>
      </w:r>
    </w:p>
    <w:p w14:paraId="50F13557" w14:textId="77777777" w:rsidR="006D0459" w:rsidRPr="002A40E4" w:rsidRDefault="00AC5E91" w:rsidP="005369C0">
      <w:pPr>
        <w:pStyle w:val="EndNoteBibliography0"/>
        <w:spacing w:after="240"/>
      </w:pPr>
      <w:r>
        <w:t>19.</w:t>
      </w:r>
      <w:r w:rsidR="006D0459" w:rsidRPr="002A40E4">
        <w:t xml:space="preserve"> McDonald L, Hitzig SL, Pillemer KA, Lachs MS, Beaulieu M, Brownell P, Burnes D, Caspi E, Du Mont J, Gadsby R, Goergen T, Gutman G, Hirst SP, Holmes C, Khattak S, Lowenstein A, Mirza RM, McNeill S, Moorhouse A, Podnieks E, Rideout R, Robitaille A, Rochon PA, Rosenberg J, Sheppard C, Tamblyn Watts L, Thomas C</w:t>
      </w:r>
      <w:r w:rsidR="00877781">
        <w:t>:</w:t>
      </w:r>
      <w:r w:rsidR="006D0459" w:rsidRPr="002A40E4">
        <w:t xml:space="preserve"> Developing a </w:t>
      </w:r>
      <w:r w:rsidR="00877781" w:rsidRPr="002A40E4">
        <w:t>research agenda on resident-to-resident aggression</w:t>
      </w:r>
      <w:r w:rsidR="006D0459" w:rsidRPr="002A40E4">
        <w:t xml:space="preserve">: Recommendations </w:t>
      </w:r>
      <w:r w:rsidR="00877781" w:rsidRPr="002A40E4">
        <w:t xml:space="preserve">from </w:t>
      </w:r>
      <w:r w:rsidR="006D0459" w:rsidRPr="002A40E4">
        <w:t xml:space="preserve">a Consensus Conference. J Elder Abuse Negl </w:t>
      </w:r>
      <w:r w:rsidR="00877781">
        <w:t>27</w:t>
      </w:r>
      <w:r w:rsidR="006D0459" w:rsidRPr="002A40E4">
        <w:t>:146-167</w:t>
      </w:r>
      <w:r w:rsidR="00877781">
        <w:t>,</w:t>
      </w:r>
      <w:r w:rsidR="00877781" w:rsidRPr="00877781">
        <w:t xml:space="preserve"> </w:t>
      </w:r>
      <w:r w:rsidR="00877781">
        <w:t>2015.</w:t>
      </w:r>
    </w:p>
    <w:p w14:paraId="50982318" w14:textId="77777777" w:rsidR="006D0459" w:rsidRPr="002A40E4" w:rsidRDefault="006D0459" w:rsidP="005369C0">
      <w:pPr>
        <w:pStyle w:val="EndNoteBibliography0"/>
        <w:spacing w:after="240"/>
      </w:pPr>
      <w:r w:rsidRPr="002A40E4">
        <w:t>20</w:t>
      </w:r>
      <w:r w:rsidR="00AC5E91">
        <w:t>.</w:t>
      </w:r>
      <w:r w:rsidRPr="002A40E4">
        <w:t xml:space="preserve"> Molton IR, Terrill AL</w:t>
      </w:r>
      <w:r w:rsidR="00877781">
        <w:t>:</w:t>
      </w:r>
      <w:r w:rsidRPr="002A40E4">
        <w:t xml:space="preserve"> Overview of persistent pain in older adults. Am</w:t>
      </w:r>
      <w:r w:rsidR="00C15F53">
        <w:t xml:space="preserve"> </w:t>
      </w:r>
      <w:r w:rsidRPr="002A40E4">
        <w:t>Psychol</w:t>
      </w:r>
      <w:r w:rsidR="00877781">
        <w:t xml:space="preserve"> 69</w:t>
      </w:r>
      <w:r w:rsidRPr="002A40E4">
        <w:t>:197-207</w:t>
      </w:r>
      <w:r w:rsidR="00877781">
        <w:t>,</w:t>
      </w:r>
      <w:r w:rsidR="00877781" w:rsidRPr="00877781">
        <w:t xml:space="preserve"> </w:t>
      </w:r>
      <w:r w:rsidR="00877781" w:rsidRPr="002A40E4">
        <w:t>2014</w:t>
      </w:r>
      <w:r w:rsidR="00877781">
        <w:t>.</w:t>
      </w:r>
    </w:p>
    <w:p w14:paraId="77873D69" w14:textId="77777777" w:rsidR="006D0459" w:rsidRPr="002A40E4" w:rsidRDefault="006D0459" w:rsidP="005369C0">
      <w:pPr>
        <w:pStyle w:val="EndNoteBibliography0"/>
        <w:spacing w:after="240"/>
      </w:pPr>
      <w:r w:rsidRPr="002A40E4">
        <w:t>21</w:t>
      </w:r>
      <w:r w:rsidR="00AC5E91">
        <w:t>.</w:t>
      </w:r>
      <w:r w:rsidRPr="002A40E4">
        <w:t xml:space="preserve"> Müller AM, Khoo S, Morris T</w:t>
      </w:r>
      <w:r w:rsidR="00C15F53">
        <w:t>:</w:t>
      </w:r>
      <w:r w:rsidRPr="002A40E4">
        <w:t xml:space="preserve"> Text </w:t>
      </w:r>
      <w:r w:rsidR="00877781" w:rsidRPr="002A40E4">
        <w:t>messaging for exercise promotion in older adults from an upper-middle-income country</w:t>
      </w:r>
      <w:r w:rsidRPr="002A40E4">
        <w:t xml:space="preserve">: Randomized </w:t>
      </w:r>
      <w:r w:rsidR="00877781" w:rsidRPr="002A40E4">
        <w:t>controlled trial.</w:t>
      </w:r>
      <w:r w:rsidR="003E26D2">
        <w:t xml:space="preserve"> J Med Internet Res</w:t>
      </w:r>
      <w:r w:rsidRPr="002A40E4">
        <w:t xml:space="preserve"> </w:t>
      </w:r>
      <w:r w:rsidR="003E26D2">
        <w:t>18</w:t>
      </w:r>
      <w:r w:rsidRPr="002A40E4">
        <w:t>:e5</w:t>
      </w:r>
      <w:r w:rsidR="003E26D2">
        <w:t>,</w:t>
      </w:r>
      <w:r w:rsidR="003E26D2" w:rsidRPr="003E26D2">
        <w:t xml:space="preserve"> </w:t>
      </w:r>
      <w:r w:rsidR="003E26D2" w:rsidRPr="002A40E4">
        <w:t>2016</w:t>
      </w:r>
      <w:r w:rsidR="003E26D2">
        <w:t>.</w:t>
      </w:r>
    </w:p>
    <w:p w14:paraId="1A4BE25A" w14:textId="77777777" w:rsidR="006D0459" w:rsidRPr="002A40E4" w:rsidRDefault="006D0459" w:rsidP="005369C0">
      <w:pPr>
        <w:pStyle w:val="EndNoteBibliography0"/>
        <w:spacing w:after="240"/>
      </w:pPr>
      <w:r w:rsidRPr="002A40E4">
        <w:t>22</w:t>
      </w:r>
      <w:r w:rsidR="00AC5E91">
        <w:t>.</w:t>
      </w:r>
      <w:r w:rsidRPr="002A40E4">
        <w:t xml:space="preserve"> National Institute on Aging, National Institutes of Health, US Department of Health and Human Services, US Department of State. Why Population Agin</w:t>
      </w:r>
      <w:r w:rsidR="003E26D2">
        <w:t>g Matters: A Global Perspective</w:t>
      </w:r>
      <w:r w:rsidRPr="002A40E4">
        <w:t xml:space="preserve">, </w:t>
      </w:r>
      <w:r w:rsidR="003E26D2">
        <w:t xml:space="preserve"> Available at:</w:t>
      </w:r>
      <w:r w:rsidR="003E26D2" w:rsidRPr="00FC7BFA">
        <w:rPr>
          <w:lang w:val="en-GB"/>
        </w:rPr>
        <w:t xml:space="preserve"> </w:t>
      </w:r>
      <w:hyperlink r:id="rId11" w:history="1">
        <w:r w:rsidR="003E26D2" w:rsidRPr="003E26D2">
          <w:rPr>
            <w:rStyle w:val="Hyperlink"/>
            <w:lang w:val="en-GB"/>
          </w:rPr>
          <w:t>https://www.nia.nih.gov/sites/default/files/2017-06/WPAM.pdf</w:t>
        </w:r>
      </w:hyperlink>
      <w:r w:rsidR="003E26D2">
        <w:rPr>
          <w:lang w:val="en-GB"/>
        </w:rPr>
        <w:t xml:space="preserve"> . </w:t>
      </w:r>
      <w:r w:rsidR="003E26D2">
        <w:t>Accessed January 24, 2018.</w:t>
      </w:r>
    </w:p>
    <w:p w14:paraId="6C375E40" w14:textId="77777777" w:rsidR="006D0459" w:rsidRPr="002A40E4" w:rsidRDefault="006D0459" w:rsidP="005369C0">
      <w:pPr>
        <w:pStyle w:val="EndNoteBibliography0"/>
        <w:spacing w:after="240"/>
      </w:pPr>
      <w:r w:rsidRPr="002A40E4">
        <w:t>23</w:t>
      </w:r>
      <w:r w:rsidR="00AC5E91">
        <w:t>.</w:t>
      </w:r>
      <w:r w:rsidRPr="002A40E4">
        <w:t xml:space="preserve"> National Science and Technology Council. Federal Health Information Technology Research and Development Strategic Framewor</w:t>
      </w:r>
      <w:r w:rsidR="003E26D2">
        <w:t>k. </w:t>
      </w:r>
      <w:r w:rsidRPr="002A40E4">
        <w:t>Networking and Information Technology Research and Development Subcommittee.</w:t>
      </w:r>
      <w:r w:rsidR="003E26D2">
        <w:t xml:space="preserve"> Draft for Public. Available at: </w:t>
      </w:r>
      <w:hyperlink r:id="rId12" w:history="1">
        <w:r w:rsidR="003E26D2" w:rsidRPr="003E26D2">
          <w:rPr>
            <w:rStyle w:val="Hyperlink"/>
          </w:rPr>
          <w:t>https://nitrd.gov</w:t>
        </w:r>
      </w:hyperlink>
      <w:r w:rsidR="003E26D2">
        <w:t>. Accessed January 24, 2018.</w:t>
      </w:r>
    </w:p>
    <w:p w14:paraId="2327A900" w14:textId="77777777" w:rsidR="006D0459" w:rsidRPr="002A40E4" w:rsidRDefault="006D0459" w:rsidP="005369C0">
      <w:pPr>
        <w:pStyle w:val="EndNoteBibliography0"/>
        <w:spacing w:after="240"/>
      </w:pPr>
      <w:r w:rsidRPr="002A40E4">
        <w:t>24</w:t>
      </w:r>
      <w:r w:rsidR="00AC5E91">
        <w:t>.</w:t>
      </w:r>
      <w:r w:rsidRPr="002A40E4">
        <w:t xml:space="preserve"> Parker SJ, Jessel S, Richardson JE, Reid MC, Helme RD, Gibson SJ</w:t>
      </w:r>
      <w:r w:rsidR="003E26D2">
        <w:t>:</w:t>
      </w:r>
      <w:r w:rsidRPr="002A40E4">
        <w:t xml:space="preserve"> Older adults are mobile too!</w:t>
      </w:r>
      <w:r w:rsidR="003E26D2">
        <w:t xml:space="preserve"> </w:t>
      </w:r>
      <w:r w:rsidRPr="002A40E4">
        <w:t xml:space="preserve">Identifying the barriers and facilitators to older adults’ use of mHealth for pain management. BMC Geriatr </w:t>
      </w:r>
      <w:r w:rsidR="003E26D2">
        <w:t>13</w:t>
      </w:r>
      <w:r w:rsidRPr="002A40E4">
        <w:t>:43</w:t>
      </w:r>
      <w:r w:rsidR="003E26D2">
        <w:t>,</w:t>
      </w:r>
      <w:r w:rsidR="003E26D2" w:rsidRPr="003E26D2">
        <w:t xml:space="preserve"> </w:t>
      </w:r>
      <w:r w:rsidR="003E26D2">
        <w:t>2013.</w:t>
      </w:r>
    </w:p>
    <w:p w14:paraId="438B2045" w14:textId="77777777" w:rsidR="006D0459" w:rsidRPr="002A40E4" w:rsidRDefault="006D0459" w:rsidP="005369C0">
      <w:pPr>
        <w:pStyle w:val="EndNoteBibliography0"/>
        <w:spacing w:after="240"/>
      </w:pPr>
      <w:r w:rsidRPr="002A40E4">
        <w:t>25</w:t>
      </w:r>
      <w:r w:rsidR="00AC5E91">
        <w:t>.</w:t>
      </w:r>
      <w:r w:rsidRPr="002A40E4">
        <w:t xml:space="preserve"> Pillemer K, Breckman R, Sweeney CD, Brownell P, Fulmer T, Berman J, Brown E, Laureano E, Lachs MS</w:t>
      </w:r>
      <w:r w:rsidR="008E422E">
        <w:t>:</w:t>
      </w:r>
      <w:r w:rsidRPr="002A40E4">
        <w:t xml:space="preserve"> Practitioners’ </w:t>
      </w:r>
      <w:r w:rsidR="008E422E" w:rsidRPr="002A40E4">
        <w:t>views on elder mistreatment research priorities</w:t>
      </w:r>
      <w:r w:rsidRPr="002A40E4">
        <w:t xml:space="preserve">: Recommendations from a Research-to-Practice Consensus Conference. </w:t>
      </w:r>
      <w:r w:rsidR="00C15F53">
        <w:t xml:space="preserve">J Elder Abuse Negl </w:t>
      </w:r>
      <w:r w:rsidR="008E422E">
        <w:t>23</w:t>
      </w:r>
      <w:r w:rsidRPr="002A40E4">
        <w:t>:115-126</w:t>
      </w:r>
      <w:r w:rsidR="008E422E">
        <w:t>,</w:t>
      </w:r>
      <w:r w:rsidR="008E422E" w:rsidRPr="008E422E">
        <w:t xml:space="preserve"> </w:t>
      </w:r>
      <w:r w:rsidR="008E422E" w:rsidRPr="002A40E4">
        <w:t>2011</w:t>
      </w:r>
      <w:r w:rsidR="008E422E">
        <w:t>.</w:t>
      </w:r>
    </w:p>
    <w:p w14:paraId="4B61C48B" w14:textId="77777777" w:rsidR="006D0459" w:rsidRPr="002A40E4" w:rsidRDefault="006D0459" w:rsidP="005369C0">
      <w:pPr>
        <w:pStyle w:val="EndNoteBibliography0"/>
        <w:spacing w:after="240"/>
      </w:pPr>
      <w:r w:rsidRPr="002A40E4">
        <w:t>26</w:t>
      </w:r>
      <w:r w:rsidR="00AC5E91">
        <w:t>.</w:t>
      </w:r>
      <w:r w:rsidRPr="002A40E4">
        <w:t xml:space="preserve"> Pillemer K, Chen EK, Riffin C, Prigerson H, Reid MC</w:t>
      </w:r>
      <w:r w:rsidR="008E422E">
        <w:t>:</w:t>
      </w:r>
      <w:r w:rsidRPr="002A40E4">
        <w:t xml:space="preserve"> Practice-Based Research Priorities for Palliative Care: Results From a Research-to-Practice Consensus Workshop. Am J Public Health 2015;105(11):2237-2244.</w:t>
      </w:r>
    </w:p>
    <w:p w14:paraId="00BDDB4C" w14:textId="77777777" w:rsidR="006D0459" w:rsidRPr="002A40E4" w:rsidRDefault="006D0459" w:rsidP="005369C0">
      <w:pPr>
        <w:pStyle w:val="EndNoteBibliography0"/>
        <w:spacing w:after="240"/>
      </w:pPr>
      <w:r w:rsidRPr="002A40E4">
        <w:t>27</w:t>
      </w:r>
      <w:r w:rsidR="00AC5E91">
        <w:t>.</w:t>
      </w:r>
      <w:r w:rsidRPr="002A40E4">
        <w:t xml:space="preserve"> Portelli P, Eldred C</w:t>
      </w:r>
      <w:r w:rsidR="008E422E">
        <w:t>:</w:t>
      </w:r>
      <w:r w:rsidRPr="002A40E4">
        <w:t xml:space="preserve"> A quality review of smartphone applications for the management of pain. Br J Pain </w:t>
      </w:r>
      <w:r w:rsidR="008E422E">
        <w:t>10</w:t>
      </w:r>
      <w:r w:rsidRPr="002A40E4">
        <w:t>:135-140</w:t>
      </w:r>
      <w:r w:rsidR="008E422E">
        <w:t>,</w:t>
      </w:r>
      <w:r w:rsidR="008E422E" w:rsidRPr="008E422E">
        <w:t xml:space="preserve"> </w:t>
      </w:r>
      <w:r w:rsidR="008E422E" w:rsidRPr="002A40E4">
        <w:t>2016</w:t>
      </w:r>
      <w:r w:rsidR="008E422E">
        <w:t>.</w:t>
      </w:r>
    </w:p>
    <w:p w14:paraId="0E929B13" w14:textId="77777777" w:rsidR="006D0459" w:rsidRPr="002A40E4" w:rsidRDefault="006D0459" w:rsidP="005369C0">
      <w:pPr>
        <w:pStyle w:val="EndNoteBibliography0"/>
        <w:spacing w:after="240"/>
      </w:pPr>
      <w:r w:rsidRPr="002A40E4">
        <w:t>28</w:t>
      </w:r>
      <w:r w:rsidR="00AC5E91">
        <w:t>.</w:t>
      </w:r>
      <w:r w:rsidRPr="002A40E4">
        <w:t xml:space="preserve"> Poushter J</w:t>
      </w:r>
      <w:r w:rsidR="00B71D30">
        <w:t xml:space="preserve">: </w:t>
      </w:r>
      <w:r w:rsidR="008E422E">
        <w:t xml:space="preserve">Smartphone ownership and internet usage continues to climb in emerging economies. Avalable at: </w:t>
      </w:r>
      <w:r w:rsidRPr="002A40E4">
        <w:t xml:space="preserve"> </w:t>
      </w:r>
      <w:hyperlink r:id="rId13" w:history="1">
        <w:r w:rsidRPr="008E422E">
          <w:rPr>
            <w:rStyle w:val="Hyperlink"/>
          </w:rPr>
          <w:t>http://www.pewglobal.org/2016/02/22/smartphone-ownership-and-internet-usage-continues-to-climb-in-emerging-economies/</w:t>
        </w:r>
      </w:hyperlink>
      <w:r w:rsidR="00B71D30">
        <w:t xml:space="preserve">. </w:t>
      </w:r>
      <w:r w:rsidRPr="002A40E4">
        <w:t xml:space="preserve"> </w:t>
      </w:r>
      <w:r w:rsidR="00B71D30">
        <w:t>Accessed January 24, 2018.</w:t>
      </w:r>
    </w:p>
    <w:p w14:paraId="2953DEAE" w14:textId="77777777" w:rsidR="006D0459" w:rsidRPr="002A40E4" w:rsidRDefault="006D0459" w:rsidP="005369C0">
      <w:pPr>
        <w:pStyle w:val="EndNoteBibliography0"/>
        <w:spacing w:after="240"/>
      </w:pPr>
      <w:r w:rsidRPr="002A40E4">
        <w:t>29</w:t>
      </w:r>
      <w:r w:rsidR="00AC5E91">
        <w:t>.</w:t>
      </w:r>
      <w:r w:rsidRPr="002A40E4">
        <w:t xml:space="preserve"> Reid MC, Eccleston C, Pillemer K</w:t>
      </w:r>
      <w:r w:rsidR="00B71D30">
        <w:t>:</w:t>
      </w:r>
      <w:r w:rsidRPr="002A40E4">
        <w:t xml:space="preserve"> Management of chronic pain in older adults. BMJ 350:h532</w:t>
      </w:r>
      <w:r w:rsidR="00B71D30">
        <w:t>,</w:t>
      </w:r>
      <w:r w:rsidR="00B71D30" w:rsidRPr="00B71D30">
        <w:t xml:space="preserve"> </w:t>
      </w:r>
      <w:r w:rsidR="00B71D30" w:rsidRPr="002A40E4">
        <w:t>2015</w:t>
      </w:r>
      <w:r w:rsidR="00B71D30">
        <w:t>.</w:t>
      </w:r>
    </w:p>
    <w:p w14:paraId="11926FB9" w14:textId="77777777" w:rsidR="006D0459" w:rsidRPr="002A40E4" w:rsidRDefault="006D0459" w:rsidP="005369C0">
      <w:pPr>
        <w:pStyle w:val="EndNoteBibliography0"/>
        <w:spacing w:after="240"/>
      </w:pPr>
      <w:r w:rsidRPr="002A40E4">
        <w:t>30</w:t>
      </w:r>
      <w:r w:rsidR="00AC5E91">
        <w:t>.</w:t>
      </w:r>
      <w:r w:rsidRPr="002A40E4">
        <w:t xml:space="preserve"> Sabir M, Breckman R, Meador R, Wethington E, Reid MC, Pillemer K</w:t>
      </w:r>
      <w:r w:rsidR="00B71D30">
        <w:t>:</w:t>
      </w:r>
      <w:r w:rsidRPr="002A40E4">
        <w:t xml:space="preserve"> The CITRA research-practice consensus-workshop model: exploring a new method of research translation in aging. Gerontologist </w:t>
      </w:r>
      <w:r w:rsidR="00B71D30">
        <w:t>46:833-839,</w:t>
      </w:r>
      <w:r w:rsidR="00B71D30" w:rsidRPr="00B71D30">
        <w:t xml:space="preserve"> </w:t>
      </w:r>
      <w:r w:rsidR="00B71D30" w:rsidRPr="002A40E4">
        <w:t>2006</w:t>
      </w:r>
      <w:r w:rsidR="00B71D30">
        <w:t>.</w:t>
      </w:r>
    </w:p>
    <w:p w14:paraId="39D4D85F" w14:textId="77777777" w:rsidR="006D0459" w:rsidRPr="002A40E4" w:rsidRDefault="00B71D30" w:rsidP="005369C0">
      <w:pPr>
        <w:pStyle w:val="EndNoteBibliography0"/>
        <w:spacing w:after="240"/>
      </w:pPr>
      <w:r>
        <w:t>31</w:t>
      </w:r>
      <w:r w:rsidR="00AC5E91">
        <w:t>.</w:t>
      </w:r>
      <w:r>
        <w:t xml:space="preserve"> Venn-Watson E: Embracing security challenges. Available at: </w:t>
      </w:r>
      <w:r w:rsidR="006D0459" w:rsidRPr="002A40E4">
        <w:t xml:space="preserve"> </w:t>
      </w:r>
      <w:hyperlink r:id="rId14" w:history="1">
        <w:r w:rsidR="006D0459" w:rsidRPr="00B71D30">
          <w:rPr>
            <w:rStyle w:val="Hyperlink"/>
          </w:rPr>
          <w:t>https://mobilehealthmatters.com/2015/02/24/embracing-security-challenges</w:t>
        </w:r>
      </w:hyperlink>
      <w:r>
        <w:t>. Accessed January 24, 2018</w:t>
      </w:r>
      <w:r w:rsidR="006D0459" w:rsidRPr="002A40E4">
        <w:t>.</w:t>
      </w:r>
    </w:p>
    <w:p w14:paraId="357D93A2" w14:textId="77777777" w:rsidR="006D0459" w:rsidRPr="002A40E4" w:rsidRDefault="006D0459" w:rsidP="005369C0">
      <w:pPr>
        <w:pStyle w:val="EndNoteBibliography0"/>
        <w:spacing w:after="240"/>
      </w:pPr>
      <w:r w:rsidRPr="002A40E4">
        <w:t>32</w:t>
      </w:r>
      <w:r w:rsidR="00AC5E91">
        <w:t>.</w:t>
      </w:r>
      <w:r w:rsidRPr="002A40E4">
        <w:t xml:space="preserve"> Wallace LS, Dhingra LK</w:t>
      </w:r>
      <w:r w:rsidR="00B71D30">
        <w:t>:</w:t>
      </w:r>
      <w:r w:rsidRPr="002A40E4">
        <w:t xml:space="preserve"> A systematic review of smartphone applications for chronic pain available for download in the United States. J Opioid Manag </w:t>
      </w:r>
      <w:r w:rsidR="00B71D30">
        <w:t>10</w:t>
      </w:r>
      <w:r w:rsidRPr="002A40E4">
        <w:t>:63-68</w:t>
      </w:r>
      <w:r w:rsidR="00B71D30">
        <w:t>,</w:t>
      </w:r>
      <w:r w:rsidR="00B71D30" w:rsidRPr="00B71D30">
        <w:t xml:space="preserve"> </w:t>
      </w:r>
      <w:r w:rsidR="00B71D30" w:rsidRPr="002A40E4">
        <w:t>2014</w:t>
      </w:r>
      <w:r w:rsidR="00B71D30">
        <w:t>.</w:t>
      </w:r>
    </w:p>
    <w:p w14:paraId="2D958B37" w14:textId="77777777" w:rsidR="006D0459" w:rsidRPr="002A40E4" w:rsidRDefault="006D0459" w:rsidP="005369C0">
      <w:pPr>
        <w:pStyle w:val="EndNoteBibliography0"/>
      </w:pPr>
      <w:r w:rsidRPr="002A40E4">
        <w:t>33</w:t>
      </w:r>
      <w:r w:rsidR="00AC5E91">
        <w:t>.</w:t>
      </w:r>
      <w:r w:rsidRPr="002A40E4">
        <w:t xml:space="preserve"> World Health Organization. mHealth: New </w:t>
      </w:r>
      <w:r w:rsidR="00B71D30" w:rsidRPr="002A40E4">
        <w:t>horizons for health through mobile technologies</w:t>
      </w:r>
      <w:r w:rsidRPr="002A40E4">
        <w:t xml:space="preserve">. Second </w:t>
      </w:r>
      <w:r w:rsidR="00B71D30" w:rsidRPr="002A40E4">
        <w:t>global survey on ehealth</w:t>
      </w:r>
      <w:r w:rsidRPr="002A40E4">
        <w:t>. Geneva, Switzerland: W</w:t>
      </w:r>
      <w:r w:rsidR="00B71D30" w:rsidRPr="002A40E4">
        <w:t>HO</w:t>
      </w:r>
      <w:r w:rsidRPr="002A40E4">
        <w:t xml:space="preserve"> Press, 2011.</w:t>
      </w:r>
    </w:p>
    <w:p w14:paraId="5D0A7CE5" w14:textId="77777777" w:rsidR="006D0459" w:rsidRPr="00FC7BFA" w:rsidRDefault="006D0459" w:rsidP="006D0459">
      <w:pPr>
        <w:pStyle w:val="ListParagraph"/>
        <w:spacing w:line="480" w:lineRule="auto"/>
        <w:rPr>
          <w:rFonts w:ascii="Garamond" w:hAnsi="Garamond"/>
        </w:rPr>
      </w:pPr>
    </w:p>
    <w:p w14:paraId="766634B4" w14:textId="77777777" w:rsidR="002F39A9" w:rsidRDefault="002F39A9"/>
    <w:sectPr w:rsidR="002F39A9" w:rsidSect="005369C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66DD" w14:textId="77777777" w:rsidR="004F4DD2" w:rsidRDefault="004F4DD2">
      <w:r>
        <w:separator/>
      </w:r>
    </w:p>
  </w:endnote>
  <w:endnote w:type="continuationSeparator" w:id="0">
    <w:p w14:paraId="585D0AA2" w14:textId="77777777" w:rsidR="004F4DD2" w:rsidRDefault="004F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83" w:usb1="08070000" w:usb2="00000010" w:usb3="00000000" w:csb0="00020009" w:csb1="00000000"/>
  </w:font>
  <w:font w:name="SegoeUI">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5072"/>
      <w:docPartObj>
        <w:docPartGallery w:val="Page Numbers (Bottom of Page)"/>
        <w:docPartUnique/>
      </w:docPartObj>
    </w:sdtPr>
    <w:sdtEndPr>
      <w:rPr>
        <w:rFonts w:ascii="Garamond" w:hAnsi="Garamond"/>
        <w:noProof/>
      </w:rPr>
    </w:sdtEndPr>
    <w:sdtContent>
      <w:p w14:paraId="0D7DDDC5" w14:textId="51DDDEC9" w:rsidR="00C400A1" w:rsidRPr="00074FC6" w:rsidRDefault="00C400A1">
        <w:pPr>
          <w:pStyle w:val="Footer"/>
          <w:jc w:val="right"/>
          <w:rPr>
            <w:rFonts w:ascii="Garamond" w:hAnsi="Garamond"/>
          </w:rPr>
        </w:pPr>
        <w:r w:rsidRPr="00074FC6">
          <w:rPr>
            <w:rFonts w:ascii="Garamond" w:hAnsi="Garamond"/>
          </w:rPr>
          <w:fldChar w:fldCharType="begin"/>
        </w:r>
        <w:r w:rsidRPr="00074FC6">
          <w:rPr>
            <w:rFonts w:ascii="Garamond" w:hAnsi="Garamond"/>
          </w:rPr>
          <w:instrText xml:space="preserve"> PAGE   \* MERGEFORMAT </w:instrText>
        </w:r>
        <w:r w:rsidRPr="00074FC6">
          <w:rPr>
            <w:rFonts w:ascii="Garamond" w:hAnsi="Garamond"/>
          </w:rPr>
          <w:fldChar w:fldCharType="separate"/>
        </w:r>
        <w:r w:rsidR="003D328B">
          <w:rPr>
            <w:rFonts w:ascii="Garamond" w:hAnsi="Garamond"/>
            <w:noProof/>
          </w:rPr>
          <w:t>1</w:t>
        </w:r>
        <w:r w:rsidRPr="00074FC6">
          <w:rPr>
            <w:rFonts w:ascii="Garamond" w:hAnsi="Garamond"/>
            <w:noProof/>
          </w:rPr>
          <w:fldChar w:fldCharType="end"/>
        </w:r>
      </w:p>
    </w:sdtContent>
  </w:sdt>
  <w:p w14:paraId="30B193BA" w14:textId="77777777" w:rsidR="00C400A1" w:rsidRDefault="00C4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5379F" w14:textId="77777777" w:rsidR="004F4DD2" w:rsidRDefault="004F4DD2">
      <w:r>
        <w:separator/>
      </w:r>
    </w:p>
  </w:footnote>
  <w:footnote w:type="continuationSeparator" w:id="0">
    <w:p w14:paraId="7C87B7B4" w14:textId="77777777" w:rsidR="004F4DD2" w:rsidRDefault="004F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60FA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5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5EA2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5211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C4A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7063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EAD1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3A3B36"/>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E8DCF4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87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867FC"/>
    <w:multiLevelType w:val="hybridMultilevel"/>
    <w:tmpl w:val="1BB2C36E"/>
    <w:lvl w:ilvl="0" w:tplc="EE189A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72DAB"/>
    <w:multiLevelType w:val="hybridMultilevel"/>
    <w:tmpl w:val="4CC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D301C"/>
    <w:multiLevelType w:val="hybridMultilevel"/>
    <w:tmpl w:val="78327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AD0176"/>
    <w:multiLevelType w:val="hybridMultilevel"/>
    <w:tmpl w:val="936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33F4"/>
    <w:multiLevelType w:val="hybridMultilevel"/>
    <w:tmpl w:val="D62A8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798A"/>
    <w:multiLevelType w:val="hybridMultilevel"/>
    <w:tmpl w:val="EE40D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CD7749"/>
    <w:multiLevelType w:val="hybridMultilevel"/>
    <w:tmpl w:val="930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94A99"/>
    <w:multiLevelType w:val="hybridMultilevel"/>
    <w:tmpl w:val="2E5C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2"/>
  </w:num>
  <w:num w:numId="4">
    <w:abstractNumId w:val="14"/>
  </w:num>
  <w:num w:numId="5">
    <w:abstractNumId w:val="17"/>
  </w:num>
  <w:num w:numId="6">
    <w:abstractNumId w:val="7"/>
  </w:num>
  <w:num w:numId="7">
    <w:abstractNumId w:val="10"/>
  </w:num>
  <w:num w:numId="8">
    <w:abstractNumId w:val="11"/>
  </w:num>
  <w:num w:numId="9">
    <w:abstractNumId w:val="16"/>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1&lt;/Suspended&gt;&lt;/ENInstantFormat&gt;"/>
  </w:docVars>
  <w:rsids>
    <w:rsidRoot w:val="006D0459"/>
    <w:rsid w:val="00002637"/>
    <w:rsid w:val="0001433F"/>
    <w:rsid w:val="000251F2"/>
    <w:rsid w:val="00031401"/>
    <w:rsid w:val="00063395"/>
    <w:rsid w:val="00066E49"/>
    <w:rsid w:val="000957CB"/>
    <w:rsid w:val="00174725"/>
    <w:rsid w:val="001C2630"/>
    <w:rsid w:val="002F39A9"/>
    <w:rsid w:val="00307F71"/>
    <w:rsid w:val="003213E1"/>
    <w:rsid w:val="00342897"/>
    <w:rsid w:val="0035712F"/>
    <w:rsid w:val="00377383"/>
    <w:rsid w:val="00382986"/>
    <w:rsid w:val="0038660F"/>
    <w:rsid w:val="003A2E2A"/>
    <w:rsid w:val="003A436A"/>
    <w:rsid w:val="003D328B"/>
    <w:rsid w:val="003E26D2"/>
    <w:rsid w:val="00401ECB"/>
    <w:rsid w:val="004540D3"/>
    <w:rsid w:val="00473EC6"/>
    <w:rsid w:val="004F4DD2"/>
    <w:rsid w:val="005369C0"/>
    <w:rsid w:val="00544D0E"/>
    <w:rsid w:val="00564749"/>
    <w:rsid w:val="00566B01"/>
    <w:rsid w:val="006838E4"/>
    <w:rsid w:val="006D0459"/>
    <w:rsid w:val="00704A2F"/>
    <w:rsid w:val="0074456D"/>
    <w:rsid w:val="00755453"/>
    <w:rsid w:val="00777F4E"/>
    <w:rsid w:val="007A762E"/>
    <w:rsid w:val="0080628E"/>
    <w:rsid w:val="008230BA"/>
    <w:rsid w:val="00843195"/>
    <w:rsid w:val="00876E6D"/>
    <w:rsid w:val="00877781"/>
    <w:rsid w:val="00892BAD"/>
    <w:rsid w:val="008A3AA5"/>
    <w:rsid w:val="008C1E2B"/>
    <w:rsid w:val="008E422E"/>
    <w:rsid w:val="009067A4"/>
    <w:rsid w:val="00915999"/>
    <w:rsid w:val="009367CA"/>
    <w:rsid w:val="009C67AD"/>
    <w:rsid w:val="00A2097F"/>
    <w:rsid w:val="00A33676"/>
    <w:rsid w:val="00A4705F"/>
    <w:rsid w:val="00A50041"/>
    <w:rsid w:val="00A7573F"/>
    <w:rsid w:val="00AB0E94"/>
    <w:rsid w:val="00AB2A2E"/>
    <w:rsid w:val="00AC5E91"/>
    <w:rsid w:val="00B04CA5"/>
    <w:rsid w:val="00B6087C"/>
    <w:rsid w:val="00B711FD"/>
    <w:rsid w:val="00B71D30"/>
    <w:rsid w:val="00B84696"/>
    <w:rsid w:val="00BB1A10"/>
    <w:rsid w:val="00C15F53"/>
    <w:rsid w:val="00C23EF4"/>
    <w:rsid w:val="00C400A1"/>
    <w:rsid w:val="00C7460A"/>
    <w:rsid w:val="00C85DE6"/>
    <w:rsid w:val="00CA3562"/>
    <w:rsid w:val="00CB04B6"/>
    <w:rsid w:val="00D47623"/>
    <w:rsid w:val="00D57E51"/>
    <w:rsid w:val="00DB7F9E"/>
    <w:rsid w:val="00DC1628"/>
    <w:rsid w:val="00DF462F"/>
    <w:rsid w:val="00E10225"/>
    <w:rsid w:val="00E16716"/>
    <w:rsid w:val="00F21086"/>
    <w:rsid w:val="00FA1FE4"/>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871C3"/>
  <w14:defaultImageDpi w14:val="32767"/>
  <w15:docId w15:val="{66C4FE29-53BB-4483-8DB5-5CFC6CC6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59"/>
    <w:rPr>
      <w:rFonts w:eastAsiaTheme="minorEastAsia"/>
    </w:rPr>
  </w:style>
  <w:style w:type="paragraph" w:styleId="Heading1">
    <w:name w:val="heading 1"/>
    <w:basedOn w:val="Normal"/>
    <w:link w:val="Heading1Char"/>
    <w:uiPriority w:val="9"/>
    <w:qFormat/>
    <w:rsid w:val="006D0459"/>
    <w:pPr>
      <w:spacing w:before="240" w:after="120"/>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459"/>
    <w:rPr>
      <w:rFonts w:ascii="Times New Roman" w:eastAsia="Times New Roman" w:hAnsi="Times New Roman" w:cs="Times New Roman"/>
      <w:b/>
      <w:bCs/>
      <w:color w:val="000000"/>
      <w:kern w:val="36"/>
      <w:sz w:val="33"/>
      <w:szCs w:val="33"/>
    </w:rPr>
  </w:style>
  <w:style w:type="paragraph" w:styleId="ListParagraph">
    <w:name w:val="List Paragraph"/>
    <w:basedOn w:val="Normal"/>
    <w:uiPriority w:val="34"/>
    <w:qFormat/>
    <w:rsid w:val="006D0459"/>
    <w:pPr>
      <w:ind w:left="720"/>
      <w:contextualSpacing/>
    </w:pPr>
  </w:style>
  <w:style w:type="paragraph" w:styleId="Header">
    <w:name w:val="header"/>
    <w:basedOn w:val="Normal"/>
    <w:link w:val="HeaderChar"/>
    <w:uiPriority w:val="99"/>
    <w:unhideWhenUsed/>
    <w:rsid w:val="006D0459"/>
    <w:pPr>
      <w:tabs>
        <w:tab w:val="center" w:pos="4680"/>
        <w:tab w:val="right" w:pos="9360"/>
      </w:tabs>
    </w:pPr>
  </w:style>
  <w:style w:type="character" w:customStyle="1" w:styleId="HeaderChar">
    <w:name w:val="Header Char"/>
    <w:basedOn w:val="DefaultParagraphFont"/>
    <w:link w:val="Header"/>
    <w:uiPriority w:val="99"/>
    <w:rsid w:val="006D0459"/>
    <w:rPr>
      <w:rFonts w:eastAsiaTheme="minorEastAsia"/>
    </w:rPr>
  </w:style>
  <w:style w:type="paragraph" w:styleId="Footer">
    <w:name w:val="footer"/>
    <w:basedOn w:val="Normal"/>
    <w:link w:val="FooterChar"/>
    <w:uiPriority w:val="99"/>
    <w:unhideWhenUsed/>
    <w:rsid w:val="006D0459"/>
    <w:pPr>
      <w:tabs>
        <w:tab w:val="center" w:pos="4680"/>
        <w:tab w:val="right" w:pos="9360"/>
      </w:tabs>
    </w:pPr>
  </w:style>
  <w:style w:type="character" w:customStyle="1" w:styleId="FooterChar">
    <w:name w:val="Footer Char"/>
    <w:basedOn w:val="DefaultParagraphFont"/>
    <w:link w:val="Footer"/>
    <w:uiPriority w:val="99"/>
    <w:rsid w:val="006D0459"/>
    <w:rPr>
      <w:rFonts w:eastAsiaTheme="minorEastAsia"/>
    </w:rPr>
  </w:style>
  <w:style w:type="paragraph" w:styleId="BalloonText">
    <w:name w:val="Balloon Text"/>
    <w:basedOn w:val="Normal"/>
    <w:link w:val="BalloonTextChar"/>
    <w:uiPriority w:val="99"/>
    <w:semiHidden/>
    <w:unhideWhenUsed/>
    <w:rsid w:val="006D0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459"/>
    <w:rPr>
      <w:rFonts w:ascii="Segoe UI" w:eastAsiaTheme="minorEastAsia" w:hAnsi="Segoe UI" w:cs="Segoe UI"/>
      <w:sz w:val="18"/>
      <w:szCs w:val="18"/>
    </w:rPr>
  </w:style>
  <w:style w:type="character" w:customStyle="1" w:styleId="XRef">
    <w:name w:val="XRef"/>
    <w:rsid w:val="006D0459"/>
    <w:rPr>
      <w:color w:val="0000FF"/>
      <w:vertAlign w:val="superscript"/>
    </w:rPr>
  </w:style>
  <w:style w:type="character" w:styleId="Hyperlink">
    <w:name w:val="Hyperlink"/>
    <w:basedOn w:val="DefaultParagraphFont"/>
    <w:uiPriority w:val="99"/>
    <w:unhideWhenUsed/>
    <w:rsid w:val="006D0459"/>
    <w:rPr>
      <w:color w:val="0000FF"/>
      <w:u w:val="single"/>
    </w:rPr>
  </w:style>
  <w:style w:type="character" w:customStyle="1" w:styleId="clsstaticdata1">
    <w:name w:val="clsstaticdata1"/>
    <w:basedOn w:val="DefaultParagraphFont"/>
    <w:rsid w:val="006D0459"/>
    <w:rPr>
      <w:rFonts w:ascii="Arial" w:hAnsi="Arial" w:cs="Arial" w:hint="default"/>
      <w:color w:val="000000"/>
      <w:sz w:val="18"/>
      <w:szCs w:val="18"/>
    </w:rPr>
  </w:style>
  <w:style w:type="character" w:styleId="CommentReference">
    <w:name w:val="annotation reference"/>
    <w:basedOn w:val="DefaultParagraphFont"/>
    <w:uiPriority w:val="99"/>
    <w:semiHidden/>
    <w:unhideWhenUsed/>
    <w:rsid w:val="006D0459"/>
    <w:rPr>
      <w:sz w:val="18"/>
      <w:szCs w:val="18"/>
    </w:rPr>
  </w:style>
  <w:style w:type="paragraph" w:styleId="CommentText">
    <w:name w:val="annotation text"/>
    <w:basedOn w:val="Normal"/>
    <w:link w:val="CommentTextChar"/>
    <w:uiPriority w:val="99"/>
    <w:unhideWhenUsed/>
    <w:rsid w:val="006D0459"/>
  </w:style>
  <w:style w:type="character" w:customStyle="1" w:styleId="CommentTextChar">
    <w:name w:val="Comment Text Char"/>
    <w:basedOn w:val="DefaultParagraphFont"/>
    <w:link w:val="CommentText"/>
    <w:uiPriority w:val="99"/>
    <w:rsid w:val="006D0459"/>
    <w:rPr>
      <w:rFonts w:eastAsiaTheme="minorEastAsia"/>
    </w:rPr>
  </w:style>
  <w:style w:type="paragraph" w:styleId="CommentSubject">
    <w:name w:val="annotation subject"/>
    <w:basedOn w:val="CommentText"/>
    <w:next w:val="CommentText"/>
    <w:link w:val="CommentSubjectChar"/>
    <w:uiPriority w:val="99"/>
    <w:semiHidden/>
    <w:unhideWhenUsed/>
    <w:rsid w:val="006D0459"/>
    <w:rPr>
      <w:b/>
      <w:bCs/>
      <w:sz w:val="20"/>
      <w:szCs w:val="20"/>
    </w:rPr>
  </w:style>
  <w:style w:type="character" w:customStyle="1" w:styleId="CommentSubjectChar">
    <w:name w:val="Comment Subject Char"/>
    <w:basedOn w:val="CommentTextChar"/>
    <w:link w:val="CommentSubject"/>
    <w:uiPriority w:val="99"/>
    <w:semiHidden/>
    <w:rsid w:val="006D0459"/>
    <w:rPr>
      <w:rFonts w:eastAsiaTheme="minorEastAsia"/>
      <w:b/>
      <w:bCs/>
      <w:sz w:val="20"/>
      <w:szCs w:val="20"/>
    </w:rPr>
  </w:style>
  <w:style w:type="character" w:customStyle="1" w:styleId="st1">
    <w:name w:val="st1"/>
    <w:basedOn w:val="DefaultParagraphFont"/>
    <w:rsid w:val="006D0459"/>
  </w:style>
  <w:style w:type="table" w:styleId="TableGrid">
    <w:name w:val="Table Grid"/>
    <w:basedOn w:val="TableNormal"/>
    <w:uiPriority w:val="39"/>
    <w:rsid w:val="006D04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6D0459"/>
    <w:pPr>
      <w:spacing w:before="100" w:beforeAutospacing="1" w:after="100" w:afterAutospacing="1"/>
    </w:pPr>
    <w:rPr>
      <w:rFonts w:ascii="Times" w:eastAsiaTheme="minorHAnsi" w:hAnsi="Times"/>
      <w:sz w:val="20"/>
      <w:szCs w:val="20"/>
    </w:rPr>
  </w:style>
  <w:style w:type="paragraph" w:styleId="NormalWeb">
    <w:name w:val="Normal (Web)"/>
    <w:basedOn w:val="Normal"/>
    <w:uiPriority w:val="99"/>
    <w:unhideWhenUsed/>
    <w:rsid w:val="006D0459"/>
    <w:pPr>
      <w:spacing w:before="100" w:beforeAutospacing="1" w:after="100" w:afterAutospacing="1"/>
    </w:pPr>
    <w:rPr>
      <w:rFonts w:ascii="Times" w:eastAsiaTheme="minorHAnsi" w:hAnsi="Times" w:cs="Times New Roman"/>
      <w:sz w:val="20"/>
      <w:szCs w:val="20"/>
    </w:rPr>
  </w:style>
  <w:style w:type="character" w:styleId="Emphasis">
    <w:name w:val="Emphasis"/>
    <w:basedOn w:val="DefaultParagraphFont"/>
    <w:uiPriority w:val="20"/>
    <w:qFormat/>
    <w:rsid w:val="006D0459"/>
    <w:rPr>
      <w:b/>
      <w:bCs/>
      <w:i w:val="0"/>
      <w:iCs w:val="0"/>
    </w:rPr>
  </w:style>
  <w:style w:type="paragraph" w:styleId="Revision">
    <w:name w:val="Revision"/>
    <w:hidden/>
    <w:uiPriority w:val="99"/>
    <w:semiHidden/>
    <w:rsid w:val="006D0459"/>
    <w:rPr>
      <w:rFonts w:eastAsiaTheme="minorEastAsia"/>
    </w:rPr>
  </w:style>
  <w:style w:type="paragraph" w:customStyle="1" w:styleId="endnotebibliography">
    <w:name w:val="endnotebibliography"/>
    <w:basedOn w:val="Normal"/>
    <w:rsid w:val="006D0459"/>
    <w:rPr>
      <w:rFonts w:ascii="Times New Roman" w:eastAsiaTheme="minorHAnsi" w:hAnsi="Times New Roman" w:cs="Times New Roman"/>
    </w:rPr>
  </w:style>
  <w:style w:type="paragraph" w:customStyle="1" w:styleId="Title1">
    <w:name w:val="Title1"/>
    <w:basedOn w:val="Normal"/>
    <w:rsid w:val="006D0459"/>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6D0459"/>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6D0459"/>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6D0459"/>
  </w:style>
  <w:style w:type="character" w:customStyle="1" w:styleId="apple-converted-space">
    <w:name w:val="apple-converted-space"/>
    <w:basedOn w:val="DefaultParagraphFont"/>
    <w:rsid w:val="006D0459"/>
  </w:style>
  <w:style w:type="character" w:customStyle="1" w:styleId="slug-doi">
    <w:name w:val="slug-doi"/>
    <w:basedOn w:val="DefaultParagraphFont"/>
    <w:rsid w:val="006D0459"/>
  </w:style>
  <w:style w:type="paragraph" w:customStyle="1" w:styleId="EndNoteBibliography0">
    <w:name w:val="EndNote Bibliography"/>
    <w:basedOn w:val="Normal"/>
    <w:link w:val="EndNoteBibliographyChar"/>
    <w:rsid w:val="006D0459"/>
    <w:rPr>
      <w:rFonts w:ascii="Garamond" w:eastAsiaTheme="minorHAnsi" w:hAnsi="Garamond"/>
      <w:noProof/>
    </w:rPr>
  </w:style>
  <w:style w:type="character" w:customStyle="1" w:styleId="EndNoteBibliographyChar">
    <w:name w:val="EndNote Bibliography Char"/>
    <w:basedOn w:val="DefaultParagraphFont"/>
    <w:link w:val="EndNoteBibliography0"/>
    <w:rsid w:val="006D0459"/>
    <w:rPr>
      <w:rFonts w:ascii="Garamond" w:hAnsi="Garamond"/>
      <w:noProof/>
    </w:rPr>
  </w:style>
  <w:style w:type="character" w:customStyle="1" w:styleId="highlight2">
    <w:name w:val="highlight2"/>
    <w:basedOn w:val="DefaultParagraphFont"/>
    <w:rsid w:val="006D0459"/>
  </w:style>
  <w:style w:type="paragraph" w:customStyle="1" w:styleId="Reference">
    <w:name w:val="Reference"/>
    <w:basedOn w:val="Normal"/>
    <w:rsid w:val="006D0459"/>
    <w:pPr>
      <w:numPr>
        <w:numId w:val="6"/>
      </w:numPr>
      <w:spacing w:before="40" w:line="360" w:lineRule="auto"/>
    </w:pPr>
    <w:rPr>
      <w:rFonts w:ascii="Times New Roman" w:eastAsia="Times New Roman" w:hAnsi="Times New Roman" w:cs="Times New Roman"/>
      <w:szCs w:val="20"/>
    </w:rPr>
  </w:style>
  <w:style w:type="character" w:customStyle="1" w:styleId="cit">
    <w:name w:val="cit"/>
    <w:basedOn w:val="DefaultParagraphFont"/>
    <w:rsid w:val="006D0459"/>
  </w:style>
  <w:style w:type="character" w:customStyle="1" w:styleId="doi1">
    <w:name w:val="doi1"/>
    <w:basedOn w:val="DefaultParagraphFont"/>
    <w:rsid w:val="006D0459"/>
  </w:style>
  <w:style w:type="character" w:customStyle="1" w:styleId="fm-citation-ids-label">
    <w:name w:val="fm-citation-ids-label"/>
    <w:basedOn w:val="DefaultParagraphFont"/>
    <w:rsid w:val="006D0459"/>
  </w:style>
  <w:style w:type="character" w:customStyle="1" w:styleId="UnresolvedMention1">
    <w:name w:val="Unresolved Mention1"/>
    <w:basedOn w:val="DefaultParagraphFont"/>
    <w:uiPriority w:val="99"/>
    <w:semiHidden/>
    <w:unhideWhenUsed/>
    <w:rsid w:val="006D0459"/>
    <w:rPr>
      <w:color w:val="808080"/>
      <w:shd w:val="clear" w:color="auto" w:fill="E6E6E6"/>
    </w:rPr>
  </w:style>
  <w:style w:type="character" w:styleId="FollowedHyperlink">
    <w:name w:val="FollowedHyperlink"/>
    <w:basedOn w:val="DefaultParagraphFont"/>
    <w:uiPriority w:val="99"/>
    <w:semiHidden/>
    <w:unhideWhenUsed/>
    <w:rsid w:val="006D0459"/>
    <w:rPr>
      <w:color w:val="954F72" w:themeColor="followedHyperlink"/>
      <w:u w:val="single"/>
    </w:rPr>
  </w:style>
  <w:style w:type="paragraph" w:customStyle="1" w:styleId="EndNoteBibliographyTitle">
    <w:name w:val="EndNote Bibliography Title"/>
    <w:basedOn w:val="Normal"/>
    <w:link w:val="EndNoteBibliographyTitleChar"/>
    <w:rsid w:val="006D0459"/>
    <w:pPr>
      <w:jc w:val="center"/>
    </w:pPr>
    <w:rPr>
      <w:rFonts w:ascii="Garamond" w:hAnsi="Garamond"/>
    </w:rPr>
  </w:style>
  <w:style w:type="character" w:customStyle="1" w:styleId="EndNoteBibliographyTitleChar">
    <w:name w:val="EndNote Bibliography Title Char"/>
    <w:basedOn w:val="DefaultParagraphFont"/>
    <w:link w:val="EndNoteBibliographyTitle"/>
    <w:rsid w:val="006D0459"/>
    <w:rPr>
      <w:rFonts w:ascii="Garamond" w:eastAsiaTheme="minorEastAsia" w:hAnsi="Garamond"/>
    </w:rPr>
  </w:style>
  <w:style w:type="character" w:customStyle="1" w:styleId="UnresolvedMention">
    <w:name w:val="Unresolved Mention"/>
    <w:basedOn w:val="DefaultParagraphFont"/>
    <w:uiPriority w:val="99"/>
    <w:unhideWhenUsed/>
    <w:rsid w:val="006D0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4281">
      <w:bodyDiv w:val="1"/>
      <w:marLeft w:val="0"/>
      <w:marRight w:val="0"/>
      <w:marTop w:val="0"/>
      <w:marBottom w:val="0"/>
      <w:divBdr>
        <w:top w:val="none" w:sz="0" w:space="0" w:color="auto"/>
        <w:left w:val="none" w:sz="0" w:space="0" w:color="auto"/>
        <w:bottom w:val="none" w:sz="0" w:space="0" w:color="auto"/>
        <w:right w:val="none" w:sz="0" w:space="0" w:color="auto"/>
      </w:divBdr>
    </w:div>
    <w:div w:id="11058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333721416678076" TargetMode="External"/><Relationship Id="rId13" Type="http://schemas.openxmlformats.org/officeDocument/2006/relationships/hyperlink" Target="http://www.pewglobal.org/2016/02/22/smartphone-ownership-and-internet-usage-continues-to-climb-in-emerging-economies/" TargetMode="External"/><Relationship Id="rId3" Type="http://schemas.openxmlformats.org/officeDocument/2006/relationships/settings" Target="settings.xml"/><Relationship Id="rId7" Type="http://schemas.openxmlformats.org/officeDocument/2006/relationships/hyperlink" Target="https://doi.org/10.1080/10810730.2015.1018560" TargetMode="External"/><Relationship Id="rId12" Type="http://schemas.openxmlformats.org/officeDocument/2006/relationships/hyperlink" Target="https://nitrd.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a.nih.gov/sites/default/files/2017-06/WPAM.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itra-rpcw.human.cornell.edu/" TargetMode="External"/><Relationship Id="rId4" Type="http://schemas.openxmlformats.org/officeDocument/2006/relationships/webSettings" Target="webSettings.xml"/><Relationship Id="rId9" Type="http://schemas.openxmlformats.org/officeDocument/2006/relationships/hyperlink" Target="https://doi.org/10.1093/pm/pnx090" TargetMode="External"/><Relationship Id="rId14" Type="http://schemas.openxmlformats.org/officeDocument/2006/relationships/hyperlink" Target="https://mobilehealthmatters.com/2015/02/24/embracing-security-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AB346B14.dotm</Template>
  <TotalTime>0</TotalTime>
  <Pages>37</Pages>
  <Words>5528</Words>
  <Characters>31512</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Howard</dc:creator>
  <cp:keywords/>
  <dc:description/>
  <cp:lastModifiedBy>Blanshard, Lisa</cp:lastModifiedBy>
  <cp:revision>2</cp:revision>
  <cp:lastPrinted>2018-06-07T13:50:00Z</cp:lastPrinted>
  <dcterms:created xsi:type="dcterms:W3CDTF">2018-06-27T12:32:00Z</dcterms:created>
  <dcterms:modified xsi:type="dcterms:W3CDTF">2018-06-27T12:32:00Z</dcterms:modified>
</cp:coreProperties>
</file>