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E1" w:rsidRPr="00082DE1" w:rsidRDefault="00082DE1" w:rsidP="00082DE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82DE1">
        <w:rPr>
          <w:rFonts w:ascii="Times New Roman" w:eastAsia="Times New Roman" w:hAnsi="Times New Roman" w:cs="Times New Roman"/>
          <w:b/>
          <w:bCs/>
          <w:kern w:val="36"/>
          <w:sz w:val="48"/>
          <w:szCs w:val="48"/>
          <w:lang w:eastAsia="en-GB"/>
        </w:rPr>
        <w:t>Parafricta Bootees and Undergarments to reduce skin breakdown in people with or at risk of pressure ulcers</w:t>
      </w:r>
      <w:r>
        <w:rPr>
          <w:rFonts w:ascii="Times New Roman" w:eastAsia="Times New Roman" w:hAnsi="Times New Roman" w:cs="Times New Roman"/>
          <w:b/>
          <w:bCs/>
          <w:kern w:val="36"/>
          <w:sz w:val="48"/>
          <w:szCs w:val="48"/>
          <w:lang w:eastAsia="en-GB"/>
        </w:rPr>
        <w:t>: A NICE Medical Technology Guidance</w:t>
      </w:r>
    </w:p>
    <w:p w:rsidR="00D770E6" w:rsidRDefault="00D770E6"/>
    <w:p w:rsidR="00082DE1" w:rsidRDefault="00082DE1">
      <w:r>
        <w:t>Authors: Catherine Meads</w:t>
      </w:r>
      <w:r w:rsidR="001B6073" w:rsidRPr="001B6073">
        <w:rPr>
          <w:vertAlign w:val="superscript"/>
        </w:rPr>
        <w:t>1</w:t>
      </w:r>
      <w:r>
        <w:t>, Matthew Glover</w:t>
      </w:r>
      <w:r w:rsidR="001B6073" w:rsidRPr="001B6073">
        <w:rPr>
          <w:vertAlign w:val="superscript"/>
        </w:rPr>
        <w:t>1</w:t>
      </w:r>
      <w:r>
        <w:t xml:space="preserve">, </w:t>
      </w:r>
      <w:r w:rsidR="001B6073">
        <w:t>Paul Dimmock</w:t>
      </w:r>
      <w:r w:rsidR="001B6073" w:rsidRPr="001B6073">
        <w:rPr>
          <w:vertAlign w:val="superscript"/>
        </w:rPr>
        <w:t>2</w:t>
      </w:r>
      <w:r w:rsidR="001B6073">
        <w:t xml:space="preserve">, </w:t>
      </w:r>
      <w:r>
        <w:t>Subhash Pokhrel</w:t>
      </w:r>
      <w:r w:rsidR="001B6073" w:rsidRPr="001B6073">
        <w:rPr>
          <w:vertAlign w:val="superscript"/>
        </w:rPr>
        <w:t>1</w:t>
      </w:r>
      <w:r>
        <w:t xml:space="preserve">. </w:t>
      </w:r>
    </w:p>
    <w:p w:rsidR="00082DE1" w:rsidRDefault="001B6073">
      <w:r>
        <w:t xml:space="preserve">1. Health Economics Research Group (HERG), Brunel University, </w:t>
      </w:r>
      <w:r w:rsidRPr="001B6073">
        <w:t>Uxbridge UB8 3PH, UK</w:t>
      </w:r>
    </w:p>
    <w:p w:rsidR="001B6073" w:rsidRDefault="001B6073">
      <w:r>
        <w:t xml:space="preserve">2. </w:t>
      </w:r>
      <w:r w:rsidR="001270A5" w:rsidRPr="001270A5">
        <w:t>Medical Technology Evaluation Programme (MTEP), National Institute for Health and Care Excellence (NICE)</w:t>
      </w:r>
      <w:r w:rsidR="001270A5">
        <w:t xml:space="preserve">, </w:t>
      </w:r>
      <w:r w:rsidR="001270A5" w:rsidRPr="001270A5">
        <w:t>Level 1A, City Tower, Piccadilly Plaza, Manchester M1 4BT, UK</w:t>
      </w:r>
    </w:p>
    <w:p w:rsidR="001B6073" w:rsidRDefault="001270A5">
      <w:r>
        <w:t>Contact: Catherine.meads@brunel.ac.uk</w:t>
      </w:r>
    </w:p>
    <w:p w:rsidR="00082DE1" w:rsidRDefault="00082DE1" w:rsidP="00082DE1">
      <w:pPr>
        <w:pStyle w:val="Heading2"/>
      </w:pPr>
      <w:r>
        <w:t>Abstract:</w:t>
      </w:r>
    </w:p>
    <w:p w:rsidR="001270A5" w:rsidRDefault="00A4359F">
      <w:pPr>
        <w:rPr>
          <w:rFonts w:ascii="Arial" w:hAnsi="Arial" w:cs="Arial"/>
          <w:sz w:val="24"/>
          <w:szCs w:val="24"/>
        </w:rPr>
      </w:pPr>
      <w:r w:rsidRPr="00A4359F">
        <w:rPr>
          <w:rFonts w:ascii="Arial" w:hAnsi="Arial" w:cs="Arial"/>
          <w:sz w:val="24"/>
          <w:szCs w:val="24"/>
        </w:rPr>
        <w:t xml:space="preserve">As part of the development of NICE medical technologies guidance on Parafricta Bootees and Undergarments to reduce skin breakdown in people with, or at risk of, </w:t>
      </w:r>
      <w:r w:rsidR="00220A76">
        <w:rPr>
          <w:rFonts w:ascii="Arial" w:hAnsi="Arial" w:cs="Arial"/>
          <w:sz w:val="24"/>
          <w:szCs w:val="24"/>
        </w:rPr>
        <w:t>pressure ulcers</w:t>
      </w:r>
      <w:r w:rsidRPr="00A4359F">
        <w:rPr>
          <w:rFonts w:ascii="Arial" w:hAnsi="Arial" w:cs="Arial"/>
          <w:sz w:val="24"/>
          <w:szCs w:val="24"/>
        </w:rPr>
        <w:t xml:space="preserve">, the manufacturer (APA Parafricta Ltd) submitted clinical and economic evidence which was critically appraised by the External Assessment Centre (EAC) and subsequently used by the Medical Technologies Advisory Committee to develop recommendations for further research. The University of Birmingham and Brunel University, acting as a consortium, was commissioned to act as EAC, independently appraising the submission. This article is an overview of the original evidence submitted, the EAC's findings and the final NICE guidance. Very little comparative evidence was submitted to demonstrate effectiveness of Parafricta bootees or undergarments. The sponsor submitted a simple cost analysis to estimate the costs of using Parafricta in addition to current practice compared to current practice alone, in hospital and community settings separately. The analysis took an NHS perspective. The basis of the analysis was a previously published comparative study which showed no statistical difference in average </w:t>
      </w:r>
      <w:r w:rsidRPr="009F674F">
        <w:rPr>
          <w:rFonts w:ascii="Arial" w:hAnsi="Arial" w:cs="Arial"/>
          <w:sz w:val="24"/>
          <w:szCs w:val="24"/>
        </w:rPr>
        <w:t>lengths of stay</w:t>
      </w:r>
      <w:r w:rsidRPr="00A4359F">
        <w:rPr>
          <w:rFonts w:ascii="Arial" w:hAnsi="Arial" w:cs="Arial"/>
          <w:sz w:val="24"/>
          <w:szCs w:val="24"/>
        </w:rPr>
        <w:t xml:space="preserve"> between those who wore Parafricta Undergarments and Bootees and those who did not. The economic model incorporated the costs of Parafricta but assumed shorter lengths of stay with Parafricta. The sponsor concluded that Parafricta </w:t>
      </w:r>
      <w:r w:rsidRPr="00A4359F">
        <w:rPr>
          <w:rFonts w:ascii="Arial" w:hAnsi="Arial" w:cs="Arial"/>
          <w:sz w:val="24"/>
          <w:szCs w:val="24"/>
        </w:rPr>
        <w:lastRenderedPageBreak/>
        <w:t>was cost saving relative to the comparators. The EAC made amendments to the sponsor analysis to correct for errors and to reflect alternative assumptions. Parafricta remained cost saving in most analyses and savings per prevalent case ranged from £757 in the hospital model to £3,455 in the community model. All analyses were severely limited by the available data on effectiveness, in particular a lack of good quality comparative studies.</w:t>
      </w:r>
      <w:r w:rsidR="001270A5">
        <w:rPr>
          <w:rFonts w:ascii="Arial" w:hAnsi="Arial" w:cs="Arial"/>
          <w:sz w:val="24"/>
          <w:szCs w:val="24"/>
        </w:rPr>
        <w:br w:type="page"/>
      </w:r>
    </w:p>
    <w:p w:rsidR="001270A5" w:rsidRPr="001B6073" w:rsidRDefault="001270A5" w:rsidP="00082DE1">
      <w:pPr>
        <w:rPr>
          <w:rFonts w:ascii="Arial" w:hAnsi="Arial" w:cs="Arial"/>
          <w:sz w:val="24"/>
          <w:szCs w:val="24"/>
        </w:rPr>
      </w:pPr>
      <w:bookmarkStart w:id="0" w:name="_GoBack"/>
      <w:bookmarkEnd w:id="0"/>
    </w:p>
    <w:p w:rsidR="00397552" w:rsidRPr="00A54D2B" w:rsidRDefault="00397552" w:rsidP="00A54D2B">
      <w:pPr>
        <w:pStyle w:val="Heading2"/>
      </w:pPr>
      <w:r>
        <w:t>Key points for decision makers</w:t>
      </w:r>
    </w:p>
    <w:p w:rsidR="00397552" w:rsidRDefault="00124A73" w:rsidP="00124A73">
      <w:pPr>
        <w:pStyle w:val="ListParagraph"/>
        <w:numPr>
          <w:ilvl w:val="0"/>
          <w:numId w:val="10"/>
        </w:numPr>
        <w:rPr>
          <w:rFonts w:cs="Arial"/>
        </w:rPr>
      </w:pPr>
      <w:r w:rsidRPr="00124A73">
        <w:rPr>
          <w:rFonts w:cs="Arial"/>
        </w:rPr>
        <w:t xml:space="preserve">The evidence base around the effectiveness of Parafricta Undergarments and Bootees </w:t>
      </w:r>
      <w:r w:rsidR="007F128C">
        <w:rPr>
          <w:rFonts w:cs="Arial"/>
        </w:rPr>
        <w:t>wa</w:t>
      </w:r>
      <w:r w:rsidRPr="00124A73">
        <w:rPr>
          <w:rFonts w:cs="Arial"/>
        </w:rPr>
        <w:t xml:space="preserve">s </w:t>
      </w:r>
      <w:r w:rsidR="00ED7EEF">
        <w:rPr>
          <w:rFonts w:cs="Arial"/>
        </w:rPr>
        <w:t>ver</w:t>
      </w:r>
      <w:r>
        <w:rPr>
          <w:rFonts w:cs="Arial"/>
        </w:rPr>
        <w:t xml:space="preserve">y </w:t>
      </w:r>
      <w:r w:rsidRPr="00124A73">
        <w:rPr>
          <w:rFonts w:cs="Arial"/>
        </w:rPr>
        <w:t>limited.</w:t>
      </w:r>
    </w:p>
    <w:p w:rsidR="00124A73" w:rsidRDefault="00124A73" w:rsidP="00124A73">
      <w:pPr>
        <w:pStyle w:val="ListParagraph"/>
        <w:numPr>
          <w:ilvl w:val="0"/>
          <w:numId w:val="10"/>
        </w:numPr>
        <w:rPr>
          <w:rFonts w:cs="Arial"/>
        </w:rPr>
      </w:pPr>
      <w:r>
        <w:rPr>
          <w:rFonts w:cs="Arial"/>
        </w:rPr>
        <w:t>Analyses based on available evidence suggest</w:t>
      </w:r>
      <w:r w:rsidR="007F128C">
        <w:rPr>
          <w:rFonts w:cs="Arial"/>
        </w:rPr>
        <w:t>ed</w:t>
      </w:r>
      <w:r>
        <w:rPr>
          <w:rFonts w:cs="Arial"/>
        </w:rPr>
        <w:t xml:space="preserve"> that </w:t>
      </w:r>
      <w:r w:rsidR="007F128C">
        <w:rPr>
          <w:rFonts w:cs="Arial"/>
        </w:rPr>
        <w:t xml:space="preserve">the </w:t>
      </w:r>
      <w:r>
        <w:rPr>
          <w:rFonts w:cs="Arial"/>
        </w:rPr>
        <w:t xml:space="preserve">use of Parafricta Undergarments and Bootees in people with or at risk of pressure ulcers </w:t>
      </w:r>
      <w:r w:rsidR="007F128C">
        <w:rPr>
          <w:rFonts w:cs="Arial"/>
        </w:rPr>
        <w:t>wa</w:t>
      </w:r>
      <w:r>
        <w:rPr>
          <w:rFonts w:cs="Arial"/>
        </w:rPr>
        <w:t xml:space="preserve">s cost-saving to the NHS. However, </w:t>
      </w:r>
      <w:r w:rsidR="000D77DC">
        <w:rPr>
          <w:rFonts w:cs="Arial"/>
        </w:rPr>
        <w:t xml:space="preserve">these </w:t>
      </w:r>
      <w:r>
        <w:rPr>
          <w:rFonts w:cs="Arial"/>
        </w:rPr>
        <w:t>conclusion</w:t>
      </w:r>
      <w:r w:rsidR="007F128C">
        <w:rPr>
          <w:rFonts w:cs="Arial"/>
        </w:rPr>
        <w:t xml:space="preserve">s </w:t>
      </w:r>
      <w:r w:rsidR="000D77DC">
        <w:rPr>
          <w:rFonts w:cs="Arial"/>
        </w:rPr>
        <w:t>have</w:t>
      </w:r>
      <w:r>
        <w:rPr>
          <w:rFonts w:cs="Arial"/>
        </w:rPr>
        <w:t xml:space="preserve"> a high degree of uncertainty due to </w:t>
      </w:r>
      <w:r w:rsidR="000D77DC">
        <w:rPr>
          <w:rFonts w:cs="Arial"/>
        </w:rPr>
        <w:t xml:space="preserve">the lack </w:t>
      </w:r>
      <w:r>
        <w:rPr>
          <w:rFonts w:cs="Arial"/>
        </w:rPr>
        <w:t xml:space="preserve">of robust data. </w:t>
      </w:r>
    </w:p>
    <w:p w:rsidR="00124A73" w:rsidRPr="00124A73" w:rsidRDefault="00124A73" w:rsidP="0029587B">
      <w:pPr>
        <w:pStyle w:val="ListParagraph"/>
        <w:numPr>
          <w:ilvl w:val="0"/>
          <w:numId w:val="10"/>
        </w:numPr>
        <w:rPr>
          <w:rFonts w:cs="Arial"/>
        </w:rPr>
      </w:pPr>
      <w:r>
        <w:rPr>
          <w:rFonts w:cs="Arial"/>
        </w:rPr>
        <w:t xml:space="preserve">More research is needed to confirm </w:t>
      </w:r>
      <w:r w:rsidR="0029587B" w:rsidRPr="0029587B">
        <w:rPr>
          <w:rFonts w:cs="Arial"/>
        </w:rPr>
        <w:t xml:space="preserve">the clinical effectiveness assumptions and </w:t>
      </w:r>
      <w:r>
        <w:rPr>
          <w:rFonts w:cs="Arial"/>
        </w:rPr>
        <w:t xml:space="preserve">the scale of cost-savings presented in this paper.  </w:t>
      </w:r>
    </w:p>
    <w:p w:rsidR="001B6073" w:rsidRDefault="001B6073">
      <w:pPr>
        <w:rPr>
          <w:rFonts w:cs="Arial"/>
        </w:rPr>
      </w:pPr>
    </w:p>
    <w:p w:rsidR="001B6073" w:rsidRDefault="00957777" w:rsidP="001B6073">
      <w:pPr>
        <w:rPr>
          <w:rFonts w:ascii="Arial" w:hAnsi="Arial" w:cs="Arial"/>
          <w:b/>
          <w:sz w:val="24"/>
          <w:szCs w:val="24"/>
        </w:rPr>
      </w:pPr>
      <w:r>
        <w:rPr>
          <w:rFonts w:ascii="Arial" w:hAnsi="Arial" w:cs="Arial"/>
          <w:b/>
          <w:sz w:val="24"/>
          <w:szCs w:val="24"/>
        </w:rPr>
        <w:t>Compliance with Ethical Standards</w:t>
      </w:r>
      <w:r w:rsidRPr="001B6073">
        <w:rPr>
          <w:rFonts w:ascii="Arial" w:hAnsi="Arial" w:cs="Arial"/>
          <w:b/>
          <w:sz w:val="24"/>
          <w:szCs w:val="24"/>
        </w:rPr>
        <w:t xml:space="preserve"> </w:t>
      </w:r>
    </w:p>
    <w:p w:rsidR="001B6073" w:rsidRPr="001B6073" w:rsidRDefault="001B6073" w:rsidP="001B6073">
      <w:pPr>
        <w:rPr>
          <w:rFonts w:ascii="Arial" w:hAnsi="Arial" w:cs="Arial"/>
          <w:sz w:val="24"/>
          <w:szCs w:val="24"/>
        </w:rPr>
      </w:pPr>
      <w:r w:rsidRPr="001B6073">
        <w:rPr>
          <w:rFonts w:ascii="Arial" w:hAnsi="Arial" w:cs="Arial"/>
          <w:sz w:val="24"/>
          <w:szCs w:val="24"/>
        </w:rPr>
        <w:t xml:space="preserve">The Birmingham and Brunel Consortium is funded by </w:t>
      </w:r>
      <w:r w:rsidR="00A4359F">
        <w:rPr>
          <w:rFonts w:ascii="Arial" w:hAnsi="Arial" w:cs="Arial"/>
          <w:sz w:val="24"/>
          <w:szCs w:val="24"/>
        </w:rPr>
        <w:t xml:space="preserve">the </w:t>
      </w:r>
      <w:r w:rsidRPr="001B6073">
        <w:rPr>
          <w:rFonts w:ascii="Arial" w:hAnsi="Arial" w:cs="Arial"/>
          <w:sz w:val="24"/>
          <w:szCs w:val="24"/>
        </w:rPr>
        <w:t>NICE</w:t>
      </w:r>
      <w:r w:rsidR="00A4359F">
        <w:rPr>
          <w:rFonts w:ascii="Arial" w:hAnsi="Arial" w:cs="Arial"/>
          <w:sz w:val="24"/>
          <w:szCs w:val="24"/>
        </w:rPr>
        <w:t xml:space="preserve"> </w:t>
      </w:r>
      <w:r w:rsidR="00A4359F" w:rsidRPr="00A4359F">
        <w:rPr>
          <w:rFonts w:ascii="Arial" w:hAnsi="Arial" w:cs="Arial"/>
          <w:sz w:val="24"/>
          <w:szCs w:val="24"/>
        </w:rPr>
        <w:t>Medical Technologies Evaluation Programme</w:t>
      </w:r>
      <w:r w:rsidRPr="001B6073">
        <w:rPr>
          <w:rFonts w:ascii="Arial" w:hAnsi="Arial" w:cs="Arial"/>
          <w:sz w:val="24"/>
          <w:szCs w:val="24"/>
        </w:rPr>
        <w:t xml:space="preserve"> to act as an External Assessment Centre for the Medical Technologies Evaluation Programme. This summary of the Medical Technology Guidance was produced following publication of the final guidance report. This summary </w:t>
      </w:r>
      <w:r w:rsidRPr="003C58E2">
        <w:rPr>
          <w:rFonts w:ascii="Arial" w:hAnsi="Arial" w:cs="Arial"/>
          <w:sz w:val="24"/>
          <w:szCs w:val="24"/>
        </w:rPr>
        <w:t>has been reviewed by NICE, but</w:t>
      </w:r>
      <w:r w:rsidRPr="001B6073">
        <w:rPr>
          <w:rFonts w:ascii="Arial" w:hAnsi="Arial" w:cs="Arial"/>
          <w:sz w:val="24"/>
          <w:szCs w:val="24"/>
        </w:rPr>
        <w:t xml:space="preserve"> has not been externally peer reviewed by Applied Health Economics and Health Policy. </w:t>
      </w:r>
      <w:r w:rsidR="00957777">
        <w:rPr>
          <w:rFonts w:ascii="Arial" w:hAnsi="Arial" w:cs="Arial"/>
          <w:sz w:val="24"/>
          <w:szCs w:val="24"/>
        </w:rPr>
        <w:t>Catherine Meads, Matthew Glover, Paul Dimmock and</w:t>
      </w:r>
      <w:r w:rsidR="00957777" w:rsidRPr="00957777">
        <w:rPr>
          <w:rFonts w:ascii="Arial" w:hAnsi="Arial" w:cs="Arial"/>
          <w:sz w:val="24"/>
          <w:szCs w:val="24"/>
        </w:rPr>
        <w:t xml:space="preserve"> Subhash Pokhrel</w:t>
      </w:r>
      <w:r w:rsidR="00957777">
        <w:rPr>
          <w:rFonts w:ascii="Arial" w:hAnsi="Arial" w:cs="Arial"/>
          <w:sz w:val="24"/>
          <w:szCs w:val="24"/>
        </w:rPr>
        <w:t xml:space="preserve"> </w:t>
      </w:r>
      <w:r w:rsidRPr="001B6073">
        <w:rPr>
          <w:rFonts w:ascii="Arial" w:hAnsi="Arial" w:cs="Arial"/>
          <w:sz w:val="24"/>
          <w:szCs w:val="24"/>
        </w:rPr>
        <w:t>have no conflicts of interest to report.</w:t>
      </w:r>
    </w:p>
    <w:p w:rsidR="001B6073" w:rsidRPr="001B6073" w:rsidRDefault="001B6073" w:rsidP="001B6073">
      <w:pPr>
        <w:rPr>
          <w:rFonts w:ascii="Arial" w:hAnsi="Arial" w:cs="Arial"/>
          <w:sz w:val="24"/>
          <w:szCs w:val="24"/>
        </w:rPr>
      </w:pPr>
    </w:p>
    <w:p w:rsidR="001B6073" w:rsidRDefault="001B6073" w:rsidP="001B6073">
      <w:pPr>
        <w:rPr>
          <w:rFonts w:ascii="Arial" w:hAnsi="Arial" w:cs="Arial"/>
          <w:sz w:val="24"/>
          <w:szCs w:val="24"/>
        </w:rPr>
      </w:pPr>
      <w:r w:rsidRPr="001B6073">
        <w:rPr>
          <w:rFonts w:ascii="Arial" w:hAnsi="Arial" w:cs="Arial"/>
          <w:b/>
          <w:sz w:val="24"/>
          <w:szCs w:val="24"/>
        </w:rPr>
        <w:t>Author contributions</w:t>
      </w:r>
      <w:r w:rsidRPr="001B6073">
        <w:rPr>
          <w:rFonts w:ascii="Arial" w:hAnsi="Arial" w:cs="Arial"/>
          <w:sz w:val="24"/>
          <w:szCs w:val="24"/>
        </w:rPr>
        <w:t xml:space="preserve"> </w:t>
      </w:r>
    </w:p>
    <w:p w:rsidR="00220A76" w:rsidRDefault="00220A76" w:rsidP="000B4B54">
      <w:pPr>
        <w:rPr>
          <w:rFonts w:ascii="Arial" w:hAnsi="Arial" w:cs="Arial"/>
          <w:sz w:val="24"/>
          <w:szCs w:val="24"/>
        </w:rPr>
      </w:pPr>
      <w:r>
        <w:rPr>
          <w:rFonts w:ascii="Arial" w:hAnsi="Arial" w:cs="Arial"/>
          <w:sz w:val="24"/>
          <w:szCs w:val="24"/>
          <w:lang w:eastAsia="en-GB"/>
        </w:rPr>
        <w:t>The EAC report was prepared by CM, SP and MG. CM, SP and MG critically appraised the economic and clinical evidence submitted by the sponsor; and MG and SP critiqued the submitted cost model.  This manuscript was prepared by CM, with contributions from SP and MG, with PD providing information and advice on the NICE process and minimal comments from Mark Campbell on the abstract.</w:t>
      </w:r>
    </w:p>
    <w:p w:rsidR="00220A76" w:rsidRDefault="00220A76" w:rsidP="00220A76">
      <w:pPr>
        <w:rPr>
          <w:rFonts w:ascii="Calibri" w:hAnsi="Calibri" w:cs="Times New Roman"/>
          <w:color w:val="1F497D"/>
        </w:rPr>
      </w:pPr>
      <w:r>
        <w:rPr>
          <w:rFonts w:ascii="Arial" w:hAnsi="Arial" w:cs="Arial"/>
          <w:sz w:val="24"/>
          <w:szCs w:val="24"/>
          <w:lang w:eastAsia="en-GB"/>
        </w:rPr>
        <w:t>CM is the guarantor for the overall content.</w:t>
      </w:r>
    </w:p>
    <w:p w:rsidR="00220A76" w:rsidRDefault="00220A76" w:rsidP="001B6073">
      <w:pPr>
        <w:rPr>
          <w:rFonts w:ascii="Arial" w:hAnsi="Arial" w:cs="Arial"/>
          <w:sz w:val="24"/>
          <w:szCs w:val="24"/>
        </w:rPr>
      </w:pPr>
    </w:p>
    <w:p w:rsidR="00220A76" w:rsidRDefault="00220A76" w:rsidP="001B6073">
      <w:pPr>
        <w:rPr>
          <w:rFonts w:ascii="Arial" w:hAnsi="Arial" w:cs="Arial"/>
          <w:sz w:val="24"/>
          <w:szCs w:val="24"/>
        </w:rPr>
      </w:pPr>
    </w:p>
    <w:p w:rsidR="00220A76" w:rsidRDefault="00220A76" w:rsidP="001B6073">
      <w:pPr>
        <w:rPr>
          <w:rFonts w:ascii="Arial" w:hAnsi="Arial" w:cs="Arial"/>
          <w:sz w:val="24"/>
          <w:szCs w:val="24"/>
        </w:rPr>
      </w:pPr>
    </w:p>
    <w:p w:rsidR="001270A5" w:rsidRPr="001B6073" w:rsidRDefault="001270A5" w:rsidP="001B6073">
      <w:pPr>
        <w:rPr>
          <w:rFonts w:ascii="Arial" w:hAnsi="Arial" w:cs="Arial"/>
          <w:sz w:val="24"/>
          <w:szCs w:val="24"/>
        </w:rPr>
      </w:pPr>
      <w:r>
        <w:rPr>
          <w:rFonts w:ascii="Arial" w:hAnsi="Arial" w:cs="Arial"/>
          <w:sz w:val="24"/>
          <w:szCs w:val="24"/>
        </w:rPr>
        <w:t>Word count: 4539</w:t>
      </w:r>
    </w:p>
    <w:p w:rsidR="001B6073" w:rsidRPr="001B6073" w:rsidRDefault="001B6073">
      <w:pPr>
        <w:rPr>
          <w:rFonts w:ascii="Arial" w:hAnsi="Arial" w:cs="Arial"/>
          <w:sz w:val="24"/>
          <w:szCs w:val="24"/>
        </w:rPr>
      </w:pPr>
      <w:r w:rsidRPr="001B6073">
        <w:rPr>
          <w:rFonts w:ascii="Arial" w:hAnsi="Arial" w:cs="Arial"/>
          <w:sz w:val="24"/>
          <w:szCs w:val="24"/>
        </w:rPr>
        <w:br w:type="page"/>
      </w:r>
    </w:p>
    <w:p w:rsidR="00397552" w:rsidRDefault="00397552">
      <w:pPr>
        <w:rPr>
          <w:rFonts w:cs="Arial"/>
        </w:rPr>
      </w:pPr>
    </w:p>
    <w:p w:rsidR="00397552" w:rsidRPr="002C7C3B" w:rsidRDefault="00397552" w:rsidP="00397552">
      <w:pPr>
        <w:pStyle w:val="Heading2"/>
        <w:numPr>
          <w:ilvl w:val="0"/>
          <w:numId w:val="1"/>
        </w:numPr>
        <w:spacing w:before="200" w:line="276" w:lineRule="auto"/>
      </w:pPr>
      <w:r>
        <w:t xml:space="preserve">Introduction </w:t>
      </w:r>
    </w:p>
    <w:p w:rsidR="00397552" w:rsidRPr="00DA569E" w:rsidRDefault="00397552" w:rsidP="00397552">
      <w:pPr>
        <w:rPr>
          <w:rFonts w:ascii="Arial" w:hAnsi="Arial" w:cs="Arial"/>
          <w:sz w:val="24"/>
          <w:szCs w:val="24"/>
        </w:rPr>
      </w:pPr>
      <w:r w:rsidRPr="00DA569E">
        <w:rPr>
          <w:rFonts w:ascii="Arial" w:hAnsi="Arial" w:cs="Arial"/>
          <w:sz w:val="24"/>
          <w:szCs w:val="24"/>
        </w:rPr>
        <w:t xml:space="preserve">The </w:t>
      </w:r>
      <w:r w:rsidR="000D77DC" w:rsidRPr="000D77DC">
        <w:rPr>
          <w:rFonts w:ascii="Arial" w:hAnsi="Arial" w:cs="Arial"/>
          <w:sz w:val="24"/>
          <w:szCs w:val="24"/>
        </w:rPr>
        <w:t>Medical Technologies Evaluation Programme (MTEP</w:t>
      </w:r>
      <w:r w:rsidR="000D77DC">
        <w:rPr>
          <w:rFonts w:ascii="Arial" w:hAnsi="Arial" w:cs="Arial"/>
          <w:sz w:val="24"/>
          <w:szCs w:val="24"/>
        </w:rPr>
        <w:t xml:space="preserve">) of the </w:t>
      </w:r>
      <w:r w:rsidRPr="00DA569E">
        <w:rPr>
          <w:rFonts w:ascii="Arial" w:hAnsi="Arial" w:cs="Arial"/>
          <w:sz w:val="24"/>
          <w:szCs w:val="24"/>
        </w:rPr>
        <w:t>National Institute of Health and Care Excellence (NICE) produces evidence-based medical technologies guidance with the overall aim of evaluating, and where appropriate encouraging, the adoption of novel and innovative</w:t>
      </w:r>
      <w:r w:rsidR="00FD41C0">
        <w:rPr>
          <w:rFonts w:ascii="Arial" w:hAnsi="Arial" w:cs="Arial"/>
          <w:sz w:val="24"/>
          <w:szCs w:val="24"/>
        </w:rPr>
        <w:t xml:space="preserve"> medical devices and diagnostic tools</w:t>
      </w:r>
      <w:r w:rsidRPr="00DA569E">
        <w:rPr>
          <w:rFonts w:ascii="Arial" w:hAnsi="Arial" w:cs="Arial"/>
          <w:sz w:val="24"/>
          <w:szCs w:val="24"/>
        </w:rPr>
        <w:t xml:space="preserve"> within the National Health Service (NHS) in England. Manufacturers or distributors of potentially eligible technologies notify their products to MTEP. </w:t>
      </w:r>
      <w:r w:rsidR="00844422">
        <w:rPr>
          <w:rFonts w:ascii="Arial" w:hAnsi="Arial" w:cs="Arial"/>
          <w:sz w:val="24"/>
          <w:szCs w:val="24"/>
        </w:rPr>
        <w:t>Notified t</w:t>
      </w:r>
      <w:r w:rsidRPr="00DA569E">
        <w:rPr>
          <w:rFonts w:ascii="Arial" w:hAnsi="Arial" w:cs="Arial"/>
          <w:sz w:val="24"/>
          <w:szCs w:val="24"/>
        </w:rPr>
        <w:t xml:space="preserve">echnologies </w:t>
      </w:r>
      <w:r w:rsidR="006D07B0">
        <w:rPr>
          <w:rFonts w:ascii="Arial" w:hAnsi="Arial" w:cs="Arial"/>
          <w:sz w:val="24"/>
          <w:szCs w:val="24"/>
        </w:rPr>
        <w:t>must have a CE (Conformit</w:t>
      </w:r>
      <w:r w:rsidR="00844422">
        <w:rPr>
          <w:rFonts w:ascii="Arial" w:hAnsi="Arial" w:cs="Arial"/>
          <w:sz w:val="24"/>
          <w:szCs w:val="24"/>
        </w:rPr>
        <w:t>é</w:t>
      </w:r>
      <w:r w:rsidR="006D07B0">
        <w:rPr>
          <w:rFonts w:ascii="Arial" w:hAnsi="Arial" w:cs="Arial"/>
          <w:sz w:val="24"/>
          <w:szCs w:val="24"/>
        </w:rPr>
        <w:t xml:space="preserve"> Europ</w:t>
      </w:r>
      <w:r w:rsidR="00844422">
        <w:rPr>
          <w:rFonts w:ascii="Arial" w:hAnsi="Arial" w:cs="Arial"/>
          <w:sz w:val="24"/>
          <w:szCs w:val="24"/>
        </w:rPr>
        <w:t>é</w:t>
      </w:r>
      <w:r w:rsidR="006D07B0" w:rsidRPr="006D07B0">
        <w:rPr>
          <w:rFonts w:ascii="Arial" w:hAnsi="Arial" w:cs="Arial"/>
          <w:sz w:val="24"/>
          <w:szCs w:val="24"/>
        </w:rPr>
        <w:t>enne</w:t>
      </w:r>
      <w:r w:rsidR="00844422">
        <w:rPr>
          <w:rFonts w:ascii="Arial" w:hAnsi="Arial" w:cs="Arial"/>
          <w:sz w:val="24"/>
          <w:szCs w:val="24"/>
        </w:rPr>
        <w:t>)</w:t>
      </w:r>
      <w:r w:rsidR="006D07B0">
        <w:rPr>
          <w:rFonts w:ascii="Arial" w:hAnsi="Arial" w:cs="Arial"/>
          <w:sz w:val="24"/>
          <w:szCs w:val="24"/>
        </w:rPr>
        <w:t xml:space="preserve"> mark</w:t>
      </w:r>
      <w:r w:rsidR="00844422">
        <w:rPr>
          <w:rFonts w:ascii="Arial" w:hAnsi="Arial" w:cs="Arial"/>
          <w:sz w:val="24"/>
          <w:szCs w:val="24"/>
        </w:rPr>
        <w:t xml:space="preserve">, or expect one within the next 12 months, </w:t>
      </w:r>
      <w:r w:rsidR="006D07B0">
        <w:rPr>
          <w:rFonts w:ascii="Arial" w:hAnsi="Arial" w:cs="Arial"/>
          <w:sz w:val="24"/>
          <w:szCs w:val="24"/>
        </w:rPr>
        <w:t xml:space="preserve">and </w:t>
      </w:r>
      <w:r w:rsidRPr="00DA569E">
        <w:rPr>
          <w:rFonts w:ascii="Arial" w:hAnsi="Arial" w:cs="Arial"/>
          <w:sz w:val="24"/>
          <w:szCs w:val="24"/>
        </w:rPr>
        <w:t>have the potential to offer significant clinical benefits to patients and the NHS</w:t>
      </w:r>
      <w:r w:rsidR="00844422">
        <w:rPr>
          <w:rFonts w:ascii="Arial" w:hAnsi="Arial" w:cs="Arial"/>
          <w:sz w:val="24"/>
          <w:szCs w:val="24"/>
        </w:rPr>
        <w:t xml:space="preserve"> at the same cost as current practice</w:t>
      </w:r>
      <w:r w:rsidRPr="00DA569E">
        <w:rPr>
          <w:rFonts w:ascii="Arial" w:hAnsi="Arial" w:cs="Arial"/>
          <w:sz w:val="24"/>
          <w:szCs w:val="24"/>
        </w:rPr>
        <w:t xml:space="preserve"> or reduce cost </w:t>
      </w:r>
      <w:r w:rsidR="00844422">
        <w:rPr>
          <w:rFonts w:ascii="Arial" w:hAnsi="Arial" w:cs="Arial"/>
          <w:sz w:val="24"/>
          <w:szCs w:val="24"/>
        </w:rPr>
        <w:t>with the same clinical benefit</w:t>
      </w:r>
      <w:r w:rsidRPr="00DA569E">
        <w:rPr>
          <w:rFonts w:ascii="Arial" w:hAnsi="Arial" w:cs="Arial"/>
          <w:sz w:val="24"/>
          <w:szCs w:val="24"/>
        </w:rPr>
        <w:t xml:space="preserve">. </w:t>
      </w:r>
      <w:r w:rsidR="00844422">
        <w:rPr>
          <w:rFonts w:ascii="Arial" w:hAnsi="Arial" w:cs="Arial"/>
          <w:sz w:val="24"/>
          <w:szCs w:val="24"/>
        </w:rPr>
        <w:t xml:space="preserve">Technologies which the Medical Technologies Advisory Committee (MTAC) consider to have ‘plausible promise’ to deliver these benefits are selected for full evaluation. </w:t>
      </w:r>
      <w:r w:rsidRPr="00DA569E">
        <w:rPr>
          <w:rFonts w:ascii="Arial" w:hAnsi="Arial" w:cs="Arial"/>
          <w:sz w:val="24"/>
          <w:szCs w:val="24"/>
        </w:rPr>
        <w:t>Guidance is produced after clinical and cost evidence submitted by the sponsor is independently assessed by an External Assessment Centre (EAC) and a public consultation period. Devices and diagnostic tools with more complex value propositions can be routed for evaluation through other NICE programmes such as the Diagnostics Assessment Programme or Technology Appraisa</w:t>
      </w:r>
      <w:r w:rsidR="00E94E8E">
        <w:rPr>
          <w:rFonts w:ascii="Arial" w:hAnsi="Arial" w:cs="Arial"/>
          <w:sz w:val="24"/>
          <w:szCs w:val="24"/>
        </w:rPr>
        <w:t>ls.  NICE (2011</w:t>
      </w:r>
      <w:r w:rsidRPr="00DA569E">
        <w:rPr>
          <w:rFonts w:ascii="Arial" w:hAnsi="Arial" w:cs="Arial"/>
          <w:sz w:val="24"/>
          <w:szCs w:val="24"/>
        </w:rPr>
        <w:t>)</w:t>
      </w:r>
      <w:r w:rsidR="00165C03">
        <w:rPr>
          <w:rStyle w:val="EndnoteReference"/>
          <w:rFonts w:ascii="Arial" w:hAnsi="Arial" w:cs="Arial"/>
          <w:sz w:val="24"/>
          <w:szCs w:val="24"/>
        </w:rPr>
        <w:endnoteReference w:id="1"/>
      </w:r>
      <w:r w:rsidRPr="00DA569E">
        <w:rPr>
          <w:rFonts w:ascii="Arial" w:hAnsi="Arial" w:cs="Arial"/>
          <w:sz w:val="24"/>
          <w:szCs w:val="24"/>
        </w:rPr>
        <w:t xml:space="preserve"> describe the methods of </w:t>
      </w:r>
      <w:r w:rsidR="00A54D2B">
        <w:rPr>
          <w:rFonts w:ascii="Arial" w:hAnsi="Arial" w:cs="Arial"/>
          <w:sz w:val="24"/>
          <w:szCs w:val="24"/>
        </w:rPr>
        <w:t>MTEP in more detail</w:t>
      </w:r>
      <w:r w:rsidRPr="00DA569E">
        <w:rPr>
          <w:rFonts w:ascii="Arial" w:hAnsi="Arial" w:cs="Arial"/>
          <w:sz w:val="24"/>
          <w:szCs w:val="24"/>
        </w:rPr>
        <w:t>.</w:t>
      </w:r>
      <w:r w:rsidR="00A54D2B">
        <w:rPr>
          <w:rFonts w:ascii="Arial" w:hAnsi="Arial" w:cs="Arial"/>
          <w:sz w:val="24"/>
          <w:szCs w:val="24"/>
        </w:rPr>
        <w:t xml:space="preserve"> </w:t>
      </w:r>
      <w:r w:rsidRPr="00DA569E">
        <w:rPr>
          <w:rFonts w:ascii="Arial" w:hAnsi="Arial" w:cs="Arial"/>
          <w:sz w:val="24"/>
          <w:szCs w:val="24"/>
        </w:rPr>
        <w:t>This article presents a s</w:t>
      </w:r>
      <w:r w:rsidR="00FD41C0">
        <w:rPr>
          <w:rFonts w:ascii="Arial" w:hAnsi="Arial" w:cs="Arial"/>
          <w:sz w:val="24"/>
          <w:szCs w:val="24"/>
        </w:rPr>
        <w:t xml:space="preserve">ummary of the EAC report for </w:t>
      </w:r>
      <w:r w:rsidR="00FD41C0" w:rsidRPr="00082DE1">
        <w:rPr>
          <w:rFonts w:ascii="Arial" w:hAnsi="Arial" w:cs="Arial"/>
          <w:sz w:val="24"/>
          <w:szCs w:val="24"/>
        </w:rPr>
        <w:t>Parafricta Bootees and Undergarments to reduce skin breakdown in people with or at risk of pressure ulcers</w:t>
      </w:r>
      <w:r w:rsidRPr="00DA569E">
        <w:rPr>
          <w:rFonts w:ascii="Arial" w:hAnsi="Arial" w:cs="Arial"/>
          <w:sz w:val="24"/>
          <w:szCs w:val="24"/>
        </w:rPr>
        <w:t xml:space="preserve">. It is part of a series of NICE Medical Technology Guidance summaries being published in </w:t>
      </w:r>
      <w:r w:rsidRPr="00DA569E">
        <w:rPr>
          <w:rFonts w:ascii="Arial" w:hAnsi="Arial" w:cs="Arial"/>
          <w:i/>
          <w:sz w:val="24"/>
          <w:szCs w:val="24"/>
        </w:rPr>
        <w:t>Applied He</w:t>
      </w:r>
      <w:r w:rsidR="00A54D2B">
        <w:rPr>
          <w:rFonts w:ascii="Arial" w:hAnsi="Arial" w:cs="Arial"/>
          <w:i/>
          <w:sz w:val="24"/>
          <w:szCs w:val="24"/>
        </w:rPr>
        <w:t>alth Economics and Health Policy</w:t>
      </w:r>
      <w:r w:rsidR="008311D3">
        <w:rPr>
          <w:rFonts w:ascii="Arial" w:hAnsi="Arial" w:cs="Arial"/>
          <w:sz w:val="24"/>
          <w:szCs w:val="24"/>
        </w:rPr>
        <w:t xml:space="preserve">. </w:t>
      </w:r>
    </w:p>
    <w:p w:rsidR="00FD41C0" w:rsidRDefault="00FD41C0" w:rsidP="00FD41C0">
      <w:pPr>
        <w:pStyle w:val="Heading2"/>
        <w:numPr>
          <w:ilvl w:val="0"/>
          <w:numId w:val="1"/>
        </w:numPr>
        <w:spacing w:before="200" w:line="276" w:lineRule="auto"/>
        <w:rPr>
          <w:rFonts w:ascii="Arial" w:hAnsi="Arial" w:cs="Arial"/>
        </w:rPr>
      </w:pPr>
      <w:r w:rsidRPr="002C7C3B">
        <w:t>Background</w:t>
      </w:r>
      <w:r>
        <w:rPr>
          <w:rFonts w:ascii="Arial" w:hAnsi="Arial" w:cs="Arial"/>
        </w:rPr>
        <w:t xml:space="preserve"> </w:t>
      </w:r>
      <w:r w:rsidRPr="00FD41C0">
        <w:t>to the condition and its treatment</w:t>
      </w:r>
      <w:r>
        <w:rPr>
          <w:rFonts w:ascii="Arial" w:hAnsi="Arial" w:cs="Arial"/>
        </w:rPr>
        <w:t xml:space="preserve"> </w:t>
      </w:r>
    </w:p>
    <w:p w:rsidR="004C7D3C" w:rsidRPr="004C7D3C" w:rsidRDefault="004C7D3C" w:rsidP="004C7D3C">
      <w:pPr>
        <w:rPr>
          <w:rFonts w:ascii="Arial" w:hAnsi="Arial" w:cs="Arial"/>
          <w:sz w:val="24"/>
          <w:szCs w:val="24"/>
        </w:rPr>
      </w:pPr>
      <w:r w:rsidRPr="004C7D3C">
        <w:rPr>
          <w:rFonts w:ascii="Arial" w:hAnsi="Arial" w:cs="Arial"/>
          <w:sz w:val="24"/>
          <w:szCs w:val="24"/>
        </w:rPr>
        <w:t>Pressure ulcers (also known as decubitus ulcers or pressure sores) are areas of localised skin damage caused by a number of intrinsic and extrinsic factors causing skin breakdown. Although anyone can develop a pressure ulcer, patients are at increased risk if they have significantly limited mobility (for example, people with a spinal cord injury), a previous pressure ulcer, are at risk of nutritional deficiency, are unable to reposition themselves or have a neurological condition or significant cognitive impairment. Pressure ulcers usually develop in people who have underlying health conditions or who have frail skin for whatever reason. Pressure ulcers tend to affect people with health conditions that make it difficult to move, especially those confined to lying in a bed or sitting for prolonged periods of time. They tend to occur more often in the elderly but can occur at any age. Conditions that affect the flow of blood through the body, such as type 2 diabetes, can also make a person more vulnerable to pressure ulcers. It is estimated that 412,000 people will develop a new pr</w:t>
      </w:r>
      <w:r w:rsidR="00BF50F7">
        <w:rPr>
          <w:rFonts w:ascii="Arial" w:hAnsi="Arial" w:cs="Arial"/>
          <w:sz w:val="24"/>
          <w:szCs w:val="24"/>
        </w:rPr>
        <w:t>essure ulcer annually in the NHS</w:t>
      </w:r>
      <w:r w:rsidR="00BF50F7">
        <w:rPr>
          <w:rStyle w:val="EndnoteReference"/>
          <w:rFonts w:ascii="Arial" w:hAnsi="Arial" w:cs="Arial"/>
          <w:sz w:val="24"/>
          <w:szCs w:val="24"/>
        </w:rPr>
        <w:endnoteReference w:id="2"/>
      </w:r>
      <w:r w:rsidRPr="004C7D3C">
        <w:rPr>
          <w:rFonts w:ascii="Arial" w:hAnsi="Arial" w:cs="Arial"/>
          <w:sz w:val="24"/>
          <w:szCs w:val="24"/>
        </w:rPr>
        <w:t>.</w:t>
      </w:r>
    </w:p>
    <w:p w:rsidR="004C7D3C" w:rsidRPr="004C7D3C" w:rsidRDefault="004C7D3C" w:rsidP="004C7D3C">
      <w:pPr>
        <w:rPr>
          <w:rFonts w:ascii="Arial" w:hAnsi="Arial" w:cs="Arial"/>
          <w:sz w:val="24"/>
          <w:szCs w:val="24"/>
        </w:rPr>
      </w:pPr>
      <w:r w:rsidRPr="004C7D3C">
        <w:rPr>
          <w:rFonts w:ascii="Arial" w:hAnsi="Arial" w:cs="Arial"/>
          <w:sz w:val="24"/>
          <w:szCs w:val="24"/>
        </w:rPr>
        <w:lastRenderedPageBreak/>
        <w:t>Pressure ulcers can develop when a large amount of pressure is applied to an area of skin over a short period of time or when less pressure is applied over a longer period of time and tend to develop over bony prominences, particularly heels and the sacrum. The extra pressure disrupts the flow of blood through the skin. Without a blood supply, the affected skin becomes starved of oxygen and nutrients and begins to break down, leading to an ulcer forming. Skin damage is also believed to be caused by friction, shear and moisture</w:t>
      </w:r>
      <w:r w:rsidR="00710105">
        <w:rPr>
          <w:rStyle w:val="EndnoteReference"/>
          <w:rFonts w:ascii="Arial" w:hAnsi="Arial" w:cs="Arial"/>
          <w:sz w:val="24"/>
          <w:szCs w:val="24"/>
        </w:rPr>
        <w:endnoteReference w:id="3"/>
      </w:r>
      <w:r w:rsidRPr="004C7D3C">
        <w:rPr>
          <w:rFonts w:ascii="Arial" w:hAnsi="Arial" w:cs="Arial"/>
          <w:sz w:val="24"/>
          <w:szCs w:val="24"/>
        </w:rPr>
        <w:t>, but the extent of the contribution of these is low – 7.5% in a sample of 28,299 hospital patients</w:t>
      </w:r>
      <w:r w:rsidR="00710105">
        <w:rPr>
          <w:rStyle w:val="EndnoteReference"/>
          <w:rFonts w:ascii="Arial" w:hAnsi="Arial" w:cs="Arial"/>
          <w:sz w:val="24"/>
          <w:szCs w:val="24"/>
        </w:rPr>
        <w:endnoteReference w:id="4"/>
      </w:r>
      <w:r w:rsidRPr="004C7D3C">
        <w:rPr>
          <w:rFonts w:ascii="Arial" w:hAnsi="Arial" w:cs="Arial"/>
          <w:sz w:val="24"/>
          <w:szCs w:val="24"/>
        </w:rPr>
        <w:t xml:space="preserve"> and 13.9% in a sample of 17,966 long ter</w:t>
      </w:r>
      <w:r w:rsidR="00710105">
        <w:rPr>
          <w:rFonts w:ascii="Arial" w:hAnsi="Arial" w:cs="Arial"/>
          <w:sz w:val="24"/>
          <w:szCs w:val="24"/>
        </w:rPr>
        <w:t>m care residents</w:t>
      </w:r>
      <w:r w:rsidR="00710105">
        <w:rPr>
          <w:rStyle w:val="EndnoteReference"/>
          <w:rFonts w:ascii="Arial" w:hAnsi="Arial" w:cs="Arial"/>
          <w:sz w:val="24"/>
          <w:szCs w:val="24"/>
        </w:rPr>
        <w:endnoteReference w:id="5"/>
      </w:r>
      <w:r w:rsidRPr="004C7D3C">
        <w:rPr>
          <w:rFonts w:ascii="Arial" w:hAnsi="Arial" w:cs="Arial"/>
          <w:sz w:val="24"/>
          <w:szCs w:val="24"/>
        </w:rPr>
        <w:t xml:space="preserve">. </w:t>
      </w:r>
    </w:p>
    <w:p w:rsidR="004C7D3C" w:rsidRPr="004C7D3C" w:rsidRDefault="004C7D3C" w:rsidP="004C7D3C">
      <w:pPr>
        <w:rPr>
          <w:rFonts w:ascii="Arial" w:hAnsi="Arial" w:cs="Arial"/>
          <w:sz w:val="24"/>
          <w:szCs w:val="24"/>
        </w:rPr>
      </w:pPr>
      <w:r w:rsidRPr="004C7D3C">
        <w:rPr>
          <w:rFonts w:ascii="Arial" w:hAnsi="Arial" w:cs="Arial"/>
          <w:sz w:val="24"/>
          <w:szCs w:val="24"/>
        </w:rPr>
        <w:t>Grading of pressur</w:t>
      </w:r>
      <w:r w:rsidR="00077627">
        <w:rPr>
          <w:rFonts w:ascii="Arial" w:hAnsi="Arial" w:cs="Arial"/>
          <w:sz w:val="24"/>
          <w:szCs w:val="24"/>
        </w:rPr>
        <w:t>e ulcers is by four grades</w:t>
      </w:r>
      <w:r w:rsidR="00077627">
        <w:rPr>
          <w:rStyle w:val="EndnoteReference"/>
          <w:rFonts w:ascii="Arial" w:hAnsi="Arial" w:cs="Arial"/>
          <w:sz w:val="24"/>
          <w:szCs w:val="24"/>
        </w:rPr>
        <w:endnoteReference w:id="6"/>
      </w:r>
      <w:r w:rsidR="00077627">
        <w:rPr>
          <w:rFonts w:ascii="Arial" w:hAnsi="Arial" w:cs="Arial"/>
          <w:sz w:val="24"/>
          <w:szCs w:val="24"/>
        </w:rPr>
        <w:t>:</w:t>
      </w:r>
    </w:p>
    <w:p w:rsidR="004C7D3C" w:rsidRPr="004914F2" w:rsidRDefault="004C7D3C" w:rsidP="004C7D3C">
      <w:pPr>
        <w:pStyle w:val="Paragraphnonumbers"/>
        <w:numPr>
          <w:ilvl w:val="0"/>
          <w:numId w:val="3"/>
        </w:numPr>
      </w:pPr>
      <w:r w:rsidRPr="004914F2">
        <w:t>Grade 1 – The affected area of skin appears discoloured and is red in white people, and purple or blue in people with darker coloured skin. They do not turn white when pressure is placed on them and skin remains intact but may hurt or itch. It may also feel either warm and spongy, or hard.</w:t>
      </w:r>
    </w:p>
    <w:p w:rsidR="004C7D3C" w:rsidRPr="004914F2" w:rsidRDefault="004C7D3C" w:rsidP="004C7D3C">
      <w:pPr>
        <w:pStyle w:val="Paragraphnonumbers"/>
        <w:numPr>
          <w:ilvl w:val="0"/>
          <w:numId w:val="3"/>
        </w:numPr>
      </w:pPr>
      <w:r w:rsidRPr="004914F2">
        <w:t>Grade 2 – Some of the epidermis or the dermis is damaged, leading to skin loss. The ulcer looks like an open wound or a blister.</w:t>
      </w:r>
    </w:p>
    <w:p w:rsidR="004C7D3C" w:rsidRPr="004914F2" w:rsidRDefault="004C7D3C" w:rsidP="004C7D3C">
      <w:pPr>
        <w:pStyle w:val="Paragraphnonumbers"/>
        <w:numPr>
          <w:ilvl w:val="0"/>
          <w:numId w:val="3"/>
        </w:numPr>
      </w:pPr>
      <w:r w:rsidRPr="004914F2">
        <w:t>Grade 3 – Skin loss occurs throughout the entire thickness of the skin and the underlying tissue is also damaged but muscle and bone are not damaged. The ulcer appears as a deep, cavity-like wound.</w:t>
      </w:r>
    </w:p>
    <w:p w:rsidR="004C7D3C" w:rsidRPr="004914F2" w:rsidRDefault="004C7D3C" w:rsidP="004C7D3C">
      <w:pPr>
        <w:pStyle w:val="Paragraphnonumbers"/>
        <w:numPr>
          <w:ilvl w:val="0"/>
          <w:numId w:val="3"/>
        </w:numPr>
      </w:pPr>
      <w:r w:rsidRPr="004914F2">
        <w:t>Grade 4 - The skin is severely damaged and the surrounding tissue becomes necrotic. The underlying muscles or bone may also be damaged. People with grade 4 pressure ulcers have a high risk of developing a life-threatening infection.</w:t>
      </w:r>
    </w:p>
    <w:p w:rsidR="004C7D3C" w:rsidRPr="004914F2" w:rsidRDefault="004C7D3C" w:rsidP="004C7D3C">
      <w:pPr>
        <w:pStyle w:val="Paragraphnonumbers"/>
      </w:pPr>
      <w:r w:rsidRPr="004914F2">
        <w:t>For some people, pressure ulcers ar</w:t>
      </w:r>
      <w:r w:rsidR="007F128C">
        <w:t>e an inconvenience that require</w:t>
      </w:r>
      <w:r w:rsidRPr="004914F2">
        <w:t xml:space="preserve"> minor nursing care. For others, they can be serious and lead to life-threatening complications such as blood poisoning or gangrene. In </w:t>
      </w:r>
      <w:r w:rsidR="007F128C">
        <w:t>people with diabetes mellitus they are</w:t>
      </w:r>
      <w:r w:rsidRPr="004914F2">
        <w:t xml:space="preserve"> a cause of foot amputations. Pressure ulcers can lead to delayed hospital discharge but it is currently unclear as to how much of this is happening in the NHS. It is estimated that the cost per patient to heal an ulcer varies from £1,214 for Grade 1, £5,241 for Grade 2, £9041 for Grade 3 to </w:t>
      </w:r>
      <w:r w:rsidR="00077627">
        <w:t>£14108 for Grade 4</w:t>
      </w:r>
      <w:r w:rsidR="00077627">
        <w:rPr>
          <w:rStyle w:val="EndnoteReference"/>
        </w:rPr>
        <w:endnoteReference w:id="7"/>
      </w:r>
      <w:r w:rsidRPr="004914F2">
        <w:t xml:space="preserve">. </w:t>
      </w:r>
    </w:p>
    <w:p w:rsidR="00397552" w:rsidRPr="004C7D3C" w:rsidRDefault="004C7D3C" w:rsidP="004C7D3C">
      <w:pPr>
        <w:pStyle w:val="Paragraphnonumbers"/>
      </w:pPr>
      <w:r w:rsidRPr="004914F2">
        <w:lastRenderedPageBreak/>
        <w:t>Treatment for pressure ulcers includes regularly changing a person’s position, the use of dressings, creams and gels designed to speed up the healing process and relieve pressure, and using equipment to protect vulnerable parts of the body, such as specially designed mattresses and cushions. Regarding the latter, draft NICE guidance states “</w:t>
      </w:r>
      <w:r w:rsidRPr="004C7D3C">
        <w:t>Pressure redistributing devices are widely accepted methods of trying to prevent the development of pressure areas for people assessed as being at risk. These devices include different types of mattresses, overlays, cushions and seating. They work by reducing pressure, friction or shearing forces. There is limited evidence on the effectivene</w:t>
      </w:r>
      <w:r w:rsidR="00077627">
        <w:t>ss of these devices”</w:t>
      </w:r>
      <w:r w:rsidR="00077627">
        <w:rPr>
          <w:rStyle w:val="EndnoteReference"/>
        </w:rPr>
        <w:endnoteReference w:id="8"/>
      </w:r>
      <w:r w:rsidRPr="004C7D3C">
        <w:t xml:space="preserve">. </w:t>
      </w:r>
      <w:r w:rsidRPr="004914F2">
        <w:t>For the most serious cases, surgery is sometimes recommended. One issue with all pressure relief equipment is the impact it has on the patient's ability to self-reposition and move around the bed. Much of the equipment currently in use in the NHS addresses the offloading issues in pressure ulcer prevention but does not address repositioning.</w:t>
      </w:r>
    </w:p>
    <w:p w:rsidR="004C7D3C" w:rsidRPr="004C7D3C" w:rsidRDefault="004C7D3C" w:rsidP="004C7D3C">
      <w:pPr>
        <w:pStyle w:val="Heading2"/>
        <w:numPr>
          <w:ilvl w:val="0"/>
          <w:numId w:val="1"/>
        </w:numPr>
        <w:spacing w:before="200" w:line="276" w:lineRule="auto"/>
      </w:pPr>
      <w:r>
        <w:t xml:space="preserve">The Decision </w:t>
      </w:r>
      <w:r w:rsidRPr="004C7D3C">
        <w:t>Problem</w:t>
      </w:r>
    </w:p>
    <w:p w:rsidR="004C7D3C" w:rsidRDefault="004C7D3C" w:rsidP="004C7D3C">
      <w:pPr>
        <w:pStyle w:val="Heading3"/>
      </w:pPr>
      <w:r>
        <w:t>3.1 Population</w:t>
      </w:r>
    </w:p>
    <w:p w:rsidR="00397552" w:rsidRPr="007F128C" w:rsidRDefault="004C7D3C" w:rsidP="007F128C">
      <w:pPr>
        <w:pStyle w:val="Paragraphnonumbers"/>
      </w:pPr>
      <w:r w:rsidRPr="004C7D3C">
        <w:t xml:space="preserve">The target population was any adults or children (excluding very young children) </w:t>
      </w:r>
      <w:r w:rsidRPr="00082DE1">
        <w:t>with</w:t>
      </w:r>
      <w:r w:rsidR="00551221">
        <w:t>,</w:t>
      </w:r>
      <w:r w:rsidRPr="00082DE1">
        <w:t xml:space="preserve"> or at risk of</w:t>
      </w:r>
      <w:r w:rsidR="00551221">
        <w:t>,</w:t>
      </w:r>
      <w:r w:rsidRPr="00082DE1">
        <w:t xml:space="preserve"> pressure ulcers</w:t>
      </w:r>
      <w:r w:rsidR="00551221">
        <w:t>, in a hospital or community setting</w:t>
      </w:r>
      <w:r>
        <w:t xml:space="preserve">. </w:t>
      </w:r>
    </w:p>
    <w:p w:rsidR="00551221" w:rsidRPr="002C1363" w:rsidRDefault="00551221" w:rsidP="00551221">
      <w:pPr>
        <w:pStyle w:val="Heading3"/>
        <w:rPr>
          <w:rFonts w:ascii="Arial" w:hAnsi="Arial" w:cs="Arial"/>
        </w:rPr>
      </w:pPr>
      <w:r>
        <w:t xml:space="preserve">3.2 </w:t>
      </w:r>
      <w:r w:rsidRPr="002C1363">
        <w:t>Intervention</w:t>
      </w:r>
      <w:r>
        <w:rPr>
          <w:rFonts w:ascii="Arial" w:hAnsi="Arial" w:cs="Arial"/>
        </w:rPr>
        <w:t xml:space="preserve"> </w:t>
      </w:r>
    </w:p>
    <w:p w:rsidR="00551221" w:rsidRPr="007F128C" w:rsidRDefault="007F128C" w:rsidP="007F128C">
      <w:pPr>
        <w:pStyle w:val="Paragraphnonumbers"/>
      </w:pPr>
      <w:r>
        <w:t>The intervention wa</w:t>
      </w:r>
      <w:r w:rsidR="00551221" w:rsidRPr="004914F2">
        <w:t xml:space="preserve">s Parafricta which can be one or two Bootees and/or Undergarment. </w:t>
      </w:r>
      <w:r w:rsidR="00551221">
        <w:t xml:space="preserve">Parafricta is made from a proprietary fabric which has a low friction coefficient and the intended mode of action is to reduce the friction component of skin breakdown. </w:t>
      </w:r>
      <w:r w:rsidR="00960C92">
        <w:t>The NICE final scope did not specify whether this referred</w:t>
      </w:r>
      <w:r w:rsidR="008311D3">
        <w:t xml:space="preserve"> to a single garment only</w:t>
      </w:r>
      <w:r w:rsidR="00551221" w:rsidRPr="004914F2">
        <w:t xml:space="preserve"> or the use of two or three garments together. Parafricta is used </w:t>
      </w:r>
      <w:r w:rsidR="00551221">
        <w:t xml:space="preserve">as an adjunct </w:t>
      </w:r>
      <w:r w:rsidR="00551221" w:rsidRPr="004914F2">
        <w:t>to pressure reducing devices used in standard NHS clinical pr</w:t>
      </w:r>
      <w:r w:rsidR="00551221">
        <w:t>actice</w:t>
      </w:r>
      <w:r w:rsidR="00551221" w:rsidRPr="004914F2">
        <w:t xml:space="preserve">. </w:t>
      </w:r>
    </w:p>
    <w:p w:rsidR="00551221" w:rsidRDefault="00551221" w:rsidP="00551221">
      <w:pPr>
        <w:pStyle w:val="Heading3"/>
        <w:rPr>
          <w:rFonts w:ascii="Arial" w:hAnsi="Arial" w:cs="Arial"/>
        </w:rPr>
      </w:pPr>
      <w:r>
        <w:rPr>
          <w:rFonts w:ascii="Arial" w:hAnsi="Arial" w:cs="Arial"/>
        </w:rPr>
        <w:t xml:space="preserve">3.3 </w:t>
      </w:r>
      <w:r w:rsidRPr="005F06E1">
        <w:t>Comparators</w:t>
      </w:r>
      <w:r>
        <w:rPr>
          <w:rFonts w:ascii="Arial" w:hAnsi="Arial" w:cs="Arial"/>
        </w:rPr>
        <w:t xml:space="preserve"> </w:t>
      </w:r>
    </w:p>
    <w:p w:rsidR="00960C92" w:rsidRPr="004914F2" w:rsidRDefault="00960C92" w:rsidP="00960C92">
      <w:pPr>
        <w:pStyle w:val="Paragraphnonumbers"/>
      </w:pPr>
      <w:r w:rsidRPr="004914F2">
        <w:t>The compa</w:t>
      </w:r>
      <w:r w:rsidR="007F128C">
        <w:t>rators in the NICE final scope we</w:t>
      </w:r>
      <w:r w:rsidRPr="004914F2">
        <w:t xml:space="preserve">re pressure reducing devices used in standard NHS clinical practice, and also one of the following three options: </w:t>
      </w:r>
    </w:p>
    <w:p w:rsidR="00960C92" w:rsidRPr="004914F2" w:rsidRDefault="00960C92" w:rsidP="003B374D">
      <w:pPr>
        <w:pStyle w:val="Paragraphnonumbers"/>
        <w:numPr>
          <w:ilvl w:val="0"/>
          <w:numId w:val="5"/>
        </w:numPr>
        <w:spacing w:before="0" w:after="0"/>
        <w:ind w:left="714" w:hanging="357"/>
      </w:pPr>
      <w:r w:rsidRPr="004914F2">
        <w:lastRenderedPageBreak/>
        <w:t>No Parafricta (i</w:t>
      </w:r>
      <w:r w:rsidR="006D07B0">
        <w:t>.</w:t>
      </w:r>
      <w:r w:rsidRPr="004914F2">
        <w:t>e</w:t>
      </w:r>
      <w:r w:rsidR="006D07B0">
        <w:t>.</w:t>
      </w:r>
      <w:r w:rsidRPr="004914F2">
        <w:t xml:space="preserve"> pressure reducing devices alone)</w:t>
      </w:r>
    </w:p>
    <w:p w:rsidR="00960C92" w:rsidRPr="004914F2" w:rsidRDefault="00960C92" w:rsidP="003B374D">
      <w:pPr>
        <w:pStyle w:val="Paragraphnonumbers"/>
        <w:numPr>
          <w:ilvl w:val="0"/>
          <w:numId w:val="5"/>
        </w:numPr>
        <w:spacing w:before="0" w:after="0"/>
        <w:ind w:left="714" w:hanging="357"/>
      </w:pPr>
      <w:r w:rsidRPr="004914F2">
        <w:t xml:space="preserve">Sheepskin </w:t>
      </w:r>
    </w:p>
    <w:p w:rsidR="00551221" w:rsidRPr="008311D3" w:rsidRDefault="00960C92" w:rsidP="00082DE1">
      <w:pPr>
        <w:pStyle w:val="Paragraphnonumbers"/>
        <w:numPr>
          <w:ilvl w:val="0"/>
          <w:numId w:val="5"/>
        </w:numPr>
        <w:spacing w:before="0" w:after="0"/>
        <w:ind w:left="714" w:hanging="357"/>
      </w:pPr>
      <w:r w:rsidRPr="004914F2">
        <w:t xml:space="preserve">Pressure-relieving bootees </w:t>
      </w:r>
    </w:p>
    <w:p w:rsidR="00551221" w:rsidRDefault="00551221" w:rsidP="00551221">
      <w:pPr>
        <w:pStyle w:val="Heading3"/>
        <w:rPr>
          <w:rFonts w:ascii="Arial" w:hAnsi="Arial" w:cs="Arial"/>
        </w:rPr>
      </w:pPr>
      <w:r>
        <w:rPr>
          <w:rFonts w:ascii="Arial" w:hAnsi="Arial" w:cs="Arial"/>
        </w:rPr>
        <w:t xml:space="preserve">3.4 </w:t>
      </w:r>
      <w:r w:rsidRPr="00BA4FF0">
        <w:t>Outcomes</w:t>
      </w:r>
      <w:r>
        <w:rPr>
          <w:rFonts w:ascii="Arial" w:hAnsi="Arial" w:cs="Arial"/>
        </w:rPr>
        <w:t xml:space="preserve"> </w:t>
      </w:r>
    </w:p>
    <w:p w:rsidR="00960C92" w:rsidRPr="008311D3" w:rsidRDefault="00960C92" w:rsidP="008311D3">
      <w:pPr>
        <w:pStyle w:val="Paragraphnonumbers"/>
        <w:spacing w:before="0" w:after="0"/>
      </w:pPr>
      <w:r w:rsidRPr="008311D3">
        <w:t>Relevant outcome measures included:</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incidence of grade 1 or 2 pressure ulcers progressing to grade 3 or 4</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incidence of developing pressure ulcers</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incidence of skin breakdown</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 xml:space="preserve">severity of pressure ulcers </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length of hospital stay</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time-to-healing for those who present with an existing pressure ulcer</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patient compliance with pressure ulcer management interventions</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patient comfort: including ability to move and self-reposition in bed</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quality of life</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 xml:space="preserve">morbidity </w:t>
      </w:r>
    </w:p>
    <w:p w:rsidR="00960C92" w:rsidRPr="008311D3" w:rsidRDefault="00960C92" w:rsidP="008311D3">
      <w:pPr>
        <w:pStyle w:val="Paragraphnonumbers"/>
        <w:spacing w:before="0" w:after="0"/>
      </w:pPr>
      <w:r w:rsidRPr="008311D3">
        <w:sym w:font="Symbol" w:char="F0B7"/>
      </w:r>
      <w:r w:rsidR="007F128C" w:rsidRPr="008311D3">
        <w:t xml:space="preserve">  </w:t>
      </w:r>
      <w:r w:rsidRPr="008311D3">
        <w:t>device-related adverse events</w:t>
      </w:r>
    </w:p>
    <w:p w:rsidR="00960C92" w:rsidRDefault="00960C92" w:rsidP="00082DE1">
      <w:pPr>
        <w:rPr>
          <w:rFonts w:cs="Arial"/>
        </w:rPr>
      </w:pPr>
    </w:p>
    <w:p w:rsidR="00960C92" w:rsidRPr="00BA4FF0" w:rsidRDefault="00960C92" w:rsidP="00960C92">
      <w:pPr>
        <w:pStyle w:val="Heading2"/>
        <w:ind w:left="720"/>
        <w:rPr>
          <w:rFonts w:ascii="Arial" w:hAnsi="Arial" w:cs="Arial"/>
        </w:rPr>
      </w:pPr>
      <w:r>
        <w:rPr>
          <w:rFonts w:ascii="Arial" w:hAnsi="Arial" w:cs="Arial"/>
        </w:rPr>
        <w:t xml:space="preserve">4. </w:t>
      </w:r>
      <w:r w:rsidRPr="00BA4FF0">
        <w:rPr>
          <w:rFonts w:ascii="Arial" w:hAnsi="Arial" w:cs="Arial"/>
        </w:rPr>
        <w:t>Review of the clinical and economic evidence</w:t>
      </w:r>
    </w:p>
    <w:p w:rsidR="00960C92" w:rsidRPr="007F128C" w:rsidRDefault="00960C92" w:rsidP="00960C92">
      <w:pPr>
        <w:rPr>
          <w:rFonts w:ascii="Arial" w:hAnsi="Arial" w:cs="Arial"/>
          <w:sz w:val="24"/>
          <w:szCs w:val="24"/>
        </w:rPr>
      </w:pPr>
      <w:r w:rsidRPr="00DA569E">
        <w:rPr>
          <w:rFonts w:ascii="Arial" w:hAnsi="Arial" w:cs="Arial"/>
          <w:sz w:val="24"/>
          <w:szCs w:val="24"/>
        </w:rPr>
        <w:t>The sponsor submitted clinical and economic evidence based on the scope issued by</w:t>
      </w:r>
      <w:r w:rsidR="007F128C">
        <w:rPr>
          <w:rFonts w:ascii="Arial" w:hAnsi="Arial" w:cs="Arial"/>
          <w:sz w:val="24"/>
          <w:szCs w:val="24"/>
        </w:rPr>
        <w:t xml:space="preserve"> NICE. The economic evidence</w:t>
      </w:r>
      <w:r w:rsidRPr="00DA569E">
        <w:rPr>
          <w:rFonts w:ascii="Arial" w:hAnsi="Arial" w:cs="Arial"/>
          <w:sz w:val="24"/>
          <w:szCs w:val="24"/>
        </w:rPr>
        <w:t xml:space="preserve"> included a </w:t>
      </w:r>
      <w:r w:rsidRPr="00DA569E">
        <w:rPr>
          <w:rFonts w:ascii="Arial" w:hAnsi="Arial" w:cs="Arial"/>
          <w:i/>
          <w:sz w:val="24"/>
          <w:szCs w:val="24"/>
        </w:rPr>
        <w:t xml:space="preserve">de novo </w:t>
      </w:r>
      <w:r w:rsidRPr="00DA569E">
        <w:rPr>
          <w:rFonts w:ascii="Arial" w:hAnsi="Arial" w:cs="Arial"/>
          <w:sz w:val="24"/>
          <w:szCs w:val="24"/>
        </w:rPr>
        <w:t xml:space="preserve">economic model. The EAC critically appraised the submission and carried out additional analyses to evaluate the outcomes identified in the scope. </w:t>
      </w:r>
    </w:p>
    <w:p w:rsidR="00960C92" w:rsidRDefault="00960C92" w:rsidP="00960C92">
      <w:pPr>
        <w:pStyle w:val="Heading3"/>
        <w:rPr>
          <w:rFonts w:ascii="Arial" w:hAnsi="Arial" w:cs="Arial"/>
        </w:rPr>
      </w:pPr>
      <w:r>
        <w:rPr>
          <w:rFonts w:ascii="Arial" w:hAnsi="Arial" w:cs="Arial"/>
        </w:rPr>
        <w:lastRenderedPageBreak/>
        <w:t xml:space="preserve">4.1 Clinical </w:t>
      </w:r>
      <w:r w:rsidRPr="00BA4FF0">
        <w:t>effectiveness</w:t>
      </w:r>
      <w:r>
        <w:rPr>
          <w:rFonts w:ascii="Arial" w:hAnsi="Arial" w:cs="Arial"/>
        </w:rPr>
        <w:t xml:space="preserve"> evidence</w:t>
      </w:r>
    </w:p>
    <w:p w:rsidR="00960C92" w:rsidRDefault="00960C92" w:rsidP="00960C92">
      <w:pPr>
        <w:pStyle w:val="Heading3"/>
      </w:pPr>
      <w:r>
        <w:t>4.1.1 Sponsor’s review of clinical effectiveness evidence</w:t>
      </w:r>
    </w:p>
    <w:p w:rsidR="00942A20" w:rsidRPr="00551221" w:rsidRDefault="00942A20" w:rsidP="00942A20">
      <w:pPr>
        <w:pStyle w:val="Paragraphnonumbers"/>
      </w:pPr>
      <w:r w:rsidRPr="004914F2">
        <w:t>There were seven included studies in the submission</w:t>
      </w:r>
      <w:r w:rsidR="007F128C">
        <w:t>,</w:t>
      </w:r>
      <w:r w:rsidRPr="004914F2">
        <w:t xml:space="preserve"> of which three were single case studies</w:t>
      </w:r>
      <w:r w:rsidR="00077627">
        <w:rPr>
          <w:rStyle w:val="EndnoteReference"/>
        </w:rPr>
        <w:endnoteReference w:id="9"/>
      </w:r>
      <w:r w:rsidR="00077627" w:rsidRPr="00077627">
        <w:rPr>
          <w:vertAlign w:val="superscript"/>
        </w:rPr>
        <w:t>,</w:t>
      </w:r>
      <w:r w:rsidR="00077627">
        <w:rPr>
          <w:rStyle w:val="EndnoteReference"/>
        </w:rPr>
        <w:endnoteReference w:id="10"/>
      </w:r>
      <w:r w:rsidR="00077627" w:rsidRPr="00077627">
        <w:rPr>
          <w:vertAlign w:val="superscript"/>
        </w:rPr>
        <w:t>,</w:t>
      </w:r>
      <w:r w:rsidR="00077627">
        <w:rPr>
          <w:rStyle w:val="EndnoteReference"/>
        </w:rPr>
        <w:endnoteReference w:id="11"/>
      </w:r>
      <w:r w:rsidRPr="004914F2">
        <w:t>, two were small uncontrolled case series</w:t>
      </w:r>
      <w:r w:rsidR="00077627">
        <w:rPr>
          <w:rStyle w:val="EndnoteReference"/>
        </w:rPr>
        <w:endnoteReference w:id="12"/>
      </w:r>
      <w:r w:rsidR="00077627">
        <w:t>,</w:t>
      </w:r>
      <w:r w:rsidR="00077627">
        <w:rPr>
          <w:rStyle w:val="EndnoteReference"/>
        </w:rPr>
        <w:endnoteReference w:id="13"/>
      </w:r>
      <w:r w:rsidRPr="004914F2">
        <w:t>, one was a small partially controlled case series</w:t>
      </w:r>
      <w:r w:rsidR="00077627">
        <w:rPr>
          <w:rStyle w:val="EndnoteReference"/>
        </w:rPr>
        <w:endnoteReference w:id="14"/>
      </w:r>
      <w:r w:rsidRPr="004914F2">
        <w:t xml:space="preserve"> and one was a larger case series with documented historical controls</w:t>
      </w:r>
      <w:r w:rsidR="00077627">
        <w:rPr>
          <w:rStyle w:val="EndnoteReference"/>
        </w:rPr>
        <w:endnoteReference w:id="15"/>
      </w:r>
      <w:r w:rsidR="007F128C">
        <w:t>. There was also an</w:t>
      </w:r>
      <w:r w:rsidRPr="004914F2">
        <w:t xml:space="preserve"> unp</w:t>
      </w:r>
      <w:r w:rsidR="00594D15">
        <w:t>ublished audit</w:t>
      </w:r>
      <w:r w:rsidR="00594D15">
        <w:rPr>
          <w:rStyle w:val="EndnoteReference"/>
        </w:rPr>
        <w:endnoteReference w:id="16"/>
      </w:r>
      <w:r w:rsidR="00594D15">
        <w:t>, which</w:t>
      </w:r>
      <w:r w:rsidR="006D7582">
        <w:t xml:space="preserve"> has n</w:t>
      </w:r>
      <w:r w:rsidR="00594D15">
        <w:t>ow been published</w:t>
      </w:r>
      <w:r w:rsidR="00594D15">
        <w:rPr>
          <w:rStyle w:val="EndnoteReference"/>
        </w:rPr>
        <w:endnoteReference w:id="17"/>
      </w:r>
      <w:r w:rsidR="006D7582">
        <w:t xml:space="preserve">.  </w:t>
      </w:r>
      <w:r>
        <w:t xml:space="preserve">See </w:t>
      </w:r>
      <w:r>
        <w:fldChar w:fldCharType="begin"/>
      </w:r>
      <w:r>
        <w:instrText xml:space="preserve"> REF _Ref380592750 \h </w:instrText>
      </w:r>
      <w:r>
        <w:fldChar w:fldCharType="separate"/>
      </w:r>
      <w:r w:rsidR="00363362" w:rsidRPr="004914F2">
        <w:t xml:space="preserve">Table </w:t>
      </w:r>
      <w:r w:rsidR="00363362">
        <w:rPr>
          <w:noProof/>
        </w:rPr>
        <w:t>1</w:t>
      </w:r>
      <w:r>
        <w:fldChar w:fldCharType="end"/>
      </w:r>
      <w:r>
        <w:t xml:space="preserve"> and </w:t>
      </w:r>
      <w:r>
        <w:fldChar w:fldCharType="begin"/>
      </w:r>
      <w:r>
        <w:instrText xml:space="preserve"> REF _Ref382235465 \h </w:instrText>
      </w:r>
      <w:r>
        <w:fldChar w:fldCharType="separate"/>
      </w:r>
      <w:r w:rsidR="00363362" w:rsidRPr="004914F2">
        <w:t xml:space="preserve">Table </w:t>
      </w:r>
      <w:r w:rsidR="00363362">
        <w:rPr>
          <w:noProof/>
        </w:rPr>
        <w:t>2</w:t>
      </w:r>
      <w:r>
        <w:fldChar w:fldCharType="end"/>
      </w:r>
      <w:r w:rsidRPr="00D43E09">
        <w:t xml:space="preserve"> </w:t>
      </w:r>
      <w:r>
        <w:t xml:space="preserve">for an overview of these studies. </w:t>
      </w:r>
      <w:r w:rsidRPr="004914F2">
        <w:t>The submitted studies evaluate</w:t>
      </w:r>
      <w:r>
        <w:t>d</w:t>
      </w:r>
      <w:r w:rsidRPr="004914F2">
        <w:t xml:space="preserve"> one Parafricta Bootee, one or two Bootees, or Undergarments, or a combination of Bootees and Undergarments.</w:t>
      </w:r>
      <w:r w:rsidRPr="00555BE9">
        <w:t xml:space="preserve"> </w:t>
      </w:r>
      <w:r w:rsidRPr="004914F2">
        <w:t>The evidence is generalizable to the UK setting.</w:t>
      </w:r>
    </w:p>
    <w:p w:rsidR="001E1E48" w:rsidRPr="004914F2" w:rsidRDefault="001E1E48" w:rsidP="001E1E48">
      <w:pPr>
        <w:pStyle w:val="Paragraphnonumbers"/>
      </w:pPr>
      <w:r w:rsidRPr="004914F2">
        <w:t>The three single case studies need no further description</w:t>
      </w:r>
      <w:r w:rsidR="004C76E8">
        <w:t>, and their results are in Table 2</w:t>
      </w:r>
      <w:r w:rsidRPr="004914F2">
        <w:t>. The ca</w:t>
      </w:r>
      <w:r w:rsidR="004C76E8">
        <w:t>se series by Loehne (2013)</w:t>
      </w:r>
      <w:r w:rsidR="00594D15" w:rsidRPr="00594D15">
        <w:rPr>
          <w:vertAlign w:val="superscript"/>
        </w:rPr>
        <w:t>12</w:t>
      </w:r>
      <w:r w:rsidR="004C76E8">
        <w:t xml:space="preserve"> gave</w:t>
      </w:r>
      <w:r w:rsidRPr="004914F2">
        <w:t xml:space="preserve"> no information on the study design other than tha</w:t>
      </w:r>
      <w:r w:rsidR="004C76E8">
        <w:t>t it wa</w:t>
      </w:r>
      <w:r w:rsidRPr="004914F2">
        <w:t xml:space="preserve">s a case series of the use of Parafricta Bootees in nursing home patients. </w:t>
      </w:r>
      <w:r w:rsidR="00E1034C" w:rsidRPr="004914F2">
        <w:t>Stephen-Haynes (2011)</w:t>
      </w:r>
      <w:r w:rsidR="00594D15" w:rsidRPr="00594D15">
        <w:rPr>
          <w:vertAlign w:val="superscript"/>
        </w:rPr>
        <w:t>13</w:t>
      </w:r>
      <w:r w:rsidR="00E1034C" w:rsidRPr="004914F2">
        <w:t xml:space="preserve"> was a case series of 25 nursing home residents evaluating Parafricta Bootees or/and Undergarment added to standard approach as outlined by NICE guidance 2005. There was no compara</w:t>
      </w:r>
      <w:r w:rsidR="00E1034C">
        <w:t xml:space="preserve">tor. Results of these studies are </w:t>
      </w:r>
      <w:r w:rsidR="007F128C">
        <w:t xml:space="preserve">also </w:t>
      </w:r>
      <w:r w:rsidR="00E1034C">
        <w:t xml:space="preserve">in Table 2. </w:t>
      </w:r>
    </w:p>
    <w:p w:rsidR="00241293" w:rsidRDefault="001E1E48" w:rsidP="001E1E48">
      <w:pPr>
        <w:pStyle w:val="Paragraphnonumbers"/>
      </w:pPr>
      <w:r w:rsidRPr="004914F2">
        <w:t>Hampton (2009)</w:t>
      </w:r>
      <w:r w:rsidR="00594D15" w:rsidRPr="00594D15">
        <w:rPr>
          <w:vertAlign w:val="superscript"/>
        </w:rPr>
        <w:t>14</w:t>
      </w:r>
      <w:r w:rsidRPr="00594D15">
        <w:rPr>
          <w:vertAlign w:val="superscript"/>
        </w:rPr>
        <w:t xml:space="preserve"> </w:t>
      </w:r>
      <w:r w:rsidRPr="004914F2">
        <w:t xml:space="preserve">was a case series of 25 nursing home residents. A single Parafricta Bootee was used on the right heel in 10 patients, with the left heel used as comparator. Eighteen patients had Parafricta Undergarments and there was no comparison group.  The duration of follow up was four weeks. The outcomes were measured in three ways </w:t>
      </w:r>
    </w:p>
    <w:p w:rsidR="00241293" w:rsidRDefault="001E1E48" w:rsidP="00241293">
      <w:pPr>
        <w:pStyle w:val="Paragraphnonumbers"/>
        <w:spacing w:before="0" w:after="0" w:line="240" w:lineRule="auto"/>
        <w:ind w:left="720"/>
      </w:pPr>
      <w:r w:rsidRPr="004914F2">
        <w:t xml:space="preserve">1. Bogginess and redness of skin as assessed by tissue viability nurse </w:t>
      </w:r>
    </w:p>
    <w:p w:rsidR="00241293" w:rsidRDefault="001E1E48" w:rsidP="00241293">
      <w:pPr>
        <w:pStyle w:val="Paragraphnonumbers"/>
        <w:spacing w:before="0" w:after="0" w:line="240" w:lineRule="auto"/>
        <w:ind w:left="720"/>
      </w:pPr>
      <w:r w:rsidRPr="004914F2">
        <w:t xml:space="preserve">2. Colour photographs and </w:t>
      </w:r>
    </w:p>
    <w:p w:rsidR="00241293" w:rsidRDefault="001E1E48" w:rsidP="00241293">
      <w:pPr>
        <w:pStyle w:val="Paragraphnonumbers"/>
        <w:spacing w:before="0" w:after="0" w:line="240" w:lineRule="auto"/>
        <w:ind w:left="720"/>
      </w:pPr>
      <w:r w:rsidRPr="004914F2">
        <w:t xml:space="preserve">3. High frequency ultrasound graphs. </w:t>
      </w:r>
    </w:p>
    <w:p w:rsidR="001E1E48" w:rsidRPr="004914F2" w:rsidRDefault="001E1E48" w:rsidP="001E1E48">
      <w:pPr>
        <w:pStyle w:val="Paragraphnonumbers"/>
      </w:pPr>
      <w:r w:rsidRPr="004914F2">
        <w:t>The reason for three different ways for measuring outcomes was because of the difficulty of assessing skin oedema. Bogginess and redness was judged to be very subjectively assessed. Colour photographs did not reproduce the nature of the skin damage well as the colour reproduction depended on ambient light levels. The ultrasound graphs were an attempt to measure thickening of the skin from oedema and were felt to be the most reliable outcome measure</w:t>
      </w:r>
      <w:r w:rsidR="00632F57">
        <w:t xml:space="preserve"> and were presented as mean pixel number vs intensity</w:t>
      </w:r>
      <w:r w:rsidRPr="004914F2">
        <w:t xml:space="preserve">. </w:t>
      </w:r>
      <w:r w:rsidR="00632F57">
        <w:t xml:space="preserve">These have not been reproduced because of copyright issues. The results suggested </w:t>
      </w:r>
      <w:r w:rsidR="00632F57">
        <w:lastRenderedPageBreak/>
        <w:t xml:space="preserve">that heels with Parafricta bootees became similar to normal heels within 4 weeks, and this was suggested to be because of a reduction in skin oedema. </w:t>
      </w:r>
    </w:p>
    <w:p w:rsidR="00E1034C" w:rsidRPr="004914F2" w:rsidRDefault="001E1E48" w:rsidP="00E1034C">
      <w:pPr>
        <w:pStyle w:val="Paragraphnonumbers"/>
      </w:pPr>
      <w:r w:rsidRPr="004914F2">
        <w:t xml:space="preserve">Smith </w:t>
      </w:r>
      <w:r w:rsidR="00A1003A">
        <w:t xml:space="preserve">and Ingram </w:t>
      </w:r>
      <w:r w:rsidRPr="004914F2">
        <w:t>2010</w:t>
      </w:r>
      <w:r w:rsidR="00594D15" w:rsidRPr="00594D15">
        <w:rPr>
          <w:vertAlign w:val="superscript"/>
        </w:rPr>
        <w:t>15</w:t>
      </w:r>
      <w:r w:rsidRPr="004914F2">
        <w:t xml:space="preserve"> recruited 165 patients in three months, compared with 204 historical controls recruited in the previous three months of similar conditions in same hospital wards (two medical </w:t>
      </w:r>
      <w:r w:rsidR="00241293">
        <w:t xml:space="preserve">wards </w:t>
      </w:r>
      <w:r w:rsidRPr="004914F2">
        <w:t>and one orthop</w:t>
      </w:r>
      <w:r w:rsidR="00241293">
        <w:t>aedic ward</w:t>
      </w:r>
      <w:r w:rsidRPr="004914F2">
        <w:t>).  All patients were at high risk of pressure ulcers (Waterlow score of ≥15), some had pressure ulcers on admission and some did not. All were unable to reposition independently. The intervention was the addition of Parafricta Bootee or/and Undergarment to standard pressure ulcer preventative measures. Outcomes were the incidence improvement and de</w:t>
      </w:r>
      <w:r w:rsidR="004C76E8">
        <w:t>terioration of pressure ulcers and cost effectiveness</w:t>
      </w:r>
      <w:r w:rsidRPr="004914F2">
        <w:t>.</w:t>
      </w:r>
      <w:r w:rsidR="004C76E8">
        <w:t xml:space="preserve"> This study provided the effectiveness evidence for the economic model. </w:t>
      </w:r>
      <w:r w:rsidR="00632F57" w:rsidRPr="00FF7595">
        <w:rPr>
          <w:rFonts w:cs="Arial"/>
        </w:rPr>
        <w:t>Smith</w:t>
      </w:r>
      <w:r w:rsidR="00A1003A">
        <w:rPr>
          <w:rFonts w:cs="Arial"/>
        </w:rPr>
        <w:t xml:space="preserve"> and Ingram</w:t>
      </w:r>
      <w:r w:rsidR="00632F57" w:rsidRPr="00FF7595">
        <w:rPr>
          <w:rFonts w:cs="Arial"/>
        </w:rPr>
        <w:t xml:space="preserve"> (2010) analysed results in pressure ulcer incidence, improvement and deterioration using differences in incidence. These are reproduced in</w:t>
      </w:r>
      <w:r w:rsidR="00632F57">
        <w:t xml:space="preserve"> Table 3</w:t>
      </w:r>
      <w:r w:rsidR="00632F57" w:rsidRPr="00FF7595">
        <w:rPr>
          <w:rFonts w:cs="Arial"/>
        </w:rPr>
        <w:t>. As incidence differences are difficult to interpret these were recalculated using relative risks (in Revman 5.2) and the results shown in</w:t>
      </w:r>
      <w:r w:rsidR="00632F57">
        <w:t xml:space="preserve"> Table 4</w:t>
      </w:r>
      <w:r w:rsidR="00632F57" w:rsidRPr="00FF7595">
        <w:rPr>
          <w:rFonts w:cs="Arial"/>
        </w:rPr>
        <w:t>. The results from the study, whichever way it is analysed suggest that the Parafricta cohort had fewer patients who developed pressure ulcers in patients without pressure ulcers on admission but no difference in the development of additional pressure ulcers in patients who already had a pressure ulcer. Also the results suggest that fewer pressure ulcers deteriorated in the Parafricta cohort. There were no statistically significant differences in length of stay between cohorts 1 and 2 but the lengths of stay were not given.</w:t>
      </w:r>
      <w:r w:rsidR="00632F57">
        <w:rPr>
          <w:rFonts w:cs="Arial"/>
        </w:rPr>
        <w:t xml:space="preserve"> The results in Waterlow scores are shown in Table 5. </w:t>
      </w:r>
    </w:p>
    <w:p w:rsidR="001E1E48" w:rsidRPr="004C76E8" w:rsidRDefault="004C76E8" w:rsidP="004C76E8">
      <w:pPr>
        <w:pStyle w:val="Paragraphnonumbers"/>
      </w:pPr>
      <w:r>
        <w:t>The</w:t>
      </w:r>
      <w:r w:rsidR="00942A20" w:rsidRPr="004914F2">
        <w:t xml:space="preserve"> audit at St Helen’s &amp; Knowsley NHS Trust</w:t>
      </w:r>
      <w:r w:rsidR="00594D15" w:rsidRPr="00594D15">
        <w:rPr>
          <w:vertAlign w:val="superscript"/>
        </w:rPr>
        <w:t>16,17</w:t>
      </w:r>
      <w:r w:rsidR="00942A20" w:rsidRPr="00594D15">
        <w:rPr>
          <w:vertAlign w:val="superscript"/>
        </w:rPr>
        <w:t xml:space="preserve"> </w:t>
      </w:r>
      <w:r>
        <w:t xml:space="preserve">was </w:t>
      </w:r>
      <w:r w:rsidR="00942A20" w:rsidRPr="004914F2">
        <w:t>of the use of Parafricta Bootees for patients considered at risk of a heel pressure ulcer, compared to current practice of using a protect</w:t>
      </w:r>
      <w:r w:rsidR="00942A20">
        <w:t>ive hydrogel dressing, which had not</w:t>
      </w:r>
      <w:r>
        <w:t xml:space="preserve"> been published</w:t>
      </w:r>
      <w:r w:rsidR="00942A20" w:rsidRPr="004914F2">
        <w:t xml:space="preserve">. This audit was started in 2013 and </w:t>
      </w:r>
      <w:r>
        <w:t>wa</w:t>
      </w:r>
      <w:r w:rsidR="00942A20" w:rsidRPr="004914F2">
        <w:t>s planned to go on for two years</w:t>
      </w:r>
      <w:r w:rsidR="00942A20">
        <w:t>, but the first year’s results we</w:t>
      </w:r>
      <w:r w:rsidR="00942A20" w:rsidRPr="004914F2">
        <w:t>re available</w:t>
      </w:r>
      <w:r w:rsidR="00594D15">
        <w:t xml:space="preserve"> at the time of the appraisal</w:t>
      </w:r>
      <w:r w:rsidR="00942A20" w:rsidRPr="004914F2">
        <w:t xml:space="preserve">. </w:t>
      </w:r>
      <w:r w:rsidR="006D7582">
        <w:t>Gleeson D (2014) wa</w:t>
      </w:r>
      <w:r w:rsidR="00942A20" w:rsidRPr="001E1E48">
        <w:t xml:space="preserve">s a clinical audit of the use of Parafricta Bootees </w:t>
      </w:r>
      <w:r w:rsidR="00942A20">
        <w:t xml:space="preserve">on </w:t>
      </w:r>
      <w:r w:rsidR="00942A20" w:rsidRPr="004914F2">
        <w:t xml:space="preserve">an </w:t>
      </w:r>
      <w:r w:rsidR="00942A20" w:rsidRPr="003B374D">
        <w:t>unknown number of patients on 6 hospital wards</w:t>
      </w:r>
      <w:r w:rsidR="00942A20" w:rsidRPr="001E1E48">
        <w:t xml:space="preserve"> at St Helens and Knowsley NHS trust between January and December 2012</w:t>
      </w:r>
      <w:r w:rsidR="00942A20">
        <w:t xml:space="preserve"> and was submitted as academic-in-confidence material. H</w:t>
      </w:r>
      <w:r w:rsidR="00942A20" w:rsidRPr="004914F2">
        <w:t xml:space="preserve">ow it was </w:t>
      </w:r>
      <w:r>
        <w:t>conducted was unclear as there we</w:t>
      </w:r>
      <w:r w:rsidR="00942A20" w:rsidRPr="004914F2">
        <w:t>re no details in the manuscript.</w:t>
      </w:r>
      <w:r w:rsidR="00E1034C">
        <w:t xml:space="preserve"> Characteristics and results are in Table 2. </w:t>
      </w:r>
      <w:r w:rsidR="006D7582">
        <w:t xml:space="preserve">This study has since been published (Gleeson 2015) and </w:t>
      </w:r>
      <w:r w:rsidR="00913110">
        <w:t>the information</w:t>
      </w:r>
      <w:r w:rsidR="008311D3">
        <w:t xml:space="preserve"> remains</w:t>
      </w:r>
      <w:r w:rsidR="006D7582">
        <w:t xml:space="preserve"> consistent with that from the unpublished manuscript. </w:t>
      </w:r>
    </w:p>
    <w:p w:rsidR="00960C92" w:rsidRDefault="00960C92" w:rsidP="00960C92">
      <w:pPr>
        <w:pStyle w:val="Heading3"/>
        <w:rPr>
          <w:rFonts w:ascii="Arial" w:hAnsi="Arial" w:cs="Arial"/>
        </w:rPr>
      </w:pPr>
      <w:r>
        <w:rPr>
          <w:rFonts w:ascii="Arial" w:hAnsi="Arial" w:cs="Arial"/>
        </w:rPr>
        <w:lastRenderedPageBreak/>
        <w:t xml:space="preserve">4.1.2 Critique of clinical </w:t>
      </w:r>
      <w:r w:rsidRPr="00D95376">
        <w:rPr>
          <w:rFonts w:ascii="Arial" w:hAnsi="Arial" w:cs="Arial"/>
        </w:rPr>
        <w:t>effectiveness</w:t>
      </w:r>
      <w:r>
        <w:rPr>
          <w:rFonts w:ascii="Arial" w:hAnsi="Arial" w:cs="Arial"/>
        </w:rPr>
        <w:t xml:space="preserve"> evidence</w:t>
      </w:r>
    </w:p>
    <w:p w:rsidR="003D2142" w:rsidRDefault="004C76E8" w:rsidP="004C76E8">
      <w:pPr>
        <w:pStyle w:val="Paragraphnonumbers"/>
      </w:pPr>
      <w:r>
        <w:t xml:space="preserve">Smith </w:t>
      </w:r>
      <w:r w:rsidR="00A1003A">
        <w:t xml:space="preserve">and Ingram </w:t>
      </w:r>
      <w:r>
        <w:t>2010</w:t>
      </w:r>
      <w:r w:rsidR="00594D15" w:rsidRPr="00594D15">
        <w:rPr>
          <w:vertAlign w:val="superscript"/>
        </w:rPr>
        <w:t>15</w:t>
      </w:r>
      <w:r w:rsidRPr="004914F2">
        <w:t xml:space="preserve"> </w:t>
      </w:r>
      <w:r>
        <w:t>formed</w:t>
      </w:r>
      <w:r w:rsidRPr="004914F2">
        <w:t xml:space="preserve"> th</w:t>
      </w:r>
      <w:r>
        <w:t>e basis of the economic model</w:t>
      </w:r>
      <w:r w:rsidRPr="004914F2">
        <w:t xml:space="preserve"> so is discussed further here. </w:t>
      </w:r>
      <w:r w:rsidR="00E1034C">
        <w:t xml:space="preserve">It </w:t>
      </w:r>
      <w:r w:rsidR="00E1034C" w:rsidRPr="004914F2">
        <w:t>was a case series with historical controls, i</w:t>
      </w:r>
      <w:r w:rsidR="0052102C">
        <w:t>.</w:t>
      </w:r>
      <w:r w:rsidR="00E1034C" w:rsidRPr="004914F2">
        <w:t>e</w:t>
      </w:r>
      <w:r w:rsidR="0052102C">
        <w:t>.</w:t>
      </w:r>
      <w:r w:rsidR="00E1034C" w:rsidRPr="004914F2">
        <w:t xml:space="preserve"> a single centre controll</w:t>
      </w:r>
      <w:r w:rsidR="00E1034C">
        <w:t>ed before after study.</w:t>
      </w:r>
      <w:r w:rsidR="00E1034C" w:rsidRPr="004C76E8">
        <w:t xml:space="preserve"> </w:t>
      </w:r>
      <w:r w:rsidR="003D2142">
        <w:t>According to t</w:t>
      </w:r>
      <w:r w:rsidRPr="004914F2">
        <w:t>he Cochrane Collaboration</w:t>
      </w:r>
      <w:r w:rsidR="003D2142">
        <w:t>,</w:t>
      </w:r>
      <w:r w:rsidRPr="004914F2">
        <w:t xml:space="preserve"> </w:t>
      </w:r>
      <w:r w:rsidR="003D2142">
        <w:t xml:space="preserve">a </w:t>
      </w:r>
      <w:r w:rsidRPr="004914F2">
        <w:t xml:space="preserve">study design </w:t>
      </w:r>
      <w:r w:rsidR="003D2142">
        <w:t xml:space="preserve">such </w:t>
      </w:r>
      <w:r w:rsidRPr="004914F2">
        <w:t xml:space="preserve">as </w:t>
      </w:r>
      <w:r w:rsidR="003D2142">
        <w:t xml:space="preserve">that </w:t>
      </w:r>
      <w:r w:rsidRPr="004914F2">
        <w:t>used in Smith</w:t>
      </w:r>
      <w:r w:rsidR="00A1003A">
        <w:t xml:space="preserve"> and Ingram</w:t>
      </w:r>
      <w:r w:rsidRPr="004914F2">
        <w:t xml:space="preserve"> (2010)</w:t>
      </w:r>
      <w:r w:rsidR="008D122E">
        <w:t xml:space="preserve"> in which</w:t>
      </w:r>
      <w:r w:rsidRPr="004914F2">
        <w:t xml:space="preserve"> </w:t>
      </w:r>
      <w:r w:rsidR="003D2142">
        <w:t xml:space="preserve">there is </w:t>
      </w:r>
      <w:r w:rsidRPr="004C76E8">
        <w:t>only one intervention or control site</w:t>
      </w:r>
      <w:r w:rsidR="003D2142">
        <w:t>, “</w:t>
      </w:r>
      <w:r w:rsidRPr="004C76E8">
        <w:t>the intervention (or comparison) is completely confounded by study site making it difficult to attribute any observed differences to the intervention rather than to other site-specific variables”</w:t>
      </w:r>
      <w:r w:rsidR="00594D15">
        <w:rPr>
          <w:rStyle w:val="EndnoteReference"/>
        </w:rPr>
        <w:endnoteReference w:id="18"/>
      </w:r>
      <w:r w:rsidRPr="004C76E8">
        <w:t xml:space="preserve"> (EPOC 2014)</w:t>
      </w:r>
      <w:r w:rsidR="003D2142">
        <w:t xml:space="preserve">. </w:t>
      </w:r>
      <w:r w:rsidRPr="004C76E8">
        <w:t xml:space="preserve"> </w:t>
      </w:r>
      <w:r w:rsidR="003D2142">
        <w:t xml:space="preserve">Therefore, </w:t>
      </w:r>
      <w:r w:rsidRPr="004C76E8">
        <w:t xml:space="preserve">this study design provides relatively weak comparative evidence as </w:t>
      </w:r>
      <w:r w:rsidR="003D2142">
        <w:t xml:space="preserve">the observed </w:t>
      </w:r>
      <w:r w:rsidRPr="004C76E8">
        <w:t xml:space="preserve">results may </w:t>
      </w:r>
      <w:r w:rsidR="003D2142">
        <w:t>h</w:t>
      </w:r>
      <w:r w:rsidR="008D122E">
        <w:t>ave been due to</w:t>
      </w:r>
      <w:r w:rsidR="003D2142">
        <w:t xml:space="preserve"> </w:t>
      </w:r>
      <w:r w:rsidRPr="004C76E8">
        <w:t xml:space="preserve">confounding.  </w:t>
      </w:r>
      <w:r w:rsidR="003D2142">
        <w:t xml:space="preserve">As </w:t>
      </w:r>
      <w:r w:rsidR="003D2142" w:rsidRPr="004C76E8">
        <w:t>no numerical results of length of stay by cohort, no numbers of deaths in either cohort and no demographic characteristics in either cohort or combined were given</w:t>
      </w:r>
      <w:r w:rsidR="003D2142">
        <w:t>,</w:t>
      </w:r>
      <w:r w:rsidR="008D122E">
        <w:t xml:space="preserve"> </w:t>
      </w:r>
      <w:r w:rsidR="003D2142">
        <w:t>it</w:t>
      </w:r>
      <w:r w:rsidR="003D2142" w:rsidRPr="00FF7595">
        <w:rPr>
          <w:rFonts w:cs="Arial"/>
        </w:rPr>
        <w:t xml:space="preserve"> is impossible to tell how similar the cohorts were. </w:t>
      </w:r>
      <w:r w:rsidR="003D2142">
        <w:rPr>
          <w:rFonts w:cs="Arial"/>
        </w:rPr>
        <w:t xml:space="preserve">The only information available was the Waterlow score from the economic submission which suggested that the cohort not given Parafricta may have been more at risk of pressure ulcers than those given Parafricta. </w:t>
      </w:r>
      <w:r w:rsidR="003D2142" w:rsidRPr="00FF7595">
        <w:rPr>
          <w:rFonts w:cs="Arial"/>
        </w:rPr>
        <w:t>The difference in pressure ul</w:t>
      </w:r>
      <w:r w:rsidR="003D2142">
        <w:rPr>
          <w:rFonts w:cs="Arial"/>
        </w:rPr>
        <w:t>cers could also be because the Parafricta</w:t>
      </w:r>
      <w:r w:rsidR="003D2142" w:rsidRPr="00FF7595">
        <w:rPr>
          <w:rFonts w:cs="Arial"/>
        </w:rPr>
        <w:t xml:space="preserve"> cohort patients were less ill than those in </w:t>
      </w:r>
      <w:r w:rsidR="003D2142">
        <w:rPr>
          <w:rFonts w:cs="Arial"/>
        </w:rPr>
        <w:t>the historical comparison</w:t>
      </w:r>
      <w:r w:rsidR="003D2142" w:rsidRPr="00FF7595">
        <w:rPr>
          <w:rFonts w:cs="Arial"/>
        </w:rPr>
        <w:t xml:space="preserve"> cohort. Therefore, it cannot be inferred that any change in pressure ulcer incidence, improvement or deterioration was due to the use of Parafricta Bootees and/or </w:t>
      </w:r>
      <w:r w:rsidR="003D2142">
        <w:rPr>
          <w:rFonts w:cs="Arial"/>
        </w:rPr>
        <w:t xml:space="preserve">Undergarments.  </w:t>
      </w:r>
      <w:r w:rsidRPr="004C76E8">
        <w:t xml:space="preserve"> </w:t>
      </w:r>
    </w:p>
    <w:p w:rsidR="00960C92" w:rsidRPr="008D122E" w:rsidRDefault="004C76E8" w:rsidP="008D122E">
      <w:pPr>
        <w:pStyle w:val="Paragraphnonumbers"/>
      </w:pPr>
      <w:r w:rsidRPr="004914F2">
        <w:t>Additionally, a</w:t>
      </w:r>
      <w:r w:rsidRPr="004C76E8">
        <w:t>s the patients in the study could not reposition themselves</w:t>
      </w:r>
      <w:r w:rsidR="003D2142">
        <w:t xml:space="preserve"> </w:t>
      </w:r>
      <w:r w:rsidR="003D2142">
        <w:rPr>
          <w:rFonts w:cs="Arial"/>
        </w:rPr>
        <w:t>(an inclusion criterion for the study)</w:t>
      </w:r>
      <w:r w:rsidRPr="004C76E8">
        <w:t xml:space="preserve"> they represent</w:t>
      </w:r>
      <w:r>
        <w:t>ed</w:t>
      </w:r>
      <w:r w:rsidRPr="004C76E8">
        <w:t xml:space="preserve"> only a subset of the population who might potentially benefit from Parafricta.  </w:t>
      </w:r>
      <w:r w:rsidR="003D2142">
        <w:rPr>
          <w:rFonts w:cs="Arial"/>
        </w:rPr>
        <w:t>I</w:t>
      </w:r>
      <w:r w:rsidR="00E1034C" w:rsidRPr="00FF7595">
        <w:rPr>
          <w:rFonts w:cs="Arial"/>
        </w:rPr>
        <w:t>f patients couldn’t reposition</w:t>
      </w:r>
      <w:r w:rsidR="00437D7E">
        <w:rPr>
          <w:rFonts w:cs="Arial"/>
        </w:rPr>
        <w:t>,</w:t>
      </w:r>
      <w:r w:rsidR="00E1034C">
        <w:rPr>
          <w:rFonts w:cs="Arial"/>
        </w:rPr>
        <w:t xml:space="preserve"> </w:t>
      </w:r>
      <w:r w:rsidR="00E1034C" w:rsidRPr="00FF7595">
        <w:rPr>
          <w:rFonts w:cs="Arial"/>
        </w:rPr>
        <w:t>then movement would be limited so it would be likely that any pressure ulcers occurring would have been caused by pressure rather than friction.</w:t>
      </w:r>
    </w:p>
    <w:p w:rsidR="00960C92" w:rsidRDefault="00960C92" w:rsidP="00960C92">
      <w:pPr>
        <w:pStyle w:val="Heading3"/>
        <w:rPr>
          <w:rFonts w:ascii="Arial" w:hAnsi="Arial" w:cs="Arial"/>
        </w:rPr>
      </w:pPr>
      <w:r>
        <w:rPr>
          <w:rFonts w:ascii="Arial" w:hAnsi="Arial" w:cs="Arial"/>
        </w:rPr>
        <w:t xml:space="preserve">4.2 Economic </w:t>
      </w:r>
      <w:r w:rsidRPr="003B374D">
        <w:rPr>
          <w:rFonts w:ascii="Arial" w:hAnsi="Arial" w:cs="Arial"/>
        </w:rPr>
        <w:t>evidence</w:t>
      </w:r>
      <w:r>
        <w:rPr>
          <w:rFonts w:ascii="Arial" w:hAnsi="Arial" w:cs="Arial"/>
        </w:rPr>
        <w:t xml:space="preserve"> </w:t>
      </w:r>
    </w:p>
    <w:p w:rsidR="00960C92" w:rsidRDefault="00960C92" w:rsidP="00960C92">
      <w:pPr>
        <w:pStyle w:val="Heading3"/>
        <w:rPr>
          <w:rFonts w:ascii="Arial" w:hAnsi="Arial" w:cs="Arial"/>
        </w:rPr>
      </w:pPr>
      <w:r>
        <w:rPr>
          <w:rFonts w:ascii="Arial" w:hAnsi="Arial" w:cs="Arial"/>
        </w:rPr>
        <w:t xml:space="preserve">4.2.1 </w:t>
      </w:r>
      <w:r>
        <w:t>Sponsor’s economic submission</w:t>
      </w:r>
    </w:p>
    <w:p w:rsidR="001A7A55" w:rsidRPr="00220858" w:rsidRDefault="0059426A" w:rsidP="00082DE1">
      <w:pPr>
        <w:rPr>
          <w:rFonts w:ascii="Arial" w:hAnsi="Arial" w:cs="Arial"/>
          <w:sz w:val="24"/>
          <w:szCs w:val="24"/>
        </w:rPr>
      </w:pPr>
      <w:r w:rsidRPr="00220858">
        <w:rPr>
          <w:rFonts w:ascii="Arial" w:hAnsi="Arial" w:cs="Arial"/>
          <w:sz w:val="24"/>
          <w:szCs w:val="24"/>
        </w:rPr>
        <w:t xml:space="preserve">Smith and Ingram (2010) was the single economic study identified in the sponsor submission. </w:t>
      </w:r>
      <w:r w:rsidR="009A64E3" w:rsidRPr="00220858">
        <w:rPr>
          <w:rFonts w:ascii="Arial" w:hAnsi="Arial" w:cs="Arial"/>
          <w:sz w:val="24"/>
          <w:szCs w:val="24"/>
        </w:rPr>
        <w:t xml:space="preserve"> This cost-anal</w:t>
      </w:r>
      <w:r w:rsidR="00C05081" w:rsidRPr="00220858">
        <w:rPr>
          <w:rFonts w:ascii="Arial" w:hAnsi="Arial" w:cs="Arial"/>
          <w:sz w:val="24"/>
          <w:szCs w:val="24"/>
        </w:rPr>
        <w:t>ysis estimated that the use of P</w:t>
      </w:r>
      <w:r w:rsidR="009A64E3" w:rsidRPr="00220858">
        <w:rPr>
          <w:rFonts w:ascii="Arial" w:hAnsi="Arial" w:cs="Arial"/>
          <w:sz w:val="24"/>
          <w:szCs w:val="24"/>
        </w:rPr>
        <w:t>arafricta garments may reduce the cost of pressure ulcers by £637 per at risk patient</w:t>
      </w:r>
      <w:r w:rsidR="001E741B" w:rsidRPr="00220858">
        <w:rPr>
          <w:rFonts w:ascii="Arial" w:hAnsi="Arial" w:cs="Arial"/>
          <w:sz w:val="24"/>
          <w:szCs w:val="24"/>
        </w:rPr>
        <w:t xml:space="preserve"> </w:t>
      </w:r>
      <w:r w:rsidR="00EE67BC" w:rsidRPr="00220858">
        <w:rPr>
          <w:rFonts w:ascii="Arial" w:hAnsi="Arial" w:cs="Arial"/>
          <w:sz w:val="24"/>
          <w:szCs w:val="24"/>
        </w:rPr>
        <w:t>admitted</w:t>
      </w:r>
      <w:r w:rsidR="009A64E3" w:rsidRPr="00220858">
        <w:rPr>
          <w:rFonts w:ascii="Arial" w:hAnsi="Arial" w:cs="Arial"/>
          <w:sz w:val="24"/>
          <w:szCs w:val="24"/>
        </w:rPr>
        <w:t xml:space="preserve"> to hospital</w:t>
      </w:r>
      <w:r w:rsidR="00B82734" w:rsidRPr="00220858">
        <w:rPr>
          <w:rFonts w:ascii="Arial" w:hAnsi="Arial" w:cs="Arial"/>
          <w:sz w:val="24"/>
          <w:szCs w:val="24"/>
        </w:rPr>
        <w:t>, net of the cost of purchase and laundering</w:t>
      </w:r>
      <w:r w:rsidR="009A64E3" w:rsidRPr="00220858">
        <w:rPr>
          <w:rFonts w:ascii="Arial" w:hAnsi="Arial" w:cs="Arial"/>
          <w:sz w:val="24"/>
          <w:szCs w:val="24"/>
        </w:rPr>
        <w:t xml:space="preserve">. </w:t>
      </w:r>
      <w:r w:rsidR="0055131A" w:rsidRPr="00220858">
        <w:rPr>
          <w:rFonts w:ascii="Arial" w:hAnsi="Arial" w:cs="Arial"/>
          <w:sz w:val="24"/>
          <w:szCs w:val="24"/>
        </w:rPr>
        <w:t xml:space="preserve">Costs were estimated from an NHS perspective, but the price base year was not explicitly stated. </w:t>
      </w:r>
      <w:r w:rsidR="00B82734" w:rsidRPr="00220858">
        <w:rPr>
          <w:rFonts w:ascii="Arial" w:hAnsi="Arial" w:cs="Arial"/>
          <w:sz w:val="24"/>
          <w:szCs w:val="24"/>
        </w:rPr>
        <w:t xml:space="preserve">These savings were the result of </w:t>
      </w:r>
      <w:r w:rsidR="001A7A55" w:rsidRPr="00220858">
        <w:rPr>
          <w:rFonts w:ascii="Arial" w:hAnsi="Arial" w:cs="Arial"/>
          <w:sz w:val="24"/>
          <w:szCs w:val="24"/>
        </w:rPr>
        <w:t xml:space="preserve">the </w:t>
      </w:r>
      <w:r w:rsidR="00B82734" w:rsidRPr="00220858">
        <w:rPr>
          <w:rFonts w:ascii="Arial" w:hAnsi="Arial" w:cs="Arial"/>
          <w:sz w:val="24"/>
          <w:szCs w:val="24"/>
        </w:rPr>
        <w:t>estimated reduced length of hospital stay experienced by patient</w:t>
      </w:r>
      <w:r w:rsidR="006A14B2" w:rsidRPr="00220858">
        <w:rPr>
          <w:rFonts w:ascii="Arial" w:hAnsi="Arial" w:cs="Arial"/>
          <w:sz w:val="24"/>
          <w:szCs w:val="24"/>
        </w:rPr>
        <w:t>s</w:t>
      </w:r>
      <w:r w:rsidR="00B82734" w:rsidRPr="00220858">
        <w:rPr>
          <w:rFonts w:ascii="Arial" w:hAnsi="Arial" w:cs="Arial"/>
          <w:sz w:val="24"/>
          <w:szCs w:val="24"/>
        </w:rPr>
        <w:t xml:space="preserve"> u</w:t>
      </w:r>
      <w:r w:rsidR="001A7A55" w:rsidRPr="00220858">
        <w:rPr>
          <w:rFonts w:ascii="Arial" w:hAnsi="Arial" w:cs="Arial"/>
          <w:sz w:val="24"/>
          <w:szCs w:val="24"/>
        </w:rPr>
        <w:t>s</w:t>
      </w:r>
      <w:r w:rsidR="00B82734" w:rsidRPr="00220858">
        <w:rPr>
          <w:rFonts w:ascii="Arial" w:hAnsi="Arial" w:cs="Arial"/>
          <w:sz w:val="24"/>
          <w:szCs w:val="24"/>
        </w:rPr>
        <w:t>ing the Parafricta garments.</w:t>
      </w:r>
    </w:p>
    <w:p w:rsidR="00793812" w:rsidRPr="00220858" w:rsidRDefault="001A7A55" w:rsidP="00082DE1">
      <w:pPr>
        <w:rPr>
          <w:rFonts w:ascii="Arial" w:hAnsi="Arial" w:cs="Arial"/>
          <w:sz w:val="24"/>
          <w:szCs w:val="24"/>
        </w:rPr>
      </w:pPr>
      <w:r w:rsidRPr="00220858">
        <w:rPr>
          <w:rFonts w:ascii="Arial" w:hAnsi="Arial" w:cs="Arial"/>
          <w:sz w:val="24"/>
          <w:szCs w:val="24"/>
        </w:rPr>
        <w:lastRenderedPageBreak/>
        <w:t>The sponsor acquired the raw data</w:t>
      </w:r>
      <w:r w:rsidR="0051039F" w:rsidRPr="00220858">
        <w:rPr>
          <w:rFonts w:ascii="Arial" w:hAnsi="Arial" w:cs="Arial"/>
          <w:sz w:val="24"/>
          <w:szCs w:val="24"/>
        </w:rPr>
        <w:t xml:space="preserve"> on incidence</w:t>
      </w:r>
      <w:r w:rsidR="003C7C5D" w:rsidRPr="00220858">
        <w:rPr>
          <w:rFonts w:ascii="Arial" w:hAnsi="Arial" w:cs="Arial"/>
          <w:sz w:val="24"/>
          <w:szCs w:val="24"/>
        </w:rPr>
        <w:t xml:space="preserve"> </w:t>
      </w:r>
      <w:r w:rsidR="0051039F" w:rsidRPr="00220858">
        <w:rPr>
          <w:rFonts w:ascii="Arial" w:hAnsi="Arial" w:cs="Arial"/>
          <w:sz w:val="24"/>
          <w:szCs w:val="24"/>
        </w:rPr>
        <w:t>of pressure ulcers</w:t>
      </w:r>
      <w:r w:rsidRPr="00220858">
        <w:rPr>
          <w:rFonts w:ascii="Arial" w:hAnsi="Arial" w:cs="Arial"/>
          <w:sz w:val="24"/>
          <w:szCs w:val="24"/>
        </w:rPr>
        <w:t xml:space="preserve"> </w:t>
      </w:r>
      <w:r w:rsidR="00B86627" w:rsidRPr="00220858">
        <w:rPr>
          <w:rFonts w:ascii="Arial" w:hAnsi="Arial" w:cs="Arial"/>
          <w:sz w:val="24"/>
          <w:szCs w:val="24"/>
        </w:rPr>
        <w:t xml:space="preserve">and associated lengths of stay </w:t>
      </w:r>
      <w:r w:rsidR="003B374D">
        <w:rPr>
          <w:rFonts w:ascii="Arial" w:hAnsi="Arial" w:cs="Arial"/>
          <w:sz w:val="24"/>
          <w:szCs w:val="24"/>
        </w:rPr>
        <w:t>from this study and used the information as the basis of a new</w:t>
      </w:r>
      <w:r w:rsidRPr="00220858">
        <w:rPr>
          <w:rFonts w:ascii="Arial" w:hAnsi="Arial" w:cs="Arial"/>
          <w:sz w:val="24"/>
          <w:szCs w:val="24"/>
        </w:rPr>
        <w:t xml:space="preserve"> cost model.  </w:t>
      </w:r>
      <w:r w:rsidR="00515FC3" w:rsidRPr="00220858">
        <w:rPr>
          <w:rFonts w:ascii="Arial" w:hAnsi="Arial" w:cs="Arial"/>
          <w:sz w:val="24"/>
          <w:szCs w:val="24"/>
        </w:rPr>
        <w:t xml:space="preserve">They used this </w:t>
      </w:r>
      <w:r w:rsidR="003B374D">
        <w:rPr>
          <w:rFonts w:ascii="Arial" w:hAnsi="Arial" w:cs="Arial"/>
          <w:sz w:val="24"/>
          <w:szCs w:val="24"/>
        </w:rPr>
        <w:t>information</w:t>
      </w:r>
      <w:r w:rsidR="00515FC3" w:rsidRPr="00220858">
        <w:rPr>
          <w:rFonts w:ascii="Arial" w:hAnsi="Arial" w:cs="Arial"/>
          <w:sz w:val="24"/>
          <w:szCs w:val="24"/>
        </w:rPr>
        <w:t xml:space="preserve"> to conduct two separate analyses; one in a hospital setting and one in a community setting</w:t>
      </w:r>
      <w:r w:rsidR="00C05081" w:rsidRPr="00220858">
        <w:rPr>
          <w:rFonts w:ascii="Arial" w:hAnsi="Arial" w:cs="Arial"/>
          <w:sz w:val="24"/>
          <w:szCs w:val="24"/>
        </w:rPr>
        <w:t xml:space="preserve"> to </w:t>
      </w:r>
      <w:r w:rsidR="00FF0DC2" w:rsidRPr="00220858">
        <w:rPr>
          <w:rFonts w:ascii="Arial" w:hAnsi="Arial" w:cs="Arial"/>
          <w:sz w:val="24"/>
          <w:szCs w:val="24"/>
        </w:rPr>
        <w:t>perform a cost-analysis of</w:t>
      </w:r>
      <w:r w:rsidR="00C05081" w:rsidRPr="00220858">
        <w:rPr>
          <w:rFonts w:ascii="Arial" w:hAnsi="Arial" w:cs="Arial"/>
          <w:sz w:val="24"/>
          <w:szCs w:val="24"/>
        </w:rPr>
        <w:t xml:space="preserve"> the use of Parafricta Bootees and Undergarments as an adjunct to other pressure reducing devices used as standard in the NHS</w:t>
      </w:r>
      <w:r w:rsidR="00515FC3" w:rsidRPr="00220858">
        <w:rPr>
          <w:rFonts w:ascii="Arial" w:hAnsi="Arial" w:cs="Arial"/>
          <w:sz w:val="24"/>
          <w:szCs w:val="24"/>
        </w:rPr>
        <w:t xml:space="preserve">. </w:t>
      </w:r>
      <w:r w:rsidR="00793812" w:rsidRPr="00220858">
        <w:rPr>
          <w:rFonts w:ascii="Arial" w:hAnsi="Arial" w:cs="Arial"/>
          <w:sz w:val="24"/>
          <w:szCs w:val="24"/>
        </w:rPr>
        <w:t xml:space="preserve"> In the hospital model, potential cost savings were driven by reductions in length of stay and in the community model by a reduction in nurse/carer interventions reflecting lower prevalence of pressure ulcers.</w:t>
      </w:r>
      <w:r w:rsidR="003C7C5D" w:rsidRPr="00220858">
        <w:rPr>
          <w:rFonts w:ascii="Arial" w:hAnsi="Arial" w:cs="Arial"/>
          <w:sz w:val="24"/>
          <w:szCs w:val="24"/>
        </w:rPr>
        <w:t xml:space="preserve"> </w:t>
      </w:r>
    </w:p>
    <w:p w:rsidR="00016F78" w:rsidRPr="00220858" w:rsidRDefault="00C87999" w:rsidP="00016F78">
      <w:pPr>
        <w:pStyle w:val="Paragraphnonumbers"/>
        <w:rPr>
          <w:rFonts w:cs="Arial"/>
        </w:rPr>
      </w:pPr>
      <w:r w:rsidRPr="00220858">
        <w:rPr>
          <w:rFonts w:cs="Arial"/>
        </w:rPr>
        <w:t xml:space="preserve">The </w:t>
      </w:r>
      <w:r w:rsidR="00B711F0" w:rsidRPr="00220858">
        <w:rPr>
          <w:rFonts w:cs="Arial"/>
        </w:rPr>
        <w:t xml:space="preserve">hospital model consisted of </w:t>
      </w:r>
      <w:r w:rsidRPr="00220858">
        <w:rPr>
          <w:rFonts w:cs="Arial"/>
        </w:rPr>
        <w:t xml:space="preserve">five </w:t>
      </w:r>
      <w:r w:rsidR="00B711F0" w:rsidRPr="00220858">
        <w:rPr>
          <w:rFonts w:cs="Arial"/>
        </w:rPr>
        <w:t>potential pathways for patients admitted to hospital and at</w:t>
      </w:r>
      <w:r w:rsidR="00AD2DE6" w:rsidRPr="00220858">
        <w:rPr>
          <w:rFonts w:cs="Arial"/>
        </w:rPr>
        <w:t>-</w:t>
      </w:r>
      <w:r w:rsidR="00B711F0" w:rsidRPr="00220858">
        <w:rPr>
          <w:rFonts w:cs="Arial"/>
        </w:rPr>
        <w:t>risk of pressure ulcers</w:t>
      </w:r>
      <w:r w:rsidRPr="00220858">
        <w:rPr>
          <w:rFonts w:cs="Arial"/>
        </w:rPr>
        <w:t xml:space="preserve">: </w:t>
      </w:r>
      <w:r w:rsidR="00D72030" w:rsidRPr="00220858">
        <w:rPr>
          <w:rFonts w:cs="Arial"/>
        </w:rPr>
        <w:t xml:space="preserve">1. </w:t>
      </w:r>
      <w:r w:rsidRPr="00220858">
        <w:rPr>
          <w:rFonts w:cs="Arial"/>
        </w:rPr>
        <w:t xml:space="preserve">admitted without pressure ulcer(s) and remained without; </w:t>
      </w:r>
      <w:r w:rsidR="00D72030" w:rsidRPr="00220858">
        <w:rPr>
          <w:rFonts w:cs="Arial"/>
        </w:rPr>
        <w:t xml:space="preserve">2. </w:t>
      </w:r>
      <w:r w:rsidRPr="00220858">
        <w:rPr>
          <w:rFonts w:cs="Arial"/>
        </w:rPr>
        <w:t xml:space="preserve">admitted without a pressure ulcer(s), but developed a pressure ulcer in hospital; </w:t>
      </w:r>
      <w:r w:rsidR="00D72030" w:rsidRPr="00220858">
        <w:rPr>
          <w:rFonts w:cs="Arial"/>
        </w:rPr>
        <w:t xml:space="preserve">3. </w:t>
      </w:r>
      <w:r w:rsidRPr="00220858">
        <w:rPr>
          <w:rFonts w:cs="Arial"/>
        </w:rPr>
        <w:t xml:space="preserve">admitted with a pressure ulcer(s) which did not deteriorate, </w:t>
      </w:r>
      <w:r w:rsidR="00D72030" w:rsidRPr="00220858">
        <w:rPr>
          <w:rFonts w:cs="Arial"/>
        </w:rPr>
        <w:t xml:space="preserve">4. </w:t>
      </w:r>
      <w:r w:rsidRPr="00220858">
        <w:rPr>
          <w:rFonts w:cs="Arial"/>
        </w:rPr>
        <w:t>admitted with a pressure ulcer(s) which deteriorated and</w:t>
      </w:r>
      <w:r w:rsidR="00D72030" w:rsidRPr="00220858">
        <w:rPr>
          <w:rFonts w:cs="Arial"/>
        </w:rPr>
        <w:t>, 5.</w:t>
      </w:r>
      <w:r w:rsidRPr="00220858">
        <w:rPr>
          <w:rFonts w:cs="Arial"/>
        </w:rPr>
        <w:t xml:space="preserve"> admitted with a pressure ulcer(s) and developed an additional pressure ulcer in hospital</w:t>
      </w:r>
      <w:r w:rsidR="00B711F0" w:rsidRPr="00220858">
        <w:rPr>
          <w:rFonts w:cs="Arial"/>
        </w:rPr>
        <w:t xml:space="preserve">. </w:t>
      </w:r>
      <w:r w:rsidR="004E49D0" w:rsidRPr="00220858">
        <w:rPr>
          <w:rFonts w:cs="Arial"/>
        </w:rPr>
        <w:t>The proportion of patients in each potential pathway for both the historical control group and Parafricta group is show</w:t>
      </w:r>
      <w:r w:rsidR="000F6A7D" w:rsidRPr="00220858">
        <w:rPr>
          <w:rFonts w:cs="Arial"/>
        </w:rPr>
        <w:t>n</w:t>
      </w:r>
      <w:r w:rsidR="0013760D" w:rsidRPr="00220858">
        <w:rPr>
          <w:rFonts w:cs="Arial"/>
        </w:rPr>
        <w:t xml:space="preserve"> in figure 1</w:t>
      </w:r>
      <w:r w:rsidR="00762475" w:rsidRPr="00220858">
        <w:rPr>
          <w:rFonts w:cs="Arial"/>
        </w:rPr>
        <w:t>, depicted as a decision tree</w:t>
      </w:r>
      <w:r w:rsidR="004E49D0" w:rsidRPr="00220858">
        <w:rPr>
          <w:rFonts w:cs="Arial"/>
        </w:rPr>
        <w:t>.</w:t>
      </w:r>
      <w:r w:rsidR="00F1291D" w:rsidRPr="00220858">
        <w:rPr>
          <w:rFonts w:cs="Arial"/>
        </w:rPr>
        <w:t xml:space="preserve"> Median length of hospital stay </w:t>
      </w:r>
      <w:r w:rsidR="0033798A" w:rsidRPr="00220858">
        <w:rPr>
          <w:rFonts w:cs="Arial"/>
        </w:rPr>
        <w:t xml:space="preserve">for each of the pathways </w:t>
      </w:r>
      <w:r w:rsidR="00F1291D" w:rsidRPr="00220858">
        <w:rPr>
          <w:rFonts w:cs="Arial"/>
        </w:rPr>
        <w:t>was weighted by incidence.</w:t>
      </w:r>
      <w:r w:rsidR="004E49D0" w:rsidRPr="00220858">
        <w:rPr>
          <w:rFonts w:cs="Arial"/>
        </w:rPr>
        <w:t xml:space="preserve"> </w:t>
      </w:r>
      <w:r w:rsidR="008D122E">
        <w:rPr>
          <w:rFonts w:cs="Arial"/>
        </w:rPr>
        <w:t xml:space="preserve"> In the MS E</w:t>
      </w:r>
      <w:r w:rsidR="00016F78" w:rsidRPr="00220858">
        <w:rPr>
          <w:rFonts w:cs="Arial"/>
        </w:rPr>
        <w:t xml:space="preserve">xcel implementation of the model, relevant per day costs were then applied to relevant proportions of weighted stay, based on the expected time to development of an ulcer and length of stay. </w:t>
      </w:r>
      <w:r w:rsidR="00CF600E" w:rsidRPr="00220858">
        <w:rPr>
          <w:rFonts w:cs="Arial"/>
        </w:rPr>
        <w:t xml:space="preserve"> Costs</w:t>
      </w:r>
      <w:r w:rsidR="00016F78" w:rsidRPr="00220858">
        <w:rPr>
          <w:rFonts w:cs="Arial"/>
        </w:rPr>
        <w:t xml:space="preserve"> differ for those days spent without a pressure ulcer, where only general hospital costs were incurred, and days with a pressure ulcer. </w:t>
      </w:r>
      <w:r w:rsidR="00DD3E05" w:rsidRPr="00220858">
        <w:rPr>
          <w:rFonts w:cs="Arial"/>
        </w:rPr>
        <w:t>Dressing costs and p</w:t>
      </w:r>
      <w:r w:rsidR="00016F78" w:rsidRPr="00220858">
        <w:rPr>
          <w:rFonts w:cs="Arial"/>
        </w:rPr>
        <w:t>er-day unit costs for hospital stay</w:t>
      </w:r>
      <w:r w:rsidR="00DF0CD7">
        <w:rPr>
          <w:rStyle w:val="EndnoteReference"/>
          <w:rFonts w:cs="Arial"/>
        </w:rPr>
        <w:endnoteReference w:id="19"/>
      </w:r>
      <w:r w:rsidR="00016F78" w:rsidRPr="00220858">
        <w:rPr>
          <w:rFonts w:cs="Arial"/>
        </w:rPr>
        <w:t xml:space="preserve"> are detailed in </w:t>
      </w:r>
      <w:r w:rsidR="00DD3E05" w:rsidRPr="00220858">
        <w:rPr>
          <w:rFonts w:cs="Arial"/>
        </w:rPr>
        <w:t xml:space="preserve">table 6. </w:t>
      </w:r>
      <w:r w:rsidR="009153B2" w:rsidRPr="00220858">
        <w:rPr>
          <w:rFonts w:cs="Arial"/>
        </w:rPr>
        <w:t xml:space="preserve"> This </w:t>
      </w:r>
      <w:r w:rsidR="00D638E7" w:rsidRPr="00220858">
        <w:rPr>
          <w:rFonts w:cs="Arial"/>
        </w:rPr>
        <w:t>analysis</w:t>
      </w:r>
      <w:r w:rsidR="009153B2" w:rsidRPr="00220858">
        <w:rPr>
          <w:rFonts w:cs="Arial"/>
        </w:rPr>
        <w:t xml:space="preserve"> estimated cost</w:t>
      </w:r>
      <w:r w:rsidR="00BB1227" w:rsidRPr="00220858">
        <w:rPr>
          <w:rFonts w:cs="Arial"/>
        </w:rPr>
        <w:t>s</w:t>
      </w:r>
      <w:r w:rsidR="009153B2" w:rsidRPr="00220858">
        <w:rPr>
          <w:rFonts w:cs="Arial"/>
        </w:rPr>
        <w:t xml:space="preserve"> of £5,307 per at-risk patient without the use of Parafricta and £4,550 per-risk patient when using parafricta, a cost saving of £757</w:t>
      </w:r>
      <w:r w:rsidR="002D7523" w:rsidRPr="00220858">
        <w:rPr>
          <w:rFonts w:cs="Arial"/>
        </w:rPr>
        <w:t>. Some limited sensitivity analyses were performed which suggested the results were robust</w:t>
      </w:r>
      <w:r w:rsidR="00AD7103" w:rsidRPr="00220858">
        <w:rPr>
          <w:rFonts w:cs="Arial"/>
        </w:rPr>
        <w:t xml:space="preserve"> to assumptions</w:t>
      </w:r>
      <w:r w:rsidR="002D7523" w:rsidRPr="00220858">
        <w:rPr>
          <w:rFonts w:cs="Arial"/>
        </w:rPr>
        <w:t xml:space="preserve">. </w:t>
      </w:r>
    </w:p>
    <w:p w:rsidR="00DE604D" w:rsidRPr="00220858" w:rsidRDefault="00ED721A" w:rsidP="007066DF">
      <w:pPr>
        <w:pStyle w:val="Paragraphnonumbers"/>
        <w:rPr>
          <w:rFonts w:cs="Arial"/>
        </w:rPr>
      </w:pPr>
      <w:r>
        <w:rPr>
          <w:rFonts w:cs="Arial"/>
        </w:rPr>
        <w:t>The community model u</w:t>
      </w:r>
      <w:r w:rsidR="00657E79" w:rsidRPr="00220858">
        <w:rPr>
          <w:rFonts w:cs="Arial"/>
        </w:rPr>
        <w:t>sed data</w:t>
      </w:r>
      <w:r w:rsidR="00DE604D" w:rsidRPr="00220858">
        <w:rPr>
          <w:rFonts w:cs="Arial"/>
        </w:rPr>
        <w:t xml:space="preserve"> from the Smith and Ingram study (2010)</w:t>
      </w:r>
      <w:r w:rsidR="007066DF" w:rsidRPr="00220858">
        <w:rPr>
          <w:rFonts w:cs="Arial"/>
        </w:rPr>
        <w:t xml:space="preserve"> </w:t>
      </w:r>
      <w:r w:rsidR="00123650" w:rsidRPr="00220858">
        <w:rPr>
          <w:rFonts w:cs="Arial"/>
        </w:rPr>
        <w:t>a</w:t>
      </w:r>
      <w:r w:rsidR="007066DF" w:rsidRPr="00220858">
        <w:rPr>
          <w:rFonts w:cs="Arial"/>
        </w:rPr>
        <w:t>nd constituted</w:t>
      </w:r>
      <w:r w:rsidR="00DE604D" w:rsidRPr="00220858">
        <w:rPr>
          <w:rFonts w:cs="Arial"/>
        </w:rPr>
        <w:t xml:space="preserve"> a steady-state comparison of costs with and without the use of Parafricta. </w:t>
      </w:r>
      <w:r w:rsidR="00123650" w:rsidRPr="00220858">
        <w:rPr>
          <w:rFonts w:cs="Arial"/>
        </w:rPr>
        <w:t>Using the incidence of pressure ulcers amongst those patients without an ulcer on admission</w:t>
      </w:r>
      <w:r w:rsidR="00231798" w:rsidRPr="00220858">
        <w:rPr>
          <w:rFonts w:cs="Arial"/>
        </w:rPr>
        <w:t>,</w:t>
      </w:r>
      <w:r w:rsidR="00123650" w:rsidRPr="00220858">
        <w:rPr>
          <w:rFonts w:cs="Arial"/>
        </w:rPr>
        <w:t xml:space="preserve"> and the length of stay after development of an ulcer as a proxy for duration, the point prevalence </w:t>
      </w:r>
      <w:r w:rsidR="00DE604D" w:rsidRPr="00220858">
        <w:rPr>
          <w:rFonts w:cs="Arial"/>
        </w:rPr>
        <w:t>with and without the use of Parafricta</w:t>
      </w:r>
      <w:r w:rsidR="00123650" w:rsidRPr="00220858">
        <w:rPr>
          <w:rFonts w:cs="Arial"/>
        </w:rPr>
        <w:t xml:space="preserve"> was estimated</w:t>
      </w:r>
      <w:r w:rsidR="00DE604D" w:rsidRPr="00220858">
        <w:rPr>
          <w:rFonts w:cs="Arial"/>
        </w:rPr>
        <w:t xml:space="preserve">. </w:t>
      </w:r>
      <w:r w:rsidR="00231798" w:rsidRPr="00220858">
        <w:rPr>
          <w:rFonts w:cs="Arial"/>
        </w:rPr>
        <w:t>It was assumed</w:t>
      </w:r>
      <w:r w:rsidR="00DE604D" w:rsidRPr="00220858">
        <w:rPr>
          <w:rFonts w:cs="Arial"/>
        </w:rPr>
        <w:t xml:space="preserve"> that without Parafricta, for every patient in the community with a pressure ulcer, there will be two other at-risk patients without a pressure ulcer. The sponsor stated that this was consistent with published audits of prevalence</w:t>
      </w:r>
      <w:r w:rsidRPr="00ED721A">
        <w:rPr>
          <w:rFonts w:cs="Arial"/>
          <w:vertAlign w:val="superscript"/>
        </w:rPr>
        <w:t>3,</w:t>
      </w:r>
      <w:r>
        <w:rPr>
          <w:rStyle w:val="EndnoteReference"/>
          <w:rFonts w:cs="Arial"/>
        </w:rPr>
        <w:endnoteReference w:id="20"/>
      </w:r>
      <w:r w:rsidR="00DE604D" w:rsidRPr="00220858">
        <w:rPr>
          <w:rFonts w:cs="Arial"/>
        </w:rPr>
        <w:t>.</w:t>
      </w:r>
      <w:r w:rsidR="00DE604D" w:rsidRPr="00220858">
        <w:rPr>
          <w:rFonts w:cs="Arial"/>
          <w:i/>
        </w:rPr>
        <w:t xml:space="preserve"> </w:t>
      </w:r>
      <w:r w:rsidR="007E167F" w:rsidRPr="00220858">
        <w:rPr>
          <w:rFonts w:cs="Arial"/>
        </w:rPr>
        <w:t>Costs without Parafricta were then estimated based on the cost of nurse visits</w:t>
      </w:r>
      <w:r w:rsidR="00B00A01" w:rsidRPr="00220858">
        <w:rPr>
          <w:rFonts w:cs="Arial"/>
        </w:rPr>
        <w:t>/ carer interventions (1.86 per week)</w:t>
      </w:r>
      <w:r w:rsidR="007E167F" w:rsidRPr="00220858">
        <w:rPr>
          <w:rFonts w:cs="Arial"/>
        </w:rPr>
        <w:t xml:space="preserve"> related to prevalent pressure ulcer cases over a year of resource use. </w:t>
      </w:r>
      <w:r w:rsidR="00B00A01" w:rsidRPr="00220858">
        <w:rPr>
          <w:rFonts w:cs="Arial"/>
        </w:rPr>
        <w:t>The cost without use of Parafricta</w:t>
      </w:r>
      <w:r w:rsidR="00E84C6D" w:rsidRPr="00220858">
        <w:rPr>
          <w:rFonts w:cs="Arial"/>
        </w:rPr>
        <w:t xml:space="preserve"> was £5,899.92 and with use of Parafricta £2,444.93, based on a relative prevalence ratio of 0.37. </w:t>
      </w:r>
    </w:p>
    <w:p w:rsidR="00960C92" w:rsidRPr="00220858" w:rsidRDefault="00960C92" w:rsidP="00960C92">
      <w:pPr>
        <w:pStyle w:val="Heading3"/>
        <w:rPr>
          <w:rFonts w:ascii="Arial" w:hAnsi="Arial" w:cs="Arial"/>
          <w:color w:val="auto"/>
        </w:rPr>
      </w:pPr>
      <w:r w:rsidRPr="00220858">
        <w:rPr>
          <w:rFonts w:ascii="Arial" w:hAnsi="Arial" w:cs="Arial"/>
          <w:color w:val="auto"/>
        </w:rPr>
        <w:lastRenderedPageBreak/>
        <w:t>4.1.2 Supplementary economic analyses conducted by the EAC</w:t>
      </w:r>
    </w:p>
    <w:p w:rsidR="00AA1927" w:rsidRPr="00220858" w:rsidRDefault="00AA1927" w:rsidP="00AA1927"/>
    <w:p w:rsidR="00013137" w:rsidRPr="00220858" w:rsidRDefault="00013137" w:rsidP="00013137">
      <w:pPr>
        <w:rPr>
          <w:rFonts w:ascii="Arial" w:hAnsi="Arial" w:cs="Arial"/>
          <w:sz w:val="24"/>
          <w:szCs w:val="24"/>
        </w:rPr>
      </w:pPr>
      <w:r w:rsidRPr="00220858">
        <w:rPr>
          <w:rFonts w:ascii="Arial" w:hAnsi="Arial" w:cs="Arial"/>
          <w:sz w:val="24"/>
          <w:szCs w:val="24"/>
        </w:rPr>
        <w:t xml:space="preserve">The EAC verified the sponsor’s </w:t>
      </w:r>
      <w:r w:rsidR="00BC01A4" w:rsidRPr="00220858">
        <w:rPr>
          <w:rFonts w:ascii="Arial" w:hAnsi="Arial" w:cs="Arial"/>
          <w:sz w:val="24"/>
          <w:szCs w:val="24"/>
        </w:rPr>
        <w:t xml:space="preserve">search strategies and no additional economic studies were identified. </w:t>
      </w:r>
      <w:r w:rsidRPr="00220858">
        <w:rPr>
          <w:rFonts w:ascii="Arial" w:hAnsi="Arial" w:cs="Arial"/>
          <w:sz w:val="24"/>
          <w:szCs w:val="24"/>
        </w:rPr>
        <w:t xml:space="preserve">The EAC validated the sponsor’s economic model and reconstructed decision tree for clarity as well as validity check. </w:t>
      </w:r>
    </w:p>
    <w:p w:rsidR="00C035AA" w:rsidRPr="00220858" w:rsidRDefault="004B7F99" w:rsidP="00AA1927">
      <w:pPr>
        <w:rPr>
          <w:rFonts w:ascii="Arial" w:hAnsi="Arial" w:cs="Arial"/>
          <w:sz w:val="24"/>
          <w:szCs w:val="24"/>
        </w:rPr>
      </w:pPr>
      <w:r w:rsidRPr="00220858">
        <w:rPr>
          <w:rFonts w:ascii="Arial" w:hAnsi="Arial" w:cs="Arial"/>
          <w:sz w:val="24"/>
          <w:szCs w:val="24"/>
        </w:rPr>
        <w:t>Minor errors in the unit costs used</w:t>
      </w:r>
      <w:r w:rsidR="0027602A" w:rsidRPr="00220858">
        <w:rPr>
          <w:rFonts w:ascii="Arial" w:hAnsi="Arial" w:cs="Arial"/>
          <w:sz w:val="24"/>
          <w:szCs w:val="24"/>
        </w:rPr>
        <w:t xml:space="preserve"> in the H</w:t>
      </w:r>
      <w:r w:rsidR="00CA0C2C" w:rsidRPr="00220858">
        <w:rPr>
          <w:rFonts w:ascii="Arial" w:hAnsi="Arial" w:cs="Arial"/>
          <w:sz w:val="24"/>
          <w:szCs w:val="24"/>
        </w:rPr>
        <w:t xml:space="preserve">ospital </w:t>
      </w:r>
      <w:r w:rsidR="003A37E7" w:rsidRPr="00220858">
        <w:rPr>
          <w:rFonts w:ascii="Arial" w:hAnsi="Arial" w:cs="Arial"/>
          <w:sz w:val="24"/>
          <w:szCs w:val="24"/>
        </w:rPr>
        <w:t>model</w:t>
      </w:r>
      <w:r w:rsidR="001B4A3D" w:rsidRPr="00220858">
        <w:rPr>
          <w:rFonts w:ascii="Arial" w:hAnsi="Arial" w:cs="Arial"/>
          <w:sz w:val="24"/>
          <w:szCs w:val="24"/>
        </w:rPr>
        <w:t xml:space="preserve"> were encountered and rectified</w:t>
      </w:r>
      <w:r w:rsidR="00560817" w:rsidRPr="00220858">
        <w:rPr>
          <w:rFonts w:ascii="Arial" w:hAnsi="Arial" w:cs="Arial"/>
          <w:sz w:val="24"/>
          <w:szCs w:val="24"/>
        </w:rPr>
        <w:t xml:space="preserve">, uprating </w:t>
      </w:r>
      <w:r w:rsidR="001B4A3D" w:rsidRPr="00220858">
        <w:rPr>
          <w:rFonts w:ascii="Arial" w:hAnsi="Arial" w:cs="Arial"/>
          <w:sz w:val="24"/>
          <w:szCs w:val="24"/>
        </w:rPr>
        <w:t xml:space="preserve">to 2013/14 </w:t>
      </w:r>
      <w:r w:rsidR="00DF648B" w:rsidRPr="00220858">
        <w:rPr>
          <w:rFonts w:ascii="Arial" w:hAnsi="Arial" w:cs="Arial"/>
          <w:sz w:val="24"/>
          <w:szCs w:val="24"/>
        </w:rPr>
        <w:t>pounds sterling</w:t>
      </w:r>
      <w:r w:rsidR="003473C5" w:rsidRPr="00220858">
        <w:rPr>
          <w:rFonts w:ascii="Arial" w:hAnsi="Arial" w:cs="Arial"/>
          <w:sz w:val="24"/>
          <w:szCs w:val="24"/>
        </w:rPr>
        <w:t>,</w:t>
      </w:r>
      <w:r w:rsidR="001B4A3D" w:rsidRPr="00220858">
        <w:rPr>
          <w:rFonts w:ascii="Arial" w:hAnsi="Arial" w:cs="Arial"/>
          <w:sz w:val="24"/>
          <w:szCs w:val="24"/>
        </w:rPr>
        <w:t xml:space="preserve"> </w:t>
      </w:r>
      <w:r w:rsidR="00560817" w:rsidRPr="00220858">
        <w:rPr>
          <w:rFonts w:ascii="Arial" w:hAnsi="Arial" w:cs="Arial"/>
          <w:sz w:val="24"/>
          <w:szCs w:val="24"/>
        </w:rPr>
        <w:t xml:space="preserve">where appropriate. </w:t>
      </w:r>
      <w:r w:rsidR="000F2B34" w:rsidRPr="00220858">
        <w:rPr>
          <w:rFonts w:ascii="Arial" w:hAnsi="Arial" w:cs="Arial"/>
          <w:sz w:val="24"/>
          <w:szCs w:val="24"/>
        </w:rPr>
        <w:t>A minor modelling anomaly</w:t>
      </w:r>
      <w:r w:rsidR="00D0174F" w:rsidRPr="00220858">
        <w:rPr>
          <w:rFonts w:ascii="Arial" w:hAnsi="Arial" w:cs="Arial"/>
          <w:sz w:val="24"/>
          <w:szCs w:val="24"/>
        </w:rPr>
        <w:t xml:space="preserve"> that lead to</w:t>
      </w:r>
      <w:r w:rsidR="000F2B34" w:rsidRPr="00220858">
        <w:rPr>
          <w:rFonts w:ascii="Arial" w:hAnsi="Arial" w:cs="Arial"/>
          <w:sz w:val="24"/>
          <w:szCs w:val="24"/>
        </w:rPr>
        <w:t xml:space="preserve"> the double counting of some dressing costs was also rectified. </w:t>
      </w:r>
      <w:r w:rsidR="004767B9" w:rsidRPr="00220858">
        <w:rPr>
          <w:rFonts w:ascii="Arial" w:hAnsi="Arial" w:cs="Arial"/>
          <w:sz w:val="24"/>
          <w:szCs w:val="24"/>
        </w:rPr>
        <w:t>These changes did not have a substantial impact on results</w:t>
      </w:r>
      <w:r w:rsidR="00CF139C" w:rsidRPr="00220858">
        <w:rPr>
          <w:rFonts w:ascii="Arial" w:hAnsi="Arial" w:cs="Arial"/>
          <w:sz w:val="24"/>
          <w:szCs w:val="24"/>
        </w:rPr>
        <w:t>, given</w:t>
      </w:r>
      <w:r w:rsidR="00634B06" w:rsidRPr="00220858">
        <w:rPr>
          <w:rFonts w:ascii="Arial" w:hAnsi="Arial" w:cs="Arial"/>
          <w:sz w:val="24"/>
          <w:szCs w:val="24"/>
        </w:rPr>
        <w:t xml:space="preserve"> the relatively small cost of dressings</w:t>
      </w:r>
      <w:r w:rsidR="004767B9" w:rsidRPr="00220858">
        <w:rPr>
          <w:rFonts w:ascii="Arial" w:hAnsi="Arial" w:cs="Arial"/>
          <w:sz w:val="24"/>
          <w:szCs w:val="24"/>
        </w:rPr>
        <w:t xml:space="preserve">. </w:t>
      </w:r>
      <w:r w:rsidR="00CF139C" w:rsidRPr="00220858">
        <w:rPr>
          <w:rFonts w:ascii="Arial" w:hAnsi="Arial" w:cs="Arial"/>
          <w:sz w:val="24"/>
          <w:szCs w:val="24"/>
        </w:rPr>
        <w:t xml:space="preserve"> </w:t>
      </w:r>
      <w:r w:rsidR="00D72030" w:rsidRPr="00220858">
        <w:rPr>
          <w:rFonts w:ascii="Arial" w:hAnsi="Arial" w:cs="Arial"/>
          <w:sz w:val="24"/>
          <w:szCs w:val="24"/>
        </w:rPr>
        <w:t>The EAC noted that the costs associated with the pathways reflecting change in pressure ulcer condition</w:t>
      </w:r>
      <w:r w:rsidR="0009389C" w:rsidRPr="00220858">
        <w:rPr>
          <w:rFonts w:ascii="Arial" w:hAnsi="Arial" w:cs="Arial"/>
          <w:sz w:val="24"/>
          <w:szCs w:val="24"/>
        </w:rPr>
        <w:t xml:space="preserve"> for those admitted with a pressure ulcer</w:t>
      </w:r>
      <w:r w:rsidR="00EA71C6" w:rsidRPr="00220858">
        <w:rPr>
          <w:rFonts w:ascii="Arial" w:hAnsi="Arial" w:cs="Arial"/>
          <w:sz w:val="24"/>
          <w:szCs w:val="24"/>
        </w:rPr>
        <w:t xml:space="preserve"> (pathways 3, 4 and 5)</w:t>
      </w:r>
      <w:r w:rsidR="007A0E22" w:rsidRPr="00220858">
        <w:rPr>
          <w:rFonts w:ascii="Arial" w:hAnsi="Arial" w:cs="Arial"/>
          <w:sz w:val="24"/>
          <w:szCs w:val="24"/>
        </w:rPr>
        <w:t xml:space="preserve"> did</w:t>
      </w:r>
      <w:r w:rsidR="00D72030" w:rsidRPr="00220858">
        <w:rPr>
          <w:rFonts w:ascii="Arial" w:hAnsi="Arial" w:cs="Arial"/>
          <w:sz w:val="24"/>
          <w:szCs w:val="24"/>
        </w:rPr>
        <w:t xml:space="preserve"> not incur different costs. </w:t>
      </w:r>
      <w:r w:rsidR="00AC2E31" w:rsidRPr="00220858">
        <w:rPr>
          <w:rFonts w:ascii="Arial" w:hAnsi="Arial" w:cs="Arial"/>
          <w:sz w:val="24"/>
          <w:szCs w:val="24"/>
        </w:rPr>
        <w:t xml:space="preserve">This differentiation had the effect of diluting </w:t>
      </w:r>
      <w:r w:rsidR="00D72030" w:rsidRPr="00220858">
        <w:rPr>
          <w:rFonts w:ascii="Arial" w:hAnsi="Arial" w:cs="Arial"/>
          <w:sz w:val="24"/>
          <w:szCs w:val="24"/>
        </w:rPr>
        <w:t xml:space="preserve">data on length of stay, increasing uncertainty. </w:t>
      </w:r>
      <w:r w:rsidR="002944FC">
        <w:rPr>
          <w:rFonts w:ascii="Arial" w:hAnsi="Arial" w:cs="Arial"/>
          <w:sz w:val="24"/>
          <w:szCs w:val="24"/>
        </w:rPr>
        <w:t>Therefore, t</w:t>
      </w:r>
      <w:r w:rsidR="00D72030" w:rsidRPr="00220858">
        <w:rPr>
          <w:rFonts w:ascii="Arial" w:hAnsi="Arial" w:cs="Arial"/>
          <w:sz w:val="24"/>
          <w:szCs w:val="24"/>
        </w:rPr>
        <w:t xml:space="preserve">he EAC presented a slightly modified </w:t>
      </w:r>
      <w:r w:rsidR="004A3729" w:rsidRPr="00220858">
        <w:rPr>
          <w:rFonts w:ascii="Arial" w:hAnsi="Arial" w:cs="Arial"/>
          <w:sz w:val="24"/>
          <w:szCs w:val="24"/>
        </w:rPr>
        <w:t xml:space="preserve">decision tree, </w:t>
      </w:r>
      <w:r w:rsidR="00A56899" w:rsidRPr="00220858">
        <w:rPr>
          <w:rFonts w:ascii="Arial" w:hAnsi="Arial" w:cs="Arial"/>
          <w:sz w:val="24"/>
          <w:szCs w:val="24"/>
        </w:rPr>
        <w:t>encompassing</w:t>
      </w:r>
      <w:r w:rsidR="004A3729" w:rsidRPr="00220858">
        <w:rPr>
          <w:rFonts w:ascii="Arial" w:hAnsi="Arial" w:cs="Arial"/>
          <w:sz w:val="24"/>
          <w:szCs w:val="24"/>
        </w:rPr>
        <w:t xml:space="preserve"> pathway</w:t>
      </w:r>
      <w:r w:rsidR="00A56899" w:rsidRPr="00220858">
        <w:rPr>
          <w:rFonts w:ascii="Arial" w:hAnsi="Arial" w:cs="Arial"/>
          <w:sz w:val="24"/>
          <w:szCs w:val="24"/>
        </w:rPr>
        <w:t>s</w:t>
      </w:r>
      <w:r w:rsidR="004A3729" w:rsidRPr="00220858">
        <w:rPr>
          <w:rFonts w:ascii="Arial" w:hAnsi="Arial" w:cs="Arial"/>
          <w:sz w:val="24"/>
          <w:szCs w:val="24"/>
        </w:rPr>
        <w:t xml:space="preserve"> 3, 4 and 5 into one single pathway</w:t>
      </w:r>
      <w:r w:rsidR="000334F0" w:rsidRPr="00220858">
        <w:rPr>
          <w:rFonts w:ascii="Arial" w:hAnsi="Arial" w:cs="Arial"/>
          <w:sz w:val="24"/>
          <w:szCs w:val="24"/>
        </w:rPr>
        <w:t xml:space="preserve"> “Admitted with PU”</w:t>
      </w:r>
      <w:r w:rsidR="004A3729" w:rsidRPr="00220858">
        <w:rPr>
          <w:rFonts w:ascii="Arial" w:hAnsi="Arial" w:cs="Arial"/>
          <w:sz w:val="24"/>
          <w:szCs w:val="24"/>
        </w:rPr>
        <w:t xml:space="preserve">. </w:t>
      </w:r>
      <w:r w:rsidR="00220A76">
        <w:rPr>
          <w:rFonts w:ascii="Arial" w:hAnsi="Arial" w:cs="Arial"/>
          <w:sz w:val="24"/>
          <w:szCs w:val="24"/>
        </w:rPr>
        <w:t>(See figure 2)</w:t>
      </w:r>
    </w:p>
    <w:p w:rsidR="00A74E3C" w:rsidRPr="00220858" w:rsidRDefault="00A74E3C" w:rsidP="00A74E3C">
      <w:pPr>
        <w:pStyle w:val="Paragraphnonumbers"/>
      </w:pPr>
      <w:r w:rsidRPr="00220858">
        <w:t>The cost of a bed-day in the Hospital model was revisited</w:t>
      </w:r>
      <w:r w:rsidR="00031D95" w:rsidRPr="00220858">
        <w:t>. The EAC acknowledged</w:t>
      </w:r>
      <w:r w:rsidRPr="00220858">
        <w:t xml:space="preserve"> </w:t>
      </w:r>
      <w:r w:rsidR="00031D95" w:rsidRPr="00220858">
        <w:t>the difficulty in</w:t>
      </w:r>
      <w:r w:rsidRPr="00220858">
        <w:t xml:space="preserve"> identify</w:t>
      </w:r>
      <w:r w:rsidR="00031D95" w:rsidRPr="00220858">
        <w:t>ing</w:t>
      </w:r>
      <w:r w:rsidRPr="00220858">
        <w:t xml:space="preserve"> an appropriate per day cost of “hotel stay” alone</w:t>
      </w:r>
      <w:r w:rsidR="00FC1EB5" w:rsidRPr="00220858">
        <w:t>, but did not feel that the sponsor estimate was sufficiently robust</w:t>
      </w:r>
      <w:r w:rsidRPr="00220858">
        <w:t xml:space="preserve">. </w:t>
      </w:r>
      <w:r w:rsidR="00ED721A">
        <w:t>National Reference C</w:t>
      </w:r>
      <w:r w:rsidR="00383E91" w:rsidRPr="00220858">
        <w:t>osts</w:t>
      </w:r>
      <w:r w:rsidR="00ED721A">
        <w:rPr>
          <w:rStyle w:val="EndnoteReference"/>
        </w:rPr>
        <w:endnoteReference w:id="21"/>
      </w:r>
      <w:r w:rsidR="00383E91" w:rsidRPr="00220858">
        <w:t xml:space="preserve"> for e</w:t>
      </w:r>
      <w:r w:rsidR="00AA6A1C" w:rsidRPr="00220858">
        <w:t>xcess bed days were used as</w:t>
      </w:r>
      <w:r w:rsidRPr="00220858">
        <w:t xml:space="preserve"> a reasonable proxy. The Smith </w:t>
      </w:r>
      <w:r w:rsidR="00A1003A">
        <w:t xml:space="preserve">and Ingram </w:t>
      </w:r>
      <w:r w:rsidRPr="00220858">
        <w:t xml:space="preserve">(2010) paper identified that </w:t>
      </w:r>
      <w:r w:rsidR="00471C29" w:rsidRPr="00220858">
        <w:t>the</w:t>
      </w:r>
      <w:r w:rsidRPr="00220858">
        <w:t xml:space="preserve"> at-risk population were treated on general medical wards and trauma and orthopaedics wards. The EAC therefore used exc</w:t>
      </w:r>
      <w:r w:rsidR="00D96D91" w:rsidRPr="00220858">
        <w:t>ess bed days</w:t>
      </w:r>
      <w:r w:rsidRPr="00220858">
        <w:t xml:space="preserve"> for </w:t>
      </w:r>
      <w:r w:rsidR="00ED721A">
        <w:t>general m</w:t>
      </w:r>
      <w:r w:rsidR="00ED0D75" w:rsidRPr="00220858">
        <w:t>edicine</w:t>
      </w:r>
      <w:r w:rsidRPr="00220858">
        <w:t xml:space="preserve"> an</w:t>
      </w:r>
      <w:r w:rsidR="00ED721A">
        <w:t>d t</w:t>
      </w:r>
      <w:r w:rsidRPr="00220858">
        <w:t>rauma</w:t>
      </w:r>
      <w:r w:rsidR="00ED721A">
        <w:t>,</w:t>
      </w:r>
      <w:r w:rsidRPr="00220858">
        <w:t xml:space="preserve"> and orthopaedic wards, for the gamut of skin disorders (with and without intervention and the whole range of severity) to calculate a weighted cost.  The weighted costs are shown in</w:t>
      </w:r>
      <w:r w:rsidR="006E0721" w:rsidRPr="00220858">
        <w:t xml:space="preserve"> table 7</w:t>
      </w:r>
      <w:r w:rsidRPr="00220858">
        <w:t xml:space="preserve">. </w:t>
      </w:r>
      <w:r w:rsidR="00B84D7F" w:rsidRPr="00220858">
        <w:t>T</w:t>
      </w:r>
      <w:r w:rsidRPr="00220858">
        <w:t xml:space="preserve">he sponsor estimate of £325 may </w:t>
      </w:r>
      <w:r w:rsidR="00ED721A">
        <w:t xml:space="preserve">have </w:t>
      </w:r>
      <w:r w:rsidRPr="00220858">
        <w:t>be</w:t>
      </w:r>
      <w:r w:rsidR="00ED721A">
        <w:t>en</w:t>
      </w:r>
      <w:r w:rsidRPr="00220858">
        <w:t xml:space="preserve"> at the higher end of the bed day cost. </w:t>
      </w:r>
      <w:r w:rsidR="00632AF5" w:rsidRPr="00220858">
        <w:t>The EAC model used</w:t>
      </w:r>
      <w:r w:rsidRPr="00220858">
        <w:t xml:space="preserve"> £234 as the base case and ran a sensitivity analysis of £328 as an upper limit. </w:t>
      </w:r>
    </w:p>
    <w:p w:rsidR="00021E4D" w:rsidRPr="00220858" w:rsidRDefault="002D0A0C" w:rsidP="00021E4D">
      <w:pPr>
        <w:pStyle w:val="Paragraphnonumbers"/>
        <w:rPr>
          <w:rFonts w:cs="Arial"/>
        </w:rPr>
      </w:pPr>
      <w:r w:rsidRPr="00220858">
        <w:rPr>
          <w:rFonts w:cs="Arial"/>
        </w:rPr>
        <w:t xml:space="preserve">The </w:t>
      </w:r>
      <w:r w:rsidR="002944FC">
        <w:rPr>
          <w:rFonts w:cs="Arial"/>
        </w:rPr>
        <w:t>Sponsor’s</w:t>
      </w:r>
      <w:r w:rsidR="002944FC" w:rsidRPr="00220858">
        <w:rPr>
          <w:rFonts w:cs="Arial"/>
        </w:rPr>
        <w:t xml:space="preserve"> </w:t>
      </w:r>
      <w:r w:rsidRPr="00220858">
        <w:rPr>
          <w:rFonts w:cs="Arial"/>
        </w:rPr>
        <w:t>model had used median values for length of stay</w:t>
      </w:r>
      <w:r w:rsidR="002C2F10" w:rsidRPr="00220858">
        <w:rPr>
          <w:rFonts w:cs="Arial"/>
        </w:rPr>
        <w:t xml:space="preserve"> in both the Hospital and Community models</w:t>
      </w:r>
      <w:r w:rsidRPr="00220858">
        <w:rPr>
          <w:rFonts w:cs="Arial"/>
        </w:rPr>
        <w:t xml:space="preserve">. </w:t>
      </w:r>
      <w:r w:rsidR="003B374D">
        <w:rPr>
          <w:rFonts w:cs="Arial"/>
        </w:rPr>
        <w:t>Although length of stay results</w:t>
      </w:r>
      <w:r w:rsidR="00C035AA" w:rsidRPr="00220858">
        <w:rPr>
          <w:rFonts w:cs="Arial"/>
        </w:rPr>
        <w:t xml:space="preserve"> may be skewed, </w:t>
      </w:r>
      <w:r w:rsidR="0052102C">
        <w:rPr>
          <w:rFonts w:cs="Arial"/>
        </w:rPr>
        <w:t>they</w:t>
      </w:r>
      <w:r w:rsidR="00C035AA" w:rsidRPr="00220858">
        <w:rPr>
          <w:rFonts w:cs="Arial"/>
        </w:rPr>
        <w:t xml:space="preserve"> reflect</w:t>
      </w:r>
      <w:r w:rsidR="00ED721A">
        <w:rPr>
          <w:rFonts w:cs="Arial"/>
        </w:rPr>
        <w:t>ed</w:t>
      </w:r>
      <w:r w:rsidR="00C035AA" w:rsidRPr="00220858">
        <w:rPr>
          <w:rFonts w:cs="Arial"/>
        </w:rPr>
        <w:t xml:space="preserve"> the nature of length of stay as observed in NHS practice; some patients require significantly longer time in hospital. It is hard to assume that these longer lengths of stay constitute outliers.  For modelling purposes, an arithmetic mean would better represent the average length of stay experienced for each of these groups and thus the EAC subsequently used mean values in the hospital and community cost models</w:t>
      </w:r>
      <w:r w:rsidR="00021E4D" w:rsidRPr="00220858">
        <w:rPr>
          <w:rFonts w:cs="Arial"/>
        </w:rPr>
        <w:t xml:space="preserve">. </w:t>
      </w:r>
    </w:p>
    <w:p w:rsidR="00CF139C" w:rsidRPr="00220858" w:rsidRDefault="00021E4D" w:rsidP="00021E4D">
      <w:pPr>
        <w:pStyle w:val="Paragraphnonumbers"/>
        <w:rPr>
          <w:rFonts w:cs="Arial"/>
        </w:rPr>
      </w:pPr>
      <w:r w:rsidRPr="00220858">
        <w:rPr>
          <w:rFonts w:cs="Arial"/>
        </w:rPr>
        <w:lastRenderedPageBreak/>
        <w:t>A</w:t>
      </w:r>
      <w:r w:rsidR="00C035AA" w:rsidRPr="00220858">
        <w:rPr>
          <w:rFonts w:cs="Arial"/>
        </w:rPr>
        <w:t>fter rectifying minor errors</w:t>
      </w:r>
      <w:r w:rsidR="00642365" w:rsidRPr="00220858">
        <w:rPr>
          <w:rFonts w:cs="Arial"/>
        </w:rPr>
        <w:t xml:space="preserve">, re-estimating </w:t>
      </w:r>
      <w:r w:rsidR="005C4DE8" w:rsidRPr="00220858">
        <w:rPr>
          <w:rFonts w:cs="Arial"/>
        </w:rPr>
        <w:t xml:space="preserve">bed day costs </w:t>
      </w:r>
      <w:r w:rsidRPr="00220858">
        <w:rPr>
          <w:rFonts w:cs="Arial"/>
        </w:rPr>
        <w:t xml:space="preserve">and </w:t>
      </w:r>
      <w:r w:rsidR="00642365" w:rsidRPr="00220858">
        <w:rPr>
          <w:rFonts w:cs="Arial"/>
        </w:rPr>
        <w:t>modification to the</w:t>
      </w:r>
      <w:r w:rsidR="005C4DE8" w:rsidRPr="00220858">
        <w:rPr>
          <w:rFonts w:cs="Arial"/>
        </w:rPr>
        <w:t xml:space="preserve"> structure of the</w:t>
      </w:r>
      <w:r w:rsidR="00642365" w:rsidRPr="00220858">
        <w:rPr>
          <w:rFonts w:cs="Arial"/>
        </w:rPr>
        <w:t xml:space="preserve"> hospital model,</w:t>
      </w:r>
      <w:r w:rsidR="00C035AA" w:rsidRPr="00220858">
        <w:rPr>
          <w:rFonts w:cs="Arial"/>
        </w:rPr>
        <w:t xml:space="preserve"> supplementary</w:t>
      </w:r>
      <w:r w:rsidR="00CF139C" w:rsidRPr="00220858">
        <w:rPr>
          <w:rFonts w:cs="Arial"/>
        </w:rPr>
        <w:t xml:space="preserve"> analyses conducted by the EAC focused on attempting to account for </w:t>
      </w:r>
      <w:r w:rsidR="00E95B16" w:rsidRPr="00220858">
        <w:rPr>
          <w:rFonts w:cs="Arial"/>
        </w:rPr>
        <w:t xml:space="preserve">the </w:t>
      </w:r>
      <w:r w:rsidR="00CF139C" w:rsidRPr="00220858">
        <w:rPr>
          <w:rFonts w:cs="Arial"/>
        </w:rPr>
        <w:t>two main weakness</w:t>
      </w:r>
      <w:r w:rsidR="009561E3" w:rsidRPr="00220858">
        <w:rPr>
          <w:rFonts w:cs="Arial"/>
        </w:rPr>
        <w:t>es</w:t>
      </w:r>
      <w:r w:rsidR="00CF139C" w:rsidRPr="00220858">
        <w:rPr>
          <w:rFonts w:cs="Arial"/>
        </w:rPr>
        <w:t xml:space="preserve"> identified in the</w:t>
      </w:r>
      <w:r w:rsidR="008767AB" w:rsidRPr="00220858">
        <w:rPr>
          <w:rFonts w:cs="Arial"/>
        </w:rPr>
        <w:t xml:space="preserve"> economic modelling included in the submission</w:t>
      </w:r>
      <w:r w:rsidR="00CF139C" w:rsidRPr="00220858">
        <w:rPr>
          <w:rFonts w:cs="Arial"/>
        </w:rPr>
        <w:t>:</w:t>
      </w:r>
    </w:p>
    <w:p w:rsidR="00CF139C" w:rsidRPr="00220858" w:rsidRDefault="00770636" w:rsidP="00CF139C">
      <w:pPr>
        <w:pStyle w:val="ListParagraph"/>
        <w:numPr>
          <w:ilvl w:val="0"/>
          <w:numId w:val="8"/>
        </w:numPr>
        <w:rPr>
          <w:rFonts w:ascii="Arial" w:hAnsi="Arial" w:cs="Arial"/>
          <w:sz w:val="24"/>
          <w:szCs w:val="24"/>
        </w:rPr>
      </w:pPr>
      <w:r w:rsidRPr="00220858">
        <w:rPr>
          <w:rFonts w:ascii="Arial" w:hAnsi="Arial" w:cs="Arial"/>
          <w:sz w:val="24"/>
          <w:szCs w:val="24"/>
        </w:rPr>
        <w:t>Adjusting estimates of patient length of</w:t>
      </w:r>
      <w:r w:rsidR="00B31418" w:rsidRPr="00220858">
        <w:rPr>
          <w:rFonts w:ascii="Arial" w:hAnsi="Arial" w:cs="Arial"/>
          <w:sz w:val="24"/>
          <w:szCs w:val="24"/>
        </w:rPr>
        <w:t xml:space="preserve"> hospital </w:t>
      </w:r>
      <w:r w:rsidRPr="00220858">
        <w:rPr>
          <w:rFonts w:ascii="Arial" w:hAnsi="Arial" w:cs="Arial"/>
          <w:sz w:val="24"/>
          <w:szCs w:val="24"/>
        </w:rPr>
        <w:t>stay for potential confounders.</w:t>
      </w:r>
    </w:p>
    <w:p w:rsidR="00770636" w:rsidRPr="00220858" w:rsidRDefault="00770636" w:rsidP="00CF139C">
      <w:pPr>
        <w:pStyle w:val="ListParagraph"/>
        <w:numPr>
          <w:ilvl w:val="0"/>
          <w:numId w:val="8"/>
        </w:numPr>
        <w:rPr>
          <w:rFonts w:ascii="Arial" w:hAnsi="Arial" w:cs="Arial"/>
          <w:sz w:val="24"/>
          <w:szCs w:val="24"/>
        </w:rPr>
      </w:pPr>
      <w:r w:rsidRPr="00220858">
        <w:rPr>
          <w:rFonts w:ascii="Arial" w:hAnsi="Arial" w:cs="Arial"/>
          <w:sz w:val="24"/>
          <w:szCs w:val="24"/>
        </w:rPr>
        <w:t>Reflecting uncertainty in input parameters in a more comprehensive manner.</w:t>
      </w:r>
    </w:p>
    <w:p w:rsidR="002A25E8" w:rsidRPr="00220858" w:rsidRDefault="000A69DC" w:rsidP="002A25E8">
      <w:pPr>
        <w:rPr>
          <w:rFonts w:ascii="Arial" w:hAnsi="Arial" w:cs="Arial"/>
          <w:noProof/>
          <w:sz w:val="24"/>
          <w:szCs w:val="24"/>
        </w:rPr>
      </w:pPr>
      <w:r w:rsidRPr="00220858">
        <w:rPr>
          <w:rFonts w:ascii="Arial" w:hAnsi="Arial" w:cs="Arial"/>
          <w:noProof/>
          <w:sz w:val="24"/>
          <w:szCs w:val="24"/>
        </w:rPr>
        <w:t>The EAC was provided with the raw data from Smith and Ingram (2010) by th</w:t>
      </w:r>
      <w:r w:rsidR="006E1DDC" w:rsidRPr="00220858">
        <w:rPr>
          <w:rFonts w:ascii="Arial" w:hAnsi="Arial" w:cs="Arial"/>
          <w:noProof/>
          <w:sz w:val="24"/>
          <w:szCs w:val="24"/>
        </w:rPr>
        <w:t>e</w:t>
      </w:r>
      <w:r w:rsidRPr="00220858">
        <w:rPr>
          <w:rFonts w:ascii="Arial" w:hAnsi="Arial" w:cs="Arial"/>
          <w:noProof/>
          <w:sz w:val="24"/>
          <w:szCs w:val="24"/>
        </w:rPr>
        <w:t xml:space="preserve"> sponsor</w:t>
      </w:r>
      <w:r w:rsidR="002944FC">
        <w:rPr>
          <w:rFonts w:ascii="Arial" w:hAnsi="Arial" w:cs="Arial"/>
          <w:noProof/>
          <w:sz w:val="24"/>
          <w:szCs w:val="24"/>
        </w:rPr>
        <w:t>. Th</w:t>
      </w:r>
      <w:r w:rsidR="003B374D">
        <w:rPr>
          <w:rFonts w:ascii="Arial" w:hAnsi="Arial" w:cs="Arial"/>
          <w:noProof/>
          <w:sz w:val="24"/>
          <w:szCs w:val="24"/>
        </w:rPr>
        <w:t>e information</w:t>
      </w:r>
      <w:r w:rsidR="002944FC">
        <w:rPr>
          <w:rFonts w:ascii="Arial" w:hAnsi="Arial" w:cs="Arial"/>
          <w:noProof/>
          <w:sz w:val="24"/>
          <w:szCs w:val="24"/>
        </w:rPr>
        <w:t xml:space="preserve"> was</w:t>
      </w:r>
      <w:r w:rsidRPr="00220858">
        <w:rPr>
          <w:rFonts w:ascii="Arial" w:hAnsi="Arial" w:cs="Arial"/>
          <w:noProof/>
          <w:sz w:val="24"/>
          <w:szCs w:val="24"/>
        </w:rPr>
        <w:t xml:space="preserve"> reanalysed </w:t>
      </w:r>
      <w:r w:rsidR="002944FC">
        <w:rPr>
          <w:rFonts w:ascii="Arial" w:hAnsi="Arial" w:cs="Arial"/>
          <w:noProof/>
          <w:sz w:val="24"/>
          <w:szCs w:val="24"/>
        </w:rPr>
        <w:t xml:space="preserve">by the EAC to </w:t>
      </w:r>
      <w:r w:rsidR="0052102C">
        <w:rPr>
          <w:rFonts w:ascii="Arial" w:hAnsi="Arial" w:cs="Arial"/>
          <w:noProof/>
          <w:sz w:val="24"/>
          <w:szCs w:val="24"/>
        </w:rPr>
        <w:t>consider a</w:t>
      </w:r>
      <w:r w:rsidR="002944FC">
        <w:rPr>
          <w:rFonts w:ascii="Arial" w:hAnsi="Arial" w:cs="Arial"/>
          <w:noProof/>
          <w:sz w:val="24"/>
          <w:szCs w:val="24"/>
        </w:rPr>
        <w:t xml:space="preserve"> </w:t>
      </w:r>
      <w:r w:rsidRPr="00220858">
        <w:rPr>
          <w:rFonts w:ascii="Arial" w:hAnsi="Arial" w:cs="Arial"/>
          <w:noProof/>
          <w:sz w:val="24"/>
          <w:szCs w:val="24"/>
        </w:rPr>
        <w:t xml:space="preserve">limited number of confounders: patient’s gender, Waterlow score and the ward </w:t>
      </w:r>
      <w:r w:rsidR="00CB0EF9" w:rsidRPr="00220858">
        <w:rPr>
          <w:rFonts w:ascii="Arial" w:hAnsi="Arial" w:cs="Arial"/>
          <w:noProof/>
          <w:sz w:val="24"/>
          <w:szCs w:val="24"/>
        </w:rPr>
        <w:t>of admission</w:t>
      </w:r>
      <w:r w:rsidRPr="00220858">
        <w:rPr>
          <w:rFonts w:ascii="Arial" w:hAnsi="Arial" w:cs="Arial"/>
          <w:noProof/>
          <w:sz w:val="24"/>
          <w:szCs w:val="24"/>
        </w:rPr>
        <w:t>.</w:t>
      </w:r>
      <w:r w:rsidR="002A25E8" w:rsidRPr="00220858">
        <w:rPr>
          <w:rFonts w:ascii="Arial" w:hAnsi="Arial" w:cs="Arial"/>
          <w:noProof/>
          <w:sz w:val="24"/>
          <w:szCs w:val="24"/>
        </w:rPr>
        <w:t xml:space="preserve"> </w:t>
      </w:r>
      <w:r w:rsidR="002944FC">
        <w:rPr>
          <w:rFonts w:ascii="Arial" w:hAnsi="Arial" w:cs="Arial"/>
          <w:noProof/>
          <w:sz w:val="24"/>
          <w:szCs w:val="24"/>
        </w:rPr>
        <w:t xml:space="preserve">A log-linear model of </w:t>
      </w:r>
      <w:r w:rsidR="002A25E8" w:rsidRPr="00220858">
        <w:rPr>
          <w:rFonts w:ascii="Arial" w:hAnsi="Arial" w:cs="Arial"/>
          <w:noProof/>
          <w:sz w:val="24"/>
          <w:szCs w:val="24"/>
        </w:rPr>
        <w:t xml:space="preserve">length of stay </w:t>
      </w:r>
      <w:r w:rsidR="002944FC">
        <w:rPr>
          <w:rFonts w:ascii="Arial" w:hAnsi="Arial" w:cs="Arial"/>
          <w:noProof/>
          <w:sz w:val="24"/>
          <w:szCs w:val="24"/>
        </w:rPr>
        <w:t xml:space="preserve">was fitted </w:t>
      </w:r>
      <w:r w:rsidR="002A25E8" w:rsidRPr="00220858">
        <w:rPr>
          <w:rFonts w:ascii="Arial" w:hAnsi="Arial" w:cs="Arial"/>
          <w:noProof/>
          <w:sz w:val="24"/>
          <w:szCs w:val="24"/>
        </w:rPr>
        <w:t xml:space="preserve">on Parafricta (1/0), gender (male/female), Waterlow score (medium/high risk) and location (medical1/medical2/orthopaedic ward). </w:t>
      </w:r>
      <w:r w:rsidR="002944FC">
        <w:rPr>
          <w:rFonts w:ascii="Arial" w:hAnsi="Arial" w:cs="Arial"/>
          <w:noProof/>
          <w:sz w:val="24"/>
          <w:szCs w:val="24"/>
        </w:rPr>
        <w:t>Model d</w:t>
      </w:r>
      <w:r w:rsidR="002A25E8" w:rsidRPr="00220858">
        <w:rPr>
          <w:rFonts w:ascii="Arial" w:hAnsi="Arial" w:cs="Arial"/>
          <w:noProof/>
          <w:sz w:val="24"/>
          <w:szCs w:val="24"/>
        </w:rPr>
        <w:t>iagnostic tests</w:t>
      </w:r>
      <w:r w:rsidR="00812E77" w:rsidRPr="00220858">
        <w:rPr>
          <w:rFonts w:ascii="Arial" w:hAnsi="Arial" w:cs="Arial"/>
          <w:noProof/>
          <w:sz w:val="24"/>
          <w:szCs w:val="24"/>
        </w:rPr>
        <w:t xml:space="preserve"> </w:t>
      </w:r>
      <w:r w:rsidR="002944FC">
        <w:rPr>
          <w:rFonts w:ascii="Arial" w:hAnsi="Arial" w:cs="Arial"/>
          <w:noProof/>
          <w:sz w:val="24"/>
          <w:szCs w:val="24"/>
        </w:rPr>
        <w:t>confirmed a good fit</w:t>
      </w:r>
      <w:r w:rsidR="000B1B29" w:rsidRPr="00220858">
        <w:rPr>
          <w:rFonts w:ascii="Arial" w:hAnsi="Arial" w:cs="Arial"/>
          <w:sz w:val="24"/>
          <w:szCs w:val="24"/>
        </w:rPr>
        <w:t xml:space="preserve">. </w:t>
      </w:r>
      <w:r w:rsidR="002944FC">
        <w:rPr>
          <w:rFonts w:ascii="Arial" w:hAnsi="Arial" w:cs="Arial"/>
          <w:sz w:val="24"/>
          <w:szCs w:val="24"/>
        </w:rPr>
        <w:t>As expected, t</w:t>
      </w:r>
      <w:r w:rsidR="000B1B29" w:rsidRPr="00220858">
        <w:rPr>
          <w:rFonts w:ascii="Arial" w:hAnsi="Arial" w:cs="Arial"/>
          <w:sz w:val="24"/>
          <w:szCs w:val="24"/>
        </w:rPr>
        <w:t>he model was only able to explain about 4% of the variation in length of stay</w:t>
      </w:r>
      <w:r w:rsidR="00A54D2B">
        <w:rPr>
          <w:rFonts w:ascii="Arial" w:hAnsi="Arial" w:cs="Arial"/>
          <w:sz w:val="24"/>
          <w:szCs w:val="24"/>
        </w:rPr>
        <w:t>,</w:t>
      </w:r>
      <w:r w:rsidR="002944FC">
        <w:rPr>
          <w:rFonts w:ascii="Arial" w:hAnsi="Arial" w:cs="Arial"/>
          <w:sz w:val="24"/>
          <w:szCs w:val="24"/>
        </w:rPr>
        <w:t xml:space="preserve"> as the potential </w:t>
      </w:r>
      <w:r w:rsidR="00DD406B">
        <w:rPr>
          <w:rFonts w:ascii="Arial" w:hAnsi="Arial" w:cs="Arial"/>
          <w:sz w:val="24"/>
          <w:szCs w:val="24"/>
        </w:rPr>
        <w:t>predictors of length of stay were limited</w:t>
      </w:r>
      <w:r w:rsidR="000B1B29" w:rsidRPr="00220858">
        <w:rPr>
          <w:rFonts w:ascii="Arial" w:hAnsi="Arial" w:cs="Arial"/>
          <w:sz w:val="24"/>
          <w:szCs w:val="24"/>
        </w:rPr>
        <w:t>.</w:t>
      </w:r>
      <w:r w:rsidR="008A22E7" w:rsidRPr="00220858">
        <w:rPr>
          <w:rFonts w:ascii="Arial" w:hAnsi="Arial" w:cs="Arial"/>
          <w:sz w:val="24"/>
          <w:szCs w:val="24"/>
        </w:rPr>
        <w:t xml:space="preserve"> </w:t>
      </w:r>
      <w:r w:rsidR="002A25E8" w:rsidRPr="00220858">
        <w:rPr>
          <w:rFonts w:ascii="Arial" w:hAnsi="Arial" w:cs="Arial"/>
          <w:noProof/>
          <w:sz w:val="24"/>
          <w:szCs w:val="24"/>
        </w:rPr>
        <w:t xml:space="preserve"> </w:t>
      </w:r>
      <w:r w:rsidR="00DD406B">
        <w:rPr>
          <w:rFonts w:ascii="Arial" w:hAnsi="Arial" w:cs="Arial"/>
          <w:noProof/>
          <w:sz w:val="24"/>
          <w:szCs w:val="24"/>
        </w:rPr>
        <w:t>Nevertheless, it was thought to provide better estimates than unadjusted estimates. L</w:t>
      </w:r>
      <w:r w:rsidR="0013760D" w:rsidRPr="00220858">
        <w:rPr>
          <w:rFonts w:ascii="Arial" w:hAnsi="Arial" w:cs="Arial"/>
          <w:noProof/>
          <w:sz w:val="24"/>
          <w:szCs w:val="24"/>
        </w:rPr>
        <w:t>ength</w:t>
      </w:r>
      <w:r w:rsidR="00DD406B">
        <w:rPr>
          <w:rFonts w:ascii="Arial" w:hAnsi="Arial" w:cs="Arial"/>
          <w:noProof/>
          <w:sz w:val="24"/>
          <w:szCs w:val="24"/>
        </w:rPr>
        <w:t>s</w:t>
      </w:r>
      <w:r w:rsidR="0013760D" w:rsidRPr="00220858">
        <w:rPr>
          <w:rFonts w:ascii="Arial" w:hAnsi="Arial" w:cs="Arial"/>
          <w:noProof/>
          <w:sz w:val="24"/>
          <w:szCs w:val="24"/>
        </w:rPr>
        <w:t xml:space="preserve"> of stay </w:t>
      </w:r>
      <w:r w:rsidR="00DD406B">
        <w:rPr>
          <w:rFonts w:ascii="Arial" w:hAnsi="Arial" w:cs="Arial"/>
          <w:noProof/>
          <w:sz w:val="24"/>
          <w:szCs w:val="24"/>
        </w:rPr>
        <w:t xml:space="preserve">and their standard errors </w:t>
      </w:r>
      <w:r w:rsidR="0013760D" w:rsidRPr="00220858">
        <w:rPr>
          <w:rFonts w:ascii="Arial" w:hAnsi="Arial" w:cs="Arial"/>
          <w:noProof/>
          <w:sz w:val="24"/>
          <w:szCs w:val="24"/>
        </w:rPr>
        <w:t>for all potential pathways</w:t>
      </w:r>
      <w:r w:rsidR="00DD406B">
        <w:rPr>
          <w:rFonts w:ascii="Arial" w:hAnsi="Arial" w:cs="Arial"/>
          <w:noProof/>
          <w:sz w:val="24"/>
          <w:szCs w:val="24"/>
        </w:rPr>
        <w:t xml:space="preserve"> were then predicted</w:t>
      </w:r>
      <w:r w:rsidR="00A54D2B">
        <w:rPr>
          <w:rFonts w:ascii="Arial" w:hAnsi="Arial" w:cs="Arial"/>
          <w:noProof/>
          <w:sz w:val="24"/>
          <w:szCs w:val="24"/>
        </w:rPr>
        <w:t xml:space="preserve"> from the model</w:t>
      </w:r>
      <w:r w:rsidR="002A25E8" w:rsidRPr="00220858">
        <w:rPr>
          <w:rFonts w:ascii="Arial" w:hAnsi="Arial" w:cs="Arial"/>
          <w:noProof/>
          <w:sz w:val="24"/>
          <w:szCs w:val="24"/>
        </w:rPr>
        <w:t xml:space="preserve">. </w:t>
      </w:r>
    </w:p>
    <w:p w:rsidR="0036310B" w:rsidRPr="00220858" w:rsidRDefault="0036310B" w:rsidP="0036310B">
      <w:pPr>
        <w:pStyle w:val="Paragraphnonumbers"/>
      </w:pPr>
      <w:r w:rsidRPr="00220858">
        <w:t>The EAC version of the</w:t>
      </w:r>
      <w:r w:rsidR="00D2581F" w:rsidRPr="00220858">
        <w:t xml:space="preserve"> hospital</w:t>
      </w:r>
      <w:r w:rsidR="00A54D2B">
        <w:t xml:space="preserve"> model estimated</w:t>
      </w:r>
      <w:r w:rsidRPr="00220858">
        <w:t xml:space="preserve"> the base-case cost savings to be £595, as opposed to the sponsor’s estimate of £757. For the one way sensitivity analysis with a bed day costing £328 the costs saving </w:t>
      </w:r>
      <w:r w:rsidR="00A54D2B">
        <w:t>increased</w:t>
      </w:r>
      <w:r w:rsidR="00D2581F" w:rsidRPr="00220858">
        <w:t xml:space="preserve"> to</w:t>
      </w:r>
      <w:r w:rsidRPr="00220858">
        <w:t xml:space="preserve"> £863. The probabilistic sensitivity analysis suggested that in nearly 8 out of 10 occasions the use of Parafricta resulted in cost-savings.</w:t>
      </w:r>
    </w:p>
    <w:p w:rsidR="00960C92" w:rsidRPr="00A54D2B" w:rsidRDefault="00691737" w:rsidP="00A54D2B">
      <w:pPr>
        <w:pStyle w:val="Paragraphnonumbers"/>
      </w:pPr>
      <w:r w:rsidRPr="00220858">
        <w:t xml:space="preserve">The use of adjusted mean length of stay data fed into the community model, </w:t>
      </w:r>
      <w:r w:rsidR="0052102C">
        <w:t xml:space="preserve">to estimate </w:t>
      </w:r>
      <w:r w:rsidRPr="00220858">
        <w:t xml:space="preserve">a prevalence ratio. </w:t>
      </w:r>
      <w:r w:rsidR="00BD556B" w:rsidRPr="00220858">
        <w:t xml:space="preserve">Probabilistic </w:t>
      </w:r>
      <w:r w:rsidRPr="00220858">
        <w:t xml:space="preserve">analysis incorporating distributions around the time to develop a pressure ulcer and the length of stay was not possible because a negative value of the duration of ulcer could be encountered during distribution draws. An illustrative </w:t>
      </w:r>
      <w:r w:rsidR="00430A5C" w:rsidRPr="00220858">
        <w:t xml:space="preserve">deterministic </w:t>
      </w:r>
      <w:r w:rsidRPr="00220858">
        <w:t>sensitivity analysis</w:t>
      </w:r>
      <w:r w:rsidR="00430A5C" w:rsidRPr="00220858">
        <w:t xml:space="preserve"> using</w:t>
      </w:r>
      <w:r w:rsidRPr="00220858">
        <w:t xml:space="preserve"> upper and lower </w:t>
      </w:r>
      <w:r w:rsidR="00D85009" w:rsidRPr="00220858">
        <w:t xml:space="preserve">95% </w:t>
      </w:r>
      <w:r w:rsidRPr="00220858">
        <w:t xml:space="preserve">limits </w:t>
      </w:r>
      <w:r w:rsidR="00430A5C" w:rsidRPr="00220858">
        <w:t xml:space="preserve">of length of stay was </w:t>
      </w:r>
      <w:r w:rsidR="00E53C95" w:rsidRPr="00220858">
        <w:t>performed</w:t>
      </w:r>
      <w:r w:rsidRPr="00220858">
        <w:t xml:space="preserve"> to re-estimate cost savings. </w:t>
      </w:r>
      <w:r w:rsidR="00E53C95" w:rsidRPr="00220858">
        <w:t>The EAC version estimated the cost savings in the community as £2,510</w:t>
      </w:r>
      <w:r w:rsidR="00D21156" w:rsidRPr="00220858">
        <w:t xml:space="preserve"> per annual prevalent</w:t>
      </w:r>
      <w:r w:rsidR="00E53C95" w:rsidRPr="00220858">
        <w:t xml:space="preserve"> case, as </w:t>
      </w:r>
      <w:r w:rsidR="00D21156" w:rsidRPr="00220858">
        <w:t>opposed to £3,455 per annual prevalent</w:t>
      </w:r>
      <w:r w:rsidR="00E53C95" w:rsidRPr="00220858">
        <w:t xml:space="preserve"> case. The dete</w:t>
      </w:r>
      <w:r w:rsidR="00D85009" w:rsidRPr="00220858">
        <w:t xml:space="preserve">rministic sensitivity analysis </w:t>
      </w:r>
      <w:r w:rsidR="00E53C95" w:rsidRPr="00220858">
        <w:t xml:space="preserve">suggested that the cost-savings could be between £2,295 and £2,799. </w:t>
      </w:r>
    </w:p>
    <w:p w:rsidR="00960C92" w:rsidRDefault="00960C92" w:rsidP="00960C92">
      <w:pPr>
        <w:pStyle w:val="Heading2"/>
        <w:ind w:left="720"/>
        <w:rPr>
          <w:rFonts w:ascii="Arial" w:hAnsi="Arial" w:cs="Arial"/>
        </w:rPr>
      </w:pPr>
      <w:r>
        <w:rPr>
          <w:rFonts w:ascii="Arial" w:hAnsi="Arial" w:cs="Arial"/>
        </w:rPr>
        <w:lastRenderedPageBreak/>
        <w:t>5. NICE guidance</w:t>
      </w:r>
    </w:p>
    <w:p w:rsidR="00960C92" w:rsidRDefault="00960C92" w:rsidP="00960C92">
      <w:pPr>
        <w:pStyle w:val="Heading3"/>
        <w:rPr>
          <w:rFonts w:ascii="Arial" w:hAnsi="Arial" w:cs="Arial"/>
        </w:rPr>
      </w:pPr>
      <w:r>
        <w:rPr>
          <w:rFonts w:ascii="Arial" w:hAnsi="Arial" w:cs="Arial"/>
        </w:rPr>
        <w:t>5.1 Preliminary guidance</w:t>
      </w:r>
    </w:p>
    <w:p w:rsidR="008311D3" w:rsidRDefault="0031678F" w:rsidP="00082DE1">
      <w:pPr>
        <w:rPr>
          <w:rFonts w:ascii="Arial" w:hAnsi="Arial" w:cs="Arial"/>
          <w:sz w:val="24"/>
          <w:szCs w:val="24"/>
        </w:rPr>
      </w:pPr>
      <w:r w:rsidRPr="00DA569E">
        <w:rPr>
          <w:rFonts w:ascii="Arial" w:hAnsi="Arial" w:cs="Arial"/>
          <w:sz w:val="24"/>
          <w:szCs w:val="24"/>
        </w:rPr>
        <w:t>The evidence submitted by the sponsor and the EAC’s critique of this evidence was presented to MTAC who provided draft recomm</w:t>
      </w:r>
      <w:r>
        <w:rPr>
          <w:rFonts w:ascii="Arial" w:hAnsi="Arial" w:cs="Arial"/>
          <w:sz w:val="24"/>
          <w:szCs w:val="24"/>
        </w:rPr>
        <w:t>endations relating to Parafric</w:t>
      </w:r>
      <w:r w:rsidR="0052102C">
        <w:rPr>
          <w:rFonts w:ascii="Arial" w:hAnsi="Arial" w:cs="Arial"/>
          <w:sz w:val="24"/>
          <w:szCs w:val="24"/>
        </w:rPr>
        <w:t>t</w:t>
      </w:r>
      <w:r>
        <w:rPr>
          <w:rFonts w:ascii="Arial" w:hAnsi="Arial" w:cs="Arial"/>
          <w:sz w:val="24"/>
          <w:szCs w:val="24"/>
        </w:rPr>
        <w:t>a Bootees and Undergarments</w:t>
      </w:r>
      <w:r w:rsidRPr="00DA569E">
        <w:rPr>
          <w:rFonts w:ascii="Arial" w:hAnsi="Arial" w:cs="Arial"/>
          <w:sz w:val="24"/>
          <w:szCs w:val="24"/>
        </w:rPr>
        <w:t xml:space="preserve"> followin</w:t>
      </w:r>
      <w:r>
        <w:rPr>
          <w:rFonts w:ascii="Arial" w:hAnsi="Arial" w:cs="Arial"/>
          <w:sz w:val="24"/>
          <w:szCs w:val="24"/>
        </w:rPr>
        <w:t>g their meeting in May 2014</w:t>
      </w:r>
      <w:r w:rsidRPr="00DA569E">
        <w:rPr>
          <w:rFonts w:ascii="Arial" w:hAnsi="Arial" w:cs="Arial"/>
          <w:sz w:val="24"/>
          <w:szCs w:val="24"/>
        </w:rPr>
        <w:t xml:space="preserve">.  These were: </w:t>
      </w:r>
    </w:p>
    <w:p w:rsidR="0031678F" w:rsidRPr="008311D3" w:rsidRDefault="0031678F" w:rsidP="008311D3">
      <w:pPr>
        <w:rPr>
          <w:rFonts w:ascii="Arial" w:hAnsi="Arial" w:cs="Arial"/>
          <w:sz w:val="24"/>
          <w:szCs w:val="24"/>
        </w:rPr>
      </w:pPr>
      <w:r w:rsidRPr="00DA569E">
        <w:rPr>
          <w:rFonts w:ascii="Arial" w:hAnsi="Arial" w:cs="Arial"/>
          <w:sz w:val="24"/>
          <w:szCs w:val="24"/>
        </w:rPr>
        <w:t>“</w:t>
      </w:r>
      <w:r w:rsidRPr="008311D3">
        <w:rPr>
          <w:rFonts w:ascii="Arial" w:hAnsi="Arial" w:cs="Arial"/>
          <w:sz w:val="24"/>
          <w:szCs w:val="24"/>
        </w:rPr>
        <w:t>1.1 Parafricta Bootees and Undergarments show potential to reduce the development and progression of skin damage caused by friction and shear in people with, or at risk of, pressure ulcers. However, more evidence for their effectiveness in clinical practice is needed to support the case for routine adoption of Parafricta Bootees and Undergarments in the NHS.</w:t>
      </w:r>
    </w:p>
    <w:p w:rsidR="0031678F" w:rsidRPr="008311D3" w:rsidRDefault="0031678F" w:rsidP="008311D3">
      <w:pPr>
        <w:rPr>
          <w:rFonts w:ascii="Arial" w:hAnsi="Arial" w:cs="Arial"/>
          <w:sz w:val="24"/>
          <w:szCs w:val="24"/>
        </w:rPr>
      </w:pPr>
      <w:r w:rsidRPr="008311D3">
        <w:rPr>
          <w:rFonts w:ascii="Arial" w:hAnsi="Arial" w:cs="Arial"/>
          <w:sz w:val="24"/>
          <w:szCs w:val="24"/>
        </w:rPr>
        <w:t>1.2 Research is recommended to address uncertainties about the claimed patient and system benefits of using Parafricta Bootees and Undergarments. This should take the form of comparative research against standard care, preferably carried out in secondary care for ease and speed of generating findings. The research should include development of criteria to recognise people who would most benefit from the technology in community and secondary care. NICE will explore the development of appropriate further evidence, in collaboration with the technology sponsor and with clinical and academic partners, and will review this guidance when substantive new evidence becomes available.”</w:t>
      </w:r>
    </w:p>
    <w:p w:rsidR="00960C92" w:rsidRDefault="00960C92" w:rsidP="00082DE1">
      <w:pPr>
        <w:rPr>
          <w:rFonts w:cs="Arial"/>
        </w:rPr>
      </w:pPr>
    </w:p>
    <w:p w:rsidR="0031678F" w:rsidRDefault="0031678F" w:rsidP="0031678F">
      <w:pPr>
        <w:pStyle w:val="Heading3"/>
        <w:rPr>
          <w:rFonts w:ascii="Arial" w:hAnsi="Arial" w:cs="Arial"/>
        </w:rPr>
      </w:pPr>
      <w:r>
        <w:rPr>
          <w:rFonts w:ascii="Arial" w:hAnsi="Arial" w:cs="Arial"/>
        </w:rPr>
        <w:t>5.2 Consultation response</w:t>
      </w:r>
    </w:p>
    <w:p w:rsidR="00824DF8" w:rsidRPr="003B374D" w:rsidRDefault="00363362" w:rsidP="00082DE1">
      <w:pPr>
        <w:rPr>
          <w:rFonts w:ascii="Arial" w:hAnsi="Arial" w:cs="Arial"/>
          <w:sz w:val="24"/>
          <w:szCs w:val="24"/>
        </w:rPr>
      </w:pPr>
      <w:r w:rsidRPr="003B374D">
        <w:rPr>
          <w:rFonts w:ascii="Arial" w:hAnsi="Arial" w:cs="Arial"/>
          <w:sz w:val="24"/>
          <w:szCs w:val="24"/>
        </w:rPr>
        <w:t xml:space="preserve">During the consultation period NICE received 19 consultation comments from 4 consultees (3 NHS professionals and 1 manufacturer). The comments concerned </w:t>
      </w:r>
      <w:r w:rsidR="009377B6" w:rsidRPr="003B374D">
        <w:rPr>
          <w:rFonts w:ascii="Arial" w:hAnsi="Arial" w:cs="Arial"/>
          <w:sz w:val="24"/>
          <w:szCs w:val="24"/>
        </w:rPr>
        <w:t>further academic in confidence data and requests to focus the recommendations on the effect of Parafricta Bootees on skin breakdown of the heel in adults only. The Committee considered the further academic in confidence data and the suggested focus on the effect of the Bootees only. The Committee judged significant uncertainties in the evidence base remained and could not recommend routine adoption of Parafricta in the NHS</w:t>
      </w:r>
      <w:r w:rsidRPr="003B374D">
        <w:rPr>
          <w:rFonts w:ascii="Arial" w:hAnsi="Arial" w:cs="Arial"/>
          <w:sz w:val="24"/>
          <w:szCs w:val="24"/>
        </w:rPr>
        <w:t xml:space="preserve">. There were therefore few changes made </w:t>
      </w:r>
      <w:r w:rsidR="009377B6" w:rsidRPr="003B374D">
        <w:rPr>
          <w:rFonts w:ascii="Arial" w:hAnsi="Arial" w:cs="Arial"/>
          <w:sz w:val="24"/>
          <w:szCs w:val="24"/>
        </w:rPr>
        <w:t>before publication</w:t>
      </w:r>
      <w:r w:rsidRPr="003B374D">
        <w:rPr>
          <w:rFonts w:ascii="Arial" w:hAnsi="Arial" w:cs="Arial"/>
          <w:sz w:val="24"/>
          <w:szCs w:val="24"/>
        </w:rPr>
        <w:t xml:space="preserve"> of </w:t>
      </w:r>
      <w:r w:rsidR="009377B6" w:rsidRPr="003B374D">
        <w:rPr>
          <w:rFonts w:ascii="Arial" w:hAnsi="Arial" w:cs="Arial"/>
          <w:sz w:val="24"/>
          <w:szCs w:val="24"/>
        </w:rPr>
        <w:t>the final NICE guidance</w:t>
      </w:r>
      <w:r w:rsidRPr="003B374D">
        <w:rPr>
          <w:rFonts w:ascii="Arial" w:hAnsi="Arial" w:cs="Arial"/>
          <w:sz w:val="24"/>
          <w:szCs w:val="24"/>
        </w:rPr>
        <w:t>.</w:t>
      </w:r>
    </w:p>
    <w:p w:rsidR="00363362" w:rsidRDefault="00363362" w:rsidP="00082DE1">
      <w:pPr>
        <w:rPr>
          <w:rFonts w:cs="Arial"/>
        </w:rPr>
      </w:pPr>
    </w:p>
    <w:p w:rsidR="0031678F" w:rsidRDefault="0031678F" w:rsidP="0031678F">
      <w:pPr>
        <w:pStyle w:val="Heading2"/>
        <w:ind w:left="720"/>
        <w:rPr>
          <w:rFonts w:ascii="Arial" w:hAnsi="Arial" w:cs="Arial"/>
        </w:rPr>
      </w:pPr>
      <w:r>
        <w:rPr>
          <w:rFonts w:ascii="Arial" w:hAnsi="Arial" w:cs="Arial"/>
        </w:rPr>
        <w:lastRenderedPageBreak/>
        <w:t>6. Key challenges and learning points</w:t>
      </w:r>
    </w:p>
    <w:p w:rsidR="00824DF8" w:rsidRPr="008311D3" w:rsidRDefault="00220017">
      <w:pPr>
        <w:rPr>
          <w:rFonts w:ascii="Arial" w:hAnsi="Arial" w:cs="Arial"/>
          <w:sz w:val="24"/>
          <w:szCs w:val="24"/>
        </w:rPr>
      </w:pPr>
      <w:r w:rsidRPr="008311D3">
        <w:rPr>
          <w:rFonts w:ascii="Arial" w:hAnsi="Arial" w:cs="Arial"/>
          <w:sz w:val="24"/>
          <w:szCs w:val="24"/>
        </w:rPr>
        <w:t>Key Challenges:</w:t>
      </w:r>
    </w:p>
    <w:p w:rsidR="00220017" w:rsidRPr="008311D3" w:rsidRDefault="00DC57AF" w:rsidP="008311D3">
      <w:pPr>
        <w:pStyle w:val="ListParagraph"/>
        <w:numPr>
          <w:ilvl w:val="0"/>
          <w:numId w:val="11"/>
        </w:numPr>
        <w:rPr>
          <w:rFonts w:ascii="Arial" w:hAnsi="Arial" w:cs="Arial"/>
          <w:sz w:val="24"/>
          <w:szCs w:val="24"/>
        </w:rPr>
      </w:pPr>
      <w:r w:rsidRPr="008311D3">
        <w:rPr>
          <w:rFonts w:ascii="Arial" w:hAnsi="Arial" w:cs="Arial"/>
          <w:sz w:val="24"/>
          <w:szCs w:val="24"/>
        </w:rPr>
        <w:t>The lack</w:t>
      </w:r>
      <w:r w:rsidR="00824DF8" w:rsidRPr="008311D3">
        <w:rPr>
          <w:rFonts w:ascii="Arial" w:hAnsi="Arial" w:cs="Arial"/>
          <w:sz w:val="24"/>
          <w:szCs w:val="24"/>
        </w:rPr>
        <w:t xml:space="preserve"> of </w:t>
      </w:r>
      <w:r w:rsidR="00220017" w:rsidRPr="008311D3">
        <w:rPr>
          <w:rFonts w:ascii="Arial" w:hAnsi="Arial" w:cs="Arial"/>
          <w:sz w:val="24"/>
          <w:szCs w:val="24"/>
        </w:rPr>
        <w:t>good quality</w:t>
      </w:r>
      <w:r w:rsidR="00824DF8" w:rsidRPr="008311D3">
        <w:rPr>
          <w:rFonts w:ascii="Arial" w:hAnsi="Arial" w:cs="Arial"/>
          <w:sz w:val="24"/>
          <w:szCs w:val="24"/>
        </w:rPr>
        <w:t xml:space="preserve"> comparative </w:t>
      </w:r>
      <w:r w:rsidR="00220017" w:rsidRPr="008311D3">
        <w:rPr>
          <w:rFonts w:ascii="Arial" w:hAnsi="Arial" w:cs="Arial"/>
          <w:sz w:val="24"/>
          <w:szCs w:val="24"/>
        </w:rPr>
        <w:t xml:space="preserve">studies </w:t>
      </w:r>
      <w:r w:rsidR="00A54D2B" w:rsidRPr="008311D3">
        <w:rPr>
          <w:rFonts w:ascii="Arial" w:hAnsi="Arial" w:cs="Arial"/>
          <w:sz w:val="24"/>
          <w:szCs w:val="24"/>
        </w:rPr>
        <w:t>reduced</w:t>
      </w:r>
      <w:r w:rsidR="00220017" w:rsidRPr="008311D3">
        <w:rPr>
          <w:rFonts w:ascii="Arial" w:hAnsi="Arial" w:cs="Arial"/>
          <w:sz w:val="24"/>
          <w:szCs w:val="24"/>
        </w:rPr>
        <w:t xml:space="preserve"> the scope for a robust economic analysi</w:t>
      </w:r>
      <w:r w:rsidR="00824DF8" w:rsidRPr="008311D3">
        <w:rPr>
          <w:rFonts w:ascii="Arial" w:hAnsi="Arial" w:cs="Arial"/>
          <w:sz w:val="24"/>
          <w:szCs w:val="24"/>
        </w:rPr>
        <w:t>s</w:t>
      </w:r>
    </w:p>
    <w:p w:rsidR="00220017" w:rsidRPr="008311D3" w:rsidRDefault="00220017" w:rsidP="008311D3">
      <w:pPr>
        <w:pStyle w:val="ListParagraph"/>
        <w:numPr>
          <w:ilvl w:val="0"/>
          <w:numId w:val="11"/>
        </w:numPr>
        <w:rPr>
          <w:rFonts w:ascii="Arial" w:hAnsi="Arial" w:cs="Arial"/>
          <w:sz w:val="24"/>
          <w:szCs w:val="24"/>
        </w:rPr>
      </w:pPr>
      <w:r w:rsidRPr="008311D3">
        <w:rPr>
          <w:rFonts w:ascii="Arial" w:hAnsi="Arial" w:cs="Arial"/>
          <w:sz w:val="24"/>
          <w:szCs w:val="24"/>
        </w:rPr>
        <w:t>Ambiguity in the presentation of sponsor’s submission posed challenges in understanding some</w:t>
      </w:r>
      <w:r w:rsidR="008311D3" w:rsidRPr="008311D3">
        <w:rPr>
          <w:rFonts w:ascii="Arial" w:hAnsi="Arial" w:cs="Arial"/>
          <w:sz w:val="24"/>
          <w:szCs w:val="24"/>
        </w:rPr>
        <w:t xml:space="preserve"> of the</w:t>
      </w:r>
      <w:r w:rsidRPr="008311D3">
        <w:rPr>
          <w:rFonts w:ascii="Arial" w:hAnsi="Arial" w:cs="Arial"/>
          <w:sz w:val="24"/>
          <w:szCs w:val="24"/>
        </w:rPr>
        <w:t xml:space="preserve"> basic ideas</w:t>
      </w:r>
      <w:r w:rsidR="00A54D2B" w:rsidRPr="008311D3">
        <w:rPr>
          <w:rFonts w:ascii="Arial" w:hAnsi="Arial" w:cs="Arial"/>
          <w:sz w:val="24"/>
          <w:szCs w:val="24"/>
        </w:rPr>
        <w:t xml:space="preserve"> and </w:t>
      </w:r>
      <w:r w:rsidRPr="008311D3">
        <w:rPr>
          <w:rFonts w:ascii="Arial" w:hAnsi="Arial" w:cs="Arial"/>
          <w:sz w:val="24"/>
          <w:szCs w:val="24"/>
        </w:rPr>
        <w:t>facts</w:t>
      </w:r>
      <w:r w:rsidR="008311D3" w:rsidRPr="008311D3">
        <w:rPr>
          <w:rFonts w:ascii="Arial" w:hAnsi="Arial" w:cs="Arial"/>
          <w:sz w:val="24"/>
          <w:szCs w:val="24"/>
        </w:rPr>
        <w:t xml:space="preserve"> used to describe the cost model and its inputs</w:t>
      </w:r>
    </w:p>
    <w:p w:rsidR="00220017" w:rsidRPr="008311D3" w:rsidRDefault="00220017" w:rsidP="00220017">
      <w:pPr>
        <w:rPr>
          <w:rFonts w:ascii="Arial" w:hAnsi="Arial" w:cs="Arial"/>
          <w:sz w:val="24"/>
          <w:szCs w:val="24"/>
        </w:rPr>
      </w:pPr>
      <w:r w:rsidRPr="008311D3">
        <w:rPr>
          <w:rFonts w:ascii="Arial" w:hAnsi="Arial" w:cs="Arial"/>
          <w:sz w:val="24"/>
          <w:szCs w:val="24"/>
        </w:rPr>
        <w:t>Learning points:</w:t>
      </w:r>
    </w:p>
    <w:p w:rsidR="00220017" w:rsidRPr="008311D3" w:rsidRDefault="00220017" w:rsidP="008311D3">
      <w:pPr>
        <w:pStyle w:val="ListParagraph"/>
        <w:numPr>
          <w:ilvl w:val="0"/>
          <w:numId w:val="12"/>
        </w:numPr>
        <w:rPr>
          <w:rFonts w:ascii="Arial" w:hAnsi="Arial" w:cs="Arial"/>
          <w:sz w:val="24"/>
          <w:szCs w:val="24"/>
        </w:rPr>
      </w:pPr>
      <w:r w:rsidRPr="008311D3">
        <w:rPr>
          <w:rFonts w:ascii="Arial" w:hAnsi="Arial" w:cs="Arial"/>
          <w:sz w:val="24"/>
          <w:szCs w:val="24"/>
        </w:rPr>
        <w:t xml:space="preserve">Future studies should collect </w:t>
      </w:r>
      <w:r w:rsidR="00DC57AF" w:rsidRPr="008311D3">
        <w:rPr>
          <w:rFonts w:ascii="Arial" w:hAnsi="Arial" w:cs="Arial"/>
          <w:sz w:val="24"/>
          <w:szCs w:val="24"/>
        </w:rPr>
        <w:t xml:space="preserve">and </w:t>
      </w:r>
      <w:r w:rsidR="00ED6FB2" w:rsidRPr="008311D3">
        <w:rPr>
          <w:rFonts w:ascii="Arial" w:hAnsi="Arial" w:cs="Arial"/>
          <w:sz w:val="24"/>
          <w:szCs w:val="24"/>
        </w:rPr>
        <w:t xml:space="preserve">record detailed </w:t>
      </w:r>
      <w:r w:rsidRPr="008311D3">
        <w:rPr>
          <w:rFonts w:ascii="Arial" w:hAnsi="Arial" w:cs="Arial"/>
          <w:sz w:val="24"/>
          <w:szCs w:val="24"/>
        </w:rPr>
        <w:t xml:space="preserve">data on </w:t>
      </w:r>
      <w:r w:rsidR="00ED6FB2" w:rsidRPr="008311D3">
        <w:rPr>
          <w:rFonts w:ascii="Arial" w:hAnsi="Arial" w:cs="Arial"/>
          <w:sz w:val="24"/>
          <w:szCs w:val="24"/>
        </w:rPr>
        <w:t xml:space="preserve">potential </w:t>
      </w:r>
      <w:r w:rsidRPr="008311D3">
        <w:rPr>
          <w:rFonts w:ascii="Arial" w:hAnsi="Arial" w:cs="Arial"/>
          <w:sz w:val="24"/>
          <w:szCs w:val="24"/>
        </w:rPr>
        <w:t>confound</w:t>
      </w:r>
      <w:r w:rsidR="00ED6FB2" w:rsidRPr="008311D3">
        <w:rPr>
          <w:rFonts w:ascii="Arial" w:hAnsi="Arial" w:cs="Arial"/>
          <w:sz w:val="24"/>
          <w:szCs w:val="24"/>
        </w:rPr>
        <w:t>in</w:t>
      </w:r>
      <w:r w:rsidR="00DC57AF" w:rsidRPr="008311D3">
        <w:rPr>
          <w:rFonts w:ascii="Arial" w:hAnsi="Arial" w:cs="Arial"/>
          <w:sz w:val="24"/>
          <w:szCs w:val="24"/>
        </w:rPr>
        <w:t>g</w:t>
      </w:r>
      <w:r w:rsidR="00ED6FB2" w:rsidRPr="008311D3">
        <w:rPr>
          <w:rFonts w:ascii="Arial" w:hAnsi="Arial" w:cs="Arial"/>
          <w:sz w:val="24"/>
          <w:szCs w:val="24"/>
        </w:rPr>
        <w:t xml:space="preserve"> variables</w:t>
      </w:r>
    </w:p>
    <w:p w:rsidR="0031678F" w:rsidRPr="008311D3" w:rsidRDefault="00220017" w:rsidP="008311D3">
      <w:pPr>
        <w:pStyle w:val="ListParagraph"/>
        <w:numPr>
          <w:ilvl w:val="0"/>
          <w:numId w:val="12"/>
        </w:numPr>
        <w:rPr>
          <w:rFonts w:ascii="Arial" w:hAnsi="Arial" w:cs="Arial"/>
          <w:sz w:val="24"/>
          <w:szCs w:val="24"/>
        </w:rPr>
      </w:pPr>
      <w:r w:rsidRPr="008311D3">
        <w:rPr>
          <w:rFonts w:ascii="Arial" w:hAnsi="Arial" w:cs="Arial"/>
          <w:sz w:val="24"/>
          <w:szCs w:val="24"/>
        </w:rPr>
        <w:t xml:space="preserve">Future submissions should, where possible, provide the raw data on which the economic model is based, as having raw data in this appraisal was </w:t>
      </w:r>
      <w:r w:rsidR="00ED6FB2" w:rsidRPr="008311D3">
        <w:rPr>
          <w:rFonts w:ascii="Arial" w:hAnsi="Arial" w:cs="Arial"/>
          <w:sz w:val="24"/>
          <w:szCs w:val="24"/>
        </w:rPr>
        <w:t xml:space="preserve">very </w:t>
      </w:r>
      <w:r w:rsidRPr="008311D3">
        <w:rPr>
          <w:rFonts w:ascii="Arial" w:hAnsi="Arial" w:cs="Arial"/>
          <w:sz w:val="24"/>
          <w:szCs w:val="24"/>
        </w:rPr>
        <w:t xml:space="preserve">helpful to test the underlying assumptions and validity of the model  </w:t>
      </w:r>
    </w:p>
    <w:p w:rsidR="00A54D2B" w:rsidRPr="00A54D2B" w:rsidRDefault="00A54D2B" w:rsidP="00A54D2B">
      <w:pPr>
        <w:pStyle w:val="ListParagraph"/>
        <w:rPr>
          <w:rFonts w:cs="Arial"/>
        </w:rPr>
      </w:pPr>
    </w:p>
    <w:p w:rsidR="00555BE9" w:rsidRDefault="00555BE9" w:rsidP="00082DE1">
      <w:pPr>
        <w:rPr>
          <w:rFonts w:cs="Arial"/>
        </w:rPr>
        <w:sectPr w:rsidR="00555BE9" w:rsidSect="00BF50F7">
          <w:footerReference w:type="default" r:id="rId8"/>
          <w:endnotePr>
            <w:numFmt w:val="decimal"/>
          </w:endnotePr>
          <w:type w:val="continuous"/>
          <w:pgSz w:w="11906" w:h="16838"/>
          <w:pgMar w:top="1440" w:right="1440" w:bottom="1440" w:left="1440" w:header="708" w:footer="708" w:gutter="0"/>
          <w:cols w:space="708"/>
          <w:docGrid w:linePitch="360"/>
        </w:sectPr>
      </w:pPr>
    </w:p>
    <w:p w:rsidR="0031678F" w:rsidRPr="0031678F" w:rsidRDefault="0031678F" w:rsidP="00082DE1">
      <w:pPr>
        <w:rPr>
          <w:rFonts w:cs="Arial"/>
          <w:b/>
        </w:rPr>
      </w:pPr>
      <w:r w:rsidRPr="0031678F">
        <w:rPr>
          <w:rFonts w:cs="Arial"/>
          <w:b/>
        </w:rPr>
        <w:lastRenderedPageBreak/>
        <w:t>Tables</w:t>
      </w:r>
      <w:r w:rsidR="000320CD">
        <w:rPr>
          <w:rFonts w:cs="Arial"/>
          <w:b/>
        </w:rPr>
        <w:t xml:space="preserve"> and figures</w:t>
      </w:r>
      <w:r w:rsidRPr="0031678F">
        <w:rPr>
          <w:rFonts w:cs="Arial"/>
          <w:b/>
        </w:rPr>
        <w:t>:</w:t>
      </w:r>
    </w:p>
    <w:p w:rsidR="00555BE9" w:rsidRPr="004914F2" w:rsidRDefault="00555BE9" w:rsidP="00555BE9">
      <w:pPr>
        <w:pStyle w:val="Caption"/>
        <w:keepNext/>
      </w:pPr>
      <w:bookmarkStart w:id="1" w:name="_Ref380592750"/>
      <w:r w:rsidRPr="004914F2">
        <w:t xml:space="preserve">Table </w:t>
      </w:r>
      <w:r w:rsidR="00610498">
        <w:fldChar w:fldCharType="begin"/>
      </w:r>
      <w:r w:rsidR="00610498">
        <w:instrText xml:space="preserve"> SEQ Table \* ARABIC </w:instrText>
      </w:r>
      <w:r w:rsidR="00610498">
        <w:fldChar w:fldCharType="separate"/>
      </w:r>
      <w:r w:rsidR="00363362">
        <w:rPr>
          <w:noProof/>
        </w:rPr>
        <w:t>1</w:t>
      </w:r>
      <w:r w:rsidR="00610498">
        <w:rPr>
          <w:noProof/>
        </w:rPr>
        <w:fldChar w:fldCharType="end"/>
      </w:r>
      <w:bookmarkEnd w:id="1"/>
      <w:r w:rsidRPr="004914F2">
        <w:t>. Comparative studies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978"/>
        <w:gridCol w:w="1701"/>
        <w:gridCol w:w="1701"/>
        <w:gridCol w:w="3402"/>
        <w:gridCol w:w="3008"/>
      </w:tblGrid>
      <w:tr w:rsidR="00555BE9" w:rsidRPr="004914F2" w:rsidTr="00472E5B">
        <w:trPr>
          <w:cantSplit/>
          <w:tblHeader/>
        </w:trPr>
        <w:tc>
          <w:tcPr>
            <w:tcW w:w="488" w:type="pct"/>
            <w:shd w:val="clear" w:color="auto" w:fill="auto"/>
          </w:tcPr>
          <w:p w:rsidR="00555BE9" w:rsidRPr="004914F2" w:rsidRDefault="00555BE9" w:rsidP="00472E5B">
            <w:pPr>
              <w:pStyle w:val="Tabletitle"/>
              <w:rPr>
                <w:bCs/>
                <w:sz w:val="22"/>
              </w:rPr>
            </w:pPr>
            <w:r w:rsidRPr="004914F2">
              <w:rPr>
                <w:bCs/>
                <w:sz w:val="22"/>
              </w:rPr>
              <w:t>Primary study (acronym)</w:t>
            </w:r>
          </w:p>
        </w:tc>
        <w:tc>
          <w:tcPr>
            <w:tcW w:w="1050" w:type="pct"/>
            <w:shd w:val="clear" w:color="auto" w:fill="auto"/>
          </w:tcPr>
          <w:p w:rsidR="00555BE9" w:rsidRPr="004914F2" w:rsidRDefault="00555BE9" w:rsidP="00472E5B">
            <w:pPr>
              <w:pStyle w:val="Tabletitle"/>
              <w:rPr>
                <w:bCs/>
                <w:sz w:val="22"/>
              </w:rPr>
            </w:pPr>
            <w:r w:rsidRPr="004914F2">
              <w:rPr>
                <w:bCs/>
                <w:sz w:val="22"/>
              </w:rPr>
              <w:t>Population</w:t>
            </w:r>
          </w:p>
        </w:tc>
        <w:tc>
          <w:tcPr>
            <w:tcW w:w="600" w:type="pct"/>
            <w:shd w:val="clear" w:color="auto" w:fill="auto"/>
          </w:tcPr>
          <w:p w:rsidR="00555BE9" w:rsidRPr="004914F2" w:rsidRDefault="00555BE9" w:rsidP="00472E5B">
            <w:pPr>
              <w:pStyle w:val="Tabletitle"/>
              <w:rPr>
                <w:bCs/>
                <w:sz w:val="22"/>
              </w:rPr>
            </w:pPr>
            <w:r w:rsidRPr="004914F2">
              <w:rPr>
                <w:bCs/>
                <w:sz w:val="22"/>
              </w:rPr>
              <w:t>Intervention</w:t>
            </w:r>
          </w:p>
        </w:tc>
        <w:tc>
          <w:tcPr>
            <w:tcW w:w="600" w:type="pct"/>
          </w:tcPr>
          <w:p w:rsidR="00555BE9" w:rsidRPr="004914F2" w:rsidRDefault="00555BE9" w:rsidP="00472E5B">
            <w:pPr>
              <w:pStyle w:val="Tabletitle"/>
              <w:rPr>
                <w:bCs/>
                <w:sz w:val="22"/>
              </w:rPr>
            </w:pPr>
            <w:r w:rsidRPr="004914F2">
              <w:rPr>
                <w:bCs/>
                <w:sz w:val="22"/>
              </w:rPr>
              <w:t>Comparator</w:t>
            </w:r>
          </w:p>
        </w:tc>
        <w:tc>
          <w:tcPr>
            <w:tcW w:w="1200" w:type="pct"/>
          </w:tcPr>
          <w:p w:rsidR="00555BE9" w:rsidRPr="004914F2" w:rsidRDefault="00555BE9" w:rsidP="00472E5B">
            <w:pPr>
              <w:pStyle w:val="Tabletitle"/>
              <w:rPr>
                <w:bCs/>
                <w:sz w:val="22"/>
              </w:rPr>
            </w:pPr>
            <w:r w:rsidRPr="004914F2">
              <w:rPr>
                <w:bCs/>
                <w:sz w:val="22"/>
              </w:rPr>
              <w:t>Outcomes measured and their results</w:t>
            </w:r>
          </w:p>
        </w:tc>
        <w:tc>
          <w:tcPr>
            <w:tcW w:w="1061" w:type="pct"/>
          </w:tcPr>
          <w:p w:rsidR="00555BE9" w:rsidRPr="004914F2" w:rsidRDefault="00555BE9" w:rsidP="00472E5B">
            <w:pPr>
              <w:pStyle w:val="Tabletitle"/>
              <w:rPr>
                <w:bCs/>
                <w:sz w:val="22"/>
              </w:rPr>
            </w:pPr>
            <w:r w:rsidRPr="004914F2">
              <w:rPr>
                <w:bCs/>
                <w:sz w:val="22"/>
              </w:rPr>
              <w:t xml:space="preserve">Comment </w:t>
            </w:r>
          </w:p>
        </w:tc>
      </w:tr>
      <w:tr w:rsidR="00555BE9" w:rsidRPr="004914F2" w:rsidTr="00472E5B">
        <w:trPr>
          <w:cantSplit/>
        </w:trPr>
        <w:tc>
          <w:tcPr>
            <w:tcW w:w="488"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Hamp</w:t>
            </w:r>
            <w:r w:rsidRPr="004914F2">
              <w:rPr>
                <w:rFonts w:ascii="Arial" w:eastAsia="Arial" w:hAnsi="Arial" w:cs="Arial"/>
                <w:spacing w:val="2"/>
                <w:sz w:val="20"/>
                <w:szCs w:val="20"/>
              </w:rPr>
              <w:t>t</w:t>
            </w:r>
            <w:r w:rsidRPr="004914F2">
              <w:rPr>
                <w:rFonts w:ascii="Arial" w:eastAsia="Arial" w:hAnsi="Arial" w:cs="Arial"/>
                <w:sz w:val="20"/>
                <w:szCs w:val="20"/>
              </w:rPr>
              <w:t xml:space="preserve">on S (2009)- </w:t>
            </w:r>
          </w:p>
          <w:p w:rsidR="00555BE9" w:rsidRPr="004914F2" w:rsidRDefault="00555BE9" w:rsidP="00472E5B">
            <w:pPr>
              <w:pStyle w:val="Tabletext"/>
              <w:rPr>
                <w:sz w:val="20"/>
                <w:szCs w:val="20"/>
              </w:rPr>
            </w:pPr>
            <w:r w:rsidRPr="004914F2">
              <w:rPr>
                <w:sz w:val="20"/>
                <w:szCs w:val="20"/>
              </w:rPr>
              <w:t>(JCN2009)</w:t>
            </w:r>
          </w:p>
        </w:tc>
        <w:tc>
          <w:tcPr>
            <w:tcW w:w="1050" w:type="pct"/>
            <w:shd w:val="clear" w:color="auto" w:fill="auto"/>
          </w:tcPr>
          <w:p w:rsidR="00555BE9" w:rsidRPr="004914F2" w:rsidRDefault="00555BE9" w:rsidP="00472E5B">
            <w:pPr>
              <w:pStyle w:val="Tabletext"/>
              <w:rPr>
                <w:sz w:val="20"/>
                <w:szCs w:val="20"/>
              </w:rPr>
            </w:pPr>
            <w:r w:rsidRPr="004914F2">
              <w:rPr>
                <w:sz w:val="20"/>
                <w:szCs w:val="20"/>
              </w:rPr>
              <w:t>Case series of 25 nursing home residents with grade 2-3 pressure ulcers on one or more heels (10 patients) or the sacral area (18 patients). All patients had appropriate pressure ulcer equipment for at least 2 weeks prior to the study start. No information on ages, medical conditions or durations of pressure ulcers.</w:t>
            </w:r>
          </w:p>
        </w:tc>
        <w:tc>
          <w:tcPr>
            <w:tcW w:w="600" w:type="pct"/>
            <w:shd w:val="clear" w:color="auto" w:fill="auto"/>
          </w:tcPr>
          <w:p w:rsidR="00555BE9" w:rsidRPr="004914F2" w:rsidRDefault="00555BE9" w:rsidP="00472E5B">
            <w:pPr>
              <w:pStyle w:val="Tabletext"/>
              <w:rPr>
                <w:sz w:val="20"/>
                <w:szCs w:val="20"/>
              </w:rPr>
            </w:pPr>
            <w:r w:rsidRPr="004914F2">
              <w:rPr>
                <w:sz w:val="20"/>
                <w:szCs w:val="20"/>
              </w:rPr>
              <w:t>Single Parafricta Bootee on right heel, or undergarment according to damage location</w:t>
            </w:r>
          </w:p>
          <w:p w:rsidR="00555BE9" w:rsidRPr="004914F2" w:rsidRDefault="00555BE9" w:rsidP="00472E5B">
            <w:pPr>
              <w:pStyle w:val="Tabletext"/>
              <w:rPr>
                <w:sz w:val="20"/>
                <w:szCs w:val="20"/>
              </w:rPr>
            </w:pPr>
            <w:r w:rsidRPr="004914F2">
              <w:rPr>
                <w:sz w:val="20"/>
                <w:szCs w:val="20"/>
              </w:rPr>
              <w:t xml:space="preserve">Duration 4 weeks but unclear whether this was for all patients. </w:t>
            </w:r>
          </w:p>
        </w:tc>
        <w:tc>
          <w:tcPr>
            <w:tcW w:w="600" w:type="pct"/>
          </w:tcPr>
          <w:p w:rsidR="00555BE9" w:rsidRPr="004914F2" w:rsidRDefault="00555BE9" w:rsidP="00472E5B">
            <w:pPr>
              <w:pStyle w:val="Tabletext"/>
              <w:rPr>
                <w:sz w:val="20"/>
                <w:szCs w:val="20"/>
              </w:rPr>
            </w:pPr>
            <w:r w:rsidRPr="004914F2">
              <w:rPr>
                <w:sz w:val="20"/>
                <w:szCs w:val="20"/>
              </w:rPr>
              <w:t>For heel: comparator was patient’s untreated left heel.</w:t>
            </w:r>
          </w:p>
          <w:p w:rsidR="00555BE9" w:rsidRPr="004914F2" w:rsidRDefault="00555BE9" w:rsidP="00472E5B">
            <w:pPr>
              <w:pStyle w:val="Tabletext"/>
              <w:rPr>
                <w:sz w:val="20"/>
                <w:szCs w:val="20"/>
              </w:rPr>
            </w:pPr>
            <w:r w:rsidRPr="004914F2">
              <w:rPr>
                <w:sz w:val="20"/>
                <w:szCs w:val="20"/>
              </w:rPr>
              <w:t>For sacral ulcers – historical comparison only</w:t>
            </w:r>
          </w:p>
        </w:tc>
        <w:tc>
          <w:tcPr>
            <w:tcW w:w="1200" w:type="pct"/>
          </w:tcPr>
          <w:p w:rsidR="00555BE9" w:rsidRPr="004914F2" w:rsidRDefault="00555BE9" w:rsidP="00472E5B">
            <w:pPr>
              <w:pStyle w:val="Tabletext"/>
              <w:rPr>
                <w:sz w:val="20"/>
                <w:szCs w:val="20"/>
              </w:rPr>
            </w:pPr>
            <w:r w:rsidRPr="004914F2">
              <w:rPr>
                <w:sz w:val="20"/>
                <w:szCs w:val="20"/>
              </w:rPr>
              <w:t xml:space="preserve">Skin oedema and damage as assessed by: </w:t>
            </w:r>
          </w:p>
          <w:p w:rsidR="00555BE9" w:rsidRPr="004914F2" w:rsidRDefault="00555BE9" w:rsidP="00472E5B">
            <w:pPr>
              <w:pStyle w:val="Tabletext"/>
              <w:rPr>
                <w:sz w:val="20"/>
                <w:szCs w:val="20"/>
              </w:rPr>
            </w:pPr>
            <w:r w:rsidRPr="004914F2">
              <w:rPr>
                <w:sz w:val="20"/>
                <w:szCs w:val="20"/>
              </w:rPr>
              <w:t xml:space="preserve">1. Bogginess and redness of skin as assessed by tissue viability nurse </w:t>
            </w:r>
          </w:p>
          <w:p w:rsidR="00555BE9" w:rsidRPr="004914F2" w:rsidRDefault="00555BE9" w:rsidP="00472E5B">
            <w:pPr>
              <w:pStyle w:val="Tabletext"/>
              <w:rPr>
                <w:sz w:val="20"/>
                <w:szCs w:val="20"/>
              </w:rPr>
            </w:pPr>
            <w:r w:rsidRPr="004914F2">
              <w:rPr>
                <w:sz w:val="20"/>
                <w:szCs w:val="20"/>
              </w:rPr>
              <w:t>‘in 100% of the heel cases the ‘bogginess’ of the skin was reduced’ 2. Colour photographs</w:t>
            </w:r>
          </w:p>
          <w:p w:rsidR="00555BE9" w:rsidRPr="004914F2" w:rsidRDefault="00555BE9" w:rsidP="00472E5B">
            <w:pPr>
              <w:pStyle w:val="Tabletext"/>
              <w:rPr>
                <w:sz w:val="20"/>
                <w:szCs w:val="20"/>
              </w:rPr>
            </w:pPr>
            <w:r w:rsidRPr="004914F2">
              <w:rPr>
                <w:sz w:val="20"/>
                <w:szCs w:val="20"/>
              </w:rPr>
              <w:t>3. High frequency ultrasound graphs</w:t>
            </w:r>
          </w:p>
          <w:p w:rsidR="00555BE9" w:rsidRPr="004914F2" w:rsidRDefault="00555BE9" w:rsidP="00472E5B">
            <w:pPr>
              <w:pStyle w:val="Tabletext"/>
              <w:rPr>
                <w:sz w:val="20"/>
                <w:szCs w:val="20"/>
              </w:rPr>
            </w:pPr>
            <w:r w:rsidRPr="004914F2">
              <w:rPr>
                <w:sz w:val="20"/>
                <w:szCs w:val="20"/>
              </w:rPr>
              <w:t>These show an apparent improvement in the Parafricta Bootee’d heels compared to a control heel</w:t>
            </w:r>
          </w:p>
        </w:tc>
        <w:tc>
          <w:tcPr>
            <w:tcW w:w="1061" w:type="pct"/>
          </w:tcPr>
          <w:p w:rsidR="00555BE9" w:rsidRPr="004914F2" w:rsidRDefault="00555BE9" w:rsidP="00472E5B">
            <w:pPr>
              <w:pStyle w:val="Tabletext"/>
              <w:rPr>
                <w:sz w:val="20"/>
                <w:szCs w:val="20"/>
              </w:rPr>
            </w:pPr>
            <w:r w:rsidRPr="004914F2">
              <w:rPr>
                <w:sz w:val="20"/>
                <w:szCs w:val="20"/>
              </w:rPr>
              <w:t xml:space="preserve">Bogginess – subjective outcome. </w:t>
            </w:r>
          </w:p>
          <w:p w:rsidR="00555BE9" w:rsidRPr="004914F2" w:rsidRDefault="00555BE9" w:rsidP="00472E5B">
            <w:pPr>
              <w:pStyle w:val="Tabletext"/>
              <w:rPr>
                <w:sz w:val="20"/>
                <w:szCs w:val="20"/>
              </w:rPr>
            </w:pPr>
            <w:r w:rsidRPr="004914F2">
              <w:rPr>
                <w:sz w:val="20"/>
                <w:szCs w:val="20"/>
              </w:rPr>
              <w:t xml:space="preserve">Colour photograph results not presented as they were not always representative of nurse assessment of the skin. </w:t>
            </w:r>
          </w:p>
          <w:p w:rsidR="00555BE9" w:rsidRPr="004914F2" w:rsidRDefault="00555BE9" w:rsidP="00472E5B">
            <w:pPr>
              <w:pStyle w:val="Tabletext"/>
              <w:rPr>
                <w:sz w:val="20"/>
                <w:szCs w:val="20"/>
              </w:rPr>
            </w:pPr>
            <w:r w:rsidRPr="004914F2">
              <w:rPr>
                <w:sz w:val="20"/>
                <w:szCs w:val="20"/>
              </w:rPr>
              <w:t xml:space="preserve">Ultrasound – no independent validation presented, would need to link improvement curve shown in graphs presented to clinical improvement in the patient. Therefore graphs difficult to interpret clinically. </w:t>
            </w:r>
          </w:p>
        </w:tc>
      </w:tr>
      <w:tr w:rsidR="00555BE9" w:rsidRPr="004914F2" w:rsidTr="00472E5B">
        <w:trPr>
          <w:cantSplit/>
        </w:trPr>
        <w:tc>
          <w:tcPr>
            <w:tcW w:w="488" w:type="pct"/>
            <w:shd w:val="clear" w:color="auto" w:fill="auto"/>
          </w:tcPr>
          <w:p w:rsidR="00555BE9" w:rsidRPr="004914F2" w:rsidRDefault="00555BE9" w:rsidP="00472E5B">
            <w:pPr>
              <w:spacing w:before="58"/>
              <w:ind w:right="164"/>
              <w:rPr>
                <w:rFonts w:ascii="Arial" w:eastAsia="Arial" w:hAnsi="Arial" w:cs="Arial"/>
                <w:sz w:val="20"/>
                <w:szCs w:val="20"/>
              </w:rPr>
            </w:pPr>
            <w:r w:rsidRPr="004914F2">
              <w:rPr>
                <w:rFonts w:ascii="Arial" w:eastAsia="Arial" w:hAnsi="Arial" w:cs="Arial"/>
                <w:sz w:val="20"/>
                <w:szCs w:val="20"/>
              </w:rPr>
              <w:t>S</w:t>
            </w:r>
            <w:r w:rsidRPr="004914F2">
              <w:rPr>
                <w:rFonts w:ascii="Arial" w:eastAsia="Arial" w:hAnsi="Arial" w:cs="Arial"/>
                <w:spacing w:val="-2"/>
                <w:sz w:val="20"/>
                <w:szCs w:val="20"/>
              </w:rPr>
              <w:t>m</w:t>
            </w:r>
            <w:r w:rsidRPr="004914F2">
              <w:rPr>
                <w:rFonts w:ascii="Arial" w:eastAsia="Arial" w:hAnsi="Arial" w:cs="Arial"/>
                <w:sz w:val="20"/>
                <w:szCs w:val="20"/>
              </w:rPr>
              <w:t xml:space="preserve">ith </w:t>
            </w:r>
            <w:r w:rsidR="00A1003A">
              <w:rPr>
                <w:rFonts w:ascii="Arial" w:eastAsia="Arial" w:hAnsi="Arial" w:cs="Arial"/>
                <w:sz w:val="20"/>
                <w:szCs w:val="20"/>
              </w:rPr>
              <w:t xml:space="preserve">and Ingram </w:t>
            </w:r>
            <w:r w:rsidRPr="004914F2">
              <w:rPr>
                <w:rFonts w:ascii="Arial" w:eastAsia="Arial" w:hAnsi="Arial" w:cs="Arial"/>
                <w:sz w:val="20"/>
                <w:szCs w:val="20"/>
              </w:rPr>
              <w:t xml:space="preserve">(2010) - </w:t>
            </w:r>
          </w:p>
          <w:p w:rsidR="00555BE9" w:rsidRPr="004914F2" w:rsidRDefault="00555BE9" w:rsidP="00472E5B">
            <w:pPr>
              <w:pStyle w:val="Tabletext"/>
              <w:rPr>
                <w:sz w:val="20"/>
                <w:szCs w:val="20"/>
              </w:rPr>
            </w:pPr>
            <w:r w:rsidRPr="004914F2">
              <w:rPr>
                <w:sz w:val="20"/>
                <w:szCs w:val="20"/>
              </w:rPr>
              <w:t>(JWC2010)</w:t>
            </w:r>
          </w:p>
        </w:tc>
        <w:tc>
          <w:tcPr>
            <w:tcW w:w="1050" w:type="pct"/>
            <w:shd w:val="clear" w:color="auto" w:fill="auto"/>
          </w:tcPr>
          <w:p w:rsidR="00555BE9" w:rsidRPr="004914F2" w:rsidRDefault="00555BE9" w:rsidP="00472E5B">
            <w:pPr>
              <w:autoSpaceDE w:val="0"/>
              <w:autoSpaceDN w:val="0"/>
              <w:adjustRightInd w:val="0"/>
              <w:rPr>
                <w:rFonts w:ascii="Arial" w:eastAsia="GillSansStd" w:hAnsi="Arial" w:cs="Arial"/>
                <w:sz w:val="20"/>
                <w:szCs w:val="20"/>
              </w:rPr>
            </w:pPr>
            <w:r w:rsidRPr="004914F2">
              <w:rPr>
                <w:rFonts w:ascii="Arial" w:eastAsia="GillSansStd" w:hAnsi="Arial" w:cs="Arial"/>
                <w:sz w:val="20"/>
                <w:szCs w:val="20"/>
              </w:rPr>
              <w:t xml:space="preserve">Case series of 165 patients recruited in 3 months, compared with 204 historical controls (previous 3 months) of similar condition in same hospital wards (2 medical and 1 orthopaedic wards, UK hospital).  All patients were at high risk of pressure ulcers (Waterlow score of ≥15), some had pressure ulcers on admission and some did not. All were unable to reposition independently. </w:t>
            </w:r>
          </w:p>
        </w:tc>
        <w:tc>
          <w:tcPr>
            <w:tcW w:w="600" w:type="pct"/>
            <w:shd w:val="clear" w:color="auto" w:fill="auto"/>
          </w:tcPr>
          <w:p w:rsidR="00555BE9" w:rsidRPr="004914F2" w:rsidRDefault="00555BE9" w:rsidP="00472E5B">
            <w:pPr>
              <w:pStyle w:val="Tabletext"/>
              <w:rPr>
                <w:sz w:val="20"/>
              </w:rPr>
            </w:pPr>
            <w:r w:rsidRPr="004914F2">
              <w:rPr>
                <w:sz w:val="20"/>
              </w:rPr>
              <w:t xml:space="preserve">Cohort 2. Addition of Parafricta Bootee or/and Undergarment to standard pressure ulcer preventative measures.  </w:t>
            </w:r>
          </w:p>
        </w:tc>
        <w:tc>
          <w:tcPr>
            <w:tcW w:w="600" w:type="pct"/>
          </w:tcPr>
          <w:p w:rsidR="00555BE9" w:rsidRPr="004914F2" w:rsidRDefault="00555BE9" w:rsidP="00472E5B">
            <w:pPr>
              <w:pStyle w:val="Tabletext"/>
              <w:rPr>
                <w:sz w:val="20"/>
              </w:rPr>
            </w:pPr>
            <w:r w:rsidRPr="004914F2">
              <w:rPr>
                <w:sz w:val="20"/>
              </w:rPr>
              <w:t>Historical comparison Cohort 1: standard pressure ulcer preventative measures (without the addition of Parafricta Boote</w:t>
            </w:r>
            <w:r>
              <w:rPr>
                <w:sz w:val="20"/>
              </w:rPr>
              <w:t>es and U</w:t>
            </w:r>
            <w:r w:rsidRPr="004914F2">
              <w:rPr>
                <w:sz w:val="20"/>
              </w:rPr>
              <w:t>ndergarments)</w:t>
            </w:r>
          </w:p>
        </w:tc>
        <w:tc>
          <w:tcPr>
            <w:tcW w:w="1200" w:type="pct"/>
          </w:tcPr>
          <w:p w:rsidR="00555BE9" w:rsidRPr="004914F2" w:rsidRDefault="00555BE9" w:rsidP="00472E5B">
            <w:pPr>
              <w:pStyle w:val="Tabletext"/>
              <w:rPr>
                <w:sz w:val="20"/>
                <w:szCs w:val="20"/>
              </w:rPr>
            </w:pPr>
            <w:r w:rsidRPr="004914F2">
              <w:rPr>
                <w:sz w:val="20"/>
                <w:szCs w:val="20"/>
              </w:rPr>
              <w:t>For incidence of pressure ulcers and deterioration see separate table.</w:t>
            </w:r>
          </w:p>
          <w:p w:rsidR="00555BE9" w:rsidRPr="004914F2" w:rsidRDefault="00555BE9" w:rsidP="00472E5B">
            <w:pPr>
              <w:pStyle w:val="Tabletext"/>
              <w:rPr>
                <w:sz w:val="20"/>
                <w:szCs w:val="20"/>
              </w:rPr>
            </w:pPr>
            <w:r w:rsidRPr="004914F2">
              <w:rPr>
                <w:sz w:val="20"/>
                <w:szCs w:val="20"/>
              </w:rPr>
              <w:t>No statistically significant differences in length of stay between cohorts 1 and 2</w:t>
            </w:r>
          </w:p>
        </w:tc>
        <w:tc>
          <w:tcPr>
            <w:tcW w:w="1061" w:type="pct"/>
          </w:tcPr>
          <w:p w:rsidR="00555BE9" w:rsidRPr="004914F2" w:rsidRDefault="00555BE9" w:rsidP="00472E5B">
            <w:pPr>
              <w:pStyle w:val="Tabletext"/>
              <w:rPr>
                <w:sz w:val="20"/>
                <w:szCs w:val="20"/>
              </w:rPr>
            </w:pPr>
            <w:r w:rsidRPr="004914F2">
              <w:rPr>
                <w:sz w:val="20"/>
                <w:szCs w:val="20"/>
              </w:rPr>
              <w:t xml:space="preserve">If patients couldn’t reposition then movement would be limited so likely that pressure ulcers caused by pressure rather than friction. No numerical results of length of stay by cohort. No numbers of deaths in either cohort. No demographic characteristics in either cohort or combined. Cannot tell how similar the cohorts were. </w:t>
            </w:r>
          </w:p>
        </w:tc>
      </w:tr>
    </w:tbl>
    <w:p w:rsidR="00555BE9" w:rsidRPr="004914F2" w:rsidRDefault="00555BE9" w:rsidP="00555BE9">
      <w:pPr>
        <w:pStyle w:val="Paragraphnonumbers"/>
      </w:pPr>
    </w:p>
    <w:p w:rsidR="00555BE9" w:rsidRPr="004914F2" w:rsidRDefault="00555BE9" w:rsidP="00555BE9">
      <w:pPr>
        <w:pStyle w:val="Caption"/>
        <w:keepNext/>
      </w:pPr>
      <w:bookmarkStart w:id="2" w:name="_Ref382235465"/>
      <w:r w:rsidRPr="004914F2">
        <w:t xml:space="preserve">Table </w:t>
      </w:r>
      <w:r w:rsidR="00610498">
        <w:fldChar w:fldCharType="begin"/>
      </w:r>
      <w:r w:rsidR="00610498">
        <w:instrText xml:space="preserve"> SEQ Table \* ARABIC </w:instrText>
      </w:r>
      <w:r w:rsidR="00610498">
        <w:fldChar w:fldCharType="separate"/>
      </w:r>
      <w:r w:rsidR="00363362">
        <w:rPr>
          <w:noProof/>
        </w:rPr>
        <w:t>2</w:t>
      </w:r>
      <w:r w:rsidR="00610498">
        <w:rPr>
          <w:noProof/>
        </w:rPr>
        <w:fldChar w:fldCharType="end"/>
      </w:r>
      <w:bookmarkEnd w:id="2"/>
      <w:r w:rsidRPr="004914F2">
        <w:t xml:space="preserve">. Case studies or series with no comparative groups </w:t>
      </w:r>
      <w:r w:rsidR="001B6073">
        <w:t xml:space="preserve">fully </w:t>
      </w:r>
      <w:r w:rsidRPr="004914F2">
        <w:t>described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2693"/>
        <w:gridCol w:w="2126"/>
        <w:gridCol w:w="1559"/>
        <w:gridCol w:w="2696"/>
        <w:gridCol w:w="3433"/>
      </w:tblGrid>
      <w:tr w:rsidR="00555BE9" w:rsidRPr="004914F2" w:rsidTr="00472E5B">
        <w:trPr>
          <w:cantSplit/>
          <w:tblHeader/>
        </w:trPr>
        <w:tc>
          <w:tcPr>
            <w:tcW w:w="588" w:type="pct"/>
            <w:shd w:val="clear" w:color="auto" w:fill="auto"/>
          </w:tcPr>
          <w:p w:rsidR="00555BE9" w:rsidRPr="004914F2" w:rsidRDefault="00555BE9" w:rsidP="00472E5B">
            <w:pPr>
              <w:pStyle w:val="Tabletitle"/>
              <w:rPr>
                <w:bCs/>
                <w:sz w:val="22"/>
              </w:rPr>
            </w:pPr>
            <w:r w:rsidRPr="004914F2">
              <w:rPr>
                <w:bCs/>
                <w:sz w:val="22"/>
              </w:rPr>
              <w:t>Primary study (acronym)</w:t>
            </w:r>
          </w:p>
        </w:tc>
        <w:tc>
          <w:tcPr>
            <w:tcW w:w="950" w:type="pct"/>
            <w:shd w:val="clear" w:color="auto" w:fill="auto"/>
          </w:tcPr>
          <w:p w:rsidR="00555BE9" w:rsidRPr="004914F2" w:rsidRDefault="00555BE9" w:rsidP="00472E5B">
            <w:pPr>
              <w:pStyle w:val="Tabletitle"/>
              <w:rPr>
                <w:bCs/>
                <w:sz w:val="22"/>
              </w:rPr>
            </w:pPr>
            <w:r w:rsidRPr="004914F2">
              <w:rPr>
                <w:bCs/>
                <w:sz w:val="22"/>
              </w:rPr>
              <w:t>Population</w:t>
            </w:r>
          </w:p>
        </w:tc>
        <w:tc>
          <w:tcPr>
            <w:tcW w:w="750" w:type="pct"/>
            <w:shd w:val="clear" w:color="auto" w:fill="auto"/>
          </w:tcPr>
          <w:p w:rsidR="00555BE9" w:rsidRPr="004914F2" w:rsidRDefault="00555BE9" w:rsidP="00472E5B">
            <w:pPr>
              <w:pStyle w:val="Tabletitle"/>
              <w:rPr>
                <w:bCs/>
                <w:sz w:val="22"/>
              </w:rPr>
            </w:pPr>
            <w:r w:rsidRPr="004914F2">
              <w:rPr>
                <w:bCs/>
                <w:sz w:val="22"/>
              </w:rPr>
              <w:t>Intervention</w:t>
            </w:r>
          </w:p>
        </w:tc>
        <w:tc>
          <w:tcPr>
            <w:tcW w:w="550" w:type="pct"/>
          </w:tcPr>
          <w:p w:rsidR="00555BE9" w:rsidRPr="004914F2" w:rsidRDefault="00555BE9" w:rsidP="00472E5B">
            <w:pPr>
              <w:pStyle w:val="Tabletitle"/>
              <w:rPr>
                <w:bCs/>
                <w:sz w:val="22"/>
              </w:rPr>
            </w:pPr>
            <w:r w:rsidRPr="004914F2">
              <w:rPr>
                <w:bCs/>
                <w:sz w:val="22"/>
              </w:rPr>
              <w:t>Comparator</w:t>
            </w:r>
          </w:p>
        </w:tc>
        <w:tc>
          <w:tcPr>
            <w:tcW w:w="951" w:type="pct"/>
          </w:tcPr>
          <w:p w:rsidR="00555BE9" w:rsidRPr="004914F2" w:rsidRDefault="00555BE9" w:rsidP="00472E5B">
            <w:pPr>
              <w:pStyle w:val="Tabletitle"/>
              <w:rPr>
                <w:bCs/>
                <w:sz w:val="22"/>
              </w:rPr>
            </w:pPr>
            <w:r w:rsidRPr="004914F2">
              <w:rPr>
                <w:bCs/>
                <w:sz w:val="22"/>
              </w:rPr>
              <w:t>Outcomes measured and their results</w:t>
            </w:r>
          </w:p>
        </w:tc>
        <w:tc>
          <w:tcPr>
            <w:tcW w:w="1211" w:type="pct"/>
          </w:tcPr>
          <w:p w:rsidR="00555BE9" w:rsidRPr="004914F2" w:rsidRDefault="00555BE9" w:rsidP="00472E5B">
            <w:pPr>
              <w:pStyle w:val="Tabletitle"/>
              <w:rPr>
                <w:bCs/>
                <w:sz w:val="22"/>
              </w:rPr>
            </w:pPr>
            <w:r w:rsidRPr="004914F2">
              <w:rPr>
                <w:bCs/>
                <w:sz w:val="22"/>
              </w:rPr>
              <w:t xml:space="preserve">Comment </w:t>
            </w:r>
          </w:p>
        </w:tc>
      </w:tr>
      <w:tr w:rsidR="00555BE9" w:rsidRPr="004914F2" w:rsidTr="00472E5B">
        <w:trPr>
          <w:cantSplit/>
        </w:trPr>
        <w:tc>
          <w:tcPr>
            <w:tcW w:w="588"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Bree-Aslan (2008). </w:t>
            </w:r>
          </w:p>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(NRC3)</w:t>
            </w:r>
          </w:p>
        </w:tc>
        <w:tc>
          <w:tcPr>
            <w:tcW w:w="950"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Case study of one nursing home diabetic patient aged 85 with arterial and venous insufficiency and a Grade 4 heel pressure ulcer measuring 3.5x3.3cm, being nursed on a dynamic air </w:t>
            </w:r>
            <w:r w:rsidRPr="004914F2">
              <w:rPr>
                <w:rFonts w:ascii="Arial" w:eastAsia="Arial" w:hAnsi="Arial" w:cs="Arial"/>
                <w:sz w:val="20"/>
                <w:szCs w:val="20"/>
              </w:rPr>
              <w:lastRenderedPageBreak/>
              <w:t xml:space="preserve">mattress and using a soft fibre bootee. </w:t>
            </w:r>
          </w:p>
        </w:tc>
        <w:tc>
          <w:tcPr>
            <w:tcW w:w="750"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lastRenderedPageBreak/>
              <w:t xml:space="preserve">Cavilon spray, Hydrogel dressing then Versiver dressing on top. Plus Parafricta Bootee over it for one week. </w:t>
            </w:r>
          </w:p>
        </w:tc>
        <w:tc>
          <w:tcPr>
            <w:tcW w:w="550"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Historical comparison from the same person only </w:t>
            </w:r>
          </w:p>
        </w:tc>
        <w:tc>
          <w:tcPr>
            <w:tcW w:w="951"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‘marked improvement in the wound bed and no further damage to the surrounding tissues’. </w:t>
            </w:r>
          </w:p>
        </w:tc>
        <w:tc>
          <w:tcPr>
            <w:tcW w:w="1211"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Impossible to determine whether the improvement was temporary or permanent or was due to the hydrogel dressing, the Parafricta Bootee or unrelated to either and would have happened anyway. </w:t>
            </w:r>
          </w:p>
        </w:tc>
      </w:tr>
      <w:tr w:rsidR="00555BE9" w:rsidRPr="004914F2" w:rsidTr="00472E5B">
        <w:trPr>
          <w:cantSplit/>
        </w:trPr>
        <w:tc>
          <w:tcPr>
            <w:tcW w:w="588"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Gleeson (2014)</w:t>
            </w:r>
          </w:p>
          <w:p w:rsidR="00555BE9" w:rsidRDefault="00555BE9" w:rsidP="00472E5B">
            <w:pPr>
              <w:ind w:right="85"/>
              <w:rPr>
                <w:rFonts w:ascii="Arial" w:eastAsia="Arial" w:hAnsi="Arial" w:cs="Arial"/>
                <w:sz w:val="20"/>
                <w:szCs w:val="20"/>
              </w:rPr>
            </w:pPr>
            <w:r w:rsidRPr="004914F2">
              <w:rPr>
                <w:rFonts w:ascii="Arial" w:eastAsia="Arial" w:hAnsi="Arial" w:cs="Arial"/>
                <w:sz w:val="20"/>
                <w:szCs w:val="20"/>
              </w:rPr>
              <w:t>(unpublished manuscript)</w:t>
            </w:r>
          </w:p>
          <w:p w:rsidR="006D7582" w:rsidRPr="004914F2" w:rsidRDefault="006D7582" w:rsidP="00472E5B">
            <w:pPr>
              <w:ind w:right="85"/>
              <w:rPr>
                <w:rFonts w:ascii="Arial" w:eastAsia="Arial" w:hAnsi="Arial" w:cs="Arial"/>
                <w:sz w:val="20"/>
                <w:szCs w:val="20"/>
              </w:rPr>
            </w:pPr>
            <w:r>
              <w:rPr>
                <w:rFonts w:ascii="Arial" w:eastAsia="Arial" w:hAnsi="Arial" w:cs="Arial"/>
                <w:sz w:val="20"/>
                <w:szCs w:val="20"/>
              </w:rPr>
              <w:t>(</w:t>
            </w:r>
            <w:r w:rsidRPr="006D7582">
              <w:rPr>
                <w:rFonts w:ascii="Arial" w:eastAsia="Arial" w:hAnsi="Arial" w:cs="Arial"/>
                <w:i/>
                <w:sz w:val="20"/>
                <w:szCs w:val="20"/>
              </w:rPr>
              <w:t>information from</w:t>
            </w:r>
            <w:r>
              <w:rPr>
                <w:rFonts w:ascii="Arial" w:eastAsia="Arial" w:hAnsi="Arial" w:cs="Arial"/>
                <w:sz w:val="20"/>
                <w:szCs w:val="20"/>
              </w:rPr>
              <w:t xml:space="preserve"> </w:t>
            </w:r>
            <w:r w:rsidRPr="006D7582">
              <w:rPr>
                <w:rFonts w:ascii="Arial" w:eastAsia="Arial" w:hAnsi="Arial" w:cs="Arial"/>
                <w:i/>
                <w:sz w:val="20"/>
                <w:szCs w:val="20"/>
              </w:rPr>
              <w:t>Gleeson 2015 in italics</w:t>
            </w:r>
            <w:r>
              <w:rPr>
                <w:rFonts w:ascii="Arial" w:eastAsia="Arial" w:hAnsi="Arial" w:cs="Arial"/>
                <w:sz w:val="20"/>
                <w:szCs w:val="20"/>
              </w:rPr>
              <w:t xml:space="preserve">) </w:t>
            </w:r>
          </w:p>
        </w:tc>
        <w:tc>
          <w:tcPr>
            <w:tcW w:w="950" w:type="pct"/>
            <w:shd w:val="clear" w:color="auto" w:fill="FFFFFF"/>
          </w:tcPr>
          <w:p w:rsidR="00555BE9" w:rsidRPr="00DC57AF" w:rsidRDefault="00555BE9" w:rsidP="00472E5B">
            <w:pPr>
              <w:ind w:right="85"/>
              <w:rPr>
                <w:rFonts w:ascii="Arial" w:eastAsia="Arial" w:hAnsi="Arial" w:cs="Arial"/>
                <w:sz w:val="20"/>
                <w:szCs w:val="20"/>
              </w:rPr>
            </w:pPr>
            <w:r w:rsidRPr="004914F2">
              <w:rPr>
                <w:rFonts w:ascii="Arial" w:eastAsia="Arial" w:hAnsi="Arial" w:cs="Arial"/>
                <w:sz w:val="20"/>
                <w:szCs w:val="20"/>
              </w:rPr>
              <w:t>Clinical audit</w:t>
            </w:r>
            <w:r w:rsidRPr="00DC57AF">
              <w:rPr>
                <w:rFonts w:ascii="Arial" w:eastAsia="Arial" w:hAnsi="Arial" w:cs="Arial"/>
                <w:sz w:val="20"/>
                <w:szCs w:val="20"/>
              </w:rPr>
              <w:t xml:space="preserve"> of 6 hospital wards with patients at high risk of pressure ulcers. </w:t>
            </w:r>
          </w:p>
        </w:tc>
        <w:tc>
          <w:tcPr>
            <w:tcW w:w="750" w:type="pct"/>
            <w:shd w:val="clear" w:color="auto" w:fill="auto"/>
          </w:tcPr>
          <w:p w:rsidR="00555BE9" w:rsidRPr="00DC57AF" w:rsidRDefault="00555BE9" w:rsidP="00472E5B">
            <w:pPr>
              <w:ind w:right="85"/>
              <w:rPr>
                <w:rFonts w:ascii="Arial" w:eastAsia="Arial" w:hAnsi="Arial" w:cs="Arial"/>
                <w:sz w:val="20"/>
                <w:szCs w:val="20"/>
              </w:rPr>
            </w:pPr>
            <w:r w:rsidRPr="00DC57AF">
              <w:rPr>
                <w:rFonts w:ascii="Arial" w:eastAsia="Arial" w:hAnsi="Arial" w:cs="Arial"/>
                <w:sz w:val="20"/>
                <w:szCs w:val="20"/>
              </w:rPr>
              <w:t xml:space="preserve">232 Parafricta Bootees used with unspecified number of patients. </w:t>
            </w:r>
            <w:r w:rsidR="006D7582">
              <w:rPr>
                <w:rFonts w:ascii="Arial" w:eastAsia="Arial" w:hAnsi="Arial" w:cs="Arial"/>
                <w:sz w:val="20"/>
                <w:szCs w:val="20"/>
              </w:rPr>
              <w:t>(</w:t>
            </w:r>
            <w:r w:rsidR="006D7582" w:rsidRPr="006D7582">
              <w:rPr>
                <w:rFonts w:ascii="Arial" w:eastAsia="Arial" w:hAnsi="Arial" w:cs="Arial"/>
                <w:i/>
                <w:sz w:val="20"/>
                <w:szCs w:val="20"/>
              </w:rPr>
              <w:t>for the first 6 months, rising to 1024 bootees in total</w:t>
            </w:r>
            <w:r w:rsidR="006D7582">
              <w:rPr>
                <w:rFonts w:ascii="Arial" w:eastAsia="Arial" w:hAnsi="Arial" w:cs="Arial"/>
                <w:sz w:val="20"/>
                <w:szCs w:val="20"/>
              </w:rPr>
              <w:t>)</w:t>
            </w:r>
          </w:p>
          <w:p w:rsidR="00555BE9" w:rsidRPr="00DC57AF" w:rsidRDefault="00555BE9" w:rsidP="00472E5B">
            <w:pPr>
              <w:ind w:right="85"/>
              <w:rPr>
                <w:rFonts w:ascii="Arial" w:eastAsia="Arial" w:hAnsi="Arial" w:cs="Arial"/>
                <w:sz w:val="20"/>
                <w:szCs w:val="20"/>
              </w:rPr>
            </w:pPr>
            <w:r w:rsidRPr="00DC57AF">
              <w:rPr>
                <w:rFonts w:ascii="Arial" w:eastAsia="Arial" w:hAnsi="Arial" w:cs="Arial"/>
                <w:sz w:val="20"/>
                <w:szCs w:val="20"/>
              </w:rPr>
              <w:t>Also pressure reducing/relieving products including 4-sectional electric profiling beds, pressure-reducing foam, alternating air mattresses, heel troughs and cushions</w:t>
            </w:r>
            <w:r w:rsidR="006D7582">
              <w:rPr>
                <w:rFonts w:ascii="Arial" w:eastAsia="Arial" w:hAnsi="Arial" w:cs="Arial"/>
                <w:sz w:val="20"/>
                <w:szCs w:val="20"/>
              </w:rPr>
              <w:t xml:space="preserve">. </w:t>
            </w:r>
            <w:r w:rsidR="006D7582" w:rsidRPr="006D7582">
              <w:rPr>
                <w:rFonts w:ascii="Arial" w:eastAsia="Arial" w:hAnsi="Arial" w:cs="Arial"/>
                <w:i/>
                <w:sz w:val="20"/>
                <w:szCs w:val="20"/>
              </w:rPr>
              <w:t>(Some patients also given a transparent film dressing to protect the heel)</w:t>
            </w:r>
          </w:p>
          <w:p w:rsidR="00555BE9" w:rsidRPr="00DC57AF" w:rsidRDefault="00555BE9" w:rsidP="00472E5B">
            <w:pPr>
              <w:ind w:right="85"/>
              <w:rPr>
                <w:rFonts w:ascii="Arial" w:eastAsia="Arial" w:hAnsi="Arial" w:cs="Arial"/>
                <w:sz w:val="20"/>
                <w:szCs w:val="20"/>
              </w:rPr>
            </w:pPr>
            <w:r w:rsidRPr="00DC57AF">
              <w:rPr>
                <w:rFonts w:ascii="Arial" w:eastAsia="Arial" w:hAnsi="Arial" w:cs="Arial"/>
                <w:sz w:val="20"/>
                <w:szCs w:val="20"/>
              </w:rPr>
              <w:t xml:space="preserve">Also education and training on pressure ulcers </w:t>
            </w:r>
          </w:p>
        </w:tc>
        <w:tc>
          <w:tcPr>
            <w:tcW w:w="550" w:type="pct"/>
            <w:shd w:val="clear" w:color="auto" w:fill="FFFFFF"/>
          </w:tcPr>
          <w:p w:rsidR="00555BE9" w:rsidRPr="004914F2" w:rsidRDefault="00555BE9" w:rsidP="00472E5B">
            <w:pPr>
              <w:ind w:right="85"/>
              <w:rPr>
                <w:rFonts w:ascii="Arial" w:eastAsia="Arial" w:hAnsi="Arial" w:cs="Arial"/>
                <w:sz w:val="20"/>
                <w:szCs w:val="20"/>
              </w:rPr>
            </w:pPr>
            <w:r w:rsidRPr="00DC57AF">
              <w:rPr>
                <w:rFonts w:ascii="Arial" w:eastAsia="Arial" w:hAnsi="Arial" w:cs="Arial"/>
                <w:sz w:val="20"/>
                <w:szCs w:val="20"/>
              </w:rPr>
              <w:t xml:space="preserve">Summary historical comparison only, </w:t>
            </w:r>
            <w:r w:rsidRPr="004914F2">
              <w:rPr>
                <w:rFonts w:ascii="Arial" w:eastAsia="Arial" w:hAnsi="Arial" w:cs="Arial"/>
                <w:sz w:val="20"/>
                <w:szCs w:val="20"/>
              </w:rPr>
              <w:t>not described</w:t>
            </w:r>
          </w:p>
        </w:tc>
        <w:tc>
          <w:tcPr>
            <w:tcW w:w="951" w:type="pct"/>
          </w:tcPr>
          <w:p w:rsidR="00555BE9" w:rsidRPr="004914F2" w:rsidRDefault="00555BE9" w:rsidP="00472E5B">
            <w:pPr>
              <w:ind w:right="85"/>
              <w:rPr>
                <w:rFonts w:ascii="Arial" w:eastAsia="Arial" w:hAnsi="Arial" w:cs="Arial"/>
                <w:sz w:val="20"/>
                <w:szCs w:val="20"/>
              </w:rPr>
            </w:pPr>
            <w:r w:rsidRPr="00DC57AF">
              <w:rPr>
                <w:rFonts w:ascii="Arial" w:eastAsia="Arial" w:hAnsi="Arial" w:cs="Arial"/>
                <w:sz w:val="20"/>
                <w:szCs w:val="20"/>
              </w:rPr>
              <w:t>32% reduction in reportable hospital-acquired grade 2 pressure ulcers compared to the previous year, presumably on these wards. Overall there was a Trust-wide drop in pressure ulcers of 76%. There was a 9% increase in Trust-wide activity in 2012, presumably compared to 2011</w:t>
            </w:r>
          </w:p>
        </w:tc>
        <w:tc>
          <w:tcPr>
            <w:tcW w:w="1211"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The decrease in pressure ulcers was probably not due to a decrease in hospital activity but may be related to education and training initiatives and investment in a range of pressure reducing products. It is unclear how much of </w:t>
            </w:r>
            <w:r w:rsidRPr="00DC57AF">
              <w:rPr>
                <w:rFonts w:ascii="Arial" w:eastAsia="Arial" w:hAnsi="Arial" w:cs="Arial"/>
                <w:sz w:val="20"/>
                <w:szCs w:val="20"/>
              </w:rPr>
              <w:t>this 76% reduction in pressure ulcers in the Trust overall</w:t>
            </w:r>
            <w:r w:rsidRPr="004914F2">
              <w:rPr>
                <w:rFonts w:ascii="Arial" w:eastAsia="Arial" w:hAnsi="Arial" w:cs="Arial"/>
                <w:sz w:val="20"/>
                <w:szCs w:val="20"/>
              </w:rPr>
              <w:t xml:space="preserve"> was due to Parafricta Bootees and how much was due to the other initiatives taking place at the Trust.</w:t>
            </w:r>
          </w:p>
        </w:tc>
      </w:tr>
      <w:tr w:rsidR="00555BE9" w:rsidRPr="004914F2" w:rsidTr="00472E5B">
        <w:trPr>
          <w:cantSplit/>
        </w:trPr>
        <w:tc>
          <w:tcPr>
            <w:tcW w:w="588"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Hampton S (2007)  </w:t>
            </w:r>
          </w:p>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(NRC1)</w:t>
            </w:r>
          </w:p>
        </w:tc>
        <w:tc>
          <w:tcPr>
            <w:tcW w:w="950"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Case study of one nursing home patient aged 82 with multiple sclerosis and with sore and broken skin over the buttocks for several months, being nursed on an air mattress.  </w:t>
            </w:r>
          </w:p>
        </w:tc>
        <w:tc>
          <w:tcPr>
            <w:tcW w:w="750"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Parafricta Undergarment for one week</w:t>
            </w:r>
          </w:p>
        </w:tc>
        <w:tc>
          <w:tcPr>
            <w:tcW w:w="550"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Historical comparison from the same person only</w:t>
            </w:r>
          </w:p>
        </w:tc>
        <w:tc>
          <w:tcPr>
            <w:tcW w:w="951"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‘in less than one week the soreness had disappeared and the skin was clear’ </w:t>
            </w:r>
          </w:p>
        </w:tc>
        <w:tc>
          <w:tcPr>
            <w:tcW w:w="1211"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Impossible to tell whether the improvement was temporary or permanent or whether it was due to the Parafricta Undergarment or would have happened anyway. </w:t>
            </w:r>
          </w:p>
        </w:tc>
      </w:tr>
      <w:tr w:rsidR="00555BE9" w:rsidRPr="004914F2" w:rsidTr="00472E5B">
        <w:trPr>
          <w:cantSplit/>
        </w:trPr>
        <w:tc>
          <w:tcPr>
            <w:tcW w:w="588" w:type="pct"/>
            <w:shd w:val="clear" w:color="auto" w:fill="auto"/>
          </w:tcPr>
          <w:p w:rsidR="00555BE9" w:rsidRPr="004914F2" w:rsidRDefault="00555BE9" w:rsidP="00472E5B">
            <w:pPr>
              <w:spacing w:before="58"/>
              <w:ind w:right="164"/>
              <w:rPr>
                <w:rFonts w:ascii="Arial" w:eastAsia="Arial" w:hAnsi="Arial" w:cs="Arial"/>
                <w:sz w:val="20"/>
                <w:szCs w:val="20"/>
              </w:rPr>
            </w:pPr>
            <w:r w:rsidRPr="004914F2">
              <w:rPr>
                <w:rFonts w:ascii="Arial" w:eastAsia="Arial" w:hAnsi="Arial" w:cs="Arial"/>
                <w:sz w:val="20"/>
                <w:szCs w:val="20"/>
              </w:rPr>
              <w:t xml:space="preserve">Kerr A (2008). </w:t>
            </w:r>
          </w:p>
          <w:p w:rsidR="00555BE9" w:rsidRPr="004914F2" w:rsidRDefault="00555BE9" w:rsidP="00472E5B">
            <w:pPr>
              <w:spacing w:before="58"/>
              <w:ind w:right="164"/>
              <w:rPr>
                <w:rFonts w:ascii="Arial" w:eastAsia="Arial" w:hAnsi="Arial" w:cs="Arial"/>
                <w:sz w:val="20"/>
                <w:szCs w:val="20"/>
              </w:rPr>
            </w:pPr>
            <w:r w:rsidRPr="004914F2">
              <w:rPr>
                <w:rFonts w:ascii="Arial" w:eastAsia="Arial" w:hAnsi="Arial" w:cs="Arial"/>
                <w:sz w:val="20"/>
                <w:szCs w:val="20"/>
              </w:rPr>
              <w:t>(NRC2)</w:t>
            </w:r>
          </w:p>
        </w:tc>
        <w:tc>
          <w:tcPr>
            <w:tcW w:w="950" w:type="pct"/>
            <w:shd w:val="clear" w:color="auto" w:fill="auto"/>
          </w:tcPr>
          <w:p w:rsidR="00555BE9" w:rsidRPr="004914F2" w:rsidRDefault="00555BE9" w:rsidP="00472E5B">
            <w:pPr>
              <w:spacing w:before="58"/>
              <w:ind w:right="164"/>
              <w:rPr>
                <w:rFonts w:ascii="Arial" w:eastAsia="Arial" w:hAnsi="Arial" w:cs="Arial"/>
                <w:sz w:val="20"/>
                <w:szCs w:val="20"/>
              </w:rPr>
            </w:pPr>
            <w:r w:rsidRPr="004914F2">
              <w:rPr>
                <w:rFonts w:ascii="Arial" w:eastAsia="Arial" w:hAnsi="Arial" w:cs="Arial"/>
                <w:sz w:val="20"/>
                <w:szCs w:val="20"/>
              </w:rPr>
              <w:t xml:space="preserve">Case study of one nursing home patient aged 70 years with poor mobility and with at least 3 month’s history of macerated and excoriated buttocks with deep split wounds and inflammation. Sudocreme had been applied. </w:t>
            </w:r>
          </w:p>
        </w:tc>
        <w:tc>
          <w:tcPr>
            <w:tcW w:w="750" w:type="pct"/>
            <w:shd w:val="clear" w:color="auto" w:fill="auto"/>
          </w:tcPr>
          <w:p w:rsidR="00555BE9" w:rsidRPr="004914F2" w:rsidRDefault="00555BE9" w:rsidP="00472E5B">
            <w:pPr>
              <w:spacing w:before="58"/>
              <w:ind w:right="164"/>
              <w:rPr>
                <w:rFonts w:ascii="Arial" w:eastAsia="Arial" w:hAnsi="Arial" w:cs="Arial"/>
                <w:sz w:val="20"/>
                <w:szCs w:val="20"/>
              </w:rPr>
            </w:pPr>
            <w:r w:rsidRPr="004914F2">
              <w:rPr>
                <w:rFonts w:ascii="Arial" w:eastAsia="Arial" w:hAnsi="Arial" w:cs="Arial"/>
                <w:sz w:val="20"/>
                <w:szCs w:val="20"/>
              </w:rPr>
              <w:t xml:space="preserve">Parafricta Undergarment </w:t>
            </w:r>
          </w:p>
        </w:tc>
        <w:tc>
          <w:tcPr>
            <w:tcW w:w="550" w:type="pct"/>
          </w:tcPr>
          <w:p w:rsidR="00555BE9" w:rsidRPr="004914F2" w:rsidRDefault="00555BE9" w:rsidP="00472E5B">
            <w:pPr>
              <w:spacing w:before="58"/>
              <w:ind w:right="164"/>
              <w:rPr>
                <w:rFonts w:ascii="Arial" w:eastAsia="Arial" w:hAnsi="Arial" w:cs="Arial"/>
                <w:sz w:val="20"/>
                <w:szCs w:val="20"/>
              </w:rPr>
            </w:pPr>
            <w:r w:rsidRPr="004914F2">
              <w:rPr>
                <w:rFonts w:ascii="Arial" w:eastAsia="Arial" w:hAnsi="Arial" w:cs="Arial"/>
                <w:sz w:val="20"/>
                <w:szCs w:val="20"/>
              </w:rPr>
              <w:t xml:space="preserve">Historical  comparison with Sudocreme on the same person only </w:t>
            </w:r>
          </w:p>
        </w:tc>
        <w:tc>
          <w:tcPr>
            <w:tcW w:w="951" w:type="pct"/>
          </w:tcPr>
          <w:p w:rsidR="00555BE9" w:rsidRPr="004914F2" w:rsidRDefault="00555BE9" w:rsidP="00472E5B">
            <w:pPr>
              <w:spacing w:before="58"/>
              <w:ind w:right="164"/>
              <w:rPr>
                <w:rFonts w:ascii="Arial" w:eastAsia="Arial" w:hAnsi="Arial" w:cs="Arial"/>
                <w:sz w:val="20"/>
                <w:szCs w:val="20"/>
              </w:rPr>
            </w:pPr>
            <w:r w:rsidRPr="004914F2">
              <w:rPr>
                <w:rFonts w:ascii="Arial" w:eastAsia="Arial" w:hAnsi="Arial" w:cs="Arial"/>
                <w:sz w:val="20"/>
                <w:szCs w:val="20"/>
              </w:rPr>
              <w:t xml:space="preserve">‘reduced inflammation with the open areas showing signs of closure’ </w:t>
            </w:r>
          </w:p>
        </w:tc>
        <w:tc>
          <w:tcPr>
            <w:tcW w:w="1211" w:type="pct"/>
          </w:tcPr>
          <w:p w:rsidR="00555BE9" w:rsidRPr="004914F2" w:rsidRDefault="00555BE9" w:rsidP="00472E5B">
            <w:pPr>
              <w:spacing w:before="58"/>
              <w:ind w:right="164"/>
              <w:rPr>
                <w:rFonts w:ascii="Arial" w:eastAsia="Arial" w:hAnsi="Arial" w:cs="Arial"/>
                <w:sz w:val="20"/>
                <w:szCs w:val="20"/>
              </w:rPr>
            </w:pPr>
            <w:r w:rsidRPr="004914F2">
              <w:rPr>
                <w:rFonts w:ascii="Arial" w:eastAsia="Arial" w:hAnsi="Arial" w:cs="Arial"/>
                <w:sz w:val="20"/>
                <w:szCs w:val="20"/>
              </w:rPr>
              <w:t>Impossible to tell whether the improvement was temporary or permanent or whether it was due to the Parafricta Undergarment or previous allergy to Sudocreme or would have happened anyway.</w:t>
            </w:r>
          </w:p>
        </w:tc>
      </w:tr>
      <w:tr w:rsidR="00555BE9" w:rsidRPr="004914F2" w:rsidTr="00472E5B">
        <w:trPr>
          <w:cantSplit/>
        </w:trPr>
        <w:tc>
          <w:tcPr>
            <w:tcW w:w="588"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lastRenderedPageBreak/>
              <w:t xml:space="preserve">Loehne, H.B. (2013).  </w:t>
            </w:r>
          </w:p>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(SAWC1)</w:t>
            </w:r>
          </w:p>
        </w:tc>
        <w:tc>
          <w:tcPr>
            <w:tcW w:w="950"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Case series of an unknown number of US nursing home patients. No information on sex, age, current condition, duration, grade or site of pressure ulcers. </w:t>
            </w:r>
          </w:p>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Excluded were patients with, or at risk of, pressure ulcers on the heel or foot due to pressure only. </w:t>
            </w:r>
          </w:p>
        </w:tc>
        <w:tc>
          <w:tcPr>
            <w:tcW w:w="750"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Parafricta Bootee. </w:t>
            </w:r>
          </w:p>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Unclear if both feet or only one. </w:t>
            </w:r>
          </w:p>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Dressings (not specified) in some patients. </w:t>
            </w:r>
          </w:p>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Follow up at 30 days. </w:t>
            </w:r>
          </w:p>
        </w:tc>
        <w:tc>
          <w:tcPr>
            <w:tcW w:w="550"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Unclear. </w:t>
            </w:r>
          </w:p>
        </w:tc>
        <w:tc>
          <w:tcPr>
            <w:tcW w:w="951"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None of the unknown number of patients had developed pressure ulcers or had re-opening of closed wounds. </w:t>
            </w:r>
          </w:p>
        </w:tc>
        <w:tc>
          <w:tcPr>
            <w:tcW w:w="1211" w:type="pct"/>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This does not present any evidence of effectiveness as there is minimal information on patients. </w:t>
            </w:r>
          </w:p>
        </w:tc>
      </w:tr>
      <w:tr w:rsidR="00555BE9" w:rsidRPr="004914F2" w:rsidTr="00472E5B">
        <w:trPr>
          <w:cantSplit/>
        </w:trPr>
        <w:tc>
          <w:tcPr>
            <w:tcW w:w="588" w:type="pct"/>
            <w:shd w:val="clear" w:color="auto" w:fill="auto"/>
          </w:tcPr>
          <w:p w:rsidR="00555BE9" w:rsidRPr="004914F2" w:rsidRDefault="00555BE9" w:rsidP="00472E5B">
            <w:pPr>
              <w:ind w:right="85"/>
              <w:rPr>
                <w:rFonts w:ascii="Arial" w:eastAsia="Arial" w:hAnsi="Arial" w:cs="Arial"/>
                <w:sz w:val="20"/>
                <w:szCs w:val="20"/>
              </w:rPr>
            </w:pPr>
            <w:r w:rsidRPr="004914F2">
              <w:rPr>
                <w:rFonts w:ascii="Arial" w:eastAsia="Arial" w:hAnsi="Arial" w:cs="Arial"/>
                <w:sz w:val="20"/>
                <w:szCs w:val="20"/>
              </w:rPr>
              <w:t xml:space="preserve">Stephen-Haynes (2011) </w:t>
            </w:r>
          </w:p>
          <w:p w:rsidR="00555BE9" w:rsidRPr="004914F2" w:rsidRDefault="00555BE9" w:rsidP="00472E5B">
            <w:pPr>
              <w:pStyle w:val="Tabletext"/>
            </w:pPr>
            <w:r w:rsidRPr="004914F2">
              <w:rPr>
                <w:sz w:val="20"/>
                <w:szCs w:val="20"/>
              </w:rPr>
              <w:t>(WUK2011)</w:t>
            </w:r>
          </w:p>
        </w:tc>
        <w:tc>
          <w:tcPr>
            <w:tcW w:w="950" w:type="pct"/>
            <w:shd w:val="clear" w:color="auto" w:fill="auto"/>
          </w:tcPr>
          <w:p w:rsidR="00555BE9" w:rsidRPr="004914F2" w:rsidRDefault="00555BE9" w:rsidP="00472E5B">
            <w:pPr>
              <w:pStyle w:val="Tabletext"/>
              <w:rPr>
                <w:rFonts w:ascii="GillSans Light" w:hAnsi="GillSans Light"/>
                <w:sz w:val="20"/>
                <w:szCs w:val="20"/>
                <w:lang w:eastAsia="en-GB"/>
              </w:rPr>
            </w:pPr>
            <w:r w:rsidRPr="004914F2">
              <w:rPr>
                <w:sz w:val="20"/>
                <w:szCs w:val="20"/>
              </w:rPr>
              <w:t>Case series of 25 nursing home p</w:t>
            </w:r>
            <w:r w:rsidRPr="004914F2">
              <w:rPr>
                <w:rFonts w:ascii="GillSans Light" w:hAnsi="GillSans Light"/>
                <w:sz w:val="20"/>
                <w:szCs w:val="20"/>
                <w:lang w:eastAsia="en-GB"/>
              </w:rPr>
              <w:t xml:space="preserve">atients at-risk of pressure ulcers (n=5) or with a pressure ulcer (n=20, 10 with category 1 ulcer, 10 with category 2 ulcer). </w:t>
            </w:r>
          </w:p>
          <w:p w:rsidR="00555BE9" w:rsidRPr="004914F2" w:rsidRDefault="00555BE9" w:rsidP="00472E5B">
            <w:pPr>
              <w:pStyle w:val="Tabletext"/>
              <w:rPr>
                <w:rFonts w:ascii="GillSans Light" w:hAnsi="GillSans Light"/>
                <w:sz w:val="20"/>
                <w:szCs w:val="20"/>
                <w:lang w:eastAsia="en-GB"/>
              </w:rPr>
            </w:pPr>
          </w:p>
          <w:p w:rsidR="00555BE9" w:rsidRPr="004914F2" w:rsidRDefault="00555BE9" w:rsidP="00472E5B">
            <w:pPr>
              <w:pStyle w:val="Tabletext"/>
              <w:rPr>
                <w:rFonts w:ascii="GillSans Light" w:hAnsi="GillSans Light"/>
                <w:sz w:val="20"/>
                <w:szCs w:val="20"/>
                <w:lang w:eastAsia="en-GB"/>
              </w:rPr>
            </w:pPr>
            <w:r w:rsidRPr="004914F2">
              <w:rPr>
                <w:rFonts w:ascii="GillSans Light" w:hAnsi="GillSans Light"/>
                <w:sz w:val="20"/>
                <w:szCs w:val="20"/>
                <w:lang w:eastAsia="en-GB"/>
              </w:rPr>
              <w:t xml:space="preserve">Characteristics included steroid use (n=1), CVA (n=6), dementia (n=3), multiple sclerosis (n=3). </w:t>
            </w:r>
          </w:p>
        </w:tc>
        <w:tc>
          <w:tcPr>
            <w:tcW w:w="750" w:type="pct"/>
            <w:shd w:val="clear" w:color="auto" w:fill="auto"/>
          </w:tcPr>
          <w:p w:rsidR="00555BE9" w:rsidRPr="004914F2" w:rsidRDefault="00555BE9" w:rsidP="00472E5B">
            <w:pPr>
              <w:pStyle w:val="Tabletext"/>
              <w:rPr>
                <w:sz w:val="20"/>
              </w:rPr>
            </w:pPr>
            <w:r w:rsidRPr="004914F2">
              <w:rPr>
                <w:sz w:val="20"/>
              </w:rPr>
              <w:t xml:space="preserve">Parafricta Bootee or/and Undergarment added to standard approach. </w:t>
            </w:r>
          </w:p>
          <w:p w:rsidR="00555BE9" w:rsidRPr="004914F2" w:rsidRDefault="00555BE9" w:rsidP="00472E5B">
            <w:pPr>
              <w:pStyle w:val="Tabletext"/>
              <w:rPr>
                <w:sz w:val="20"/>
                <w:szCs w:val="20"/>
              </w:rPr>
            </w:pPr>
          </w:p>
        </w:tc>
        <w:tc>
          <w:tcPr>
            <w:tcW w:w="550" w:type="pct"/>
          </w:tcPr>
          <w:p w:rsidR="00555BE9" w:rsidRPr="004914F2" w:rsidRDefault="00555BE9" w:rsidP="00472E5B">
            <w:pPr>
              <w:pStyle w:val="Tabletext"/>
              <w:rPr>
                <w:sz w:val="20"/>
                <w:szCs w:val="20"/>
              </w:rPr>
            </w:pPr>
            <w:r w:rsidRPr="004914F2">
              <w:rPr>
                <w:sz w:val="20"/>
                <w:szCs w:val="20"/>
              </w:rPr>
              <w:t xml:space="preserve">None </w:t>
            </w:r>
          </w:p>
        </w:tc>
        <w:tc>
          <w:tcPr>
            <w:tcW w:w="951" w:type="pct"/>
          </w:tcPr>
          <w:p w:rsidR="00555BE9" w:rsidRPr="004914F2" w:rsidRDefault="00555BE9" w:rsidP="00472E5B">
            <w:pPr>
              <w:pStyle w:val="Tabletext"/>
              <w:rPr>
                <w:sz w:val="20"/>
                <w:szCs w:val="20"/>
              </w:rPr>
            </w:pPr>
            <w:r w:rsidRPr="004914F2">
              <w:rPr>
                <w:sz w:val="20"/>
                <w:szCs w:val="20"/>
              </w:rPr>
              <w:t xml:space="preserve">Skin improvement: 76% improvement, 24% same. Ease of use: very easy in 64% patients, easy in 16%, fairly easy in 16% and difficult in 4%). Garment retention: 48% clinicians found it very easy to keep garments in place, 16% easy, 20% fairly easy, 16% not easy. Patient comfort: 76% very comfortable, 24% comfortable. </w:t>
            </w:r>
          </w:p>
        </w:tc>
        <w:tc>
          <w:tcPr>
            <w:tcW w:w="1211" w:type="pct"/>
          </w:tcPr>
          <w:p w:rsidR="00555BE9" w:rsidRPr="004914F2" w:rsidRDefault="00555BE9" w:rsidP="00472E5B">
            <w:pPr>
              <w:pStyle w:val="Tabletext"/>
              <w:rPr>
                <w:sz w:val="20"/>
                <w:szCs w:val="20"/>
              </w:rPr>
            </w:pPr>
            <w:r w:rsidRPr="004914F2">
              <w:rPr>
                <w:rFonts w:eastAsia="Arial" w:cs="Arial"/>
                <w:sz w:val="20"/>
                <w:szCs w:val="20"/>
              </w:rPr>
              <w:t>Impossible to tell whether any improvement in pressure ulceration was temporary or permanent or whether it was due to the Parafricta Undergarment or would have happened anyway.</w:t>
            </w:r>
          </w:p>
        </w:tc>
      </w:tr>
    </w:tbl>
    <w:p w:rsidR="0031678F" w:rsidRDefault="0031678F" w:rsidP="00082DE1">
      <w:pPr>
        <w:rPr>
          <w:rFonts w:cs="Arial"/>
        </w:rPr>
      </w:pPr>
    </w:p>
    <w:p w:rsidR="00555BE9" w:rsidRDefault="00555BE9" w:rsidP="00082DE1">
      <w:pPr>
        <w:rPr>
          <w:rFonts w:cs="Arial"/>
        </w:rPr>
      </w:pPr>
    </w:p>
    <w:p w:rsidR="00632F57" w:rsidRDefault="00632F57">
      <w:pPr>
        <w:rPr>
          <w:rFonts w:cs="Arial"/>
        </w:rPr>
      </w:pPr>
      <w:r>
        <w:rPr>
          <w:rFonts w:cs="Arial"/>
        </w:rPr>
        <w:br w:type="page"/>
      </w:r>
    </w:p>
    <w:p w:rsidR="00632F57" w:rsidRDefault="00632F57" w:rsidP="00632F57">
      <w:pPr>
        <w:pStyle w:val="NICEnormal"/>
        <w:spacing w:after="0" w:line="240" w:lineRule="auto"/>
        <w:rPr>
          <w:lang w:val="en-GB"/>
        </w:rPr>
      </w:pPr>
    </w:p>
    <w:p w:rsidR="00632F57" w:rsidRDefault="00632F57" w:rsidP="00632F57">
      <w:pPr>
        <w:pStyle w:val="Caption"/>
        <w:keepNext/>
      </w:pPr>
      <w:bookmarkStart w:id="3" w:name="_Ref384814006"/>
      <w:r>
        <w:t xml:space="preserve">Table </w:t>
      </w:r>
      <w:bookmarkEnd w:id="3"/>
      <w:r>
        <w:t xml:space="preserve">3. Reported results from Smith </w:t>
      </w:r>
      <w:r w:rsidR="00A1003A">
        <w:t xml:space="preserve">and Ingram </w:t>
      </w:r>
      <w:r>
        <w:t>(2010)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3983"/>
        <w:gridCol w:w="2410"/>
        <w:gridCol w:w="2412"/>
        <w:gridCol w:w="1559"/>
        <w:gridCol w:w="1449"/>
      </w:tblGrid>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p>
        </w:tc>
        <w:tc>
          <w:tcPr>
            <w:tcW w:w="1405"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Subgroups </w:t>
            </w:r>
          </w:p>
        </w:tc>
        <w:tc>
          <w:tcPr>
            <w:tcW w:w="8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Historical controls incidence (%)</w:t>
            </w:r>
          </w:p>
        </w:tc>
        <w:tc>
          <w:tcPr>
            <w:tcW w:w="85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Parafricta cohort incidence (%)</w:t>
            </w:r>
          </w:p>
        </w:tc>
        <w:tc>
          <w:tcPr>
            <w:tcW w:w="5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difference  (Parafricta – control )</w:t>
            </w:r>
          </w:p>
        </w:tc>
        <w:tc>
          <w:tcPr>
            <w:tcW w:w="51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P value </w:t>
            </w:r>
          </w:p>
        </w:tc>
      </w:tr>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No pressure ulcer on admission </w:t>
            </w:r>
          </w:p>
        </w:tc>
        <w:tc>
          <w:tcPr>
            <w:tcW w:w="1405"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A, Did not develop a pressure ulcer</w:t>
            </w:r>
          </w:p>
        </w:tc>
        <w:tc>
          <w:tcPr>
            <w:tcW w:w="8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67 (59)</w:t>
            </w:r>
          </w:p>
        </w:tc>
        <w:tc>
          <w:tcPr>
            <w:tcW w:w="85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58 (75)</w:t>
            </w:r>
          </w:p>
        </w:tc>
        <w:tc>
          <w:tcPr>
            <w:tcW w:w="5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16</w:t>
            </w:r>
          </w:p>
        </w:tc>
        <w:tc>
          <w:tcPr>
            <w:tcW w:w="51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0.03</w:t>
            </w:r>
          </w:p>
        </w:tc>
      </w:tr>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p>
        </w:tc>
        <w:tc>
          <w:tcPr>
            <w:tcW w:w="1405"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B. Developed a pressure ulcer </w:t>
            </w:r>
          </w:p>
        </w:tc>
        <w:tc>
          <w:tcPr>
            <w:tcW w:w="8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46 (41)</w:t>
            </w:r>
          </w:p>
        </w:tc>
        <w:tc>
          <w:tcPr>
            <w:tcW w:w="85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19 (25)</w:t>
            </w:r>
          </w:p>
        </w:tc>
        <w:tc>
          <w:tcPr>
            <w:tcW w:w="550" w:type="pct"/>
            <w:shd w:val="clear" w:color="auto" w:fill="auto"/>
          </w:tcPr>
          <w:p w:rsidR="00632F57" w:rsidRPr="00E270A9" w:rsidRDefault="00632F57" w:rsidP="00472E5B">
            <w:pPr>
              <w:pStyle w:val="NICEnormal"/>
              <w:spacing w:after="0"/>
              <w:rPr>
                <w:sz w:val="22"/>
                <w:szCs w:val="22"/>
                <w:lang w:val="en-GB"/>
              </w:rPr>
            </w:pPr>
          </w:p>
        </w:tc>
        <w:tc>
          <w:tcPr>
            <w:tcW w:w="511" w:type="pct"/>
            <w:shd w:val="clear" w:color="auto" w:fill="auto"/>
          </w:tcPr>
          <w:p w:rsidR="00632F57" w:rsidRPr="00E270A9" w:rsidRDefault="00632F57" w:rsidP="00472E5B">
            <w:pPr>
              <w:pStyle w:val="NICEnormal"/>
              <w:spacing w:after="0"/>
              <w:rPr>
                <w:sz w:val="22"/>
                <w:szCs w:val="22"/>
                <w:lang w:val="en-GB"/>
              </w:rPr>
            </w:pPr>
          </w:p>
        </w:tc>
      </w:tr>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Pressure ulcer on admission </w:t>
            </w:r>
          </w:p>
        </w:tc>
        <w:tc>
          <w:tcPr>
            <w:tcW w:w="1405"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C. Did not develop an additional pressure ulcer </w:t>
            </w:r>
          </w:p>
        </w:tc>
        <w:tc>
          <w:tcPr>
            <w:tcW w:w="8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67 (74)</w:t>
            </w:r>
          </w:p>
        </w:tc>
        <w:tc>
          <w:tcPr>
            <w:tcW w:w="85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73 (83)</w:t>
            </w:r>
          </w:p>
        </w:tc>
        <w:tc>
          <w:tcPr>
            <w:tcW w:w="5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9</w:t>
            </w:r>
          </w:p>
        </w:tc>
        <w:tc>
          <w:tcPr>
            <w:tcW w:w="51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0.18</w:t>
            </w:r>
          </w:p>
        </w:tc>
      </w:tr>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p>
        </w:tc>
        <w:tc>
          <w:tcPr>
            <w:tcW w:w="1405"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D. Developed an additional pressure ulcer </w:t>
            </w:r>
          </w:p>
        </w:tc>
        <w:tc>
          <w:tcPr>
            <w:tcW w:w="8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24 (26)</w:t>
            </w:r>
          </w:p>
        </w:tc>
        <w:tc>
          <w:tcPr>
            <w:tcW w:w="85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15 (17)</w:t>
            </w:r>
          </w:p>
        </w:tc>
        <w:tc>
          <w:tcPr>
            <w:tcW w:w="550" w:type="pct"/>
            <w:shd w:val="clear" w:color="auto" w:fill="auto"/>
          </w:tcPr>
          <w:p w:rsidR="00632F57" w:rsidRPr="00E270A9" w:rsidRDefault="00632F57" w:rsidP="00472E5B">
            <w:pPr>
              <w:pStyle w:val="NICEnormal"/>
              <w:spacing w:after="0"/>
              <w:rPr>
                <w:sz w:val="22"/>
                <w:szCs w:val="22"/>
                <w:lang w:val="en-GB"/>
              </w:rPr>
            </w:pPr>
          </w:p>
        </w:tc>
        <w:tc>
          <w:tcPr>
            <w:tcW w:w="511" w:type="pct"/>
            <w:shd w:val="clear" w:color="auto" w:fill="auto"/>
          </w:tcPr>
          <w:p w:rsidR="00632F57" w:rsidRPr="00E270A9" w:rsidRDefault="00632F57" w:rsidP="00472E5B">
            <w:pPr>
              <w:pStyle w:val="NICEnormal"/>
              <w:spacing w:after="0"/>
              <w:rPr>
                <w:sz w:val="22"/>
                <w:szCs w:val="22"/>
                <w:lang w:val="en-GB"/>
              </w:rPr>
            </w:pPr>
          </w:p>
        </w:tc>
      </w:tr>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Subgroup B.  </w:t>
            </w:r>
          </w:p>
        </w:tc>
        <w:tc>
          <w:tcPr>
            <w:tcW w:w="1405"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The pressure ulcer improved </w:t>
            </w:r>
          </w:p>
        </w:tc>
        <w:tc>
          <w:tcPr>
            <w:tcW w:w="8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16 (33)</w:t>
            </w:r>
          </w:p>
        </w:tc>
        <w:tc>
          <w:tcPr>
            <w:tcW w:w="85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14 (74)</w:t>
            </w:r>
          </w:p>
        </w:tc>
        <w:tc>
          <w:tcPr>
            <w:tcW w:w="5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41</w:t>
            </w:r>
          </w:p>
        </w:tc>
        <w:tc>
          <w:tcPr>
            <w:tcW w:w="51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0.01</w:t>
            </w:r>
          </w:p>
        </w:tc>
      </w:tr>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p>
        </w:tc>
        <w:tc>
          <w:tcPr>
            <w:tcW w:w="1405"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The pressure ulcer stayed the same or deteriorated</w:t>
            </w:r>
          </w:p>
        </w:tc>
        <w:tc>
          <w:tcPr>
            <w:tcW w:w="8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32 (67)</w:t>
            </w:r>
          </w:p>
        </w:tc>
        <w:tc>
          <w:tcPr>
            <w:tcW w:w="85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5 (26)</w:t>
            </w:r>
          </w:p>
        </w:tc>
        <w:tc>
          <w:tcPr>
            <w:tcW w:w="550" w:type="pct"/>
            <w:shd w:val="clear" w:color="auto" w:fill="auto"/>
          </w:tcPr>
          <w:p w:rsidR="00632F57" w:rsidRPr="00E270A9" w:rsidRDefault="00632F57" w:rsidP="00472E5B">
            <w:pPr>
              <w:pStyle w:val="NICEnormal"/>
              <w:spacing w:after="0"/>
              <w:rPr>
                <w:sz w:val="22"/>
                <w:szCs w:val="22"/>
                <w:lang w:val="en-GB"/>
              </w:rPr>
            </w:pPr>
          </w:p>
        </w:tc>
        <w:tc>
          <w:tcPr>
            <w:tcW w:w="511" w:type="pct"/>
            <w:shd w:val="clear" w:color="auto" w:fill="auto"/>
          </w:tcPr>
          <w:p w:rsidR="00632F57" w:rsidRPr="00E270A9" w:rsidRDefault="00632F57" w:rsidP="00472E5B">
            <w:pPr>
              <w:pStyle w:val="NICEnormal"/>
              <w:spacing w:after="0"/>
              <w:rPr>
                <w:sz w:val="22"/>
                <w:szCs w:val="22"/>
                <w:lang w:val="en-GB"/>
              </w:rPr>
            </w:pPr>
          </w:p>
        </w:tc>
      </w:tr>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r>
              <w:rPr>
                <w:sz w:val="22"/>
                <w:szCs w:val="22"/>
                <w:lang w:val="en-GB"/>
              </w:rPr>
              <w:t>Subgroup D</w:t>
            </w:r>
            <w:r w:rsidRPr="00E270A9">
              <w:rPr>
                <w:sz w:val="22"/>
                <w:szCs w:val="22"/>
                <w:lang w:val="en-GB"/>
              </w:rPr>
              <w:t xml:space="preserve">. </w:t>
            </w:r>
          </w:p>
        </w:tc>
        <w:tc>
          <w:tcPr>
            <w:tcW w:w="1405"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The pressure ulcer deteriorated </w:t>
            </w:r>
          </w:p>
        </w:tc>
        <w:tc>
          <w:tcPr>
            <w:tcW w:w="8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18 (27)</w:t>
            </w:r>
          </w:p>
        </w:tc>
        <w:tc>
          <w:tcPr>
            <w:tcW w:w="85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4 (6)</w:t>
            </w:r>
          </w:p>
        </w:tc>
        <w:tc>
          <w:tcPr>
            <w:tcW w:w="5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-21</w:t>
            </w:r>
          </w:p>
        </w:tc>
        <w:tc>
          <w:tcPr>
            <w:tcW w:w="51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0.001</w:t>
            </w:r>
          </w:p>
        </w:tc>
      </w:tr>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p>
        </w:tc>
        <w:tc>
          <w:tcPr>
            <w:tcW w:w="1405"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 xml:space="preserve">The pressure ulcer stayed the same or improved </w:t>
            </w:r>
          </w:p>
        </w:tc>
        <w:tc>
          <w:tcPr>
            <w:tcW w:w="850"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49 (73)</w:t>
            </w:r>
          </w:p>
        </w:tc>
        <w:tc>
          <w:tcPr>
            <w:tcW w:w="851" w:type="pct"/>
            <w:shd w:val="clear" w:color="auto" w:fill="auto"/>
          </w:tcPr>
          <w:p w:rsidR="00632F57" w:rsidRPr="00E270A9" w:rsidRDefault="00632F57" w:rsidP="00472E5B">
            <w:pPr>
              <w:pStyle w:val="NICEnormal"/>
              <w:spacing w:after="0"/>
              <w:rPr>
                <w:sz w:val="22"/>
                <w:szCs w:val="22"/>
                <w:lang w:val="en-GB"/>
              </w:rPr>
            </w:pPr>
            <w:r w:rsidRPr="00E270A9">
              <w:rPr>
                <w:sz w:val="22"/>
                <w:szCs w:val="22"/>
                <w:lang w:val="en-GB"/>
              </w:rPr>
              <w:t>69 (94)</w:t>
            </w:r>
          </w:p>
        </w:tc>
        <w:tc>
          <w:tcPr>
            <w:tcW w:w="550" w:type="pct"/>
            <w:shd w:val="clear" w:color="auto" w:fill="auto"/>
          </w:tcPr>
          <w:p w:rsidR="00632F57" w:rsidRPr="00E270A9" w:rsidRDefault="00632F57" w:rsidP="00472E5B">
            <w:pPr>
              <w:pStyle w:val="NICEnormal"/>
              <w:spacing w:after="0"/>
              <w:rPr>
                <w:sz w:val="22"/>
                <w:szCs w:val="22"/>
                <w:lang w:val="en-GB"/>
              </w:rPr>
            </w:pPr>
          </w:p>
        </w:tc>
        <w:tc>
          <w:tcPr>
            <w:tcW w:w="511" w:type="pct"/>
            <w:shd w:val="clear" w:color="auto" w:fill="auto"/>
          </w:tcPr>
          <w:p w:rsidR="00632F57" w:rsidRPr="00E270A9" w:rsidRDefault="00632F57" w:rsidP="00472E5B">
            <w:pPr>
              <w:pStyle w:val="NICEnormal"/>
              <w:spacing w:after="0"/>
              <w:rPr>
                <w:sz w:val="22"/>
                <w:szCs w:val="22"/>
                <w:lang w:val="en-GB"/>
              </w:rPr>
            </w:pPr>
          </w:p>
        </w:tc>
      </w:tr>
      <w:tr w:rsidR="00632F57" w:rsidRPr="00E270A9" w:rsidTr="00472E5B">
        <w:tc>
          <w:tcPr>
            <w:tcW w:w="833" w:type="pct"/>
            <w:shd w:val="clear" w:color="auto" w:fill="auto"/>
          </w:tcPr>
          <w:p w:rsidR="00632F57" w:rsidRPr="00E270A9" w:rsidRDefault="00632F57" w:rsidP="00472E5B">
            <w:pPr>
              <w:pStyle w:val="NICEnormal"/>
              <w:spacing w:after="0"/>
              <w:rPr>
                <w:sz w:val="22"/>
                <w:szCs w:val="22"/>
                <w:lang w:val="en-GB"/>
              </w:rPr>
            </w:pPr>
          </w:p>
        </w:tc>
        <w:tc>
          <w:tcPr>
            <w:tcW w:w="1405" w:type="pct"/>
            <w:shd w:val="clear" w:color="auto" w:fill="auto"/>
          </w:tcPr>
          <w:p w:rsidR="00632F57" w:rsidRPr="00E270A9" w:rsidRDefault="00632F57" w:rsidP="00472E5B">
            <w:pPr>
              <w:pStyle w:val="NICEnormal"/>
              <w:spacing w:after="0"/>
              <w:rPr>
                <w:sz w:val="22"/>
                <w:szCs w:val="22"/>
                <w:lang w:val="en-GB"/>
              </w:rPr>
            </w:pPr>
          </w:p>
        </w:tc>
        <w:tc>
          <w:tcPr>
            <w:tcW w:w="850" w:type="pct"/>
            <w:shd w:val="clear" w:color="auto" w:fill="auto"/>
          </w:tcPr>
          <w:p w:rsidR="00632F57" w:rsidRPr="00E270A9" w:rsidRDefault="00632F57" w:rsidP="00472E5B">
            <w:pPr>
              <w:pStyle w:val="NICEnormal"/>
              <w:spacing w:after="0"/>
              <w:rPr>
                <w:sz w:val="22"/>
                <w:szCs w:val="22"/>
                <w:lang w:val="en-GB"/>
              </w:rPr>
            </w:pPr>
          </w:p>
        </w:tc>
        <w:tc>
          <w:tcPr>
            <w:tcW w:w="851" w:type="pct"/>
            <w:shd w:val="clear" w:color="auto" w:fill="auto"/>
          </w:tcPr>
          <w:p w:rsidR="00632F57" w:rsidRPr="00E270A9" w:rsidRDefault="00632F57" w:rsidP="00472E5B">
            <w:pPr>
              <w:pStyle w:val="NICEnormal"/>
              <w:spacing w:after="0"/>
              <w:rPr>
                <w:sz w:val="22"/>
                <w:szCs w:val="22"/>
                <w:lang w:val="en-GB"/>
              </w:rPr>
            </w:pPr>
          </w:p>
        </w:tc>
        <w:tc>
          <w:tcPr>
            <w:tcW w:w="550" w:type="pct"/>
            <w:shd w:val="clear" w:color="auto" w:fill="auto"/>
          </w:tcPr>
          <w:p w:rsidR="00632F57" w:rsidRPr="00E270A9" w:rsidRDefault="00632F57" w:rsidP="00472E5B">
            <w:pPr>
              <w:pStyle w:val="NICEnormal"/>
              <w:spacing w:after="0"/>
              <w:rPr>
                <w:sz w:val="22"/>
                <w:szCs w:val="22"/>
                <w:lang w:val="en-GB"/>
              </w:rPr>
            </w:pPr>
          </w:p>
        </w:tc>
        <w:tc>
          <w:tcPr>
            <w:tcW w:w="511" w:type="pct"/>
            <w:shd w:val="clear" w:color="auto" w:fill="auto"/>
          </w:tcPr>
          <w:p w:rsidR="00632F57" w:rsidRPr="00E270A9" w:rsidRDefault="00632F57" w:rsidP="00472E5B">
            <w:pPr>
              <w:pStyle w:val="NICEnormal"/>
              <w:spacing w:after="0"/>
              <w:rPr>
                <w:sz w:val="22"/>
                <w:szCs w:val="22"/>
                <w:lang w:val="en-GB"/>
              </w:rPr>
            </w:pPr>
          </w:p>
        </w:tc>
      </w:tr>
    </w:tbl>
    <w:p w:rsidR="00555BE9" w:rsidRDefault="00555BE9" w:rsidP="00082DE1">
      <w:pPr>
        <w:rPr>
          <w:rFonts w:cs="Arial"/>
        </w:rPr>
      </w:pPr>
    </w:p>
    <w:p w:rsidR="00632F57" w:rsidRDefault="00632F57" w:rsidP="00082DE1">
      <w:pPr>
        <w:rPr>
          <w:rFonts w:cs="Arial"/>
        </w:rPr>
      </w:pPr>
    </w:p>
    <w:p w:rsidR="00632F57" w:rsidRDefault="00632F57" w:rsidP="00082DE1">
      <w:pPr>
        <w:rPr>
          <w:rFonts w:cs="Arial"/>
        </w:rPr>
      </w:pPr>
    </w:p>
    <w:p w:rsidR="00555BE9" w:rsidRDefault="00555BE9" w:rsidP="00082DE1">
      <w:pPr>
        <w:rPr>
          <w:rFonts w:cs="Arial"/>
        </w:rPr>
      </w:pPr>
    </w:p>
    <w:p w:rsidR="00632F57" w:rsidRPr="008311D3" w:rsidRDefault="00632F57" w:rsidP="008311D3">
      <w:pPr>
        <w:pStyle w:val="Caption"/>
        <w:keepNext/>
      </w:pPr>
      <w:r w:rsidRPr="008311D3">
        <w:t xml:space="preserve">Table 4. </w:t>
      </w:r>
      <w:r>
        <w:t>Calculated relative risks</w:t>
      </w:r>
      <w:r w:rsidRPr="004914F2">
        <w:t xml:space="preserve"> for Smith </w:t>
      </w:r>
      <w:r w:rsidR="00A1003A">
        <w:t xml:space="preserve">and Ingram </w:t>
      </w:r>
      <w:r w:rsidRPr="004914F2">
        <w:t>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4"/>
        <w:gridCol w:w="2835"/>
        <w:gridCol w:w="2835"/>
        <w:gridCol w:w="2835"/>
        <w:gridCol w:w="2835"/>
      </w:tblGrid>
      <w:tr w:rsidR="00632F57" w:rsidRPr="004914F2" w:rsidTr="00472E5B">
        <w:tc>
          <w:tcPr>
            <w:tcW w:w="2834" w:type="dxa"/>
            <w:shd w:val="clear" w:color="auto" w:fill="auto"/>
          </w:tcPr>
          <w:p w:rsidR="00632F57" w:rsidRPr="004914F2" w:rsidRDefault="00632F57" w:rsidP="00472E5B">
            <w:pPr>
              <w:pStyle w:val="Paragraphnonumbers"/>
              <w:spacing w:before="0" w:after="0" w:line="240" w:lineRule="auto"/>
            </w:pPr>
          </w:p>
        </w:tc>
        <w:tc>
          <w:tcPr>
            <w:tcW w:w="2835" w:type="dxa"/>
            <w:shd w:val="clear" w:color="auto" w:fill="auto"/>
          </w:tcPr>
          <w:p w:rsidR="00632F57" w:rsidRPr="004914F2" w:rsidRDefault="00632F57" w:rsidP="00472E5B">
            <w:pPr>
              <w:pStyle w:val="Paragraphnonumbers"/>
              <w:spacing w:before="0" w:after="0" w:line="240" w:lineRule="auto"/>
            </w:pPr>
          </w:p>
        </w:tc>
        <w:tc>
          <w:tcPr>
            <w:tcW w:w="2835" w:type="dxa"/>
            <w:shd w:val="clear" w:color="auto" w:fill="auto"/>
          </w:tcPr>
          <w:p w:rsidR="00632F57" w:rsidRPr="004914F2" w:rsidRDefault="00632F57" w:rsidP="00472E5B">
            <w:pPr>
              <w:pStyle w:val="Paragraphnonumbers"/>
              <w:spacing w:before="0" w:after="0" w:line="240" w:lineRule="auto"/>
            </w:pPr>
            <w:r w:rsidRPr="004914F2">
              <w:t xml:space="preserve">Cohort 1 (no Parafricta) </w:t>
            </w:r>
          </w:p>
        </w:tc>
        <w:tc>
          <w:tcPr>
            <w:tcW w:w="2835" w:type="dxa"/>
            <w:shd w:val="clear" w:color="auto" w:fill="auto"/>
          </w:tcPr>
          <w:p w:rsidR="00632F57" w:rsidRPr="004914F2" w:rsidRDefault="00632F57" w:rsidP="00472E5B">
            <w:pPr>
              <w:pStyle w:val="Paragraphnonumbers"/>
              <w:spacing w:before="0" w:after="0" w:line="240" w:lineRule="auto"/>
            </w:pPr>
            <w:r w:rsidRPr="004914F2">
              <w:t>Cohort 2 (Parafricta)</w:t>
            </w:r>
          </w:p>
        </w:tc>
        <w:tc>
          <w:tcPr>
            <w:tcW w:w="2835" w:type="dxa"/>
            <w:shd w:val="clear" w:color="auto" w:fill="auto"/>
          </w:tcPr>
          <w:p w:rsidR="00632F57" w:rsidRPr="004914F2" w:rsidRDefault="00632F57" w:rsidP="00472E5B">
            <w:pPr>
              <w:pStyle w:val="Paragraphnonumbers"/>
              <w:spacing w:before="0" w:after="0" w:line="240" w:lineRule="auto"/>
            </w:pPr>
            <w:r w:rsidRPr="004914F2">
              <w:t>Relative risk (95%CI)*</w:t>
            </w:r>
          </w:p>
        </w:tc>
      </w:tr>
      <w:tr w:rsidR="00632F57" w:rsidRPr="004914F2" w:rsidTr="00472E5B">
        <w:tc>
          <w:tcPr>
            <w:tcW w:w="2834" w:type="dxa"/>
            <w:shd w:val="clear" w:color="auto" w:fill="auto"/>
          </w:tcPr>
          <w:p w:rsidR="00632F57" w:rsidRPr="004914F2" w:rsidRDefault="00632F57" w:rsidP="00472E5B">
            <w:pPr>
              <w:pStyle w:val="Paragraphnonumbers"/>
              <w:spacing w:before="0" w:after="0" w:line="240" w:lineRule="auto"/>
            </w:pPr>
            <w:r w:rsidRPr="004914F2">
              <w:t>Pressure ulcer on admission</w:t>
            </w:r>
          </w:p>
        </w:tc>
        <w:tc>
          <w:tcPr>
            <w:tcW w:w="2835" w:type="dxa"/>
            <w:shd w:val="clear" w:color="auto" w:fill="auto"/>
          </w:tcPr>
          <w:p w:rsidR="00632F57" w:rsidRPr="004914F2" w:rsidRDefault="00632F57" w:rsidP="00472E5B">
            <w:pPr>
              <w:pStyle w:val="Paragraphnonumbers"/>
              <w:spacing w:before="0" w:after="0" w:line="240" w:lineRule="auto"/>
            </w:pPr>
            <w:r w:rsidRPr="004914F2">
              <w:t xml:space="preserve">That pressure ulcer deteriorated </w:t>
            </w:r>
          </w:p>
        </w:tc>
        <w:tc>
          <w:tcPr>
            <w:tcW w:w="2835" w:type="dxa"/>
            <w:shd w:val="clear" w:color="auto" w:fill="auto"/>
          </w:tcPr>
          <w:p w:rsidR="00632F57" w:rsidRPr="004914F2" w:rsidRDefault="00632F57" w:rsidP="00472E5B">
            <w:pPr>
              <w:pStyle w:val="Paragraphnonumbers"/>
              <w:spacing w:before="0" w:after="0" w:line="240" w:lineRule="auto"/>
            </w:pPr>
            <w:r w:rsidRPr="004914F2">
              <w:t>18/67</w:t>
            </w:r>
          </w:p>
        </w:tc>
        <w:tc>
          <w:tcPr>
            <w:tcW w:w="2835" w:type="dxa"/>
            <w:shd w:val="clear" w:color="auto" w:fill="auto"/>
          </w:tcPr>
          <w:p w:rsidR="00632F57" w:rsidRPr="004914F2" w:rsidRDefault="00632F57" w:rsidP="00472E5B">
            <w:pPr>
              <w:pStyle w:val="Paragraphnonumbers"/>
              <w:spacing w:before="0" w:after="0" w:line="240" w:lineRule="auto"/>
            </w:pPr>
            <w:r w:rsidRPr="004914F2">
              <w:t>4/73</w:t>
            </w:r>
          </w:p>
        </w:tc>
        <w:tc>
          <w:tcPr>
            <w:tcW w:w="2835" w:type="dxa"/>
            <w:shd w:val="clear" w:color="auto" w:fill="auto"/>
          </w:tcPr>
          <w:p w:rsidR="00632F57" w:rsidRPr="004914F2" w:rsidRDefault="00632F57" w:rsidP="00472E5B">
            <w:pPr>
              <w:pStyle w:val="Paragraphnonumbers"/>
              <w:spacing w:before="0" w:after="0" w:line="240" w:lineRule="auto"/>
            </w:pPr>
            <w:r w:rsidRPr="004914F2">
              <w:t>4.90 (1.75-13.75)</w:t>
            </w:r>
          </w:p>
        </w:tc>
      </w:tr>
      <w:tr w:rsidR="00632F57" w:rsidRPr="004914F2" w:rsidTr="00472E5B">
        <w:tc>
          <w:tcPr>
            <w:tcW w:w="2834" w:type="dxa"/>
            <w:shd w:val="clear" w:color="auto" w:fill="auto"/>
          </w:tcPr>
          <w:p w:rsidR="00632F57" w:rsidRPr="004914F2" w:rsidRDefault="00632F57" w:rsidP="00472E5B">
            <w:pPr>
              <w:pStyle w:val="Paragraphnonumbers"/>
              <w:spacing w:before="0" w:after="0" w:line="240" w:lineRule="auto"/>
            </w:pPr>
            <w:r w:rsidRPr="004914F2">
              <w:t xml:space="preserve">Pressure ulcer on admission </w:t>
            </w:r>
          </w:p>
        </w:tc>
        <w:tc>
          <w:tcPr>
            <w:tcW w:w="2835" w:type="dxa"/>
            <w:shd w:val="clear" w:color="auto" w:fill="auto"/>
          </w:tcPr>
          <w:p w:rsidR="00632F57" w:rsidRPr="004914F2" w:rsidRDefault="00632F57" w:rsidP="00472E5B">
            <w:pPr>
              <w:pStyle w:val="Paragraphnonumbers"/>
              <w:spacing w:before="0" w:after="0" w:line="240" w:lineRule="auto"/>
            </w:pPr>
            <w:r w:rsidRPr="004914F2">
              <w:t xml:space="preserve">Developed an additional pressure ulcer </w:t>
            </w:r>
          </w:p>
        </w:tc>
        <w:tc>
          <w:tcPr>
            <w:tcW w:w="2835" w:type="dxa"/>
            <w:shd w:val="clear" w:color="auto" w:fill="auto"/>
          </w:tcPr>
          <w:p w:rsidR="00632F57" w:rsidRPr="004914F2" w:rsidRDefault="00632F57" w:rsidP="00472E5B">
            <w:pPr>
              <w:pStyle w:val="Paragraphnonumbers"/>
              <w:spacing w:before="0" w:after="0" w:line="240" w:lineRule="auto"/>
            </w:pPr>
            <w:r w:rsidRPr="004914F2">
              <w:t>24/91</w:t>
            </w:r>
          </w:p>
        </w:tc>
        <w:tc>
          <w:tcPr>
            <w:tcW w:w="2835" w:type="dxa"/>
            <w:shd w:val="clear" w:color="auto" w:fill="auto"/>
          </w:tcPr>
          <w:p w:rsidR="00632F57" w:rsidRPr="004914F2" w:rsidRDefault="00632F57" w:rsidP="00472E5B">
            <w:pPr>
              <w:pStyle w:val="Paragraphnonumbers"/>
              <w:spacing w:before="0" w:after="0" w:line="240" w:lineRule="auto"/>
            </w:pPr>
            <w:r w:rsidRPr="004914F2">
              <w:t>15/88</w:t>
            </w:r>
          </w:p>
        </w:tc>
        <w:tc>
          <w:tcPr>
            <w:tcW w:w="2835" w:type="dxa"/>
            <w:shd w:val="clear" w:color="auto" w:fill="auto"/>
          </w:tcPr>
          <w:p w:rsidR="00632F57" w:rsidRPr="004914F2" w:rsidRDefault="00632F57" w:rsidP="00472E5B">
            <w:pPr>
              <w:pStyle w:val="Paragraphnonumbers"/>
              <w:spacing w:before="0" w:after="0" w:line="240" w:lineRule="auto"/>
            </w:pPr>
            <w:r w:rsidRPr="004914F2">
              <w:t>1.55 (0.87-2.75)</w:t>
            </w:r>
          </w:p>
        </w:tc>
      </w:tr>
      <w:tr w:rsidR="00632F57" w:rsidRPr="004914F2" w:rsidTr="00472E5B">
        <w:tc>
          <w:tcPr>
            <w:tcW w:w="2834" w:type="dxa"/>
            <w:shd w:val="clear" w:color="auto" w:fill="auto"/>
          </w:tcPr>
          <w:p w:rsidR="00632F57" w:rsidRPr="004914F2" w:rsidRDefault="00632F57" w:rsidP="00472E5B">
            <w:pPr>
              <w:pStyle w:val="Paragraphnonumbers"/>
              <w:spacing w:before="0" w:after="0" w:line="240" w:lineRule="auto"/>
            </w:pPr>
          </w:p>
        </w:tc>
        <w:tc>
          <w:tcPr>
            <w:tcW w:w="2835" w:type="dxa"/>
            <w:shd w:val="clear" w:color="auto" w:fill="auto"/>
          </w:tcPr>
          <w:p w:rsidR="00632F57" w:rsidRPr="004914F2" w:rsidRDefault="00632F57" w:rsidP="00472E5B">
            <w:pPr>
              <w:pStyle w:val="Paragraphnonumbers"/>
              <w:spacing w:before="0" w:after="0" w:line="240" w:lineRule="auto"/>
            </w:pPr>
          </w:p>
        </w:tc>
        <w:tc>
          <w:tcPr>
            <w:tcW w:w="2835" w:type="dxa"/>
            <w:shd w:val="clear" w:color="auto" w:fill="auto"/>
          </w:tcPr>
          <w:p w:rsidR="00632F57" w:rsidRPr="004914F2" w:rsidRDefault="00632F57" w:rsidP="00472E5B">
            <w:pPr>
              <w:pStyle w:val="Paragraphnonumbers"/>
              <w:spacing w:before="0" w:after="0" w:line="240" w:lineRule="auto"/>
            </w:pPr>
          </w:p>
        </w:tc>
        <w:tc>
          <w:tcPr>
            <w:tcW w:w="2835" w:type="dxa"/>
            <w:shd w:val="clear" w:color="auto" w:fill="auto"/>
          </w:tcPr>
          <w:p w:rsidR="00632F57" w:rsidRPr="004914F2" w:rsidRDefault="00632F57" w:rsidP="00472E5B">
            <w:pPr>
              <w:pStyle w:val="Paragraphnonumbers"/>
              <w:spacing w:before="0" w:after="0" w:line="240" w:lineRule="auto"/>
            </w:pPr>
          </w:p>
        </w:tc>
        <w:tc>
          <w:tcPr>
            <w:tcW w:w="2835" w:type="dxa"/>
            <w:shd w:val="clear" w:color="auto" w:fill="auto"/>
          </w:tcPr>
          <w:p w:rsidR="00632F57" w:rsidRPr="004914F2" w:rsidRDefault="00632F57" w:rsidP="00472E5B">
            <w:pPr>
              <w:pStyle w:val="Paragraphnonumbers"/>
              <w:spacing w:before="0" w:after="0" w:line="240" w:lineRule="auto"/>
            </w:pPr>
          </w:p>
        </w:tc>
      </w:tr>
      <w:tr w:rsidR="00632F57" w:rsidRPr="004914F2" w:rsidTr="00472E5B">
        <w:tc>
          <w:tcPr>
            <w:tcW w:w="2834" w:type="dxa"/>
            <w:shd w:val="clear" w:color="auto" w:fill="auto"/>
          </w:tcPr>
          <w:p w:rsidR="00632F57" w:rsidRPr="004914F2" w:rsidRDefault="00632F57" w:rsidP="00472E5B">
            <w:pPr>
              <w:pStyle w:val="Paragraphnonumbers"/>
              <w:spacing w:before="0" w:after="0" w:line="240" w:lineRule="auto"/>
            </w:pPr>
            <w:r w:rsidRPr="004914F2">
              <w:t xml:space="preserve">No pressure ulcer on admission </w:t>
            </w:r>
          </w:p>
        </w:tc>
        <w:tc>
          <w:tcPr>
            <w:tcW w:w="2835" w:type="dxa"/>
            <w:shd w:val="clear" w:color="auto" w:fill="auto"/>
          </w:tcPr>
          <w:p w:rsidR="00632F57" w:rsidRPr="004914F2" w:rsidRDefault="00632F57" w:rsidP="00472E5B">
            <w:pPr>
              <w:pStyle w:val="Paragraphnonumbers"/>
              <w:spacing w:before="0" w:after="0" w:line="240" w:lineRule="auto"/>
            </w:pPr>
            <w:r w:rsidRPr="004914F2">
              <w:t xml:space="preserve">Developed pressure ulcer </w:t>
            </w:r>
          </w:p>
        </w:tc>
        <w:tc>
          <w:tcPr>
            <w:tcW w:w="2835" w:type="dxa"/>
            <w:shd w:val="clear" w:color="auto" w:fill="auto"/>
          </w:tcPr>
          <w:p w:rsidR="00632F57" w:rsidRPr="004914F2" w:rsidRDefault="00632F57" w:rsidP="00472E5B">
            <w:pPr>
              <w:pStyle w:val="Paragraphnonumbers"/>
              <w:spacing w:before="0" w:after="0" w:line="240" w:lineRule="auto"/>
            </w:pPr>
            <w:r w:rsidRPr="004914F2">
              <w:t>46/113</w:t>
            </w:r>
          </w:p>
        </w:tc>
        <w:tc>
          <w:tcPr>
            <w:tcW w:w="2835" w:type="dxa"/>
            <w:shd w:val="clear" w:color="auto" w:fill="auto"/>
          </w:tcPr>
          <w:p w:rsidR="00632F57" w:rsidRPr="004914F2" w:rsidRDefault="00632F57" w:rsidP="00472E5B">
            <w:pPr>
              <w:pStyle w:val="Paragraphnonumbers"/>
              <w:spacing w:before="0" w:after="0" w:line="240" w:lineRule="auto"/>
            </w:pPr>
            <w:r w:rsidRPr="004914F2">
              <w:t>19/77</w:t>
            </w:r>
          </w:p>
        </w:tc>
        <w:tc>
          <w:tcPr>
            <w:tcW w:w="2835" w:type="dxa"/>
            <w:shd w:val="clear" w:color="auto" w:fill="auto"/>
          </w:tcPr>
          <w:p w:rsidR="00632F57" w:rsidRPr="004914F2" w:rsidRDefault="00632F57" w:rsidP="00472E5B">
            <w:pPr>
              <w:pStyle w:val="Paragraphnonumbers"/>
              <w:spacing w:before="0" w:after="0" w:line="240" w:lineRule="auto"/>
            </w:pPr>
            <w:r w:rsidRPr="004914F2">
              <w:t>1.65 (1.05-2.59)</w:t>
            </w:r>
          </w:p>
        </w:tc>
      </w:tr>
      <w:tr w:rsidR="00632F57" w:rsidRPr="004914F2" w:rsidTr="00472E5B">
        <w:tc>
          <w:tcPr>
            <w:tcW w:w="2834" w:type="dxa"/>
            <w:shd w:val="clear" w:color="auto" w:fill="auto"/>
          </w:tcPr>
          <w:p w:rsidR="00632F57" w:rsidRPr="004914F2" w:rsidRDefault="00632F57" w:rsidP="00472E5B">
            <w:pPr>
              <w:pStyle w:val="Paragraphnonumbers"/>
              <w:spacing w:before="0" w:after="0" w:line="240" w:lineRule="auto"/>
            </w:pPr>
            <w:r w:rsidRPr="004914F2">
              <w:t xml:space="preserve">No pressure ulcer on admission but one developed during hospital stay </w:t>
            </w:r>
          </w:p>
        </w:tc>
        <w:tc>
          <w:tcPr>
            <w:tcW w:w="2835" w:type="dxa"/>
            <w:shd w:val="clear" w:color="auto" w:fill="auto"/>
          </w:tcPr>
          <w:p w:rsidR="00632F57" w:rsidRPr="004914F2" w:rsidRDefault="00632F57" w:rsidP="00472E5B">
            <w:pPr>
              <w:pStyle w:val="Paragraphnonumbers"/>
              <w:spacing w:before="0" w:after="0" w:line="240" w:lineRule="auto"/>
            </w:pPr>
            <w:r w:rsidRPr="004914F2">
              <w:t xml:space="preserve">Pressure ulcer same or deteriorated </w:t>
            </w:r>
          </w:p>
        </w:tc>
        <w:tc>
          <w:tcPr>
            <w:tcW w:w="2835" w:type="dxa"/>
            <w:shd w:val="clear" w:color="auto" w:fill="auto"/>
          </w:tcPr>
          <w:p w:rsidR="00632F57" w:rsidRPr="004914F2" w:rsidRDefault="00632F57" w:rsidP="00472E5B">
            <w:pPr>
              <w:pStyle w:val="Paragraphnonumbers"/>
              <w:spacing w:before="0" w:after="0" w:line="240" w:lineRule="auto"/>
            </w:pPr>
            <w:r w:rsidRPr="004914F2">
              <w:t>32/48</w:t>
            </w:r>
          </w:p>
        </w:tc>
        <w:tc>
          <w:tcPr>
            <w:tcW w:w="2835" w:type="dxa"/>
            <w:shd w:val="clear" w:color="auto" w:fill="auto"/>
          </w:tcPr>
          <w:p w:rsidR="00632F57" w:rsidRPr="004914F2" w:rsidRDefault="00632F57" w:rsidP="00472E5B">
            <w:pPr>
              <w:pStyle w:val="Paragraphnonumbers"/>
              <w:spacing w:before="0" w:after="0" w:line="240" w:lineRule="auto"/>
            </w:pPr>
            <w:r w:rsidRPr="004914F2">
              <w:t>5/19</w:t>
            </w:r>
          </w:p>
        </w:tc>
        <w:tc>
          <w:tcPr>
            <w:tcW w:w="2835" w:type="dxa"/>
            <w:shd w:val="clear" w:color="auto" w:fill="auto"/>
          </w:tcPr>
          <w:p w:rsidR="00632F57" w:rsidRPr="004914F2" w:rsidRDefault="00632F57" w:rsidP="00472E5B">
            <w:pPr>
              <w:pStyle w:val="Paragraphnonumbers"/>
              <w:spacing w:before="0" w:after="0" w:line="240" w:lineRule="auto"/>
            </w:pPr>
            <w:r w:rsidRPr="004914F2">
              <w:t>2.53 (1.16-5.52)</w:t>
            </w:r>
          </w:p>
        </w:tc>
      </w:tr>
      <w:tr w:rsidR="00632F57" w:rsidRPr="004914F2" w:rsidTr="00472E5B">
        <w:tc>
          <w:tcPr>
            <w:tcW w:w="14174" w:type="dxa"/>
            <w:gridSpan w:val="5"/>
            <w:shd w:val="clear" w:color="auto" w:fill="auto"/>
          </w:tcPr>
          <w:p w:rsidR="00632F57" w:rsidRPr="004914F2" w:rsidRDefault="00220A76" w:rsidP="00472E5B">
            <w:pPr>
              <w:pStyle w:val="Paragraphnonumbers"/>
              <w:spacing w:before="0" w:after="0" w:line="240" w:lineRule="auto"/>
            </w:pPr>
            <w:r>
              <w:t>*</w:t>
            </w:r>
            <w:r w:rsidR="00632F57" w:rsidRPr="004914F2">
              <w:t>Calculated in Revman 5.2</w:t>
            </w:r>
          </w:p>
        </w:tc>
      </w:tr>
    </w:tbl>
    <w:p w:rsidR="00632F57" w:rsidRDefault="00632F57" w:rsidP="00082DE1">
      <w:pPr>
        <w:rPr>
          <w:rFonts w:cs="Arial"/>
        </w:rPr>
      </w:pPr>
    </w:p>
    <w:p w:rsidR="005461C7" w:rsidRDefault="005461C7" w:rsidP="00082DE1">
      <w:pPr>
        <w:rPr>
          <w:rFonts w:cs="Arial"/>
        </w:rPr>
      </w:pPr>
    </w:p>
    <w:p w:rsidR="005461C7" w:rsidRDefault="005461C7" w:rsidP="00082DE1">
      <w:pPr>
        <w:rPr>
          <w:rFonts w:cs="Arial"/>
        </w:rPr>
      </w:pPr>
    </w:p>
    <w:p w:rsidR="005461C7" w:rsidRDefault="005461C7" w:rsidP="00082DE1">
      <w:pPr>
        <w:rPr>
          <w:rFonts w:cs="Arial"/>
        </w:rPr>
      </w:pPr>
    </w:p>
    <w:p w:rsidR="00296210" w:rsidRDefault="00296210" w:rsidP="00082DE1">
      <w:pPr>
        <w:rPr>
          <w:rFonts w:cs="Arial"/>
        </w:rPr>
        <w:sectPr w:rsidR="00296210" w:rsidSect="00555BE9">
          <w:pgSz w:w="16838" w:h="11906" w:orient="landscape"/>
          <w:pgMar w:top="1440" w:right="1440" w:bottom="1440" w:left="1440" w:header="708" w:footer="708" w:gutter="0"/>
          <w:cols w:space="708"/>
          <w:docGrid w:linePitch="360"/>
        </w:sectPr>
      </w:pPr>
    </w:p>
    <w:p w:rsidR="001B6073" w:rsidRDefault="001B6073" w:rsidP="00082DE1">
      <w:pPr>
        <w:rPr>
          <w:rFonts w:cs="Arial"/>
        </w:rPr>
      </w:pPr>
    </w:p>
    <w:p w:rsidR="001B6073" w:rsidRDefault="001B6073" w:rsidP="001B6073">
      <w:pPr>
        <w:pStyle w:val="Caption"/>
        <w:keepNext/>
      </w:pPr>
      <w:bookmarkStart w:id="4" w:name="_Ref384820163"/>
      <w:r>
        <w:t>Table</w:t>
      </w:r>
      <w:bookmarkEnd w:id="4"/>
      <w:r>
        <w:t xml:space="preserve"> 5.  Waterlow scores from Smith and Ingram (2010)</w:t>
      </w:r>
    </w:p>
    <w:tbl>
      <w:tblPr>
        <w:tblW w:w="8568" w:type="dxa"/>
        <w:tblLook w:val="04A0" w:firstRow="1" w:lastRow="0" w:firstColumn="1" w:lastColumn="0" w:noHBand="0" w:noVBand="1"/>
      </w:tblPr>
      <w:tblGrid>
        <w:gridCol w:w="2766"/>
        <w:gridCol w:w="1603"/>
        <w:gridCol w:w="1755"/>
        <w:gridCol w:w="1326"/>
        <w:gridCol w:w="1118"/>
      </w:tblGrid>
      <w:tr w:rsidR="001B6073" w:rsidRPr="007D2D5F" w:rsidTr="001B6073">
        <w:trPr>
          <w:trHeight w:val="177"/>
        </w:trPr>
        <w:tc>
          <w:tcPr>
            <w:tcW w:w="2737" w:type="dxa"/>
            <w:tcBorders>
              <w:top w:val="single" w:sz="8" w:space="0" w:color="auto"/>
              <w:left w:val="single" w:sz="8" w:space="0" w:color="auto"/>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587" w:type="dxa"/>
            <w:tcBorders>
              <w:top w:val="single" w:sz="8" w:space="0" w:color="auto"/>
              <w:left w:val="nil"/>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737" w:type="dxa"/>
            <w:tcBorders>
              <w:top w:val="single" w:sz="8" w:space="0" w:color="auto"/>
              <w:left w:val="nil"/>
              <w:bottom w:val="nil"/>
              <w:right w:val="nil"/>
            </w:tcBorders>
            <w:shd w:val="clear" w:color="auto" w:fill="auto"/>
            <w:noWrap/>
            <w:vAlign w:val="bottom"/>
          </w:tcPr>
          <w:p w:rsidR="001B6073" w:rsidRPr="007D2D5F" w:rsidRDefault="001B6073" w:rsidP="001B6073">
            <w:pPr>
              <w:rPr>
                <w:rFonts w:ascii="Calibri" w:hAnsi="Calibri"/>
                <w:b/>
                <w:bCs/>
                <w:color w:val="000000"/>
              </w:rPr>
            </w:pPr>
            <w:r w:rsidRPr="007D2D5F">
              <w:rPr>
                <w:rFonts w:ascii="Calibri" w:hAnsi="Calibri"/>
                <w:b/>
                <w:bCs/>
                <w:color w:val="000000"/>
              </w:rPr>
              <w:t>All incidences</w:t>
            </w:r>
          </w:p>
        </w:tc>
        <w:tc>
          <w:tcPr>
            <w:tcW w:w="1312" w:type="dxa"/>
            <w:tcBorders>
              <w:top w:val="single" w:sz="8" w:space="0" w:color="auto"/>
              <w:left w:val="nil"/>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107" w:type="dxa"/>
            <w:tcBorders>
              <w:top w:val="single" w:sz="8" w:space="0" w:color="auto"/>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single" w:sz="4" w:space="0" w:color="auto"/>
              <w:left w:val="single" w:sz="8" w:space="0" w:color="auto"/>
              <w:bottom w:val="single" w:sz="4" w:space="0" w:color="auto"/>
              <w:right w:val="single" w:sz="4"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587" w:type="dxa"/>
            <w:tcBorders>
              <w:top w:val="single" w:sz="4" w:space="0" w:color="auto"/>
              <w:left w:val="nil"/>
              <w:bottom w:val="single" w:sz="4" w:space="0" w:color="auto"/>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xml:space="preserve">Waterlow score </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xml:space="preserve">Number </w:t>
            </w:r>
          </w:p>
        </w:tc>
        <w:tc>
          <w:tcPr>
            <w:tcW w:w="1312" w:type="dxa"/>
            <w:tcBorders>
              <w:top w:val="single" w:sz="4" w:space="0" w:color="auto"/>
              <w:left w:val="nil"/>
              <w:bottom w:val="single" w:sz="4" w:space="0" w:color="auto"/>
              <w:right w:val="single" w:sz="4"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Percentage</w:t>
            </w: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nil"/>
              <w:left w:val="single" w:sz="8" w:space="0" w:color="auto"/>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Cohort 1</w:t>
            </w:r>
          </w:p>
        </w:tc>
        <w:tc>
          <w:tcPr>
            <w:tcW w:w="1587" w:type="dxa"/>
            <w:tcBorders>
              <w:top w:val="nil"/>
              <w:left w:val="single" w:sz="4" w:space="0" w:color="auto"/>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15-19</w:t>
            </w:r>
          </w:p>
        </w:tc>
        <w:tc>
          <w:tcPr>
            <w:tcW w:w="1737" w:type="dxa"/>
            <w:tcBorders>
              <w:top w:val="nil"/>
              <w:left w:val="single" w:sz="4" w:space="0" w:color="auto"/>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103</w:t>
            </w:r>
          </w:p>
        </w:tc>
        <w:tc>
          <w:tcPr>
            <w:tcW w:w="1312" w:type="dxa"/>
            <w:tcBorders>
              <w:top w:val="nil"/>
              <w:left w:val="nil"/>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50.00%</w:t>
            </w: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nil"/>
              <w:left w:val="single" w:sz="8" w:space="0" w:color="auto"/>
              <w:bottom w:val="nil"/>
              <w:right w:val="single" w:sz="4"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Pre Parafricta products</w:t>
            </w:r>
          </w:p>
        </w:tc>
        <w:tc>
          <w:tcPr>
            <w:tcW w:w="1587"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20-24</w:t>
            </w:r>
          </w:p>
        </w:tc>
        <w:tc>
          <w:tcPr>
            <w:tcW w:w="1737" w:type="dxa"/>
            <w:tcBorders>
              <w:top w:val="nil"/>
              <w:left w:val="single" w:sz="4" w:space="0" w:color="auto"/>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82</w:t>
            </w:r>
          </w:p>
        </w:tc>
        <w:tc>
          <w:tcPr>
            <w:tcW w:w="1312" w:type="dxa"/>
            <w:tcBorders>
              <w:top w:val="nil"/>
              <w:left w:val="nil"/>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39.81%</w:t>
            </w: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nil"/>
              <w:left w:val="single" w:sz="8" w:space="0" w:color="auto"/>
              <w:bottom w:val="nil"/>
              <w:right w:val="single" w:sz="4"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587"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25+</w:t>
            </w:r>
          </w:p>
        </w:tc>
        <w:tc>
          <w:tcPr>
            <w:tcW w:w="1737" w:type="dxa"/>
            <w:tcBorders>
              <w:top w:val="nil"/>
              <w:left w:val="single" w:sz="4" w:space="0" w:color="auto"/>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21</w:t>
            </w:r>
          </w:p>
        </w:tc>
        <w:tc>
          <w:tcPr>
            <w:tcW w:w="1312" w:type="dxa"/>
            <w:tcBorders>
              <w:top w:val="nil"/>
              <w:left w:val="nil"/>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10.19%</w:t>
            </w: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1B6073" w:rsidRPr="007D2D5F" w:rsidRDefault="001B6073" w:rsidP="001B6073">
            <w:pPr>
              <w:rPr>
                <w:rFonts w:ascii="Calibri" w:hAnsi="Calibri"/>
                <w:color w:val="000000"/>
              </w:rPr>
            </w:pPr>
            <w:r w:rsidRPr="007D2D5F">
              <w:rPr>
                <w:rFonts w:ascii="Calibri" w:hAnsi="Calibri"/>
                <w:color w:val="000000"/>
              </w:rPr>
              <w:t xml:space="preserve">Total </w:t>
            </w:r>
          </w:p>
        </w:tc>
        <w:tc>
          <w:tcPr>
            <w:tcW w:w="1587" w:type="dxa"/>
            <w:tcBorders>
              <w:top w:val="single" w:sz="4" w:space="0" w:color="auto"/>
              <w:left w:val="nil"/>
              <w:bottom w:val="single" w:sz="4" w:space="0" w:color="auto"/>
              <w:right w:val="nil"/>
            </w:tcBorders>
            <w:shd w:val="clear" w:color="000000" w:fill="D8D8D8"/>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206</w:t>
            </w:r>
          </w:p>
        </w:tc>
        <w:tc>
          <w:tcPr>
            <w:tcW w:w="1312" w:type="dxa"/>
            <w:tcBorders>
              <w:top w:val="single" w:sz="4" w:space="0" w:color="auto"/>
              <w:left w:val="nil"/>
              <w:bottom w:val="single" w:sz="4" w:space="0" w:color="auto"/>
              <w:right w:val="single" w:sz="4" w:space="0" w:color="auto"/>
            </w:tcBorders>
            <w:shd w:val="clear" w:color="000000" w:fill="D8D8D8"/>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nil"/>
              <w:left w:val="single" w:sz="8" w:space="0" w:color="auto"/>
              <w:bottom w:val="nil"/>
              <w:right w:val="single" w:sz="4"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xml:space="preserve">Cohort 2 </w:t>
            </w:r>
          </w:p>
        </w:tc>
        <w:tc>
          <w:tcPr>
            <w:tcW w:w="1587"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15-19</w:t>
            </w:r>
          </w:p>
        </w:tc>
        <w:tc>
          <w:tcPr>
            <w:tcW w:w="1737" w:type="dxa"/>
            <w:tcBorders>
              <w:top w:val="nil"/>
              <w:left w:val="single" w:sz="4" w:space="0" w:color="auto"/>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94</w:t>
            </w:r>
          </w:p>
        </w:tc>
        <w:tc>
          <w:tcPr>
            <w:tcW w:w="1312" w:type="dxa"/>
            <w:tcBorders>
              <w:top w:val="nil"/>
              <w:left w:val="nil"/>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56.97%</w:t>
            </w: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nil"/>
              <w:left w:val="single" w:sz="8" w:space="0" w:color="auto"/>
              <w:bottom w:val="nil"/>
              <w:right w:val="single" w:sz="4"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Post Parafricta products</w:t>
            </w:r>
          </w:p>
        </w:tc>
        <w:tc>
          <w:tcPr>
            <w:tcW w:w="1587"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20-24</w:t>
            </w:r>
          </w:p>
        </w:tc>
        <w:tc>
          <w:tcPr>
            <w:tcW w:w="1737" w:type="dxa"/>
            <w:tcBorders>
              <w:top w:val="nil"/>
              <w:left w:val="single" w:sz="4" w:space="0" w:color="auto"/>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52</w:t>
            </w:r>
          </w:p>
        </w:tc>
        <w:tc>
          <w:tcPr>
            <w:tcW w:w="1312" w:type="dxa"/>
            <w:tcBorders>
              <w:top w:val="nil"/>
              <w:left w:val="nil"/>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31.52%</w:t>
            </w: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nil"/>
              <w:left w:val="single" w:sz="8" w:space="0" w:color="auto"/>
              <w:bottom w:val="nil"/>
              <w:right w:val="single" w:sz="4"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587"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25+</w:t>
            </w:r>
          </w:p>
        </w:tc>
        <w:tc>
          <w:tcPr>
            <w:tcW w:w="1737" w:type="dxa"/>
            <w:tcBorders>
              <w:top w:val="nil"/>
              <w:left w:val="single" w:sz="4" w:space="0" w:color="auto"/>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19</w:t>
            </w:r>
          </w:p>
        </w:tc>
        <w:tc>
          <w:tcPr>
            <w:tcW w:w="1312" w:type="dxa"/>
            <w:tcBorders>
              <w:top w:val="nil"/>
              <w:left w:val="nil"/>
              <w:bottom w:val="nil"/>
              <w:right w:val="single" w:sz="4" w:space="0" w:color="auto"/>
            </w:tcBorders>
            <w:shd w:val="clear" w:color="auto" w:fill="auto"/>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11.52%</w:t>
            </w: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single" w:sz="4" w:space="0" w:color="auto"/>
              <w:left w:val="single" w:sz="8" w:space="0" w:color="auto"/>
              <w:bottom w:val="single" w:sz="4" w:space="0" w:color="auto"/>
              <w:right w:val="single" w:sz="4" w:space="0" w:color="auto"/>
            </w:tcBorders>
            <w:shd w:val="clear" w:color="000000" w:fill="D8D8D8"/>
            <w:noWrap/>
            <w:vAlign w:val="bottom"/>
          </w:tcPr>
          <w:p w:rsidR="001B6073" w:rsidRPr="007D2D5F" w:rsidRDefault="001B6073" w:rsidP="001B6073">
            <w:pPr>
              <w:rPr>
                <w:rFonts w:ascii="Calibri" w:hAnsi="Calibri"/>
                <w:color w:val="000000"/>
              </w:rPr>
            </w:pPr>
            <w:r w:rsidRPr="007D2D5F">
              <w:rPr>
                <w:rFonts w:ascii="Calibri" w:hAnsi="Calibri"/>
                <w:color w:val="000000"/>
              </w:rPr>
              <w:t xml:space="preserve">Total </w:t>
            </w:r>
          </w:p>
        </w:tc>
        <w:tc>
          <w:tcPr>
            <w:tcW w:w="1587" w:type="dxa"/>
            <w:tcBorders>
              <w:top w:val="single" w:sz="4" w:space="0" w:color="auto"/>
              <w:left w:val="nil"/>
              <w:bottom w:val="single" w:sz="4" w:space="0" w:color="auto"/>
              <w:right w:val="nil"/>
            </w:tcBorders>
            <w:shd w:val="clear" w:color="000000" w:fill="D8D8D8"/>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1B6073" w:rsidRPr="007D2D5F" w:rsidRDefault="001B6073" w:rsidP="001B6073">
            <w:pPr>
              <w:jc w:val="right"/>
              <w:rPr>
                <w:rFonts w:ascii="Calibri" w:hAnsi="Calibri"/>
                <w:color w:val="000000"/>
              </w:rPr>
            </w:pPr>
            <w:r w:rsidRPr="007D2D5F">
              <w:rPr>
                <w:rFonts w:ascii="Calibri" w:hAnsi="Calibri"/>
                <w:color w:val="000000"/>
              </w:rPr>
              <w:t>165</w:t>
            </w:r>
          </w:p>
        </w:tc>
        <w:tc>
          <w:tcPr>
            <w:tcW w:w="1312" w:type="dxa"/>
            <w:tcBorders>
              <w:top w:val="single" w:sz="4" w:space="0" w:color="auto"/>
              <w:left w:val="nil"/>
              <w:bottom w:val="single" w:sz="4" w:space="0" w:color="auto"/>
              <w:right w:val="single" w:sz="4" w:space="0" w:color="auto"/>
            </w:tcBorders>
            <w:shd w:val="clear" w:color="000000" w:fill="D8D8D8"/>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nil"/>
              <w:left w:val="single" w:sz="8" w:space="0" w:color="auto"/>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1587"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p>
        </w:tc>
        <w:tc>
          <w:tcPr>
            <w:tcW w:w="1737"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p>
        </w:tc>
        <w:tc>
          <w:tcPr>
            <w:tcW w:w="1312"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77"/>
        </w:trPr>
        <w:tc>
          <w:tcPr>
            <w:tcW w:w="2737" w:type="dxa"/>
            <w:tcBorders>
              <w:top w:val="nil"/>
              <w:left w:val="single" w:sz="8" w:space="0" w:color="auto"/>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Chi  Square Test result  P value</w:t>
            </w:r>
          </w:p>
        </w:tc>
        <w:tc>
          <w:tcPr>
            <w:tcW w:w="1587"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0.2553898</w:t>
            </w:r>
          </w:p>
        </w:tc>
        <w:tc>
          <w:tcPr>
            <w:tcW w:w="1737"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p>
        </w:tc>
        <w:tc>
          <w:tcPr>
            <w:tcW w:w="1312" w:type="dxa"/>
            <w:tcBorders>
              <w:top w:val="nil"/>
              <w:left w:val="nil"/>
              <w:bottom w:val="nil"/>
              <w:right w:val="nil"/>
            </w:tcBorders>
            <w:shd w:val="clear" w:color="auto" w:fill="auto"/>
            <w:noWrap/>
            <w:vAlign w:val="bottom"/>
          </w:tcPr>
          <w:p w:rsidR="001B6073" w:rsidRPr="007D2D5F" w:rsidRDefault="001B6073" w:rsidP="001B6073">
            <w:pPr>
              <w:rPr>
                <w:rFonts w:ascii="Calibri" w:hAnsi="Calibri"/>
                <w:color w:val="000000"/>
              </w:rPr>
            </w:pPr>
          </w:p>
        </w:tc>
        <w:tc>
          <w:tcPr>
            <w:tcW w:w="1107" w:type="dxa"/>
            <w:tcBorders>
              <w:top w:val="nil"/>
              <w:left w:val="nil"/>
              <w:bottom w:val="nil"/>
              <w:right w:val="single" w:sz="8" w:space="0" w:color="auto"/>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r>
      <w:tr w:rsidR="001B6073" w:rsidRPr="007D2D5F" w:rsidTr="001B6073">
        <w:trPr>
          <w:trHeight w:val="185"/>
        </w:trPr>
        <w:tc>
          <w:tcPr>
            <w:tcW w:w="2737" w:type="dxa"/>
            <w:tcBorders>
              <w:top w:val="nil"/>
              <w:left w:val="single" w:sz="8" w:space="0" w:color="auto"/>
              <w:bottom w:val="single" w:sz="8" w:space="0" w:color="auto"/>
              <w:right w:val="nil"/>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 </w:t>
            </w:r>
          </w:p>
        </w:tc>
        <w:tc>
          <w:tcPr>
            <w:tcW w:w="5743" w:type="dxa"/>
            <w:gridSpan w:val="4"/>
            <w:tcBorders>
              <w:top w:val="nil"/>
              <w:left w:val="nil"/>
              <w:bottom w:val="single" w:sz="8" w:space="0" w:color="auto"/>
              <w:right w:val="single" w:sz="8" w:space="0" w:color="000000"/>
            </w:tcBorders>
            <w:shd w:val="clear" w:color="auto" w:fill="auto"/>
            <w:noWrap/>
            <w:vAlign w:val="bottom"/>
          </w:tcPr>
          <w:p w:rsidR="001B6073" w:rsidRPr="007D2D5F" w:rsidRDefault="001B6073" w:rsidP="001B6073">
            <w:pPr>
              <w:rPr>
                <w:rFonts w:ascii="Calibri" w:hAnsi="Calibri"/>
                <w:color w:val="000000"/>
              </w:rPr>
            </w:pPr>
            <w:r w:rsidRPr="007D2D5F">
              <w:rPr>
                <w:rFonts w:ascii="Calibri" w:hAnsi="Calibri"/>
                <w:color w:val="000000"/>
              </w:rPr>
              <w:t>p-value from Chi-square test (implies non-difference if &gt; 0.05)</w:t>
            </w:r>
          </w:p>
        </w:tc>
      </w:tr>
    </w:tbl>
    <w:p w:rsidR="001B6073" w:rsidRDefault="001B6073" w:rsidP="001B6073">
      <w:pPr>
        <w:rPr>
          <w:rFonts w:cs="Arial"/>
        </w:rPr>
      </w:pPr>
    </w:p>
    <w:p w:rsidR="001B6073" w:rsidRDefault="001B6073" w:rsidP="001B6073">
      <w:pPr>
        <w:rPr>
          <w:rFonts w:cs="Arial"/>
        </w:rPr>
      </w:pPr>
    </w:p>
    <w:p w:rsidR="001B6073" w:rsidRDefault="001B6073" w:rsidP="001B6073">
      <w:pPr>
        <w:rPr>
          <w:rFonts w:cs="Arial"/>
        </w:rPr>
      </w:pPr>
      <w:r>
        <w:rPr>
          <w:rFonts w:cs="Arial"/>
        </w:rPr>
        <w:t xml:space="preserve">Table 6 </w:t>
      </w:r>
      <w:r>
        <w:t>Hospital model unit costs</w:t>
      </w:r>
    </w:p>
    <w:tbl>
      <w:tblPr>
        <w:tblW w:w="28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1479"/>
        <w:gridCol w:w="1940"/>
      </w:tblGrid>
      <w:tr w:rsidR="001B6073" w:rsidRPr="00783B74" w:rsidTr="001B6073">
        <w:tc>
          <w:tcPr>
            <w:tcW w:w="1741" w:type="pct"/>
            <w:shd w:val="clear" w:color="auto" w:fill="auto"/>
          </w:tcPr>
          <w:p w:rsidR="001B6073" w:rsidRPr="00783B74" w:rsidRDefault="001B6073" w:rsidP="001B6073">
            <w:pPr>
              <w:pStyle w:val="Paragraphnonumbers"/>
              <w:spacing w:before="0" w:after="0"/>
              <w:rPr>
                <w:rFonts w:cs="Arial"/>
                <w:b/>
                <w:sz w:val="22"/>
                <w:szCs w:val="22"/>
              </w:rPr>
            </w:pPr>
            <w:r w:rsidRPr="00783B74">
              <w:rPr>
                <w:rFonts w:cs="Arial"/>
                <w:b/>
                <w:sz w:val="22"/>
                <w:szCs w:val="22"/>
              </w:rPr>
              <w:lastRenderedPageBreak/>
              <w:t>Unit cost</w:t>
            </w:r>
          </w:p>
        </w:tc>
        <w:tc>
          <w:tcPr>
            <w:tcW w:w="1410" w:type="pct"/>
            <w:shd w:val="clear" w:color="auto" w:fill="auto"/>
          </w:tcPr>
          <w:p w:rsidR="001B6073" w:rsidRPr="00783B74" w:rsidRDefault="001B6073" w:rsidP="001B6073">
            <w:pPr>
              <w:pStyle w:val="Paragraphnonumbers"/>
              <w:spacing w:before="0" w:after="0"/>
              <w:rPr>
                <w:rFonts w:cs="Arial"/>
                <w:b/>
                <w:sz w:val="22"/>
                <w:szCs w:val="22"/>
              </w:rPr>
            </w:pPr>
            <w:r w:rsidRPr="00783B74">
              <w:rPr>
                <w:rFonts w:cs="Arial"/>
                <w:b/>
                <w:sz w:val="22"/>
                <w:szCs w:val="22"/>
              </w:rPr>
              <w:t>Per day cost</w:t>
            </w:r>
          </w:p>
        </w:tc>
        <w:tc>
          <w:tcPr>
            <w:tcW w:w="1849" w:type="pct"/>
            <w:shd w:val="clear" w:color="auto" w:fill="auto"/>
          </w:tcPr>
          <w:p w:rsidR="001B6073" w:rsidRPr="00783B74" w:rsidRDefault="001B6073" w:rsidP="001B6073">
            <w:pPr>
              <w:pStyle w:val="Paragraphnonumbers"/>
              <w:spacing w:before="0" w:after="0"/>
              <w:rPr>
                <w:rFonts w:cs="Arial"/>
                <w:b/>
                <w:sz w:val="22"/>
                <w:szCs w:val="22"/>
              </w:rPr>
            </w:pPr>
            <w:r w:rsidRPr="00783B74">
              <w:rPr>
                <w:rFonts w:cs="Arial"/>
                <w:b/>
                <w:sz w:val="22"/>
                <w:szCs w:val="22"/>
              </w:rPr>
              <w:t>Source</w:t>
            </w:r>
          </w:p>
        </w:tc>
      </w:tr>
      <w:tr w:rsidR="001B6073" w:rsidRPr="00783B74" w:rsidTr="001B6073">
        <w:tc>
          <w:tcPr>
            <w:tcW w:w="1741"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Bed day</w:t>
            </w:r>
          </w:p>
        </w:tc>
        <w:tc>
          <w:tcPr>
            <w:tcW w:w="1410"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£325.00</w:t>
            </w:r>
          </w:p>
        </w:tc>
        <w:tc>
          <w:tcPr>
            <w:tcW w:w="1849"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Sponsor assumption</w:t>
            </w:r>
          </w:p>
        </w:tc>
      </w:tr>
      <w:tr w:rsidR="001B6073" w:rsidRPr="00783B74" w:rsidTr="001B6073">
        <w:tc>
          <w:tcPr>
            <w:tcW w:w="1741"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General dressing</w:t>
            </w:r>
          </w:p>
        </w:tc>
        <w:tc>
          <w:tcPr>
            <w:tcW w:w="1410"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£0.74</w:t>
            </w:r>
          </w:p>
        </w:tc>
        <w:tc>
          <w:tcPr>
            <w:tcW w:w="1849"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 xml:space="preserve">Smith </w:t>
            </w:r>
            <w:r>
              <w:rPr>
                <w:rFonts w:cs="Arial"/>
                <w:sz w:val="22"/>
                <w:szCs w:val="22"/>
              </w:rPr>
              <w:t xml:space="preserve">and Ingram </w:t>
            </w:r>
            <w:r w:rsidRPr="00783B74">
              <w:rPr>
                <w:rFonts w:cs="Arial"/>
                <w:sz w:val="22"/>
                <w:szCs w:val="22"/>
              </w:rPr>
              <w:t xml:space="preserve">(2010) </w:t>
            </w:r>
          </w:p>
        </w:tc>
      </w:tr>
      <w:tr w:rsidR="001B6073" w:rsidRPr="00783B74" w:rsidTr="001B6073">
        <w:tc>
          <w:tcPr>
            <w:tcW w:w="1741"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Average Mattress cost</w:t>
            </w:r>
          </w:p>
        </w:tc>
        <w:tc>
          <w:tcPr>
            <w:tcW w:w="1410"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£0.59</w:t>
            </w:r>
            <w:r w:rsidRPr="00783B74">
              <w:rPr>
                <w:rFonts w:cs="Arial"/>
                <w:sz w:val="22"/>
                <w:szCs w:val="22"/>
                <w:vertAlign w:val="superscript"/>
              </w:rPr>
              <w:t>†</w:t>
            </w:r>
          </w:p>
        </w:tc>
        <w:tc>
          <w:tcPr>
            <w:tcW w:w="1849"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 xml:space="preserve">Smith </w:t>
            </w:r>
            <w:r>
              <w:rPr>
                <w:rFonts w:cs="Arial"/>
                <w:sz w:val="22"/>
                <w:szCs w:val="22"/>
              </w:rPr>
              <w:t xml:space="preserve">and Ingram </w:t>
            </w:r>
            <w:r w:rsidRPr="00783B74">
              <w:rPr>
                <w:rFonts w:cs="Arial"/>
                <w:sz w:val="22"/>
                <w:szCs w:val="22"/>
              </w:rPr>
              <w:t>(2010)</w:t>
            </w:r>
          </w:p>
        </w:tc>
      </w:tr>
      <w:tr w:rsidR="001B6073" w:rsidRPr="00783B74" w:rsidTr="001B6073">
        <w:tc>
          <w:tcPr>
            <w:tcW w:w="1741" w:type="pct"/>
            <w:shd w:val="clear" w:color="auto" w:fill="auto"/>
          </w:tcPr>
          <w:p w:rsidR="001B6073" w:rsidRPr="00783B74" w:rsidRDefault="001B6073" w:rsidP="001B6073">
            <w:pPr>
              <w:pStyle w:val="Paragraphnonumbers"/>
              <w:spacing w:before="0" w:after="0"/>
              <w:rPr>
                <w:rFonts w:cs="Arial"/>
                <w:b/>
                <w:sz w:val="22"/>
                <w:szCs w:val="22"/>
              </w:rPr>
            </w:pPr>
            <w:r w:rsidRPr="00783B74">
              <w:rPr>
                <w:rFonts w:cs="Arial"/>
                <w:b/>
                <w:sz w:val="22"/>
                <w:szCs w:val="22"/>
              </w:rPr>
              <w:t>General hospital costs</w:t>
            </w:r>
          </w:p>
        </w:tc>
        <w:tc>
          <w:tcPr>
            <w:tcW w:w="1410" w:type="pct"/>
            <w:shd w:val="clear" w:color="auto" w:fill="auto"/>
          </w:tcPr>
          <w:p w:rsidR="001B6073" w:rsidRPr="00783B74" w:rsidRDefault="001B6073" w:rsidP="001B6073">
            <w:pPr>
              <w:pStyle w:val="Paragraphnonumbers"/>
              <w:spacing w:before="0" w:after="0"/>
              <w:rPr>
                <w:rFonts w:cs="Arial"/>
                <w:b/>
                <w:sz w:val="22"/>
                <w:szCs w:val="22"/>
              </w:rPr>
            </w:pPr>
            <w:r w:rsidRPr="00783B74">
              <w:rPr>
                <w:rFonts w:cs="Arial"/>
                <w:b/>
                <w:sz w:val="22"/>
                <w:szCs w:val="22"/>
              </w:rPr>
              <w:t>£326.33</w:t>
            </w:r>
          </w:p>
        </w:tc>
        <w:tc>
          <w:tcPr>
            <w:tcW w:w="1849"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(£325 +£0.74 +0.59)</w:t>
            </w:r>
          </w:p>
        </w:tc>
      </w:tr>
      <w:tr w:rsidR="001B6073" w:rsidRPr="00783B74" w:rsidTr="001B6073">
        <w:tc>
          <w:tcPr>
            <w:tcW w:w="1741" w:type="pct"/>
            <w:shd w:val="clear" w:color="auto" w:fill="auto"/>
          </w:tcPr>
          <w:p w:rsidR="001B6073" w:rsidRPr="00783B74" w:rsidRDefault="001B6073" w:rsidP="001B6073">
            <w:pPr>
              <w:pStyle w:val="Paragraphnonumbers"/>
              <w:spacing w:before="0" w:after="0"/>
              <w:rPr>
                <w:rFonts w:cs="Arial"/>
                <w:b/>
                <w:sz w:val="22"/>
                <w:szCs w:val="22"/>
              </w:rPr>
            </w:pPr>
            <w:r w:rsidRPr="00783B74">
              <w:rPr>
                <w:rFonts w:cs="Arial"/>
                <w:b/>
                <w:sz w:val="22"/>
                <w:szCs w:val="22"/>
              </w:rPr>
              <w:t>Average PU dressing</w:t>
            </w:r>
          </w:p>
        </w:tc>
        <w:tc>
          <w:tcPr>
            <w:tcW w:w="1410" w:type="pct"/>
            <w:shd w:val="clear" w:color="auto" w:fill="auto"/>
          </w:tcPr>
          <w:p w:rsidR="001B6073" w:rsidRPr="00783B74" w:rsidRDefault="001B6073" w:rsidP="001B6073">
            <w:pPr>
              <w:pStyle w:val="Paragraphnonumbers"/>
              <w:spacing w:before="0" w:after="0"/>
              <w:rPr>
                <w:rFonts w:cs="Arial"/>
                <w:b/>
                <w:sz w:val="22"/>
                <w:szCs w:val="22"/>
              </w:rPr>
            </w:pPr>
            <w:r w:rsidRPr="00783B74">
              <w:rPr>
                <w:rFonts w:cs="Arial"/>
                <w:b/>
                <w:sz w:val="22"/>
                <w:szCs w:val="22"/>
              </w:rPr>
              <w:t>£0.74</w:t>
            </w:r>
            <w:r w:rsidRPr="00783B74">
              <w:rPr>
                <w:rFonts w:cs="Arial"/>
                <w:b/>
                <w:sz w:val="22"/>
                <w:szCs w:val="22"/>
                <w:vertAlign w:val="superscript"/>
              </w:rPr>
              <w:t>‡</w:t>
            </w:r>
          </w:p>
        </w:tc>
        <w:tc>
          <w:tcPr>
            <w:tcW w:w="1849" w:type="pct"/>
            <w:shd w:val="clear" w:color="auto" w:fill="auto"/>
          </w:tcPr>
          <w:p w:rsidR="001B6073" w:rsidRPr="00783B74" w:rsidRDefault="001B6073" w:rsidP="001B6073">
            <w:pPr>
              <w:pStyle w:val="Paragraphnonumbers"/>
              <w:spacing w:before="0" w:after="0"/>
              <w:rPr>
                <w:rFonts w:cs="Arial"/>
                <w:sz w:val="22"/>
                <w:szCs w:val="22"/>
              </w:rPr>
            </w:pPr>
            <w:r w:rsidRPr="00783B74">
              <w:rPr>
                <w:rFonts w:cs="Arial"/>
                <w:sz w:val="22"/>
                <w:szCs w:val="22"/>
              </w:rPr>
              <w:t xml:space="preserve">Smith </w:t>
            </w:r>
            <w:r>
              <w:rPr>
                <w:rFonts w:cs="Arial"/>
                <w:sz w:val="22"/>
                <w:szCs w:val="22"/>
              </w:rPr>
              <w:t xml:space="preserve">and Ingram </w:t>
            </w:r>
            <w:r w:rsidRPr="00783B74">
              <w:rPr>
                <w:rFonts w:cs="Arial"/>
                <w:sz w:val="22"/>
                <w:szCs w:val="22"/>
              </w:rPr>
              <w:t>(2010)</w:t>
            </w:r>
          </w:p>
        </w:tc>
      </w:tr>
      <w:tr w:rsidR="001B6073" w:rsidRPr="00783B74" w:rsidTr="001B6073">
        <w:tc>
          <w:tcPr>
            <w:tcW w:w="5000" w:type="pct"/>
            <w:gridSpan w:val="3"/>
            <w:shd w:val="clear" w:color="auto" w:fill="auto"/>
          </w:tcPr>
          <w:p w:rsidR="001B6073" w:rsidRPr="00783B74" w:rsidRDefault="001B6073" w:rsidP="001B6073">
            <w:pPr>
              <w:pStyle w:val="Paragraphnonumbers"/>
              <w:spacing w:before="0" w:after="0"/>
              <w:rPr>
                <w:rFonts w:cs="Arial"/>
                <w:sz w:val="20"/>
                <w:szCs w:val="20"/>
              </w:rPr>
            </w:pPr>
            <w:r w:rsidRPr="00783B74">
              <w:rPr>
                <w:rFonts w:cs="Arial"/>
                <w:sz w:val="20"/>
                <w:szCs w:val="20"/>
              </w:rPr>
              <w:t>† (86% mattress @ £0.30, 14% Nimbus @ £2.37), ‡ (70% cat 1 dressing @ £0.48, 25% cat 2 dressing @ 1.11, 5% cat 3 dressing @ £2.59)</w:t>
            </w:r>
          </w:p>
        </w:tc>
      </w:tr>
    </w:tbl>
    <w:p w:rsidR="001B6073" w:rsidRDefault="001B6073" w:rsidP="001B6073">
      <w:pPr>
        <w:rPr>
          <w:rFonts w:cs="Arial"/>
        </w:rPr>
      </w:pPr>
    </w:p>
    <w:p w:rsidR="001B6073" w:rsidRDefault="001B6073" w:rsidP="001B6073">
      <w:pPr>
        <w:rPr>
          <w:rFonts w:cs="Arial"/>
        </w:rPr>
      </w:pPr>
    </w:p>
    <w:p w:rsidR="001B6073" w:rsidRDefault="001B6073" w:rsidP="001B6073">
      <w:pPr>
        <w:rPr>
          <w:rFonts w:cs="Arial"/>
        </w:rPr>
      </w:pPr>
      <w:r>
        <w:rPr>
          <w:rFonts w:cs="Arial"/>
        </w:rPr>
        <w:t>Table 7 EAC bed-day costs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701"/>
        <w:gridCol w:w="1559"/>
        <w:gridCol w:w="1417"/>
      </w:tblGrid>
      <w:tr w:rsidR="001B6073" w:rsidRPr="00C4063C" w:rsidTr="001B6073">
        <w:trPr>
          <w:trHeight w:val="315"/>
        </w:trPr>
        <w:tc>
          <w:tcPr>
            <w:tcW w:w="3261" w:type="dxa"/>
            <w:noWrap/>
            <w:hideMark/>
          </w:tcPr>
          <w:p w:rsidR="001B6073" w:rsidRPr="00C4063C" w:rsidRDefault="001B6073" w:rsidP="001B6073">
            <w:pPr>
              <w:pStyle w:val="Paragraphnonumbers"/>
              <w:spacing w:before="0" w:after="0"/>
            </w:pPr>
            <w:r w:rsidRPr="00C4063C">
              <w:t> </w:t>
            </w:r>
          </w:p>
        </w:tc>
        <w:tc>
          <w:tcPr>
            <w:tcW w:w="4677" w:type="dxa"/>
            <w:gridSpan w:val="3"/>
            <w:hideMark/>
          </w:tcPr>
          <w:p w:rsidR="001B6073" w:rsidRPr="006642A5" w:rsidRDefault="001B6073" w:rsidP="001B6073">
            <w:pPr>
              <w:pStyle w:val="Paragraphnonumbers"/>
              <w:spacing w:before="0" w:after="0"/>
              <w:rPr>
                <w:b/>
                <w:bCs/>
              </w:rPr>
            </w:pPr>
            <w:r w:rsidRPr="006642A5">
              <w:rPr>
                <w:b/>
                <w:bCs/>
              </w:rPr>
              <w:t>Type of admission</w:t>
            </w:r>
          </w:p>
        </w:tc>
      </w:tr>
      <w:tr w:rsidR="001B6073" w:rsidRPr="00C4063C" w:rsidTr="001B6073">
        <w:trPr>
          <w:trHeight w:val="315"/>
        </w:trPr>
        <w:tc>
          <w:tcPr>
            <w:tcW w:w="3261" w:type="dxa"/>
            <w:noWrap/>
            <w:hideMark/>
          </w:tcPr>
          <w:p w:rsidR="001B6073" w:rsidRPr="006642A5" w:rsidRDefault="001B6073" w:rsidP="001B6073">
            <w:pPr>
              <w:pStyle w:val="Paragraphnonumbers"/>
              <w:spacing w:before="0" w:after="0"/>
              <w:rPr>
                <w:b/>
                <w:bCs/>
              </w:rPr>
            </w:pPr>
            <w:r w:rsidRPr="006642A5">
              <w:rPr>
                <w:b/>
                <w:bCs/>
              </w:rPr>
              <w:t>Ward</w:t>
            </w:r>
          </w:p>
        </w:tc>
        <w:tc>
          <w:tcPr>
            <w:tcW w:w="1701" w:type="dxa"/>
            <w:noWrap/>
            <w:hideMark/>
          </w:tcPr>
          <w:p w:rsidR="001B6073" w:rsidRPr="00C4063C" w:rsidRDefault="001B6073" w:rsidP="001B6073">
            <w:pPr>
              <w:pStyle w:val="Paragraphnonumbers"/>
              <w:spacing w:before="0" w:after="0"/>
            </w:pPr>
            <w:r w:rsidRPr="00C4063C">
              <w:t>Elective</w:t>
            </w:r>
          </w:p>
        </w:tc>
        <w:tc>
          <w:tcPr>
            <w:tcW w:w="1559" w:type="dxa"/>
            <w:noWrap/>
            <w:hideMark/>
          </w:tcPr>
          <w:p w:rsidR="001B6073" w:rsidRPr="00C4063C" w:rsidRDefault="001B6073" w:rsidP="001B6073">
            <w:pPr>
              <w:pStyle w:val="Paragraphnonumbers"/>
              <w:spacing w:before="0" w:after="0"/>
            </w:pPr>
            <w:r w:rsidRPr="00C4063C">
              <w:t>Non-elective</w:t>
            </w:r>
          </w:p>
        </w:tc>
        <w:tc>
          <w:tcPr>
            <w:tcW w:w="1417" w:type="dxa"/>
            <w:noWrap/>
            <w:hideMark/>
          </w:tcPr>
          <w:p w:rsidR="001B6073" w:rsidRPr="00C4063C" w:rsidRDefault="001B6073" w:rsidP="001B6073">
            <w:pPr>
              <w:pStyle w:val="Paragraphnonumbers"/>
              <w:spacing w:before="0" w:after="0"/>
            </w:pPr>
            <w:r w:rsidRPr="00C4063C">
              <w:t>Weighted</w:t>
            </w:r>
          </w:p>
        </w:tc>
      </w:tr>
      <w:tr w:rsidR="001B6073" w:rsidRPr="00C4063C" w:rsidTr="001B6073">
        <w:trPr>
          <w:trHeight w:val="315"/>
        </w:trPr>
        <w:tc>
          <w:tcPr>
            <w:tcW w:w="3261" w:type="dxa"/>
            <w:noWrap/>
            <w:hideMark/>
          </w:tcPr>
          <w:p w:rsidR="001B6073" w:rsidRPr="00C4063C" w:rsidRDefault="001B6073" w:rsidP="001B6073">
            <w:pPr>
              <w:pStyle w:val="Paragraphnonumbers"/>
              <w:spacing w:before="0" w:after="0"/>
            </w:pPr>
            <w:r w:rsidRPr="00C4063C">
              <w:t xml:space="preserve">General Medicine </w:t>
            </w:r>
          </w:p>
        </w:tc>
        <w:tc>
          <w:tcPr>
            <w:tcW w:w="1701" w:type="dxa"/>
            <w:noWrap/>
            <w:hideMark/>
          </w:tcPr>
          <w:p w:rsidR="001B6073" w:rsidRPr="00C4063C" w:rsidRDefault="001B6073" w:rsidP="001B6073">
            <w:pPr>
              <w:pStyle w:val="Paragraphnonumbers"/>
              <w:spacing w:before="0" w:after="0"/>
            </w:pPr>
            <w:r w:rsidRPr="00C4063C">
              <w:t>254.2</w:t>
            </w:r>
          </w:p>
        </w:tc>
        <w:tc>
          <w:tcPr>
            <w:tcW w:w="1559" w:type="dxa"/>
            <w:noWrap/>
            <w:hideMark/>
          </w:tcPr>
          <w:p w:rsidR="001B6073" w:rsidRPr="00C4063C" w:rsidRDefault="001B6073" w:rsidP="001B6073">
            <w:pPr>
              <w:pStyle w:val="Paragraphnonumbers"/>
              <w:spacing w:before="0" w:after="0"/>
            </w:pPr>
            <w:r w:rsidRPr="00C4063C">
              <w:t>225.9</w:t>
            </w:r>
          </w:p>
        </w:tc>
        <w:tc>
          <w:tcPr>
            <w:tcW w:w="1417" w:type="dxa"/>
            <w:noWrap/>
            <w:hideMark/>
          </w:tcPr>
          <w:p w:rsidR="001B6073" w:rsidRPr="00C4063C" w:rsidRDefault="001B6073" w:rsidP="001B6073">
            <w:pPr>
              <w:pStyle w:val="Paragraphnonumbers"/>
              <w:spacing w:before="0" w:after="0"/>
            </w:pPr>
            <w:r w:rsidRPr="00C4063C">
              <w:t>226.3</w:t>
            </w:r>
          </w:p>
        </w:tc>
      </w:tr>
      <w:tr w:rsidR="001B6073" w:rsidRPr="00C4063C" w:rsidTr="001B6073">
        <w:trPr>
          <w:trHeight w:val="315"/>
        </w:trPr>
        <w:tc>
          <w:tcPr>
            <w:tcW w:w="3261" w:type="dxa"/>
            <w:noWrap/>
            <w:hideMark/>
          </w:tcPr>
          <w:p w:rsidR="001B6073" w:rsidRPr="00C4063C" w:rsidRDefault="001B6073" w:rsidP="001B6073">
            <w:pPr>
              <w:pStyle w:val="Paragraphnonumbers"/>
              <w:spacing w:before="0" w:after="0"/>
            </w:pPr>
            <w:r w:rsidRPr="00C4063C">
              <w:t>Skin disorders only</w:t>
            </w:r>
          </w:p>
        </w:tc>
        <w:tc>
          <w:tcPr>
            <w:tcW w:w="1701" w:type="dxa"/>
            <w:noWrap/>
            <w:hideMark/>
          </w:tcPr>
          <w:p w:rsidR="001B6073" w:rsidRPr="00C4063C" w:rsidRDefault="001B6073" w:rsidP="001B6073">
            <w:pPr>
              <w:pStyle w:val="Paragraphnonumbers"/>
              <w:spacing w:before="0" w:after="0"/>
            </w:pPr>
            <w:r w:rsidRPr="00C4063C">
              <w:t>510.2</w:t>
            </w:r>
            <w:r w:rsidRPr="006642A5">
              <w:rPr>
                <w:vertAlign w:val="superscript"/>
              </w:rPr>
              <w:t>†</w:t>
            </w:r>
          </w:p>
        </w:tc>
        <w:tc>
          <w:tcPr>
            <w:tcW w:w="1559" w:type="dxa"/>
            <w:noWrap/>
            <w:hideMark/>
          </w:tcPr>
          <w:p w:rsidR="001B6073" w:rsidRPr="00C4063C" w:rsidRDefault="001B6073" w:rsidP="001B6073">
            <w:pPr>
              <w:pStyle w:val="Paragraphnonumbers"/>
              <w:spacing w:before="0" w:after="0"/>
            </w:pPr>
            <w:r w:rsidRPr="00C4063C">
              <w:t>222.8</w:t>
            </w:r>
          </w:p>
        </w:tc>
        <w:tc>
          <w:tcPr>
            <w:tcW w:w="1417" w:type="dxa"/>
            <w:noWrap/>
            <w:hideMark/>
          </w:tcPr>
          <w:p w:rsidR="001B6073" w:rsidRPr="00C4063C" w:rsidRDefault="001B6073" w:rsidP="001B6073">
            <w:pPr>
              <w:pStyle w:val="Paragraphnonumbers"/>
              <w:spacing w:before="0" w:after="0"/>
            </w:pPr>
            <w:r w:rsidRPr="00C4063C">
              <w:t>225.7</w:t>
            </w:r>
          </w:p>
        </w:tc>
      </w:tr>
      <w:tr w:rsidR="001B6073" w:rsidRPr="00C4063C" w:rsidTr="001B6073">
        <w:trPr>
          <w:trHeight w:val="315"/>
        </w:trPr>
        <w:tc>
          <w:tcPr>
            <w:tcW w:w="3261" w:type="dxa"/>
            <w:noWrap/>
            <w:hideMark/>
          </w:tcPr>
          <w:p w:rsidR="001B6073" w:rsidRPr="00C4063C" w:rsidRDefault="001B6073" w:rsidP="001B6073">
            <w:pPr>
              <w:pStyle w:val="Paragraphnonumbers"/>
              <w:spacing w:before="0" w:after="0"/>
            </w:pPr>
            <w:r w:rsidRPr="00C4063C">
              <w:t>Trauma and Orthopaedics</w:t>
            </w:r>
          </w:p>
        </w:tc>
        <w:tc>
          <w:tcPr>
            <w:tcW w:w="1701" w:type="dxa"/>
            <w:noWrap/>
            <w:hideMark/>
          </w:tcPr>
          <w:p w:rsidR="001B6073" w:rsidRPr="00C4063C" w:rsidRDefault="001B6073" w:rsidP="001B6073">
            <w:pPr>
              <w:pStyle w:val="Paragraphnonumbers"/>
              <w:spacing w:before="0" w:after="0"/>
            </w:pPr>
            <w:r w:rsidRPr="00C4063C">
              <w:t>310.1</w:t>
            </w:r>
          </w:p>
        </w:tc>
        <w:tc>
          <w:tcPr>
            <w:tcW w:w="1559" w:type="dxa"/>
            <w:noWrap/>
            <w:hideMark/>
          </w:tcPr>
          <w:p w:rsidR="001B6073" w:rsidRPr="00C4063C" w:rsidRDefault="001B6073" w:rsidP="001B6073">
            <w:pPr>
              <w:pStyle w:val="Paragraphnonumbers"/>
              <w:spacing w:before="0" w:after="0"/>
            </w:pPr>
            <w:r w:rsidRPr="00C4063C">
              <w:t>265.2</w:t>
            </w:r>
          </w:p>
        </w:tc>
        <w:tc>
          <w:tcPr>
            <w:tcW w:w="1417" w:type="dxa"/>
            <w:noWrap/>
            <w:hideMark/>
          </w:tcPr>
          <w:p w:rsidR="001B6073" w:rsidRPr="00C4063C" w:rsidRDefault="001B6073" w:rsidP="001B6073">
            <w:pPr>
              <w:pStyle w:val="Paragraphnonumbers"/>
              <w:spacing w:before="0" w:after="0"/>
            </w:pPr>
            <w:r w:rsidRPr="00C4063C">
              <w:t>274.7</w:t>
            </w:r>
          </w:p>
        </w:tc>
      </w:tr>
      <w:tr w:rsidR="001B6073" w:rsidRPr="00C4063C" w:rsidTr="001B6073">
        <w:trPr>
          <w:trHeight w:val="315"/>
        </w:trPr>
        <w:tc>
          <w:tcPr>
            <w:tcW w:w="3261" w:type="dxa"/>
            <w:noWrap/>
            <w:hideMark/>
          </w:tcPr>
          <w:p w:rsidR="001B6073" w:rsidRPr="00C4063C" w:rsidRDefault="001B6073" w:rsidP="001B6073">
            <w:pPr>
              <w:pStyle w:val="Paragraphnonumbers"/>
              <w:spacing w:before="0" w:after="0"/>
            </w:pPr>
            <w:r w:rsidRPr="00C4063C">
              <w:t>Skin disorders only</w:t>
            </w:r>
          </w:p>
        </w:tc>
        <w:tc>
          <w:tcPr>
            <w:tcW w:w="1701" w:type="dxa"/>
            <w:noWrap/>
            <w:hideMark/>
          </w:tcPr>
          <w:p w:rsidR="001B6073" w:rsidRPr="00C4063C" w:rsidRDefault="001B6073" w:rsidP="001B6073">
            <w:pPr>
              <w:pStyle w:val="Paragraphnonumbers"/>
              <w:spacing w:before="0" w:after="0"/>
            </w:pPr>
            <w:r w:rsidRPr="00C4063C">
              <w:t>241.2</w:t>
            </w:r>
          </w:p>
        </w:tc>
        <w:tc>
          <w:tcPr>
            <w:tcW w:w="1559" w:type="dxa"/>
            <w:noWrap/>
            <w:hideMark/>
          </w:tcPr>
          <w:p w:rsidR="001B6073" w:rsidRPr="00C4063C" w:rsidRDefault="001B6073" w:rsidP="001B6073">
            <w:pPr>
              <w:pStyle w:val="Paragraphnonumbers"/>
              <w:spacing w:before="0" w:after="0"/>
            </w:pPr>
            <w:r w:rsidRPr="00C4063C">
              <w:t>274.5</w:t>
            </w:r>
          </w:p>
        </w:tc>
        <w:tc>
          <w:tcPr>
            <w:tcW w:w="1417" w:type="dxa"/>
            <w:noWrap/>
            <w:hideMark/>
          </w:tcPr>
          <w:p w:rsidR="001B6073" w:rsidRPr="00C4063C" w:rsidRDefault="001B6073" w:rsidP="001B6073">
            <w:pPr>
              <w:pStyle w:val="Paragraphnonumbers"/>
              <w:spacing w:before="0" w:after="0"/>
            </w:pPr>
            <w:r w:rsidRPr="00C4063C">
              <w:t>271.3</w:t>
            </w:r>
          </w:p>
        </w:tc>
      </w:tr>
      <w:tr w:rsidR="001B6073" w:rsidRPr="00C4063C" w:rsidTr="001B6073">
        <w:trPr>
          <w:trHeight w:val="315"/>
        </w:trPr>
        <w:tc>
          <w:tcPr>
            <w:tcW w:w="3261" w:type="dxa"/>
            <w:noWrap/>
            <w:hideMark/>
          </w:tcPr>
          <w:p w:rsidR="001B6073" w:rsidRPr="00C4063C" w:rsidRDefault="001B6073" w:rsidP="001B6073">
            <w:pPr>
              <w:pStyle w:val="Paragraphnonumbers"/>
              <w:spacing w:before="0" w:after="0"/>
            </w:pPr>
            <w:r w:rsidRPr="00C4063C">
              <w:t>Combined GM and T&amp;O</w:t>
            </w:r>
          </w:p>
        </w:tc>
        <w:tc>
          <w:tcPr>
            <w:tcW w:w="1701" w:type="dxa"/>
            <w:noWrap/>
            <w:hideMark/>
          </w:tcPr>
          <w:p w:rsidR="001B6073" w:rsidRPr="00C4063C" w:rsidRDefault="001B6073" w:rsidP="001B6073">
            <w:pPr>
              <w:pStyle w:val="Paragraphnonumbers"/>
              <w:spacing w:before="0" w:after="0"/>
            </w:pPr>
            <w:r w:rsidRPr="00C4063C">
              <w:t>302.5</w:t>
            </w:r>
          </w:p>
        </w:tc>
        <w:tc>
          <w:tcPr>
            <w:tcW w:w="1559" w:type="dxa"/>
            <w:noWrap/>
            <w:hideMark/>
          </w:tcPr>
          <w:p w:rsidR="001B6073" w:rsidRPr="00C4063C" w:rsidRDefault="001B6073" w:rsidP="001B6073">
            <w:pPr>
              <w:pStyle w:val="Paragraphnonumbers"/>
              <w:spacing w:before="0" w:after="0"/>
            </w:pPr>
            <w:r w:rsidRPr="00C4063C">
              <w:t>236.1</w:t>
            </w:r>
          </w:p>
        </w:tc>
        <w:tc>
          <w:tcPr>
            <w:tcW w:w="1417" w:type="dxa"/>
            <w:noWrap/>
            <w:hideMark/>
          </w:tcPr>
          <w:p w:rsidR="001B6073" w:rsidRPr="00C4063C" w:rsidRDefault="001B6073" w:rsidP="001B6073">
            <w:pPr>
              <w:pStyle w:val="Paragraphnonumbers"/>
              <w:spacing w:before="0" w:after="0"/>
            </w:pPr>
            <w:r w:rsidRPr="00C4063C">
              <w:t>241.1</w:t>
            </w:r>
          </w:p>
        </w:tc>
      </w:tr>
      <w:tr w:rsidR="001B6073" w:rsidRPr="00C4063C" w:rsidTr="001B6073">
        <w:trPr>
          <w:trHeight w:val="315"/>
        </w:trPr>
        <w:tc>
          <w:tcPr>
            <w:tcW w:w="3261" w:type="dxa"/>
            <w:noWrap/>
            <w:hideMark/>
          </w:tcPr>
          <w:p w:rsidR="001B6073" w:rsidRPr="00C4063C" w:rsidRDefault="001B6073" w:rsidP="001B6073">
            <w:pPr>
              <w:pStyle w:val="Paragraphnonumbers"/>
              <w:spacing w:before="0" w:after="0"/>
            </w:pPr>
            <w:r w:rsidRPr="00C4063C">
              <w:t>Skin disorders only</w:t>
            </w:r>
          </w:p>
        </w:tc>
        <w:tc>
          <w:tcPr>
            <w:tcW w:w="1701" w:type="dxa"/>
            <w:noWrap/>
            <w:hideMark/>
          </w:tcPr>
          <w:p w:rsidR="001B6073" w:rsidRPr="00C4063C" w:rsidRDefault="001B6073" w:rsidP="001B6073">
            <w:pPr>
              <w:pStyle w:val="Paragraphnonumbers"/>
              <w:spacing w:before="0" w:after="0"/>
            </w:pPr>
            <w:r w:rsidRPr="00C4063C">
              <w:t>327.5</w:t>
            </w:r>
          </w:p>
        </w:tc>
        <w:tc>
          <w:tcPr>
            <w:tcW w:w="1559" w:type="dxa"/>
            <w:noWrap/>
            <w:hideMark/>
          </w:tcPr>
          <w:p w:rsidR="001B6073" w:rsidRPr="00C4063C" w:rsidRDefault="001B6073" w:rsidP="001B6073">
            <w:pPr>
              <w:pStyle w:val="Paragraphnonumbers"/>
              <w:spacing w:before="0" w:after="0"/>
            </w:pPr>
            <w:r w:rsidRPr="00C4063C">
              <w:t>231.4</w:t>
            </w:r>
          </w:p>
        </w:tc>
        <w:tc>
          <w:tcPr>
            <w:tcW w:w="1417" w:type="dxa"/>
            <w:noWrap/>
            <w:hideMark/>
          </w:tcPr>
          <w:p w:rsidR="001B6073" w:rsidRPr="006642A5" w:rsidRDefault="001B6073" w:rsidP="001B6073">
            <w:pPr>
              <w:pStyle w:val="Paragraphnonumbers"/>
              <w:spacing w:before="0" w:after="0"/>
              <w:rPr>
                <w:b/>
                <w:bCs/>
              </w:rPr>
            </w:pPr>
            <w:r w:rsidRPr="006642A5">
              <w:rPr>
                <w:b/>
                <w:bCs/>
              </w:rPr>
              <w:t>233.9</w:t>
            </w:r>
          </w:p>
        </w:tc>
      </w:tr>
      <w:tr w:rsidR="001B6073" w:rsidRPr="00C4063C" w:rsidTr="001B6073">
        <w:trPr>
          <w:trHeight w:val="315"/>
        </w:trPr>
        <w:tc>
          <w:tcPr>
            <w:tcW w:w="7938" w:type="dxa"/>
            <w:gridSpan w:val="4"/>
            <w:noWrap/>
          </w:tcPr>
          <w:p w:rsidR="001B6073" w:rsidRPr="006642A5" w:rsidRDefault="001B6073" w:rsidP="001B6073">
            <w:pPr>
              <w:pStyle w:val="Paragraphnonumbers"/>
              <w:spacing w:before="0" w:after="0"/>
              <w:rPr>
                <w:b/>
                <w:bCs/>
              </w:rPr>
            </w:pPr>
            <w:r w:rsidRPr="00C4063C">
              <w:t xml:space="preserve">†based on </w:t>
            </w:r>
            <w:r>
              <w:t xml:space="preserve">a </w:t>
            </w:r>
            <w:r w:rsidRPr="00C4063C">
              <w:t>small numbers of cases (281)</w:t>
            </w:r>
          </w:p>
        </w:tc>
      </w:tr>
    </w:tbl>
    <w:p w:rsidR="001B6073" w:rsidRDefault="001B6073" w:rsidP="00082DE1">
      <w:pPr>
        <w:rPr>
          <w:rFonts w:cs="Arial"/>
        </w:rPr>
      </w:pPr>
    </w:p>
    <w:p w:rsidR="001B6073" w:rsidRDefault="001B6073" w:rsidP="00082DE1">
      <w:pPr>
        <w:rPr>
          <w:rFonts w:cs="Arial"/>
        </w:rPr>
      </w:pPr>
    </w:p>
    <w:p w:rsidR="001B6073" w:rsidRDefault="001B6073" w:rsidP="00082DE1">
      <w:pPr>
        <w:rPr>
          <w:rFonts w:cs="Arial"/>
        </w:rPr>
      </w:pPr>
    </w:p>
    <w:p w:rsidR="001B6073" w:rsidRDefault="001B6073">
      <w:pPr>
        <w:rPr>
          <w:rFonts w:cs="Arial"/>
        </w:rPr>
      </w:pPr>
      <w:r>
        <w:rPr>
          <w:rFonts w:cs="Arial"/>
        </w:rPr>
        <w:br w:type="page"/>
      </w:r>
    </w:p>
    <w:p w:rsidR="0031678F" w:rsidRDefault="004A3729" w:rsidP="00082DE1">
      <w:pPr>
        <w:rPr>
          <w:rFonts w:cs="Arial"/>
        </w:rPr>
      </w:pPr>
      <w:r>
        <w:rPr>
          <w:rFonts w:cs="Arial"/>
        </w:rPr>
        <w:lastRenderedPageBreak/>
        <w:t>Figure 1</w:t>
      </w:r>
    </w:p>
    <w:p w:rsidR="00EF2308" w:rsidRDefault="00EF2308" w:rsidP="00082DE1">
      <w:pPr>
        <w:rPr>
          <w:rFonts w:cs="Arial"/>
        </w:rPr>
      </w:pPr>
    </w:p>
    <w:p w:rsidR="00EF2308" w:rsidRDefault="00EF2308" w:rsidP="00082DE1">
      <w:pPr>
        <w:rPr>
          <w:rFonts w:cs="Arial"/>
        </w:rPr>
      </w:pPr>
    </w:p>
    <w:p w:rsidR="00EF2308" w:rsidRDefault="00EF2308" w:rsidP="00082DE1">
      <w:pPr>
        <w:rPr>
          <w:rFonts w:cs="Arial"/>
        </w:rPr>
      </w:pPr>
      <w:r>
        <w:rPr>
          <w:noProof/>
          <w:lang w:eastAsia="en-GB"/>
        </w:rPr>
        <w:drawing>
          <wp:inline distT="0" distB="0" distL="0" distR="0" wp14:anchorId="108DDC2C" wp14:editId="2D445129">
            <wp:extent cx="5731510" cy="4638436"/>
            <wp:effectExtent l="0" t="0" r="2540" b="0"/>
            <wp:docPr id="1" name="Picture 1" descr="Parafricta Diagram MG 1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fricta Diagram MG 190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638436"/>
                    </a:xfrm>
                    <a:prstGeom prst="rect">
                      <a:avLst/>
                    </a:prstGeom>
                    <a:noFill/>
                    <a:ln>
                      <a:noFill/>
                    </a:ln>
                  </pic:spPr>
                </pic:pic>
              </a:graphicData>
            </a:graphic>
          </wp:inline>
        </w:drawing>
      </w:r>
    </w:p>
    <w:p w:rsidR="00EF2308" w:rsidRDefault="00EF2308" w:rsidP="00082DE1">
      <w:pPr>
        <w:rPr>
          <w:rFonts w:cs="Arial"/>
        </w:rPr>
      </w:pPr>
    </w:p>
    <w:p w:rsidR="00A54D2B" w:rsidRDefault="00A54D2B">
      <w:pPr>
        <w:rPr>
          <w:rFonts w:cs="Arial"/>
        </w:rPr>
      </w:pPr>
      <w:r>
        <w:rPr>
          <w:rFonts w:cs="Arial"/>
        </w:rPr>
        <w:br w:type="page"/>
      </w:r>
    </w:p>
    <w:p w:rsidR="00EF2308" w:rsidRDefault="004A3729" w:rsidP="00082DE1">
      <w:pPr>
        <w:rPr>
          <w:rFonts w:cs="Arial"/>
        </w:rPr>
      </w:pPr>
      <w:r>
        <w:rPr>
          <w:rFonts w:cs="Arial"/>
        </w:rPr>
        <w:lastRenderedPageBreak/>
        <w:t>Figure 2</w:t>
      </w:r>
    </w:p>
    <w:p w:rsidR="004A3729" w:rsidRDefault="004A3729" w:rsidP="00082DE1">
      <w:pPr>
        <w:rPr>
          <w:rFonts w:cs="Arial"/>
        </w:rPr>
      </w:pPr>
      <w:r>
        <w:rPr>
          <w:rFonts w:ascii="Arial" w:hAnsi="Arial" w:cs="Arial"/>
          <w:noProof/>
          <w:lang w:eastAsia="en-GB"/>
        </w:rPr>
        <w:drawing>
          <wp:inline distT="0" distB="0" distL="0" distR="0">
            <wp:extent cx="5267325" cy="2743200"/>
            <wp:effectExtent l="0" t="0" r="9525" b="0"/>
            <wp:docPr id="2" name="Picture 2" descr="EAC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 t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743200"/>
                    </a:xfrm>
                    <a:prstGeom prst="rect">
                      <a:avLst/>
                    </a:prstGeom>
                    <a:noFill/>
                    <a:ln>
                      <a:noFill/>
                    </a:ln>
                  </pic:spPr>
                </pic:pic>
              </a:graphicData>
            </a:graphic>
          </wp:inline>
        </w:drawing>
      </w:r>
    </w:p>
    <w:p w:rsidR="00EF2308" w:rsidRDefault="00EF2308" w:rsidP="00082DE1">
      <w:pPr>
        <w:rPr>
          <w:rFonts w:cs="Arial"/>
        </w:rPr>
      </w:pPr>
    </w:p>
    <w:p w:rsidR="00EF2308" w:rsidRDefault="00EF2308" w:rsidP="00082DE1">
      <w:pPr>
        <w:rPr>
          <w:rFonts w:cs="Arial"/>
        </w:rPr>
      </w:pPr>
    </w:p>
    <w:p w:rsidR="0031678F" w:rsidRDefault="0031678F">
      <w:pPr>
        <w:rPr>
          <w:rFonts w:cs="Arial"/>
        </w:rPr>
      </w:pPr>
      <w:r>
        <w:rPr>
          <w:rFonts w:cs="Arial"/>
        </w:rPr>
        <w:br w:type="page"/>
      </w:r>
    </w:p>
    <w:p w:rsidR="0031678F" w:rsidRDefault="0031678F" w:rsidP="00082DE1">
      <w:pPr>
        <w:rPr>
          <w:rFonts w:cs="Arial"/>
          <w:b/>
        </w:rPr>
      </w:pPr>
      <w:r w:rsidRPr="0031678F">
        <w:rPr>
          <w:rFonts w:cs="Arial"/>
          <w:b/>
        </w:rPr>
        <w:lastRenderedPageBreak/>
        <w:t>References</w:t>
      </w:r>
    </w:p>
    <w:sectPr w:rsidR="003167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01" w:rsidRDefault="00683201" w:rsidP="00165C03">
      <w:pPr>
        <w:spacing w:after="0" w:line="240" w:lineRule="auto"/>
      </w:pPr>
      <w:r>
        <w:separator/>
      </w:r>
    </w:p>
  </w:endnote>
  <w:endnote w:type="continuationSeparator" w:id="0">
    <w:p w:rsidR="00683201" w:rsidRDefault="00683201" w:rsidP="00165C03">
      <w:pPr>
        <w:spacing w:after="0" w:line="240" w:lineRule="auto"/>
      </w:pPr>
      <w:r>
        <w:continuationSeparator/>
      </w:r>
    </w:p>
  </w:endnote>
  <w:endnote w:id="1">
    <w:p w:rsidR="003C58E2" w:rsidRDefault="003C58E2">
      <w:pPr>
        <w:pStyle w:val="EndnoteText"/>
      </w:pPr>
      <w:r>
        <w:rPr>
          <w:rStyle w:val="EndnoteReference"/>
        </w:rPr>
        <w:endnoteRef/>
      </w:r>
      <w:r>
        <w:t xml:space="preserve"> </w:t>
      </w:r>
      <w:r>
        <w:rPr>
          <w:rFonts w:eastAsia="Arial" w:cs="Arial"/>
        </w:rPr>
        <w:t>NICE 2011. Medical Technologies Evaluation Programme Methods Guide. London, NICE.</w:t>
      </w:r>
    </w:p>
  </w:endnote>
  <w:endnote w:id="2">
    <w:p w:rsidR="003C58E2" w:rsidRDefault="003C58E2">
      <w:pPr>
        <w:pStyle w:val="EndnoteText"/>
      </w:pPr>
      <w:r>
        <w:rPr>
          <w:rStyle w:val="EndnoteReference"/>
        </w:rPr>
        <w:endnoteRef/>
      </w:r>
      <w:r>
        <w:t xml:space="preserve"> </w:t>
      </w:r>
      <w:r w:rsidRPr="004914F2">
        <w:rPr>
          <w:rFonts w:eastAsia="Arial" w:cs="Arial"/>
        </w:rPr>
        <w:t>Bennett G, Dealey C, Posnett J (2004). The cost of pressure ulcers in the UK. Age and Ageing 33:230-35</w:t>
      </w:r>
    </w:p>
  </w:endnote>
  <w:endnote w:id="3">
    <w:p w:rsidR="003C58E2" w:rsidRDefault="003C58E2">
      <w:pPr>
        <w:pStyle w:val="EndnoteText"/>
      </w:pPr>
      <w:r>
        <w:rPr>
          <w:rStyle w:val="EndnoteReference"/>
        </w:rPr>
        <w:endnoteRef/>
      </w:r>
      <w:r>
        <w:t xml:space="preserve"> </w:t>
      </w:r>
      <w:r w:rsidRPr="004914F2">
        <w:rPr>
          <w:rFonts w:eastAsia="Arial" w:cs="Arial"/>
        </w:rPr>
        <w:t>NICE (2005). The management of pressure ulcers in primary and secondary care. A Clinical Practice Guideline (CG29). London, Royal College of Nursing.</w:t>
      </w:r>
    </w:p>
  </w:endnote>
  <w:endnote w:id="4">
    <w:p w:rsidR="003C58E2" w:rsidRDefault="003C58E2">
      <w:pPr>
        <w:pStyle w:val="EndnoteText"/>
      </w:pPr>
      <w:r>
        <w:rPr>
          <w:rStyle w:val="EndnoteReference"/>
        </w:rPr>
        <w:endnoteRef/>
      </w:r>
      <w:r>
        <w:t xml:space="preserve"> </w:t>
      </w:r>
      <w:r w:rsidRPr="004914F2">
        <w:rPr>
          <w:rFonts w:eastAsia="Arial" w:cs="Arial"/>
        </w:rPr>
        <w:t>Lahmann NA, Kottner J (2011a). Relation between pressure, friction and pressure ulcer categories: A secondary data analysis of hospital patients using CHAID methods. International Journal of Nursing Studies 248:1487-94</w:t>
      </w:r>
    </w:p>
  </w:endnote>
  <w:endnote w:id="5">
    <w:p w:rsidR="003C58E2" w:rsidRDefault="003C58E2">
      <w:pPr>
        <w:pStyle w:val="EndnoteText"/>
      </w:pPr>
      <w:r>
        <w:rPr>
          <w:rStyle w:val="EndnoteReference"/>
        </w:rPr>
        <w:endnoteRef/>
      </w:r>
      <w:r>
        <w:t xml:space="preserve"> </w:t>
      </w:r>
      <w:r w:rsidRPr="004914F2">
        <w:rPr>
          <w:rFonts w:eastAsia="Arial" w:cs="Arial"/>
        </w:rPr>
        <w:t>Lahmann NA, Tannen A, Dassen T, Kottner J. (2011b) Friction and shear highly associated with pressure ulcers of residents in long-term care – classification tree analysis (CHAID) of Braden items. Journal of Evaluation in Clinical Practice 17:168-73</w:t>
      </w:r>
    </w:p>
  </w:endnote>
  <w:endnote w:id="6">
    <w:p w:rsidR="003C58E2" w:rsidRDefault="003C58E2">
      <w:pPr>
        <w:pStyle w:val="EndnoteText"/>
      </w:pPr>
      <w:r>
        <w:rPr>
          <w:rStyle w:val="EndnoteReference"/>
        </w:rPr>
        <w:endnoteRef/>
      </w:r>
      <w:r>
        <w:t xml:space="preserve"> </w:t>
      </w:r>
      <w:r>
        <w:rPr>
          <w:rStyle w:val="A2"/>
        </w:rPr>
        <w:t>National Pressure Ulcer Advisory Panel, European Pressure Ulcer Advisory Panel and Pan Pacific Pressure Injury Alliance. Prevention and Treatment of Pressure Ulcers: Quick Reference Guide. Emily Haesler (Ed.). Cambridge Media: Perth, Australia; 2014</w:t>
      </w:r>
    </w:p>
  </w:endnote>
  <w:endnote w:id="7">
    <w:p w:rsidR="003C58E2" w:rsidRDefault="003C58E2">
      <w:pPr>
        <w:pStyle w:val="EndnoteText"/>
      </w:pPr>
      <w:r>
        <w:rPr>
          <w:rStyle w:val="EndnoteReference"/>
        </w:rPr>
        <w:endnoteRef/>
      </w:r>
      <w:r>
        <w:t xml:space="preserve"> </w:t>
      </w:r>
      <w:r w:rsidRPr="004914F2">
        <w:rPr>
          <w:rFonts w:eastAsia="Arial" w:cs="Arial"/>
        </w:rPr>
        <w:t>Dealey C, Posnett J, Walker A. (2012) The cost of pressure ulcers in the United Kingdom. Journal of Wound Care 21(6):261-66</w:t>
      </w:r>
    </w:p>
  </w:endnote>
  <w:endnote w:id="8">
    <w:p w:rsidR="003C58E2" w:rsidRDefault="003C58E2">
      <w:pPr>
        <w:pStyle w:val="EndnoteText"/>
      </w:pPr>
      <w:r>
        <w:rPr>
          <w:rStyle w:val="EndnoteReference"/>
        </w:rPr>
        <w:endnoteRef/>
      </w:r>
      <w:r>
        <w:t xml:space="preserve"> </w:t>
      </w:r>
      <w:r w:rsidRPr="004914F2">
        <w:rPr>
          <w:rFonts w:eastAsia="Arial"/>
        </w:rPr>
        <w:t>NICE (2013). Pressure ulcer prevention. The prevention and management of pressure ulcers in primary and secondary care. Draft clinical guideline. London. National Clinical Guideline Centre.</w:t>
      </w:r>
    </w:p>
  </w:endnote>
  <w:endnote w:id="9">
    <w:p w:rsidR="003C58E2" w:rsidRDefault="003C58E2">
      <w:pPr>
        <w:pStyle w:val="EndnoteText"/>
      </w:pPr>
      <w:r>
        <w:rPr>
          <w:rStyle w:val="EndnoteReference"/>
        </w:rPr>
        <w:endnoteRef/>
      </w:r>
      <w:r>
        <w:t xml:space="preserve"> </w:t>
      </w:r>
      <w:r w:rsidRPr="004914F2">
        <w:rPr>
          <w:rFonts w:eastAsia="Arial" w:cs="Arial"/>
        </w:rPr>
        <w:t>Bree-Aslan A, Hampton S (2008). Parafricta and the prevention of shearing forces: heel ulcers. Nursing &amp; Residential Care 10(1):626-628.</w:t>
      </w:r>
    </w:p>
  </w:endnote>
  <w:endnote w:id="10">
    <w:p w:rsidR="003C58E2" w:rsidRDefault="003C58E2">
      <w:pPr>
        <w:pStyle w:val="EndnoteText"/>
      </w:pPr>
      <w:r>
        <w:rPr>
          <w:rStyle w:val="EndnoteReference"/>
        </w:rPr>
        <w:endnoteRef/>
      </w:r>
      <w:r>
        <w:t xml:space="preserve"> </w:t>
      </w:r>
      <w:r w:rsidRPr="004914F2">
        <w:rPr>
          <w:rFonts w:eastAsia="Arial" w:cs="Arial"/>
        </w:rPr>
        <w:t>Hampton S (2007) Reducing shearing forces: Parafricta fabric. Nursing &amp; Residential Care 9(12):2-4.</w:t>
      </w:r>
    </w:p>
  </w:endnote>
  <w:endnote w:id="11">
    <w:p w:rsidR="003C58E2" w:rsidRDefault="003C58E2">
      <w:pPr>
        <w:pStyle w:val="EndnoteText"/>
      </w:pPr>
      <w:r>
        <w:rPr>
          <w:rStyle w:val="EndnoteReference"/>
        </w:rPr>
        <w:endnoteRef/>
      </w:r>
      <w:r>
        <w:t xml:space="preserve"> </w:t>
      </w:r>
      <w:r w:rsidRPr="004914F2">
        <w:rPr>
          <w:rFonts w:eastAsia="Arial" w:cs="Arial"/>
        </w:rPr>
        <w:t>Kerr A. (2008) Reducing shear and friction: Parafricta undergarments. Nursing &amp; Residential Care, 10(1):626-628.</w:t>
      </w:r>
    </w:p>
  </w:endnote>
  <w:endnote w:id="12">
    <w:p w:rsidR="003C58E2" w:rsidRDefault="003C58E2">
      <w:pPr>
        <w:pStyle w:val="EndnoteText"/>
      </w:pPr>
      <w:r>
        <w:rPr>
          <w:rStyle w:val="EndnoteReference"/>
        </w:rPr>
        <w:endnoteRef/>
      </w:r>
      <w:r>
        <w:t xml:space="preserve"> </w:t>
      </w:r>
      <w:r w:rsidRPr="004914F2">
        <w:rPr>
          <w:rFonts w:eastAsia="Arial" w:cs="Arial"/>
        </w:rPr>
        <w:t>Loehne, H.B. (2013) Clinical study of device to assist in prevention of heel and foot pressure ulcers resulting from friction and shear in patients unable to utilize heel pressure relieving devices.  Poster presentation, SAWC Spring Meeting (USA).</w:t>
      </w:r>
    </w:p>
  </w:endnote>
  <w:endnote w:id="13">
    <w:p w:rsidR="003C58E2" w:rsidRDefault="003C58E2">
      <w:pPr>
        <w:pStyle w:val="EndnoteText"/>
      </w:pPr>
      <w:r>
        <w:rPr>
          <w:rStyle w:val="EndnoteReference"/>
        </w:rPr>
        <w:endnoteRef/>
      </w:r>
      <w:r>
        <w:t xml:space="preserve"> </w:t>
      </w:r>
      <w:r w:rsidRPr="004914F2">
        <w:rPr>
          <w:rFonts w:eastAsia="Arial" w:cs="Arial"/>
        </w:rPr>
        <w:t>Stephen-Haynes J, Callaghan R. (2011) Clinical outcomes using a low friction and shear garment in the care home setting; Wounds UK, 7(4):76-84.</w:t>
      </w:r>
    </w:p>
  </w:endnote>
  <w:endnote w:id="14">
    <w:p w:rsidR="003C58E2" w:rsidRDefault="003C58E2">
      <w:pPr>
        <w:pStyle w:val="EndnoteText"/>
      </w:pPr>
      <w:r>
        <w:rPr>
          <w:rStyle w:val="EndnoteReference"/>
        </w:rPr>
        <w:endnoteRef/>
      </w:r>
      <w:r>
        <w:t xml:space="preserve"> </w:t>
      </w:r>
      <w:r w:rsidRPr="004914F2">
        <w:rPr>
          <w:rFonts w:eastAsia="Arial" w:cs="Arial"/>
        </w:rPr>
        <w:t>Hamp</w:t>
      </w:r>
      <w:r w:rsidRPr="004914F2">
        <w:rPr>
          <w:rFonts w:eastAsia="Arial" w:cs="Arial"/>
          <w:spacing w:val="2"/>
        </w:rPr>
        <w:t>t</w:t>
      </w:r>
      <w:r w:rsidRPr="004914F2">
        <w:rPr>
          <w:rFonts w:eastAsia="Arial" w:cs="Arial"/>
        </w:rPr>
        <w:t xml:space="preserve">on S, Young S, Bree-Aslan A, Colbourn A. (2009) </w:t>
      </w:r>
      <w:r w:rsidRPr="004914F2">
        <w:rPr>
          <w:rFonts w:eastAsia="Arial" w:cs="Arial"/>
          <w:spacing w:val="-2"/>
        </w:rPr>
        <w:t>P</w:t>
      </w:r>
      <w:r w:rsidRPr="004914F2">
        <w:rPr>
          <w:rFonts w:eastAsia="Arial" w:cs="Arial"/>
        </w:rPr>
        <w:t>arafricta material: Can it reduce the potential for pressure ulcer damage? Journal of Community Nursing,</w:t>
      </w:r>
      <w:r w:rsidRPr="004914F2">
        <w:rPr>
          <w:rFonts w:eastAsia="Arial" w:cs="Arial"/>
          <w:spacing w:val="2"/>
        </w:rPr>
        <w:t xml:space="preserve"> </w:t>
      </w:r>
      <w:r w:rsidRPr="004914F2">
        <w:rPr>
          <w:rFonts w:eastAsia="Arial" w:cs="Arial"/>
        </w:rPr>
        <w:t>23(4):28-31</w:t>
      </w:r>
    </w:p>
  </w:endnote>
  <w:endnote w:id="15">
    <w:p w:rsidR="003C58E2" w:rsidRDefault="003C58E2">
      <w:pPr>
        <w:pStyle w:val="EndnoteText"/>
      </w:pPr>
      <w:r>
        <w:rPr>
          <w:rStyle w:val="EndnoteReference"/>
        </w:rPr>
        <w:endnoteRef/>
      </w:r>
      <w:r>
        <w:t xml:space="preserve"> </w:t>
      </w:r>
      <w:r w:rsidRPr="00077627">
        <w:rPr>
          <w:rFonts w:eastAsia="Arial" w:cs="Arial"/>
        </w:rPr>
        <w:t>Smith G, Ingram A. (2010) Clinical and cost effectiveness evaluation of low friction and shear garments. Journal of Wound Care 19(12):535-42</w:t>
      </w:r>
      <w:r w:rsidRPr="004914F2">
        <w:rPr>
          <w:rFonts w:ascii="Arial" w:eastAsia="Arial" w:hAnsi="Arial" w:cs="Arial"/>
        </w:rPr>
        <w:t>.</w:t>
      </w:r>
    </w:p>
  </w:endnote>
  <w:endnote w:id="16">
    <w:p w:rsidR="003C58E2" w:rsidRDefault="003C58E2">
      <w:pPr>
        <w:pStyle w:val="EndnoteText"/>
      </w:pPr>
      <w:r>
        <w:rPr>
          <w:rStyle w:val="EndnoteReference"/>
        </w:rPr>
        <w:endnoteRef/>
      </w:r>
      <w:r>
        <w:t xml:space="preserve"> </w:t>
      </w:r>
      <w:r w:rsidRPr="004914F2">
        <w:rPr>
          <w:rFonts w:eastAsia="Arial" w:cs="Arial"/>
        </w:rPr>
        <w:t>Gleeson D (2014). Heel pressure ulcers, where now? Unpublished manuscript.</w:t>
      </w:r>
    </w:p>
  </w:endnote>
  <w:endnote w:id="17">
    <w:p w:rsidR="003C58E2" w:rsidRDefault="003C58E2">
      <w:pPr>
        <w:pStyle w:val="EndnoteText"/>
      </w:pPr>
      <w:r>
        <w:rPr>
          <w:rStyle w:val="EndnoteReference"/>
        </w:rPr>
        <w:endnoteRef/>
      </w:r>
      <w:r>
        <w:t xml:space="preserve"> </w:t>
      </w:r>
      <w:r>
        <w:rPr>
          <w:rFonts w:eastAsia="Arial" w:cs="Arial"/>
        </w:rPr>
        <w:t xml:space="preserve">Gleeson D. (2015). Pressure-ulcer reduction using low-friction fabric bootees. British Journal of Nursing </w:t>
      </w:r>
      <w:r w:rsidRPr="0097256F">
        <w:rPr>
          <w:rFonts w:eastAsia="Arial" w:cs="Arial"/>
        </w:rPr>
        <w:t>24(6):S26-9.</w:t>
      </w:r>
    </w:p>
  </w:endnote>
  <w:endnote w:id="18">
    <w:p w:rsidR="003C58E2" w:rsidRDefault="003C58E2">
      <w:pPr>
        <w:pStyle w:val="EndnoteText"/>
      </w:pPr>
      <w:r>
        <w:rPr>
          <w:rStyle w:val="EndnoteReference"/>
        </w:rPr>
        <w:endnoteRef/>
      </w:r>
      <w:r>
        <w:t xml:space="preserve"> </w:t>
      </w:r>
      <w:r w:rsidRPr="004914F2">
        <w:rPr>
          <w:rFonts w:eastAsia="Arial"/>
        </w:rPr>
        <w:t>EPOC (2014) What study designs should be included in an EPOC review and what should they be called?  http://epoc.cochrane.org/epoc-resources accessed April 2014.</w:t>
      </w:r>
    </w:p>
  </w:endnote>
  <w:endnote w:id="19">
    <w:p w:rsidR="003C58E2" w:rsidRDefault="003C58E2">
      <w:pPr>
        <w:pStyle w:val="EndnoteText"/>
      </w:pPr>
      <w:r>
        <w:rPr>
          <w:rStyle w:val="EndnoteReference"/>
        </w:rPr>
        <w:endnoteRef/>
      </w:r>
      <w:r>
        <w:t xml:space="preserve"> </w:t>
      </w:r>
      <w:r>
        <w:rPr>
          <w:rFonts w:eastAsia="Arial"/>
        </w:rPr>
        <w:t xml:space="preserve">PSSRU (2013). </w:t>
      </w:r>
      <w:r w:rsidRPr="00B72795">
        <w:rPr>
          <w:rFonts w:eastAsia="Arial"/>
        </w:rPr>
        <w:t>Unit Costs of Health and Social Care 2013</w:t>
      </w:r>
      <w:r>
        <w:rPr>
          <w:rFonts w:eastAsia="Arial"/>
        </w:rPr>
        <w:t>. Canterbury, University of Kent</w:t>
      </w:r>
    </w:p>
  </w:endnote>
  <w:endnote w:id="20">
    <w:p w:rsidR="003C58E2" w:rsidRDefault="003C58E2">
      <w:pPr>
        <w:pStyle w:val="EndnoteText"/>
      </w:pPr>
      <w:r>
        <w:rPr>
          <w:rStyle w:val="EndnoteReference"/>
        </w:rPr>
        <w:endnoteRef/>
      </w:r>
      <w:r>
        <w:t xml:space="preserve"> </w:t>
      </w:r>
      <w:r w:rsidRPr="000B717D">
        <w:rPr>
          <w:rFonts w:eastAsia="Arial" w:cs="Arial"/>
        </w:rPr>
        <w:t>Stevens J, Murphy F and Smith R. (2000</w:t>
      </w:r>
      <w:r>
        <w:rPr>
          <w:rFonts w:eastAsia="Arial" w:cs="Arial"/>
        </w:rPr>
        <w:t>)</w:t>
      </w:r>
      <w:r w:rsidRPr="000B717D">
        <w:rPr>
          <w:rFonts w:eastAsia="Arial" w:cs="Arial"/>
        </w:rPr>
        <w:t xml:space="preserve">. </w:t>
      </w:r>
      <w:hyperlink r:id="rId1" w:history="1">
        <w:r w:rsidRPr="000B717D">
          <w:rPr>
            <w:rFonts w:eastAsia="Arial" w:cs="Arial"/>
          </w:rPr>
          <w:t>Community and residential homes pressure ulcer audit</w:t>
        </w:r>
      </w:hyperlink>
      <w:r w:rsidRPr="000B717D">
        <w:rPr>
          <w:rFonts w:eastAsia="Arial" w:cs="Arial"/>
        </w:rPr>
        <w:t xml:space="preserve">. Nursing &amp; Residential Care, vol. 2, pp. 174-185. </w:t>
      </w:r>
      <w:r w:rsidRPr="004914F2">
        <w:rPr>
          <w:rFonts w:eastAsia="Arial" w:cs="Arial"/>
        </w:rPr>
        <w:t>Young SR, Hampton S, Bree-Aslan C, Colbourne A. (2008) Parafricta Trial ultrasound scan results. Unpublished Manuscript.</w:t>
      </w:r>
    </w:p>
  </w:endnote>
  <w:endnote w:id="21">
    <w:p w:rsidR="003C58E2" w:rsidRDefault="003C58E2">
      <w:pPr>
        <w:pStyle w:val="EndnoteText"/>
      </w:pPr>
      <w:r>
        <w:rPr>
          <w:rStyle w:val="EndnoteReference"/>
        </w:rPr>
        <w:endnoteRef/>
      </w:r>
      <w:r>
        <w:t xml:space="preserve"> </w:t>
      </w:r>
      <w:r w:rsidRPr="006070BC">
        <w:rPr>
          <w:rFonts w:eastAsia="Arial" w:cs="Arial"/>
        </w:rPr>
        <w:t>NHS</w:t>
      </w:r>
      <w:r>
        <w:rPr>
          <w:rFonts w:eastAsia="Arial" w:cs="Arial"/>
        </w:rPr>
        <w:t>.</w:t>
      </w:r>
      <w:r w:rsidRPr="006070BC">
        <w:rPr>
          <w:rFonts w:eastAsia="Arial" w:cs="Arial"/>
        </w:rPr>
        <w:t xml:space="preserve"> Tariff information spreadsheet 2013/14. https://www.gov.uk/government/publications/payment-by-results-pbr-op</w:t>
      </w:r>
      <w:r>
        <w:rPr>
          <w:rFonts w:eastAsia="Arial" w:cs="Arial"/>
        </w:rPr>
        <w:t>erational-guidance-and-tariffs (</w:t>
      </w:r>
      <w:r w:rsidRPr="006070BC">
        <w:rPr>
          <w:rFonts w:eastAsia="Arial" w:cs="Arial"/>
        </w:rPr>
        <w:t>Accessed 26</w:t>
      </w:r>
      <w:r>
        <w:rPr>
          <w:rFonts w:eastAsia="Arial" w:cs="Arial"/>
        </w:rPr>
        <w:t>-</w:t>
      </w:r>
      <w:r w:rsidRPr="006070BC">
        <w:rPr>
          <w:rFonts w:eastAsia="Arial" w:cs="Arial"/>
        </w:rPr>
        <w:t>03</w:t>
      </w:r>
      <w:r>
        <w:rPr>
          <w:rFonts w:eastAsia="Arial" w:cs="Arial"/>
        </w:rPr>
        <w:t>-14)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GillSansStd">
    <w:altName w:val="MS Gothic"/>
    <w:panose1 w:val="00000000000000000000"/>
    <w:charset w:val="80"/>
    <w:family w:val="swiss"/>
    <w:notTrueType/>
    <w:pitch w:val="default"/>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47517"/>
      <w:docPartObj>
        <w:docPartGallery w:val="Page Numbers (Bottom of Page)"/>
        <w:docPartUnique/>
      </w:docPartObj>
    </w:sdtPr>
    <w:sdtEndPr>
      <w:rPr>
        <w:noProof/>
      </w:rPr>
    </w:sdtEndPr>
    <w:sdtContent>
      <w:p w:rsidR="003C58E2" w:rsidRDefault="003C58E2">
        <w:pPr>
          <w:pStyle w:val="Footer"/>
          <w:jc w:val="center"/>
        </w:pPr>
        <w:r>
          <w:fldChar w:fldCharType="begin"/>
        </w:r>
        <w:r>
          <w:instrText xml:space="preserve"> PAGE   \* MERGEFORMAT </w:instrText>
        </w:r>
        <w:r>
          <w:fldChar w:fldCharType="separate"/>
        </w:r>
        <w:r w:rsidR="00610498">
          <w:rPr>
            <w:noProof/>
          </w:rPr>
          <w:t>2</w:t>
        </w:r>
        <w:r>
          <w:rPr>
            <w:noProof/>
          </w:rPr>
          <w:fldChar w:fldCharType="end"/>
        </w:r>
      </w:p>
    </w:sdtContent>
  </w:sdt>
  <w:p w:rsidR="003C58E2" w:rsidRDefault="003C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01" w:rsidRDefault="00683201" w:rsidP="00165C03">
      <w:pPr>
        <w:spacing w:after="0" w:line="240" w:lineRule="auto"/>
      </w:pPr>
      <w:r>
        <w:separator/>
      </w:r>
    </w:p>
  </w:footnote>
  <w:footnote w:type="continuationSeparator" w:id="0">
    <w:p w:rsidR="00683201" w:rsidRDefault="00683201" w:rsidP="00165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690"/>
    <w:multiLevelType w:val="hybridMultilevel"/>
    <w:tmpl w:val="DAFE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37FFD"/>
    <w:multiLevelType w:val="multilevel"/>
    <w:tmpl w:val="794E0712"/>
    <w:lvl w:ilvl="0">
      <w:start w:val="1"/>
      <w:numFmt w:val="decimal"/>
      <w:lvlText w:val="%1."/>
      <w:lvlJc w:val="left"/>
      <w:pPr>
        <w:ind w:left="720" w:hanging="360"/>
      </w:pPr>
      <w:rPr>
        <w:rFonts w:hint="default"/>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28453C"/>
    <w:multiLevelType w:val="hybridMultilevel"/>
    <w:tmpl w:val="842E5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57E75"/>
    <w:multiLevelType w:val="hybridMultilevel"/>
    <w:tmpl w:val="32BA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76068"/>
    <w:multiLevelType w:val="hybridMultilevel"/>
    <w:tmpl w:val="842E5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A3232"/>
    <w:multiLevelType w:val="hybridMultilevel"/>
    <w:tmpl w:val="FF284F3E"/>
    <w:lvl w:ilvl="0" w:tplc="FC669E0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852E36"/>
    <w:multiLevelType w:val="hybridMultilevel"/>
    <w:tmpl w:val="FEEE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41CC1"/>
    <w:multiLevelType w:val="hybridMultilevel"/>
    <w:tmpl w:val="BACA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F5206"/>
    <w:multiLevelType w:val="hybridMultilevel"/>
    <w:tmpl w:val="842E5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A5570"/>
    <w:multiLevelType w:val="hybridMultilevel"/>
    <w:tmpl w:val="A68A8150"/>
    <w:lvl w:ilvl="0" w:tplc="B5D2D23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A7ABE"/>
    <w:multiLevelType w:val="hybridMultilevel"/>
    <w:tmpl w:val="5DE6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50330"/>
    <w:multiLevelType w:val="hybridMultilevel"/>
    <w:tmpl w:val="EC7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11"/>
  </w:num>
  <w:num w:numId="7">
    <w:abstractNumId w:val="10"/>
  </w:num>
  <w:num w:numId="8">
    <w:abstractNumId w:val="7"/>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E1"/>
    <w:rsid w:val="00013137"/>
    <w:rsid w:val="00014BEF"/>
    <w:rsid w:val="00016F78"/>
    <w:rsid w:val="00021E4D"/>
    <w:rsid w:val="00031D95"/>
    <w:rsid w:val="000320CD"/>
    <w:rsid w:val="000334F0"/>
    <w:rsid w:val="00035377"/>
    <w:rsid w:val="00052CAF"/>
    <w:rsid w:val="00065275"/>
    <w:rsid w:val="00077627"/>
    <w:rsid w:val="00082DE1"/>
    <w:rsid w:val="0009389C"/>
    <w:rsid w:val="000A69DC"/>
    <w:rsid w:val="000B0C4F"/>
    <w:rsid w:val="000B1B29"/>
    <w:rsid w:val="000B4B54"/>
    <w:rsid w:val="000C4B0A"/>
    <w:rsid w:val="000D77DC"/>
    <w:rsid w:val="000F2B34"/>
    <w:rsid w:val="000F6A7D"/>
    <w:rsid w:val="00123650"/>
    <w:rsid w:val="00124A73"/>
    <w:rsid w:val="001270A5"/>
    <w:rsid w:val="0013760D"/>
    <w:rsid w:val="00165C03"/>
    <w:rsid w:val="00183FC4"/>
    <w:rsid w:val="001905A1"/>
    <w:rsid w:val="001A1DDC"/>
    <w:rsid w:val="001A7A55"/>
    <w:rsid w:val="001B4A3D"/>
    <w:rsid w:val="001B6073"/>
    <w:rsid w:val="001E0EFD"/>
    <w:rsid w:val="001E1E48"/>
    <w:rsid w:val="001E741B"/>
    <w:rsid w:val="001F7737"/>
    <w:rsid w:val="00214D74"/>
    <w:rsid w:val="00220017"/>
    <w:rsid w:val="00220858"/>
    <w:rsid w:val="00220A76"/>
    <w:rsid w:val="00220F4B"/>
    <w:rsid w:val="00231798"/>
    <w:rsid w:val="00241293"/>
    <w:rsid w:val="00242DF3"/>
    <w:rsid w:val="00266E8C"/>
    <w:rsid w:val="00271F56"/>
    <w:rsid w:val="0027602A"/>
    <w:rsid w:val="002944FC"/>
    <w:rsid w:val="0029587B"/>
    <w:rsid w:val="00296210"/>
    <w:rsid w:val="002A25E8"/>
    <w:rsid w:val="002C2F10"/>
    <w:rsid w:val="002D0A0C"/>
    <w:rsid w:val="002D7523"/>
    <w:rsid w:val="002F2429"/>
    <w:rsid w:val="00301C39"/>
    <w:rsid w:val="003104C2"/>
    <w:rsid w:val="00310F01"/>
    <w:rsid w:val="0031678F"/>
    <w:rsid w:val="00321F0D"/>
    <w:rsid w:val="0033798A"/>
    <w:rsid w:val="003473C5"/>
    <w:rsid w:val="0036199E"/>
    <w:rsid w:val="0036310B"/>
    <w:rsid w:val="00363362"/>
    <w:rsid w:val="00363CA2"/>
    <w:rsid w:val="00383E91"/>
    <w:rsid w:val="0039244C"/>
    <w:rsid w:val="00397552"/>
    <w:rsid w:val="003A37E7"/>
    <w:rsid w:val="003B374D"/>
    <w:rsid w:val="003C58E2"/>
    <w:rsid w:val="003C7C5D"/>
    <w:rsid w:val="003D2142"/>
    <w:rsid w:val="003D6F02"/>
    <w:rsid w:val="004077CA"/>
    <w:rsid w:val="00430A5C"/>
    <w:rsid w:val="004316D1"/>
    <w:rsid w:val="00437922"/>
    <w:rsid w:val="00437D7E"/>
    <w:rsid w:val="00444F01"/>
    <w:rsid w:val="0045029F"/>
    <w:rsid w:val="00471C29"/>
    <w:rsid w:val="00472E5B"/>
    <w:rsid w:val="004749BB"/>
    <w:rsid w:val="004767B9"/>
    <w:rsid w:val="0049293E"/>
    <w:rsid w:val="004A3729"/>
    <w:rsid w:val="004A576E"/>
    <w:rsid w:val="004B7F99"/>
    <w:rsid w:val="004C266F"/>
    <w:rsid w:val="004C76E8"/>
    <w:rsid w:val="004C7D3C"/>
    <w:rsid w:val="004E3611"/>
    <w:rsid w:val="004E49D0"/>
    <w:rsid w:val="00505B1D"/>
    <w:rsid w:val="0051039F"/>
    <w:rsid w:val="00515FC3"/>
    <w:rsid w:val="0052102C"/>
    <w:rsid w:val="00521B58"/>
    <w:rsid w:val="00545324"/>
    <w:rsid w:val="005461C7"/>
    <w:rsid w:val="00551221"/>
    <w:rsid w:val="0055131A"/>
    <w:rsid w:val="00555BE9"/>
    <w:rsid w:val="00560817"/>
    <w:rsid w:val="00581D70"/>
    <w:rsid w:val="00587CB7"/>
    <w:rsid w:val="0059426A"/>
    <w:rsid w:val="00594D15"/>
    <w:rsid w:val="00595C75"/>
    <w:rsid w:val="005B6D90"/>
    <w:rsid w:val="005C04EC"/>
    <w:rsid w:val="005C1263"/>
    <w:rsid w:val="005C4DE8"/>
    <w:rsid w:val="005C7401"/>
    <w:rsid w:val="005F02F1"/>
    <w:rsid w:val="00610498"/>
    <w:rsid w:val="006137D2"/>
    <w:rsid w:val="006162A4"/>
    <w:rsid w:val="00621A89"/>
    <w:rsid w:val="00627876"/>
    <w:rsid w:val="00632AF5"/>
    <w:rsid w:val="00632F57"/>
    <w:rsid w:val="006330BB"/>
    <w:rsid w:val="00634B06"/>
    <w:rsid w:val="006416D3"/>
    <w:rsid w:val="00642365"/>
    <w:rsid w:val="00642B14"/>
    <w:rsid w:val="00643F81"/>
    <w:rsid w:val="00643FCA"/>
    <w:rsid w:val="00657E79"/>
    <w:rsid w:val="00674316"/>
    <w:rsid w:val="00683201"/>
    <w:rsid w:val="00691737"/>
    <w:rsid w:val="006A14B2"/>
    <w:rsid w:val="006D07B0"/>
    <w:rsid w:val="006D7582"/>
    <w:rsid w:val="006E0721"/>
    <w:rsid w:val="006E1DDC"/>
    <w:rsid w:val="00702BAB"/>
    <w:rsid w:val="007066DF"/>
    <w:rsid w:val="00710105"/>
    <w:rsid w:val="00744BE1"/>
    <w:rsid w:val="007550F6"/>
    <w:rsid w:val="00762475"/>
    <w:rsid w:val="00764709"/>
    <w:rsid w:val="007665B2"/>
    <w:rsid w:val="00770636"/>
    <w:rsid w:val="00783DD6"/>
    <w:rsid w:val="00793812"/>
    <w:rsid w:val="007A0E22"/>
    <w:rsid w:val="007B405D"/>
    <w:rsid w:val="007C5BC7"/>
    <w:rsid w:val="007D5FD6"/>
    <w:rsid w:val="007D73D9"/>
    <w:rsid w:val="007E167F"/>
    <w:rsid w:val="007E3DF1"/>
    <w:rsid w:val="007E787E"/>
    <w:rsid w:val="007F128C"/>
    <w:rsid w:val="007F58AE"/>
    <w:rsid w:val="00812E77"/>
    <w:rsid w:val="00824DF8"/>
    <w:rsid w:val="008311D3"/>
    <w:rsid w:val="00844422"/>
    <w:rsid w:val="0084649F"/>
    <w:rsid w:val="008511D9"/>
    <w:rsid w:val="008718AB"/>
    <w:rsid w:val="008767AB"/>
    <w:rsid w:val="00890438"/>
    <w:rsid w:val="008A22E7"/>
    <w:rsid w:val="008D122E"/>
    <w:rsid w:val="008E451E"/>
    <w:rsid w:val="00906D7B"/>
    <w:rsid w:val="00913110"/>
    <w:rsid w:val="009153B2"/>
    <w:rsid w:val="0092448D"/>
    <w:rsid w:val="009377B6"/>
    <w:rsid w:val="00942A20"/>
    <w:rsid w:val="009522A8"/>
    <w:rsid w:val="009561E3"/>
    <w:rsid w:val="00957777"/>
    <w:rsid w:val="00960C92"/>
    <w:rsid w:val="0097256F"/>
    <w:rsid w:val="00973B96"/>
    <w:rsid w:val="00990295"/>
    <w:rsid w:val="0099068A"/>
    <w:rsid w:val="009A64E3"/>
    <w:rsid w:val="009C7004"/>
    <w:rsid w:val="009F674F"/>
    <w:rsid w:val="00A1003A"/>
    <w:rsid w:val="00A1636F"/>
    <w:rsid w:val="00A42A92"/>
    <w:rsid w:val="00A4359F"/>
    <w:rsid w:val="00A54403"/>
    <w:rsid w:val="00A54D2B"/>
    <w:rsid w:val="00A56899"/>
    <w:rsid w:val="00A7078C"/>
    <w:rsid w:val="00A74E3C"/>
    <w:rsid w:val="00A75F5E"/>
    <w:rsid w:val="00AA1927"/>
    <w:rsid w:val="00AA6A1C"/>
    <w:rsid w:val="00AC2E31"/>
    <w:rsid w:val="00AD2DE6"/>
    <w:rsid w:val="00AD7103"/>
    <w:rsid w:val="00B00A01"/>
    <w:rsid w:val="00B131EF"/>
    <w:rsid w:val="00B13B17"/>
    <w:rsid w:val="00B140F9"/>
    <w:rsid w:val="00B251D3"/>
    <w:rsid w:val="00B31418"/>
    <w:rsid w:val="00B360F8"/>
    <w:rsid w:val="00B51865"/>
    <w:rsid w:val="00B55E51"/>
    <w:rsid w:val="00B711F0"/>
    <w:rsid w:val="00B82734"/>
    <w:rsid w:val="00B84D7F"/>
    <w:rsid w:val="00B86627"/>
    <w:rsid w:val="00BB1227"/>
    <w:rsid w:val="00BC01A4"/>
    <w:rsid w:val="00BC3290"/>
    <w:rsid w:val="00BD1287"/>
    <w:rsid w:val="00BD2F2E"/>
    <w:rsid w:val="00BD556B"/>
    <w:rsid w:val="00BF50F7"/>
    <w:rsid w:val="00BF5C12"/>
    <w:rsid w:val="00C035AA"/>
    <w:rsid w:val="00C05081"/>
    <w:rsid w:val="00C05E50"/>
    <w:rsid w:val="00C374AD"/>
    <w:rsid w:val="00C44CC8"/>
    <w:rsid w:val="00C54C94"/>
    <w:rsid w:val="00C607CB"/>
    <w:rsid w:val="00C6206E"/>
    <w:rsid w:val="00C84040"/>
    <w:rsid w:val="00C87999"/>
    <w:rsid w:val="00CA0C2C"/>
    <w:rsid w:val="00CB079F"/>
    <w:rsid w:val="00CB0EF9"/>
    <w:rsid w:val="00CC6A9A"/>
    <w:rsid w:val="00CF139C"/>
    <w:rsid w:val="00CF600E"/>
    <w:rsid w:val="00D0174F"/>
    <w:rsid w:val="00D03405"/>
    <w:rsid w:val="00D14A21"/>
    <w:rsid w:val="00D21156"/>
    <w:rsid w:val="00D2581F"/>
    <w:rsid w:val="00D31D8F"/>
    <w:rsid w:val="00D34C7C"/>
    <w:rsid w:val="00D437DB"/>
    <w:rsid w:val="00D62444"/>
    <w:rsid w:val="00D638E7"/>
    <w:rsid w:val="00D71E3F"/>
    <w:rsid w:val="00D72030"/>
    <w:rsid w:val="00D770E6"/>
    <w:rsid w:val="00D85009"/>
    <w:rsid w:val="00D96D91"/>
    <w:rsid w:val="00DB17C1"/>
    <w:rsid w:val="00DB1E73"/>
    <w:rsid w:val="00DB5232"/>
    <w:rsid w:val="00DC4710"/>
    <w:rsid w:val="00DC57AF"/>
    <w:rsid w:val="00DD3E05"/>
    <w:rsid w:val="00DD406B"/>
    <w:rsid w:val="00DE604D"/>
    <w:rsid w:val="00DF08DD"/>
    <w:rsid w:val="00DF0CD7"/>
    <w:rsid w:val="00DF648B"/>
    <w:rsid w:val="00E1034C"/>
    <w:rsid w:val="00E261AB"/>
    <w:rsid w:val="00E53C95"/>
    <w:rsid w:val="00E60095"/>
    <w:rsid w:val="00E84C6D"/>
    <w:rsid w:val="00E92195"/>
    <w:rsid w:val="00E94E8E"/>
    <w:rsid w:val="00E95B16"/>
    <w:rsid w:val="00EA36EF"/>
    <w:rsid w:val="00EA71C6"/>
    <w:rsid w:val="00EB2761"/>
    <w:rsid w:val="00ED0D75"/>
    <w:rsid w:val="00ED6FB2"/>
    <w:rsid w:val="00ED721A"/>
    <w:rsid w:val="00ED7EEF"/>
    <w:rsid w:val="00EE67BC"/>
    <w:rsid w:val="00EF00C8"/>
    <w:rsid w:val="00EF2308"/>
    <w:rsid w:val="00EF5E1B"/>
    <w:rsid w:val="00F02500"/>
    <w:rsid w:val="00F0324D"/>
    <w:rsid w:val="00F1291D"/>
    <w:rsid w:val="00F2430B"/>
    <w:rsid w:val="00F71A0F"/>
    <w:rsid w:val="00F75D61"/>
    <w:rsid w:val="00FB11BD"/>
    <w:rsid w:val="00FC1EB5"/>
    <w:rsid w:val="00FD41C0"/>
    <w:rsid w:val="00FF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7939-F274-4C11-A3E2-DCE5B669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2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82D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7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DE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2DE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2DE1"/>
    <w:rPr>
      <w:color w:val="0563C1" w:themeColor="hyperlink"/>
      <w:u w:val="single"/>
    </w:rPr>
  </w:style>
  <w:style w:type="character" w:styleId="CommentReference">
    <w:name w:val="annotation reference"/>
    <w:basedOn w:val="DefaultParagraphFont"/>
    <w:uiPriority w:val="99"/>
    <w:semiHidden/>
    <w:unhideWhenUsed/>
    <w:rsid w:val="00082DE1"/>
    <w:rPr>
      <w:sz w:val="16"/>
      <w:szCs w:val="16"/>
    </w:rPr>
  </w:style>
  <w:style w:type="paragraph" w:styleId="CommentText">
    <w:name w:val="annotation text"/>
    <w:basedOn w:val="Normal"/>
    <w:link w:val="CommentTextChar"/>
    <w:uiPriority w:val="99"/>
    <w:unhideWhenUsed/>
    <w:rsid w:val="00082DE1"/>
    <w:pPr>
      <w:spacing w:after="0" w:line="240" w:lineRule="auto"/>
    </w:pPr>
    <w:rPr>
      <w:sz w:val="20"/>
      <w:szCs w:val="20"/>
    </w:rPr>
  </w:style>
  <w:style w:type="character" w:customStyle="1" w:styleId="CommentTextChar">
    <w:name w:val="Comment Text Char"/>
    <w:basedOn w:val="DefaultParagraphFont"/>
    <w:link w:val="CommentText"/>
    <w:uiPriority w:val="99"/>
    <w:rsid w:val="00082DE1"/>
    <w:rPr>
      <w:sz w:val="20"/>
      <w:szCs w:val="20"/>
    </w:rPr>
  </w:style>
  <w:style w:type="paragraph" w:styleId="BalloonText">
    <w:name w:val="Balloon Text"/>
    <w:basedOn w:val="Normal"/>
    <w:link w:val="BalloonTextChar"/>
    <w:uiPriority w:val="99"/>
    <w:semiHidden/>
    <w:unhideWhenUsed/>
    <w:rsid w:val="0008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E1"/>
    <w:rPr>
      <w:rFonts w:ascii="Segoe UI" w:hAnsi="Segoe UI" w:cs="Segoe UI"/>
      <w:sz w:val="18"/>
      <w:szCs w:val="18"/>
    </w:rPr>
  </w:style>
  <w:style w:type="paragraph" w:customStyle="1" w:styleId="Paragraphnonumbers">
    <w:name w:val="Paragraph no numbers"/>
    <w:basedOn w:val="Normal"/>
    <w:uiPriority w:val="99"/>
    <w:qFormat/>
    <w:rsid w:val="004C7D3C"/>
    <w:pPr>
      <w:spacing w:before="240" w:after="240" w:line="276" w:lineRule="auto"/>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semiHidden/>
    <w:rsid w:val="004C7D3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16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title">
    <w:name w:val="Table title"/>
    <w:basedOn w:val="Normal"/>
    <w:next w:val="Normal"/>
    <w:rsid w:val="00555BE9"/>
    <w:pPr>
      <w:keepNext/>
      <w:spacing w:after="60" w:line="240" w:lineRule="auto"/>
    </w:pPr>
    <w:rPr>
      <w:rFonts w:ascii="Arial" w:eastAsia="Times New Roman" w:hAnsi="Arial" w:cs="Times New Roman"/>
      <w:b/>
      <w:sz w:val="24"/>
      <w:szCs w:val="24"/>
    </w:rPr>
  </w:style>
  <w:style w:type="paragraph" w:customStyle="1" w:styleId="Tabletext">
    <w:name w:val="Table text"/>
    <w:basedOn w:val="Normal"/>
    <w:link w:val="TabletextChar"/>
    <w:rsid w:val="00555BE9"/>
    <w:pPr>
      <w:keepNext/>
      <w:spacing w:after="60" w:line="240" w:lineRule="auto"/>
    </w:pPr>
    <w:rPr>
      <w:rFonts w:ascii="Arial" w:eastAsia="Times New Roman" w:hAnsi="Arial" w:cs="Times New Roman"/>
      <w:szCs w:val="24"/>
    </w:rPr>
  </w:style>
  <w:style w:type="character" w:customStyle="1" w:styleId="TabletextChar">
    <w:name w:val="Table text Char"/>
    <w:link w:val="Tabletext"/>
    <w:rsid w:val="00555BE9"/>
    <w:rPr>
      <w:rFonts w:ascii="Arial" w:eastAsia="Times New Roman" w:hAnsi="Arial" w:cs="Times New Roman"/>
      <w:szCs w:val="24"/>
    </w:rPr>
  </w:style>
  <w:style w:type="paragraph" w:styleId="Caption">
    <w:name w:val="caption"/>
    <w:basedOn w:val="Normal"/>
    <w:next w:val="Normal"/>
    <w:qFormat/>
    <w:rsid w:val="00555BE9"/>
    <w:pPr>
      <w:spacing w:after="0" w:line="240" w:lineRule="auto"/>
    </w:pPr>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rsid w:val="00E1034C"/>
    <w:pPr>
      <w:tabs>
        <w:tab w:val="center" w:pos="4513"/>
        <w:tab w:val="right" w:pos="9026"/>
      </w:tabs>
      <w:spacing w:after="0" w:line="240" w:lineRule="auto"/>
    </w:pPr>
    <w:rPr>
      <w:rFonts w:ascii="Arial" w:eastAsia="Times New Roman" w:hAnsi="Arial" w:cs="Times New Roman"/>
      <w:sz w:val="20"/>
      <w:szCs w:val="24"/>
      <w:lang w:eastAsia="en-GB"/>
    </w:rPr>
  </w:style>
  <w:style w:type="character" w:customStyle="1" w:styleId="FooterChar">
    <w:name w:val="Footer Char"/>
    <w:basedOn w:val="DefaultParagraphFont"/>
    <w:link w:val="Footer"/>
    <w:uiPriority w:val="99"/>
    <w:rsid w:val="00E1034C"/>
    <w:rPr>
      <w:rFonts w:ascii="Arial" w:eastAsia="Times New Roman" w:hAnsi="Arial" w:cs="Times New Roman"/>
      <w:sz w:val="20"/>
      <w:szCs w:val="24"/>
      <w:lang w:eastAsia="en-GB"/>
    </w:rPr>
  </w:style>
  <w:style w:type="paragraph" w:customStyle="1" w:styleId="NICEnormal">
    <w:name w:val="NICE normal"/>
    <w:link w:val="NICEnormalChar"/>
    <w:rsid w:val="00E1034C"/>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rsid w:val="00E1034C"/>
    <w:rPr>
      <w:rFonts w:ascii="Arial" w:eastAsia="Times New Roman" w:hAnsi="Arial" w:cs="Times New Roman"/>
      <w:sz w:val="24"/>
      <w:szCs w:val="24"/>
      <w:lang w:val="en-US"/>
    </w:rPr>
  </w:style>
  <w:style w:type="paragraph" w:styleId="ListParagraph">
    <w:name w:val="List Paragraph"/>
    <w:basedOn w:val="Normal"/>
    <w:uiPriority w:val="34"/>
    <w:qFormat/>
    <w:rsid w:val="00CF139C"/>
    <w:pPr>
      <w:ind w:left="720"/>
      <w:contextualSpacing/>
    </w:pPr>
  </w:style>
  <w:style w:type="paragraph" w:styleId="CommentSubject">
    <w:name w:val="annotation subject"/>
    <w:basedOn w:val="CommentText"/>
    <w:next w:val="CommentText"/>
    <w:link w:val="CommentSubjectChar"/>
    <w:uiPriority w:val="99"/>
    <w:semiHidden/>
    <w:unhideWhenUsed/>
    <w:rsid w:val="00472E5B"/>
    <w:pPr>
      <w:spacing w:after="160"/>
    </w:pPr>
    <w:rPr>
      <w:b/>
      <w:bCs/>
    </w:rPr>
  </w:style>
  <w:style w:type="character" w:customStyle="1" w:styleId="CommentSubjectChar">
    <w:name w:val="Comment Subject Char"/>
    <w:basedOn w:val="CommentTextChar"/>
    <w:link w:val="CommentSubject"/>
    <w:uiPriority w:val="99"/>
    <w:semiHidden/>
    <w:rsid w:val="00472E5B"/>
    <w:rPr>
      <w:b/>
      <w:bCs/>
      <w:sz w:val="20"/>
      <w:szCs w:val="20"/>
    </w:rPr>
  </w:style>
  <w:style w:type="paragraph" w:customStyle="1" w:styleId="Default">
    <w:name w:val="Default"/>
    <w:rsid w:val="00A54D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2">
    <w:name w:val="A2"/>
    <w:uiPriority w:val="99"/>
    <w:rsid w:val="00A7078C"/>
    <w:rPr>
      <w:rFonts w:cs="Frutiger 55 Roman"/>
      <w:color w:val="000000"/>
      <w:sz w:val="20"/>
      <w:szCs w:val="20"/>
    </w:rPr>
  </w:style>
  <w:style w:type="paragraph" w:styleId="EndnoteText">
    <w:name w:val="endnote text"/>
    <w:basedOn w:val="Normal"/>
    <w:link w:val="EndnoteTextChar"/>
    <w:uiPriority w:val="99"/>
    <w:semiHidden/>
    <w:unhideWhenUsed/>
    <w:rsid w:val="00165C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5C03"/>
    <w:rPr>
      <w:sz w:val="20"/>
      <w:szCs w:val="20"/>
    </w:rPr>
  </w:style>
  <w:style w:type="character" w:styleId="EndnoteReference">
    <w:name w:val="endnote reference"/>
    <w:basedOn w:val="DefaultParagraphFont"/>
    <w:uiPriority w:val="99"/>
    <w:semiHidden/>
    <w:unhideWhenUsed/>
    <w:rsid w:val="00165C03"/>
    <w:rPr>
      <w:vertAlign w:val="superscript"/>
    </w:rPr>
  </w:style>
  <w:style w:type="paragraph" w:styleId="Header">
    <w:name w:val="header"/>
    <w:basedOn w:val="Normal"/>
    <w:link w:val="HeaderChar"/>
    <w:uiPriority w:val="99"/>
    <w:unhideWhenUsed/>
    <w:rsid w:val="00A75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249">
      <w:bodyDiv w:val="1"/>
      <w:marLeft w:val="0"/>
      <w:marRight w:val="0"/>
      <w:marTop w:val="0"/>
      <w:marBottom w:val="0"/>
      <w:divBdr>
        <w:top w:val="none" w:sz="0" w:space="0" w:color="auto"/>
        <w:left w:val="none" w:sz="0" w:space="0" w:color="auto"/>
        <w:bottom w:val="none" w:sz="0" w:space="0" w:color="auto"/>
        <w:right w:val="none" w:sz="0" w:space="0" w:color="auto"/>
      </w:divBdr>
      <w:divsChild>
        <w:div w:id="1552227422">
          <w:marLeft w:val="0"/>
          <w:marRight w:val="0"/>
          <w:marTop w:val="0"/>
          <w:marBottom w:val="0"/>
          <w:divBdr>
            <w:top w:val="none" w:sz="0" w:space="0" w:color="auto"/>
            <w:left w:val="none" w:sz="0" w:space="0" w:color="auto"/>
            <w:bottom w:val="none" w:sz="0" w:space="0" w:color="auto"/>
            <w:right w:val="none" w:sz="0" w:space="0" w:color="auto"/>
          </w:divBdr>
        </w:div>
        <w:div w:id="1189217551">
          <w:marLeft w:val="0"/>
          <w:marRight w:val="0"/>
          <w:marTop w:val="0"/>
          <w:marBottom w:val="0"/>
          <w:divBdr>
            <w:top w:val="none" w:sz="0" w:space="0" w:color="auto"/>
            <w:left w:val="none" w:sz="0" w:space="0" w:color="auto"/>
            <w:bottom w:val="none" w:sz="0" w:space="0" w:color="auto"/>
            <w:right w:val="none" w:sz="0" w:space="0" w:color="auto"/>
          </w:divBdr>
        </w:div>
        <w:div w:id="732118959">
          <w:marLeft w:val="0"/>
          <w:marRight w:val="0"/>
          <w:marTop w:val="0"/>
          <w:marBottom w:val="0"/>
          <w:divBdr>
            <w:top w:val="none" w:sz="0" w:space="0" w:color="auto"/>
            <w:left w:val="none" w:sz="0" w:space="0" w:color="auto"/>
            <w:bottom w:val="none" w:sz="0" w:space="0" w:color="auto"/>
            <w:right w:val="none" w:sz="0" w:space="0" w:color="auto"/>
          </w:divBdr>
        </w:div>
        <w:div w:id="920017950">
          <w:marLeft w:val="0"/>
          <w:marRight w:val="0"/>
          <w:marTop w:val="0"/>
          <w:marBottom w:val="0"/>
          <w:divBdr>
            <w:top w:val="none" w:sz="0" w:space="0" w:color="auto"/>
            <w:left w:val="none" w:sz="0" w:space="0" w:color="auto"/>
            <w:bottom w:val="none" w:sz="0" w:space="0" w:color="auto"/>
            <w:right w:val="none" w:sz="0" w:space="0" w:color="auto"/>
          </w:divBdr>
        </w:div>
        <w:div w:id="170294684">
          <w:marLeft w:val="0"/>
          <w:marRight w:val="0"/>
          <w:marTop w:val="0"/>
          <w:marBottom w:val="0"/>
          <w:divBdr>
            <w:top w:val="none" w:sz="0" w:space="0" w:color="auto"/>
            <w:left w:val="none" w:sz="0" w:space="0" w:color="auto"/>
            <w:bottom w:val="none" w:sz="0" w:space="0" w:color="auto"/>
            <w:right w:val="none" w:sz="0" w:space="0" w:color="auto"/>
          </w:divBdr>
        </w:div>
      </w:divsChild>
    </w:div>
    <w:div w:id="337075760">
      <w:bodyDiv w:val="1"/>
      <w:marLeft w:val="0"/>
      <w:marRight w:val="0"/>
      <w:marTop w:val="0"/>
      <w:marBottom w:val="0"/>
      <w:divBdr>
        <w:top w:val="none" w:sz="0" w:space="0" w:color="auto"/>
        <w:left w:val="none" w:sz="0" w:space="0" w:color="auto"/>
        <w:bottom w:val="none" w:sz="0" w:space="0" w:color="auto"/>
        <w:right w:val="none" w:sz="0" w:space="0" w:color="auto"/>
      </w:divBdr>
    </w:div>
    <w:div w:id="572155880">
      <w:bodyDiv w:val="1"/>
      <w:marLeft w:val="0"/>
      <w:marRight w:val="0"/>
      <w:marTop w:val="0"/>
      <w:marBottom w:val="0"/>
      <w:divBdr>
        <w:top w:val="none" w:sz="0" w:space="0" w:color="auto"/>
        <w:left w:val="none" w:sz="0" w:space="0" w:color="auto"/>
        <w:bottom w:val="none" w:sz="0" w:space="0" w:color="auto"/>
        <w:right w:val="none" w:sz="0" w:space="0" w:color="auto"/>
      </w:divBdr>
      <w:divsChild>
        <w:div w:id="2112891877">
          <w:marLeft w:val="0"/>
          <w:marRight w:val="0"/>
          <w:marTop w:val="0"/>
          <w:marBottom w:val="0"/>
          <w:divBdr>
            <w:top w:val="none" w:sz="0" w:space="0" w:color="auto"/>
            <w:left w:val="none" w:sz="0" w:space="0" w:color="auto"/>
            <w:bottom w:val="none" w:sz="0" w:space="0" w:color="auto"/>
            <w:right w:val="none" w:sz="0" w:space="0" w:color="auto"/>
          </w:divBdr>
        </w:div>
        <w:div w:id="207379190">
          <w:marLeft w:val="0"/>
          <w:marRight w:val="0"/>
          <w:marTop w:val="0"/>
          <w:marBottom w:val="0"/>
          <w:divBdr>
            <w:top w:val="none" w:sz="0" w:space="0" w:color="auto"/>
            <w:left w:val="none" w:sz="0" w:space="0" w:color="auto"/>
            <w:bottom w:val="none" w:sz="0" w:space="0" w:color="auto"/>
            <w:right w:val="none" w:sz="0" w:space="0" w:color="auto"/>
          </w:divBdr>
        </w:div>
        <w:div w:id="574242399">
          <w:marLeft w:val="0"/>
          <w:marRight w:val="0"/>
          <w:marTop w:val="0"/>
          <w:marBottom w:val="0"/>
          <w:divBdr>
            <w:top w:val="none" w:sz="0" w:space="0" w:color="auto"/>
            <w:left w:val="none" w:sz="0" w:space="0" w:color="auto"/>
            <w:bottom w:val="none" w:sz="0" w:space="0" w:color="auto"/>
            <w:right w:val="none" w:sz="0" w:space="0" w:color="auto"/>
          </w:divBdr>
        </w:div>
        <w:div w:id="1366297693">
          <w:marLeft w:val="0"/>
          <w:marRight w:val="0"/>
          <w:marTop w:val="0"/>
          <w:marBottom w:val="0"/>
          <w:divBdr>
            <w:top w:val="none" w:sz="0" w:space="0" w:color="auto"/>
            <w:left w:val="none" w:sz="0" w:space="0" w:color="auto"/>
            <w:bottom w:val="none" w:sz="0" w:space="0" w:color="auto"/>
            <w:right w:val="none" w:sz="0" w:space="0" w:color="auto"/>
          </w:divBdr>
        </w:div>
        <w:div w:id="1673604971">
          <w:marLeft w:val="0"/>
          <w:marRight w:val="0"/>
          <w:marTop w:val="0"/>
          <w:marBottom w:val="0"/>
          <w:divBdr>
            <w:top w:val="none" w:sz="0" w:space="0" w:color="auto"/>
            <w:left w:val="none" w:sz="0" w:space="0" w:color="auto"/>
            <w:bottom w:val="none" w:sz="0" w:space="0" w:color="auto"/>
            <w:right w:val="none" w:sz="0" w:space="0" w:color="auto"/>
          </w:divBdr>
        </w:div>
      </w:divsChild>
    </w:div>
    <w:div w:id="585310977">
      <w:bodyDiv w:val="1"/>
      <w:marLeft w:val="0"/>
      <w:marRight w:val="0"/>
      <w:marTop w:val="0"/>
      <w:marBottom w:val="0"/>
      <w:divBdr>
        <w:top w:val="none" w:sz="0" w:space="0" w:color="auto"/>
        <w:left w:val="none" w:sz="0" w:space="0" w:color="auto"/>
        <w:bottom w:val="none" w:sz="0" w:space="0" w:color="auto"/>
        <w:right w:val="none" w:sz="0" w:space="0" w:color="auto"/>
      </w:divBdr>
      <w:divsChild>
        <w:div w:id="943342860">
          <w:marLeft w:val="0"/>
          <w:marRight w:val="0"/>
          <w:marTop w:val="0"/>
          <w:marBottom w:val="0"/>
          <w:divBdr>
            <w:top w:val="none" w:sz="0" w:space="0" w:color="auto"/>
            <w:left w:val="none" w:sz="0" w:space="0" w:color="auto"/>
            <w:bottom w:val="none" w:sz="0" w:space="0" w:color="auto"/>
            <w:right w:val="none" w:sz="0" w:space="0" w:color="auto"/>
          </w:divBdr>
        </w:div>
        <w:div w:id="39983058">
          <w:marLeft w:val="0"/>
          <w:marRight w:val="0"/>
          <w:marTop w:val="0"/>
          <w:marBottom w:val="0"/>
          <w:divBdr>
            <w:top w:val="none" w:sz="0" w:space="0" w:color="auto"/>
            <w:left w:val="none" w:sz="0" w:space="0" w:color="auto"/>
            <w:bottom w:val="none" w:sz="0" w:space="0" w:color="auto"/>
            <w:right w:val="none" w:sz="0" w:space="0" w:color="auto"/>
          </w:divBdr>
        </w:div>
        <w:div w:id="1631978781">
          <w:marLeft w:val="0"/>
          <w:marRight w:val="0"/>
          <w:marTop w:val="0"/>
          <w:marBottom w:val="0"/>
          <w:divBdr>
            <w:top w:val="none" w:sz="0" w:space="0" w:color="auto"/>
            <w:left w:val="none" w:sz="0" w:space="0" w:color="auto"/>
            <w:bottom w:val="none" w:sz="0" w:space="0" w:color="auto"/>
            <w:right w:val="none" w:sz="0" w:space="0" w:color="auto"/>
          </w:divBdr>
        </w:div>
        <w:div w:id="596602246">
          <w:marLeft w:val="0"/>
          <w:marRight w:val="0"/>
          <w:marTop w:val="0"/>
          <w:marBottom w:val="0"/>
          <w:divBdr>
            <w:top w:val="none" w:sz="0" w:space="0" w:color="auto"/>
            <w:left w:val="none" w:sz="0" w:space="0" w:color="auto"/>
            <w:bottom w:val="none" w:sz="0" w:space="0" w:color="auto"/>
            <w:right w:val="none" w:sz="0" w:space="0" w:color="auto"/>
          </w:divBdr>
        </w:div>
        <w:div w:id="1770463730">
          <w:marLeft w:val="0"/>
          <w:marRight w:val="0"/>
          <w:marTop w:val="0"/>
          <w:marBottom w:val="0"/>
          <w:divBdr>
            <w:top w:val="none" w:sz="0" w:space="0" w:color="auto"/>
            <w:left w:val="none" w:sz="0" w:space="0" w:color="auto"/>
            <w:bottom w:val="none" w:sz="0" w:space="0" w:color="auto"/>
            <w:right w:val="none" w:sz="0" w:space="0" w:color="auto"/>
          </w:divBdr>
        </w:div>
        <w:div w:id="1644919620">
          <w:marLeft w:val="0"/>
          <w:marRight w:val="0"/>
          <w:marTop w:val="0"/>
          <w:marBottom w:val="0"/>
          <w:divBdr>
            <w:top w:val="none" w:sz="0" w:space="0" w:color="auto"/>
            <w:left w:val="none" w:sz="0" w:space="0" w:color="auto"/>
            <w:bottom w:val="none" w:sz="0" w:space="0" w:color="auto"/>
            <w:right w:val="none" w:sz="0" w:space="0" w:color="auto"/>
          </w:divBdr>
        </w:div>
        <w:div w:id="162672752">
          <w:marLeft w:val="0"/>
          <w:marRight w:val="0"/>
          <w:marTop w:val="0"/>
          <w:marBottom w:val="0"/>
          <w:divBdr>
            <w:top w:val="none" w:sz="0" w:space="0" w:color="auto"/>
            <w:left w:val="none" w:sz="0" w:space="0" w:color="auto"/>
            <w:bottom w:val="none" w:sz="0" w:space="0" w:color="auto"/>
            <w:right w:val="none" w:sz="0" w:space="0" w:color="auto"/>
          </w:divBdr>
        </w:div>
        <w:div w:id="1211266843">
          <w:marLeft w:val="0"/>
          <w:marRight w:val="0"/>
          <w:marTop w:val="0"/>
          <w:marBottom w:val="0"/>
          <w:divBdr>
            <w:top w:val="none" w:sz="0" w:space="0" w:color="auto"/>
            <w:left w:val="none" w:sz="0" w:space="0" w:color="auto"/>
            <w:bottom w:val="none" w:sz="0" w:space="0" w:color="auto"/>
            <w:right w:val="none" w:sz="0" w:space="0" w:color="auto"/>
          </w:divBdr>
        </w:div>
        <w:div w:id="2046759249">
          <w:marLeft w:val="0"/>
          <w:marRight w:val="0"/>
          <w:marTop w:val="0"/>
          <w:marBottom w:val="0"/>
          <w:divBdr>
            <w:top w:val="none" w:sz="0" w:space="0" w:color="auto"/>
            <w:left w:val="none" w:sz="0" w:space="0" w:color="auto"/>
            <w:bottom w:val="none" w:sz="0" w:space="0" w:color="auto"/>
            <w:right w:val="none" w:sz="0" w:space="0" w:color="auto"/>
          </w:divBdr>
        </w:div>
        <w:div w:id="1291665753">
          <w:marLeft w:val="0"/>
          <w:marRight w:val="0"/>
          <w:marTop w:val="0"/>
          <w:marBottom w:val="0"/>
          <w:divBdr>
            <w:top w:val="none" w:sz="0" w:space="0" w:color="auto"/>
            <w:left w:val="none" w:sz="0" w:space="0" w:color="auto"/>
            <w:bottom w:val="none" w:sz="0" w:space="0" w:color="auto"/>
            <w:right w:val="none" w:sz="0" w:space="0" w:color="auto"/>
          </w:divBdr>
        </w:div>
        <w:div w:id="272978547">
          <w:marLeft w:val="0"/>
          <w:marRight w:val="0"/>
          <w:marTop w:val="0"/>
          <w:marBottom w:val="0"/>
          <w:divBdr>
            <w:top w:val="none" w:sz="0" w:space="0" w:color="auto"/>
            <w:left w:val="none" w:sz="0" w:space="0" w:color="auto"/>
            <w:bottom w:val="none" w:sz="0" w:space="0" w:color="auto"/>
            <w:right w:val="none" w:sz="0" w:space="0" w:color="auto"/>
          </w:divBdr>
        </w:div>
        <w:div w:id="854660083">
          <w:marLeft w:val="0"/>
          <w:marRight w:val="0"/>
          <w:marTop w:val="0"/>
          <w:marBottom w:val="0"/>
          <w:divBdr>
            <w:top w:val="none" w:sz="0" w:space="0" w:color="auto"/>
            <w:left w:val="none" w:sz="0" w:space="0" w:color="auto"/>
            <w:bottom w:val="none" w:sz="0" w:space="0" w:color="auto"/>
            <w:right w:val="none" w:sz="0" w:space="0" w:color="auto"/>
          </w:divBdr>
        </w:div>
        <w:div w:id="1786735373">
          <w:marLeft w:val="0"/>
          <w:marRight w:val="0"/>
          <w:marTop w:val="0"/>
          <w:marBottom w:val="0"/>
          <w:divBdr>
            <w:top w:val="none" w:sz="0" w:space="0" w:color="auto"/>
            <w:left w:val="none" w:sz="0" w:space="0" w:color="auto"/>
            <w:bottom w:val="none" w:sz="0" w:space="0" w:color="auto"/>
            <w:right w:val="none" w:sz="0" w:space="0" w:color="auto"/>
          </w:divBdr>
        </w:div>
        <w:div w:id="135296427">
          <w:marLeft w:val="0"/>
          <w:marRight w:val="0"/>
          <w:marTop w:val="0"/>
          <w:marBottom w:val="0"/>
          <w:divBdr>
            <w:top w:val="none" w:sz="0" w:space="0" w:color="auto"/>
            <w:left w:val="none" w:sz="0" w:space="0" w:color="auto"/>
            <w:bottom w:val="none" w:sz="0" w:space="0" w:color="auto"/>
            <w:right w:val="none" w:sz="0" w:space="0" w:color="auto"/>
          </w:divBdr>
        </w:div>
        <w:div w:id="1481657077">
          <w:marLeft w:val="0"/>
          <w:marRight w:val="0"/>
          <w:marTop w:val="0"/>
          <w:marBottom w:val="0"/>
          <w:divBdr>
            <w:top w:val="none" w:sz="0" w:space="0" w:color="auto"/>
            <w:left w:val="none" w:sz="0" w:space="0" w:color="auto"/>
            <w:bottom w:val="none" w:sz="0" w:space="0" w:color="auto"/>
            <w:right w:val="none" w:sz="0" w:space="0" w:color="auto"/>
          </w:divBdr>
        </w:div>
        <w:div w:id="1208446740">
          <w:marLeft w:val="0"/>
          <w:marRight w:val="0"/>
          <w:marTop w:val="0"/>
          <w:marBottom w:val="0"/>
          <w:divBdr>
            <w:top w:val="none" w:sz="0" w:space="0" w:color="auto"/>
            <w:left w:val="none" w:sz="0" w:space="0" w:color="auto"/>
            <w:bottom w:val="none" w:sz="0" w:space="0" w:color="auto"/>
            <w:right w:val="none" w:sz="0" w:space="0" w:color="auto"/>
          </w:divBdr>
        </w:div>
        <w:div w:id="2031686805">
          <w:marLeft w:val="0"/>
          <w:marRight w:val="0"/>
          <w:marTop w:val="0"/>
          <w:marBottom w:val="0"/>
          <w:divBdr>
            <w:top w:val="none" w:sz="0" w:space="0" w:color="auto"/>
            <w:left w:val="none" w:sz="0" w:space="0" w:color="auto"/>
            <w:bottom w:val="none" w:sz="0" w:space="0" w:color="auto"/>
            <w:right w:val="none" w:sz="0" w:space="0" w:color="auto"/>
          </w:divBdr>
        </w:div>
        <w:div w:id="705134298">
          <w:marLeft w:val="0"/>
          <w:marRight w:val="0"/>
          <w:marTop w:val="0"/>
          <w:marBottom w:val="0"/>
          <w:divBdr>
            <w:top w:val="none" w:sz="0" w:space="0" w:color="auto"/>
            <w:left w:val="none" w:sz="0" w:space="0" w:color="auto"/>
            <w:bottom w:val="none" w:sz="0" w:space="0" w:color="auto"/>
            <w:right w:val="none" w:sz="0" w:space="0" w:color="auto"/>
          </w:divBdr>
        </w:div>
        <w:div w:id="310641564">
          <w:marLeft w:val="0"/>
          <w:marRight w:val="0"/>
          <w:marTop w:val="0"/>
          <w:marBottom w:val="0"/>
          <w:divBdr>
            <w:top w:val="none" w:sz="0" w:space="0" w:color="auto"/>
            <w:left w:val="none" w:sz="0" w:space="0" w:color="auto"/>
            <w:bottom w:val="none" w:sz="0" w:space="0" w:color="auto"/>
            <w:right w:val="none" w:sz="0" w:space="0" w:color="auto"/>
          </w:divBdr>
        </w:div>
        <w:div w:id="71899535">
          <w:marLeft w:val="0"/>
          <w:marRight w:val="0"/>
          <w:marTop w:val="0"/>
          <w:marBottom w:val="0"/>
          <w:divBdr>
            <w:top w:val="none" w:sz="0" w:space="0" w:color="auto"/>
            <w:left w:val="none" w:sz="0" w:space="0" w:color="auto"/>
            <w:bottom w:val="none" w:sz="0" w:space="0" w:color="auto"/>
            <w:right w:val="none" w:sz="0" w:space="0" w:color="auto"/>
          </w:divBdr>
        </w:div>
        <w:div w:id="565919856">
          <w:marLeft w:val="0"/>
          <w:marRight w:val="0"/>
          <w:marTop w:val="0"/>
          <w:marBottom w:val="0"/>
          <w:divBdr>
            <w:top w:val="none" w:sz="0" w:space="0" w:color="auto"/>
            <w:left w:val="none" w:sz="0" w:space="0" w:color="auto"/>
            <w:bottom w:val="none" w:sz="0" w:space="0" w:color="auto"/>
            <w:right w:val="none" w:sz="0" w:space="0" w:color="auto"/>
          </w:divBdr>
        </w:div>
        <w:div w:id="510919353">
          <w:marLeft w:val="0"/>
          <w:marRight w:val="0"/>
          <w:marTop w:val="0"/>
          <w:marBottom w:val="0"/>
          <w:divBdr>
            <w:top w:val="none" w:sz="0" w:space="0" w:color="auto"/>
            <w:left w:val="none" w:sz="0" w:space="0" w:color="auto"/>
            <w:bottom w:val="none" w:sz="0" w:space="0" w:color="auto"/>
            <w:right w:val="none" w:sz="0" w:space="0" w:color="auto"/>
          </w:divBdr>
        </w:div>
        <w:div w:id="1962494379">
          <w:marLeft w:val="0"/>
          <w:marRight w:val="0"/>
          <w:marTop w:val="0"/>
          <w:marBottom w:val="0"/>
          <w:divBdr>
            <w:top w:val="none" w:sz="0" w:space="0" w:color="auto"/>
            <w:left w:val="none" w:sz="0" w:space="0" w:color="auto"/>
            <w:bottom w:val="none" w:sz="0" w:space="0" w:color="auto"/>
            <w:right w:val="none" w:sz="0" w:space="0" w:color="auto"/>
          </w:divBdr>
        </w:div>
        <w:div w:id="1069425238">
          <w:marLeft w:val="0"/>
          <w:marRight w:val="0"/>
          <w:marTop w:val="0"/>
          <w:marBottom w:val="0"/>
          <w:divBdr>
            <w:top w:val="none" w:sz="0" w:space="0" w:color="auto"/>
            <w:left w:val="none" w:sz="0" w:space="0" w:color="auto"/>
            <w:bottom w:val="none" w:sz="0" w:space="0" w:color="auto"/>
            <w:right w:val="none" w:sz="0" w:space="0" w:color="auto"/>
          </w:divBdr>
        </w:div>
        <w:div w:id="1176261749">
          <w:marLeft w:val="0"/>
          <w:marRight w:val="0"/>
          <w:marTop w:val="0"/>
          <w:marBottom w:val="0"/>
          <w:divBdr>
            <w:top w:val="none" w:sz="0" w:space="0" w:color="auto"/>
            <w:left w:val="none" w:sz="0" w:space="0" w:color="auto"/>
            <w:bottom w:val="none" w:sz="0" w:space="0" w:color="auto"/>
            <w:right w:val="none" w:sz="0" w:space="0" w:color="auto"/>
          </w:divBdr>
        </w:div>
        <w:div w:id="493568165">
          <w:marLeft w:val="0"/>
          <w:marRight w:val="0"/>
          <w:marTop w:val="0"/>
          <w:marBottom w:val="0"/>
          <w:divBdr>
            <w:top w:val="none" w:sz="0" w:space="0" w:color="auto"/>
            <w:left w:val="none" w:sz="0" w:space="0" w:color="auto"/>
            <w:bottom w:val="none" w:sz="0" w:space="0" w:color="auto"/>
            <w:right w:val="none" w:sz="0" w:space="0" w:color="auto"/>
          </w:divBdr>
        </w:div>
        <w:div w:id="470175397">
          <w:marLeft w:val="0"/>
          <w:marRight w:val="0"/>
          <w:marTop w:val="0"/>
          <w:marBottom w:val="0"/>
          <w:divBdr>
            <w:top w:val="none" w:sz="0" w:space="0" w:color="auto"/>
            <w:left w:val="none" w:sz="0" w:space="0" w:color="auto"/>
            <w:bottom w:val="none" w:sz="0" w:space="0" w:color="auto"/>
            <w:right w:val="none" w:sz="0" w:space="0" w:color="auto"/>
          </w:divBdr>
        </w:div>
        <w:div w:id="1086732936">
          <w:marLeft w:val="0"/>
          <w:marRight w:val="0"/>
          <w:marTop w:val="0"/>
          <w:marBottom w:val="0"/>
          <w:divBdr>
            <w:top w:val="none" w:sz="0" w:space="0" w:color="auto"/>
            <w:left w:val="none" w:sz="0" w:space="0" w:color="auto"/>
            <w:bottom w:val="none" w:sz="0" w:space="0" w:color="auto"/>
            <w:right w:val="none" w:sz="0" w:space="0" w:color="auto"/>
          </w:divBdr>
        </w:div>
        <w:div w:id="334966089">
          <w:marLeft w:val="0"/>
          <w:marRight w:val="0"/>
          <w:marTop w:val="0"/>
          <w:marBottom w:val="0"/>
          <w:divBdr>
            <w:top w:val="none" w:sz="0" w:space="0" w:color="auto"/>
            <w:left w:val="none" w:sz="0" w:space="0" w:color="auto"/>
            <w:bottom w:val="none" w:sz="0" w:space="0" w:color="auto"/>
            <w:right w:val="none" w:sz="0" w:space="0" w:color="auto"/>
          </w:divBdr>
        </w:div>
        <w:div w:id="1643579016">
          <w:marLeft w:val="0"/>
          <w:marRight w:val="0"/>
          <w:marTop w:val="0"/>
          <w:marBottom w:val="0"/>
          <w:divBdr>
            <w:top w:val="none" w:sz="0" w:space="0" w:color="auto"/>
            <w:left w:val="none" w:sz="0" w:space="0" w:color="auto"/>
            <w:bottom w:val="none" w:sz="0" w:space="0" w:color="auto"/>
            <w:right w:val="none" w:sz="0" w:space="0" w:color="auto"/>
          </w:divBdr>
        </w:div>
        <w:div w:id="344477955">
          <w:marLeft w:val="0"/>
          <w:marRight w:val="0"/>
          <w:marTop w:val="0"/>
          <w:marBottom w:val="0"/>
          <w:divBdr>
            <w:top w:val="none" w:sz="0" w:space="0" w:color="auto"/>
            <w:left w:val="none" w:sz="0" w:space="0" w:color="auto"/>
            <w:bottom w:val="none" w:sz="0" w:space="0" w:color="auto"/>
            <w:right w:val="none" w:sz="0" w:space="0" w:color="auto"/>
          </w:divBdr>
        </w:div>
        <w:div w:id="1977592">
          <w:marLeft w:val="0"/>
          <w:marRight w:val="0"/>
          <w:marTop w:val="0"/>
          <w:marBottom w:val="0"/>
          <w:divBdr>
            <w:top w:val="none" w:sz="0" w:space="0" w:color="auto"/>
            <w:left w:val="none" w:sz="0" w:space="0" w:color="auto"/>
            <w:bottom w:val="none" w:sz="0" w:space="0" w:color="auto"/>
            <w:right w:val="none" w:sz="0" w:space="0" w:color="auto"/>
          </w:divBdr>
        </w:div>
        <w:div w:id="989402682">
          <w:marLeft w:val="0"/>
          <w:marRight w:val="0"/>
          <w:marTop w:val="0"/>
          <w:marBottom w:val="0"/>
          <w:divBdr>
            <w:top w:val="none" w:sz="0" w:space="0" w:color="auto"/>
            <w:left w:val="none" w:sz="0" w:space="0" w:color="auto"/>
            <w:bottom w:val="none" w:sz="0" w:space="0" w:color="auto"/>
            <w:right w:val="none" w:sz="0" w:space="0" w:color="auto"/>
          </w:divBdr>
        </w:div>
        <w:div w:id="844247981">
          <w:marLeft w:val="0"/>
          <w:marRight w:val="0"/>
          <w:marTop w:val="0"/>
          <w:marBottom w:val="0"/>
          <w:divBdr>
            <w:top w:val="none" w:sz="0" w:space="0" w:color="auto"/>
            <w:left w:val="none" w:sz="0" w:space="0" w:color="auto"/>
            <w:bottom w:val="none" w:sz="0" w:space="0" w:color="auto"/>
            <w:right w:val="none" w:sz="0" w:space="0" w:color="auto"/>
          </w:divBdr>
        </w:div>
        <w:div w:id="214587179">
          <w:marLeft w:val="0"/>
          <w:marRight w:val="0"/>
          <w:marTop w:val="0"/>
          <w:marBottom w:val="0"/>
          <w:divBdr>
            <w:top w:val="none" w:sz="0" w:space="0" w:color="auto"/>
            <w:left w:val="none" w:sz="0" w:space="0" w:color="auto"/>
            <w:bottom w:val="none" w:sz="0" w:space="0" w:color="auto"/>
            <w:right w:val="none" w:sz="0" w:space="0" w:color="auto"/>
          </w:divBdr>
        </w:div>
        <w:div w:id="470942981">
          <w:marLeft w:val="0"/>
          <w:marRight w:val="0"/>
          <w:marTop w:val="0"/>
          <w:marBottom w:val="0"/>
          <w:divBdr>
            <w:top w:val="none" w:sz="0" w:space="0" w:color="auto"/>
            <w:left w:val="none" w:sz="0" w:space="0" w:color="auto"/>
            <w:bottom w:val="none" w:sz="0" w:space="0" w:color="auto"/>
            <w:right w:val="none" w:sz="0" w:space="0" w:color="auto"/>
          </w:divBdr>
        </w:div>
        <w:div w:id="288584526">
          <w:marLeft w:val="0"/>
          <w:marRight w:val="0"/>
          <w:marTop w:val="0"/>
          <w:marBottom w:val="0"/>
          <w:divBdr>
            <w:top w:val="none" w:sz="0" w:space="0" w:color="auto"/>
            <w:left w:val="none" w:sz="0" w:space="0" w:color="auto"/>
            <w:bottom w:val="none" w:sz="0" w:space="0" w:color="auto"/>
            <w:right w:val="none" w:sz="0" w:space="0" w:color="auto"/>
          </w:divBdr>
        </w:div>
      </w:divsChild>
    </w:div>
    <w:div w:id="711081182">
      <w:bodyDiv w:val="1"/>
      <w:marLeft w:val="0"/>
      <w:marRight w:val="0"/>
      <w:marTop w:val="0"/>
      <w:marBottom w:val="0"/>
      <w:divBdr>
        <w:top w:val="none" w:sz="0" w:space="0" w:color="auto"/>
        <w:left w:val="none" w:sz="0" w:space="0" w:color="auto"/>
        <w:bottom w:val="none" w:sz="0" w:space="0" w:color="auto"/>
        <w:right w:val="none" w:sz="0" w:space="0" w:color="auto"/>
      </w:divBdr>
    </w:div>
    <w:div w:id="731347566">
      <w:bodyDiv w:val="1"/>
      <w:marLeft w:val="0"/>
      <w:marRight w:val="0"/>
      <w:marTop w:val="0"/>
      <w:marBottom w:val="0"/>
      <w:divBdr>
        <w:top w:val="none" w:sz="0" w:space="0" w:color="auto"/>
        <w:left w:val="none" w:sz="0" w:space="0" w:color="auto"/>
        <w:bottom w:val="none" w:sz="0" w:space="0" w:color="auto"/>
        <w:right w:val="none" w:sz="0" w:space="0" w:color="auto"/>
      </w:divBdr>
      <w:divsChild>
        <w:div w:id="662784294">
          <w:marLeft w:val="0"/>
          <w:marRight w:val="0"/>
          <w:marTop w:val="0"/>
          <w:marBottom w:val="0"/>
          <w:divBdr>
            <w:top w:val="none" w:sz="0" w:space="0" w:color="auto"/>
            <w:left w:val="none" w:sz="0" w:space="0" w:color="auto"/>
            <w:bottom w:val="none" w:sz="0" w:space="0" w:color="auto"/>
            <w:right w:val="none" w:sz="0" w:space="0" w:color="auto"/>
          </w:divBdr>
        </w:div>
        <w:div w:id="1537087343">
          <w:marLeft w:val="0"/>
          <w:marRight w:val="0"/>
          <w:marTop w:val="0"/>
          <w:marBottom w:val="0"/>
          <w:divBdr>
            <w:top w:val="none" w:sz="0" w:space="0" w:color="auto"/>
            <w:left w:val="none" w:sz="0" w:space="0" w:color="auto"/>
            <w:bottom w:val="none" w:sz="0" w:space="0" w:color="auto"/>
            <w:right w:val="none" w:sz="0" w:space="0" w:color="auto"/>
          </w:divBdr>
        </w:div>
        <w:div w:id="390813955">
          <w:marLeft w:val="0"/>
          <w:marRight w:val="0"/>
          <w:marTop w:val="0"/>
          <w:marBottom w:val="0"/>
          <w:divBdr>
            <w:top w:val="none" w:sz="0" w:space="0" w:color="auto"/>
            <w:left w:val="none" w:sz="0" w:space="0" w:color="auto"/>
            <w:bottom w:val="none" w:sz="0" w:space="0" w:color="auto"/>
            <w:right w:val="none" w:sz="0" w:space="0" w:color="auto"/>
          </w:divBdr>
        </w:div>
        <w:div w:id="1834878307">
          <w:marLeft w:val="0"/>
          <w:marRight w:val="0"/>
          <w:marTop w:val="0"/>
          <w:marBottom w:val="0"/>
          <w:divBdr>
            <w:top w:val="none" w:sz="0" w:space="0" w:color="auto"/>
            <w:left w:val="none" w:sz="0" w:space="0" w:color="auto"/>
            <w:bottom w:val="none" w:sz="0" w:space="0" w:color="auto"/>
            <w:right w:val="none" w:sz="0" w:space="0" w:color="auto"/>
          </w:divBdr>
        </w:div>
        <w:div w:id="653341617">
          <w:marLeft w:val="0"/>
          <w:marRight w:val="0"/>
          <w:marTop w:val="0"/>
          <w:marBottom w:val="0"/>
          <w:divBdr>
            <w:top w:val="none" w:sz="0" w:space="0" w:color="auto"/>
            <w:left w:val="none" w:sz="0" w:space="0" w:color="auto"/>
            <w:bottom w:val="none" w:sz="0" w:space="0" w:color="auto"/>
            <w:right w:val="none" w:sz="0" w:space="0" w:color="auto"/>
          </w:divBdr>
        </w:div>
        <w:div w:id="649791436">
          <w:marLeft w:val="0"/>
          <w:marRight w:val="0"/>
          <w:marTop w:val="0"/>
          <w:marBottom w:val="0"/>
          <w:divBdr>
            <w:top w:val="none" w:sz="0" w:space="0" w:color="auto"/>
            <w:left w:val="none" w:sz="0" w:space="0" w:color="auto"/>
            <w:bottom w:val="none" w:sz="0" w:space="0" w:color="auto"/>
            <w:right w:val="none" w:sz="0" w:space="0" w:color="auto"/>
          </w:divBdr>
        </w:div>
        <w:div w:id="964429786">
          <w:marLeft w:val="0"/>
          <w:marRight w:val="0"/>
          <w:marTop w:val="0"/>
          <w:marBottom w:val="0"/>
          <w:divBdr>
            <w:top w:val="none" w:sz="0" w:space="0" w:color="auto"/>
            <w:left w:val="none" w:sz="0" w:space="0" w:color="auto"/>
            <w:bottom w:val="none" w:sz="0" w:space="0" w:color="auto"/>
            <w:right w:val="none" w:sz="0" w:space="0" w:color="auto"/>
          </w:divBdr>
        </w:div>
        <w:div w:id="1322391064">
          <w:marLeft w:val="0"/>
          <w:marRight w:val="0"/>
          <w:marTop w:val="0"/>
          <w:marBottom w:val="0"/>
          <w:divBdr>
            <w:top w:val="none" w:sz="0" w:space="0" w:color="auto"/>
            <w:left w:val="none" w:sz="0" w:space="0" w:color="auto"/>
            <w:bottom w:val="none" w:sz="0" w:space="0" w:color="auto"/>
            <w:right w:val="none" w:sz="0" w:space="0" w:color="auto"/>
          </w:divBdr>
        </w:div>
        <w:div w:id="315304410">
          <w:marLeft w:val="0"/>
          <w:marRight w:val="0"/>
          <w:marTop w:val="0"/>
          <w:marBottom w:val="0"/>
          <w:divBdr>
            <w:top w:val="none" w:sz="0" w:space="0" w:color="auto"/>
            <w:left w:val="none" w:sz="0" w:space="0" w:color="auto"/>
            <w:bottom w:val="none" w:sz="0" w:space="0" w:color="auto"/>
            <w:right w:val="none" w:sz="0" w:space="0" w:color="auto"/>
          </w:divBdr>
        </w:div>
        <w:div w:id="808208567">
          <w:marLeft w:val="0"/>
          <w:marRight w:val="0"/>
          <w:marTop w:val="0"/>
          <w:marBottom w:val="0"/>
          <w:divBdr>
            <w:top w:val="none" w:sz="0" w:space="0" w:color="auto"/>
            <w:left w:val="none" w:sz="0" w:space="0" w:color="auto"/>
            <w:bottom w:val="none" w:sz="0" w:space="0" w:color="auto"/>
            <w:right w:val="none" w:sz="0" w:space="0" w:color="auto"/>
          </w:divBdr>
        </w:div>
        <w:div w:id="596332502">
          <w:marLeft w:val="0"/>
          <w:marRight w:val="0"/>
          <w:marTop w:val="0"/>
          <w:marBottom w:val="0"/>
          <w:divBdr>
            <w:top w:val="none" w:sz="0" w:space="0" w:color="auto"/>
            <w:left w:val="none" w:sz="0" w:space="0" w:color="auto"/>
            <w:bottom w:val="none" w:sz="0" w:space="0" w:color="auto"/>
            <w:right w:val="none" w:sz="0" w:space="0" w:color="auto"/>
          </w:divBdr>
        </w:div>
        <w:div w:id="1500845419">
          <w:marLeft w:val="0"/>
          <w:marRight w:val="0"/>
          <w:marTop w:val="0"/>
          <w:marBottom w:val="0"/>
          <w:divBdr>
            <w:top w:val="none" w:sz="0" w:space="0" w:color="auto"/>
            <w:left w:val="none" w:sz="0" w:space="0" w:color="auto"/>
            <w:bottom w:val="none" w:sz="0" w:space="0" w:color="auto"/>
            <w:right w:val="none" w:sz="0" w:space="0" w:color="auto"/>
          </w:divBdr>
        </w:div>
        <w:div w:id="917329362">
          <w:marLeft w:val="0"/>
          <w:marRight w:val="0"/>
          <w:marTop w:val="0"/>
          <w:marBottom w:val="0"/>
          <w:divBdr>
            <w:top w:val="none" w:sz="0" w:space="0" w:color="auto"/>
            <w:left w:val="none" w:sz="0" w:space="0" w:color="auto"/>
            <w:bottom w:val="none" w:sz="0" w:space="0" w:color="auto"/>
            <w:right w:val="none" w:sz="0" w:space="0" w:color="auto"/>
          </w:divBdr>
        </w:div>
        <w:div w:id="230166665">
          <w:marLeft w:val="0"/>
          <w:marRight w:val="0"/>
          <w:marTop w:val="0"/>
          <w:marBottom w:val="0"/>
          <w:divBdr>
            <w:top w:val="none" w:sz="0" w:space="0" w:color="auto"/>
            <w:left w:val="none" w:sz="0" w:space="0" w:color="auto"/>
            <w:bottom w:val="none" w:sz="0" w:space="0" w:color="auto"/>
            <w:right w:val="none" w:sz="0" w:space="0" w:color="auto"/>
          </w:divBdr>
        </w:div>
        <w:div w:id="1410150146">
          <w:marLeft w:val="0"/>
          <w:marRight w:val="0"/>
          <w:marTop w:val="0"/>
          <w:marBottom w:val="0"/>
          <w:divBdr>
            <w:top w:val="none" w:sz="0" w:space="0" w:color="auto"/>
            <w:left w:val="none" w:sz="0" w:space="0" w:color="auto"/>
            <w:bottom w:val="none" w:sz="0" w:space="0" w:color="auto"/>
            <w:right w:val="none" w:sz="0" w:space="0" w:color="auto"/>
          </w:divBdr>
        </w:div>
        <w:div w:id="2035836055">
          <w:marLeft w:val="0"/>
          <w:marRight w:val="0"/>
          <w:marTop w:val="0"/>
          <w:marBottom w:val="0"/>
          <w:divBdr>
            <w:top w:val="none" w:sz="0" w:space="0" w:color="auto"/>
            <w:left w:val="none" w:sz="0" w:space="0" w:color="auto"/>
            <w:bottom w:val="none" w:sz="0" w:space="0" w:color="auto"/>
            <w:right w:val="none" w:sz="0" w:space="0" w:color="auto"/>
          </w:divBdr>
        </w:div>
        <w:div w:id="368383846">
          <w:marLeft w:val="0"/>
          <w:marRight w:val="0"/>
          <w:marTop w:val="0"/>
          <w:marBottom w:val="0"/>
          <w:divBdr>
            <w:top w:val="none" w:sz="0" w:space="0" w:color="auto"/>
            <w:left w:val="none" w:sz="0" w:space="0" w:color="auto"/>
            <w:bottom w:val="none" w:sz="0" w:space="0" w:color="auto"/>
            <w:right w:val="none" w:sz="0" w:space="0" w:color="auto"/>
          </w:divBdr>
        </w:div>
        <w:div w:id="1001396535">
          <w:marLeft w:val="0"/>
          <w:marRight w:val="0"/>
          <w:marTop w:val="0"/>
          <w:marBottom w:val="0"/>
          <w:divBdr>
            <w:top w:val="none" w:sz="0" w:space="0" w:color="auto"/>
            <w:left w:val="none" w:sz="0" w:space="0" w:color="auto"/>
            <w:bottom w:val="none" w:sz="0" w:space="0" w:color="auto"/>
            <w:right w:val="none" w:sz="0" w:space="0" w:color="auto"/>
          </w:divBdr>
        </w:div>
        <w:div w:id="1835681235">
          <w:marLeft w:val="0"/>
          <w:marRight w:val="0"/>
          <w:marTop w:val="0"/>
          <w:marBottom w:val="0"/>
          <w:divBdr>
            <w:top w:val="none" w:sz="0" w:space="0" w:color="auto"/>
            <w:left w:val="none" w:sz="0" w:space="0" w:color="auto"/>
            <w:bottom w:val="none" w:sz="0" w:space="0" w:color="auto"/>
            <w:right w:val="none" w:sz="0" w:space="0" w:color="auto"/>
          </w:divBdr>
        </w:div>
        <w:div w:id="1377854691">
          <w:marLeft w:val="0"/>
          <w:marRight w:val="0"/>
          <w:marTop w:val="0"/>
          <w:marBottom w:val="0"/>
          <w:divBdr>
            <w:top w:val="none" w:sz="0" w:space="0" w:color="auto"/>
            <w:left w:val="none" w:sz="0" w:space="0" w:color="auto"/>
            <w:bottom w:val="none" w:sz="0" w:space="0" w:color="auto"/>
            <w:right w:val="none" w:sz="0" w:space="0" w:color="auto"/>
          </w:divBdr>
        </w:div>
        <w:div w:id="30422154">
          <w:marLeft w:val="0"/>
          <w:marRight w:val="0"/>
          <w:marTop w:val="0"/>
          <w:marBottom w:val="0"/>
          <w:divBdr>
            <w:top w:val="none" w:sz="0" w:space="0" w:color="auto"/>
            <w:left w:val="none" w:sz="0" w:space="0" w:color="auto"/>
            <w:bottom w:val="none" w:sz="0" w:space="0" w:color="auto"/>
            <w:right w:val="none" w:sz="0" w:space="0" w:color="auto"/>
          </w:divBdr>
        </w:div>
      </w:divsChild>
    </w:div>
    <w:div w:id="1553806129">
      <w:bodyDiv w:val="1"/>
      <w:marLeft w:val="0"/>
      <w:marRight w:val="0"/>
      <w:marTop w:val="0"/>
      <w:marBottom w:val="0"/>
      <w:divBdr>
        <w:top w:val="none" w:sz="0" w:space="0" w:color="auto"/>
        <w:left w:val="none" w:sz="0" w:space="0" w:color="auto"/>
        <w:bottom w:val="none" w:sz="0" w:space="0" w:color="auto"/>
        <w:right w:val="none" w:sz="0" w:space="0" w:color="auto"/>
      </w:divBdr>
    </w:div>
    <w:div w:id="1640186464">
      <w:bodyDiv w:val="1"/>
      <w:marLeft w:val="0"/>
      <w:marRight w:val="0"/>
      <w:marTop w:val="0"/>
      <w:marBottom w:val="0"/>
      <w:divBdr>
        <w:top w:val="none" w:sz="0" w:space="0" w:color="auto"/>
        <w:left w:val="none" w:sz="0" w:space="0" w:color="auto"/>
        <w:bottom w:val="none" w:sz="0" w:space="0" w:color="auto"/>
        <w:right w:val="none" w:sz="0" w:space="0" w:color="auto"/>
      </w:divBdr>
    </w:div>
    <w:div w:id="1850102090">
      <w:bodyDiv w:val="1"/>
      <w:marLeft w:val="0"/>
      <w:marRight w:val="0"/>
      <w:marTop w:val="0"/>
      <w:marBottom w:val="0"/>
      <w:divBdr>
        <w:top w:val="none" w:sz="0" w:space="0" w:color="auto"/>
        <w:left w:val="none" w:sz="0" w:space="0" w:color="auto"/>
        <w:bottom w:val="none" w:sz="0" w:space="0" w:color="auto"/>
        <w:right w:val="none" w:sz="0" w:space="0" w:color="auto"/>
      </w:divBdr>
      <w:divsChild>
        <w:div w:id="571697125">
          <w:marLeft w:val="0"/>
          <w:marRight w:val="0"/>
          <w:marTop w:val="0"/>
          <w:marBottom w:val="0"/>
          <w:divBdr>
            <w:top w:val="none" w:sz="0" w:space="0" w:color="auto"/>
            <w:left w:val="none" w:sz="0" w:space="0" w:color="auto"/>
            <w:bottom w:val="none" w:sz="0" w:space="0" w:color="auto"/>
            <w:right w:val="none" w:sz="0" w:space="0" w:color="auto"/>
          </w:divBdr>
          <w:divsChild>
            <w:div w:id="2134054287">
              <w:marLeft w:val="0"/>
              <w:marRight w:val="0"/>
              <w:marTop w:val="0"/>
              <w:marBottom w:val="0"/>
              <w:divBdr>
                <w:top w:val="none" w:sz="0" w:space="0" w:color="auto"/>
                <w:left w:val="none" w:sz="0" w:space="0" w:color="auto"/>
                <w:bottom w:val="none" w:sz="0" w:space="0" w:color="auto"/>
                <w:right w:val="none" w:sz="0" w:space="0" w:color="auto"/>
              </w:divBdr>
            </w:div>
            <w:div w:id="203253580">
              <w:marLeft w:val="0"/>
              <w:marRight w:val="0"/>
              <w:marTop w:val="0"/>
              <w:marBottom w:val="0"/>
              <w:divBdr>
                <w:top w:val="none" w:sz="0" w:space="0" w:color="auto"/>
                <w:left w:val="none" w:sz="0" w:space="0" w:color="auto"/>
                <w:bottom w:val="none" w:sz="0" w:space="0" w:color="auto"/>
                <w:right w:val="none" w:sz="0" w:space="0" w:color="auto"/>
              </w:divBdr>
            </w:div>
            <w:div w:id="34626408">
              <w:marLeft w:val="0"/>
              <w:marRight w:val="0"/>
              <w:marTop w:val="0"/>
              <w:marBottom w:val="0"/>
              <w:divBdr>
                <w:top w:val="none" w:sz="0" w:space="0" w:color="auto"/>
                <w:left w:val="none" w:sz="0" w:space="0" w:color="auto"/>
                <w:bottom w:val="none" w:sz="0" w:space="0" w:color="auto"/>
                <w:right w:val="none" w:sz="0" w:space="0" w:color="auto"/>
              </w:divBdr>
            </w:div>
            <w:div w:id="1139108624">
              <w:marLeft w:val="0"/>
              <w:marRight w:val="0"/>
              <w:marTop w:val="0"/>
              <w:marBottom w:val="0"/>
              <w:divBdr>
                <w:top w:val="none" w:sz="0" w:space="0" w:color="auto"/>
                <w:left w:val="none" w:sz="0" w:space="0" w:color="auto"/>
                <w:bottom w:val="none" w:sz="0" w:space="0" w:color="auto"/>
                <w:right w:val="none" w:sz="0" w:space="0" w:color="auto"/>
              </w:divBdr>
            </w:div>
            <w:div w:id="1528522491">
              <w:marLeft w:val="0"/>
              <w:marRight w:val="0"/>
              <w:marTop w:val="0"/>
              <w:marBottom w:val="0"/>
              <w:divBdr>
                <w:top w:val="none" w:sz="0" w:space="0" w:color="auto"/>
                <w:left w:val="none" w:sz="0" w:space="0" w:color="auto"/>
                <w:bottom w:val="none" w:sz="0" w:space="0" w:color="auto"/>
                <w:right w:val="none" w:sz="0" w:space="0" w:color="auto"/>
              </w:divBdr>
            </w:div>
            <w:div w:id="1525901517">
              <w:marLeft w:val="0"/>
              <w:marRight w:val="0"/>
              <w:marTop w:val="0"/>
              <w:marBottom w:val="0"/>
              <w:divBdr>
                <w:top w:val="none" w:sz="0" w:space="0" w:color="auto"/>
                <w:left w:val="none" w:sz="0" w:space="0" w:color="auto"/>
                <w:bottom w:val="none" w:sz="0" w:space="0" w:color="auto"/>
                <w:right w:val="none" w:sz="0" w:space="0" w:color="auto"/>
              </w:divBdr>
            </w:div>
            <w:div w:id="499659024">
              <w:marLeft w:val="0"/>
              <w:marRight w:val="0"/>
              <w:marTop w:val="0"/>
              <w:marBottom w:val="0"/>
              <w:divBdr>
                <w:top w:val="none" w:sz="0" w:space="0" w:color="auto"/>
                <w:left w:val="none" w:sz="0" w:space="0" w:color="auto"/>
                <w:bottom w:val="none" w:sz="0" w:space="0" w:color="auto"/>
                <w:right w:val="none" w:sz="0" w:space="0" w:color="auto"/>
              </w:divBdr>
            </w:div>
            <w:div w:id="950282595">
              <w:marLeft w:val="0"/>
              <w:marRight w:val="0"/>
              <w:marTop w:val="0"/>
              <w:marBottom w:val="0"/>
              <w:divBdr>
                <w:top w:val="none" w:sz="0" w:space="0" w:color="auto"/>
                <w:left w:val="none" w:sz="0" w:space="0" w:color="auto"/>
                <w:bottom w:val="none" w:sz="0" w:space="0" w:color="auto"/>
                <w:right w:val="none" w:sz="0" w:space="0" w:color="auto"/>
              </w:divBdr>
            </w:div>
            <w:div w:id="1125581671">
              <w:marLeft w:val="0"/>
              <w:marRight w:val="0"/>
              <w:marTop w:val="0"/>
              <w:marBottom w:val="0"/>
              <w:divBdr>
                <w:top w:val="none" w:sz="0" w:space="0" w:color="auto"/>
                <w:left w:val="none" w:sz="0" w:space="0" w:color="auto"/>
                <w:bottom w:val="none" w:sz="0" w:space="0" w:color="auto"/>
                <w:right w:val="none" w:sz="0" w:space="0" w:color="auto"/>
              </w:divBdr>
            </w:div>
            <w:div w:id="265890600">
              <w:marLeft w:val="0"/>
              <w:marRight w:val="0"/>
              <w:marTop w:val="0"/>
              <w:marBottom w:val="0"/>
              <w:divBdr>
                <w:top w:val="none" w:sz="0" w:space="0" w:color="auto"/>
                <w:left w:val="none" w:sz="0" w:space="0" w:color="auto"/>
                <w:bottom w:val="none" w:sz="0" w:space="0" w:color="auto"/>
                <w:right w:val="none" w:sz="0" w:space="0" w:color="auto"/>
              </w:divBdr>
            </w:div>
            <w:div w:id="1020470736">
              <w:marLeft w:val="0"/>
              <w:marRight w:val="0"/>
              <w:marTop w:val="0"/>
              <w:marBottom w:val="0"/>
              <w:divBdr>
                <w:top w:val="none" w:sz="0" w:space="0" w:color="auto"/>
                <w:left w:val="none" w:sz="0" w:space="0" w:color="auto"/>
                <w:bottom w:val="none" w:sz="0" w:space="0" w:color="auto"/>
                <w:right w:val="none" w:sz="0" w:space="0" w:color="auto"/>
              </w:divBdr>
            </w:div>
            <w:div w:id="1005285605">
              <w:marLeft w:val="0"/>
              <w:marRight w:val="0"/>
              <w:marTop w:val="0"/>
              <w:marBottom w:val="0"/>
              <w:divBdr>
                <w:top w:val="none" w:sz="0" w:space="0" w:color="auto"/>
                <w:left w:val="none" w:sz="0" w:space="0" w:color="auto"/>
                <w:bottom w:val="none" w:sz="0" w:space="0" w:color="auto"/>
                <w:right w:val="none" w:sz="0" w:space="0" w:color="auto"/>
              </w:divBdr>
            </w:div>
            <w:div w:id="831066553">
              <w:marLeft w:val="0"/>
              <w:marRight w:val="0"/>
              <w:marTop w:val="0"/>
              <w:marBottom w:val="0"/>
              <w:divBdr>
                <w:top w:val="none" w:sz="0" w:space="0" w:color="auto"/>
                <w:left w:val="none" w:sz="0" w:space="0" w:color="auto"/>
                <w:bottom w:val="none" w:sz="0" w:space="0" w:color="auto"/>
                <w:right w:val="none" w:sz="0" w:space="0" w:color="auto"/>
              </w:divBdr>
            </w:div>
            <w:div w:id="1886718818">
              <w:marLeft w:val="0"/>
              <w:marRight w:val="0"/>
              <w:marTop w:val="0"/>
              <w:marBottom w:val="0"/>
              <w:divBdr>
                <w:top w:val="none" w:sz="0" w:space="0" w:color="auto"/>
                <w:left w:val="none" w:sz="0" w:space="0" w:color="auto"/>
                <w:bottom w:val="none" w:sz="0" w:space="0" w:color="auto"/>
                <w:right w:val="none" w:sz="0" w:space="0" w:color="auto"/>
              </w:divBdr>
            </w:div>
            <w:div w:id="741411876">
              <w:marLeft w:val="0"/>
              <w:marRight w:val="0"/>
              <w:marTop w:val="0"/>
              <w:marBottom w:val="0"/>
              <w:divBdr>
                <w:top w:val="none" w:sz="0" w:space="0" w:color="auto"/>
                <w:left w:val="none" w:sz="0" w:space="0" w:color="auto"/>
                <w:bottom w:val="none" w:sz="0" w:space="0" w:color="auto"/>
                <w:right w:val="none" w:sz="0" w:space="0" w:color="auto"/>
              </w:divBdr>
            </w:div>
            <w:div w:id="1546791552">
              <w:marLeft w:val="0"/>
              <w:marRight w:val="0"/>
              <w:marTop w:val="0"/>
              <w:marBottom w:val="0"/>
              <w:divBdr>
                <w:top w:val="none" w:sz="0" w:space="0" w:color="auto"/>
                <w:left w:val="none" w:sz="0" w:space="0" w:color="auto"/>
                <w:bottom w:val="none" w:sz="0" w:space="0" w:color="auto"/>
                <w:right w:val="none" w:sz="0" w:space="0" w:color="auto"/>
              </w:divBdr>
            </w:div>
            <w:div w:id="2079591707">
              <w:marLeft w:val="0"/>
              <w:marRight w:val="0"/>
              <w:marTop w:val="0"/>
              <w:marBottom w:val="0"/>
              <w:divBdr>
                <w:top w:val="none" w:sz="0" w:space="0" w:color="auto"/>
                <w:left w:val="none" w:sz="0" w:space="0" w:color="auto"/>
                <w:bottom w:val="none" w:sz="0" w:space="0" w:color="auto"/>
                <w:right w:val="none" w:sz="0" w:space="0" w:color="auto"/>
              </w:divBdr>
            </w:div>
            <w:div w:id="1604340262">
              <w:marLeft w:val="0"/>
              <w:marRight w:val="0"/>
              <w:marTop w:val="0"/>
              <w:marBottom w:val="0"/>
              <w:divBdr>
                <w:top w:val="none" w:sz="0" w:space="0" w:color="auto"/>
                <w:left w:val="none" w:sz="0" w:space="0" w:color="auto"/>
                <w:bottom w:val="none" w:sz="0" w:space="0" w:color="auto"/>
                <w:right w:val="none" w:sz="0" w:space="0" w:color="auto"/>
              </w:divBdr>
            </w:div>
            <w:div w:id="1059093855">
              <w:marLeft w:val="0"/>
              <w:marRight w:val="0"/>
              <w:marTop w:val="0"/>
              <w:marBottom w:val="0"/>
              <w:divBdr>
                <w:top w:val="none" w:sz="0" w:space="0" w:color="auto"/>
                <w:left w:val="none" w:sz="0" w:space="0" w:color="auto"/>
                <w:bottom w:val="none" w:sz="0" w:space="0" w:color="auto"/>
                <w:right w:val="none" w:sz="0" w:space="0" w:color="auto"/>
              </w:divBdr>
            </w:div>
            <w:div w:id="1576432880">
              <w:marLeft w:val="0"/>
              <w:marRight w:val="0"/>
              <w:marTop w:val="0"/>
              <w:marBottom w:val="0"/>
              <w:divBdr>
                <w:top w:val="none" w:sz="0" w:space="0" w:color="auto"/>
                <w:left w:val="none" w:sz="0" w:space="0" w:color="auto"/>
                <w:bottom w:val="none" w:sz="0" w:space="0" w:color="auto"/>
                <w:right w:val="none" w:sz="0" w:space="0" w:color="auto"/>
              </w:divBdr>
            </w:div>
            <w:div w:id="1202402124">
              <w:marLeft w:val="0"/>
              <w:marRight w:val="0"/>
              <w:marTop w:val="0"/>
              <w:marBottom w:val="0"/>
              <w:divBdr>
                <w:top w:val="none" w:sz="0" w:space="0" w:color="auto"/>
                <w:left w:val="none" w:sz="0" w:space="0" w:color="auto"/>
                <w:bottom w:val="none" w:sz="0" w:space="0" w:color="auto"/>
                <w:right w:val="none" w:sz="0" w:space="0" w:color="auto"/>
              </w:divBdr>
            </w:div>
            <w:div w:id="299070670">
              <w:marLeft w:val="0"/>
              <w:marRight w:val="0"/>
              <w:marTop w:val="0"/>
              <w:marBottom w:val="0"/>
              <w:divBdr>
                <w:top w:val="none" w:sz="0" w:space="0" w:color="auto"/>
                <w:left w:val="none" w:sz="0" w:space="0" w:color="auto"/>
                <w:bottom w:val="none" w:sz="0" w:space="0" w:color="auto"/>
                <w:right w:val="none" w:sz="0" w:space="0" w:color="auto"/>
              </w:divBdr>
            </w:div>
            <w:div w:id="1050959041">
              <w:marLeft w:val="0"/>
              <w:marRight w:val="0"/>
              <w:marTop w:val="0"/>
              <w:marBottom w:val="0"/>
              <w:divBdr>
                <w:top w:val="none" w:sz="0" w:space="0" w:color="auto"/>
                <w:left w:val="none" w:sz="0" w:space="0" w:color="auto"/>
                <w:bottom w:val="none" w:sz="0" w:space="0" w:color="auto"/>
                <w:right w:val="none" w:sz="0" w:space="0" w:color="auto"/>
              </w:divBdr>
            </w:div>
            <w:div w:id="242761295">
              <w:marLeft w:val="0"/>
              <w:marRight w:val="0"/>
              <w:marTop w:val="0"/>
              <w:marBottom w:val="0"/>
              <w:divBdr>
                <w:top w:val="none" w:sz="0" w:space="0" w:color="auto"/>
                <w:left w:val="none" w:sz="0" w:space="0" w:color="auto"/>
                <w:bottom w:val="none" w:sz="0" w:space="0" w:color="auto"/>
                <w:right w:val="none" w:sz="0" w:space="0" w:color="auto"/>
              </w:divBdr>
            </w:div>
            <w:div w:id="13385864">
              <w:marLeft w:val="0"/>
              <w:marRight w:val="0"/>
              <w:marTop w:val="0"/>
              <w:marBottom w:val="0"/>
              <w:divBdr>
                <w:top w:val="none" w:sz="0" w:space="0" w:color="auto"/>
                <w:left w:val="none" w:sz="0" w:space="0" w:color="auto"/>
                <w:bottom w:val="none" w:sz="0" w:space="0" w:color="auto"/>
                <w:right w:val="none" w:sz="0" w:space="0" w:color="auto"/>
              </w:divBdr>
            </w:div>
            <w:div w:id="1150172786">
              <w:marLeft w:val="0"/>
              <w:marRight w:val="0"/>
              <w:marTop w:val="0"/>
              <w:marBottom w:val="0"/>
              <w:divBdr>
                <w:top w:val="none" w:sz="0" w:space="0" w:color="auto"/>
                <w:left w:val="none" w:sz="0" w:space="0" w:color="auto"/>
                <w:bottom w:val="none" w:sz="0" w:space="0" w:color="auto"/>
                <w:right w:val="none" w:sz="0" w:space="0" w:color="auto"/>
              </w:divBdr>
            </w:div>
            <w:div w:id="594167512">
              <w:marLeft w:val="0"/>
              <w:marRight w:val="0"/>
              <w:marTop w:val="0"/>
              <w:marBottom w:val="0"/>
              <w:divBdr>
                <w:top w:val="none" w:sz="0" w:space="0" w:color="auto"/>
                <w:left w:val="none" w:sz="0" w:space="0" w:color="auto"/>
                <w:bottom w:val="none" w:sz="0" w:space="0" w:color="auto"/>
                <w:right w:val="none" w:sz="0" w:space="0" w:color="auto"/>
              </w:divBdr>
            </w:div>
            <w:div w:id="1877886852">
              <w:marLeft w:val="0"/>
              <w:marRight w:val="0"/>
              <w:marTop w:val="0"/>
              <w:marBottom w:val="0"/>
              <w:divBdr>
                <w:top w:val="none" w:sz="0" w:space="0" w:color="auto"/>
                <w:left w:val="none" w:sz="0" w:space="0" w:color="auto"/>
                <w:bottom w:val="none" w:sz="0" w:space="0" w:color="auto"/>
                <w:right w:val="none" w:sz="0" w:space="0" w:color="auto"/>
              </w:divBdr>
            </w:div>
            <w:div w:id="726879981">
              <w:marLeft w:val="0"/>
              <w:marRight w:val="0"/>
              <w:marTop w:val="0"/>
              <w:marBottom w:val="0"/>
              <w:divBdr>
                <w:top w:val="none" w:sz="0" w:space="0" w:color="auto"/>
                <w:left w:val="none" w:sz="0" w:space="0" w:color="auto"/>
                <w:bottom w:val="none" w:sz="0" w:space="0" w:color="auto"/>
                <w:right w:val="none" w:sz="0" w:space="0" w:color="auto"/>
              </w:divBdr>
            </w:div>
            <w:div w:id="1961180421">
              <w:marLeft w:val="0"/>
              <w:marRight w:val="0"/>
              <w:marTop w:val="0"/>
              <w:marBottom w:val="0"/>
              <w:divBdr>
                <w:top w:val="none" w:sz="0" w:space="0" w:color="auto"/>
                <w:left w:val="none" w:sz="0" w:space="0" w:color="auto"/>
                <w:bottom w:val="none" w:sz="0" w:space="0" w:color="auto"/>
                <w:right w:val="none" w:sz="0" w:space="0" w:color="auto"/>
              </w:divBdr>
            </w:div>
            <w:div w:id="1914973025">
              <w:marLeft w:val="0"/>
              <w:marRight w:val="0"/>
              <w:marTop w:val="0"/>
              <w:marBottom w:val="0"/>
              <w:divBdr>
                <w:top w:val="none" w:sz="0" w:space="0" w:color="auto"/>
                <w:left w:val="none" w:sz="0" w:space="0" w:color="auto"/>
                <w:bottom w:val="none" w:sz="0" w:space="0" w:color="auto"/>
                <w:right w:val="none" w:sz="0" w:space="0" w:color="auto"/>
              </w:divBdr>
            </w:div>
            <w:div w:id="964120978">
              <w:marLeft w:val="0"/>
              <w:marRight w:val="0"/>
              <w:marTop w:val="0"/>
              <w:marBottom w:val="0"/>
              <w:divBdr>
                <w:top w:val="none" w:sz="0" w:space="0" w:color="auto"/>
                <w:left w:val="none" w:sz="0" w:space="0" w:color="auto"/>
                <w:bottom w:val="none" w:sz="0" w:space="0" w:color="auto"/>
                <w:right w:val="none" w:sz="0" w:space="0" w:color="auto"/>
              </w:divBdr>
            </w:div>
            <w:div w:id="2083864655">
              <w:marLeft w:val="0"/>
              <w:marRight w:val="0"/>
              <w:marTop w:val="0"/>
              <w:marBottom w:val="0"/>
              <w:divBdr>
                <w:top w:val="none" w:sz="0" w:space="0" w:color="auto"/>
                <w:left w:val="none" w:sz="0" w:space="0" w:color="auto"/>
                <w:bottom w:val="none" w:sz="0" w:space="0" w:color="auto"/>
                <w:right w:val="none" w:sz="0" w:space="0" w:color="auto"/>
              </w:divBdr>
            </w:div>
            <w:div w:id="539902147">
              <w:marLeft w:val="0"/>
              <w:marRight w:val="0"/>
              <w:marTop w:val="0"/>
              <w:marBottom w:val="0"/>
              <w:divBdr>
                <w:top w:val="none" w:sz="0" w:space="0" w:color="auto"/>
                <w:left w:val="none" w:sz="0" w:space="0" w:color="auto"/>
                <w:bottom w:val="none" w:sz="0" w:space="0" w:color="auto"/>
                <w:right w:val="none" w:sz="0" w:space="0" w:color="auto"/>
              </w:divBdr>
            </w:div>
            <w:div w:id="433549874">
              <w:marLeft w:val="0"/>
              <w:marRight w:val="0"/>
              <w:marTop w:val="0"/>
              <w:marBottom w:val="0"/>
              <w:divBdr>
                <w:top w:val="none" w:sz="0" w:space="0" w:color="auto"/>
                <w:left w:val="none" w:sz="0" w:space="0" w:color="auto"/>
                <w:bottom w:val="none" w:sz="0" w:space="0" w:color="auto"/>
                <w:right w:val="none" w:sz="0" w:space="0" w:color="auto"/>
              </w:divBdr>
            </w:div>
            <w:div w:id="517500999">
              <w:marLeft w:val="0"/>
              <w:marRight w:val="0"/>
              <w:marTop w:val="0"/>
              <w:marBottom w:val="0"/>
              <w:divBdr>
                <w:top w:val="none" w:sz="0" w:space="0" w:color="auto"/>
                <w:left w:val="none" w:sz="0" w:space="0" w:color="auto"/>
                <w:bottom w:val="none" w:sz="0" w:space="0" w:color="auto"/>
                <w:right w:val="none" w:sz="0" w:space="0" w:color="auto"/>
              </w:divBdr>
            </w:div>
            <w:div w:id="1791557677">
              <w:marLeft w:val="0"/>
              <w:marRight w:val="0"/>
              <w:marTop w:val="0"/>
              <w:marBottom w:val="0"/>
              <w:divBdr>
                <w:top w:val="none" w:sz="0" w:space="0" w:color="auto"/>
                <w:left w:val="none" w:sz="0" w:space="0" w:color="auto"/>
                <w:bottom w:val="none" w:sz="0" w:space="0" w:color="auto"/>
                <w:right w:val="none" w:sz="0" w:space="0" w:color="auto"/>
              </w:divBdr>
            </w:div>
            <w:div w:id="1489202926">
              <w:marLeft w:val="0"/>
              <w:marRight w:val="0"/>
              <w:marTop w:val="0"/>
              <w:marBottom w:val="0"/>
              <w:divBdr>
                <w:top w:val="none" w:sz="0" w:space="0" w:color="auto"/>
                <w:left w:val="none" w:sz="0" w:space="0" w:color="auto"/>
                <w:bottom w:val="none" w:sz="0" w:space="0" w:color="auto"/>
                <w:right w:val="none" w:sz="0" w:space="0" w:color="auto"/>
              </w:divBdr>
            </w:div>
            <w:div w:id="917131982">
              <w:marLeft w:val="0"/>
              <w:marRight w:val="0"/>
              <w:marTop w:val="0"/>
              <w:marBottom w:val="0"/>
              <w:divBdr>
                <w:top w:val="none" w:sz="0" w:space="0" w:color="auto"/>
                <w:left w:val="none" w:sz="0" w:space="0" w:color="auto"/>
                <w:bottom w:val="none" w:sz="0" w:space="0" w:color="auto"/>
                <w:right w:val="none" w:sz="0" w:space="0" w:color="auto"/>
              </w:divBdr>
            </w:div>
            <w:div w:id="1385908357">
              <w:marLeft w:val="0"/>
              <w:marRight w:val="0"/>
              <w:marTop w:val="0"/>
              <w:marBottom w:val="0"/>
              <w:divBdr>
                <w:top w:val="none" w:sz="0" w:space="0" w:color="auto"/>
                <w:left w:val="none" w:sz="0" w:space="0" w:color="auto"/>
                <w:bottom w:val="none" w:sz="0" w:space="0" w:color="auto"/>
                <w:right w:val="none" w:sz="0" w:space="0" w:color="auto"/>
              </w:divBdr>
            </w:div>
            <w:div w:id="561602804">
              <w:marLeft w:val="0"/>
              <w:marRight w:val="0"/>
              <w:marTop w:val="0"/>
              <w:marBottom w:val="0"/>
              <w:divBdr>
                <w:top w:val="none" w:sz="0" w:space="0" w:color="auto"/>
                <w:left w:val="none" w:sz="0" w:space="0" w:color="auto"/>
                <w:bottom w:val="none" w:sz="0" w:space="0" w:color="auto"/>
                <w:right w:val="none" w:sz="0" w:space="0" w:color="auto"/>
              </w:divBdr>
            </w:div>
            <w:div w:id="235167985">
              <w:marLeft w:val="0"/>
              <w:marRight w:val="0"/>
              <w:marTop w:val="0"/>
              <w:marBottom w:val="0"/>
              <w:divBdr>
                <w:top w:val="none" w:sz="0" w:space="0" w:color="auto"/>
                <w:left w:val="none" w:sz="0" w:space="0" w:color="auto"/>
                <w:bottom w:val="none" w:sz="0" w:space="0" w:color="auto"/>
                <w:right w:val="none" w:sz="0" w:space="0" w:color="auto"/>
              </w:divBdr>
            </w:div>
            <w:div w:id="741679065">
              <w:marLeft w:val="0"/>
              <w:marRight w:val="0"/>
              <w:marTop w:val="0"/>
              <w:marBottom w:val="0"/>
              <w:divBdr>
                <w:top w:val="none" w:sz="0" w:space="0" w:color="auto"/>
                <w:left w:val="none" w:sz="0" w:space="0" w:color="auto"/>
                <w:bottom w:val="none" w:sz="0" w:space="0" w:color="auto"/>
                <w:right w:val="none" w:sz="0" w:space="0" w:color="auto"/>
              </w:divBdr>
            </w:div>
            <w:div w:id="1278098138">
              <w:marLeft w:val="0"/>
              <w:marRight w:val="0"/>
              <w:marTop w:val="0"/>
              <w:marBottom w:val="0"/>
              <w:divBdr>
                <w:top w:val="none" w:sz="0" w:space="0" w:color="auto"/>
                <w:left w:val="none" w:sz="0" w:space="0" w:color="auto"/>
                <w:bottom w:val="none" w:sz="0" w:space="0" w:color="auto"/>
                <w:right w:val="none" w:sz="0" w:space="0" w:color="auto"/>
              </w:divBdr>
            </w:div>
            <w:div w:id="1528055698">
              <w:marLeft w:val="0"/>
              <w:marRight w:val="0"/>
              <w:marTop w:val="0"/>
              <w:marBottom w:val="0"/>
              <w:divBdr>
                <w:top w:val="none" w:sz="0" w:space="0" w:color="auto"/>
                <w:left w:val="none" w:sz="0" w:space="0" w:color="auto"/>
                <w:bottom w:val="none" w:sz="0" w:space="0" w:color="auto"/>
                <w:right w:val="none" w:sz="0" w:space="0" w:color="auto"/>
              </w:divBdr>
            </w:div>
            <w:div w:id="1212035856">
              <w:marLeft w:val="0"/>
              <w:marRight w:val="0"/>
              <w:marTop w:val="0"/>
              <w:marBottom w:val="0"/>
              <w:divBdr>
                <w:top w:val="none" w:sz="0" w:space="0" w:color="auto"/>
                <w:left w:val="none" w:sz="0" w:space="0" w:color="auto"/>
                <w:bottom w:val="none" w:sz="0" w:space="0" w:color="auto"/>
                <w:right w:val="none" w:sz="0" w:space="0" w:color="auto"/>
              </w:divBdr>
            </w:div>
            <w:div w:id="2042902268">
              <w:marLeft w:val="0"/>
              <w:marRight w:val="0"/>
              <w:marTop w:val="0"/>
              <w:marBottom w:val="0"/>
              <w:divBdr>
                <w:top w:val="none" w:sz="0" w:space="0" w:color="auto"/>
                <w:left w:val="none" w:sz="0" w:space="0" w:color="auto"/>
                <w:bottom w:val="none" w:sz="0" w:space="0" w:color="auto"/>
                <w:right w:val="none" w:sz="0" w:space="0" w:color="auto"/>
              </w:divBdr>
            </w:div>
            <w:div w:id="25107120">
              <w:marLeft w:val="0"/>
              <w:marRight w:val="0"/>
              <w:marTop w:val="0"/>
              <w:marBottom w:val="0"/>
              <w:divBdr>
                <w:top w:val="none" w:sz="0" w:space="0" w:color="auto"/>
                <w:left w:val="none" w:sz="0" w:space="0" w:color="auto"/>
                <w:bottom w:val="none" w:sz="0" w:space="0" w:color="auto"/>
                <w:right w:val="none" w:sz="0" w:space="0" w:color="auto"/>
              </w:divBdr>
            </w:div>
            <w:div w:id="1360282715">
              <w:marLeft w:val="0"/>
              <w:marRight w:val="0"/>
              <w:marTop w:val="0"/>
              <w:marBottom w:val="0"/>
              <w:divBdr>
                <w:top w:val="none" w:sz="0" w:space="0" w:color="auto"/>
                <w:left w:val="none" w:sz="0" w:space="0" w:color="auto"/>
                <w:bottom w:val="none" w:sz="0" w:space="0" w:color="auto"/>
                <w:right w:val="none" w:sz="0" w:space="0" w:color="auto"/>
              </w:divBdr>
            </w:div>
            <w:div w:id="2009677221">
              <w:marLeft w:val="0"/>
              <w:marRight w:val="0"/>
              <w:marTop w:val="0"/>
              <w:marBottom w:val="0"/>
              <w:divBdr>
                <w:top w:val="none" w:sz="0" w:space="0" w:color="auto"/>
                <w:left w:val="none" w:sz="0" w:space="0" w:color="auto"/>
                <w:bottom w:val="none" w:sz="0" w:space="0" w:color="auto"/>
                <w:right w:val="none" w:sz="0" w:space="0" w:color="auto"/>
              </w:divBdr>
            </w:div>
            <w:div w:id="2018187927">
              <w:marLeft w:val="0"/>
              <w:marRight w:val="0"/>
              <w:marTop w:val="0"/>
              <w:marBottom w:val="0"/>
              <w:divBdr>
                <w:top w:val="none" w:sz="0" w:space="0" w:color="auto"/>
                <w:left w:val="none" w:sz="0" w:space="0" w:color="auto"/>
                <w:bottom w:val="none" w:sz="0" w:space="0" w:color="auto"/>
                <w:right w:val="none" w:sz="0" w:space="0" w:color="auto"/>
              </w:divBdr>
            </w:div>
            <w:div w:id="729770080">
              <w:marLeft w:val="0"/>
              <w:marRight w:val="0"/>
              <w:marTop w:val="0"/>
              <w:marBottom w:val="0"/>
              <w:divBdr>
                <w:top w:val="none" w:sz="0" w:space="0" w:color="auto"/>
                <w:left w:val="none" w:sz="0" w:space="0" w:color="auto"/>
                <w:bottom w:val="none" w:sz="0" w:space="0" w:color="auto"/>
                <w:right w:val="none" w:sz="0" w:space="0" w:color="auto"/>
              </w:divBdr>
            </w:div>
            <w:div w:id="1387989730">
              <w:marLeft w:val="0"/>
              <w:marRight w:val="0"/>
              <w:marTop w:val="0"/>
              <w:marBottom w:val="0"/>
              <w:divBdr>
                <w:top w:val="none" w:sz="0" w:space="0" w:color="auto"/>
                <w:left w:val="none" w:sz="0" w:space="0" w:color="auto"/>
                <w:bottom w:val="none" w:sz="0" w:space="0" w:color="auto"/>
                <w:right w:val="none" w:sz="0" w:space="0" w:color="auto"/>
              </w:divBdr>
            </w:div>
            <w:div w:id="207840994">
              <w:marLeft w:val="0"/>
              <w:marRight w:val="0"/>
              <w:marTop w:val="0"/>
              <w:marBottom w:val="0"/>
              <w:divBdr>
                <w:top w:val="none" w:sz="0" w:space="0" w:color="auto"/>
                <w:left w:val="none" w:sz="0" w:space="0" w:color="auto"/>
                <w:bottom w:val="none" w:sz="0" w:space="0" w:color="auto"/>
                <w:right w:val="none" w:sz="0" w:space="0" w:color="auto"/>
              </w:divBdr>
            </w:div>
            <w:div w:id="577785789">
              <w:marLeft w:val="0"/>
              <w:marRight w:val="0"/>
              <w:marTop w:val="0"/>
              <w:marBottom w:val="0"/>
              <w:divBdr>
                <w:top w:val="none" w:sz="0" w:space="0" w:color="auto"/>
                <w:left w:val="none" w:sz="0" w:space="0" w:color="auto"/>
                <w:bottom w:val="none" w:sz="0" w:space="0" w:color="auto"/>
                <w:right w:val="none" w:sz="0" w:space="0" w:color="auto"/>
              </w:divBdr>
            </w:div>
            <w:div w:id="854923775">
              <w:marLeft w:val="0"/>
              <w:marRight w:val="0"/>
              <w:marTop w:val="0"/>
              <w:marBottom w:val="0"/>
              <w:divBdr>
                <w:top w:val="none" w:sz="0" w:space="0" w:color="auto"/>
                <w:left w:val="none" w:sz="0" w:space="0" w:color="auto"/>
                <w:bottom w:val="none" w:sz="0" w:space="0" w:color="auto"/>
                <w:right w:val="none" w:sz="0" w:space="0" w:color="auto"/>
              </w:divBdr>
            </w:div>
            <w:div w:id="1492142004">
              <w:marLeft w:val="0"/>
              <w:marRight w:val="0"/>
              <w:marTop w:val="0"/>
              <w:marBottom w:val="0"/>
              <w:divBdr>
                <w:top w:val="none" w:sz="0" w:space="0" w:color="auto"/>
                <w:left w:val="none" w:sz="0" w:space="0" w:color="auto"/>
                <w:bottom w:val="none" w:sz="0" w:space="0" w:color="auto"/>
                <w:right w:val="none" w:sz="0" w:space="0" w:color="auto"/>
              </w:divBdr>
            </w:div>
            <w:div w:id="1344471634">
              <w:marLeft w:val="0"/>
              <w:marRight w:val="0"/>
              <w:marTop w:val="0"/>
              <w:marBottom w:val="0"/>
              <w:divBdr>
                <w:top w:val="none" w:sz="0" w:space="0" w:color="auto"/>
                <w:left w:val="none" w:sz="0" w:space="0" w:color="auto"/>
                <w:bottom w:val="none" w:sz="0" w:space="0" w:color="auto"/>
                <w:right w:val="none" w:sz="0" w:space="0" w:color="auto"/>
              </w:divBdr>
            </w:div>
            <w:div w:id="490218345">
              <w:marLeft w:val="0"/>
              <w:marRight w:val="0"/>
              <w:marTop w:val="0"/>
              <w:marBottom w:val="0"/>
              <w:divBdr>
                <w:top w:val="none" w:sz="0" w:space="0" w:color="auto"/>
                <w:left w:val="none" w:sz="0" w:space="0" w:color="auto"/>
                <w:bottom w:val="none" w:sz="0" w:space="0" w:color="auto"/>
                <w:right w:val="none" w:sz="0" w:space="0" w:color="auto"/>
              </w:divBdr>
            </w:div>
            <w:div w:id="2022312491">
              <w:marLeft w:val="0"/>
              <w:marRight w:val="0"/>
              <w:marTop w:val="0"/>
              <w:marBottom w:val="0"/>
              <w:divBdr>
                <w:top w:val="none" w:sz="0" w:space="0" w:color="auto"/>
                <w:left w:val="none" w:sz="0" w:space="0" w:color="auto"/>
                <w:bottom w:val="none" w:sz="0" w:space="0" w:color="auto"/>
                <w:right w:val="none" w:sz="0" w:space="0" w:color="auto"/>
              </w:divBdr>
            </w:div>
            <w:div w:id="662009506">
              <w:marLeft w:val="0"/>
              <w:marRight w:val="0"/>
              <w:marTop w:val="0"/>
              <w:marBottom w:val="0"/>
              <w:divBdr>
                <w:top w:val="none" w:sz="0" w:space="0" w:color="auto"/>
                <w:left w:val="none" w:sz="0" w:space="0" w:color="auto"/>
                <w:bottom w:val="none" w:sz="0" w:space="0" w:color="auto"/>
                <w:right w:val="none" w:sz="0" w:space="0" w:color="auto"/>
              </w:divBdr>
            </w:div>
            <w:div w:id="1376469770">
              <w:marLeft w:val="0"/>
              <w:marRight w:val="0"/>
              <w:marTop w:val="0"/>
              <w:marBottom w:val="0"/>
              <w:divBdr>
                <w:top w:val="none" w:sz="0" w:space="0" w:color="auto"/>
                <w:left w:val="none" w:sz="0" w:space="0" w:color="auto"/>
                <w:bottom w:val="none" w:sz="0" w:space="0" w:color="auto"/>
                <w:right w:val="none" w:sz="0" w:space="0" w:color="auto"/>
              </w:divBdr>
            </w:div>
            <w:div w:id="1953434242">
              <w:marLeft w:val="0"/>
              <w:marRight w:val="0"/>
              <w:marTop w:val="0"/>
              <w:marBottom w:val="0"/>
              <w:divBdr>
                <w:top w:val="none" w:sz="0" w:space="0" w:color="auto"/>
                <w:left w:val="none" w:sz="0" w:space="0" w:color="auto"/>
                <w:bottom w:val="none" w:sz="0" w:space="0" w:color="auto"/>
                <w:right w:val="none" w:sz="0" w:space="0" w:color="auto"/>
              </w:divBdr>
            </w:div>
            <w:div w:id="485053140">
              <w:marLeft w:val="0"/>
              <w:marRight w:val="0"/>
              <w:marTop w:val="0"/>
              <w:marBottom w:val="0"/>
              <w:divBdr>
                <w:top w:val="none" w:sz="0" w:space="0" w:color="auto"/>
                <w:left w:val="none" w:sz="0" w:space="0" w:color="auto"/>
                <w:bottom w:val="none" w:sz="0" w:space="0" w:color="auto"/>
                <w:right w:val="none" w:sz="0" w:space="0" w:color="auto"/>
              </w:divBdr>
            </w:div>
            <w:div w:id="509687118">
              <w:marLeft w:val="0"/>
              <w:marRight w:val="0"/>
              <w:marTop w:val="0"/>
              <w:marBottom w:val="0"/>
              <w:divBdr>
                <w:top w:val="none" w:sz="0" w:space="0" w:color="auto"/>
                <w:left w:val="none" w:sz="0" w:space="0" w:color="auto"/>
                <w:bottom w:val="none" w:sz="0" w:space="0" w:color="auto"/>
                <w:right w:val="none" w:sz="0" w:space="0" w:color="auto"/>
              </w:divBdr>
            </w:div>
            <w:div w:id="114837308">
              <w:marLeft w:val="0"/>
              <w:marRight w:val="0"/>
              <w:marTop w:val="0"/>
              <w:marBottom w:val="0"/>
              <w:divBdr>
                <w:top w:val="none" w:sz="0" w:space="0" w:color="auto"/>
                <w:left w:val="none" w:sz="0" w:space="0" w:color="auto"/>
                <w:bottom w:val="none" w:sz="0" w:space="0" w:color="auto"/>
                <w:right w:val="none" w:sz="0" w:space="0" w:color="auto"/>
              </w:divBdr>
            </w:div>
            <w:div w:id="1754472676">
              <w:marLeft w:val="0"/>
              <w:marRight w:val="0"/>
              <w:marTop w:val="0"/>
              <w:marBottom w:val="0"/>
              <w:divBdr>
                <w:top w:val="none" w:sz="0" w:space="0" w:color="auto"/>
                <w:left w:val="none" w:sz="0" w:space="0" w:color="auto"/>
                <w:bottom w:val="none" w:sz="0" w:space="0" w:color="auto"/>
                <w:right w:val="none" w:sz="0" w:space="0" w:color="auto"/>
              </w:divBdr>
            </w:div>
            <w:div w:id="1843927830">
              <w:marLeft w:val="0"/>
              <w:marRight w:val="0"/>
              <w:marTop w:val="0"/>
              <w:marBottom w:val="0"/>
              <w:divBdr>
                <w:top w:val="none" w:sz="0" w:space="0" w:color="auto"/>
                <w:left w:val="none" w:sz="0" w:space="0" w:color="auto"/>
                <w:bottom w:val="none" w:sz="0" w:space="0" w:color="auto"/>
                <w:right w:val="none" w:sz="0" w:space="0" w:color="auto"/>
              </w:divBdr>
            </w:div>
            <w:div w:id="507016178">
              <w:marLeft w:val="0"/>
              <w:marRight w:val="0"/>
              <w:marTop w:val="0"/>
              <w:marBottom w:val="0"/>
              <w:divBdr>
                <w:top w:val="none" w:sz="0" w:space="0" w:color="auto"/>
                <w:left w:val="none" w:sz="0" w:space="0" w:color="auto"/>
                <w:bottom w:val="none" w:sz="0" w:space="0" w:color="auto"/>
                <w:right w:val="none" w:sz="0" w:space="0" w:color="auto"/>
              </w:divBdr>
            </w:div>
            <w:div w:id="1154033747">
              <w:marLeft w:val="0"/>
              <w:marRight w:val="0"/>
              <w:marTop w:val="0"/>
              <w:marBottom w:val="0"/>
              <w:divBdr>
                <w:top w:val="none" w:sz="0" w:space="0" w:color="auto"/>
                <w:left w:val="none" w:sz="0" w:space="0" w:color="auto"/>
                <w:bottom w:val="none" w:sz="0" w:space="0" w:color="auto"/>
                <w:right w:val="none" w:sz="0" w:space="0" w:color="auto"/>
              </w:divBdr>
            </w:div>
            <w:div w:id="90011482">
              <w:marLeft w:val="0"/>
              <w:marRight w:val="0"/>
              <w:marTop w:val="0"/>
              <w:marBottom w:val="0"/>
              <w:divBdr>
                <w:top w:val="none" w:sz="0" w:space="0" w:color="auto"/>
                <w:left w:val="none" w:sz="0" w:space="0" w:color="auto"/>
                <w:bottom w:val="none" w:sz="0" w:space="0" w:color="auto"/>
                <w:right w:val="none" w:sz="0" w:space="0" w:color="auto"/>
              </w:divBdr>
            </w:div>
            <w:div w:id="1678650252">
              <w:marLeft w:val="0"/>
              <w:marRight w:val="0"/>
              <w:marTop w:val="0"/>
              <w:marBottom w:val="0"/>
              <w:divBdr>
                <w:top w:val="none" w:sz="0" w:space="0" w:color="auto"/>
                <w:left w:val="none" w:sz="0" w:space="0" w:color="auto"/>
                <w:bottom w:val="none" w:sz="0" w:space="0" w:color="auto"/>
                <w:right w:val="none" w:sz="0" w:space="0" w:color="auto"/>
              </w:divBdr>
            </w:div>
            <w:div w:id="733309019">
              <w:marLeft w:val="0"/>
              <w:marRight w:val="0"/>
              <w:marTop w:val="0"/>
              <w:marBottom w:val="0"/>
              <w:divBdr>
                <w:top w:val="none" w:sz="0" w:space="0" w:color="auto"/>
                <w:left w:val="none" w:sz="0" w:space="0" w:color="auto"/>
                <w:bottom w:val="none" w:sz="0" w:space="0" w:color="auto"/>
                <w:right w:val="none" w:sz="0" w:space="0" w:color="auto"/>
              </w:divBdr>
            </w:div>
            <w:div w:id="442383088">
              <w:marLeft w:val="0"/>
              <w:marRight w:val="0"/>
              <w:marTop w:val="0"/>
              <w:marBottom w:val="0"/>
              <w:divBdr>
                <w:top w:val="none" w:sz="0" w:space="0" w:color="auto"/>
                <w:left w:val="none" w:sz="0" w:space="0" w:color="auto"/>
                <w:bottom w:val="none" w:sz="0" w:space="0" w:color="auto"/>
                <w:right w:val="none" w:sz="0" w:space="0" w:color="auto"/>
              </w:divBdr>
            </w:div>
            <w:div w:id="870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www.internurse.com/cgi-bin/go.pl/library/article.cgi?uid=7765;article=NRC_2_4_174_185;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C76C-9D58-449E-BFA0-AA902F5F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8C78DA34</Template>
  <TotalTime>0</TotalTime>
  <Pages>24</Pages>
  <Words>5967</Words>
  <Characters>34013</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Walker, Ian</cp:lastModifiedBy>
  <cp:revision>2</cp:revision>
  <cp:lastPrinted>2015-10-05T10:44:00Z</cp:lastPrinted>
  <dcterms:created xsi:type="dcterms:W3CDTF">2018-06-28T08:44:00Z</dcterms:created>
  <dcterms:modified xsi:type="dcterms:W3CDTF">2018-06-28T08:44:00Z</dcterms:modified>
</cp:coreProperties>
</file>