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63876" w14:textId="2FFF8F19" w:rsidR="009613D0" w:rsidRDefault="009613D0" w:rsidP="00601047">
      <w:pPr>
        <w:spacing w:after="200"/>
      </w:pPr>
      <w:proofErr w:type="spellStart"/>
      <w:r w:rsidRPr="009613D0">
        <w:rPr>
          <w:b/>
        </w:rPr>
        <w:t>Starchitecture</w:t>
      </w:r>
      <w:proofErr w:type="spellEnd"/>
      <w:r w:rsidRPr="009613D0">
        <w:rPr>
          <w:b/>
        </w:rPr>
        <w:t>. Scenes, Actors, and Spectacles in Contemporary Cities</w:t>
      </w:r>
      <w:r>
        <w:t xml:space="preserve">, by </w:t>
      </w:r>
      <w:proofErr w:type="spellStart"/>
      <w:r>
        <w:t>Davide</w:t>
      </w:r>
      <w:proofErr w:type="spellEnd"/>
      <w:r>
        <w:t xml:space="preserve"> </w:t>
      </w:r>
      <w:proofErr w:type="spellStart"/>
      <w:r>
        <w:t>Ponzini</w:t>
      </w:r>
      <w:proofErr w:type="spellEnd"/>
      <w:r>
        <w:t xml:space="preserve"> and Michele </w:t>
      </w:r>
      <w:proofErr w:type="spellStart"/>
      <w:r>
        <w:t>Nastasi</w:t>
      </w:r>
      <w:proofErr w:type="spellEnd"/>
      <w:r>
        <w:t xml:space="preserve">, New York, The </w:t>
      </w:r>
      <w:proofErr w:type="spellStart"/>
      <w:r>
        <w:t>Monacelli</w:t>
      </w:r>
      <w:proofErr w:type="spellEnd"/>
      <w:r>
        <w:t xml:space="preserve"> Press, 2017, 216 pp., ISBN: </w:t>
      </w:r>
      <w:r w:rsidRPr="009613D0">
        <w:t>9781580934688, US$40 (hardcover)</w:t>
      </w:r>
    </w:p>
    <w:p w14:paraId="7A2191E9" w14:textId="77777777" w:rsidR="009613D0" w:rsidRDefault="009613D0" w:rsidP="00601047">
      <w:pPr>
        <w:spacing w:after="200"/>
      </w:pPr>
    </w:p>
    <w:p w14:paraId="2C71B227" w14:textId="64BAA005" w:rsidR="00601047" w:rsidRDefault="00C01521" w:rsidP="00601047">
      <w:pPr>
        <w:spacing w:after="200"/>
      </w:pPr>
      <w:r>
        <w:t>It has been twenty years since the opening of the</w:t>
      </w:r>
      <w:r w:rsidR="00021975">
        <w:t xml:space="preserve"> Guggenheim Museum in Bilbao. This could be enough a reason for justifying the publ</w:t>
      </w:r>
      <w:r w:rsidR="00F77B29">
        <w:t xml:space="preserve">ication of a second edition of </w:t>
      </w:r>
      <w:proofErr w:type="spellStart"/>
      <w:r w:rsidR="00021975" w:rsidRPr="00F77B29">
        <w:rPr>
          <w:i/>
        </w:rPr>
        <w:t>Starchitecture</w:t>
      </w:r>
      <w:proofErr w:type="spellEnd"/>
      <w:r w:rsidR="00880346" w:rsidRPr="00F77B29">
        <w:rPr>
          <w:i/>
        </w:rPr>
        <w:t>. Scenes, Actors, and Spectacles in Contemporary Cities</w:t>
      </w:r>
      <w:r w:rsidR="00021975">
        <w:t>, a book</w:t>
      </w:r>
      <w:r>
        <w:t xml:space="preserve"> </w:t>
      </w:r>
      <w:r w:rsidR="00021975">
        <w:t xml:space="preserve">derived from parallel research that </w:t>
      </w:r>
      <w:proofErr w:type="spellStart"/>
      <w:r>
        <w:t>Davide</w:t>
      </w:r>
      <w:proofErr w:type="spellEnd"/>
      <w:r>
        <w:t xml:space="preserve"> </w:t>
      </w:r>
      <w:proofErr w:type="spellStart"/>
      <w:r>
        <w:t>Ponzini</w:t>
      </w:r>
      <w:proofErr w:type="spellEnd"/>
      <w:r>
        <w:t xml:space="preserve"> and Michele </w:t>
      </w:r>
      <w:proofErr w:type="spellStart"/>
      <w:r>
        <w:t>Nastasi</w:t>
      </w:r>
      <w:proofErr w:type="spellEnd"/>
      <w:r w:rsidR="00021975">
        <w:t xml:space="preserve"> have conducted since 2008 on the </w:t>
      </w:r>
      <w:r w:rsidR="00785961">
        <w:t xml:space="preserve">ways in which </w:t>
      </w:r>
      <w:r w:rsidR="00021975">
        <w:t xml:space="preserve">architectural projects </w:t>
      </w:r>
      <w:r w:rsidR="00785961">
        <w:t xml:space="preserve">have been systematically used </w:t>
      </w:r>
      <w:r w:rsidR="00E95F91">
        <w:t>as</w:t>
      </w:r>
      <w:r w:rsidR="00021975">
        <w:t xml:space="preserve"> means for urban branding</w:t>
      </w:r>
      <w:r w:rsidR="00785961">
        <w:t xml:space="preserve"> over the last few decades</w:t>
      </w:r>
      <w:r w:rsidR="00021975">
        <w:t xml:space="preserve">. </w:t>
      </w:r>
    </w:p>
    <w:p w14:paraId="24E7C114" w14:textId="77777777" w:rsidR="00766657" w:rsidRDefault="00785B0B" w:rsidP="00601047">
      <w:pPr>
        <w:spacing w:after="200"/>
      </w:pPr>
      <w:r>
        <w:t xml:space="preserve">Observing </w:t>
      </w:r>
      <w:r w:rsidR="00021975">
        <w:t xml:space="preserve">the phenomenon </w:t>
      </w:r>
      <w:r>
        <w:t>across a range of</w:t>
      </w:r>
      <w:r w:rsidR="00021975">
        <w:t xml:space="preserve"> major cities – Abu Dhabi, Paris</w:t>
      </w:r>
      <w:r w:rsidR="00601047">
        <w:t xml:space="preserve">, New York, London and Milan </w:t>
      </w:r>
      <w:r w:rsidR="00021975">
        <w:t xml:space="preserve">- </w:t>
      </w:r>
      <w:r>
        <w:t xml:space="preserve">the book offers a twofold narrative </w:t>
      </w:r>
      <w:r w:rsidR="00766657">
        <w:t>coupling</w:t>
      </w:r>
      <w:r>
        <w:t xml:space="preserve"> the text authored by </w:t>
      </w:r>
      <w:proofErr w:type="spellStart"/>
      <w:r>
        <w:t>Ponzini</w:t>
      </w:r>
      <w:proofErr w:type="spellEnd"/>
      <w:r>
        <w:t xml:space="preserve"> </w:t>
      </w:r>
      <w:r w:rsidR="00785961">
        <w:t xml:space="preserve">and focused on the </w:t>
      </w:r>
      <w:r w:rsidR="00766657">
        <w:t>decision-making processes behind</w:t>
      </w:r>
      <w:r w:rsidR="00785961">
        <w:t xml:space="preserve"> the projects</w:t>
      </w:r>
      <w:r w:rsidR="00766657">
        <w:t xml:space="preserve"> discussed</w:t>
      </w:r>
      <w:r w:rsidR="00785961">
        <w:t xml:space="preserve">, </w:t>
      </w:r>
      <w:r>
        <w:t xml:space="preserve">with </w:t>
      </w:r>
      <w:proofErr w:type="spellStart"/>
      <w:r>
        <w:t>Nastasi’s</w:t>
      </w:r>
      <w:proofErr w:type="spellEnd"/>
      <w:r>
        <w:t xml:space="preserve"> photographs</w:t>
      </w:r>
      <w:r w:rsidR="00766657">
        <w:t xml:space="preserve"> that avoid depicting those projects</w:t>
      </w:r>
      <w:r w:rsidR="00785961">
        <w:t xml:space="preserve"> as isolated objects to show their belonging to everyday urban life. These two “texts” are often arranged</w:t>
      </w:r>
      <w:r>
        <w:t xml:space="preserve"> </w:t>
      </w:r>
      <w:r w:rsidR="00E95F91">
        <w:t>according to</w:t>
      </w:r>
      <w:r>
        <w:t xml:space="preserve"> a non-co</w:t>
      </w:r>
      <w:r w:rsidR="00785961">
        <w:t xml:space="preserve">ngruent relation, </w:t>
      </w:r>
      <w:r w:rsidR="00766657">
        <w:t>thus interestingly diverging from</w:t>
      </w:r>
      <w:r>
        <w:t xml:space="preserve"> </w:t>
      </w:r>
      <w:r w:rsidR="00766657">
        <w:t xml:space="preserve">a more traditional use of </w:t>
      </w:r>
      <w:r>
        <w:t xml:space="preserve">images </w:t>
      </w:r>
      <w:r w:rsidR="00766657">
        <w:t xml:space="preserve">as </w:t>
      </w:r>
      <w:r>
        <w:t xml:space="preserve">the direct illustration of what </w:t>
      </w:r>
      <w:r w:rsidR="00555C4B">
        <w:t xml:space="preserve">is </w:t>
      </w:r>
      <w:r w:rsidR="00766657">
        <w:t>discussed in writing. T</w:t>
      </w:r>
      <w:r>
        <w:t xml:space="preserve">he rationale of two parallel texts adds complexity </w:t>
      </w:r>
      <w:r w:rsidR="00766657">
        <w:t>of insight in</w:t>
      </w:r>
      <w:r>
        <w:t xml:space="preserve">to a phenomenon that finds precisely in images the source for its dominant interpretations. </w:t>
      </w:r>
    </w:p>
    <w:p w14:paraId="6438DB4C" w14:textId="329F04CD" w:rsidR="00DE4FB7" w:rsidRDefault="00785B0B" w:rsidP="00601047">
      <w:pPr>
        <w:spacing w:after="200"/>
      </w:pPr>
      <w:r>
        <w:t xml:space="preserve">It is against </w:t>
      </w:r>
      <w:r w:rsidR="00766657">
        <w:t>some</w:t>
      </w:r>
      <w:r>
        <w:t xml:space="preserve"> </w:t>
      </w:r>
      <w:r w:rsidR="00766657">
        <w:t xml:space="preserve">dominant </w:t>
      </w:r>
      <w:r>
        <w:t xml:space="preserve">interpretations, and in particular the </w:t>
      </w:r>
      <w:r w:rsidR="00785961">
        <w:t>major</w:t>
      </w:r>
      <w:r w:rsidR="00DE4FB7">
        <w:t xml:space="preserve"> </w:t>
      </w:r>
      <w:r>
        <w:t xml:space="preserve">narrative of the </w:t>
      </w:r>
      <w:r w:rsidRPr="00F77B29">
        <w:rPr>
          <w:i/>
        </w:rPr>
        <w:t>Bilbao Effect</w:t>
      </w:r>
      <w:r>
        <w:t xml:space="preserve"> - namely the belief </w:t>
      </w:r>
      <w:r w:rsidR="00785961">
        <w:t>in</w:t>
      </w:r>
      <w:r>
        <w:t xml:space="preserve"> the injection of a singular architectural piece </w:t>
      </w:r>
      <w:r w:rsidR="00785961">
        <w:t>to</w:t>
      </w:r>
      <w:r>
        <w:t xml:space="preserve"> divert the destiny of a city – that the authors direct their joint e</w:t>
      </w:r>
      <w:r w:rsidR="00DE4FB7">
        <w:t xml:space="preserve">fforts. To sustain the argument, the </w:t>
      </w:r>
      <w:r w:rsidR="00785961">
        <w:t>book relies</w:t>
      </w:r>
      <w:r w:rsidR="00DE4FB7">
        <w:t xml:space="preserve"> on a </w:t>
      </w:r>
      <w:r w:rsidR="00F77B29">
        <w:t>combination</w:t>
      </w:r>
      <w:r w:rsidR="00DE4FB7">
        <w:t xml:space="preserve"> of primary and secondary rese</w:t>
      </w:r>
      <w:r w:rsidR="00766657">
        <w:t>arch. T</w:t>
      </w:r>
      <w:r w:rsidR="00DE4FB7">
        <w:t xml:space="preserve">he first </w:t>
      </w:r>
      <w:r w:rsidR="00766657">
        <w:t>is</w:t>
      </w:r>
      <w:r w:rsidR="00DE4FB7">
        <w:t xml:space="preserve"> </w:t>
      </w:r>
      <w:r w:rsidR="00785961">
        <w:t>mostly based on dialogues with more than seventy interviewees</w:t>
      </w:r>
      <w:r w:rsidR="00DE4FB7">
        <w:t xml:space="preserve"> chosen among actors involved in different guises in </w:t>
      </w:r>
      <w:r w:rsidR="00CD7B1E">
        <w:t>major projects around the world; the second offers</w:t>
      </w:r>
      <w:r w:rsidR="00DE4FB7">
        <w:t xml:space="preserve"> the reader a comprehensive and useful </w:t>
      </w:r>
      <w:r w:rsidR="00CD7B1E">
        <w:t>set</w:t>
      </w:r>
      <w:r w:rsidR="00DE4FB7">
        <w:t xml:space="preserve"> of </w:t>
      </w:r>
      <w:r w:rsidR="00785961">
        <w:t xml:space="preserve">bibliographic </w:t>
      </w:r>
      <w:r w:rsidR="00DE4FB7">
        <w:t xml:space="preserve">references </w:t>
      </w:r>
      <w:r w:rsidR="00CD7B1E">
        <w:t xml:space="preserve">to expand research </w:t>
      </w:r>
      <w:r w:rsidR="00DE4FB7">
        <w:t xml:space="preserve">on the topics discussed. </w:t>
      </w:r>
    </w:p>
    <w:p w14:paraId="412D8CBC" w14:textId="1B52C111" w:rsidR="00601047" w:rsidRDefault="00DE4FB7" w:rsidP="00601047">
      <w:pPr>
        <w:spacing w:after="200"/>
      </w:pPr>
      <w:r>
        <w:t>Rather than as a recipe-for-</w:t>
      </w:r>
      <w:r w:rsidR="00785B0B">
        <w:t xml:space="preserve">all, </w:t>
      </w:r>
      <w:proofErr w:type="spellStart"/>
      <w:r w:rsidR="00785B0B">
        <w:t>Pon</w:t>
      </w:r>
      <w:r w:rsidR="002F51FB">
        <w:t>zini</w:t>
      </w:r>
      <w:proofErr w:type="spellEnd"/>
      <w:r w:rsidR="002F51FB">
        <w:t xml:space="preserve"> and </w:t>
      </w:r>
      <w:proofErr w:type="spellStart"/>
      <w:r w:rsidR="002F51FB">
        <w:t>Nastasi</w:t>
      </w:r>
      <w:proofErr w:type="spellEnd"/>
      <w:r w:rsidR="002F51FB">
        <w:t xml:space="preserve"> aim to show that</w:t>
      </w:r>
      <w:r w:rsidR="00785B0B">
        <w:t xml:space="preserve"> multiple processes </w:t>
      </w:r>
      <w:r w:rsidR="002F51FB">
        <w:t xml:space="preserve">and logics underlie the apparent homogeneous phenomenon of recruiting architectural firms based on their fame to produce objects capable of generating value and attracting </w:t>
      </w:r>
      <w:r w:rsidR="00785961">
        <w:t xml:space="preserve">the </w:t>
      </w:r>
      <w:r w:rsidR="002F51FB">
        <w:t xml:space="preserve">investments needed to place their host cities on the global map of financial competition. Overall, they argue </w:t>
      </w:r>
      <w:r w:rsidR="00CD7B1E">
        <w:t xml:space="preserve">and set out to demonstrate </w:t>
      </w:r>
      <w:r w:rsidR="002F51FB">
        <w:t xml:space="preserve">that </w:t>
      </w:r>
      <w:r>
        <w:t xml:space="preserve">the phantasmagoria of architectural creations that have populated world cities over the last three decades is always related to the </w:t>
      </w:r>
      <w:r w:rsidR="00785961">
        <w:t xml:space="preserve">political framework and the specific urban policies and regulations </w:t>
      </w:r>
      <w:r>
        <w:t>of local contexts</w:t>
      </w:r>
      <w:r w:rsidR="00F77B29">
        <w:t>, with results varying widely accordingly</w:t>
      </w:r>
      <w:r>
        <w:t>.</w:t>
      </w:r>
    </w:p>
    <w:p w14:paraId="7BFA33E0" w14:textId="77777777" w:rsidR="00F77B29" w:rsidRDefault="00CD7B1E" w:rsidP="00601047">
      <w:pPr>
        <w:spacing w:after="200"/>
      </w:pPr>
      <w:r>
        <w:t>This</w:t>
      </w:r>
      <w:r w:rsidR="002F51FB">
        <w:t xml:space="preserve"> general argument is consistently sustained throughout the </w:t>
      </w:r>
      <w:r w:rsidR="00466862">
        <w:t>seven chapter</w:t>
      </w:r>
      <w:r w:rsidR="00555C4B">
        <w:t>s</w:t>
      </w:r>
      <w:r w:rsidR="00466862">
        <w:t xml:space="preserve"> of the</w:t>
      </w:r>
      <w:r w:rsidR="002F51FB">
        <w:t xml:space="preserve"> book, and </w:t>
      </w:r>
      <w:r w:rsidR="00466862">
        <w:t xml:space="preserve">is </w:t>
      </w:r>
      <w:r w:rsidR="002F51FB">
        <w:t xml:space="preserve">made explicit from the outset </w:t>
      </w:r>
      <w:r w:rsidR="00466862">
        <w:t>through</w:t>
      </w:r>
      <w:r w:rsidR="002F51FB">
        <w:t xml:space="preserve"> the choice of the first of a long list of examples</w:t>
      </w:r>
      <w:r w:rsidR="00785961">
        <w:t xml:space="preserve"> presented in text and images</w:t>
      </w:r>
      <w:r w:rsidR="002F51FB">
        <w:t>. T</w:t>
      </w:r>
      <w:r w:rsidR="00785B0B">
        <w:t xml:space="preserve">he Chanel Mobile Art Pavilion by </w:t>
      </w:r>
      <w:proofErr w:type="spellStart"/>
      <w:r w:rsidR="00785B0B">
        <w:t>Zaha</w:t>
      </w:r>
      <w:proofErr w:type="spellEnd"/>
      <w:r w:rsidR="00785B0B">
        <w:t xml:space="preserve"> </w:t>
      </w:r>
      <w:proofErr w:type="spellStart"/>
      <w:r w:rsidR="00785B0B">
        <w:t>Hadid</w:t>
      </w:r>
      <w:proofErr w:type="spellEnd"/>
      <w:r w:rsidR="00785B0B">
        <w:t xml:space="preserve"> Architects </w:t>
      </w:r>
      <w:r w:rsidR="002F51FB">
        <w:t xml:space="preserve">is </w:t>
      </w:r>
      <w:r>
        <w:t>introduced</w:t>
      </w:r>
      <w:r w:rsidR="002F51FB">
        <w:t xml:space="preserve"> </w:t>
      </w:r>
      <w:r w:rsidR="00785B0B">
        <w:t xml:space="preserve">as a paradigmatic example of a piece of </w:t>
      </w:r>
      <w:r w:rsidR="00785B0B">
        <w:lastRenderedPageBreak/>
        <w:t xml:space="preserve">architecture that, though grounded on a principle of constant migration, achieved different effects of city-branding based on the specific location where it docked, thus </w:t>
      </w:r>
      <w:r w:rsidR="00BE4F51">
        <w:t>evidencing</w:t>
      </w:r>
      <w:r w:rsidR="00785B0B">
        <w:t xml:space="preserve"> the non-uniformity of results for a signature project. </w:t>
      </w:r>
      <w:r w:rsidR="00785961">
        <w:t>More generally, t</w:t>
      </w:r>
      <w:r w:rsidR="00785B0B">
        <w:t xml:space="preserve">his example </w:t>
      </w:r>
      <w:r>
        <w:t>allows</w:t>
      </w:r>
      <w:r w:rsidR="00F77B29">
        <w:t>, in the second chapter,</w:t>
      </w:r>
      <w:r>
        <w:t xml:space="preserve"> </w:t>
      </w:r>
      <w:r w:rsidR="00785961">
        <w:t xml:space="preserve">the demystification of </w:t>
      </w:r>
      <w:r w:rsidR="00785B0B" w:rsidRPr="00F77B29">
        <w:rPr>
          <w:i/>
        </w:rPr>
        <w:t>T</w:t>
      </w:r>
      <w:r w:rsidR="00F77B29" w:rsidRPr="00F77B29">
        <w:rPr>
          <w:i/>
        </w:rPr>
        <w:t>he Commonplace of Bilbao</w:t>
      </w:r>
      <w:r w:rsidR="00785B0B">
        <w:t xml:space="preserve">. </w:t>
      </w:r>
      <w:r>
        <w:t xml:space="preserve">While somehow an obvious choice and one that has been widely debated, Bilbao is reassessed in order to prove how </w:t>
      </w:r>
      <w:r w:rsidR="00785B0B">
        <w:t xml:space="preserve">the success of the Basque city in </w:t>
      </w:r>
      <w:r w:rsidR="00555C4B">
        <w:t xml:space="preserve">being reborn from the ashes of its industrial past </w:t>
      </w:r>
      <w:r w:rsidR="00785B0B">
        <w:t xml:space="preserve">was not solely the result of building </w:t>
      </w:r>
      <w:r>
        <w:t xml:space="preserve">Frank </w:t>
      </w:r>
      <w:proofErr w:type="spellStart"/>
      <w:r>
        <w:t>Gehry’s</w:t>
      </w:r>
      <w:proofErr w:type="spellEnd"/>
      <w:r w:rsidR="00785B0B">
        <w:t xml:space="preserve"> museum</w:t>
      </w:r>
      <w:r>
        <w:t>,</w:t>
      </w:r>
      <w:r w:rsidR="00F77B29">
        <w:t xml:space="preserve"> but depended on </w:t>
      </w:r>
      <w:r>
        <w:t>the orchestration of a wider</w:t>
      </w:r>
      <w:r w:rsidR="00555C4B">
        <w:t xml:space="preserve"> array of policies </w:t>
      </w:r>
      <w:r>
        <w:t xml:space="preserve">and projects </w:t>
      </w:r>
      <w:r w:rsidR="00555C4B">
        <w:t>for</w:t>
      </w:r>
      <w:r w:rsidR="00785B0B">
        <w:t xml:space="preserve"> urban renewal.</w:t>
      </w:r>
      <w:r>
        <w:t xml:space="preserve"> </w:t>
      </w:r>
    </w:p>
    <w:p w14:paraId="3D1F8364" w14:textId="15C495ED" w:rsidR="00E95F91" w:rsidRDefault="00CD7B1E" w:rsidP="00601047">
      <w:pPr>
        <w:spacing w:after="200"/>
      </w:pPr>
      <w:r>
        <w:t>The book than</w:t>
      </w:r>
      <w:r w:rsidR="00E95F91">
        <w:t xml:space="preserve"> follow</w:t>
      </w:r>
      <w:r>
        <w:t>s</w:t>
      </w:r>
      <w:r w:rsidR="00E95F91">
        <w:t xml:space="preserve"> on with monographic chapters on single cities offer</w:t>
      </w:r>
      <w:r w:rsidR="00F77B29">
        <w:t>ing</w:t>
      </w:r>
      <w:r w:rsidR="00E95F91">
        <w:t xml:space="preserve"> a range of political and planning contexts to start assessing the diversity of similar strategies apparently followed by public governments, private corporations</w:t>
      </w:r>
      <w:r w:rsidR="00DE4FB7">
        <w:t>,</w:t>
      </w:r>
      <w:r w:rsidR="00E95F91">
        <w:t xml:space="preserve"> and non-profit </w:t>
      </w:r>
      <w:proofErr w:type="spellStart"/>
      <w:r w:rsidR="00E95F91">
        <w:t>organisations</w:t>
      </w:r>
      <w:proofErr w:type="spellEnd"/>
      <w:r w:rsidR="00E95F91">
        <w:t>. Showcasing some of the most publicized architectural products of the last few decades, the book tells the stories that led to their construction and reassess</w:t>
      </w:r>
      <w:r w:rsidR="00F77B29">
        <w:t>es</w:t>
      </w:r>
      <w:r w:rsidR="00E95F91">
        <w:t xml:space="preserve"> them according to the specific local conditions in which those stories unfold</w:t>
      </w:r>
      <w:r w:rsidR="00DE4FB7">
        <w:t>ed. So, the centralist decision-</w:t>
      </w:r>
      <w:r w:rsidR="00E95F91">
        <w:t xml:space="preserve">making of Abu Dhabi </w:t>
      </w:r>
      <w:r w:rsidR="00DE4FB7">
        <w:t xml:space="preserve">in which the government is both public agency and private developer </w:t>
      </w:r>
      <w:r w:rsidR="00F77B29">
        <w:t>is contrasted with the ‘</w:t>
      </w:r>
      <w:r w:rsidR="00DE4FB7">
        <w:t>moderately</w:t>
      </w:r>
      <w:r w:rsidR="00E95F91">
        <w:t xml:space="preserve"> pluralist</w:t>
      </w:r>
      <w:r w:rsidR="00F77B29">
        <w:t>ic’</w:t>
      </w:r>
      <w:r w:rsidR="00DE4FB7">
        <w:t xml:space="preserve"> City</w:t>
      </w:r>
      <w:r w:rsidR="00E95F91">
        <w:t xml:space="preserve"> of New York </w:t>
      </w:r>
      <w:r w:rsidR="00F77B29">
        <w:t xml:space="preserve">(164) </w:t>
      </w:r>
      <w:r w:rsidR="00E95F91">
        <w:t xml:space="preserve">or with the more openly democratic </w:t>
      </w:r>
      <w:r w:rsidR="00DE4FB7">
        <w:t>and participatory context</w:t>
      </w:r>
      <w:r w:rsidR="00E95F91">
        <w:t xml:space="preserve"> of Helsinki</w:t>
      </w:r>
      <w:r w:rsidR="00555C4B">
        <w:t xml:space="preserve">, or even with the </w:t>
      </w:r>
      <w:r>
        <w:t xml:space="preserve">extreme case of the </w:t>
      </w:r>
      <w:r w:rsidR="00555C4B">
        <w:t>non-ci</w:t>
      </w:r>
      <w:r w:rsidR="00DE4FB7">
        <w:t xml:space="preserve">ty that </w:t>
      </w:r>
      <w:proofErr w:type="spellStart"/>
      <w:r w:rsidR="00DE4FB7">
        <w:t>Vitra</w:t>
      </w:r>
      <w:proofErr w:type="spellEnd"/>
      <w:r w:rsidR="00DE4FB7">
        <w:t xml:space="preserve"> has built in Weil am </w:t>
      </w:r>
      <w:proofErr w:type="spellStart"/>
      <w:r w:rsidR="00DE4FB7">
        <w:t>Rhein</w:t>
      </w:r>
      <w:proofErr w:type="spellEnd"/>
      <w:r w:rsidR="00DE4FB7">
        <w:t xml:space="preserve"> as </w:t>
      </w:r>
      <w:r>
        <w:t>the company’s</w:t>
      </w:r>
      <w:r w:rsidR="00DE4FB7">
        <w:t xml:space="preserve"> architectural shrine</w:t>
      </w:r>
      <w:r w:rsidR="00E95F91">
        <w:t xml:space="preserve">.  </w:t>
      </w:r>
    </w:p>
    <w:p w14:paraId="0D928135" w14:textId="699E8D3F" w:rsidR="005225E7" w:rsidRDefault="00555C4B" w:rsidP="00601047">
      <w:pPr>
        <w:spacing w:after="200"/>
      </w:pPr>
      <w:r>
        <w:t>The authors explicitly avoid approaching t</w:t>
      </w:r>
      <w:r w:rsidR="00F77B29">
        <w:t>heir subject according to a for/</w:t>
      </w:r>
      <w:r>
        <w:t>against line of thinking. Likewise, they do not engage with issues of architectural form, aesthetics or style – indeed, their stories never go deep in</w:t>
      </w:r>
      <w:r w:rsidR="00F77B29">
        <w:t>to</w:t>
      </w:r>
      <w:r>
        <w:t xml:space="preserve"> a formal analysis of the projects and, despite its presence in the title, architecture is not what this book is </w:t>
      </w:r>
      <w:r w:rsidR="00CD7B1E">
        <w:t xml:space="preserve">really </w:t>
      </w:r>
      <w:r>
        <w:t xml:space="preserve">about. More specifically, the book dwells </w:t>
      </w:r>
      <w:r w:rsidR="005225E7">
        <w:t>ambiguously i</w:t>
      </w:r>
      <w:r w:rsidR="00CD7B1E">
        <w:t>nside that</w:t>
      </w:r>
      <w:r>
        <w:t xml:space="preserve"> </w:t>
      </w:r>
      <w:r w:rsidR="000400B9">
        <w:t>gap</w:t>
      </w:r>
      <w:r w:rsidR="005225E7">
        <w:t xml:space="preserve"> between </w:t>
      </w:r>
      <w:r w:rsidR="00E507FC">
        <w:t xml:space="preserve">architecture and planning </w:t>
      </w:r>
      <w:r w:rsidR="00CD7B1E">
        <w:t xml:space="preserve">that has </w:t>
      </w:r>
      <w:r w:rsidR="000400B9">
        <w:t xml:space="preserve">grown since the </w:t>
      </w:r>
      <w:r w:rsidR="00E507FC">
        <w:t>latter part of the 20</w:t>
      </w:r>
      <w:r w:rsidR="00E507FC" w:rsidRPr="00E507FC">
        <w:rPr>
          <w:vertAlign w:val="superscript"/>
        </w:rPr>
        <w:t>th</w:t>
      </w:r>
      <w:r w:rsidR="000400B9">
        <w:t xml:space="preserve"> century</w:t>
      </w:r>
      <w:r w:rsidR="002D73BC">
        <w:t>.</w:t>
      </w:r>
      <w:r w:rsidR="005225E7">
        <w:t xml:space="preserve"> This same division is arguably </w:t>
      </w:r>
      <w:r w:rsidR="00E507FC">
        <w:t xml:space="preserve">also at the origins of the very dominant narratives </w:t>
      </w:r>
      <w:r w:rsidR="005225E7">
        <w:t xml:space="preserve">of </w:t>
      </w:r>
      <w:proofErr w:type="spellStart"/>
      <w:r w:rsidR="005225E7" w:rsidRPr="00F77B29">
        <w:t>Starchitecture</w:t>
      </w:r>
      <w:proofErr w:type="spellEnd"/>
      <w:r w:rsidR="005225E7">
        <w:t xml:space="preserve"> that the book</w:t>
      </w:r>
      <w:r w:rsidR="00E507FC">
        <w:t xml:space="preserve"> aims to exorcise, yet remaining somehow trapped within </w:t>
      </w:r>
      <w:r w:rsidR="00F77B29">
        <w:t>their</w:t>
      </w:r>
      <w:r w:rsidR="00E507FC">
        <w:t xml:space="preserve"> contradictions and paradoxes. Both in the </w:t>
      </w:r>
      <w:r w:rsidR="000400B9">
        <w:t>subject</w:t>
      </w:r>
      <w:r w:rsidR="00E507FC">
        <w:t xml:space="preserve"> being observed and in the way it is approached in the book, architecture and planning are clearly kept as separate domain</w:t>
      </w:r>
      <w:r w:rsidR="002D73BC">
        <w:t>s</w:t>
      </w:r>
      <w:r w:rsidR="00E507FC">
        <w:t xml:space="preserve"> – the first being equated to image or aesthet</w:t>
      </w:r>
      <w:r w:rsidR="005225E7">
        <w:t>ics and presented as dis-empowered from making any proper contribution to the urban realm, the second b</w:t>
      </w:r>
      <w:r w:rsidR="000400B9">
        <w:t xml:space="preserve">eing associated to larger scale and </w:t>
      </w:r>
      <w:r w:rsidR="00E507FC">
        <w:t xml:space="preserve">scope </w:t>
      </w:r>
      <w:r w:rsidR="000400B9">
        <w:t xml:space="preserve">of </w:t>
      </w:r>
      <w:r w:rsidR="00E507FC">
        <w:t>vision</w:t>
      </w:r>
      <w:r w:rsidR="005225E7">
        <w:t xml:space="preserve"> and described as too weak to cope with the complexities of power relations that govern urban territories. The </w:t>
      </w:r>
      <w:r w:rsidR="00DE4FB7">
        <w:t>way out of this impasse, the authors grant, can only</w:t>
      </w:r>
      <w:r w:rsidR="005225E7">
        <w:t xml:space="preserve"> </w:t>
      </w:r>
      <w:r w:rsidR="000400B9">
        <w:t xml:space="preserve">be </w:t>
      </w:r>
      <w:r w:rsidR="005225E7">
        <w:t>political</w:t>
      </w:r>
      <w:r w:rsidR="000400B9">
        <w:t xml:space="preserve">, and </w:t>
      </w:r>
      <w:r w:rsidR="00AC49E5">
        <w:t xml:space="preserve">hopes for the possibility of resisting a mere production of decontextualized, self-referential architectural products are </w:t>
      </w:r>
      <w:r w:rsidR="00F77B29">
        <w:t>proclaimed</w:t>
      </w:r>
      <w:r w:rsidR="00AC49E5">
        <w:t xml:space="preserve"> since the beginning of the book. </w:t>
      </w:r>
    </w:p>
    <w:p w14:paraId="5E1BFBB8" w14:textId="776DBD92" w:rsidR="002729D4" w:rsidRDefault="000400B9" w:rsidP="00601047">
      <w:pPr>
        <w:spacing w:after="200"/>
      </w:pPr>
      <w:r>
        <w:t xml:space="preserve">Despite </w:t>
      </w:r>
      <w:r w:rsidR="00F77B29">
        <w:t>acknowledging</w:t>
      </w:r>
      <w:r>
        <w:t xml:space="preserve"> the political nature of their subject matter, </w:t>
      </w:r>
      <w:proofErr w:type="spellStart"/>
      <w:r>
        <w:t>Ponzini</w:t>
      </w:r>
      <w:proofErr w:type="spellEnd"/>
      <w:r>
        <w:t xml:space="preserve"> and </w:t>
      </w:r>
      <w:proofErr w:type="spellStart"/>
      <w:r>
        <w:t>Nastasi</w:t>
      </w:r>
      <w:proofErr w:type="spellEnd"/>
      <w:r>
        <w:t xml:space="preserve"> purposely decide to leave ideology apart. Their aim is n</w:t>
      </w:r>
      <w:r w:rsidR="00F77B29">
        <w:t>ot to take position in a reform/</w:t>
      </w:r>
      <w:r>
        <w:t xml:space="preserve">revolution divide about the future of planning. In this way, the book </w:t>
      </w:r>
      <w:r w:rsidR="00F77B29">
        <w:t>takes</w:t>
      </w:r>
      <w:r>
        <w:t xml:space="preserve"> distance</w:t>
      </w:r>
      <w:r w:rsidR="00F77B29">
        <w:t>s</w:t>
      </w:r>
      <w:r>
        <w:t xml:space="preserve"> from other streams of recent scholarship that have dealt with the effects of neo-liberal policies on the built environment. </w:t>
      </w:r>
      <w:r w:rsidR="00F77B29">
        <w:t>Thus, i</w:t>
      </w:r>
      <w:r>
        <w:t>t does not belong to the Neo-Marxist line of t</w:t>
      </w:r>
      <w:r w:rsidR="00F77B29">
        <w:t xml:space="preserve">hinking on the growth of a global </w:t>
      </w:r>
      <w:r w:rsidRPr="00F77B29">
        <w:rPr>
          <w:i/>
        </w:rPr>
        <w:t>Empire</w:t>
      </w:r>
      <w:r>
        <w:t xml:space="preserve">, nor does it </w:t>
      </w:r>
      <w:proofErr w:type="spellStart"/>
      <w:r>
        <w:t>sympathise</w:t>
      </w:r>
      <w:proofErr w:type="spellEnd"/>
      <w:r>
        <w:t xml:space="preserve"> with </w:t>
      </w:r>
      <w:r w:rsidR="00F77B29">
        <w:t xml:space="preserve">the growing literature on </w:t>
      </w:r>
      <w:r w:rsidR="00F77B29" w:rsidRPr="00F77B29">
        <w:rPr>
          <w:i/>
        </w:rPr>
        <w:t>The City as Commons</w:t>
      </w:r>
      <w:r w:rsidR="00F77B29">
        <w:t>. More ‘</w:t>
      </w:r>
      <w:r w:rsidRPr="00F77B29">
        <w:t>humbly</w:t>
      </w:r>
      <w:r w:rsidR="00F77B29" w:rsidRPr="00F77B29">
        <w:t>’</w:t>
      </w:r>
      <w:r>
        <w:t>, as the authors claim</w:t>
      </w:r>
      <w:r w:rsidR="00F77B29">
        <w:t xml:space="preserve"> (206)</w:t>
      </w:r>
      <w:r>
        <w:t xml:space="preserve">, it wishes to expose the more complex mechanisms behind the glimmering surface of much architectural collecting that has </w:t>
      </w:r>
      <w:r w:rsidR="00083C37">
        <w:t>turned</w:t>
      </w:r>
      <w:r>
        <w:t xml:space="preserve"> many cities </w:t>
      </w:r>
      <w:r w:rsidR="00083C37">
        <w:t>into</w:t>
      </w:r>
      <w:r>
        <w:t xml:space="preserve"> </w:t>
      </w:r>
      <w:r w:rsidR="00083C37">
        <w:t xml:space="preserve">paradoxical </w:t>
      </w:r>
      <w:r>
        <w:t>mirrored image</w:t>
      </w:r>
      <w:r w:rsidR="00083C37">
        <w:t>s</w:t>
      </w:r>
      <w:r>
        <w:t xml:space="preserve"> of the </w:t>
      </w:r>
      <w:proofErr w:type="spellStart"/>
      <w:r>
        <w:t>Vitra</w:t>
      </w:r>
      <w:proofErr w:type="spellEnd"/>
      <w:r>
        <w:t xml:space="preserve"> Campus.</w:t>
      </w:r>
      <w:r w:rsidR="00083C37">
        <w:t xml:space="preserve"> </w:t>
      </w:r>
    </w:p>
    <w:p w14:paraId="75A4EBF6" w14:textId="069A21EE" w:rsidR="000400B9" w:rsidRDefault="00083C37" w:rsidP="00601047">
      <w:pPr>
        <w:spacing w:after="200"/>
      </w:pPr>
      <w:r>
        <w:t xml:space="preserve">With this book, a new chapter in the long </w:t>
      </w:r>
      <w:r w:rsidR="00C71A36">
        <w:t>novel on</w:t>
      </w:r>
      <w:r>
        <w:t xml:space="preserve"> </w:t>
      </w:r>
      <w:r w:rsidR="009C22C7">
        <w:t xml:space="preserve">globalism </w:t>
      </w:r>
      <w:r w:rsidR="00C71A36">
        <w:t>versus</w:t>
      </w:r>
      <w:r w:rsidR="009C22C7">
        <w:t xml:space="preserve"> localisms</w:t>
      </w:r>
      <w:r w:rsidR="00C71A36">
        <w:t xml:space="preserve"> is added: hopefully, it will help going beyond the narrowness of often-oversimplified narratives. </w:t>
      </w:r>
      <w:r w:rsidR="002729D4">
        <w:t>Given</w:t>
      </w:r>
      <w:r w:rsidR="00C71A36">
        <w:t xml:space="preserve"> its refusal of utopia, what remains to be tested is whether </w:t>
      </w:r>
      <w:r w:rsidR="00B80A55">
        <w:t>it</w:t>
      </w:r>
      <w:r w:rsidR="007D492D">
        <w:t xml:space="preserve">s a-political narrative </w:t>
      </w:r>
      <w:r w:rsidR="00B80A55">
        <w:t xml:space="preserve">and collection </w:t>
      </w:r>
      <w:r w:rsidR="007D492D">
        <w:t>o</w:t>
      </w:r>
      <w:r w:rsidR="00C71A36">
        <w:t xml:space="preserve">f urban stories </w:t>
      </w:r>
      <w:r w:rsidR="007D492D">
        <w:t>will provide</w:t>
      </w:r>
      <w:r w:rsidR="00C71A36">
        <w:t xml:space="preserve"> enough </w:t>
      </w:r>
      <w:r w:rsidR="002729D4">
        <w:t>stimuli</w:t>
      </w:r>
      <w:r w:rsidR="00C71A36">
        <w:t xml:space="preserve"> for decision makers to start assessing the processes of city making </w:t>
      </w:r>
      <w:r w:rsidR="007D492D">
        <w:t>with more nuanced minds.</w:t>
      </w:r>
    </w:p>
    <w:p w14:paraId="63645474" w14:textId="77777777" w:rsidR="000400B9" w:rsidRDefault="000400B9" w:rsidP="00601047">
      <w:pPr>
        <w:spacing w:after="200"/>
      </w:pPr>
    </w:p>
    <w:p w14:paraId="28C4972D" w14:textId="18E8500C" w:rsidR="00042ED6" w:rsidRDefault="00042ED6" w:rsidP="00601047">
      <w:pPr>
        <w:spacing w:after="200"/>
      </w:pPr>
      <w:r>
        <w:t>Footnotes</w:t>
      </w:r>
    </w:p>
    <w:p w14:paraId="55C818D3" w14:textId="1A1F1C6C" w:rsidR="00042ED6" w:rsidRDefault="00042ED6" w:rsidP="00601047">
      <w:pPr>
        <w:spacing w:after="200"/>
      </w:pPr>
      <w:r>
        <w:t xml:space="preserve">1 See the triad by </w:t>
      </w:r>
      <w:proofErr w:type="spellStart"/>
      <w:r>
        <w:t>Hardt</w:t>
      </w:r>
      <w:proofErr w:type="spellEnd"/>
      <w:r>
        <w:t xml:space="preserve"> and </w:t>
      </w:r>
      <w:r>
        <w:rPr>
          <w:lang w:val="it-IT"/>
        </w:rPr>
        <w:t xml:space="preserve">Negri, </w:t>
      </w:r>
      <w:r w:rsidRPr="00042ED6">
        <w:rPr>
          <w:i/>
          <w:lang w:val="it-IT"/>
        </w:rPr>
        <w:t>Empire</w:t>
      </w:r>
      <w:r>
        <w:rPr>
          <w:i/>
          <w:lang w:val="it-IT"/>
        </w:rPr>
        <w:t xml:space="preserve">, </w:t>
      </w:r>
      <w:proofErr w:type="spellStart"/>
      <w:r>
        <w:rPr>
          <w:i/>
          <w:lang w:val="it-IT"/>
        </w:rPr>
        <w:t>Multitude</w:t>
      </w:r>
      <w:proofErr w:type="spellEnd"/>
      <w:r>
        <w:rPr>
          <w:i/>
          <w:lang w:val="it-IT"/>
        </w:rPr>
        <w:t xml:space="preserve">, </w:t>
      </w:r>
      <w:proofErr w:type="gramStart"/>
      <w:r>
        <w:rPr>
          <w:i/>
          <w:lang w:val="it-IT"/>
        </w:rPr>
        <w:t xml:space="preserve">Commonwealth  </w:t>
      </w:r>
      <w:r>
        <w:rPr>
          <w:lang w:val="it-IT"/>
        </w:rPr>
        <w:t>.</w:t>
      </w:r>
      <w:proofErr w:type="gramEnd"/>
      <w:r>
        <w:rPr>
          <w:lang w:val="it-IT"/>
        </w:rPr>
        <w:t xml:space="preserve"> </w:t>
      </w:r>
      <w:proofErr w:type="spellStart"/>
      <w:r>
        <w:rPr>
          <w:lang w:val="it-IT"/>
        </w:rPr>
        <w:t>See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also</w:t>
      </w:r>
      <w:proofErr w:type="spellEnd"/>
      <w:r>
        <w:rPr>
          <w:lang w:val="it-IT"/>
        </w:rPr>
        <w:t xml:space="preserve"> Spencer, </w:t>
      </w:r>
      <w:r w:rsidRPr="00D77203">
        <w:rPr>
          <w:i/>
          <w:lang w:val="it-IT"/>
        </w:rPr>
        <w:t xml:space="preserve">The </w:t>
      </w:r>
      <w:proofErr w:type="gramStart"/>
      <w:r w:rsidRPr="00D77203">
        <w:rPr>
          <w:i/>
          <w:lang w:val="it-IT"/>
        </w:rPr>
        <w:t>Architecture</w:t>
      </w:r>
      <w:proofErr w:type="gramEnd"/>
      <w:r w:rsidRPr="00D77203">
        <w:rPr>
          <w:i/>
          <w:lang w:val="it-IT"/>
        </w:rPr>
        <w:t xml:space="preserve"> of </w:t>
      </w:r>
      <w:proofErr w:type="spellStart"/>
      <w:r w:rsidRPr="00D77203">
        <w:rPr>
          <w:i/>
          <w:lang w:val="it-IT"/>
        </w:rPr>
        <w:t>Neoliberalism</w:t>
      </w:r>
      <w:proofErr w:type="spellEnd"/>
      <w:r w:rsidR="00D77203">
        <w:rPr>
          <w:lang w:val="it-IT"/>
        </w:rPr>
        <w:t>.</w:t>
      </w:r>
      <w:r>
        <w:rPr>
          <w:lang w:val="it-IT"/>
        </w:rPr>
        <w:t xml:space="preserve">  </w:t>
      </w:r>
    </w:p>
    <w:p w14:paraId="2CAD76AE" w14:textId="16406796" w:rsidR="00D77203" w:rsidRDefault="00D77203" w:rsidP="00601047">
      <w:pPr>
        <w:spacing w:after="200"/>
      </w:pPr>
      <w:r>
        <w:t xml:space="preserve">2 </w:t>
      </w:r>
      <w:proofErr w:type="spellStart"/>
      <w:r>
        <w:t>Stravides</w:t>
      </w:r>
      <w:proofErr w:type="spellEnd"/>
      <w:r>
        <w:t>, Common Space: the City as Commons. London</w:t>
      </w:r>
      <w:r w:rsidRPr="00D77203">
        <w:t>: Zed Books Ltd., 2016</w:t>
      </w:r>
      <w:r>
        <w:t>.</w:t>
      </w:r>
    </w:p>
    <w:p w14:paraId="230B6D7D" w14:textId="194AA251" w:rsidR="00AC49E5" w:rsidRDefault="00042ED6" w:rsidP="00601047">
      <w:pPr>
        <w:spacing w:after="200"/>
      </w:pPr>
      <w:r>
        <w:t>References</w:t>
      </w:r>
    </w:p>
    <w:p w14:paraId="5CA88BB8" w14:textId="1224C4C4" w:rsidR="00042ED6" w:rsidRDefault="00042ED6" w:rsidP="00601047">
      <w:pPr>
        <w:spacing w:after="200"/>
      </w:pPr>
      <w:r>
        <w:t xml:space="preserve">Michael </w:t>
      </w:r>
      <w:proofErr w:type="spellStart"/>
      <w:r>
        <w:t>Hardt</w:t>
      </w:r>
      <w:proofErr w:type="spellEnd"/>
      <w:r>
        <w:t xml:space="preserve"> and Antonio </w:t>
      </w:r>
      <w:proofErr w:type="spellStart"/>
      <w:r>
        <w:t>Negri</w:t>
      </w:r>
      <w:proofErr w:type="spellEnd"/>
      <w:r>
        <w:t xml:space="preserve">, </w:t>
      </w:r>
      <w:r w:rsidRPr="00042ED6">
        <w:rPr>
          <w:i/>
        </w:rPr>
        <w:t>Empire</w:t>
      </w:r>
      <w:r>
        <w:t>. Cambridge, Massachusetts: Harvard University Press,</w:t>
      </w:r>
      <w:r w:rsidRPr="00D10B24">
        <w:t xml:space="preserve"> </w:t>
      </w:r>
      <w:r>
        <w:t>2000.</w:t>
      </w:r>
    </w:p>
    <w:p w14:paraId="5F21A37B" w14:textId="2955EC10" w:rsidR="00042ED6" w:rsidRDefault="00042ED6" w:rsidP="00601047">
      <w:pPr>
        <w:spacing w:after="200"/>
      </w:pPr>
      <w:r>
        <w:t xml:space="preserve">Michael </w:t>
      </w:r>
      <w:proofErr w:type="spellStart"/>
      <w:r>
        <w:t>Hardt</w:t>
      </w:r>
      <w:proofErr w:type="spellEnd"/>
      <w:r>
        <w:t xml:space="preserve"> and Antonio </w:t>
      </w:r>
      <w:proofErr w:type="spellStart"/>
      <w:r>
        <w:t>Negri</w:t>
      </w:r>
      <w:proofErr w:type="spellEnd"/>
      <w:r>
        <w:t xml:space="preserve">, </w:t>
      </w:r>
      <w:r w:rsidRPr="00042ED6">
        <w:rPr>
          <w:i/>
        </w:rPr>
        <w:t>Multitude</w:t>
      </w:r>
      <w:r w:rsidRPr="00755098">
        <w:rPr>
          <w:i/>
        </w:rPr>
        <w:t>: war and democracy in the Age of Empire</w:t>
      </w:r>
      <w:r w:rsidRPr="00755098">
        <w:t xml:space="preserve">. </w:t>
      </w:r>
      <w:r>
        <w:t>New York</w:t>
      </w:r>
      <w:r w:rsidRPr="00755098">
        <w:t>: Penguin Press, 2004.</w:t>
      </w:r>
    </w:p>
    <w:p w14:paraId="35062DAF" w14:textId="7339D1B6" w:rsidR="00042ED6" w:rsidRDefault="00042ED6" w:rsidP="00601047">
      <w:pPr>
        <w:spacing w:after="200"/>
      </w:pPr>
      <w:r>
        <w:t xml:space="preserve">Michael </w:t>
      </w:r>
      <w:proofErr w:type="spellStart"/>
      <w:r>
        <w:t>Hardt</w:t>
      </w:r>
      <w:proofErr w:type="spellEnd"/>
      <w:r>
        <w:t xml:space="preserve"> and Antonio </w:t>
      </w:r>
      <w:proofErr w:type="spellStart"/>
      <w:r>
        <w:t>Negri</w:t>
      </w:r>
      <w:proofErr w:type="spellEnd"/>
      <w:r>
        <w:t xml:space="preserve">, </w:t>
      </w:r>
      <w:r w:rsidRPr="00042ED6">
        <w:rPr>
          <w:i/>
        </w:rPr>
        <w:t>Commonwealth</w:t>
      </w:r>
      <w:r>
        <w:t xml:space="preserve">. Cambridge, Massachusetts: </w:t>
      </w:r>
      <w:r w:rsidRPr="00755098">
        <w:t>Belknap Press of Harvard University Press, 2009.</w:t>
      </w:r>
    </w:p>
    <w:p w14:paraId="455998E0" w14:textId="057F52AB" w:rsidR="00042ED6" w:rsidRDefault="00042ED6" w:rsidP="00601047">
      <w:pPr>
        <w:spacing w:after="200"/>
      </w:pPr>
      <w:r>
        <w:t xml:space="preserve">Douglas Spencer, </w:t>
      </w:r>
      <w:r w:rsidRPr="00755098">
        <w:rPr>
          <w:i/>
        </w:rPr>
        <w:t>Th</w:t>
      </w:r>
      <w:r w:rsidRPr="00042ED6">
        <w:rPr>
          <w:i/>
        </w:rPr>
        <w:t>e architecture of neoliberalism</w:t>
      </w:r>
      <w:r w:rsidRPr="00755098">
        <w:rPr>
          <w:i/>
        </w:rPr>
        <w:t>: how contemporary architecture became an instrument of control and compliance</w:t>
      </w:r>
      <w:r>
        <w:t xml:space="preserve">. </w:t>
      </w:r>
      <w:r w:rsidRPr="00755098">
        <w:t xml:space="preserve">London; New York, NY: Bloomsbury Publishing </w:t>
      </w:r>
      <w:proofErr w:type="spellStart"/>
      <w:r w:rsidRPr="00755098">
        <w:t>Plc</w:t>
      </w:r>
      <w:proofErr w:type="spellEnd"/>
      <w:r w:rsidRPr="00755098">
        <w:t>, 2016.</w:t>
      </w:r>
    </w:p>
    <w:p w14:paraId="34888B2E" w14:textId="209B6FD0" w:rsidR="00D77203" w:rsidRDefault="00D77203" w:rsidP="00601047">
      <w:pPr>
        <w:spacing w:after="200"/>
      </w:pPr>
      <w:r>
        <w:t xml:space="preserve">Stavros </w:t>
      </w:r>
      <w:proofErr w:type="spellStart"/>
      <w:r>
        <w:t>Stravides</w:t>
      </w:r>
      <w:proofErr w:type="spellEnd"/>
      <w:r>
        <w:t xml:space="preserve">, </w:t>
      </w:r>
      <w:r w:rsidRPr="00D77203">
        <w:rPr>
          <w:i/>
        </w:rPr>
        <w:t>Common Space: the City as Commons</w:t>
      </w:r>
      <w:r>
        <w:t>. London</w:t>
      </w:r>
      <w:r w:rsidRPr="00D77203">
        <w:t>: Zed Books Ltd., 2016</w:t>
      </w:r>
      <w:r>
        <w:t>.</w:t>
      </w:r>
    </w:p>
    <w:p w14:paraId="79AA575E" w14:textId="77777777" w:rsidR="00042ED6" w:rsidRDefault="00042ED6" w:rsidP="00601047">
      <w:pPr>
        <w:spacing w:after="200"/>
      </w:pPr>
    </w:p>
    <w:p w14:paraId="57567F9D" w14:textId="340036F6" w:rsidR="009613D0" w:rsidRDefault="009613D0" w:rsidP="0021267B">
      <w:pPr>
        <w:jc w:val="center"/>
      </w:pPr>
      <w:bookmarkStart w:id="0" w:name="_GoBack"/>
      <w:bookmarkEnd w:id="0"/>
    </w:p>
    <w:p w14:paraId="267EAFE2" w14:textId="3CB62CA0" w:rsidR="007C1ABE" w:rsidRDefault="009613D0" w:rsidP="00B80A55">
      <w:pPr>
        <w:jc w:val="right"/>
      </w:pPr>
      <w:r>
        <w:t>© Francesco Zuddas 2017</w:t>
      </w:r>
    </w:p>
    <w:p w14:paraId="652E3403" w14:textId="77777777" w:rsidR="00105172" w:rsidRDefault="00105172" w:rsidP="00601047">
      <w:pPr>
        <w:spacing w:after="200"/>
      </w:pPr>
    </w:p>
    <w:p w14:paraId="387A66CE" w14:textId="09CD248D" w:rsidR="00021975" w:rsidRDefault="00021975" w:rsidP="00601047">
      <w:pPr>
        <w:spacing w:after="200"/>
      </w:pPr>
      <w:r>
        <w:t xml:space="preserve"> </w:t>
      </w:r>
    </w:p>
    <w:sectPr w:rsidR="00021975" w:rsidSect="00626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8CC3F" w14:textId="77777777" w:rsidR="00F77B29" w:rsidRDefault="00F77B29" w:rsidP="007D492D">
      <w:r>
        <w:separator/>
      </w:r>
    </w:p>
  </w:endnote>
  <w:endnote w:type="continuationSeparator" w:id="0">
    <w:p w14:paraId="23563760" w14:textId="77777777" w:rsidR="00F77B29" w:rsidRDefault="00F77B29" w:rsidP="007D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307F" w14:textId="77777777" w:rsidR="00F77B29" w:rsidRDefault="00F77B29" w:rsidP="007D492D">
      <w:r>
        <w:separator/>
      </w:r>
    </w:p>
  </w:footnote>
  <w:footnote w:type="continuationSeparator" w:id="0">
    <w:p w14:paraId="32EE298F" w14:textId="77777777" w:rsidR="00F77B29" w:rsidRDefault="00F77B29" w:rsidP="007D4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1521"/>
    <w:rsid w:val="00021975"/>
    <w:rsid w:val="000400B9"/>
    <w:rsid w:val="00042ED6"/>
    <w:rsid w:val="00083C37"/>
    <w:rsid w:val="00105172"/>
    <w:rsid w:val="00137136"/>
    <w:rsid w:val="0021267B"/>
    <w:rsid w:val="002729D4"/>
    <w:rsid w:val="002D73BC"/>
    <w:rsid w:val="002F51FB"/>
    <w:rsid w:val="003432F7"/>
    <w:rsid w:val="00466862"/>
    <w:rsid w:val="00470DAA"/>
    <w:rsid w:val="004A2E82"/>
    <w:rsid w:val="005225E7"/>
    <w:rsid w:val="00555C4B"/>
    <w:rsid w:val="00566063"/>
    <w:rsid w:val="00601047"/>
    <w:rsid w:val="00626504"/>
    <w:rsid w:val="00755098"/>
    <w:rsid w:val="00766657"/>
    <w:rsid w:val="00785961"/>
    <w:rsid w:val="00785B0B"/>
    <w:rsid w:val="007B5600"/>
    <w:rsid w:val="007C1ABE"/>
    <w:rsid w:val="007D492D"/>
    <w:rsid w:val="00880346"/>
    <w:rsid w:val="00937CF3"/>
    <w:rsid w:val="009613D0"/>
    <w:rsid w:val="009C22C7"/>
    <w:rsid w:val="009C6775"/>
    <w:rsid w:val="00A82C94"/>
    <w:rsid w:val="00AB2587"/>
    <w:rsid w:val="00AC49E5"/>
    <w:rsid w:val="00B261C3"/>
    <w:rsid w:val="00B80A55"/>
    <w:rsid w:val="00BE4F51"/>
    <w:rsid w:val="00C01521"/>
    <w:rsid w:val="00C71A36"/>
    <w:rsid w:val="00CD7B1E"/>
    <w:rsid w:val="00D77203"/>
    <w:rsid w:val="00DE4FB7"/>
    <w:rsid w:val="00E507FC"/>
    <w:rsid w:val="00E95F91"/>
    <w:rsid w:val="00E976DD"/>
    <w:rsid w:val="00F1205C"/>
    <w:rsid w:val="00F12EDD"/>
    <w:rsid w:val="00F7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74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13D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D492D"/>
  </w:style>
  <w:style w:type="character" w:customStyle="1" w:styleId="FootnoteTextChar">
    <w:name w:val="Footnote Text Char"/>
    <w:basedOn w:val="DefaultParagraphFont"/>
    <w:link w:val="FootnoteText"/>
    <w:uiPriority w:val="99"/>
    <w:rsid w:val="007D492D"/>
  </w:style>
  <w:style w:type="character" w:styleId="FootnoteReference">
    <w:name w:val="footnote reference"/>
    <w:uiPriority w:val="99"/>
    <w:unhideWhenUsed/>
    <w:rsid w:val="007D492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13D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D492D"/>
  </w:style>
  <w:style w:type="character" w:customStyle="1" w:styleId="FootnoteTextChar">
    <w:name w:val="Footnote Text Char"/>
    <w:basedOn w:val="DefaultParagraphFont"/>
    <w:link w:val="FootnoteText"/>
    <w:uiPriority w:val="99"/>
    <w:rsid w:val="007D492D"/>
  </w:style>
  <w:style w:type="character" w:styleId="FootnoteReference">
    <w:name w:val="footnote reference"/>
    <w:uiPriority w:val="99"/>
    <w:unhideWhenUsed/>
    <w:rsid w:val="007D49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6909</Characters>
  <Application>Microsoft Macintosh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</cp:revision>
  <dcterms:created xsi:type="dcterms:W3CDTF">2018-06-01T10:49:00Z</dcterms:created>
  <dcterms:modified xsi:type="dcterms:W3CDTF">2018-06-01T10:49:00Z</dcterms:modified>
</cp:coreProperties>
</file>