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634EFE" w14:textId="2EF48979" w:rsidR="00877BAB" w:rsidRDefault="00877BAB" w:rsidP="004D7033">
      <w:pPr>
        <w:spacing w:line="240" w:lineRule="auto"/>
      </w:pPr>
      <w:bookmarkStart w:id="0" w:name="_GoBack"/>
      <w:bookmarkEnd w:id="0"/>
      <w:r w:rsidRPr="00E873D1">
        <w:rPr>
          <w:rFonts w:ascii="Helvetica" w:eastAsia="Times New Roman" w:hAnsi="Helvetica"/>
          <w:sz w:val="18"/>
          <w:szCs w:val="18"/>
          <w:lang w:val="en-CA"/>
        </w:rPr>
        <w:br/>
      </w:r>
    </w:p>
    <w:p w14:paraId="26DA297C" w14:textId="77777777" w:rsidR="00877BAB" w:rsidRDefault="00877BAB" w:rsidP="00877BAB">
      <w:pPr>
        <w:spacing w:line="480" w:lineRule="auto"/>
        <w:jc w:val="center"/>
      </w:pPr>
    </w:p>
    <w:p w14:paraId="1A765144" w14:textId="77777777" w:rsidR="00877BAB" w:rsidRDefault="00877BAB" w:rsidP="00877BAB">
      <w:pPr>
        <w:spacing w:line="480" w:lineRule="auto"/>
        <w:jc w:val="center"/>
      </w:pPr>
    </w:p>
    <w:p w14:paraId="481861AA" w14:textId="51FF961C" w:rsidR="00877BAB" w:rsidRDefault="00877BAB" w:rsidP="00877BAB">
      <w:pPr>
        <w:spacing w:line="240" w:lineRule="auto"/>
        <w:jc w:val="center"/>
        <w:rPr>
          <w:b/>
          <w:sz w:val="24"/>
          <w:szCs w:val="24"/>
        </w:rPr>
      </w:pPr>
      <w:r w:rsidRPr="00902D43">
        <w:rPr>
          <w:b/>
          <w:sz w:val="24"/>
          <w:szCs w:val="24"/>
        </w:rPr>
        <w:t>A</w:t>
      </w:r>
      <w:r w:rsidR="006E0A54">
        <w:rPr>
          <w:b/>
          <w:sz w:val="24"/>
          <w:szCs w:val="24"/>
        </w:rPr>
        <w:t>meliorating</w:t>
      </w:r>
      <w:r w:rsidRPr="00902D43">
        <w:rPr>
          <w:b/>
          <w:sz w:val="24"/>
          <w:szCs w:val="24"/>
        </w:rPr>
        <w:t xml:space="preserve"> T</w:t>
      </w:r>
      <w:r w:rsidR="006E0A54">
        <w:rPr>
          <w:b/>
          <w:sz w:val="24"/>
          <w:szCs w:val="24"/>
        </w:rPr>
        <w:t>ransnegativity</w:t>
      </w:r>
      <w:r w:rsidRPr="00902D43">
        <w:rPr>
          <w:b/>
          <w:sz w:val="24"/>
          <w:szCs w:val="24"/>
        </w:rPr>
        <w:t>: A</w:t>
      </w:r>
      <w:r w:rsidR="006E0A54">
        <w:rPr>
          <w:b/>
          <w:sz w:val="24"/>
          <w:szCs w:val="24"/>
        </w:rPr>
        <w:t>ssessing</w:t>
      </w:r>
      <w:r w:rsidRPr="00902D43">
        <w:rPr>
          <w:b/>
          <w:sz w:val="24"/>
          <w:szCs w:val="24"/>
        </w:rPr>
        <w:t xml:space="preserve"> </w:t>
      </w:r>
      <w:r w:rsidR="006E0A54">
        <w:rPr>
          <w:b/>
          <w:sz w:val="24"/>
          <w:szCs w:val="24"/>
        </w:rPr>
        <w:t>the</w:t>
      </w:r>
      <w:r w:rsidRPr="00902D43">
        <w:rPr>
          <w:b/>
          <w:sz w:val="24"/>
          <w:szCs w:val="24"/>
        </w:rPr>
        <w:t xml:space="preserve"> I</w:t>
      </w:r>
      <w:r w:rsidR="006E0A54">
        <w:rPr>
          <w:b/>
          <w:sz w:val="24"/>
          <w:szCs w:val="24"/>
        </w:rPr>
        <w:t>mmediate and</w:t>
      </w:r>
      <w:r w:rsidRPr="00902D43">
        <w:rPr>
          <w:b/>
          <w:sz w:val="24"/>
          <w:szCs w:val="24"/>
        </w:rPr>
        <w:t xml:space="preserve"> E</w:t>
      </w:r>
      <w:r w:rsidR="006E0A54">
        <w:rPr>
          <w:b/>
          <w:sz w:val="24"/>
          <w:szCs w:val="24"/>
        </w:rPr>
        <w:t>xtended</w:t>
      </w:r>
      <w:r w:rsidRPr="00902D43">
        <w:rPr>
          <w:b/>
          <w:sz w:val="24"/>
          <w:szCs w:val="24"/>
        </w:rPr>
        <w:t xml:space="preserve"> E</w:t>
      </w:r>
      <w:r w:rsidR="006E0A54">
        <w:rPr>
          <w:b/>
          <w:sz w:val="24"/>
          <w:szCs w:val="24"/>
        </w:rPr>
        <w:t>fficacy</w:t>
      </w:r>
      <w:r w:rsidR="000C6314">
        <w:rPr>
          <w:b/>
          <w:sz w:val="24"/>
          <w:szCs w:val="24"/>
        </w:rPr>
        <w:t xml:space="preserve"> o</w:t>
      </w:r>
      <w:r w:rsidR="006E0A54">
        <w:rPr>
          <w:b/>
          <w:sz w:val="24"/>
          <w:szCs w:val="24"/>
        </w:rPr>
        <w:t>f a</w:t>
      </w:r>
      <w:r w:rsidRPr="00902D43">
        <w:rPr>
          <w:b/>
          <w:sz w:val="24"/>
          <w:szCs w:val="24"/>
        </w:rPr>
        <w:t xml:space="preserve"> P</w:t>
      </w:r>
      <w:r w:rsidR="006E0A54">
        <w:rPr>
          <w:b/>
          <w:sz w:val="24"/>
          <w:szCs w:val="24"/>
        </w:rPr>
        <w:t>edagogic</w:t>
      </w:r>
      <w:r w:rsidRPr="00902D43">
        <w:rPr>
          <w:b/>
          <w:sz w:val="24"/>
          <w:szCs w:val="24"/>
        </w:rPr>
        <w:t xml:space="preserve"> P</w:t>
      </w:r>
      <w:r w:rsidR="006E0A54">
        <w:rPr>
          <w:b/>
          <w:sz w:val="24"/>
          <w:szCs w:val="24"/>
        </w:rPr>
        <w:t>rejudice</w:t>
      </w:r>
      <w:r w:rsidRPr="00902D43">
        <w:rPr>
          <w:b/>
          <w:sz w:val="24"/>
          <w:szCs w:val="24"/>
        </w:rPr>
        <w:t xml:space="preserve"> R</w:t>
      </w:r>
      <w:r w:rsidR="006E0A54">
        <w:rPr>
          <w:b/>
          <w:sz w:val="24"/>
          <w:szCs w:val="24"/>
        </w:rPr>
        <w:t xml:space="preserve">eduction </w:t>
      </w:r>
      <w:r w:rsidRPr="00902D43">
        <w:rPr>
          <w:b/>
          <w:sz w:val="24"/>
          <w:szCs w:val="24"/>
        </w:rPr>
        <w:t>I</w:t>
      </w:r>
      <w:r w:rsidR="006E0A54">
        <w:rPr>
          <w:b/>
          <w:sz w:val="24"/>
          <w:szCs w:val="24"/>
        </w:rPr>
        <w:t>ntervention</w:t>
      </w:r>
    </w:p>
    <w:p w14:paraId="482E73B3" w14:textId="77777777" w:rsidR="00111669" w:rsidRDefault="00111669" w:rsidP="00877BAB">
      <w:pPr>
        <w:spacing w:line="240" w:lineRule="auto"/>
        <w:jc w:val="center"/>
        <w:rPr>
          <w:b/>
          <w:sz w:val="24"/>
          <w:szCs w:val="24"/>
        </w:rPr>
      </w:pPr>
    </w:p>
    <w:p w14:paraId="1F5C8A62" w14:textId="77777777" w:rsidR="00111669" w:rsidRPr="00537D64" w:rsidRDefault="00111669" w:rsidP="00111669">
      <w:pPr>
        <w:spacing w:line="240" w:lineRule="auto"/>
        <w:jc w:val="center"/>
        <w:rPr>
          <w:sz w:val="24"/>
          <w:szCs w:val="24"/>
        </w:rPr>
      </w:pPr>
      <w:r w:rsidRPr="00537D64">
        <w:rPr>
          <w:sz w:val="24"/>
          <w:szCs w:val="24"/>
        </w:rPr>
        <w:t>Daragh T. McDermott</w:t>
      </w:r>
      <w:r w:rsidRPr="00537D64">
        <w:rPr>
          <w:sz w:val="24"/>
          <w:szCs w:val="24"/>
          <w:vertAlign w:val="superscript"/>
        </w:rPr>
        <w:t>1</w:t>
      </w:r>
    </w:p>
    <w:p w14:paraId="3C35A539" w14:textId="77777777" w:rsidR="00111669" w:rsidRPr="00537D64" w:rsidRDefault="00111669" w:rsidP="00111669">
      <w:pPr>
        <w:spacing w:line="240" w:lineRule="auto"/>
        <w:jc w:val="center"/>
        <w:rPr>
          <w:sz w:val="24"/>
          <w:szCs w:val="24"/>
        </w:rPr>
      </w:pPr>
      <w:r w:rsidRPr="00537D64">
        <w:rPr>
          <w:sz w:val="24"/>
          <w:szCs w:val="24"/>
        </w:rPr>
        <w:t>Ashley S. Brooks</w:t>
      </w:r>
      <w:r w:rsidRPr="00537D64">
        <w:rPr>
          <w:sz w:val="24"/>
          <w:szCs w:val="24"/>
          <w:vertAlign w:val="superscript"/>
        </w:rPr>
        <w:t>1</w:t>
      </w:r>
    </w:p>
    <w:p w14:paraId="71104A74" w14:textId="77777777" w:rsidR="00111669" w:rsidRPr="00537D64" w:rsidRDefault="00111669" w:rsidP="00111669">
      <w:pPr>
        <w:spacing w:line="240" w:lineRule="auto"/>
        <w:jc w:val="center"/>
        <w:rPr>
          <w:sz w:val="24"/>
          <w:szCs w:val="24"/>
          <w:vertAlign w:val="superscript"/>
        </w:rPr>
      </w:pPr>
      <w:r w:rsidRPr="00537D64">
        <w:rPr>
          <w:sz w:val="24"/>
          <w:szCs w:val="24"/>
        </w:rPr>
        <w:t>Poul Rohleder</w:t>
      </w:r>
      <w:r w:rsidRPr="00537D64">
        <w:rPr>
          <w:sz w:val="24"/>
          <w:szCs w:val="24"/>
          <w:vertAlign w:val="superscript"/>
        </w:rPr>
        <w:t>2</w:t>
      </w:r>
    </w:p>
    <w:p w14:paraId="190540AD" w14:textId="77777777" w:rsidR="00111669" w:rsidRDefault="00111669" w:rsidP="00111669">
      <w:pPr>
        <w:spacing w:line="240" w:lineRule="auto"/>
        <w:jc w:val="center"/>
        <w:rPr>
          <w:sz w:val="24"/>
          <w:szCs w:val="24"/>
          <w:vertAlign w:val="superscript"/>
        </w:rPr>
      </w:pPr>
      <w:r w:rsidRPr="00537D64">
        <w:rPr>
          <w:sz w:val="24"/>
          <w:szCs w:val="24"/>
        </w:rPr>
        <w:t>Karen Blair</w:t>
      </w:r>
      <w:r w:rsidRPr="00537D64">
        <w:rPr>
          <w:sz w:val="24"/>
          <w:szCs w:val="24"/>
          <w:vertAlign w:val="superscript"/>
        </w:rPr>
        <w:t>3</w:t>
      </w:r>
    </w:p>
    <w:p w14:paraId="798EDC20" w14:textId="77777777" w:rsidR="00111669" w:rsidRPr="00373A30" w:rsidRDefault="00111669" w:rsidP="00111669">
      <w:pPr>
        <w:spacing w:line="240" w:lineRule="auto"/>
        <w:jc w:val="center"/>
        <w:rPr>
          <w:sz w:val="24"/>
          <w:szCs w:val="24"/>
        </w:rPr>
      </w:pPr>
      <w:r>
        <w:rPr>
          <w:sz w:val="24"/>
          <w:szCs w:val="24"/>
        </w:rPr>
        <w:t>Rhea Ashley Hoskin</w:t>
      </w:r>
      <w:r w:rsidRPr="00373A30">
        <w:rPr>
          <w:sz w:val="24"/>
          <w:szCs w:val="24"/>
          <w:vertAlign w:val="superscript"/>
        </w:rPr>
        <w:t>4</w:t>
      </w:r>
    </w:p>
    <w:p w14:paraId="789FA910" w14:textId="77777777" w:rsidR="00111669" w:rsidRPr="00537D64" w:rsidRDefault="00111669" w:rsidP="00111669">
      <w:pPr>
        <w:spacing w:line="240" w:lineRule="auto"/>
        <w:jc w:val="center"/>
        <w:rPr>
          <w:sz w:val="24"/>
          <w:szCs w:val="24"/>
        </w:rPr>
      </w:pPr>
      <w:r w:rsidRPr="00537D64">
        <w:rPr>
          <w:sz w:val="24"/>
          <w:szCs w:val="24"/>
        </w:rPr>
        <w:t>Lorraine K. McDonagh</w:t>
      </w:r>
      <w:r>
        <w:rPr>
          <w:sz w:val="24"/>
          <w:szCs w:val="24"/>
          <w:vertAlign w:val="superscript"/>
        </w:rPr>
        <w:t>5</w:t>
      </w:r>
      <w:r w:rsidRPr="00537D64">
        <w:rPr>
          <w:sz w:val="24"/>
          <w:szCs w:val="24"/>
          <w:vertAlign w:val="superscript"/>
        </w:rPr>
        <w:t xml:space="preserve">, </w:t>
      </w:r>
      <w:r>
        <w:rPr>
          <w:sz w:val="24"/>
          <w:szCs w:val="24"/>
          <w:vertAlign w:val="superscript"/>
        </w:rPr>
        <w:t>6</w:t>
      </w:r>
    </w:p>
    <w:p w14:paraId="2025CB51" w14:textId="77777777" w:rsidR="00111669" w:rsidRPr="00537D64" w:rsidRDefault="00111669" w:rsidP="00111669">
      <w:pPr>
        <w:spacing w:line="240" w:lineRule="auto"/>
        <w:jc w:val="center"/>
        <w:rPr>
          <w:sz w:val="24"/>
          <w:szCs w:val="24"/>
        </w:rPr>
      </w:pPr>
    </w:p>
    <w:p w14:paraId="64F5A9AE" w14:textId="77777777" w:rsidR="00111669" w:rsidRPr="00537D64" w:rsidRDefault="00111669" w:rsidP="00111669">
      <w:pPr>
        <w:spacing w:line="240" w:lineRule="auto"/>
        <w:jc w:val="center"/>
        <w:rPr>
          <w:i/>
          <w:sz w:val="24"/>
          <w:szCs w:val="24"/>
        </w:rPr>
      </w:pPr>
    </w:p>
    <w:p w14:paraId="3F7B6E73" w14:textId="77777777" w:rsidR="00111669" w:rsidRPr="00537D64" w:rsidRDefault="00111669" w:rsidP="00111669">
      <w:pPr>
        <w:spacing w:line="240" w:lineRule="auto"/>
        <w:jc w:val="center"/>
        <w:rPr>
          <w:sz w:val="24"/>
          <w:szCs w:val="24"/>
        </w:rPr>
      </w:pPr>
    </w:p>
    <w:p w14:paraId="7D48FD60" w14:textId="77777777" w:rsidR="00111669" w:rsidRPr="00537D64" w:rsidRDefault="00111669" w:rsidP="00111669">
      <w:pPr>
        <w:spacing w:line="240" w:lineRule="auto"/>
        <w:jc w:val="center"/>
        <w:rPr>
          <w:sz w:val="24"/>
          <w:szCs w:val="24"/>
        </w:rPr>
      </w:pPr>
    </w:p>
    <w:p w14:paraId="742D56A4" w14:textId="77777777" w:rsidR="00111669" w:rsidRPr="00537D64" w:rsidRDefault="00111669" w:rsidP="00111669">
      <w:pPr>
        <w:spacing w:line="240" w:lineRule="auto"/>
        <w:jc w:val="center"/>
        <w:rPr>
          <w:sz w:val="24"/>
          <w:szCs w:val="24"/>
        </w:rPr>
      </w:pPr>
    </w:p>
    <w:p w14:paraId="0A61BAB5" w14:textId="77777777" w:rsidR="00111669" w:rsidRDefault="00111669" w:rsidP="00111669">
      <w:pPr>
        <w:spacing w:line="240" w:lineRule="auto"/>
        <w:rPr>
          <w:sz w:val="24"/>
          <w:szCs w:val="24"/>
        </w:rPr>
      </w:pPr>
    </w:p>
    <w:p w14:paraId="28708201" w14:textId="77777777" w:rsidR="00111669" w:rsidRDefault="00111669" w:rsidP="00111669">
      <w:pPr>
        <w:spacing w:line="240" w:lineRule="auto"/>
        <w:rPr>
          <w:sz w:val="24"/>
          <w:szCs w:val="24"/>
        </w:rPr>
      </w:pPr>
    </w:p>
    <w:p w14:paraId="27047DC5" w14:textId="77777777" w:rsidR="00111669" w:rsidRPr="00537D64" w:rsidRDefault="00111669" w:rsidP="00111669">
      <w:pPr>
        <w:spacing w:line="240" w:lineRule="auto"/>
        <w:rPr>
          <w:sz w:val="24"/>
          <w:szCs w:val="24"/>
        </w:rPr>
      </w:pPr>
    </w:p>
    <w:p w14:paraId="74066473" w14:textId="19854338" w:rsidR="00111669" w:rsidRPr="00537D64" w:rsidRDefault="00111669" w:rsidP="00111669">
      <w:pPr>
        <w:spacing w:line="240" w:lineRule="auto"/>
        <w:jc w:val="both"/>
        <w:rPr>
          <w:sz w:val="24"/>
          <w:szCs w:val="24"/>
        </w:rPr>
      </w:pPr>
      <w:r w:rsidRPr="00537D64">
        <w:rPr>
          <w:sz w:val="24"/>
          <w:szCs w:val="24"/>
        </w:rPr>
        <w:t xml:space="preserve">Author Affiliations: </w:t>
      </w:r>
      <w:r w:rsidRPr="00537D64">
        <w:rPr>
          <w:sz w:val="24"/>
          <w:szCs w:val="24"/>
          <w:vertAlign w:val="superscript"/>
        </w:rPr>
        <w:t>1</w:t>
      </w:r>
      <w:r w:rsidRPr="00537D64">
        <w:rPr>
          <w:sz w:val="24"/>
          <w:szCs w:val="24"/>
        </w:rPr>
        <w:t xml:space="preserve">Department of Psychology, Anglia Ruskin University; </w:t>
      </w:r>
      <w:r w:rsidRPr="00537D64">
        <w:rPr>
          <w:sz w:val="24"/>
          <w:szCs w:val="24"/>
          <w:vertAlign w:val="superscript"/>
        </w:rPr>
        <w:t>2</w:t>
      </w:r>
      <w:r w:rsidRPr="00537D64">
        <w:rPr>
          <w:sz w:val="24"/>
          <w:szCs w:val="24"/>
        </w:rPr>
        <w:t xml:space="preserve">School of Psychology, University of East London; </w:t>
      </w:r>
      <w:r w:rsidRPr="00537D64">
        <w:rPr>
          <w:sz w:val="24"/>
          <w:szCs w:val="24"/>
          <w:vertAlign w:val="superscript"/>
        </w:rPr>
        <w:t>3</w:t>
      </w:r>
      <w:r>
        <w:rPr>
          <w:sz w:val="24"/>
          <w:szCs w:val="24"/>
        </w:rPr>
        <w:t>Department of Psychology,</w:t>
      </w:r>
      <w:r w:rsidRPr="00537D64">
        <w:rPr>
          <w:sz w:val="24"/>
          <w:szCs w:val="24"/>
        </w:rPr>
        <w:t xml:space="preserve"> Francis Xavier University, Antigonish, Canada;</w:t>
      </w:r>
      <w:r>
        <w:rPr>
          <w:sz w:val="24"/>
          <w:szCs w:val="24"/>
        </w:rPr>
        <w:t xml:space="preserve"> </w:t>
      </w:r>
      <w:r w:rsidRPr="00373A30">
        <w:rPr>
          <w:sz w:val="24"/>
          <w:szCs w:val="24"/>
          <w:vertAlign w:val="superscript"/>
        </w:rPr>
        <w:t>4</w:t>
      </w:r>
      <w:r>
        <w:rPr>
          <w:sz w:val="24"/>
          <w:szCs w:val="24"/>
        </w:rPr>
        <w:t>Department of Sociology, Queens University, Ontario;</w:t>
      </w:r>
      <w:r w:rsidRPr="00537D64">
        <w:rPr>
          <w:sz w:val="24"/>
          <w:szCs w:val="24"/>
        </w:rPr>
        <w:t xml:space="preserve">  </w:t>
      </w:r>
      <w:r>
        <w:rPr>
          <w:sz w:val="24"/>
          <w:szCs w:val="24"/>
          <w:vertAlign w:val="superscript"/>
        </w:rPr>
        <w:t>5</w:t>
      </w:r>
      <w:r w:rsidRPr="00537D64">
        <w:rPr>
          <w:sz w:val="24"/>
          <w:szCs w:val="24"/>
        </w:rPr>
        <w:t xml:space="preserve">National Institute for Health Research Health Protection Research Unit in Blood Borne and Sexually Transmitted Infections at University College London; </w:t>
      </w:r>
      <w:r>
        <w:rPr>
          <w:sz w:val="24"/>
          <w:szCs w:val="24"/>
          <w:vertAlign w:val="superscript"/>
        </w:rPr>
        <w:t>6</w:t>
      </w:r>
      <w:r w:rsidRPr="00537D64">
        <w:rPr>
          <w:sz w:val="24"/>
          <w:szCs w:val="24"/>
          <w:vertAlign w:val="superscript"/>
        </w:rPr>
        <w:t xml:space="preserve"> </w:t>
      </w:r>
      <w:r w:rsidRPr="00537D64">
        <w:rPr>
          <w:sz w:val="24"/>
          <w:szCs w:val="24"/>
        </w:rPr>
        <w:t>Research Department of Primary Care and Population Health, University College London</w:t>
      </w:r>
    </w:p>
    <w:p w14:paraId="74CF8479" w14:textId="77777777" w:rsidR="00111669" w:rsidRDefault="00111669" w:rsidP="00111669">
      <w:pPr>
        <w:spacing w:line="240" w:lineRule="auto"/>
        <w:jc w:val="both"/>
        <w:rPr>
          <w:sz w:val="24"/>
          <w:szCs w:val="24"/>
        </w:rPr>
      </w:pPr>
      <w:r w:rsidRPr="00537D64">
        <w:rPr>
          <w:sz w:val="24"/>
          <w:szCs w:val="24"/>
        </w:rPr>
        <w:t xml:space="preserve">All correspondence should be addressed to Dr Daragh McDermott, Principal Lecturer in </w:t>
      </w:r>
      <w:r>
        <w:rPr>
          <w:sz w:val="24"/>
          <w:szCs w:val="24"/>
        </w:rPr>
        <w:t xml:space="preserve">Social and LGBTQ </w:t>
      </w:r>
      <w:r w:rsidRPr="00537D64">
        <w:rPr>
          <w:sz w:val="24"/>
          <w:szCs w:val="24"/>
        </w:rPr>
        <w:t xml:space="preserve">Psychology, Department of Psychology, Anglia Ruskin University (daragh.mcdermott@anglia.ac.uk). </w:t>
      </w:r>
    </w:p>
    <w:p w14:paraId="09001525" w14:textId="581A175B" w:rsidR="00877BAB" w:rsidRPr="00111669" w:rsidRDefault="00877BAB" w:rsidP="00111669">
      <w:pPr>
        <w:spacing w:line="240" w:lineRule="auto"/>
        <w:jc w:val="center"/>
        <w:rPr>
          <w:sz w:val="24"/>
          <w:szCs w:val="24"/>
        </w:rPr>
      </w:pPr>
      <w:r w:rsidRPr="00902D43">
        <w:rPr>
          <w:b/>
          <w:sz w:val="24"/>
          <w:szCs w:val="24"/>
        </w:rPr>
        <w:lastRenderedPageBreak/>
        <w:t>Abstract</w:t>
      </w:r>
    </w:p>
    <w:p w14:paraId="6337EF20" w14:textId="2066F610" w:rsidR="00877BAB" w:rsidRPr="00902D43" w:rsidRDefault="00877BAB" w:rsidP="00877BAB">
      <w:pPr>
        <w:spacing w:line="360" w:lineRule="auto"/>
        <w:rPr>
          <w:sz w:val="24"/>
          <w:szCs w:val="24"/>
        </w:rPr>
      </w:pPr>
      <w:r w:rsidRPr="00902D43">
        <w:rPr>
          <w:sz w:val="24"/>
          <w:szCs w:val="24"/>
        </w:rPr>
        <w:t xml:space="preserve">We demonstrate that pedagogic interventions utilising mediated contact and the parasocial contact hypothesis provide an effective means of instantiating both an immediate and </w:t>
      </w:r>
      <w:r w:rsidR="00A05BFA" w:rsidRPr="00902D43">
        <w:rPr>
          <w:sz w:val="24"/>
          <w:szCs w:val="24"/>
        </w:rPr>
        <w:t>longer-term</w:t>
      </w:r>
      <w:r w:rsidRPr="00902D43">
        <w:rPr>
          <w:sz w:val="24"/>
          <w:szCs w:val="24"/>
        </w:rPr>
        <w:t xml:space="preserve"> reduction in prejudice towards transgender people. Through application of the parasocial contact hypothesis, our quasi-experiment demonstrates that exposure to the combined intervention of a panel presentation and a trans-themed film resulted in a significant reduction of self-reported prejudice immediately after exposure and this effect persisted up to 6 weeks later</w:t>
      </w:r>
      <w:r>
        <w:rPr>
          <w:sz w:val="24"/>
          <w:szCs w:val="24"/>
        </w:rPr>
        <w:t xml:space="preserve"> in a sample of 66 female university students</w:t>
      </w:r>
      <w:r w:rsidRPr="00902D43">
        <w:rPr>
          <w:sz w:val="24"/>
          <w:szCs w:val="24"/>
        </w:rPr>
        <w:t>.  In addition to testing this effect, we also assess the relationship between prejudice towards transgender people and other forms of prejudice, including old-fashioned and modern prejudice towards gay men and lesbian women. In doing so we demonstrate that prejudice towards trans people appears to be conceptually related to prejudice towards gay men and not lesbian women. Limitations and directions for future research are explored.</w:t>
      </w:r>
    </w:p>
    <w:p w14:paraId="73DD91C9" w14:textId="77777777" w:rsidR="00877BAB" w:rsidRPr="00902D43" w:rsidRDefault="00877BAB" w:rsidP="00877BAB">
      <w:pPr>
        <w:spacing w:line="360" w:lineRule="auto"/>
        <w:rPr>
          <w:sz w:val="24"/>
          <w:szCs w:val="24"/>
        </w:rPr>
      </w:pPr>
      <w:r w:rsidRPr="00902D43">
        <w:rPr>
          <w:sz w:val="24"/>
          <w:szCs w:val="24"/>
        </w:rPr>
        <w:t xml:space="preserve">Keywords: </w:t>
      </w:r>
      <w:r>
        <w:rPr>
          <w:sz w:val="24"/>
          <w:szCs w:val="24"/>
        </w:rPr>
        <w:t>transnegativity</w:t>
      </w:r>
      <w:r w:rsidRPr="00902D43">
        <w:rPr>
          <w:sz w:val="24"/>
          <w:szCs w:val="24"/>
        </w:rPr>
        <w:t xml:space="preserve">; transphobia; parasocial contact; prejudice reduction, pedagogic interventions </w:t>
      </w:r>
    </w:p>
    <w:p w14:paraId="162ED331" w14:textId="77777777" w:rsidR="00877BAB" w:rsidRPr="00902D43" w:rsidRDefault="00877BAB" w:rsidP="00877BAB">
      <w:pPr>
        <w:spacing w:line="480" w:lineRule="auto"/>
        <w:jc w:val="center"/>
        <w:rPr>
          <w:sz w:val="24"/>
          <w:szCs w:val="24"/>
        </w:rPr>
      </w:pPr>
    </w:p>
    <w:p w14:paraId="1D68CC5B" w14:textId="77777777" w:rsidR="00877BAB" w:rsidRDefault="00877BAB" w:rsidP="00877BAB">
      <w:pPr>
        <w:spacing w:line="480" w:lineRule="auto"/>
        <w:rPr>
          <w:sz w:val="24"/>
          <w:szCs w:val="24"/>
        </w:rPr>
      </w:pPr>
    </w:p>
    <w:p w14:paraId="7084DD91" w14:textId="77777777" w:rsidR="00A05BFA" w:rsidRDefault="00A05BFA" w:rsidP="00877BAB">
      <w:pPr>
        <w:spacing w:line="480" w:lineRule="auto"/>
        <w:rPr>
          <w:sz w:val="24"/>
          <w:szCs w:val="24"/>
        </w:rPr>
      </w:pPr>
    </w:p>
    <w:p w14:paraId="34350A53" w14:textId="77777777" w:rsidR="00A05BFA" w:rsidRDefault="00A05BFA" w:rsidP="00877BAB">
      <w:pPr>
        <w:spacing w:line="480" w:lineRule="auto"/>
        <w:rPr>
          <w:sz w:val="24"/>
          <w:szCs w:val="24"/>
        </w:rPr>
      </w:pPr>
    </w:p>
    <w:p w14:paraId="71D9D55C" w14:textId="77777777" w:rsidR="00A05BFA" w:rsidRDefault="00A05BFA" w:rsidP="00877BAB">
      <w:pPr>
        <w:spacing w:line="480" w:lineRule="auto"/>
        <w:rPr>
          <w:sz w:val="24"/>
          <w:szCs w:val="24"/>
        </w:rPr>
      </w:pPr>
    </w:p>
    <w:p w14:paraId="4CDB2800" w14:textId="77777777" w:rsidR="00A05BFA" w:rsidRDefault="00A05BFA" w:rsidP="00877BAB">
      <w:pPr>
        <w:spacing w:line="480" w:lineRule="auto"/>
        <w:rPr>
          <w:sz w:val="24"/>
          <w:szCs w:val="24"/>
        </w:rPr>
      </w:pPr>
    </w:p>
    <w:p w14:paraId="0E9A7254" w14:textId="77777777" w:rsidR="00A05BFA" w:rsidRDefault="00A05BFA" w:rsidP="00877BAB">
      <w:pPr>
        <w:spacing w:line="480" w:lineRule="auto"/>
        <w:rPr>
          <w:sz w:val="24"/>
          <w:szCs w:val="24"/>
        </w:rPr>
      </w:pPr>
    </w:p>
    <w:p w14:paraId="5620AA53" w14:textId="77777777" w:rsidR="00A05BFA" w:rsidRPr="00902D43" w:rsidRDefault="00A05BFA" w:rsidP="00877BAB">
      <w:pPr>
        <w:spacing w:line="480" w:lineRule="auto"/>
        <w:rPr>
          <w:sz w:val="24"/>
          <w:szCs w:val="24"/>
        </w:rPr>
      </w:pPr>
    </w:p>
    <w:p w14:paraId="58747275" w14:textId="77777777" w:rsidR="00877BAB" w:rsidRPr="006938BD" w:rsidRDefault="00877BAB" w:rsidP="00877BAB">
      <w:pPr>
        <w:spacing w:line="360" w:lineRule="auto"/>
        <w:jc w:val="center"/>
        <w:outlineLvl w:val="0"/>
        <w:rPr>
          <w:b/>
          <w:sz w:val="24"/>
          <w:szCs w:val="24"/>
        </w:rPr>
      </w:pPr>
      <w:r>
        <w:rPr>
          <w:b/>
          <w:sz w:val="24"/>
          <w:szCs w:val="24"/>
        </w:rPr>
        <w:lastRenderedPageBreak/>
        <w:t>I</w:t>
      </w:r>
      <w:r w:rsidRPr="006938BD">
        <w:rPr>
          <w:b/>
          <w:sz w:val="24"/>
          <w:szCs w:val="24"/>
        </w:rPr>
        <w:t>ntroduction</w:t>
      </w:r>
    </w:p>
    <w:p w14:paraId="0657E393" w14:textId="1B3C12CD" w:rsidR="00877BAB" w:rsidRPr="006938BD" w:rsidRDefault="00877BAB" w:rsidP="00877BAB">
      <w:pPr>
        <w:spacing w:line="360" w:lineRule="auto"/>
        <w:rPr>
          <w:sz w:val="24"/>
          <w:szCs w:val="24"/>
        </w:rPr>
      </w:pPr>
      <w:r w:rsidRPr="006938BD">
        <w:rPr>
          <w:sz w:val="24"/>
          <w:szCs w:val="24"/>
        </w:rPr>
        <w:tab/>
        <w:t xml:space="preserve">Consideration of issues relating to prejudice towards transgender people (henceforth referred to as </w:t>
      </w:r>
      <w:r w:rsidRPr="006938BD">
        <w:rPr>
          <w:i/>
          <w:sz w:val="24"/>
          <w:szCs w:val="24"/>
        </w:rPr>
        <w:t xml:space="preserve">trans </w:t>
      </w:r>
      <w:r w:rsidRPr="006938BD">
        <w:rPr>
          <w:sz w:val="24"/>
          <w:szCs w:val="24"/>
        </w:rPr>
        <w:t>people) has been lacking within the broader social scientific literature. In light of this scarcity, researchers have begun to address this gap by: 1) attempting to operationalise this form of prejudice (e.g., Hill &amp; Willoughby, 2005); 2) developing and re-validating psychometrically valid and reliable attitude measures (e.g., Tebbe, Mora</w:t>
      </w:r>
      <w:r>
        <w:rPr>
          <w:sz w:val="24"/>
          <w:szCs w:val="24"/>
        </w:rPr>
        <w:t>d</w:t>
      </w:r>
      <w:r w:rsidRPr="006938BD">
        <w:rPr>
          <w:sz w:val="24"/>
          <w:szCs w:val="24"/>
        </w:rPr>
        <w:t>i, &amp; Ebe, 2014)</w:t>
      </w:r>
      <w:r w:rsidR="004D7033">
        <w:rPr>
          <w:sz w:val="24"/>
          <w:szCs w:val="24"/>
        </w:rPr>
        <w:t>;</w:t>
      </w:r>
      <w:r w:rsidRPr="006938BD">
        <w:rPr>
          <w:sz w:val="24"/>
          <w:szCs w:val="24"/>
        </w:rPr>
        <w:t xml:space="preserve"> and 3) establishing prevalence rates of anti-trans prejudice among cisgender (i.e., people who do not identify as trans</w:t>
      </w:r>
      <w:r>
        <w:rPr>
          <w:sz w:val="24"/>
          <w:szCs w:val="24"/>
        </w:rPr>
        <w:t xml:space="preserve"> or who identify with the sex they were assigned at birth</w:t>
      </w:r>
      <w:r w:rsidRPr="006938BD">
        <w:rPr>
          <w:sz w:val="24"/>
          <w:szCs w:val="24"/>
        </w:rPr>
        <w:t xml:space="preserve">) respondents (e.g., Nagoshi et al., 2008; Norton &amp; Herek, 2013). Available evidence suggests that significant negativity towards trans people is highly prevalent and that prejudice towards trans people is strongly associated with negative attitudes towards sexual minority men and women (Nagoshi et al., 2008; Norton &amp; Herek, 2013). More recently, concerted efforts have been made to demonstrate the efficacy of specific prejudice reduction interventions, whose aim is to reduce anti-trans negativity among cisgender populations (e.g., Broockman &amp; Kalla, 2016; Case &amp; Stewart, 2013; Walch, Sinkkanen, Swain, Francisco, Breaux, &amp; Sjoberg, 2012). Walch et al. (2012) and Case and Stewart (2013) provide preliminary support for the utility of various educational and inter-group contact interventions designed to reduce anti-trans sentiment. </w:t>
      </w:r>
    </w:p>
    <w:p w14:paraId="74C2358C" w14:textId="2B3958AB" w:rsidR="00877BAB" w:rsidRPr="006938BD" w:rsidRDefault="00877BAB" w:rsidP="00877BAB">
      <w:pPr>
        <w:spacing w:line="360" w:lineRule="auto"/>
        <w:ind w:firstLine="720"/>
        <w:rPr>
          <w:sz w:val="24"/>
          <w:szCs w:val="24"/>
        </w:rPr>
      </w:pPr>
      <w:r w:rsidRPr="006938BD">
        <w:rPr>
          <w:sz w:val="24"/>
          <w:szCs w:val="24"/>
        </w:rPr>
        <w:t>The aim of the current study is to provide further empirical support for the immediate and longitudinal utility of such interventions. This paper will also provide direct evidence of the benefits of incorporating trans issues more centrally within an educational curriculum (Case, Stewart, &amp; Tittsworth, 2009). This study will contribute to the theoretical understanding of prejudice towards trans people by considering how this construct is operationally defined</w:t>
      </w:r>
      <w:r>
        <w:rPr>
          <w:sz w:val="24"/>
          <w:szCs w:val="24"/>
        </w:rPr>
        <w:t>.</w:t>
      </w:r>
      <w:r w:rsidRPr="006938BD">
        <w:rPr>
          <w:sz w:val="24"/>
          <w:szCs w:val="24"/>
        </w:rPr>
        <w:t xml:space="preserve"> </w:t>
      </w:r>
      <w:r>
        <w:rPr>
          <w:sz w:val="24"/>
          <w:szCs w:val="24"/>
        </w:rPr>
        <w:t>We also intend to</w:t>
      </w:r>
      <w:r w:rsidRPr="006938BD">
        <w:rPr>
          <w:sz w:val="24"/>
          <w:szCs w:val="24"/>
        </w:rPr>
        <w:t xml:space="preserve"> conduct an examination of the relationship between anti-trans sentiment and factors such as religiosity</w:t>
      </w:r>
      <w:r w:rsidR="00D27E60">
        <w:rPr>
          <w:sz w:val="24"/>
          <w:szCs w:val="24"/>
        </w:rPr>
        <w:t xml:space="preserve"> </w:t>
      </w:r>
      <w:r w:rsidRPr="006938BD">
        <w:rPr>
          <w:sz w:val="24"/>
          <w:szCs w:val="24"/>
        </w:rPr>
        <w:t xml:space="preserve">and social dominance orientation (Pratto, Sidanius, Stallworth, &amp; Malle, 1994) – concepts that, as previous research has demonstrated, influence prejudice towards marginalised minority groups. </w:t>
      </w:r>
    </w:p>
    <w:p w14:paraId="598D3012" w14:textId="77777777" w:rsidR="00877BAB" w:rsidRPr="006938BD" w:rsidRDefault="00877BAB" w:rsidP="00877BAB">
      <w:pPr>
        <w:spacing w:line="360" w:lineRule="auto"/>
        <w:outlineLvl w:val="0"/>
        <w:rPr>
          <w:b/>
          <w:sz w:val="24"/>
          <w:szCs w:val="24"/>
        </w:rPr>
      </w:pPr>
      <w:r w:rsidRPr="006938BD">
        <w:rPr>
          <w:b/>
          <w:sz w:val="24"/>
          <w:szCs w:val="24"/>
        </w:rPr>
        <w:t xml:space="preserve">Defining </w:t>
      </w:r>
      <w:r>
        <w:rPr>
          <w:b/>
          <w:sz w:val="24"/>
          <w:szCs w:val="24"/>
        </w:rPr>
        <w:t>Transnegativity</w:t>
      </w:r>
    </w:p>
    <w:p w14:paraId="187A1841" w14:textId="77777777" w:rsidR="00877BAB" w:rsidRPr="00A73E6D" w:rsidRDefault="00877BAB" w:rsidP="00877BAB">
      <w:pPr>
        <w:spacing w:line="360" w:lineRule="auto"/>
        <w:ind w:firstLine="720"/>
        <w:rPr>
          <w:sz w:val="24"/>
          <w:szCs w:val="24"/>
        </w:rPr>
      </w:pPr>
      <w:r w:rsidRPr="006938BD">
        <w:rPr>
          <w:sz w:val="24"/>
          <w:szCs w:val="24"/>
        </w:rPr>
        <w:lastRenderedPageBreak/>
        <w:t xml:space="preserve">Previously, prejudice towards trans people has been defined as ‘transphobia,’ which is operationalised as any negative affective response, which includes disgust and revulsion, directed at individuals who do not adhere to </w:t>
      </w:r>
      <w:r>
        <w:rPr>
          <w:sz w:val="24"/>
          <w:szCs w:val="24"/>
        </w:rPr>
        <w:t xml:space="preserve">prescribed beliefs as to what constitutes appropriate behaviours for men and women </w:t>
      </w:r>
      <w:r w:rsidRPr="006938BD">
        <w:rPr>
          <w:sz w:val="24"/>
          <w:szCs w:val="24"/>
        </w:rPr>
        <w:t>(</w:t>
      </w:r>
      <w:r>
        <w:rPr>
          <w:sz w:val="24"/>
          <w:szCs w:val="24"/>
        </w:rPr>
        <w:t>i.e.,</w:t>
      </w:r>
      <w:r w:rsidRPr="00944434">
        <w:rPr>
          <w:sz w:val="24"/>
          <w:szCs w:val="24"/>
        </w:rPr>
        <w:t xml:space="preserve"> </w:t>
      </w:r>
      <w:r w:rsidRPr="00537D64">
        <w:rPr>
          <w:sz w:val="24"/>
          <w:szCs w:val="24"/>
        </w:rPr>
        <w:t>traditional gender role expectations</w:t>
      </w:r>
      <w:r>
        <w:rPr>
          <w:sz w:val="24"/>
          <w:szCs w:val="24"/>
        </w:rPr>
        <w:t xml:space="preserve">; </w:t>
      </w:r>
      <w:r w:rsidRPr="006938BD">
        <w:rPr>
          <w:sz w:val="24"/>
          <w:szCs w:val="24"/>
        </w:rPr>
        <w:t xml:space="preserve">Hill &amp; Willoughby, 2005). Deviations from gender role expectations may include persons not strictly ascribing to the traditional gender dichotomies of male or female, and behaving in ways considered incongruent with these gender identities. While this is a valid description of this particular type of response, we argue that such definitions are limited by their emphasis on </w:t>
      </w:r>
      <w:r w:rsidRPr="006938BD">
        <w:rPr>
          <w:i/>
          <w:sz w:val="24"/>
          <w:szCs w:val="24"/>
        </w:rPr>
        <w:t>emotion</w:t>
      </w:r>
      <w:r w:rsidRPr="006938BD">
        <w:rPr>
          <w:sz w:val="24"/>
          <w:szCs w:val="24"/>
        </w:rPr>
        <w:t xml:space="preserve"> and, in particular, their specific focus on negative affective states, such as disgust. These definitions fail to fully encompass the full range of protestations laboured against trans people and do not sufficiently consider the more cognitive, belief based, elements that can also underlie such negativity. For example, the belief that gender is a strict binary construct from which little to no deviation should occur, may result in negative affective reaction, but the inherent objection also stems from a core </w:t>
      </w:r>
      <w:r w:rsidRPr="006938BD">
        <w:rPr>
          <w:i/>
          <w:sz w:val="24"/>
          <w:szCs w:val="24"/>
        </w:rPr>
        <w:t xml:space="preserve">belief </w:t>
      </w:r>
      <w:r w:rsidRPr="006938BD">
        <w:rPr>
          <w:sz w:val="24"/>
          <w:szCs w:val="24"/>
        </w:rPr>
        <w:t>that a person’s biological sex as defined at birth is a primary determinant of their gender identity</w:t>
      </w:r>
      <w:r>
        <w:rPr>
          <w:sz w:val="24"/>
          <w:szCs w:val="24"/>
        </w:rPr>
        <w:t xml:space="preserve"> (Serano, 2007)</w:t>
      </w:r>
      <w:r w:rsidRPr="006938BD">
        <w:rPr>
          <w:i/>
          <w:sz w:val="24"/>
          <w:szCs w:val="24"/>
        </w:rPr>
        <w:t xml:space="preserve">. </w:t>
      </w:r>
      <w:r w:rsidRPr="006938BD">
        <w:rPr>
          <w:sz w:val="24"/>
          <w:szCs w:val="24"/>
        </w:rPr>
        <w:t xml:space="preserve">Thus, the emphasis on the term </w:t>
      </w:r>
      <w:r>
        <w:rPr>
          <w:sz w:val="24"/>
          <w:szCs w:val="24"/>
        </w:rPr>
        <w:t>-</w:t>
      </w:r>
      <w:r w:rsidRPr="006938BD">
        <w:rPr>
          <w:i/>
          <w:sz w:val="24"/>
          <w:szCs w:val="24"/>
        </w:rPr>
        <w:t>phobia,</w:t>
      </w:r>
      <w:r w:rsidRPr="006938BD">
        <w:rPr>
          <w:sz w:val="24"/>
          <w:szCs w:val="24"/>
        </w:rPr>
        <w:t xml:space="preserve"> by terminology such as transphobia, is questionable. There is an implicit assumption that such negativity stems purely from an affective response. Trafimow and Sheeran (1998) note that it is problematic to define attitudes in purely ‘</w:t>
      </w:r>
      <w:r w:rsidRPr="006938BD">
        <w:rPr>
          <w:i/>
          <w:sz w:val="24"/>
          <w:szCs w:val="24"/>
        </w:rPr>
        <w:t>affective</w:t>
      </w:r>
      <w:r w:rsidRPr="006938BD">
        <w:rPr>
          <w:sz w:val="24"/>
          <w:szCs w:val="24"/>
        </w:rPr>
        <w:t>’ or ‘</w:t>
      </w:r>
      <w:r w:rsidRPr="006938BD">
        <w:rPr>
          <w:i/>
          <w:sz w:val="24"/>
          <w:szCs w:val="24"/>
        </w:rPr>
        <w:t>cognitive</w:t>
      </w:r>
      <w:r w:rsidRPr="006938BD">
        <w:rPr>
          <w:sz w:val="24"/>
          <w:szCs w:val="24"/>
        </w:rPr>
        <w:t xml:space="preserve">’ terms, as these components have a reciprocal relationship. That is, both a person’s beliefs and emotions will, to some extent, influence the other. Thus, to a degree, all attitudes contain both affect and cognition (Eagly, Mlandic, &amp; Otto, 1994). With this in mind, construct definitions, such as those describing prejudice towards trans people, should accommodate this reciprocal relationship and underlying processes within their operationalisation. In outlining key terminology, descriptors should allow scope to incorporate both a broader range of belief and emotional processes, which include phobic responses, as well as acknowledging behavioural discrimination and victimisation directed towards trans people (see Nagoshi et al., 2008 for an exploration of the issues faced by trans communities). On this basis, we define this range of behaviours, belief-based cognitive injunctions, and negative affective responses, charged against trans people, as </w:t>
      </w:r>
      <w:r w:rsidRPr="006938BD">
        <w:rPr>
          <w:i/>
          <w:sz w:val="24"/>
          <w:szCs w:val="24"/>
        </w:rPr>
        <w:t>trans</w:t>
      </w:r>
      <w:r>
        <w:rPr>
          <w:i/>
          <w:sz w:val="24"/>
          <w:szCs w:val="24"/>
        </w:rPr>
        <w:t>negativity.</w:t>
      </w:r>
      <w:r w:rsidRPr="006938BD">
        <w:rPr>
          <w:sz w:val="24"/>
          <w:szCs w:val="24"/>
        </w:rPr>
        <w:t xml:space="preserve"> </w:t>
      </w:r>
      <w:r>
        <w:rPr>
          <w:sz w:val="24"/>
          <w:szCs w:val="24"/>
        </w:rPr>
        <w:t>We operationalise transnegativity as</w:t>
      </w:r>
      <w:r w:rsidRPr="00A73E6D">
        <w:rPr>
          <w:sz w:val="24"/>
          <w:szCs w:val="24"/>
        </w:rPr>
        <w:t xml:space="preserve"> ‘any </w:t>
      </w:r>
      <w:r w:rsidRPr="00A73E6D">
        <w:rPr>
          <w:sz w:val="24"/>
          <w:szCs w:val="24"/>
        </w:rPr>
        <w:lastRenderedPageBreak/>
        <w:t xml:space="preserve">prejudicial attitude, discriminatory or victimising behavioural action overtly or covertly directed towards an individual because they are, or are perceived to be, trans’. </w:t>
      </w:r>
    </w:p>
    <w:p w14:paraId="1F0136CE" w14:textId="77777777" w:rsidR="00877BAB" w:rsidRPr="00A73E6D" w:rsidRDefault="00877BAB" w:rsidP="00877BAB">
      <w:pPr>
        <w:spacing w:line="360" w:lineRule="auto"/>
        <w:outlineLvl w:val="0"/>
        <w:rPr>
          <w:b/>
          <w:sz w:val="24"/>
          <w:szCs w:val="24"/>
        </w:rPr>
      </w:pPr>
      <w:r w:rsidRPr="00A73E6D">
        <w:rPr>
          <w:b/>
          <w:sz w:val="24"/>
          <w:szCs w:val="24"/>
        </w:rPr>
        <w:t xml:space="preserve">Prevalence of </w:t>
      </w:r>
      <w:r>
        <w:rPr>
          <w:b/>
          <w:sz w:val="24"/>
          <w:szCs w:val="24"/>
        </w:rPr>
        <w:t>Transnegativity</w:t>
      </w:r>
      <w:r w:rsidRPr="00A73E6D">
        <w:rPr>
          <w:b/>
          <w:sz w:val="24"/>
          <w:szCs w:val="24"/>
        </w:rPr>
        <w:t xml:space="preserve"> and its Correlates</w:t>
      </w:r>
      <w:r w:rsidRPr="00A73E6D">
        <w:rPr>
          <w:b/>
          <w:sz w:val="24"/>
          <w:szCs w:val="24"/>
        </w:rPr>
        <w:tab/>
      </w:r>
    </w:p>
    <w:p w14:paraId="0CA0315D" w14:textId="77777777" w:rsidR="00877BAB" w:rsidRPr="00A73E6D" w:rsidRDefault="00877BAB" w:rsidP="00877BAB">
      <w:pPr>
        <w:spacing w:line="360" w:lineRule="auto"/>
        <w:ind w:firstLine="720"/>
        <w:rPr>
          <w:sz w:val="24"/>
          <w:szCs w:val="24"/>
        </w:rPr>
      </w:pPr>
      <w:r w:rsidRPr="00A73E6D">
        <w:rPr>
          <w:sz w:val="24"/>
          <w:szCs w:val="24"/>
        </w:rPr>
        <w:t xml:space="preserve">Available evidence of the prevalence of </w:t>
      </w:r>
      <w:r>
        <w:rPr>
          <w:sz w:val="24"/>
          <w:szCs w:val="24"/>
        </w:rPr>
        <w:t>transnegativity</w:t>
      </w:r>
      <w:r w:rsidRPr="00A73E6D">
        <w:rPr>
          <w:sz w:val="24"/>
          <w:szCs w:val="24"/>
        </w:rPr>
        <w:t xml:space="preserve"> suggests that cisgender respondents tend to hold negative attitudes towards trans people. In their seminal assessment, Hill and Willoughby (2005) solicited responses to their Genderism and Transphobia Scale (GTS) from 227 Canadian undergraduate students. While simultaneously validating this measure, their analysis demonstrated high levels of prejudice towards trans people with overall mean responses falling within the upper tertile of possible scores. Further, male respondents reported significantly more negativity than female respondents. In a subsequent study, these authors demonstrated that responses to the GTS from an older sample of parents showed strong positive associations with both measures of gender role conformity and homophobia. </w:t>
      </w:r>
    </w:p>
    <w:p w14:paraId="78927CEC" w14:textId="1C65B419" w:rsidR="00877BAB" w:rsidRPr="00A73E6D" w:rsidRDefault="00877BAB" w:rsidP="00877BAB">
      <w:pPr>
        <w:spacing w:line="360" w:lineRule="auto"/>
        <w:ind w:firstLine="720"/>
        <w:rPr>
          <w:sz w:val="24"/>
          <w:szCs w:val="24"/>
        </w:rPr>
      </w:pPr>
      <w:r w:rsidRPr="00A73E6D">
        <w:rPr>
          <w:sz w:val="24"/>
          <w:szCs w:val="24"/>
        </w:rPr>
        <w:t xml:space="preserve">In their development and validation of an alternative measure of </w:t>
      </w:r>
      <w:r>
        <w:rPr>
          <w:sz w:val="24"/>
          <w:szCs w:val="24"/>
        </w:rPr>
        <w:t>transnegativity</w:t>
      </w:r>
      <w:r w:rsidRPr="00A73E6D">
        <w:rPr>
          <w:sz w:val="24"/>
          <w:szCs w:val="24"/>
        </w:rPr>
        <w:t xml:space="preserve"> (i.e., the </w:t>
      </w:r>
      <w:r>
        <w:rPr>
          <w:sz w:val="24"/>
          <w:szCs w:val="24"/>
        </w:rPr>
        <w:t>Transphobia Scale</w:t>
      </w:r>
      <w:r w:rsidRPr="00A73E6D">
        <w:rPr>
          <w:sz w:val="24"/>
          <w:szCs w:val="24"/>
        </w:rPr>
        <w:t xml:space="preserve">), Nagoshi and colleagues (2008) similarly demonstrated high levels of negativity among a sample of American university students. This study also explored the relationship between participants’ </w:t>
      </w:r>
      <w:r>
        <w:rPr>
          <w:sz w:val="24"/>
          <w:szCs w:val="24"/>
        </w:rPr>
        <w:t>transnegativity</w:t>
      </w:r>
      <w:r w:rsidRPr="00A73E6D">
        <w:rPr>
          <w:sz w:val="24"/>
          <w:szCs w:val="24"/>
        </w:rPr>
        <w:t xml:space="preserve"> and constructs known to correlate with prejudice towards sexual minority men and women (Norton &amp; Herek, 2013). Of note, </w:t>
      </w:r>
      <w:r>
        <w:rPr>
          <w:sz w:val="24"/>
          <w:szCs w:val="24"/>
        </w:rPr>
        <w:t>transnegativity</w:t>
      </w:r>
      <w:r w:rsidRPr="00A73E6D">
        <w:rPr>
          <w:sz w:val="24"/>
          <w:szCs w:val="24"/>
        </w:rPr>
        <w:t xml:space="preserve"> was significantly associated with right-wing authoritarianism, religious fundamentalism. </w:t>
      </w:r>
      <w:r>
        <w:rPr>
          <w:sz w:val="24"/>
          <w:szCs w:val="24"/>
        </w:rPr>
        <w:t xml:space="preserve">Across all genders, higher levels of transnegativity were associated with higher levels of hostile sexism (i.e., antagonistic attitudes towards women). For cisgender women only, higher levels of transnegativity were associated with greater benevolent sexism (i.e., chivalrous attitudes towards women.) </w:t>
      </w:r>
    </w:p>
    <w:p w14:paraId="26CF5628" w14:textId="77777777" w:rsidR="00877BAB" w:rsidRPr="00A73E6D" w:rsidRDefault="00877BAB" w:rsidP="00877BAB">
      <w:pPr>
        <w:spacing w:line="360" w:lineRule="auto"/>
        <w:rPr>
          <w:sz w:val="24"/>
          <w:szCs w:val="24"/>
        </w:rPr>
      </w:pPr>
      <w:r w:rsidRPr="00A73E6D">
        <w:rPr>
          <w:sz w:val="24"/>
          <w:szCs w:val="24"/>
        </w:rPr>
        <w:tab/>
        <w:t xml:space="preserve">The association between </w:t>
      </w:r>
      <w:r>
        <w:rPr>
          <w:sz w:val="24"/>
          <w:szCs w:val="24"/>
        </w:rPr>
        <w:t>transnegativity</w:t>
      </w:r>
      <w:r w:rsidRPr="00A73E6D">
        <w:rPr>
          <w:sz w:val="24"/>
          <w:szCs w:val="24"/>
        </w:rPr>
        <w:t xml:space="preserve"> and attitudes towards sexual minorities is unsurprising given the evidenced tendency among individuals to conflate sexual orientation identity and gender identity (Schilt &amp; Westbrook, 2009). Research has demonstrated that this effect is commonplace among heterosexual men who particularly view </w:t>
      </w:r>
      <w:r>
        <w:rPr>
          <w:sz w:val="24"/>
          <w:szCs w:val="24"/>
        </w:rPr>
        <w:t>male same-sex sexual orientations</w:t>
      </w:r>
      <w:r w:rsidRPr="00A73E6D">
        <w:rPr>
          <w:sz w:val="24"/>
          <w:szCs w:val="24"/>
        </w:rPr>
        <w:t xml:space="preserve"> as an unwelcome deviation from male gender norms and traditional hegemonic masculinity (Norton &amp; Herek, 2013). However, the focus on associating </w:t>
      </w:r>
      <w:r>
        <w:rPr>
          <w:sz w:val="24"/>
          <w:szCs w:val="24"/>
        </w:rPr>
        <w:t>transnegativity</w:t>
      </w:r>
      <w:r w:rsidRPr="00A73E6D">
        <w:rPr>
          <w:sz w:val="24"/>
          <w:szCs w:val="24"/>
        </w:rPr>
        <w:t xml:space="preserve"> with the construct of homophobia, as opposed to alternative conceptualisations of prejudice towards sexual minorities, is problematic for a number of reasons. Firstly, the term homosexual, and by extension homo</w:t>
      </w:r>
      <w:r>
        <w:rPr>
          <w:sz w:val="24"/>
          <w:szCs w:val="24"/>
        </w:rPr>
        <w:t>phobia</w:t>
      </w:r>
      <w:r w:rsidRPr="00A73E6D">
        <w:rPr>
          <w:sz w:val="24"/>
          <w:szCs w:val="24"/>
        </w:rPr>
        <w:t xml:space="preserve">, has an implicit androcentric emphasis, often understood to refer to sexual minority men, rather than women (Herek, 2002). McDermott and Blair (2012) underscore this point through </w:t>
      </w:r>
      <w:r w:rsidRPr="009D0FB7">
        <w:rPr>
          <w:sz w:val="24"/>
          <w:szCs w:val="24"/>
        </w:rPr>
        <w:t>highlighting significant</w:t>
      </w:r>
      <w:r w:rsidRPr="00A73E6D">
        <w:rPr>
          <w:sz w:val="24"/>
          <w:szCs w:val="24"/>
        </w:rPr>
        <w:t xml:space="preserve"> differences in self-reported attitudes towards sexual minority men and women by respondents in the UK, Ireland, Canada and the United States. These authors caution against use of the term ‘homophobia’ due to such apparent discrepancies in responses towards gay men and lesbian women. </w:t>
      </w:r>
    </w:p>
    <w:p w14:paraId="7B291013" w14:textId="0E345FD0" w:rsidR="00877BAB" w:rsidRPr="00A73E6D" w:rsidRDefault="00877BAB" w:rsidP="00877BAB">
      <w:pPr>
        <w:spacing w:line="360" w:lineRule="auto"/>
        <w:ind w:firstLine="720"/>
        <w:rPr>
          <w:sz w:val="24"/>
          <w:szCs w:val="24"/>
        </w:rPr>
      </w:pPr>
      <w:r w:rsidRPr="00A73E6D">
        <w:rPr>
          <w:sz w:val="24"/>
          <w:szCs w:val="24"/>
        </w:rPr>
        <w:t>Secondly, homophobia, and its associated measurement tools, tends to seek endorsement of belief statements that characterise homosexuality as being a psychopathology through characterisation of homosexuality as a mental illness and/or by drawing on religious or moral injunctions directed against sexual minorities. Issues associated with such critiques are well established within academic literature (Rye &amp; Meaney, 2010) and significant theoretical and methodological work has been conducted in order to address this limitation. For example, Morrison and Morrison (2002) adapted McConahay’s (1986) old-fashioned and modern racism distinction and delineated fundamental differences between what they termed old-fashioned and modern homonegativity. The former is associated with beliefs that homosexuality is indicative of mental ill-health or a moral failing, while the latter is characterised by assertions that: 1) prejudice towards sexual minorities is a thing of the past as equality has been achieved; 2) gay men and lesbian women are making illegitimate requests for changes to the status quo; and 3) emphasising one’s sexual minority status tends to do more harm than good. The veracity of the distinction between these constructs has been well-established across English speaking nations (Morrison et al., 20</w:t>
      </w:r>
      <w:r>
        <w:rPr>
          <w:sz w:val="24"/>
          <w:szCs w:val="24"/>
        </w:rPr>
        <w:t>09</w:t>
      </w:r>
      <w:r w:rsidRPr="00A73E6D">
        <w:rPr>
          <w:sz w:val="24"/>
          <w:szCs w:val="24"/>
        </w:rPr>
        <w:t>) with evidence demonstrating that, while endorsement of old-fashioned homonegative beliefs tends to result in floor effects</w:t>
      </w:r>
      <w:r w:rsidR="00CC1DE8">
        <w:rPr>
          <w:sz w:val="24"/>
          <w:szCs w:val="24"/>
        </w:rPr>
        <w:t xml:space="preserve"> (i.e., persistently low scores)</w:t>
      </w:r>
      <w:r w:rsidRPr="00A73E6D">
        <w:rPr>
          <w:sz w:val="24"/>
          <w:szCs w:val="24"/>
        </w:rPr>
        <w:t>, respondents are much more likely to hold and endorse modern homonegative beliefs (McDermott &amp; Blair, 2012; Morrison et al., 2005; Morrison et al., 20</w:t>
      </w:r>
      <w:r>
        <w:rPr>
          <w:sz w:val="24"/>
          <w:szCs w:val="24"/>
        </w:rPr>
        <w:t>03</w:t>
      </w:r>
      <w:r w:rsidRPr="00A73E6D">
        <w:rPr>
          <w:sz w:val="24"/>
          <w:szCs w:val="24"/>
        </w:rPr>
        <w:t xml:space="preserve">). As such, one of the aims of this work is to further investigate the relationship between the constructs of old-fashioned and modern homonegativity and </w:t>
      </w:r>
      <w:r>
        <w:rPr>
          <w:sz w:val="24"/>
          <w:szCs w:val="24"/>
        </w:rPr>
        <w:t>transnegativity</w:t>
      </w:r>
      <w:r w:rsidRPr="00A73E6D">
        <w:rPr>
          <w:sz w:val="24"/>
          <w:szCs w:val="24"/>
        </w:rPr>
        <w:t xml:space="preserve">. </w:t>
      </w:r>
    </w:p>
    <w:p w14:paraId="715A970B" w14:textId="59334553" w:rsidR="00877BAB" w:rsidRPr="00A73E6D" w:rsidRDefault="00877BAB" w:rsidP="00877BAB">
      <w:pPr>
        <w:spacing w:line="360" w:lineRule="auto"/>
        <w:ind w:firstLine="720"/>
        <w:rPr>
          <w:sz w:val="24"/>
          <w:szCs w:val="24"/>
        </w:rPr>
      </w:pPr>
      <w:r w:rsidRPr="00A73E6D">
        <w:rPr>
          <w:sz w:val="24"/>
          <w:szCs w:val="24"/>
        </w:rPr>
        <w:t xml:space="preserve">In this study, the construct utility of </w:t>
      </w:r>
      <w:r>
        <w:rPr>
          <w:sz w:val="24"/>
          <w:szCs w:val="24"/>
        </w:rPr>
        <w:t>transnegativity</w:t>
      </w:r>
      <w:r w:rsidR="00D27E60">
        <w:rPr>
          <w:sz w:val="24"/>
          <w:szCs w:val="24"/>
        </w:rPr>
        <w:t xml:space="preserve"> is a</w:t>
      </w:r>
      <w:r w:rsidR="00D27E60" w:rsidRPr="00A73E6D">
        <w:rPr>
          <w:sz w:val="24"/>
          <w:szCs w:val="24"/>
        </w:rPr>
        <w:t>ss</w:t>
      </w:r>
      <w:r w:rsidR="00D27E60">
        <w:rPr>
          <w:sz w:val="24"/>
          <w:szCs w:val="24"/>
        </w:rPr>
        <w:t>ess</w:t>
      </w:r>
      <w:r w:rsidR="00D27E60" w:rsidRPr="00A73E6D">
        <w:rPr>
          <w:sz w:val="24"/>
          <w:szCs w:val="24"/>
        </w:rPr>
        <w:t>ed</w:t>
      </w:r>
      <w:r w:rsidRPr="00A73E6D">
        <w:rPr>
          <w:sz w:val="24"/>
          <w:szCs w:val="24"/>
        </w:rPr>
        <w:t xml:space="preserve"> by exploring its relationship with social dominance orientation (Pratto, Sidianius, Stallworth, &amp; Malle, 1994) and religiosity. Social dominance orientation is the endorsement of beliefs that an inherent group based hierarchy exists between majority and minority groups and that this delineation between social groups should be maintained (Pratto et al., 1994). Previous research has demonstrated that this construct is associated with self-reported </w:t>
      </w:r>
      <w:r>
        <w:rPr>
          <w:sz w:val="24"/>
          <w:szCs w:val="24"/>
        </w:rPr>
        <w:t>prejudice towards sexual minorities</w:t>
      </w:r>
      <w:r w:rsidRPr="00A73E6D">
        <w:rPr>
          <w:sz w:val="24"/>
          <w:szCs w:val="24"/>
        </w:rPr>
        <w:t>, right wing-authoritarianism, and negative attitudes towards ethnic minority groups (Crawford, Jussim, Cain, &amp; Cohen, 2013</w:t>
      </w:r>
      <w:r>
        <w:rPr>
          <w:sz w:val="24"/>
          <w:szCs w:val="24"/>
        </w:rPr>
        <w:t>; Morrison et al., 2005</w:t>
      </w:r>
      <w:r w:rsidRPr="00A73E6D">
        <w:rPr>
          <w:sz w:val="24"/>
          <w:szCs w:val="24"/>
        </w:rPr>
        <w:t xml:space="preserve">). We anticipate that those with higher levels of social dominance orientation will demonstrate higher levels of </w:t>
      </w:r>
      <w:r>
        <w:rPr>
          <w:sz w:val="24"/>
          <w:szCs w:val="24"/>
        </w:rPr>
        <w:t>transnegativity as cisgendered respondents, high in SDO, seek to maintain a superior status</w:t>
      </w:r>
      <w:r w:rsidRPr="00A73E6D">
        <w:rPr>
          <w:sz w:val="24"/>
          <w:szCs w:val="24"/>
        </w:rPr>
        <w:t xml:space="preserve">. </w:t>
      </w:r>
    </w:p>
    <w:p w14:paraId="3B6181CC" w14:textId="690F4DEA" w:rsidR="00877BAB" w:rsidRPr="00A73E6D" w:rsidRDefault="00877BAB" w:rsidP="00877BAB">
      <w:pPr>
        <w:spacing w:line="360" w:lineRule="auto"/>
        <w:ind w:firstLine="720"/>
        <w:rPr>
          <w:sz w:val="24"/>
          <w:szCs w:val="24"/>
        </w:rPr>
      </w:pPr>
      <w:r w:rsidRPr="00A73E6D">
        <w:rPr>
          <w:sz w:val="24"/>
          <w:szCs w:val="24"/>
        </w:rPr>
        <w:t>The relationship between religiosity and prejudice towards sexual minorities is well-established (Whitley Jr., 2009)</w:t>
      </w:r>
      <w:r>
        <w:rPr>
          <w:sz w:val="24"/>
          <w:szCs w:val="24"/>
        </w:rPr>
        <w:t xml:space="preserve"> with evidence demonstrating that higher levels of rel</w:t>
      </w:r>
      <w:r w:rsidR="005F3AC8">
        <w:rPr>
          <w:sz w:val="24"/>
          <w:szCs w:val="24"/>
        </w:rPr>
        <w:t>igious belief, and adherence, are</w:t>
      </w:r>
      <w:r>
        <w:rPr>
          <w:sz w:val="24"/>
          <w:szCs w:val="24"/>
        </w:rPr>
        <w:t xml:space="preserve"> positively associated with higher levels of both old-fashioned and modern homonegativity (McDermott &amp; Blair, 2012)</w:t>
      </w:r>
      <w:r w:rsidRPr="00A73E6D">
        <w:rPr>
          <w:sz w:val="24"/>
          <w:szCs w:val="24"/>
        </w:rPr>
        <w:t xml:space="preserve">, however, less is known about the extent to which </w:t>
      </w:r>
      <w:r>
        <w:rPr>
          <w:sz w:val="24"/>
          <w:szCs w:val="24"/>
        </w:rPr>
        <w:t>transnegativity</w:t>
      </w:r>
      <w:r w:rsidRPr="00A73E6D">
        <w:rPr>
          <w:sz w:val="24"/>
          <w:szCs w:val="24"/>
        </w:rPr>
        <w:t xml:space="preserve"> relates to religiosity</w:t>
      </w:r>
      <w:r>
        <w:rPr>
          <w:sz w:val="24"/>
          <w:szCs w:val="24"/>
        </w:rPr>
        <w:t xml:space="preserve"> and whether a similar trend is apparent</w:t>
      </w:r>
      <w:r w:rsidRPr="00905707">
        <w:rPr>
          <w:sz w:val="24"/>
          <w:szCs w:val="24"/>
        </w:rPr>
        <w:t>. Our focus on religiosity, as opposed to religious fundamentalism, is of note. Religious fundamentalism is indicative of a strict adherence to religious doctrine and adoption of religious ethos as a central motivating factor for beliefs and behaviours, whereas we adopt Drače, Efendić, and Hadžiahmetović’s (2015) definition of religiosity as embracing a religious belief and internalizing a religious identity</w:t>
      </w:r>
      <w:r w:rsidRPr="00A73E6D">
        <w:rPr>
          <w:sz w:val="24"/>
          <w:szCs w:val="24"/>
        </w:rPr>
        <w:t xml:space="preserve">. We anticipate that, despite this distinction, those with higher levels of religiosity will demonstrate higher levels of </w:t>
      </w:r>
      <w:r>
        <w:rPr>
          <w:sz w:val="24"/>
          <w:szCs w:val="24"/>
        </w:rPr>
        <w:t>transnegativity given religious institutions</w:t>
      </w:r>
      <w:r w:rsidR="005F3AC8">
        <w:rPr>
          <w:sz w:val="24"/>
          <w:szCs w:val="24"/>
        </w:rPr>
        <w:t>’</w:t>
      </w:r>
      <w:r>
        <w:rPr>
          <w:sz w:val="24"/>
          <w:szCs w:val="24"/>
        </w:rPr>
        <w:t xml:space="preserve"> conservative ethos regarding the oppositional, yet complementary, nature of gender (Schnabel, 2016)</w:t>
      </w:r>
      <w:r w:rsidRPr="00A73E6D">
        <w:rPr>
          <w:sz w:val="24"/>
          <w:szCs w:val="24"/>
        </w:rPr>
        <w:t>.</w:t>
      </w:r>
    </w:p>
    <w:p w14:paraId="26BD523E" w14:textId="77777777" w:rsidR="00877BAB" w:rsidRPr="00A73E6D" w:rsidRDefault="00877BAB" w:rsidP="00877BAB">
      <w:pPr>
        <w:spacing w:line="360" w:lineRule="auto"/>
        <w:outlineLvl w:val="0"/>
        <w:rPr>
          <w:b/>
          <w:sz w:val="24"/>
          <w:szCs w:val="24"/>
        </w:rPr>
      </w:pPr>
      <w:r w:rsidRPr="00E257E2">
        <w:rPr>
          <w:b/>
          <w:sz w:val="24"/>
          <w:szCs w:val="24"/>
        </w:rPr>
        <w:t>Reduction</w:t>
      </w:r>
      <w:r>
        <w:rPr>
          <w:b/>
          <w:sz w:val="24"/>
          <w:szCs w:val="24"/>
        </w:rPr>
        <w:t xml:space="preserve"> of</w:t>
      </w:r>
      <w:r w:rsidRPr="00D241D1" w:rsidDel="000C05BC">
        <w:rPr>
          <w:b/>
          <w:sz w:val="24"/>
          <w:szCs w:val="24"/>
        </w:rPr>
        <w:t xml:space="preserve"> </w:t>
      </w:r>
      <w:r>
        <w:rPr>
          <w:b/>
          <w:sz w:val="24"/>
          <w:szCs w:val="24"/>
        </w:rPr>
        <w:t>Transnegativity</w:t>
      </w:r>
      <w:r w:rsidRPr="00A73E6D">
        <w:rPr>
          <w:b/>
          <w:sz w:val="24"/>
          <w:szCs w:val="24"/>
        </w:rPr>
        <w:tab/>
      </w:r>
    </w:p>
    <w:p w14:paraId="4808D3EA" w14:textId="11B541F7" w:rsidR="00877BAB" w:rsidRPr="00A73E6D" w:rsidRDefault="00877BAB" w:rsidP="00877BAB">
      <w:pPr>
        <w:spacing w:line="360" w:lineRule="auto"/>
        <w:ind w:firstLine="720"/>
        <w:rPr>
          <w:sz w:val="24"/>
          <w:szCs w:val="24"/>
        </w:rPr>
      </w:pPr>
      <w:r w:rsidRPr="00A73E6D">
        <w:rPr>
          <w:sz w:val="24"/>
          <w:szCs w:val="24"/>
        </w:rPr>
        <w:t xml:space="preserve">Efforts to demonstrate effective means of reducing </w:t>
      </w:r>
      <w:r>
        <w:rPr>
          <w:sz w:val="24"/>
          <w:szCs w:val="24"/>
        </w:rPr>
        <w:t>transnegativity</w:t>
      </w:r>
      <w:r w:rsidRPr="00A73E6D">
        <w:rPr>
          <w:sz w:val="24"/>
          <w:szCs w:val="24"/>
        </w:rPr>
        <w:t xml:space="preserve"> have begun to emerge within academic literature in the last number of years. Case, Stewart, and Tittsworth (2009) presented a ‘call-to-arms’ vis-à-vis the visibility of trans related issues within psychology curricula. They argue that the invisibility of such issues within university courses only serve</w:t>
      </w:r>
      <w:r w:rsidR="005F3AC8">
        <w:rPr>
          <w:sz w:val="24"/>
          <w:szCs w:val="24"/>
        </w:rPr>
        <w:t>s</w:t>
      </w:r>
      <w:r w:rsidRPr="00A73E6D">
        <w:rPr>
          <w:sz w:val="24"/>
          <w:szCs w:val="24"/>
        </w:rPr>
        <w:t xml:space="preserve"> to perpetuate myths, stigma and discrimination of this community. Walch et al. (2012) tested the efficacy of two forms of pedagogic (i.e., relating to teaching) interventions using a sample of university students (</w:t>
      </w:r>
      <w:r w:rsidRPr="00A73E6D">
        <w:rPr>
          <w:i/>
          <w:sz w:val="24"/>
          <w:szCs w:val="24"/>
        </w:rPr>
        <w:t>N</w:t>
      </w:r>
      <w:r w:rsidRPr="00A73E6D">
        <w:rPr>
          <w:sz w:val="24"/>
          <w:szCs w:val="24"/>
        </w:rPr>
        <w:t xml:space="preserve"> = 45) enrolled in a human sexuality course. Participants were randomly assigned to attend either a lecture presentation delivered by an expert followed two days later by a panel presentation composed of trans identified speakers, or vice-versa (i.e., a panel presentation of trans identified speakers followed two days later by a lecture presentation). They found that attendance at the lecture presentation, followed by viewing the panel presentation was the most effective means by which to ameliorate levels of self-reported prejudice towards trans people. Participants exposed to the panel of speakers “evidenced steeper initial reductions in transphobia than did the lecture presentation on transgender issues” (p. 2597). Indeed, follow up measurement after three weeks supported this effect, as reduced levels of </w:t>
      </w:r>
      <w:r>
        <w:rPr>
          <w:sz w:val="24"/>
          <w:szCs w:val="24"/>
        </w:rPr>
        <w:t>transnegativity</w:t>
      </w:r>
      <w:r w:rsidRPr="00A73E6D">
        <w:rPr>
          <w:sz w:val="24"/>
          <w:szCs w:val="24"/>
        </w:rPr>
        <w:t xml:space="preserve"> post-intervention appeared to remain stable, suggesting that the effects of such interventions may demonstrate encouraging longevity. </w:t>
      </w:r>
    </w:p>
    <w:p w14:paraId="15B6851D" w14:textId="77777777" w:rsidR="00877BAB" w:rsidRPr="00A73E6D" w:rsidRDefault="00877BAB" w:rsidP="00877BAB">
      <w:pPr>
        <w:spacing w:line="360" w:lineRule="auto"/>
        <w:rPr>
          <w:sz w:val="24"/>
          <w:szCs w:val="24"/>
        </w:rPr>
      </w:pPr>
      <w:r w:rsidRPr="00A73E6D">
        <w:rPr>
          <w:sz w:val="24"/>
          <w:szCs w:val="24"/>
        </w:rPr>
        <w:tab/>
        <w:t xml:space="preserve">The results of Walch et al. (2012) are promising as they provide evidence for the role of intergroup contact (Pettigrew, 1998) in facilitating a reduction of negative attitudes towards trans people. Exposure to minority group members, through panel style presentations, allows for a context in which negative stereotypes and incorrect assumptions about minority members can be </w:t>
      </w:r>
      <w:r>
        <w:rPr>
          <w:sz w:val="24"/>
          <w:szCs w:val="24"/>
        </w:rPr>
        <w:t>addressed</w:t>
      </w:r>
      <w:r w:rsidRPr="00A73E6D">
        <w:rPr>
          <w:sz w:val="24"/>
          <w:szCs w:val="24"/>
        </w:rPr>
        <w:t>. Further, this context is deemed to have elements of institutional support, equal status interaction, and shared goals – essential elements of effective prejudice reduction through contact (Allport, 1954).</w:t>
      </w:r>
    </w:p>
    <w:p w14:paraId="161D597E" w14:textId="0BF4F8C5" w:rsidR="00877BAB" w:rsidRPr="00A73E6D" w:rsidRDefault="00877BAB" w:rsidP="00877BAB">
      <w:pPr>
        <w:spacing w:line="360" w:lineRule="auto"/>
        <w:rPr>
          <w:sz w:val="24"/>
          <w:szCs w:val="24"/>
        </w:rPr>
      </w:pPr>
      <w:r w:rsidRPr="00A73E6D">
        <w:rPr>
          <w:sz w:val="24"/>
          <w:szCs w:val="24"/>
        </w:rPr>
        <w:tab/>
        <w:t>Similarly, Case and Stewart (2013) tested the utility of pedagogic prejudice reduction tools by examining the efficacy of three separate interventions, also using a sample of university undergraduate participants (</w:t>
      </w:r>
      <w:r w:rsidRPr="00A73E6D">
        <w:rPr>
          <w:i/>
          <w:sz w:val="24"/>
          <w:szCs w:val="24"/>
        </w:rPr>
        <w:t>N</w:t>
      </w:r>
      <w:r w:rsidRPr="00A73E6D">
        <w:rPr>
          <w:sz w:val="24"/>
          <w:szCs w:val="24"/>
        </w:rPr>
        <w:t xml:space="preserve"> = 136). The techniques applied in this study consisted of: 1) a letter written by a trans man to </w:t>
      </w:r>
      <w:r>
        <w:rPr>
          <w:sz w:val="24"/>
          <w:szCs w:val="24"/>
        </w:rPr>
        <w:t xml:space="preserve">his </w:t>
      </w:r>
      <w:r w:rsidRPr="00A73E6D">
        <w:rPr>
          <w:sz w:val="24"/>
          <w:szCs w:val="24"/>
        </w:rPr>
        <w:t xml:space="preserve">parents (affective condition); 2) a list of factual information regarding trans people (cognitive condition); and 3) exposure to a video based documentary clip (media condition). The documentary excerpt depicted an interaction between a trans person and their parents, in which the trans person’s desire to commence hormone replacement therapy was discussed. Self-reported </w:t>
      </w:r>
      <w:r>
        <w:rPr>
          <w:sz w:val="24"/>
          <w:szCs w:val="24"/>
        </w:rPr>
        <w:t>transnegativity</w:t>
      </w:r>
      <w:r w:rsidRPr="00A73E6D">
        <w:rPr>
          <w:sz w:val="24"/>
          <w:szCs w:val="24"/>
        </w:rPr>
        <w:t xml:space="preserve">, myths about transgenderism, and predictions about discriminatory behaviours directed towards trans people were measured </w:t>
      </w:r>
      <w:r>
        <w:rPr>
          <w:sz w:val="24"/>
          <w:szCs w:val="24"/>
        </w:rPr>
        <w:t>on</w:t>
      </w:r>
      <w:r w:rsidRPr="00A73E6D">
        <w:rPr>
          <w:sz w:val="24"/>
          <w:szCs w:val="24"/>
        </w:rPr>
        <w:t xml:space="preserve"> four separate </w:t>
      </w:r>
      <w:r>
        <w:rPr>
          <w:sz w:val="24"/>
          <w:szCs w:val="24"/>
        </w:rPr>
        <w:t>occasions</w:t>
      </w:r>
      <w:r w:rsidRPr="00A73E6D">
        <w:rPr>
          <w:sz w:val="24"/>
          <w:szCs w:val="24"/>
        </w:rPr>
        <w:t xml:space="preserve">. There was a significant reduction in levels of </w:t>
      </w:r>
      <w:r>
        <w:rPr>
          <w:sz w:val="24"/>
          <w:szCs w:val="24"/>
        </w:rPr>
        <w:t>transnegativity</w:t>
      </w:r>
      <w:r w:rsidRPr="00A73E6D">
        <w:rPr>
          <w:sz w:val="24"/>
          <w:szCs w:val="24"/>
        </w:rPr>
        <w:t xml:space="preserve"> across all conditions, despite an initial prediction that the media based intervention would be most effective. A similar decrease in respondents’ endorsement of myths regarding trans people was also established, however, there was no reduction with regards to the likelihood of discriminatory behaviours towards trans people</w:t>
      </w:r>
      <w:r w:rsidR="005F3AC8">
        <w:rPr>
          <w:sz w:val="24"/>
          <w:szCs w:val="24"/>
        </w:rPr>
        <w:t>. T</w:t>
      </w:r>
      <w:r>
        <w:rPr>
          <w:sz w:val="24"/>
          <w:szCs w:val="24"/>
        </w:rPr>
        <w:t>his latter point could in part be explained by demonstrable floor effects for this measure</w:t>
      </w:r>
      <w:r w:rsidRPr="00A73E6D">
        <w:rPr>
          <w:sz w:val="24"/>
          <w:szCs w:val="24"/>
        </w:rPr>
        <w:t xml:space="preserve">. </w:t>
      </w:r>
    </w:p>
    <w:p w14:paraId="7EFEF3D6" w14:textId="77777777" w:rsidR="00877BAB" w:rsidRPr="00A73E6D" w:rsidRDefault="00877BAB" w:rsidP="00877BAB">
      <w:pPr>
        <w:spacing w:line="360" w:lineRule="auto"/>
        <w:rPr>
          <w:sz w:val="24"/>
          <w:szCs w:val="24"/>
        </w:rPr>
      </w:pPr>
      <w:r w:rsidRPr="00A73E6D">
        <w:rPr>
          <w:sz w:val="24"/>
          <w:szCs w:val="24"/>
        </w:rPr>
        <w:tab/>
        <w:t xml:space="preserve">The results provided by Case and Stewart (2013) are as promising as those presented by Walch et al. (2012). Both studies demonstrate the role that education can have as a means of promoting positive attitudes towards trans people. The multitude of intervention techniques applied across this research is equally encouraging, as it suggests that educators and practitioners have at their disposal an arsenal of large scale, easy to implement interventions that have demonstrated efficacy in precipitating a reduction of </w:t>
      </w:r>
      <w:r>
        <w:rPr>
          <w:sz w:val="24"/>
          <w:szCs w:val="24"/>
        </w:rPr>
        <w:t>transnegativity</w:t>
      </w:r>
      <w:r w:rsidRPr="00A73E6D">
        <w:rPr>
          <w:sz w:val="24"/>
          <w:szCs w:val="24"/>
        </w:rPr>
        <w:t xml:space="preserve">. Further, these effects have been shown to demonstrate temporal stability with ameliorations in </w:t>
      </w:r>
      <w:r>
        <w:rPr>
          <w:sz w:val="24"/>
          <w:szCs w:val="24"/>
        </w:rPr>
        <w:t>transnegativity</w:t>
      </w:r>
      <w:r w:rsidRPr="00A73E6D">
        <w:rPr>
          <w:sz w:val="24"/>
          <w:szCs w:val="24"/>
        </w:rPr>
        <w:t xml:space="preserve"> remaining for up to three weeks post intervention. </w:t>
      </w:r>
    </w:p>
    <w:p w14:paraId="15DD5A5F" w14:textId="77777777" w:rsidR="00877BAB" w:rsidRPr="00A73E6D" w:rsidRDefault="00877BAB" w:rsidP="00877BAB">
      <w:pPr>
        <w:spacing w:line="360" w:lineRule="auto"/>
        <w:ind w:firstLine="720"/>
        <w:rPr>
          <w:sz w:val="24"/>
          <w:szCs w:val="24"/>
        </w:rPr>
      </w:pPr>
      <w:r w:rsidRPr="00A73E6D">
        <w:rPr>
          <w:sz w:val="24"/>
          <w:szCs w:val="24"/>
        </w:rPr>
        <w:t xml:space="preserve">Conversely, Townsend, Wallick, and Cambre (1995), in their assessment of the utility of a panel based intervention for homonegativity, demonstrated that while the effects of such an intervention may demonstrate some stability over time, the ameliorating effects tend to attenuate and attitudes demonstrate a ‘rebound effect’ and return to baseline levels. Further, all of the studies described were conducted in North America and as such, the utility of such techniques in other contexts, such as Western Europe, is unknown. Hence, the current study will assess the utility of a </w:t>
      </w:r>
      <w:r>
        <w:rPr>
          <w:sz w:val="24"/>
          <w:szCs w:val="24"/>
        </w:rPr>
        <w:t>transnegativity</w:t>
      </w:r>
      <w:r w:rsidRPr="00A73E6D">
        <w:rPr>
          <w:sz w:val="24"/>
          <w:szCs w:val="24"/>
        </w:rPr>
        <w:t xml:space="preserve"> reduction technique, over an extended period of time, in order to determine whether the demonstrated efficacy of our intervention is short- to medium-termed, or whether these effects extend longer term. </w:t>
      </w:r>
    </w:p>
    <w:p w14:paraId="67E0AB47" w14:textId="77777777" w:rsidR="00877BAB" w:rsidRPr="00A73E6D" w:rsidRDefault="00877BAB" w:rsidP="00877BAB">
      <w:pPr>
        <w:spacing w:line="360" w:lineRule="auto"/>
        <w:outlineLvl w:val="0"/>
        <w:rPr>
          <w:b/>
          <w:sz w:val="24"/>
          <w:szCs w:val="24"/>
        </w:rPr>
      </w:pPr>
      <w:r w:rsidRPr="00A73E6D">
        <w:rPr>
          <w:b/>
          <w:sz w:val="24"/>
          <w:szCs w:val="24"/>
        </w:rPr>
        <w:t>Mediated Contact</w:t>
      </w:r>
    </w:p>
    <w:p w14:paraId="3117A88C" w14:textId="77777777" w:rsidR="00877BAB" w:rsidRPr="00A73E6D" w:rsidRDefault="00877BAB" w:rsidP="00877BAB">
      <w:pPr>
        <w:spacing w:line="360" w:lineRule="auto"/>
        <w:rPr>
          <w:sz w:val="24"/>
          <w:szCs w:val="24"/>
        </w:rPr>
      </w:pPr>
      <w:r w:rsidRPr="00A73E6D">
        <w:rPr>
          <w:sz w:val="24"/>
          <w:szCs w:val="24"/>
        </w:rPr>
        <w:tab/>
        <w:t xml:space="preserve">Many of the interventions aimed at promoting positive attitudes towards minority group members (e.g., Walch et al., 2012) draw on tenets of the Contact Hypothesis (Allport, 1954). The basic premise of the Contact Hypothesis is that in order to improve inter-group relations it is essential that appropriate contact occur between members of these groups. Paluck and Green (2009) note that for techniques based on the contact hypothesis to provide meaningful change (i.e., a reduction in prejudice that extends beyond laboratory measurement), the following requirements are necessary: equal status among groups; shared goals; authority sanction (i.e., contact between the groups is supported by a common authority); and the absence of competition. If these elements are in place, interaction between members of majority and minority groups should result in a reduction of prejudice (Pettigrew &amp; Tropp, 2006). </w:t>
      </w:r>
    </w:p>
    <w:p w14:paraId="73A9CFF5" w14:textId="77777777" w:rsidR="00877BAB" w:rsidRPr="00A73E6D" w:rsidRDefault="00877BAB" w:rsidP="00877BAB">
      <w:pPr>
        <w:spacing w:line="360" w:lineRule="auto"/>
        <w:ind w:firstLine="720"/>
        <w:rPr>
          <w:sz w:val="24"/>
          <w:szCs w:val="24"/>
        </w:rPr>
      </w:pPr>
      <w:r w:rsidRPr="00A73E6D">
        <w:rPr>
          <w:sz w:val="24"/>
          <w:szCs w:val="24"/>
        </w:rPr>
        <w:t xml:space="preserve">More recent explorations of this concept have suggested that a modification of the contact hypothesis may achieve similar results. For example, </w:t>
      </w:r>
      <w:r w:rsidRPr="00A73E6D">
        <w:rPr>
          <w:i/>
          <w:sz w:val="24"/>
          <w:szCs w:val="24"/>
        </w:rPr>
        <w:t xml:space="preserve">imagined </w:t>
      </w:r>
      <w:r w:rsidRPr="00A73E6D">
        <w:rPr>
          <w:sz w:val="24"/>
          <w:szCs w:val="24"/>
        </w:rPr>
        <w:t>intergroup contact between group members has been offered as an alternative means of promoting inter-group relations (Crisp, Stathi, Turner, &amp; Hunsu, 2009; Turner et al., 2007; Turner &amp; Crisp, 2010). Crisp et al. (2009) report</w:t>
      </w:r>
      <w:r>
        <w:rPr>
          <w:sz w:val="24"/>
          <w:szCs w:val="24"/>
        </w:rPr>
        <w:t>ed</w:t>
      </w:r>
      <w:r w:rsidRPr="00A73E6D">
        <w:rPr>
          <w:sz w:val="24"/>
          <w:szCs w:val="24"/>
        </w:rPr>
        <w:t xml:space="preserve"> that, when compared to a real life experience, mental imagery can have a similar influence on a participant’s emotional and motivational responses. Experimental data have provided mixed results regarding the utility of imagined contact with findings suggesting that imaginary scenarios precipitated an overall decrease in prejudice towards gay men</w:t>
      </w:r>
      <w:r w:rsidRPr="00AA179B">
        <w:rPr>
          <w:sz w:val="24"/>
          <w:szCs w:val="24"/>
        </w:rPr>
        <w:t xml:space="preserve"> </w:t>
      </w:r>
      <w:r>
        <w:rPr>
          <w:sz w:val="24"/>
          <w:szCs w:val="24"/>
        </w:rPr>
        <w:t>(</w:t>
      </w:r>
      <w:r w:rsidRPr="00537D64">
        <w:rPr>
          <w:sz w:val="24"/>
          <w:szCs w:val="24"/>
        </w:rPr>
        <w:t>Turner et al., 2007</w:t>
      </w:r>
      <w:r>
        <w:rPr>
          <w:sz w:val="24"/>
          <w:szCs w:val="24"/>
        </w:rPr>
        <w:t>)</w:t>
      </w:r>
      <w:r w:rsidRPr="00A73E6D">
        <w:rPr>
          <w:sz w:val="24"/>
          <w:szCs w:val="24"/>
        </w:rPr>
        <w:t xml:space="preserve">, the elderly (Turner et al., 2007), and British Muslims (Turner </w:t>
      </w:r>
      <w:r>
        <w:rPr>
          <w:sz w:val="24"/>
          <w:szCs w:val="24"/>
        </w:rPr>
        <w:t xml:space="preserve">&amp; </w:t>
      </w:r>
      <w:r w:rsidRPr="00A73E6D">
        <w:rPr>
          <w:sz w:val="24"/>
          <w:szCs w:val="24"/>
        </w:rPr>
        <w:t xml:space="preserve">Crisp, 2010). Conversely, McDermott et al. (2012) failed to demonstrate a similar decrement in modern homonegativity towards lesbian women. </w:t>
      </w:r>
    </w:p>
    <w:p w14:paraId="549BE6AF" w14:textId="77777777" w:rsidR="00877BAB" w:rsidRPr="009E11C1" w:rsidRDefault="00877BAB" w:rsidP="00877BAB">
      <w:pPr>
        <w:spacing w:line="360" w:lineRule="auto"/>
        <w:rPr>
          <w:sz w:val="24"/>
          <w:szCs w:val="24"/>
        </w:rPr>
      </w:pPr>
      <w:r w:rsidRPr="00A73E6D">
        <w:rPr>
          <w:sz w:val="24"/>
          <w:szCs w:val="24"/>
        </w:rPr>
        <w:tab/>
        <w:t>An alternative approach to the contact hypothesis, and one that fits theoretically with the elements of the intervention adopted by Case and Stewart (2013), is the Parasocial Contact Theory (Schiappa, Gregg, &amp; Hewes, 2005) and by extension, the Parasocial Contact Hypothesis (PCH). This theory stems from parasocial interactions, described as interactions between an individual and people they know through media representations, regardless of whether they are real or fictional (Shiappa, Wells, &amp; Hewes, 2006). Based on these media interactions, feelings and beliefs about the characters are developed. In contexts where physical contact is not possible or unable to occur between majority and minority group members, parasocial contact between a person and a character portrayed through a mass</w:t>
      </w:r>
      <w:r w:rsidRPr="009E11C1">
        <w:rPr>
          <w:sz w:val="24"/>
          <w:szCs w:val="24"/>
        </w:rPr>
        <w:t xml:space="preserve"> medium (such a television or film), can lead to the development of affinity between them and the character, and by extension, the target social group. </w:t>
      </w:r>
    </w:p>
    <w:p w14:paraId="7BEDAB00" w14:textId="77777777" w:rsidR="00877BAB" w:rsidRPr="009E11C1" w:rsidRDefault="00877BAB" w:rsidP="00877BAB">
      <w:pPr>
        <w:spacing w:line="360" w:lineRule="auto"/>
        <w:ind w:firstLine="720"/>
        <w:rPr>
          <w:sz w:val="24"/>
          <w:szCs w:val="24"/>
        </w:rPr>
      </w:pPr>
      <w:r w:rsidRPr="009E11C1">
        <w:rPr>
          <w:sz w:val="24"/>
          <w:szCs w:val="24"/>
        </w:rPr>
        <w:t xml:space="preserve">In three experimental studies, Schiappa et al. (2005) found support for the utility of the PCH as a means of reducing prejudice. In two of their studies, participants were presented with media depictions of gay male protagonists. In study one, participants were exposed to gay male characters in the popular television series </w:t>
      </w:r>
      <w:r w:rsidRPr="009E11C1">
        <w:rPr>
          <w:i/>
          <w:sz w:val="24"/>
          <w:szCs w:val="24"/>
        </w:rPr>
        <w:t>Six Feet Under</w:t>
      </w:r>
      <w:r w:rsidRPr="009E11C1">
        <w:rPr>
          <w:sz w:val="24"/>
          <w:szCs w:val="24"/>
        </w:rPr>
        <w:t xml:space="preserve"> and in the follow-up study participants viewed episodes of the reality television program </w:t>
      </w:r>
      <w:r w:rsidRPr="009E11C1">
        <w:rPr>
          <w:i/>
          <w:sz w:val="24"/>
          <w:szCs w:val="24"/>
        </w:rPr>
        <w:t>Queer Eye for the Straight Guy</w:t>
      </w:r>
      <w:r w:rsidRPr="009E11C1">
        <w:rPr>
          <w:sz w:val="24"/>
          <w:szCs w:val="24"/>
        </w:rPr>
        <w:t>. In both instances, the interventions resulted in a significant decrease in self-reported prejudice towards gay men. In their final study, aimed at assessing the generalisability of the PCH, Schiappa et al. (2005) assessed the extent to which the PCH could provide a noticeable decrease in prejudice towards trans</w:t>
      </w:r>
      <w:r>
        <w:rPr>
          <w:sz w:val="24"/>
          <w:szCs w:val="24"/>
        </w:rPr>
        <w:t xml:space="preserve"> persons</w:t>
      </w:r>
      <w:r w:rsidRPr="009E11C1">
        <w:rPr>
          <w:sz w:val="24"/>
          <w:szCs w:val="24"/>
        </w:rPr>
        <w:t xml:space="preserve">. Using a live performance recorded by </w:t>
      </w:r>
      <w:r>
        <w:rPr>
          <w:sz w:val="24"/>
          <w:szCs w:val="24"/>
        </w:rPr>
        <w:t>renowned</w:t>
      </w:r>
      <w:r w:rsidRPr="009E11C1">
        <w:rPr>
          <w:sz w:val="24"/>
          <w:szCs w:val="24"/>
        </w:rPr>
        <w:t xml:space="preserve"> comic, Eddie Izzard, as the central feature of their intervention, a significant decrease in levels of prejudice was evidenced. </w:t>
      </w:r>
    </w:p>
    <w:p w14:paraId="67C620A0" w14:textId="45A09AD9" w:rsidR="00877BAB" w:rsidRPr="009E11C1" w:rsidRDefault="00877BAB" w:rsidP="00877BAB">
      <w:pPr>
        <w:spacing w:line="360" w:lineRule="auto"/>
        <w:ind w:firstLine="720"/>
        <w:rPr>
          <w:sz w:val="24"/>
          <w:szCs w:val="24"/>
        </w:rPr>
      </w:pPr>
      <w:r w:rsidRPr="009E11C1">
        <w:rPr>
          <w:sz w:val="24"/>
          <w:szCs w:val="24"/>
        </w:rPr>
        <w:t>These findings suggest that exposure to characters and representative celebrities from minority groups can serve as a useful mechanism through which positive attitudes towards these characters (and by extension, the minority groups they represent) can be developed and promoted. The recent increase in the number of visible trans characters and celebrities within popular media, such as Caitlyn Jenner, the Wachowski siblings, and Laverne Cox has served to highlight the existence of trans people, both in reality and in popular media. These individuals’ public identification as trans, and the increase in visibly trans characters in mainstream media, has brought trans related issues to the forefront and precipitated significant discussion and debate regarding the legitimacy of a trans identity. While publicity such as this is largely beneficial, as it serves to normalise being trans and help eliminate some of the misconceptions associated with trans identities, unless appropriately presented, these individuals’ experiences and depictions are open to mis</w:t>
      </w:r>
      <w:r>
        <w:rPr>
          <w:sz w:val="24"/>
          <w:szCs w:val="24"/>
        </w:rPr>
        <w:t xml:space="preserve">representation, particularly by conservative or transnegative media </w:t>
      </w:r>
      <w:r w:rsidRPr="0046110D">
        <w:rPr>
          <w:sz w:val="24"/>
          <w:szCs w:val="24"/>
        </w:rPr>
        <w:t>(e.g., the Da</w:t>
      </w:r>
      <w:r w:rsidR="005F3AC8">
        <w:rPr>
          <w:sz w:val="24"/>
          <w:szCs w:val="24"/>
        </w:rPr>
        <w:t>i</w:t>
      </w:r>
      <w:r w:rsidRPr="0046110D">
        <w:rPr>
          <w:sz w:val="24"/>
          <w:szCs w:val="24"/>
        </w:rPr>
        <w:t>ly Express in the UK)</w:t>
      </w:r>
      <w:r w:rsidRPr="009E11C1">
        <w:rPr>
          <w:sz w:val="24"/>
          <w:szCs w:val="24"/>
        </w:rPr>
        <w:t>, leading to the reinforcement of negative stereotypes and beliefs</w:t>
      </w:r>
      <w:r>
        <w:rPr>
          <w:sz w:val="24"/>
          <w:szCs w:val="24"/>
        </w:rPr>
        <w:t xml:space="preserve"> through biased or inaccurate representations</w:t>
      </w:r>
      <w:r w:rsidRPr="009E11C1">
        <w:rPr>
          <w:sz w:val="24"/>
          <w:szCs w:val="24"/>
        </w:rPr>
        <w:t xml:space="preserve">. </w:t>
      </w:r>
    </w:p>
    <w:p w14:paraId="36DE7D42" w14:textId="77777777" w:rsidR="00877BAB" w:rsidRPr="009E11C1" w:rsidRDefault="00877BAB" w:rsidP="00877BAB">
      <w:pPr>
        <w:spacing w:line="360" w:lineRule="auto"/>
        <w:outlineLvl w:val="0"/>
        <w:rPr>
          <w:b/>
          <w:sz w:val="24"/>
          <w:szCs w:val="24"/>
        </w:rPr>
      </w:pPr>
      <w:r w:rsidRPr="009E11C1">
        <w:rPr>
          <w:b/>
          <w:sz w:val="24"/>
          <w:szCs w:val="24"/>
        </w:rPr>
        <w:t xml:space="preserve">The </w:t>
      </w:r>
      <w:r>
        <w:rPr>
          <w:b/>
          <w:sz w:val="24"/>
          <w:szCs w:val="24"/>
        </w:rPr>
        <w:t>C</w:t>
      </w:r>
      <w:r w:rsidRPr="009E11C1">
        <w:rPr>
          <w:b/>
          <w:sz w:val="24"/>
          <w:szCs w:val="24"/>
        </w:rPr>
        <w:t xml:space="preserve">urrent </w:t>
      </w:r>
      <w:r>
        <w:rPr>
          <w:b/>
          <w:sz w:val="24"/>
          <w:szCs w:val="24"/>
        </w:rPr>
        <w:t>S</w:t>
      </w:r>
      <w:r w:rsidRPr="009E11C1">
        <w:rPr>
          <w:b/>
          <w:sz w:val="24"/>
          <w:szCs w:val="24"/>
        </w:rPr>
        <w:t>tudy</w:t>
      </w:r>
    </w:p>
    <w:p w14:paraId="10780C5E" w14:textId="77777777" w:rsidR="00877BAB" w:rsidRPr="009E11C1" w:rsidRDefault="00877BAB" w:rsidP="00877BAB">
      <w:pPr>
        <w:spacing w:line="360" w:lineRule="auto"/>
        <w:ind w:firstLine="720"/>
        <w:rPr>
          <w:sz w:val="24"/>
          <w:szCs w:val="24"/>
        </w:rPr>
      </w:pPr>
      <w:r w:rsidRPr="009E11C1">
        <w:rPr>
          <w:sz w:val="24"/>
          <w:szCs w:val="24"/>
        </w:rPr>
        <w:t xml:space="preserve">The central aim of this study was to test a classroom based pedagogic intervention as a means of reducing </w:t>
      </w:r>
      <w:r>
        <w:rPr>
          <w:sz w:val="24"/>
          <w:szCs w:val="24"/>
        </w:rPr>
        <w:t>transnegativity</w:t>
      </w:r>
      <w:r w:rsidRPr="009E11C1">
        <w:rPr>
          <w:sz w:val="24"/>
          <w:szCs w:val="24"/>
        </w:rPr>
        <w:t xml:space="preserve"> among a sample of university students in Western Europe. The intervention consisted of both indirect contact (in the form of a panel presentation) and parasocial contact (by means of a film detailing the biographical experiences of a trans character). Data provided by Case and Stewart (2013) suggest that neither panel presentations nor mediated contact are individually superior forms of prejudice reduction. Therefore, in this study we will assess the efficacy of a combined panel speaker and mediated film-based intervention.</w:t>
      </w:r>
    </w:p>
    <w:p w14:paraId="687F3F3F" w14:textId="2A99CFBE" w:rsidR="00877BAB" w:rsidRPr="009E11C1" w:rsidRDefault="00877BAB" w:rsidP="00877BAB">
      <w:pPr>
        <w:spacing w:line="360" w:lineRule="auto"/>
        <w:ind w:firstLine="709"/>
        <w:rPr>
          <w:sz w:val="24"/>
          <w:szCs w:val="24"/>
        </w:rPr>
      </w:pPr>
      <w:r w:rsidRPr="009E11C1">
        <w:rPr>
          <w:sz w:val="24"/>
          <w:szCs w:val="24"/>
        </w:rPr>
        <w:t xml:space="preserve">Additional aims of this research are to: 1) test the immediate and temporal stability of this intervention by means of immediate and delayed measurements; 2) assess the relationship of </w:t>
      </w:r>
      <w:r>
        <w:rPr>
          <w:sz w:val="24"/>
          <w:szCs w:val="24"/>
        </w:rPr>
        <w:t>transnegativity</w:t>
      </w:r>
      <w:r w:rsidRPr="009E11C1">
        <w:rPr>
          <w:sz w:val="24"/>
          <w:szCs w:val="24"/>
        </w:rPr>
        <w:t xml:space="preserve"> and prejudice toward sexual minorities (i.e., homophobia as well as measures of modern and old-fashioned homonegativity); 3) determine the relationship between </w:t>
      </w:r>
      <w:r>
        <w:rPr>
          <w:sz w:val="24"/>
          <w:szCs w:val="24"/>
        </w:rPr>
        <w:t>transnegativity</w:t>
      </w:r>
      <w:r w:rsidRPr="009E11C1">
        <w:rPr>
          <w:sz w:val="24"/>
          <w:szCs w:val="24"/>
        </w:rPr>
        <w:t xml:space="preserve"> and both religiosity and social dominance orientation and</w:t>
      </w:r>
      <w:r w:rsidR="004D7033">
        <w:rPr>
          <w:sz w:val="24"/>
          <w:szCs w:val="24"/>
        </w:rPr>
        <w:t>;</w:t>
      </w:r>
      <w:r w:rsidRPr="009E11C1">
        <w:rPr>
          <w:sz w:val="24"/>
          <w:szCs w:val="24"/>
        </w:rPr>
        <w:t xml:space="preserve"> 4) provide further evidence for the utility of the Parasocial Contact Hypothesis as a means of promoting positive attitudes. As such, the following hypotheses will be tested:</w:t>
      </w:r>
    </w:p>
    <w:p w14:paraId="74AA5091" w14:textId="77777777" w:rsidR="00877BAB" w:rsidRPr="00905707" w:rsidRDefault="00877BAB" w:rsidP="00877BAB">
      <w:pPr>
        <w:spacing w:line="360" w:lineRule="auto"/>
        <w:ind w:left="709"/>
        <w:rPr>
          <w:sz w:val="24"/>
          <w:szCs w:val="24"/>
        </w:rPr>
      </w:pPr>
      <w:r w:rsidRPr="009E11C1">
        <w:rPr>
          <w:sz w:val="24"/>
          <w:szCs w:val="24"/>
        </w:rPr>
        <w:tab/>
        <w:t xml:space="preserve">H1a: Levels </w:t>
      </w:r>
      <w:r>
        <w:rPr>
          <w:sz w:val="24"/>
          <w:szCs w:val="24"/>
        </w:rPr>
        <w:t xml:space="preserve">of </w:t>
      </w:r>
      <w:r w:rsidRPr="009E11C1">
        <w:rPr>
          <w:sz w:val="24"/>
          <w:szCs w:val="24"/>
        </w:rPr>
        <w:t xml:space="preserve">self-reported </w:t>
      </w:r>
      <w:r>
        <w:rPr>
          <w:sz w:val="24"/>
          <w:szCs w:val="24"/>
        </w:rPr>
        <w:t>transnegativity</w:t>
      </w:r>
      <w:r w:rsidRPr="00905707">
        <w:rPr>
          <w:sz w:val="24"/>
          <w:szCs w:val="24"/>
        </w:rPr>
        <w:t xml:space="preserve"> will significantly decrease between the baseline and post-intervention measurement.</w:t>
      </w:r>
    </w:p>
    <w:p w14:paraId="44E1AE1B" w14:textId="77777777" w:rsidR="00877BAB" w:rsidRPr="009E11C1" w:rsidRDefault="00877BAB" w:rsidP="00877BAB">
      <w:pPr>
        <w:spacing w:line="360" w:lineRule="auto"/>
        <w:ind w:left="709"/>
        <w:rPr>
          <w:sz w:val="24"/>
          <w:szCs w:val="24"/>
        </w:rPr>
      </w:pPr>
      <w:r w:rsidRPr="00905707">
        <w:rPr>
          <w:sz w:val="24"/>
          <w:szCs w:val="24"/>
        </w:rPr>
        <w:t xml:space="preserve">H1b:  </w:t>
      </w:r>
      <w:r>
        <w:rPr>
          <w:sz w:val="24"/>
          <w:szCs w:val="24"/>
        </w:rPr>
        <w:t>There will be no significant difference between the second and third measurements of transnegativity, indicating the lack of a ‘rebound effect’</w:t>
      </w:r>
      <w:r w:rsidRPr="009E11C1">
        <w:rPr>
          <w:sz w:val="24"/>
          <w:szCs w:val="24"/>
        </w:rPr>
        <w:t xml:space="preserve">.  </w:t>
      </w:r>
    </w:p>
    <w:p w14:paraId="20E11D26" w14:textId="77777777" w:rsidR="00877BAB" w:rsidRPr="009E11C1" w:rsidRDefault="00877BAB" w:rsidP="00877BAB">
      <w:pPr>
        <w:spacing w:line="360" w:lineRule="auto"/>
        <w:ind w:left="709"/>
        <w:rPr>
          <w:sz w:val="24"/>
          <w:szCs w:val="24"/>
        </w:rPr>
      </w:pPr>
      <w:r w:rsidRPr="009E11C1">
        <w:rPr>
          <w:sz w:val="24"/>
          <w:szCs w:val="24"/>
        </w:rPr>
        <w:t xml:space="preserve">H2: There will be significant positive associations between measures of </w:t>
      </w:r>
      <w:r>
        <w:rPr>
          <w:sz w:val="24"/>
          <w:szCs w:val="24"/>
        </w:rPr>
        <w:t>transnegativity</w:t>
      </w:r>
      <w:r w:rsidRPr="009E11C1">
        <w:rPr>
          <w:sz w:val="24"/>
          <w:szCs w:val="24"/>
        </w:rPr>
        <w:t xml:space="preserve"> and measures of prejudice towards sexual minorities.</w:t>
      </w:r>
    </w:p>
    <w:p w14:paraId="7727FE63" w14:textId="77777777" w:rsidR="00877BAB" w:rsidRPr="009E11C1" w:rsidRDefault="00877BAB" w:rsidP="00877BAB">
      <w:pPr>
        <w:spacing w:line="360" w:lineRule="auto"/>
        <w:ind w:left="709"/>
        <w:rPr>
          <w:sz w:val="24"/>
          <w:szCs w:val="24"/>
        </w:rPr>
      </w:pPr>
      <w:r w:rsidRPr="009E11C1">
        <w:rPr>
          <w:sz w:val="24"/>
          <w:szCs w:val="24"/>
        </w:rPr>
        <w:t xml:space="preserve">H3: Levels of </w:t>
      </w:r>
      <w:r>
        <w:rPr>
          <w:sz w:val="24"/>
          <w:szCs w:val="24"/>
        </w:rPr>
        <w:t>transnegativity</w:t>
      </w:r>
      <w:r w:rsidRPr="009E11C1">
        <w:rPr>
          <w:sz w:val="24"/>
          <w:szCs w:val="24"/>
        </w:rPr>
        <w:t xml:space="preserve"> will correlate positively with levels of self-reported religiosity.</w:t>
      </w:r>
    </w:p>
    <w:p w14:paraId="54571606" w14:textId="77777777" w:rsidR="00877BAB" w:rsidRPr="009E11C1" w:rsidRDefault="00877BAB" w:rsidP="00877BAB">
      <w:pPr>
        <w:spacing w:line="360" w:lineRule="auto"/>
        <w:ind w:left="709"/>
        <w:rPr>
          <w:sz w:val="24"/>
          <w:szCs w:val="24"/>
        </w:rPr>
      </w:pPr>
      <w:r w:rsidRPr="009E11C1">
        <w:rPr>
          <w:sz w:val="24"/>
          <w:szCs w:val="24"/>
        </w:rPr>
        <w:t xml:space="preserve">H4: Levels of </w:t>
      </w:r>
      <w:r>
        <w:rPr>
          <w:sz w:val="24"/>
          <w:szCs w:val="24"/>
        </w:rPr>
        <w:t>transnegativity</w:t>
      </w:r>
      <w:r w:rsidRPr="009E11C1">
        <w:rPr>
          <w:sz w:val="24"/>
          <w:szCs w:val="24"/>
        </w:rPr>
        <w:t xml:space="preserve"> will correlate positively with levels of social dominance orientation (SDO).</w:t>
      </w:r>
    </w:p>
    <w:p w14:paraId="2BF4B9F9" w14:textId="77777777" w:rsidR="00877BAB" w:rsidRPr="009E11C1" w:rsidRDefault="00877BAB" w:rsidP="00877BAB">
      <w:pPr>
        <w:spacing w:line="360" w:lineRule="auto"/>
        <w:jc w:val="center"/>
        <w:outlineLvl w:val="0"/>
        <w:rPr>
          <w:b/>
          <w:sz w:val="24"/>
          <w:szCs w:val="24"/>
        </w:rPr>
      </w:pPr>
      <w:r w:rsidRPr="009E11C1">
        <w:rPr>
          <w:b/>
          <w:sz w:val="24"/>
          <w:szCs w:val="24"/>
        </w:rPr>
        <w:t>Method</w:t>
      </w:r>
    </w:p>
    <w:p w14:paraId="668F5E78" w14:textId="77777777" w:rsidR="00877BAB" w:rsidRPr="009E11C1" w:rsidRDefault="00877BAB" w:rsidP="00877BAB">
      <w:pPr>
        <w:spacing w:line="360" w:lineRule="auto"/>
        <w:outlineLvl w:val="0"/>
        <w:rPr>
          <w:b/>
          <w:sz w:val="24"/>
          <w:szCs w:val="24"/>
        </w:rPr>
      </w:pPr>
      <w:r w:rsidRPr="009E11C1">
        <w:rPr>
          <w:b/>
          <w:sz w:val="24"/>
          <w:szCs w:val="24"/>
        </w:rPr>
        <w:t>Participants</w:t>
      </w:r>
    </w:p>
    <w:p w14:paraId="252819B5" w14:textId="2CBCCAF1" w:rsidR="00877BAB" w:rsidRPr="009E11C1" w:rsidRDefault="00877BAB" w:rsidP="00877BAB">
      <w:pPr>
        <w:spacing w:line="360" w:lineRule="auto"/>
        <w:rPr>
          <w:sz w:val="24"/>
          <w:szCs w:val="24"/>
        </w:rPr>
      </w:pPr>
      <w:r w:rsidRPr="009E11C1">
        <w:rPr>
          <w:sz w:val="24"/>
          <w:szCs w:val="24"/>
        </w:rPr>
        <w:tab/>
        <w:t>The sample consisted of 66 female undergraduates completing a ‘</w:t>
      </w:r>
      <w:r w:rsidRPr="009E11C1">
        <w:rPr>
          <w:i/>
          <w:sz w:val="24"/>
          <w:szCs w:val="24"/>
        </w:rPr>
        <w:t>Psychology of Human Sexuality</w:t>
      </w:r>
      <w:r w:rsidRPr="009E11C1">
        <w:rPr>
          <w:sz w:val="24"/>
          <w:szCs w:val="24"/>
        </w:rPr>
        <w:t>’ course at a large public English speaking university in Western Europe. Three male undergraduates returned all required elements, however, due to the less than adequate number, data from these participants w</w:t>
      </w:r>
      <w:r w:rsidR="005F3AC8">
        <w:rPr>
          <w:sz w:val="24"/>
          <w:szCs w:val="24"/>
        </w:rPr>
        <w:t>ere</w:t>
      </w:r>
      <w:r w:rsidRPr="009E11C1">
        <w:rPr>
          <w:sz w:val="24"/>
          <w:szCs w:val="24"/>
        </w:rPr>
        <w:t xml:space="preserve"> excluded from subsequent analyses. Three participants </w:t>
      </w:r>
      <w:r>
        <w:rPr>
          <w:sz w:val="24"/>
          <w:szCs w:val="24"/>
        </w:rPr>
        <w:t>self-</w:t>
      </w:r>
      <w:r w:rsidRPr="009E11C1">
        <w:rPr>
          <w:sz w:val="24"/>
          <w:szCs w:val="24"/>
        </w:rPr>
        <w:t xml:space="preserve">identified as lesbian or bisexual and one respondent failed to indicate their sexual orientation. All others identified as </w:t>
      </w:r>
      <w:r w:rsidR="00D27E60" w:rsidRPr="009E11C1">
        <w:rPr>
          <w:sz w:val="24"/>
          <w:szCs w:val="24"/>
        </w:rPr>
        <w:t>‘</w:t>
      </w:r>
      <w:r w:rsidR="00D27E60" w:rsidRPr="009E11C1">
        <w:rPr>
          <w:i/>
          <w:sz w:val="24"/>
          <w:szCs w:val="24"/>
        </w:rPr>
        <w:t>exclusively’</w:t>
      </w:r>
      <w:r w:rsidRPr="009E11C1">
        <w:rPr>
          <w:sz w:val="24"/>
          <w:szCs w:val="24"/>
        </w:rPr>
        <w:t xml:space="preserve"> or ‘</w:t>
      </w:r>
      <w:r w:rsidRPr="009E11C1">
        <w:rPr>
          <w:i/>
          <w:sz w:val="24"/>
          <w:szCs w:val="24"/>
        </w:rPr>
        <w:t>more heterosexual than homosexual</w:t>
      </w:r>
      <w:r w:rsidRPr="009E11C1">
        <w:rPr>
          <w:sz w:val="24"/>
          <w:szCs w:val="24"/>
        </w:rPr>
        <w:t>’. Sixty-four (97%) respondents were White, with 3% (</w:t>
      </w:r>
      <w:r w:rsidRPr="009E11C1">
        <w:rPr>
          <w:i/>
          <w:sz w:val="24"/>
          <w:szCs w:val="24"/>
        </w:rPr>
        <w:t>n</w:t>
      </w:r>
      <w:r w:rsidRPr="009E11C1">
        <w:rPr>
          <w:sz w:val="24"/>
          <w:szCs w:val="24"/>
        </w:rPr>
        <w:t xml:space="preserve"> = 2) identifying as ‘Black’ or ‘Other’. Thirty-nine participants (59%) identified as somewhat or very religious, while 26% (</w:t>
      </w:r>
      <w:r w:rsidRPr="009E11C1">
        <w:rPr>
          <w:i/>
          <w:sz w:val="24"/>
          <w:szCs w:val="24"/>
        </w:rPr>
        <w:t>n</w:t>
      </w:r>
      <w:r w:rsidRPr="009E11C1">
        <w:rPr>
          <w:sz w:val="24"/>
          <w:szCs w:val="24"/>
        </w:rPr>
        <w:t xml:space="preserve"> = 17) and 15% (</w:t>
      </w:r>
      <w:r w:rsidRPr="009E11C1">
        <w:rPr>
          <w:i/>
          <w:sz w:val="24"/>
          <w:szCs w:val="24"/>
        </w:rPr>
        <w:t>n</w:t>
      </w:r>
      <w:r w:rsidRPr="009E11C1">
        <w:rPr>
          <w:sz w:val="24"/>
          <w:szCs w:val="24"/>
        </w:rPr>
        <w:t xml:space="preserve"> = 10) identified as ‘not very’ and ‘not at all’ religious, respectively. Forty participants were enrolled in a single</w:t>
      </w:r>
      <w:r>
        <w:rPr>
          <w:sz w:val="24"/>
          <w:szCs w:val="24"/>
        </w:rPr>
        <w:t>-</w:t>
      </w:r>
      <w:r w:rsidRPr="009E11C1">
        <w:rPr>
          <w:sz w:val="24"/>
          <w:szCs w:val="24"/>
        </w:rPr>
        <w:t xml:space="preserve">honours bachelor’s degree (Psychology) programme, while 26 were enrolled </w:t>
      </w:r>
      <w:r>
        <w:rPr>
          <w:sz w:val="24"/>
          <w:szCs w:val="24"/>
        </w:rPr>
        <w:t>in</w:t>
      </w:r>
      <w:r w:rsidRPr="009E11C1">
        <w:rPr>
          <w:sz w:val="24"/>
          <w:szCs w:val="24"/>
        </w:rPr>
        <w:t xml:space="preserve"> a joint honours Bachelors omnibus degree. Ten participants responded knowing either a female-to-male (FtM) trans man or a male-to-female (MtF) trans woman. An institutional review board granted ethical approval for the research study and participation was voluntary. </w:t>
      </w:r>
    </w:p>
    <w:p w14:paraId="0E6EEEC0" w14:textId="77777777" w:rsidR="00877BAB" w:rsidRPr="009E11C1" w:rsidRDefault="00877BAB" w:rsidP="00877BAB">
      <w:pPr>
        <w:spacing w:line="360" w:lineRule="auto"/>
        <w:outlineLvl w:val="0"/>
        <w:rPr>
          <w:b/>
          <w:sz w:val="24"/>
          <w:szCs w:val="24"/>
        </w:rPr>
      </w:pPr>
      <w:r w:rsidRPr="009E11C1">
        <w:rPr>
          <w:b/>
          <w:sz w:val="24"/>
          <w:szCs w:val="24"/>
        </w:rPr>
        <w:t>Measures</w:t>
      </w:r>
    </w:p>
    <w:p w14:paraId="50CA05DA" w14:textId="77777777" w:rsidR="00877BAB" w:rsidRPr="009E11C1" w:rsidRDefault="00877BAB" w:rsidP="00877BAB">
      <w:pPr>
        <w:spacing w:line="360" w:lineRule="auto"/>
        <w:rPr>
          <w:sz w:val="24"/>
          <w:szCs w:val="24"/>
        </w:rPr>
      </w:pPr>
      <w:r w:rsidRPr="009E11C1">
        <w:rPr>
          <w:i/>
          <w:sz w:val="24"/>
          <w:szCs w:val="24"/>
        </w:rPr>
        <w:tab/>
      </w:r>
      <w:r w:rsidRPr="009E11C1">
        <w:rPr>
          <w:b/>
          <w:sz w:val="24"/>
          <w:szCs w:val="24"/>
        </w:rPr>
        <w:t>Demographics.</w:t>
      </w:r>
      <w:r w:rsidRPr="009E11C1">
        <w:rPr>
          <w:sz w:val="24"/>
          <w:szCs w:val="24"/>
        </w:rPr>
        <w:t xml:space="preserve"> Participants were requested to provide details of their: age, gender (e.g., male/female/other), course of study (e.g., what degree programme are you completing?), level of religiosity (e.g., how religious are you?</w:t>
      </w:r>
      <w:r>
        <w:rPr>
          <w:sz w:val="24"/>
          <w:szCs w:val="24"/>
        </w:rPr>
        <w:t xml:space="preserve"> 1 = very religious; 4 = not at all religious</w:t>
      </w:r>
      <w:r w:rsidRPr="009E11C1">
        <w:rPr>
          <w:sz w:val="24"/>
          <w:szCs w:val="24"/>
        </w:rPr>
        <w:t>), ethnicity (e.g., Caucasian, Black) and sexual orientation which was measured on a five-point Kinsey scale (e.g., 1 = exclusively heterosexual, 5 = exclusively homosexual). Participants were also asked whether they personally knew any transgender/ transsexual men or women</w:t>
      </w:r>
      <w:r>
        <w:rPr>
          <w:sz w:val="24"/>
          <w:szCs w:val="24"/>
        </w:rPr>
        <w:t xml:space="preserve"> (1 = Yes; 2 = No)</w:t>
      </w:r>
      <w:r w:rsidRPr="009E11C1">
        <w:rPr>
          <w:sz w:val="24"/>
          <w:szCs w:val="24"/>
        </w:rPr>
        <w:t>. No other personally identifying information was solicited.</w:t>
      </w:r>
    </w:p>
    <w:p w14:paraId="714F6EAF" w14:textId="77777777" w:rsidR="00877BAB" w:rsidRPr="009E11C1" w:rsidRDefault="00877BAB" w:rsidP="00877BAB">
      <w:pPr>
        <w:spacing w:line="360" w:lineRule="auto"/>
        <w:rPr>
          <w:sz w:val="24"/>
          <w:szCs w:val="24"/>
        </w:rPr>
      </w:pPr>
      <w:r w:rsidRPr="009E11C1">
        <w:rPr>
          <w:sz w:val="24"/>
          <w:szCs w:val="24"/>
        </w:rPr>
        <w:tab/>
      </w:r>
      <w:r w:rsidRPr="009E11C1">
        <w:rPr>
          <w:b/>
          <w:sz w:val="24"/>
          <w:szCs w:val="24"/>
        </w:rPr>
        <w:t xml:space="preserve">The Transphobia Scale </w:t>
      </w:r>
      <w:r w:rsidRPr="009E11C1">
        <w:rPr>
          <w:sz w:val="24"/>
          <w:szCs w:val="24"/>
        </w:rPr>
        <w:t>(TS; Nagoshi et al., 2008). The TS is a nine-item measure of prejudice towards trans people</w:t>
      </w:r>
      <w:r>
        <w:rPr>
          <w:sz w:val="24"/>
          <w:szCs w:val="24"/>
        </w:rPr>
        <w:t xml:space="preserve"> collectively (i.e., it does not differentiate between trans men and trans women)</w:t>
      </w:r>
      <w:r w:rsidRPr="009E11C1">
        <w:rPr>
          <w:sz w:val="24"/>
          <w:szCs w:val="24"/>
        </w:rPr>
        <w:t>. It measures levels of discomfort experienced by encountering individuals whose gender-identity and/or expression does not conform to gender norm conventions (e.g., I avoid people on the street whose gender is unclear to me)</w:t>
      </w:r>
      <w:r w:rsidRPr="009E11C1">
        <w:rPr>
          <w:i/>
          <w:sz w:val="24"/>
          <w:szCs w:val="24"/>
        </w:rPr>
        <w:t>.</w:t>
      </w:r>
      <w:r w:rsidRPr="009E11C1">
        <w:rPr>
          <w:sz w:val="24"/>
          <w:szCs w:val="24"/>
        </w:rPr>
        <w:t xml:space="preserve"> Responses are coded on a five-point Likert scale (1= strongly disagree; 5 = strongly agree) with higher scores indicative of greater </w:t>
      </w:r>
      <w:r>
        <w:rPr>
          <w:sz w:val="24"/>
          <w:szCs w:val="24"/>
        </w:rPr>
        <w:t>transnegativity</w:t>
      </w:r>
      <w:r w:rsidRPr="009E11C1">
        <w:rPr>
          <w:sz w:val="24"/>
          <w:szCs w:val="24"/>
        </w:rPr>
        <w:t xml:space="preserve"> (possible range is 9 to 45). Research suggests the scale is psychometrically sound. For example, Nagoshi et al. (2008) report good </w:t>
      </w:r>
      <w:r>
        <w:rPr>
          <w:sz w:val="24"/>
          <w:szCs w:val="24"/>
        </w:rPr>
        <w:t>scale-score reliability</w:t>
      </w:r>
      <w:r w:rsidRPr="009E11C1">
        <w:rPr>
          <w:sz w:val="24"/>
          <w:szCs w:val="24"/>
        </w:rPr>
        <w:t xml:space="preserve"> (Cronbach’s α = .82) and </w:t>
      </w:r>
      <w:r>
        <w:rPr>
          <w:sz w:val="24"/>
          <w:szCs w:val="24"/>
        </w:rPr>
        <w:t xml:space="preserve">convergent </w:t>
      </w:r>
      <w:r w:rsidRPr="009E11C1">
        <w:rPr>
          <w:sz w:val="24"/>
          <w:szCs w:val="24"/>
        </w:rPr>
        <w:t xml:space="preserve">validity; TS scores correlated positively with measures of homophobia and right wing authoritarianism.  </w:t>
      </w:r>
    </w:p>
    <w:p w14:paraId="0F561E65" w14:textId="77777777" w:rsidR="00877BAB" w:rsidRPr="009E11C1" w:rsidRDefault="00877BAB" w:rsidP="00877BAB">
      <w:pPr>
        <w:spacing w:line="360" w:lineRule="auto"/>
        <w:rPr>
          <w:sz w:val="24"/>
          <w:szCs w:val="24"/>
        </w:rPr>
      </w:pPr>
      <w:r w:rsidRPr="009E11C1">
        <w:rPr>
          <w:sz w:val="24"/>
          <w:szCs w:val="24"/>
        </w:rPr>
        <w:tab/>
      </w:r>
      <w:r w:rsidRPr="009E11C1">
        <w:rPr>
          <w:b/>
          <w:sz w:val="24"/>
          <w:szCs w:val="24"/>
        </w:rPr>
        <w:t>Heterosexuals’ Attitudes Towards Homosexuality Scale</w:t>
      </w:r>
      <w:r w:rsidRPr="009E11C1">
        <w:rPr>
          <w:sz w:val="24"/>
          <w:szCs w:val="24"/>
        </w:rPr>
        <w:t xml:space="preserve"> (HATH; Larsen, Reed, &amp; Hoffman, 1980).  The HATH is a 20-item measure which assesses levels of </w:t>
      </w:r>
      <w:r w:rsidRPr="009E11C1">
        <w:rPr>
          <w:i/>
          <w:sz w:val="24"/>
          <w:szCs w:val="24"/>
        </w:rPr>
        <w:t>old-fashioned</w:t>
      </w:r>
      <w:r w:rsidRPr="009E11C1">
        <w:rPr>
          <w:sz w:val="24"/>
          <w:szCs w:val="24"/>
        </w:rPr>
        <w:t xml:space="preserve"> homonegativity (e.g., Homosexuality endangers the institution of the family).  Responses are coded on a 5-point Likert scale (1= strongly disagree; 5 = strongly agree) with higher scores denoting greater levels of old-fashioned homonegativity (possible range is 20 to 100). The HATH has demonstrated good </w:t>
      </w:r>
      <w:r>
        <w:rPr>
          <w:sz w:val="24"/>
          <w:szCs w:val="24"/>
        </w:rPr>
        <w:t>scale-score reliability</w:t>
      </w:r>
      <w:r w:rsidRPr="009E11C1">
        <w:rPr>
          <w:sz w:val="24"/>
          <w:szCs w:val="24"/>
        </w:rPr>
        <w:t xml:space="preserve"> (e.g., Cronbach’s α = .94 [Whitley; 1988]) and the construct validity of the scale has been established through positive correlations with measures of religiosity and right-wing authoritarianism (Larsen et al., 1980).</w:t>
      </w:r>
    </w:p>
    <w:p w14:paraId="75D8D50A" w14:textId="22763E27" w:rsidR="00877BAB" w:rsidRPr="009E11C1" w:rsidRDefault="00877BAB" w:rsidP="00877BAB">
      <w:pPr>
        <w:spacing w:line="360" w:lineRule="auto"/>
        <w:rPr>
          <w:sz w:val="24"/>
          <w:szCs w:val="24"/>
        </w:rPr>
      </w:pPr>
      <w:r w:rsidRPr="009E11C1">
        <w:rPr>
          <w:sz w:val="24"/>
          <w:szCs w:val="24"/>
        </w:rPr>
        <w:tab/>
      </w:r>
      <w:r w:rsidRPr="009E11C1">
        <w:rPr>
          <w:b/>
          <w:sz w:val="24"/>
          <w:szCs w:val="24"/>
        </w:rPr>
        <w:t>Modern Homonegativity Scale</w:t>
      </w:r>
      <w:r w:rsidRPr="009E11C1">
        <w:rPr>
          <w:sz w:val="24"/>
          <w:szCs w:val="24"/>
        </w:rPr>
        <w:t xml:space="preserve"> (MHS; Morrison &amp; Morrison, 200</w:t>
      </w:r>
      <w:r>
        <w:rPr>
          <w:sz w:val="24"/>
          <w:szCs w:val="24"/>
        </w:rPr>
        <w:t>3</w:t>
      </w:r>
      <w:r w:rsidR="00F24452">
        <w:rPr>
          <w:sz w:val="24"/>
          <w:szCs w:val="24"/>
        </w:rPr>
        <w:t>)</w:t>
      </w:r>
      <w:r w:rsidRPr="009E11C1">
        <w:rPr>
          <w:sz w:val="24"/>
          <w:szCs w:val="24"/>
        </w:rPr>
        <w:t xml:space="preserve">. The MHS is a ten-item measure of </w:t>
      </w:r>
      <w:r w:rsidRPr="009E11C1">
        <w:rPr>
          <w:i/>
          <w:sz w:val="24"/>
          <w:szCs w:val="24"/>
        </w:rPr>
        <w:t>modern</w:t>
      </w:r>
      <w:r w:rsidRPr="009E11C1">
        <w:rPr>
          <w:sz w:val="24"/>
          <w:szCs w:val="24"/>
        </w:rPr>
        <w:t xml:space="preserve"> prejudice towards sexual minorities (e.g., Lesbian women do NOT have all of the rights that they need). Parallel gay (</w:t>
      </w:r>
      <w:r w:rsidRPr="009E11C1">
        <w:rPr>
          <w:i/>
          <w:sz w:val="24"/>
          <w:szCs w:val="24"/>
        </w:rPr>
        <w:t>n</w:t>
      </w:r>
      <w:r w:rsidRPr="009E11C1">
        <w:rPr>
          <w:sz w:val="24"/>
          <w:szCs w:val="24"/>
        </w:rPr>
        <w:t xml:space="preserve"> = 30) and lesbian (</w:t>
      </w:r>
      <w:r w:rsidRPr="009E11C1">
        <w:rPr>
          <w:i/>
          <w:sz w:val="24"/>
          <w:szCs w:val="24"/>
        </w:rPr>
        <w:t>n</w:t>
      </w:r>
      <w:r w:rsidRPr="009E11C1">
        <w:rPr>
          <w:sz w:val="24"/>
          <w:szCs w:val="24"/>
        </w:rPr>
        <w:t xml:space="preserve"> = 36) versions were distributed to participants. Responses are coded on a 5-point Likert scale (1= strongly disagree; 5 = strongly agree) with higher scores denoting greater levels of </w:t>
      </w:r>
      <w:r w:rsidRPr="009E11C1">
        <w:rPr>
          <w:i/>
          <w:sz w:val="24"/>
          <w:szCs w:val="24"/>
        </w:rPr>
        <w:t>modern</w:t>
      </w:r>
      <w:r w:rsidRPr="009E11C1">
        <w:rPr>
          <w:sz w:val="24"/>
          <w:szCs w:val="24"/>
        </w:rPr>
        <w:t xml:space="preserve"> prejudice towards sexual minorities (possible range is 10 to 50). Evidence of the psychometric soundness of the MHS is abundant (e.g., Morrison &amp; Morrison, 200</w:t>
      </w:r>
      <w:r>
        <w:rPr>
          <w:sz w:val="24"/>
          <w:szCs w:val="24"/>
        </w:rPr>
        <w:t>3</w:t>
      </w:r>
      <w:r w:rsidRPr="009E11C1">
        <w:rPr>
          <w:sz w:val="24"/>
          <w:szCs w:val="24"/>
        </w:rPr>
        <w:t xml:space="preserve">; Morrison, Morrison &amp; Franklin, 2009). For example, in relation to reliability, McDermott and Blair (2012) reported Cronbach’s α scores ranging from α = .90 – α = .94.  Evidence for the scale’s </w:t>
      </w:r>
      <w:r>
        <w:rPr>
          <w:sz w:val="24"/>
          <w:szCs w:val="24"/>
        </w:rPr>
        <w:t xml:space="preserve">convergent </w:t>
      </w:r>
      <w:r w:rsidRPr="009E11C1">
        <w:rPr>
          <w:sz w:val="24"/>
          <w:szCs w:val="24"/>
        </w:rPr>
        <w:t xml:space="preserve">validity has been provided through significant associations with the SDO and RWA (McDermott et al., 2012). </w:t>
      </w:r>
    </w:p>
    <w:p w14:paraId="1A71E45C" w14:textId="5AC44A46" w:rsidR="00877BAB" w:rsidRPr="009E11C1" w:rsidRDefault="00877BAB" w:rsidP="00877BAB">
      <w:pPr>
        <w:spacing w:line="360" w:lineRule="auto"/>
        <w:rPr>
          <w:sz w:val="24"/>
          <w:szCs w:val="24"/>
        </w:rPr>
      </w:pPr>
      <w:r w:rsidRPr="009E11C1">
        <w:rPr>
          <w:sz w:val="24"/>
          <w:szCs w:val="24"/>
        </w:rPr>
        <w:tab/>
      </w:r>
      <w:r w:rsidRPr="009E11C1">
        <w:rPr>
          <w:b/>
          <w:sz w:val="24"/>
          <w:szCs w:val="24"/>
        </w:rPr>
        <w:t>The Social Dominance Orientation Scale – Eight</w:t>
      </w:r>
      <w:r w:rsidRPr="009E11C1">
        <w:rPr>
          <w:sz w:val="24"/>
          <w:szCs w:val="24"/>
        </w:rPr>
        <w:t xml:space="preserve"> (SDO-8; Morrison et al., 2005; Pratto et al., 1994).  The SDO-8 measures preference for inequality among social groups (e.g., some people are just inferior to others). Responses are coded on a five-point Likert scale (1= strongly disagree; 5 = strongly agree) with higher scores indicating greater preference for inequality among social groups (possible range is 8 to 40)</w:t>
      </w:r>
      <w:r w:rsidR="00F24452">
        <w:rPr>
          <w:sz w:val="24"/>
          <w:szCs w:val="24"/>
        </w:rPr>
        <w:t>.</w:t>
      </w:r>
      <w:r w:rsidRPr="009E11C1">
        <w:rPr>
          <w:sz w:val="24"/>
          <w:szCs w:val="24"/>
        </w:rPr>
        <w:t xml:space="preserve"> Morrison et al. (2005) provide evidence of the utility of this measure and demonstrated its </w:t>
      </w:r>
      <w:r>
        <w:rPr>
          <w:sz w:val="24"/>
          <w:szCs w:val="24"/>
        </w:rPr>
        <w:t>scale-score reliability</w:t>
      </w:r>
      <w:r w:rsidRPr="009E11C1">
        <w:rPr>
          <w:sz w:val="24"/>
          <w:szCs w:val="24"/>
        </w:rPr>
        <w:t xml:space="preserve"> (α = .86) and </w:t>
      </w:r>
      <w:r>
        <w:rPr>
          <w:sz w:val="24"/>
          <w:szCs w:val="24"/>
        </w:rPr>
        <w:t>convergent</w:t>
      </w:r>
      <w:r w:rsidRPr="009E11C1">
        <w:rPr>
          <w:sz w:val="24"/>
          <w:szCs w:val="24"/>
        </w:rPr>
        <w:t xml:space="preserve"> validity. For example, the SDO-8 correlated negatively with support for the civil rights of sexual minorities and positively with traditional racism.</w:t>
      </w:r>
    </w:p>
    <w:p w14:paraId="1E525D7D" w14:textId="77777777" w:rsidR="00877BAB" w:rsidRPr="009E11C1" w:rsidRDefault="00877BAB" w:rsidP="00877BAB">
      <w:pPr>
        <w:spacing w:line="360" w:lineRule="auto"/>
        <w:outlineLvl w:val="0"/>
        <w:rPr>
          <w:b/>
          <w:sz w:val="24"/>
          <w:szCs w:val="24"/>
        </w:rPr>
      </w:pPr>
      <w:r w:rsidRPr="009E11C1">
        <w:rPr>
          <w:b/>
          <w:sz w:val="24"/>
          <w:szCs w:val="24"/>
        </w:rPr>
        <w:t>Procedure</w:t>
      </w:r>
    </w:p>
    <w:p w14:paraId="58D94380" w14:textId="7DC1286A" w:rsidR="00877BAB" w:rsidRPr="009E11C1" w:rsidRDefault="00877BAB" w:rsidP="00877BAB">
      <w:pPr>
        <w:spacing w:line="360" w:lineRule="auto"/>
        <w:rPr>
          <w:sz w:val="24"/>
          <w:szCs w:val="24"/>
        </w:rPr>
      </w:pPr>
      <w:r w:rsidRPr="009E11C1">
        <w:rPr>
          <w:sz w:val="24"/>
          <w:szCs w:val="24"/>
        </w:rPr>
        <w:tab/>
        <w:t xml:space="preserve">The data were collected as part of a pedagogic exercise exploring the malleability of attitudes that was incorporated into the curriculum of an undergraduate module delivered by the first author. Participation was voluntary with no incentives offered beyond a 1% bonus course credit for those who took part. Measurement of </w:t>
      </w:r>
      <w:r>
        <w:rPr>
          <w:sz w:val="24"/>
          <w:szCs w:val="24"/>
        </w:rPr>
        <w:t>transnegativity</w:t>
      </w:r>
      <w:r w:rsidRPr="009E11C1">
        <w:rPr>
          <w:sz w:val="24"/>
          <w:szCs w:val="24"/>
        </w:rPr>
        <w:t xml:space="preserve"> occurred at three separate time points: teaching weeks one, five, and </w:t>
      </w:r>
      <w:r w:rsidR="00F24452">
        <w:rPr>
          <w:sz w:val="24"/>
          <w:szCs w:val="24"/>
        </w:rPr>
        <w:t>twelve</w:t>
      </w:r>
      <w:r w:rsidRPr="009E11C1">
        <w:rPr>
          <w:sz w:val="24"/>
          <w:szCs w:val="24"/>
        </w:rPr>
        <w:t xml:space="preserve">. Measurements of all other constructs (i.e., homonegativity and social dominance) occurred twice: teaching weeks one and five. At the final time point (week 12) </w:t>
      </w:r>
      <w:r>
        <w:rPr>
          <w:sz w:val="24"/>
          <w:szCs w:val="24"/>
        </w:rPr>
        <w:t>transnegativity</w:t>
      </w:r>
      <w:r w:rsidRPr="009E11C1">
        <w:rPr>
          <w:sz w:val="24"/>
          <w:szCs w:val="24"/>
        </w:rPr>
        <w:t xml:space="preserve"> was measured independently; this was to empirically test for a rebound effect. Data were collected immediately at the end of each timetabled lecture period and, in an effort to mitigate demand characteristics, the order in which scales were completed was randomised, with items from all measures interspersed throughout the questionnaire pack.</w:t>
      </w:r>
    </w:p>
    <w:p w14:paraId="21FF5D18" w14:textId="77777777" w:rsidR="00877BAB" w:rsidRPr="009E11C1" w:rsidRDefault="00877BAB" w:rsidP="00877BAB">
      <w:pPr>
        <w:spacing w:line="360" w:lineRule="auto"/>
        <w:rPr>
          <w:sz w:val="24"/>
          <w:szCs w:val="24"/>
        </w:rPr>
      </w:pPr>
      <w:r w:rsidRPr="009E11C1">
        <w:rPr>
          <w:sz w:val="24"/>
          <w:szCs w:val="24"/>
        </w:rPr>
        <w:tab/>
        <w:t>Volunteers were invited to take part at the very start of the course’s introductory lecture. The entire cohort was informed that data solicited from those who volunteered would be used to examine the “</w:t>
      </w:r>
      <w:r w:rsidRPr="009E11C1">
        <w:rPr>
          <w:i/>
          <w:sz w:val="24"/>
          <w:szCs w:val="24"/>
        </w:rPr>
        <w:t>temporal stability of psychometric measures over the course of a semester</w:t>
      </w:r>
      <w:r w:rsidRPr="009E11C1">
        <w:rPr>
          <w:sz w:val="24"/>
          <w:szCs w:val="24"/>
        </w:rPr>
        <w:t xml:space="preserve">” and were informed that their data would be presented, in aggregate form, during the module’s final lecture, following their final assessment. Baseline measurement occurred immediately, at the outset of the introductory lecture, prior to any specific module content delivery. </w:t>
      </w:r>
    </w:p>
    <w:p w14:paraId="5CA32228" w14:textId="51B88DB9" w:rsidR="00877BAB" w:rsidRPr="009E11C1" w:rsidRDefault="00877BAB" w:rsidP="00877BAB">
      <w:pPr>
        <w:spacing w:line="360" w:lineRule="auto"/>
        <w:rPr>
          <w:sz w:val="24"/>
          <w:szCs w:val="24"/>
        </w:rPr>
      </w:pPr>
      <w:r w:rsidRPr="009E11C1">
        <w:rPr>
          <w:sz w:val="24"/>
          <w:szCs w:val="24"/>
        </w:rPr>
        <w:tab/>
        <w:t xml:space="preserve">The subsequent intervention consisted of two separate presentations </w:t>
      </w:r>
      <w:r>
        <w:rPr>
          <w:sz w:val="24"/>
          <w:szCs w:val="24"/>
        </w:rPr>
        <w:t>on trans related content</w:t>
      </w:r>
      <w:r w:rsidRPr="009E11C1">
        <w:rPr>
          <w:sz w:val="24"/>
          <w:szCs w:val="24"/>
        </w:rPr>
        <w:t>. In teaching week four, a presentation of the film ‘</w:t>
      </w:r>
      <w:r w:rsidRPr="009E11C1">
        <w:rPr>
          <w:i/>
          <w:sz w:val="24"/>
          <w:szCs w:val="24"/>
        </w:rPr>
        <w:t>Soldier’s Girl</w:t>
      </w:r>
      <w:r w:rsidRPr="009E11C1">
        <w:rPr>
          <w:sz w:val="24"/>
          <w:szCs w:val="24"/>
        </w:rPr>
        <w:t>’ occurred during timetabled teaching (i.e., mediated contact). This autobiographical production depicts the events surrounding the relationship between Calpernia Addams, a pre-operative trans woman, and Barry Winchell, a cisgender self-identified heterosexual US army soldier. The feature</w:t>
      </w:r>
      <w:r w:rsidR="00F24452">
        <w:rPr>
          <w:sz w:val="24"/>
          <w:szCs w:val="24"/>
        </w:rPr>
        <w:t xml:space="preserve"> </w:t>
      </w:r>
      <w:r w:rsidRPr="009E11C1">
        <w:rPr>
          <w:sz w:val="24"/>
          <w:szCs w:val="24"/>
        </w:rPr>
        <w:t xml:space="preserve">length </w:t>
      </w:r>
      <w:r w:rsidR="00F24452">
        <w:rPr>
          <w:sz w:val="24"/>
          <w:szCs w:val="24"/>
        </w:rPr>
        <w:t>film</w:t>
      </w:r>
      <w:r w:rsidR="00F24452" w:rsidRPr="009E11C1">
        <w:rPr>
          <w:sz w:val="24"/>
          <w:szCs w:val="24"/>
        </w:rPr>
        <w:t xml:space="preserve"> </w:t>
      </w:r>
      <w:r w:rsidRPr="009E11C1">
        <w:rPr>
          <w:sz w:val="24"/>
          <w:szCs w:val="24"/>
        </w:rPr>
        <w:t>details Winchell’s murder by a fellow soldier, an attack that was attributed to Winchell’s intimate relationship with Ad</w:t>
      </w:r>
      <w:r w:rsidR="00F24452">
        <w:rPr>
          <w:sz w:val="24"/>
          <w:szCs w:val="24"/>
        </w:rPr>
        <w:t>d</w:t>
      </w:r>
      <w:r w:rsidRPr="009E11C1">
        <w:rPr>
          <w:sz w:val="24"/>
          <w:szCs w:val="24"/>
        </w:rPr>
        <w:t xml:space="preserve">ams. </w:t>
      </w:r>
      <w:r>
        <w:rPr>
          <w:sz w:val="24"/>
          <w:szCs w:val="24"/>
        </w:rPr>
        <w:t xml:space="preserve">This film was selected for its focus on transnegativity and for its secondary themes of homonegativity and traditional gender role expectations – topics which formed part of the curriculum for this module. </w:t>
      </w:r>
      <w:r w:rsidRPr="009E11C1">
        <w:rPr>
          <w:sz w:val="24"/>
          <w:szCs w:val="24"/>
        </w:rPr>
        <w:t>Subsequently, one week later (</w:t>
      </w:r>
      <w:r>
        <w:rPr>
          <w:sz w:val="24"/>
          <w:szCs w:val="24"/>
        </w:rPr>
        <w:t>week 5</w:t>
      </w:r>
      <w:r w:rsidRPr="009E11C1">
        <w:rPr>
          <w:sz w:val="24"/>
          <w:szCs w:val="24"/>
        </w:rPr>
        <w:t xml:space="preserve">), an invited panel of speakers from the Transgender Equality Network of Ireland (TENI) delivered a two-hour seminar and question and answer session during timetabled teaching (i.e., indirect contact). The panel consisted of three speakers, a self-identified gender-queer person in their thirties, a sixty-year-old post-operative MtF trans woman who had transitioned five years prior, and a cisgender female in her thirties. The </w:t>
      </w:r>
      <w:r>
        <w:rPr>
          <w:sz w:val="24"/>
          <w:szCs w:val="24"/>
        </w:rPr>
        <w:t>students</w:t>
      </w:r>
      <w:r w:rsidRPr="009E11C1">
        <w:rPr>
          <w:sz w:val="24"/>
          <w:szCs w:val="24"/>
        </w:rPr>
        <w:t xml:space="preserve"> in attendance were encouraged, by the speakers, to be “candid, yet respectful” with their questions. At the end of this session, volunteers completed the questionnaire battery a second time. </w:t>
      </w:r>
      <w:r>
        <w:rPr>
          <w:sz w:val="24"/>
          <w:szCs w:val="24"/>
        </w:rPr>
        <w:t>The</w:t>
      </w:r>
      <w:r w:rsidRPr="009E11C1">
        <w:rPr>
          <w:sz w:val="24"/>
          <w:szCs w:val="24"/>
        </w:rPr>
        <w:t xml:space="preserve"> decision </w:t>
      </w:r>
      <w:r>
        <w:rPr>
          <w:sz w:val="24"/>
          <w:szCs w:val="24"/>
        </w:rPr>
        <w:t>was made</w:t>
      </w:r>
      <w:r w:rsidRPr="009E11C1">
        <w:rPr>
          <w:sz w:val="24"/>
          <w:szCs w:val="24"/>
        </w:rPr>
        <w:t xml:space="preserve"> </w:t>
      </w:r>
      <w:r>
        <w:rPr>
          <w:sz w:val="24"/>
          <w:szCs w:val="24"/>
        </w:rPr>
        <w:t>not</w:t>
      </w:r>
      <w:r w:rsidRPr="009E11C1">
        <w:rPr>
          <w:sz w:val="24"/>
          <w:szCs w:val="24"/>
        </w:rPr>
        <w:t xml:space="preserve"> </w:t>
      </w:r>
      <w:r w:rsidRPr="00537D64">
        <w:rPr>
          <w:sz w:val="24"/>
          <w:szCs w:val="24"/>
        </w:rPr>
        <w:t>to</w:t>
      </w:r>
      <w:r w:rsidRPr="00874A97">
        <w:rPr>
          <w:sz w:val="24"/>
          <w:szCs w:val="24"/>
        </w:rPr>
        <w:t xml:space="preserve"> </w:t>
      </w:r>
      <w:r w:rsidRPr="009E11C1">
        <w:rPr>
          <w:sz w:val="24"/>
          <w:szCs w:val="24"/>
        </w:rPr>
        <w:t xml:space="preserve">measure </w:t>
      </w:r>
      <w:r>
        <w:rPr>
          <w:sz w:val="24"/>
          <w:szCs w:val="24"/>
        </w:rPr>
        <w:t>transnegativity</w:t>
      </w:r>
      <w:r w:rsidRPr="009E11C1">
        <w:rPr>
          <w:sz w:val="24"/>
          <w:szCs w:val="24"/>
        </w:rPr>
        <w:t xml:space="preserve"> after each intervention session in order to avoid participant fatigue effects and minimise familiarity with the measures. The remaining seven weeks of lecture materials focussed on topics whose content made no specific reference to transgender or transsexual issues</w:t>
      </w:r>
      <w:r>
        <w:rPr>
          <w:sz w:val="24"/>
          <w:szCs w:val="24"/>
        </w:rPr>
        <w:t xml:space="preserve"> (e.g., sexual dysfunction)</w:t>
      </w:r>
      <w:r w:rsidRPr="009E11C1">
        <w:rPr>
          <w:sz w:val="24"/>
          <w:szCs w:val="24"/>
        </w:rPr>
        <w:t xml:space="preserve">. Finally, in conjunction with module evaluation, volunteers completed the </w:t>
      </w:r>
      <w:r>
        <w:rPr>
          <w:sz w:val="24"/>
          <w:szCs w:val="24"/>
        </w:rPr>
        <w:t>transnegativity</w:t>
      </w:r>
      <w:r w:rsidRPr="009E11C1">
        <w:rPr>
          <w:sz w:val="24"/>
          <w:szCs w:val="24"/>
        </w:rPr>
        <w:t xml:space="preserve"> scale for a third and final time in week 12. Preliminary results were prepared and reported to the entire cohort via an outline on the course’s virtual learning environment.</w:t>
      </w:r>
    </w:p>
    <w:p w14:paraId="79623A76" w14:textId="77777777" w:rsidR="00877BAB" w:rsidRPr="009E11C1" w:rsidRDefault="00877BAB" w:rsidP="00877BAB">
      <w:pPr>
        <w:spacing w:line="360" w:lineRule="auto"/>
        <w:jc w:val="center"/>
        <w:outlineLvl w:val="0"/>
        <w:rPr>
          <w:b/>
          <w:sz w:val="24"/>
          <w:szCs w:val="24"/>
        </w:rPr>
      </w:pPr>
      <w:r w:rsidRPr="009E11C1">
        <w:rPr>
          <w:b/>
          <w:sz w:val="24"/>
          <w:szCs w:val="24"/>
        </w:rPr>
        <w:t>Results</w:t>
      </w:r>
    </w:p>
    <w:p w14:paraId="4869AA37" w14:textId="77777777" w:rsidR="00877BAB" w:rsidRPr="009E11C1" w:rsidRDefault="00877BAB" w:rsidP="00877BAB">
      <w:pPr>
        <w:spacing w:line="360" w:lineRule="auto"/>
        <w:outlineLvl w:val="0"/>
        <w:rPr>
          <w:b/>
          <w:sz w:val="24"/>
          <w:szCs w:val="24"/>
        </w:rPr>
      </w:pPr>
      <w:r w:rsidRPr="009E11C1">
        <w:rPr>
          <w:b/>
          <w:sz w:val="24"/>
          <w:szCs w:val="24"/>
        </w:rPr>
        <w:t>Descriptive Statistics</w:t>
      </w:r>
    </w:p>
    <w:p w14:paraId="18B3E8CF" w14:textId="77777777" w:rsidR="00877BAB" w:rsidRPr="009E11C1" w:rsidRDefault="00877BAB" w:rsidP="00877BAB">
      <w:pPr>
        <w:spacing w:line="360" w:lineRule="auto"/>
        <w:ind w:firstLine="720"/>
        <w:rPr>
          <w:sz w:val="24"/>
          <w:szCs w:val="24"/>
        </w:rPr>
      </w:pPr>
      <w:r w:rsidRPr="009E11C1">
        <w:rPr>
          <w:sz w:val="24"/>
          <w:szCs w:val="24"/>
        </w:rPr>
        <w:t xml:space="preserve">Table 1 provides the mean and standard deviation (SD) scores for all measures used stratified according to time-point. At baseline, levels of self-reported </w:t>
      </w:r>
      <w:r>
        <w:rPr>
          <w:sz w:val="24"/>
          <w:szCs w:val="24"/>
        </w:rPr>
        <w:t>transnegativity</w:t>
      </w:r>
      <w:r w:rsidRPr="009E11C1">
        <w:rPr>
          <w:sz w:val="24"/>
          <w:szCs w:val="24"/>
        </w:rPr>
        <w:t xml:space="preserve">, and homonegativity </w:t>
      </w:r>
      <w:r>
        <w:rPr>
          <w:sz w:val="24"/>
          <w:szCs w:val="24"/>
        </w:rPr>
        <w:t>fell slightly below</w:t>
      </w:r>
      <w:r w:rsidRPr="009E11C1">
        <w:rPr>
          <w:sz w:val="24"/>
          <w:szCs w:val="24"/>
        </w:rPr>
        <w:t xml:space="preserve"> scale midpoints. Levels of old-fashioned homonegativity and social dominance orientation tended to fall near the lower end of the scales, indicative of low levels of old-fashioned homonegativity and lower support for social inequality. At subsequent measurement points, mean levels of </w:t>
      </w:r>
      <w:r>
        <w:rPr>
          <w:sz w:val="24"/>
          <w:szCs w:val="24"/>
        </w:rPr>
        <w:t>transnegativity</w:t>
      </w:r>
      <w:r w:rsidRPr="009E11C1">
        <w:rPr>
          <w:sz w:val="24"/>
          <w:szCs w:val="24"/>
        </w:rPr>
        <w:t xml:space="preserve">, modern homonegativity and social dominance orientation decreased, while responses to the HATH appeared more stable. Table 2 provides the </w:t>
      </w:r>
      <w:r>
        <w:rPr>
          <w:sz w:val="24"/>
          <w:szCs w:val="24"/>
        </w:rPr>
        <w:t>scale-score reliability</w:t>
      </w:r>
      <w:r w:rsidRPr="009E11C1">
        <w:rPr>
          <w:sz w:val="24"/>
          <w:szCs w:val="24"/>
        </w:rPr>
        <w:t xml:space="preserve"> scores (and confidence intervals) for each of the measures used. </w:t>
      </w:r>
    </w:p>
    <w:p w14:paraId="48F70518" w14:textId="77777777" w:rsidR="00877BAB" w:rsidRPr="009E11C1" w:rsidRDefault="00877BAB" w:rsidP="00877BAB">
      <w:pPr>
        <w:spacing w:line="360" w:lineRule="auto"/>
        <w:jc w:val="center"/>
        <w:rPr>
          <w:sz w:val="24"/>
          <w:szCs w:val="24"/>
        </w:rPr>
      </w:pPr>
      <w:r w:rsidRPr="009E11C1">
        <w:rPr>
          <w:sz w:val="24"/>
          <w:szCs w:val="24"/>
        </w:rPr>
        <w:t>------------------------------------------------------------</w:t>
      </w:r>
    </w:p>
    <w:p w14:paraId="478B56E4" w14:textId="77777777" w:rsidR="00877BAB" w:rsidRPr="009E11C1" w:rsidRDefault="00877BAB" w:rsidP="00877BAB">
      <w:pPr>
        <w:spacing w:line="360" w:lineRule="auto"/>
        <w:jc w:val="center"/>
        <w:outlineLvl w:val="0"/>
        <w:rPr>
          <w:sz w:val="24"/>
          <w:szCs w:val="24"/>
        </w:rPr>
      </w:pPr>
      <w:r w:rsidRPr="009E11C1">
        <w:rPr>
          <w:sz w:val="24"/>
          <w:szCs w:val="24"/>
        </w:rPr>
        <w:t>INSERT TABLE 1 AROUND HERE</w:t>
      </w:r>
    </w:p>
    <w:p w14:paraId="47913541" w14:textId="77777777" w:rsidR="00877BAB" w:rsidRPr="009E11C1" w:rsidRDefault="00877BAB" w:rsidP="00877BAB">
      <w:pPr>
        <w:spacing w:line="360" w:lineRule="auto"/>
        <w:jc w:val="center"/>
        <w:rPr>
          <w:sz w:val="24"/>
          <w:szCs w:val="24"/>
        </w:rPr>
      </w:pPr>
      <w:r w:rsidRPr="009E11C1">
        <w:rPr>
          <w:sz w:val="24"/>
          <w:szCs w:val="24"/>
        </w:rPr>
        <w:t>------------------------------------------------------------</w:t>
      </w:r>
    </w:p>
    <w:p w14:paraId="28B4E2F2" w14:textId="77777777" w:rsidR="00877BAB" w:rsidRPr="009E11C1" w:rsidRDefault="00877BAB" w:rsidP="00877BAB">
      <w:pPr>
        <w:spacing w:line="360" w:lineRule="auto"/>
        <w:jc w:val="center"/>
        <w:rPr>
          <w:sz w:val="24"/>
          <w:szCs w:val="24"/>
        </w:rPr>
      </w:pPr>
    </w:p>
    <w:p w14:paraId="3E7319B5" w14:textId="77777777" w:rsidR="00877BAB" w:rsidRPr="009E11C1" w:rsidRDefault="00877BAB" w:rsidP="00877BAB">
      <w:pPr>
        <w:spacing w:line="360" w:lineRule="auto"/>
        <w:jc w:val="center"/>
        <w:rPr>
          <w:sz w:val="24"/>
          <w:szCs w:val="24"/>
        </w:rPr>
      </w:pPr>
      <w:r w:rsidRPr="009E11C1">
        <w:rPr>
          <w:sz w:val="24"/>
          <w:szCs w:val="24"/>
        </w:rPr>
        <w:t>------------------------------------------------------------</w:t>
      </w:r>
    </w:p>
    <w:p w14:paraId="60AE0CA5" w14:textId="77777777" w:rsidR="00877BAB" w:rsidRPr="009E11C1" w:rsidRDefault="00877BAB" w:rsidP="00877BAB">
      <w:pPr>
        <w:spacing w:line="360" w:lineRule="auto"/>
        <w:jc w:val="center"/>
        <w:outlineLvl w:val="0"/>
        <w:rPr>
          <w:sz w:val="24"/>
          <w:szCs w:val="24"/>
        </w:rPr>
      </w:pPr>
      <w:r w:rsidRPr="009E11C1">
        <w:rPr>
          <w:sz w:val="24"/>
          <w:szCs w:val="24"/>
        </w:rPr>
        <w:t>INSERT TABLE 2 AROUND HERE</w:t>
      </w:r>
    </w:p>
    <w:p w14:paraId="1027F242" w14:textId="77777777" w:rsidR="00877BAB" w:rsidRPr="009E11C1" w:rsidRDefault="00877BAB" w:rsidP="00877BAB">
      <w:pPr>
        <w:spacing w:line="360" w:lineRule="auto"/>
        <w:jc w:val="center"/>
        <w:rPr>
          <w:sz w:val="24"/>
          <w:szCs w:val="24"/>
        </w:rPr>
      </w:pPr>
      <w:r w:rsidRPr="009E11C1">
        <w:rPr>
          <w:sz w:val="24"/>
          <w:szCs w:val="24"/>
        </w:rPr>
        <w:t>-------------------------------------------------------------</w:t>
      </w:r>
    </w:p>
    <w:p w14:paraId="6785790F" w14:textId="77777777" w:rsidR="00877BAB" w:rsidRPr="009E11C1" w:rsidRDefault="00877BAB" w:rsidP="00877BAB">
      <w:pPr>
        <w:spacing w:line="360" w:lineRule="auto"/>
        <w:outlineLvl w:val="0"/>
        <w:rPr>
          <w:b/>
          <w:sz w:val="24"/>
          <w:szCs w:val="24"/>
        </w:rPr>
      </w:pPr>
      <w:r w:rsidRPr="009E11C1">
        <w:rPr>
          <w:b/>
          <w:sz w:val="24"/>
          <w:szCs w:val="24"/>
        </w:rPr>
        <w:t>Inferential Statistics</w:t>
      </w:r>
    </w:p>
    <w:p w14:paraId="06821F4D" w14:textId="0E43BC91" w:rsidR="00877BAB" w:rsidRPr="009E11C1" w:rsidRDefault="00877BAB" w:rsidP="00877BAB">
      <w:pPr>
        <w:spacing w:line="360" w:lineRule="auto"/>
        <w:rPr>
          <w:sz w:val="24"/>
          <w:szCs w:val="24"/>
        </w:rPr>
      </w:pPr>
      <w:r w:rsidRPr="009E11C1">
        <w:rPr>
          <w:sz w:val="24"/>
          <w:szCs w:val="24"/>
        </w:rPr>
        <w:tab/>
        <w:t xml:space="preserve">In order to test H1, a repeated-measures Analysis of Covariance (ANCOVA), with TS scores serving as the dependent variable and time point serving as the independent variable, was conducted. </w:t>
      </w:r>
      <w:r>
        <w:rPr>
          <w:sz w:val="24"/>
          <w:szCs w:val="24"/>
        </w:rPr>
        <w:t xml:space="preserve">As </w:t>
      </w:r>
      <w:r w:rsidRPr="003E5426">
        <w:rPr>
          <w:sz w:val="24"/>
          <w:szCs w:val="24"/>
        </w:rPr>
        <w:t xml:space="preserve">knowing a trans </w:t>
      </w:r>
      <w:r>
        <w:rPr>
          <w:sz w:val="24"/>
          <w:szCs w:val="24"/>
        </w:rPr>
        <w:t>man or woman</w:t>
      </w:r>
      <w:r w:rsidRPr="003E5426">
        <w:rPr>
          <w:sz w:val="24"/>
          <w:szCs w:val="24"/>
        </w:rPr>
        <w:t xml:space="preserve"> </w:t>
      </w:r>
      <w:r>
        <w:rPr>
          <w:sz w:val="24"/>
          <w:szCs w:val="24"/>
        </w:rPr>
        <w:t>correlated</w:t>
      </w:r>
      <w:r w:rsidR="00F24452">
        <w:rPr>
          <w:sz w:val="24"/>
          <w:szCs w:val="24"/>
        </w:rPr>
        <w:t xml:space="preserve"> positively</w:t>
      </w:r>
      <w:r>
        <w:rPr>
          <w:sz w:val="24"/>
          <w:szCs w:val="24"/>
        </w:rPr>
        <w:t xml:space="preserve"> with TS scores, a collapsed ‘knowing a trans person’ variable was calculated</w:t>
      </w:r>
      <w:r w:rsidRPr="009E11C1">
        <w:rPr>
          <w:sz w:val="24"/>
          <w:szCs w:val="24"/>
        </w:rPr>
        <w:t xml:space="preserve"> (Yes = 1, No = </w:t>
      </w:r>
      <w:r>
        <w:rPr>
          <w:sz w:val="24"/>
          <w:szCs w:val="24"/>
        </w:rPr>
        <w:t>0</w:t>
      </w:r>
      <w:r w:rsidRPr="009E11C1">
        <w:rPr>
          <w:sz w:val="24"/>
          <w:szCs w:val="24"/>
        </w:rPr>
        <w:t xml:space="preserve">) </w:t>
      </w:r>
      <w:r>
        <w:rPr>
          <w:sz w:val="24"/>
          <w:szCs w:val="24"/>
        </w:rPr>
        <w:t xml:space="preserve">and </w:t>
      </w:r>
      <w:r w:rsidRPr="009E11C1">
        <w:rPr>
          <w:sz w:val="24"/>
          <w:szCs w:val="24"/>
        </w:rPr>
        <w:t xml:space="preserve">included as a covariate in order to statistically control for </w:t>
      </w:r>
      <w:r>
        <w:rPr>
          <w:sz w:val="24"/>
          <w:szCs w:val="24"/>
        </w:rPr>
        <w:t xml:space="preserve">its potential impact </w:t>
      </w:r>
      <w:r w:rsidRPr="009E11C1">
        <w:rPr>
          <w:sz w:val="24"/>
          <w:szCs w:val="24"/>
        </w:rPr>
        <w:t xml:space="preserve">on the intervention. In support of H1a, a significant main effect for time point was apparent </w:t>
      </w:r>
      <w:r w:rsidRPr="009E11C1">
        <w:rPr>
          <w:i/>
          <w:sz w:val="24"/>
          <w:szCs w:val="24"/>
        </w:rPr>
        <w:t>F</w:t>
      </w:r>
      <w:r w:rsidRPr="009E11C1">
        <w:rPr>
          <w:sz w:val="24"/>
          <w:szCs w:val="24"/>
          <w:vertAlign w:val="subscript"/>
        </w:rPr>
        <w:t>(2, 128)</w:t>
      </w:r>
      <w:r w:rsidRPr="009E11C1">
        <w:rPr>
          <w:sz w:val="24"/>
          <w:szCs w:val="24"/>
        </w:rPr>
        <w:t xml:space="preserve"> = 7.28 </w:t>
      </w:r>
      <w:r w:rsidRPr="009E11C1">
        <w:rPr>
          <w:i/>
          <w:sz w:val="24"/>
          <w:szCs w:val="24"/>
        </w:rPr>
        <w:t>p</w:t>
      </w:r>
      <w:r w:rsidRPr="009E11C1">
        <w:rPr>
          <w:sz w:val="24"/>
          <w:szCs w:val="24"/>
        </w:rPr>
        <w:t xml:space="preserve"> &lt; .001, Partial η</w:t>
      </w:r>
      <w:r w:rsidRPr="009E11C1">
        <w:rPr>
          <w:sz w:val="24"/>
          <w:szCs w:val="24"/>
          <w:vertAlign w:val="superscript"/>
        </w:rPr>
        <w:t>2</w:t>
      </w:r>
      <w:r w:rsidRPr="009E11C1">
        <w:rPr>
          <w:sz w:val="24"/>
          <w:szCs w:val="24"/>
        </w:rPr>
        <w:t xml:space="preserve"> = .10. This result implies that a difference in levels of </w:t>
      </w:r>
      <w:r>
        <w:rPr>
          <w:sz w:val="24"/>
          <w:szCs w:val="24"/>
        </w:rPr>
        <w:t>transnegativity</w:t>
      </w:r>
      <w:r w:rsidRPr="009E11C1">
        <w:rPr>
          <w:sz w:val="24"/>
          <w:szCs w:val="24"/>
        </w:rPr>
        <w:t xml:space="preserve"> did emerge across the time-points. To further investigate this main effect and test H1b, a trio of Bonferroni corrected pairwise comparisons were conducted</w:t>
      </w:r>
      <w:r>
        <w:rPr>
          <w:sz w:val="24"/>
          <w:szCs w:val="24"/>
        </w:rPr>
        <w:t xml:space="preserve"> (Field, 2013)</w:t>
      </w:r>
      <w:r w:rsidRPr="009E11C1">
        <w:rPr>
          <w:sz w:val="24"/>
          <w:szCs w:val="24"/>
        </w:rPr>
        <w:t>. These analyses demonstrated that significant differences were apparent between baseline TS scores (</w:t>
      </w:r>
      <w:r w:rsidRPr="009E11C1">
        <w:rPr>
          <w:i/>
          <w:sz w:val="24"/>
          <w:szCs w:val="24"/>
        </w:rPr>
        <w:t>M</w:t>
      </w:r>
      <w:r w:rsidRPr="009E11C1">
        <w:rPr>
          <w:sz w:val="24"/>
          <w:szCs w:val="24"/>
        </w:rPr>
        <w:t xml:space="preserve"> = 22.47, </w:t>
      </w:r>
      <w:r w:rsidRPr="009E11C1">
        <w:rPr>
          <w:i/>
          <w:sz w:val="24"/>
          <w:szCs w:val="24"/>
        </w:rPr>
        <w:t>SD</w:t>
      </w:r>
      <w:r w:rsidRPr="009E11C1">
        <w:rPr>
          <w:sz w:val="24"/>
          <w:szCs w:val="24"/>
        </w:rPr>
        <w:t xml:space="preserve"> = 5.25) and both </w:t>
      </w:r>
      <w:r>
        <w:rPr>
          <w:sz w:val="24"/>
          <w:szCs w:val="24"/>
        </w:rPr>
        <w:t>week 5</w:t>
      </w:r>
      <w:r w:rsidRPr="009E11C1">
        <w:rPr>
          <w:sz w:val="24"/>
          <w:szCs w:val="24"/>
        </w:rPr>
        <w:t xml:space="preserve"> TS scores (</w:t>
      </w:r>
      <w:r w:rsidRPr="009E11C1">
        <w:rPr>
          <w:i/>
          <w:sz w:val="24"/>
          <w:szCs w:val="24"/>
        </w:rPr>
        <w:t xml:space="preserve">M </w:t>
      </w:r>
      <w:r w:rsidRPr="009E11C1">
        <w:rPr>
          <w:sz w:val="24"/>
          <w:szCs w:val="24"/>
        </w:rPr>
        <w:t xml:space="preserve">= 20.80, </w:t>
      </w:r>
      <w:r w:rsidRPr="009E11C1">
        <w:rPr>
          <w:i/>
          <w:sz w:val="24"/>
          <w:szCs w:val="24"/>
        </w:rPr>
        <w:t xml:space="preserve">SD </w:t>
      </w:r>
      <w:r w:rsidRPr="009E11C1">
        <w:rPr>
          <w:sz w:val="24"/>
          <w:szCs w:val="24"/>
        </w:rPr>
        <w:t>= 5.67),</w:t>
      </w:r>
      <w:r w:rsidRPr="009E11C1">
        <w:rPr>
          <w:i/>
          <w:sz w:val="24"/>
          <w:szCs w:val="24"/>
        </w:rPr>
        <w:t xml:space="preserve"> t</w:t>
      </w:r>
      <w:r w:rsidRPr="009E11C1">
        <w:rPr>
          <w:sz w:val="24"/>
          <w:szCs w:val="24"/>
          <w:vertAlign w:val="subscript"/>
        </w:rPr>
        <w:t>(65)</w:t>
      </w:r>
      <w:r w:rsidRPr="009E11C1">
        <w:rPr>
          <w:sz w:val="24"/>
          <w:szCs w:val="24"/>
        </w:rPr>
        <w:t xml:space="preserve"> = 3.56, </w:t>
      </w:r>
      <w:r w:rsidRPr="009E11C1">
        <w:rPr>
          <w:i/>
          <w:sz w:val="24"/>
          <w:szCs w:val="24"/>
        </w:rPr>
        <w:t xml:space="preserve">p </w:t>
      </w:r>
      <w:r w:rsidRPr="009E11C1">
        <w:rPr>
          <w:sz w:val="24"/>
          <w:szCs w:val="24"/>
        </w:rPr>
        <w:t xml:space="preserve">&lt; .001, </w:t>
      </w:r>
      <w:r w:rsidRPr="009E11C1">
        <w:rPr>
          <w:i/>
          <w:sz w:val="24"/>
          <w:szCs w:val="24"/>
        </w:rPr>
        <w:t xml:space="preserve">d = </w:t>
      </w:r>
      <w:r w:rsidRPr="009E11C1">
        <w:rPr>
          <w:sz w:val="24"/>
          <w:szCs w:val="24"/>
        </w:rPr>
        <w:t xml:space="preserve">.31 and </w:t>
      </w:r>
      <w:r>
        <w:rPr>
          <w:sz w:val="24"/>
          <w:szCs w:val="24"/>
        </w:rPr>
        <w:t>week 12</w:t>
      </w:r>
      <w:r w:rsidRPr="009E11C1">
        <w:rPr>
          <w:sz w:val="24"/>
          <w:szCs w:val="24"/>
        </w:rPr>
        <w:t xml:space="preserve"> TS scores (</w:t>
      </w:r>
      <w:r w:rsidRPr="009E11C1">
        <w:rPr>
          <w:i/>
          <w:sz w:val="24"/>
          <w:szCs w:val="24"/>
        </w:rPr>
        <w:t>M</w:t>
      </w:r>
      <w:r w:rsidRPr="009E11C1">
        <w:rPr>
          <w:sz w:val="24"/>
          <w:szCs w:val="24"/>
        </w:rPr>
        <w:t xml:space="preserve"> = 20.86, </w:t>
      </w:r>
      <w:r w:rsidRPr="009E11C1">
        <w:rPr>
          <w:i/>
          <w:sz w:val="24"/>
          <w:szCs w:val="24"/>
        </w:rPr>
        <w:t>SD</w:t>
      </w:r>
      <w:r w:rsidRPr="009E11C1">
        <w:rPr>
          <w:sz w:val="24"/>
          <w:szCs w:val="24"/>
        </w:rPr>
        <w:t xml:space="preserve"> = 5.23), </w:t>
      </w:r>
      <w:r w:rsidRPr="009E11C1">
        <w:rPr>
          <w:i/>
          <w:sz w:val="24"/>
          <w:szCs w:val="24"/>
        </w:rPr>
        <w:t>t</w:t>
      </w:r>
      <w:r w:rsidRPr="009E11C1">
        <w:rPr>
          <w:sz w:val="24"/>
          <w:szCs w:val="24"/>
          <w:vertAlign w:val="subscript"/>
        </w:rPr>
        <w:t xml:space="preserve">(65) </w:t>
      </w:r>
      <w:r w:rsidRPr="009E11C1">
        <w:rPr>
          <w:sz w:val="24"/>
          <w:szCs w:val="24"/>
        </w:rPr>
        <w:t xml:space="preserve">= 3.00 </w:t>
      </w:r>
      <w:r w:rsidRPr="009E11C1">
        <w:rPr>
          <w:i/>
          <w:sz w:val="24"/>
          <w:szCs w:val="24"/>
        </w:rPr>
        <w:t xml:space="preserve">p </w:t>
      </w:r>
      <w:r w:rsidRPr="009E11C1">
        <w:rPr>
          <w:sz w:val="24"/>
          <w:szCs w:val="24"/>
        </w:rPr>
        <w:t xml:space="preserve">&lt; .01, </w:t>
      </w:r>
      <w:r w:rsidRPr="009E11C1">
        <w:rPr>
          <w:i/>
          <w:sz w:val="24"/>
          <w:szCs w:val="24"/>
        </w:rPr>
        <w:t xml:space="preserve">d = </w:t>
      </w:r>
      <w:r w:rsidRPr="009E11C1">
        <w:rPr>
          <w:sz w:val="24"/>
          <w:szCs w:val="24"/>
        </w:rPr>
        <w:t xml:space="preserve">.31. The analyses demonstrated that no difference emerged between the second and third measurements of TS scores taken in </w:t>
      </w:r>
      <w:r>
        <w:rPr>
          <w:sz w:val="24"/>
          <w:szCs w:val="24"/>
        </w:rPr>
        <w:t>week 5</w:t>
      </w:r>
      <w:r w:rsidRPr="009E11C1">
        <w:rPr>
          <w:sz w:val="24"/>
          <w:szCs w:val="24"/>
        </w:rPr>
        <w:t xml:space="preserve"> and </w:t>
      </w:r>
      <w:r>
        <w:rPr>
          <w:sz w:val="24"/>
          <w:szCs w:val="24"/>
        </w:rPr>
        <w:t>week 12</w:t>
      </w:r>
      <w:r w:rsidRPr="009E11C1">
        <w:rPr>
          <w:sz w:val="24"/>
          <w:szCs w:val="24"/>
        </w:rPr>
        <w:t xml:space="preserve">, </w:t>
      </w:r>
      <w:r w:rsidRPr="009E11C1">
        <w:rPr>
          <w:i/>
          <w:sz w:val="24"/>
          <w:szCs w:val="24"/>
        </w:rPr>
        <w:t>t</w:t>
      </w:r>
      <w:r w:rsidRPr="009E11C1">
        <w:rPr>
          <w:sz w:val="24"/>
          <w:szCs w:val="24"/>
          <w:vertAlign w:val="subscript"/>
        </w:rPr>
        <w:t xml:space="preserve">(65) </w:t>
      </w:r>
      <w:r w:rsidRPr="009E11C1">
        <w:rPr>
          <w:sz w:val="24"/>
          <w:szCs w:val="24"/>
        </w:rPr>
        <w:t xml:space="preserve">= -.14, </w:t>
      </w:r>
      <w:r w:rsidRPr="009E11C1">
        <w:rPr>
          <w:i/>
          <w:sz w:val="24"/>
          <w:szCs w:val="24"/>
        </w:rPr>
        <w:t xml:space="preserve">p </w:t>
      </w:r>
      <w:r w:rsidRPr="009E11C1">
        <w:rPr>
          <w:sz w:val="24"/>
          <w:szCs w:val="24"/>
        </w:rPr>
        <w:t xml:space="preserve">= </w:t>
      </w:r>
      <w:r w:rsidRPr="009E11C1">
        <w:rPr>
          <w:i/>
          <w:sz w:val="24"/>
          <w:szCs w:val="24"/>
        </w:rPr>
        <w:t>ns</w:t>
      </w:r>
      <w:r w:rsidRPr="009E11C1">
        <w:rPr>
          <w:sz w:val="24"/>
          <w:szCs w:val="24"/>
        </w:rPr>
        <w:t xml:space="preserve">, </w:t>
      </w:r>
      <w:r w:rsidRPr="00905707">
        <w:rPr>
          <w:i/>
          <w:sz w:val="24"/>
          <w:szCs w:val="24"/>
        </w:rPr>
        <w:t>d</w:t>
      </w:r>
      <w:r w:rsidRPr="009E11C1">
        <w:rPr>
          <w:i/>
          <w:sz w:val="24"/>
          <w:szCs w:val="24"/>
        </w:rPr>
        <w:t xml:space="preserve"> = </w:t>
      </w:r>
      <w:r w:rsidRPr="009E11C1">
        <w:rPr>
          <w:sz w:val="24"/>
          <w:szCs w:val="24"/>
        </w:rPr>
        <w:t xml:space="preserve">-.01. These findings suggest the absence of a rebound effect in </w:t>
      </w:r>
      <w:r>
        <w:rPr>
          <w:sz w:val="24"/>
          <w:szCs w:val="24"/>
        </w:rPr>
        <w:t>transnegativity</w:t>
      </w:r>
      <w:r w:rsidRPr="009E11C1">
        <w:rPr>
          <w:sz w:val="24"/>
          <w:szCs w:val="24"/>
        </w:rPr>
        <w:t xml:space="preserve"> scores to pre-intervention baseline levels. Finally, no interaction effect between the time points and the covariate was evident, </w:t>
      </w:r>
      <w:r w:rsidRPr="009E11C1">
        <w:rPr>
          <w:i/>
          <w:sz w:val="24"/>
          <w:szCs w:val="24"/>
        </w:rPr>
        <w:t>F</w:t>
      </w:r>
      <w:r w:rsidRPr="009E11C1">
        <w:rPr>
          <w:sz w:val="24"/>
          <w:szCs w:val="24"/>
          <w:vertAlign w:val="subscript"/>
        </w:rPr>
        <w:t>(2, 128)</w:t>
      </w:r>
      <w:r w:rsidRPr="009E11C1">
        <w:rPr>
          <w:sz w:val="24"/>
          <w:szCs w:val="24"/>
        </w:rPr>
        <w:t xml:space="preserve"> = .17, </w:t>
      </w:r>
      <w:r w:rsidRPr="009E11C1">
        <w:rPr>
          <w:i/>
          <w:sz w:val="24"/>
          <w:szCs w:val="24"/>
        </w:rPr>
        <w:t>p</w:t>
      </w:r>
      <w:r w:rsidRPr="009E11C1">
        <w:rPr>
          <w:sz w:val="24"/>
          <w:szCs w:val="24"/>
        </w:rPr>
        <w:t xml:space="preserve"> = </w:t>
      </w:r>
      <w:r w:rsidRPr="009E11C1">
        <w:rPr>
          <w:i/>
          <w:sz w:val="24"/>
          <w:szCs w:val="24"/>
        </w:rPr>
        <w:t>ns</w:t>
      </w:r>
      <w:r w:rsidRPr="009E11C1">
        <w:rPr>
          <w:sz w:val="24"/>
          <w:szCs w:val="24"/>
        </w:rPr>
        <w:t>, Partial η</w:t>
      </w:r>
      <w:r w:rsidRPr="009E11C1">
        <w:rPr>
          <w:sz w:val="24"/>
          <w:szCs w:val="24"/>
          <w:vertAlign w:val="superscript"/>
        </w:rPr>
        <w:t>2</w:t>
      </w:r>
      <w:r w:rsidRPr="009E11C1">
        <w:rPr>
          <w:sz w:val="24"/>
          <w:szCs w:val="24"/>
        </w:rPr>
        <w:t xml:space="preserve"> = .003.  </w:t>
      </w:r>
    </w:p>
    <w:p w14:paraId="48F78133" w14:textId="1D3E3ACF" w:rsidR="00877BAB" w:rsidRPr="009E11C1" w:rsidRDefault="00877BAB" w:rsidP="00877BAB">
      <w:pPr>
        <w:spacing w:line="360" w:lineRule="auto"/>
        <w:rPr>
          <w:sz w:val="24"/>
          <w:szCs w:val="24"/>
        </w:rPr>
      </w:pPr>
      <w:r w:rsidRPr="009E11C1">
        <w:rPr>
          <w:sz w:val="24"/>
          <w:szCs w:val="24"/>
        </w:rPr>
        <w:tab/>
        <w:t xml:space="preserve">To investigate whether differences exist between the measures of homonegativity and social dominance orientation, paired samples </w:t>
      </w:r>
      <w:r w:rsidRPr="009E11C1">
        <w:rPr>
          <w:i/>
          <w:sz w:val="24"/>
          <w:szCs w:val="24"/>
        </w:rPr>
        <w:t>t-</w:t>
      </w:r>
      <w:r w:rsidRPr="009E11C1">
        <w:rPr>
          <w:sz w:val="24"/>
          <w:szCs w:val="24"/>
        </w:rPr>
        <w:t xml:space="preserve">tests were conducted between baseline and </w:t>
      </w:r>
      <w:r>
        <w:rPr>
          <w:sz w:val="24"/>
          <w:szCs w:val="24"/>
        </w:rPr>
        <w:t>week 5</w:t>
      </w:r>
      <w:r w:rsidRPr="009E11C1">
        <w:rPr>
          <w:sz w:val="24"/>
          <w:szCs w:val="24"/>
        </w:rPr>
        <w:t xml:space="preserve"> scores obtained from the HATH, MHS and SDO. There were significant differences between measurements for both SDO and MHS-L scores, </w:t>
      </w:r>
      <w:r w:rsidRPr="009E11C1">
        <w:rPr>
          <w:i/>
          <w:sz w:val="24"/>
          <w:szCs w:val="24"/>
        </w:rPr>
        <w:t>t</w:t>
      </w:r>
      <w:r w:rsidRPr="009E11C1">
        <w:rPr>
          <w:sz w:val="24"/>
          <w:szCs w:val="24"/>
          <w:vertAlign w:val="subscript"/>
        </w:rPr>
        <w:t>(65)</w:t>
      </w:r>
      <w:r w:rsidRPr="009E11C1">
        <w:rPr>
          <w:sz w:val="24"/>
          <w:szCs w:val="24"/>
        </w:rPr>
        <w:t xml:space="preserve"> = 1.96, </w:t>
      </w:r>
      <w:r w:rsidRPr="009E11C1">
        <w:rPr>
          <w:i/>
          <w:sz w:val="24"/>
          <w:szCs w:val="24"/>
        </w:rPr>
        <w:t>p</w:t>
      </w:r>
      <w:r w:rsidRPr="009E11C1">
        <w:rPr>
          <w:sz w:val="24"/>
          <w:szCs w:val="24"/>
        </w:rPr>
        <w:t xml:space="preserve"> &lt; .05, </w:t>
      </w:r>
      <w:r w:rsidRPr="009E11C1">
        <w:rPr>
          <w:i/>
          <w:sz w:val="24"/>
          <w:szCs w:val="24"/>
        </w:rPr>
        <w:t>d</w:t>
      </w:r>
      <w:r w:rsidRPr="009E11C1">
        <w:rPr>
          <w:sz w:val="24"/>
          <w:szCs w:val="24"/>
        </w:rPr>
        <w:t xml:space="preserve"> = .20 and </w:t>
      </w:r>
      <w:r w:rsidRPr="009E11C1">
        <w:rPr>
          <w:i/>
          <w:sz w:val="24"/>
          <w:szCs w:val="24"/>
        </w:rPr>
        <w:t>t</w:t>
      </w:r>
      <w:r w:rsidRPr="009E11C1">
        <w:rPr>
          <w:sz w:val="24"/>
          <w:szCs w:val="24"/>
          <w:vertAlign w:val="subscript"/>
        </w:rPr>
        <w:t>(29)</w:t>
      </w:r>
      <w:r w:rsidRPr="009E11C1">
        <w:rPr>
          <w:sz w:val="24"/>
          <w:szCs w:val="24"/>
        </w:rPr>
        <w:t xml:space="preserve"> = 2.11, </w:t>
      </w:r>
      <w:r w:rsidRPr="009E11C1">
        <w:rPr>
          <w:i/>
          <w:sz w:val="24"/>
          <w:szCs w:val="24"/>
        </w:rPr>
        <w:t>p</w:t>
      </w:r>
      <w:r w:rsidRPr="009E11C1">
        <w:rPr>
          <w:sz w:val="24"/>
          <w:szCs w:val="24"/>
        </w:rPr>
        <w:t xml:space="preserve"> &lt;.05, </w:t>
      </w:r>
      <w:r w:rsidRPr="009E11C1">
        <w:rPr>
          <w:i/>
          <w:sz w:val="24"/>
          <w:szCs w:val="24"/>
        </w:rPr>
        <w:t>d</w:t>
      </w:r>
      <w:r w:rsidRPr="009E11C1">
        <w:rPr>
          <w:sz w:val="24"/>
          <w:szCs w:val="24"/>
        </w:rPr>
        <w:t xml:space="preserve"> = .28, respectively. No difference emerged between either HATH scores, </w:t>
      </w:r>
      <w:r w:rsidRPr="009E11C1">
        <w:rPr>
          <w:i/>
          <w:sz w:val="24"/>
          <w:szCs w:val="24"/>
        </w:rPr>
        <w:t>t</w:t>
      </w:r>
      <w:r w:rsidR="00F24452">
        <w:rPr>
          <w:sz w:val="24"/>
          <w:szCs w:val="24"/>
          <w:vertAlign w:val="subscript"/>
        </w:rPr>
        <w:t>(65</w:t>
      </w:r>
      <w:r w:rsidRPr="009E11C1">
        <w:rPr>
          <w:sz w:val="24"/>
          <w:szCs w:val="24"/>
          <w:vertAlign w:val="subscript"/>
        </w:rPr>
        <w:t xml:space="preserve">) </w:t>
      </w:r>
      <w:r w:rsidRPr="009E11C1">
        <w:rPr>
          <w:sz w:val="24"/>
          <w:szCs w:val="24"/>
        </w:rPr>
        <w:t xml:space="preserve">= -.34, </w:t>
      </w:r>
      <w:r w:rsidRPr="009E11C1">
        <w:rPr>
          <w:i/>
          <w:sz w:val="24"/>
          <w:szCs w:val="24"/>
        </w:rPr>
        <w:t xml:space="preserve">p = </w:t>
      </w:r>
      <w:r w:rsidRPr="009E11C1">
        <w:rPr>
          <w:sz w:val="24"/>
          <w:szCs w:val="24"/>
        </w:rPr>
        <w:t xml:space="preserve">ns, </w:t>
      </w:r>
      <w:r w:rsidRPr="009E11C1">
        <w:rPr>
          <w:i/>
          <w:sz w:val="24"/>
          <w:szCs w:val="24"/>
        </w:rPr>
        <w:t>d</w:t>
      </w:r>
      <w:r w:rsidRPr="009E11C1">
        <w:rPr>
          <w:sz w:val="24"/>
          <w:szCs w:val="24"/>
        </w:rPr>
        <w:t xml:space="preserve"> = -.02 or MHS-G scores </w:t>
      </w:r>
      <w:r w:rsidRPr="009E11C1">
        <w:rPr>
          <w:i/>
          <w:sz w:val="24"/>
          <w:szCs w:val="24"/>
        </w:rPr>
        <w:t>t</w:t>
      </w:r>
      <w:r w:rsidRPr="009E11C1">
        <w:rPr>
          <w:sz w:val="24"/>
          <w:szCs w:val="24"/>
          <w:vertAlign w:val="subscript"/>
        </w:rPr>
        <w:t>(35)</w:t>
      </w:r>
      <w:r w:rsidRPr="009E11C1">
        <w:rPr>
          <w:sz w:val="24"/>
          <w:szCs w:val="24"/>
        </w:rPr>
        <w:t xml:space="preserve"> = 1.66, </w:t>
      </w:r>
      <w:r w:rsidRPr="009E11C1">
        <w:rPr>
          <w:i/>
          <w:sz w:val="24"/>
          <w:szCs w:val="24"/>
        </w:rPr>
        <w:t xml:space="preserve">p = </w:t>
      </w:r>
      <w:r w:rsidRPr="009E11C1">
        <w:rPr>
          <w:sz w:val="24"/>
          <w:szCs w:val="24"/>
        </w:rPr>
        <w:t xml:space="preserve">ns, </w:t>
      </w:r>
      <w:r w:rsidRPr="009E11C1">
        <w:rPr>
          <w:i/>
          <w:sz w:val="24"/>
          <w:szCs w:val="24"/>
        </w:rPr>
        <w:t>d</w:t>
      </w:r>
      <w:r w:rsidRPr="009E11C1">
        <w:rPr>
          <w:sz w:val="24"/>
          <w:szCs w:val="24"/>
        </w:rPr>
        <w:t xml:space="preserve"> = .14.</w:t>
      </w:r>
    </w:p>
    <w:p w14:paraId="5A244C28" w14:textId="77777777" w:rsidR="00877BAB" w:rsidRPr="009E11C1" w:rsidRDefault="00877BAB" w:rsidP="00877BAB">
      <w:pPr>
        <w:spacing w:line="360" w:lineRule="auto"/>
        <w:outlineLvl w:val="0"/>
        <w:rPr>
          <w:i/>
          <w:sz w:val="24"/>
          <w:szCs w:val="24"/>
        </w:rPr>
      </w:pPr>
      <w:r w:rsidRPr="009E11C1">
        <w:rPr>
          <w:b/>
          <w:sz w:val="24"/>
          <w:szCs w:val="24"/>
        </w:rPr>
        <w:t>Correlational Analyses</w:t>
      </w:r>
    </w:p>
    <w:p w14:paraId="3D8A7113" w14:textId="2B22365C" w:rsidR="00877BAB" w:rsidRPr="009E11C1" w:rsidRDefault="00877BAB" w:rsidP="00877BAB">
      <w:pPr>
        <w:spacing w:line="360" w:lineRule="auto"/>
        <w:rPr>
          <w:sz w:val="24"/>
          <w:szCs w:val="24"/>
        </w:rPr>
      </w:pPr>
      <w:r w:rsidRPr="009E11C1">
        <w:rPr>
          <w:i/>
          <w:sz w:val="24"/>
          <w:szCs w:val="24"/>
        </w:rPr>
        <w:tab/>
      </w:r>
      <w:r w:rsidRPr="009E11C1">
        <w:rPr>
          <w:sz w:val="24"/>
          <w:szCs w:val="24"/>
        </w:rPr>
        <w:t xml:space="preserve">A series of Pearson product-moment correlation analyses were conducted between the attitude measures and key demographic variables, details of which are displayed in Table 3. In support of H3, across measurement time-points, higher levels of religiosity were significantly associated with increased levels of both old-fashioned and modern homonegativity and levels of </w:t>
      </w:r>
      <w:r>
        <w:rPr>
          <w:sz w:val="24"/>
          <w:szCs w:val="24"/>
        </w:rPr>
        <w:t>transnegativity</w:t>
      </w:r>
      <w:r w:rsidRPr="009E11C1">
        <w:rPr>
          <w:sz w:val="24"/>
          <w:szCs w:val="24"/>
        </w:rPr>
        <w:t xml:space="preserve"> (</w:t>
      </w:r>
      <w:r w:rsidRPr="009E11C1">
        <w:rPr>
          <w:i/>
          <w:sz w:val="24"/>
          <w:szCs w:val="24"/>
        </w:rPr>
        <w:t>r</w:t>
      </w:r>
      <w:r w:rsidRPr="009E11C1">
        <w:rPr>
          <w:sz w:val="24"/>
          <w:szCs w:val="24"/>
        </w:rPr>
        <w:t>s = -.33 to -.</w:t>
      </w:r>
      <w:r>
        <w:rPr>
          <w:sz w:val="24"/>
          <w:szCs w:val="24"/>
        </w:rPr>
        <w:t>44</w:t>
      </w:r>
      <w:r w:rsidRPr="009E11C1">
        <w:rPr>
          <w:sz w:val="24"/>
          <w:szCs w:val="24"/>
        </w:rPr>
        <w:t xml:space="preserve">, </w:t>
      </w:r>
      <w:r w:rsidRPr="009E11C1">
        <w:rPr>
          <w:i/>
          <w:sz w:val="24"/>
          <w:szCs w:val="24"/>
        </w:rPr>
        <w:t>p</w:t>
      </w:r>
      <w:r w:rsidRPr="009E11C1">
        <w:rPr>
          <w:sz w:val="24"/>
          <w:szCs w:val="24"/>
        </w:rPr>
        <w:t xml:space="preserve"> &lt; .01). Significant relationships were also evident between the HATH and both the MHS-G and MHS-L across time-points (</w:t>
      </w:r>
      <w:r w:rsidRPr="009E11C1">
        <w:rPr>
          <w:i/>
          <w:sz w:val="24"/>
          <w:szCs w:val="24"/>
        </w:rPr>
        <w:t>r</w:t>
      </w:r>
      <w:r w:rsidRPr="009E11C1">
        <w:rPr>
          <w:sz w:val="24"/>
          <w:szCs w:val="24"/>
        </w:rPr>
        <w:t xml:space="preserve">s = .80 to .86, </w:t>
      </w:r>
      <w:r w:rsidRPr="009E11C1">
        <w:rPr>
          <w:i/>
          <w:sz w:val="24"/>
          <w:szCs w:val="24"/>
        </w:rPr>
        <w:t>p</w:t>
      </w:r>
      <w:r w:rsidRPr="009E11C1">
        <w:rPr>
          <w:sz w:val="24"/>
          <w:szCs w:val="24"/>
        </w:rPr>
        <w:t xml:space="preserve"> &lt; .01) and social dominance orientation correlated with both the HATH and the TS (</w:t>
      </w:r>
      <w:r w:rsidRPr="009E11C1">
        <w:rPr>
          <w:i/>
          <w:sz w:val="24"/>
          <w:szCs w:val="24"/>
        </w:rPr>
        <w:t>r</w:t>
      </w:r>
      <w:r w:rsidRPr="009E11C1">
        <w:rPr>
          <w:sz w:val="24"/>
          <w:szCs w:val="24"/>
        </w:rPr>
        <w:t xml:space="preserve">s = .25 to .49, </w:t>
      </w:r>
      <w:r w:rsidRPr="009E11C1">
        <w:rPr>
          <w:i/>
          <w:sz w:val="24"/>
          <w:szCs w:val="24"/>
        </w:rPr>
        <w:t>p</w:t>
      </w:r>
      <w:r w:rsidRPr="009E11C1">
        <w:rPr>
          <w:sz w:val="24"/>
          <w:szCs w:val="24"/>
        </w:rPr>
        <w:t xml:space="preserve"> &lt; .01). </w:t>
      </w:r>
    </w:p>
    <w:p w14:paraId="0320B7E1" w14:textId="5F7B5E21" w:rsidR="00877BAB" w:rsidRPr="009E11C1" w:rsidRDefault="00877BAB" w:rsidP="00877BAB">
      <w:pPr>
        <w:spacing w:line="360" w:lineRule="auto"/>
        <w:ind w:firstLine="720"/>
        <w:rPr>
          <w:i/>
          <w:sz w:val="24"/>
          <w:szCs w:val="24"/>
        </w:rPr>
      </w:pPr>
      <w:r w:rsidRPr="009E11C1">
        <w:rPr>
          <w:sz w:val="24"/>
          <w:szCs w:val="24"/>
        </w:rPr>
        <w:t>Partial support for H4 was obtained as significant relationships were apparent between the TS and the HATH in all instances (</w:t>
      </w:r>
      <w:r w:rsidRPr="009E11C1">
        <w:rPr>
          <w:i/>
          <w:sz w:val="24"/>
          <w:szCs w:val="24"/>
        </w:rPr>
        <w:t>r</w:t>
      </w:r>
      <w:r w:rsidRPr="009E11C1">
        <w:rPr>
          <w:sz w:val="24"/>
          <w:szCs w:val="24"/>
        </w:rPr>
        <w:t xml:space="preserve">s = .64 to .77, </w:t>
      </w:r>
      <w:r w:rsidRPr="009E11C1">
        <w:rPr>
          <w:i/>
          <w:sz w:val="24"/>
          <w:szCs w:val="24"/>
        </w:rPr>
        <w:t xml:space="preserve">p </w:t>
      </w:r>
      <w:r w:rsidRPr="009E11C1">
        <w:rPr>
          <w:sz w:val="24"/>
          <w:szCs w:val="24"/>
        </w:rPr>
        <w:t xml:space="preserve">&lt; .01), however, a notable discrepancy was apparent between the MHS-G/TS and the MHS-L/TS. Specifically, baseline levels of </w:t>
      </w:r>
      <w:r>
        <w:rPr>
          <w:sz w:val="24"/>
          <w:szCs w:val="24"/>
        </w:rPr>
        <w:t>transnegativity</w:t>
      </w:r>
      <w:r w:rsidRPr="009E11C1">
        <w:rPr>
          <w:sz w:val="24"/>
          <w:szCs w:val="24"/>
        </w:rPr>
        <w:t xml:space="preserve"> and modern homonegativity towards lesbian women resulted in a relatively small, non-significant, </w:t>
      </w:r>
      <w:r w:rsidR="00F24452">
        <w:rPr>
          <w:sz w:val="24"/>
          <w:szCs w:val="24"/>
        </w:rPr>
        <w:t>correlation</w:t>
      </w:r>
      <w:r w:rsidRPr="009E11C1">
        <w:rPr>
          <w:sz w:val="24"/>
          <w:szCs w:val="24"/>
        </w:rPr>
        <w:t xml:space="preserve"> (</w:t>
      </w:r>
      <w:r w:rsidRPr="009E11C1">
        <w:rPr>
          <w:i/>
          <w:sz w:val="24"/>
          <w:szCs w:val="24"/>
        </w:rPr>
        <w:t>r</w:t>
      </w:r>
      <w:r w:rsidRPr="009E11C1">
        <w:rPr>
          <w:sz w:val="24"/>
          <w:szCs w:val="24"/>
        </w:rPr>
        <w:t xml:space="preserve"> = .28, </w:t>
      </w:r>
      <w:r w:rsidRPr="009E11C1">
        <w:rPr>
          <w:i/>
          <w:sz w:val="24"/>
          <w:szCs w:val="24"/>
        </w:rPr>
        <w:t>p</w:t>
      </w:r>
      <w:r w:rsidRPr="009E11C1">
        <w:rPr>
          <w:sz w:val="24"/>
          <w:szCs w:val="24"/>
        </w:rPr>
        <w:t xml:space="preserve"> = </w:t>
      </w:r>
      <w:r w:rsidRPr="009E11C1">
        <w:rPr>
          <w:i/>
          <w:sz w:val="24"/>
          <w:szCs w:val="24"/>
        </w:rPr>
        <w:t>ns</w:t>
      </w:r>
      <w:r w:rsidRPr="009E11C1">
        <w:rPr>
          <w:sz w:val="24"/>
          <w:szCs w:val="24"/>
        </w:rPr>
        <w:t xml:space="preserve">), while the association between </w:t>
      </w:r>
      <w:r>
        <w:rPr>
          <w:sz w:val="24"/>
          <w:szCs w:val="24"/>
        </w:rPr>
        <w:t>transnegativity</w:t>
      </w:r>
      <w:r w:rsidRPr="009E11C1">
        <w:rPr>
          <w:sz w:val="24"/>
          <w:szCs w:val="24"/>
        </w:rPr>
        <w:t xml:space="preserve"> and modern homonegativity towards gay men</w:t>
      </w:r>
      <w:r w:rsidR="00F24452">
        <w:rPr>
          <w:sz w:val="24"/>
          <w:szCs w:val="24"/>
        </w:rPr>
        <w:t xml:space="preserve"> was much more robust</w:t>
      </w:r>
      <w:r w:rsidRPr="009E11C1">
        <w:rPr>
          <w:sz w:val="24"/>
          <w:szCs w:val="24"/>
        </w:rPr>
        <w:t xml:space="preserve"> (</w:t>
      </w:r>
      <w:r w:rsidRPr="009E11C1">
        <w:rPr>
          <w:i/>
          <w:sz w:val="24"/>
          <w:szCs w:val="24"/>
        </w:rPr>
        <w:t>r</w:t>
      </w:r>
      <w:r w:rsidRPr="009E11C1">
        <w:rPr>
          <w:sz w:val="24"/>
          <w:szCs w:val="24"/>
        </w:rPr>
        <w:t xml:space="preserve"> = .76, </w:t>
      </w:r>
      <w:r w:rsidRPr="009E11C1">
        <w:rPr>
          <w:i/>
          <w:sz w:val="24"/>
          <w:szCs w:val="24"/>
        </w:rPr>
        <w:t>p</w:t>
      </w:r>
      <w:r w:rsidRPr="009E11C1">
        <w:rPr>
          <w:sz w:val="24"/>
          <w:szCs w:val="24"/>
        </w:rPr>
        <w:t xml:space="preserve"> &lt; .01). To determine whether these effect sizes were indeed different, the individual correlation coefficients were compared using Fisher’s </w:t>
      </w:r>
      <w:r w:rsidRPr="009E11C1">
        <w:rPr>
          <w:i/>
          <w:sz w:val="24"/>
          <w:szCs w:val="24"/>
        </w:rPr>
        <w:t>r</w:t>
      </w:r>
      <w:r w:rsidRPr="009E11C1">
        <w:rPr>
          <w:sz w:val="24"/>
          <w:szCs w:val="24"/>
        </w:rPr>
        <w:t xml:space="preserve"> to </w:t>
      </w:r>
      <w:r w:rsidRPr="009E11C1">
        <w:rPr>
          <w:i/>
          <w:sz w:val="24"/>
          <w:szCs w:val="24"/>
        </w:rPr>
        <w:t xml:space="preserve">z </w:t>
      </w:r>
      <w:r w:rsidRPr="009E11C1">
        <w:rPr>
          <w:sz w:val="24"/>
          <w:szCs w:val="24"/>
        </w:rPr>
        <w:t xml:space="preserve">transformation. This analysis revealed significant differences were apparent between the baseline MHS-G/TS and MHS-L/TS coefficients, </w:t>
      </w:r>
      <w:r w:rsidRPr="009E11C1">
        <w:rPr>
          <w:i/>
          <w:sz w:val="24"/>
          <w:szCs w:val="24"/>
        </w:rPr>
        <w:t xml:space="preserve">z = </w:t>
      </w:r>
      <w:r w:rsidRPr="009E11C1">
        <w:rPr>
          <w:sz w:val="24"/>
          <w:szCs w:val="24"/>
        </w:rPr>
        <w:t xml:space="preserve">2.78, </w:t>
      </w:r>
      <w:r w:rsidRPr="009E11C1">
        <w:rPr>
          <w:i/>
          <w:sz w:val="24"/>
          <w:szCs w:val="24"/>
        </w:rPr>
        <w:t>p &lt; .</w:t>
      </w:r>
      <w:r w:rsidRPr="009E11C1">
        <w:rPr>
          <w:sz w:val="24"/>
          <w:szCs w:val="24"/>
        </w:rPr>
        <w:t xml:space="preserve">001 but not the week 5 MHS-G/TS and MHS-L/TS coefficients, </w:t>
      </w:r>
      <w:r w:rsidRPr="009E11C1">
        <w:rPr>
          <w:i/>
          <w:sz w:val="24"/>
          <w:szCs w:val="24"/>
        </w:rPr>
        <w:t xml:space="preserve">z = </w:t>
      </w:r>
      <w:r w:rsidRPr="009E11C1">
        <w:rPr>
          <w:sz w:val="24"/>
          <w:szCs w:val="24"/>
        </w:rPr>
        <w:t xml:space="preserve">1.83, </w:t>
      </w:r>
      <w:r w:rsidRPr="009E11C1">
        <w:rPr>
          <w:i/>
          <w:sz w:val="24"/>
          <w:szCs w:val="24"/>
        </w:rPr>
        <w:t xml:space="preserve">p = ns. </w:t>
      </w:r>
    </w:p>
    <w:p w14:paraId="193ADB47" w14:textId="77777777" w:rsidR="00877BAB" w:rsidRPr="009E11C1" w:rsidRDefault="00877BAB" w:rsidP="00877BAB">
      <w:pPr>
        <w:spacing w:line="360" w:lineRule="auto"/>
        <w:jc w:val="center"/>
        <w:rPr>
          <w:sz w:val="24"/>
          <w:szCs w:val="24"/>
        </w:rPr>
      </w:pPr>
      <w:r w:rsidRPr="009E11C1">
        <w:rPr>
          <w:sz w:val="24"/>
          <w:szCs w:val="24"/>
        </w:rPr>
        <w:t>------------------------------------------------------------</w:t>
      </w:r>
    </w:p>
    <w:p w14:paraId="01FAF08A" w14:textId="77777777" w:rsidR="00877BAB" w:rsidRPr="009E11C1" w:rsidRDefault="00877BAB" w:rsidP="00877BAB">
      <w:pPr>
        <w:spacing w:line="360" w:lineRule="auto"/>
        <w:jc w:val="center"/>
        <w:outlineLvl w:val="0"/>
        <w:rPr>
          <w:sz w:val="24"/>
          <w:szCs w:val="24"/>
        </w:rPr>
      </w:pPr>
      <w:r w:rsidRPr="009E11C1">
        <w:rPr>
          <w:sz w:val="24"/>
          <w:szCs w:val="24"/>
        </w:rPr>
        <w:t>INSERT TABLE 3 AROUND HERE</w:t>
      </w:r>
    </w:p>
    <w:p w14:paraId="12EA9C07" w14:textId="77777777" w:rsidR="00877BAB" w:rsidRPr="009E11C1" w:rsidRDefault="00877BAB" w:rsidP="00877BAB">
      <w:pPr>
        <w:spacing w:line="360" w:lineRule="auto"/>
        <w:jc w:val="center"/>
        <w:rPr>
          <w:sz w:val="24"/>
          <w:szCs w:val="24"/>
        </w:rPr>
      </w:pPr>
      <w:r w:rsidRPr="009E11C1">
        <w:rPr>
          <w:sz w:val="24"/>
          <w:szCs w:val="24"/>
        </w:rPr>
        <w:t>-------------------------------------------------------------</w:t>
      </w:r>
    </w:p>
    <w:p w14:paraId="4D706D5F" w14:textId="77777777" w:rsidR="00877BAB" w:rsidRPr="009E11C1" w:rsidRDefault="00877BAB" w:rsidP="00877BAB">
      <w:pPr>
        <w:spacing w:line="360" w:lineRule="auto"/>
        <w:jc w:val="center"/>
        <w:outlineLvl w:val="0"/>
        <w:rPr>
          <w:b/>
          <w:sz w:val="24"/>
          <w:szCs w:val="24"/>
        </w:rPr>
      </w:pPr>
      <w:r w:rsidRPr="009E11C1">
        <w:rPr>
          <w:b/>
          <w:sz w:val="24"/>
          <w:szCs w:val="24"/>
        </w:rPr>
        <w:t>Discussion</w:t>
      </w:r>
    </w:p>
    <w:p w14:paraId="6D20A229" w14:textId="77777777" w:rsidR="00877BAB" w:rsidRPr="009E11C1" w:rsidRDefault="00877BAB" w:rsidP="00877BAB">
      <w:pPr>
        <w:spacing w:line="360" w:lineRule="auto"/>
        <w:ind w:firstLine="720"/>
        <w:rPr>
          <w:sz w:val="24"/>
          <w:szCs w:val="24"/>
        </w:rPr>
      </w:pPr>
      <w:r w:rsidRPr="009E11C1">
        <w:rPr>
          <w:sz w:val="24"/>
          <w:szCs w:val="24"/>
        </w:rPr>
        <w:t xml:space="preserve">In this study, the utility of a combination of a panel speaker presentation and parasocial contact (by means of a biographical film) as a mechanism to reduce levels of self-reported </w:t>
      </w:r>
      <w:r>
        <w:rPr>
          <w:sz w:val="24"/>
          <w:szCs w:val="24"/>
        </w:rPr>
        <w:t>transnegativity</w:t>
      </w:r>
      <w:r w:rsidRPr="009E11C1">
        <w:rPr>
          <w:sz w:val="24"/>
          <w:szCs w:val="24"/>
        </w:rPr>
        <w:t xml:space="preserve"> among a sample of University students in Western Europe was assessed. Additionally, this study examined: 1) the extent to which this intervention remained effective over an extended period of time; and 2) the relationship between </w:t>
      </w:r>
      <w:r>
        <w:rPr>
          <w:sz w:val="24"/>
          <w:szCs w:val="24"/>
        </w:rPr>
        <w:t>transnegativity</w:t>
      </w:r>
      <w:r w:rsidRPr="009E11C1">
        <w:rPr>
          <w:sz w:val="24"/>
          <w:szCs w:val="24"/>
        </w:rPr>
        <w:t xml:space="preserve"> and constructs such as homonegativity towards gay men and lesbian women, homophobia, religiosity and social dominance orientation. </w:t>
      </w:r>
    </w:p>
    <w:p w14:paraId="17F9F822" w14:textId="670A28D1" w:rsidR="00877BAB" w:rsidRPr="009E11C1" w:rsidRDefault="00877BAB" w:rsidP="00877BAB">
      <w:pPr>
        <w:spacing w:line="360" w:lineRule="auto"/>
        <w:rPr>
          <w:sz w:val="24"/>
          <w:szCs w:val="24"/>
        </w:rPr>
      </w:pPr>
      <w:r w:rsidRPr="009E11C1">
        <w:rPr>
          <w:sz w:val="24"/>
          <w:szCs w:val="24"/>
        </w:rPr>
        <w:tab/>
        <w:t xml:space="preserve">With respect to hypothesis one (H1), levels of </w:t>
      </w:r>
      <w:r>
        <w:rPr>
          <w:sz w:val="24"/>
          <w:szCs w:val="24"/>
        </w:rPr>
        <w:t>transnegativity</w:t>
      </w:r>
      <w:r w:rsidRPr="009E11C1">
        <w:rPr>
          <w:sz w:val="24"/>
          <w:szCs w:val="24"/>
        </w:rPr>
        <w:t xml:space="preserve"> immediately after the intervention were significantly lower than respondents’ pre-intervention scores and this result was statistically significant. Whilst levels of </w:t>
      </w:r>
      <w:r>
        <w:rPr>
          <w:sz w:val="24"/>
          <w:szCs w:val="24"/>
        </w:rPr>
        <w:t>transnegativity</w:t>
      </w:r>
      <w:r w:rsidRPr="009E11C1">
        <w:rPr>
          <w:sz w:val="24"/>
          <w:szCs w:val="24"/>
        </w:rPr>
        <w:t xml:space="preserve"> pre-intervention were moderate and fell below scale midpoints amongst the sample of university students, the significant reduction is indicative of an amelioration in </w:t>
      </w:r>
      <w:r>
        <w:rPr>
          <w:sz w:val="24"/>
          <w:szCs w:val="24"/>
        </w:rPr>
        <w:t>transnegativity</w:t>
      </w:r>
      <w:r w:rsidRPr="009E11C1">
        <w:rPr>
          <w:sz w:val="24"/>
          <w:szCs w:val="24"/>
        </w:rPr>
        <w:t xml:space="preserve">. This finding is in line with those reported by both Case and Stewart (2013) and Walch et al. (2012). Case and Stewart (2013) also report that levels of self-reported </w:t>
      </w:r>
      <w:r>
        <w:rPr>
          <w:sz w:val="24"/>
          <w:szCs w:val="24"/>
        </w:rPr>
        <w:t>transnegativity</w:t>
      </w:r>
      <w:r w:rsidRPr="009E11C1">
        <w:rPr>
          <w:sz w:val="24"/>
          <w:szCs w:val="24"/>
        </w:rPr>
        <w:t xml:space="preserve"> among their sample were moderate at the outset, due to the demographic profile of their sample; however, the decline evidenced by these authors and the current study is indicative of a statistically significant change. The novelty of this finding is further underscored by the fact that it is the first known assessment of the utility of such an intervention among a sample of Western European university students. Despite evidence suggesting that there are distinct differences in attitudes towards sexual minorities between North American and European samples (McDermott &amp; Blair, 2012), these data indicate that such interventions may be equally effective, despite variations in geographic locations and cultural contexts.</w:t>
      </w:r>
    </w:p>
    <w:p w14:paraId="6BB0DFEE" w14:textId="4AD88759" w:rsidR="00877BAB" w:rsidRPr="002B33B2" w:rsidRDefault="00877BAB" w:rsidP="00877BAB">
      <w:pPr>
        <w:spacing w:line="360" w:lineRule="auto"/>
        <w:rPr>
          <w:sz w:val="24"/>
          <w:szCs w:val="24"/>
        </w:rPr>
      </w:pPr>
      <w:r w:rsidRPr="009E11C1">
        <w:rPr>
          <w:sz w:val="24"/>
          <w:szCs w:val="24"/>
        </w:rPr>
        <w:tab/>
        <w:t xml:space="preserve">The utility of such interventions to precipitate a decline in attitudes immediately post- intervention, while promising, is not unexpected due to the nature of the methodology. It would be remiss to assume that some respondents participating in this research were not cognizant of its purpose, which may have resulted in demand characteristics. However, we argue that the time-lag between measurement points (week </w:t>
      </w:r>
      <w:r>
        <w:rPr>
          <w:sz w:val="24"/>
          <w:szCs w:val="24"/>
        </w:rPr>
        <w:t>1</w:t>
      </w:r>
      <w:r w:rsidRPr="009E11C1">
        <w:rPr>
          <w:sz w:val="24"/>
          <w:szCs w:val="24"/>
        </w:rPr>
        <w:t xml:space="preserve">, week </w:t>
      </w:r>
      <w:r>
        <w:rPr>
          <w:sz w:val="24"/>
          <w:szCs w:val="24"/>
        </w:rPr>
        <w:t>5</w:t>
      </w:r>
      <w:r w:rsidRPr="009E11C1">
        <w:rPr>
          <w:sz w:val="24"/>
          <w:szCs w:val="24"/>
        </w:rPr>
        <w:t xml:space="preserve">, week 12) would mitigate against this effect as familiarity with the measure and the participants’ ability to recall individual items and responses would be minimised. More importantly, the utility of such interventions is demonstrated by their ability to result in a lasting change in </w:t>
      </w:r>
      <w:r>
        <w:rPr>
          <w:sz w:val="24"/>
          <w:szCs w:val="24"/>
        </w:rPr>
        <w:t>transnegativity</w:t>
      </w:r>
      <w:r w:rsidRPr="009E11C1">
        <w:rPr>
          <w:sz w:val="24"/>
          <w:szCs w:val="24"/>
        </w:rPr>
        <w:t>. As tested by hypothesis H1b, if this intervention is efficacious, then the decline in self-reported attitudes at time three (</w:t>
      </w:r>
      <w:r>
        <w:rPr>
          <w:sz w:val="24"/>
          <w:szCs w:val="24"/>
        </w:rPr>
        <w:t>week 12</w:t>
      </w:r>
      <w:r w:rsidRPr="009E11C1">
        <w:rPr>
          <w:sz w:val="24"/>
          <w:szCs w:val="24"/>
        </w:rPr>
        <w:t xml:space="preserve">) should be comparable to measurements taken immediately post intervention. Our data revealed that respondents’ scores on the transnegativity measure at week 12 remained comparable to scores obtained at </w:t>
      </w:r>
      <w:r>
        <w:rPr>
          <w:sz w:val="24"/>
          <w:szCs w:val="24"/>
        </w:rPr>
        <w:t>week 5</w:t>
      </w:r>
      <w:r w:rsidRPr="009E11C1">
        <w:rPr>
          <w:sz w:val="24"/>
          <w:szCs w:val="24"/>
        </w:rPr>
        <w:t xml:space="preserve">, an interval that is more than double previous efforts to assess the temporal stability of pedagogic interventions (Walch et al., 2012). The demonstrated lack of a ‘rebound effect’ (Wallick et al., 1995) lends evidence to the utility of such interventions as an effective means of fostering </w:t>
      </w:r>
      <w:r w:rsidRPr="009E11C1">
        <w:rPr>
          <w:i/>
          <w:sz w:val="24"/>
          <w:szCs w:val="24"/>
        </w:rPr>
        <w:t xml:space="preserve">and </w:t>
      </w:r>
      <w:r w:rsidRPr="009E11C1">
        <w:rPr>
          <w:sz w:val="24"/>
          <w:szCs w:val="24"/>
        </w:rPr>
        <w:t>maintaining positive attitude change over an extended period of time. Recent evidence provided by Broockman and Kalla (2016) serves to support this effect. In their randomised control trial, these authors demonstrated that canvassing members of the general public (</w:t>
      </w:r>
      <w:r w:rsidRPr="009E11C1">
        <w:rPr>
          <w:i/>
          <w:sz w:val="24"/>
          <w:szCs w:val="24"/>
        </w:rPr>
        <w:t>N</w:t>
      </w:r>
      <w:r w:rsidRPr="009E11C1">
        <w:rPr>
          <w:sz w:val="24"/>
          <w:szCs w:val="24"/>
        </w:rPr>
        <w:t xml:space="preserve"> = 501) </w:t>
      </w:r>
      <w:r>
        <w:rPr>
          <w:sz w:val="24"/>
          <w:szCs w:val="24"/>
        </w:rPr>
        <w:t>on</w:t>
      </w:r>
      <w:r w:rsidRPr="009E11C1">
        <w:rPr>
          <w:sz w:val="24"/>
          <w:szCs w:val="24"/>
        </w:rPr>
        <w:t xml:space="preserve"> trans related issues resulted in a significant decrease in </w:t>
      </w:r>
      <w:r>
        <w:rPr>
          <w:sz w:val="24"/>
          <w:szCs w:val="24"/>
        </w:rPr>
        <w:t xml:space="preserve">transnegativity. Furthermore, canvassing was also associated with an </w:t>
      </w:r>
      <w:r w:rsidRPr="002B33B2">
        <w:rPr>
          <w:sz w:val="24"/>
          <w:szCs w:val="24"/>
        </w:rPr>
        <w:t xml:space="preserve">increase in support for a non-discrimination law </w:t>
      </w:r>
      <w:r>
        <w:rPr>
          <w:sz w:val="24"/>
          <w:szCs w:val="24"/>
        </w:rPr>
        <w:t xml:space="preserve">both </w:t>
      </w:r>
      <w:r w:rsidRPr="002B33B2">
        <w:rPr>
          <w:sz w:val="24"/>
          <w:szCs w:val="24"/>
        </w:rPr>
        <w:t xml:space="preserve">immediately </w:t>
      </w:r>
      <w:r>
        <w:rPr>
          <w:sz w:val="24"/>
          <w:szCs w:val="24"/>
        </w:rPr>
        <w:t>after the canvassing,</w:t>
      </w:r>
      <w:r w:rsidRPr="002B33B2">
        <w:rPr>
          <w:sz w:val="24"/>
          <w:szCs w:val="24"/>
        </w:rPr>
        <w:t xml:space="preserve"> and up to three months after the initial intervention. </w:t>
      </w:r>
    </w:p>
    <w:p w14:paraId="7B8B9469" w14:textId="77777777" w:rsidR="00877BAB" w:rsidRPr="002B33B2" w:rsidRDefault="00877BAB" w:rsidP="00877BAB">
      <w:pPr>
        <w:spacing w:line="360" w:lineRule="auto"/>
        <w:rPr>
          <w:sz w:val="24"/>
          <w:szCs w:val="24"/>
        </w:rPr>
      </w:pPr>
      <w:r w:rsidRPr="002B33B2">
        <w:rPr>
          <w:sz w:val="24"/>
          <w:szCs w:val="24"/>
        </w:rPr>
        <w:tab/>
        <w:t xml:space="preserve">This study tested the relationship between </w:t>
      </w:r>
      <w:r>
        <w:rPr>
          <w:sz w:val="24"/>
          <w:szCs w:val="24"/>
        </w:rPr>
        <w:t>transnegativity</w:t>
      </w:r>
      <w:r w:rsidRPr="002B33B2">
        <w:rPr>
          <w:sz w:val="24"/>
          <w:szCs w:val="24"/>
        </w:rPr>
        <w:t xml:space="preserve"> and negative attitudes towards sexual minority men and women. In particular, we examined the extent to which levels of </w:t>
      </w:r>
      <w:r>
        <w:rPr>
          <w:sz w:val="24"/>
          <w:szCs w:val="24"/>
        </w:rPr>
        <w:t>transnegativity</w:t>
      </w:r>
      <w:r w:rsidRPr="002B33B2">
        <w:rPr>
          <w:sz w:val="24"/>
          <w:szCs w:val="24"/>
        </w:rPr>
        <w:t xml:space="preserve"> were associated with the constructs of old-fashioned </w:t>
      </w:r>
      <w:r>
        <w:rPr>
          <w:sz w:val="24"/>
          <w:szCs w:val="24"/>
        </w:rPr>
        <w:t>prejudice towards sexual minorities,</w:t>
      </w:r>
      <w:r w:rsidRPr="002B33B2">
        <w:rPr>
          <w:sz w:val="24"/>
          <w:szCs w:val="24"/>
        </w:rPr>
        <w:t xml:space="preserve"> as a collective construct (Wright et al., 1999), and modern homonegativity towards gay men and lesbian women. </w:t>
      </w:r>
    </w:p>
    <w:p w14:paraId="34C9702A" w14:textId="77777777" w:rsidR="00877BAB" w:rsidRPr="00902D43" w:rsidRDefault="00877BAB" w:rsidP="00877BAB">
      <w:pPr>
        <w:spacing w:line="360" w:lineRule="auto"/>
        <w:rPr>
          <w:sz w:val="24"/>
          <w:szCs w:val="24"/>
        </w:rPr>
      </w:pPr>
      <w:r w:rsidRPr="002B33B2">
        <w:rPr>
          <w:sz w:val="24"/>
          <w:szCs w:val="24"/>
        </w:rPr>
        <w:tab/>
        <w:t>At baseline, transnegativity correlated significantly with all measures</w:t>
      </w:r>
      <w:r w:rsidRPr="006D29DC">
        <w:rPr>
          <w:sz w:val="24"/>
          <w:szCs w:val="24"/>
        </w:rPr>
        <w:t xml:space="preserve"> of prejudice towards sexual minorities. Consistent with previous research, levels of </w:t>
      </w:r>
      <w:r>
        <w:rPr>
          <w:sz w:val="24"/>
          <w:szCs w:val="24"/>
        </w:rPr>
        <w:t>transnegativity</w:t>
      </w:r>
      <w:r w:rsidRPr="006D29DC">
        <w:rPr>
          <w:sz w:val="24"/>
          <w:szCs w:val="24"/>
        </w:rPr>
        <w:t xml:space="preserve"> were associated with levels of self-reported homophobia as indicated by Wright et al.’s (1999) HATH measure. The relationship between these scores remained stable across the measurement time points</w:t>
      </w:r>
      <w:r>
        <w:rPr>
          <w:sz w:val="24"/>
          <w:szCs w:val="24"/>
        </w:rPr>
        <w:t>.</w:t>
      </w:r>
      <w:r w:rsidRPr="006D29DC">
        <w:rPr>
          <w:sz w:val="24"/>
          <w:szCs w:val="24"/>
        </w:rPr>
        <w:t xml:space="preserve"> </w:t>
      </w:r>
      <w:r>
        <w:rPr>
          <w:sz w:val="24"/>
          <w:szCs w:val="24"/>
        </w:rPr>
        <w:t xml:space="preserve">Furthermore, the </w:t>
      </w:r>
      <w:r w:rsidRPr="006D29DC">
        <w:rPr>
          <w:sz w:val="24"/>
          <w:szCs w:val="24"/>
        </w:rPr>
        <w:t xml:space="preserve">lack of significant change in HATH scores </w:t>
      </w:r>
      <w:r>
        <w:rPr>
          <w:sz w:val="24"/>
          <w:szCs w:val="24"/>
        </w:rPr>
        <w:t>from</w:t>
      </w:r>
      <w:r w:rsidRPr="006D29DC">
        <w:rPr>
          <w:sz w:val="24"/>
          <w:szCs w:val="24"/>
        </w:rPr>
        <w:t xml:space="preserve"> baseline and immediately post intervention </w:t>
      </w:r>
      <w:r>
        <w:rPr>
          <w:sz w:val="24"/>
          <w:szCs w:val="24"/>
        </w:rPr>
        <w:t>suggests</w:t>
      </w:r>
      <w:r w:rsidRPr="006D29DC">
        <w:rPr>
          <w:sz w:val="24"/>
          <w:szCs w:val="24"/>
        </w:rPr>
        <w:t xml:space="preserve"> that the positive impact </w:t>
      </w:r>
      <w:r>
        <w:rPr>
          <w:sz w:val="24"/>
          <w:szCs w:val="24"/>
        </w:rPr>
        <w:t>seen in</w:t>
      </w:r>
      <w:r w:rsidRPr="006D29DC">
        <w:rPr>
          <w:sz w:val="24"/>
          <w:szCs w:val="24"/>
        </w:rPr>
        <w:t xml:space="preserve"> </w:t>
      </w:r>
      <w:r>
        <w:rPr>
          <w:sz w:val="24"/>
          <w:szCs w:val="24"/>
        </w:rPr>
        <w:t>transnegativity</w:t>
      </w:r>
      <w:r w:rsidRPr="006D29DC">
        <w:rPr>
          <w:sz w:val="24"/>
          <w:szCs w:val="24"/>
        </w:rPr>
        <w:t xml:space="preserve"> scores does not generalise to attitudes </w:t>
      </w:r>
      <w:r>
        <w:rPr>
          <w:sz w:val="24"/>
          <w:szCs w:val="24"/>
        </w:rPr>
        <w:t xml:space="preserve">directed at the more </w:t>
      </w:r>
      <w:r w:rsidRPr="00902D43">
        <w:rPr>
          <w:sz w:val="24"/>
          <w:szCs w:val="24"/>
        </w:rPr>
        <w:t xml:space="preserve">collective construct of ‘homosexuals’. </w:t>
      </w:r>
    </w:p>
    <w:p w14:paraId="2EE0C404" w14:textId="7F9CBBD4" w:rsidR="00877BAB" w:rsidRPr="00902D43" w:rsidRDefault="00877BAB" w:rsidP="00877BAB">
      <w:pPr>
        <w:spacing w:line="360" w:lineRule="auto"/>
        <w:ind w:firstLine="720"/>
        <w:rPr>
          <w:sz w:val="24"/>
          <w:szCs w:val="24"/>
        </w:rPr>
      </w:pPr>
      <w:r w:rsidRPr="00902D43">
        <w:rPr>
          <w:sz w:val="24"/>
          <w:szCs w:val="24"/>
        </w:rPr>
        <w:t xml:space="preserve">The relationship between the MHS-G and MHS-L scores and </w:t>
      </w:r>
      <w:r>
        <w:rPr>
          <w:sz w:val="24"/>
          <w:szCs w:val="24"/>
        </w:rPr>
        <w:t>transnegativity</w:t>
      </w:r>
      <w:r w:rsidRPr="00902D43">
        <w:rPr>
          <w:sz w:val="24"/>
          <w:szCs w:val="24"/>
        </w:rPr>
        <w:t xml:space="preserve"> is not as apparent. Correlational analyses reveal that across all measurement time points, scores on the MHS-G correlate significantly with levels of </w:t>
      </w:r>
      <w:r>
        <w:rPr>
          <w:sz w:val="24"/>
          <w:szCs w:val="24"/>
        </w:rPr>
        <w:t>transnegativity</w:t>
      </w:r>
      <w:r w:rsidRPr="00902D43">
        <w:rPr>
          <w:sz w:val="24"/>
          <w:szCs w:val="24"/>
        </w:rPr>
        <w:t xml:space="preserve">. Additionally, the overall strength of these associations </w:t>
      </w:r>
      <w:r>
        <w:rPr>
          <w:sz w:val="24"/>
          <w:szCs w:val="24"/>
        </w:rPr>
        <w:t>are</w:t>
      </w:r>
      <w:r w:rsidRPr="00902D43">
        <w:rPr>
          <w:sz w:val="24"/>
          <w:szCs w:val="24"/>
        </w:rPr>
        <w:t xml:space="preserve"> both strong and consistent. Contemporaneously, the relationship between MHS-L scores and </w:t>
      </w:r>
      <w:r>
        <w:rPr>
          <w:sz w:val="24"/>
          <w:szCs w:val="24"/>
        </w:rPr>
        <w:t>transnegativity</w:t>
      </w:r>
      <w:r w:rsidRPr="00902D43">
        <w:rPr>
          <w:sz w:val="24"/>
          <w:szCs w:val="24"/>
        </w:rPr>
        <w:t xml:space="preserve"> is substantially and significantly weaker. This suggests that the androcentricity often associated with prejudice towards </w:t>
      </w:r>
      <w:r>
        <w:rPr>
          <w:sz w:val="24"/>
          <w:szCs w:val="24"/>
        </w:rPr>
        <w:t>sexual minorities</w:t>
      </w:r>
      <w:r w:rsidRPr="00902D43">
        <w:rPr>
          <w:sz w:val="24"/>
          <w:szCs w:val="24"/>
        </w:rPr>
        <w:t xml:space="preserve"> (Herek, 2002) similarly extends to </w:t>
      </w:r>
      <w:r>
        <w:rPr>
          <w:sz w:val="24"/>
          <w:szCs w:val="24"/>
        </w:rPr>
        <w:t>transnegativity</w:t>
      </w:r>
      <w:r w:rsidRPr="00902D43">
        <w:rPr>
          <w:sz w:val="24"/>
          <w:szCs w:val="24"/>
        </w:rPr>
        <w:t xml:space="preserve">. That is, it appears that there is an assumption that the concept of trans is associated with representations of trans women, or that the prejudices elicited are more closely linked to censorious beliefs pertaining to gay men’s perceived gender transgressions. The distinguishing connection between MHS-G and </w:t>
      </w:r>
      <w:r>
        <w:rPr>
          <w:sz w:val="24"/>
          <w:szCs w:val="24"/>
        </w:rPr>
        <w:t>transnegativity</w:t>
      </w:r>
      <w:r w:rsidRPr="00902D43">
        <w:rPr>
          <w:sz w:val="24"/>
          <w:szCs w:val="24"/>
        </w:rPr>
        <w:t xml:space="preserve"> can be explained through two key theories: Serano’s (2007) concept of effemimania and Hoskin’s (2017a; 2017b) concept of Femmephobia/Femme-negativity. These concepts illustrate the specific devaluation of femininity and the tendency for prejudice to be directed at ‘misplaced’ femininity. What gay men and trans women do have in common is the shared (and often false) perception that they have abandoned societally valued masculinity for enactments of societally </w:t>
      </w:r>
      <w:r w:rsidR="00F24452">
        <w:rPr>
          <w:sz w:val="24"/>
          <w:szCs w:val="24"/>
        </w:rPr>
        <w:t>de</w:t>
      </w:r>
      <w:r w:rsidRPr="00902D43">
        <w:rPr>
          <w:sz w:val="24"/>
          <w:szCs w:val="24"/>
        </w:rPr>
        <w:t>valued femininity.</w:t>
      </w:r>
      <w:r>
        <w:rPr>
          <w:sz w:val="24"/>
          <w:szCs w:val="24"/>
        </w:rPr>
        <w:t xml:space="preserve"> T</w:t>
      </w:r>
      <w:r w:rsidRPr="00902D43">
        <w:rPr>
          <w:sz w:val="24"/>
          <w:szCs w:val="24"/>
        </w:rPr>
        <w:t xml:space="preserve">herefore, in a similar vein to McDermott and Blair (2012) who argue that researchers should discriminate between attitudes towards gay men and lesbian women, we argue that: 1) the relationships between </w:t>
      </w:r>
      <w:r>
        <w:rPr>
          <w:sz w:val="24"/>
          <w:szCs w:val="24"/>
        </w:rPr>
        <w:t>transnegativity</w:t>
      </w:r>
      <w:r w:rsidRPr="00902D43">
        <w:rPr>
          <w:sz w:val="24"/>
          <w:szCs w:val="24"/>
        </w:rPr>
        <w:t xml:space="preserve">, femme-negativity, and homonegativity directed towards gay men and lesbian women should be more carefully explored; and 2) the construct of </w:t>
      </w:r>
      <w:r>
        <w:rPr>
          <w:sz w:val="24"/>
          <w:szCs w:val="24"/>
        </w:rPr>
        <w:t>transnegativity</w:t>
      </w:r>
      <w:r w:rsidRPr="00902D43">
        <w:rPr>
          <w:sz w:val="24"/>
          <w:szCs w:val="24"/>
        </w:rPr>
        <w:t xml:space="preserve"> should be refined to assess whether discrete differences exist in attitudes towards trans men and trans women.</w:t>
      </w:r>
    </w:p>
    <w:p w14:paraId="7FCC8F3D" w14:textId="43A50590" w:rsidR="00877BAB" w:rsidRPr="00902D43" w:rsidRDefault="00877BAB" w:rsidP="00877BAB">
      <w:pPr>
        <w:spacing w:line="360" w:lineRule="auto"/>
        <w:ind w:firstLine="720"/>
        <w:rPr>
          <w:sz w:val="24"/>
          <w:szCs w:val="24"/>
        </w:rPr>
      </w:pPr>
      <w:r w:rsidRPr="00902D43">
        <w:rPr>
          <w:sz w:val="24"/>
          <w:szCs w:val="24"/>
        </w:rPr>
        <w:t xml:space="preserve">In line with previous studies, </w:t>
      </w:r>
      <w:r>
        <w:rPr>
          <w:sz w:val="24"/>
          <w:szCs w:val="24"/>
        </w:rPr>
        <w:t>transnegativity</w:t>
      </w:r>
      <w:r w:rsidRPr="00902D43">
        <w:rPr>
          <w:sz w:val="24"/>
          <w:szCs w:val="24"/>
        </w:rPr>
        <w:t xml:space="preserve"> was also positively associated with constructs known to correlate with prejudicial attitudes, as demonstrated by the positive associations with self-reported levels of social dominance orientation and religiosity. Regarding the latter, the positive association with religiosity indicates that those who hold stronger religious beliefs, irrespective of their affiliation, tend to demonstrate higher levels of </w:t>
      </w:r>
      <w:r>
        <w:rPr>
          <w:sz w:val="24"/>
          <w:szCs w:val="24"/>
        </w:rPr>
        <w:t>transnegativity</w:t>
      </w:r>
      <w:r w:rsidRPr="00902D43">
        <w:rPr>
          <w:sz w:val="24"/>
          <w:szCs w:val="24"/>
        </w:rPr>
        <w:t xml:space="preserve">. Nagoshi et al. (2008) </w:t>
      </w:r>
      <w:r>
        <w:rPr>
          <w:sz w:val="24"/>
          <w:szCs w:val="24"/>
        </w:rPr>
        <w:t>reported</w:t>
      </w:r>
      <w:r w:rsidRPr="00902D43">
        <w:rPr>
          <w:sz w:val="24"/>
          <w:szCs w:val="24"/>
        </w:rPr>
        <w:t xml:space="preserve"> a similar result. As iterated previously, a key distinction between fundamentalism and religiosity is the extent to which respondents consider doctrine sacrosanct. Further, the positive association with religiosity indicates that these forms of beliefs are not just held by those with strict adherence to religion. Our findin</w:t>
      </w:r>
      <w:r w:rsidR="004D7033">
        <w:rPr>
          <w:sz w:val="24"/>
          <w:szCs w:val="24"/>
        </w:rPr>
        <w:t>g suggests that levels of trans</w:t>
      </w:r>
      <w:r w:rsidRPr="00902D43">
        <w:rPr>
          <w:sz w:val="24"/>
          <w:szCs w:val="24"/>
        </w:rPr>
        <w:t xml:space="preserve">negativity extend beyond those with strict religious fundamentalist beliefs and includes those whose religious identity is less dogmatic in nature. The positive relationship demonstrated between </w:t>
      </w:r>
      <w:r>
        <w:rPr>
          <w:sz w:val="24"/>
          <w:szCs w:val="24"/>
        </w:rPr>
        <w:t>transnegativity</w:t>
      </w:r>
      <w:r w:rsidRPr="00902D43">
        <w:rPr>
          <w:sz w:val="24"/>
          <w:szCs w:val="24"/>
        </w:rPr>
        <w:t xml:space="preserve"> and social dominance orientation by this study also adds to the known associations of </w:t>
      </w:r>
      <w:r>
        <w:rPr>
          <w:sz w:val="24"/>
          <w:szCs w:val="24"/>
        </w:rPr>
        <w:t>transnegativity</w:t>
      </w:r>
      <w:r w:rsidRPr="00902D43">
        <w:rPr>
          <w:sz w:val="24"/>
          <w:szCs w:val="24"/>
        </w:rPr>
        <w:t xml:space="preserve"> with right wing authoritarianism, a construct that has been demonstrated to correlate with social dominance orientation and prejudice towards sexual minorities (Stones, 2006). </w:t>
      </w:r>
    </w:p>
    <w:p w14:paraId="65A0036E" w14:textId="77777777" w:rsidR="00877BAB" w:rsidRPr="00902D43" w:rsidRDefault="00877BAB" w:rsidP="00877BAB">
      <w:pPr>
        <w:spacing w:line="360" w:lineRule="auto"/>
        <w:rPr>
          <w:sz w:val="24"/>
          <w:szCs w:val="24"/>
        </w:rPr>
      </w:pPr>
      <w:r w:rsidRPr="00902D43">
        <w:rPr>
          <w:sz w:val="24"/>
          <w:szCs w:val="24"/>
        </w:rPr>
        <w:tab/>
        <w:t xml:space="preserve">The final aim of this study was to add to the growing body of literature that seeks to determine the utility the Parasocial Contact Hypothesis (PCH; Schiappa et al., 2005). In this study, we combined mediated contact with a panel presentation (indirect contact) as part of the overall intervention. The present results support this theory and demonstrate the utility of PCH as an effective means of promoting positive attitudes towards gender minority individuals. Further, the reported lack of a ‘rebound effect’ in levels of </w:t>
      </w:r>
      <w:r>
        <w:rPr>
          <w:sz w:val="24"/>
          <w:szCs w:val="24"/>
        </w:rPr>
        <w:t>transnegativity</w:t>
      </w:r>
      <w:r w:rsidRPr="00902D43">
        <w:rPr>
          <w:sz w:val="24"/>
          <w:szCs w:val="24"/>
        </w:rPr>
        <w:t xml:space="preserve"> suggests that mediated contact can have both immediate and longer lasting effects vis-à-vis attitude change. This finding is promising as it suggests that such activities, which are easily developed, implemented, and can </w:t>
      </w:r>
      <w:r w:rsidRPr="00096782">
        <w:rPr>
          <w:sz w:val="24"/>
          <w:szCs w:val="24"/>
        </w:rPr>
        <w:t>re</w:t>
      </w:r>
      <w:r w:rsidRPr="00902D43">
        <w:rPr>
          <w:sz w:val="24"/>
          <w:szCs w:val="24"/>
        </w:rPr>
        <w:t>ach large groups of people, can be used to ameliorate negativity towards groups who face prejudice. Additionally, it adds to this literature by providing evidence of the generalisability of such interventions to minority groups beyond gay men and transvestites</w:t>
      </w:r>
      <w:r>
        <w:rPr>
          <w:sz w:val="24"/>
          <w:szCs w:val="24"/>
        </w:rPr>
        <w:t xml:space="preserve"> as tested by </w:t>
      </w:r>
      <w:r w:rsidRPr="00902D43">
        <w:rPr>
          <w:sz w:val="24"/>
          <w:szCs w:val="24"/>
        </w:rPr>
        <w:t xml:space="preserve">Schiappa et al., </w:t>
      </w:r>
      <w:r>
        <w:rPr>
          <w:sz w:val="24"/>
          <w:szCs w:val="24"/>
        </w:rPr>
        <w:t>(</w:t>
      </w:r>
      <w:r w:rsidRPr="00902D43">
        <w:rPr>
          <w:sz w:val="24"/>
          <w:szCs w:val="24"/>
        </w:rPr>
        <w:t>2005).</w:t>
      </w:r>
    </w:p>
    <w:p w14:paraId="46B07EEF" w14:textId="77777777" w:rsidR="00877BAB" w:rsidRPr="00902D43" w:rsidRDefault="00877BAB" w:rsidP="00877BAB">
      <w:pPr>
        <w:spacing w:line="360" w:lineRule="auto"/>
        <w:outlineLvl w:val="0"/>
        <w:rPr>
          <w:b/>
          <w:sz w:val="24"/>
          <w:szCs w:val="24"/>
        </w:rPr>
      </w:pPr>
      <w:r w:rsidRPr="00902D43">
        <w:rPr>
          <w:b/>
          <w:sz w:val="24"/>
          <w:szCs w:val="24"/>
        </w:rPr>
        <w:t>Limitations and Directions for Future Research</w:t>
      </w:r>
    </w:p>
    <w:p w14:paraId="7C0266D8" w14:textId="77777777" w:rsidR="00877BAB" w:rsidRPr="00902D43" w:rsidRDefault="00877BAB" w:rsidP="00877BAB">
      <w:pPr>
        <w:spacing w:line="360" w:lineRule="auto"/>
        <w:rPr>
          <w:sz w:val="24"/>
          <w:szCs w:val="24"/>
        </w:rPr>
      </w:pPr>
      <w:r w:rsidRPr="00902D43">
        <w:rPr>
          <w:sz w:val="24"/>
          <w:szCs w:val="24"/>
        </w:rPr>
        <w:tab/>
        <w:t xml:space="preserve">Despite the aforementioned positive features and outcomes of this study, there are a number of limitations and directions for future research that should be noted. Firstly, the sample of the current study consisted wholly of female participants currently taking a course in the psychology of sexuality and gender. It has been previously demonstrated that such samples tend to represent the most liberal individuals, particularly with respect to attitudes towards minority groups (Sears, 1986). This sampling feature may partly explain the initial low levels of </w:t>
      </w:r>
      <w:r>
        <w:rPr>
          <w:sz w:val="24"/>
          <w:szCs w:val="24"/>
        </w:rPr>
        <w:t>transnegativity</w:t>
      </w:r>
      <w:r w:rsidRPr="00902D43">
        <w:rPr>
          <w:sz w:val="24"/>
          <w:szCs w:val="24"/>
        </w:rPr>
        <w:t xml:space="preserve"> demonstrated by these participants prior to the intervention. Recent evidence from Mansoori-Rostam and Tate (2017) suggest that there are appreciable differences in the forms of prejudices held by students completing liberal arts courses when compared to students completing biological science based courses – a factor which may have influenced respondents’ levels of </w:t>
      </w:r>
      <w:r>
        <w:rPr>
          <w:sz w:val="24"/>
          <w:szCs w:val="24"/>
        </w:rPr>
        <w:t>transnegativity</w:t>
      </w:r>
      <w:r w:rsidRPr="00902D43">
        <w:rPr>
          <w:sz w:val="24"/>
          <w:szCs w:val="24"/>
        </w:rPr>
        <w:t>. Despite these factors, the evidence presented herein demonstrates that such interventions do hold utility even among groups already known to hold beliefs that are more liberal. Additionally, evidence provided by Broockman and Kalla (2016) suggest that information based interventions demonstrate immediate and temporally stable attitude change among members of the general public. Future research should aim to assess the utility of this and other interventions with a wider and more representative sample of participants.</w:t>
      </w:r>
    </w:p>
    <w:p w14:paraId="03306C60" w14:textId="77777777" w:rsidR="00877BAB" w:rsidRDefault="00877BAB" w:rsidP="00877BAB">
      <w:pPr>
        <w:spacing w:line="360" w:lineRule="auto"/>
        <w:rPr>
          <w:sz w:val="24"/>
          <w:szCs w:val="24"/>
        </w:rPr>
      </w:pPr>
      <w:r w:rsidRPr="00902D43">
        <w:rPr>
          <w:sz w:val="24"/>
          <w:szCs w:val="24"/>
        </w:rPr>
        <w:tab/>
        <w:t xml:space="preserve">Secondly, the lack of a comparable non-intervention control condition should be highlighted. Whilst internal control is provided by the measurement of attitudes at baseline from which post intervention and </w:t>
      </w:r>
      <w:r>
        <w:rPr>
          <w:sz w:val="24"/>
          <w:szCs w:val="24"/>
        </w:rPr>
        <w:t>time three</w:t>
      </w:r>
      <w:r w:rsidRPr="00902D43">
        <w:rPr>
          <w:sz w:val="24"/>
          <w:szCs w:val="24"/>
        </w:rPr>
        <w:t xml:space="preserve"> attitudes</w:t>
      </w:r>
      <w:r>
        <w:rPr>
          <w:sz w:val="24"/>
          <w:szCs w:val="24"/>
        </w:rPr>
        <w:t xml:space="preserve"> levels</w:t>
      </w:r>
      <w:r w:rsidRPr="00902D43">
        <w:rPr>
          <w:sz w:val="24"/>
          <w:szCs w:val="24"/>
        </w:rPr>
        <w:t xml:space="preserve"> can be compared, the utility of such interventions would be strengthened with between-groups comparisons alongside within-groups comparisons. Factors influencing this decision included the resources associated with recruitment of a separate sample and the fact that the first author, who was only teaching one course over this period, conducted the data collection. However, Case and Stewart (2013) provide precedence for this design, as they similarly demonstrated the utility of such interventions by means of within group comparisons. Future explorations would add to this literature through the addition of a demographically homogenous control condition.</w:t>
      </w:r>
    </w:p>
    <w:p w14:paraId="73BA54BF" w14:textId="77777777" w:rsidR="00877BAB" w:rsidRPr="00902D43" w:rsidRDefault="00877BAB" w:rsidP="00877BAB">
      <w:pPr>
        <w:spacing w:line="360" w:lineRule="auto"/>
        <w:rPr>
          <w:sz w:val="24"/>
          <w:szCs w:val="24"/>
        </w:rPr>
      </w:pPr>
      <w:r>
        <w:rPr>
          <w:sz w:val="24"/>
          <w:szCs w:val="24"/>
        </w:rPr>
        <w:tab/>
        <w:t xml:space="preserve">Thirdly, the use of a dichotomous variable to measure contact between cisgendered and trans people is a factor that should be noted. Whilst this measure did provide an indication as to whether respondents have previously had contact with a trans person, it does not provide an indication as to the amount of contact that occurred, the frequency, and whether or not contact was positive or negative (Turner, Hewstone &amp; Voci, 2007). Further, it should be noted that while the film used in this experiment had a trans focus, its primary characters were a trans woman and a cisgendered man. As such, it is not known whether the focus on a transwoman character as opposed to trans male characters inadvertently impacted respondents’ attitudes. Future research should endeavour to test this effect with more diverse and inclusive forms of media. </w:t>
      </w:r>
    </w:p>
    <w:p w14:paraId="4E52143B" w14:textId="77777777" w:rsidR="00877BAB" w:rsidRPr="00902D43" w:rsidRDefault="00877BAB" w:rsidP="00877BAB">
      <w:pPr>
        <w:spacing w:line="360" w:lineRule="auto"/>
        <w:rPr>
          <w:sz w:val="24"/>
          <w:szCs w:val="24"/>
        </w:rPr>
      </w:pPr>
      <w:r w:rsidRPr="00902D43">
        <w:rPr>
          <w:sz w:val="24"/>
          <w:szCs w:val="24"/>
        </w:rPr>
        <w:tab/>
        <w:t>Finally, the self-report nature of this research should be acknowledged. Evidence has demonstrated that attitudes towards sexual minorities are susceptible to self-presentation biases and motivations to control prejudice (</w:t>
      </w:r>
      <w:r>
        <w:rPr>
          <w:sz w:val="24"/>
          <w:szCs w:val="24"/>
        </w:rPr>
        <w:t>Lemm, 2006</w:t>
      </w:r>
      <w:r w:rsidRPr="00902D43">
        <w:rPr>
          <w:sz w:val="24"/>
          <w:szCs w:val="24"/>
        </w:rPr>
        <w:t>). As such, the potential for such factors to influence these results cannot be ignored. Nevertheless, as demonstrated by West and Hewstone (201</w:t>
      </w:r>
      <w:r>
        <w:rPr>
          <w:sz w:val="24"/>
          <w:szCs w:val="24"/>
        </w:rPr>
        <w:t>2</w:t>
      </w:r>
      <w:r w:rsidRPr="00902D43">
        <w:rPr>
          <w:sz w:val="24"/>
          <w:szCs w:val="24"/>
        </w:rPr>
        <w:t>), different social groups are more or less likely to elicit such controlled behaviours among respondents and given the relatively recent emergence of trans-visibility we contend that this target group are less likely to fall susceptible to such effects - however, the veracity of this statement is yet to be determined. Future research should endeavour to incorporate measurement of these factors into their designs and account for their influence. Furthermore, the utility of such interventions would be strengthened through the addition of implicit attitude measurement (Steffens &amp; Jonas, 201</w:t>
      </w:r>
      <w:r>
        <w:rPr>
          <w:sz w:val="24"/>
          <w:szCs w:val="24"/>
        </w:rPr>
        <w:t>1</w:t>
      </w:r>
      <w:r w:rsidRPr="00902D43">
        <w:rPr>
          <w:sz w:val="24"/>
          <w:szCs w:val="24"/>
        </w:rPr>
        <w:t>), which previous evidence has demonstrated are less likely to be influenced by direct or indirect contact based interventions (McDermott et al., 2012).</w:t>
      </w:r>
    </w:p>
    <w:p w14:paraId="3DDEFB1E" w14:textId="77777777" w:rsidR="00877BAB" w:rsidRPr="00902D43" w:rsidRDefault="00877BAB" w:rsidP="00877BAB">
      <w:pPr>
        <w:spacing w:line="360" w:lineRule="auto"/>
        <w:outlineLvl w:val="0"/>
        <w:rPr>
          <w:b/>
          <w:sz w:val="24"/>
          <w:szCs w:val="24"/>
        </w:rPr>
      </w:pPr>
      <w:r w:rsidRPr="00902D43">
        <w:rPr>
          <w:b/>
          <w:sz w:val="24"/>
          <w:szCs w:val="24"/>
        </w:rPr>
        <w:t>Conclusion</w:t>
      </w:r>
    </w:p>
    <w:p w14:paraId="2E548604" w14:textId="4D37AD9A" w:rsidR="00877BAB" w:rsidRPr="00902D43" w:rsidRDefault="00877BAB" w:rsidP="00877BAB">
      <w:pPr>
        <w:spacing w:line="360" w:lineRule="auto"/>
        <w:rPr>
          <w:sz w:val="24"/>
          <w:szCs w:val="24"/>
        </w:rPr>
      </w:pPr>
      <w:r w:rsidRPr="00902D43">
        <w:rPr>
          <w:sz w:val="24"/>
          <w:szCs w:val="24"/>
        </w:rPr>
        <w:tab/>
        <w:t xml:space="preserve">In this study we sought to extend the empirical study of prejudice towards trans people by demonstrating the efficacy and temporal stability of a pedagogic prejudice reduction intervention as a means of reducing </w:t>
      </w:r>
      <w:r>
        <w:rPr>
          <w:sz w:val="24"/>
          <w:szCs w:val="24"/>
        </w:rPr>
        <w:t>transnegativity</w:t>
      </w:r>
      <w:r w:rsidRPr="00902D43">
        <w:rPr>
          <w:sz w:val="24"/>
          <w:szCs w:val="24"/>
        </w:rPr>
        <w:t xml:space="preserve">. Additionally, we put forward an alternative set of terminology to describe this construct, assess its relationship to more specific forms of sexual minority prejudice, and add to the burgeoning literature assessing the utility of the Parasocial Contact Hypothesis as a means of prejudice reduction. The present results demonstrate the malleability of </w:t>
      </w:r>
      <w:r>
        <w:rPr>
          <w:sz w:val="24"/>
          <w:szCs w:val="24"/>
        </w:rPr>
        <w:t>transnegativity</w:t>
      </w:r>
      <w:r w:rsidRPr="00902D43">
        <w:rPr>
          <w:sz w:val="24"/>
          <w:szCs w:val="24"/>
        </w:rPr>
        <w:t xml:space="preserve"> and the longer-term benefits of a simple education based intervention as a means of prejudice reduction. Additionally, this work illustrated the key distinctions in the relationship between </w:t>
      </w:r>
      <w:r>
        <w:rPr>
          <w:sz w:val="24"/>
          <w:szCs w:val="24"/>
        </w:rPr>
        <w:t>transnegativity</w:t>
      </w:r>
      <w:r w:rsidRPr="00902D43">
        <w:rPr>
          <w:sz w:val="24"/>
          <w:szCs w:val="24"/>
        </w:rPr>
        <w:t xml:space="preserve"> and, </w:t>
      </w:r>
      <w:r>
        <w:rPr>
          <w:sz w:val="24"/>
          <w:szCs w:val="24"/>
        </w:rPr>
        <w:t>prejudice towards sexual minorities</w:t>
      </w:r>
      <w:r w:rsidRPr="00902D43">
        <w:rPr>
          <w:sz w:val="24"/>
          <w:szCs w:val="24"/>
        </w:rPr>
        <w:t>, as a collective construct</w:t>
      </w:r>
      <w:r>
        <w:rPr>
          <w:sz w:val="24"/>
          <w:szCs w:val="24"/>
        </w:rPr>
        <w:t xml:space="preserve"> and as</w:t>
      </w:r>
      <w:r w:rsidRPr="00902D43">
        <w:rPr>
          <w:sz w:val="24"/>
          <w:szCs w:val="24"/>
        </w:rPr>
        <w:t xml:space="preserve"> discrete forms of prejudice directed towards gay men and lesbian women. </w:t>
      </w:r>
    </w:p>
    <w:p w14:paraId="7BA6124E" w14:textId="77777777" w:rsidR="00877BAB" w:rsidRPr="00902D43" w:rsidRDefault="00877BAB" w:rsidP="00877BAB">
      <w:pPr>
        <w:spacing w:line="480" w:lineRule="auto"/>
        <w:jc w:val="center"/>
        <w:rPr>
          <w:b/>
          <w:sz w:val="24"/>
          <w:szCs w:val="24"/>
        </w:rPr>
      </w:pPr>
    </w:p>
    <w:p w14:paraId="2D1925C9" w14:textId="77777777" w:rsidR="00877BAB" w:rsidRPr="00902D43" w:rsidRDefault="00877BAB" w:rsidP="00877BAB">
      <w:pPr>
        <w:spacing w:line="480" w:lineRule="auto"/>
        <w:jc w:val="center"/>
        <w:rPr>
          <w:b/>
          <w:sz w:val="24"/>
          <w:szCs w:val="24"/>
        </w:rPr>
      </w:pPr>
    </w:p>
    <w:p w14:paraId="38CB55C7" w14:textId="77777777" w:rsidR="00877BAB" w:rsidRPr="00902D43" w:rsidRDefault="00877BAB" w:rsidP="00877BAB">
      <w:pPr>
        <w:spacing w:line="480" w:lineRule="auto"/>
        <w:jc w:val="center"/>
        <w:rPr>
          <w:b/>
          <w:sz w:val="24"/>
          <w:szCs w:val="24"/>
        </w:rPr>
      </w:pPr>
    </w:p>
    <w:p w14:paraId="6BA69140" w14:textId="77777777" w:rsidR="00877BAB" w:rsidRPr="00902D43" w:rsidRDefault="00877BAB" w:rsidP="00877BAB">
      <w:pPr>
        <w:spacing w:line="480" w:lineRule="auto"/>
        <w:jc w:val="center"/>
        <w:rPr>
          <w:b/>
          <w:sz w:val="24"/>
          <w:szCs w:val="24"/>
        </w:rPr>
      </w:pPr>
    </w:p>
    <w:p w14:paraId="216FC095" w14:textId="77777777" w:rsidR="00877BAB" w:rsidRPr="00902D43" w:rsidRDefault="00877BAB" w:rsidP="00877BAB">
      <w:pPr>
        <w:spacing w:line="480" w:lineRule="auto"/>
        <w:jc w:val="center"/>
        <w:outlineLvl w:val="0"/>
        <w:rPr>
          <w:b/>
          <w:sz w:val="24"/>
          <w:szCs w:val="24"/>
        </w:rPr>
      </w:pPr>
      <w:r w:rsidRPr="00902D43">
        <w:rPr>
          <w:b/>
          <w:sz w:val="24"/>
          <w:szCs w:val="24"/>
        </w:rPr>
        <w:t>References</w:t>
      </w:r>
    </w:p>
    <w:p w14:paraId="573BE294" w14:textId="77777777" w:rsidR="00877BAB" w:rsidRPr="00902D43" w:rsidRDefault="00877BAB" w:rsidP="00877BAB">
      <w:pPr>
        <w:spacing w:line="360" w:lineRule="auto"/>
        <w:ind w:left="720" w:hanging="720"/>
        <w:rPr>
          <w:rFonts w:asciiTheme="minorHAnsi" w:hAnsiTheme="minorHAnsi" w:cs="Arial"/>
          <w:color w:val="222222"/>
          <w:sz w:val="24"/>
          <w:szCs w:val="24"/>
          <w:shd w:val="clear" w:color="auto" w:fill="FFFFFF"/>
        </w:rPr>
      </w:pPr>
      <w:r w:rsidRPr="00902D43">
        <w:rPr>
          <w:rFonts w:asciiTheme="minorHAnsi" w:hAnsiTheme="minorHAnsi" w:cs="Arial"/>
          <w:color w:val="222222"/>
          <w:sz w:val="24"/>
          <w:szCs w:val="24"/>
          <w:shd w:val="clear" w:color="auto" w:fill="FFFFFF"/>
        </w:rPr>
        <w:t>Allport, G. W. (1954). The Nature of Prejudice.</w:t>
      </w:r>
      <w:r w:rsidRPr="00902D43">
        <w:rPr>
          <w:rStyle w:val="apple-converted-space"/>
          <w:rFonts w:asciiTheme="minorHAnsi" w:hAnsiTheme="minorHAnsi" w:cs="Arial"/>
          <w:color w:val="222222"/>
          <w:sz w:val="24"/>
          <w:szCs w:val="24"/>
          <w:shd w:val="clear" w:color="auto" w:fill="FFFFFF"/>
        </w:rPr>
        <w:t> </w:t>
      </w:r>
      <w:r w:rsidRPr="00902D43">
        <w:rPr>
          <w:rFonts w:asciiTheme="minorHAnsi" w:hAnsiTheme="minorHAnsi" w:cs="Arial"/>
          <w:i/>
          <w:iCs/>
          <w:color w:val="222222"/>
          <w:sz w:val="24"/>
          <w:szCs w:val="24"/>
          <w:shd w:val="clear" w:color="auto" w:fill="FFFFFF"/>
        </w:rPr>
        <w:t>New York: Addison</w:t>
      </w:r>
      <w:r w:rsidRPr="00902D43">
        <w:rPr>
          <w:rFonts w:asciiTheme="minorHAnsi" w:hAnsiTheme="minorHAnsi" w:cs="Arial"/>
          <w:color w:val="222222"/>
          <w:sz w:val="24"/>
          <w:szCs w:val="24"/>
          <w:shd w:val="clear" w:color="auto" w:fill="FFFFFF"/>
        </w:rPr>
        <w:t>.</w:t>
      </w:r>
    </w:p>
    <w:p w14:paraId="2F70286D" w14:textId="17F3BF5D" w:rsidR="00877BAB" w:rsidRPr="00902D43" w:rsidRDefault="00877BAB" w:rsidP="00877BAB">
      <w:pPr>
        <w:spacing w:line="360" w:lineRule="auto"/>
        <w:ind w:left="720" w:hanging="720"/>
        <w:rPr>
          <w:rFonts w:asciiTheme="minorHAnsi" w:hAnsiTheme="minorHAnsi"/>
          <w:b/>
          <w:sz w:val="24"/>
          <w:szCs w:val="24"/>
        </w:rPr>
      </w:pPr>
      <w:r w:rsidRPr="00902D43">
        <w:rPr>
          <w:rFonts w:asciiTheme="minorHAnsi" w:hAnsiTheme="minorHAnsi" w:cs="Arial"/>
          <w:color w:val="222222"/>
          <w:sz w:val="24"/>
          <w:szCs w:val="24"/>
          <w:shd w:val="clear" w:color="auto" w:fill="FFFFFF"/>
        </w:rPr>
        <w:t>Broockman, D., &amp; Kalla, J. (2016). Durably reducing transphobia: A field experiment on door-to-door canvassing.</w:t>
      </w:r>
      <w:r w:rsidRPr="00902D43">
        <w:rPr>
          <w:rStyle w:val="apple-converted-space"/>
          <w:rFonts w:asciiTheme="minorHAnsi" w:hAnsiTheme="minorHAnsi" w:cs="Arial"/>
          <w:color w:val="222222"/>
          <w:sz w:val="24"/>
          <w:szCs w:val="24"/>
          <w:shd w:val="clear" w:color="auto" w:fill="FFFFFF"/>
        </w:rPr>
        <w:t> </w:t>
      </w:r>
      <w:r w:rsidRPr="00902D43">
        <w:rPr>
          <w:rFonts w:asciiTheme="minorHAnsi" w:hAnsiTheme="minorHAnsi" w:cs="Arial"/>
          <w:i/>
          <w:iCs/>
          <w:color w:val="222222"/>
          <w:sz w:val="24"/>
          <w:szCs w:val="24"/>
          <w:shd w:val="clear" w:color="auto" w:fill="FFFFFF"/>
        </w:rPr>
        <w:t>Science</w:t>
      </w:r>
      <w:r w:rsidRPr="00902D43">
        <w:rPr>
          <w:rFonts w:asciiTheme="minorHAnsi" w:hAnsiTheme="minorHAnsi" w:cs="Arial"/>
          <w:color w:val="222222"/>
          <w:sz w:val="24"/>
          <w:szCs w:val="24"/>
          <w:shd w:val="clear" w:color="auto" w:fill="FFFFFF"/>
        </w:rPr>
        <w:t>,</w:t>
      </w:r>
      <w:r w:rsidRPr="00902D43">
        <w:rPr>
          <w:rStyle w:val="apple-converted-space"/>
          <w:rFonts w:asciiTheme="minorHAnsi" w:hAnsiTheme="minorHAnsi" w:cs="Arial"/>
          <w:color w:val="222222"/>
          <w:sz w:val="24"/>
          <w:szCs w:val="24"/>
          <w:shd w:val="clear" w:color="auto" w:fill="FFFFFF"/>
        </w:rPr>
        <w:t> </w:t>
      </w:r>
      <w:r w:rsidRPr="00902D43">
        <w:rPr>
          <w:rFonts w:asciiTheme="minorHAnsi" w:hAnsiTheme="minorHAnsi" w:cs="Arial"/>
          <w:i/>
          <w:iCs/>
          <w:color w:val="222222"/>
          <w:sz w:val="24"/>
          <w:szCs w:val="24"/>
          <w:shd w:val="clear" w:color="auto" w:fill="FFFFFF"/>
        </w:rPr>
        <w:t xml:space="preserve">352 </w:t>
      </w:r>
      <w:r w:rsidRPr="00902D43">
        <w:rPr>
          <w:rFonts w:asciiTheme="minorHAnsi" w:hAnsiTheme="minorHAnsi" w:cs="Arial"/>
          <w:color w:val="222222"/>
          <w:sz w:val="24"/>
          <w:szCs w:val="24"/>
          <w:shd w:val="clear" w:color="auto" w:fill="FFFFFF"/>
        </w:rPr>
        <w:t>(6282), 220-224.</w:t>
      </w:r>
      <w:r w:rsidR="00D27E60">
        <w:rPr>
          <w:rFonts w:asciiTheme="minorHAnsi" w:hAnsiTheme="minorHAnsi" w:cs="Arial"/>
          <w:color w:val="222222"/>
          <w:sz w:val="24"/>
          <w:szCs w:val="24"/>
          <w:shd w:val="clear" w:color="auto" w:fill="FFFFFF"/>
        </w:rPr>
        <w:t xml:space="preserve"> </w:t>
      </w:r>
      <w:r w:rsidR="00D27E60" w:rsidRPr="00D27E60">
        <w:rPr>
          <w:rFonts w:asciiTheme="minorHAnsi" w:hAnsiTheme="minorHAnsi" w:cs="Arial"/>
          <w:color w:val="222222"/>
          <w:sz w:val="24"/>
          <w:szCs w:val="24"/>
          <w:shd w:val="clear" w:color="auto" w:fill="FFFFFF"/>
        </w:rPr>
        <w:t>DOI: 10.1126/science.aad9713</w:t>
      </w:r>
    </w:p>
    <w:p w14:paraId="7CCB9D35" w14:textId="1B30E9E1" w:rsidR="00877BAB" w:rsidRPr="00D27E60" w:rsidRDefault="00877BAB" w:rsidP="00877BAB">
      <w:pPr>
        <w:spacing w:line="360" w:lineRule="auto"/>
        <w:ind w:left="720" w:hanging="720"/>
        <w:rPr>
          <w:rFonts w:asciiTheme="minorHAnsi" w:hAnsiTheme="minorHAnsi"/>
          <w:sz w:val="24"/>
          <w:szCs w:val="24"/>
        </w:rPr>
      </w:pPr>
      <w:r w:rsidRPr="00902D43">
        <w:rPr>
          <w:rFonts w:asciiTheme="minorHAnsi" w:hAnsiTheme="minorHAnsi" w:cs="Arial"/>
          <w:color w:val="222222"/>
          <w:sz w:val="24"/>
          <w:szCs w:val="24"/>
          <w:shd w:val="clear" w:color="auto" w:fill="FFFFFF"/>
        </w:rPr>
        <w:t>Case, K. A., &amp; Stewart, B. (2013). Intervention effectiveness in reducing prejudice against transsexuals.</w:t>
      </w:r>
      <w:r w:rsidRPr="00902D43">
        <w:rPr>
          <w:rStyle w:val="apple-converted-space"/>
          <w:rFonts w:asciiTheme="minorHAnsi" w:hAnsiTheme="minorHAnsi" w:cs="Arial"/>
          <w:color w:val="222222"/>
          <w:sz w:val="24"/>
          <w:szCs w:val="24"/>
          <w:shd w:val="clear" w:color="auto" w:fill="FFFFFF"/>
        </w:rPr>
        <w:t> </w:t>
      </w:r>
      <w:r w:rsidRPr="00902D43">
        <w:rPr>
          <w:rFonts w:asciiTheme="minorHAnsi" w:hAnsiTheme="minorHAnsi" w:cs="Arial"/>
          <w:i/>
          <w:iCs/>
          <w:color w:val="222222"/>
          <w:sz w:val="24"/>
          <w:szCs w:val="24"/>
          <w:shd w:val="clear" w:color="auto" w:fill="FFFFFF"/>
        </w:rPr>
        <w:t>Journal of LGBT Youth</w:t>
      </w:r>
      <w:r w:rsidRPr="00902D43">
        <w:rPr>
          <w:rFonts w:asciiTheme="minorHAnsi" w:hAnsiTheme="minorHAnsi" w:cs="Arial"/>
          <w:color w:val="222222"/>
          <w:sz w:val="24"/>
          <w:szCs w:val="24"/>
          <w:shd w:val="clear" w:color="auto" w:fill="FFFFFF"/>
        </w:rPr>
        <w:t>,</w:t>
      </w:r>
      <w:r w:rsidRPr="00902D43">
        <w:rPr>
          <w:rStyle w:val="apple-converted-space"/>
          <w:rFonts w:asciiTheme="minorHAnsi" w:hAnsiTheme="minorHAnsi" w:cs="Arial"/>
          <w:color w:val="222222"/>
          <w:sz w:val="24"/>
          <w:szCs w:val="24"/>
          <w:shd w:val="clear" w:color="auto" w:fill="FFFFFF"/>
        </w:rPr>
        <w:t> </w:t>
      </w:r>
      <w:r w:rsidRPr="00902D43">
        <w:rPr>
          <w:rFonts w:asciiTheme="minorHAnsi" w:hAnsiTheme="minorHAnsi" w:cs="Arial"/>
          <w:i/>
          <w:iCs/>
          <w:color w:val="222222"/>
          <w:sz w:val="24"/>
          <w:szCs w:val="24"/>
          <w:shd w:val="clear" w:color="auto" w:fill="FFFFFF"/>
        </w:rPr>
        <w:t>10</w:t>
      </w:r>
      <w:r w:rsidRPr="00902D43">
        <w:rPr>
          <w:rFonts w:asciiTheme="minorHAnsi" w:hAnsiTheme="minorHAnsi" w:cs="Arial"/>
          <w:color w:val="222222"/>
          <w:sz w:val="24"/>
          <w:szCs w:val="24"/>
          <w:shd w:val="clear" w:color="auto" w:fill="FFFFFF"/>
        </w:rPr>
        <w:t>(1-2), 140-158.</w:t>
      </w:r>
      <w:r w:rsidR="00D27E60">
        <w:rPr>
          <w:rFonts w:asciiTheme="minorHAnsi" w:hAnsiTheme="minorHAnsi"/>
          <w:b/>
          <w:sz w:val="24"/>
          <w:szCs w:val="24"/>
        </w:rPr>
        <w:t xml:space="preserve"> </w:t>
      </w:r>
      <w:r w:rsidR="00D27E60" w:rsidRPr="00D27E60">
        <w:rPr>
          <w:rFonts w:asciiTheme="minorHAnsi" w:hAnsiTheme="minorHAnsi"/>
          <w:sz w:val="24"/>
          <w:szCs w:val="24"/>
        </w:rPr>
        <w:t>DOI: 10.1080/19361653.2012.718549</w:t>
      </w:r>
    </w:p>
    <w:p w14:paraId="2A5B02A0" w14:textId="30DAEDFC" w:rsidR="00877BAB" w:rsidRPr="00902D43" w:rsidRDefault="00877BAB" w:rsidP="00877BAB">
      <w:pPr>
        <w:spacing w:line="360" w:lineRule="auto"/>
        <w:ind w:left="720" w:hanging="720"/>
        <w:rPr>
          <w:rFonts w:asciiTheme="minorHAnsi" w:hAnsiTheme="minorHAnsi" w:cs="Arial"/>
          <w:color w:val="222222"/>
          <w:sz w:val="24"/>
          <w:szCs w:val="24"/>
          <w:shd w:val="clear" w:color="auto" w:fill="FFFFFF"/>
        </w:rPr>
      </w:pPr>
      <w:r w:rsidRPr="00902D43">
        <w:rPr>
          <w:rFonts w:asciiTheme="minorHAnsi" w:hAnsiTheme="minorHAnsi" w:cs="Arial"/>
          <w:color w:val="222222"/>
          <w:sz w:val="24"/>
          <w:szCs w:val="24"/>
          <w:shd w:val="clear" w:color="auto" w:fill="FFFFFF"/>
        </w:rPr>
        <w:t>Case, K. A., Stewart, B., &amp; Tittsworth, J. (2009). Transgender across the curriculum: A psychology for inclusion.</w:t>
      </w:r>
      <w:r w:rsidRPr="00902D43">
        <w:rPr>
          <w:rStyle w:val="apple-converted-space"/>
          <w:rFonts w:asciiTheme="minorHAnsi" w:hAnsiTheme="minorHAnsi" w:cs="Arial"/>
          <w:color w:val="222222"/>
          <w:sz w:val="24"/>
          <w:szCs w:val="24"/>
          <w:shd w:val="clear" w:color="auto" w:fill="FFFFFF"/>
        </w:rPr>
        <w:t> </w:t>
      </w:r>
      <w:r w:rsidRPr="00902D43">
        <w:rPr>
          <w:rFonts w:asciiTheme="minorHAnsi" w:hAnsiTheme="minorHAnsi" w:cs="Arial"/>
          <w:i/>
          <w:iCs/>
          <w:color w:val="222222"/>
          <w:sz w:val="24"/>
          <w:szCs w:val="24"/>
          <w:shd w:val="clear" w:color="auto" w:fill="FFFFFF"/>
        </w:rPr>
        <w:t>Teaching of Psychology</w:t>
      </w:r>
      <w:r w:rsidRPr="00902D43">
        <w:rPr>
          <w:rFonts w:asciiTheme="minorHAnsi" w:hAnsiTheme="minorHAnsi" w:cs="Arial"/>
          <w:color w:val="222222"/>
          <w:sz w:val="24"/>
          <w:szCs w:val="24"/>
          <w:shd w:val="clear" w:color="auto" w:fill="FFFFFF"/>
        </w:rPr>
        <w:t>,</w:t>
      </w:r>
      <w:r w:rsidRPr="00902D43">
        <w:rPr>
          <w:rStyle w:val="apple-converted-space"/>
          <w:rFonts w:asciiTheme="minorHAnsi" w:hAnsiTheme="minorHAnsi" w:cs="Arial"/>
          <w:color w:val="222222"/>
          <w:sz w:val="24"/>
          <w:szCs w:val="24"/>
          <w:shd w:val="clear" w:color="auto" w:fill="FFFFFF"/>
        </w:rPr>
        <w:t> </w:t>
      </w:r>
      <w:r w:rsidRPr="00902D43">
        <w:rPr>
          <w:rFonts w:asciiTheme="minorHAnsi" w:hAnsiTheme="minorHAnsi" w:cs="Arial"/>
          <w:i/>
          <w:iCs/>
          <w:color w:val="222222"/>
          <w:sz w:val="24"/>
          <w:szCs w:val="24"/>
          <w:shd w:val="clear" w:color="auto" w:fill="FFFFFF"/>
        </w:rPr>
        <w:t>36</w:t>
      </w:r>
      <w:r w:rsidRPr="00902D43">
        <w:rPr>
          <w:rFonts w:asciiTheme="minorHAnsi" w:hAnsiTheme="minorHAnsi" w:cs="Arial"/>
          <w:color w:val="222222"/>
          <w:sz w:val="24"/>
          <w:szCs w:val="24"/>
          <w:shd w:val="clear" w:color="auto" w:fill="FFFFFF"/>
        </w:rPr>
        <w:t>(2), 117-121.</w:t>
      </w:r>
      <w:r w:rsidR="00D55F71">
        <w:rPr>
          <w:rFonts w:asciiTheme="minorHAnsi" w:hAnsiTheme="minorHAnsi" w:cs="Arial"/>
          <w:color w:val="222222"/>
          <w:sz w:val="24"/>
          <w:szCs w:val="24"/>
          <w:shd w:val="clear" w:color="auto" w:fill="FFFFFF"/>
        </w:rPr>
        <w:t xml:space="preserve"> DOI: </w:t>
      </w:r>
      <w:r w:rsidR="00D55F71" w:rsidRPr="00D55F71">
        <w:rPr>
          <w:rFonts w:asciiTheme="minorHAnsi" w:hAnsiTheme="minorHAnsi" w:cs="Arial"/>
          <w:color w:val="222222"/>
          <w:sz w:val="24"/>
          <w:szCs w:val="24"/>
          <w:shd w:val="clear" w:color="auto" w:fill="FFFFFF"/>
        </w:rPr>
        <w:t>10.1080/00986280902739446</w:t>
      </w:r>
    </w:p>
    <w:p w14:paraId="00807E15" w14:textId="5E5E6E00" w:rsidR="00877BAB" w:rsidRPr="00902D43" w:rsidRDefault="00877BAB" w:rsidP="00877BAB">
      <w:pPr>
        <w:spacing w:line="360" w:lineRule="auto"/>
        <w:ind w:left="720" w:hanging="720"/>
        <w:rPr>
          <w:rFonts w:asciiTheme="minorHAnsi" w:hAnsiTheme="minorHAnsi" w:cs="Arial"/>
          <w:color w:val="222222"/>
          <w:sz w:val="24"/>
          <w:szCs w:val="24"/>
          <w:shd w:val="clear" w:color="auto" w:fill="FFFFFF"/>
        </w:rPr>
      </w:pPr>
      <w:r w:rsidRPr="00902D43">
        <w:rPr>
          <w:rFonts w:asciiTheme="minorHAnsi" w:hAnsiTheme="minorHAnsi" w:cs="Arial"/>
          <w:color w:val="222222"/>
          <w:sz w:val="24"/>
          <w:szCs w:val="24"/>
          <w:shd w:val="clear" w:color="auto" w:fill="FFFFFF"/>
        </w:rPr>
        <w:t>Crawford, J. T., Jussim, L., Cain, T. R., &amp; Cohen, F. (2013). Right</w:t>
      </w:r>
      <w:r w:rsidRPr="00902D43">
        <w:rPr>
          <w:rFonts w:asciiTheme="minorHAnsi" w:hAnsiTheme="minorHAnsi" w:cs="Cambria Math"/>
          <w:color w:val="222222"/>
          <w:sz w:val="24"/>
          <w:szCs w:val="24"/>
          <w:shd w:val="clear" w:color="auto" w:fill="FFFFFF"/>
        </w:rPr>
        <w:t>‐</w:t>
      </w:r>
      <w:r w:rsidRPr="00902D43">
        <w:rPr>
          <w:rFonts w:asciiTheme="minorHAnsi" w:hAnsiTheme="minorHAnsi" w:cs="Arial"/>
          <w:color w:val="222222"/>
          <w:sz w:val="24"/>
          <w:szCs w:val="24"/>
          <w:shd w:val="clear" w:color="auto" w:fill="FFFFFF"/>
        </w:rPr>
        <w:t>wing authoritarianism and social dominance orientation differentially predict biased evaluations of media reports.</w:t>
      </w:r>
      <w:r w:rsidRPr="00902D43">
        <w:rPr>
          <w:rStyle w:val="apple-converted-space"/>
          <w:rFonts w:asciiTheme="minorHAnsi" w:hAnsiTheme="minorHAnsi" w:cs="Arial"/>
          <w:color w:val="222222"/>
          <w:sz w:val="24"/>
          <w:szCs w:val="24"/>
          <w:shd w:val="clear" w:color="auto" w:fill="FFFFFF"/>
        </w:rPr>
        <w:t> </w:t>
      </w:r>
      <w:r w:rsidRPr="00902D43">
        <w:rPr>
          <w:rFonts w:asciiTheme="minorHAnsi" w:hAnsiTheme="minorHAnsi" w:cs="Arial"/>
          <w:i/>
          <w:iCs/>
          <w:color w:val="222222"/>
          <w:sz w:val="24"/>
          <w:szCs w:val="24"/>
          <w:shd w:val="clear" w:color="auto" w:fill="FFFFFF"/>
        </w:rPr>
        <w:t>Journal of Applied Social Psychology</w:t>
      </w:r>
      <w:r w:rsidRPr="00902D43">
        <w:rPr>
          <w:rFonts w:asciiTheme="minorHAnsi" w:hAnsiTheme="minorHAnsi" w:cs="Arial"/>
          <w:color w:val="222222"/>
          <w:sz w:val="24"/>
          <w:szCs w:val="24"/>
          <w:shd w:val="clear" w:color="auto" w:fill="FFFFFF"/>
        </w:rPr>
        <w:t>,</w:t>
      </w:r>
      <w:r w:rsidRPr="00902D43">
        <w:rPr>
          <w:rStyle w:val="apple-converted-space"/>
          <w:rFonts w:asciiTheme="minorHAnsi" w:hAnsiTheme="minorHAnsi" w:cs="Arial"/>
          <w:color w:val="222222"/>
          <w:sz w:val="24"/>
          <w:szCs w:val="24"/>
          <w:shd w:val="clear" w:color="auto" w:fill="FFFFFF"/>
        </w:rPr>
        <w:t> </w:t>
      </w:r>
      <w:r w:rsidRPr="00902D43">
        <w:rPr>
          <w:rFonts w:asciiTheme="minorHAnsi" w:hAnsiTheme="minorHAnsi" w:cs="Arial"/>
          <w:i/>
          <w:iCs/>
          <w:color w:val="222222"/>
          <w:sz w:val="24"/>
          <w:szCs w:val="24"/>
          <w:shd w:val="clear" w:color="auto" w:fill="FFFFFF"/>
        </w:rPr>
        <w:t>43</w:t>
      </w:r>
      <w:r w:rsidRPr="00902D43">
        <w:rPr>
          <w:rFonts w:asciiTheme="minorHAnsi" w:hAnsiTheme="minorHAnsi" w:cs="Arial"/>
          <w:color w:val="222222"/>
          <w:sz w:val="24"/>
          <w:szCs w:val="24"/>
          <w:shd w:val="clear" w:color="auto" w:fill="FFFFFF"/>
        </w:rPr>
        <w:t>(1), 163-174.</w:t>
      </w:r>
      <w:r w:rsidR="00D55F71">
        <w:rPr>
          <w:rFonts w:asciiTheme="minorHAnsi" w:hAnsiTheme="minorHAnsi" w:cs="Arial"/>
          <w:color w:val="222222"/>
          <w:sz w:val="24"/>
          <w:szCs w:val="24"/>
          <w:shd w:val="clear" w:color="auto" w:fill="FFFFFF"/>
        </w:rPr>
        <w:t xml:space="preserve"> DOI: </w:t>
      </w:r>
      <w:r w:rsidR="00D55F71" w:rsidRPr="00D55F71">
        <w:rPr>
          <w:rFonts w:asciiTheme="minorHAnsi" w:hAnsiTheme="minorHAnsi" w:cs="Arial"/>
          <w:color w:val="222222"/>
          <w:sz w:val="24"/>
          <w:szCs w:val="24"/>
          <w:shd w:val="clear" w:color="auto" w:fill="FFFFFF"/>
        </w:rPr>
        <w:t>10.1111/j.1559-1816.2012.00990.x</w:t>
      </w:r>
    </w:p>
    <w:p w14:paraId="5C71A9D1" w14:textId="77777777" w:rsidR="00877BAB" w:rsidRPr="00902D43" w:rsidRDefault="00877BAB" w:rsidP="00877BAB">
      <w:pPr>
        <w:spacing w:line="360" w:lineRule="auto"/>
        <w:ind w:left="720" w:hanging="720"/>
        <w:rPr>
          <w:rFonts w:asciiTheme="minorHAnsi" w:hAnsiTheme="minorHAnsi" w:cs="Arial"/>
          <w:color w:val="222222"/>
          <w:sz w:val="24"/>
          <w:szCs w:val="24"/>
          <w:shd w:val="clear" w:color="auto" w:fill="FFFFFF"/>
        </w:rPr>
      </w:pPr>
      <w:r w:rsidRPr="00902D43">
        <w:rPr>
          <w:rFonts w:asciiTheme="minorHAnsi" w:hAnsiTheme="minorHAnsi" w:cs="Arial"/>
          <w:color w:val="222222"/>
          <w:sz w:val="24"/>
          <w:szCs w:val="24"/>
          <w:shd w:val="clear" w:color="auto" w:fill="FFFFFF"/>
        </w:rPr>
        <w:t>Crisp, R. J., Stathi, S., Turner, R. N., &amp; Husnu, S. (2009). Imagined intergroup contact: Theory, paradigm and practice.</w:t>
      </w:r>
      <w:r w:rsidRPr="00902D43">
        <w:rPr>
          <w:rStyle w:val="apple-converted-space"/>
          <w:rFonts w:asciiTheme="minorHAnsi" w:hAnsiTheme="minorHAnsi" w:cs="Arial"/>
          <w:color w:val="222222"/>
          <w:sz w:val="24"/>
          <w:szCs w:val="24"/>
          <w:shd w:val="clear" w:color="auto" w:fill="FFFFFF"/>
        </w:rPr>
        <w:t> </w:t>
      </w:r>
      <w:r w:rsidRPr="00902D43">
        <w:rPr>
          <w:rFonts w:asciiTheme="minorHAnsi" w:hAnsiTheme="minorHAnsi" w:cs="Arial"/>
          <w:i/>
          <w:iCs/>
          <w:color w:val="222222"/>
          <w:sz w:val="24"/>
          <w:szCs w:val="24"/>
          <w:shd w:val="clear" w:color="auto" w:fill="FFFFFF"/>
        </w:rPr>
        <w:t>Social and Personality Psychology Compass</w:t>
      </w:r>
      <w:r w:rsidRPr="00902D43">
        <w:rPr>
          <w:rFonts w:asciiTheme="minorHAnsi" w:hAnsiTheme="minorHAnsi" w:cs="Arial"/>
          <w:color w:val="222222"/>
          <w:sz w:val="24"/>
          <w:szCs w:val="24"/>
          <w:shd w:val="clear" w:color="auto" w:fill="FFFFFF"/>
        </w:rPr>
        <w:t>,</w:t>
      </w:r>
      <w:r w:rsidRPr="00902D43">
        <w:rPr>
          <w:rStyle w:val="apple-converted-space"/>
          <w:rFonts w:asciiTheme="minorHAnsi" w:hAnsiTheme="minorHAnsi" w:cs="Arial"/>
          <w:color w:val="222222"/>
          <w:sz w:val="24"/>
          <w:szCs w:val="24"/>
          <w:shd w:val="clear" w:color="auto" w:fill="FFFFFF"/>
        </w:rPr>
        <w:t> </w:t>
      </w:r>
      <w:r w:rsidRPr="00902D43">
        <w:rPr>
          <w:rFonts w:asciiTheme="minorHAnsi" w:hAnsiTheme="minorHAnsi" w:cs="Arial"/>
          <w:i/>
          <w:iCs/>
          <w:color w:val="222222"/>
          <w:sz w:val="24"/>
          <w:szCs w:val="24"/>
          <w:shd w:val="clear" w:color="auto" w:fill="FFFFFF"/>
        </w:rPr>
        <w:t>3</w:t>
      </w:r>
      <w:r w:rsidRPr="00902D43">
        <w:rPr>
          <w:rFonts w:asciiTheme="minorHAnsi" w:hAnsiTheme="minorHAnsi" w:cs="Arial"/>
          <w:color w:val="222222"/>
          <w:sz w:val="24"/>
          <w:szCs w:val="24"/>
          <w:shd w:val="clear" w:color="auto" w:fill="FFFFFF"/>
        </w:rPr>
        <w:t>(1), 1-18.</w:t>
      </w:r>
      <w:r>
        <w:rPr>
          <w:rFonts w:asciiTheme="minorHAnsi" w:hAnsiTheme="minorHAnsi" w:cs="Arial"/>
          <w:color w:val="222222"/>
          <w:sz w:val="24"/>
          <w:szCs w:val="24"/>
          <w:shd w:val="clear" w:color="auto" w:fill="FFFFFF"/>
        </w:rPr>
        <w:t xml:space="preserve"> DOI: </w:t>
      </w:r>
      <w:r w:rsidRPr="00283F45">
        <w:rPr>
          <w:rFonts w:cs="Helvetica"/>
          <w:sz w:val="24"/>
          <w:szCs w:val="24"/>
        </w:rPr>
        <w:t>10.1080/00224545.2012.697080</w:t>
      </w:r>
    </w:p>
    <w:p w14:paraId="0F8CADFE" w14:textId="4009F8F4" w:rsidR="00877BAB" w:rsidRPr="00902D43" w:rsidRDefault="00877BAB" w:rsidP="00877BAB">
      <w:pPr>
        <w:spacing w:line="360" w:lineRule="auto"/>
        <w:ind w:left="720" w:hanging="720"/>
        <w:rPr>
          <w:rFonts w:asciiTheme="minorHAnsi" w:hAnsiTheme="minorHAnsi"/>
          <w:sz w:val="24"/>
          <w:szCs w:val="24"/>
        </w:rPr>
      </w:pPr>
      <w:r w:rsidRPr="00902D43">
        <w:rPr>
          <w:rFonts w:asciiTheme="minorHAnsi" w:hAnsiTheme="minorHAnsi"/>
          <w:sz w:val="24"/>
          <w:szCs w:val="24"/>
        </w:rPr>
        <w:t xml:space="preserve">Drače, S., Efendić, E., &amp; Hadžiahmetović, N. (2015). The relation among intrinsic religiosity, religious fundamentalism and attitudes toward out-groups in Muslims from Bosnia and Herzegovina. </w:t>
      </w:r>
      <w:r w:rsidRPr="00902D43">
        <w:rPr>
          <w:rFonts w:asciiTheme="minorHAnsi" w:hAnsiTheme="minorHAnsi"/>
          <w:i/>
          <w:sz w:val="24"/>
          <w:szCs w:val="24"/>
        </w:rPr>
        <w:t>Prime Njiena Psihogija, 8</w:t>
      </w:r>
      <w:r w:rsidRPr="00902D43">
        <w:rPr>
          <w:rFonts w:asciiTheme="minorHAnsi" w:hAnsiTheme="minorHAnsi"/>
          <w:sz w:val="24"/>
          <w:szCs w:val="24"/>
        </w:rPr>
        <w:t>, 379 – 394</w:t>
      </w:r>
      <w:r w:rsidR="00D55F71">
        <w:rPr>
          <w:rFonts w:asciiTheme="minorHAnsi" w:hAnsiTheme="minorHAnsi"/>
          <w:sz w:val="24"/>
          <w:szCs w:val="24"/>
        </w:rPr>
        <w:t xml:space="preserve">. DOI: </w:t>
      </w:r>
      <w:r w:rsidR="00D55F71" w:rsidRPr="00D55F71">
        <w:rPr>
          <w:rFonts w:asciiTheme="minorHAnsi" w:hAnsiTheme="minorHAnsi"/>
          <w:sz w:val="24"/>
          <w:szCs w:val="24"/>
        </w:rPr>
        <w:t>10.19090/pp.2015.4.379-394</w:t>
      </w:r>
    </w:p>
    <w:p w14:paraId="22FB99E7" w14:textId="746BD9DB" w:rsidR="00877BAB" w:rsidRDefault="00877BAB" w:rsidP="00877BAB">
      <w:pPr>
        <w:spacing w:line="360" w:lineRule="auto"/>
        <w:ind w:left="720" w:hanging="720"/>
        <w:rPr>
          <w:rFonts w:asciiTheme="minorHAnsi" w:hAnsiTheme="minorHAnsi" w:cs="Arial"/>
          <w:color w:val="222222"/>
          <w:sz w:val="24"/>
          <w:szCs w:val="24"/>
          <w:shd w:val="clear" w:color="auto" w:fill="FFFFFF"/>
        </w:rPr>
      </w:pPr>
      <w:r w:rsidRPr="00902D43">
        <w:rPr>
          <w:rFonts w:asciiTheme="minorHAnsi" w:hAnsiTheme="minorHAnsi" w:cs="Arial"/>
          <w:color w:val="222222"/>
          <w:sz w:val="24"/>
          <w:szCs w:val="24"/>
          <w:shd w:val="clear" w:color="auto" w:fill="FFFFFF"/>
        </w:rPr>
        <w:t>Eagly, A. H., Mladinic, A., &amp; Otto, S. (1994). Cognitive and affective bases of attitudes toward social groups and social policies.</w:t>
      </w:r>
      <w:r w:rsidRPr="00902D43">
        <w:rPr>
          <w:rStyle w:val="apple-converted-space"/>
          <w:rFonts w:asciiTheme="minorHAnsi" w:hAnsiTheme="minorHAnsi" w:cs="Arial"/>
          <w:color w:val="222222"/>
          <w:sz w:val="24"/>
          <w:szCs w:val="24"/>
          <w:shd w:val="clear" w:color="auto" w:fill="FFFFFF"/>
        </w:rPr>
        <w:t> </w:t>
      </w:r>
      <w:r w:rsidRPr="00902D43">
        <w:rPr>
          <w:rFonts w:asciiTheme="minorHAnsi" w:hAnsiTheme="minorHAnsi" w:cs="Arial"/>
          <w:i/>
          <w:iCs/>
          <w:color w:val="222222"/>
          <w:sz w:val="24"/>
          <w:szCs w:val="24"/>
          <w:shd w:val="clear" w:color="auto" w:fill="FFFFFF"/>
        </w:rPr>
        <w:t>Journal of Experimental Social Psychology</w:t>
      </w:r>
      <w:r w:rsidRPr="00902D43">
        <w:rPr>
          <w:rFonts w:asciiTheme="minorHAnsi" w:hAnsiTheme="minorHAnsi" w:cs="Arial"/>
          <w:color w:val="222222"/>
          <w:sz w:val="24"/>
          <w:szCs w:val="24"/>
          <w:shd w:val="clear" w:color="auto" w:fill="FFFFFF"/>
        </w:rPr>
        <w:t>,</w:t>
      </w:r>
      <w:r w:rsidRPr="00902D43">
        <w:rPr>
          <w:rStyle w:val="apple-converted-space"/>
          <w:rFonts w:asciiTheme="minorHAnsi" w:hAnsiTheme="minorHAnsi" w:cs="Arial"/>
          <w:color w:val="222222"/>
          <w:sz w:val="24"/>
          <w:szCs w:val="24"/>
          <w:shd w:val="clear" w:color="auto" w:fill="FFFFFF"/>
        </w:rPr>
        <w:t> </w:t>
      </w:r>
      <w:r w:rsidRPr="00902D43">
        <w:rPr>
          <w:rFonts w:asciiTheme="minorHAnsi" w:hAnsiTheme="minorHAnsi" w:cs="Arial"/>
          <w:i/>
          <w:iCs/>
          <w:color w:val="222222"/>
          <w:sz w:val="24"/>
          <w:szCs w:val="24"/>
          <w:shd w:val="clear" w:color="auto" w:fill="FFFFFF"/>
        </w:rPr>
        <w:t>30</w:t>
      </w:r>
      <w:r w:rsidRPr="00902D43">
        <w:rPr>
          <w:rFonts w:asciiTheme="minorHAnsi" w:hAnsiTheme="minorHAnsi" w:cs="Arial"/>
          <w:color w:val="222222"/>
          <w:sz w:val="24"/>
          <w:szCs w:val="24"/>
          <w:shd w:val="clear" w:color="auto" w:fill="FFFFFF"/>
        </w:rPr>
        <w:t>(2), 113-137.</w:t>
      </w:r>
      <w:r w:rsidR="00D55F71">
        <w:rPr>
          <w:rFonts w:asciiTheme="minorHAnsi" w:hAnsiTheme="minorHAnsi" w:cs="Arial"/>
          <w:color w:val="222222"/>
          <w:sz w:val="24"/>
          <w:szCs w:val="24"/>
          <w:shd w:val="clear" w:color="auto" w:fill="FFFFFF"/>
        </w:rPr>
        <w:t xml:space="preserve"> DOI: </w:t>
      </w:r>
      <w:r w:rsidR="00D55F71" w:rsidRPr="00D55F71">
        <w:rPr>
          <w:rFonts w:asciiTheme="minorHAnsi" w:hAnsiTheme="minorHAnsi" w:cs="Arial"/>
          <w:color w:val="222222"/>
          <w:sz w:val="24"/>
          <w:szCs w:val="24"/>
          <w:shd w:val="clear" w:color="auto" w:fill="FFFFFF"/>
        </w:rPr>
        <w:t>10.1006/jesp.1994.1006</w:t>
      </w:r>
    </w:p>
    <w:p w14:paraId="0B177701" w14:textId="77777777" w:rsidR="003449FC" w:rsidRDefault="00877BAB" w:rsidP="00877BAB">
      <w:pPr>
        <w:spacing w:line="360" w:lineRule="auto"/>
        <w:ind w:left="720" w:hanging="720"/>
        <w:rPr>
          <w:rFonts w:asciiTheme="minorHAnsi" w:hAnsiTheme="minorHAnsi" w:cs="Arial"/>
          <w:color w:val="222222"/>
          <w:sz w:val="24"/>
          <w:szCs w:val="24"/>
          <w:shd w:val="clear" w:color="auto" w:fill="FFFFFF"/>
        </w:rPr>
      </w:pPr>
      <w:r w:rsidRPr="00CA4E91">
        <w:rPr>
          <w:rFonts w:asciiTheme="minorHAnsi" w:hAnsiTheme="minorHAnsi" w:cs="Arial"/>
          <w:color w:val="222222"/>
          <w:sz w:val="24"/>
          <w:szCs w:val="24"/>
          <w:shd w:val="clear" w:color="auto" w:fill="FFFFFF"/>
        </w:rPr>
        <w:t>Field, A. (2013). </w:t>
      </w:r>
      <w:r w:rsidRPr="00CA4E91">
        <w:rPr>
          <w:rFonts w:asciiTheme="minorHAnsi" w:hAnsiTheme="minorHAnsi" w:cs="Arial"/>
          <w:i/>
          <w:iCs/>
          <w:color w:val="222222"/>
          <w:sz w:val="24"/>
          <w:szCs w:val="24"/>
          <w:shd w:val="clear" w:color="auto" w:fill="FFFFFF"/>
        </w:rPr>
        <w:t>Discovering statistics using IBM SPSS statistics</w:t>
      </w:r>
      <w:r w:rsidRPr="00CA4E91">
        <w:rPr>
          <w:rFonts w:asciiTheme="minorHAnsi" w:hAnsiTheme="minorHAnsi" w:cs="Arial"/>
          <w:color w:val="222222"/>
          <w:sz w:val="24"/>
          <w:szCs w:val="24"/>
          <w:shd w:val="clear" w:color="auto" w:fill="FFFFFF"/>
        </w:rPr>
        <w:t>. Sage.</w:t>
      </w:r>
    </w:p>
    <w:p w14:paraId="294C0857" w14:textId="42967C7B" w:rsidR="00877BAB" w:rsidRPr="003449FC" w:rsidRDefault="00877BAB" w:rsidP="00877BAB">
      <w:pPr>
        <w:spacing w:line="360" w:lineRule="auto"/>
        <w:ind w:left="720" w:hanging="720"/>
        <w:rPr>
          <w:rFonts w:asciiTheme="minorHAnsi" w:hAnsiTheme="minorHAnsi"/>
          <w:sz w:val="24"/>
          <w:szCs w:val="24"/>
        </w:rPr>
      </w:pPr>
      <w:r w:rsidRPr="00902D43">
        <w:rPr>
          <w:rFonts w:asciiTheme="minorHAnsi" w:hAnsiTheme="minorHAnsi" w:cs="Arial"/>
          <w:color w:val="222222"/>
          <w:sz w:val="24"/>
          <w:szCs w:val="24"/>
          <w:shd w:val="clear" w:color="auto" w:fill="FFFFFF"/>
        </w:rPr>
        <w:t>Herek, G. M. (2002). Heterosexuals' attitudes toward bisexual men and women in the United States.</w:t>
      </w:r>
      <w:r w:rsidRPr="00902D43">
        <w:rPr>
          <w:rStyle w:val="apple-converted-space"/>
          <w:rFonts w:asciiTheme="minorHAnsi" w:hAnsiTheme="minorHAnsi" w:cs="Arial"/>
          <w:color w:val="222222"/>
          <w:sz w:val="24"/>
          <w:szCs w:val="24"/>
          <w:shd w:val="clear" w:color="auto" w:fill="FFFFFF"/>
        </w:rPr>
        <w:t> </w:t>
      </w:r>
      <w:r w:rsidRPr="00902D43">
        <w:rPr>
          <w:rFonts w:asciiTheme="minorHAnsi" w:hAnsiTheme="minorHAnsi" w:cs="Arial"/>
          <w:i/>
          <w:iCs/>
          <w:color w:val="222222"/>
          <w:sz w:val="24"/>
          <w:szCs w:val="24"/>
          <w:shd w:val="clear" w:color="auto" w:fill="FFFFFF"/>
        </w:rPr>
        <w:t>Journal of Sex Research</w:t>
      </w:r>
      <w:r w:rsidRPr="00902D43">
        <w:rPr>
          <w:rFonts w:asciiTheme="minorHAnsi" w:hAnsiTheme="minorHAnsi" w:cs="Arial"/>
          <w:color w:val="222222"/>
          <w:sz w:val="24"/>
          <w:szCs w:val="24"/>
          <w:shd w:val="clear" w:color="auto" w:fill="FFFFFF"/>
        </w:rPr>
        <w:t>,</w:t>
      </w:r>
      <w:r w:rsidRPr="00902D43">
        <w:rPr>
          <w:rStyle w:val="apple-converted-space"/>
          <w:rFonts w:asciiTheme="minorHAnsi" w:hAnsiTheme="minorHAnsi" w:cs="Arial"/>
          <w:color w:val="222222"/>
          <w:sz w:val="24"/>
          <w:szCs w:val="24"/>
          <w:shd w:val="clear" w:color="auto" w:fill="FFFFFF"/>
        </w:rPr>
        <w:t> </w:t>
      </w:r>
      <w:r w:rsidRPr="00902D43">
        <w:rPr>
          <w:rFonts w:asciiTheme="minorHAnsi" w:hAnsiTheme="minorHAnsi" w:cs="Arial"/>
          <w:i/>
          <w:iCs/>
          <w:color w:val="222222"/>
          <w:sz w:val="24"/>
          <w:szCs w:val="24"/>
          <w:shd w:val="clear" w:color="auto" w:fill="FFFFFF"/>
        </w:rPr>
        <w:t>39</w:t>
      </w:r>
      <w:r w:rsidRPr="00902D43">
        <w:rPr>
          <w:rFonts w:asciiTheme="minorHAnsi" w:hAnsiTheme="minorHAnsi" w:cs="Arial"/>
          <w:color w:val="222222"/>
          <w:sz w:val="24"/>
          <w:szCs w:val="24"/>
          <w:shd w:val="clear" w:color="auto" w:fill="FFFFFF"/>
        </w:rPr>
        <w:t>(4), 264-274.</w:t>
      </w:r>
      <w:r w:rsidRPr="00902D43">
        <w:rPr>
          <w:rFonts w:asciiTheme="minorHAnsi" w:hAnsiTheme="minorHAnsi"/>
          <w:b/>
          <w:sz w:val="24"/>
          <w:szCs w:val="24"/>
        </w:rPr>
        <w:t xml:space="preserve"> </w:t>
      </w:r>
      <w:r w:rsidR="003449FC" w:rsidRPr="003449FC">
        <w:rPr>
          <w:rFonts w:asciiTheme="minorHAnsi" w:hAnsiTheme="minorHAnsi"/>
          <w:sz w:val="24"/>
          <w:szCs w:val="24"/>
        </w:rPr>
        <w:t>DOI: doi.org/10.1080/00224490209552150</w:t>
      </w:r>
    </w:p>
    <w:p w14:paraId="64E8A7C7" w14:textId="3F397DB3" w:rsidR="00877BAB" w:rsidRPr="00902D43" w:rsidRDefault="00877BAB" w:rsidP="00877BAB">
      <w:pPr>
        <w:spacing w:line="360" w:lineRule="auto"/>
        <w:ind w:left="720" w:hanging="720"/>
        <w:rPr>
          <w:rFonts w:asciiTheme="minorHAnsi" w:hAnsiTheme="minorHAnsi" w:cs="Arial"/>
          <w:color w:val="222222"/>
          <w:sz w:val="24"/>
          <w:szCs w:val="24"/>
          <w:shd w:val="clear" w:color="auto" w:fill="FFFFFF"/>
        </w:rPr>
      </w:pPr>
      <w:r w:rsidRPr="00902D43">
        <w:rPr>
          <w:rFonts w:asciiTheme="minorHAnsi" w:hAnsiTheme="minorHAnsi" w:cs="Arial"/>
          <w:color w:val="222222"/>
          <w:sz w:val="24"/>
          <w:szCs w:val="24"/>
          <w:shd w:val="clear" w:color="auto" w:fill="FFFFFF"/>
        </w:rPr>
        <w:t>Hill, D. B., &amp; Willoughby, B. L. (2005). The development and validation of the genderism and transphobia scale.</w:t>
      </w:r>
      <w:r w:rsidRPr="00902D43">
        <w:rPr>
          <w:rStyle w:val="apple-converted-space"/>
          <w:rFonts w:asciiTheme="minorHAnsi" w:hAnsiTheme="minorHAnsi" w:cs="Arial"/>
          <w:color w:val="222222"/>
          <w:sz w:val="24"/>
          <w:szCs w:val="24"/>
          <w:shd w:val="clear" w:color="auto" w:fill="FFFFFF"/>
        </w:rPr>
        <w:t> </w:t>
      </w:r>
      <w:r w:rsidRPr="00902D43">
        <w:rPr>
          <w:rFonts w:asciiTheme="minorHAnsi" w:hAnsiTheme="minorHAnsi" w:cs="Arial"/>
          <w:i/>
          <w:iCs/>
          <w:color w:val="222222"/>
          <w:sz w:val="24"/>
          <w:szCs w:val="24"/>
          <w:shd w:val="clear" w:color="auto" w:fill="FFFFFF"/>
        </w:rPr>
        <w:t>Sex Roles</w:t>
      </w:r>
      <w:r w:rsidRPr="00902D43">
        <w:rPr>
          <w:rFonts w:asciiTheme="minorHAnsi" w:hAnsiTheme="minorHAnsi" w:cs="Arial"/>
          <w:color w:val="222222"/>
          <w:sz w:val="24"/>
          <w:szCs w:val="24"/>
          <w:shd w:val="clear" w:color="auto" w:fill="FFFFFF"/>
        </w:rPr>
        <w:t>,</w:t>
      </w:r>
      <w:r w:rsidRPr="00902D43">
        <w:rPr>
          <w:rStyle w:val="apple-converted-space"/>
          <w:rFonts w:asciiTheme="minorHAnsi" w:hAnsiTheme="minorHAnsi" w:cs="Arial"/>
          <w:color w:val="222222"/>
          <w:sz w:val="24"/>
          <w:szCs w:val="24"/>
          <w:shd w:val="clear" w:color="auto" w:fill="FFFFFF"/>
        </w:rPr>
        <w:t> </w:t>
      </w:r>
      <w:r w:rsidRPr="00902D43">
        <w:rPr>
          <w:rFonts w:asciiTheme="minorHAnsi" w:hAnsiTheme="minorHAnsi" w:cs="Arial"/>
          <w:i/>
          <w:iCs/>
          <w:color w:val="222222"/>
          <w:sz w:val="24"/>
          <w:szCs w:val="24"/>
          <w:shd w:val="clear" w:color="auto" w:fill="FFFFFF"/>
        </w:rPr>
        <w:t>53</w:t>
      </w:r>
      <w:r w:rsidRPr="00902D43">
        <w:rPr>
          <w:rFonts w:asciiTheme="minorHAnsi" w:hAnsiTheme="minorHAnsi" w:cs="Arial"/>
          <w:color w:val="222222"/>
          <w:sz w:val="24"/>
          <w:szCs w:val="24"/>
          <w:shd w:val="clear" w:color="auto" w:fill="FFFFFF"/>
        </w:rPr>
        <w:t>(7-8), 531-544.</w:t>
      </w:r>
      <w:r w:rsidR="001158D7">
        <w:rPr>
          <w:rFonts w:asciiTheme="minorHAnsi" w:hAnsiTheme="minorHAnsi" w:cs="Arial"/>
          <w:color w:val="222222"/>
          <w:sz w:val="24"/>
          <w:szCs w:val="24"/>
          <w:shd w:val="clear" w:color="auto" w:fill="FFFFFF"/>
        </w:rPr>
        <w:t xml:space="preserve"> DOI: </w:t>
      </w:r>
      <w:r w:rsidR="001158D7" w:rsidRPr="001158D7">
        <w:rPr>
          <w:rFonts w:asciiTheme="minorHAnsi" w:hAnsiTheme="minorHAnsi" w:cs="Arial"/>
          <w:color w:val="222222"/>
          <w:sz w:val="24"/>
          <w:szCs w:val="24"/>
          <w:shd w:val="clear" w:color="auto" w:fill="FFFFFF"/>
        </w:rPr>
        <w:t>10.1007/s11199-005-7140-x</w:t>
      </w:r>
    </w:p>
    <w:p w14:paraId="4C7963A5" w14:textId="77777777" w:rsidR="00877BAB" w:rsidRPr="00902D43" w:rsidRDefault="00877BAB" w:rsidP="00877BAB">
      <w:pPr>
        <w:spacing w:line="360" w:lineRule="auto"/>
        <w:ind w:left="720" w:hanging="720"/>
        <w:rPr>
          <w:rFonts w:asciiTheme="minorHAnsi" w:hAnsiTheme="minorHAnsi" w:cs="Arial"/>
          <w:color w:val="222222"/>
          <w:sz w:val="24"/>
          <w:szCs w:val="24"/>
          <w:shd w:val="clear" w:color="auto" w:fill="FFFFFF"/>
        </w:rPr>
      </w:pPr>
      <w:r w:rsidRPr="00902D43">
        <w:rPr>
          <w:rFonts w:asciiTheme="minorHAnsi" w:hAnsiTheme="minorHAnsi" w:cs="Arial"/>
          <w:color w:val="222222"/>
          <w:sz w:val="24"/>
          <w:szCs w:val="24"/>
          <w:shd w:val="clear" w:color="auto" w:fill="FFFFFF"/>
        </w:rPr>
        <w:t xml:space="preserve">Hoskin, R.A. (2017a). Femme interventions and the proper feminist subject: Critical approaches to decolonizing contemporary Western feminist pedagogies. </w:t>
      </w:r>
      <w:r w:rsidRPr="00902D43">
        <w:rPr>
          <w:rFonts w:asciiTheme="minorHAnsi" w:hAnsiTheme="minorHAnsi" w:cs="Arial"/>
          <w:i/>
          <w:color w:val="222222"/>
          <w:sz w:val="24"/>
          <w:szCs w:val="24"/>
          <w:shd w:val="clear" w:color="auto" w:fill="FFFFFF"/>
        </w:rPr>
        <w:t>Cogent Social Sciences, 3</w:t>
      </w:r>
      <w:r w:rsidRPr="00902D43">
        <w:rPr>
          <w:rFonts w:asciiTheme="minorHAnsi" w:hAnsiTheme="minorHAnsi" w:cs="Arial"/>
          <w:color w:val="222222"/>
          <w:sz w:val="24"/>
          <w:szCs w:val="24"/>
          <w:shd w:val="clear" w:color="auto" w:fill="FFFFFF"/>
        </w:rPr>
        <w:t>, 1-17. doi: 10.1080/23311886.2016.1276819</w:t>
      </w:r>
    </w:p>
    <w:p w14:paraId="67F08F6D" w14:textId="77777777" w:rsidR="00877BAB" w:rsidRPr="00A01FD7" w:rsidRDefault="00877BAB" w:rsidP="00877BAB">
      <w:pPr>
        <w:spacing w:line="360" w:lineRule="auto"/>
        <w:ind w:left="720" w:hanging="720"/>
        <w:rPr>
          <w:rFonts w:asciiTheme="minorHAnsi" w:hAnsiTheme="minorHAnsi" w:cs="Arial"/>
          <w:color w:val="222222"/>
          <w:sz w:val="24"/>
          <w:szCs w:val="24"/>
          <w:shd w:val="clear" w:color="auto" w:fill="FFFFFF"/>
        </w:rPr>
      </w:pPr>
      <w:r w:rsidRPr="00902D43">
        <w:rPr>
          <w:rFonts w:asciiTheme="minorHAnsi" w:hAnsiTheme="minorHAnsi" w:cs="Arial"/>
          <w:color w:val="222222"/>
          <w:sz w:val="24"/>
          <w:szCs w:val="24"/>
          <w:shd w:val="clear" w:color="auto" w:fill="FFFFFF"/>
        </w:rPr>
        <w:t xml:space="preserve">Hoskin, R.A. (2017b). Femme theory: Refocusing the intersectional lens. </w:t>
      </w:r>
      <w:r w:rsidRPr="00902D43">
        <w:rPr>
          <w:rFonts w:asciiTheme="minorHAnsi" w:hAnsiTheme="minorHAnsi" w:cs="Arial"/>
          <w:i/>
          <w:color w:val="222222"/>
          <w:sz w:val="24"/>
          <w:szCs w:val="24"/>
          <w:shd w:val="clear" w:color="auto" w:fill="FFFFFF"/>
        </w:rPr>
        <w:t>Atlantis: Critical Studies in Gender, Culture, &amp; Social Justice. 38</w:t>
      </w:r>
      <w:r w:rsidRPr="00902D43">
        <w:rPr>
          <w:rFonts w:asciiTheme="minorHAnsi" w:hAnsiTheme="minorHAnsi" w:cs="Arial"/>
          <w:color w:val="222222"/>
          <w:sz w:val="24"/>
          <w:szCs w:val="24"/>
          <w:shd w:val="clear" w:color="auto" w:fill="FFFFFF"/>
        </w:rPr>
        <w:t>(1), 95-109.</w:t>
      </w:r>
    </w:p>
    <w:p w14:paraId="12BB2450" w14:textId="0479CDAD" w:rsidR="00877BAB" w:rsidRDefault="00877BAB" w:rsidP="00877BAB">
      <w:pPr>
        <w:spacing w:line="360" w:lineRule="auto"/>
        <w:ind w:left="720" w:hanging="720"/>
        <w:rPr>
          <w:rFonts w:asciiTheme="minorHAnsi" w:hAnsiTheme="minorHAnsi" w:cs="Arial"/>
          <w:color w:val="222222"/>
          <w:sz w:val="24"/>
          <w:szCs w:val="24"/>
          <w:shd w:val="clear" w:color="auto" w:fill="FFFFFF"/>
        </w:rPr>
      </w:pPr>
      <w:r w:rsidRPr="00A01FD7">
        <w:rPr>
          <w:rFonts w:asciiTheme="minorHAnsi" w:hAnsiTheme="minorHAnsi" w:cs="Arial"/>
          <w:color w:val="222222"/>
          <w:sz w:val="24"/>
          <w:szCs w:val="24"/>
          <w:shd w:val="clear" w:color="auto" w:fill="FFFFFF"/>
        </w:rPr>
        <w:t>Larsen, K. S., Reed, M., &amp; Hoffman, S. (1980). Attitudes of heterosexuals toward homosexuality: A Likert</w:t>
      </w:r>
      <w:r w:rsidRPr="00A01FD7">
        <w:rPr>
          <w:rFonts w:asciiTheme="minorHAnsi" w:hAnsiTheme="minorHAnsi" w:cs="Cambria Math"/>
          <w:color w:val="222222"/>
          <w:sz w:val="24"/>
          <w:szCs w:val="24"/>
          <w:shd w:val="clear" w:color="auto" w:fill="FFFFFF"/>
        </w:rPr>
        <w:t>‐</w:t>
      </w:r>
      <w:r w:rsidRPr="00A01FD7">
        <w:rPr>
          <w:rFonts w:asciiTheme="minorHAnsi" w:hAnsiTheme="minorHAnsi" w:cs="Arial"/>
          <w:color w:val="222222"/>
          <w:sz w:val="24"/>
          <w:szCs w:val="24"/>
          <w:shd w:val="clear" w:color="auto" w:fill="FFFFFF"/>
        </w:rPr>
        <w:t>type scale and construct validity.</w:t>
      </w:r>
      <w:r w:rsidRPr="00A01FD7">
        <w:rPr>
          <w:rStyle w:val="apple-converted-space"/>
          <w:rFonts w:asciiTheme="minorHAnsi" w:hAnsiTheme="minorHAnsi" w:cs="Arial"/>
          <w:color w:val="222222"/>
          <w:sz w:val="24"/>
          <w:szCs w:val="24"/>
          <w:shd w:val="clear" w:color="auto" w:fill="FFFFFF"/>
        </w:rPr>
        <w:t> </w:t>
      </w:r>
      <w:r w:rsidRPr="00A01FD7">
        <w:rPr>
          <w:rFonts w:asciiTheme="minorHAnsi" w:hAnsiTheme="minorHAnsi" w:cs="Arial"/>
          <w:i/>
          <w:iCs/>
          <w:color w:val="222222"/>
          <w:sz w:val="24"/>
          <w:szCs w:val="24"/>
          <w:shd w:val="clear" w:color="auto" w:fill="FFFFFF"/>
        </w:rPr>
        <w:t>Journal of Sex Research</w:t>
      </w:r>
      <w:r w:rsidRPr="00A01FD7">
        <w:rPr>
          <w:rFonts w:asciiTheme="minorHAnsi" w:hAnsiTheme="minorHAnsi" w:cs="Arial"/>
          <w:color w:val="222222"/>
          <w:sz w:val="24"/>
          <w:szCs w:val="24"/>
          <w:shd w:val="clear" w:color="auto" w:fill="FFFFFF"/>
        </w:rPr>
        <w:t>,</w:t>
      </w:r>
      <w:r w:rsidRPr="00A01FD7">
        <w:rPr>
          <w:rStyle w:val="apple-converted-space"/>
          <w:rFonts w:asciiTheme="minorHAnsi" w:hAnsiTheme="minorHAnsi" w:cs="Arial"/>
          <w:color w:val="222222"/>
          <w:sz w:val="24"/>
          <w:szCs w:val="24"/>
          <w:shd w:val="clear" w:color="auto" w:fill="FFFFFF"/>
        </w:rPr>
        <w:t> </w:t>
      </w:r>
      <w:r w:rsidRPr="00A01FD7">
        <w:rPr>
          <w:rFonts w:asciiTheme="minorHAnsi" w:hAnsiTheme="minorHAnsi" w:cs="Arial"/>
          <w:i/>
          <w:iCs/>
          <w:color w:val="222222"/>
          <w:sz w:val="24"/>
          <w:szCs w:val="24"/>
          <w:shd w:val="clear" w:color="auto" w:fill="FFFFFF"/>
        </w:rPr>
        <w:t>16</w:t>
      </w:r>
      <w:r w:rsidRPr="00A01FD7">
        <w:rPr>
          <w:rFonts w:asciiTheme="minorHAnsi" w:hAnsiTheme="minorHAnsi" w:cs="Arial"/>
          <w:color w:val="222222"/>
          <w:sz w:val="24"/>
          <w:szCs w:val="24"/>
          <w:shd w:val="clear" w:color="auto" w:fill="FFFFFF"/>
        </w:rPr>
        <w:t>(3), 245-257.</w:t>
      </w:r>
      <w:r w:rsidR="001158D7">
        <w:rPr>
          <w:rFonts w:asciiTheme="minorHAnsi" w:hAnsiTheme="minorHAnsi" w:cs="Arial"/>
          <w:color w:val="222222"/>
          <w:sz w:val="24"/>
          <w:szCs w:val="24"/>
          <w:shd w:val="clear" w:color="auto" w:fill="FFFFFF"/>
        </w:rPr>
        <w:t xml:space="preserve"> DOI: </w:t>
      </w:r>
      <w:r w:rsidR="001158D7" w:rsidRPr="001158D7">
        <w:rPr>
          <w:rFonts w:asciiTheme="minorHAnsi" w:hAnsiTheme="minorHAnsi" w:cs="Arial"/>
          <w:color w:val="222222"/>
          <w:sz w:val="24"/>
          <w:szCs w:val="24"/>
          <w:shd w:val="clear" w:color="auto" w:fill="FFFFFF"/>
        </w:rPr>
        <w:t>10.1080/00224498009551081</w:t>
      </w:r>
    </w:p>
    <w:p w14:paraId="306CD121" w14:textId="2EAA857F" w:rsidR="00877BAB" w:rsidRPr="00A01FD7" w:rsidRDefault="00877BAB" w:rsidP="00877BAB">
      <w:pPr>
        <w:spacing w:line="360" w:lineRule="auto"/>
        <w:ind w:left="720" w:hanging="720"/>
        <w:rPr>
          <w:rFonts w:asciiTheme="minorHAnsi" w:hAnsiTheme="minorHAnsi" w:cs="Arial"/>
          <w:color w:val="222222"/>
          <w:sz w:val="24"/>
          <w:szCs w:val="24"/>
          <w:shd w:val="clear" w:color="auto" w:fill="FFFFFF"/>
        </w:rPr>
      </w:pPr>
      <w:r w:rsidRPr="006011AB">
        <w:rPr>
          <w:rFonts w:asciiTheme="minorHAnsi" w:hAnsiTheme="minorHAnsi" w:cs="Arial"/>
          <w:color w:val="222222"/>
          <w:sz w:val="24"/>
          <w:szCs w:val="24"/>
          <w:shd w:val="clear" w:color="auto" w:fill="FFFFFF"/>
        </w:rPr>
        <w:t>Lemm, K. M. (2006). Positive associations among interpersonal contact, motivation, and implicit and explicit attitudes toward gay men. </w:t>
      </w:r>
      <w:r w:rsidRPr="006011AB">
        <w:rPr>
          <w:rFonts w:asciiTheme="minorHAnsi" w:hAnsiTheme="minorHAnsi" w:cs="Arial"/>
          <w:i/>
          <w:iCs/>
          <w:color w:val="222222"/>
          <w:sz w:val="24"/>
          <w:szCs w:val="24"/>
          <w:shd w:val="clear" w:color="auto" w:fill="FFFFFF"/>
        </w:rPr>
        <w:t>Journal of Homosexuality</w:t>
      </w:r>
      <w:r w:rsidRPr="006011AB">
        <w:rPr>
          <w:rFonts w:asciiTheme="minorHAnsi" w:hAnsiTheme="minorHAnsi" w:cs="Arial"/>
          <w:color w:val="222222"/>
          <w:sz w:val="24"/>
          <w:szCs w:val="24"/>
          <w:shd w:val="clear" w:color="auto" w:fill="FFFFFF"/>
        </w:rPr>
        <w:t>, </w:t>
      </w:r>
      <w:r w:rsidRPr="006011AB">
        <w:rPr>
          <w:rFonts w:asciiTheme="minorHAnsi" w:hAnsiTheme="minorHAnsi" w:cs="Arial"/>
          <w:i/>
          <w:iCs/>
          <w:color w:val="222222"/>
          <w:sz w:val="24"/>
          <w:szCs w:val="24"/>
          <w:shd w:val="clear" w:color="auto" w:fill="FFFFFF"/>
        </w:rPr>
        <w:t>51</w:t>
      </w:r>
      <w:r w:rsidRPr="006011AB">
        <w:rPr>
          <w:rFonts w:asciiTheme="minorHAnsi" w:hAnsiTheme="minorHAnsi" w:cs="Arial"/>
          <w:color w:val="222222"/>
          <w:sz w:val="24"/>
          <w:szCs w:val="24"/>
          <w:shd w:val="clear" w:color="auto" w:fill="FFFFFF"/>
        </w:rPr>
        <w:t>(2), 79-99.</w:t>
      </w:r>
      <w:r w:rsidR="001158D7">
        <w:rPr>
          <w:rFonts w:asciiTheme="minorHAnsi" w:hAnsiTheme="minorHAnsi" w:cs="Arial"/>
          <w:color w:val="222222"/>
          <w:sz w:val="24"/>
          <w:szCs w:val="24"/>
          <w:shd w:val="clear" w:color="auto" w:fill="FFFFFF"/>
        </w:rPr>
        <w:t xml:space="preserve"> DOI: </w:t>
      </w:r>
      <w:r w:rsidR="001158D7" w:rsidRPr="001158D7">
        <w:rPr>
          <w:rFonts w:asciiTheme="minorHAnsi" w:hAnsiTheme="minorHAnsi" w:cs="Arial"/>
          <w:color w:val="222222"/>
          <w:sz w:val="24"/>
          <w:szCs w:val="24"/>
          <w:shd w:val="clear" w:color="auto" w:fill="FFFFFF"/>
        </w:rPr>
        <w:t>10.1300/J082v51n02_05</w:t>
      </w:r>
    </w:p>
    <w:p w14:paraId="599F9E14" w14:textId="15AD8698" w:rsidR="00877BAB" w:rsidRPr="00A01FD7" w:rsidRDefault="00877BAB" w:rsidP="00877BAB">
      <w:pPr>
        <w:spacing w:line="360" w:lineRule="auto"/>
        <w:ind w:left="720" w:hanging="720"/>
        <w:rPr>
          <w:rFonts w:asciiTheme="minorHAnsi" w:hAnsiTheme="minorHAnsi" w:cs="Arial"/>
          <w:color w:val="222222"/>
          <w:sz w:val="24"/>
          <w:szCs w:val="24"/>
          <w:shd w:val="clear" w:color="auto" w:fill="FFFFFF"/>
        </w:rPr>
      </w:pPr>
      <w:r w:rsidRPr="00A01FD7">
        <w:rPr>
          <w:rFonts w:asciiTheme="minorHAnsi" w:hAnsiTheme="minorHAnsi" w:cs="Arial"/>
          <w:color w:val="222222"/>
          <w:sz w:val="24"/>
          <w:szCs w:val="24"/>
          <w:shd w:val="clear" w:color="auto" w:fill="FFFFFF"/>
        </w:rPr>
        <w:t xml:space="preserve">Mansoori-Rostam, S. M., &amp; Tate, C. C. (2017). Peering into the “black box” of education interventions and attitude change: Audience characteristics moderate the effectiveness… and then only toward specific targets. </w:t>
      </w:r>
      <w:r w:rsidRPr="00A01FD7">
        <w:rPr>
          <w:rFonts w:asciiTheme="minorHAnsi" w:hAnsiTheme="minorHAnsi" w:cs="Arial"/>
          <w:i/>
          <w:color w:val="222222"/>
          <w:sz w:val="24"/>
          <w:szCs w:val="24"/>
          <w:shd w:val="clear" w:color="auto" w:fill="FFFFFF"/>
        </w:rPr>
        <w:t>The Journal of Social Psychology, 157</w:t>
      </w:r>
      <w:r w:rsidRPr="00A01FD7">
        <w:rPr>
          <w:rFonts w:asciiTheme="minorHAnsi" w:hAnsiTheme="minorHAnsi" w:cs="Arial"/>
          <w:color w:val="222222"/>
          <w:sz w:val="24"/>
          <w:szCs w:val="24"/>
          <w:shd w:val="clear" w:color="auto" w:fill="FFFFFF"/>
        </w:rPr>
        <w:t>(1), 1-15.</w:t>
      </w:r>
      <w:r w:rsidR="001158D7">
        <w:rPr>
          <w:rFonts w:asciiTheme="minorHAnsi" w:hAnsiTheme="minorHAnsi" w:cs="Arial"/>
          <w:color w:val="222222"/>
          <w:sz w:val="24"/>
          <w:szCs w:val="24"/>
          <w:shd w:val="clear" w:color="auto" w:fill="FFFFFF"/>
        </w:rPr>
        <w:t xml:space="preserve"> DOI: </w:t>
      </w:r>
      <w:r w:rsidR="001158D7" w:rsidRPr="001158D7">
        <w:rPr>
          <w:rFonts w:asciiTheme="minorHAnsi" w:hAnsiTheme="minorHAnsi" w:cs="Arial"/>
          <w:color w:val="222222"/>
          <w:sz w:val="24"/>
          <w:szCs w:val="24"/>
          <w:shd w:val="clear" w:color="auto" w:fill="FFFFFF"/>
        </w:rPr>
        <w:t>10.1080/00224545.2016.1152211</w:t>
      </w:r>
    </w:p>
    <w:p w14:paraId="5B803CDB" w14:textId="77777777" w:rsidR="00877BAB" w:rsidRPr="00A01FD7" w:rsidRDefault="00877BAB" w:rsidP="00877BAB">
      <w:pPr>
        <w:spacing w:line="360" w:lineRule="auto"/>
        <w:ind w:left="720" w:hanging="720"/>
        <w:rPr>
          <w:rFonts w:asciiTheme="minorHAnsi" w:hAnsiTheme="minorHAnsi"/>
          <w:sz w:val="24"/>
          <w:szCs w:val="24"/>
        </w:rPr>
      </w:pPr>
      <w:r w:rsidRPr="00A01FD7">
        <w:rPr>
          <w:rFonts w:asciiTheme="minorHAnsi" w:hAnsiTheme="minorHAnsi"/>
          <w:sz w:val="24"/>
          <w:szCs w:val="24"/>
        </w:rPr>
        <w:t xml:space="preserve">McConahay, J. B. (1986). </w:t>
      </w:r>
      <w:r w:rsidRPr="00A01FD7">
        <w:rPr>
          <w:rFonts w:asciiTheme="minorHAnsi" w:hAnsiTheme="minorHAnsi"/>
          <w:i/>
          <w:sz w:val="24"/>
          <w:szCs w:val="24"/>
        </w:rPr>
        <w:t>Modern racism, ambivalence, and the modern racism scale</w:t>
      </w:r>
      <w:r w:rsidRPr="00A01FD7">
        <w:rPr>
          <w:rFonts w:asciiTheme="minorHAnsi" w:hAnsiTheme="minorHAnsi"/>
          <w:sz w:val="24"/>
          <w:szCs w:val="24"/>
        </w:rPr>
        <w:t xml:space="preserve">. In J. F. Dovidio &amp; S. L. Gaertner (Eds.), Prejudice, Discrimination, and Racism (pp. 91-126). New York: Academic Press. </w:t>
      </w:r>
    </w:p>
    <w:p w14:paraId="61AB845C" w14:textId="03F09AD7" w:rsidR="00877BAB" w:rsidRDefault="00877BAB" w:rsidP="00877BAB">
      <w:pPr>
        <w:spacing w:line="360" w:lineRule="auto"/>
        <w:ind w:left="720" w:hanging="720"/>
        <w:rPr>
          <w:rFonts w:asciiTheme="minorHAnsi" w:hAnsiTheme="minorHAnsi" w:cs="Arial"/>
          <w:color w:val="222222"/>
          <w:sz w:val="24"/>
          <w:szCs w:val="24"/>
          <w:shd w:val="clear" w:color="auto" w:fill="FFFFFF"/>
        </w:rPr>
      </w:pPr>
      <w:r w:rsidRPr="00A01FD7">
        <w:rPr>
          <w:rFonts w:asciiTheme="minorHAnsi" w:hAnsiTheme="minorHAnsi" w:cs="Arial"/>
          <w:color w:val="222222"/>
          <w:sz w:val="24"/>
          <w:szCs w:val="24"/>
          <w:shd w:val="clear" w:color="auto" w:fill="FFFFFF"/>
        </w:rPr>
        <w:t>McDermott, D. T., &amp; Blair, K. L. (2012). ‘What's it like on your side of the pond?’: a cross-cultural comparison of modern and old-fashioned homonegativity between North American and European samples.</w:t>
      </w:r>
      <w:r w:rsidRPr="00A01FD7">
        <w:rPr>
          <w:rStyle w:val="apple-converted-space"/>
          <w:rFonts w:asciiTheme="minorHAnsi" w:hAnsiTheme="minorHAnsi" w:cs="Arial"/>
          <w:color w:val="222222"/>
          <w:sz w:val="24"/>
          <w:szCs w:val="24"/>
          <w:shd w:val="clear" w:color="auto" w:fill="FFFFFF"/>
        </w:rPr>
        <w:t> </w:t>
      </w:r>
      <w:r w:rsidRPr="00A01FD7">
        <w:rPr>
          <w:rFonts w:asciiTheme="minorHAnsi" w:hAnsiTheme="minorHAnsi" w:cs="Arial"/>
          <w:i/>
          <w:iCs/>
          <w:color w:val="222222"/>
          <w:sz w:val="24"/>
          <w:szCs w:val="24"/>
          <w:shd w:val="clear" w:color="auto" w:fill="FFFFFF"/>
        </w:rPr>
        <w:t>Psychology &amp; Sexuality</w:t>
      </w:r>
      <w:r w:rsidRPr="00A01FD7">
        <w:rPr>
          <w:rFonts w:asciiTheme="minorHAnsi" w:hAnsiTheme="minorHAnsi" w:cs="Arial"/>
          <w:color w:val="222222"/>
          <w:sz w:val="24"/>
          <w:szCs w:val="24"/>
          <w:shd w:val="clear" w:color="auto" w:fill="FFFFFF"/>
        </w:rPr>
        <w:t>,</w:t>
      </w:r>
      <w:r w:rsidRPr="00A01FD7">
        <w:rPr>
          <w:rStyle w:val="apple-converted-space"/>
          <w:rFonts w:asciiTheme="minorHAnsi" w:hAnsiTheme="minorHAnsi" w:cs="Arial"/>
          <w:color w:val="222222"/>
          <w:sz w:val="24"/>
          <w:szCs w:val="24"/>
          <w:shd w:val="clear" w:color="auto" w:fill="FFFFFF"/>
        </w:rPr>
        <w:t> </w:t>
      </w:r>
      <w:r w:rsidRPr="00A01FD7">
        <w:rPr>
          <w:rFonts w:asciiTheme="minorHAnsi" w:hAnsiTheme="minorHAnsi" w:cs="Arial"/>
          <w:i/>
          <w:iCs/>
          <w:color w:val="222222"/>
          <w:sz w:val="24"/>
          <w:szCs w:val="24"/>
          <w:shd w:val="clear" w:color="auto" w:fill="FFFFFF"/>
        </w:rPr>
        <w:t>3</w:t>
      </w:r>
      <w:r w:rsidRPr="00A01FD7">
        <w:rPr>
          <w:rFonts w:asciiTheme="minorHAnsi" w:hAnsiTheme="minorHAnsi" w:cs="Arial"/>
          <w:color w:val="222222"/>
          <w:sz w:val="24"/>
          <w:szCs w:val="24"/>
          <w:shd w:val="clear" w:color="auto" w:fill="FFFFFF"/>
        </w:rPr>
        <w:t>(3), 277-296.</w:t>
      </w:r>
      <w:r w:rsidR="001158D7">
        <w:rPr>
          <w:rFonts w:asciiTheme="minorHAnsi" w:hAnsiTheme="minorHAnsi" w:cs="Arial"/>
          <w:color w:val="222222"/>
          <w:sz w:val="24"/>
          <w:szCs w:val="24"/>
          <w:shd w:val="clear" w:color="auto" w:fill="FFFFFF"/>
        </w:rPr>
        <w:t xml:space="preserve"> DOI: </w:t>
      </w:r>
      <w:r w:rsidR="001158D7" w:rsidRPr="001158D7">
        <w:rPr>
          <w:rFonts w:asciiTheme="minorHAnsi" w:hAnsiTheme="minorHAnsi" w:cs="Arial"/>
          <w:color w:val="222222"/>
          <w:sz w:val="24"/>
          <w:szCs w:val="24"/>
          <w:shd w:val="clear" w:color="auto" w:fill="FFFFFF"/>
        </w:rPr>
        <w:t>10.1080/19419899.2012.700032</w:t>
      </w:r>
    </w:p>
    <w:p w14:paraId="0C019F5B" w14:textId="77777777" w:rsidR="00877BAB" w:rsidRPr="00A01FD7" w:rsidRDefault="00877BAB" w:rsidP="00877BAB">
      <w:pPr>
        <w:spacing w:line="360" w:lineRule="auto"/>
        <w:ind w:left="720" w:hanging="720"/>
        <w:rPr>
          <w:rFonts w:asciiTheme="minorHAnsi" w:hAnsiTheme="minorHAnsi" w:cs="Arial"/>
          <w:color w:val="222222"/>
          <w:sz w:val="24"/>
          <w:szCs w:val="24"/>
          <w:shd w:val="clear" w:color="auto" w:fill="FFFFFF"/>
        </w:rPr>
      </w:pPr>
      <w:r w:rsidRPr="001158D7">
        <w:rPr>
          <w:rFonts w:asciiTheme="minorHAnsi" w:hAnsiTheme="minorHAnsi" w:cs="Arial"/>
          <w:color w:val="222222"/>
          <w:sz w:val="24"/>
          <w:szCs w:val="24"/>
          <w:shd w:val="clear" w:color="auto" w:fill="FFFFFF"/>
        </w:rPr>
        <w:t>McDermott, D. T., Morrison</w:t>
      </w:r>
      <w:r w:rsidRPr="005E38A8">
        <w:rPr>
          <w:rFonts w:asciiTheme="minorHAnsi" w:hAnsiTheme="minorHAnsi" w:cs="Arial"/>
          <w:color w:val="222222"/>
          <w:sz w:val="24"/>
          <w:szCs w:val="24"/>
          <w:shd w:val="clear" w:color="auto" w:fill="FFFFFF"/>
        </w:rPr>
        <w:t xml:space="preserve">, T. G., McDonagh, L. K. &amp; O'Doherty, A. C. M. (2012). A test of prejudice reduction towards lesbian women: The effects of imaginary contact on explicit and implicit homonegativity. In T. G. Morrison, M. A. Morrison, M. Carrigan, &amp; D. T. McDermott, (2012). </w:t>
      </w:r>
      <w:r w:rsidRPr="005E38A8">
        <w:rPr>
          <w:rFonts w:asciiTheme="minorHAnsi" w:hAnsiTheme="minorHAnsi" w:cs="Arial"/>
          <w:i/>
          <w:color w:val="222222"/>
          <w:sz w:val="24"/>
          <w:szCs w:val="24"/>
          <w:shd w:val="clear" w:color="auto" w:fill="FFFFFF"/>
        </w:rPr>
        <w:t xml:space="preserve">Sexual minority research in the new millennium </w:t>
      </w:r>
      <w:r w:rsidRPr="005E38A8">
        <w:rPr>
          <w:rFonts w:asciiTheme="minorHAnsi" w:hAnsiTheme="minorHAnsi" w:cs="Arial"/>
          <w:color w:val="222222"/>
          <w:sz w:val="24"/>
          <w:szCs w:val="24"/>
          <w:shd w:val="clear" w:color="auto" w:fill="FFFFFF"/>
        </w:rPr>
        <w:t>(pp. 187 – 204)</w:t>
      </w:r>
      <w:r w:rsidRPr="005E38A8">
        <w:rPr>
          <w:rFonts w:asciiTheme="minorHAnsi" w:hAnsiTheme="minorHAnsi" w:cs="Arial"/>
          <w:i/>
          <w:color w:val="222222"/>
          <w:sz w:val="24"/>
          <w:szCs w:val="24"/>
          <w:shd w:val="clear" w:color="auto" w:fill="FFFFFF"/>
        </w:rPr>
        <w:t>.</w:t>
      </w:r>
      <w:r w:rsidRPr="005E38A8">
        <w:rPr>
          <w:rFonts w:asciiTheme="minorHAnsi" w:hAnsiTheme="minorHAnsi" w:cs="Arial"/>
          <w:color w:val="222222"/>
          <w:sz w:val="24"/>
          <w:szCs w:val="24"/>
          <w:shd w:val="clear" w:color="auto" w:fill="FFFFFF"/>
        </w:rPr>
        <w:t xml:space="preserve"> Hauppauge, NY: Nova Science Publishers.</w:t>
      </w:r>
    </w:p>
    <w:p w14:paraId="354B290C" w14:textId="768D1D1A" w:rsidR="00877BAB" w:rsidRPr="00A01FD7" w:rsidRDefault="00877BAB" w:rsidP="00877BAB">
      <w:pPr>
        <w:spacing w:line="360" w:lineRule="auto"/>
        <w:ind w:left="720" w:hanging="720"/>
        <w:rPr>
          <w:rFonts w:asciiTheme="minorHAnsi" w:hAnsiTheme="minorHAnsi" w:cs="Arial"/>
          <w:color w:val="222222"/>
          <w:sz w:val="24"/>
          <w:szCs w:val="24"/>
          <w:shd w:val="clear" w:color="auto" w:fill="FFFFFF"/>
        </w:rPr>
      </w:pPr>
      <w:r w:rsidRPr="00A01FD7">
        <w:rPr>
          <w:rFonts w:asciiTheme="minorHAnsi" w:hAnsiTheme="minorHAnsi" w:cs="Arial"/>
          <w:color w:val="222222"/>
          <w:sz w:val="24"/>
          <w:szCs w:val="24"/>
          <w:shd w:val="clear" w:color="auto" w:fill="FFFFFF"/>
        </w:rPr>
        <w:t>Morrison, M. A., &amp; Morrison, T. G. (2003). Development and validation of a scale measuring modern prejudice toward gay men and lesbian women.</w:t>
      </w:r>
      <w:r w:rsidRPr="00A01FD7">
        <w:rPr>
          <w:rStyle w:val="apple-converted-space"/>
          <w:rFonts w:asciiTheme="minorHAnsi" w:hAnsiTheme="minorHAnsi" w:cs="Arial"/>
          <w:color w:val="222222"/>
          <w:sz w:val="24"/>
          <w:szCs w:val="24"/>
          <w:shd w:val="clear" w:color="auto" w:fill="FFFFFF"/>
        </w:rPr>
        <w:t> </w:t>
      </w:r>
      <w:r w:rsidRPr="00A01FD7">
        <w:rPr>
          <w:rFonts w:asciiTheme="minorHAnsi" w:hAnsiTheme="minorHAnsi" w:cs="Arial"/>
          <w:i/>
          <w:iCs/>
          <w:color w:val="222222"/>
          <w:sz w:val="24"/>
          <w:szCs w:val="24"/>
          <w:shd w:val="clear" w:color="auto" w:fill="FFFFFF"/>
        </w:rPr>
        <w:t>Journal of Homosexuality</w:t>
      </w:r>
      <w:r w:rsidRPr="00A01FD7">
        <w:rPr>
          <w:rFonts w:asciiTheme="minorHAnsi" w:hAnsiTheme="minorHAnsi" w:cs="Arial"/>
          <w:color w:val="222222"/>
          <w:sz w:val="24"/>
          <w:szCs w:val="24"/>
          <w:shd w:val="clear" w:color="auto" w:fill="FFFFFF"/>
        </w:rPr>
        <w:t>,</w:t>
      </w:r>
      <w:r w:rsidRPr="00A01FD7">
        <w:rPr>
          <w:rStyle w:val="apple-converted-space"/>
          <w:rFonts w:asciiTheme="minorHAnsi" w:hAnsiTheme="minorHAnsi" w:cs="Arial"/>
          <w:color w:val="222222"/>
          <w:sz w:val="24"/>
          <w:szCs w:val="24"/>
          <w:shd w:val="clear" w:color="auto" w:fill="FFFFFF"/>
        </w:rPr>
        <w:t> </w:t>
      </w:r>
      <w:r w:rsidRPr="00A01FD7">
        <w:rPr>
          <w:rFonts w:asciiTheme="minorHAnsi" w:hAnsiTheme="minorHAnsi" w:cs="Arial"/>
          <w:i/>
          <w:iCs/>
          <w:color w:val="222222"/>
          <w:sz w:val="24"/>
          <w:szCs w:val="24"/>
          <w:shd w:val="clear" w:color="auto" w:fill="FFFFFF"/>
        </w:rPr>
        <w:t>43</w:t>
      </w:r>
      <w:r w:rsidRPr="00A01FD7">
        <w:rPr>
          <w:rFonts w:asciiTheme="minorHAnsi" w:hAnsiTheme="minorHAnsi" w:cs="Arial"/>
          <w:color w:val="222222"/>
          <w:sz w:val="24"/>
          <w:szCs w:val="24"/>
          <w:shd w:val="clear" w:color="auto" w:fill="FFFFFF"/>
        </w:rPr>
        <w:t>(2), 15-37.</w:t>
      </w:r>
      <w:r w:rsidR="001158D7">
        <w:rPr>
          <w:rFonts w:asciiTheme="minorHAnsi" w:hAnsiTheme="minorHAnsi" w:cs="Arial"/>
          <w:color w:val="222222"/>
          <w:sz w:val="24"/>
          <w:szCs w:val="24"/>
          <w:shd w:val="clear" w:color="auto" w:fill="FFFFFF"/>
        </w:rPr>
        <w:t xml:space="preserve"> DOI: </w:t>
      </w:r>
      <w:r w:rsidR="001158D7" w:rsidRPr="001158D7">
        <w:rPr>
          <w:rFonts w:asciiTheme="minorHAnsi" w:hAnsiTheme="minorHAnsi" w:cs="Arial"/>
          <w:color w:val="222222"/>
          <w:sz w:val="24"/>
          <w:szCs w:val="24"/>
          <w:shd w:val="clear" w:color="auto" w:fill="FFFFFF"/>
        </w:rPr>
        <w:t>10.1300/J082v43n02_02</w:t>
      </w:r>
    </w:p>
    <w:p w14:paraId="04CC5DD0" w14:textId="0FD99DB7" w:rsidR="00877BAB" w:rsidRPr="00A01FD7" w:rsidRDefault="00877BAB" w:rsidP="00877BAB">
      <w:pPr>
        <w:spacing w:line="360" w:lineRule="auto"/>
        <w:ind w:left="720" w:hanging="720"/>
        <w:rPr>
          <w:rFonts w:asciiTheme="minorHAnsi" w:hAnsiTheme="minorHAnsi" w:cs="Arial"/>
          <w:color w:val="222222"/>
          <w:sz w:val="24"/>
          <w:szCs w:val="24"/>
          <w:shd w:val="clear" w:color="auto" w:fill="FFFFFF"/>
        </w:rPr>
      </w:pPr>
      <w:r w:rsidRPr="00A01FD7">
        <w:rPr>
          <w:rFonts w:asciiTheme="minorHAnsi" w:hAnsiTheme="minorHAnsi" w:cs="Arial"/>
          <w:color w:val="222222"/>
          <w:sz w:val="24"/>
          <w:szCs w:val="24"/>
          <w:shd w:val="clear" w:color="auto" w:fill="FFFFFF"/>
        </w:rPr>
        <w:t>Morrison, M. A., Morrison, T. G., &amp; Franklin, R. (2009). Modern and old-fashioned homonegativity among samples of Canadian and American university students.</w:t>
      </w:r>
      <w:r w:rsidRPr="00A01FD7">
        <w:rPr>
          <w:rStyle w:val="apple-converted-space"/>
          <w:rFonts w:asciiTheme="minorHAnsi" w:hAnsiTheme="minorHAnsi" w:cs="Arial"/>
          <w:color w:val="222222"/>
          <w:sz w:val="24"/>
          <w:szCs w:val="24"/>
          <w:shd w:val="clear" w:color="auto" w:fill="FFFFFF"/>
        </w:rPr>
        <w:t> </w:t>
      </w:r>
      <w:r w:rsidRPr="00A01FD7">
        <w:rPr>
          <w:rFonts w:asciiTheme="minorHAnsi" w:hAnsiTheme="minorHAnsi" w:cs="Arial"/>
          <w:i/>
          <w:iCs/>
          <w:color w:val="222222"/>
          <w:sz w:val="24"/>
          <w:szCs w:val="24"/>
          <w:shd w:val="clear" w:color="auto" w:fill="FFFFFF"/>
        </w:rPr>
        <w:t>Journal of Cross-Cultural Psychology</w:t>
      </w:r>
      <w:r w:rsidRPr="00A01FD7">
        <w:rPr>
          <w:rFonts w:asciiTheme="minorHAnsi" w:hAnsiTheme="minorHAnsi" w:cs="Arial"/>
          <w:color w:val="222222"/>
          <w:sz w:val="24"/>
          <w:szCs w:val="24"/>
          <w:shd w:val="clear" w:color="auto" w:fill="FFFFFF"/>
        </w:rPr>
        <w:t>,</w:t>
      </w:r>
      <w:r w:rsidRPr="00A01FD7">
        <w:rPr>
          <w:rStyle w:val="apple-converted-space"/>
          <w:rFonts w:asciiTheme="minorHAnsi" w:hAnsiTheme="minorHAnsi" w:cs="Arial"/>
          <w:color w:val="222222"/>
          <w:sz w:val="24"/>
          <w:szCs w:val="24"/>
          <w:shd w:val="clear" w:color="auto" w:fill="FFFFFF"/>
        </w:rPr>
        <w:t> </w:t>
      </w:r>
      <w:r w:rsidRPr="00A01FD7">
        <w:rPr>
          <w:rFonts w:asciiTheme="minorHAnsi" w:hAnsiTheme="minorHAnsi" w:cs="Arial"/>
          <w:i/>
          <w:iCs/>
          <w:color w:val="222222"/>
          <w:sz w:val="24"/>
          <w:szCs w:val="24"/>
          <w:shd w:val="clear" w:color="auto" w:fill="FFFFFF"/>
        </w:rPr>
        <w:t>40</w:t>
      </w:r>
      <w:r w:rsidRPr="00A01FD7">
        <w:rPr>
          <w:rFonts w:asciiTheme="minorHAnsi" w:hAnsiTheme="minorHAnsi" w:cs="Arial"/>
          <w:color w:val="222222"/>
          <w:sz w:val="24"/>
          <w:szCs w:val="24"/>
          <w:shd w:val="clear" w:color="auto" w:fill="FFFFFF"/>
        </w:rPr>
        <w:t>(4), 523-542.</w:t>
      </w:r>
      <w:r w:rsidR="001158D7">
        <w:rPr>
          <w:rFonts w:asciiTheme="minorHAnsi" w:hAnsiTheme="minorHAnsi" w:cs="Arial"/>
          <w:color w:val="222222"/>
          <w:sz w:val="24"/>
          <w:szCs w:val="24"/>
          <w:shd w:val="clear" w:color="auto" w:fill="FFFFFF"/>
        </w:rPr>
        <w:t xml:space="preserve"> DOI: </w:t>
      </w:r>
      <w:r w:rsidR="001158D7" w:rsidRPr="001158D7">
        <w:rPr>
          <w:rFonts w:asciiTheme="minorHAnsi" w:hAnsiTheme="minorHAnsi" w:cs="Arial"/>
          <w:color w:val="222222"/>
          <w:sz w:val="24"/>
          <w:szCs w:val="24"/>
          <w:shd w:val="clear" w:color="auto" w:fill="FFFFFF"/>
        </w:rPr>
        <w:t>10.1177/0022022109335053</w:t>
      </w:r>
    </w:p>
    <w:p w14:paraId="0375053B" w14:textId="77777777" w:rsidR="003449FC" w:rsidRPr="00A01FD7" w:rsidRDefault="003449FC" w:rsidP="003449FC">
      <w:pPr>
        <w:spacing w:line="360" w:lineRule="auto"/>
        <w:ind w:left="720" w:hanging="720"/>
        <w:rPr>
          <w:rFonts w:asciiTheme="minorHAnsi" w:hAnsiTheme="minorHAnsi" w:cs="Arial"/>
          <w:color w:val="222222"/>
          <w:sz w:val="24"/>
          <w:szCs w:val="24"/>
          <w:shd w:val="clear" w:color="auto" w:fill="FFFFFF"/>
        </w:rPr>
      </w:pPr>
      <w:r w:rsidRPr="00A01FD7">
        <w:rPr>
          <w:rFonts w:asciiTheme="minorHAnsi" w:hAnsiTheme="minorHAnsi" w:cs="Arial"/>
          <w:color w:val="222222"/>
          <w:sz w:val="24"/>
          <w:szCs w:val="24"/>
          <w:shd w:val="clear" w:color="auto" w:fill="FFFFFF"/>
        </w:rPr>
        <w:t>Morrison, T. G., Kenny, P., &amp; Harrington, A. (2005). Modern prejudice toward gay men and lesbian women: Assessing the viability of a measure of modern homonegative attitudes within an Irish context.</w:t>
      </w:r>
      <w:r w:rsidRPr="00A01FD7">
        <w:rPr>
          <w:rStyle w:val="apple-converted-space"/>
          <w:rFonts w:asciiTheme="minorHAnsi" w:hAnsiTheme="minorHAnsi" w:cs="Arial"/>
          <w:color w:val="222222"/>
          <w:sz w:val="24"/>
          <w:szCs w:val="24"/>
          <w:shd w:val="clear" w:color="auto" w:fill="FFFFFF"/>
        </w:rPr>
        <w:t> </w:t>
      </w:r>
      <w:r w:rsidRPr="00A01FD7">
        <w:rPr>
          <w:rFonts w:asciiTheme="minorHAnsi" w:hAnsiTheme="minorHAnsi" w:cs="Arial"/>
          <w:i/>
          <w:iCs/>
          <w:color w:val="222222"/>
          <w:sz w:val="24"/>
          <w:szCs w:val="24"/>
          <w:shd w:val="clear" w:color="auto" w:fill="FFFFFF"/>
        </w:rPr>
        <w:t>Genetic, Social, and General Psychology Monographs</w:t>
      </w:r>
      <w:r w:rsidRPr="00A01FD7">
        <w:rPr>
          <w:rFonts w:asciiTheme="minorHAnsi" w:hAnsiTheme="minorHAnsi" w:cs="Arial"/>
          <w:color w:val="222222"/>
          <w:sz w:val="24"/>
          <w:szCs w:val="24"/>
          <w:shd w:val="clear" w:color="auto" w:fill="FFFFFF"/>
        </w:rPr>
        <w:t>,</w:t>
      </w:r>
      <w:r w:rsidRPr="00A01FD7">
        <w:rPr>
          <w:rStyle w:val="apple-converted-space"/>
          <w:rFonts w:asciiTheme="minorHAnsi" w:hAnsiTheme="minorHAnsi" w:cs="Arial"/>
          <w:color w:val="222222"/>
          <w:sz w:val="24"/>
          <w:szCs w:val="24"/>
          <w:shd w:val="clear" w:color="auto" w:fill="FFFFFF"/>
        </w:rPr>
        <w:t> </w:t>
      </w:r>
      <w:r w:rsidRPr="00A01FD7">
        <w:rPr>
          <w:rFonts w:asciiTheme="minorHAnsi" w:hAnsiTheme="minorHAnsi" w:cs="Arial"/>
          <w:i/>
          <w:iCs/>
          <w:color w:val="222222"/>
          <w:sz w:val="24"/>
          <w:szCs w:val="24"/>
          <w:shd w:val="clear" w:color="auto" w:fill="FFFFFF"/>
        </w:rPr>
        <w:t>131</w:t>
      </w:r>
      <w:r w:rsidRPr="00A01FD7">
        <w:rPr>
          <w:rFonts w:asciiTheme="minorHAnsi" w:hAnsiTheme="minorHAnsi" w:cs="Arial"/>
          <w:color w:val="222222"/>
          <w:sz w:val="24"/>
          <w:szCs w:val="24"/>
          <w:shd w:val="clear" w:color="auto" w:fill="FFFFFF"/>
        </w:rPr>
        <w:t>(3), 219-250.</w:t>
      </w:r>
      <w:r>
        <w:rPr>
          <w:rFonts w:asciiTheme="minorHAnsi" w:hAnsiTheme="minorHAnsi" w:cs="Arial"/>
          <w:color w:val="222222"/>
          <w:sz w:val="24"/>
          <w:szCs w:val="24"/>
          <w:shd w:val="clear" w:color="auto" w:fill="FFFFFF"/>
        </w:rPr>
        <w:t xml:space="preserve"> DOI: </w:t>
      </w:r>
      <w:r w:rsidRPr="001158D7">
        <w:rPr>
          <w:rFonts w:asciiTheme="minorHAnsi" w:hAnsiTheme="minorHAnsi" w:cs="Arial"/>
          <w:color w:val="222222"/>
          <w:sz w:val="24"/>
          <w:szCs w:val="24"/>
          <w:shd w:val="clear" w:color="auto" w:fill="FFFFFF"/>
        </w:rPr>
        <w:t>10.3200/MONO.131.3.219-250</w:t>
      </w:r>
    </w:p>
    <w:p w14:paraId="2F379D40" w14:textId="2EFC42BF" w:rsidR="00877BAB" w:rsidRPr="00A01FD7" w:rsidRDefault="00877BAB" w:rsidP="00877BAB">
      <w:pPr>
        <w:spacing w:line="360" w:lineRule="auto"/>
        <w:ind w:left="720" w:hanging="720"/>
        <w:rPr>
          <w:rFonts w:asciiTheme="minorHAnsi" w:hAnsiTheme="minorHAnsi" w:cs="Arial"/>
          <w:color w:val="222222"/>
          <w:sz w:val="24"/>
          <w:szCs w:val="24"/>
          <w:shd w:val="clear" w:color="auto" w:fill="FFFFFF"/>
        </w:rPr>
      </w:pPr>
      <w:r w:rsidRPr="00A01FD7">
        <w:rPr>
          <w:rFonts w:asciiTheme="minorHAnsi" w:hAnsiTheme="minorHAnsi" w:cs="Arial"/>
          <w:color w:val="222222"/>
          <w:sz w:val="24"/>
          <w:szCs w:val="24"/>
          <w:shd w:val="clear" w:color="auto" w:fill="FFFFFF"/>
        </w:rPr>
        <w:t>Nagoshi, J. L., Adams, K. A., Terrell, H. K., Hill, E. D., Brzuzy, S., &amp; Nagoshi, C. T. (2008). Gender differences in correlates of homophobia and transphobia.</w:t>
      </w:r>
      <w:r w:rsidRPr="00A01FD7">
        <w:rPr>
          <w:rStyle w:val="apple-converted-space"/>
          <w:rFonts w:asciiTheme="minorHAnsi" w:hAnsiTheme="minorHAnsi" w:cs="Arial"/>
          <w:color w:val="222222"/>
          <w:sz w:val="24"/>
          <w:szCs w:val="24"/>
          <w:shd w:val="clear" w:color="auto" w:fill="FFFFFF"/>
        </w:rPr>
        <w:t> </w:t>
      </w:r>
      <w:r w:rsidRPr="00A01FD7">
        <w:rPr>
          <w:rFonts w:asciiTheme="minorHAnsi" w:hAnsiTheme="minorHAnsi" w:cs="Arial"/>
          <w:i/>
          <w:iCs/>
          <w:color w:val="222222"/>
          <w:sz w:val="24"/>
          <w:szCs w:val="24"/>
          <w:shd w:val="clear" w:color="auto" w:fill="FFFFFF"/>
        </w:rPr>
        <w:t>Sex Roles</w:t>
      </w:r>
      <w:r w:rsidRPr="00A01FD7">
        <w:rPr>
          <w:rFonts w:asciiTheme="minorHAnsi" w:hAnsiTheme="minorHAnsi" w:cs="Arial"/>
          <w:color w:val="222222"/>
          <w:sz w:val="24"/>
          <w:szCs w:val="24"/>
          <w:shd w:val="clear" w:color="auto" w:fill="FFFFFF"/>
        </w:rPr>
        <w:t>,</w:t>
      </w:r>
      <w:r w:rsidRPr="00A01FD7">
        <w:rPr>
          <w:rStyle w:val="apple-converted-space"/>
          <w:rFonts w:asciiTheme="minorHAnsi" w:hAnsiTheme="minorHAnsi" w:cs="Arial"/>
          <w:color w:val="222222"/>
          <w:sz w:val="24"/>
          <w:szCs w:val="24"/>
          <w:shd w:val="clear" w:color="auto" w:fill="FFFFFF"/>
        </w:rPr>
        <w:t> </w:t>
      </w:r>
      <w:r w:rsidRPr="00A01FD7">
        <w:rPr>
          <w:rFonts w:asciiTheme="minorHAnsi" w:hAnsiTheme="minorHAnsi" w:cs="Arial"/>
          <w:i/>
          <w:iCs/>
          <w:color w:val="222222"/>
          <w:sz w:val="24"/>
          <w:szCs w:val="24"/>
          <w:shd w:val="clear" w:color="auto" w:fill="FFFFFF"/>
        </w:rPr>
        <w:t>59</w:t>
      </w:r>
      <w:r w:rsidRPr="00A01FD7">
        <w:rPr>
          <w:rFonts w:asciiTheme="minorHAnsi" w:hAnsiTheme="minorHAnsi" w:cs="Arial"/>
          <w:color w:val="222222"/>
          <w:sz w:val="24"/>
          <w:szCs w:val="24"/>
          <w:shd w:val="clear" w:color="auto" w:fill="FFFFFF"/>
        </w:rPr>
        <w:t>(7-8), 521.</w:t>
      </w:r>
      <w:r w:rsidR="001158D7">
        <w:rPr>
          <w:rFonts w:asciiTheme="minorHAnsi" w:hAnsiTheme="minorHAnsi" w:cs="Arial"/>
          <w:color w:val="222222"/>
          <w:sz w:val="24"/>
          <w:szCs w:val="24"/>
          <w:shd w:val="clear" w:color="auto" w:fill="FFFFFF"/>
        </w:rPr>
        <w:t xml:space="preserve"> DOI: </w:t>
      </w:r>
      <w:r w:rsidR="001158D7" w:rsidRPr="001158D7">
        <w:rPr>
          <w:rFonts w:asciiTheme="minorHAnsi" w:hAnsiTheme="minorHAnsi" w:cs="Arial"/>
          <w:color w:val="222222"/>
          <w:sz w:val="24"/>
          <w:szCs w:val="24"/>
          <w:shd w:val="clear" w:color="auto" w:fill="FFFFFF"/>
        </w:rPr>
        <w:t>10.1007/s11199-008-9458-7</w:t>
      </w:r>
    </w:p>
    <w:p w14:paraId="03986BEE" w14:textId="02B2B3BA" w:rsidR="00877BAB" w:rsidRPr="00A01FD7" w:rsidRDefault="00877BAB" w:rsidP="00877BAB">
      <w:pPr>
        <w:spacing w:line="360" w:lineRule="auto"/>
        <w:ind w:left="720" w:hanging="720"/>
        <w:rPr>
          <w:rFonts w:asciiTheme="minorHAnsi" w:hAnsiTheme="minorHAnsi" w:cs="Arial"/>
          <w:color w:val="222222"/>
          <w:sz w:val="24"/>
          <w:szCs w:val="24"/>
          <w:shd w:val="clear" w:color="auto" w:fill="FFFFFF"/>
        </w:rPr>
      </w:pPr>
      <w:r w:rsidRPr="00A01FD7">
        <w:rPr>
          <w:rFonts w:asciiTheme="minorHAnsi" w:hAnsiTheme="minorHAnsi" w:cs="Arial"/>
          <w:color w:val="222222"/>
          <w:sz w:val="24"/>
          <w:szCs w:val="24"/>
          <w:shd w:val="clear" w:color="auto" w:fill="FFFFFF"/>
        </w:rPr>
        <w:t>Norton, A. T., &amp; Herek, G. M. (2013). Heterosexuals’ attitudes toward transgender people: Findings from a national probability sample of US adults.</w:t>
      </w:r>
      <w:r w:rsidRPr="00A01FD7">
        <w:rPr>
          <w:rStyle w:val="apple-converted-space"/>
          <w:rFonts w:asciiTheme="minorHAnsi" w:hAnsiTheme="minorHAnsi" w:cs="Arial"/>
          <w:color w:val="222222"/>
          <w:sz w:val="24"/>
          <w:szCs w:val="24"/>
          <w:shd w:val="clear" w:color="auto" w:fill="FFFFFF"/>
        </w:rPr>
        <w:t> </w:t>
      </w:r>
      <w:r w:rsidRPr="00A01FD7">
        <w:rPr>
          <w:rFonts w:asciiTheme="minorHAnsi" w:hAnsiTheme="minorHAnsi" w:cs="Arial"/>
          <w:i/>
          <w:iCs/>
          <w:color w:val="222222"/>
          <w:sz w:val="24"/>
          <w:szCs w:val="24"/>
          <w:shd w:val="clear" w:color="auto" w:fill="FFFFFF"/>
        </w:rPr>
        <w:t>Sex Roles</w:t>
      </w:r>
      <w:r w:rsidRPr="00A01FD7">
        <w:rPr>
          <w:rFonts w:asciiTheme="minorHAnsi" w:hAnsiTheme="minorHAnsi" w:cs="Arial"/>
          <w:color w:val="222222"/>
          <w:sz w:val="24"/>
          <w:szCs w:val="24"/>
          <w:shd w:val="clear" w:color="auto" w:fill="FFFFFF"/>
        </w:rPr>
        <w:t>,</w:t>
      </w:r>
      <w:r w:rsidRPr="00A01FD7">
        <w:rPr>
          <w:rStyle w:val="apple-converted-space"/>
          <w:rFonts w:asciiTheme="minorHAnsi" w:hAnsiTheme="minorHAnsi" w:cs="Arial"/>
          <w:color w:val="222222"/>
          <w:sz w:val="24"/>
          <w:szCs w:val="24"/>
          <w:shd w:val="clear" w:color="auto" w:fill="FFFFFF"/>
        </w:rPr>
        <w:t> </w:t>
      </w:r>
      <w:r w:rsidRPr="00A01FD7">
        <w:rPr>
          <w:rFonts w:asciiTheme="minorHAnsi" w:hAnsiTheme="minorHAnsi" w:cs="Arial"/>
          <w:i/>
          <w:iCs/>
          <w:color w:val="222222"/>
          <w:sz w:val="24"/>
          <w:szCs w:val="24"/>
          <w:shd w:val="clear" w:color="auto" w:fill="FFFFFF"/>
        </w:rPr>
        <w:t>68</w:t>
      </w:r>
      <w:r w:rsidRPr="00A01FD7">
        <w:rPr>
          <w:rFonts w:asciiTheme="minorHAnsi" w:hAnsiTheme="minorHAnsi" w:cs="Arial"/>
          <w:color w:val="222222"/>
          <w:sz w:val="24"/>
          <w:szCs w:val="24"/>
          <w:shd w:val="clear" w:color="auto" w:fill="FFFFFF"/>
        </w:rPr>
        <w:t>(11-12), 738-753.</w:t>
      </w:r>
      <w:r w:rsidR="001158D7">
        <w:rPr>
          <w:rFonts w:asciiTheme="minorHAnsi" w:hAnsiTheme="minorHAnsi" w:cs="Arial"/>
          <w:color w:val="222222"/>
          <w:sz w:val="24"/>
          <w:szCs w:val="24"/>
          <w:shd w:val="clear" w:color="auto" w:fill="FFFFFF"/>
        </w:rPr>
        <w:t xml:space="preserve"> DOI: </w:t>
      </w:r>
      <w:r w:rsidR="001158D7" w:rsidRPr="001158D7">
        <w:rPr>
          <w:rFonts w:asciiTheme="minorHAnsi" w:hAnsiTheme="minorHAnsi" w:cs="Arial"/>
          <w:color w:val="222222"/>
          <w:sz w:val="24"/>
          <w:szCs w:val="24"/>
          <w:shd w:val="clear" w:color="auto" w:fill="FFFFFF"/>
        </w:rPr>
        <w:t>10.1007/s11199-011-0110-6</w:t>
      </w:r>
    </w:p>
    <w:p w14:paraId="09714E79" w14:textId="76715B2C" w:rsidR="00877BAB" w:rsidRPr="00A01FD7" w:rsidRDefault="00877BAB" w:rsidP="00877BAB">
      <w:pPr>
        <w:spacing w:line="360" w:lineRule="auto"/>
        <w:ind w:left="720" w:hanging="720"/>
        <w:rPr>
          <w:rFonts w:asciiTheme="minorHAnsi" w:hAnsiTheme="minorHAnsi" w:cs="Arial"/>
          <w:color w:val="222222"/>
          <w:sz w:val="24"/>
          <w:szCs w:val="24"/>
          <w:shd w:val="clear" w:color="auto" w:fill="FFFFFF"/>
        </w:rPr>
      </w:pPr>
      <w:r w:rsidRPr="00A01FD7">
        <w:rPr>
          <w:rFonts w:asciiTheme="minorHAnsi" w:hAnsiTheme="minorHAnsi" w:cs="Arial"/>
          <w:color w:val="222222"/>
          <w:sz w:val="24"/>
          <w:szCs w:val="24"/>
          <w:shd w:val="clear" w:color="auto" w:fill="FFFFFF"/>
        </w:rPr>
        <w:t>Paluck, E. L., &amp; Green, D. P. (2009). Prejudice reduction: What works? A review and assessment of research and practice.</w:t>
      </w:r>
      <w:r w:rsidRPr="00A01FD7">
        <w:rPr>
          <w:rStyle w:val="apple-converted-space"/>
          <w:rFonts w:asciiTheme="minorHAnsi" w:hAnsiTheme="minorHAnsi" w:cs="Arial"/>
          <w:color w:val="222222"/>
          <w:sz w:val="24"/>
          <w:szCs w:val="24"/>
          <w:shd w:val="clear" w:color="auto" w:fill="FFFFFF"/>
        </w:rPr>
        <w:t> </w:t>
      </w:r>
      <w:r w:rsidRPr="00A01FD7">
        <w:rPr>
          <w:rFonts w:asciiTheme="minorHAnsi" w:hAnsiTheme="minorHAnsi" w:cs="Arial"/>
          <w:i/>
          <w:iCs/>
          <w:color w:val="222222"/>
          <w:sz w:val="24"/>
          <w:szCs w:val="24"/>
          <w:shd w:val="clear" w:color="auto" w:fill="FFFFFF"/>
        </w:rPr>
        <w:t>Annual Review of Psychology</w:t>
      </w:r>
      <w:r w:rsidRPr="00A01FD7">
        <w:rPr>
          <w:rFonts w:asciiTheme="minorHAnsi" w:hAnsiTheme="minorHAnsi" w:cs="Arial"/>
          <w:color w:val="222222"/>
          <w:sz w:val="24"/>
          <w:szCs w:val="24"/>
          <w:shd w:val="clear" w:color="auto" w:fill="FFFFFF"/>
        </w:rPr>
        <w:t>,</w:t>
      </w:r>
      <w:r w:rsidRPr="00A01FD7">
        <w:rPr>
          <w:rStyle w:val="apple-converted-space"/>
          <w:rFonts w:asciiTheme="minorHAnsi" w:hAnsiTheme="minorHAnsi" w:cs="Arial"/>
          <w:color w:val="222222"/>
          <w:sz w:val="24"/>
          <w:szCs w:val="24"/>
          <w:shd w:val="clear" w:color="auto" w:fill="FFFFFF"/>
        </w:rPr>
        <w:t> </w:t>
      </w:r>
      <w:r w:rsidRPr="00A01FD7">
        <w:rPr>
          <w:rFonts w:asciiTheme="minorHAnsi" w:hAnsiTheme="minorHAnsi" w:cs="Arial"/>
          <w:i/>
          <w:iCs/>
          <w:color w:val="222222"/>
          <w:sz w:val="24"/>
          <w:szCs w:val="24"/>
          <w:shd w:val="clear" w:color="auto" w:fill="FFFFFF"/>
        </w:rPr>
        <w:t>60</w:t>
      </w:r>
      <w:r w:rsidRPr="00A01FD7">
        <w:rPr>
          <w:rFonts w:asciiTheme="minorHAnsi" w:hAnsiTheme="minorHAnsi" w:cs="Arial"/>
          <w:color w:val="222222"/>
          <w:sz w:val="24"/>
          <w:szCs w:val="24"/>
          <w:shd w:val="clear" w:color="auto" w:fill="FFFFFF"/>
        </w:rPr>
        <w:t>, 339-367.</w:t>
      </w:r>
      <w:r w:rsidR="001158D7">
        <w:rPr>
          <w:rFonts w:asciiTheme="minorHAnsi" w:hAnsiTheme="minorHAnsi" w:cs="Arial"/>
          <w:color w:val="222222"/>
          <w:sz w:val="24"/>
          <w:szCs w:val="24"/>
          <w:shd w:val="clear" w:color="auto" w:fill="FFFFFF"/>
        </w:rPr>
        <w:t xml:space="preserve"> DOI: </w:t>
      </w:r>
      <w:r w:rsidR="001158D7" w:rsidRPr="001158D7">
        <w:rPr>
          <w:rFonts w:asciiTheme="minorHAnsi" w:hAnsiTheme="minorHAnsi" w:cs="Arial"/>
          <w:color w:val="222222"/>
          <w:sz w:val="24"/>
          <w:szCs w:val="24"/>
          <w:shd w:val="clear" w:color="auto" w:fill="FFFFFF"/>
        </w:rPr>
        <w:t>10.1146/annurev.psych.60.110707.163607</w:t>
      </w:r>
    </w:p>
    <w:p w14:paraId="5ADC3699" w14:textId="6A3B93B9" w:rsidR="00877BAB" w:rsidRPr="00A01FD7" w:rsidRDefault="00877BAB" w:rsidP="00877BAB">
      <w:pPr>
        <w:spacing w:line="360" w:lineRule="auto"/>
        <w:ind w:left="720" w:hanging="720"/>
        <w:rPr>
          <w:rFonts w:asciiTheme="minorHAnsi" w:hAnsiTheme="minorHAnsi" w:cs="Arial"/>
          <w:color w:val="222222"/>
          <w:sz w:val="24"/>
          <w:szCs w:val="24"/>
          <w:shd w:val="clear" w:color="auto" w:fill="FFFFFF"/>
        </w:rPr>
      </w:pPr>
      <w:r w:rsidRPr="00A01FD7">
        <w:rPr>
          <w:rFonts w:asciiTheme="minorHAnsi" w:hAnsiTheme="minorHAnsi" w:cs="Arial"/>
          <w:color w:val="222222"/>
          <w:sz w:val="24"/>
          <w:szCs w:val="24"/>
          <w:shd w:val="clear" w:color="auto" w:fill="FFFFFF"/>
        </w:rPr>
        <w:t>Pettigrew, T. F., &amp; Tropp, L. R. (2006). A meta-analytic test of intergroup contact theory.</w:t>
      </w:r>
      <w:r w:rsidRPr="00A01FD7">
        <w:rPr>
          <w:rStyle w:val="apple-converted-space"/>
          <w:rFonts w:asciiTheme="minorHAnsi" w:hAnsiTheme="minorHAnsi" w:cs="Arial"/>
          <w:color w:val="222222"/>
          <w:sz w:val="24"/>
          <w:szCs w:val="24"/>
          <w:shd w:val="clear" w:color="auto" w:fill="FFFFFF"/>
        </w:rPr>
        <w:t> </w:t>
      </w:r>
      <w:r w:rsidRPr="00A01FD7">
        <w:rPr>
          <w:rFonts w:asciiTheme="minorHAnsi" w:hAnsiTheme="minorHAnsi" w:cs="Arial"/>
          <w:i/>
          <w:iCs/>
          <w:color w:val="222222"/>
          <w:sz w:val="24"/>
          <w:szCs w:val="24"/>
          <w:shd w:val="clear" w:color="auto" w:fill="FFFFFF"/>
        </w:rPr>
        <w:t>Journal of Personality and Social Psychology</w:t>
      </w:r>
      <w:r w:rsidRPr="00A01FD7">
        <w:rPr>
          <w:rFonts w:asciiTheme="minorHAnsi" w:hAnsiTheme="minorHAnsi" w:cs="Arial"/>
          <w:color w:val="222222"/>
          <w:sz w:val="24"/>
          <w:szCs w:val="24"/>
          <w:shd w:val="clear" w:color="auto" w:fill="FFFFFF"/>
        </w:rPr>
        <w:t>,</w:t>
      </w:r>
      <w:r w:rsidRPr="00A01FD7">
        <w:rPr>
          <w:rStyle w:val="apple-converted-space"/>
          <w:rFonts w:asciiTheme="minorHAnsi" w:hAnsiTheme="minorHAnsi" w:cs="Arial"/>
          <w:color w:val="222222"/>
          <w:sz w:val="24"/>
          <w:szCs w:val="24"/>
          <w:shd w:val="clear" w:color="auto" w:fill="FFFFFF"/>
        </w:rPr>
        <w:t> </w:t>
      </w:r>
      <w:r w:rsidRPr="00A01FD7">
        <w:rPr>
          <w:rFonts w:asciiTheme="minorHAnsi" w:hAnsiTheme="minorHAnsi" w:cs="Arial"/>
          <w:i/>
          <w:iCs/>
          <w:color w:val="222222"/>
          <w:sz w:val="24"/>
          <w:szCs w:val="24"/>
          <w:shd w:val="clear" w:color="auto" w:fill="FFFFFF"/>
        </w:rPr>
        <w:t>90</w:t>
      </w:r>
      <w:r w:rsidRPr="00A01FD7">
        <w:rPr>
          <w:rFonts w:asciiTheme="minorHAnsi" w:hAnsiTheme="minorHAnsi" w:cs="Arial"/>
          <w:color w:val="222222"/>
          <w:sz w:val="24"/>
          <w:szCs w:val="24"/>
          <w:shd w:val="clear" w:color="auto" w:fill="FFFFFF"/>
        </w:rPr>
        <w:t>(5), 751.</w:t>
      </w:r>
      <w:r w:rsidR="001158D7">
        <w:rPr>
          <w:rFonts w:asciiTheme="minorHAnsi" w:hAnsiTheme="minorHAnsi" w:cs="Arial"/>
          <w:color w:val="222222"/>
          <w:sz w:val="24"/>
          <w:szCs w:val="24"/>
          <w:shd w:val="clear" w:color="auto" w:fill="FFFFFF"/>
        </w:rPr>
        <w:t xml:space="preserve"> DOI: </w:t>
      </w:r>
      <w:r w:rsidR="001158D7" w:rsidRPr="001158D7">
        <w:rPr>
          <w:rFonts w:asciiTheme="minorHAnsi" w:hAnsiTheme="minorHAnsi" w:cs="Arial"/>
          <w:color w:val="222222"/>
          <w:sz w:val="24"/>
          <w:szCs w:val="24"/>
          <w:shd w:val="clear" w:color="auto" w:fill="FFFFFF"/>
        </w:rPr>
        <w:t>10.1037/0022-3514.90.5.751</w:t>
      </w:r>
    </w:p>
    <w:p w14:paraId="4D275FBA" w14:textId="1E657723" w:rsidR="00877BAB" w:rsidRPr="00A01FD7" w:rsidRDefault="00877BAB" w:rsidP="00877BAB">
      <w:pPr>
        <w:spacing w:line="360" w:lineRule="auto"/>
        <w:ind w:left="720" w:hanging="720"/>
        <w:rPr>
          <w:rFonts w:asciiTheme="minorHAnsi" w:hAnsiTheme="minorHAnsi" w:cs="Arial"/>
          <w:color w:val="222222"/>
          <w:sz w:val="24"/>
          <w:szCs w:val="24"/>
          <w:shd w:val="clear" w:color="auto" w:fill="FFFFFF"/>
        </w:rPr>
      </w:pPr>
      <w:r w:rsidRPr="00A01FD7">
        <w:rPr>
          <w:rFonts w:asciiTheme="minorHAnsi" w:hAnsiTheme="minorHAnsi" w:cs="Arial"/>
          <w:color w:val="222222"/>
          <w:sz w:val="24"/>
          <w:szCs w:val="24"/>
          <w:shd w:val="clear" w:color="auto" w:fill="FFFFFF"/>
        </w:rPr>
        <w:t>Pettigrew, T. F. (1998). Intergroup contact theory.</w:t>
      </w:r>
      <w:r w:rsidRPr="00A01FD7">
        <w:rPr>
          <w:rStyle w:val="apple-converted-space"/>
          <w:rFonts w:asciiTheme="minorHAnsi" w:hAnsiTheme="minorHAnsi" w:cs="Arial"/>
          <w:color w:val="222222"/>
          <w:sz w:val="24"/>
          <w:szCs w:val="24"/>
          <w:shd w:val="clear" w:color="auto" w:fill="FFFFFF"/>
        </w:rPr>
        <w:t> </w:t>
      </w:r>
      <w:r w:rsidRPr="00A01FD7">
        <w:rPr>
          <w:rFonts w:asciiTheme="minorHAnsi" w:hAnsiTheme="minorHAnsi" w:cs="Arial"/>
          <w:i/>
          <w:iCs/>
          <w:color w:val="222222"/>
          <w:sz w:val="24"/>
          <w:szCs w:val="24"/>
          <w:shd w:val="clear" w:color="auto" w:fill="FFFFFF"/>
        </w:rPr>
        <w:t>Annual Review of Psychology</w:t>
      </w:r>
      <w:r w:rsidRPr="00A01FD7">
        <w:rPr>
          <w:rFonts w:asciiTheme="minorHAnsi" w:hAnsiTheme="minorHAnsi" w:cs="Arial"/>
          <w:color w:val="222222"/>
          <w:sz w:val="24"/>
          <w:szCs w:val="24"/>
          <w:shd w:val="clear" w:color="auto" w:fill="FFFFFF"/>
        </w:rPr>
        <w:t>,</w:t>
      </w:r>
      <w:r w:rsidRPr="00A01FD7">
        <w:rPr>
          <w:rStyle w:val="apple-converted-space"/>
          <w:rFonts w:asciiTheme="minorHAnsi" w:hAnsiTheme="minorHAnsi" w:cs="Arial"/>
          <w:color w:val="222222"/>
          <w:sz w:val="24"/>
          <w:szCs w:val="24"/>
          <w:shd w:val="clear" w:color="auto" w:fill="FFFFFF"/>
        </w:rPr>
        <w:t> </w:t>
      </w:r>
      <w:r w:rsidRPr="00A01FD7">
        <w:rPr>
          <w:rFonts w:asciiTheme="minorHAnsi" w:hAnsiTheme="minorHAnsi" w:cs="Arial"/>
          <w:i/>
          <w:iCs/>
          <w:color w:val="222222"/>
          <w:sz w:val="24"/>
          <w:szCs w:val="24"/>
          <w:shd w:val="clear" w:color="auto" w:fill="FFFFFF"/>
        </w:rPr>
        <w:t>49</w:t>
      </w:r>
      <w:r w:rsidRPr="00A01FD7">
        <w:rPr>
          <w:rFonts w:asciiTheme="minorHAnsi" w:hAnsiTheme="minorHAnsi" w:cs="Arial"/>
          <w:color w:val="222222"/>
          <w:sz w:val="24"/>
          <w:szCs w:val="24"/>
          <w:shd w:val="clear" w:color="auto" w:fill="FFFFFF"/>
        </w:rPr>
        <w:t>(1), 65-85.</w:t>
      </w:r>
      <w:r w:rsidR="001158D7">
        <w:rPr>
          <w:rFonts w:asciiTheme="minorHAnsi" w:hAnsiTheme="minorHAnsi" w:cs="Arial"/>
          <w:color w:val="222222"/>
          <w:sz w:val="24"/>
          <w:szCs w:val="24"/>
          <w:shd w:val="clear" w:color="auto" w:fill="FFFFFF"/>
        </w:rPr>
        <w:t xml:space="preserve"> DOI: </w:t>
      </w:r>
      <w:r w:rsidR="001158D7" w:rsidRPr="001158D7">
        <w:rPr>
          <w:rFonts w:asciiTheme="minorHAnsi" w:hAnsiTheme="minorHAnsi" w:cs="Arial"/>
          <w:color w:val="222222"/>
          <w:sz w:val="24"/>
          <w:szCs w:val="24"/>
          <w:shd w:val="clear" w:color="auto" w:fill="FFFFFF"/>
        </w:rPr>
        <w:t>10.1146/annurev.psych.49.1.65</w:t>
      </w:r>
    </w:p>
    <w:p w14:paraId="7A903BBB" w14:textId="03F7F708" w:rsidR="00877BAB" w:rsidRPr="00A01FD7" w:rsidRDefault="00877BAB" w:rsidP="00877BAB">
      <w:pPr>
        <w:spacing w:line="360" w:lineRule="auto"/>
        <w:ind w:left="720" w:hanging="720"/>
        <w:rPr>
          <w:rFonts w:asciiTheme="minorHAnsi" w:hAnsiTheme="minorHAnsi" w:cs="Arial"/>
          <w:color w:val="222222"/>
          <w:sz w:val="24"/>
          <w:szCs w:val="24"/>
          <w:shd w:val="clear" w:color="auto" w:fill="FFFFFF"/>
        </w:rPr>
      </w:pPr>
      <w:r w:rsidRPr="00A01FD7">
        <w:rPr>
          <w:rFonts w:asciiTheme="minorHAnsi" w:hAnsiTheme="minorHAnsi" w:cs="Arial"/>
          <w:color w:val="222222"/>
          <w:sz w:val="24"/>
          <w:szCs w:val="24"/>
          <w:shd w:val="clear" w:color="auto" w:fill="FFFFFF"/>
        </w:rPr>
        <w:t>Pratto, F., Sidanius, J., Stallworth, L. M., &amp; Malle, B. F. (1994). Social dominance orientation: A personality variable predicting social and political attitudes.</w:t>
      </w:r>
      <w:r w:rsidRPr="00A01FD7">
        <w:rPr>
          <w:rStyle w:val="apple-converted-space"/>
          <w:rFonts w:asciiTheme="minorHAnsi" w:hAnsiTheme="minorHAnsi" w:cs="Arial"/>
          <w:color w:val="222222"/>
          <w:sz w:val="24"/>
          <w:szCs w:val="24"/>
          <w:shd w:val="clear" w:color="auto" w:fill="FFFFFF"/>
        </w:rPr>
        <w:t> </w:t>
      </w:r>
      <w:r w:rsidRPr="00A01FD7">
        <w:rPr>
          <w:rFonts w:asciiTheme="minorHAnsi" w:hAnsiTheme="minorHAnsi" w:cs="Arial"/>
          <w:i/>
          <w:iCs/>
          <w:color w:val="222222"/>
          <w:sz w:val="24"/>
          <w:szCs w:val="24"/>
          <w:shd w:val="clear" w:color="auto" w:fill="FFFFFF"/>
        </w:rPr>
        <w:t>Journal of Personality and Social Psychology</w:t>
      </w:r>
      <w:r w:rsidRPr="00A01FD7">
        <w:rPr>
          <w:rFonts w:asciiTheme="minorHAnsi" w:hAnsiTheme="minorHAnsi" w:cs="Arial"/>
          <w:color w:val="222222"/>
          <w:sz w:val="24"/>
          <w:szCs w:val="24"/>
          <w:shd w:val="clear" w:color="auto" w:fill="FFFFFF"/>
        </w:rPr>
        <w:t>,</w:t>
      </w:r>
      <w:r w:rsidRPr="00A01FD7">
        <w:rPr>
          <w:rStyle w:val="apple-converted-space"/>
          <w:rFonts w:asciiTheme="minorHAnsi" w:hAnsiTheme="minorHAnsi" w:cs="Arial"/>
          <w:color w:val="222222"/>
          <w:sz w:val="24"/>
          <w:szCs w:val="24"/>
          <w:shd w:val="clear" w:color="auto" w:fill="FFFFFF"/>
        </w:rPr>
        <w:t> </w:t>
      </w:r>
      <w:r w:rsidRPr="00A01FD7">
        <w:rPr>
          <w:rFonts w:asciiTheme="minorHAnsi" w:hAnsiTheme="minorHAnsi" w:cs="Arial"/>
          <w:i/>
          <w:iCs/>
          <w:color w:val="222222"/>
          <w:sz w:val="24"/>
          <w:szCs w:val="24"/>
          <w:shd w:val="clear" w:color="auto" w:fill="FFFFFF"/>
        </w:rPr>
        <w:t>67</w:t>
      </w:r>
      <w:r w:rsidRPr="00A01FD7">
        <w:rPr>
          <w:rFonts w:asciiTheme="minorHAnsi" w:hAnsiTheme="minorHAnsi" w:cs="Arial"/>
          <w:color w:val="222222"/>
          <w:sz w:val="24"/>
          <w:szCs w:val="24"/>
          <w:shd w:val="clear" w:color="auto" w:fill="FFFFFF"/>
        </w:rPr>
        <w:t>(4), 741.</w:t>
      </w:r>
      <w:r w:rsidR="001158D7">
        <w:rPr>
          <w:rFonts w:asciiTheme="minorHAnsi" w:hAnsiTheme="minorHAnsi" w:cs="Arial"/>
          <w:color w:val="222222"/>
          <w:sz w:val="24"/>
          <w:szCs w:val="24"/>
          <w:shd w:val="clear" w:color="auto" w:fill="FFFFFF"/>
        </w:rPr>
        <w:t xml:space="preserve"> DOI: </w:t>
      </w:r>
      <w:r w:rsidR="001158D7" w:rsidRPr="001158D7">
        <w:rPr>
          <w:rFonts w:asciiTheme="minorHAnsi" w:hAnsiTheme="minorHAnsi" w:cs="Arial"/>
          <w:color w:val="222222"/>
          <w:sz w:val="24"/>
          <w:szCs w:val="24"/>
          <w:shd w:val="clear" w:color="auto" w:fill="FFFFFF"/>
        </w:rPr>
        <w:t>10.1037/0022-3514.67.4.741</w:t>
      </w:r>
    </w:p>
    <w:p w14:paraId="0A507AFC" w14:textId="311D367A" w:rsidR="00877BAB" w:rsidRPr="00A01FD7" w:rsidRDefault="00877BAB" w:rsidP="00877BAB">
      <w:pPr>
        <w:spacing w:line="360" w:lineRule="auto"/>
        <w:ind w:left="720" w:hanging="720"/>
        <w:rPr>
          <w:rFonts w:asciiTheme="minorHAnsi" w:hAnsiTheme="minorHAnsi" w:cs="Arial"/>
          <w:color w:val="222222"/>
          <w:sz w:val="24"/>
          <w:szCs w:val="24"/>
          <w:shd w:val="clear" w:color="auto" w:fill="FFFFFF"/>
        </w:rPr>
      </w:pPr>
      <w:r w:rsidRPr="00A01FD7">
        <w:rPr>
          <w:rFonts w:asciiTheme="minorHAnsi" w:hAnsiTheme="minorHAnsi" w:cs="Arial"/>
          <w:color w:val="222222"/>
          <w:sz w:val="24"/>
          <w:szCs w:val="24"/>
          <w:shd w:val="clear" w:color="auto" w:fill="FFFFFF"/>
        </w:rPr>
        <w:t>Rye, B. J., &amp; Meaney, G. J. (2010). Measuring homonegativity: A psychometric analysis.</w:t>
      </w:r>
      <w:r w:rsidRPr="00A01FD7">
        <w:rPr>
          <w:rStyle w:val="apple-converted-space"/>
          <w:rFonts w:asciiTheme="minorHAnsi" w:hAnsiTheme="minorHAnsi" w:cs="Arial"/>
          <w:color w:val="222222"/>
          <w:sz w:val="24"/>
          <w:szCs w:val="24"/>
          <w:shd w:val="clear" w:color="auto" w:fill="FFFFFF"/>
        </w:rPr>
        <w:t> </w:t>
      </w:r>
      <w:r w:rsidRPr="00A01FD7">
        <w:rPr>
          <w:rFonts w:asciiTheme="minorHAnsi" w:hAnsiTheme="minorHAnsi" w:cs="Arial"/>
          <w:i/>
          <w:iCs/>
          <w:color w:val="222222"/>
          <w:sz w:val="24"/>
          <w:szCs w:val="24"/>
          <w:shd w:val="clear" w:color="auto" w:fill="FFFFFF"/>
        </w:rPr>
        <w:t>Canadian Journal of Behavioural Science/Revue Canadienne des Sciences du Comportement</w:t>
      </w:r>
      <w:r w:rsidRPr="00A01FD7">
        <w:rPr>
          <w:rFonts w:asciiTheme="minorHAnsi" w:hAnsiTheme="minorHAnsi" w:cs="Arial"/>
          <w:color w:val="222222"/>
          <w:sz w:val="24"/>
          <w:szCs w:val="24"/>
          <w:shd w:val="clear" w:color="auto" w:fill="FFFFFF"/>
        </w:rPr>
        <w:t>,</w:t>
      </w:r>
      <w:r w:rsidRPr="00A01FD7">
        <w:rPr>
          <w:rStyle w:val="apple-converted-space"/>
          <w:rFonts w:asciiTheme="minorHAnsi" w:hAnsiTheme="minorHAnsi" w:cs="Arial"/>
          <w:color w:val="222222"/>
          <w:sz w:val="24"/>
          <w:szCs w:val="24"/>
          <w:shd w:val="clear" w:color="auto" w:fill="FFFFFF"/>
        </w:rPr>
        <w:t> </w:t>
      </w:r>
      <w:r w:rsidRPr="00A01FD7">
        <w:rPr>
          <w:rFonts w:asciiTheme="minorHAnsi" w:hAnsiTheme="minorHAnsi" w:cs="Arial"/>
          <w:i/>
          <w:iCs/>
          <w:color w:val="222222"/>
          <w:sz w:val="24"/>
          <w:szCs w:val="24"/>
          <w:shd w:val="clear" w:color="auto" w:fill="FFFFFF"/>
        </w:rPr>
        <w:t>42</w:t>
      </w:r>
      <w:r w:rsidRPr="00A01FD7">
        <w:rPr>
          <w:rFonts w:asciiTheme="minorHAnsi" w:hAnsiTheme="minorHAnsi" w:cs="Arial"/>
          <w:color w:val="222222"/>
          <w:sz w:val="24"/>
          <w:szCs w:val="24"/>
          <w:shd w:val="clear" w:color="auto" w:fill="FFFFFF"/>
        </w:rPr>
        <w:t>(3), 158.</w:t>
      </w:r>
      <w:r w:rsidR="001158D7">
        <w:rPr>
          <w:rFonts w:asciiTheme="minorHAnsi" w:hAnsiTheme="minorHAnsi" w:cs="Arial"/>
          <w:color w:val="222222"/>
          <w:sz w:val="24"/>
          <w:szCs w:val="24"/>
          <w:shd w:val="clear" w:color="auto" w:fill="FFFFFF"/>
        </w:rPr>
        <w:t xml:space="preserve"> </w:t>
      </w:r>
      <w:r w:rsidR="00C811BC">
        <w:rPr>
          <w:rFonts w:asciiTheme="minorHAnsi" w:hAnsiTheme="minorHAnsi" w:cs="Arial"/>
          <w:color w:val="222222"/>
          <w:sz w:val="24"/>
          <w:szCs w:val="24"/>
          <w:shd w:val="clear" w:color="auto" w:fill="FFFFFF"/>
        </w:rPr>
        <w:t xml:space="preserve">DOI: </w:t>
      </w:r>
      <w:r w:rsidR="00C811BC" w:rsidRPr="00C811BC">
        <w:rPr>
          <w:rFonts w:asciiTheme="minorHAnsi" w:hAnsiTheme="minorHAnsi" w:cs="Arial"/>
          <w:color w:val="222222"/>
          <w:sz w:val="24"/>
          <w:szCs w:val="24"/>
          <w:shd w:val="clear" w:color="auto" w:fill="FFFFFF"/>
        </w:rPr>
        <w:t>10.1037/a0018237</w:t>
      </w:r>
    </w:p>
    <w:p w14:paraId="4C8AC760" w14:textId="12A7E6E6" w:rsidR="00877BAB" w:rsidRPr="00A01FD7" w:rsidRDefault="00877BAB" w:rsidP="00877BAB">
      <w:pPr>
        <w:spacing w:line="360" w:lineRule="auto"/>
        <w:ind w:left="720" w:hanging="720"/>
        <w:rPr>
          <w:rFonts w:asciiTheme="minorHAnsi" w:hAnsiTheme="minorHAnsi" w:cs="Arial"/>
          <w:color w:val="222222"/>
          <w:sz w:val="24"/>
          <w:szCs w:val="24"/>
          <w:shd w:val="clear" w:color="auto" w:fill="FFFFFF"/>
        </w:rPr>
      </w:pPr>
      <w:r w:rsidRPr="00A01FD7">
        <w:rPr>
          <w:rFonts w:asciiTheme="minorHAnsi" w:hAnsiTheme="minorHAnsi" w:cs="Arial"/>
          <w:color w:val="222222"/>
          <w:sz w:val="24"/>
          <w:szCs w:val="24"/>
          <w:shd w:val="clear" w:color="auto" w:fill="FFFFFF"/>
        </w:rPr>
        <w:t>Schiappa, E., Gregg, P. B., &amp; Hewes, D. E. (2005). The parasocial contact hypothesis.</w:t>
      </w:r>
      <w:r w:rsidRPr="00A01FD7">
        <w:rPr>
          <w:rStyle w:val="apple-converted-space"/>
          <w:rFonts w:asciiTheme="minorHAnsi" w:hAnsiTheme="minorHAnsi" w:cs="Arial"/>
          <w:color w:val="222222"/>
          <w:sz w:val="24"/>
          <w:szCs w:val="24"/>
          <w:shd w:val="clear" w:color="auto" w:fill="FFFFFF"/>
        </w:rPr>
        <w:t> </w:t>
      </w:r>
      <w:r w:rsidRPr="00A01FD7">
        <w:rPr>
          <w:rFonts w:asciiTheme="minorHAnsi" w:hAnsiTheme="minorHAnsi" w:cs="Arial"/>
          <w:i/>
          <w:iCs/>
          <w:color w:val="222222"/>
          <w:sz w:val="24"/>
          <w:szCs w:val="24"/>
          <w:shd w:val="clear" w:color="auto" w:fill="FFFFFF"/>
        </w:rPr>
        <w:t>Communication Monographs</w:t>
      </w:r>
      <w:r w:rsidRPr="00A01FD7">
        <w:rPr>
          <w:rFonts w:asciiTheme="minorHAnsi" w:hAnsiTheme="minorHAnsi" w:cs="Arial"/>
          <w:color w:val="222222"/>
          <w:sz w:val="24"/>
          <w:szCs w:val="24"/>
          <w:shd w:val="clear" w:color="auto" w:fill="FFFFFF"/>
        </w:rPr>
        <w:t>,</w:t>
      </w:r>
      <w:r w:rsidRPr="00A01FD7">
        <w:rPr>
          <w:rStyle w:val="apple-converted-space"/>
          <w:rFonts w:asciiTheme="minorHAnsi" w:hAnsiTheme="minorHAnsi" w:cs="Arial"/>
          <w:color w:val="222222"/>
          <w:sz w:val="24"/>
          <w:szCs w:val="24"/>
          <w:shd w:val="clear" w:color="auto" w:fill="FFFFFF"/>
        </w:rPr>
        <w:t> </w:t>
      </w:r>
      <w:r w:rsidRPr="00A01FD7">
        <w:rPr>
          <w:rFonts w:asciiTheme="minorHAnsi" w:hAnsiTheme="minorHAnsi" w:cs="Arial"/>
          <w:i/>
          <w:iCs/>
          <w:color w:val="222222"/>
          <w:sz w:val="24"/>
          <w:szCs w:val="24"/>
          <w:shd w:val="clear" w:color="auto" w:fill="FFFFFF"/>
        </w:rPr>
        <w:t>72</w:t>
      </w:r>
      <w:r w:rsidRPr="00A01FD7">
        <w:rPr>
          <w:rFonts w:asciiTheme="minorHAnsi" w:hAnsiTheme="minorHAnsi" w:cs="Arial"/>
          <w:color w:val="222222"/>
          <w:sz w:val="24"/>
          <w:szCs w:val="24"/>
          <w:shd w:val="clear" w:color="auto" w:fill="FFFFFF"/>
        </w:rPr>
        <w:t>(1), 92-115.</w:t>
      </w:r>
      <w:r w:rsidR="00C811BC">
        <w:rPr>
          <w:rFonts w:asciiTheme="minorHAnsi" w:hAnsiTheme="minorHAnsi" w:cs="Arial"/>
          <w:color w:val="222222"/>
          <w:sz w:val="24"/>
          <w:szCs w:val="24"/>
          <w:shd w:val="clear" w:color="auto" w:fill="FFFFFF"/>
        </w:rPr>
        <w:t xml:space="preserve"> DOI: </w:t>
      </w:r>
      <w:r w:rsidR="00C811BC" w:rsidRPr="00C811BC">
        <w:rPr>
          <w:rFonts w:asciiTheme="minorHAnsi" w:hAnsiTheme="minorHAnsi" w:cs="Arial"/>
          <w:color w:val="222222"/>
          <w:sz w:val="24"/>
          <w:szCs w:val="24"/>
          <w:shd w:val="clear" w:color="auto" w:fill="FFFFFF"/>
        </w:rPr>
        <w:t>10.1080/0363775052000342544</w:t>
      </w:r>
    </w:p>
    <w:p w14:paraId="25564CC0" w14:textId="77777777" w:rsidR="003449FC" w:rsidRDefault="003449FC" w:rsidP="003449FC">
      <w:pPr>
        <w:spacing w:line="360" w:lineRule="auto"/>
        <w:ind w:left="720" w:hanging="720"/>
        <w:rPr>
          <w:rFonts w:asciiTheme="minorHAnsi" w:hAnsiTheme="minorHAnsi" w:cs="Arial"/>
          <w:color w:val="222222"/>
          <w:sz w:val="24"/>
          <w:szCs w:val="24"/>
          <w:shd w:val="clear" w:color="auto" w:fill="FFFFFF"/>
        </w:rPr>
      </w:pPr>
      <w:r w:rsidRPr="00A01FD7">
        <w:rPr>
          <w:rFonts w:asciiTheme="minorHAnsi" w:hAnsiTheme="minorHAnsi" w:cs="Arial"/>
          <w:color w:val="222222"/>
          <w:sz w:val="24"/>
          <w:szCs w:val="24"/>
          <w:shd w:val="clear" w:color="auto" w:fill="FFFFFF"/>
        </w:rPr>
        <w:t>Schiappa, E., Gregg, P. B., &amp; Hewes, D. E. (2006). Can one TV show make a difference? A Will &amp; Grace and the parasocial contact hypothesis.</w:t>
      </w:r>
      <w:r w:rsidRPr="00A01FD7">
        <w:rPr>
          <w:rStyle w:val="apple-converted-space"/>
          <w:rFonts w:asciiTheme="minorHAnsi" w:hAnsiTheme="minorHAnsi" w:cs="Arial"/>
          <w:color w:val="222222"/>
          <w:sz w:val="24"/>
          <w:szCs w:val="24"/>
          <w:shd w:val="clear" w:color="auto" w:fill="FFFFFF"/>
        </w:rPr>
        <w:t> </w:t>
      </w:r>
      <w:r w:rsidRPr="00A01FD7">
        <w:rPr>
          <w:rFonts w:asciiTheme="minorHAnsi" w:hAnsiTheme="minorHAnsi" w:cs="Arial"/>
          <w:i/>
          <w:iCs/>
          <w:color w:val="222222"/>
          <w:sz w:val="24"/>
          <w:szCs w:val="24"/>
          <w:shd w:val="clear" w:color="auto" w:fill="FFFFFF"/>
        </w:rPr>
        <w:t>Journal of Homosexuality</w:t>
      </w:r>
      <w:r w:rsidRPr="00A01FD7">
        <w:rPr>
          <w:rFonts w:asciiTheme="minorHAnsi" w:hAnsiTheme="minorHAnsi" w:cs="Arial"/>
          <w:color w:val="222222"/>
          <w:sz w:val="24"/>
          <w:szCs w:val="24"/>
          <w:shd w:val="clear" w:color="auto" w:fill="FFFFFF"/>
        </w:rPr>
        <w:t>,</w:t>
      </w:r>
      <w:r w:rsidRPr="00A01FD7">
        <w:rPr>
          <w:rStyle w:val="apple-converted-space"/>
          <w:rFonts w:asciiTheme="minorHAnsi" w:hAnsiTheme="minorHAnsi" w:cs="Arial"/>
          <w:color w:val="222222"/>
          <w:sz w:val="24"/>
          <w:szCs w:val="24"/>
          <w:shd w:val="clear" w:color="auto" w:fill="FFFFFF"/>
        </w:rPr>
        <w:t> </w:t>
      </w:r>
      <w:r w:rsidRPr="00A01FD7">
        <w:rPr>
          <w:rFonts w:asciiTheme="minorHAnsi" w:hAnsiTheme="minorHAnsi" w:cs="Arial"/>
          <w:i/>
          <w:iCs/>
          <w:color w:val="222222"/>
          <w:sz w:val="24"/>
          <w:szCs w:val="24"/>
          <w:shd w:val="clear" w:color="auto" w:fill="FFFFFF"/>
        </w:rPr>
        <w:t>51</w:t>
      </w:r>
      <w:r w:rsidRPr="00A01FD7">
        <w:rPr>
          <w:rFonts w:asciiTheme="minorHAnsi" w:hAnsiTheme="minorHAnsi" w:cs="Arial"/>
          <w:color w:val="222222"/>
          <w:sz w:val="24"/>
          <w:szCs w:val="24"/>
          <w:shd w:val="clear" w:color="auto" w:fill="FFFFFF"/>
        </w:rPr>
        <w:t>(4), 15-37.</w:t>
      </w:r>
      <w:r>
        <w:rPr>
          <w:rFonts w:asciiTheme="minorHAnsi" w:hAnsiTheme="minorHAnsi" w:cs="Arial"/>
          <w:color w:val="222222"/>
          <w:sz w:val="24"/>
          <w:szCs w:val="24"/>
          <w:shd w:val="clear" w:color="auto" w:fill="FFFFFF"/>
        </w:rPr>
        <w:t xml:space="preserve"> DOI: </w:t>
      </w:r>
      <w:r w:rsidRPr="00C811BC">
        <w:rPr>
          <w:rFonts w:asciiTheme="minorHAnsi" w:hAnsiTheme="minorHAnsi" w:cs="Arial"/>
          <w:color w:val="222222"/>
          <w:sz w:val="24"/>
          <w:szCs w:val="24"/>
          <w:shd w:val="clear" w:color="auto" w:fill="FFFFFF"/>
        </w:rPr>
        <w:t>10.1300/J082v51n04_02</w:t>
      </w:r>
    </w:p>
    <w:p w14:paraId="030F7FB3" w14:textId="34E12040" w:rsidR="00877BAB" w:rsidRPr="00A01FD7" w:rsidRDefault="00877BAB" w:rsidP="00877BAB">
      <w:pPr>
        <w:spacing w:line="360" w:lineRule="auto"/>
        <w:ind w:left="720" w:hanging="720"/>
        <w:rPr>
          <w:rFonts w:asciiTheme="minorHAnsi" w:hAnsiTheme="minorHAnsi" w:cs="Arial"/>
          <w:color w:val="222222"/>
          <w:sz w:val="24"/>
          <w:szCs w:val="24"/>
          <w:shd w:val="clear" w:color="auto" w:fill="FFFFFF"/>
        </w:rPr>
      </w:pPr>
      <w:r w:rsidRPr="00A01FD7">
        <w:rPr>
          <w:rFonts w:asciiTheme="minorHAnsi" w:hAnsiTheme="minorHAnsi" w:cs="Arial"/>
          <w:color w:val="222222"/>
          <w:sz w:val="24"/>
          <w:szCs w:val="24"/>
          <w:shd w:val="clear" w:color="auto" w:fill="FFFFFF"/>
        </w:rPr>
        <w:t>Schilt, K., &amp; Westbrook, L. (2009). Doing Gender, Doing Heteronormativity: “Gender Normals,” Transgender People, and the Social Maintenance of Heterosexuality.</w:t>
      </w:r>
      <w:r w:rsidRPr="00A01FD7">
        <w:rPr>
          <w:rStyle w:val="apple-converted-space"/>
          <w:rFonts w:asciiTheme="minorHAnsi" w:hAnsiTheme="minorHAnsi" w:cs="Arial"/>
          <w:color w:val="222222"/>
          <w:sz w:val="24"/>
          <w:szCs w:val="24"/>
          <w:shd w:val="clear" w:color="auto" w:fill="FFFFFF"/>
        </w:rPr>
        <w:t> </w:t>
      </w:r>
      <w:r w:rsidRPr="00A01FD7">
        <w:rPr>
          <w:rFonts w:asciiTheme="minorHAnsi" w:hAnsiTheme="minorHAnsi" w:cs="Arial"/>
          <w:i/>
          <w:iCs/>
          <w:color w:val="222222"/>
          <w:sz w:val="24"/>
          <w:szCs w:val="24"/>
          <w:shd w:val="clear" w:color="auto" w:fill="FFFFFF"/>
        </w:rPr>
        <w:t>Gender &amp; Society</w:t>
      </w:r>
      <w:r w:rsidRPr="00A01FD7">
        <w:rPr>
          <w:rFonts w:asciiTheme="minorHAnsi" w:hAnsiTheme="minorHAnsi" w:cs="Arial"/>
          <w:color w:val="222222"/>
          <w:sz w:val="24"/>
          <w:szCs w:val="24"/>
          <w:shd w:val="clear" w:color="auto" w:fill="FFFFFF"/>
        </w:rPr>
        <w:t>,</w:t>
      </w:r>
      <w:r w:rsidRPr="00A01FD7">
        <w:rPr>
          <w:rStyle w:val="apple-converted-space"/>
          <w:rFonts w:asciiTheme="minorHAnsi" w:hAnsiTheme="minorHAnsi" w:cs="Arial"/>
          <w:color w:val="222222"/>
          <w:sz w:val="24"/>
          <w:szCs w:val="24"/>
          <w:shd w:val="clear" w:color="auto" w:fill="FFFFFF"/>
        </w:rPr>
        <w:t> </w:t>
      </w:r>
      <w:r w:rsidRPr="00A01FD7">
        <w:rPr>
          <w:rFonts w:asciiTheme="minorHAnsi" w:hAnsiTheme="minorHAnsi" w:cs="Arial"/>
          <w:i/>
          <w:iCs/>
          <w:color w:val="222222"/>
          <w:sz w:val="24"/>
          <w:szCs w:val="24"/>
          <w:shd w:val="clear" w:color="auto" w:fill="FFFFFF"/>
        </w:rPr>
        <w:t>23</w:t>
      </w:r>
      <w:r w:rsidRPr="00A01FD7">
        <w:rPr>
          <w:rFonts w:asciiTheme="minorHAnsi" w:hAnsiTheme="minorHAnsi" w:cs="Arial"/>
          <w:color w:val="222222"/>
          <w:sz w:val="24"/>
          <w:szCs w:val="24"/>
          <w:shd w:val="clear" w:color="auto" w:fill="FFFFFF"/>
        </w:rPr>
        <w:t>(4), 440-464.</w:t>
      </w:r>
      <w:r w:rsidR="00C811BC">
        <w:rPr>
          <w:rFonts w:asciiTheme="minorHAnsi" w:hAnsiTheme="minorHAnsi" w:cs="Arial"/>
          <w:color w:val="222222"/>
          <w:sz w:val="24"/>
          <w:szCs w:val="24"/>
          <w:shd w:val="clear" w:color="auto" w:fill="FFFFFF"/>
        </w:rPr>
        <w:t xml:space="preserve"> DOI: </w:t>
      </w:r>
      <w:r w:rsidR="00C811BC" w:rsidRPr="00C811BC">
        <w:rPr>
          <w:rFonts w:asciiTheme="minorHAnsi" w:hAnsiTheme="minorHAnsi" w:cs="Arial"/>
          <w:color w:val="222222"/>
          <w:sz w:val="24"/>
          <w:szCs w:val="24"/>
          <w:shd w:val="clear" w:color="auto" w:fill="FFFFFF"/>
        </w:rPr>
        <w:t>10.1177/0891243209340034</w:t>
      </w:r>
    </w:p>
    <w:p w14:paraId="7152F442" w14:textId="3E6EFD66" w:rsidR="00877BAB" w:rsidRPr="00A01FD7" w:rsidRDefault="00877BAB" w:rsidP="00877BAB">
      <w:pPr>
        <w:spacing w:line="360" w:lineRule="auto"/>
        <w:ind w:left="720" w:hanging="720"/>
        <w:rPr>
          <w:rFonts w:asciiTheme="minorHAnsi" w:hAnsiTheme="minorHAnsi" w:cs="Arial"/>
          <w:color w:val="222222"/>
          <w:sz w:val="24"/>
          <w:szCs w:val="24"/>
          <w:shd w:val="clear" w:color="auto" w:fill="FFFFFF"/>
        </w:rPr>
      </w:pPr>
      <w:r w:rsidRPr="00220D3E">
        <w:rPr>
          <w:rFonts w:asciiTheme="minorHAnsi" w:hAnsiTheme="minorHAnsi" w:cs="Arial"/>
          <w:color w:val="222222"/>
          <w:sz w:val="24"/>
          <w:szCs w:val="24"/>
          <w:shd w:val="clear" w:color="auto" w:fill="FFFFFF"/>
        </w:rPr>
        <w:t>Schnabel, L. (2016). Gender and homosexuality attitudes across religious groups from the 1970s to 2014: Similarity, distinction, and adaptation. </w:t>
      </w:r>
      <w:r w:rsidRPr="00220D3E">
        <w:rPr>
          <w:rFonts w:asciiTheme="minorHAnsi" w:hAnsiTheme="minorHAnsi" w:cs="Arial"/>
          <w:i/>
          <w:iCs/>
          <w:color w:val="222222"/>
          <w:sz w:val="24"/>
          <w:szCs w:val="24"/>
          <w:shd w:val="clear" w:color="auto" w:fill="FFFFFF"/>
        </w:rPr>
        <w:t>Social Science Research</w:t>
      </w:r>
      <w:r w:rsidRPr="00220D3E">
        <w:rPr>
          <w:rFonts w:asciiTheme="minorHAnsi" w:hAnsiTheme="minorHAnsi" w:cs="Arial"/>
          <w:color w:val="222222"/>
          <w:sz w:val="24"/>
          <w:szCs w:val="24"/>
          <w:shd w:val="clear" w:color="auto" w:fill="FFFFFF"/>
        </w:rPr>
        <w:t>, </w:t>
      </w:r>
      <w:r w:rsidRPr="00220D3E">
        <w:rPr>
          <w:rFonts w:asciiTheme="minorHAnsi" w:hAnsiTheme="minorHAnsi" w:cs="Arial"/>
          <w:i/>
          <w:iCs/>
          <w:color w:val="222222"/>
          <w:sz w:val="24"/>
          <w:szCs w:val="24"/>
          <w:shd w:val="clear" w:color="auto" w:fill="FFFFFF"/>
        </w:rPr>
        <w:t>55</w:t>
      </w:r>
      <w:r w:rsidRPr="00220D3E">
        <w:rPr>
          <w:rFonts w:asciiTheme="minorHAnsi" w:hAnsiTheme="minorHAnsi" w:cs="Arial"/>
          <w:color w:val="222222"/>
          <w:sz w:val="24"/>
          <w:szCs w:val="24"/>
          <w:shd w:val="clear" w:color="auto" w:fill="FFFFFF"/>
        </w:rPr>
        <w:t>, 31-47.</w:t>
      </w:r>
      <w:r w:rsidR="00C811BC">
        <w:rPr>
          <w:rFonts w:asciiTheme="minorHAnsi" w:hAnsiTheme="minorHAnsi" w:cs="Arial"/>
          <w:color w:val="222222"/>
          <w:sz w:val="24"/>
          <w:szCs w:val="24"/>
          <w:shd w:val="clear" w:color="auto" w:fill="FFFFFF"/>
        </w:rPr>
        <w:t xml:space="preserve"> DOI: </w:t>
      </w:r>
      <w:r w:rsidR="00C811BC" w:rsidRPr="00C811BC">
        <w:rPr>
          <w:rFonts w:asciiTheme="minorHAnsi" w:hAnsiTheme="minorHAnsi" w:cs="Arial"/>
          <w:color w:val="222222"/>
          <w:sz w:val="24"/>
          <w:szCs w:val="24"/>
          <w:shd w:val="clear" w:color="auto" w:fill="FFFFFF"/>
        </w:rPr>
        <w:t>10.1016/j.ssresearch.2015.09.012</w:t>
      </w:r>
    </w:p>
    <w:p w14:paraId="16716B7A" w14:textId="77777777" w:rsidR="00877BAB" w:rsidRDefault="00877BAB" w:rsidP="00877BAB">
      <w:pPr>
        <w:spacing w:line="360" w:lineRule="auto"/>
        <w:ind w:left="720" w:hanging="720"/>
        <w:rPr>
          <w:rFonts w:asciiTheme="minorHAnsi" w:hAnsiTheme="minorHAnsi" w:cs="Arial"/>
          <w:color w:val="222222"/>
          <w:sz w:val="24"/>
          <w:szCs w:val="24"/>
          <w:shd w:val="clear" w:color="auto" w:fill="FFFFFF"/>
        </w:rPr>
      </w:pPr>
      <w:r w:rsidRPr="00A01FD7">
        <w:rPr>
          <w:rFonts w:asciiTheme="minorHAnsi" w:hAnsiTheme="minorHAnsi" w:cs="Arial"/>
          <w:color w:val="222222"/>
          <w:sz w:val="24"/>
          <w:szCs w:val="24"/>
          <w:shd w:val="clear" w:color="auto" w:fill="FFFFFF"/>
        </w:rPr>
        <w:t xml:space="preserve">Serano, J. (2007). </w:t>
      </w:r>
      <w:r w:rsidRPr="00A01FD7">
        <w:rPr>
          <w:rFonts w:asciiTheme="minorHAnsi" w:hAnsiTheme="minorHAnsi" w:cs="Arial"/>
          <w:i/>
          <w:color w:val="222222"/>
          <w:sz w:val="24"/>
          <w:szCs w:val="24"/>
          <w:shd w:val="clear" w:color="auto" w:fill="FFFFFF"/>
        </w:rPr>
        <w:t xml:space="preserve">Whipping girl: A transsexual woman on sexism and the scapegoating of femininity. </w:t>
      </w:r>
      <w:r w:rsidRPr="00A01FD7">
        <w:rPr>
          <w:rFonts w:asciiTheme="minorHAnsi" w:hAnsiTheme="minorHAnsi" w:cs="Arial"/>
          <w:color w:val="222222"/>
          <w:sz w:val="24"/>
          <w:szCs w:val="24"/>
          <w:shd w:val="clear" w:color="auto" w:fill="FFFFFF"/>
        </w:rPr>
        <w:t xml:space="preserve">Emeryville: Seal Press. </w:t>
      </w:r>
    </w:p>
    <w:p w14:paraId="1834D40E" w14:textId="7DFEE132" w:rsidR="00877BAB" w:rsidRPr="00A01FD7" w:rsidRDefault="00877BAB" w:rsidP="00877BAB">
      <w:pPr>
        <w:spacing w:line="360" w:lineRule="auto"/>
        <w:ind w:left="720" w:hanging="720"/>
        <w:rPr>
          <w:rFonts w:asciiTheme="minorHAnsi" w:hAnsiTheme="minorHAnsi" w:cs="Arial"/>
          <w:color w:val="222222"/>
          <w:sz w:val="24"/>
          <w:szCs w:val="24"/>
          <w:shd w:val="clear" w:color="auto" w:fill="FFFFFF"/>
        </w:rPr>
      </w:pPr>
      <w:r w:rsidRPr="00F66096">
        <w:rPr>
          <w:rFonts w:asciiTheme="minorHAnsi" w:hAnsiTheme="minorHAnsi" w:cs="Arial"/>
          <w:color w:val="222222"/>
          <w:sz w:val="24"/>
          <w:szCs w:val="24"/>
          <w:shd w:val="clear" w:color="auto" w:fill="FFFFFF"/>
        </w:rPr>
        <w:t>Steffens, M. C., &amp; Jonas, K. J. (</w:t>
      </w:r>
      <w:r>
        <w:rPr>
          <w:rFonts w:asciiTheme="minorHAnsi" w:hAnsiTheme="minorHAnsi" w:cs="Arial"/>
          <w:color w:val="222222"/>
          <w:sz w:val="24"/>
          <w:szCs w:val="24"/>
          <w:shd w:val="clear" w:color="auto" w:fill="FFFFFF"/>
        </w:rPr>
        <w:t>2011</w:t>
      </w:r>
      <w:r w:rsidRPr="00F66096">
        <w:rPr>
          <w:rFonts w:asciiTheme="minorHAnsi" w:hAnsiTheme="minorHAnsi" w:cs="Arial"/>
          <w:color w:val="222222"/>
          <w:sz w:val="24"/>
          <w:szCs w:val="24"/>
          <w:shd w:val="clear" w:color="auto" w:fill="FFFFFF"/>
        </w:rPr>
        <w:t xml:space="preserve">). </w:t>
      </w:r>
      <w:r w:rsidRPr="006011AB">
        <w:rPr>
          <w:rFonts w:asciiTheme="minorHAnsi" w:hAnsiTheme="minorHAnsi" w:cs="Arial"/>
          <w:i/>
          <w:color w:val="222222"/>
          <w:sz w:val="24"/>
          <w:szCs w:val="24"/>
          <w:shd w:val="clear" w:color="auto" w:fill="FFFFFF"/>
        </w:rPr>
        <w:t>Editorial: Implicit attitude measures. Zeitschrift für Psychologie/Journal of Psychology</w:t>
      </w:r>
      <w:r>
        <w:rPr>
          <w:rFonts w:asciiTheme="minorHAnsi" w:hAnsiTheme="minorHAnsi" w:cs="Arial"/>
          <w:color w:val="222222"/>
          <w:sz w:val="24"/>
          <w:szCs w:val="24"/>
          <w:shd w:val="clear" w:color="auto" w:fill="FFFFFF"/>
        </w:rPr>
        <w:t xml:space="preserve">, </w:t>
      </w:r>
      <w:r w:rsidRPr="006011AB">
        <w:rPr>
          <w:rFonts w:asciiTheme="minorHAnsi" w:hAnsiTheme="minorHAnsi" w:cs="Arial"/>
          <w:i/>
          <w:color w:val="222222"/>
          <w:sz w:val="24"/>
          <w:szCs w:val="24"/>
          <w:shd w:val="clear" w:color="auto" w:fill="FFFFFF"/>
        </w:rPr>
        <w:t>218</w:t>
      </w:r>
      <w:r>
        <w:rPr>
          <w:rFonts w:asciiTheme="minorHAnsi" w:hAnsiTheme="minorHAnsi" w:cs="Arial"/>
          <w:color w:val="222222"/>
          <w:sz w:val="24"/>
          <w:szCs w:val="24"/>
          <w:shd w:val="clear" w:color="auto" w:fill="FFFFFF"/>
        </w:rPr>
        <w:t>, 1 - 4</w:t>
      </w:r>
      <w:r w:rsidRPr="00F66096">
        <w:rPr>
          <w:rFonts w:asciiTheme="minorHAnsi" w:hAnsiTheme="minorHAnsi" w:cs="Arial"/>
          <w:color w:val="222222"/>
          <w:sz w:val="24"/>
          <w:szCs w:val="24"/>
          <w:shd w:val="clear" w:color="auto" w:fill="FFFFFF"/>
        </w:rPr>
        <w:t>.</w:t>
      </w:r>
      <w:r w:rsidR="00C811BC">
        <w:rPr>
          <w:rFonts w:asciiTheme="minorHAnsi" w:hAnsiTheme="minorHAnsi" w:cs="Arial"/>
          <w:color w:val="222222"/>
          <w:sz w:val="24"/>
          <w:szCs w:val="24"/>
          <w:shd w:val="clear" w:color="auto" w:fill="FFFFFF"/>
        </w:rPr>
        <w:t xml:space="preserve"> DOI: </w:t>
      </w:r>
      <w:r w:rsidR="00C811BC" w:rsidRPr="00C811BC">
        <w:rPr>
          <w:rFonts w:asciiTheme="minorHAnsi" w:hAnsiTheme="minorHAnsi" w:cs="Arial"/>
          <w:color w:val="222222"/>
          <w:sz w:val="24"/>
          <w:szCs w:val="24"/>
          <w:shd w:val="clear" w:color="auto" w:fill="FFFFFF"/>
        </w:rPr>
        <w:t>10.1027/0044-3409/a000001</w:t>
      </w:r>
    </w:p>
    <w:p w14:paraId="3DB7E16C" w14:textId="228F57C0" w:rsidR="00877BAB" w:rsidRPr="00A01FD7" w:rsidRDefault="00877BAB" w:rsidP="00877BAB">
      <w:pPr>
        <w:spacing w:line="360" w:lineRule="auto"/>
        <w:ind w:left="720" w:hanging="720"/>
        <w:rPr>
          <w:rFonts w:asciiTheme="minorHAnsi" w:hAnsiTheme="minorHAnsi" w:cs="Arial"/>
          <w:color w:val="222222"/>
          <w:sz w:val="24"/>
          <w:szCs w:val="24"/>
          <w:shd w:val="clear" w:color="auto" w:fill="FFFFFF"/>
        </w:rPr>
      </w:pPr>
      <w:r w:rsidRPr="00A01FD7">
        <w:rPr>
          <w:rFonts w:asciiTheme="minorHAnsi" w:hAnsiTheme="minorHAnsi" w:cs="Arial"/>
          <w:color w:val="222222"/>
          <w:sz w:val="24"/>
          <w:szCs w:val="24"/>
          <w:shd w:val="clear" w:color="auto" w:fill="FFFFFF"/>
        </w:rPr>
        <w:t>Stones, C. R. (2006). Antigay prejudice among heterosexual males: Right-wing authoritarianism as a stronger predictor than social-dominance orientation and heterosexual identity.</w:t>
      </w:r>
      <w:r w:rsidRPr="00A01FD7">
        <w:rPr>
          <w:rStyle w:val="apple-converted-space"/>
          <w:rFonts w:asciiTheme="minorHAnsi" w:hAnsiTheme="minorHAnsi" w:cs="Arial"/>
          <w:color w:val="222222"/>
          <w:sz w:val="24"/>
          <w:szCs w:val="24"/>
          <w:shd w:val="clear" w:color="auto" w:fill="FFFFFF"/>
        </w:rPr>
        <w:t> </w:t>
      </w:r>
      <w:r w:rsidRPr="00A01FD7">
        <w:rPr>
          <w:rFonts w:asciiTheme="minorHAnsi" w:hAnsiTheme="minorHAnsi" w:cs="Arial"/>
          <w:i/>
          <w:iCs/>
          <w:color w:val="222222"/>
          <w:sz w:val="24"/>
          <w:szCs w:val="24"/>
          <w:shd w:val="clear" w:color="auto" w:fill="FFFFFF"/>
        </w:rPr>
        <w:t>Social Behavior and Personality: an International Journal</w:t>
      </w:r>
      <w:r w:rsidRPr="00A01FD7">
        <w:rPr>
          <w:rFonts w:asciiTheme="minorHAnsi" w:hAnsiTheme="minorHAnsi" w:cs="Arial"/>
          <w:color w:val="222222"/>
          <w:sz w:val="24"/>
          <w:szCs w:val="24"/>
          <w:shd w:val="clear" w:color="auto" w:fill="FFFFFF"/>
        </w:rPr>
        <w:t>,</w:t>
      </w:r>
      <w:r w:rsidRPr="00A01FD7">
        <w:rPr>
          <w:rStyle w:val="apple-converted-space"/>
          <w:rFonts w:asciiTheme="minorHAnsi" w:hAnsiTheme="minorHAnsi" w:cs="Arial"/>
          <w:color w:val="222222"/>
          <w:sz w:val="24"/>
          <w:szCs w:val="24"/>
          <w:shd w:val="clear" w:color="auto" w:fill="FFFFFF"/>
        </w:rPr>
        <w:t> </w:t>
      </w:r>
      <w:r w:rsidRPr="00A01FD7">
        <w:rPr>
          <w:rFonts w:asciiTheme="minorHAnsi" w:hAnsiTheme="minorHAnsi" w:cs="Arial"/>
          <w:i/>
          <w:iCs/>
          <w:color w:val="222222"/>
          <w:sz w:val="24"/>
          <w:szCs w:val="24"/>
          <w:shd w:val="clear" w:color="auto" w:fill="FFFFFF"/>
        </w:rPr>
        <w:t>34</w:t>
      </w:r>
      <w:r w:rsidRPr="00A01FD7">
        <w:rPr>
          <w:rFonts w:asciiTheme="minorHAnsi" w:hAnsiTheme="minorHAnsi" w:cs="Arial"/>
          <w:color w:val="222222"/>
          <w:sz w:val="24"/>
          <w:szCs w:val="24"/>
          <w:shd w:val="clear" w:color="auto" w:fill="FFFFFF"/>
        </w:rPr>
        <w:t>(9), 1137-1150.</w:t>
      </w:r>
      <w:r w:rsidR="00C811BC">
        <w:rPr>
          <w:rFonts w:asciiTheme="minorHAnsi" w:hAnsiTheme="minorHAnsi" w:cs="Arial"/>
          <w:color w:val="222222"/>
          <w:sz w:val="24"/>
          <w:szCs w:val="24"/>
          <w:shd w:val="clear" w:color="auto" w:fill="FFFFFF"/>
        </w:rPr>
        <w:t xml:space="preserve"> DOI: </w:t>
      </w:r>
      <w:r w:rsidR="00C811BC" w:rsidRPr="00C811BC">
        <w:rPr>
          <w:rFonts w:asciiTheme="minorHAnsi" w:hAnsiTheme="minorHAnsi" w:cs="Arial"/>
          <w:color w:val="222222"/>
          <w:sz w:val="24"/>
          <w:szCs w:val="24"/>
          <w:shd w:val="clear" w:color="auto" w:fill="FFFFFF"/>
        </w:rPr>
        <w:t>10.2224/sbp.2006.34.9.1137</w:t>
      </w:r>
    </w:p>
    <w:p w14:paraId="524FB8E3" w14:textId="381C022C" w:rsidR="00877BAB" w:rsidRPr="00A01FD7" w:rsidRDefault="00877BAB" w:rsidP="00877BAB">
      <w:pPr>
        <w:spacing w:line="360" w:lineRule="auto"/>
        <w:ind w:left="720" w:hanging="720"/>
        <w:rPr>
          <w:rFonts w:asciiTheme="minorHAnsi" w:hAnsiTheme="minorHAnsi"/>
          <w:sz w:val="24"/>
          <w:szCs w:val="24"/>
        </w:rPr>
      </w:pPr>
      <w:r w:rsidRPr="00A01FD7">
        <w:rPr>
          <w:rFonts w:asciiTheme="minorHAnsi" w:hAnsiTheme="minorHAnsi"/>
          <w:sz w:val="24"/>
          <w:szCs w:val="24"/>
        </w:rPr>
        <w:t xml:space="preserve">Tebbe, E. A., Moradi, B., &amp; Ege, E. (2014). Revised and abbreviated forms of the genderism and transphobia scale: Tools for assessing anti-trans* prejudice. </w:t>
      </w:r>
      <w:r w:rsidRPr="00A01FD7">
        <w:rPr>
          <w:rFonts w:asciiTheme="minorHAnsi" w:hAnsiTheme="minorHAnsi"/>
          <w:i/>
          <w:sz w:val="24"/>
          <w:szCs w:val="24"/>
        </w:rPr>
        <w:t>Journal of Counselling Psychology, 61</w:t>
      </w:r>
      <w:r w:rsidRPr="00A01FD7">
        <w:rPr>
          <w:rFonts w:asciiTheme="minorHAnsi" w:hAnsiTheme="minorHAnsi"/>
          <w:sz w:val="24"/>
          <w:szCs w:val="24"/>
        </w:rPr>
        <w:t>(4), 581-592.</w:t>
      </w:r>
      <w:r w:rsidR="00C811BC">
        <w:rPr>
          <w:rFonts w:asciiTheme="minorHAnsi" w:hAnsiTheme="minorHAnsi"/>
          <w:sz w:val="24"/>
          <w:szCs w:val="24"/>
        </w:rPr>
        <w:t xml:space="preserve"> DOI: </w:t>
      </w:r>
      <w:r w:rsidR="00C811BC" w:rsidRPr="00C811BC">
        <w:rPr>
          <w:rFonts w:asciiTheme="minorHAnsi" w:hAnsiTheme="minorHAnsi"/>
          <w:sz w:val="24"/>
          <w:szCs w:val="24"/>
        </w:rPr>
        <w:t>10.1037</w:t>
      </w:r>
      <w:r w:rsidR="00C811BC">
        <w:rPr>
          <w:rFonts w:asciiTheme="minorHAnsi" w:hAnsiTheme="minorHAnsi"/>
          <w:sz w:val="24"/>
          <w:szCs w:val="24"/>
        </w:rPr>
        <w:t>/</w:t>
      </w:r>
      <w:r w:rsidR="00C811BC" w:rsidRPr="00C811BC">
        <w:rPr>
          <w:rFonts w:asciiTheme="minorHAnsi" w:hAnsiTheme="minorHAnsi"/>
          <w:sz w:val="24"/>
          <w:szCs w:val="24"/>
        </w:rPr>
        <w:t>cou0000043</w:t>
      </w:r>
    </w:p>
    <w:p w14:paraId="5774AF56" w14:textId="54389FDA" w:rsidR="00877BAB" w:rsidRPr="00A01FD7" w:rsidRDefault="00877BAB" w:rsidP="00877BAB">
      <w:pPr>
        <w:spacing w:line="360" w:lineRule="auto"/>
        <w:ind w:left="720" w:hanging="720"/>
        <w:rPr>
          <w:rFonts w:asciiTheme="minorHAnsi" w:hAnsiTheme="minorHAnsi" w:cs="Arial"/>
          <w:color w:val="222222"/>
          <w:sz w:val="24"/>
          <w:szCs w:val="24"/>
          <w:shd w:val="clear" w:color="auto" w:fill="FFFFFF"/>
        </w:rPr>
      </w:pPr>
      <w:r w:rsidRPr="00A01FD7">
        <w:rPr>
          <w:rFonts w:asciiTheme="minorHAnsi" w:hAnsiTheme="minorHAnsi" w:cs="Arial"/>
          <w:color w:val="222222"/>
          <w:sz w:val="24"/>
          <w:szCs w:val="24"/>
          <w:shd w:val="clear" w:color="auto" w:fill="FFFFFF"/>
        </w:rPr>
        <w:t>Trafimow, D., &amp; Sheeran, P. (1998). Some tests of the distinction between cognitive and affective beliefs.</w:t>
      </w:r>
      <w:r w:rsidRPr="00A01FD7">
        <w:rPr>
          <w:rStyle w:val="apple-converted-space"/>
          <w:rFonts w:asciiTheme="minorHAnsi" w:hAnsiTheme="minorHAnsi" w:cs="Arial"/>
          <w:color w:val="222222"/>
          <w:sz w:val="24"/>
          <w:szCs w:val="24"/>
          <w:shd w:val="clear" w:color="auto" w:fill="FFFFFF"/>
        </w:rPr>
        <w:t> </w:t>
      </w:r>
      <w:r w:rsidRPr="00A01FD7">
        <w:rPr>
          <w:rFonts w:asciiTheme="minorHAnsi" w:hAnsiTheme="minorHAnsi" w:cs="Arial"/>
          <w:i/>
          <w:iCs/>
          <w:color w:val="222222"/>
          <w:sz w:val="24"/>
          <w:szCs w:val="24"/>
          <w:shd w:val="clear" w:color="auto" w:fill="FFFFFF"/>
        </w:rPr>
        <w:t>Journal of Experimental Social Psychology</w:t>
      </w:r>
      <w:r w:rsidRPr="00A01FD7">
        <w:rPr>
          <w:rFonts w:asciiTheme="minorHAnsi" w:hAnsiTheme="minorHAnsi" w:cs="Arial"/>
          <w:color w:val="222222"/>
          <w:sz w:val="24"/>
          <w:szCs w:val="24"/>
          <w:shd w:val="clear" w:color="auto" w:fill="FFFFFF"/>
        </w:rPr>
        <w:t>,</w:t>
      </w:r>
      <w:r w:rsidRPr="00A01FD7">
        <w:rPr>
          <w:rStyle w:val="apple-converted-space"/>
          <w:rFonts w:asciiTheme="minorHAnsi" w:hAnsiTheme="minorHAnsi" w:cs="Arial"/>
          <w:color w:val="222222"/>
          <w:sz w:val="24"/>
          <w:szCs w:val="24"/>
          <w:shd w:val="clear" w:color="auto" w:fill="FFFFFF"/>
        </w:rPr>
        <w:t> </w:t>
      </w:r>
      <w:r w:rsidRPr="00A01FD7">
        <w:rPr>
          <w:rFonts w:asciiTheme="minorHAnsi" w:hAnsiTheme="minorHAnsi" w:cs="Arial"/>
          <w:i/>
          <w:iCs/>
          <w:color w:val="222222"/>
          <w:sz w:val="24"/>
          <w:szCs w:val="24"/>
          <w:shd w:val="clear" w:color="auto" w:fill="FFFFFF"/>
        </w:rPr>
        <w:t>34</w:t>
      </w:r>
      <w:r w:rsidRPr="00A01FD7">
        <w:rPr>
          <w:rFonts w:asciiTheme="minorHAnsi" w:hAnsiTheme="minorHAnsi" w:cs="Arial"/>
          <w:color w:val="222222"/>
          <w:sz w:val="24"/>
          <w:szCs w:val="24"/>
          <w:shd w:val="clear" w:color="auto" w:fill="FFFFFF"/>
        </w:rPr>
        <w:t>(4), 378-397.</w:t>
      </w:r>
      <w:r w:rsidR="00C811BC">
        <w:rPr>
          <w:rFonts w:asciiTheme="minorHAnsi" w:hAnsiTheme="minorHAnsi" w:cs="Arial"/>
          <w:color w:val="222222"/>
          <w:sz w:val="24"/>
          <w:szCs w:val="24"/>
          <w:shd w:val="clear" w:color="auto" w:fill="FFFFFF"/>
        </w:rPr>
        <w:t xml:space="preserve"> DOI: </w:t>
      </w:r>
      <w:r w:rsidR="00C811BC" w:rsidRPr="00C811BC">
        <w:rPr>
          <w:rFonts w:asciiTheme="minorHAnsi" w:hAnsiTheme="minorHAnsi" w:cs="Arial"/>
          <w:color w:val="222222"/>
          <w:sz w:val="24"/>
          <w:szCs w:val="24"/>
          <w:shd w:val="clear" w:color="auto" w:fill="FFFFFF"/>
        </w:rPr>
        <w:t>10.1006/jesp.1998.1356</w:t>
      </w:r>
    </w:p>
    <w:p w14:paraId="32774C09" w14:textId="3CB37CE2" w:rsidR="00877BAB" w:rsidRPr="00A01FD7" w:rsidRDefault="00877BAB" w:rsidP="00877BAB">
      <w:pPr>
        <w:spacing w:line="360" w:lineRule="auto"/>
        <w:ind w:left="720" w:hanging="720"/>
        <w:rPr>
          <w:rFonts w:asciiTheme="minorHAnsi" w:hAnsiTheme="minorHAnsi" w:cs="Arial"/>
          <w:color w:val="222222"/>
          <w:sz w:val="24"/>
          <w:szCs w:val="24"/>
          <w:shd w:val="clear" w:color="auto" w:fill="FFFFFF"/>
        </w:rPr>
      </w:pPr>
      <w:r w:rsidRPr="00A01FD7">
        <w:rPr>
          <w:rFonts w:asciiTheme="minorHAnsi" w:hAnsiTheme="minorHAnsi" w:cs="Arial"/>
          <w:color w:val="222222"/>
          <w:sz w:val="24"/>
          <w:szCs w:val="24"/>
          <w:shd w:val="clear" w:color="auto" w:fill="FFFFFF"/>
        </w:rPr>
        <w:t>Turner, R. N., &amp; Crisp, R. J. (2010). Imagining intergroup contact reduces implicit prejudice.</w:t>
      </w:r>
      <w:r w:rsidRPr="00A01FD7">
        <w:rPr>
          <w:rStyle w:val="apple-converted-space"/>
          <w:rFonts w:asciiTheme="minorHAnsi" w:hAnsiTheme="minorHAnsi" w:cs="Arial"/>
          <w:color w:val="222222"/>
          <w:sz w:val="24"/>
          <w:szCs w:val="24"/>
          <w:shd w:val="clear" w:color="auto" w:fill="FFFFFF"/>
        </w:rPr>
        <w:t> </w:t>
      </w:r>
      <w:r w:rsidRPr="00A01FD7">
        <w:rPr>
          <w:rFonts w:asciiTheme="minorHAnsi" w:hAnsiTheme="minorHAnsi" w:cs="Arial"/>
          <w:i/>
          <w:iCs/>
          <w:color w:val="222222"/>
          <w:sz w:val="24"/>
          <w:szCs w:val="24"/>
          <w:shd w:val="clear" w:color="auto" w:fill="FFFFFF"/>
        </w:rPr>
        <w:t>British Journal of Social Psychology</w:t>
      </w:r>
      <w:r w:rsidRPr="00A01FD7">
        <w:rPr>
          <w:rFonts w:asciiTheme="minorHAnsi" w:hAnsiTheme="minorHAnsi" w:cs="Arial"/>
          <w:color w:val="222222"/>
          <w:sz w:val="24"/>
          <w:szCs w:val="24"/>
          <w:shd w:val="clear" w:color="auto" w:fill="FFFFFF"/>
        </w:rPr>
        <w:t>,</w:t>
      </w:r>
      <w:r w:rsidRPr="00A01FD7">
        <w:rPr>
          <w:rStyle w:val="apple-converted-space"/>
          <w:rFonts w:asciiTheme="minorHAnsi" w:hAnsiTheme="minorHAnsi" w:cs="Arial"/>
          <w:color w:val="222222"/>
          <w:sz w:val="24"/>
          <w:szCs w:val="24"/>
          <w:shd w:val="clear" w:color="auto" w:fill="FFFFFF"/>
        </w:rPr>
        <w:t> </w:t>
      </w:r>
      <w:r w:rsidRPr="00A01FD7">
        <w:rPr>
          <w:rFonts w:asciiTheme="minorHAnsi" w:hAnsiTheme="minorHAnsi" w:cs="Arial"/>
          <w:i/>
          <w:iCs/>
          <w:color w:val="222222"/>
          <w:sz w:val="24"/>
          <w:szCs w:val="24"/>
          <w:shd w:val="clear" w:color="auto" w:fill="FFFFFF"/>
        </w:rPr>
        <w:t>49</w:t>
      </w:r>
      <w:r w:rsidRPr="00A01FD7">
        <w:rPr>
          <w:rFonts w:asciiTheme="minorHAnsi" w:hAnsiTheme="minorHAnsi" w:cs="Arial"/>
          <w:color w:val="222222"/>
          <w:sz w:val="24"/>
          <w:szCs w:val="24"/>
          <w:shd w:val="clear" w:color="auto" w:fill="FFFFFF"/>
        </w:rPr>
        <w:t>(1), 129-142.</w:t>
      </w:r>
      <w:r w:rsidR="00C811BC">
        <w:rPr>
          <w:rFonts w:asciiTheme="minorHAnsi" w:hAnsiTheme="minorHAnsi" w:cs="Arial"/>
          <w:color w:val="222222"/>
          <w:sz w:val="24"/>
          <w:szCs w:val="24"/>
          <w:shd w:val="clear" w:color="auto" w:fill="FFFFFF"/>
        </w:rPr>
        <w:t xml:space="preserve"> DOI: </w:t>
      </w:r>
      <w:r w:rsidR="00C811BC" w:rsidRPr="00C811BC">
        <w:rPr>
          <w:rFonts w:asciiTheme="minorHAnsi" w:hAnsiTheme="minorHAnsi" w:cs="Arial"/>
          <w:color w:val="222222"/>
          <w:sz w:val="24"/>
          <w:szCs w:val="24"/>
          <w:shd w:val="clear" w:color="auto" w:fill="FFFFFF"/>
        </w:rPr>
        <w:t>10.1348/014466609X419901</w:t>
      </w:r>
    </w:p>
    <w:p w14:paraId="25ACCE49" w14:textId="0E5EDCE5" w:rsidR="00877BAB" w:rsidRDefault="00877BAB" w:rsidP="00877BAB">
      <w:pPr>
        <w:spacing w:line="360" w:lineRule="auto"/>
        <w:ind w:left="720" w:hanging="720"/>
        <w:rPr>
          <w:rFonts w:asciiTheme="minorHAnsi" w:hAnsiTheme="minorHAnsi" w:cs="Arial"/>
          <w:color w:val="222222"/>
          <w:sz w:val="24"/>
          <w:szCs w:val="24"/>
          <w:shd w:val="clear" w:color="auto" w:fill="FFFFFF"/>
        </w:rPr>
      </w:pPr>
      <w:r w:rsidRPr="00A01FD7">
        <w:rPr>
          <w:rFonts w:asciiTheme="minorHAnsi" w:hAnsiTheme="minorHAnsi" w:cs="Arial"/>
          <w:color w:val="222222"/>
          <w:sz w:val="24"/>
          <w:szCs w:val="24"/>
          <w:shd w:val="clear" w:color="auto" w:fill="FFFFFF"/>
        </w:rPr>
        <w:t>Turner, R. N., Crisp, R. J., &amp; Lambert, E. (2007). Imagining intergroup contact can improve intergroup attitudes.</w:t>
      </w:r>
      <w:r w:rsidRPr="00A01FD7">
        <w:rPr>
          <w:rStyle w:val="apple-converted-space"/>
          <w:rFonts w:asciiTheme="minorHAnsi" w:hAnsiTheme="minorHAnsi" w:cs="Arial"/>
          <w:color w:val="222222"/>
          <w:sz w:val="24"/>
          <w:szCs w:val="24"/>
          <w:shd w:val="clear" w:color="auto" w:fill="FFFFFF"/>
        </w:rPr>
        <w:t> </w:t>
      </w:r>
      <w:r w:rsidRPr="00A01FD7">
        <w:rPr>
          <w:rFonts w:asciiTheme="minorHAnsi" w:hAnsiTheme="minorHAnsi" w:cs="Arial"/>
          <w:i/>
          <w:iCs/>
          <w:color w:val="222222"/>
          <w:sz w:val="24"/>
          <w:szCs w:val="24"/>
          <w:shd w:val="clear" w:color="auto" w:fill="FFFFFF"/>
        </w:rPr>
        <w:t>Group Processes &amp; Intergroup Relations</w:t>
      </w:r>
      <w:r w:rsidRPr="00A01FD7">
        <w:rPr>
          <w:rFonts w:asciiTheme="minorHAnsi" w:hAnsiTheme="minorHAnsi" w:cs="Arial"/>
          <w:color w:val="222222"/>
          <w:sz w:val="24"/>
          <w:szCs w:val="24"/>
          <w:shd w:val="clear" w:color="auto" w:fill="FFFFFF"/>
        </w:rPr>
        <w:t>,</w:t>
      </w:r>
      <w:r w:rsidRPr="00A01FD7">
        <w:rPr>
          <w:rStyle w:val="apple-converted-space"/>
          <w:rFonts w:asciiTheme="minorHAnsi" w:hAnsiTheme="minorHAnsi" w:cs="Arial"/>
          <w:color w:val="222222"/>
          <w:sz w:val="24"/>
          <w:szCs w:val="24"/>
          <w:shd w:val="clear" w:color="auto" w:fill="FFFFFF"/>
        </w:rPr>
        <w:t> </w:t>
      </w:r>
      <w:r w:rsidRPr="00A01FD7">
        <w:rPr>
          <w:rFonts w:asciiTheme="minorHAnsi" w:hAnsiTheme="minorHAnsi" w:cs="Arial"/>
          <w:i/>
          <w:iCs/>
          <w:color w:val="222222"/>
          <w:sz w:val="24"/>
          <w:szCs w:val="24"/>
          <w:shd w:val="clear" w:color="auto" w:fill="FFFFFF"/>
        </w:rPr>
        <w:t>10</w:t>
      </w:r>
      <w:r w:rsidRPr="00A01FD7">
        <w:rPr>
          <w:rFonts w:asciiTheme="minorHAnsi" w:hAnsiTheme="minorHAnsi" w:cs="Arial"/>
          <w:color w:val="222222"/>
          <w:sz w:val="24"/>
          <w:szCs w:val="24"/>
          <w:shd w:val="clear" w:color="auto" w:fill="FFFFFF"/>
        </w:rPr>
        <w:t>(4), 427-441.</w:t>
      </w:r>
      <w:r w:rsidR="00C811BC">
        <w:rPr>
          <w:rFonts w:asciiTheme="minorHAnsi" w:hAnsiTheme="minorHAnsi" w:cs="Arial"/>
          <w:color w:val="222222"/>
          <w:sz w:val="24"/>
          <w:szCs w:val="24"/>
          <w:shd w:val="clear" w:color="auto" w:fill="FFFFFF"/>
        </w:rPr>
        <w:t xml:space="preserve"> DOI: </w:t>
      </w:r>
      <w:r w:rsidR="00C811BC" w:rsidRPr="00C811BC">
        <w:rPr>
          <w:rFonts w:asciiTheme="minorHAnsi" w:hAnsiTheme="minorHAnsi" w:cs="Arial"/>
          <w:color w:val="222222"/>
          <w:sz w:val="24"/>
          <w:szCs w:val="24"/>
          <w:shd w:val="clear" w:color="auto" w:fill="FFFFFF"/>
        </w:rPr>
        <w:t>10.1177/1368430207081533</w:t>
      </w:r>
    </w:p>
    <w:p w14:paraId="71729843" w14:textId="04E624D7" w:rsidR="00877BAB" w:rsidRPr="00A01FD7" w:rsidRDefault="00877BAB" w:rsidP="00877BAB">
      <w:pPr>
        <w:spacing w:line="360" w:lineRule="auto"/>
        <w:ind w:left="720" w:hanging="720"/>
        <w:rPr>
          <w:rFonts w:asciiTheme="minorHAnsi" w:hAnsiTheme="minorHAnsi" w:cs="Arial"/>
          <w:color w:val="222222"/>
          <w:sz w:val="24"/>
          <w:szCs w:val="24"/>
          <w:shd w:val="clear" w:color="auto" w:fill="FFFFFF"/>
        </w:rPr>
      </w:pPr>
      <w:r w:rsidRPr="00C17B4D">
        <w:rPr>
          <w:rFonts w:asciiTheme="minorHAnsi" w:hAnsiTheme="minorHAnsi" w:cs="Arial"/>
          <w:color w:val="222222"/>
          <w:sz w:val="24"/>
          <w:szCs w:val="24"/>
          <w:shd w:val="clear" w:color="auto" w:fill="FFFFFF"/>
        </w:rPr>
        <w:t>Turner, R. N., Hewstone, M., &amp; Voci, A. (2007). Reducing explicit and implicit outgroup prejudice via direct and extended contact: The mediating role of self-disclosure and intergroup anxiety. </w:t>
      </w:r>
      <w:r w:rsidRPr="00C17B4D">
        <w:rPr>
          <w:rFonts w:asciiTheme="minorHAnsi" w:hAnsiTheme="minorHAnsi" w:cs="Arial"/>
          <w:i/>
          <w:iCs/>
          <w:color w:val="222222"/>
          <w:sz w:val="24"/>
          <w:szCs w:val="24"/>
          <w:shd w:val="clear" w:color="auto" w:fill="FFFFFF"/>
        </w:rPr>
        <w:t>Jo</w:t>
      </w:r>
      <w:r>
        <w:rPr>
          <w:rFonts w:asciiTheme="minorHAnsi" w:hAnsiTheme="minorHAnsi" w:cs="Arial"/>
          <w:i/>
          <w:iCs/>
          <w:color w:val="222222"/>
          <w:sz w:val="24"/>
          <w:szCs w:val="24"/>
          <w:shd w:val="clear" w:color="auto" w:fill="FFFFFF"/>
        </w:rPr>
        <w:t>urnal of Personality and Social P</w:t>
      </w:r>
      <w:r w:rsidRPr="00C17B4D">
        <w:rPr>
          <w:rFonts w:asciiTheme="minorHAnsi" w:hAnsiTheme="minorHAnsi" w:cs="Arial"/>
          <w:i/>
          <w:iCs/>
          <w:color w:val="222222"/>
          <w:sz w:val="24"/>
          <w:szCs w:val="24"/>
          <w:shd w:val="clear" w:color="auto" w:fill="FFFFFF"/>
        </w:rPr>
        <w:t>sychology</w:t>
      </w:r>
      <w:r w:rsidRPr="00C17B4D">
        <w:rPr>
          <w:rFonts w:asciiTheme="minorHAnsi" w:hAnsiTheme="minorHAnsi" w:cs="Arial"/>
          <w:color w:val="222222"/>
          <w:sz w:val="24"/>
          <w:szCs w:val="24"/>
          <w:shd w:val="clear" w:color="auto" w:fill="FFFFFF"/>
        </w:rPr>
        <w:t>, </w:t>
      </w:r>
      <w:r w:rsidRPr="00C17B4D">
        <w:rPr>
          <w:rFonts w:asciiTheme="minorHAnsi" w:hAnsiTheme="minorHAnsi" w:cs="Arial"/>
          <w:i/>
          <w:iCs/>
          <w:color w:val="222222"/>
          <w:sz w:val="24"/>
          <w:szCs w:val="24"/>
          <w:shd w:val="clear" w:color="auto" w:fill="FFFFFF"/>
        </w:rPr>
        <w:t>93</w:t>
      </w:r>
      <w:r w:rsidRPr="00C17B4D">
        <w:rPr>
          <w:rFonts w:asciiTheme="minorHAnsi" w:hAnsiTheme="minorHAnsi" w:cs="Arial"/>
          <w:color w:val="222222"/>
          <w:sz w:val="24"/>
          <w:szCs w:val="24"/>
          <w:shd w:val="clear" w:color="auto" w:fill="FFFFFF"/>
        </w:rPr>
        <w:t>(3), 369.</w:t>
      </w:r>
      <w:r w:rsidR="00C811BC">
        <w:rPr>
          <w:rFonts w:asciiTheme="minorHAnsi" w:hAnsiTheme="minorHAnsi" w:cs="Arial"/>
          <w:color w:val="222222"/>
          <w:sz w:val="24"/>
          <w:szCs w:val="24"/>
          <w:shd w:val="clear" w:color="auto" w:fill="FFFFFF"/>
        </w:rPr>
        <w:t xml:space="preserve"> DOI: </w:t>
      </w:r>
      <w:r w:rsidR="00C811BC" w:rsidRPr="00C811BC">
        <w:rPr>
          <w:rFonts w:asciiTheme="minorHAnsi" w:hAnsiTheme="minorHAnsi" w:cs="Arial"/>
          <w:color w:val="222222"/>
          <w:sz w:val="24"/>
          <w:szCs w:val="24"/>
          <w:shd w:val="clear" w:color="auto" w:fill="FFFFFF"/>
        </w:rPr>
        <w:t>10.1037/0022-3514.93.3.369</w:t>
      </w:r>
    </w:p>
    <w:p w14:paraId="5448490F" w14:textId="5D2323F5" w:rsidR="00877BAB" w:rsidRPr="00C811BC" w:rsidRDefault="00877BAB" w:rsidP="00877BAB">
      <w:pPr>
        <w:spacing w:line="360" w:lineRule="auto"/>
        <w:ind w:left="720" w:hanging="720"/>
        <w:rPr>
          <w:rFonts w:asciiTheme="minorHAnsi" w:hAnsiTheme="minorHAnsi"/>
          <w:sz w:val="24"/>
          <w:szCs w:val="24"/>
        </w:rPr>
      </w:pPr>
      <w:r w:rsidRPr="00A01FD7">
        <w:rPr>
          <w:rFonts w:asciiTheme="minorHAnsi" w:hAnsiTheme="minorHAnsi" w:cs="Arial"/>
          <w:color w:val="222222"/>
          <w:sz w:val="24"/>
          <w:szCs w:val="24"/>
          <w:shd w:val="clear" w:color="auto" w:fill="FFFFFF"/>
        </w:rPr>
        <w:t>Walch, S. E., Sinkkanen, K. A., Swain, E. M., Francisco, J., Breaux, C. A., &amp; Sjoberg, M. D. (2012). Using intergroup contact theory to reduce stigma against transgender individuals: Impact of a transgender speaker panel presentation.</w:t>
      </w:r>
      <w:r w:rsidRPr="00A01FD7">
        <w:rPr>
          <w:rStyle w:val="apple-converted-space"/>
          <w:rFonts w:asciiTheme="minorHAnsi" w:hAnsiTheme="minorHAnsi" w:cs="Arial"/>
          <w:color w:val="222222"/>
          <w:sz w:val="24"/>
          <w:szCs w:val="24"/>
          <w:shd w:val="clear" w:color="auto" w:fill="FFFFFF"/>
        </w:rPr>
        <w:t> </w:t>
      </w:r>
      <w:r w:rsidRPr="00A01FD7">
        <w:rPr>
          <w:rFonts w:asciiTheme="minorHAnsi" w:hAnsiTheme="minorHAnsi" w:cs="Arial"/>
          <w:i/>
          <w:iCs/>
          <w:color w:val="222222"/>
          <w:sz w:val="24"/>
          <w:szCs w:val="24"/>
          <w:shd w:val="clear" w:color="auto" w:fill="FFFFFF"/>
        </w:rPr>
        <w:t>Journal of Applied Social Psychology</w:t>
      </w:r>
      <w:r w:rsidRPr="00A01FD7">
        <w:rPr>
          <w:rFonts w:asciiTheme="minorHAnsi" w:hAnsiTheme="minorHAnsi" w:cs="Arial"/>
          <w:color w:val="222222"/>
          <w:sz w:val="24"/>
          <w:szCs w:val="24"/>
          <w:shd w:val="clear" w:color="auto" w:fill="FFFFFF"/>
        </w:rPr>
        <w:t>,</w:t>
      </w:r>
      <w:r w:rsidRPr="00A01FD7">
        <w:rPr>
          <w:rStyle w:val="apple-converted-space"/>
          <w:rFonts w:asciiTheme="minorHAnsi" w:hAnsiTheme="minorHAnsi" w:cs="Arial"/>
          <w:color w:val="222222"/>
          <w:sz w:val="24"/>
          <w:szCs w:val="24"/>
          <w:shd w:val="clear" w:color="auto" w:fill="FFFFFF"/>
        </w:rPr>
        <w:t> </w:t>
      </w:r>
      <w:r w:rsidRPr="00A01FD7">
        <w:rPr>
          <w:rFonts w:asciiTheme="minorHAnsi" w:hAnsiTheme="minorHAnsi" w:cs="Arial"/>
          <w:i/>
          <w:iCs/>
          <w:color w:val="222222"/>
          <w:sz w:val="24"/>
          <w:szCs w:val="24"/>
          <w:shd w:val="clear" w:color="auto" w:fill="FFFFFF"/>
        </w:rPr>
        <w:t>42</w:t>
      </w:r>
      <w:r w:rsidRPr="00A01FD7">
        <w:rPr>
          <w:rFonts w:asciiTheme="minorHAnsi" w:hAnsiTheme="minorHAnsi" w:cs="Arial"/>
          <w:color w:val="222222"/>
          <w:sz w:val="24"/>
          <w:szCs w:val="24"/>
          <w:shd w:val="clear" w:color="auto" w:fill="FFFFFF"/>
        </w:rPr>
        <w:t>(10), 2583-2605.</w:t>
      </w:r>
      <w:r w:rsidRPr="00A01FD7">
        <w:rPr>
          <w:rFonts w:asciiTheme="minorHAnsi" w:hAnsiTheme="minorHAnsi"/>
          <w:b/>
          <w:sz w:val="24"/>
          <w:szCs w:val="24"/>
        </w:rPr>
        <w:t xml:space="preserve"> </w:t>
      </w:r>
      <w:r w:rsidR="00C811BC">
        <w:rPr>
          <w:rFonts w:asciiTheme="minorHAnsi" w:hAnsiTheme="minorHAnsi"/>
          <w:sz w:val="24"/>
          <w:szCs w:val="24"/>
        </w:rPr>
        <w:t xml:space="preserve">DOI: </w:t>
      </w:r>
      <w:r w:rsidR="00C811BC" w:rsidRPr="00C811BC">
        <w:rPr>
          <w:rFonts w:asciiTheme="minorHAnsi" w:hAnsiTheme="minorHAnsi"/>
          <w:sz w:val="24"/>
          <w:szCs w:val="24"/>
        </w:rPr>
        <w:t>10.1111/j.1559-1816.2012.00955.x</w:t>
      </w:r>
    </w:p>
    <w:p w14:paraId="7427B510" w14:textId="77777777" w:rsidR="00877BAB" w:rsidRPr="00A01FD7" w:rsidRDefault="00877BAB" w:rsidP="00877BAB">
      <w:pPr>
        <w:spacing w:line="360" w:lineRule="auto"/>
        <w:ind w:left="720" w:hanging="720"/>
        <w:rPr>
          <w:rFonts w:asciiTheme="minorHAnsi" w:hAnsiTheme="minorHAnsi" w:cs="Arial"/>
          <w:color w:val="222222"/>
          <w:sz w:val="24"/>
          <w:szCs w:val="24"/>
          <w:shd w:val="clear" w:color="auto" w:fill="FFFFFF"/>
        </w:rPr>
      </w:pPr>
      <w:r w:rsidRPr="00A01FD7">
        <w:rPr>
          <w:rFonts w:asciiTheme="minorHAnsi" w:hAnsiTheme="minorHAnsi" w:cs="Arial"/>
          <w:color w:val="222222"/>
          <w:sz w:val="24"/>
          <w:szCs w:val="24"/>
          <w:shd w:val="clear" w:color="auto" w:fill="FFFFFF"/>
        </w:rPr>
        <w:t>Wallick, M. M., Cambre, K. M., &amp; Townsend, M. H. (1995). Influence of a freshman-year panel presentation on medical students' attitudes toward homosexuality.</w:t>
      </w:r>
      <w:r w:rsidRPr="00A01FD7">
        <w:rPr>
          <w:rStyle w:val="apple-converted-space"/>
          <w:rFonts w:asciiTheme="minorHAnsi" w:hAnsiTheme="minorHAnsi" w:cs="Arial"/>
          <w:color w:val="222222"/>
          <w:sz w:val="24"/>
          <w:szCs w:val="24"/>
          <w:shd w:val="clear" w:color="auto" w:fill="FFFFFF"/>
        </w:rPr>
        <w:t> </w:t>
      </w:r>
      <w:r w:rsidRPr="00A01FD7">
        <w:rPr>
          <w:rFonts w:asciiTheme="minorHAnsi" w:hAnsiTheme="minorHAnsi" w:cs="Arial"/>
          <w:i/>
          <w:iCs/>
          <w:color w:val="222222"/>
          <w:sz w:val="24"/>
          <w:szCs w:val="24"/>
          <w:shd w:val="clear" w:color="auto" w:fill="FFFFFF"/>
        </w:rPr>
        <w:t>Academic Medicine</w:t>
      </w:r>
      <w:r w:rsidRPr="00A01FD7">
        <w:rPr>
          <w:rFonts w:asciiTheme="minorHAnsi" w:hAnsiTheme="minorHAnsi" w:cs="Arial"/>
          <w:color w:val="222222"/>
          <w:sz w:val="24"/>
          <w:szCs w:val="24"/>
          <w:shd w:val="clear" w:color="auto" w:fill="FFFFFF"/>
        </w:rPr>
        <w:t>,</w:t>
      </w:r>
      <w:r w:rsidRPr="00A01FD7">
        <w:rPr>
          <w:rStyle w:val="apple-converted-space"/>
          <w:rFonts w:asciiTheme="minorHAnsi" w:hAnsiTheme="minorHAnsi" w:cs="Arial"/>
          <w:color w:val="222222"/>
          <w:sz w:val="24"/>
          <w:szCs w:val="24"/>
          <w:shd w:val="clear" w:color="auto" w:fill="FFFFFF"/>
        </w:rPr>
        <w:t> </w:t>
      </w:r>
      <w:r w:rsidRPr="00A01FD7">
        <w:rPr>
          <w:rFonts w:asciiTheme="minorHAnsi" w:hAnsiTheme="minorHAnsi" w:cs="Arial"/>
          <w:i/>
          <w:iCs/>
          <w:color w:val="222222"/>
          <w:sz w:val="24"/>
          <w:szCs w:val="24"/>
          <w:shd w:val="clear" w:color="auto" w:fill="FFFFFF"/>
        </w:rPr>
        <w:t>70</w:t>
      </w:r>
      <w:r w:rsidRPr="00A01FD7">
        <w:rPr>
          <w:rFonts w:asciiTheme="minorHAnsi" w:hAnsiTheme="minorHAnsi" w:cs="Arial"/>
          <w:color w:val="222222"/>
          <w:sz w:val="24"/>
          <w:szCs w:val="24"/>
          <w:shd w:val="clear" w:color="auto" w:fill="FFFFFF"/>
        </w:rPr>
        <w:t>(9), 839-841.</w:t>
      </w:r>
    </w:p>
    <w:p w14:paraId="325A273E" w14:textId="2ECE5DE2" w:rsidR="00877BAB" w:rsidRPr="00A01FD7" w:rsidRDefault="00877BAB" w:rsidP="00877BAB">
      <w:pPr>
        <w:spacing w:line="360" w:lineRule="auto"/>
        <w:ind w:left="720" w:hanging="720"/>
        <w:rPr>
          <w:rFonts w:asciiTheme="minorHAnsi" w:hAnsiTheme="minorHAnsi" w:cs="Arial"/>
          <w:color w:val="222222"/>
          <w:sz w:val="24"/>
          <w:szCs w:val="24"/>
          <w:shd w:val="clear" w:color="auto" w:fill="FFFFFF"/>
        </w:rPr>
      </w:pPr>
      <w:r w:rsidRPr="00A01FD7">
        <w:rPr>
          <w:rFonts w:asciiTheme="minorHAnsi" w:hAnsiTheme="minorHAnsi" w:cs="Arial"/>
          <w:color w:val="222222"/>
          <w:sz w:val="24"/>
          <w:szCs w:val="24"/>
          <w:shd w:val="clear" w:color="auto" w:fill="FFFFFF"/>
        </w:rPr>
        <w:t>West, K., &amp; Hewstone, M. (2012). Culture and contact in the promotion and reduction of anti-gay prejudice: Evidence from Jamaica and Britain.</w:t>
      </w:r>
      <w:r w:rsidRPr="00A01FD7">
        <w:rPr>
          <w:rStyle w:val="apple-converted-space"/>
          <w:rFonts w:asciiTheme="minorHAnsi" w:hAnsiTheme="minorHAnsi" w:cs="Arial"/>
          <w:color w:val="222222"/>
          <w:sz w:val="24"/>
          <w:szCs w:val="24"/>
          <w:shd w:val="clear" w:color="auto" w:fill="FFFFFF"/>
        </w:rPr>
        <w:t> </w:t>
      </w:r>
      <w:r w:rsidRPr="00A01FD7">
        <w:rPr>
          <w:rFonts w:asciiTheme="minorHAnsi" w:hAnsiTheme="minorHAnsi" w:cs="Arial"/>
          <w:i/>
          <w:iCs/>
          <w:color w:val="222222"/>
          <w:sz w:val="24"/>
          <w:szCs w:val="24"/>
          <w:shd w:val="clear" w:color="auto" w:fill="FFFFFF"/>
        </w:rPr>
        <w:t>Journal of Homosexuality</w:t>
      </w:r>
      <w:r w:rsidRPr="00A01FD7">
        <w:rPr>
          <w:rFonts w:asciiTheme="minorHAnsi" w:hAnsiTheme="minorHAnsi" w:cs="Arial"/>
          <w:color w:val="222222"/>
          <w:sz w:val="24"/>
          <w:szCs w:val="24"/>
          <w:shd w:val="clear" w:color="auto" w:fill="FFFFFF"/>
        </w:rPr>
        <w:t>,</w:t>
      </w:r>
      <w:r w:rsidRPr="00A01FD7">
        <w:rPr>
          <w:rStyle w:val="apple-converted-space"/>
          <w:rFonts w:asciiTheme="minorHAnsi" w:hAnsiTheme="minorHAnsi" w:cs="Arial"/>
          <w:color w:val="222222"/>
          <w:sz w:val="24"/>
          <w:szCs w:val="24"/>
          <w:shd w:val="clear" w:color="auto" w:fill="FFFFFF"/>
        </w:rPr>
        <w:t> </w:t>
      </w:r>
      <w:r w:rsidRPr="00A01FD7">
        <w:rPr>
          <w:rFonts w:asciiTheme="minorHAnsi" w:hAnsiTheme="minorHAnsi" w:cs="Arial"/>
          <w:i/>
          <w:iCs/>
          <w:color w:val="222222"/>
          <w:sz w:val="24"/>
          <w:szCs w:val="24"/>
          <w:shd w:val="clear" w:color="auto" w:fill="FFFFFF"/>
        </w:rPr>
        <w:t>59</w:t>
      </w:r>
      <w:r w:rsidRPr="00A01FD7">
        <w:rPr>
          <w:rFonts w:asciiTheme="minorHAnsi" w:hAnsiTheme="minorHAnsi" w:cs="Arial"/>
          <w:color w:val="222222"/>
          <w:sz w:val="24"/>
          <w:szCs w:val="24"/>
          <w:shd w:val="clear" w:color="auto" w:fill="FFFFFF"/>
        </w:rPr>
        <w:t>(1), 44-66.</w:t>
      </w:r>
      <w:r w:rsidR="00C811BC">
        <w:rPr>
          <w:rFonts w:asciiTheme="minorHAnsi" w:hAnsiTheme="minorHAnsi" w:cs="Arial"/>
          <w:color w:val="222222"/>
          <w:sz w:val="24"/>
          <w:szCs w:val="24"/>
          <w:shd w:val="clear" w:color="auto" w:fill="FFFFFF"/>
        </w:rPr>
        <w:t xml:space="preserve"> DOI: </w:t>
      </w:r>
      <w:r w:rsidR="00C811BC" w:rsidRPr="00C811BC">
        <w:rPr>
          <w:rFonts w:asciiTheme="minorHAnsi" w:hAnsiTheme="minorHAnsi" w:cs="Arial"/>
          <w:color w:val="222222"/>
          <w:sz w:val="24"/>
          <w:szCs w:val="24"/>
          <w:shd w:val="clear" w:color="auto" w:fill="FFFFFF"/>
        </w:rPr>
        <w:t>10.1080/00918369.2011.614907</w:t>
      </w:r>
    </w:p>
    <w:p w14:paraId="47D27201" w14:textId="77777777" w:rsidR="003449FC" w:rsidRPr="006E0A54" w:rsidRDefault="003449FC" w:rsidP="003449FC">
      <w:pPr>
        <w:spacing w:line="360" w:lineRule="auto"/>
        <w:ind w:left="720" w:hanging="720"/>
        <w:rPr>
          <w:rFonts w:asciiTheme="minorHAnsi" w:hAnsiTheme="minorHAnsi"/>
          <w:sz w:val="24"/>
          <w:szCs w:val="24"/>
        </w:rPr>
      </w:pPr>
      <w:r w:rsidRPr="00A01FD7">
        <w:rPr>
          <w:rFonts w:asciiTheme="minorHAnsi" w:hAnsiTheme="minorHAnsi" w:cs="Arial"/>
          <w:color w:val="222222"/>
          <w:sz w:val="24"/>
          <w:szCs w:val="24"/>
          <w:shd w:val="clear" w:color="auto" w:fill="FFFFFF"/>
        </w:rPr>
        <w:t>Whitley Jr, B. E. (1988). Sex differences in heterosexuals' attitudes toward homosexuals: It depends upon what you ask.</w:t>
      </w:r>
      <w:r w:rsidRPr="00A01FD7">
        <w:rPr>
          <w:rStyle w:val="apple-converted-space"/>
          <w:rFonts w:asciiTheme="minorHAnsi" w:hAnsiTheme="minorHAnsi" w:cs="Arial"/>
          <w:color w:val="222222"/>
          <w:sz w:val="24"/>
          <w:szCs w:val="24"/>
          <w:shd w:val="clear" w:color="auto" w:fill="FFFFFF"/>
        </w:rPr>
        <w:t> </w:t>
      </w:r>
      <w:r w:rsidRPr="00A01FD7">
        <w:rPr>
          <w:rFonts w:asciiTheme="minorHAnsi" w:hAnsiTheme="minorHAnsi" w:cs="Arial"/>
          <w:i/>
          <w:iCs/>
          <w:color w:val="222222"/>
          <w:sz w:val="24"/>
          <w:szCs w:val="24"/>
          <w:shd w:val="clear" w:color="auto" w:fill="FFFFFF"/>
        </w:rPr>
        <w:t>Journal of Sex Research</w:t>
      </w:r>
      <w:r w:rsidRPr="00A01FD7">
        <w:rPr>
          <w:rFonts w:asciiTheme="minorHAnsi" w:hAnsiTheme="minorHAnsi" w:cs="Arial"/>
          <w:color w:val="222222"/>
          <w:sz w:val="24"/>
          <w:szCs w:val="24"/>
          <w:shd w:val="clear" w:color="auto" w:fill="FFFFFF"/>
        </w:rPr>
        <w:t>,</w:t>
      </w:r>
      <w:r w:rsidRPr="00A01FD7">
        <w:rPr>
          <w:rStyle w:val="apple-converted-space"/>
          <w:rFonts w:asciiTheme="minorHAnsi" w:hAnsiTheme="minorHAnsi" w:cs="Arial"/>
          <w:color w:val="222222"/>
          <w:sz w:val="24"/>
          <w:szCs w:val="24"/>
          <w:shd w:val="clear" w:color="auto" w:fill="FFFFFF"/>
        </w:rPr>
        <w:t> </w:t>
      </w:r>
      <w:r w:rsidRPr="00A01FD7">
        <w:rPr>
          <w:rFonts w:asciiTheme="minorHAnsi" w:hAnsiTheme="minorHAnsi" w:cs="Arial"/>
          <w:i/>
          <w:iCs/>
          <w:color w:val="222222"/>
          <w:sz w:val="24"/>
          <w:szCs w:val="24"/>
          <w:shd w:val="clear" w:color="auto" w:fill="FFFFFF"/>
        </w:rPr>
        <w:t>24</w:t>
      </w:r>
      <w:r w:rsidRPr="00A01FD7">
        <w:rPr>
          <w:rFonts w:asciiTheme="minorHAnsi" w:hAnsiTheme="minorHAnsi" w:cs="Arial"/>
          <w:color w:val="222222"/>
          <w:sz w:val="24"/>
          <w:szCs w:val="24"/>
          <w:shd w:val="clear" w:color="auto" w:fill="FFFFFF"/>
        </w:rPr>
        <w:t>(1), 287-291.</w:t>
      </w:r>
      <w:r w:rsidRPr="00A01FD7">
        <w:rPr>
          <w:rFonts w:asciiTheme="minorHAnsi" w:hAnsiTheme="minorHAnsi"/>
          <w:b/>
          <w:sz w:val="24"/>
          <w:szCs w:val="24"/>
        </w:rPr>
        <w:t xml:space="preserve"> </w:t>
      </w:r>
      <w:r w:rsidRPr="006E0A54">
        <w:rPr>
          <w:rFonts w:asciiTheme="minorHAnsi" w:hAnsiTheme="minorHAnsi"/>
          <w:sz w:val="24"/>
          <w:szCs w:val="24"/>
        </w:rPr>
        <w:t>DOI: 10.1080/00224498809551426</w:t>
      </w:r>
    </w:p>
    <w:p w14:paraId="47A035E3" w14:textId="71257DA9" w:rsidR="00877BAB" w:rsidRPr="00C811BC" w:rsidRDefault="00877BAB" w:rsidP="00877BAB">
      <w:pPr>
        <w:spacing w:line="360" w:lineRule="auto"/>
        <w:ind w:left="720" w:hanging="720"/>
        <w:rPr>
          <w:rFonts w:asciiTheme="minorHAnsi" w:hAnsiTheme="minorHAnsi"/>
          <w:sz w:val="24"/>
          <w:szCs w:val="24"/>
        </w:rPr>
      </w:pPr>
      <w:r w:rsidRPr="00A01FD7">
        <w:rPr>
          <w:rFonts w:asciiTheme="minorHAnsi" w:hAnsiTheme="minorHAnsi" w:cs="Arial"/>
          <w:color w:val="222222"/>
          <w:sz w:val="24"/>
          <w:szCs w:val="24"/>
          <w:shd w:val="clear" w:color="auto" w:fill="FFFFFF"/>
        </w:rPr>
        <w:t>Whitley Jr, B. E. (2009). Religiosity and attitudes toward lesbians and gay men: A meta-analysis.</w:t>
      </w:r>
      <w:r w:rsidRPr="00A01FD7">
        <w:rPr>
          <w:rStyle w:val="apple-converted-space"/>
          <w:rFonts w:asciiTheme="minorHAnsi" w:hAnsiTheme="minorHAnsi" w:cs="Arial"/>
          <w:color w:val="222222"/>
          <w:sz w:val="24"/>
          <w:szCs w:val="24"/>
          <w:shd w:val="clear" w:color="auto" w:fill="FFFFFF"/>
        </w:rPr>
        <w:t> </w:t>
      </w:r>
      <w:r w:rsidRPr="00A01FD7">
        <w:rPr>
          <w:rFonts w:asciiTheme="minorHAnsi" w:hAnsiTheme="minorHAnsi" w:cs="Arial"/>
          <w:i/>
          <w:iCs/>
          <w:color w:val="222222"/>
          <w:sz w:val="24"/>
          <w:szCs w:val="24"/>
          <w:shd w:val="clear" w:color="auto" w:fill="FFFFFF"/>
        </w:rPr>
        <w:t>International Journal for the Psychology of Religion</w:t>
      </w:r>
      <w:r w:rsidRPr="00A01FD7">
        <w:rPr>
          <w:rFonts w:asciiTheme="minorHAnsi" w:hAnsiTheme="minorHAnsi" w:cs="Arial"/>
          <w:color w:val="222222"/>
          <w:sz w:val="24"/>
          <w:szCs w:val="24"/>
          <w:shd w:val="clear" w:color="auto" w:fill="FFFFFF"/>
        </w:rPr>
        <w:t>,</w:t>
      </w:r>
      <w:r w:rsidRPr="00A01FD7">
        <w:rPr>
          <w:rStyle w:val="apple-converted-space"/>
          <w:rFonts w:asciiTheme="minorHAnsi" w:hAnsiTheme="minorHAnsi" w:cs="Arial"/>
          <w:color w:val="222222"/>
          <w:sz w:val="24"/>
          <w:szCs w:val="24"/>
          <w:shd w:val="clear" w:color="auto" w:fill="FFFFFF"/>
        </w:rPr>
        <w:t> </w:t>
      </w:r>
      <w:r w:rsidRPr="00A01FD7">
        <w:rPr>
          <w:rFonts w:asciiTheme="minorHAnsi" w:hAnsiTheme="minorHAnsi" w:cs="Arial"/>
          <w:i/>
          <w:iCs/>
          <w:color w:val="222222"/>
          <w:sz w:val="24"/>
          <w:szCs w:val="24"/>
          <w:shd w:val="clear" w:color="auto" w:fill="FFFFFF"/>
        </w:rPr>
        <w:t>19</w:t>
      </w:r>
      <w:r w:rsidRPr="00A01FD7">
        <w:rPr>
          <w:rFonts w:asciiTheme="minorHAnsi" w:hAnsiTheme="minorHAnsi" w:cs="Arial"/>
          <w:color w:val="222222"/>
          <w:sz w:val="24"/>
          <w:szCs w:val="24"/>
          <w:shd w:val="clear" w:color="auto" w:fill="FFFFFF"/>
        </w:rPr>
        <w:t>(1), 21-38.</w:t>
      </w:r>
      <w:r w:rsidRPr="00A01FD7">
        <w:rPr>
          <w:rFonts w:asciiTheme="minorHAnsi" w:hAnsiTheme="minorHAnsi"/>
          <w:b/>
          <w:sz w:val="24"/>
          <w:szCs w:val="24"/>
        </w:rPr>
        <w:t xml:space="preserve"> </w:t>
      </w:r>
      <w:r w:rsidR="00C811BC">
        <w:rPr>
          <w:rFonts w:asciiTheme="minorHAnsi" w:hAnsiTheme="minorHAnsi"/>
          <w:sz w:val="24"/>
          <w:szCs w:val="24"/>
        </w:rPr>
        <w:t xml:space="preserve">DOI: </w:t>
      </w:r>
      <w:r w:rsidR="00C811BC" w:rsidRPr="00C811BC">
        <w:rPr>
          <w:rFonts w:asciiTheme="minorHAnsi" w:hAnsiTheme="minorHAnsi"/>
          <w:sz w:val="24"/>
          <w:szCs w:val="24"/>
        </w:rPr>
        <w:t>10.1080/10508610802471104</w:t>
      </w:r>
    </w:p>
    <w:p w14:paraId="4D72DDE9" w14:textId="48C8D9D6" w:rsidR="00877BAB" w:rsidRPr="008343A2" w:rsidRDefault="00877BAB" w:rsidP="006E0A54">
      <w:pPr>
        <w:spacing w:line="360" w:lineRule="auto"/>
        <w:ind w:left="720" w:hanging="720"/>
        <w:rPr>
          <w:rFonts w:asciiTheme="minorHAnsi" w:hAnsiTheme="minorHAnsi"/>
        </w:rPr>
      </w:pPr>
      <w:r w:rsidRPr="00A01FD7">
        <w:rPr>
          <w:rFonts w:asciiTheme="minorHAnsi" w:hAnsiTheme="minorHAnsi" w:cs="Arial"/>
          <w:color w:val="222222"/>
          <w:sz w:val="24"/>
          <w:szCs w:val="24"/>
          <w:shd w:val="clear" w:color="auto" w:fill="FFFFFF"/>
        </w:rPr>
        <w:t>Wright Jr, L. W., Adams, H. E., &amp; Bernat, J. (1999). Development and validation of the homophobia scale.</w:t>
      </w:r>
      <w:r w:rsidRPr="00A01FD7">
        <w:rPr>
          <w:rStyle w:val="apple-converted-space"/>
          <w:rFonts w:asciiTheme="minorHAnsi" w:hAnsiTheme="minorHAnsi" w:cs="Arial"/>
          <w:color w:val="222222"/>
          <w:sz w:val="24"/>
          <w:szCs w:val="24"/>
          <w:shd w:val="clear" w:color="auto" w:fill="FFFFFF"/>
        </w:rPr>
        <w:t> </w:t>
      </w:r>
      <w:r w:rsidRPr="00A01FD7">
        <w:rPr>
          <w:rFonts w:asciiTheme="minorHAnsi" w:hAnsiTheme="minorHAnsi" w:cs="Arial"/>
          <w:i/>
          <w:iCs/>
          <w:color w:val="222222"/>
          <w:sz w:val="24"/>
          <w:szCs w:val="24"/>
          <w:shd w:val="clear" w:color="auto" w:fill="FFFFFF"/>
        </w:rPr>
        <w:t>Journal of Psychopathology and Behavioral Assessment</w:t>
      </w:r>
      <w:r w:rsidRPr="00A01FD7">
        <w:rPr>
          <w:rFonts w:asciiTheme="minorHAnsi" w:hAnsiTheme="minorHAnsi" w:cs="Arial"/>
          <w:color w:val="222222"/>
          <w:sz w:val="24"/>
          <w:szCs w:val="24"/>
          <w:shd w:val="clear" w:color="auto" w:fill="FFFFFF"/>
        </w:rPr>
        <w:t>,</w:t>
      </w:r>
      <w:r w:rsidRPr="00A01FD7">
        <w:rPr>
          <w:rStyle w:val="apple-converted-space"/>
          <w:rFonts w:asciiTheme="minorHAnsi" w:hAnsiTheme="minorHAnsi" w:cs="Arial"/>
          <w:color w:val="222222"/>
          <w:sz w:val="24"/>
          <w:szCs w:val="24"/>
          <w:shd w:val="clear" w:color="auto" w:fill="FFFFFF"/>
        </w:rPr>
        <w:t> </w:t>
      </w:r>
      <w:r w:rsidRPr="00A01FD7">
        <w:rPr>
          <w:rFonts w:asciiTheme="minorHAnsi" w:hAnsiTheme="minorHAnsi" w:cs="Arial"/>
          <w:i/>
          <w:iCs/>
          <w:color w:val="222222"/>
          <w:sz w:val="24"/>
          <w:szCs w:val="24"/>
          <w:shd w:val="clear" w:color="auto" w:fill="FFFFFF"/>
        </w:rPr>
        <w:t>21</w:t>
      </w:r>
      <w:r w:rsidRPr="00A01FD7">
        <w:rPr>
          <w:rFonts w:asciiTheme="minorHAnsi" w:hAnsiTheme="minorHAnsi" w:cs="Arial"/>
          <w:color w:val="222222"/>
          <w:sz w:val="24"/>
          <w:szCs w:val="24"/>
          <w:shd w:val="clear" w:color="auto" w:fill="FFFFFF"/>
        </w:rPr>
        <w:t>(4), 337-347.</w:t>
      </w:r>
      <w:r w:rsidR="006E0A54">
        <w:rPr>
          <w:rFonts w:asciiTheme="minorHAnsi" w:hAnsiTheme="minorHAnsi" w:cs="Arial"/>
          <w:color w:val="222222"/>
          <w:sz w:val="24"/>
          <w:szCs w:val="24"/>
          <w:shd w:val="clear" w:color="auto" w:fill="FFFFFF"/>
        </w:rPr>
        <w:t xml:space="preserve"> DOI: </w:t>
      </w:r>
      <w:r w:rsidR="006E0A54" w:rsidRPr="006E0A54">
        <w:rPr>
          <w:rFonts w:asciiTheme="minorHAnsi" w:hAnsiTheme="minorHAnsi" w:cs="Arial"/>
          <w:color w:val="222222"/>
          <w:sz w:val="24"/>
          <w:szCs w:val="24"/>
          <w:shd w:val="clear" w:color="auto" w:fill="FFFFFF"/>
        </w:rPr>
        <w:t>10.1023/A:1022172816258</w:t>
      </w:r>
    </w:p>
    <w:p w14:paraId="4AB823D0" w14:textId="77777777" w:rsidR="00877BAB" w:rsidRPr="008343A2" w:rsidRDefault="00877BAB" w:rsidP="00877BAB">
      <w:pPr>
        <w:spacing w:line="480" w:lineRule="auto"/>
        <w:ind w:left="720" w:hanging="720"/>
        <w:jc w:val="center"/>
        <w:rPr>
          <w:rFonts w:asciiTheme="minorHAnsi" w:hAnsiTheme="minorHAnsi"/>
        </w:rPr>
      </w:pPr>
    </w:p>
    <w:p w14:paraId="1542B92F" w14:textId="77777777" w:rsidR="00877BAB" w:rsidRPr="008343A2" w:rsidRDefault="00877BAB" w:rsidP="00877BAB">
      <w:pPr>
        <w:spacing w:line="480" w:lineRule="auto"/>
        <w:ind w:left="720" w:hanging="720"/>
        <w:jc w:val="center"/>
        <w:rPr>
          <w:rFonts w:asciiTheme="minorHAnsi" w:hAnsiTheme="minorHAnsi"/>
        </w:rPr>
      </w:pPr>
    </w:p>
    <w:p w14:paraId="3BC6F2A7" w14:textId="77777777" w:rsidR="00877BAB" w:rsidRPr="00DB166F" w:rsidRDefault="00877BAB" w:rsidP="00877BAB">
      <w:pPr>
        <w:spacing w:line="480" w:lineRule="auto"/>
        <w:jc w:val="center"/>
      </w:pPr>
    </w:p>
    <w:p w14:paraId="5A57BB72" w14:textId="77777777" w:rsidR="00877BAB" w:rsidRPr="00DB166F" w:rsidRDefault="00877BAB" w:rsidP="00877BAB">
      <w:pPr>
        <w:spacing w:line="480" w:lineRule="auto"/>
        <w:jc w:val="center"/>
      </w:pPr>
    </w:p>
    <w:p w14:paraId="72BEE8E4" w14:textId="77777777" w:rsidR="00877BAB" w:rsidRPr="00DB166F" w:rsidRDefault="00877BAB" w:rsidP="00877BAB">
      <w:pPr>
        <w:spacing w:line="480" w:lineRule="auto"/>
        <w:jc w:val="center"/>
      </w:pPr>
    </w:p>
    <w:p w14:paraId="20F962EC" w14:textId="77777777" w:rsidR="00877BAB" w:rsidRPr="00DB166F" w:rsidRDefault="00877BAB" w:rsidP="00877BAB">
      <w:pPr>
        <w:spacing w:line="480" w:lineRule="auto"/>
        <w:jc w:val="center"/>
      </w:pPr>
    </w:p>
    <w:p w14:paraId="1A54C763" w14:textId="77777777" w:rsidR="00877BAB" w:rsidRDefault="00877BAB" w:rsidP="00877BAB">
      <w:pPr>
        <w:spacing w:after="0" w:line="240" w:lineRule="auto"/>
        <w:rPr>
          <w:lang w:val="en-US"/>
        </w:rPr>
      </w:pPr>
      <w:r>
        <w:rPr>
          <w:lang w:val="en-US"/>
        </w:rPr>
        <w:br w:type="page"/>
      </w:r>
    </w:p>
    <w:p w14:paraId="4171D7AA" w14:textId="77777777" w:rsidR="00877BAB" w:rsidRPr="00553F90" w:rsidRDefault="00877BAB" w:rsidP="00877BAB">
      <w:pPr>
        <w:rPr>
          <w:lang w:val="en-US"/>
        </w:rPr>
      </w:pPr>
      <w:r w:rsidRPr="00553F90">
        <w:rPr>
          <w:lang w:val="en-US"/>
        </w:rPr>
        <w:t xml:space="preserve">Table 1. </w:t>
      </w:r>
    </w:p>
    <w:p w14:paraId="476B5F29" w14:textId="77777777" w:rsidR="00877BAB" w:rsidRPr="00553F90" w:rsidRDefault="00877BAB" w:rsidP="00877BAB">
      <w:pPr>
        <w:rPr>
          <w:i/>
          <w:lang w:val="en-US"/>
        </w:rPr>
      </w:pPr>
      <w:r w:rsidRPr="00553F90">
        <w:rPr>
          <w:i/>
          <w:lang w:val="en-US"/>
        </w:rPr>
        <w:t>Means and Standard Deviation Scores for current study measures stratified by time point.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012"/>
        <w:gridCol w:w="1012"/>
        <w:gridCol w:w="1013"/>
        <w:gridCol w:w="1013"/>
        <w:gridCol w:w="1013"/>
        <w:gridCol w:w="1013"/>
        <w:gridCol w:w="1013"/>
      </w:tblGrid>
      <w:tr w:rsidR="00877BAB" w:rsidRPr="00DB166F" w14:paraId="378A3F77" w14:textId="77777777" w:rsidTr="00877BAB">
        <w:trPr>
          <w:trHeight w:val="352"/>
        </w:trPr>
        <w:tc>
          <w:tcPr>
            <w:tcW w:w="1843" w:type="dxa"/>
            <w:vMerge w:val="restart"/>
            <w:tcBorders>
              <w:left w:val="nil"/>
              <w:bottom w:val="nil"/>
              <w:right w:val="nil"/>
            </w:tcBorders>
          </w:tcPr>
          <w:p w14:paraId="7D2E8FE4" w14:textId="77777777" w:rsidR="00877BAB" w:rsidRPr="00DB166F" w:rsidRDefault="00877BAB" w:rsidP="00877BAB">
            <w:pPr>
              <w:jc w:val="center"/>
            </w:pPr>
            <w:r w:rsidRPr="00DB166F">
              <w:t>Measure</w:t>
            </w:r>
          </w:p>
        </w:tc>
        <w:tc>
          <w:tcPr>
            <w:tcW w:w="1012" w:type="dxa"/>
            <w:tcBorders>
              <w:left w:val="nil"/>
              <w:bottom w:val="single" w:sz="4" w:space="0" w:color="auto"/>
              <w:right w:val="nil"/>
            </w:tcBorders>
          </w:tcPr>
          <w:p w14:paraId="7E532286" w14:textId="77777777" w:rsidR="00877BAB" w:rsidRPr="00DB166F" w:rsidRDefault="00877BAB" w:rsidP="00877BAB">
            <w:pPr>
              <w:jc w:val="center"/>
              <w:rPr>
                <w:i/>
              </w:rPr>
            </w:pPr>
            <w:r w:rsidRPr="00DB166F">
              <w:rPr>
                <w:i/>
              </w:rPr>
              <w:t>n</w:t>
            </w:r>
          </w:p>
        </w:tc>
        <w:tc>
          <w:tcPr>
            <w:tcW w:w="2025" w:type="dxa"/>
            <w:gridSpan w:val="2"/>
            <w:tcBorders>
              <w:left w:val="nil"/>
              <w:bottom w:val="single" w:sz="4" w:space="0" w:color="auto"/>
              <w:right w:val="nil"/>
            </w:tcBorders>
            <w:vAlign w:val="center"/>
          </w:tcPr>
          <w:p w14:paraId="566062E4" w14:textId="77777777" w:rsidR="00877BAB" w:rsidRPr="00DB166F" w:rsidRDefault="00877BAB" w:rsidP="00877BAB">
            <w:pPr>
              <w:jc w:val="center"/>
            </w:pPr>
            <w:r>
              <w:t>Week 1</w:t>
            </w:r>
          </w:p>
        </w:tc>
        <w:tc>
          <w:tcPr>
            <w:tcW w:w="2026" w:type="dxa"/>
            <w:gridSpan w:val="2"/>
            <w:tcBorders>
              <w:left w:val="nil"/>
              <w:bottom w:val="single" w:sz="4" w:space="0" w:color="auto"/>
              <w:right w:val="nil"/>
            </w:tcBorders>
            <w:vAlign w:val="center"/>
          </w:tcPr>
          <w:p w14:paraId="4ABEBA8A" w14:textId="77777777" w:rsidR="00877BAB" w:rsidRPr="00DB166F" w:rsidRDefault="00877BAB" w:rsidP="00877BAB">
            <w:pPr>
              <w:jc w:val="center"/>
            </w:pPr>
            <w:r>
              <w:t>Week 5</w:t>
            </w:r>
          </w:p>
        </w:tc>
        <w:tc>
          <w:tcPr>
            <w:tcW w:w="2026" w:type="dxa"/>
            <w:gridSpan w:val="2"/>
            <w:tcBorders>
              <w:left w:val="nil"/>
              <w:bottom w:val="single" w:sz="4" w:space="0" w:color="auto"/>
              <w:right w:val="nil"/>
            </w:tcBorders>
            <w:vAlign w:val="center"/>
          </w:tcPr>
          <w:p w14:paraId="120727B0" w14:textId="77777777" w:rsidR="00877BAB" w:rsidRPr="00DB166F" w:rsidRDefault="00877BAB" w:rsidP="00877BAB">
            <w:pPr>
              <w:jc w:val="center"/>
            </w:pPr>
            <w:r>
              <w:t>Week 12</w:t>
            </w:r>
          </w:p>
        </w:tc>
      </w:tr>
      <w:tr w:rsidR="00877BAB" w:rsidRPr="00DB166F" w14:paraId="6FC0ED16" w14:textId="77777777" w:rsidTr="00877BAB">
        <w:trPr>
          <w:trHeight w:val="352"/>
        </w:trPr>
        <w:tc>
          <w:tcPr>
            <w:tcW w:w="1843" w:type="dxa"/>
            <w:vMerge/>
            <w:tcBorders>
              <w:top w:val="nil"/>
              <w:left w:val="nil"/>
              <w:bottom w:val="nil"/>
              <w:right w:val="nil"/>
            </w:tcBorders>
            <w:vAlign w:val="center"/>
          </w:tcPr>
          <w:p w14:paraId="4DB1785E" w14:textId="77777777" w:rsidR="00877BAB" w:rsidRPr="00DB166F" w:rsidRDefault="00877BAB" w:rsidP="00877BAB">
            <w:pPr>
              <w:jc w:val="center"/>
            </w:pPr>
          </w:p>
        </w:tc>
        <w:tc>
          <w:tcPr>
            <w:tcW w:w="1012" w:type="dxa"/>
            <w:tcBorders>
              <w:left w:val="nil"/>
              <w:bottom w:val="nil"/>
              <w:right w:val="nil"/>
            </w:tcBorders>
          </w:tcPr>
          <w:p w14:paraId="2C639A92" w14:textId="77777777" w:rsidR="00877BAB" w:rsidRPr="00DB166F" w:rsidRDefault="00877BAB" w:rsidP="00877BAB">
            <w:pPr>
              <w:jc w:val="center"/>
              <w:rPr>
                <w:i/>
                <w:u w:val="single"/>
              </w:rPr>
            </w:pPr>
          </w:p>
        </w:tc>
        <w:tc>
          <w:tcPr>
            <w:tcW w:w="1012" w:type="dxa"/>
            <w:tcBorders>
              <w:left w:val="nil"/>
              <w:bottom w:val="nil"/>
              <w:right w:val="nil"/>
            </w:tcBorders>
            <w:vAlign w:val="center"/>
          </w:tcPr>
          <w:p w14:paraId="042DA683" w14:textId="77777777" w:rsidR="00877BAB" w:rsidRPr="00DB166F" w:rsidRDefault="00877BAB" w:rsidP="00877BAB">
            <w:pPr>
              <w:jc w:val="center"/>
              <w:rPr>
                <w:i/>
                <w:u w:val="single"/>
              </w:rPr>
            </w:pPr>
            <w:r w:rsidRPr="00DB166F">
              <w:rPr>
                <w:i/>
                <w:u w:val="single"/>
              </w:rPr>
              <w:t>M</w:t>
            </w:r>
          </w:p>
        </w:tc>
        <w:tc>
          <w:tcPr>
            <w:tcW w:w="1013" w:type="dxa"/>
            <w:tcBorders>
              <w:left w:val="nil"/>
              <w:bottom w:val="nil"/>
              <w:right w:val="nil"/>
            </w:tcBorders>
            <w:vAlign w:val="center"/>
          </w:tcPr>
          <w:p w14:paraId="6659B067" w14:textId="77777777" w:rsidR="00877BAB" w:rsidRPr="00DB166F" w:rsidRDefault="00877BAB" w:rsidP="00877BAB">
            <w:pPr>
              <w:jc w:val="center"/>
              <w:rPr>
                <w:i/>
                <w:u w:val="single"/>
              </w:rPr>
            </w:pPr>
            <w:r w:rsidRPr="00DB166F">
              <w:rPr>
                <w:i/>
                <w:u w:val="single"/>
              </w:rPr>
              <w:t>SD</w:t>
            </w:r>
          </w:p>
        </w:tc>
        <w:tc>
          <w:tcPr>
            <w:tcW w:w="1013" w:type="dxa"/>
            <w:tcBorders>
              <w:left w:val="nil"/>
              <w:bottom w:val="nil"/>
              <w:right w:val="nil"/>
            </w:tcBorders>
            <w:vAlign w:val="center"/>
          </w:tcPr>
          <w:p w14:paraId="19D13DD5" w14:textId="77777777" w:rsidR="00877BAB" w:rsidRPr="00DB166F" w:rsidRDefault="00877BAB" w:rsidP="00877BAB">
            <w:pPr>
              <w:jc w:val="center"/>
              <w:rPr>
                <w:i/>
                <w:u w:val="single"/>
              </w:rPr>
            </w:pPr>
            <w:r w:rsidRPr="00DB166F">
              <w:rPr>
                <w:i/>
                <w:u w:val="single"/>
              </w:rPr>
              <w:t>M</w:t>
            </w:r>
          </w:p>
        </w:tc>
        <w:tc>
          <w:tcPr>
            <w:tcW w:w="1013" w:type="dxa"/>
            <w:tcBorders>
              <w:left w:val="nil"/>
              <w:bottom w:val="nil"/>
              <w:right w:val="nil"/>
            </w:tcBorders>
            <w:vAlign w:val="center"/>
          </w:tcPr>
          <w:p w14:paraId="0B3DC2C3" w14:textId="77777777" w:rsidR="00877BAB" w:rsidRPr="00DB166F" w:rsidRDefault="00877BAB" w:rsidP="00877BAB">
            <w:pPr>
              <w:jc w:val="center"/>
              <w:rPr>
                <w:i/>
                <w:u w:val="single"/>
              </w:rPr>
            </w:pPr>
            <w:r w:rsidRPr="00DB166F">
              <w:rPr>
                <w:i/>
                <w:u w:val="single"/>
              </w:rPr>
              <w:t>SD</w:t>
            </w:r>
          </w:p>
        </w:tc>
        <w:tc>
          <w:tcPr>
            <w:tcW w:w="1013" w:type="dxa"/>
            <w:tcBorders>
              <w:left w:val="nil"/>
              <w:bottom w:val="nil"/>
              <w:right w:val="nil"/>
            </w:tcBorders>
            <w:vAlign w:val="center"/>
          </w:tcPr>
          <w:p w14:paraId="5B657706" w14:textId="77777777" w:rsidR="00877BAB" w:rsidRPr="00DB166F" w:rsidRDefault="00877BAB" w:rsidP="00877BAB">
            <w:pPr>
              <w:jc w:val="center"/>
              <w:rPr>
                <w:i/>
                <w:u w:val="single"/>
              </w:rPr>
            </w:pPr>
            <w:r w:rsidRPr="00DB166F">
              <w:rPr>
                <w:i/>
                <w:u w:val="single"/>
              </w:rPr>
              <w:t>M</w:t>
            </w:r>
          </w:p>
        </w:tc>
        <w:tc>
          <w:tcPr>
            <w:tcW w:w="1013" w:type="dxa"/>
            <w:tcBorders>
              <w:left w:val="nil"/>
              <w:bottom w:val="nil"/>
              <w:right w:val="nil"/>
            </w:tcBorders>
            <w:vAlign w:val="center"/>
          </w:tcPr>
          <w:p w14:paraId="5E940642" w14:textId="77777777" w:rsidR="00877BAB" w:rsidRPr="00DB166F" w:rsidRDefault="00877BAB" w:rsidP="00877BAB">
            <w:pPr>
              <w:jc w:val="center"/>
              <w:rPr>
                <w:i/>
                <w:u w:val="single"/>
              </w:rPr>
            </w:pPr>
            <w:r w:rsidRPr="00DB166F">
              <w:rPr>
                <w:i/>
                <w:u w:val="single"/>
              </w:rPr>
              <w:t>SD</w:t>
            </w:r>
          </w:p>
        </w:tc>
      </w:tr>
      <w:tr w:rsidR="00877BAB" w:rsidRPr="00DB166F" w14:paraId="7FB8D2BA" w14:textId="77777777" w:rsidTr="00877BAB">
        <w:trPr>
          <w:trHeight w:val="352"/>
        </w:trPr>
        <w:tc>
          <w:tcPr>
            <w:tcW w:w="1843" w:type="dxa"/>
            <w:tcBorders>
              <w:top w:val="nil"/>
              <w:left w:val="nil"/>
              <w:bottom w:val="nil"/>
              <w:right w:val="nil"/>
            </w:tcBorders>
            <w:vAlign w:val="center"/>
          </w:tcPr>
          <w:p w14:paraId="57546066" w14:textId="77777777" w:rsidR="00877BAB" w:rsidRPr="00DB166F" w:rsidRDefault="00877BAB" w:rsidP="00877BAB">
            <w:pPr>
              <w:jc w:val="center"/>
            </w:pPr>
            <w:r w:rsidRPr="00DB166F">
              <w:t>TS</w:t>
            </w:r>
          </w:p>
        </w:tc>
        <w:tc>
          <w:tcPr>
            <w:tcW w:w="1012" w:type="dxa"/>
            <w:tcBorders>
              <w:top w:val="nil"/>
              <w:left w:val="nil"/>
              <w:bottom w:val="nil"/>
              <w:right w:val="nil"/>
            </w:tcBorders>
          </w:tcPr>
          <w:p w14:paraId="5B030930" w14:textId="77777777" w:rsidR="00877BAB" w:rsidRPr="00DB166F" w:rsidRDefault="00877BAB" w:rsidP="00877BAB">
            <w:pPr>
              <w:jc w:val="center"/>
            </w:pPr>
            <w:r w:rsidRPr="00DB166F">
              <w:t>66</w:t>
            </w:r>
          </w:p>
        </w:tc>
        <w:tc>
          <w:tcPr>
            <w:tcW w:w="1012" w:type="dxa"/>
            <w:tcBorders>
              <w:top w:val="nil"/>
              <w:left w:val="nil"/>
              <w:bottom w:val="nil"/>
              <w:right w:val="nil"/>
            </w:tcBorders>
            <w:vAlign w:val="center"/>
          </w:tcPr>
          <w:p w14:paraId="1E845201" w14:textId="77777777" w:rsidR="00877BAB" w:rsidRPr="00DB166F" w:rsidRDefault="00877BAB" w:rsidP="00877BAB">
            <w:pPr>
              <w:jc w:val="center"/>
            </w:pPr>
            <w:r w:rsidRPr="00DB166F">
              <w:t>22.46</w:t>
            </w:r>
          </w:p>
        </w:tc>
        <w:tc>
          <w:tcPr>
            <w:tcW w:w="1013" w:type="dxa"/>
            <w:tcBorders>
              <w:top w:val="nil"/>
              <w:left w:val="nil"/>
              <w:bottom w:val="nil"/>
              <w:right w:val="nil"/>
            </w:tcBorders>
            <w:vAlign w:val="center"/>
          </w:tcPr>
          <w:p w14:paraId="554AA27D" w14:textId="77777777" w:rsidR="00877BAB" w:rsidRPr="00DB166F" w:rsidRDefault="00877BAB" w:rsidP="00877BAB">
            <w:pPr>
              <w:jc w:val="center"/>
            </w:pPr>
            <w:r w:rsidRPr="00DB166F">
              <w:t>5.24</w:t>
            </w:r>
          </w:p>
        </w:tc>
        <w:tc>
          <w:tcPr>
            <w:tcW w:w="1013" w:type="dxa"/>
            <w:tcBorders>
              <w:top w:val="nil"/>
              <w:left w:val="nil"/>
              <w:bottom w:val="nil"/>
              <w:right w:val="nil"/>
            </w:tcBorders>
            <w:vAlign w:val="center"/>
          </w:tcPr>
          <w:p w14:paraId="2B48831B" w14:textId="77777777" w:rsidR="00877BAB" w:rsidRPr="00DB166F" w:rsidRDefault="00877BAB" w:rsidP="00877BAB">
            <w:pPr>
              <w:jc w:val="center"/>
            </w:pPr>
            <w:r w:rsidRPr="00DB166F">
              <w:t>20.80</w:t>
            </w:r>
          </w:p>
        </w:tc>
        <w:tc>
          <w:tcPr>
            <w:tcW w:w="1013" w:type="dxa"/>
            <w:tcBorders>
              <w:top w:val="nil"/>
              <w:left w:val="nil"/>
              <w:bottom w:val="nil"/>
              <w:right w:val="nil"/>
            </w:tcBorders>
            <w:vAlign w:val="center"/>
          </w:tcPr>
          <w:p w14:paraId="17DA79A7" w14:textId="77777777" w:rsidR="00877BAB" w:rsidRPr="00DB166F" w:rsidRDefault="00877BAB" w:rsidP="00877BAB">
            <w:pPr>
              <w:jc w:val="center"/>
            </w:pPr>
            <w:r w:rsidRPr="00DB166F">
              <w:t>5.67</w:t>
            </w:r>
          </w:p>
        </w:tc>
        <w:tc>
          <w:tcPr>
            <w:tcW w:w="1013" w:type="dxa"/>
            <w:tcBorders>
              <w:top w:val="nil"/>
              <w:left w:val="nil"/>
              <w:bottom w:val="nil"/>
              <w:right w:val="nil"/>
            </w:tcBorders>
            <w:vAlign w:val="center"/>
          </w:tcPr>
          <w:p w14:paraId="3379C327" w14:textId="77777777" w:rsidR="00877BAB" w:rsidRPr="00DB166F" w:rsidRDefault="00877BAB" w:rsidP="00877BAB">
            <w:pPr>
              <w:jc w:val="center"/>
            </w:pPr>
            <w:r w:rsidRPr="00DB166F">
              <w:t>20.86</w:t>
            </w:r>
          </w:p>
        </w:tc>
        <w:tc>
          <w:tcPr>
            <w:tcW w:w="1013" w:type="dxa"/>
            <w:tcBorders>
              <w:top w:val="nil"/>
              <w:left w:val="nil"/>
              <w:bottom w:val="nil"/>
              <w:right w:val="nil"/>
            </w:tcBorders>
            <w:vAlign w:val="center"/>
          </w:tcPr>
          <w:p w14:paraId="61406D95" w14:textId="77777777" w:rsidR="00877BAB" w:rsidRPr="00DB166F" w:rsidRDefault="00877BAB" w:rsidP="00877BAB">
            <w:pPr>
              <w:jc w:val="center"/>
            </w:pPr>
            <w:r w:rsidRPr="00DB166F">
              <w:t>5.23</w:t>
            </w:r>
          </w:p>
        </w:tc>
      </w:tr>
      <w:tr w:rsidR="00877BAB" w:rsidRPr="00DB166F" w14:paraId="4C79D264" w14:textId="77777777" w:rsidTr="00877BAB">
        <w:trPr>
          <w:trHeight w:val="352"/>
        </w:trPr>
        <w:tc>
          <w:tcPr>
            <w:tcW w:w="1843" w:type="dxa"/>
            <w:tcBorders>
              <w:top w:val="nil"/>
              <w:left w:val="nil"/>
              <w:bottom w:val="nil"/>
              <w:right w:val="nil"/>
            </w:tcBorders>
            <w:vAlign w:val="center"/>
          </w:tcPr>
          <w:p w14:paraId="70793575" w14:textId="77777777" w:rsidR="00877BAB" w:rsidRPr="00DB166F" w:rsidRDefault="00877BAB" w:rsidP="00877BAB">
            <w:pPr>
              <w:jc w:val="center"/>
            </w:pPr>
            <w:r w:rsidRPr="00DB166F">
              <w:t>MHS-G</w:t>
            </w:r>
          </w:p>
        </w:tc>
        <w:tc>
          <w:tcPr>
            <w:tcW w:w="1012" w:type="dxa"/>
            <w:tcBorders>
              <w:top w:val="nil"/>
              <w:left w:val="nil"/>
              <w:bottom w:val="nil"/>
              <w:right w:val="nil"/>
            </w:tcBorders>
          </w:tcPr>
          <w:p w14:paraId="7504CE80" w14:textId="77777777" w:rsidR="00877BAB" w:rsidRPr="00DB166F" w:rsidRDefault="00877BAB" w:rsidP="00877BAB">
            <w:pPr>
              <w:jc w:val="center"/>
            </w:pPr>
            <w:r w:rsidRPr="00DB166F">
              <w:t>36</w:t>
            </w:r>
          </w:p>
        </w:tc>
        <w:tc>
          <w:tcPr>
            <w:tcW w:w="1012" w:type="dxa"/>
            <w:tcBorders>
              <w:top w:val="nil"/>
              <w:left w:val="nil"/>
              <w:bottom w:val="nil"/>
              <w:right w:val="nil"/>
            </w:tcBorders>
            <w:vAlign w:val="center"/>
          </w:tcPr>
          <w:p w14:paraId="5472EE39" w14:textId="77777777" w:rsidR="00877BAB" w:rsidRPr="00DB166F" w:rsidRDefault="00877BAB" w:rsidP="00877BAB">
            <w:pPr>
              <w:jc w:val="center"/>
            </w:pPr>
            <w:r w:rsidRPr="00DB166F">
              <w:t>20.27</w:t>
            </w:r>
          </w:p>
        </w:tc>
        <w:tc>
          <w:tcPr>
            <w:tcW w:w="1013" w:type="dxa"/>
            <w:tcBorders>
              <w:top w:val="nil"/>
              <w:left w:val="nil"/>
              <w:bottom w:val="nil"/>
              <w:right w:val="nil"/>
            </w:tcBorders>
            <w:vAlign w:val="center"/>
          </w:tcPr>
          <w:p w14:paraId="5829E5EF" w14:textId="77777777" w:rsidR="00877BAB" w:rsidRPr="00DB166F" w:rsidRDefault="00877BAB" w:rsidP="00877BAB">
            <w:pPr>
              <w:jc w:val="center"/>
            </w:pPr>
            <w:r w:rsidRPr="00DB166F">
              <w:t>6.70</w:t>
            </w:r>
          </w:p>
        </w:tc>
        <w:tc>
          <w:tcPr>
            <w:tcW w:w="1013" w:type="dxa"/>
            <w:tcBorders>
              <w:top w:val="nil"/>
              <w:left w:val="nil"/>
              <w:bottom w:val="nil"/>
              <w:right w:val="nil"/>
            </w:tcBorders>
            <w:vAlign w:val="center"/>
          </w:tcPr>
          <w:p w14:paraId="5A66EADF" w14:textId="77777777" w:rsidR="00877BAB" w:rsidRPr="00DB166F" w:rsidRDefault="00877BAB" w:rsidP="00877BAB">
            <w:pPr>
              <w:jc w:val="center"/>
            </w:pPr>
            <w:r w:rsidRPr="00DB166F">
              <w:t>19.36</w:t>
            </w:r>
          </w:p>
        </w:tc>
        <w:tc>
          <w:tcPr>
            <w:tcW w:w="1013" w:type="dxa"/>
            <w:tcBorders>
              <w:top w:val="nil"/>
              <w:left w:val="nil"/>
              <w:bottom w:val="nil"/>
              <w:right w:val="nil"/>
            </w:tcBorders>
            <w:vAlign w:val="center"/>
          </w:tcPr>
          <w:p w14:paraId="394D602D" w14:textId="77777777" w:rsidR="00877BAB" w:rsidRPr="00DB166F" w:rsidRDefault="00877BAB" w:rsidP="00877BAB">
            <w:pPr>
              <w:jc w:val="center"/>
            </w:pPr>
            <w:r w:rsidRPr="00DB166F">
              <w:t>6.12</w:t>
            </w:r>
          </w:p>
        </w:tc>
        <w:tc>
          <w:tcPr>
            <w:tcW w:w="1013" w:type="dxa"/>
            <w:tcBorders>
              <w:top w:val="nil"/>
              <w:left w:val="nil"/>
              <w:bottom w:val="nil"/>
              <w:right w:val="nil"/>
            </w:tcBorders>
            <w:vAlign w:val="center"/>
          </w:tcPr>
          <w:p w14:paraId="686F7F27" w14:textId="77777777" w:rsidR="00877BAB" w:rsidRPr="00DB166F" w:rsidRDefault="00877BAB" w:rsidP="00877BAB">
            <w:pPr>
              <w:jc w:val="center"/>
            </w:pPr>
            <w:r w:rsidRPr="00DB166F">
              <w:t>-</w:t>
            </w:r>
          </w:p>
        </w:tc>
        <w:tc>
          <w:tcPr>
            <w:tcW w:w="1013" w:type="dxa"/>
            <w:tcBorders>
              <w:top w:val="nil"/>
              <w:left w:val="nil"/>
              <w:bottom w:val="nil"/>
              <w:right w:val="nil"/>
            </w:tcBorders>
            <w:vAlign w:val="center"/>
          </w:tcPr>
          <w:p w14:paraId="186DEF16" w14:textId="77777777" w:rsidR="00877BAB" w:rsidRPr="00DB166F" w:rsidRDefault="00877BAB" w:rsidP="00877BAB">
            <w:pPr>
              <w:jc w:val="center"/>
            </w:pPr>
            <w:r w:rsidRPr="00DB166F">
              <w:t>-</w:t>
            </w:r>
          </w:p>
        </w:tc>
      </w:tr>
      <w:tr w:rsidR="00877BAB" w:rsidRPr="00DB166F" w14:paraId="53DD8CCB" w14:textId="77777777" w:rsidTr="00877BAB">
        <w:trPr>
          <w:trHeight w:val="352"/>
        </w:trPr>
        <w:tc>
          <w:tcPr>
            <w:tcW w:w="1843" w:type="dxa"/>
            <w:tcBorders>
              <w:top w:val="nil"/>
              <w:left w:val="nil"/>
              <w:bottom w:val="nil"/>
              <w:right w:val="nil"/>
            </w:tcBorders>
            <w:vAlign w:val="center"/>
          </w:tcPr>
          <w:p w14:paraId="78893764" w14:textId="77777777" w:rsidR="00877BAB" w:rsidRPr="00DB166F" w:rsidRDefault="00877BAB" w:rsidP="00877BAB">
            <w:pPr>
              <w:jc w:val="center"/>
            </w:pPr>
            <w:r w:rsidRPr="00DB166F">
              <w:t>MHS-L</w:t>
            </w:r>
          </w:p>
        </w:tc>
        <w:tc>
          <w:tcPr>
            <w:tcW w:w="1012" w:type="dxa"/>
            <w:tcBorders>
              <w:top w:val="nil"/>
              <w:left w:val="nil"/>
              <w:bottom w:val="nil"/>
              <w:right w:val="nil"/>
            </w:tcBorders>
          </w:tcPr>
          <w:p w14:paraId="431EFB34" w14:textId="77777777" w:rsidR="00877BAB" w:rsidRPr="00DB166F" w:rsidRDefault="00877BAB" w:rsidP="00877BAB">
            <w:pPr>
              <w:jc w:val="center"/>
            </w:pPr>
            <w:r w:rsidRPr="00DB166F">
              <w:t>30</w:t>
            </w:r>
          </w:p>
        </w:tc>
        <w:tc>
          <w:tcPr>
            <w:tcW w:w="1012" w:type="dxa"/>
            <w:tcBorders>
              <w:top w:val="nil"/>
              <w:left w:val="nil"/>
              <w:bottom w:val="nil"/>
              <w:right w:val="nil"/>
            </w:tcBorders>
            <w:vAlign w:val="center"/>
          </w:tcPr>
          <w:p w14:paraId="1697C7BE" w14:textId="77777777" w:rsidR="00877BAB" w:rsidRPr="00DB166F" w:rsidRDefault="00877BAB" w:rsidP="00877BAB">
            <w:pPr>
              <w:jc w:val="center"/>
            </w:pPr>
            <w:r w:rsidRPr="00DB166F">
              <w:t>21.67</w:t>
            </w:r>
          </w:p>
        </w:tc>
        <w:tc>
          <w:tcPr>
            <w:tcW w:w="1013" w:type="dxa"/>
            <w:tcBorders>
              <w:top w:val="nil"/>
              <w:left w:val="nil"/>
              <w:bottom w:val="nil"/>
              <w:right w:val="nil"/>
            </w:tcBorders>
            <w:vAlign w:val="center"/>
          </w:tcPr>
          <w:p w14:paraId="57D6934C" w14:textId="77777777" w:rsidR="00877BAB" w:rsidRPr="00DB166F" w:rsidRDefault="00877BAB" w:rsidP="00877BAB">
            <w:pPr>
              <w:jc w:val="center"/>
            </w:pPr>
            <w:r w:rsidRPr="00DB166F">
              <w:t>5.81</w:t>
            </w:r>
          </w:p>
        </w:tc>
        <w:tc>
          <w:tcPr>
            <w:tcW w:w="1013" w:type="dxa"/>
            <w:tcBorders>
              <w:top w:val="nil"/>
              <w:left w:val="nil"/>
              <w:bottom w:val="nil"/>
              <w:right w:val="nil"/>
            </w:tcBorders>
            <w:vAlign w:val="center"/>
          </w:tcPr>
          <w:p w14:paraId="5DDDAB31" w14:textId="77777777" w:rsidR="00877BAB" w:rsidRPr="00DB166F" w:rsidRDefault="00877BAB" w:rsidP="00877BAB">
            <w:pPr>
              <w:jc w:val="center"/>
            </w:pPr>
            <w:r w:rsidRPr="00DB166F">
              <w:t>19.90</w:t>
            </w:r>
          </w:p>
        </w:tc>
        <w:tc>
          <w:tcPr>
            <w:tcW w:w="1013" w:type="dxa"/>
            <w:tcBorders>
              <w:top w:val="nil"/>
              <w:left w:val="nil"/>
              <w:bottom w:val="nil"/>
              <w:right w:val="nil"/>
            </w:tcBorders>
            <w:vAlign w:val="center"/>
          </w:tcPr>
          <w:p w14:paraId="1BFD55D0" w14:textId="77777777" w:rsidR="00877BAB" w:rsidRPr="00DB166F" w:rsidRDefault="00877BAB" w:rsidP="00877BAB">
            <w:pPr>
              <w:jc w:val="center"/>
            </w:pPr>
            <w:r w:rsidRPr="00DB166F">
              <w:t>6.62</w:t>
            </w:r>
          </w:p>
        </w:tc>
        <w:tc>
          <w:tcPr>
            <w:tcW w:w="1013" w:type="dxa"/>
            <w:tcBorders>
              <w:top w:val="nil"/>
              <w:left w:val="nil"/>
              <w:bottom w:val="nil"/>
              <w:right w:val="nil"/>
            </w:tcBorders>
            <w:vAlign w:val="center"/>
          </w:tcPr>
          <w:p w14:paraId="60D1CC53" w14:textId="77777777" w:rsidR="00877BAB" w:rsidRPr="00DB166F" w:rsidRDefault="00877BAB" w:rsidP="00877BAB">
            <w:pPr>
              <w:jc w:val="center"/>
            </w:pPr>
            <w:r w:rsidRPr="00DB166F">
              <w:t>-</w:t>
            </w:r>
          </w:p>
        </w:tc>
        <w:tc>
          <w:tcPr>
            <w:tcW w:w="1013" w:type="dxa"/>
            <w:tcBorders>
              <w:top w:val="nil"/>
              <w:left w:val="nil"/>
              <w:bottom w:val="nil"/>
              <w:right w:val="nil"/>
            </w:tcBorders>
            <w:vAlign w:val="center"/>
          </w:tcPr>
          <w:p w14:paraId="6B987C18" w14:textId="77777777" w:rsidR="00877BAB" w:rsidRPr="00DB166F" w:rsidRDefault="00877BAB" w:rsidP="00877BAB">
            <w:pPr>
              <w:jc w:val="center"/>
            </w:pPr>
            <w:r w:rsidRPr="00DB166F">
              <w:t>-</w:t>
            </w:r>
          </w:p>
        </w:tc>
      </w:tr>
      <w:tr w:rsidR="00877BAB" w:rsidRPr="00DB166F" w14:paraId="0C4DB0C7" w14:textId="77777777" w:rsidTr="00877BAB">
        <w:trPr>
          <w:trHeight w:val="352"/>
        </w:trPr>
        <w:tc>
          <w:tcPr>
            <w:tcW w:w="1843" w:type="dxa"/>
            <w:tcBorders>
              <w:top w:val="nil"/>
              <w:left w:val="nil"/>
              <w:bottom w:val="nil"/>
              <w:right w:val="nil"/>
            </w:tcBorders>
            <w:vAlign w:val="center"/>
          </w:tcPr>
          <w:p w14:paraId="756F2D1F" w14:textId="77777777" w:rsidR="00877BAB" w:rsidRPr="00DB166F" w:rsidRDefault="00877BAB" w:rsidP="00877BAB">
            <w:pPr>
              <w:jc w:val="center"/>
            </w:pPr>
            <w:r w:rsidRPr="00DB166F">
              <w:t>HATH</w:t>
            </w:r>
          </w:p>
        </w:tc>
        <w:tc>
          <w:tcPr>
            <w:tcW w:w="1012" w:type="dxa"/>
            <w:tcBorders>
              <w:top w:val="nil"/>
              <w:left w:val="nil"/>
              <w:bottom w:val="nil"/>
              <w:right w:val="nil"/>
            </w:tcBorders>
          </w:tcPr>
          <w:p w14:paraId="4522F53F" w14:textId="77777777" w:rsidR="00877BAB" w:rsidRPr="00DB166F" w:rsidRDefault="00877BAB" w:rsidP="00877BAB">
            <w:pPr>
              <w:jc w:val="center"/>
            </w:pPr>
            <w:r w:rsidRPr="00DB166F">
              <w:t>66</w:t>
            </w:r>
          </w:p>
        </w:tc>
        <w:tc>
          <w:tcPr>
            <w:tcW w:w="1012" w:type="dxa"/>
            <w:tcBorders>
              <w:top w:val="nil"/>
              <w:left w:val="nil"/>
              <w:bottom w:val="nil"/>
              <w:right w:val="nil"/>
            </w:tcBorders>
            <w:vAlign w:val="center"/>
          </w:tcPr>
          <w:p w14:paraId="69275CCF" w14:textId="77777777" w:rsidR="00877BAB" w:rsidRPr="00DB166F" w:rsidRDefault="00877BAB" w:rsidP="00877BAB">
            <w:pPr>
              <w:jc w:val="center"/>
            </w:pPr>
            <w:r w:rsidRPr="00DB166F">
              <w:t>31.97</w:t>
            </w:r>
          </w:p>
        </w:tc>
        <w:tc>
          <w:tcPr>
            <w:tcW w:w="1013" w:type="dxa"/>
            <w:tcBorders>
              <w:top w:val="nil"/>
              <w:left w:val="nil"/>
              <w:bottom w:val="nil"/>
              <w:right w:val="nil"/>
            </w:tcBorders>
            <w:vAlign w:val="center"/>
          </w:tcPr>
          <w:p w14:paraId="262052C2" w14:textId="77777777" w:rsidR="00877BAB" w:rsidRPr="00DB166F" w:rsidRDefault="00877BAB" w:rsidP="00877BAB">
            <w:pPr>
              <w:jc w:val="center"/>
            </w:pPr>
            <w:r w:rsidRPr="00DB166F">
              <w:t>9.67</w:t>
            </w:r>
          </w:p>
        </w:tc>
        <w:tc>
          <w:tcPr>
            <w:tcW w:w="1013" w:type="dxa"/>
            <w:tcBorders>
              <w:top w:val="nil"/>
              <w:left w:val="nil"/>
              <w:bottom w:val="nil"/>
              <w:right w:val="nil"/>
            </w:tcBorders>
            <w:vAlign w:val="center"/>
          </w:tcPr>
          <w:p w14:paraId="4113A2FC" w14:textId="77777777" w:rsidR="00877BAB" w:rsidRPr="00DB166F" w:rsidRDefault="00877BAB" w:rsidP="00877BAB">
            <w:pPr>
              <w:jc w:val="center"/>
            </w:pPr>
            <w:r w:rsidRPr="00DB166F">
              <w:t>32.07</w:t>
            </w:r>
          </w:p>
        </w:tc>
        <w:tc>
          <w:tcPr>
            <w:tcW w:w="1013" w:type="dxa"/>
            <w:tcBorders>
              <w:top w:val="nil"/>
              <w:left w:val="nil"/>
              <w:bottom w:val="nil"/>
              <w:right w:val="nil"/>
            </w:tcBorders>
            <w:vAlign w:val="center"/>
          </w:tcPr>
          <w:p w14:paraId="29607477" w14:textId="77777777" w:rsidR="00877BAB" w:rsidRPr="00DB166F" w:rsidRDefault="00877BAB" w:rsidP="00877BAB">
            <w:pPr>
              <w:jc w:val="center"/>
            </w:pPr>
            <w:r w:rsidRPr="00DB166F">
              <w:t>9.90</w:t>
            </w:r>
          </w:p>
        </w:tc>
        <w:tc>
          <w:tcPr>
            <w:tcW w:w="1013" w:type="dxa"/>
            <w:tcBorders>
              <w:top w:val="nil"/>
              <w:left w:val="nil"/>
              <w:bottom w:val="nil"/>
              <w:right w:val="nil"/>
            </w:tcBorders>
            <w:vAlign w:val="center"/>
          </w:tcPr>
          <w:p w14:paraId="7460C7AD" w14:textId="77777777" w:rsidR="00877BAB" w:rsidRPr="00DB166F" w:rsidRDefault="00877BAB" w:rsidP="00877BAB">
            <w:pPr>
              <w:jc w:val="center"/>
            </w:pPr>
            <w:r w:rsidRPr="00DB166F">
              <w:t>-</w:t>
            </w:r>
          </w:p>
        </w:tc>
        <w:tc>
          <w:tcPr>
            <w:tcW w:w="1013" w:type="dxa"/>
            <w:tcBorders>
              <w:top w:val="nil"/>
              <w:left w:val="nil"/>
              <w:bottom w:val="nil"/>
              <w:right w:val="nil"/>
            </w:tcBorders>
            <w:vAlign w:val="center"/>
          </w:tcPr>
          <w:p w14:paraId="3FD93EDE" w14:textId="77777777" w:rsidR="00877BAB" w:rsidRPr="00DB166F" w:rsidRDefault="00877BAB" w:rsidP="00877BAB">
            <w:pPr>
              <w:jc w:val="center"/>
            </w:pPr>
            <w:r w:rsidRPr="00DB166F">
              <w:t>-</w:t>
            </w:r>
          </w:p>
        </w:tc>
      </w:tr>
      <w:tr w:rsidR="00877BAB" w:rsidRPr="00DB166F" w14:paraId="069FDBAF" w14:textId="77777777" w:rsidTr="00877BAB">
        <w:trPr>
          <w:trHeight w:val="352"/>
        </w:trPr>
        <w:tc>
          <w:tcPr>
            <w:tcW w:w="1843" w:type="dxa"/>
            <w:tcBorders>
              <w:top w:val="nil"/>
              <w:left w:val="nil"/>
              <w:right w:val="nil"/>
            </w:tcBorders>
            <w:vAlign w:val="center"/>
          </w:tcPr>
          <w:p w14:paraId="1B838BE0" w14:textId="77777777" w:rsidR="00877BAB" w:rsidRPr="00DB166F" w:rsidRDefault="00877BAB" w:rsidP="00877BAB">
            <w:pPr>
              <w:jc w:val="center"/>
            </w:pPr>
            <w:r w:rsidRPr="00DB166F">
              <w:t>SDO</w:t>
            </w:r>
          </w:p>
        </w:tc>
        <w:tc>
          <w:tcPr>
            <w:tcW w:w="1012" w:type="dxa"/>
            <w:tcBorders>
              <w:top w:val="nil"/>
              <w:left w:val="nil"/>
              <w:right w:val="nil"/>
            </w:tcBorders>
          </w:tcPr>
          <w:p w14:paraId="2099D217" w14:textId="77777777" w:rsidR="00877BAB" w:rsidRPr="00DB166F" w:rsidRDefault="00877BAB" w:rsidP="00877BAB">
            <w:pPr>
              <w:jc w:val="center"/>
            </w:pPr>
            <w:r w:rsidRPr="00DB166F">
              <w:t>66</w:t>
            </w:r>
          </w:p>
        </w:tc>
        <w:tc>
          <w:tcPr>
            <w:tcW w:w="1012" w:type="dxa"/>
            <w:tcBorders>
              <w:top w:val="nil"/>
              <w:left w:val="nil"/>
              <w:right w:val="nil"/>
            </w:tcBorders>
            <w:vAlign w:val="center"/>
          </w:tcPr>
          <w:p w14:paraId="481D7B4C" w14:textId="77777777" w:rsidR="00877BAB" w:rsidRPr="00DB166F" w:rsidRDefault="00877BAB" w:rsidP="00877BAB">
            <w:pPr>
              <w:jc w:val="center"/>
            </w:pPr>
            <w:r w:rsidRPr="00DB166F">
              <w:t>15.68</w:t>
            </w:r>
          </w:p>
        </w:tc>
        <w:tc>
          <w:tcPr>
            <w:tcW w:w="1013" w:type="dxa"/>
            <w:tcBorders>
              <w:top w:val="nil"/>
              <w:left w:val="nil"/>
              <w:right w:val="nil"/>
            </w:tcBorders>
            <w:vAlign w:val="center"/>
          </w:tcPr>
          <w:p w14:paraId="2E0FDC44" w14:textId="77777777" w:rsidR="00877BAB" w:rsidRPr="00DB166F" w:rsidRDefault="00877BAB" w:rsidP="00877BAB">
            <w:pPr>
              <w:jc w:val="center"/>
            </w:pPr>
            <w:r w:rsidRPr="00DB166F">
              <w:t>4.41</w:t>
            </w:r>
          </w:p>
        </w:tc>
        <w:tc>
          <w:tcPr>
            <w:tcW w:w="1013" w:type="dxa"/>
            <w:tcBorders>
              <w:top w:val="nil"/>
              <w:left w:val="nil"/>
              <w:right w:val="nil"/>
            </w:tcBorders>
            <w:vAlign w:val="center"/>
          </w:tcPr>
          <w:p w14:paraId="3181E563" w14:textId="77777777" w:rsidR="00877BAB" w:rsidRPr="00DB166F" w:rsidRDefault="00877BAB" w:rsidP="00877BAB">
            <w:pPr>
              <w:jc w:val="center"/>
            </w:pPr>
            <w:r w:rsidRPr="00DB166F">
              <w:t>14.80</w:t>
            </w:r>
          </w:p>
        </w:tc>
        <w:tc>
          <w:tcPr>
            <w:tcW w:w="1013" w:type="dxa"/>
            <w:tcBorders>
              <w:top w:val="nil"/>
              <w:left w:val="nil"/>
              <w:right w:val="nil"/>
            </w:tcBorders>
            <w:vAlign w:val="center"/>
          </w:tcPr>
          <w:p w14:paraId="5F49C1C8" w14:textId="77777777" w:rsidR="00877BAB" w:rsidRPr="00DB166F" w:rsidRDefault="00877BAB" w:rsidP="00877BAB">
            <w:pPr>
              <w:jc w:val="center"/>
            </w:pPr>
            <w:r w:rsidRPr="00DB166F">
              <w:t>4.21</w:t>
            </w:r>
          </w:p>
        </w:tc>
        <w:tc>
          <w:tcPr>
            <w:tcW w:w="1013" w:type="dxa"/>
            <w:tcBorders>
              <w:top w:val="nil"/>
              <w:left w:val="nil"/>
              <w:right w:val="nil"/>
            </w:tcBorders>
            <w:vAlign w:val="center"/>
          </w:tcPr>
          <w:p w14:paraId="2B9C060D" w14:textId="77777777" w:rsidR="00877BAB" w:rsidRPr="00DB166F" w:rsidRDefault="00877BAB" w:rsidP="00877BAB">
            <w:pPr>
              <w:jc w:val="center"/>
            </w:pPr>
            <w:r w:rsidRPr="00DB166F">
              <w:t>-</w:t>
            </w:r>
          </w:p>
        </w:tc>
        <w:tc>
          <w:tcPr>
            <w:tcW w:w="1013" w:type="dxa"/>
            <w:tcBorders>
              <w:top w:val="nil"/>
              <w:left w:val="nil"/>
              <w:right w:val="nil"/>
            </w:tcBorders>
            <w:vAlign w:val="center"/>
          </w:tcPr>
          <w:p w14:paraId="1BA0E5E2" w14:textId="77777777" w:rsidR="00877BAB" w:rsidRPr="00DB166F" w:rsidRDefault="00877BAB" w:rsidP="00877BAB">
            <w:pPr>
              <w:jc w:val="center"/>
            </w:pPr>
            <w:r w:rsidRPr="00DB166F">
              <w:t>-</w:t>
            </w:r>
          </w:p>
        </w:tc>
      </w:tr>
    </w:tbl>
    <w:p w14:paraId="3DBB6E1D" w14:textId="77777777" w:rsidR="00877BAB" w:rsidRPr="00DB166F" w:rsidRDefault="00877BAB" w:rsidP="00877BAB">
      <w:pPr>
        <w:pStyle w:val="NoSpacing"/>
      </w:pPr>
      <w:r w:rsidRPr="00BB672C">
        <w:rPr>
          <w:i/>
        </w:rPr>
        <w:t>Note</w:t>
      </w:r>
      <w:r>
        <w:rPr>
          <w:i/>
        </w:rPr>
        <w:t>.</w:t>
      </w:r>
      <w:r>
        <w:t xml:space="preserve"> </w:t>
      </w:r>
      <w:r w:rsidRPr="003148D9">
        <w:t>TS = Transphobia Scale; MHS-G = Modern Homonegativity Scale – Gay Men; MHS-L = Modern Homonegativity Scale – Lesbian Women; HATH = Heterosexuals’ Attitudes Towards Homosexuality Scale; SDO = Social Dominance Orientation Scale.</w:t>
      </w:r>
    </w:p>
    <w:p w14:paraId="5A7C2873" w14:textId="77777777" w:rsidR="00877BAB" w:rsidRPr="00DB166F" w:rsidRDefault="00877BAB" w:rsidP="00877BAB">
      <w:pPr>
        <w:spacing w:line="480" w:lineRule="auto"/>
        <w:jc w:val="center"/>
      </w:pPr>
    </w:p>
    <w:p w14:paraId="68289C6A" w14:textId="77777777" w:rsidR="00877BAB" w:rsidRDefault="00877BAB" w:rsidP="00877BAB">
      <w:pPr>
        <w:spacing w:after="0" w:line="240" w:lineRule="auto"/>
        <w:rPr>
          <w:sz w:val="20"/>
          <w:szCs w:val="20"/>
          <w:lang w:val="en-US"/>
        </w:rPr>
      </w:pPr>
      <w:r>
        <w:rPr>
          <w:sz w:val="20"/>
          <w:szCs w:val="20"/>
          <w:lang w:val="en-US"/>
        </w:rPr>
        <w:br w:type="page"/>
      </w:r>
    </w:p>
    <w:p w14:paraId="79058A23" w14:textId="77777777" w:rsidR="00877BAB" w:rsidRPr="00553F90" w:rsidRDefault="00877BAB" w:rsidP="00877BAB">
      <w:pPr>
        <w:rPr>
          <w:szCs w:val="20"/>
          <w:lang w:val="en-US"/>
        </w:rPr>
      </w:pPr>
      <w:r w:rsidRPr="00553F90">
        <w:rPr>
          <w:szCs w:val="20"/>
          <w:lang w:val="en-US"/>
        </w:rPr>
        <w:t xml:space="preserve">Table 2. </w:t>
      </w:r>
    </w:p>
    <w:p w14:paraId="649155AD" w14:textId="77777777" w:rsidR="00877BAB" w:rsidRPr="00553F90" w:rsidRDefault="00877BAB" w:rsidP="00877BAB">
      <w:pPr>
        <w:rPr>
          <w:i/>
          <w:szCs w:val="20"/>
          <w:lang w:val="en-US"/>
        </w:rPr>
      </w:pPr>
      <w:r w:rsidRPr="00553F90">
        <w:rPr>
          <w:i/>
          <w:szCs w:val="20"/>
          <w:lang w:val="en-US"/>
        </w:rPr>
        <w:t xml:space="preserve">Cronbach’s </w:t>
      </w:r>
      <w:r>
        <w:rPr>
          <w:i/>
          <w:szCs w:val="20"/>
          <w:lang w:val="en-US"/>
        </w:rPr>
        <w:t>α</w:t>
      </w:r>
      <w:r w:rsidRPr="00553F90">
        <w:rPr>
          <w:i/>
          <w:szCs w:val="20"/>
          <w:lang w:val="en-US"/>
        </w:rPr>
        <w:t xml:space="preserve"> and confidence intervals for current study measures stratified by time point.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228"/>
        <w:gridCol w:w="1229"/>
        <w:gridCol w:w="1228"/>
        <w:gridCol w:w="1229"/>
        <w:gridCol w:w="1228"/>
        <w:gridCol w:w="1229"/>
      </w:tblGrid>
      <w:tr w:rsidR="00877BAB" w:rsidRPr="00DB166F" w14:paraId="608EE5F7" w14:textId="77777777" w:rsidTr="00877BAB">
        <w:trPr>
          <w:trHeight w:val="352"/>
        </w:trPr>
        <w:tc>
          <w:tcPr>
            <w:tcW w:w="1560" w:type="dxa"/>
            <w:vMerge w:val="restart"/>
            <w:tcBorders>
              <w:left w:val="nil"/>
              <w:bottom w:val="nil"/>
              <w:right w:val="nil"/>
            </w:tcBorders>
          </w:tcPr>
          <w:p w14:paraId="3690BC85" w14:textId="77777777" w:rsidR="00877BAB" w:rsidRPr="00DB166F" w:rsidRDefault="00877BAB" w:rsidP="00877BAB">
            <w:pPr>
              <w:jc w:val="center"/>
            </w:pPr>
            <w:r w:rsidRPr="00DB166F">
              <w:t>Measure</w:t>
            </w:r>
          </w:p>
        </w:tc>
        <w:tc>
          <w:tcPr>
            <w:tcW w:w="2457" w:type="dxa"/>
            <w:gridSpan w:val="2"/>
            <w:tcBorders>
              <w:left w:val="nil"/>
              <w:bottom w:val="single" w:sz="4" w:space="0" w:color="auto"/>
              <w:right w:val="nil"/>
            </w:tcBorders>
            <w:vAlign w:val="center"/>
          </w:tcPr>
          <w:p w14:paraId="699CF8A8" w14:textId="77777777" w:rsidR="00877BAB" w:rsidRPr="00DB166F" w:rsidRDefault="00877BAB" w:rsidP="00877BAB">
            <w:pPr>
              <w:jc w:val="center"/>
            </w:pPr>
            <w:r>
              <w:t>Week 1</w:t>
            </w:r>
          </w:p>
        </w:tc>
        <w:tc>
          <w:tcPr>
            <w:tcW w:w="2457" w:type="dxa"/>
            <w:gridSpan w:val="2"/>
            <w:tcBorders>
              <w:left w:val="nil"/>
              <w:bottom w:val="single" w:sz="4" w:space="0" w:color="auto"/>
              <w:right w:val="nil"/>
            </w:tcBorders>
            <w:vAlign w:val="center"/>
          </w:tcPr>
          <w:p w14:paraId="45FC23AA" w14:textId="77777777" w:rsidR="00877BAB" w:rsidRPr="00DB166F" w:rsidRDefault="00877BAB" w:rsidP="00877BAB">
            <w:pPr>
              <w:jc w:val="center"/>
            </w:pPr>
            <w:r>
              <w:t>Week 5</w:t>
            </w:r>
          </w:p>
        </w:tc>
        <w:tc>
          <w:tcPr>
            <w:tcW w:w="2457" w:type="dxa"/>
            <w:gridSpan w:val="2"/>
            <w:tcBorders>
              <w:left w:val="nil"/>
              <w:bottom w:val="single" w:sz="4" w:space="0" w:color="auto"/>
              <w:right w:val="nil"/>
            </w:tcBorders>
            <w:vAlign w:val="center"/>
          </w:tcPr>
          <w:p w14:paraId="74F11A67" w14:textId="77777777" w:rsidR="00877BAB" w:rsidRPr="00DB166F" w:rsidRDefault="00877BAB" w:rsidP="00877BAB">
            <w:pPr>
              <w:jc w:val="center"/>
            </w:pPr>
            <w:r>
              <w:t>Week 12</w:t>
            </w:r>
          </w:p>
        </w:tc>
      </w:tr>
      <w:tr w:rsidR="00877BAB" w:rsidRPr="00DB166F" w14:paraId="3E402F06" w14:textId="77777777" w:rsidTr="00877BAB">
        <w:trPr>
          <w:trHeight w:val="352"/>
        </w:trPr>
        <w:tc>
          <w:tcPr>
            <w:tcW w:w="1560" w:type="dxa"/>
            <w:vMerge/>
            <w:tcBorders>
              <w:top w:val="nil"/>
              <w:left w:val="nil"/>
              <w:bottom w:val="nil"/>
              <w:right w:val="nil"/>
            </w:tcBorders>
            <w:vAlign w:val="center"/>
          </w:tcPr>
          <w:p w14:paraId="65191B01" w14:textId="77777777" w:rsidR="00877BAB" w:rsidRPr="00DB166F" w:rsidRDefault="00877BAB" w:rsidP="00877BAB">
            <w:pPr>
              <w:jc w:val="center"/>
            </w:pPr>
          </w:p>
        </w:tc>
        <w:tc>
          <w:tcPr>
            <w:tcW w:w="1228" w:type="dxa"/>
            <w:tcBorders>
              <w:left w:val="nil"/>
              <w:bottom w:val="nil"/>
              <w:right w:val="nil"/>
            </w:tcBorders>
            <w:vAlign w:val="center"/>
          </w:tcPr>
          <w:p w14:paraId="0F2DF33F" w14:textId="77777777" w:rsidR="00877BAB" w:rsidRPr="00DB166F" w:rsidRDefault="00877BAB" w:rsidP="00877BAB">
            <w:pPr>
              <w:jc w:val="center"/>
              <w:rPr>
                <w:u w:val="single"/>
              </w:rPr>
            </w:pPr>
            <w:r w:rsidRPr="00DB166F">
              <w:rPr>
                <w:u w:val="single"/>
              </w:rPr>
              <w:t>α</w:t>
            </w:r>
          </w:p>
        </w:tc>
        <w:tc>
          <w:tcPr>
            <w:tcW w:w="1229" w:type="dxa"/>
            <w:tcBorders>
              <w:left w:val="nil"/>
              <w:bottom w:val="nil"/>
              <w:right w:val="nil"/>
            </w:tcBorders>
            <w:vAlign w:val="center"/>
          </w:tcPr>
          <w:p w14:paraId="70D9715B" w14:textId="77777777" w:rsidR="00877BAB" w:rsidRPr="00DB166F" w:rsidRDefault="00877BAB" w:rsidP="00877BAB">
            <w:pPr>
              <w:jc w:val="center"/>
              <w:rPr>
                <w:u w:val="single"/>
              </w:rPr>
            </w:pPr>
            <w:r w:rsidRPr="00DB166F">
              <w:rPr>
                <w:u w:val="single"/>
              </w:rPr>
              <w:t>(95% CI)</w:t>
            </w:r>
          </w:p>
        </w:tc>
        <w:tc>
          <w:tcPr>
            <w:tcW w:w="1228" w:type="dxa"/>
            <w:tcBorders>
              <w:left w:val="nil"/>
              <w:bottom w:val="nil"/>
              <w:right w:val="nil"/>
            </w:tcBorders>
            <w:vAlign w:val="center"/>
          </w:tcPr>
          <w:p w14:paraId="60DE961C" w14:textId="77777777" w:rsidR="00877BAB" w:rsidRPr="00DB166F" w:rsidRDefault="00877BAB" w:rsidP="00877BAB">
            <w:pPr>
              <w:jc w:val="center"/>
              <w:rPr>
                <w:u w:val="single"/>
              </w:rPr>
            </w:pPr>
            <w:r w:rsidRPr="00DB166F">
              <w:rPr>
                <w:u w:val="single"/>
              </w:rPr>
              <w:t>α</w:t>
            </w:r>
          </w:p>
        </w:tc>
        <w:tc>
          <w:tcPr>
            <w:tcW w:w="1229" w:type="dxa"/>
            <w:tcBorders>
              <w:left w:val="nil"/>
              <w:bottom w:val="nil"/>
              <w:right w:val="nil"/>
            </w:tcBorders>
            <w:vAlign w:val="center"/>
          </w:tcPr>
          <w:p w14:paraId="5631994C" w14:textId="77777777" w:rsidR="00877BAB" w:rsidRPr="00DB166F" w:rsidRDefault="00877BAB" w:rsidP="00877BAB">
            <w:pPr>
              <w:jc w:val="center"/>
              <w:rPr>
                <w:u w:val="single"/>
              </w:rPr>
            </w:pPr>
            <w:r w:rsidRPr="00DB166F">
              <w:rPr>
                <w:u w:val="single"/>
              </w:rPr>
              <w:t>(95% CI)</w:t>
            </w:r>
          </w:p>
        </w:tc>
        <w:tc>
          <w:tcPr>
            <w:tcW w:w="1228" w:type="dxa"/>
            <w:tcBorders>
              <w:left w:val="nil"/>
              <w:bottom w:val="nil"/>
              <w:right w:val="nil"/>
            </w:tcBorders>
            <w:vAlign w:val="center"/>
          </w:tcPr>
          <w:p w14:paraId="47D2CC61" w14:textId="77777777" w:rsidR="00877BAB" w:rsidRPr="00DB166F" w:rsidRDefault="00877BAB" w:rsidP="00877BAB">
            <w:pPr>
              <w:jc w:val="center"/>
              <w:rPr>
                <w:u w:val="single"/>
              </w:rPr>
            </w:pPr>
            <w:r w:rsidRPr="00DB166F">
              <w:rPr>
                <w:u w:val="single"/>
              </w:rPr>
              <w:t>α</w:t>
            </w:r>
          </w:p>
        </w:tc>
        <w:tc>
          <w:tcPr>
            <w:tcW w:w="1229" w:type="dxa"/>
            <w:tcBorders>
              <w:left w:val="nil"/>
              <w:bottom w:val="nil"/>
              <w:right w:val="nil"/>
            </w:tcBorders>
            <w:vAlign w:val="center"/>
          </w:tcPr>
          <w:p w14:paraId="7CF781EC" w14:textId="77777777" w:rsidR="00877BAB" w:rsidRPr="00DB166F" w:rsidRDefault="00877BAB" w:rsidP="00877BAB">
            <w:pPr>
              <w:jc w:val="center"/>
              <w:rPr>
                <w:u w:val="single"/>
              </w:rPr>
            </w:pPr>
            <w:r w:rsidRPr="00DB166F">
              <w:rPr>
                <w:u w:val="single"/>
              </w:rPr>
              <w:t>(95% CI)</w:t>
            </w:r>
          </w:p>
        </w:tc>
      </w:tr>
      <w:tr w:rsidR="00877BAB" w:rsidRPr="00DB166F" w14:paraId="6973A758" w14:textId="77777777" w:rsidTr="00877BAB">
        <w:trPr>
          <w:trHeight w:val="352"/>
        </w:trPr>
        <w:tc>
          <w:tcPr>
            <w:tcW w:w="1560" w:type="dxa"/>
            <w:tcBorders>
              <w:top w:val="nil"/>
              <w:left w:val="nil"/>
              <w:bottom w:val="nil"/>
              <w:right w:val="nil"/>
            </w:tcBorders>
            <w:vAlign w:val="center"/>
          </w:tcPr>
          <w:p w14:paraId="3F58CF6C" w14:textId="77777777" w:rsidR="00877BAB" w:rsidRPr="00DB166F" w:rsidRDefault="00877BAB" w:rsidP="00877BAB">
            <w:pPr>
              <w:jc w:val="center"/>
            </w:pPr>
            <w:r w:rsidRPr="00DB166F">
              <w:t>TS</w:t>
            </w:r>
          </w:p>
        </w:tc>
        <w:tc>
          <w:tcPr>
            <w:tcW w:w="1228" w:type="dxa"/>
            <w:tcBorders>
              <w:top w:val="nil"/>
              <w:left w:val="nil"/>
              <w:bottom w:val="nil"/>
              <w:right w:val="nil"/>
            </w:tcBorders>
            <w:vAlign w:val="center"/>
          </w:tcPr>
          <w:p w14:paraId="4D1A3EB2" w14:textId="77777777" w:rsidR="00877BAB" w:rsidRPr="00DB166F" w:rsidRDefault="00877BAB" w:rsidP="00877BAB">
            <w:pPr>
              <w:jc w:val="center"/>
            </w:pPr>
            <w:r w:rsidRPr="00DB166F">
              <w:t>.79</w:t>
            </w:r>
          </w:p>
        </w:tc>
        <w:tc>
          <w:tcPr>
            <w:tcW w:w="1229" w:type="dxa"/>
            <w:tcBorders>
              <w:top w:val="nil"/>
              <w:left w:val="nil"/>
              <w:bottom w:val="nil"/>
              <w:right w:val="nil"/>
            </w:tcBorders>
            <w:vAlign w:val="center"/>
          </w:tcPr>
          <w:p w14:paraId="02E4120D" w14:textId="77777777" w:rsidR="00877BAB" w:rsidRPr="00DB166F" w:rsidRDefault="00877BAB" w:rsidP="00877BAB">
            <w:pPr>
              <w:jc w:val="center"/>
            </w:pPr>
            <w:r w:rsidRPr="00DB166F">
              <w:t>(.70 - .86)</w:t>
            </w:r>
          </w:p>
        </w:tc>
        <w:tc>
          <w:tcPr>
            <w:tcW w:w="1228" w:type="dxa"/>
            <w:tcBorders>
              <w:top w:val="nil"/>
              <w:left w:val="nil"/>
              <w:bottom w:val="nil"/>
              <w:right w:val="nil"/>
            </w:tcBorders>
            <w:vAlign w:val="center"/>
          </w:tcPr>
          <w:p w14:paraId="029538F8" w14:textId="77777777" w:rsidR="00877BAB" w:rsidRPr="00DB166F" w:rsidRDefault="00877BAB" w:rsidP="00877BAB">
            <w:pPr>
              <w:jc w:val="center"/>
            </w:pPr>
            <w:r w:rsidRPr="00DB166F">
              <w:t>.88</w:t>
            </w:r>
          </w:p>
        </w:tc>
        <w:tc>
          <w:tcPr>
            <w:tcW w:w="1229" w:type="dxa"/>
            <w:tcBorders>
              <w:top w:val="nil"/>
              <w:left w:val="nil"/>
              <w:bottom w:val="nil"/>
              <w:right w:val="nil"/>
            </w:tcBorders>
            <w:vAlign w:val="center"/>
          </w:tcPr>
          <w:p w14:paraId="31B73712" w14:textId="77777777" w:rsidR="00877BAB" w:rsidRPr="00DB166F" w:rsidRDefault="00877BAB" w:rsidP="00877BAB">
            <w:pPr>
              <w:jc w:val="center"/>
            </w:pPr>
            <w:r w:rsidRPr="00DB166F">
              <w:t>(.83 - .92)</w:t>
            </w:r>
          </w:p>
        </w:tc>
        <w:tc>
          <w:tcPr>
            <w:tcW w:w="1228" w:type="dxa"/>
            <w:tcBorders>
              <w:top w:val="nil"/>
              <w:left w:val="nil"/>
              <w:bottom w:val="nil"/>
              <w:right w:val="nil"/>
            </w:tcBorders>
            <w:vAlign w:val="center"/>
          </w:tcPr>
          <w:p w14:paraId="5CC8881F" w14:textId="77777777" w:rsidR="00877BAB" w:rsidRPr="00DB166F" w:rsidRDefault="00877BAB" w:rsidP="00877BAB">
            <w:pPr>
              <w:jc w:val="center"/>
            </w:pPr>
            <w:r w:rsidRPr="00DB166F">
              <w:t>.83</w:t>
            </w:r>
          </w:p>
        </w:tc>
        <w:tc>
          <w:tcPr>
            <w:tcW w:w="1229" w:type="dxa"/>
            <w:tcBorders>
              <w:top w:val="nil"/>
              <w:left w:val="nil"/>
              <w:bottom w:val="nil"/>
              <w:right w:val="nil"/>
            </w:tcBorders>
            <w:vAlign w:val="center"/>
          </w:tcPr>
          <w:p w14:paraId="141AF69D" w14:textId="77777777" w:rsidR="00877BAB" w:rsidRPr="00DB166F" w:rsidRDefault="00877BAB" w:rsidP="00877BAB">
            <w:pPr>
              <w:jc w:val="center"/>
            </w:pPr>
            <w:r w:rsidRPr="00DB166F">
              <w:t>(.76 - .88)</w:t>
            </w:r>
          </w:p>
        </w:tc>
      </w:tr>
      <w:tr w:rsidR="00877BAB" w:rsidRPr="00DB166F" w14:paraId="02D0F2C9" w14:textId="77777777" w:rsidTr="00877BAB">
        <w:trPr>
          <w:trHeight w:val="352"/>
        </w:trPr>
        <w:tc>
          <w:tcPr>
            <w:tcW w:w="1560" w:type="dxa"/>
            <w:tcBorders>
              <w:top w:val="nil"/>
              <w:left w:val="nil"/>
              <w:bottom w:val="nil"/>
              <w:right w:val="nil"/>
            </w:tcBorders>
            <w:vAlign w:val="center"/>
          </w:tcPr>
          <w:p w14:paraId="14E7D1A8" w14:textId="77777777" w:rsidR="00877BAB" w:rsidRPr="00DB166F" w:rsidRDefault="00877BAB" w:rsidP="00877BAB">
            <w:pPr>
              <w:jc w:val="center"/>
            </w:pPr>
            <w:r w:rsidRPr="00DB166F">
              <w:t>MHS-G</w:t>
            </w:r>
          </w:p>
        </w:tc>
        <w:tc>
          <w:tcPr>
            <w:tcW w:w="1228" w:type="dxa"/>
            <w:tcBorders>
              <w:top w:val="nil"/>
              <w:left w:val="nil"/>
              <w:bottom w:val="nil"/>
              <w:right w:val="nil"/>
            </w:tcBorders>
            <w:vAlign w:val="center"/>
          </w:tcPr>
          <w:p w14:paraId="1C62E915" w14:textId="77777777" w:rsidR="00877BAB" w:rsidRPr="00DB166F" w:rsidRDefault="00877BAB" w:rsidP="00877BAB">
            <w:pPr>
              <w:jc w:val="center"/>
            </w:pPr>
            <w:r w:rsidRPr="00DB166F">
              <w:t>.89</w:t>
            </w:r>
          </w:p>
        </w:tc>
        <w:tc>
          <w:tcPr>
            <w:tcW w:w="1229" w:type="dxa"/>
            <w:tcBorders>
              <w:top w:val="nil"/>
              <w:left w:val="nil"/>
              <w:bottom w:val="nil"/>
              <w:right w:val="nil"/>
            </w:tcBorders>
            <w:vAlign w:val="center"/>
          </w:tcPr>
          <w:p w14:paraId="1994964F" w14:textId="77777777" w:rsidR="00877BAB" w:rsidRPr="00DB166F" w:rsidRDefault="00877BAB" w:rsidP="00877BAB">
            <w:pPr>
              <w:jc w:val="center"/>
            </w:pPr>
            <w:r w:rsidRPr="00DB166F">
              <w:t>(.83 - .94)</w:t>
            </w:r>
          </w:p>
        </w:tc>
        <w:tc>
          <w:tcPr>
            <w:tcW w:w="1228" w:type="dxa"/>
            <w:tcBorders>
              <w:top w:val="nil"/>
              <w:left w:val="nil"/>
              <w:bottom w:val="nil"/>
              <w:right w:val="nil"/>
            </w:tcBorders>
            <w:vAlign w:val="center"/>
          </w:tcPr>
          <w:p w14:paraId="745719B5" w14:textId="77777777" w:rsidR="00877BAB" w:rsidRPr="00DB166F" w:rsidRDefault="00877BAB" w:rsidP="00877BAB">
            <w:pPr>
              <w:jc w:val="center"/>
            </w:pPr>
            <w:r w:rsidRPr="00DB166F">
              <w:t>.90</w:t>
            </w:r>
          </w:p>
        </w:tc>
        <w:tc>
          <w:tcPr>
            <w:tcW w:w="1229" w:type="dxa"/>
            <w:tcBorders>
              <w:top w:val="nil"/>
              <w:left w:val="nil"/>
              <w:bottom w:val="nil"/>
              <w:right w:val="nil"/>
            </w:tcBorders>
            <w:vAlign w:val="center"/>
          </w:tcPr>
          <w:p w14:paraId="4C8219C2" w14:textId="77777777" w:rsidR="00877BAB" w:rsidRPr="00DB166F" w:rsidRDefault="00877BAB" w:rsidP="00877BAB">
            <w:pPr>
              <w:jc w:val="center"/>
            </w:pPr>
            <w:r w:rsidRPr="00DB166F">
              <w:t>(.84 - .94)</w:t>
            </w:r>
          </w:p>
        </w:tc>
        <w:tc>
          <w:tcPr>
            <w:tcW w:w="1228" w:type="dxa"/>
            <w:tcBorders>
              <w:top w:val="nil"/>
              <w:left w:val="nil"/>
              <w:bottom w:val="nil"/>
              <w:right w:val="nil"/>
            </w:tcBorders>
            <w:vAlign w:val="center"/>
          </w:tcPr>
          <w:p w14:paraId="3622FB9F" w14:textId="77777777" w:rsidR="00877BAB" w:rsidRPr="00DB166F" w:rsidRDefault="00877BAB" w:rsidP="00877BAB">
            <w:pPr>
              <w:jc w:val="center"/>
            </w:pPr>
            <w:r w:rsidRPr="00DB166F">
              <w:t>-</w:t>
            </w:r>
          </w:p>
        </w:tc>
        <w:tc>
          <w:tcPr>
            <w:tcW w:w="1229" w:type="dxa"/>
            <w:tcBorders>
              <w:top w:val="nil"/>
              <w:left w:val="nil"/>
              <w:bottom w:val="nil"/>
              <w:right w:val="nil"/>
            </w:tcBorders>
            <w:vAlign w:val="center"/>
          </w:tcPr>
          <w:p w14:paraId="771BDBEC" w14:textId="77777777" w:rsidR="00877BAB" w:rsidRPr="00DB166F" w:rsidRDefault="00877BAB" w:rsidP="00877BAB">
            <w:pPr>
              <w:jc w:val="center"/>
            </w:pPr>
            <w:r w:rsidRPr="00DB166F">
              <w:t>-</w:t>
            </w:r>
          </w:p>
        </w:tc>
      </w:tr>
      <w:tr w:rsidR="00877BAB" w:rsidRPr="00DB166F" w14:paraId="74CA34CA" w14:textId="77777777" w:rsidTr="00877BAB">
        <w:trPr>
          <w:trHeight w:val="352"/>
        </w:trPr>
        <w:tc>
          <w:tcPr>
            <w:tcW w:w="1560" w:type="dxa"/>
            <w:tcBorders>
              <w:top w:val="nil"/>
              <w:left w:val="nil"/>
              <w:bottom w:val="nil"/>
              <w:right w:val="nil"/>
            </w:tcBorders>
            <w:vAlign w:val="center"/>
          </w:tcPr>
          <w:p w14:paraId="24FEBAD9" w14:textId="77777777" w:rsidR="00877BAB" w:rsidRPr="00DB166F" w:rsidRDefault="00877BAB" w:rsidP="00877BAB">
            <w:pPr>
              <w:jc w:val="center"/>
            </w:pPr>
            <w:r w:rsidRPr="00DB166F">
              <w:t>MHS-L</w:t>
            </w:r>
          </w:p>
        </w:tc>
        <w:tc>
          <w:tcPr>
            <w:tcW w:w="1228" w:type="dxa"/>
            <w:tcBorders>
              <w:top w:val="nil"/>
              <w:left w:val="nil"/>
              <w:bottom w:val="nil"/>
              <w:right w:val="nil"/>
            </w:tcBorders>
            <w:vAlign w:val="center"/>
          </w:tcPr>
          <w:p w14:paraId="5B52E8A8" w14:textId="77777777" w:rsidR="00877BAB" w:rsidRPr="00DB166F" w:rsidRDefault="00877BAB" w:rsidP="00877BAB">
            <w:pPr>
              <w:jc w:val="center"/>
            </w:pPr>
            <w:r w:rsidRPr="00DB166F">
              <w:t>.84</w:t>
            </w:r>
          </w:p>
        </w:tc>
        <w:tc>
          <w:tcPr>
            <w:tcW w:w="1229" w:type="dxa"/>
            <w:tcBorders>
              <w:top w:val="nil"/>
              <w:left w:val="nil"/>
              <w:bottom w:val="nil"/>
              <w:right w:val="nil"/>
            </w:tcBorders>
            <w:vAlign w:val="center"/>
          </w:tcPr>
          <w:p w14:paraId="16B44D00" w14:textId="77777777" w:rsidR="00877BAB" w:rsidRPr="00DB166F" w:rsidRDefault="00877BAB" w:rsidP="00877BAB">
            <w:pPr>
              <w:jc w:val="center"/>
            </w:pPr>
            <w:r w:rsidRPr="00DB166F">
              <w:t>(.73 - .91)</w:t>
            </w:r>
          </w:p>
        </w:tc>
        <w:tc>
          <w:tcPr>
            <w:tcW w:w="1228" w:type="dxa"/>
            <w:tcBorders>
              <w:top w:val="nil"/>
              <w:left w:val="nil"/>
              <w:bottom w:val="nil"/>
              <w:right w:val="nil"/>
            </w:tcBorders>
            <w:vAlign w:val="center"/>
          </w:tcPr>
          <w:p w14:paraId="1DFAB5EB" w14:textId="77777777" w:rsidR="00877BAB" w:rsidRPr="00DB166F" w:rsidRDefault="00877BAB" w:rsidP="00877BAB">
            <w:pPr>
              <w:jc w:val="center"/>
            </w:pPr>
            <w:r w:rsidRPr="00DB166F">
              <w:t>.92</w:t>
            </w:r>
          </w:p>
        </w:tc>
        <w:tc>
          <w:tcPr>
            <w:tcW w:w="1229" w:type="dxa"/>
            <w:tcBorders>
              <w:top w:val="nil"/>
              <w:left w:val="nil"/>
              <w:bottom w:val="nil"/>
              <w:right w:val="nil"/>
            </w:tcBorders>
            <w:vAlign w:val="center"/>
          </w:tcPr>
          <w:p w14:paraId="3621C5B3" w14:textId="77777777" w:rsidR="00877BAB" w:rsidRPr="00DB166F" w:rsidRDefault="00877BAB" w:rsidP="00877BAB">
            <w:pPr>
              <w:jc w:val="center"/>
            </w:pPr>
            <w:r w:rsidRPr="00DB166F">
              <w:t>(.83 - .94)</w:t>
            </w:r>
          </w:p>
        </w:tc>
        <w:tc>
          <w:tcPr>
            <w:tcW w:w="1228" w:type="dxa"/>
            <w:tcBorders>
              <w:top w:val="nil"/>
              <w:left w:val="nil"/>
              <w:bottom w:val="nil"/>
              <w:right w:val="nil"/>
            </w:tcBorders>
            <w:vAlign w:val="center"/>
          </w:tcPr>
          <w:p w14:paraId="48AA28E3" w14:textId="77777777" w:rsidR="00877BAB" w:rsidRPr="00DB166F" w:rsidRDefault="00877BAB" w:rsidP="00877BAB">
            <w:pPr>
              <w:jc w:val="center"/>
            </w:pPr>
            <w:r w:rsidRPr="00DB166F">
              <w:t>-</w:t>
            </w:r>
          </w:p>
        </w:tc>
        <w:tc>
          <w:tcPr>
            <w:tcW w:w="1229" w:type="dxa"/>
            <w:tcBorders>
              <w:top w:val="nil"/>
              <w:left w:val="nil"/>
              <w:bottom w:val="nil"/>
              <w:right w:val="nil"/>
            </w:tcBorders>
            <w:vAlign w:val="center"/>
          </w:tcPr>
          <w:p w14:paraId="42EF6388" w14:textId="77777777" w:rsidR="00877BAB" w:rsidRPr="00DB166F" w:rsidRDefault="00877BAB" w:rsidP="00877BAB">
            <w:pPr>
              <w:jc w:val="center"/>
            </w:pPr>
            <w:r w:rsidRPr="00DB166F">
              <w:t>-</w:t>
            </w:r>
          </w:p>
        </w:tc>
      </w:tr>
      <w:tr w:rsidR="00877BAB" w:rsidRPr="00DB166F" w14:paraId="50D70B2C" w14:textId="77777777" w:rsidTr="00877BAB">
        <w:trPr>
          <w:trHeight w:val="352"/>
        </w:trPr>
        <w:tc>
          <w:tcPr>
            <w:tcW w:w="1560" w:type="dxa"/>
            <w:tcBorders>
              <w:top w:val="nil"/>
              <w:left w:val="nil"/>
              <w:bottom w:val="nil"/>
              <w:right w:val="nil"/>
            </w:tcBorders>
            <w:vAlign w:val="center"/>
          </w:tcPr>
          <w:p w14:paraId="0C58282A" w14:textId="77777777" w:rsidR="00877BAB" w:rsidRPr="00DB166F" w:rsidRDefault="00877BAB" w:rsidP="00877BAB">
            <w:pPr>
              <w:jc w:val="center"/>
            </w:pPr>
            <w:r w:rsidRPr="00DB166F">
              <w:t>HATH</w:t>
            </w:r>
          </w:p>
        </w:tc>
        <w:tc>
          <w:tcPr>
            <w:tcW w:w="1228" w:type="dxa"/>
            <w:tcBorders>
              <w:top w:val="nil"/>
              <w:left w:val="nil"/>
              <w:bottom w:val="nil"/>
              <w:right w:val="nil"/>
            </w:tcBorders>
            <w:vAlign w:val="center"/>
          </w:tcPr>
          <w:p w14:paraId="2D09939F" w14:textId="77777777" w:rsidR="00877BAB" w:rsidRPr="00DB166F" w:rsidRDefault="00877BAB" w:rsidP="00877BAB">
            <w:pPr>
              <w:jc w:val="center"/>
            </w:pPr>
            <w:r w:rsidRPr="00DB166F">
              <w:t>.92</w:t>
            </w:r>
          </w:p>
        </w:tc>
        <w:tc>
          <w:tcPr>
            <w:tcW w:w="1229" w:type="dxa"/>
            <w:tcBorders>
              <w:top w:val="nil"/>
              <w:left w:val="nil"/>
              <w:bottom w:val="nil"/>
              <w:right w:val="nil"/>
            </w:tcBorders>
            <w:vAlign w:val="center"/>
          </w:tcPr>
          <w:p w14:paraId="637115B9" w14:textId="77777777" w:rsidR="00877BAB" w:rsidRPr="00DB166F" w:rsidRDefault="00877BAB" w:rsidP="00877BAB">
            <w:pPr>
              <w:jc w:val="center"/>
            </w:pPr>
            <w:r w:rsidRPr="00DB166F">
              <w:t>(.88 - .94)</w:t>
            </w:r>
          </w:p>
        </w:tc>
        <w:tc>
          <w:tcPr>
            <w:tcW w:w="1228" w:type="dxa"/>
            <w:tcBorders>
              <w:top w:val="nil"/>
              <w:left w:val="nil"/>
              <w:bottom w:val="nil"/>
              <w:right w:val="nil"/>
            </w:tcBorders>
            <w:vAlign w:val="center"/>
          </w:tcPr>
          <w:p w14:paraId="045B47AE" w14:textId="77777777" w:rsidR="00877BAB" w:rsidRPr="00DB166F" w:rsidRDefault="00877BAB" w:rsidP="00877BAB">
            <w:pPr>
              <w:jc w:val="center"/>
            </w:pPr>
            <w:r w:rsidRPr="00DB166F">
              <w:t>.93</w:t>
            </w:r>
          </w:p>
        </w:tc>
        <w:tc>
          <w:tcPr>
            <w:tcW w:w="1229" w:type="dxa"/>
            <w:tcBorders>
              <w:top w:val="nil"/>
              <w:left w:val="nil"/>
              <w:bottom w:val="nil"/>
              <w:right w:val="nil"/>
            </w:tcBorders>
            <w:vAlign w:val="center"/>
          </w:tcPr>
          <w:p w14:paraId="3CD9A026" w14:textId="77777777" w:rsidR="00877BAB" w:rsidRPr="00DB166F" w:rsidRDefault="00877BAB" w:rsidP="00877BAB">
            <w:pPr>
              <w:jc w:val="center"/>
            </w:pPr>
            <w:r w:rsidRPr="00DB166F">
              <w:t>(.90 - .95)</w:t>
            </w:r>
          </w:p>
        </w:tc>
        <w:tc>
          <w:tcPr>
            <w:tcW w:w="1228" w:type="dxa"/>
            <w:tcBorders>
              <w:top w:val="nil"/>
              <w:left w:val="nil"/>
              <w:bottom w:val="nil"/>
              <w:right w:val="nil"/>
            </w:tcBorders>
            <w:vAlign w:val="center"/>
          </w:tcPr>
          <w:p w14:paraId="03E1A5A7" w14:textId="77777777" w:rsidR="00877BAB" w:rsidRPr="00DB166F" w:rsidRDefault="00877BAB" w:rsidP="00877BAB">
            <w:pPr>
              <w:jc w:val="center"/>
            </w:pPr>
            <w:r w:rsidRPr="00DB166F">
              <w:t>-</w:t>
            </w:r>
          </w:p>
        </w:tc>
        <w:tc>
          <w:tcPr>
            <w:tcW w:w="1229" w:type="dxa"/>
            <w:tcBorders>
              <w:top w:val="nil"/>
              <w:left w:val="nil"/>
              <w:bottom w:val="nil"/>
              <w:right w:val="nil"/>
            </w:tcBorders>
            <w:vAlign w:val="center"/>
          </w:tcPr>
          <w:p w14:paraId="029CB4F7" w14:textId="77777777" w:rsidR="00877BAB" w:rsidRPr="00DB166F" w:rsidRDefault="00877BAB" w:rsidP="00877BAB">
            <w:pPr>
              <w:jc w:val="center"/>
            </w:pPr>
            <w:r w:rsidRPr="00DB166F">
              <w:t>-</w:t>
            </w:r>
          </w:p>
        </w:tc>
      </w:tr>
      <w:tr w:rsidR="00877BAB" w:rsidRPr="00DB166F" w14:paraId="60EEEF70" w14:textId="77777777" w:rsidTr="00877BAB">
        <w:trPr>
          <w:trHeight w:val="352"/>
        </w:trPr>
        <w:tc>
          <w:tcPr>
            <w:tcW w:w="1560" w:type="dxa"/>
            <w:tcBorders>
              <w:top w:val="nil"/>
              <w:left w:val="nil"/>
              <w:right w:val="nil"/>
            </w:tcBorders>
            <w:vAlign w:val="center"/>
          </w:tcPr>
          <w:p w14:paraId="64D46D9A" w14:textId="77777777" w:rsidR="00877BAB" w:rsidRPr="00DB166F" w:rsidRDefault="00877BAB" w:rsidP="00877BAB">
            <w:pPr>
              <w:jc w:val="center"/>
            </w:pPr>
            <w:r w:rsidRPr="00DB166F">
              <w:t>SDO</w:t>
            </w:r>
          </w:p>
        </w:tc>
        <w:tc>
          <w:tcPr>
            <w:tcW w:w="1228" w:type="dxa"/>
            <w:tcBorders>
              <w:top w:val="nil"/>
              <w:left w:val="nil"/>
              <w:right w:val="nil"/>
            </w:tcBorders>
            <w:vAlign w:val="center"/>
          </w:tcPr>
          <w:p w14:paraId="447D9CE3" w14:textId="77777777" w:rsidR="00877BAB" w:rsidRPr="00DB166F" w:rsidRDefault="00877BAB" w:rsidP="00877BAB">
            <w:pPr>
              <w:jc w:val="center"/>
            </w:pPr>
            <w:r w:rsidRPr="00DB166F">
              <w:t>.78</w:t>
            </w:r>
          </w:p>
        </w:tc>
        <w:tc>
          <w:tcPr>
            <w:tcW w:w="1229" w:type="dxa"/>
            <w:tcBorders>
              <w:top w:val="nil"/>
              <w:left w:val="nil"/>
              <w:right w:val="nil"/>
            </w:tcBorders>
            <w:vAlign w:val="center"/>
          </w:tcPr>
          <w:p w14:paraId="21F8988B" w14:textId="77777777" w:rsidR="00877BAB" w:rsidRPr="00DB166F" w:rsidRDefault="00877BAB" w:rsidP="00877BAB">
            <w:pPr>
              <w:jc w:val="center"/>
            </w:pPr>
            <w:r w:rsidRPr="00DB166F">
              <w:t>(.69 - .85)</w:t>
            </w:r>
          </w:p>
        </w:tc>
        <w:tc>
          <w:tcPr>
            <w:tcW w:w="1228" w:type="dxa"/>
            <w:tcBorders>
              <w:top w:val="nil"/>
              <w:left w:val="nil"/>
              <w:right w:val="nil"/>
            </w:tcBorders>
            <w:vAlign w:val="center"/>
          </w:tcPr>
          <w:p w14:paraId="5900CB6F" w14:textId="77777777" w:rsidR="00877BAB" w:rsidRPr="00DB166F" w:rsidRDefault="00877BAB" w:rsidP="00877BAB">
            <w:pPr>
              <w:jc w:val="center"/>
            </w:pPr>
            <w:r w:rsidRPr="00DB166F">
              <w:t>.82</w:t>
            </w:r>
          </w:p>
        </w:tc>
        <w:tc>
          <w:tcPr>
            <w:tcW w:w="1229" w:type="dxa"/>
            <w:tcBorders>
              <w:top w:val="nil"/>
              <w:left w:val="nil"/>
              <w:right w:val="nil"/>
            </w:tcBorders>
            <w:vAlign w:val="center"/>
          </w:tcPr>
          <w:p w14:paraId="0E895158" w14:textId="77777777" w:rsidR="00877BAB" w:rsidRPr="00DB166F" w:rsidRDefault="00877BAB" w:rsidP="00877BAB">
            <w:pPr>
              <w:jc w:val="center"/>
            </w:pPr>
            <w:r w:rsidRPr="00DB166F">
              <w:t>(.75 - .88)</w:t>
            </w:r>
          </w:p>
        </w:tc>
        <w:tc>
          <w:tcPr>
            <w:tcW w:w="1228" w:type="dxa"/>
            <w:tcBorders>
              <w:top w:val="nil"/>
              <w:left w:val="nil"/>
              <w:right w:val="nil"/>
            </w:tcBorders>
            <w:vAlign w:val="center"/>
          </w:tcPr>
          <w:p w14:paraId="450265A6" w14:textId="77777777" w:rsidR="00877BAB" w:rsidRPr="00DB166F" w:rsidRDefault="00877BAB" w:rsidP="00877BAB">
            <w:pPr>
              <w:jc w:val="center"/>
            </w:pPr>
            <w:r w:rsidRPr="00DB166F">
              <w:t>-</w:t>
            </w:r>
          </w:p>
        </w:tc>
        <w:tc>
          <w:tcPr>
            <w:tcW w:w="1229" w:type="dxa"/>
            <w:tcBorders>
              <w:top w:val="nil"/>
              <w:left w:val="nil"/>
              <w:right w:val="nil"/>
            </w:tcBorders>
            <w:vAlign w:val="center"/>
          </w:tcPr>
          <w:p w14:paraId="0802727E" w14:textId="77777777" w:rsidR="00877BAB" w:rsidRPr="00DB166F" w:rsidRDefault="00877BAB" w:rsidP="00877BAB">
            <w:pPr>
              <w:jc w:val="center"/>
            </w:pPr>
            <w:r w:rsidRPr="00DB166F">
              <w:t>-</w:t>
            </w:r>
          </w:p>
        </w:tc>
      </w:tr>
    </w:tbl>
    <w:p w14:paraId="49648736" w14:textId="77777777" w:rsidR="00877BAB" w:rsidRDefault="00877BAB" w:rsidP="00877BAB">
      <w:pPr>
        <w:pStyle w:val="NoSpacing"/>
      </w:pPr>
      <w:r w:rsidRPr="00BB672C">
        <w:rPr>
          <w:i/>
        </w:rPr>
        <w:t>Note</w:t>
      </w:r>
      <w:r>
        <w:rPr>
          <w:i/>
        </w:rPr>
        <w:t>.</w:t>
      </w:r>
      <w:r w:rsidRPr="003148D9">
        <w:t xml:space="preserve"> TS = Transphobia Scale; MHS-G = Modern Homonegativity Scale – Gay Men; MHS-L = Modern Homonegativity Scale – Lesbian Women; HATH = Heterosexuals’ Attitudes Towards Homosexuality Scale; SDO = Social Dominance Orientation S</w:t>
      </w:r>
      <w:r>
        <w:t>cale.</w:t>
      </w:r>
    </w:p>
    <w:p w14:paraId="30A3EF32" w14:textId="77777777" w:rsidR="00877BAB" w:rsidRDefault="00877BAB" w:rsidP="00877BAB">
      <w:pPr>
        <w:spacing w:after="0" w:line="480" w:lineRule="auto"/>
        <w:rPr>
          <w:rFonts w:asciiTheme="minorHAnsi" w:hAnsiTheme="minorHAnsi"/>
          <w:szCs w:val="20"/>
          <w:lang w:val="en-US"/>
        </w:rPr>
      </w:pPr>
    </w:p>
    <w:p w14:paraId="1C1C1D12" w14:textId="77777777" w:rsidR="00877BAB" w:rsidRDefault="00877BAB" w:rsidP="00877BAB">
      <w:pPr>
        <w:spacing w:after="0" w:line="480" w:lineRule="auto"/>
        <w:rPr>
          <w:rFonts w:asciiTheme="minorHAnsi" w:hAnsiTheme="minorHAnsi"/>
          <w:szCs w:val="20"/>
          <w:lang w:val="en-US"/>
        </w:rPr>
      </w:pPr>
    </w:p>
    <w:p w14:paraId="7D93EF16" w14:textId="77777777" w:rsidR="00877BAB" w:rsidRDefault="00877BAB" w:rsidP="00877BAB">
      <w:pPr>
        <w:spacing w:after="0" w:line="480" w:lineRule="auto"/>
        <w:rPr>
          <w:rFonts w:asciiTheme="minorHAnsi" w:hAnsiTheme="minorHAnsi"/>
          <w:szCs w:val="20"/>
          <w:lang w:val="en-US"/>
        </w:rPr>
      </w:pPr>
    </w:p>
    <w:p w14:paraId="2F481DFF" w14:textId="77777777" w:rsidR="00877BAB" w:rsidRDefault="00877BAB" w:rsidP="00877BAB">
      <w:pPr>
        <w:spacing w:after="0" w:line="480" w:lineRule="auto"/>
        <w:rPr>
          <w:rFonts w:asciiTheme="minorHAnsi" w:hAnsiTheme="minorHAnsi"/>
          <w:szCs w:val="20"/>
          <w:lang w:val="en-US"/>
        </w:rPr>
      </w:pPr>
    </w:p>
    <w:p w14:paraId="7CB394FA" w14:textId="77777777" w:rsidR="00877BAB" w:rsidRDefault="00877BAB" w:rsidP="00877BAB">
      <w:pPr>
        <w:spacing w:after="0" w:line="480" w:lineRule="auto"/>
        <w:rPr>
          <w:rFonts w:asciiTheme="minorHAnsi" w:hAnsiTheme="minorHAnsi"/>
          <w:szCs w:val="20"/>
          <w:lang w:val="en-US"/>
        </w:rPr>
      </w:pPr>
    </w:p>
    <w:p w14:paraId="106736C1" w14:textId="77777777" w:rsidR="00877BAB" w:rsidRDefault="00877BAB" w:rsidP="00877BAB">
      <w:pPr>
        <w:spacing w:after="0" w:line="480" w:lineRule="auto"/>
        <w:rPr>
          <w:rFonts w:asciiTheme="minorHAnsi" w:hAnsiTheme="minorHAnsi"/>
          <w:szCs w:val="20"/>
          <w:lang w:val="en-US"/>
        </w:rPr>
      </w:pPr>
    </w:p>
    <w:p w14:paraId="62AC4E5F" w14:textId="77777777" w:rsidR="00877BAB" w:rsidRDefault="00877BAB" w:rsidP="00877BAB">
      <w:pPr>
        <w:spacing w:after="0" w:line="480" w:lineRule="auto"/>
        <w:rPr>
          <w:rFonts w:asciiTheme="minorHAnsi" w:hAnsiTheme="minorHAnsi"/>
          <w:szCs w:val="20"/>
          <w:lang w:val="en-US"/>
        </w:rPr>
      </w:pPr>
    </w:p>
    <w:p w14:paraId="07477E90" w14:textId="77777777" w:rsidR="00877BAB" w:rsidRDefault="00877BAB" w:rsidP="00877BAB">
      <w:pPr>
        <w:spacing w:after="0" w:line="480" w:lineRule="auto"/>
        <w:rPr>
          <w:rFonts w:asciiTheme="minorHAnsi" w:hAnsiTheme="minorHAnsi"/>
          <w:szCs w:val="20"/>
          <w:lang w:val="en-US"/>
        </w:rPr>
      </w:pPr>
    </w:p>
    <w:p w14:paraId="5CCF0AF1" w14:textId="77777777" w:rsidR="00877BAB" w:rsidRDefault="00877BAB" w:rsidP="00877BAB">
      <w:pPr>
        <w:spacing w:after="0" w:line="480" w:lineRule="auto"/>
        <w:rPr>
          <w:rFonts w:asciiTheme="minorHAnsi" w:hAnsiTheme="minorHAnsi"/>
          <w:szCs w:val="20"/>
          <w:lang w:val="en-US"/>
        </w:rPr>
      </w:pPr>
    </w:p>
    <w:p w14:paraId="0DE394F9" w14:textId="77777777" w:rsidR="00877BAB" w:rsidRDefault="00877BAB" w:rsidP="00877BAB">
      <w:pPr>
        <w:spacing w:after="0" w:line="480" w:lineRule="auto"/>
        <w:rPr>
          <w:rFonts w:asciiTheme="minorHAnsi" w:hAnsiTheme="minorHAnsi"/>
          <w:szCs w:val="20"/>
          <w:lang w:val="en-US"/>
        </w:rPr>
      </w:pPr>
    </w:p>
    <w:p w14:paraId="6ED6CAA1" w14:textId="77777777" w:rsidR="00877BAB" w:rsidRDefault="00877BAB" w:rsidP="00877BAB">
      <w:pPr>
        <w:spacing w:after="0" w:line="480" w:lineRule="auto"/>
        <w:rPr>
          <w:rFonts w:asciiTheme="minorHAnsi" w:hAnsiTheme="minorHAnsi"/>
          <w:szCs w:val="20"/>
          <w:lang w:val="en-US"/>
        </w:rPr>
      </w:pPr>
    </w:p>
    <w:p w14:paraId="412868D7" w14:textId="77777777" w:rsidR="00877BAB" w:rsidRDefault="00877BAB" w:rsidP="00877BAB">
      <w:pPr>
        <w:spacing w:after="0" w:line="480" w:lineRule="auto"/>
        <w:rPr>
          <w:rFonts w:asciiTheme="minorHAnsi" w:hAnsiTheme="minorHAnsi"/>
          <w:szCs w:val="20"/>
          <w:lang w:val="en-US"/>
        </w:rPr>
      </w:pPr>
    </w:p>
    <w:p w14:paraId="464ADEBD" w14:textId="77777777" w:rsidR="00877BAB" w:rsidRDefault="00877BAB" w:rsidP="00877BAB">
      <w:pPr>
        <w:spacing w:after="0" w:line="480" w:lineRule="auto"/>
        <w:rPr>
          <w:rFonts w:asciiTheme="minorHAnsi" w:hAnsiTheme="minorHAnsi"/>
          <w:szCs w:val="20"/>
          <w:lang w:val="en-US"/>
        </w:rPr>
      </w:pPr>
    </w:p>
    <w:p w14:paraId="414FE24F" w14:textId="77777777" w:rsidR="00877BAB" w:rsidRDefault="00877BAB" w:rsidP="00877BAB">
      <w:pPr>
        <w:spacing w:after="0" w:line="480" w:lineRule="auto"/>
        <w:rPr>
          <w:rFonts w:asciiTheme="minorHAnsi" w:hAnsiTheme="minorHAnsi"/>
          <w:szCs w:val="20"/>
          <w:lang w:val="en-US"/>
        </w:rPr>
        <w:sectPr w:rsidR="00877BAB" w:rsidSect="006E55E7">
          <w:headerReference w:type="default" r:id="rId8"/>
          <w:footerReference w:type="default" r:id="rId9"/>
          <w:pgSz w:w="11906" w:h="16838"/>
          <w:pgMar w:top="1440" w:right="1440" w:bottom="1440" w:left="1440" w:header="274" w:footer="0" w:gutter="0"/>
          <w:cols w:space="708"/>
          <w:docGrid w:linePitch="360"/>
        </w:sectPr>
      </w:pPr>
    </w:p>
    <w:p w14:paraId="30A9CEE3" w14:textId="77777777" w:rsidR="00877BAB" w:rsidRPr="00553F90" w:rsidRDefault="00877BAB" w:rsidP="00877BAB">
      <w:pPr>
        <w:pStyle w:val="NoSpacing"/>
        <w:rPr>
          <w:lang w:val="en-US"/>
        </w:rPr>
      </w:pPr>
      <w:r w:rsidRPr="00553F90">
        <w:rPr>
          <w:lang w:val="en-US"/>
        </w:rPr>
        <w:t xml:space="preserve">Table 3. </w:t>
      </w:r>
    </w:p>
    <w:p w14:paraId="7D729A4D" w14:textId="77777777" w:rsidR="00877BAB" w:rsidRPr="00553F90" w:rsidRDefault="00877BAB" w:rsidP="00877BAB">
      <w:pPr>
        <w:pStyle w:val="NoSpacing"/>
        <w:rPr>
          <w:i/>
          <w:sz w:val="24"/>
        </w:rPr>
      </w:pPr>
      <w:r w:rsidRPr="00553F90">
        <w:rPr>
          <w:i/>
          <w:lang w:val="en-US"/>
        </w:rPr>
        <w:t xml:space="preserve">Summary of </w:t>
      </w:r>
      <w:r>
        <w:rPr>
          <w:i/>
          <w:lang w:val="en-US"/>
        </w:rPr>
        <w:t>Pearson Product Correlations</w:t>
      </w:r>
      <w:r w:rsidRPr="00553F90">
        <w:rPr>
          <w:i/>
          <w:lang w:val="en-US"/>
        </w:rPr>
        <w:t xml:space="preserve"> </w:t>
      </w:r>
      <w:r>
        <w:rPr>
          <w:i/>
          <w:lang w:val="en-US"/>
        </w:rPr>
        <w:t>of</w:t>
      </w:r>
      <w:r w:rsidRPr="00553F90">
        <w:rPr>
          <w:i/>
          <w:lang w:val="en-US"/>
        </w:rPr>
        <w:t xml:space="preserve"> </w:t>
      </w:r>
      <w:r>
        <w:rPr>
          <w:i/>
          <w:lang w:val="en-US"/>
        </w:rPr>
        <w:t>demographic and psychometric measures</w:t>
      </w:r>
    </w:p>
    <w:tbl>
      <w:tblPr>
        <w:tblW w:w="14333" w:type="dxa"/>
        <w:jc w:val="right"/>
        <w:tblLook w:val="0000" w:firstRow="0" w:lastRow="0" w:firstColumn="0" w:lastColumn="0" w:noHBand="0" w:noVBand="0"/>
      </w:tblPr>
      <w:tblGrid>
        <w:gridCol w:w="1728"/>
        <w:gridCol w:w="787"/>
        <w:gridCol w:w="788"/>
        <w:gridCol w:w="788"/>
        <w:gridCol w:w="788"/>
        <w:gridCol w:w="788"/>
        <w:gridCol w:w="787"/>
        <w:gridCol w:w="788"/>
        <w:gridCol w:w="788"/>
        <w:gridCol w:w="788"/>
        <w:gridCol w:w="788"/>
        <w:gridCol w:w="787"/>
        <w:gridCol w:w="788"/>
        <w:gridCol w:w="788"/>
        <w:gridCol w:w="788"/>
        <w:gridCol w:w="788"/>
        <w:gridCol w:w="788"/>
      </w:tblGrid>
      <w:tr w:rsidR="00877BAB" w:rsidRPr="000223EE" w14:paraId="447E52B5" w14:textId="77777777" w:rsidTr="00877BAB">
        <w:trPr>
          <w:trHeight w:val="20"/>
          <w:jc w:val="right"/>
        </w:trPr>
        <w:tc>
          <w:tcPr>
            <w:tcW w:w="1728" w:type="dxa"/>
            <w:tcBorders>
              <w:top w:val="single" w:sz="12" w:space="0" w:color="000000"/>
              <w:bottom w:val="single" w:sz="12" w:space="0" w:color="000000"/>
            </w:tcBorders>
            <w:shd w:val="clear" w:color="auto" w:fill="auto"/>
            <w:vAlign w:val="center"/>
          </w:tcPr>
          <w:p w14:paraId="309672E3" w14:textId="77777777" w:rsidR="00877BAB" w:rsidRPr="00553F90" w:rsidRDefault="00877BAB" w:rsidP="00877BAB">
            <w:pPr>
              <w:spacing w:after="0" w:line="340" w:lineRule="exact"/>
              <w:rPr>
                <w:rFonts w:asciiTheme="minorHAnsi" w:hAnsiTheme="minorHAnsi"/>
                <w:color w:val="000000"/>
                <w:sz w:val="20"/>
                <w:szCs w:val="20"/>
                <w:lang w:val="en-US"/>
              </w:rPr>
            </w:pPr>
          </w:p>
        </w:tc>
        <w:tc>
          <w:tcPr>
            <w:tcW w:w="787" w:type="dxa"/>
            <w:tcBorders>
              <w:top w:val="single" w:sz="12" w:space="0" w:color="000000"/>
              <w:bottom w:val="single" w:sz="12" w:space="0" w:color="000000"/>
            </w:tcBorders>
            <w:shd w:val="clear" w:color="auto" w:fill="auto"/>
            <w:vAlign w:val="center"/>
          </w:tcPr>
          <w:p w14:paraId="16C22C22" w14:textId="77777777" w:rsidR="00877BAB" w:rsidRPr="00553F90" w:rsidRDefault="00877BAB" w:rsidP="00877BAB">
            <w:pPr>
              <w:spacing w:after="0" w:line="340" w:lineRule="exact"/>
              <w:jc w:val="center"/>
              <w:rPr>
                <w:rFonts w:asciiTheme="minorHAnsi" w:hAnsiTheme="minorHAnsi"/>
                <w:color w:val="000000"/>
                <w:sz w:val="20"/>
                <w:szCs w:val="20"/>
                <w:lang w:val="en-US"/>
              </w:rPr>
            </w:pPr>
            <w:r w:rsidRPr="00553F90">
              <w:rPr>
                <w:rFonts w:asciiTheme="minorHAnsi" w:hAnsiTheme="minorHAnsi"/>
                <w:color w:val="000000"/>
                <w:sz w:val="20"/>
                <w:szCs w:val="20"/>
                <w:lang w:val="en-US"/>
              </w:rPr>
              <w:t>1</w:t>
            </w:r>
          </w:p>
        </w:tc>
        <w:tc>
          <w:tcPr>
            <w:tcW w:w="788" w:type="dxa"/>
            <w:tcBorders>
              <w:top w:val="single" w:sz="12" w:space="0" w:color="000000"/>
              <w:bottom w:val="single" w:sz="12" w:space="0" w:color="000000"/>
            </w:tcBorders>
            <w:shd w:val="clear" w:color="auto" w:fill="auto"/>
            <w:vAlign w:val="center"/>
          </w:tcPr>
          <w:p w14:paraId="3223DAA3" w14:textId="77777777" w:rsidR="00877BAB" w:rsidRPr="00553F90" w:rsidRDefault="00877BAB" w:rsidP="00877BAB">
            <w:pPr>
              <w:spacing w:after="0" w:line="340" w:lineRule="exact"/>
              <w:jc w:val="center"/>
              <w:rPr>
                <w:rFonts w:asciiTheme="minorHAnsi" w:hAnsiTheme="minorHAnsi"/>
                <w:color w:val="000000"/>
                <w:sz w:val="20"/>
                <w:szCs w:val="20"/>
                <w:lang w:val="en-US"/>
              </w:rPr>
            </w:pPr>
            <w:r w:rsidRPr="00553F90">
              <w:rPr>
                <w:rFonts w:asciiTheme="minorHAnsi" w:hAnsiTheme="minorHAnsi"/>
                <w:color w:val="000000"/>
                <w:sz w:val="20"/>
                <w:szCs w:val="20"/>
                <w:lang w:val="en-US"/>
              </w:rPr>
              <w:t>2</w:t>
            </w:r>
          </w:p>
        </w:tc>
        <w:tc>
          <w:tcPr>
            <w:tcW w:w="788" w:type="dxa"/>
            <w:tcBorders>
              <w:top w:val="single" w:sz="12" w:space="0" w:color="000000"/>
              <w:bottom w:val="single" w:sz="12" w:space="0" w:color="000000"/>
            </w:tcBorders>
            <w:shd w:val="clear" w:color="auto" w:fill="auto"/>
            <w:vAlign w:val="center"/>
          </w:tcPr>
          <w:p w14:paraId="2487613B" w14:textId="77777777" w:rsidR="00877BAB" w:rsidRPr="00553F90" w:rsidRDefault="00877BAB" w:rsidP="00877BAB">
            <w:pPr>
              <w:spacing w:after="0" w:line="340" w:lineRule="exact"/>
              <w:jc w:val="center"/>
              <w:rPr>
                <w:rFonts w:asciiTheme="minorHAnsi" w:hAnsiTheme="minorHAnsi"/>
                <w:color w:val="000000"/>
                <w:sz w:val="20"/>
                <w:szCs w:val="20"/>
                <w:lang w:val="en-US"/>
              </w:rPr>
            </w:pPr>
            <w:r w:rsidRPr="00553F90">
              <w:rPr>
                <w:rFonts w:asciiTheme="minorHAnsi" w:hAnsiTheme="minorHAnsi"/>
                <w:color w:val="000000"/>
                <w:sz w:val="20"/>
                <w:szCs w:val="20"/>
                <w:lang w:val="en-US"/>
              </w:rPr>
              <w:t>3</w:t>
            </w:r>
          </w:p>
        </w:tc>
        <w:tc>
          <w:tcPr>
            <w:tcW w:w="788" w:type="dxa"/>
            <w:tcBorders>
              <w:top w:val="single" w:sz="12" w:space="0" w:color="000000"/>
              <w:bottom w:val="single" w:sz="12" w:space="0" w:color="000000"/>
            </w:tcBorders>
            <w:shd w:val="clear" w:color="auto" w:fill="auto"/>
            <w:vAlign w:val="center"/>
          </w:tcPr>
          <w:p w14:paraId="78A9C8E1" w14:textId="77777777" w:rsidR="00877BAB" w:rsidRPr="00553F90" w:rsidRDefault="00877BAB" w:rsidP="00877BAB">
            <w:pPr>
              <w:spacing w:after="0" w:line="340" w:lineRule="exact"/>
              <w:jc w:val="center"/>
              <w:rPr>
                <w:rFonts w:asciiTheme="minorHAnsi" w:hAnsiTheme="minorHAnsi"/>
                <w:color w:val="000000"/>
                <w:sz w:val="20"/>
                <w:szCs w:val="20"/>
                <w:lang w:val="en-US"/>
              </w:rPr>
            </w:pPr>
            <w:r w:rsidRPr="00553F90">
              <w:rPr>
                <w:rFonts w:asciiTheme="minorHAnsi" w:hAnsiTheme="minorHAnsi"/>
                <w:color w:val="000000"/>
                <w:sz w:val="20"/>
                <w:szCs w:val="20"/>
                <w:lang w:val="en-US"/>
              </w:rPr>
              <w:t>4</w:t>
            </w:r>
          </w:p>
        </w:tc>
        <w:tc>
          <w:tcPr>
            <w:tcW w:w="788" w:type="dxa"/>
            <w:tcBorders>
              <w:top w:val="single" w:sz="12" w:space="0" w:color="000000"/>
              <w:bottom w:val="single" w:sz="12" w:space="0" w:color="000000"/>
            </w:tcBorders>
            <w:shd w:val="clear" w:color="auto" w:fill="auto"/>
            <w:vAlign w:val="center"/>
          </w:tcPr>
          <w:p w14:paraId="248C65A3" w14:textId="77777777" w:rsidR="00877BAB" w:rsidRPr="00553F90" w:rsidRDefault="00877BAB" w:rsidP="00877BAB">
            <w:pPr>
              <w:spacing w:after="0" w:line="340" w:lineRule="exact"/>
              <w:jc w:val="center"/>
              <w:rPr>
                <w:rFonts w:asciiTheme="minorHAnsi" w:hAnsiTheme="minorHAnsi"/>
                <w:color w:val="000000"/>
                <w:sz w:val="20"/>
                <w:szCs w:val="20"/>
                <w:lang w:val="en-US"/>
              </w:rPr>
            </w:pPr>
            <w:r w:rsidRPr="00553F90">
              <w:rPr>
                <w:rFonts w:asciiTheme="minorHAnsi" w:hAnsiTheme="minorHAnsi"/>
                <w:color w:val="000000"/>
                <w:sz w:val="20"/>
                <w:szCs w:val="20"/>
                <w:lang w:val="en-US"/>
              </w:rPr>
              <w:t>5</w:t>
            </w:r>
          </w:p>
        </w:tc>
        <w:tc>
          <w:tcPr>
            <w:tcW w:w="787" w:type="dxa"/>
            <w:tcBorders>
              <w:top w:val="single" w:sz="12" w:space="0" w:color="000000"/>
              <w:bottom w:val="single" w:sz="12" w:space="0" w:color="000000"/>
            </w:tcBorders>
            <w:shd w:val="clear" w:color="auto" w:fill="auto"/>
            <w:vAlign w:val="center"/>
          </w:tcPr>
          <w:p w14:paraId="3923E878" w14:textId="77777777" w:rsidR="00877BAB" w:rsidRPr="00553F90" w:rsidRDefault="00877BAB" w:rsidP="00877BAB">
            <w:pPr>
              <w:spacing w:after="0" w:line="340" w:lineRule="exact"/>
              <w:jc w:val="center"/>
              <w:rPr>
                <w:rFonts w:asciiTheme="minorHAnsi" w:hAnsiTheme="minorHAnsi"/>
                <w:color w:val="000000"/>
                <w:sz w:val="20"/>
                <w:szCs w:val="20"/>
                <w:lang w:val="en-US"/>
              </w:rPr>
            </w:pPr>
            <w:r w:rsidRPr="00553F90">
              <w:rPr>
                <w:rFonts w:asciiTheme="minorHAnsi" w:hAnsiTheme="minorHAnsi"/>
                <w:color w:val="000000"/>
                <w:sz w:val="20"/>
                <w:szCs w:val="20"/>
                <w:lang w:val="en-US"/>
              </w:rPr>
              <w:t>6</w:t>
            </w:r>
          </w:p>
        </w:tc>
        <w:tc>
          <w:tcPr>
            <w:tcW w:w="788" w:type="dxa"/>
            <w:tcBorders>
              <w:top w:val="single" w:sz="12" w:space="0" w:color="000000"/>
              <w:bottom w:val="single" w:sz="12" w:space="0" w:color="000000"/>
            </w:tcBorders>
            <w:shd w:val="clear" w:color="auto" w:fill="auto"/>
            <w:vAlign w:val="center"/>
          </w:tcPr>
          <w:p w14:paraId="319A1DA9" w14:textId="77777777" w:rsidR="00877BAB" w:rsidRPr="00553F90" w:rsidRDefault="00877BAB" w:rsidP="00877BAB">
            <w:pPr>
              <w:spacing w:after="0" w:line="340" w:lineRule="exact"/>
              <w:jc w:val="center"/>
              <w:rPr>
                <w:rFonts w:asciiTheme="minorHAnsi" w:hAnsiTheme="minorHAnsi"/>
                <w:color w:val="000000"/>
                <w:sz w:val="20"/>
                <w:szCs w:val="20"/>
                <w:lang w:val="en-US"/>
              </w:rPr>
            </w:pPr>
            <w:r w:rsidRPr="00553F90">
              <w:rPr>
                <w:rFonts w:asciiTheme="minorHAnsi" w:hAnsiTheme="minorHAnsi"/>
                <w:color w:val="000000"/>
                <w:sz w:val="20"/>
                <w:szCs w:val="20"/>
                <w:lang w:val="en-US"/>
              </w:rPr>
              <w:t>7</w:t>
            </w:r>
          </w:p>
        </w:tc>
        <w:tc>
          <w:tcPr>
            <w:tcW w:w="788" w:type="dxa"/>
            <w:tcBorders>
              <w:top w:val="single" w:sz="12" w:space="0" w:color="000000"/>
              <w:bottom w:val="single" w:sz="12" w:space="0" w:color="000000"/>
            </w:tcBorders>
            <w:shd w:val="clear" w:color="auto" w:fill="auto"/>
            <w:vAlign w:val="center"/>
          </w:tcPr>
          <w:p w14:paraId="00709C9D" w14:textId="77777777" w:rsidR="00877BAB" w:rsidRPr="00553F90" w:rsidRDefault="00877BAB" w:rsidP="00877BAB">
            <w:pPr>
              <w:spacing w:after="0" w:line="340" w:lineRule="exact"/>
              <w:jc w:val="center"/>
              <w:rPr>
                <w:rFonts w:asciiTheme="minorHAnsi" w:hAnsiTheme="minorHAnsi"/>
                <w:color w:val="000000"/>
                <w:sz w:val="20"/>
                <w:szCs w:val="20"/>
                <w:lang w:val="en-US"/>
              </w:rPr>
            </w:pPr>
            <w:r w:rsidRPr="00553F90">
              <w:rPr>
                <w:rFonts w:asciiTheme="minorHAnsi" w:hAnsiTheme="minorHAnsi"/>
                <w:color w:val="000000"/>
                <w:sz w:val="20"/>
                <w:szCs w:val="20"/>
                <w:lang w:val="en-US"/>
              </w:rPr>
              <w:t>8</w:t>
            </w:r>
          </w:p>
        </w:tc>
        <w:tc>
          <w:tcPr>
            <w:tcW w:w="788" w:type="dxa"/>
            <w:tcBorders>
              <w:top w:val="single" w:sz="12" w:space="0" w:color="000000"/>
              <w:bottom w:val="single" w:sz="12" w:space="0" w:color="000000"/>
            </w:tcBorders>
            <w:shd w:val="clear" w:color="auto" w:fill="auto"/>
            <w:vAlign w:val="center"/>
          </w:tcPr>
          <w:p w14:paraId="7B34D9B2" w14:textId="77777777" w:rsidR="00877BAB" w:rsidRPr="00553F90" w:rsidRDefault="00877BAB" w:rsidP="00877BAB">
            <w:pPr>
              <w:spacing w:after="0" w:line="340" w:lineRule="exact"/>
              <w:jc w:val="center"/>
              <w:rPr>
                <w:rFonts w:asciiTheme="minorHAnsi" w:hAnsiTheme="minorHAnsi"/>
                <w:color w:val="000000"/>
                <w:sz w:val="20"/>
                <w:szCs w:val="20"/>
                <w:lang w:val="en-US"/>
              </w:rPr>
            </w:pPr>
            <w:r w:rsidRPr="00553F90">
              <w:rPr>
                <w:rFonts w:asciiTheme="minorHAnsi" w:hAnsiTheme="minorHAnsi"/>
                <w:color w:val="000000"/>
                <w:sz w:val="20"/>
                <w:szCs w:val="20"/>
                <w:lang w:val="en-US"/>
              </w:rPr>
              <w:t>9</w:t>
            </w:r>
          </w:p>
        </w:tc>
        <w:tc>
          <w:tcPr>
            <w:tcW w:w="788" w:type="dxa"/>
            <w:tcBorders>
              <w:top w:val="single" w:sz="12" w:space="0" w:color="000000"/>
              <w:bottom w:val="single" w:sz="12" w:space="0" w:color="000000"/>
            </w:tcBorders>
            <w:shd w:val="clear" w:color="auto" w:fill="auto"/>
            <w:vAlign w:val="center"/>
          </w:tcPr>
          <w:p w14:paraId="35907761" w14:textId="77777777" w:rsidR="00877BAB" w:rsidRPr="00553F90" w:rsidRDefault="00877BAB" w:rsidP="00877BAB">
            <w:pPr>
              <w:spacing w:after="0" w:line="340" w:lineRule="exact"/>
              <w:jc w:val="center"/>
              <w:rPr>
                <w:rFonts w:asciiTheme="minorHAnsi" w:hAnsiTheme="minorHAnsi"/>
                <w:color w:val="000000"/>
                <w:sz w:val="20"/>
                <w:szCs w:val="20"/>
                <w:lang w:val="en-US"/>
              </w:rPr>
            </w:pPr>
            <w:r w:rsidRPr="00553F90">
              <w:rPr>
                <w:rFonts w:asciiTheme="minorHAnsi" w:hAnsiTheme="minorHAnsi"/>
                <w:color w:val="000000"/>
                <w:sz w:val="20"/>
                <w:szCs w:val="20"/>
                <w:lang w:val="en-US"/>
              </w:rPr>
              <w:t>10</w:t>
            </w:r>
          </w:p>
        </w:tc>
        <w:tc>
          <w:tcPr>
            <w:tcW w:w="787" w:type="dxa"/>
            <w:tcBorders>
              <w:top w:val="single" w:sz="12" w:space="0" w:color="000000"/>
              <w:bottom w:val="single" w:sz="12" w:space="0" w:color="000000"/>
            </w:tcBorders>
            <w:shd w:val="clear" w:color="auto" w:fill="auto"/>
            <w:vAlign w:val="center"/>
          </w:tcPr>
          <w:p w14:paraId="0240910B" w14:textId="77777777" w:rsidR="00877BAB" w:rsidRPr="00553F90" w:rsidRDefault="00877BAB" w:rsidP="00877BAB">
            <w:pPr>
              <w:spacing w:after="0" w:line="340" w:lineRule="exact"/>
              <w:jc w:val="center"/>
              <w:rPr>
                <w:rFonts w:asciiTheme="minorHAnsi" w:hAnsiTheme="minorHAnsi"/>
                <w:color w:val="000000"/>
                <w:sz w:val="20"/>
                <w:szCs w:val="20"/>
                <w:lang w:val="en-US"/>
              </w:rPr>
            </w:pPr>
            <w:r w:rsidRPr="00553F90">
              <w:rPr>
                <w:rFonts w:asciiTheme="minorHAnsi" w:hAnsiTheme="minorHAnsi"/>
                <w:color w:val="000000"/>
                <w:sz w:val="20"/>
                <w:szCs w:val="20"/>
                <w:lang w:val="en-US"/>
              </w:rPr>
              <w:t>11</w:t>
            </w:r>
          </w:p>
        </w:tc>
        <w:tc>
          <w:tcPr>
            <w:tcW w:w="788" w:type="dxa"/>
            <w:tcBorders>
              <w:top w:val="single" w:sz="12" w:space="0" w:color="000000"/>
              <w:bottom w:val="single" w:sz="12" w:space="0" w:color="000000"/>
            </w:tcBorders>
            <w:shd w:val="clear" w:color="auto" w:fill="auto"/>
            <w:vAlign w:val="center"/>
          </w:tcPr>
          <w:p w14:paraId="02090D72" w14:textId="77777777" w:rsidR="00877BAB" w:rsidRPr="00553F90" w:rsidRDefault="00877BAB" w:rsidP="00877BAB">
            <w:pPr>
              <w:spacing w:after="0" w:line="340" w:lineRule="exact"/>
              <w:jc w:val="center"/>
              <w:rPr>
                <w:rFonts w:asciiTheme="minorHAnsi" w:hAnsiTheme="minorHAnsi"/>
                <w:color w:val="000000"/>
                <w:sz w:val="20"/>
                <w:szCs w:val="20"/>
                <w:lang w:val="en-US"/>
              </w:rPr>
            </w:pPr>
            <w:r w:rsidRPr="00553F90">
              <w:rPr>
                <w:rFonts w:asciiTheme="minorHAnsi" w:hAnsiTheme="minorHAnsi"/>
                <w:color w:val="000000"/>
                <w:sz w:val="20"/>
                <w:szCs w:val="20"/>
                <w:lang w:val="en-US"/>
              </w:rPr>
              <w:t>12</w:t>
            </w:r>
          </w:p>
        </w:tc>
        <w:tc>
          <w:tcPr>
            <w:tcW w:w="788" w:type="dxa"/>
            <w:tcBorders>
              <w:top w:val="single" w:sz="12" w:space="0" w:color="000000"/>
              <w:bottom w:val="single" w:sz="12" w:space="0" w:color="000000"/>
            </w:tcBorders>
            <w:shd w:val="clear" w:color="auto" w:fill="auto"/>
            <w:vAlign w:val="center"/>
          </w:tcPr>
          <w:p w14:paraId="3055759B" w14:textId="77777777" w:rsidR="00877BAB" w:rsidRPr="00553F90" w:rsidRDefault="00877BAB" w:rsidP="00877BAB">
            <w:pPr>
              <w:spacing w:after="0" w:line="340" w:lineRule="exact"/>
              <w:jc w:val="center"/>
              <w:rPr>
                <w:rFonts w:asciiTheme="minorHAnsi" w:hAnsiTheme="minorHAnsi"/>
                <w:color w:val="000000"/>
                <w:sz w:val="20"/>
                <w:szCs w:val="20"/>
                <w:lang w:val="en-US"/>
              </w:rPr>
            </w:pPr>
            <w:r w:rsidRPr="00553F90">
              <w:rPr>
                <w:rFonts w:asciiTheme="minorHAnsi" w:hAnsiTheme="minorHAnsi"/>
                <w:color w:val="000000"/>
                <w:sz w:val="20"/>
                <w:szCs w:val="20"/>
                <w:lang w:val="en-US"/>
              </w:rPr>
              <w:t>13</w:t>
            </w:r>
          </w:p>
        </w:tc>
        <w:tc>
          <w:tcPr>
            <w:tcW w:w="788" w:type="dxa"/>
            <w:tcBorders>
              <w:top w:val="single" w:sz="12" w:space="0" w:color="000000"/>
              <w:bottom w:val="single" w:sz="12" w:space="0" w:color="000000"/>
            </w:tcBorders>
            <w:shd w:val="clear" w:color="auto" w:fill="auto"/>
            <w:vAlign w:val="center"/>
          </w:tcPr>
          <w:p w14:paraId="598D85B5" w14:textId="77777777" w:rsidR="00877BAB" w:rsidRPr="00553F90" w:rsidRDefault="00877BAB" w:rsidP="00877BAB">
            <w:pPr>
              <w:spacing w:after="0" w:line="340" w:lineRule="exact"/>
              <w:jc w:val="center"/>
              <w:rPr>
                <w:rFonts w:asciiTheme="minorHAnsi" w:hAnsiTheme="minorHAnsi"/>
                <w:color w:val="000000"/>
                <w:sz w:val="20"/>
                <w:szCs w:val="20"/>
                <w:lang w:val="en-US"/>
              </w:rPr>
            </w:pPr>
            <w:r w:rsidRPr="00553F90">
              <w:rPr>
                <w:rFonts w:asciiTheme="minorHAnsi" w:hAnsiTheme="minorHAnsi"/>
                <w:color w:val="000000"/>
                <w:sz w:val="20"/>
                <w:szCs w:val="20"/>
                <w:lang w:val="en-US"/>
              </w:rPr>
              <w:t>14</w:t>
            </w:r>
          </w:p>
        </w:tc>
        <w:tc>
          <w:tcPr>
            <w:tcW w:w="788" w:type="dxa"/>
            <w:tcBorders>
              <w:top w:val="single" w:sz="12" w:space="0" w:color="000000"/>
              <w:bottom w:val="single" w:sz="12" w:space="0" w:color="000000"/>
            </w:tcBorders>
            <w:shd w:val="clear" w:color="auto" w:fill="auto"/>
            <w:vAlign w:val="center"/>
          </w:tcPr>
          <w:p w14:paraId="254F511D" w14:textId="77777777" w:rsidR="00877BAB" w:rsidRPr="00553F90" w:rsidRDefault="00877BAB" w:rsidP="00877BAB">
            <w:pPr>
              <w:spacing w:after="0" w:line="340" w:lineRule="exact"/>
              <w:jc w:val="center"/>
              <w:rPr>
                <w:rFonts w:asciiTheme="minorHAnsi" w:hAnsiTheme="minorHAnsi"/>
                <w:color w:val="000000"/>
                <w:sz w:val="20"/>
                <w:szCs w:val="20"/>
                <w:lang w:val="en-US"/>
              </w:rPr>
            </w:pPr>
            <w:r w:rsidRPr="00553F90">
              <w:rPr>
                <w:rFonts w:asciiTheme="minorHAnsi" w:hAnsiTheme="minorHAnsi"/>
                <w:color w:val="000000"/>
                <w:sz w:val="20"/>
                <w:szCs w:val="20"/>
                <w:lang w:val="en-US"/>
              </w:rPr>
              <w:t>15</w:t>
            </w:r>
          </w:p>
        </w:tc>
        <w:tc>
          <w:tcPr>
            <w:tcW w:w="788" w:type="dxa"/>
            <w:tcBorders>
              <w:top w:val="single" w:sz="12" w:space="0" w:color="000000"/>
              <w:bottom w:val="single" w:sz="12" w:space="0" w:color="000000"/>
            </w:tcBorders>
            <w:shd w:val="clear" w:color="auto" w:fill="auto"/>
            <w:vAlign w:val="center"/>
          </w:tcPr>
          <w:p w14:paraId="6EE78FA3" w14:textId="77777777" w:rsidR="00877BAB" w:rsidRPr="00553F90" w:rsidRDefault="00877BAB" w:rsidP="00877BAB">
            <w:pPr>
              <w:spacing w:after="0" w:line="340" w:lineRule="exact"/>
              <w:jc w:val="center"/>
              <w:rPr>
                <w:rFonts w:asciiTheme="minorHAnsi" w:hAnsiTheme="minorHAnsi"/>
                <w:color w:val="000000"/>
                <w:sz w:val="20"/>
                <w:szCs w:val="20"/>
                <w:lang w:val="en-US"/>
              </w:rPr>
            </w:pPr>
            <w:r w:rsidRPr="00553F90">
              <w:rPr>
                <w:rFonts w:asciiTheme="minorHAnsi" w:hAnsiTheme="minorHAnsi"/>
                <w:color w:val="000000"/>
                <w:sz w:val="20"/>
                <w:szCs w:val="20"/>
                <w:lang w:val="en-US"/>
              </w:rPr>
              <w:t>16</w:t>
            </w:r>
          </w:p>
        </w:tc>
      </w:tr>
      <w:tr w:rsidR="00877BAB" w:rsidRPr="000223EE" w14:paraId="470F614D" w14:textId="77777777" w:rsidTr="00877BAB">
        <w:trPr>
          <w:trHeight w:val="20"/>
          <w:jc w:val="right"/>
        </w:trPr>
        <w:tc>
          <w:tcPr>
            <w:tcW w:w="1728" w:type="dxa"/>
            <w:tcBorders>
              <w:top w:val="single" w:sz="12" w:space="0" w:color="000000"/>
              <w:bottom w:val="nil"/>
            </w:tcBorders>
            <w:shd w:val="clear" w:color="auto" w:fill="auto"/>
            <w:vAlign w:val="center"/>
          </w:tcPr>
          <w:p w14:paraId="3D37B236" w14:textId="77777777" w:rsidR="00877BAB" w:rsidRPr="00553F90" w:rsidRDefault="00877BAB" w:rsidP="00877BAB">
            <w:pPr>
              <w:spacing w:after="0" w:line="340" w:lineRule="exact"/>
              <w:rPr>
                <w:rFonts w:asciiTheme="minorHAnsi" w:hAnsiTheme="minorHAnsi"/>
                <w:color w:val="000000"/>
                <w:sz w:val="20"/>
                <w:szCs w:val="20"/>
                <w:lang w:val="en-US"/>
              </w:rPr>
            </w:pPr>
            <w:r w:rsidRPr="00553F90">
              <w:rPr>
                <w:rFonts w:asciiTheme="minorHAnsi" w:hAnsiTheme="minorHAnsi"/>
                <w:color w:val="000000"/>
                <w:sz w:val="20"/>
                <w:szCs w:val="20"/>
                <w:lang w:val="en-US"/>
              </w:rPr>
              <w:t>1. Age</w:t>
            </w:r>
          </w:p>
        </w:tc>
        <w:tc>
          <w:tcPr>
            <w:tcW w:w="787" w:type="dxa"/>
            <w:tcBorders>
              <w:top w:val="single" w:sz="12" w:space="0" w:color="000000"/>
              <w:bottom w:val="nil"/>
            </w:tcBorders>
            <w:shd w:val="clear" w:color="auto" w:fill="auto"/>
            <w:noWrap/>
            <w:vAlign w:val="center"/>
          </w:tcPr>
          <w:p w14:paraId="1CBC8DE6" w14:textId="77777777" w:rsidR="00877BAB" w:rsidRPr="000223EE" w:rsidRDefault="00877BAB" w:rsidP="00877BAB">
            <w:pPr>
              <w:spacing w:after="0" w:line="340" w:lineRule="exact"/>
              <w:jc w:val="center"/>
              <w:rPr>
                <w:rFonts w:asciiTheme="minorHAnsi" w:hAnsiTheme="minorHAnsi"/>
                <w:color w:val="000000"/>
                <w:sz w:val="20"/>
                <w:szCs w:val="20"/>
                <w:lang w:val="en-US"/>
              </w:rPr>
            </w:pPr>
            <w:r w:rsidRPr="000223EE">
              <w:rPr>
                <w:rFonts w:asciiTheme="minorHAnsi" w:hAnsiTheme="minorHAnsi"/>
                <w:color w:val="000000"/>
                <w:sz w:val="20"/>
                <w:szCs w:val="20"/>
                <w:lang w:val="en-US"/>
              </w:rPr>
              <w:t>-</w:t>
            </w:r>
          </w:p>
        </w:tc>
        <w:tc>
          <w:tcPr>
            <w:tcW w:w="788" w:type="dxa"/>
            <w:tcBorders>
              <w:top w:val="single" w:sz="12" w:space="0" w:color="000000"/>
              <w:bottom w:val="nil"/>
            </w:tcBorders>
            <w:shd w:val="clear" w:color="auto" w:fill="auto"/>
            <w:noWrap/>
            <w:vAlign w:val="center"/>
          </w:tcPr>
          <w:p w14:paraId="089C6096" w14:textId="77777777" w:rsidR="00877BAB" w:rsidRPr="000223EE" w:rsidRDefault="00877BAB" w:rsidP="00877BAB">
            <w:pPr>
              <w:spacing w:after="0" w:line="340" w:lineRule="exact"/>
              <w:rPr>
                <w:rFonts w:asciiTheme="minorHAnsi" w:hAnsiTheme="minorHAnsi"/>
                <w:color w:val="000000"/>
                <w:sz w:val="20"/>
                <w:szCs w:val="20"/>
                <w:lang w:val="en-US"/>
              </w:rPr>
            </w:pPr>
          </w:p>
        </w:tc>
        <w:tc>
          <w:tcPr>
            <w:tcW w:w="788" w:type="dxa"/>
            <w:tcBorders>
              <w:top w:val="single" w:sz="12" w:space="0" w:color="000000"/>
              <w:bottom w:val="nil"/>
            </w:tcBorders>
            <w:shd w:val="clear" w:color="auto" w:fill="auto"/>
            <w:noWrap/>
            <w:vAlign w:val="center"/>
          </w:tcPr>
          <w:p w14:paraId="72321E86" w14:textId="77777777" w:rsidR="00877BAB" w:rsidRPr="000223EE" w:rsidRDefault="00877BAB" w:rsidP="00877BAB">
            <w:pPr>
              <w:spacing w:after="0" w:line="340" w:lineRule="exact"/>
              <w:rPr>
                <w:rFonts w:asciiTheme="minorHAnsi" w:hAnsiTheme="minorHAnsi"/>
                <w:color w:val="000000"/>
                <w:sz w:val="20"/>
                <w:szCs w:val="20"/>
                <w:lang w:val="en-US"/>
              </w:rPr>
            </w:pPr>
          </w:p>
        </w:tc>
        <w:tc>
          <w:tcPr>
            <w:tcW w:w="788" w:type="dxa"/>
            <w:tcBorders>
              <w:top w:val="single" w:sz="12" w:space="0" w:color="000000"/>
              <w:bottom w:val="nil"/>
            </w:tcBorders>
            <w:shd w:val="clear" w:color="auto" w:fill="auto"/>
            <w:noWrap/>
            <w:vAlign w:val="center"/>
          </w:tcPr>
          <w:p w14:paraId="07C9F830" w14:textId="77777777" w:rsidR="00877BAB" w:rsidRPr="000223EE" w:rsidRDefault="00877BAB" w:rsidP="00877BAB">
            <w:pPr>
              <w:spacing w:after="0" w:line="340" w:lineRule="exact"/>
              <w:rPr>
                <w:rFonts w:asciiTheme="minorHAnsi" w:hAnsiTheme="minorHAnsi"/>
                <w:color w:val="000000"/>
                <w:sz w:val="20"/>
                <w:szCs w:val="20"/>
                <w:lang w:val="en-US"/>
              </w:rPr>
            </w:pPr>
          </w:p>
        </w:tc>
        <w:tc>
          <w:tcPr>
            <w:tcW w:w="788" w:type="dxa"/>
            <w:tcBorders>
              <w:top w:val="single" w:sz="12" w:space="0" w:color="000000"/>
              <w:bottom w:val="nil"/>
            </w:tcBorders>
            <w:shd w:val="clear" w:color="auto" w:fill="auto"/>
            <w:noWrap/>
            <w:vAlign w:val="center"/>
          </w:tcPr>
          <w:p w14:paraId="6A430680" w14:textId="77777777" w:rsidR="00877BAB" w:rsidRPr="000223EE" w:rsidRDefault="00877BAB" w:rsidP="00877BAB">
            <w:pPr>
              <w:spacing w:after="0" w:line="340" w:lineRule="exact"/>
              <w:rPr>
                <w:rFonts w:asciiTheme="minorHAnsi" w:hAnsiTheme="minorHAnsi"/>
                <w:color w:val="000000"/>
                <w:sz w:val="20"/>
                <w:szCs w:val="20"/>
                <w:lang w:val="en-US"/>
              </w:rPr>
            </w:pPr>
          </w:p>
        </w:tc>
        <w:tc>
          <w:tcPr>
            <w:tcW w:w="787" w:type="dxa"/>
            <w:tcBorders>
              <w:top w:val="single" w:sz="12" w:space="0" w:color="000000"/>
              <w:bottom w:val="nil"/>
            </w:tcBorders>
            <w:shd w:val="clear" w:color="auto" w:fill="auto"/>
            <w:noWrap/>
            <w:vAlign w:val="center"/>
          </w:tcPr>
          <w:p w14:paraId="285D5E21" w14:textId="77777777" w:rsidR="00877BAB" w:rsidRPr="000223EE" w:rsidRDefault="00877BAB" w:rsidP="00877BAB">
            <w:pPr>
              <w:spacing w:after="0" w:line="340" w:lineRule="exact"/>
              <w:rPr>
                <w:rFonts w:asciiTheme="minorHAnsi" w:hAnsiTheme="minorHAnsi"/>
                <w:color w:val="000000"/>
                <w:sz w:val="20"/>
                <w:szCs w:val="20"/>
                <w:lang w:val="en-US"/>
              </w:rPr>
            </w:pPr>
          </w:p>
        </w:tc>
        <w:tc>
          <w:tcPr>
            <w:tcW w:w="788" w:type="dxa"/>
            <w:tcBorders>
              <w:top w:val="single" w:sz="12" w:space="0" w:color="000000"/>
              <w:bottom w:val="nil"/>
            </w:tcBorders>
            <w:shd w:val="clear" w:color="auto" w:fill="auto"/>
            <w:noWrap/>
            <w:vAlign w:val="center"/>
          </w:tcPr>
          <w:p w14:paraId="20F0D49C" w14:textId="77777777" w:rsidR="00877BAB" w:rsidRPr="000223EE" w:rsidRDefault="00877BAB" w:rsidP="00877BAB">
            <w:pPr>
              <w:spacing w:after="0" w:line="340" w:lineRule="exact"/>
              <w:rPr>
                <w:rFonts w:asciiTheme="minorHAnsi" w:hAnsiTheme="minorHAnsi"/>
                <w:color w:val="000000"/>
                <w:sz w:val="20"/>
                <w:szCs w:val="20"/>
                <w:lang w:val="en-US"/>
              </w:rPr>
            </w:pPr>
          </w:p>
        </w:tc>
        <w:tc>
          <w:tcPr>
            <w:tcW w:w="788" w:type="dxa"/>
            <w:tcBorders>
              <w:top w:val="single" w:sz="12" w:space="0" w:color="000000"/>
              <w:bottom w:val="nil"/>
            </w:tcBorders>
            <w:shd w:val="clear" w:color="auto" w:fill="auto"/>
            <w:noWrap/>
            <w:vAlign w:val="center"/>
          </w:tcPr>
          <w:p w14:paraId="52191620" w14:textId="77777777" w:rsidR="00877BAB" w:rsidRPr="000223EE" w:rsidRDefault="00877BAB" w:rsidP="00877BAB">
            <w:pPr>
              <w:spacing w:after="0" w:line="340" w:lineRule="exact"/>
              <w:rPr>
                <w:rFonts w:asciiTheme="minorHAnsi" w:hAnsiTheme="minorHAnsi"/>
                <w:color w:val="000000"/>
                <w:sz w:val="20"/>
                <w:szCs w:val="20"/>
                <w:lang w:val="en-US"/>
              </w:rPr>
            </w:pPr>
          </w:p>
        </w:tc>
        <w:tc>
          <w:tcPr>
            <w:tcW w:w="788" w:type="dxa"/>
            <w:tcBorders>
              <w:top w:val="single" w:sz="12" w:space="0" w:color="000000"/>
              <w:bottom w:val="nil"/>
            </w:tcBorders>
            <w:shd w:val="clear" w:color="auto" w:fill="auto"/>
            <w:noWrap/>
            <w:vAlign w:val="center"/>
          </w:tcPr>
          <w:p w14:paraId="27729EF8" w14:textId="77777777" w:rsidR="00877BAB" w:rsidRPr="000223EE" w:rsidRDefault="00877BAB" w:rsidP="00877BAB">
            <w:pPr>
              <w:spacing w:after="0" w:line="340" w:lineRule="exact"/>
              <w:rPr>
                <w:rFonts w:asciiTheme="minorHAnsi" w:hAnsiTheme="minorHAnsi"/>
                <w:color w:val="000000"/>
                <w:sz w:val="20"/>
                <w:szCs w:val="20"/>
                <w:lang w:val="en-US"/>
              </w:rPr>
            </w:pPr>
          </w:p>
        </w:tc>
        <w:tc>
          <w:tcPr>
            <w:tcW w:w="788" w:type="dxa"/>
            <w:tcBorders>
              <w:top w:val="single" w:sz="12" w:space="0" w:color="000000"/>
              <w:bottom w:val="nil"/>
            </w:tcBorders>
            <w:shd w:val="clear" w:color="auto" w:fill="auto"/>
            <w:noWrap/>
            <w:vAlign w:val="center"/>
          </w:tcPr>
          <w:p w14:paraId="734965A9" w14:textId="77777777" w:rsidR="00877BAB" w:rsidRPr="000223EE" w:rsidRDefault="00877BAB" w:rsidP="00877BAB">
            <w:pPr>
              <w:spacing w:after="0" w:line="340" w:lineRule="exact"/>
              <w:rPr>
                <w:rFonts w:asciiTheme="minorHAnsi" w:hAnsiTheme="minorHAnsi"/>
                <w:color w:val="000000"/>
                <w:sz w:val="20"/>
                <w:szCs w:val="20"/>
                <w:lang w:val="en-US"/>
              </w:rPr>
            </w:pPr>
          </w:p>
        </w:tc>
        <w:tc>
          <w:tcPr>
            <w:tcW w:w="787" w:type="dxa"/>
            <w:tcBorders>
              <w:top w:val="single" w:sz="12" w:space="0" w:color="000000"/>
              <w:bottom w:val="nil"/>
            </w:tcBorders>
            <w:shd w:val="clear" w:color="auto" w:fill="auto"/>
            <w:noWrap/>
            <w:vAlign w:val="center"/>
          </w:tcPr>
          <w:p w14:paraId="61CDEEDE" w14:textId="77777777" w:rsidR="00877BAB" w:rsidRPr="000223EE" w:rsidRDefault="00877BAB" w:rsidP="00877BAB">
            <w:pPr>
              <w:spacing w:after="0" w:line="340" w:lineRule="exact"/>
              <w:rPr>
                <w:rFonts w:asciiTheme="minorHAnsi" w:hAnsiTheme="minorHAnsi"/>
                <w:color w:val="000000"/>
                <w:sz w:val="20"/>
                <w:szCs w:val="20"/>
                <w:lang w:val="en-US"/>
              </w:rPr>
            </w:pPr>
          </w:p>
        </w:tc>
        <w:tc>
          <w:tcPr>
            <w:tcW w:w="788" w:type="dxa"/>
            <w:tcBorders>
              <w:top w:val="single" w:sz="12" w:space="0" w:color="000000"/>
              <w:bottom w:val="nil"/>
            </w:tcBorders>
            <w:shd w:val="clear" w:color="auto" w:fill="auto"/>
            <w:noWrap/>
            <w:vAlign w:val="center"/>
          </w:tcPr>
          <w:p w14:paraId="345198D6" w14:textId="77777777" w:rsidR="00877BAB" w:rsidRPr="000223EE" w:rsidRDefault="00877BAB" w:rsidP="00877BAB">
            <w:pPr>
              <w:spacing w:after="0" w:line="340" w:lineRule="exact"/>
              <w:rPr>
                <w:rFonts w:asciiTheme="minorHAnsi" w:hAnsiTheme="minorHAnsi"/>
                <w:color w:val="000000"/>
                <w:sz w:val="20"/>
                <w:szCs w:val="20"/>
                <w:lang w:val="en-US"/>
              </w:rPr>
            </w:pPr>
          </w:p>
        </w:tc>
        <w:tc>
          <w:tcPr>
            <w:tcW w:w="788" w:type="dxa"/>
            <w:tcBorders>
              <w:top w:val="single" w:sz="12" w:space="0" w:color="000000"/>
              <w:bottom w:val="nil"/>
            </w:tcBorders>
            <w:shd w:val="clear" w:color="auto" w:fill="auto"/>
            <w:noWrap/>
            <w:vAlign w:val="center"/>
          </w:tcPr>
          <w:p w14:paraId="39610995" w14:textId="77777777" w:rsidR="00877BAB" w:rsidRPr="000223EE" w:rsidRDefault="00877BAB" w:rsidP="00877BAB">
            <w:pPr>
              <w:spacing w:after="0" w:line="340" w:lineRule="exact"/>
              <w:rPr>
                <w:rFonts w:asciiTheme="minorHAnsi" w:hAnsiTheme="minorHAnsi"/>
                <w:color w:val="000000"/>
                <w:sz w:val="20"/>
                <w:szCs w:val="20"/>
                <w:lang w:val="en-US"/>
              </w:rPr>
            </w:pPr>
          </w:p>
        </w:tc>
        <w:tc>
          <w:tcPr>
            <w:tcW w:w="788" w:type="dxa"/>
            <w:tcBorders>
              <w:top w:val="single" w:sz="12" w:space="0" w:color="000000"/>
              <w:bottom w:val="nil"/>
            </w:tcBorders>
            <w:shd w:val="clear" w:color="auto" w:fill="auto"/>
            <w:noWrap/>
            <w:vAlign w:val="center"/>
          </w:tcPr>
          <w:p w14:paraId="5AB969AD" w14:textId="77777777" w:rsidR="00877BAB" w:rsidRPr="000223EE" w:rsidRDefault="00877BAB" w:rsidP="00877BAB">
            <w:pPr>
              <w:spacing w:after="0" w:line="340" w:lineRule="exact"/>
              <w:rPr>
                <w:rFonts w:asciiTheme="minorHAnsi" w:hAnsiTheme="minorHAnsi"/>
                <w:color w:val="000000"/>
                <w:sz w:val="20"/>
                <w:szCs w:val="20"/>
                <w:lang w:val="en-US"/>
              </w:rPr>
            </w:pPr>
          </w:p>
        </w:tc>
        <w:tc>
          <w:tcPr>
            <w:tcW w:w="788" w:type="dxa"/>
            <w:tcBorders>
              <w:top w:val="single" w:sz="12" w:space="0" w:color="000000"/>
              <w:bottom w:val="nil"/>
            </w:tcBorders>
            <w:shd w:val="clear" w:color="auto" w:fill="auto"/>
            <w:noWrap/>
            <w:vAlign w:val="center"/>
          </w:tcPr>
          <w:p w14:paraId="1617F5CE" w14:textId="77777777" w:rsidR="00877BAB" w:rsidRPr="002538AA" w:rsidRDefault="00877BAB" w:rsidP="00877BAB">
            <w:pPr>
              <w:spacing w:after="0" w:line="340" w:lineRule="exact"/>
              <w:rPr>
                <w:rFonts w:asciiTheme="minorHAnsi" w:hAnsiTheme="minorHAnsi"/>
                <w:color w:val="000000"/>
                <w:sz w:val="20"/>
                <w:szCs w:val="20"/>
                <w:lang w:val="en-US"/>
              </w:rPr>
            </w:pPr>
          </w:p>
        </w:tc>
        <w:tc>
          <w:tcPr>
            <w:tcW w:w="788" w:type="dxa"/>
            <w:tcBorders>
              <w:top w:val="single" w:sz="12" w:space="0" w:color="000000"/>
              <w:bottom w:val="nil"/>
            </w:tcBorders>
            <w:shd w:val="clear" w:color="auto" w:fill="auto"/>
            <w:noWrap/>
            <w:vAlign w:val="center"/>
          </w:tcPr>
          <w:p w14:paraId="303D9F27" w14:textId="77777777" w:rsidR="00877BAB" w:rsidRPr="002538AA" w:rsidRDefault="00877BAB" w:rsidP="00877BAB">
            <w:pPr>
              <w:spacing w:after="0" w:line="340" w:lineRule="exact"/>
              <w:rPr>
                <w:rFonts w:asciiTheme="minorHAnsi" w:hAnsiTheme="minorHAnsi"/>
                <w:color w:val="000000"/>
                <w:sz w:val="20"/>
                <w:szCs w:val="20"/>
                <w:lang w:val="en-US"/>
              </w:rPr>
            </w:pPr>
          </w:p>
        </w:tc>
      </w:tr>
      <w:tr w:rsidR="00877BAB" w:rsidRPr="000223EE" w14:paraId="100F9BCE" w14:textId="77777777" w:rsidTr="00877BAB">
        <w:trPr>
          <w:trHeight w:val="20"/>
          <w:jc w:val="right"/>
        </w:trPr>
        <w:tc>
          <w:tcPr>
            <w:tcW w:w="1728" w:type="dxa"/>
            <w:tcBorders>
              <w:top w:val="nil"/>
              <w:bottom w:val="nil"/>
            </w:tcBorders>
            <w:shd w:val="clear" w:color="auto" w:fill="auto"/>
            <w:vAlign w:val="center"/>
          </w:tcPr>
          <w:p w14:paraId="3414A16A" w14:textId="77777777" w:rsidR="00877BAB" w:rsidRPr="00553F90" w:rsidRDefault="00877BAB" w:rsidP="00877BAB">
            <w:pPr>
              <w:spacing w:after="0" w:line="340" w:lineRule="exact"/>
              <w:rPr>
                <w:rFonts w:asciiTheme="minorHAnsi" w:hAnsiTheme="minorHAnsi"/>
                <w:color w:val="000000"/>
                <w:sz w:val="20"/>
                <w:szCs w:val="20"/>
                <w:lang w:val="en-US"/>
              </w:rPr>
            </w:pPr>
            <w:r w:rsidRPr="00553F90">
              <w:rPr>
                <w:rFonts w:asciiTheme="minorHAnsi" w:hAnsiTheme="minorHAnsi"/>
                <w:color w:val="000000"/>
                <w:sz w:val="20"/>
                <w:szCs w:val="20"/>
                <w:lang w:val="en-US"/>
              </w:rPr>
              <w:t>2. Religiosity</w:t>
            </w:r>
          </w:p>
        </w:tc>
        <w:tc>
          <w:tcPr>
            <w:tcW w:w="787" w:type="dxa"/>
            <w:tcBorders>
              <w:top w:val="nil"/>
              <w:bottom w:val="nil"/>
            </w:tcBorders>
            <w:shd w:val="clear" w:color="auto" w:fill="auto"/>
            <w:noWrap/>
            <w:vAlign w:val="center"/>
          </w:tcPr>
          <w:p w14:paraId="16811C34" w14:textId="77777777" w:rsidR="00877BAB" w:rsidRPr="000223EE" w:rsidRDefault="00877BAB" w:rsidP="00877BAB">
            <w:pPr>
              <w:spacing w:after="0" w:line="340" w:lineRule="exact"/>
              <w:jc w:val="center"/>
              <w:rPr>
                <w:rFonts w:asciiTheme="minorHAnsi" w:hAnsiTheme="minorHAnsi"/>
                <w:color w:val="000000"/>
                <w:sz w:val="20"/>
                <w:szCs w:val="20"/>
                <w:lang w:val="en-US"/>
              </w:rPr>
            </w:pPr>
            <w:r w:rsidRPr="000223EE">
              <w:rPr>
                <w:rFonts w:asciiTheme="minorHAnsi" w:hAnsiTheme="minorHAnsi"/>
                <w:color w:val="000000"/>
                <w:sz w:val="20"/>
                <w:szCs w:val="20"/>
                <w:lang w:val="en-US"/>
              </w:rPr>
              <w:t>.22</w:t>
            </w:r>
          </w:p>
        </w:tc>
        <w:tc>
          <w:tcPr>
            <w:tcW w:w="788" w:type="dxa"/>
            <w:tcBorders>
              <w:top w:val="nil"/>
              <w:bottom w:val="nil"/>
            </w:tcBorders>
            <w:shd w:val="clear" w:color="auto" w:fill="auto"/>
            <w:noWrap/>
            <w:vAlign w:val="center"/>
          </w:tcPr>
          <w:p w14:paraId="7223AF4F" w14:textId="77777777" w:rsidR="00877BAB" w:rsidRPr="000223EE" w:rsidRDefault="00877BAB" w:rsidP="00877BAB">
            <w:pPr>
              <w:spacing w:after="0" w:line="340" w:lineRule="exact"/>
              <w:jc w:val="center"/>
              <w:rPr>
                <w:rFonts w:asciiTheme="minorHAnsi" w:hAnsiTheme="minorHAnsi"/>
                <w:color w:val="000000"/>
                <w:sz w:val="20"/>
                <w:szCs w:val="20"/>
                <w:lang w:val="en-US"/>
              </w:rPr>
            </w:pPr>
            <w:r w:rsidRPr="000223EE">
              <w:rPr>
                <w:rFonts w:asciiTheme="minorHAnsi" w:hAnsiTheme="minorHAnsi"/>
                <w:color w:val="000000"/>
                <w:sz w:val="20"/>
                <w:szCs w:val="20"/>
                <w:lang w:val="en-US"/>
              </w:rPr>
              <w:t>-</w:t>
            </w:r>
          </w:p>
        </w:tc>
        <w:tc>
          <w:tcPr>
            <w:tcW w:w="788" w:type="dxa"/>
            <w:tcBorders>
              <w:top w:val="nil"/>
              <w:bottom w:val="nil"/>
            </w:tcBorders>
            <w:shd w:val="clear" w:color="auto" w:fill="auto"/>
            <w:noWrap/>
            <w:vAlign w:val="center"/>
          </w:tcPr>
          <w:p w14:paraId="5E096149" w14:textId="77777777" w:rsidR="00877BAB" w:rsidRPr="000223EE" w:rsidRDefault="00877BAB" w:rsidP="00877BAB">
            <w:pPr>
              <w:spacing w:after="0" w:line="340" w:lineRule="exact"/>
              <w:jc w:val="center"/>
              <w:rPr>
                <w:rFonts w:asciiTheme="minorHAnsi" w:hAnsiTheme="minorHAnsi"/>
                <w:color w:val="000000"/>
                <w:sz w:val="20"/>
                <w:szCs w:val="20"/>
                <w:lang w:val="en-US"/>
              </w:rPr>
            </w:pPr>
          </w:p>
        </w:tc>
        <w:tc>
          <w:tcPr>
            <w:tcW w:w="788" w:type="dxa"/>
            <w:tcBorders>
              <w:top w:val="nil"/>
              <w:bottom w:val="nil"/>
            </w:tcBorders>
            <w:shd w:val="clear" w:color="auto" w:fill="auto"/>
            <w:noWrap/>
            <w:vAlign w:val="center"/>
          </w:tcPr>
          <w:p w14:paraId="28E60377" w14:textId="77777777" w:rsidR="00877BAB" w:rsidRPr="000223EE" w:rsidRDefault="00877BAB" w:rsidP="00877BAB">
            <w:pPr>
              <w:spacing w:after="0" w:line="340" w:lineRule="exact"/>
              <w:jc w:val="center"/>
              <w:rPr>
                <w:rFonts w:asciiTheme="minorHAnsi" w:hAnsiTheme="minorHAnsi"/>
                <w:color w:val="000000"/>
                <w:sz w:val="20"/>
                <w:szCs w:val="20"/>
                <w:lang w:val="en-US"/>
              </w:rPr>
            </w:pPr>
          </w:p>
        </w:tc>
        <w:tc>
          <w:tcPr>
            <w:tcW w:w="788" w:type="dxa"/>
            <w:tcBorders>
              <w:top w:val="nil"/>
              <w:bottom w:val="nil"/>
            </w:tcBorders>
            <w:shd w:val="clear" w:color="auto" w:fill="auto"/>
            <w:noWrap/>
            <w:vAlign w:val="center"/>
          </w:tcPr>
          <w:p w14:paraId="1B1FACD2" w14:textId="77777777" w:rsidR="00877BAB" w:rsidRPr="000223EE" w:rsidRDefault="00877BAB" w:rsidP="00877BAB">
            <w:pPr>
              <w:spacing w:after="0" w:line="340" w:lineRule="exact"/>
              <w:jc w:val="center"/>
              <w:rPr>
                <w:rFonts w:asciiTheme="minorHAnsi" w:hAnsiTheme="minorHAnsi"/>
                <w:color w:val="000000"/>
                <w:sz w:val="20"/>
                <w:szCs w:val="20"/>
                <w:lang w:val="en-US"/>
              </w:rPr>
            </w:pPr>
          </w:p>
        </w:tc>
        <w:tc>
          <w:tcPr>
            <w:tcW w:w="787" w:type="dxa"/>
            <w:tcBorders>
              <w:top w:val="nil"/>
              <w:bottom w:val="nil"/>
            </w:tcBorders>
            <w:shd w:val="clear" w:color="auto" w:fill="auto"/>
            <w:noWrap/>
            <w:vAlign w:val="center"/>
          </w:tcPr>
          <w:p w14:paraId="2935BDCC" w14:textId="77777777" w:rsidR="00877BAB" w:rsidRPr="000223EE" w:rsidRDefault="00877BAB" w:rsidP="00877BAB">
            <w:pPr>
              <w:spacing w:after="0" w:line="340" w:lineRule="exact"/>
              <w:jc w:val="center"/>
              <w:rPr>
                <w:rFonts w:asciiTheme="minorHAnsi" w:hAnsiTheme="minorHAnsi"/>
                <w:color w:val="000000"/>
                <w:sz w:val="20"/>
                <w:szCs w:val="20"/>
                <w:lang w:val="en-US"/>
              </w:rPr>
            </w:pPr>
          </w:p>
        </w:tc>
        <w:tc>
          <w:tcPr>
            <w:tcW w:w="788" w:type="dxa"/>
            <w:tcBorders>
              <w:top w:val="nil"/>
              <w:bottom w:val="nil"/>
            </w:tcBorders>
            <w:shd w:val="clear" w:color="auto" w:fill="auto"/>
            <w:noWrap/>
            <w:vAlign w:val="center"/>
          </w:tcPr>
          <w:p w14:paraId="0DBEF5DB" w14:textId="77777777" w:rsidR="00877BAB" w:rsidRPr="000223EE" w:rsidRDefault="00877BAB" w:rsidP="00877BAB">
            <w:pPr>
              <w:spacing w:after="0" w:line="340" w:lineRule="exact"/>
              <w:jc w:val="center"/>
              <w:rPr>
                <w:rFonts w:asciiTheme="minorHAnsi" w:hAnsiTheme="minorHAnsi"/>
                <w:color w:val="000000"/>
                <w:sz w:val="20"/>
                <w:szCs w:val="20"/>
                <w:lang w:val="en-US"/>
              </w:rPr>
            </w:pPr>
          </w:p>
        </w:tc>
        <w:tc>
          <w:tcPr>
            <w:tcW w:w="788" w:type="dxa"/>
            <w:tcBorders>
              <w:top w:val="nil"/>
              <w:bottom w:val="nil"/>
            </w:tcBorders>
            <w:shd w:val="clear" w:color="auto" w:fill="auto"/>
            <w:noWrap/>
            <w:vAlign w:val="center"/>
          </w:tcPr>
          <w:p w14:paraId="71EA959E" w14:textId="77777777" w:rsidR="00877BAB" w:rsidRPr="000223EE" w:rsidRDefault="00877BAB" w:rsidP="00877BAB">
            <w:pPr>
              <w:spacing w:after="0" w:line="340" w:lineRule="exact"/>
              <w:jc w:val="center"/>
              <w:rPr>
                <w:rFonts w:asciiTheme="minorHAnsi" w:hAnsiTheme="minorHAnsi"/>
                <w:color w:val="000000"/>
                <w:sz w:val="20"/>
                <w:szCs w:val="20"/>
                <w:lang w:val="en-US"/>
              </w:rPr>
            </w:pPr>
          </w:p>
        </w:tc>
        <w:tc>
          <w:tcPr>
            <w:tcW w:w="788" w:type="dxa"/>
            <w:tcBorders>
              <w:top w:val="nil"/>
              <w:bottom w:val="nil"/>
            </w:tcBorders>
            <w:shd w:val="clear" w:color="auto" w:fill="auto"/>
            <w:noWrap/>
            <w:vAlign w:val="center"/>
          </w:tcPr>
          <w:p w14:paraId="4F7ABE0A" w14:textId="77777777" w:rsidR="00877BAB" w:rsidRPr="000223EE" w:rsidRDefault="00877BAB" w:rsidP="00877BAB">
            <w:pPr>
              <w:spacing w:after="0" w:line="340" w:lineRule="exact"/>
              <w:jc w:val="center"/>
              <w:rPr>
                <w:rFonts w:asciiTheme="minorHAnsi" w:hAnsiTheme="minorHAnsi"/>
                <w:color w:val="000000"/>
                <w:sz w:val="20"/>
                <w:szCs w:val="20"/>
                <w:lang w:val="en-US"/>
              </w:rPr>
            </w:pPr>
          </w:p>
        </w:tc>
        <w:tc>
          <w:tcPr>
            <w:tcW w:w="788" w:type="dxa"/>
            <w:tcBorders>
              <w:top w:val="nil"/>
              <w:bottom w:val="nil"/>
            </w:tcBorders>
            <w:shd w:val="clear" w:color="auto" w:fill="auto"/>
            <w:noWrap/>
            <w:vAlign w:val="center"/>
          </w:tcPr>
          <w:p w14:paraId="32D97859" w14:textId="77777777" w:rsidR="00877BAB" w:rsidRPr="000223EE" w:rsidRDefault="00877BAB" w:rsidP="00877BAB">
            <w:pPr>
              <w:spacing w:after="0" w:line="340" w:lineRule="exact"/>
              <w:jc w:val="center"/>
              <w:rPr>
                <w:rFonts w:asciiTheme="minorHAnsi" w:hAnsiTheme="minorHAnsi"/>
                <w:color w:val="000000"/>
                <w:sz w:val="20"/>
                <w:szCs w:val="20"/>
                <w:lang w:val="en-US"/>
              </w:rPr>
            </w:pPr>
          </w:p>
        </w:tc>
        <w:tc>
          <w:tcPr>
            <w:tcW w:w="787" w:type="dxa"/>
            <w:tcBorders>
              <w:top w:val="nil"/>
              <w:bottom w:val="nil"/>
            </w:tcBorders>
            <w:shd w:val="clear" w:color="auto" w:fill="auto"/>
            <w:noWrap/>
            <w:vAlign w:val="center"/>
          </w:tcPr>
          <w:p w14:paraId="5BEACBB1" w14:textId="77777777" w:rsidR="00877BAB" w:rsidRPr="000223EE" w:rsidRDefault="00877BAB" w:rsidP="00877BAB">
            <w:pPr>
              <w:spacing w:after="0" w:line="340" w:lineRule="exact"/>
              <w:jc w:val="center"/>
              <w:rPr>
                <w:rFonts w:asciiTheme="minorHAnsi" w:hAnsiTheme="minorHAnsi"/>
                <w:color w:val="000000"/>
                <w:sz w:val="20"/>
                <w:szCs w:val="20"/>
                <w:lang w:val="en-US"/>
              </w:rPr>
            </w:pPr>
          </w:p>
        </w:tc>
        <w:tc>
          <w:tcPr>
            <w:tcW w:w="788" w:type="dxa"/>
            <w:tcBorders>
              <w:top w:val="nil"/>
              <w:bottom w:val="nil"/>
            </w:tcBorders>
            <w:shd w:val="clear" w:color="auto" w:fill="auto"/>
            <w:noWrap/>
            <w:vAlign w:val="center"/>
          </w:tcPr>
          <w:p w14:paraId="59952B94" w14:textId="77777777" w:rsidR="00877BAB" w:rsidRPr="000223EE" w:rsidRDefault="00877BAB" w:rsidP="00877BAB">
            <w:pPr>
              <w:spacing w:after="0" w:line="340" w:lineRule="exact"/>
              <w:jc w:val="center"/>
              <w:rPr>
                <w:rFonts w:asciiTheme="minorHAnsi" w:hAnsiTheme="minorHAnsi"/>
                <w:color w:val="000000"/>
                <w:sz w:val="20"/>
                <w:szCs w:val="20"/>
                <w:lang w:val="en-US"/>
              </w:rPr>
            </w:pPr>
          </w:p>
        </w:tc>
        <w:tc>
          <w:tcPr>
            <w:tcW w:w="788" w:type="dxa"/>
            <w:tcBorders>
              <w:top w:val="nil"/>
              <w:bottom w:val="nil"/>
            </w:tcBorders>
            <w:shd w:val="clear" w:color="auto" w:fill="auto"/>
            <w:noWrap/>
            <w:vAlign w:val="center"/>
          </w:tcPr>
          <w:p w14:paraId="4AB5A448" w14:textId="77777777" w:rsidR="00877BAB" w:rsidRPr="000223EE" w:rsidRDefault="00877BAB" w:rsidP="00877BAB">
            <w:pPr>
              <w:spacing w:after="0" w:line="340" w:lineRule="exact"/>
              <w:jc w:val="center"/>
              <w:rPr>
                <w:rFonts w:asciiTheme="minorHAnsi" w:hAnsiTheme="minorHAnsi"/>
                <w:color w:val="000000"/>
                <w:sz w:val="20"/>
                <w:szCs w:val="20"/>
                <w:lang w:val="en-US"/>
              </w:rPr>
            </w:pPr>
          </w:p>
        </w:tc>
        <w:tc>
          <w:tcPr>
            <w:tcW w:w="788" w:type="dxa"/>
            <w:tcBorders>
              <w:top w:val="nil"/>
              <w:bottom w:val="nil"/>
            </w:tcBorders>
            <w:shd w:val="clear" w:color="auto" w:fill="auto"/>
            <w:noWrap/>
            <w:vAlign w:val="center"/>
          </w:tcPr>
          <w:p w14:paraId="356C3DFE" w14:textId="77777777" w:rsidR="00877BAB" w:rsidRPr="002538AA" w:rsidRDefault="00877BAB" w:rsidP="00877BAB">
            <w:pPr>
              <w:spacing w:after="0" w:line="340" w:lineRule="exact"/>
              <w:jc w:val="center"/>
              <w:rPr>
                <w:rFonts w:asciiTheme="minorHAnsi" w:hAnsiTheme="minorHAnsi"/>
                <w:color w:val="000000"/>
                <w:sz w:val="20"/>
                <w:szCs w:val="20"/>
                <w:lang w:val="en-US"/>
              </w:rPr>
            </w:pPr>
          </w:p>
        </w:tc>
        <w:tc>
          <w:tcPr>
            <w:tcW w:w="788" w:type="dxa"/>
            <w:tcBorders>
              <w:top w:val="nil"/>
              <w:bottom w:val="nil"/>
            </w:tcBorders>
            <w:shd w:val="clear" w:color="auto" w:fill="auto"/>
            <w:noWrap/>
            <w:vAlign w:val="center"/>
          </w:tcPr>
          <w:p w14:paraId="1492F8F7" w14:textId="77777777" w:rsidR="00877BAB" w:rsidRPr="002538AA" w:rsidRDefault="00877BAB" w:rsidP="00877BAB">
            <w:pPr>
              <w:spacing w:after="0" w:line="340" w:lineRule="exact"/>
              <w:jc w:val="center"/>
              <w:rPr>
                <w:rFonts w:asciiTheme="minorHAnsi" w:hAnsiTheme="minorHAnsi"/>
                <w:color w:val="000000"/>
                <w:sz w:val="20"/>
                <w:szCs w:val="20"/>
                <w:lang w:val="en-US"/>
              </w:rPr>
            </w:pPr>
          </w:p>
        </w:tc>
        <w:tc>
          <w:tcPr>
            <w:tcW w:w="788" w:type="dxa"/>
            <w:tcBorders>
              <w:top w:val="nil"/>
              <w:bottom w:val="nil"/>
            </w:tcBorders>
            <w:shd w:val="clear" w:color="auto" w:fill="auto"/>
            <w:noWrap/>
            <w:vAlign w:val="center"/>
          </w:tcPr>
          <w:p w14:paraId="6565DE57" w14:textId="77777777" w:rsidR="00877BAB" w:rsidRPr="002538AA" w:rsidRDefault="00877BAB" w:rsidP="00877BAB">
            <w:pPr>
              <w:spacing w:after="0" w:line="340" w:lineRule="exact"/>
              <w:jc w:val="center"/>
              <w:rPr>
                <w:rFonts w:asciiTheme="minorHAnsi" w:hAnsiTheme="minorHAnsi"/>
                <w:color w:val="000000"/>
                <w:sz w:val="20"/>
                <w:szCs w:val="20"/>
                <w:lang w:val="en-US"/>
              </w:rPr>
            </w:pPr>
          </w:p>
        </w:tc>
      </w:tr>
      <w:tr w:rsidR="00877BAB" w:rsidRPr="000223EE" w14:paraId="508171A9" w14:textId="77777777" w:rsidTr="00877BAB">
        <w:trPr>
          <w:trHeight w:val="20"/>
          <w:jc w:val="right"/>
        </w:trPr>
        <w:tc>
          <w:tcPr>
            <w:tcW w:w="1728" w:type="dxa"/>
            <w:tcBorders>
              <w:top w:val="nil"/>
              <w:bottom w:val="nil"/>
            </w:tcBorders>
            <w:shd w:val="clear" w:color="auto" w:fill="auto"/>
            <w:vAlign w:val="center"/>
          </w:tcPr>
          <w:p w14:paraId="41D8EC67" w14:textId="77777777" w:rsidR="00877BAB" w:rsidRPr="00553F90" w:rsidRDefault="00877BAB" w:rsidP="00877BAB">
            <w:pPr>
              <w:spacing w:after="0" w:line="340" w:lineRule="exact"/>
              <w:rPr>
                <w:rFonts w:asciiTheme="minorHAnsi" w:hAnsiTheme="minorHAnsi"/>
                <w:color w:val="000000"/>
                <w:sz w:val="20"/>
                <w:szCs w:val="20"/>
                <w:lang w:val="en-US"/>
              </w:rPr>
            </w:pPr>
            <w:r w:rsidRPr="00553F90">
              <w:rPr>
                <w:rFonts w:asciiTheme="minorHAnsi" w:hAnsiTheme="minorHAnsi"/>
                <w:color w:val="000000"/>
                <w:sz w:val="20"/>
                <w:szCs w:val="20"/>
                <w:lang w:val="en-US"/>
              </w:rPr>
              <w:t>3. Education</w:t>
            </w:r>
          </w:p>
        </w:tc>
        <w:tc>
          <w:tcPr>
            <w:tcW w:w="787" w:type="dxa"/>
            <w:tcBorders>
              <w:top w:val="nil"/>
              <w:bottom w:val="nil"/>
            </w:tcBorders>
            <w:shd w:val="clear" w:color="auto" w:fill="auto"/>
            <w:noWrap/>
            <w:vAlign w:val="center"/>
          </w:tcPr>
          <w:p w14:paraId="39F1F898" w14:textId="77777777" w:rsidR="00877BAB" w:rsidRPr="000223EE" w:rsidRDefault="00877BAB" w:rsidP="00877BAB">
            <w:pPr>
              <w:spacing w:after="0" w:line="340" w:lineRule="exact"/>
              <w:jc w:val="center"/>
              <w:rPr>
                <w:rFonts w:asciiTheme="minorHAnsi" w:hAnsiTheme="minorHAnsi"/>
                <w:color w:val="000000"/>
                <w:sz w:val="20"/>
                <w:szCs w:val="20"/>
                <w:lang w:val="en-US"/>
              </w:rPr>
            </w:pPr>
            <w:r w:rsidRPr="000223EE">
              <w:rPr>
                <w:rFonts w:asciiTheme="minorHAnsi" w:hAnsiTheme="minorHAnsi"/>
                <w:color w:val="000000"/>
                <w:sz w:val="20"/>
                <w:szCs w:val="20"/>
                <w:lang w:val="en-US"/>
              </w:rPr>
              <w:t>.08</w:t>
            </w:r>
          </w:p>
        </w:tc>
        <w:tc>
          <w:tcPr>
            <w:tcW w:w="788" w:type="dxa"/>
            <w:tcBorders>
              <w:top w:val="nil"/>
              <w:bottom w:val="nil"/>
            </w:tcBorders>
            <w:shd w:val="clear" w:color="auto" w:fill="auto"/>
            <w:noWrap/>
            <w:vAlign w:val="center"/>
          </w:tcPr>
          <w:p w14:paraId="12DABC82" w14:textId="77777777" w:rsidR="00877BAB" w:rsidRPr="000223EE" w:rsidRDefault="00877BAB" w:rsidP="00877BAB">
            <w:pPr>
              <w:spacing w:after="0" w:line="340" w:lineRule="exact"/>
              <w:jc w:val="center"/>
              <w:rPr>
                <w:rFonts w:asciiTheme="minorHAnsi" w:hAnsiTheme="minorHAnsi"/>
                <w:color w:val="000000"/>
                <w:sz w:val="20"/>
                <w:szCs w:val="20"/>
                <w:lang w:val="en-US"/>
              </w:rPr>
            </w:pPr>
            <w:r w:rsidRPr="000223EE">
              <w:rPr>
                <w:rFonts w:asciiTheme="minorHAnsi" w:hAnsiTheme="minorHAnsi"/>
                <w:color w:val="000000"/>
                <w:sz w:val="20"/>
                <w:szCs w:val="20"/>
                <w:lang w:val="en-US"/>
              </w:rPr>
              <w:t>.13</w:t>
            </w:r>
          </w:p>
        </w:tc>
        <w:tc>
          <w:tcPr>
            <w:tcW w:w="788" w:type="dxa"/>
            <w:tcBorders>
              <w:top w:val="nil"/>
              <w:bottom w:val="nil"/>
            </w:tcBorders>
            <w:shd w:val="clear" w:color="auto" w:fill="auto"/>
            <w:noWrap/>
            <w:vAlign w:val="center"/>
          </w:tcPr>
          <w:p w14:paraId="6C7E802B" w14:textId="77777777" w:rsidR="00877BAB" w:rsidRPr="000223EE" w:rsidRDefault="00877BAB" w:rsidP="00877BAB">
            <w:pPr>
              <w:spacing w:after="0" w:line="340" w:lineRule="exact"/>
              <w:jc w:val="center"/>
              <w:rPr>
                <w:rFonts w:asciiTheme="minorHAnsi" w:hAnsiTheme="minorHAnsi"/>
                <w:color w:val="000000"/>
                <w:sz w:val="20"/>
                <w:szCs w:val="20"/>
                <w:lang w:val="en-US"/>
              </w:rPr>
            </w:pPr>
            <w:r w:rsidRPr="000223EE">
              <w:rPr>
                <w:rFonts w:asciiTheme="minorHAnsi" w:hAnsiTheme="minorHAnsi"/>
                <w:color w:val="000000"/>
                <w:sz w:val="20"/>
                <w:szCs w:val="20"/>
                <w:lang w:val="en-US"/>
              </w:rPr>
              <w:t>-</w:t>
            </w:r>
          </w:p>
        </w:tc>
        <w:tc>
          <w:tcPr>
            <w:tcW w:w="788" w:type="dxa"/>
            <w:tcBorders>
              <w:top w:val="nil"/>
              <w:bottom w:val="nil"/>
            </w:tcBorders>
            <w:shd w:val="clear" w:color="auto" w:fill="auto"/>
            <w:noWrap/>
            <w:vAlign w:val="center"/>
          </w:tcPr>
          <w:p w14:paraId="4C07F39F" w14:textId="77777777" w:rsidR="00877BAB" w:rsidRPr="000223EE" w:rsidRDefault="00877BAB" w:rsidP="00877BAB">
            <w:pPr>
              <w:spacing w:after="0" w:line="340" w:lineRule="exact"/>
              <w:jc w:val="center"/>
              <w:rPr>
                <w:rFonts w:asciiTheme="minorHAnsi" w:hAnsiTheme="minorHAnsi"/>
                <w:color w:val="000000"/>
                <w:sz w:val="20"/>
                <w:szCs w:val="20"/>
                <w:lang w:val="en-US"/>
              </w:rPr>
            </w:pPr>
          </w:p>
        </w:tc>
        <w:tc>
          <w:tcPr>
            <w:tcW w:w="788" w:type="dxa"/>
            <w:tcBorders>
              <w:top w:val="nil"/>
              <w:bottom w:val="nil"/>
            </w:tcBorders>
            <w:shd w:val="clear" w:color="auto" w:fill="auto"/>
            <w:noWrap/>
            <w:vAlign w:val="center"/>
          </w:tcPr>
          <w:p w14:paraId="6819FA4B" w14:textId="77777777" w:rsidR="00877BAB" w:rsidRPr="000223EE" w:rsidRDefault="00877BAB" w:rsidP="00877BAB">
            <w:pPr>
              <w:spacing w:after="0" w:line="340" w:lineRule="exact"/>
              <w:jc w:val="center"/>
              <w:rPr>
                <w:rFonts w:asciiTheme="minorHAnsi" w:hAnsiTheme="minorHAnsi"/>
                <w:color w:val="000000"/>
                <w:sz w:val="20"/>
                <w:szCs w:val="20"/>
                <w:lang w:val="en-US"/>
              </w:rPr>
            </w:pPr>
          </w:p>
        </w:tc>
        <w:tc>
          <w:tcPr>
            <w:tcW w:w="787" w:type="dxa"/>
            <w:tcBorders>
              <w:top w:val="nil"/>
              <w:bottom w:val="nil"/>
            </w:tcBorders>
            <w:shd w:val="clear" w:color="auto" w:fill="auto"/>
            <w:noWrap/>
            <w:vAlign w:val="center"/>
          </w:tcPr>
          <w:p w14:paraId="47A3FFCA" w14:textId="77777777" w:rsidR="00877BAB" w:rsidRPr="000223EE" w:rsidRDefault="00877BAB" w:rsidP="00877BAB">
            <w:pPr>
              <w:spacing w:after="0" w:line="340" w:lineRule="exact"/>
              <w:jc w:val="center"/>
              <w:rPr>
                <w:rFonts w:asciiTheme="minorHAnsi" w:hAnsiTheme="minorHAnsi"/>
                <w:color w:val="000000"/>
                <w:sz w:val="20"/>
                <w:szCs w:val="20"/>
                <w:lang w:val="en-US"/>
              </w:rPr>
            </w:pPr>
          </w:p>
        </w:tc>
        <w:tc>
          <w:tcPr>
            <w:tcW w:w="788" w:type="dxa"/>
            <w:tcBorders>
              <w:top w:val="nil"/>
              <w:bottom w:val="nil"/>
            </w:tcBorders>
            <w:shd w:val="clear" w:color="auto" w:fill="auto"/>
            <w:noWrap/>
            <w:vAlign w:val="center"/>
          </w:tcPr>
          <w:p w14:paraId="7998BB7A" w14:textId="77777777" w:rsidR="00877BAB" w:rsidRPr="000223EE" w:rsidRDefault="00877BAB" w:rsidP="00877BAB">
            <w:pPr>
              <w:spacing w:after="0" w:line="340" w:lineRule="exact"/>
              <w:jc w:val="center"/>
              <w:rPr>
                <w:rFonts w:asciiTheme="minorHAnsi" w:hAnsiTheme="minorHAnsi"/>
                <w:color w:val="000000"/>
                <w:sz w:val="20"/>
                <w:szCs w:val="20"/>
                <w:lang w:val="en-US"/>
              </w:rPr>
            </w:pPr>
          </w:p>
        </w:tc>
        <w:tc>
          <w:tcPr>
            <w:tcW w:w="788" w:type="dxa"/>
            <w:tcBorders>
              <w:top w:val="nil"/>
              <w:bottom w:val="nil"/>
            </w:tcBorders>
            <w:shd w:val="clear" w:color="auto" w:fill="auto"/>
            <w:noWrap/>
            <w:vAlign w:val="center"/>
          </w:tcPr>
          <w:p w14:paraId="735D2204" w14:textId="77777777" w:rsidR="00877BAB" w:rsidRPr="000223EE" w:rsidRDefault="00877BAB" w:rsidP="00877BAB">
            <w:pPr>
              <w:spacing w:after="0" w:line="340" w:lineRule="exact"/>
              <w:jc w:val="center"/>
              <w:rPr>
                <w:rFonts w:asciiTheme="minorHAnsi" w:hAnsiTheme="minorHAnsi"/>
                <w:color w:val="000000"/>
                <w:sz w:val="20"/>
                <w:szCs w:val="20"/>
                <w:lang w:val="en-US"/>
              </w:rPr>
            </w:pPr>
          </w:p>
        </w:tc>
        <w:tc>
          <w:tcPr>
            <w:tcW w:w="788" w:type="dxa"/>
            <w:tcBorders>
              <w:top w:val="nil"/>
              <w:bottom w:val="nil"/>
            </w:tcBorders>
            <w:shd w:val="clear" w:color="auto" w:fill="auto"/>
            <w:noWrap/>
            <w:vAlign w:val="center"/>
          </w:tcPr>
          <w:p w14:paraId="56EEE678" w14:textId="77777777" w:rsidR="00877BAB" w:rsidRPr="000223EE" w:rsidRDefault="00877BAB" w:rsidP="00877BAB">
            <w:pPr>
              <w:spacing w:after="0" w:line="340" w:lineRule="exact"/>
              <w:jc w:val="center"/>
              <w:rPr>
                <w:rFonts w:asciiTheme="minorHAnsi" w:hAnsiTheme="minorHAnsi"/>
                <w:color w:val="000000"/>
                <w:sz w:val="20"/>
                <w:szCs w:val="20"/>
                <w:lang w:val="en-US"/>
              </w:rPr>
            </w:pPr>
          </w:p>
        </w:tc>
        <w:tc>
          <w:tcPr>
            <w:tcW w:w="788" w:type="dxa"/>
            <w:tcBorders>
              <w:top w:val="nil"/>
              <w:bottom w:val="nil"/>
            </w:tcBorders>
            <w:shd w:val="clear" w:color="auto" w:fill="auto"/>
            <w:noWrap/>
            <w:vAlign w:val="center"/>
          </w:tcPr>
          <w:p w14:paraId="260C5C8B" w14:textId="77777777" w:rsidR="00877BAB" w:rsidRPr="000223EE" w:rsidRDefault="00877BAB" w:rsidP="00877BAB">
            <w:pPr>
              <w:spacing w:after="0" w:line="340" w:lineRule="exact"/>
              <w:jc w:val="center"/>
              <w:rPr>
                <w:rFonts w:asciiTheme="minorHAnsi" w:hAnsiTheme="minorHAnsi"/>
                <w:color w:val="000000"/>
                <w:sz w:val="20"/>
                <w:szCs w:val="20"/>
                <w:lang w:val="en-US"/>
              </w:rPr>
            </w:pPr>
          </w:p>
        </w:tc>
        <w:tc>
          <w:tcPr>
            <w:tcW w:w="787" w:type="dxa"/>
            <w:tcBorders>
              <w:top w:val="nil"/>
              <w:bottom w:val="nil"/>
            </w:tcBorders>
            <w:shd w:val="clear" w:color="auto" w:fill="auto"/>
            <w:noWrap/>
            <w:vAlign w:val="center"/>
          </w:tcPr>
          <w:p w14:paraId="4346F6E5" w14:textId="77777777" w:rsidR="00877BAB" w:rsidRPr="000223EE" w:rsidRDefault="00877BAB" w:rsidP="00877BAB">
            <w:pPr>
              <w:spacing w:after="0" w:line="340" w:lineRule="exact"/>
              <w:jc w:val="center"/>
              <w:rPr>
                <w:rFonts w:asciiTheme="minorHAnsi" w:hAnsiTheme="minorHAnsi"/>
                <w:color w:val="000000"/>
                <w:sz w:val="20"/>
                <w:szCs w:val="20"/>
                <w:lang w:val="en-US"/>
              </w:rPr>
            </w:pPr>
          </w:p>
        </w:tc>
        <w:tc>
          <w:tcPr>
            <w:tcW w:w="788" w:type="dxa"/>
            <w:tcBorders>
              <w:top w:val="nil"/>
              <w:bottom w:val="nil"/>
            </w:tcBorders>
            <w:shd w:val="clear" w:color="auto" w:fill="auto"/>
            <w:noWrap/>
            <w:vAlign w:val="center"/>
          </w:tcPr>
          <w:p w14:paraId="147A8417" w14:textId="77777777" w:rsidR="00877BAB" w:rsidRPr="000223EE" w:rsidRDefault="00877BAB" w:rsidP="00877BAB">
            <w:pPr>
              <w:spacing w:after="0" w:line="340" w:lineRule="exact"/>
              <w:jc w:val="center"/>
              <w:rPr>
                <w:rFonts w:asciiTheme="minorHAnsi" w:hAnsiTheme="minorHAnsi"/>
                <w:color w:val="000000"/>
                <w:sz w:val="20"/>
                <w:szCs w:val="20"/>
                <w:lang w:val="en-US"/>
              </w:rPr>
            </w:pPr>
          </w:p>
        </w:tc>
        <w:tc>
          <w:tcPr>
            <w:tcW w:w="788" w:type="dxa"/>
            <w:tcBorders>
              <w:top w:val="nil"/>
              <w:bottom w:val="nil"/>
            </w:tcBorders>
            <w:shd w:val="clear" w:color="auto" w:fill="auto"/>
            <w:noWrap/>
            <w:vAlign w:val="center"/>
          </w:tcPr>
          <w:p w14:paraId="3B2A121D" w14:textId="77777777" w:rsidR="00877BAB" w:rsidRPr="000223EE" w:rsidRDefault="00877BAB" w:rsidP="00877BAB">
            <w:pPr>
              <w:spacing w:after="0" w:line="340" w:lineRule="exact"/>
              <w:jc w:val="center"/>
              <w:rPr>
                <w:rFonts w:asciiTheme="minorHAnsi" w:hAnsiTheme="minorHAnsi"/>
                <w:color w:val="000000"/>
                <w:sz w:val="20"/>
                <w:szCs w:val="20"/>
                <w:lang w:val="en-US"/>
              </w:rPr>
            </w:pPr>
          </w:p>
        </w:tc>
        <w:tc>
          <w:tcPr>
            <w:tcW w:w="788" w:type="dxa"/>
            <w:tcBorders>
              <w:top w:val="nil"/>
              <w:bottom w:val="nil"/>
            </w:tcBorders>
            <w:shd w:val="clear" w:color="auto" w:fill="auto"/>
            <w:noWrap/>
            <w:vAlign w:val="center"/>
          </w:tcPr>
          <w:p w14:paraId="5805BF5F" w14:textId="77777777" w:rsidR="00877BAB" w:rsidRPr="002538AA" w:rsidRDefault="00877BAB" w:rsidP="00877BAB">
            <w:pPr>
              <w:spacing w:after="0" w:line="340" w:lineRule="exact"/>
              <w:jc w:val="center"/>
              <w:rPr>
                <w:rFonts w:asciiTheme="minorHAnsi" w:hAnsiTheme="minorHAnsi"/>
                <w:color w:val="000000"/>
                <w:sz w:val="20"/>
                <w:szCs w:val="20"/>
                <w:lang w:val="en-US"/>
              </w:rPr>
            </w:pPr>
          </w:p>
        </w:tc>
        <w:tc>
          <w:tcPr>
            <w:tcW w:w="788" w:type="dxa"/>
            <w:tcBorders>
              <w:top w:val="nil"/>
              <w:bottom w:val="nil"/>
            </w:tcBorders>
            <w:shd w:val="clear" w:color="auto" w:fill="auto"/>
            <w:noWrap/>
            <w:vAlign w:val="center"/>
          </w:tcPr>
          <w:p w14:paraId="6F8B7B5F" w14:textId="77777777" w:rsidR="00877BAB" w:rsidRPr="002538AA" w:rsidRDefault="00877BAB" w:rsidP="00877BAB">
            <w:pPr>
              <w:spacing w:after="0" w:line="340" w:lineRule="exact"/>
              <w:jc w:val="center"/>
              <w:rPr>
                <w:rFonts w:asciiTheme="minorHAnsi" w:hAnsiTheme="minorHAnsi"/>
                <w:color w:val="000000"/>
                <w:sz w:val="20"/>
                <w:szCs w:val="20"/>
                <w:lang w:val="en-US"/>
              </w:rPr>
            </w:pPr>
          </w:p>
        </w:tc>
        <w:tc>
          <w:tcPr>
            <w:tcW w:w="788" w:type="dxa"/>
            <w:tcBorders>
              <w:top w:val="nil"/>
              <w:bottom w:val="nil"/>
            </w:tcBorders>
            <w:shd w:val="clear" w:color="auto" w:fill="auto"/>
            <w:noWrap/>
            <w:vAlign w:val="center"/>
          </w:tcPr>
          <w:p w14:paraId="5508DFE0" w14:textId="77777777" w:rsidR="00877BAB" w:rsidRPr="002538AA" w:rsidRDefault="00877BAB" w:rsidP="00877BAB">
            <w:pPr>
              <w:spacing w:after="0" w:line="340" w:lineRule="exact"/>
              <w:jc w:val="center"/>
              <w:rPr>
                <w:rFonts w:asciiTheme="minorHAnsi" w:hAnsiTheme="minorHAnsi"/>
                <w:color w:val="000000"/>
                <w:sz w:val="20"/>
                <w:szCs w:val="20"/>
                <w:lang w:val="en-US"/>
              </w:rPr>
            </w:pPr>
          </w:p>
        </w:tc>
      </w:tr>
      <w:tr w:rsidR="00877BAB" w:rsidRPr="000223EE" w14:paraId="1CD88D15" w14:textId="77777777" w:rsidTr="00877BAB">
        <w:trPr>
          <w:trHeight w:val="20"/>
          <w:jc w:val="right"/>
        </w:trPr>
        <w:tc>
          <w:tcPr>
            <w:tcW w:w="1728" w:type="dxa"/>
            <w:tcBorders>
              <w:top w:val="nil"/>
              <w:bottom w:val="nil"/>
            </w:tcBorders>
            <w:shd w:val="clear" w:color="auto" w:fill="auto"/>
            <w:vAlign w:val="center"/>
          </w:tcPr>
          <w:p w14:paraId="10F23FB5" w14:textId="77777777" w:rsidR="00877BAB" w:rsidRPr="00553F90" w:rsidRDefault="00877BAB" w:rsidP="00877BAB">
            <w:pPr>
              <w:spacing w:after="0" w:line="340" w:lineRule="exact"/>
              <w:rPr>
                <w:rFonts w:asciiTheme="minorHAnsi" w:hAnsiTheme="minorHAnsi"/>
                <w:color w:val="000000"/>
                <w:sz w:val="20"/>
                <w:szCs w:val="20"/>
                <w:lang w:val="en-US"/>
              </w:rPr>
            </w:pPr>
            <w:r w:rsidRPr="00553F90">
              <w:rPr>
                <w:rFonts w:asciiTheme="minorHAnsi" w:hAnsiTheme="minorHAnsi"/>
                <w:color w:val="000000"/>
                <w:sz w:val="20"/>
                <w:szCs w:val="20"/>
                <w:lang w:val="en-US"/>
              </w:rPr>
              <w:t>4. Know FtM</w:t>
            </w:r>
          </w:p>
        </w:tc>
        <w:tc>
          <w:tcPr>
            <w:tcW w:w="787" w:type="dxa"/>
            <w:tcBorders>
              <w:top w:val="nil"/>
              <w:bottom w:val="nil"/>
            </w:tcBorders>
            <w:shd w:val="clear" w:color="auto" w:fill="auto"/>
            <w:noWrap/>
            <w:vAlign w:val="center"/>
          </w:tcPr>
          <w:p w14:paraId="3882B807" w14:textId="77777777" w:rsidR="00877BAB" w:rsidRPr="000223EE" w:rsidRDefault="00877BAB" w:rsidP="00877BAB">
            <w:pPr>
              <w:spacing w:after="0" w:line="340" w:lineRule="exact"/>
              <w:jc w:val="center"/>
              <w:rPr>
                <w:rFonts w:asciiTheme="minorHAnsi" w:hAnsiTheme="minorHAnsi"/>
                <w:color w:val="000000"/>
                <w:sz w:val="20"/>
                <w:szCs w:val="20"/>
                <w:lang w:val="en-US"/>
              </w:rPr>
            </w:pPr>
            <w:r w:rsidRPr="000223EE">
              <w:rPr>
                <w:rFonts w:asciiTheme="minorHAnsi" w:hAnsiTheme="minorHAnsi"/>
                <w:color w:val="000000"/>
                <w:sz w:val="20"/>
                <w:szCs w:val="20"/>
                <w:lang w:val="en-US"/>
              </w:rPr>
              <w:t>.04</w:t>
            </w:r>
          </w:p>
        </w:tc>
        <w:tc>
          <w:tcPr>
            <w:tcW w:w="788" w:type="dxa"/>
            <w:tcBorders>
              <w:top w:val="nil"/>
              <w:bottom w:val="nil"/>
            </w:tcBorders>
            <w:shd w:val="clear" w:color="auto" w:fill="auto"/>
            <w:noWrap/>
            <w:vAlign w:val="center"/>
          </w:tcPr>
          <w:p w14:paraId="09DAC401" w14:textId="77777777" w:rsidR="00877BAB" w:rsidRPr="000223EE" w:rsidRDefault="00877BAB" w:rsidP="00877BAB">
            <w:pPr>
              <w:spacing w:after="0" w:line="340" w:lineRule="exact"/>
              <w:jc w:val="center"/>
              <w:rPr>
                <w:rFonts w:asciiTheme="minorHAnsi" w:hAnsiTheme="minorHAnsi"/>
                <w:color w:val="000000"/>
                <w:sz w:val="20"/>
                <w:szCs w:val="20"/>
                <w:lang w:val="en-US"/>
              </w:rPr>
            </w:pPr>
            <w:r w:rsidRPr="000223EE">
              <w:rPr>
                <w:rFonts w:asciiTheme="minorHAnsi" w:hAnsiTheme="minorHAnsi"/>
                <w:color w:val="000000"/>
                <w:sz w:val="20"/>
                <w:szCs w:val="20"/>
                <w:lang w:val="en-US"/>
              </w:rPr>
              <w:t>-.26</w:t>
            </w:r>
            <w:r w:rsidRPr="000223EE">
              <w:rPr>
                <w:rFonts w:asciiTheme="minorHAnsi" w:hAnsiTheme="minorHAnsi"/>
                <w:color w:val="000000"/>
                <w:sz w:val="20"/>
                <w:szCs w:val="20"/>
                <w:vertAlign w:val="superscript"/>
                <w:lang w:val="en-US"/>
              </w:rPr>
              <w:t>*</w:t>
            </w:r>
          </w:p>
        </w:tc>
        <w:tc>
          <w:tcPr>
            <w:tcW w:w="788" w:type="dxa"/>
            <w:tcBorders>
              <w:top w:val="nil"/>
              <w:bottom w:val="nil"/>
            </w:tcBorders>
            <w:shd w:val="clear" w:color="auto" w:fill="auto"/>
            <w:noWrap/>
            <w:vAlign w:val="center"/>
          </w:tcPr>
          <w:p w14:paraId="289E1D93" w14:textId="77777777" w:rsidR="00877BAB" w:rsidRPr="000223EE" w:rsidRDefault="00877BAB" w:rsidP="00877BAB">
            <w:pPr>
              <w:spacing w:after="0" w:line="340" w:lineRule="exact"/>
              <w:jc w:val="center"/>
              <w:rPr>
                <w:rFonts w:asciiTheme="minorHAnsi" w:hAnsiTheme="minorHAnsi"/>
                <w:color w:val="000000"/>
                <w:sz w:val="20"/>
                <w:szCs w:val="20"/>
                <w:lang w:val="en-US"/>
              </w:rPr>
            </w:pPr>
            <w:r w:rsidRPr="000223EE">
              <w:rPr>
                <w:rFonts w:asciiTheme="minorHAnsi" w:hAnsiTheme="minorHAnsi"/>
                <w:color w:val="000000"/>
                <w:sz w:val="20"/>
                <w:szCs w:val="20"/>
                <w:lang w:val="en-US"/>
              </w:rPr>
              <w:t>-.04</w:t>
            </w:r>
          </w:p>
        </w:tc>
        <w:tc>
          <w:tcPr>
            <w:tcW w:w="788" w:type="dxa"/>
            <w:tcBorders>
              <w:top w:val="nil"/>
              <w:bottom w:val="nil"/>
            </w:tcBorders>
            <w:shd w:val="clear" w:color="auto" w:fill="auto"/>
            <w:noWrap/>
            <w:vAlign w:val="center"/>
          </w:tcPr>
          <w:p w14:paraId="54E1679E" w14:textId="77777777" w:rsidR="00877BAB" w:rsidRPr="000223EE" w:rsidRDefault="00877BAB" w:rsidP="00877BAB">
            <w:pPr>
              <w:spacing w:after="0" w:line="340" w:lineRule="exact"/>
              <w:jc w:val="center"/>
              <w:rPr>
                <w:rFonts w:asciiTheme="minorHAnsi" w:hAnsiTheme="minorHAnsi"/>
                <w:color w:val="000000"/>
                <w:sz w:val="20"/>
                <w:szCs w:val="20"/>
                <w:lang w:val="en-US"/>
              </w:rPr>
            </w:pPr>
            <w:r w:rsidRPr="000223EE">
              <w:rPr>
                <w:rFonts w:asciiTheme="minorHAnsi" w:hAnsiTheme="minorHAnsi"/>
                <w:color w:val="000000"/>
                <w:sz w:val="20"/>
                <w:szCs w:val="20"/>
                <w:lang w:val="en-US"/>
              </w:rPr>
              <w:t>-</w:t>
            </w:r>
          </w:p>
        </w:tc>
        <w:tc>
          <w:tcPr>
            <w:tcW w:w="788" w:type="dxa"/>
            <w:tcBorders>
              <w:top w:val="nil"/>
              <w:bottom w:val="nil"/>
            </w:tcBorders>
            <w:shd w:val="clear" w:color="auto" w:fill="auto"/>
            <w:noWrap/>
            <w:vAlign w:val="center"/>
          </w:tcPr>
          <w:p w14:paraId="665102B8" w14:textId="77777777" w:rsidR="00877BAB" w:rsidRPr="000223EE" w:rsidRDefault="00877BAB" w:rsidP="00877BAB">
            <w:pPr>
              <w:spacing w:after="0" w:line="340" w:lineRule="exact"/>
              <w:jc w:val="center"/>
              <w:rPr>
                <w:rFonts w:asciiTheme="minorHAnsi" w:hAnsiTheme="minorHAnsi"/>
                <w:color w:val="000000"/>
                <w:sz w:val="20"/>
                <w:szCs w:val="20"/>
                <w:lang w:val="en-US"/>
              </w:rPr>
            </w:pPr>
          </w:p>
        </w:tc>
        <w:tc>
          <w:tcPr>
            <w:tcW w:w="787" w:type="dxa"/>
            <w:tcBorders>
              <w:top w:val="nil"/>
              <w:bottom w:val="nil"/>
            </w:tcBorders>
            <w:shd w:val="clear" w:color="auto" w:fill="auto"/>
            <w:noWrap/>
            <w:vAlign w:val="center"/>
          </w:tcPr>
          <w:p w14:paraId="4CE24361" w14:textId="77777777" w:rsidR="00877BAB" w:rsidRPr="000223EE" w:rsidRDefault="00877BAB" w:rsidP="00877BAB">
            <w:pPr>
              <w:spacing w:after="0" w:line="340" w:lineRule="exact"/>
              <w:jc w:val="center"/>
              <w:rPr>
                <w:rFonts w:asciiTheme="minorHAnsi" w:hAnsiTheme="minorHAnsi"/>
                <w:color w:val="000000"/>
                <w:sz w:val="20"/>
                <w:szCs w:val="20"/>
                <w:lang w:val="en-US"/>
              </w:rPr>
            </w:pPr>
          </w:p>
        </w:tc>
        <w:tc>
          <w:tcPr>
            <w:tcW w:w="788" w:type="dxa"/>
            <w:tcBorders>
              <w:top w:val="nil"/>
              <w:bottom w:val="nil"/>
            </w:tcBorders>
            <w:shd w:val="clear" w:color="auto" w:fill="auto"/>
            <w:noWrap/>
            <w:vAlign w:val="center"/>
          </w:tcPr>
          <w:p w14:paraId="1F3FC7B7" w14:textId="77777777" w:rsidR="00877BAB" w:rsidRPr="000223EE" w:rsidRDefault="00877BAB" w:rsidP="00877BAB">
            <w:pPr>
              <w:spacing w:after="0" w:line="340" w:lineRule="exact"/>
              <w:jc w:val="center"/>
              <w:rPr>
                <w:rFonts w:asciiTheme="minorHAnsi" w:hAnsiTheme="minorHAnsi"/>
                <w:color w:val="000000"/>
                <w:sz w:val="20"/>
                <w:szCs w:val="20"/>
                <w:lang w:val="en-US"/>
              </w:rPr>
            </w:pPr>
          </w:p>
        </w:tc>
        <w:tc>
          <w:tcPr>
            <w:tcW w:w="788" w:type="dxa"/>
            <w:tcBorders>
              <w:top w:val="nil"/>
              <w:bottom w:val="nil"/>
            </w:tcBorders>
            <w:shd w:val="clear" w:color="auto" w:fill="auto"/>
            <w:noWrap/>
            <w:vAlign w:val="center"/>
          </w:tcPr>
          <w:p w14:paraId="6CDD8B66" w14:textId="77777777" w:rsidR="00877BAB" w:rsidRPr="000223EE" w:rsidRDefault="00877BAB" w:rsidP="00877BAB">
            <w:pPr>
              <w:spacing w:after="0" w:line="340" w:lineRule="exact"/>
              <w:jc w:val="center"/>
              <w:rPr>
                <w:rFonts w:asciiTheme="minorHAnsi" w:hAnsiTheme="minorHAnsi"/>
                <w:color w:val="000000"/>
                <w:sz w:val="20"/>
                <w:szCs w:val="20"/>
                <w:lang w:val="en-US"/>
              </w:rPr>
            </w:pPr>
          </w:p>
        </w:tc>
        <w:tc>
          <w:tcPr>
            <w:tcW w:w="788" w:type="dxa"/>
            <w:tcBorders>
              <w:top w:val="nil"/>
              <w:bottom w:val="nil"/>
            </w:tcBorders>
            <w:shd w:val="clear" w:color="auto" w:fill="auto"/>
            <w:noWrap/>
            <w:vAlign w:val="center"/>
          </w:tcPr>
          <w:p w14:paraId="0A39B2AE" w14:textId="77777777" w:rsidR="00877BAB" w:rsidRPr="000223EE" w:rsidRDefault="00877BAB" w:rsidP="00877BAB">
            <w:pPr>
              <w:spacing w:after="0" w:line="340" w:lineRule="exact"/>
              <w:jc w:val="center"/>
              <w:rPr>
                <w:rFonts w:asciiTheme="minorHAnsi" w:hAnsiTheme="minorHAnsi"/>
                <w:color w:val="000000"/>
                <w:sz w:val="20"/>
                <w:szCs w:val="20"/>
                <w:lang w:val="en-US"/>
              </w:rPr>
            </w:pPr>
          </w:p>
        </w:tc>
        <w:tc>
          <w:tcPr>
            <w:tcW w:w="788" w:type="dxa"/>
            <w:tcBorders>
              <w:top w:val="nil"/>
              <w:bottom w:val="nil"/>
            </w:tcBorders>
            <w:shd w:val="clear" w:color="auto" w:fill="auto"/>
            <w:noWrap/>
            <w:vAlign w:val="center"/>
          </w:tcPr>
          <w:p w14:paraId="628882F8" w14:textId="77777777" w:rsidR="00877BAB" w:rsidRPr="000223EE" w:rsidRDefault="00877BAB" w:rsidP="00877BAB">
            <w:pPr>
              <w:spacing w:after="0" w:line="340" w:lineRule="exact"/>
              <w:jc w:val="center"/>
              <w:rPr>
                <w:rFonts w:asciiTheme="minorHAnsi" w:hAnsiTheme="minorHAnsi"/>
                <w:color w:val="000000"/>
                <w:sz w:val="20"/>
                <w:szCs w:val="20"/>
                <w:lang w:val="en-US"/>
              </w:rPr>
            </w:pPr>
          </w:p>
        </w:tc>
        <w:tc>
          <w:tcPr>
            <w:tcW w:w="787" w:type="dxa"/>
            <w:tcBorders>
              <w:top w:val="nil"/>
              <w:bottom w:val="nil"/>
            </w:tcBorders>
            <w:shd w:val="clear" w:color="auto" w:fill="auto"/>
            <w:noWrap/>
            <w:vAlign w:val="center"/>
          </w:tcPr>
          <w:p w14:paraId="2A15420E" w14:textId="77777777" w:rsidR="00877BAB" w:rsidRPr="000223EE" w:rsidRDefault="00877BAB" w:rsidP="00877BAB">
            <w:pPr>
              <w:spacing w:after="0" w:line="340" w:lineRule="exact"/>
              <w:jc w:val="center"/>
              <w:rPr>
                <w:rFonts w:asciiTheme="minorHAnsi" w:hAnsiTheme="minorHAnsi"/>
                <w:color w:val="000000"/>
                <w:sz w:val="20"/>
                <w:szCs w:val="20"/>
                <w:lang w:val="en-US"/>
              </w:rPr>
            </w:pPr>
          </w:p>
        </w:tc>
        <w:tc>
          <w:tcPr>
            <w:tcW w:w="788" w:type="dxa"/>
            <w:tcBorders>
              <w:top w:val="nil"/>
              <w:bottom w:val="nil"/>
            </w:tcBorders>
            <w:shd w:val="clear" w:color="auto" w:fill="auto"/>
            <w:noWrap/>
            <w:vAlign w:val="center"/>
          </w:tcPr>
          <w:p w14:paraId="0C93E463" w14:textId="77777777" w:rsidR="00877BAB" w:rsidRPr="000223EE" w:rsidRDefault="00877BAB" w:rsidP="00877BAB">
            <w:pPr>
              <w:spacing w:after="0" w:line="340" w:lineRule="exact"/>
              <w:jc w:val="center"/>
              <w:rPr>
                <w:rFonts w:asciiTheme="minorHAnsi" w:hAnsiTheme="minorHAnsi"/>
                <w:color w:val="000000"/>
                <w:sz w:val="20"/>
                <w:szCs w:val="20"/>
                <w:lang w:val="en-US"/>
              </w:rPr>
            </w:pPr>
          </w:p>
        </w:tc>
        <w:tc>
          <w:tcPr>
            <w:tcW w:w="788" w:type="dxa"/>
            <w:tcBorders>
              <w:top w:val="nil"/>
              <w:bottom w:val="nil"/>
            </w:tcBorders>
            <w:shd w:val="clear" w:color="auto" w:fill="auto"/>
            <w:noWrap/>
            <w:vAlign w:val="center"/>
          </w:tcPr>
          <w:p w14:paraId="20AD6084" w14:textId="77777777" w:rsidR="00877BAB" w:rsidRPr="002538AA" w:rsidRDefault="00877BAB" w:rsidP="00877BAB">
            <w:pPr>
              <w:spacing w:after="0" w:line="340" w:lineRule="exact"/>
              <w:jc w:val="center"/>
              <w:rPr>
                <w:rFonts w:asciiTheme="minorHAnsi" w:hAnsiTheme="minorHAnsi"/>
                <w:color w:val="000000"/>
                <w:sz w:val="20"/>
                <w:szCs w:val="20"/>
                <w:lang w:val="en-US"/>
              </w:rPr>
            </w:pPr>
          </w:p>
        </w:tc>
        <w:tc>
          <w:tcPr>
            <w:tcW w:w="788" w:type="dxa"/>
            <w:tcBorders>
              <w:top w:val="nil"/>
              <w:bottom w:val="nil"/>
            </w:tcBorders>
            <w:shd w:val="clear" w:color="auto" w:fill="auto"/>
            <w:noWrap/>
            <w:vAlign w:val="center"/>
          </w:tcPr>
          <w:p w14:paraId="365C646C" w14:textId="77777777" w:rsidR="00877BAB" w:rsidRPr="002538AA" w:rsidRDefault="00877BAB" w:rsidP="00877BAB">
            <w:pPr>
              <w:spacing w:after="0" w:line="340" w:lineRule="exact"/>
              <w:jc w:val="center"/>
              <w:rPr>
                <w:rFonts w:asciiTheme="minorHAnsi" w:hAnsiTheme="minorHAnsi"/>
                <w:color w:val="000000"/>
                <w:sz w:val="20"/>
                <w:szCs w:val="20"/>
                <w:lang w:val="en-US"/>
              </w:rPr>
            </w:pPr>
          </w:p>
        </w:tc>
        <w:tc>
          <w:tcPr>
            <w:tcW w:w="788" w:type="dxa"/>
            <w:tcBorders>
              <w:top w:val="nil"/>
              <w:bottom w:val="nil"/>
            </w:tcBorders>
            <w:shd w:val="clear" w:color="auto" w:fill="auto"/>
            <w:noWrap/>
            <w:vAlign w:val="center"/>
          </w:tcPr>
          <w:p w14:paraId="11854D1E" w14:textId="77777777" w:rsidR="00877BAB" w:rsidRPr="002538AA" w:rsidRDefault="00877BAB" w:rsidP="00877BAB">
            <w:pPr>
              <w:spacing w:after="0" w:line="340" w:lineRule="exact"/>
              <w:jc w:val="center"/>
              <w:rPr>
                <w:rFonts w:asciiTheme="minorHAnsi" w:hAnsiTheme="minorHAnsi"/>
                <w:color w:val="000000"/>
                <w:sz w:val="20"/>
                <w:szCs w:val="20"/>
                <w:lang w:val="en-US"/>
              </w:rPr>
            </w:pPr>
          </w:p>
        </w:tc>
        <w:tc>
          <w:tcPr>
            <w:tcW w:w="788" w:type="dxa"/>
            <w:tcBorders>
              <w:top w:val="nil"/>
              <w:bottom w:val="nil"/>
            </w:tcBorders>
            <w:shd w:val="clear" w:color="auto" w:fill="auto"/>
            <w:noWrap/>
            <w:vAlign w:val="center"/>
          </w:tcPr>
          <w:p w14:paraId="41EC2F1F" w14:textId="77777777" w:rsidR="00877BAB" w:rsidRPr="002538AA" w:rsidRDefault="00877BAB" w:rsidP="00877BAB">
            <w:pPr>
              <w:spacing w:after="0" w:line="340" w:lineRule="exact"/>
              <w:jc w:val="center"/>
              <w:rPr>
                <w:rFonts w:asciiTheme="minorHAnsi" w:hAnsiTheme="minorHAnsi"/>
                <w:color w:val="000000"/>
                <w:sz w:val="20"/>
                <w:szCs w:val="20"/>
                <w:lang w:val="en-US"/>
              </w:rPr>
            </w:pPr>
          </w:p>
        </w:tc>
      </w:tr>
      <w:tr w:rsidR="00877BAB" w:rsidRPr="000223EE" w14:paraId="157276BD" w14:textId="77777777" w:rsidTr="00877BAB">
        <w:trPr>
          <w:trHeight w:val="20"/>
          <w:jc w:val="right"/>
        </w:trPr>
        <w:tc>
          <w:tcPr>
            <w:tcW w:w="1728" w:type="dxa"/>
            <w:tcBorders>
              <w:top w:val="nil"/>
              <w:bottom w:val="nil"/>
            </w:tcBorders>
            <w:shd w:val="clear" w:color="auto" w:fill="auto"/>
            <w:vAlign w:val="center"/>
          </w:tcPr>
          <w:p w14:paraId="3AA929C8" w14:textId="77777777" w:rsidR="00877BAB" w:rsidRPr="00553F90" w:rsidRDefault="00877BAB" w:rsidP="00877BAB">
            <w:pPr>
              <w:spacing w:after="0" w:line="340" w:lineRule="exact"/>
              <w:rPr>
                <w:rFonts w:asciiTheme="minorHAnsi" w:hAnsiTheme="minorHAnsi"/>
                <w:color w:val="000000"/>
                <w:sz w:val="20"/>
                <w:szCs w:val="20"/>
                <w:lang w:val="en-US"/>
              </w:rPr>
            </w:pPr>
            <w:r w:rsidRPr="00553F90">
              <w:rPr>
                <w:rFonts w:asciiTheme="minorHAnsi" w:hAnsiTheme="minorHAnsi"/>
                <w:color w:val="000000"/>
                <w:sz w:val="20"/>
                <w:szCs w:val="20"/>
                <w:lang w:val="en-US"/>
              </w:rPr>
              <w:t>5. Know MtF</w:t>
            </w:r>
          </w:p>
        </w:tc>
        <w:tc>
          <w:tcPr>
            <w:tcW w:w="787" w:type="dxa"/>
            <w:tcBorders>
              <w:top w:val="nil"/>
              <w:bottom w:val="nil"/>
            </w:tcBorders>
            <w:shd w:val="clear" w:color="auto" w:fill="auto"/>
            <w:noWrap/>
            <w:vAlign w:val="center"/>
          </w:tcPr>
          <w:p w14:paraId="06B4BE9E" w14:textId="77777777" w:rsidR="00877BAB" w:rsidRPr="000223EE" w:rsidRDefault="00877BAB" w:rsidP="00877BAB">
            <w:pPr>
              <w:spacing w:after="0" w:line="340" w:lineRule="exact"/>
              <w:jc w:val="center"/>
              <w:rPr>
                <w:rFonts w:asciiTheme="minorHAnsi" w:hAnsiTheme="minorHAnsi"/>
                <w:color w:val="000000"/>
                <w:sz w:val="20"/>
                <w:szCs w:val="20"/>
                <w:lang w:val="en-US"/>
              </w:rPr>
            </w:pPr>
            <w:r w:rsidRPr="000223EE">
              <w:rPr>
                <w:rFonts w:asciiTheme="minorHAnsi" w:hAnsiTheme="minorHAnsi"/>
                <w:color w:val="000000"/>
                <w:sz w:val="20"/>
                <w:szCs w:val="20"/>
                <w:lang w:val="en-US"/>
              </w:rPr>
              <w:t>-.02</w:t>
            </w:r>
          </w:p>
        </w:tc>
        <w:tc>
          <w:tcPr>
            <w:tcW w:w="788" w:type="dxa"/>
            <w:tcBorders>
              <w:top w:val="nil"/>
              <w:bottom w:val="nil"/>
            </w:tcBorders>
            <w:shd w:val="clear" w:color="auto" w:fill="auto"/>
            <w:noWrap/>
            <w:vAlign w:val="center"/>
          </w:tcPr>
          <w:p w14:paraId="5F016885" w14:textId="77777777" w:rsidR="00877BAB" w:rsidRPr="000223EE" w:rsidRDefault="00877BAB" w:rsidP="00877BAB">
            <w:pPr>
              <w:spacing w:after="0" w:line="340" w:lineRule="exact"/>
              <w:jc w:val="center"/>
              <w:rPr>
                <w:rFonts w:asciiTheme="minorHAnsi" w:hAnsiTheme="minorHAnsi"/>
                <w:color w:val="000000"/>
                <w:sz w:val="20"/>
                <w:szCs w:val="20"/>
                <w:lang w:val="en-US"/>
              </w:rPr>
            </w:pPr>
            <w:r w:rsidRPr="000223EE">
              <w:rPr>
                <w:rFonts w:asciiTheme="minorHAnsi" w:hAnsiTheme="minorHAnsi"/>
                <w:color w:val="000000"/>
                <w:sz w:val="20"/>
                <w:szCs w:val="20"/>
                <w:lang w:val="en-US"/>
              </w:rPr>
              <w:t>-.34</w:t>
            </w:r>
            <w:r w:rsidRPr="000223EE">
              <w:rPr>
                <w:rFonts w:asciiTheme="minorHAnsi" w:hAnsiTheme="minorHAnsi"/>
                <w:color w:val="000000"/>
                <w:sz w:val="20"/>
                <w:szCs w:val="20"/>
                <w:vertAlign w:val="superscript"/>
                <w:lang w:val="en-US"/>
              </w:rPr>
              <w:t>**</w:t>
            </w:r>
          </w:p>
        </w:tc>
        <w:tc>
          <w:tcPr>
            <w:tcW w:w="788" w:type="dxa"/>
            <w:tcBorders>
              <w:top w:val="nil"/>
              <w:bottom w:val="nil"/>
            </w:tcBorders>
            <w:shd w:val="clear" w:color="auto" w:fill="auto"/>
            <w:noWrap/>
            <w:vAlign w:val="center"/>
          </w:tcPr>
          <w:p w14:paraId="5413AE33" w14:textId="77777777" w:rsidR="00877BAB" w:rsidRPr="000223EE" w:rsidRDefault="00877BAB" w:rsidP="00877BAB">
            <w:pPr>
              <w:spacing w:after="0" w:line="340" w:lineRule="exact"/>
              <w:jc w:val="center"/>
              <w:rPr>
                <w:rFonts w:asciiTheme="minorHAnsi" w:hAnsiTheme="minorHAnsi"/>
                <w:color w:val="000000"/>
                <w:sz w:val="20"/>
                <w:szCs w:val="20"/>
                <w:lang w:val="en-US"/>
              </w:rPr>
            </w:pPr>
            <w:r w:rsidRPr="000223EE">
              <w:rPr>
                <w:rFonts w:asciiTheme="minorHAnsi" w:hAnsiTheme="minorHAnsi"/>
                <w:color w:val="000000"/>
                <w:sz w:val="20"/>
                <w:szCs w:val="20"/>
                <w:lang w:val="en-US"/>
              </w:rPr>
              <w:t>-.13</w:t>
            </w:r>
          </w:p>
        </w:tc>
        <w:tc>
          <w:tcPr>
            <w:tcW w:w="788" w:type="dxa"/>
            <w:tcBorders>
              <w:top w:val="nil"/>
              <w:bottom w:val="nil"/>
            </w:tcBorders>
            <w:shd w:val="clear" w:color="auto" w:fill="auto"/>
            <w:noWrap/>
            <w:vAlign w:val="center"/>
          </w:tcPr>
          <w:p w14:paraId="120ECC59" w14:textId="77777777" w:rsidR="00877BAB" w:rsidRPr="000223EE" w:rsidRDefault="00877BAB" w:rsidP="00877BAB">
            <w:pPr>
              <w:spacing w:after="0" w:line="340" w:lineRule="exact"/>
              <w:jc w:val="center"/>
              <w:rPr>
                <w:rFonts w:asciiTheme="minorHAnsi" w:hAnsiTheme="minorHAnsi"/>
                <w:color w:val="000000"/>
                <w:sz w:val="20"/>
                <w:szCs w:val="20"/>
                <w:lang w:val="en-US"/>
              </w:rPr>
            </w:pPr>
            <w:r w:rsidRPr="000223EE">
              <w:rPr>
                <w:rFonts w:asciiTheme="minorHAnsi" w:hAnsiTheme="minorHAnsi"/>
                <w:color w:val="000000"/>
                <w:sz w:val="20"/>
                <w:szCs w:val="20"/>
                <w:lang w:val="en-US"/>
              </w:rPr>
              <w:t>.61</w:t>
            </w:r>
            <w:r w:rsidRPr="000223EE">
              <w:rPr>
                <w:rFonts w:asciiTheme="minorHAnsi" w:hAnsiTheme="minorHAnsi"/>
                <w:color w:val="000000"/>
                <w:sz w:val="20"/>
                <w:szCs w:val="20"/>
                <w:vertAlign w:val="superscript"/>
                <w:lang w:val="en-US"/>
              </w:rPr>
              <w:t>**</w:t>
            </w:r>
          </w:p>
        </w:tc>
        <w:tc>
          <w:tcPr>
            <w:tcW w:w="788" w:type="dxa"/>
            <w:tcBorders>
              <w:top w:val="nil"/>
              <w:bottom w:val="nil"/>
            </w:tcBorders>
            <w:shd w:val="clear" w:color="auto" w:fill="auto"/>
            <w:noWrap/>
            <w:vAlign w:val="center"/>
          </w:tcPr>
          <w:p w14:paraId="5CC2226F" w14:textId="77777777" w:rsidR="00877BAB" w:rsidRPr="000223EE" w:rsidRDefault="00877BAB" w:rsidP="00877BAB">
            <w:pPr>
              <w:spacing w:after="0" w:line="340" w:lineRule="exact"/>
              <w:jc w:val="center"/>
              <w:rPr>
                <w:rFonts w:asciiTheme="minorHAnsi" w:hAnsiTheme="minorHAnsi"/>
                <w:color w:val="000000"/>
                <w:sz w:val="20"/>
                <w:szCs w:val="20"/>
                <w:lang w:val="en-US"/>
              </w:rPr>
            </w:pPr>
            <w:r w:rsidRPr="000223EE">
              <w:rPr>
                <w:rFonts w:asciiTheme="minorHAnsi" w:hAnsiTheme="minorHAnsi"/>
                <w:color w:val="000000"/>
                <w:sz w:val="20"/>
                <w:szCs w:val="20"/>
                <w:lang w:val="en-US"/>
              </w:rPr>
              <w:t>-</w:t>
            </w:r>
          </w:p>
        </w:tc>
        <w:tc>
          <w:tcPr>
            <w:tcW w:w="787" w:type="dxa"/>
            <w:tcBorders>
              <w:top w:val="nil"/>
              <w:bottom w:val="nil"/>
            </w:tcBorders>
            <w:shd w:val="clear" w:color="auto" w:fill="auto"/>
            <w:noWrap/>
            <w:vAlign w:val="center"/>
          </w:tcPr>
          <w:p w14:paraId="1EAFEDB1" w14:textId="77777777" w:rsidR="00877BAB" w:rsidRPr="000223EE" w:rsidRDefault="00877BAB" w:rsidP="00877BAB">
            <w:pPr>
              <w:spacing w:after="0" w:line="340" w:lineRule="exact"/>
              <w:jc w:val="center"/>
              <w:rPr>
                <w:rFonts w:asciiTheme="minorHAnsi" w:hAnsiTheme="minorHAnsi"/>
                <w:color w:val="000000"/>
                <w:sz w:val="20"/>
                <w:szCs w:val="20"/>
                <w:lang w:val="en-US"/>
              </w:rPr>
            </w:pPr>
          </w:p>
        </w:tc>
        <w:tc>
          <w:tcPr>
            <w:tcW w:w="788" w:type="dxa"/>
            <w:tcBorders>
              <w:top w:val="nil"/>
              <w:bottom w:val="nil"/>
            </w:tcBorders>
            <w:shd w:val="clear" w:color="auto" w:fill="auto"/>
            <w:noWrap/>
            <w:vAlign w:val="center"/>
          </w:tcPr>
          <w:p w14:paraId="5E3E7252" w14:textId="77777777" w:rsidR="00877BAB" w:rsidRPr="000223EE" w:rsidRDefault="00877BAB" w:rsidP="00877BAB">
            <w:pPr>
              <w:spacing w:after="0" w:line="340" w:lineRule="exact"/>
              <w:jc w:val="center"/>
              <w:rPr>
                <w:rFonts w:asciiTheme="minorHAnsi" w:hAnsiTheme="minorHAnsi"/>
                <w:color w:val="000000"/>
                <w:sz w:val="20"/>
                <w:szCs w:val="20"/>
                <w:lang w:val="en-US"/>
              </w:rPr>
            </w:pPr>
          </w:p>
        </w:tc>
        <w:tc>
          <w:tcPr>
            <w:tcW w:w="788" w:type="dxa"/>
            <w:tcBorders>
              <w:top w:val="nil"/>
              <w:bottom w:val="nil"/>
            </w:tcBorders>
            <w:shd w:val="clear" w:color="auto" w:fill="auto"/>
            <w:noWrap/>
            <w:vAlign w:val="center"/>
          </w:tcPr>
          <w:p w14:paraId="1CB49785" w14:textId="77777777" w:rsidR="00877BAB" w:rsidRPr="000223EE" w:rsidRDefault="00877BAB" w:rsidP="00877BAB">
            <w:pPr>
              <w:spacing w:after="0" w:line="340" w:lineRule="exact"/>
              <w:jc w:val="center"/>
              <w:rPr>
                <w:rFonts w:asciiTheme="minorHAnsi" w:hAnsiTheme="minorHAnsi"/>
                <w:color w:val="000000"/>
                <w:sz w:val="20"/>
                <w:szCs w:val="20"/>
                <w:lang w:val="en-US"/>
              </w:rPr>
            </w:pPr>
          </w:p>
        </w:tc>
        <w:tc>
          <w:tcPr>
            <w:tcW w:w="788" w:type="dxa"/>
            <w:tcBorders>
              <w:top w:val="nil"/>
              <w:bottom w:val="nil"/>
            </w:tcBorders>
            <w:shd w:val="clear" w:color="auto" w:fill="auto"/>
            <w:noWrap/>
            <w:vAlign w:val="center"/>
          </w:tcPr>
          <w:p w14:paraId="57259A17" w14:textId="77777777" w:rsidR="00877BAB" w:rsidRPr="000223EE" w:rsidRDefault="00877BAB" w:rsidP="00877BAB">
            <w:pPr>
              <w:spacing w:after="0" w:line="340" w:lineRule="exact"/>
              <w:jc w:val="center"/>
              <w:rPr>
                <w:rFonts w:asciiTheme="minorHAnsi" w:hAnsiTheme="minorHAnsi"/>
                <w:color w:val="000000"/>
                <w:sz w:val="20"/>
                <w:szCs w:val="20"/>
                <w:lang w:val="en-US"/>
              </w:rPr>
            </w:pPr>
          </w:p>
        </w:tc>
        <w:tc>
          <w:tcPr>
            <w:tcW w:w="788" w:type="dxa"/>
            <w:tcBorders>
              <w:top w:val="nil"/>
              <w:bottom w:val="nil"/>
            </w:tcBorders>
            <w:shd w:val="clear" w:color="auto" w:fill="auto"/>
            <w:noWrap/>
            <w:vAlign w:val="center"/>
          </w:tcPr>
          <w:p w14:paraId="589536DA" w14:textId="77777777" w:rsidR="00877BAB" w:rsidRPr="000223EE" w:rsidRDefault="00877BAB" w:rsidP="00877BAB">
            <w:pPr>
              <w:spacing w:after="0" w:line="340" w:lineRule="exact"/>
              <w:jc w:val="center"/>
              <w:rPr>
                <w:rFonts w:asciiTheme="minorHAnsi" w:hAnsiTheme="minorHAnsi"/>
                <w:color w:val="000000"/>
                <w:sz w:val="20"/>
                <w:szCs w:val="20"/>
                <w:lang w:val="en-US"/>
              </w:rPr>
            </w:pPr>
          </w:p>
        </w:tc>
        <w:tc>
          <w:tcPr>
            <w:tcW w:w="787" w:type="dxa"/>
            <w:tcBorders>
              <w:top w:val="nil"/>
              <w:bottom w:val="nil"/>
            </w:tcBorders>
            <w:shd w:val="clear" w:color="auto" w:fill="auto"/>
            <w:noWrap/>
            <w:vAlign w:val="center"/>
          </w:tcPr>
          <w:p w14:paraId="6F662282" w14:textId="77777777" w:rsidR="00877BAB" w:rsidRPr="000223EE" w:rsidRDefault="00877BAB" w:rsidP="00877BAB">
            <w:pPr>
              <w:spacing w:after="0" w:line="340" w:lineRule="exact"/>
              <w:jc w:val="center"/>
              <w:rPr>
                <w:rFonts w:asciiTheme="minorHAnsi" w:hAnsiTheme="minorHAnsi"/>
                <w:color w:val="000000"/>
                <w:sz w:val="20"/>
                <w:szCs w:val="20"/>
                <w:lang w:val="en-US"/>
              </w:rPr>
            </w:pPr>
          </w:p>
        </w:tc>
        <w:tc>
          <w:tcPr>
            <w:tcW w:w="788" w:type="dxa"/>
            <w:tcBorders>
              <w:top w:val="nil"/>
              <w:bottom w:val="nil"/>
            </w:tcBorders>
            <w:shd w:val="clear" w:color="auto" w:fill="auto"/>
            <w:noWrap/>
            <w:vAlign w:val="center"/>
          </w:tcPr>
          <w:p w14:paraId="3C46C2D9" w14:textId="77777777" w:rsidR="00877BAB" w:rsidRPr="002538AA" w:rsidRDefault="00877BAB" w:rsidP="00877BAB">
            <w:pPr>
              <w:spacing w:after="0" w:line="340" w:lineRule="exact"/>
              <w:jc w:val="center"/>
              <w:rPr>
                <w:rFonts w:asciiTheme="minorHAnsi" w:hAnsiTheme="minorHAnsi"/>
                <w:color w:val="000000"/>
                <w:sz w:val="20"/>
                <w:szCs w:val="20"/>
                <w:lang w:val="en-US"/>
              </w:rPr>
            </w:pPr>
          </w:p>
        </w:tc>
        <w:tc>
          <w:tcPr>
            <w:tcW w:w="788" w:type="dxa"/>
            <w:tcBorders>
              <w:top w:val="nil"/>
              <w:bottom w:val="nil"/>
            </w:tcBorders>
            <w:shd w:val="clear" w:color="auto" w:fill="auto"/>
            <w:noWrap/>
            <w:vAlign w:val="center"/>
          </w:tcPr>
          <w:p w14:paraId="01ADCEC9" w14:textId="77777777" w:rsidR="00877BAB" w:rsidRPr="002538AA" w:rsidRDefault="00877BAB" w:rsidP="00877BAB">
            <w:pPr>
              <w:spacing w:after="0" w:line="340" w:lineRule="exact"/>
              <w:jc w:val="center"/>
              <w:rPr>
                <w:rFonts w:asciiTheme="minorHAnsi" w:hAnsiTheme="minorHAnsi"/>
                <w:color w:val="000000"/>
                <w:sz w:val="20"/>
                <w:szCs w:val="20"/>
                <w:lang w:val="en-US"/>
              </w:rPr>
            </w:pPr>
          </w:p>
        </w:tc>
        <w:tc>
          <w:tcPr>
            <w:tcW w:w="788" w:type="dxa"/>
            <w:tcBorders>
              <w:top w:val="nil"/>
              <w:bottom w:val="nil"/>
            </w:tcBorders>
            <w:shd w:val="clear" w:color="auto" w:fill="auto"/>
            <w:noWrap/>
            <w:vAlign w:val="center"/>
          </w:tcPr>
          <w:p w14:paraId="03E2A13B" w14:textId="77777777" w:rsidR="00877BAB" w:rsidRPr="002538AA" w:rsidRDefault="00877BAB" w:rsidP="00877BAB">
            <w:pPr>
              <w:spacing w:after="0" w:line="340" w:lineRule="exact"/>
              <w:jc w:val="center"/>
              <w:rPr>
                <w:rFonts w:asciiTheme="minorHAnsi" w:hAnsiTheme="minorHAnsi"/>
                <w:color w:val="000000"/>
                <w:sz w:val="20"/>
                <w:szCs w:val="20"/>
                <w:lang w:val="en-US"/>
              </w:rPr>
            </w:pPr>
          </w:p>
        </w:tc>
        <w:tc>
          <w:tcPr>
            <w:tcW w:w="788" w:type="dxa"/>
            <w:tcBorders>
              <w:top w:val="nil"/>
              <w:bottom w:val="nil"/>
            </w:tcBorders>
            <w:shd w:val="clear" w:color="auto" w:fill="auto"/>
            <w:noWrap/>
            <w:vAlign w:val="center"/>
          </w:tcPr>
          <w:p w14:paraId="28500E5B" w14:textId="77777777" w:rsidR="00877BAB" w:rsidRPr="002538AA" w:rsidRDefault="00877BAB" w:rsidP="00877BAB">
            <w:pPr>
              <w:spacing w:after="0" w:line="340" w:lineRule="exact"/>
              <w:jc w:val="center"/>
              <w:rPr>
                <w:rFonts w:asciiTheme="minorHAnsi" w:hAnsiTheme="minorHAnsi"/>
                <w:color w:val="000000"/>
                <w:sz w:val="20"/>
                <w:szCs w:val="20"/>
                <w:lang w:val="en-US"/>
              </w:rPr>
            </w:pPr>
          </w:p>
        </w:tc>
        <w:tc>
          <w:tcPr>
            <w:tcW w:w="788" w:type="dxa"/>
            <w:tcBorders>
              <w:top w:val="nil"/>
              <w:bottom w:val="nil"/>
            </w:tcBorders>
            <w:shd w:val="clear" w:color="auto" w:fill="auto"/>
            <w:noWrap/>
            <w:vAlign w:val="center"/>
          </w:tcPr>
          <w:p w14:paraId="22439331" w14:textId="77777777" w:rsidR="00877BAB" w:rsidRPr="0030218A" w:rsidRDefault="00877BAB" w:rsidP="00877BAB">
            <w:pPr>
              <w:spacing w:after="0" w:line="340" w:lineRule="exact"/>
              <w:jc w:val="center"/>
              <w:rPr>
                <w:rFonts w:asciiTheme="minorHAnsi" w:hAnsiTheme="minorHAnsi"/>
                <w:color w:val="000000"/>
                <w:sz w:val="20"/>
                <w:szCs w:val="20"/>
                <w:lang w:val="en-US"/>
              </w:rPr>
            </w:pPr>
          </w:p>
        </w:tc>
      </w:tr>
      <w:tr w:rsidR="00877BAB" w:rsidRPr="000223EE" w14:paraId="2874AC3E" w14:textId="77777777" w:rsidTr="00877BAB">
        <w:trPr>
          <w:trHeight w:val="20"/>
          <w:jc w:val="right"/>
        </w:trPr>
        <w:tc>
          <w:tcPr>
            <w:tcW w:w="1728" w:type="dxa"/>
            <w:tcBorders>
              <w:top w:val="nil"/>
              <w:bottom w:val="nil"/>
            </w:tcBorders>
            <w:shd w:val="clear" w:color="auto" w:fill="auto"/>
            <w:vAlign w:val="center"/>
          </w:tcPr>
          <w:p w14:paraId="6341E7C5" w14:textId="77777777" w:rsidR="00877BAB" w:rsidRPr="00553F90" w:rsidRDefault="00877BAB" w:rsidP="00877BAB">
            <w:pPr>
              <w:spacing w:after="0" w:line="340" w:lineRule="exact"/>
              <w:rPr>
                <w:rFonts w:asciiTheme="minorHAnsi" w:hAnsiTheme="minorHAnsi"/>
                <w:color w:val="000000"/>
                <w:sz w:val="20"/>
                <w:szCs w:val="20"/>
                <w:lang w:val="en-US"/>
              </w:rPr>
            </w:pPr>
            <w:r w:rsidRPr="00553F90">
              <w:rPr>
                <w:rFonts w:asciiTheme="minorHAnsi" w:hAnsiTheme="minorHAnsi"/>
                <w:color w:val="000000"/>
                <w:sz w:val="20"/>
                <w:szCs w:val="20"/>
                <w:lang w:val="en-US"/>
              </w:rPr>
              <w:t>6. MHS-G Time 1</w:t>
            </w:r>
          </w:p>
        </w:tc>
        <w:tc>
          <w:tcPr>
            <w:tcW w:w="787" w:type="dxa"/>
            <w:tcBorders>
              <w:top w:val="nil"/>
              <w:bottom w:val="nil"/>
            </w:tcBorders>
            <w:shd w:val="clear" w:color="auto" w:fill="auto"/>
            <w:noWrap/>
            <w:vAlign w:val="center"/>
          </w:tcPr>
          <w:p w14:paraId="72654E1D" w14:textId="77777777" w:rsidR="00877BAB" w:rsidRPr="000223EE" w:rsidRDefault="00877BAB" w:rsidP="00877BAB">
            <w:pPr>
              <w:spacing w:after="0" w:line="340" w:lineRule="exact"/>
              <w:jc w:val="center"/>
              <w:rPr>
                <w:rFonts w:asciiTheme="minorHAnsi" w:hAnsiTheme="minorHAnsi"/>
                <w:color w:val="000000"/>
                <w:sz w:val="20"/>
                <w:szCs w:val="20"/>
                <w:lang w:val="en-US"/>
              </w:rPr>
            </w:pPr>
            <w:r w:rsidRPr="000223EE">
              <w:rPr>
                <w:rFonts w:asciiTheme="minorHAnsi" w:hAnsiTheme="minorHAnsi"/>
                <w:color w:val="000000"/>
                <w:sz w:val="20"/>
                <w:szCs w:val="20"/>
                <w:lang w:val="en-US"/>
              </w:rPr>
              <w:t>-.04</w:t>
            </w:r>
          </w:p>
        </w:tc>
        <w:tc>
          <w:tcPr>
            <w:tcW w:w="788" w:type="dxa"/>
            <w:tcBorders>
              <w:top w:val="nil"/>
              <w:bottom w:val="nil"/>
            </w:tcBorders>
            <w:shd w:val="clear" w:color="auto" w:fill="auto"/>
            <w:noWrap/>
            <w:vAlign w:val="center"/>
          </w:tcPr>
          <w:p w14:paraId="33729317" w14:textId="77777777" w:rsidR="00877BAB" w:rsidRPr="000223EE" w:rsidRDefault="00877BAB" w:rsidP="00877BAB">
            <w:pPr>
              <w:spacing w:after="0" w:line="340" w:lineRule="exact"/>
              <w:jc w:val="center"/>
              <w:rPr>
                <w:rFonts w:asciiTheme="minorHAnsi" w:hAnsiTheme="minorHAnsi"/>
                <w:color w:val="000000"/>
                <w:sz w:val="20"/>
                <w:szCs w:val="20"/>
                <w:lang w:val="en-US"/>
              </w:rPr>
            </w:pPr>
            <w:r w:rsidRPr="000223EE">
              <w:rPr>
                <w:rFonts w:asciiTheme="minorHAnsi" w:hAnsiTheme="minorHAnsi"/>
                <w:color w:val="000000"/>
                <w:sz w:val="20"/>
                <w:szCs w:val="20"/>
                <w:lang w:val="en-US"/>
              </w:rPr>
              <w:t>-.24</w:t>
            </w:r>
          </w:p>
        </w:tc>
        <w:tc>
          <w:tcPr>
            <w:tcW w:w="788" w:type="dxa"/>
            <w:tcBorders>
              <w:top w:val="nil"/>
              <w:bottom w:val="nil"/>
            </w:tcBorders>
            <w:shd w:val="clear" w:color="auto" w:fill="auto"/>
            <w:noWrap/>
            <w:vAlign w:val="center"/>
          </w:tcPr>
          <w:p w14:paraId="4D81AA34" w14:textId="77777777" w:rsidR="00877BAB" w:rsidRPr="000223EE" w:rsidRDefault="00877BAB" w:rsidP="00877BAB">
            <w:pPr>
              <w:spacing w:after="0" w:line="340" w:lineRule="exact"/>
              <w:jc w:val="center"/>
              <w:rPr>
                <w:rFonts w:asciiTheme="minorHAnsi" w:hAnsiTheme="minorHAnsi"/>
                <w:color w:val="000000"/>
                <w:sz w:val="20"/>
                <w:szCs w:val="20"/>
                <w:lang w:val="en-US"/>
              </w:rPr>
            </w:pPr>
            <w:r w:rsidRPr="000223EE">
              <w:rPr>
                <w:rFonts w:asciiTheme="minorHAnsi" w:hAnsiTheme="minorHAnsi"/>
                <w:color w:val="000000"/>
                <w:sz w:val="20"/>
                <w:szCs w:val="20"/>
                <w:lang w:val="en-US"/>
              </w:rPr>
              <w:t>.08</w:t>
            </w:r>
          </w:p>
        </w:tc>
        <w:tc>
          <w:tcPr>
            <w:tcW w:w="788" w:type="dxa"/>
            <w:tcBorders>
              <w:top w:val="nil"/>
              <w:bottom w:val="nil"/>
            </w:tcBorders>
            <w:shd w:val="clear" w:color="auto" w:fill="auto"/>
            <w:noWrap/>
            <w:vAlign w:val="center"/>
          </w:tcPr>
          <w:p w14:paraId="026B665C" w14:textId="77777777" w:rsidR="00877BAB" w:rsidRPr="000223EE" w:rsidRDefault="00877BAB" w:rsidP="00877BAB">
            <w:pPr>
              <w:spacing w:after="0" w:line="340" w:lineRule="exact"/>
              <w:jc w:val="center"/>
              <w:rPr>
                <w:rFonts w:asciiTheme="minorHAnsi" w:hAnsiTheme="minorHAnsi"/>
                <w:color w:val="000000"/>
                <w:sz w:val="20"/>
                <w:szCs w:val="20"/>
                <w:lang w:val="en-US"/>
              </w:rPr>
            </w:pPr>
            <w:r w:rsidRPr="000223EE">
              <w:rPr>
                <w:rFonts w:asciiTheme="minorHAnsi" w:hAnsiTheme="minorHAnsi"/>
                <w:color w:val="000000"/>
                <w:sz w:val="20"/>
                <w:szCs w:val="20"/>
                <w:lang w:val="en-US"/>
              </w:rPr>
              <w:t>.37</w:t>
            </w:r>
            <w:r w:rsidRPr="000223EE">
              <w:rPr>
                <w:rFonts w:asciiTheme="minorHAnsi" w:hAnsiTheme="minorHAnsi"/>
                <w:color w:val="000000"/>
                <w:sz w:val="20"/>
                <w:szCs w:val="20"/>
                <w:vertAlign w:val="superscript"/>
                <w:lang w:val="en-US"/>
              </w:rPr>
              <w:t>**</w:t>
            </w:r>
          </w:p>
        </w:tc>
        <w:tc>
          <w:tcPr>
            <w:tcW w:w="788" w:type="dxa"/>
            <w:tcBorders>
              <w:top w:val="nil"/>
              <w:bottom w:val="nil"/>
            </w:tcBorders>
            <w:shd w:val="clear" w:color="auto" w:fill="auto"/>
            <w:noWrap/>
            <w:vAlign w:val="center"/>
          </w:tcPr>
          <w:p w14:paraId="6D428640" w14:textId="77777777" w:rsidR="00877BAB" w:rsidRPr="000223EE" w:rsidRDefault="00877BAB" w:rsidP="00877BAB">
            <w:pPr>
              <w:spacing w:after="0" w:line="340" w:lineRule="exact"/>
              <w:jc w:val="center"/>
              <w:rPr>
                <w:rFonts w:asciiTheme="minorHAnsi" w:hAnsiTheme="minorHAnsi"/>
                <w:color w:val="000000"/>
                <w:sz w:val="20"/>
                <w:szCs w:val="20"/>
                <w:lang w:val="en-US"/>
              </w:rPr>
            </w:pPr>
            <w:r w:rsidRPr="000223EE">
              <w:rPr>
                <w:rFonts w:asciiTheme="minorHAnsi" w:hAnsiTheme="minorHAnsi"/>
                <w:color w:val="000000"/>
                <w:sz w:val="20"/>
                <w:szCs w:val="20"/>
                <w:lang w:val="en-US"/>
              </w:rPr>
              <w:t>.33</w:t>
            </w:r>
            <w:r w:rsidRPr="000223EE">
              <w:rPr>
                <w:rFonts w:asciiTheme="minorHAnsi" w:hAnsiTheme="minorHAnsi"/>
                <w:color w:val="000000"/>
                <w:sz w:val="20"/>
                <w:szCs w:val="20"/>
                <w:vertAlign w:val="superscript"/>
                <w:lang w:val="en-US"/>
              </w:rPr>
              <w:t>*</w:t>
            </w:r>
          </w:p>
        </w:tc>
        <w:tc>
          <w:tcPr>
            <w:tcW w:w="787" w:type="dxa"/>
            <w:tcBorders>
              <w:top w:val="nil"/>
              <w:bottom w:val="nil"/>
            </w:tcBorders>
            <w:shd w:val="clear" w:color="auto" w:fill="auto"/>
            <w:noWrap/>
            <w:vAlign w:val="center"/>
          </w:tcPr>
          <w:p w14:paraId="2C253340" w14:textId="77777777" w:rsidR="00877BAB" w:rsidRPr="000223EE" w:rsidRDefault="00877BAB" w:rsidP="00877BAB">
            <w:pPr>
              <w:spacing w:after="0" w:line="340" w:lineRule="exact"/>
              <w:jc w:val="center"/>
              <w:rPr>
                <w:rFonts w:asciiTheme="minorHAnsi" w:hAnsiTheme="minorHAnsi"/>
                <w:color w:val="000000"/>
                <w:sz w:val="20"/>
                <w:szCs w:val="20"/>
                <w:lang w:val="en-US"/>
              </w:rPr>
            </w:pPr>
            <w:r w:rsidRPr="000223EE">
              <w:rPr>
                <w:rFonts w:asciiTheme="minorHAnsi" w:hAnsiTheme="minorHAnsi"/>
                <w:color w:val="000000"/>
                <w:sz w:val="20"/>
                <w:szCs w:val="20"/>
                <w:lang w:val="en-US"/>
              </w:rPr>
              <w:t>-</w:t>
            </w:r>
          </w:p>
        </w:tc>
        <w:tc>
          <w:tcPr>
            <w:tcW w:w="788" w:type="dxa"/>
            <w:tcBorders>
              <w:top w:val="nil"/>
              <w:bottom w:val="nil"/>
            </w:tcBorders>
            <w:shd w:val="clear" w:color="auto" w:fill="auto"/>
            <w:noWrap/>
            <w:vAlign w:val="center"/>
          </w:tcPr>
          <w:p w14:paraId="2A2BDB51" w14:textId="77777777" w:rsidR="00877BAB" w:rsidRPr="000223EE" w:rsidRDefault="00877BAB" w:rsidP="00877BAB">
            <w:pPr>
              <w:spacing w:after="0" w:line="340" w:lineRule="exact"/>
              <w:jc w:val="center"/>
              <w:rPr>
                <w:rFonts w:asciiTheme="minorHAnsi" w:hAnsiTheme="minorHAnsi"/>
                <w:color w:val="000000"/>
                <w:sz w:val="20"/>
                <w:szCs w:val="20"/>
                <w:lang w:val="en-US"/>
              </w:rPr>
            </w:pPr>
          </w:p>
        </w:tc>
        <w:tc>
          <w:tcPr>
            <w:tcW w:w="788" w:type="dxa"/>
            <w:tcBorders>
              <w:top w:val="nil"/>
              <w:bottom w:val="nil"/>
            </w:tcBorders>
            <w:shd w:val="clear" w:color="auto" w:fill="auto"/>
            <w:noWrap/>
            <w:vAlign w:val="center"/>
          </w:tcPr>
          <w:p w14:paraId="6F898DB0" w14:textId="77777777" w:rsidR="00877BAB" w:rsidRPr="000223EE" w:rsidRDefault="00877BAB" w:rsidP="00877BAB">
            <w:pPr>
              <w:spacing w:after="0" w:line="340" w:lineRule="exact"/>
              <w:jc w:val="center"/>
              <w:rPr>
                <w:rFonts w:asciiTheme="minorHAnsi" w:hAnsiTheme="minorHAnsi"/>
                <w:color w:val="000000"/>
                <w:sz w:val="20"/>
                <w:szCs w:val="20"/>
                <w:lang w:val="en-US"/>
              </w:rPr>
            </w:pPr>
          </w:p>
        </w:tc>
        <w:tc>
          <w:tcPr>
            <w:tcW w:w="788" w:type="dxa"/>
            <w:tcBorders>
              <w:top w:val="nil"/>
              <w:bottom w:val="nil"/>
            </w:tcBorders>
            <w:shd w:val="clear" w:color="auto" w:fill="auto"/>
            <w:noWrap/>
            <w:vAlign w:val="center"/>
          </w:tcPr>
          <w:p w14:paraId="0B0D7BEC" w14:textId="77777777" w:rsidR="00877BAB" w:rsidRPr="000223EE" w:rsidRDefault="00877BAB" w:rsidP="00877BAB">
            <w:pPr>
              <w:spacing w:after="0" w:line="340" w:lineRule="exact"/>
              <w:jc w:val="center"/>
              <w:rPr>
                <w:rFonts w:asciiTheme="minorHAnsi" w:hAnsiTheme="minorHAnsi"/>
                <w:color w:val="000000"/>
                <w:sz w:val="20"/>
                <w:szCs w:val="20"/>
                <w:lang w:val="en-US"/>
              </w:rPr>
            </w:pPr>
          </w:p>
        </w:tc>
        <w:tc>
          <w:tcPr>
            <w:tcW w:w="788" w:type="dxa"/>
            <w:tcBorders>
              <w:top w:val="nil"/>
              <w:bottom w:val="nil"/>
            </w:tcBorders>
            <w:shd w:val="clear" w:color="auto" w:fill="auto"/>
            <w:noWrap/>
            <w:vAlign w:val="center"/>
          </w:tcPr>
          <w:p w14:paraId="1F57BE44" w14:textId="77777777" w:rsidR="00877BAB" w:rsidRPr="000223EE" w:rsidRDefault="00877BAB" w:rsidP="00877BAB">
            <w:pPr>
              <w:spacing w:after="0" w:line="340" w:lineRule="exact"/>
              <w:jc w:val="center"/>
              <w:rPr>
                <w:rFonts w:asciiTheme="minorHAnsi" w:hAnsiTheme="minorHAnsi"/>
                <w:color w:val="000000"/>
                <w:sz w:val="20"/>
                <w:szCs w:val="20"/>
                <w:lang w:val="en-US"/>
              </w:rPr>
            </w:pPr>
          </w:p>
        </w:tc>
        <w:tc>
          <w:tcPr>
            <w:tcW w:w="787" w:type="dxa"/>
            <w:tcBorders>
              <w:top w:val="nil"/>
              <w:bottom w:val="nil"/>
            </w:tcBorders>
            <w:shd w:val="clear" w:color="auto" w:fill="auto"/>
            <w:noWrap/>
            <w:vAlign w:val="center"/>
          </w:tcPr>
          <w:p w14:paraId="042AECA8" w14:textId="77777777" w:rsidR="00877BAB" w:rsidRPr="000223EE" w:rsidRDefault="00877BAB" w:rsidP="00877BAB">
            <w:pPr>
              <w:spacing w:after="0" w:line="340" w:lineRule="exact"/>
              <w:jc w:val="center"/>
              <w:rPr>
                <w:rFonts w:asciiTheme="minorHAnsi" w:hAnsiTheme="minorHAnsi"/>
                <w:color w:val="000000"/>
                <w:sz w:val="20"/>
                <w:szCs w:val="20"/>
                <w:lang w:val="en-US"/>
              </w:rPr>
            </w:pPr>
          </w:p>
        </w:tc>
        <w:tc>
          <w:tcPr>
            <w:tcW w:w="788" w:type="dxa"/>
            <w:tcBorders>
              <w:top w:val="nil"/>
              <w:bottom w:val="nil"/>
            </w:tcBorders>
            <w:shd w:val="clear" w:color="auto" w:fill="auto"/>
            <w:noWrap/>
            <w:vAlign w:val="center"/>
          </w:tcPr>
          <w:p w14:paraId="7DC5941D" w14:textId="77777777" w:rsidR="00877BAB" w:rsidRPr="000223EE" w:rsidRDefault="00877BAB" w:rsidP="00877BAB">
            <w:pPr>
              <w:spacing w:after="0" w:line="340" w:lineRule="exact"/>
              <w:jc w:val="center"/>
              <w:rPr>
                <w:rFonts w:asciiTheme="minorHAnsi" w:hAnsiTheme="minorHAnsi"/>
                <w:color w:val="000000"/>
                <w:sz w:val="20"/>
                <w:szCs w:val="20"/>
                <w:lang w:val="en-US"/>
              </w:rPr>
            </w:pPr>
          </w:p>
        </w:tc>
        <w:tc>
          <w:tcPr>
            <w:tcW w:w="788" w:type="dxa"/>
            <w:tcBorders>
              <w:top w:val="nil"/>
              <w:bottom w:val="nil"/>
            </w:tcBorders>
            <w:shd w:val="clear" w:color="auto" w:fill="auto"/>
            <w:noWrap/>
            <w:vAlign w:val="center"/>
          </w:tcPr>
          <w:p w14:paraId="1FD00763" w14:textId="77777777" w:rsidR="00877BAB" w:rsidRPr="002538AA" w:rsidRDefault="00877BAB" w:rsidP="00877BAB">
            <w:pPr>
              <w:spacing w:after="0" w:line="340" w:lineRule="exact"/>
              <w:jc w:val="center"/>
              <w:rPr>
                <w:rFonts w:asciiTheme="minorHAnsi" w:hAnsiTheme="minorHAnsi"/>
                <w:color w:val="000000"/>
                <w:sz w:val="20"/>
                <w:szCs w:val="20"/>
                <w:lang w:val="en-US"/>
              </w:rPr>
            </w:pPr>
          </w:p>
        </w:tc>
        <w:tc>
          <w:tcPr>
            <w:tcW w:w="788" w:type="dxa"/>
            <w:tcBorders>
              <w:top w:val="nil"/>
              <w:bottom w:val="nil"/>
            </w:tcBorders>
            <w:shd w:val="clear" w:color="auto" w:fill="auto"/>
            <w:noWrap/>
            <w:vAlign w:val="center"/>
          </w:tcPr>
          <w:p w14:paraId="0AB81558" w14:textId="77777777" w:rsidR="00877BAB" w:rsidRPr="002538AA" w:rsidRDefault="00877BAB" w:rsidP="00877BAB">
            <w:pPr>
              <w:spacing w:after="0" w:line="340" w:lineRule="exact"/>
              <w:jc w:val="center"/>
              <w:rPr>
                <w:rFonts w:asciiTheme="minorHAnsi" w:hAnsiTheme="minorHAnsi"/>
                <w:color w:val="000000"/>
                <w:sz w:val="20"/>
                <w:szCs w:val="20"/>
                <w:lang w:val="en-US"/>
              </w:rPr>
            </w:pPr>
          </w:p>
        </w:tc>
        <w:tc>
          <w:tcPr>
            <w:tcW w:w="788" w:type="dxa"/>
            <w:tcBorders>
              <w:top w:val="nil"/>
              <w:bottom w:val="nil"/>
            </w:tcBorders>
            <w:shd w:val="clear" w:color="auto" w:fill="auto"/>
            <w:noWrap/>
            <w:vAlign w:val="center"/>
          </w:tcPr>
          <w:p w14:paraId="5317832B" w14:textId="77777777" w:rsidR="00877BAB" w:rsidRPr="002538AA" w:rsidRDefault="00877BAB" w:rsidP="00877BAB">
            <w:pPr>
              <w:spacing w:after="0" w:line="340" w:lineRule="exact"/>
              <w:jc w:val="center"/>
              <w:rPr>
                <w:rFonts w:asciiTheme="minorHAnsi" w:hAnsiTheme="minorHAnsi"/>
                <w:color w:val="000000"/>
                <w:sz w:val="20"/>
                <w:szCs w:val="20"/>
                <w:lang w:val="en-US"/>
              </w:rPr>
            </w:pPr>
          </w:p>
        </w:tc>
        <w:tc>
          <w:tcPr>
            <w:tcW w:w="788" w:type="dxa"/>
            <w:tcBorders>
              <w:top w:val="nil"/>
              <w:bottom w:val="nil"/>
            </w:tcBorders>
            <w:shd w:val="clear" w:color="auto" w:fill="auto"/>
            <w:noWrap/>
            <w:vAlign w:val="center"/>
          </w:tcPr>
          <w:p w14:paraId="480FFD49" w14:textId="77777777" w:rsidR="00877BAB" w:rsidRPr="002538AA" w:rsidRDefault="00877BAB" w:rsidP="00877BAB">
            <w:pPr>
              <w:spacing w:after="0" w:line="340" w:lineRule="exact"/>
              <w:jc w:val="center"/>
              <w:rPr>
                <w:rFonts w:asciiTheme="minorHAnsi" w:hAnsiTheme="minorHAnsi"/>
                <w:color w:val="000000"/>
                <w:sz w:val="20"/>
                <w:szCs w:val="20"/>
                <w:lang w:val="en-US"/>
              </w:rPr>
            </w:pPr>
          </w:p>
        </w:tc>
      </w:tr>
      <w:tr w:rsidR="00877BAB" w:rsidRPr="000223EE" w14:paraId="65052638" w14:textId="77777777" w:rsidTr="00877BAB">
        <w:trPr>
          <w:trHeight w:val="20"/>
          <w:jc w:val="right"/>
        </w:trPr>
        <w:tc>
          <w:tcPr>
            <w:tcW w:w="1728" w:type="dxa"/>
            <w:tcBorders>
              <w:top w:val="nil"/>
              <w:bottom w:val="nil"/>
            </w:tcBorders>
            <w:shd w:val="clear" w:color="auto" w:fill="auto"/>
            <w:vAlign w:val="center"/>
          </w:tcPr>
          <w:p w14:paraId="1F008E62" w14:textId="77777777" w:rsidR="00877BAB" w:rsidRPr="00553F90" w:rsidRDefault="00877BAB" w:rsidP="00877BAB">
            <w:pPr>
              <w:spacing w:after="0" w:line="340" w:lineRule="exact"/>
              <w:rPr>
                <w:rFonts w:asciiTheme="minorHAnsi" w:hAnsiTheme="minorHAnsi"/>
                <w:color w:val="000000"/>
                <w:sz w:val="20"/>
                <w:szCs w:val="20"/>
                <w:lang w:val="en-US"/>
              </w:rPr>
            </w:pPr>
            <w:r w:rsidRPr="00553F90">
              <w:rPr>
                <w:rFonts w:asciiTheme="minorHAnsi" w:hAnsiTheme="minorHAnsi"/>
                <w:color w:val="000000"/>
                <w:sz w:val="20"/>
                <w:szCs w:val="20"/>
                <w:lang w:val="en-US"/>
              </w:rPr>
              <w:t>7. MHS-G Time 2</w:t>
            </w:r>
          </w:p>
        </w:tc>
        <w:tc>
          <w:tcPr>
            <w:tcW w:w="787" w:type="dxa"/>
            <w:tcBorders>
              <w:top w:val="nil"/>
              <w:bottom w:val="nil"/>
            </w:tcBorders>
            <w:shd w:val="clear" w:color="auto" w:fill="auto"/>
            <w:noWrap/>
            <w:vAlign w:val="center"/>
          </w:tcPr>
          <w:p w14:paraId="7363007E" w14:textId="77777777" w:rsidR="00877BAB" w:rsidRPr="000223EE" w:rsidRDefault="00877BAB" w:rsidP="00877BAB">
            <w:pPr>
              <w:spacing w:after="0" w:line="340" w:lineRule="exact"/>
              <w:jc w:val="center"/>
              <w:rPr>
                <w:rFonts w:asciiTheme="minorHAnsi" w:hAnsiTheme="minorHAnsi"/>
                <w:color w:val="000000"/>
                <w:sz w:val="20"/>
                <w:szCs w:val="20"/>
                <w:lang w:val="en-US"/>
              </w:rPr>
            </w:pPr>
            <w:r w:rsidRPr="000223EE">
              <w:rPr>
                <w:rFonts w:asciiTheme="minorHAnsi" w:hAnsiTheme="minorHAnsi"/>
                <w:color w:val="000000"/>
                <w:sz w:val="20"/>
                <w:szCs w:val="20"/>
                <w:lang w:val="en-US"/>
              </w:rPr>
              <w:t>-.08</w:t>
            </w:r>
          </w:p>
        </w:tc>
        <w:tc>
          <w:tcPr>
            <w:tcW w:w="788" w:type="dxa"/>
            <w:tcBorders>
              <w:top w:val="nil"/>
              <w:bottom w:val="nil"/>
            </w:tcBorders>
            <w:shd w:val="clear" w:color="auto" w:fill="auto"/>
            <w:noWrap/>
            <w:vAlign w:val="center"/>
          </w:tcPr>
          <w:p w14:paraId="3816D923" w14:textId="77777777" w:rsidR="00877BAB" w:rsidRPr="000223EE" w:rsidRDefault="00877BAB" w:rsidP="00877BAB">
            <w:pPr>
              <w:spacing w:after="0" w:line="340" w:lineRule="exact"/>
              <w:jc w:val="center"/>
              <w:rPr>
                <w:rFonts w:asciiTheme="minorHAnsi" w:hAnsiTheme="minorHAnsi"/>
                <w:color w:val="000000"/>
                <w:sz w:val="20"/>
                <w:szCs w:val="20"/>
                <w:lang w:val="en-US"/>
              </w:rPr>
            </w:pPr>
            <w:r w:rsidRPr="000223EE">
              <w:rPr>
                <w:rFonts w:asciiTheme="minorHAnsi" w:hAnsiTheme="minorHAnsi"/>
                <w:color w:val="000000"/>
                <w:sz w:val="20"/>
                <w:szCs w:val="20"/>
                <w:lang w:val="en-US"/>
              </w:rPr>
              <w:t>.24</w:t>
            </w:r>
          </w:p>
        </w:tc>
        <w:tc>
          <w:tcPr>
            <w:tcW w:w="788" w:type="dxa"/>
            <w:tcBorders>
              <w:top w:val="nil"/>
              <w:bottom w:val="nil"/>
            </w:tcBorders>
            <w:shd w:val="clear" w:color="auto" w:fill="auto"/>
            <w:noWrap/>
            <w:vAlign w:val="center"/>
          </w:tcPr>
          <w:p w14:paraId="5F94D4D3" w14:textId="77777777" w:rsidR="00877BAB" w:rsidRPr="000223EE" w:rsidRDefault="00877BAB" w:rsidP="00877BAB">
            <w:pPr>
              <w:spacing w:after="0" w:line="340" w:lineRule="exact"/>
              <w:jc w:val="center"/>
              <w:rPr>
                <w:rFonts w:asciiTheme="minorHAnsi" w:hAnsiTheme="minorHAnsi"/>
                <w:color w:val="000000"/>
                <w:sz w:val="20"/>
                <w:szCs w:val="20"/>
                <w:lang w:val="en-US"/>
              </w:rPr>
            </w:pPr>
            <w:r w:rsidRPr="000223EE">
              <w:rPr>
                <w:rFonts w:asciiTheme="minorHAnsi" w:hAnsiTheme="minorHAnsi"/>
                <w:color w:val="000000"/>
                <w:sz w:val="20"/>
                <w:szCs w:val="20"/>
                <w:lang w:val="en-US"/>
              </w:rPr>
              <w:t>.37*</w:t>
            </w:r>
          </w:p>
        </w:tc>
        <w:tc>
          <w:tcPr>
            <w:tcW w:w="788" w:type="dxa"/>
            <w:tcBorders>
              <w:top w:val="nil"/>
              <w:bottom w:val="nil"/>
            </w:tcBorders>
            <w:shd w:val="clear" w:color="auto" w:fill="auto"/>
            <w:noWrap/>
            <w:vAlign w:val="center"/>
          </w:tcPr>
          <w:p w14:paraId="6BB59CEF" w14:textId="77777777" w:rsidR="00877BAB" w:rsidRPr="000223EE" w:rsidRDefault="00877BAB" w:rsidP="00877BAB">
            <w:pPr>
              <w:spacing w:after="0" w:line="340" w:lineRule="exact"/>
              <w:jc w:val="center"/>
              <w:rPr>
                <w:rFonts w:asciiTheme="minorHAnsi" w:hAnsiTheme="minorHAnsi"/>
                <w:color w:val="000000"/>
                <w:sz w:val="20"/>
                <w:szCs w:val="20"/>
                <w:lang w:val="en-US"/>
              </w:rPr>
            </w:pPr>
            <w:r w:rsidRPr="000223EE">
              <w:rPr>
                <w:rFonts w:asciiTheme="minorHAnsi" w:hAnsiTheme="minorHAnsi"/>
                <w:color w:val="000000"/>
                <w:sz w:val="20"/>
                <w:szCs w:val="20"/>
                <w:lang w:val="en-US"/>
              </w:rPr>
              <w:t>.31</w:t>
            </w:r>
          </w:p>
        </w:tc>
        <w:tc>
          <w:tcPr>
            <w:tcW w:w="788" w:type="dxa"/>
            <w:tcBorders>
              <w:top w:val="nil"/>
              <w:bottom w:val="nil"/>
            </w:tcBorders>
            <w:shd w:val="clear" w:color="auto" w:fill="auto"/>
            <w:noWrap/>
            <w:vAlign w:val="center"/>
          </w:tcPr>
          <w:p w14:paraId="31526773" w14:textId="77777777" w:rsidR="00877BAB" w:rsidRPr="000223EE" w:rsidRDefault="00877BAB" w:rsidP="00877BAB">
            <w:pPr>
              <w:spacing w:after="0" w:line="340" w:lineRule="exact"/>
              <w:jc w:val="center"/>
              <w:rPr>
                <w:rFonts w:asciiTheme="minorHAnsi" w:hAnsiTheme="minorHAnsi"/>
                <w:color w:val="000000"/>
                <w:sz w:val="20"/>
                <w:szCs w:val="20"/>
                <w:lang w:val="en-US"/>
              </w:rPr>
            </w:pPr>
            <w:r w:rsidRPr="000223EE">
              <w:rPr>
                <w:rFonts w:asciiTheme="minorHAnsi" w:hAnsiTheme="minorHAnsi"/>
                <w:color w:val="000000"/>
                <w:sz w:val="20"/>
                <w:szCs w:val="20"/>
                <w:lang w:val="en-US"/>
              </w:rPr>
              <w:t>.22</w:t>
            </w:r>
          </w:p>
        </w:tc>
        <w:tc>
          <w:tcPr>
            <w:tcW w:w="787" w:type="dxa"/>
            <w:tcBorders>
              <w:top w:val="nil"/>
              <w:bottom w:val="nil"/>
            </w:tcBorders>
            <w:shd w:val="clear" w:color="auto" w:fill="auto"/>
            <w:noWrap/>
            <w:vAlign w:val="center"/>
          </w:tcPr>
          <w:p w14:paraId="41576C89" w14:textId="77777777" w:rsidR="00877BAB" w:rsidRPr="000223EE" w:rsidRDefault="00877BAB" w:rsidP="00877BAB">
            <w:pPr>
              <w:spacing w:after="0" w:line="340" w:lineRule="exact"/>
              <w:jc w:val="center"/>
              <w:rPr>
                <w:rFonts w:asciiTheme="minorHAnsi" w:hAnsiTheme="minorHAnsi"/>
                <w:color w:val="000000"/>
                <w:sz w:val="20"/>
                <w:szCs w:val="20"/>
                <w:lang w:val="en-US"/>
              </w:rPr>
            </w:pPr>
            <w:r w:rsidRPr="000223EE">
              <w:rPr>
                <w:rFonts w:asciiTheme="minorHAnsi" w:hAnsiTheme="minorHAnsi"/>
                <w:color w:val="000000"/>
                <w:sz w:val="20"/>
                <w:szCs w:val="20"/>
                <w:lang w:val="en-US"/>
              </w:rPr>
              <w:t>.88</w:t>
            </w:r>
            <w:r w:rsidRPr="000223EE">
              <w:rPr>
                <w:rFonts w:asciiTheme="minorHAnsi" w:hAnsiTheme="minorHAnsi"/>
                <w:color w:val="000000"/>
                <w:sz w:val="20"/>
                <w:szCs w:val="20"/>
                <w:vertAlign w:val="superscript"/>
                <w:lang w:val="en-US"/>
              </w:rPr>
              <w:t>**</w:t>
            </w:r>
          </w:p>
        </w:tc>
        <w:tc>
          <w:tcPr>
            <w:tcW w:w="788" w:type="dxa"/>
            <w:tcBorders>
              <w:top w:val="nil"/>
              <w:bottom w:val="nil"/>
            </w:tcBorders>
            <w:shd w:val="clear" w:color="auto" w:fill="auto"/>
            <w:noWrap/>
            <w:vAlign w:val="center"/>
          </w:tcPr>
          <w:p w14:paraId="51EBA1BB" w14:textId="77777777" w:rsidR="00877BAB" w:rsidRPr="000223EE" w:rsidRDefault="00877BAB" w:rsidP="00877BAB">
            <w:pPr>
              <w:spacing w:after="0" w:line="340" w:lineRule="exact"/>
              <w:jc w:val="center"/>
              <w:rPr>
                <w:rFonts w:asciiTheme="minorHAnsi" w:hAnsiTheme="minorHAnsi"/>
                <w:color w:val="000000"/>
                <w:sz w:val="20"/>
                <w:szCs w:val="20"/>
                <w:lang w:val="en-US"/>
              </w:rPr>
            </w:pPr>
            <w:r w:rsidRPr="000223EE">
              <w:rPr>
                <w:rFonts w:asciiTheme="minorHAnsi" w:hAnsiTheme="minorHAnsi"/>
                <w:color w:val="000000"/>
                <w:sz w:val="20"/>
                <w:szCs w:val="20"/>
                <w:lang w:val="en-US"/>
              </w:rPr>
              <w:t>-</w:t>
            </w:r>
          </w:p>
        </w:tc>
        <w:tc>
          <w:tcPr>
            <w:tcW w:w="788" w:type="dxa"/>
            <w:tcBorders>
              <w:top w:val="nil"/>
              <w:bottom w:val="nil"/>
            </w:tcBorders>
            <w:shd w:val="clear" w:color="auto" w:fill="auto"/>
            <w:noWrap/>
            <w:vAlign w:val="center"/>
          </w:tcPr>
          <w:p w14:paraId="57A8543B" w14:textId="77777777" w:rsidR="00877BAB" w:rsidRPr="000223EE" w:rsidRDefault="00877BAB" w:rsidP="00877BAB">
            <w:pPr>
              <w:spacing w:after="0" w:line="340" w:lineRule="exact"/>
              <w:jc w:val="center"/>
              <w:rPr>
                <w:rFonts w:asciiTheme="minorHAnsi" w:hAnsiTheme="minorHAnsi"/>
                <w:color w:val="000000"/>
                <w:sz w:val="20"/>
                <w:szCs w:val="20"/>
                <w:lang w:val="en-US"/>
              </w:rPr>
            </w:pPr>
          </w:p>
        </w:tc>
        <w:tc>
          <w:tcPr>
            <w:tcW w:w="788" w:type="dxa"/>
            <w:tcBorders>
              <w:top w:val="nil"/>
              <w:bottom w:val="nil"/>
            </w:tcBorders>
            <w:shd w:val="clear" w:color="auto" w:fill="auto"/>
            <w:noWrap/>
            <w:vAlign w:val="center"/>
          </w:tcPr>
          <w:p w14:paraId="6FB43858" w14:textId="77777777" w:rsidR="00877BAB" w:rsidRPr="000223EE" w:rsidRDefault="00877BAB" w:rsidP="00877BAB">
            <w:pPr>
              <w:spacing w:after="0" w:line="340" w:lineRule="exact"/>
              <w:jc w:val="center"/>
              <w:rPr>
                <w:rFonts w:asciiTheme="minorHAnsi" w:hAnsiTheme="minorHAnsi"/>
                <w:color w:val="000000"/>
                <w:sz w:val="20"/>
                <w:szCs w:val="20"/>
                <w:lang w:val="en-US"/>
              </w:rPr>
            </w:pPr>
          </w:p>
        </w:tc>
        <w:tc>
          <w:tcPr>
            <w:tcW w:w="788" w:type="dxa"/>
            <w:tcBorders>
              <w:top w:val="nil"/>
              <w:bottom w:val="nil"/>
            </w:tcBorders>
            <w:shd w:val="clear" w:color="auto" w:fill="auto"/>
            <w:noWrap/>
            <w:vAlign w:val="center"/>
          </w:tcPr>
          <w:p w14:paraId="6FE26ACC" w14:textId="77777777" w:rsidR="00877BAB" w:rsidRPr="000223EE" w:rsidRDefault="00877BAB" w:rsidP="00877BAB">
            <w:pPr>
              <w:spacing w:after="0" w:line="340" w:lineRule="exact"/>
              <w:jc w:val="center"/>
              <w:rPr>
                <w:rFonts w:asciiTheme="minorHAnsi" w:hAnsiTheme="minorHAnsi"/>
                <w:color w:val="000000"/>
                <w:sz w:val="20"/>
                <w:szCs w:val="20"/>
                <w:lang w:val="en-US"/>
              </w:rPr>
            </w:pPr>
          </w:p>
        </w:tc>
        <w:tc>
          <w:tcPr>
            <w:tcW w:w="787" w:type="dxa"/>
            <w:tcBorders>
              <w:top w:val="nil"/>
              <w:bottom w:val="nil"/>
            </w:tcBorders>
            <w:shd w:val="clear" w:color="auto" w:fill="auto"/>
            <w:noWrap/>
            <w:vAlign w:val="center"/>
          </w:tcPr>
          <w:p w14:paraId="5C28046D" w14:textId="77777777" w:rsidR="00877BAB" w:rsidRPr="000223EE" w:rsidRDefault="00877BAB" w:rsidP="00877BAB">
            <w:pPr>
              <w:spacing w:after="0" w:line="340" w:lineRule="exact"/>
              <w:jc w:val="center"/>
              <w:rPr>
                <w:rFonts w:asciiTheme="minorHAnsi" w:hAnsiTheme="minorHAnsi"/>
                <w:color w:val="000000"/>
                <w:sz w:val="20"/>
                <w:szCs w:val="20"/>
                <w:lang w:val="en-US"/>
              </w:rPr>
            </w:pPr>
          </w:p>
        </w:tc>
        <w:tc>
          <w:tcPr>
            <w:tcW w:w="788" w:type="dxa"/>
            <w:tcBorders>
              <w:top w:val="nil"/>
              <w:bottom w:val="nil"/>
            </w:tcBorders>
            <w:shd w:val="clear" w:color="auto" w:fill="auto"/>
            <w:noWrap/>
            <w:vAlign w:val="center"/>
          </w:tcPr>
          <w:p w14:paraId="063EAE3B" w14:textId="77777777" w:rsidR="00877BAB" w:rsidRPr="000223EE" w:rsidRDefault="00877BAB" w:rsidP="00877BAB">
            <w:pPr>
              <w:spacing w:after="0" w:line="340" w:lineRule="exact"/>
              <w:jc w:val="center"/>
              <w:rPr>
                <w:rFonts w:asciiTheme="minorHAnsi" w:hAnsiTheme="minorHAnsi"/>
                <w:color w:val="000000"/>
                <w:sz w:val="20"/>
                <w:szCs w:val="20"/>
                <w:lang w:val="en-US"/>
              </w:rPr>
            </w:pPr>
          </w:p>
        </w:tc>
        <w:tc>
          <w:tcPr>
            <w:tcW w:w="788" w:type="dxa"/>
            <w:tcBorders>
              <w:top w:val="nil"/>
              <w:bottom w:val="nil"/>
            </w:tcBorders>
            <w:shd w:val="clear" w:color="auto" w:fill="auto"/>
            <w:noWrap/>
            <w:vAlign w:val="center"/>
          </w:tcPr>
          <w:p w14:paraId="2DAEBEBD" w14:textId="77777777" w:rsidR="00877BAB" w:rsidRPr="002538AA" w:rsidRDefault="00877BAB" w:rsidP="00877BAB">
            <w:pPr>
              <w:spacing w:after="0" w:line="340" w:lineRule="exact"/>
              <w:jc w:val="center"/>
              <w:rPr>
                <w:rFonts w:asciiTheme="minorHAnsi" w:hAnsiTheme="minorHAnsi"/>
                <w:color w:val="000000"/>
                <w:sz w:val="20"/>
                <w:szCs w:val="20"/>
                <w:lang w:val="en-US"/>
              </w:rPr>
            </w:pPr>
          </w:p>
        </w:tc>
        <w:tc>
          <w:tcPr>
            <w:tcW w:w="788" w:type="dxa"/>
            <w:tcBorders>
              <w:top w:val="nil"/>
              <w:bottom w:val="nil"/>
            </w:tcBorders>
            <w:shd w:val="clear" w:color="auto" w:fill="auto"/>
            <w:noWrap/>
            <w:vAlign w:val="center"/>
          </w:tcPr>
          <w:p w14:paraId="23D82012" w14:textId="77777777" w:rsidR="00877BAB" w:rsidRPr="002538AA" w:rsidRDefault="00877BAB" w:rsidP="00877BAB">
            <w:pPr>
              <w:spacing w:after="0" w:line="340" w:lineRule="exact"/>
              <w:jc w:val="center"/>
              <w:rPr>
                <w:rFonts w:asciiTheme="minorHAnsi" w:hAnsiTheme="minorHAnsi"/>
                <w:color w:val="000000"/>
                <w:sz w:val="20"/>
                <w:szCs w:val="20"/>
                <w:lang w:val="en-US"/>
              </w:rPr>
            </w:pPr>
          </w:p>
        </w:tc>
        <w:tc>
          <w:tcPr>
            <w:tcW w:w="788" w:type="dxa"/>
            <w:tcBorders>
              <w:top w:val="nil"/>
              <w:bottom w:val="nil"/>
            </w:tcBorders>
            <w:shd w:val="clear" w:color="auto" w:fill="auto"/>
            <w:noWrap/>
            <w:vAlign w:val="center"/>
          </w:tcPr>
          <w:p w14:paraId="355309FD" w14:textId="77777777" w:rsidR="00877BAB" w:rsidRPr="002538AA" w:rsidRDefault="00877BAB" w:rsidP="00877BAB">
            <w:pPr>
              <w:spacing w:after="0" w:line="340" w:lineRule="exact"/>
              <w:jc w:val="center"/>
              <w:rPr>
                <w:rFonts w:asciiTheme="minorHAnsi" w:hAnsiTheme="minorHAnsi"/>
                <w:color w:val="000000"/>
                <w:sz w:val="20"/>
                <w:szCs w:val="20"/>
                <w:lang w:val="en-US"/>
              </w:rPr>
            </w:pPr>
          </w:p>
        </w:tc>
        <w:tc>
          <w:tcPr>
            <w:tcW w:w="788" w:type="dxa"/>
            <w:tcBorders>
              <w:top w:val="nil"/>
              <w:bottom w:val="nil"/>
            </w:tcBorders>
            <w:shd w:val="clear" w:color="auto" w:fill="auto"/>
            <w:noWrap/>
            <w:vAlign w:val="center"/>
          </w:tcPr>
          <w:p w14:paraId="4DB2F245" w14:textId="77777777" w:rsidR="00877BAB" w:rsidRPr="002538AA" w:rsidRDefault="00877BAB" w:rsidP="00877BAB">
            <w:pPr>
              <w:spacing w:after="0" w:line="340" w:lineRule="exact"/>
              <w:jc w:val="center"/>
              <w:rPr>
                <w:rFonts w:asciiTheme="minorHAnsi" w:hAnsiTheme="minorHAnsi"/>
                <w:color w:val="000000"/>
                <w:sz w:val="20"/>
                <w:szCs w:val="20"/>
                <w:lang w:val="en-US"/>
              </w:rPr>
            </w:pPr>
          </w:p>
        </w:tc>
      </w:tr>
      <w:tr w:rsidR="00877BAB" w:rsidRPr="000223EE" w14:paraId="0E728D10" w14:textId="77777777" w:rsidTr="00877BAB">
        <w:trPr>
          <w:trHeight w:val="20"/>
          <w:jc w:val="right"/>
        </w:trPr>
        <w:tc>
          <w:tcPr>
            <w:tcW w:w="1728" w:type="dxa"/>
            <w:tcBorders>
              <w:top w:val="nil"/>
              <w:bottom w:val="nil"/>
            </w:tcBorders>
            <w:shd w:val="clear" w:color="auto" w:fill="auto"/>
            <w:vAlign w:val="center"/>
          </w:tcPr>
          <w:p w14:paraId="1198146E" w14:textId="77777777" w:rsidR="00877BAB" w:rsidRPr="00553F90" w:rsidRDefault="00877BAB" w:rsidP="00877BAB">
            <w:pPr>
              <w:spacing w:after="0" w:line="340" w:lineRule="exact"/>
              <w:rPr>
                <w:rFonts w:asciiTheme="minorHAnsi" w:hAnsiTheme="minorHAnsi"/>
                <w:color w:val="000000"/>
                <w:sz w:val="20"/>
                <w:szCs w:val="20"/>
                <w:lang w:val="en-US"/>
              </w:rPr>
            </w:pPr>
            <w:r w:rsidRPr="00553F90">
              <w:rPr>
                <w:rFonts w:asciiTheme="minorHAnsi" w:hAnsiTheme="minorHAnsi"/>
                <w:color w:val="000000"/>
                <w:sz w:val="20"/>
                <w:szCs w:val="20"/>
                <w:lang w:val="en-US"/>
              </w:rPr>
              <w:t>8. MHS-L Time 1</w:t>
            </w:r>
          </w:p>
        </w:tc>
        <w:tc>
          <w:tcPr>
            <w:tcW w:w="787" w:type="dxa"/>
            <w:tcBorders>
              <w:top w:val="nil"/>
              <w:bottom w:val="nil"/>
            </w:tcBorders>
            <w:shd w:val="clear" w:color="auto" w:fill="auto"/>
            <w:noWrap/>
            <w:vAlign w:val="center"/>
          </w:tcPr>
          <w:p w14:paraId="12546A86" w14:textId="77777777" w:rsidR="00877BAB" w:rsidRPr="000223EE" w:rsidRDefault="00877BAB" w:rsidP="00877BAB">
            <w:pPr>
              <w:spacing w:after="0" w:line="340" w:lineRule="exact"/>
              <w:jc w:val="center"/>
              <w:rPr>
                <w:rFonts w:asciiTheme="minorHAnsi" w:hAnsiTheme="minorHAnsi"/>
                <w:color w:val="000000"/>
                <w:sz w:val="20"/>
                <w:szCs w:val="20"/>
                <w:lang w:val="en-US"/>
              </w:rPr>
            </w:pPr>
            <w:r w:rsidRPr="000223EE">
              <w:rPr>
                <w:rFonts w:asciiTheme="minorHAnsi" w:hAnsiTheme="minorHAnsi"/>
                <w:color w:val="000000"/>
                <w:sz w:val="20"/>
                <w:szCs w:val="20"/>
                <w:lang w:val="en-US"/>
              </w:rPr>
              <w:t>.14</w:t>
            </w:r>
          </w:p>
        </w:tc>
        <w:tc>
          <w:tcPr>
            <w:tcW w:w="788" w:type="dxa"/>
            <w:tcBorders>
              <w:top w:val="nil"/>
              <w:bottom w:val="nil"/>
            </w:tcBorders>
            <w:shd w:val="clear" w:color="auto" w:fill="auto"/>
            <w:noWrap/>
            <w:vAlign w:val="center"/>
          </w:tcPr>
          <w:p w14:paraId="4B8750C0" w14:textId="77777777" w:rsidR="00877BAB" w:rsidRPr="000223EE" w:rsidRDefault="00877BAB" w:rsidP="00877BAB">
            <w:pPr>
              <w:spacing w:after="0" w:line="340" w:lineRule="exact"/>
              <w:jc w:val="center"/>
              <w:rPr>
                <w:rFonts w:asciiTheme="minorHAnsi" w:hAnsiTheme="minorHAnsi"/>
                <w:color w:val="000000"/>
                <w:sz w:val="20"/>
                <w:szCs w:val="20"/>
                <w:lang w:val="en-US"/>
              </w:rPr>
            </w:pPr>
            <w:r w:rsidRPr="000223EE">
              <w:rPr>
                <w:rFonts w:asciiTheme="minorHAnsi" w:hAnsiTheme="minorHAnsi"/>
                <w:color w:val="000000"/>
                <w:sz w:val="20"/>
                <w:szCs w:val="20"/>
                <w:lang w:val="en-US"/>
              </w:rPr>
              <w:t>-.34</w:t>
            </w:r>
          </w:p>
        </w:tc>
        <w:tc>
          <w:tcPr>
            <w:tcW w:w="788" w:type="dxa"/>
            <w:tcBorders>
              <w:top w:val="nil"/>
              <w:bottom w:val="nil"/>
            </w:tcBorders>
            <w:shd w:val="clear" w:color="auto" w:fill="auto"/>
            <w:noWrap/>
            <w:vAlign w:val="center"/>
          </w:tcPr>
          <w:p w14:paraId="2131A6D3" w14:textId="77777777" w:rsidR="00877BAB" w:rsidRPr="000223EE" w:rsidRDefault="00877BAB" w:rsidP="00877BAB">
            <w:pPr>
              <w:spacing w:after="0" w:line="340" w:lineRule="exact"/>
              <w:jc w:val="center"/>
              <w:rPr>
                <w:rFonts w:asciiTheme="minorHAnsi" w:hAnsiTheme="minorHAnsi"/>
                <w:color w:val="000000"/>
                <w:sz w:val="20"/>
                <w:szCs w:val="20"/>
                <w:lang w:val="en-US"/>
              </w:rPr>
            </w:pPr>
            <w:r w:rsidRPr="000223EE">
              <w:rPr>
                <w:rFonts w:asciiTheme="minorHAnsi" w:hAnsiTheme="minorHAnsi"/>
                <w:color w:val="000000"/>
                <w:sz w:val="20"/>
                <w:szCs w:val="20"/>
                <w:lang w:val="en-US"/>
              </w:rPr>
              <w:t>.13</w:t>
            </w:r>
          </w:p>
        </w:tc>
        <w:tc>
          <w:tcPr>
            <w:tcW w:w="788" w:type="dxa"/>
            <w:tcBorders>
              <w:top w:val="nil"/>
              <w:bottom w:val="nil"/>
            </w:tcBorders>
            <w:shd w:val="clear" w:color="auto" w:fill="auto"/>
            <w:noWrap/>
            <w:vAlign w:val="center"/>
          </w:tcPr>
          <w:p w14:paraId="08D9B4AA" w14:textId="77777777" w:rsidR="00877BAB" w:rsidRPr="000223EE" w:rsidRDefault="00877BAB" w:rsidP="00877BAB">
            <w:pPr>
              <w:spacing w:after="0" w:line="340" w:lineRule="exact"/>
              <w:jc w:val="center"/>
              <w:rPr>
                <w:rFonts w:asciiTheme="minorHAnsi" w:hAnsiTheme="minorHAnsi"/>
                <w:color w:val="000000"/>
                <w:sz w:val="20"/>
                <w:szCs w:val="20"/>
                <w:lang w:val="en-US"/>
              </w:rPr>
            </w:pPr>
            <w:r w:rsidRPr="000223EE">
              <w:rPr>
                <w:rFonts w:asciiTheme="minorHAnsi" w:hAnsiTheme="minorHAnsi"/>
                <w:color w:val="000000"/>
                <w:sz w:val="20"/>
                <w:szCs w:val="20"/>
                <w:lang w:val="en-US"/>
              </w:rPr>
              <w:t>.27</w:t>
            </w:r>
          </w:p>
        </w:tc>
        <w:tc>
          <w:tcPr>
            <w:tcW w:w="788" w:type="dxa"/>
            <w:tcBorders>
              <w:top w:val="nil"/>
              <w:bottom w:val="nil"/>
            </w:tcBorders>
            <w:shd w:val="clear" w:color="auto" w:fill="auto"/>
            <w:noWrap/>
            <w:vAlign w:val="center"/>
          </w:tcPr>
          <w:p w14:paraId="22F4803A" w14:textId="77777777" w:rsidR="00877BAB" w:rsidRPr="000223EE" w:rsidRDefault="00877BAB" w:rsidP="00877BAB">
            <w:pPr>
              <w:spacing w:after="0" w:line="340" w:lineRule="exact"/>
              <w:jc w:val="center"/>
              <w:rPr>
                <w:rFonts w:asciiTheme="minorHAnsi" w:hAnsiTheme="minorHAnsi"/>
                <w:color w:val="000000"/>
                <w:sz w:val="20"/>
                <w:szCs w:val="20"/>
                <w:lang w:val="en-US"/>
              </w:rPr>
            </w:pPr>
            <w:r w:rsidRPr="000223EE">
              <w:rPr>
                <w:rFonts w:asciiTheme="minorHAnsi" w:hAnsiTheme="minorHAnsi"/>
                <w:color w:val="000000"/>
                <w:sz w:val="20"/>
                <w:szCs w:val="20"/>
                <w:lang w:val="en-US"/>
              </w:rPr>
              <w:t>.08</w:t>
            </w:r>
          </w:p>
        </w:tc>
        <w:tc>
          <w:tcPr>
            <w:tcW w:w="787" w:type="dxa"/>
            <w:tcBorders>
              <w:top w:val="nil"/>
              <w:bottom w:val="nil"/>
            </w:tcBorders>
            <w:shd w:val="clear" w:color="auto" w:fill="auto"/>
            <w:noWrap/>
            <w:vAlign w:val="center"/>
          </w:tcPr>
          <w:p w14:paraId="18E7F9D4" w14:textId="77777777" w:rsidR="00877BAB" w:rsidRPr="000223EE" w:rsidRDefault="00877BAB" w:rsidP="00877BAB">
            <w:pPr>
              <w:spacing w:after="0" w:line="340" w:lineRule="exact"/>
              <w:jc w:val="center"/>
              <w:rPr>
                <w:rFonts w:asciiTheme="minorHAnsi" w:hAnsiTheme="minorHAnsi"/>
                <w:color w:val="000000"/>
                <w:sz w:val="20"/>
                <w:szCs w:val="20"/>
                <w:lang w:val="en-US"/>
              </w:rPr>
            </w:pPr>
            <w:r w:rsidRPr="000223EE">
              <w:rPr>
                <w:rFonts w:asciiTheme="minorHAnsi" w:hAnsiTheme="minorHAnsi"/>
                <w:color w:val="000000"/>
                <w:sz w:val="20"/>
                <w:szCs w:val="20"/>
                <w:lang w:val="en-US"/>
              </w:rPr>
              <w:t>__</w:t>
            </w:r>
          </w:p>
        </w:tc>
        <w:tc>
          <w:tcPr>
            <w:tcW w:w="788" w:type="dxa"/>
            <w:tcBorders>
              <w:top w:val="nil"/>
              <w:bottom w:val="nil"/>
            </w:tcBorders>
            <w:shd w:val="clear" w:color="auto" w:fill="auto"/>
            <w:noWrap/>
            <w:vAlign w:val="center"/>
          </w:tcPr>
          <w:p w14:paraId="1667FBCE" w14:textId="77777777" w:rsidR="00877BAB" w:rsidRPr="000223EE" w:rsidRDefault="00877BAB" w:rsidP="00877BAB">
            <w:pPr>
              <w:spacing w:after="0" w:line="340" w:lineRule="exact"/>
              <w:jc w:val="center"/>
              <w:rPr>
                <w:rFonts w:asciiTheme="minorHAnsi" w:hAnsiTheme="minorHAnsi"/>
                <w:color w:val="000000"/>
                <w:sz w:val="20"/>
                <w:szCs w:val="20"/>
                <w:lang w:val="en-US"/>
              </w:rPr>
            </w:pPr>
            <w:r w:rsidRPr="000223EE">
              <w:rPr>
                <w:rFonts w:asciiTheme="minorHAnsi" w:hAnsiTheme="minorHAnsi"/>
                <w:color w:val="000000"/>
                <w:sz w:val="20"/>
                <w:szCs w:val="20"/>
                <w:lang w:val="en-US"/>
              </w:rPr>
              <w:t>__</w:t>
            </w:r>
          </w:p>
        </w:tc>
        <w:tc>
          <w:tcPr>
            <w:tcW w:w="788" w:type="dxa"/>
            <w:tcBorders>
              <w:top w:val="nil"/>
              <w:bottom w:val="nil"/>
            </w:tcBorders>
            <w:shd w:val="clear" w:color="auto" w:fill="auto"/>
            <w:noWrap/>
            <w:vAlign w:val="center"/>
          </w:tcPr>
          <w:p w14:paraId="2E33D3BF" w14:textId="77777777" w:rsidR="00877BAB" w:rsidRPr="000223EE" w:rsidRDefault="00877BAB" w:rsidP="00877BAB">
            <w:pPr>
              <w:spacing w:after="0" w:line="340" w:lineRule="exact"/>
              <w:jc w:val="center"/>
              <w:rPr>
                <w:rFonts w:asciiTheme="minorHAnsi" w:hAnsiTheme="minorHAnsi"/>
                <w:color w:val="000000"/>
                <w:sz w:val="20"/>
                <w:szCs w:val="20"/>
                <w:lang w:val="en-US"/>
              </w:rPr>
            </w:pPr>
            <w:r w:rsidRPr="000223EE">
              <w:rPr>
                <w:rFonts w:asciiTheme="minorHAnsi" w:hAnsiTheme="minorHAnsi"/>
                <w:color w:val="000000"/>
                <w:sz w:val="20"/>
                <w:szCs w:val="20"/>
                <w:lang w:val="en-US"/>
              </w:rPr>
              <w:t>-</w:t>
            </w:r>
          </w:p>
        </w:tc>
        <w:tc>
          <w:tcPr>
            <w:tcW w:w="788" w:type="dxa"/>
            <w:tcBorders>
              <w:top w:val="nil"/>
              <w:bottom w:val="nil"/>
            </w:tcBorders>
            <w:shd w:val="clear" w:color="auto" w:fill="auto"/>
            <w:noWrap/>
            <w:vAlign w:val="center"/>
          </w:tcPr>
          <w:p w14:paraId="154F0BEC" w14:textId="77777777" w:rsidR="00877BAB" w:rsidRPr="000223EE" w:rsidRDefault="00877BAB" w:rsidP="00877BAB">
            <w:pPr>
              <w:spacing w:after="0" w:line="340" w:lineRule="exact"/>
              <w:jc w:val="center"/>
              <w:rPr>
                <w:rFonts w:asciiTheme="minorHAnsi" w:hAnsiTheme="minorHAnsi"/>
                <w:color w:val="000000"/>
                <w:sz w:val="20"/>
                <w:szCs w:val="20"/>
                <w:lang w:val="en-US"/>
              </w:rPr>
            </w:pPr>
          </w:p>
        </w:tc>
        <w:tc>
          <w:tcPr>
            <w:tcW w:w="788" w:type="dxa"/>
            <w:tcBorders>
              <w:top w:val="nil"/>
              <w:bottom w:val="nil"/>
            </w:tcBorders>
            <w:shd w:val="clear" w:color="auto" w:fill="auto"/>
            <w:noWrap/>
            <w:vAlign w:val="center"/>
          </w:tcPr>
          <w:p w14:paraId="148925CB" w14:textId="77777777" w:rsidR="00877BAB" w:rsidRPr="000223EE" w:rsidRDefault="00877BAB" w:rsidP="00877BAB">
            <w:pPr>
              <w:spacing w:after="0" w:line="340" w:lineRule="exact"/>
              <w:jc w:val="center"/>
              <w:rPr>
                <w:rFonts w:asciiTheme="minorHAnsi" w:hAnsiTheme="minorHAnsi"/>
                <w:color w:val="000000"/>
                <w:sz w:val="20"/>
                <w:szCs w:val="20"/>
                <w:lang w:val="en-US"/>
              </w:rPr>
            </w:pPr>
          </w:p>
        </w:tc>
        <w:tc>
          <w:tcPr>
            <w:tcW w:w="787" w:type="dxa"/>
            <w:tcBorders>
              <w:top w:val="nil"/>
              <w:bottom w:val="nil"/>
            </w:tcBorders>
            <w:shd w:val="clear" w:color="auto" w:fill="auto"/>
            <w:noWrap/>
            <w:vAlign w:val="center"/>
          </w:tcPr>
          <w:p w14:paraId="6C7B940A" w14:textId="77777777" w:rsidR="00877BAB" w:rsidRPr="000223EE" w:rsidRDefault="00877BAB" w:rsidP="00877BAB">
            <w:pPr>
              <w:spacing w:after="0" w:line="340" w:lineRule="exact"/>
              <w:jc w:val="center"/>
              <w:rPr>
                <w:rFonts w:asciiTheme="minorHAnsi" w:hAnsiTheme="minorHAnsi"/>
                <w:color w:val="000000"/>
                <w:sz w:val="20"/>
                <w:szCs w:val="20"/>
                <w:lang w:val="en-US"/>
              </w:rPr>
            </w:pPr>
          </w:p>
        </w:tc>
        <w:tc>
          <w:tcPr>
            <w:tcW w:w="788" w:type="dxa"/>
            <w:tcBorders>
              <w:top w:val="nil"/>
              <w:bottom w:val="nil"/>
            </w:tcBorders>
            <w:shd w:val="clear" w:color="auto" w:fill="auto"/>
            <w:noWrap/>
            <w:vAlign w:val="center"/>
          </w:tcPr>
          <w:p w14:paraId="5BEB45C8" w14:textId="77777777" w:rsidR="00877BAB" w:rsidRPr="000223EE" w:rsidRDefault="00877BAB" w:rsidP="00877BAB">
            <w:pPr>
              <w:spacing w:after="0" w:line="340" w:lineRule="exact"/>
              <w:jc w:val="center"/>
              <w:rPr>
                <w:rFonts w:asciiTheme="minorHAnsi" w:hAnsiTheme="minorHAnsi"/>
                <w:color w:val="000000"/>
                <w:sz w:val="20"/>
                <w:szCs w:val="20"/>
                <w:lang w:val="en-US"/>
              </w:rPr>
            </w:pPr>
          </w:p>
        </w:tc>
        <w:tc>
          <w:tcPr>
            <w:tcW w:w="788" w:type="dxa"/>
            <w:tcBorders>
              <w:top w:val="nil"/>
              <w:bottom w:val="nil"/>
            </w:tcBorders>
            <w:shd w:val="clear" w:color="auto" w:fill="auto"/>
            <w:noWrap/>
            <w:vAlign w:val="center"/>
          </w:tcPr>
          <w:p w14:paraId="6BE0F720" w14:textId="77777777" w:rsidR="00877BAB" w:rsidRPr="000223EE" w:rsidRDefault="00877BAB" w:rsidP="00877BAB">
            <w:pPr>
              <w:spacing w:after="0" w:line="340" w:lineRule="exact"/>
              <w:jc w:val="center"/>
              <w:rPr>
                <w:rFonts w:asciiTheme="minorHAnsi" w:hAnsiTheme="minorHAnsi"/>
                <w:color w:val="000000"/>
                <w:sz w:val="20"/>
                <w:szCs w:val="20"/>
                <w:lang w:val="en-US"/>
              </w:rPr>
            </w:pPr>
          </w:p>
        </w:tc>
        <w:tc>
          <w:tcPr>
            <w:tcW w:w="788" w:type="dxa"/>
            <w:tcBorders>
              <w:top w:val="nil"/>
              <w:bottom w:val="nil"/>
            </w:tcBorders>
            <w:shd w:val="clear" w:color="auto" w:fill="auto"/>
            <w:noWrap/>
            <w:vAlign w:val="center"/>
          </w:tcPr>
          <w:p w14:paraId="30756EED" w14:textId="77777777" w:rsidR="00877BAB" w:rsidRPr="002538AA" w:rsidRDefault="00877BAB" w:rsidP="00877BAB">
            <w:pPr>
              <w:spacing w:after="0" w:line="340" w:lineRule="exact"/>
              <w:jc w:val="center"/>
              <w:rPr>
                <w:rFonts w:asciiTheme="minorHAnsi" w:hAnsiTheme="minorHAnsi"/>
                <w:color w:val="000000"/>
                <w:sz w:val="20"/>
                <w:szCs w:val="20"/>
                <w:lang w:val="en-US"/>
              </w:rPr>
            </w:pPr>
          </w:p>
        </w:tc>
        <w:tc>
          <w:tcPr>
            <w:tcW w:w="788" w:type="dxa"/>
            <w:tcBorders>
              <w:top w:val="nil"/>
              <w:bottom w:val="nil"/>
            </w:tcBorders>
            <w:shd w:val="clear" w:color="auto" w:fill="auto"/>
            <w:noWrap/>
            <w:vAlign w:val="center"/>
          </w:tcPr>
          <w:p w14:paraId="242D4DF2" w14:textId="77777777" w:rsidR="00877BAB" w:rsidRPr="002538AA" w:rsidRDefault="00877BAB" w:rsidP="00877BAB">
            <w:pPr>
              <w:spacing w:after="0" w:line="340" w:lineRule="exact"/>
              <w:jc w:val="center"/>
              <w:rPr>
                <w:rFonts w:asciiTheme="minorHAnsi" w:hAnsiTheme="minorHAnsi"/>
                <w:color w:val="000000"/>
                <w:sz w:val="20"/>
                <w:szCs w:val="20"/>
                <w:lang w:val="en-US"/>
              </w:rPr>
            </w:pPr>
          </w:p>
        </w:tc>
        <w:tc>
          <w:tcPr>
            <w:tcW w:w="788" w:type="dxa"/>
            <w:tcBorders>
              <w:top w:val="nil"/>
              <w:bottom w:val="nil"/>
            </w:tcBorders>
            <w:shd w:val="clear" w:color="auto" w:fill="auto"/>
            <w:noWrap/>
            <w:vAlign w:val="center"/>
          </w:tcPr>
          <w:p w14:paraId="7913FA34" w14:textId="77777777" w:rsidR="00877BAB" w:rsidRPr="002538AA" w:rsidRDefault="00877BAB" w:rsidP="00877BAB">
            <w:pPr>
              <w:spacing w:after="0" w:line="340" w:lineRule="exact"/>
              <w:jc w:val="center"/>
              <w:rPr>
                <w:rFonts w:asciiTheme="minorHAnsi" w:hAnsiTheme="minorHAnsi"/>
                <w:color w:val="000000"/>
                <w:sz w:val="20"/>
                <w:szCs w:val="20"/>
                <w:lang w:val="en-US"/>
              </w:rPr>
            </w:pPr>
          </w:p>
        </w:tc>
      </w:tr>
      <w:tr w:rsidR="00877BAB" w:rsidRPr="000223EE" w14:paraId="31A42740" w14:textId="77777777" w:rsidTr="00877BAB">
        <w:trPr>
          <w:trHeight w:val="20"/>
          <w:jc w:val="right"/>
        </w:trPr>
        <w:tc>
          <w:tcPr>
            <w:tcW w:w="1728" w:type="dxa"/>
            <w:tcBorders>
              <w:top w:val="nil"/>
              <w:bottom w:val="nil"/>
            </w:tcBorders>
            <w:shd w:val="clear" w:color="auto" w:fill="auto"/>
            <w:vAlign w:val="center"/>
          </w:tcPr>
          <w:p w14:paraId="5B9A4F24" w14:textId="77777777" w:rsidR="00877BAB" w:rsidRPr="00553F90" w:rsidRDefault="00877BAB" w:rsidP="00877BAB">
            <w:pPr>
              <w:spacing w:after="0" w:line="340" w:lineRule="exact"/>
              <w:rPr>
                <w:rFonts w:asciiTheme="minorHAnsi" w:hAnsiTheme="minorHAnsi"/>
                <w:color w:val="000000"/>
                <w:sz w:val="20"/>
                <w:szCs w:val="20"/>
                <w:lang w:val="en-US"/>
              </w:rPr>
            </w:pPr>
            <w:r w:rsidRPr="00553F90">
              <w:rPr>
                <w:rFonts w:asciiTheme="minorHAnsi" w:hAnsiTheme="minorHAnsi"/>
                <w:color w:val="000000"/>
                <w:sz w:val="20"/>
                <w:szCs w:val="20"/>
                <w:lang w:val="en-US"/>
              </w:rPr>
              <w:t>9. MHS-L Time 2</w:t>
            </w:r>
          </w:p>
        </w:tc>
        <w:tc>
          <w:tcPr>
            <w:tcW w:w="787" w:type="dxa"/>
            <w:tcBorders>
              <w:top w:val="nil"/>
              <w:bottom w:val="nil"/>
            </w:tcBorders>
            <w:shd w:val="clear" w:color="auto" w:fill="auto"/>
            <w:noWrap/>
            <w:vAlign w:val="center"/>
          </w:tcPr>
          <w:p w14:paraId="49DAF7FC" w14:textId="77777777" w:rsidR="00877BAB" w:rsidRPr="000223EE" w:rsidRDefault="00877BAB" w:rsidP="00877BAB">
            <w:pPr>
              <w:spacing w:after="0" w:line="340" w:lineRule="exact"/>
              <w:jc w:val="center"/>
              <w:rPr>
                <w:rFonts w:asciiTheme="minorHAnsi" w:hAnsiTheme="minorHAnsi"/>
                <w:color w:val="000000"/>
                <w:sz w:val="20"/>
                <w:szCs w:val="20"/>
                <w:lang w:val="en-US"/>
              </w:rPr>
            </w:pPr>
            <w:r w:rsidRPr="000223EE">
              <w:rPr>
                <w:rFonts w:asciiTheme="minorHAnsi" w:hAnsiTheme="minorHAnsi"/>
                <w:color w:val="000000"/>
                <w:sz w:val="20"/>
                <w:szCs w:val="20"/>
                <w:lang w:val="en-US"/>
              </w:rPr>
              <w:t>.35</w:t>
            </w:r>
          </w:p>
        </w:tc>
        <w:tc>
          <w:tcPr>
            <w:tcW w:w="788" w:type="dxa"/>
            <w:tcBorders>
              <w:top w:val="nil"/>
              <w:bottom w:val="nil"/>
            </w:tcBorders>
            <w:shd w:val="clear" w:color="auto" w:fill="auto"/>
            <w:noWrap/>
            <w:vAlign w:val="center"/>
          </w:tcPr>
          <w:p w14:paraId="70686B91" w14:textId="77777777" w:rsidR="00877BAB" w:rsidRPr="000223EE" w:rsidRDefault="00877BAB" w:rsidP="00877BAB">
            <w:pPr>
              <w:spacing w:after="0" w:line="340" w:lineRule="exact"/>
              <w:jc w:val="center"/>
              <w:rPr>
                <w:rFonts w:asciiTheme="minorHAnsi" w:hAnsiTheme="minorHAnsi"/>
                <w:color w:val="000000"/>
                <w:sz w:val="20"/>
                <w:szCs w:val="20"/>
                <w:lang w:val="en-US"/>
              </w:rPr>
            </w:pPr>
            <w:r w:rsidRPr="000223EE">
              <w:rPr>
                <w:rFonts w:asciiTheme="minorHAnsi" w:hAnsiTheme="minorHAnsi"/>
                <w:color w:val="000000"/>
                <w:sz w:val="20"/>
                <w:szCs w:val="20"/>
                <w:lang w:val="en-US"/>
              </w:rPr>
              <w:t>-.46</w:t>
            </w:r>
          </w:p>
        </w:tc>
        <w:tc>
          <w:tcPr>
            <w:tcW w:w="788" w:type="dxa"/>
            <w:tcBorders>
              <w:top w:val="nil"/>
              <w:bottom w:val="nil"/>
            </w:tcBorders>
            <w:shd w:val="clear" w:color="auto" w:fill="auto"/>
            <w:noWrap/>
            <w:vAlign w:val="center"/>
          </w:tcPr>
          <w:p w14:paraId="70F37E87" w14:textId="77777777" w:rsidR="00877BAB" w:rsidRPr="000223EE" w:rsidRDefault="00877BAB" w:rsidP="00877BAB">
            <w:pPr>
              <w:spacing w:after="0" w:line="340" w:lineRule="exact"/>
              <w:jc w:val="center"/>
              <w:rPr>
                <w:rFonts w:asciiTheme="minorHAnsi" w:hAnsiTheme="minorHAnsi"/>
                <w:color w:val="000000"/>
                <w:sz w:val="20"/>
                <w:szCs w:val="20"/>
                <w:lang w:val="en-US"/>
              </w:rPr>
            </w:pPr>
            <w:r w:rsidRPr="000223EE">
              <w:rPr>
                <w:rFonts w:asciiTheme="minorHAnsi" w:hAnsiTheme="minorHAnsi"/>
                <w:color w:val="000000"/>
                <w:sz w:val="20"/>
                <w:szCs w:val="20"/>
                <w:lang w:val="en-US"/>
              </w:rPr>
              <w:t>.11</w:t>
            </w:r>
          </w:p>
        </w:tc>
        <w:tc>
          <w:tcPr>
            <w:tcW w:w="788" w:type="dxa"/>
            <w:tcBorders>
              <w:top w:val="nil"/>
              <w:bottom w:val="nil"/>
            </w:tcBorders>
            <w:shd w:val="clear" w:color="auto" w:fill="auto"/>
            <w:noWrap/>
            <w:vAlign w:val="center"/>
          </w:tcPr>
          <w:p w14:paraId="4849EDC4" w14:textId="77777777" w:rsidR="00877BAB" w:rsidRPr="000223EE" w:rsidRDefault="00877BAB" w:rsidP="00877BAB">
            <w:pPr>
              <w:spacing w:after="0" w:line="340" w:lineRule="exact"/>
              <w:jc w:val="center"/>
              <w:rPr>
                <w:rFonts w:asciiTheme="minorHAnsi" w:hAnsiTheme="minorHAnsi"/>
                <w:color w:val="000000"/>
                <w:sz w:val="20"/>
                <w:szCs w:val="20"/>
                <w:lang w:val="en-US"/>
              </w:rPr>
            </w:pPr>
            <w:r w:rsidRPr="000223EE">
              <w:rPr>
                <w:rFonts w:asciiTheme="minorHAnsi" w:hAnsiTheme="minorHAnsi"/>
                <w:color w:val="000000"/>
                <w:sz w:val="20"/>
                <w:szCs w:val="20"/>
                <w:lang w:val="en-US"/>
              </w:rPr>
              <w:t>.24</w:t>
            </w:r>
          </w:p>
        </w:tc>
        <w:tc>
          <w:tcPr>
            <w:tcW w:w="788" w:type="dxa"/>
            <w:tcBorders>
              <w:top w:val="nil"/>
              <w:bottom w:val="nil"/>
            </w:tcBorders>
            <w:shd w:val="clear" w:color="auto" w:fill="auto"/>
            <w:noWrap/>
            <w:vAlign w:val="center"/>
          </w:tcPr>
          <w:p w14:paraId="57334142" w14:textId="77777777" w:rsidR="00877BAB" w:rsidRPr="000223EE" w:rsidRDefault="00877BAB" w:rsidP="00877BAB">
            <w:pPr>
              <w:spacing w:after="0" w:line="340" w:lineRule="exact"/>
              <w:jc w:val="center"/>
              <w:rPr>
                <w:rFonts w:asciiTheme="minorHAnsi" w:hAnsiTheme="minorHAnsi"/>
                <w:color w:val="000000"/>
                <w:sz w:val="20"/>
                <w:szCs w:val="20"/>
                <w:lang w:val="en-US"/>
              </w:rPr>
            </w:pPr>
            <w:r w:rsidRPr="000223EE">
              <w:rPr>
                <w:rFonts w:asciiTheme="minorHAnsi" w:hAnsiTheme="minorHAnsi"/>
                <w:color w:val="000000"/>
                <w:sz w:val="20"/>
                <w:szCs w:val="20"/>
                <w:lang w:val="en-US"/>
              </w:rPr>
              <w:t>-.06</w:t>
            </w:r>
          </w:p>
        </w:tc>
        <w:tc>
          <w:tcPr>
            <w:tcW w:w="787" w:type="dxa"/>
            <w:tcBorders>
              <w:top w:val="nil"/>
              <w:bottom w:val="nil"/>
            </w:tcBorders>
            <w:shd w:val="clear" w:color="auto" w:fill="auto"/>
            <w:noWrap/>
            <w:vAlign w:val="center"/>
          </w:tcPr>
          <w:p w14:paraId="645B5EA3" w14:textId="77777777" w:rsidR="00877BAB" w:rsidRPr="000223EE" w:rsidRDefault="00877BAB" w:rsidP="00877BAB">
            <w:pPr>
              <w:spacing w:after="0" w:line="340" w:lineRule="exact"/>
              <w:jc w:val="center"/>
              <w:rPr>
                <w:rFonts w:asciiTheme="minorHAnsi" w:hAnsiTheme="minorHAnsi"/>
                <w:color w:val="000000"/>
                <w:sz w:val="20"/>
                <w:szCs w:val="20"/>
                <w:lang w:val="en-US"/>
              </w:rPr>
            </w:pPr>
            <w:r w:rsidRPr="000223EE">
              <w:rPr>
                <w:rFonts w:asciiTheme="minorHAnsi" w:hAnsiTheme="minorHAnsi"/>
                <w:color w:val="000000"/>
                <w:sz w:val="20"/>
                <w:szCs w:val="20"/>
                <w:lang w:val="en-US"/>
              </w:rPr>
              <w:t>__</w:t>
            </w:r>
          </w:p>
        </w:tc>
        <w:tc>
          <w:tcPr>
            <w:tcW w:w="788" w:type="dxa"/>
            <w:tcBorders>
              <w:top w:val="nil"/>
              <w:bottom w:val="nil"/>
            </w:tcBorders>
            <w:shd w:val="clear" w:color="auto" w:fill="auto"/>
            <w:noWrap/>
            <w:vAlign w:val="center"/>
          </w:tcPr>
          <w:p w14:paraId="204A6F01" w14:textId="77777777" w:rsidR="00877BAB" w:rsidRPr="000223EE" w:rsidRDefault="00877BAB" w:rsidP="00877BAB">
            <w:pPr>
              <w:spacing w:after="0" w:line="340" w:lineRule="exact"/>
              <w:jc w:val="center"/>
              <w:rPr>
                <w:rFonts w:asciiTheme="minorHAnsi" w:hAnsiTheme="minorHAnsi"/>
                <w:color w:val="000000"/>
                <w:sz w:val="20"/>
                <w:szCs w:val="20"/>
                <w:lang w:val="en-US"/>
              </w:rPr>
            </w:pPr>
            <w:r w:rsidRPr="000223EE">
              <w:rPr>
                <w:rFonts w:asciiTheme="minorHAnsi" w:hAnsiTheme="minorHAnsi"/>
                <w:color w:val="000000"/>
                <w:sz w:val="20"/>
                <w:szCs w:val="20"/>
                <w:lang w:val="en-US"/>
              </w:rPr>
              <w:t>__</w:t>
            </w:r>
          </w:p>
        </w:tc>
        <w:tc>
          <w:tcPr>
            <w:tcW w:w="788" w:type="dxa"/>
            <w:tcBorders>
              <w:top w:val="nil"/>
              <w:bottom w:val="nil"/>
            </w:tcBorders>
            <w:shd w:val="clear" w:color="auto" w:fill="auto"/>
            <w:noWrap/>
            <w:vAlign w:val="center"/>
          </w:tcPr>
          <w:p w14:paraId="62914065" w14:textId="77777777" w:rsidR="00877BAB" w:rsidRPr="000223EE" w:rsidRDefault="00877BAB" w:rsidP="00877BAB">
            <w:pPr>
              <w:spacing w:after="0" w:line="340" w:lineRule="exact"/>
              <w:jc w:val="center"/>
              <w:rPr>
                <w:rFonts w:asciiTheme="minorHAnsi" w:hAnsiTheme="minorHAnsi"/>
                <w:color w:val="000000"/>
                <w:sz w:val="20"/>
                <w:szCs w:val="20"/>
                <w:lang w:val="en-US"/>
              </w:rPr>
            </w:pPr>
            <w:r w:rsidRPr="000223EE">
              <w:rPr>
                <w:rFonts w:asciiTheme="minorHAnsi" w:hAnsiTheme="minorHAnsi"/>
                <w:color w:val="000000"/>
                <w:sz w:val="20"/>
                <w:szCs w:val="20"/>
                <w:lang w:val="en-US"/>
              </w:rPr>
              <w:t>.74</w:t>
            </w:r>
          </w:p>
        </w:tc>
        <w:tc>
          <w:tcPr>
            <w:tcW w:w="788" w:type="dxa"/>
            <w:tcBorders>
              <w:top w:val="nil"/>
              <w:bottom w:val="nil"/>
            </w:tcBorders>
            <w:shd w:val="clear" w:color="auto" w:fill="auto"/>
            <w:noWrap/>
            <w:vAlign w:val="center"/>
          </w:tcPr>
          <w:p w14:paraId="79604405" w14:textId="77777777" w:rsidR="00877BAB" w:rsidRPr="000223EE" w:rsidRDefault="00877BAB" w:rsidP="00877BAB">
            <w:pPr>
              <w:spacing w:after="0" w:line="340" w:lineRule="exact"/>
              <w:jc w:val="center"/>
              <w:rPr>
                <w:rFonts w:asciiTheme="minorHAnsi" w:hAnsiTheme="minorHAnsi"/>
                <w:color w:val="000000"/>
                <w:sz w:val="20"/>
                <w:szCs w:val="20"/>
                <w:lang w:val="en-US"/>
              </w:rPr>
            </w:pPr>
            <w:r w:rsidRPr="000223EE">
              <w:rPr>
                <w:rFonts w:asciiTheme="minorHAnsi" w:hAnsiTheme="minorHAnsi"/>
                <w:color w:val="000000"/>
                <w:sz w:val="20"/>
                <w:szCs w:val="20"/>
                <w:lang w:val="en-US"/>
              </w:rPr>
              <w:t>-</w:t>
            </w:r>
          </w:p>
        </w:tc>
        <w:tc>
          <w:tcPr>
            <w:tcW w:w="788" w:type="dxa"/>
            <w:tcBorders>
              <w:top w:val="nil"/>
              <w:bottom w:val="nil"/>
            </w:tcBorders>
            <w:shd w:val="clear" w:color="auto" w:fill="auto"/>
            <w:noWrap/>
            <w:vAlign w:val="center"/>
          </w:tcPr>
          <w:p w14:paraId="7D1E7224" w14:textId="77777777" w:rsidR="00877BAB" w:rsidRPr="000223EE" w:rsidRDefault="00877BAB" w:rsidP="00877BAB">
            <w:pPr>
              <w:spacing w:after="0" w:line="340" w:lineRule="exact"/>
              <w:jc w:val="center"/>
              <w:rPr>
                <w:rFonts w:asciiTheme="minorHAnsi" w:hAnsiTheme="minorHAnsi"/>
                <w:color w:val="000000"/>
                <w:sz w:val="20"/>
                <w:szCs w:val="20"/>
                <w:lang w:val="en-US"/>
              </w:rPr>
            </w:pPr>
          </w:p>
        </w:tc>
        <w:tc>
          <w:tcPr>
            <w:tcW w:w="787" w:type="dxa"/>
            <w:tcBorders>
              <w:top w:val="nil"/>
              <w:bottom w:val="nil"/>
            </w:tcBorders>
            <w:shd w:val="clear" w:color="auto" w:fill="auto"/>
            <w:noWrap/>
            <w:vAlign w:val="center"/>
          </w:tcPr>
          <w:p w14:paraId="140DD8E0" w14:textId="77777777" w:rsidR="00877BAB" w:rsidRPr="000223EE" w:rsidRDefault="00877BAB" w:rsidP="00877BAB">
            <w:pPr>
              <w:spacing w:after="0" w:line="340" w:lineRule="exact"/>
              <w:jc w:val="center"/>
              <w:rPr>
                <w:rFonts w:asciiTheme="minorHAnsi" w:hAnsiTheme="minorHAnsi"/>
                <w:color w:val="000000"/>
                <w:sz w:val="20"/>
                <w:szCs w:val="20"/>
                <w:lang w:val="en-US"/>
              </w:rPr>
            </w:pPr>
          </w:p>
        </w:tc>
        <w:tc>
          <w:tcPr>
            <w:tcW w:w="788" w:type="dxa"/>
            <w:tcBorders>
              <w:top w:val="nil"/>
              <w:bottom w:val="nil"/>
            </w:tcBorders>
            <w:shd w:val="clear" w:color="auto" w:fill="auto"/>
            <w:noWrap/>
            <w:vAlign w:val="center"/>
          </w:tcPr>
          <w:p w14:paraId="7245BE59" w14:textId="77777777" w:rsidR="00877BAB" w:rsidRPr="000223EE" w:rsidRDefault="00877BAB" w:rsidP="00877BAB">
            <w:pPr>
              <w:spacing w:after="0" w:line="340" w:lineRule="exact"/>
              <w:jc w:val="center"/>
              <w:rPr>
                <w:rFonts w:asciiTheme="minorHAnsi" w:hAnsiTheme="minorHAnsi"/>
                <w:color w:val="000000"/>
                <w:sz w:val="20"/>
                <w:szCs w:val="20"/>
                <w:lang w:val="en-US"/>
              </w:rPr>
            </w:pPr>
          </w:p>
        </w:tc>
        <w:tc>
          <w:tcPr>
            <w:tcW w:w="788" w:type="dxa"/>
            <w:tcBorders>
              <w:top w:val="nil"/>
              <w:bottom w:val="nil"/>
            </w:tcBorders>
            <w:shd w:val="clear" w:color="auto" w:fill="auto"/>
            <w:noWrap/>
            <w:vAlign w:val="center"/>
          </w:tcPr>
          <w:p w14:paraId="78A44647" w14:textId="77777777" w:rsidR="00877BAB" w:rsidRPr="000223EE" w:rsidRDefault="00877BAB" w:rsidP="00877BAB">
            <w:pPr>
              <w:spacing w:after="0" w:line="340" w:lineRule="exact"/>
              <w:jc w:val="center"/>
              <w:rPr>
                <w:rFonts w:asciiTheme="minorHAnsi" w:hAnsiTheme="minorHAnsi"/>
                <w:color w:val="000000"/>
                <w:sz w:val="20"/>
                <w:szCs w:val="20"/>
                <w:lang w:val="en-US"/>
              </w:rPr>
            </w:pPr>
          </w:p>
        </w:tc>
        <w:tc>
          <w:tcPr>
            <w:tcW w:w="788" w:type="dxa"/>
            <w:tcBorders>
              <w:top w:val="nil"/>
              <w:bottom w:val="nil"/>
            </w:tcBorders>
            <w:shd w:val="clear" w:color="auto" w:fill="auto"/>
            <w:noWrap/>
            <w:vAlign w:val="center"/>
          </w:tcPr>
          <w:p w14:paraId="51290C00" w14:textId="77777777" w:rsidR="00877BAB" w:rsidRPr="002538AA" w:rsidRDefault="00877BAB" w:rsidP="00877BAB">
            <w:pPr>
              <w:spacing w:after="0" w:line="340" w:lineRule="exact"/>
              <w:jc w:val="center"/>
              <w:rPr>
                <w:rFonts w:asciiTheme="minorHAnsi" w:hAnsiTheme="minorHAnsi"/>
                <w:color w:val="000000"/>
                <w:sz w:val="20"/>
                <w:szCs w:val="20"/>
                <w:lang w:val="en-US"/>
              </w:rPr>
            </w:pPr>
          </w:p>
        </w:tc>
        <w:tc>
          <w:tcPr>
            <w:tcW w:w="788" w:type="dxa"/>
            <w:tcBorders>
              <w:top w:val="nil"/>
              <w:bottom w:val="nil"/>
            </w:tcBorders>
            <w:shd w:val="clear" w:color="auto" w:fill="auto"/>
            <w:noWrap/>
            <w:vAlign w:val="center"/>
          </w:tcPr>
          <w:p w14:paraId="2EBE3FBB" w14:textId="77777777" w:rsidR="00877BAB" w:rsidRPr="002538AA" w:rsidRDefault="00877BAB" w:rsidP="00877BAB">
            <w:pPr>
              <w:spacing w:after="0" w:line="340" w:lineRule="exact"/>
              <w:jc w:val="center"/>
              <w:rPr>
                <w:rFonts w:asciiTheme="minorHAnsi" w:hAnsiTheme="minorHAnsi"/>
                <w:color w:val="000000"/>
                <w:sz w:val="20"/>
                <w:szCs w:val="20"/>
                <w:lang w:val="en-US"/>
              </w:rPr>
            </w:pPr>
          </w:p>
        </w:tc>
        <w:tc>
          <w:tcPr>
            <w:tcW w:w="788" w:type="dxa"/>
            <w:tcBorders>
              <w:top w:val="nil"/>
              <w:bottom w:val="nil"/>
            </w:tcBorders>
            <w:shd w:val="clear" w:color="auto" w:fill="auto"/>
            <w:noWrap/>
            <w:vAlign w:val="center"/>
          </w:tcPr>
          <w:p w14:paraId="539FB9B5" w14:textId="77777777" w:rsidR="00877BAB" w:rsidRPr="002538AA" w:rsidRDefault="00877BAB" w:rsidP="00877BAB">
            <w:pPr>
              <w:spacing w:after="0" w:line="340" w:lineRule="exact"/>
              <w:jc w:val="center"/>
              <w:rPr>
                <w:rFonts w:asciiTheme="minorHAnsi" w:hAnsiTheme="minorHAnsi"/>
                <w:color w:val="000000"/>
                <w:sz w:val="20"/>
                <w:szCs w:val="20"/>
                <w:lang w:val="en-US"/>
              </w:rPr>
            </w:pPr>
          </w:p>
        </w:tc>
      </w:tr>
      <w:tr w:rsidR="00877BAB" w:rsidRPr="000223EE" w14:paraId="3A87D52D" w14:textId="77777777" w:rsidTr="00877BAB">
        <w:trPr>
          <w:trHeight w:val="20"/>
          <w:jc w:val="right"/>
        </w:trPr>
        <w:tc>
          <w:tcPr>
            <w:tcW w:w="1728" w:type="dxa"/>
            <w:tcBorders>
              <w:top w:val="nil"/>
              <w:bottom w:val="nil"/>
            </w:tcBorders>
            <w:shd w:val="clear" w:color="auto" w:fill="auto"/>
            <w:vAlign w:val="center"/>
          </w:tcPr>
          <w:p w14:paraId="01829B92" w14:textId="77777777" w:rsidR="00877BAB" w:rsidRPr="00553F90" w:rsidRDefault="00877BAB" w:rsidP="00877BAB">
            <w:pPr>
              <w:spacing w:after="0" w:line="340" w:lineRule="exact"/>
              <w:rPr>
                <w:rFonts w:asciiTheme="minorHAnsi" w:hAnsiTheme="minorHAnsi"/>
                <w:color w:val="000000"/>
                <w:sz w:val="20"/>
                <w:szCs w:val="20"/>
                <w:lang w:val="en-US"/>
              </w:rPr>
            </w:pPr>
            <w:r w:rsidRPr="00553F90">
              <w:rPr>
                <w:rFonts w:asciiTheme="minorHAnsi" w:hAnsiTheme="minorHAnsi"/>
                <w:color w:val="000000"/>
                <w:sz w:val="20"/>
                <w:szCs w:val="20"/>
                <w:lang w:val="en-US"/>
              </w:rPr>
              <w:t>10. TS Time 1</w:t>
            </w:r>
          </w:p>
        </w:tc>
        <w:tc>
          <w:tcPr>
            <w:tcW w:w="787" w:type="dxa"/>
            <w:tcBorders>
              <w:top w:val="nil"/>
              <w:bottom w:val="nil"/>
            </w:tcBorders>
            <w:shd w:val="clear" w:color="auto" w:fill="auto"/>
            <w:noWrap/>
            <w:vAlign w:val="center"/>
          </w:tcPr>
          <w:p w14:paraId="0A96D0F0" w14:textId="77777777" w:rsidR="00877BAB" w:rsidRPr="000223EE" w:rsidRDefault="00877BAB" w:rsidP="00877BAB">
            <w:pPr>
              <w:spacing w:after="0" w:line="340" w:lineRule="exact"/>
              <w:jc w:val="center"/>
              <w:rPr>
                <w:rFonts w:asciiTheme="minorHAnsi" w:hAnsiTheme="minorHAnsi"/>
                <w:color w:val="000000"/>
                <w:sz w:val="20"/>
                <w:szCs w:val="20"/>
                <w:lang w:val="en-US"/>
              </w:rPr>
            </w:pPr>
            <w:r w:rsidRPr="000223EE">
              <w:rPr>
                <w:rFonts w:asciiTheme="minorHAnsi" w:hAnsiTheme="minorHAnsi"/>
                <w:color w:val="000000"/>
                <w:sz w:val="20"/>
                <w:szCs w:val="20"/>
                <w:lang w:val="en-US"/>
              </w:rPr>
              <w:t>-.09</w:t>
            </w:r>
          </w:p>
        </w:tc>
        <w:tc>
          <w:tcPr>
            <w:tcW w:w="788" w:type="dxa"/>
            <w:tcBorders>
              <w:top w:val="nil"/>
              <w:bottom w:val="nil"/>
            </w:tcBorders>
            <w:shd w:val="clear" w:color="auto" w:fill="auto"/>
            <w:noWrap/>
            <w:vAlign w:val="center"/>
          </w:tcPr>
          <w:p w14:paraId="56DA30B3" w14:textId="77777777" w:rsidR="00877BAB" w:rsidRPr="000223EE" w:rsidRDefault="00877BAB" w:rsidP="00877BAB">
            <w:pPr>
              <w:spacing w:after="0" w:line="340" w:lineRule="exact"/>
              <w:jc w:val="center"/>
              <w:rPr>
                <w:rFonts w:asciiTheme="minorHAnsi" w:hAnsiTheme="minorHAnsi"/>
                <w:color w:val="000000"/>
                <w:sz w:val="20"/>
                <w:szCs w:val="20"/>
                <w:lang w:val="en-US"/>
              </w:rPr>
            </w:pPr>
            <w:r w:rsidRPr="000223EE">
              <w:rPr>
                <w:rFonts w:asciiTheme="minorHAnsi" w:hAnsiTheme="minorHAnsi"/>
                <w:color w:val="000000"/>
                <w:sz w:val="20"/>
                <w:szCs w:val="20"/>
                <w:lang w:val="en-US"/>
              </w:rPr>
              <w:t>-.44</w:t>
            </w:r>
            <w:r w:rsidRPr="000223EE">
              <w:rPr>
                <w:rFonts w:asciiTheme="minorHAnsi" w:hAnsiTheme="minorHAnsi"/>
                <w:color w:val="000000"/>
                <w:sz w:val="20"/>
                <w:szCs w:val="20"/>
                <w:vertAlign w:val="superscript"/>
                <w:lang w:val="en-US"/>
              </w:rPr>
              <w:t>**</w:t>
            </w:r>
          </w:p>
        </w:tc>
        <w:tc>
          <w:tcPr>
            <w:tcW w:w="788" w:type="dxa"/>
            <w:tcBorders>
              <w:top w:val="nil"/>
              <w:bottom w:val="nil"/>
            </w:tcBorders>
            <w:shd w:val="clear" w:color="auto" w:fill="auto"/>
            <w:noWrap/>
            <w:vAlign w:val="center"/>
          </w:tcPr>
          <w:p w14:paraId="0B8B1A23" w14:textId="77777777" w:rsidR="00877BAB" w:rsidRPr="000223EE" w:rsidRDefault="00877BAB" w:rsidP="00877BAB">
            <w:pPr>
              <w:spacing w:after="0" w:line="340" w:lineRule="exact"/>
              <w:jc w:val="center"/>
              <w:rPr>
                <w:rFonts w:asciiTheme="minorHAnsi" w:hAnsiTheme="minorHAnsi"/>
                <w:color w:val="000000"/>
                <w:sz w:val="20"/>
                <w:szCs w:val="20"/>
                <w:lang w:val="en-US"/>
              </w:rPr>
            </w:pPr>
            <w:r w:rsidRPr="000223EE">
              <w:rPr>
                <w:rFonts w:asciiTheme="minorHAnsi" w:hAnsiTheme="minorHAnsi"/>
                <w:color w:val="000000"/>
                <w:sz w:val="20"/>
                <w:szCs w:val="20"/>
                <w:lang w:val="en-US"/>
              </w:rPr>
              <w:t>.08</w:t>
            </w:r>
          </w:p>
        </w:tc>
        <w:tc>
          <w:tcPr>
            <w:tcW w:w="788" w:type="dxa"/>
            <w:tcBorders>
              <w:top w:val="nil"/>
              <w:bottom w:val="nil"/>
            </w:tcBorders>
            <w:shd w:val="clear" w:color="auto" w:fill="auto"/>
            <w:noWrap/>
            <w:vAlign w:val="center"/>
          </w:tcPr>
          <w:p w14:paraId="72765713" w14:textId="77777777" w:rsidR="00877BAB" w:rsidRPr="000223EE" w:rsidRDefault="00877BAB" w:rsidP="00877BAB">
            <w:pPr>
              <w:spacing w:after="0" w:line="340" w:lineRule="exact"/>
              <w:jc w:val="center"/>
              <w:rPr>
                <w:rFonts w:asciiTheme="minorHAnsi" w:hAnsiTheme="minorHAnsi"/>
                <w:color w:val="000000"/>
                <w:sz w:val="20"/>
                <w:szCs w:val="20"/>
                <w:lang w:val="en-US"/>
              </w:rPr>
            </w:pPr>
            <w:r w:rsidRPr="000223EE">
              <w:rPr>
                <w:rFonts w:asciiTheme="minorHAnsi" w:hAnsiTheme="minorHAnsi"/>
                <w:color w:val="000000"/>
                <w:sz w:val="20"/>
                <w:szCs w:val="20"/>
                <w:lang w:val="en-US"/>
              </w:rPr>
              <w:t>.36</w:t>
            </w:r>
            <w:r w:rsidRPr="000223EE">
              <w:rPr>
                <w:rFonts w:asciiTheme="minorHAnsi" w:hAnsiTheme="minorHAnsi"/>
                <w:color w:val="000000"/>
                <w:sz w:val="20"/>
                <w:szCs w:val="20"/>
                <w:vertAlign w:val="superscript"/>
                <w:lang w:val="en-US"/>
              </w:rPr>
              <w:t>**</w:t>
            </w:r>
          </w:p>
        </w:tc>
        <w:tc>
          <w:tcPr>
            <w:tcW w:w="788" w:type="dxa"/>
            <w:tcBorders>
              <w:top w:val="nil"/>
              <w:bottom w:val="nil"/>
            </w:tcBorders>
            <w:shd w:val="clear" w:color="auto" w:fill="auto"/>
            <w:noWrap/>
            <w:vAlign w:val="center"/>
          </w:tcPr>
          <w:p w14:paraId="40F7741B" w14:textId="77777777" w:rsidR="00877BAB" w:rsidRPr="000223EE" w:rsidRDefault="00877BAB" w:rsidP="00877BAB">
            <w:pPr>
              <w:spacing w:after="0" w:line="340" w:lineRule="exact"/>
              <w:jc w:val="center"/>
              <w:rPr>
                <w:rFonts w:asciiTheme="minorHAnsi" w:hAnsiTheme="minorHAnsi"/>
                <w:color w:val="000000"/>
                <w:sz w:val="20"/>
                <w:szCs w:val="20"/>
                <w:lang w:val="en-US"/>
              </w:rPr>
            </w:pPr>
            <w:r w:rsidRPr="000223EE">
              <w:rPr>
                <w:rFonts w:asciiTheme="minorHAnsi" w:hAnsiTheme="minorHAnsi"/>
                <w:color w:val="000000"/>
                <w:sz w:val="20"/>
                <w:szCs w:val="20"/>
                <w:lang w:val="en-US"/>
              </w:rPr>
              <w:t>.37</w:t>
            </w:r>
            <w:r w:rsidRPr="000223EE">
              <w:rPr>
                <w:rFonts w:asciiTheme="minorHAnsi" w:hAnsiTheme="minorHAnsi"/>
                <w:color w:val="000000"/>
                <w:sz w:val="20"/>
                <w:szCs w:val="20"/>
                <w:vertAlign w:val="superscript"/>
                <w:lang w:val="en-US"/>
              </w:rPr>
              <w:t>**</w:t>
            </w:r>
          </w:p>
        </w:tc>
        <w:tc>
          <w:tcPr>
            <w:tcW w:w="787" w:type="dxa"/>
            <w:tcBorders>
              <w:top w:val="nil"/>
              <w:bottom w:val="nil"/>
            </w:tcBorders>
            <w:shd w:val="clear" w:color="auto" w:fill="auto"/>
            <w:noWrap/>
            <w:vAlign w:val="center"/>
          </w:tcPr>
          <w:p w14:paraId="702E018E" w14:textId="77777777" w:rsidR="00877BAB" w:rsidRPr="000223EE" w:rsidRDefault="00877BAB" w:rsidP="00877BAB">
            <w:pPr>
              <w:spacing w:after="0" w:line="340" w:lineRule="exact"/>
              <w:jc w:val="center"/>
              <w:rPr>
                <w:rFonts w:asciiTheme="minorHAnsi" w:hAnsiTheme="minorHAnsi"/>
                <w:color w:val="000000"/>
                <w:sz w:val="20"/>
                <w:szCs w:val="20"/>
                <w:lang w:val="en-US"/>
              </w:rPr>
            </w:pPr>
            <w:r w:rsidRPr="000223EE">
              <w:rPr>
                <w:rFonts w:asciiTheme="minorHAnsi" w:hAnsiTheme="minorHAnsi"/>
                <w:color w:val="000000"/>
                <w:sz w:val="20"/>
                <w:szCs w:val="20"/>
                <w:lang w:val="en-US"/>
              </w:rPr>
              <w:t>.76</w:t>
            </w:r>
            <w:r w:rsidRPr="000223EE">
              <w:rPr>
                <w:rFonts w:asciiTheme="minorHAnsi" w:hAnsiTheme="minorHAnsi"/>
                <w:color w:val="000000"/>
                <w:sz w:val="20"/>
                <w:szCs w:val="20"/>
                <w:vertAlign w:val="superscript"/>
                <w:lang w:val="en-US"/>
              </w:rPr>
              <w:t>**</w:t>
            </w:r>
          </w:p>
        </w:tc>
        <w:tc>
          <w:tcPr>
            <w:tcW w:w="788" w:type="dxa"/>
            <w:tcBorders>
              <w:top w:val="nil"/>
              <w:bottom w:val="nil"/>
            </w:tcBorders>
            <w:shd w:val="clear" w:color="auto" w:fill="auto"/>
            <w:noWrap/>
            <w:vAlign w:val="center"/>
          </w:tcPr>
          <w:p w14:paraId="2FFE84F2" w14:textId="77777777" w:rsidR="00877BAB" w:rsidRPr="000223EE" w:rsidRDefault="00877BAB" w:rsidP="00877BAB">
            <w:pPr>
              <w:spacing w:after="0" w:line="340" w:lineRule="exact"/>
              <w:jc w:val="center"/>
              <w:rPr>
                <w:rFonts w:asciiTheme="minorHAnsi" w:hAnsiTheme="minorHAnsi"/>
                <w:color w:val="000000"/>
                <w:sz w:val="20"/>
                <w:szCs w:val="20"/>
                <w:lang w:val="en-US"/>
              </w:rPr>
            </w:pPr>
            <w:r w:rsidRPr="000223EE">
              <w:rPr>
                <w:rFonts w:asciiTheme="minorHAnsi" w:hAnsiTheme="minorHAnsi"/>
                <w:color w:val="000000"/>
                <w:sz w:val="20"/>
                <w:szCs w:val="20"/>
                <w:lang w:val="en-US"/>
              </w:rPr>
              <w:t>.80</w:t>
            </w:r>
            <w:r w:rsidRPr="000223EE">
              <w:rPr>
                <w:rFonts w:asciiTheme="minorHAnsi" w:hAnsiTheme="minorHAnsi"/>
                <w:color w:val="000000"/>
                <w:sz w:val="20"/>
                <w:szCs w:val="20"/>
                <w:vertAlign w:val="superscript"/>
                <w:lang w:val="en-US"/>
              </w:rPr>
              <w:t>**</w:t>
            </w:r>
          </w:p>
        </w:tc>
        <w:tc>
          <w:tcPr>
            <w:tcW w:w="788" w:type="dxa"/>
            <w:tcBorders>
              <w:top w:val="nil"/>
              <w:bottom w:val="nil"/>
            </w:tcBorders>
            <w:shd w:val="clear" w:color="auto" w:fill="auto"/>
            <w:noWrap/>
            <w:vAlign w:val="center"/>
          </w:tcPr>
          <w:p w14:paraId="523F022B" w14:textId="77777777" w:rsidR="00877BAB" w:rsidRPr="002538AA" w:rsidRDefault="00877BAB" w:rsidP="00877BAB">
            <w:pPr>
              <w:spacing w:after="0" w:line="340" w:lineRule="exact"/>
              <w:jc w:val="center"/>
              <w:rPr>
                <w:rFonts w:asciiTheme="minorHAnsi" w:hAnsiTheme="minorHAnsi"/>
                <w:color w:val="000000"/>
                <w:sz w:val="20"/>
                <w:szCs w:val="20"/>
                <w:lang w:val="en-US"/>
              </w:rPr>
            </w:pPr>
            <w:r w:rsidRPr="002538AA">
              <w:rPr>
                <w:rFonts w:asciiTheme="minorHAnsi" w:hAnsiTheme="minorHAnsi"/>
                <w:color w:val="000000"/>
                <w:sz w:val="20"/>
                <w:szCs w:val="20"/>
                <w:lang w:val="en-US"/>
              </w:rPr>
              <w:t>0.28</w:t>
            </w:r>
          </w:p>
        </w:tc>
        <w:tc>
          <w:tcPr>
            <w:tcW w:w="788" w:type="dxa"/>
            <w:tcBorders>
              <w:top w:val="nil"/>
              <w:bottom w:val="nil"/>
            </w:tcBorders>
            <w:shd w:val="clear" w:color="auto" w:fill="auto"/>
            <w:noWrap/>
            <w:vAlign w:val="center"/>
          </w:tcPr>
          <w:p w14:paraId="564305AF" w14:textId="77777777" w:rsidR="00877BAB" w:rsidRPr="002538AA" w:rsidRDefault="00877BAB" w:rsidP="00877BAB">
            <w:pPr>
              <w:spacing w:after="0" w:line="340" w:lineRule="exact"/>
              <w:jc w:val="center"/>
              <w:rPr>
                <w:rFonts w:asciiTheme="minorHAnsi" w:hAnsiTheme="minorHAnsi"/>
                <w:color w:val="000000"/>
                <w:sz w:val="20"/>
                <w:szCs w:val="20"/>
                <w:lang w:val="en-US"/>
              </w:rPr>
            </w:pPr>
            <w:r w:rsidRPr="002538AA">
              <w:rPr>
                <w:rFonts w:asciiTheme="minorHAnsi" w:hAnsiTheme="minorHAnsi"/>
                <w:color w:val="000000"/>
                <w:sz w:val="20"/>
                <w:szCs w:val="20"/>
                <w:lang w:val="en-US"/>
              </w:rPr>
              <w:t>.30</w:t>
            </w:r>
          </w:p>
        </w:tc>
        <w:tc>
          <w:tcPr>
            <w:tcW w:w="788" w:type="dxa"/>
            <w:tcBorders>
              <w:top w:val="nil"/>
              <w:bottom w:val="nil"/>
            </w:tcBorders>
            <w:shd w:val="clear" w:color="auto" w:fill="auto"/>
            <w:noWrap/>
            <w:vAlign w:val="center"/>
          </w:tcPr>
          <w:p w14:paraId="643DF126" w14:textId="77777777" w:rsidR="00877BAB" w:rsidRPr="002538AA" w:rsidRDefault="00877BAB" w:rsidP="00877BAB">
            <w:pPr>
              <w:spacing w:after="0" w:line="340" w:lineRule="exact"/>
              <w:jc w:val="center"/>
              <w:rPr>
                <w:rFonts w:asciiTheme="minorHAnsi" w:hAnsiTheme="minorHAnsi"/>
                <w:color w:val="000000"/>
                <w:sz w:val="20"/>
                <w:szCs w:val="20"/>
                <w:lang w:val="en-US"/>
              </w:rPr>
            </w:pPr>
            <w:r w:rsidRPr="002538AA">
              <w:rPr>
                <w:rFonts w:asciiTheme="minorHAnsi" w:hAnsiTheme="minorHAnsi"/>
                <w:color w:val="000000"/>
                <w:sz w:val="20"/>
                <w:szCs w:val="20"/>
                <w:lang w:val="en-US"/>
              </w:rPr>
              <w:t>-</w:t>
            </w:r>
          </w:p>
        </w:tc>
        <w:tc>
          <w:tcPr>
            <w:tcW w:w="787" w:type="dxa"/>
            <w:tcBorders>
              <w:top w:val="nil"/>
              <w:bottom w:val="nil"/>
            </w:tcBorders>
            <w:shd w:val="clear" w:color="auto" w:fill="auto"/>
            <w:noWrap/>
            <w:vAlign w:val="center"/>
          </w:tcPr>
          <w:p w14:paraId="37593232" w14:textId="77777777" w:rsidR="00877BAB" w:rsidRPr="002538AA" w:rsidRDefault="00877BAB" w:rsidP="00877BAB">
            <w:pPr>
              <w:spacing w:after="0" w:line="340" w:lineRule="exact"/>
              <w:jc w:val="center"/>
              <w:rPr>
                <w:rFonts w:asciiTheme="minorHAnsi" w:hAnsiTheme="minorHAnsi"/>
                <w:color w:val="000000"/>
                <w:sz w:val="20"/>
                <w:szCs w:val="20"/>
                <w:lang w:val="en-US"/>
              </w:rPr>
            </w:pPr>
          </w:p>
        </w:tc>
        <w:tc>
          <w:tcPr>
            <w:tcW w:w="788" w:type="dxa"/>
            <w:tcBorders>
              <w:top w:val="nil"/>
              <w:bottom w:val="nil"/>
            </w:tcBorders>
            <w:shd w:val="clear" w:color="auto" w:fill="auto"/>
            <w:noWrap/>
            <w:vAlign w:val="center"/>
          </w:tcPr>
          <w:p w14:paraId="73E77783" w14:textId="77777777" w:rsidR="00877BAB" w:rsidRPr="0030218A" w:rsidRDefault="00877BAB" w:rsidP="00877BAB">
            <w:pPr>
              <w:spacing w:after="0" w:line="340" w:lineRule="exact"/>
              <w:jc w:val="center"/>
              <w:rPr>
                <w:rFonts w:asciiTheme="minorHAnsi" w:hAnsiTheme="minorHAnsi"/>
                <w:color w:val="000000"/>
                <w:sz w:val="20"/>
                <w:szCs w:val="20"/>
                <w:lang w:val="en-US"/>
              </w:rPr>
            </w:pPr>
          </w:p>
        </w:tc>
        <w:tc>
          <w:tcPr>
            <w:tcW w:w="788" w:type="dxa"/>
            <w:tcBorders>
              <w:top w:val="nil"/>
              <w:bottom w:val="nil"/>
            </w:tcBorders>
            <w:shd w:val="clear" w:color="auto" w:fill="auto"/>
            <w:noWrap/>
            <w:vAlign w:val="center"/>
          </w:tcPr>
          <w:p w14:paraId="11E0C425" w14:textId="77777777" w:rsidR="00877BAB" w:rsidRPr="0030218A" w:rsidRDefault="00877BAB" w:rsidP="00877BAB">
            <w:pPr>
              <w:spacing w:after="0" w:line="340" w:lineRule="exact"/>
              <w:jc w:val="center"/>
              <w:rPr>
                <w:rFonts w:asciiTheme="minorHAnsi" w:hAnsiTheme="minorHAnsi"/>
                <w:color w:val="000000"/>
                <w:sz w:val="20"/>
                <w:szCs w:val="20"/>
                <w:lang w:val="en-US"/>
              </w:rPr>
            </w:pPr>
          </w:p>
        </w:tc>
        <w:tc>
          <w:tcPr>
            <w:tcW w:w="788" w:type="dxa"/>
            <w:tcBorders>
              <w:top w:val="nil"/>
              <w:bottom w:val="nil"/>
            </w:tcBorders>
            <w:shd w:val="clear" w:color="auto" w:fill="auto"/>
            <w:noWrap/>
            <w:vAlign w:val="center"/>
          </w:tcPr>
          <w:p w14:paraId="76D1741D" w14:textId="77777777" w:rsidR="00877BAB" w:rsidRPr="0030218A" w:rsidRDefault="00877BAB" w:rsidP="00877BAB">
            <w:pPr>
              <w:spacing w:after="0" w:line="340" w:lineRule="exact"/>
              <w:jc w:val="center"/>
              <w:rPr>
                <w:rFonts w:asciiTheme="minorHAnsi" w:hAnsiTheme="minorHAnsi"/>
                <w:color w:val="000000"/>
                <w:sz w:val="20"/>
                <w:szCs w:val="20"/>
                <w:lang w:val="en-US"/>
              </w:rPr>
            </w:pPr>
          </w:p>
        </w:tc>
        <w:tc>
          <w:tcPr>
            <w:tcW w:w="788" w:type="dxa"/>
            <w:tcBorders>
              <w:top w:val="nil"/>
              <w:bottom w:val="nil"/>
            </w:tcBorders>
            <w:shd w:val="clear" w:color="auto" w:fill="auto"/>
            <w:noWrap/>
            <w:vAlign w:val="center"/>
          </w:tcPr>
          <w:p w14:paraId="5C6070F9" w14:textId="77777777" w:rsidR="00877BAB" w:rsidRPr="0030218A" w:rsidRDefault="00877BAB" w:rsidP="00877BAB">
            <w:pPr>
              <w:spacing w:after="0" w:line="340" w:lineRule="exact"/>
              <w:jc w:val="center"/>
              <w:rPr>
                <w:rFonts w:asciiTheme="minorHAnsi" w:hAnsiTheme="minorHAnsi"/>
                <w:color w:val="000000"/>
                <w:sz w:val="20"/>
                <w:szCs w:val="20"/>
                <w:lang w:val="en-US"/>
              </w:rPr>
            </w:pPr>
          </w:p>
        </w:tc>
        <w:tc>
          <w:tcPr>
            <w:tcW w:w="788" w:type="dxa"/>
            <w:tcBorders>
              <w:top w:val="nil"/>
              <w:bottom w:val="nil"/>
            </w:tcBorders>
            <w:shd w:val="clear" w:color="auto" w:fill="auto"/>
            <w:noWrap/>
            <w:vAlign w:val="center"/>
          </w:tcPr>
          <w:p w14:paraId="7ADAE4C8" w14:textId="77777777" w:rsidR="00877BAB" w:rsidRPr="00AD0B5E" w:rsidRDefault="00877BAB" w:rsidP="00877BAB">
            <w:pPr>
              <w:spacing w:after="0" w:line="340" w:lineRule="exact"/>
              <w:jc w:val="center"/>
              <w:rPr>
                <w:rFonts w:asciiTheme="minorHAnsi" w:hAnsiTheme="minorHAnsi"/>
                <w:color w:val="000000"/>
                <w:sz w:val="20"/>
                <w:szCs w:val="20"/>
                <w:lang w:val="en-US"/>
              </w:rPr>
            </w:pPr>
          </w:p>
        </w:tc>
      </w:tr>
      <w:tr w:rsidR="00877BAB" w:rsidRPr="000223EE" w14:paraId="040AE7A6" w14:textId="77777777" w:rsidTr="00877BAB">
        <w:trPr>
          <w:trHeight w:val="20"/>
          <w:jc w:val="right"/>
        </w:trPr>
        <w:tc>
          <w:tcPr>
            <w:tcW w:w="1728" w:type="dxa"/>
            <w:tcBorders>
              <w:top w:val="nil"/>
              <w:bottom w:val="nil"/>
            </w:tcBorders>
            <w:shd w:val="clear" w:color="auto" w:fill="auto"/>
            <w:vAlign w:val="center"/>
          </w:tcPr>
          <w:p w14:paraId="0809F764" w14:textId="77777777" w:rsidR="00877BAB" w:rsidRPr="00553F90" w:rsidRDefault="00877BAB" w:rsidP="00877BAB">
            <w:pPr>
              <w:spacing w:after="0" w:line="340" w:lineRule="exact"/>
              <w:rPr>
                <w:rFonts w:asciiTheme="minorHAnsi" w:hAnsiTheme="minorHAnsi"/>
                <w:color w:val="000000"/>
                <w:sz w:val="20"/>
                <w:szCs w:val="20"/>
                <w:lang w:val="en-US"/>
              </w:rPr>
            </w:pPr>
            <w:r w:rsidRPr="00553F90">
              <w:rPr>
                <w:rFonts w:asciiTheme="minorHAnsi" w:hAnsiTheme="minorHAnsi"/>
                <w:color w:val="000000"/>
                <w:sz w:val="20"/>
                <w:szCs w:val="20"/>
                <w:lang w:val="en-US"/>
              </w:rPr>
              <w:t>11. TS Time 2</w:t>
            </w:r>
          </w:p>
        </w:tc>
        <w:tc>
          <w:tcPr>
            <w:tcW w:w="787" w:type="dxa"/>
            <w:tcBorders>
              <w:top w:val="nil"/>
              <w:bottom w:val="nil"/>
            </w:tcBorders>
            <w:shd w:val="clear" w:color="auto" w:fill="auto"/>
            <w:noWrap/>
            <w:vAlign w:val="center"/>
          </w:tcPr>
          <w:p w14:paraId="01647B38" w14:textId="77777777" w:rsidR="00877BAB" w:rsidRPr="000223EE" w:rsidRDefault="00877BAB" w:rsidP="00877BAB">
            <w:pPr>
              <w:spacing w:after="0" w:line="340" w:lineRule="exact"/>
              <w:jc w:val="center"/>
              <w:rPr>
                <w:rFonts w:asciiTheme="minorHAnsi" w:hAnsiTheme="minorHAnsi"/>
                <w:color w:val="000000"/>
                <w:sz w:val="20"/>
                <w:szCs w:val="20"/>
                <w:lang w:val="en-US"/>
              </w:rPr>
            </w:pPr>
            <w:r w:rsidRPr="000223EE">
              <w:rPr>
                <w:rFonts w:asciiTheme="minorHAnsi" w:hAnsiTheme="minorHAnsi"/>
                <w:color w:val="000000"/>
                <w:sz w:val="20"/>
                <w:szCs w:val="20"/>
                <w:lang w:val="en-US"/>
              </w:rPr>
              <w:t>.03</w:t>
            </w:r>
          </w:p>
        </w:tc>
        <w:tc>
          <w:tcPr>
            <w:tcW w:w="788" w:type="dxa"/>
            <w:tcBorders>
              <w:top w:val="nil"/>
              <w:bottom w:val="nil"/>
            </w:tcBorders>
            <w:shd w:val="clear" w:color="auto" w:fill="auto"/>
            <w:noWrap/>
            <w:vAlign w:val="center"/>
          </w:tcPr>
          <w:p w14:paraId="06D7B630" w14:textId="77777777" w:rsidR="00877BAB" w:rsidRPr="000223EE" w:rsidRDefault="00877BAB" w:rsidP="00877BAB">
            <w:pPr>
              <w:spacing w:after="0" w:line="340" w:lineRule="exact"/>
              <w:jc w:val="center"/>
              <w:rPr>
                <w:rFonts w:asciiTheme="minorHAnsi" w:hAnsiTheme="minorHAnsi"/>
                <w:color w:val="000000"/>
                <w:sz w:val="20"/>
                <w:szCs w:val="20"/>
                <w:lang w:val="en-US"/>
              </w:rPr>
            </w:pPr>
            <w:r w:rsidRPr="000223EE">
              <w:rPr>
                <w:rFonts w:asciiTheme="minorHAnsi" w:hAnsiTheme="minorHAnsi"/>
                <w:color w:val="000000"/>
                <w:sz w:val="20"/>
                <w:szCs w:val="20"/>
                <w:lang w:val="en-US"/>
              </w:rPr>
              <w:t>-.38</w:t>
            </w:r>
            <w:r w:rsidRPr="000223EE">
              <w:rPr>
                <w:rFonts w:asciiTheme="minorHAnsi" w:hAnsiTheme="minorHAnsi"/>
                <w:color w:val="000000"/>
                <w:sz w:val="20"/>
                <w:szCs w:val="20"/>
                <w:vertAlign w:val="superscript"/>
                <w:lang w:val="en-US"/>
              </w:rPr>
              <w:t>**</w:t>
            </w:r>
          </w:p>
        </w:tc>
        <w:tc>
          <w:tcPr>
            <w:tcW w:w="788" w:type="dxa"/>
            <w:tcBorders>
              <w:top w:val="nil"/>
              <w:bottom w:val="nil"/>
            </w:tcBorders>
            <w:shd w:val="clear" w:color="auto" w:fill="auto"/>
            <w:noWrap/>
            <w:vAlign w:val="center"/>
          </w:tcPr>
          <w:p w14:paraId="1C7514AD" w14:textId="77777777" w:rsidR="00877BAB" w:rsidRPr="000223EE" w:rsidRDefault="00877BAB" w:rsidP="00877BAB">
            <w:pPr>
              <w:spacing w:after="0" w:line="340" w:lineRule="exact"/>
              <w:jc w:val="center"/>
              <w:rPr>
                <w:rFonts w:asciiTheme="minorHAnsi" w:hAnsiTheme="minorHAnsi"/>
                <w:color w:val="000000"/>
                <w:sz w:val="20"/>
                <w:szCs w:val="20"/>
                <w:lang w:val="en-US"/>
              </w:rPr>
            </w:pPr>
            <w:r w:rsidRPr="000223EE">
              <w:rPr>
                <w:rFonts w:asciiTheme="minorHAnsi" w:hAnsiTheme="minorHAnsi"/>
                <w:color w:val="000000"/>
                <w:sz w:val="20"/>
                <w:szCs w:val="20"/>
                <w:lang w:val="en-US"/>
              </w:rPr>
              <w:t>.21</w:t>
            </w:r>
          </w:p>
        </w:tc>
        <w:tc>
          <w:tcPr>
            <w:tcW w:w="788" w:type="dxa"/>
            <w:tcBorders>
              <w:top w:val="nil"/>
              <w:bottom w:val="nil"/>
            </w:tcBorders>
            <w:shd w:val="clear" w:color="auto" w:fill="auto"/>
            <w:noWrap/>
            <w:vAlign w:val="center"/>
          </w:tcPr>
          <w:p w14:paraId="52A6E988" w14:textId="77777777" w:rsidR="00877BAB" w:rsidRPr="000223EE" w:rsidRDefault="00877BAB" w:rsidP="00877BAB">
            <w:pPr>
              <w:spacing w:after="0" w:line="340" w:lineRule="exact"/>
              <w:jc w:val="center"/>
              <w:rPr>
                <w:rFonts w:asciiTheme="minorHAnsi" w:hAnsiTheme="minorHAnsi"/>
                <w:color w:val="000000"/>
                <w:sz w:val="20"/>
                <w:szCs w:val="20"/>
                <w:lang w:val="en-US"/>
              </w:rPr>
            </w:pPr>
            <w:r w:rsidRPr="000223EE">
              <w:rPr>
                <w:rFonts w:asciiTheme="minorHAnsi" w:hAnsiTheme="minorHAnsi"/>
                <w:color w:val="000000"/>
                <w:sz w:val="20"/>
                <w:szCs w:val="20"/>
                <w:lang w:val="en-US"/>
              </w:rPr>
              <w:t>.28</w:t>
            </w:r>
            <w:r w:rsidRPr="000223EE">
              <w:rPr>
                <w:rFonts w:asciiTheme="minorHAnsi" w:hAnsiTheme="minorHAnsi"/>
                <w:color w:val="000000"/>
                <w:sz w:val="20"/>
                <w:szCs w:val="20"/>
                <w:vertAlign w:val="superscript"/>
                <w:lang w:val="en-US"/>
              </w:rPr>
              <w:t>*</w:t>
            </w:r>
          </w:p>
        </w:tc>
        <w:tc>
          <w:tcPr>
            <w:tcW w:w="788" w:type="dxa"/>
            <w:tcBorders>
              <w:top w:val="nil"/>
              <w:bottom w:val="nil"/>
            </w:tcBorders>
            <w:shd w:val="clear" w:color="auto" w:fill="auto"/>
            <w:noWrap/>
            <w:vAlign w:val="center"/>
          </w:tcPr>
          <w:p w14:paraId="6859DCD5" w14:textId="77777777" w:rsidR="00877BAB" w:rsidRPr="000223EE" w:rsidRDefault="00877BAB" w:rsidP="00877BAB">
            <w:pPr>
              <w:spacing w:after="0" w:line="340" w:lineRule="exact"/>
              <w:jc w:val="center"/>
              <w:rPr>
                <w:rFonts w:asciiTheme="minorHAnsi" w:hAnsiTheme="minorHAnsi"/>
                <w:color w:val="000000"/>
                <w:sz w:val="20"/>
                <w:szCs w:val="20"/>
                <w:lang w:val="en-US"/>
              </w:rPr>
            </w:pPr>
            <w:r w:rsidRPr="000223EE">
              <w:rPr>
                <w:rFonts w:asciiTheme="minorHAnsi" w:hAnsiTheme="minorHAnsi"/>
                <w:color w:val="000000"/>
                <w:sz w:val="20"/>
                <w:szCs w:val="20"/>
                <w:lang w:val="en-US"/>
              </w:rPr>
              <w:t>.31</w:t>
            </w:r>
            <w:r w:rsidRPr="000223EE">
              <w:rPr>
                <w:rFonts w:asciiTheme="minorHAnsi" w:hAnsiTheme="minorHAnsi"/>
                <w:color w:val="000000"/>
                <w:sz w:val="20"/>
                <w:szCs w:val="20"/>
                <w:vertAlign w:val="superscript"/>
                <w:lang w:val="en-US"/>
              </w:rPr>
              <w:t>**</w:t>
            </w:r>
          </w:p>
        </w:tc>
        <w:tc>
          <w:tcPr>
            <w:tcW w:w="787" w:type="dxa"/>
            <w:tcBorders>
              <w:top w:val="nil"/>
              <w:bottom w:val="nil"/>
            </w:tcBorders>
            <w:shd w:val="clear" w:color="auto" w:fill="auto"/>
            <w:noWrap/>
            <w:vAlign w:val="center"/>
          </w:tcPr>
          <w:p w14:paraId="5A79D867" w14:textId="77777777" w:rsidR="00877BAB" w:rsidRPr="000223EE" w:rsidRDefault="00877BAB" w:rsidP="00877BAB">
            <w:pPr>
              <w:spacing w:after="0" w:line="340" w:lineRule="exact"/>
              <w:jc w:val="center"/>
              <w:rPr>
                <w:rFonts w:asciiTheme="minorHAnsi" w:hAnsiTheme="minorHAnsi"/>
                <w:color w:val="000000"/>
                <w:sz w:val="20"/>
                <w:szCs w:val="20"/>
                <w:lang w:val="en-US"/>
              </w:rPr>
            </w:pPr>
            <w:r w:rsidRPr="000223EE">
              <w:rPr>
                <w:rFonts w:asciiTheme="minorHAnsi" w:hAnsiTheme="minorHAnsi"/>
                <w:color w:val="000000"/>
                <w:sz w:val="20"/>
                <w:szCs w:val="20"/>
                <w:lang w:val="en-US"/>
              </w:rPr>
              <w:t>.76</w:t>
            </w:r>
            <w:r w:rsidRPr="000223EE">
              <w:rPr>
                <w:rFonts w:asciiTheme="minorHAnsi" w:hAnsiTheme="minorHAnsi"/>
                <w:color w:val="000000"/>
                <w:sz w:val="20"/>
                <w:szCs w:val="20"/>
                <w:vertAlign w:val="superscript"/>
                <w:lang w:val="en-US"/>
              </w:rPr>
              <w:t>**</w:t>
            </w:r>
          </w:p>
        </w:tc>
        <w:tc>
          <w:tcPr>
            <w:tcW w:w="788" w:type="dxa"/>
            <w:tcBorders>
              <w:top w:val="nil"/>
              <w:bottom w:val="nil"/>
            </w:tcBorders>
            <w:shd w:val="clear" w:color="auto" w:fill="auto"/>
            <w:noWrap/>
            <w:vAlign w:val="center"/>
          </w:tcPr>
          <w:p w14:paraId="0F6FDF62" w14:textId="77777777" w:rsidR="00877BAB" w:rsidRPr="000223EE" w:rsidRDefault="00877BAB" w:rsidP="00877BAB">
            <w:pPr>
              <w:spacing w:after="0" w:line="340" w:lineRule="exact"/>
              <w:jc w:val="center"/>
              <w:rPr>
                <w:rFonts w:asciiTheme="minorHAnsi" w:hAnsiTheme="minorHAnsi"/>
                <w:color w:val="000000"/>
                <w:sz w:val="20"/>
                <w:szCs w:val="20"/>
                <w:lang w:val="en-US"/>
              </w:rPr>
            </w:pPr>
            <w:r w:rsidRPr="000223EE">
              <w:rPr>
                <w:rFonts w:asciiTheme="minorHAnsi" w:hAnsiTheme="minorHAnsi"/>
                <w:color w:val="000000"/>
                <w:sz w:val="20"/>
                <w:szCs w:val="20"/>
                <w:lang w:val="en-US"/>
              </w:rPr>
              <w:t>.81</w:t>
            </w:r>
            <w:r w:rsidRPr="000223EE">
              <w:rPr>
                <w:rFonts w:asciiTheme="minorHAnsi" w:hAnsiTheme="minorHAnsi"/>
                <w:color w:val="000000"/>
                <w:sz w:val="20"/>
                <w:szCs w:val="20"/>
                <w:vertAlign w:val="superscript"/>
                <w:lang w:val="en-US"/>
              </w:rPr>
              <w:t>**</w:t>
            </w:r>
          </w:p>
        </w:tc>
        <w:tc>
          <w:tcPr>
            <w:tcW w:w="788" w:type="dxa"/>
            <w:tcBorders>
              <w:top w:val="nil"/>
              <w:bottom w:val="nil"/>
            </w:tcBorders>
            <w:shd w:val="clear" w:color="auto" w:fill="auto"/>
            <w:noWrap/>
            <w:vAlign w:val="center"/>
          </w:tcPr>
          <w:p w14:paraId="51D95EA9" w14:textId="77777777" w:rsidR="00877BAB" w:rsidRPr="002538AA" w:rsidRDefault="00877BAB" w:rsidP="00877BAB">
            <w:pPr>
              <w:spacing w:after="0" w:line="340" w:lineRule="exact"/>
              <w:jc w:val="center"/>
              <w:rPr>
                <w:rFonts w:asciiTheme="minorHAnsi" w:hAnsiTheme="minorHAnsi"/>
                <w:color w:val="000000"/>
                <w:sz w:val="20"/>
                <w:szCs w:val="20"/>
                <w:lang w:val="en-US"/>
              </w:rPr>
            </w:pPr>
            <w:r w:rsidRPr="002538AA">
              <w:rPr>
                <w:rFonts w:asciiTheme="minorHAnsi" w:hAnsiTheme="minorHAnsi"/>
                <w:color w:val="000000"/>
                <w:sz w:val="20"/>
                <w:szCs w:val="20"/>
                <w:lang w:val="en-US"/>
              </w:rPr>
              <w:t>0.39</w:t>
            </w:r>
          </w:p>
        </w:tc>
        <w:tc>
          <w:tcPr>
            <w:tcW w:w="788" w:type="dxa"/>
            <w:tcBorders>
              <w:top w:val="nil"/>
              <w:bottom w:val="nil"/>
            </w:tcBorders>
            <w:shd w:val="clear" w:color="auto" w:fill="auto"/>
            <w:noWrap/>
            <w:vAlign w:val="center"/>
          </w:tcPr>
          <w:p w14:paraId="1B114BBE" w14:textId="77777777" w:rsidR="00877BAB" w:rsidRPr="002538AA" w:rsidRDefault="00877BAB" w:rsidP="00877BAB">
            <w:pPr>
              <w:spacing w:after="0" w:line="340" w:lineRule="exact"/>
              <w:jc w:val="center"/>
              <w:rPr>
                <w:rFonts w:asciiTheme="minorHAnsi" w:hAnsiTheme="minorHAnsi"/>
                <w:color w:val="000000"/>
                <w:sz w:val="20"/>
                <w:szCs w:val="20"/>
                <w:lang w:val="en-US"/>
              </w:rPr>
            </w:pPr>
            <w:r w:rsidRPr="002538AA">
              <w:rPr>
                <w:rFonts w:asciiTheme="minorHAnsi" w:hAnsiTheme="minorHAnsi"/>
                <w:color w:val="000000"/>
                <w:sz w:val="20"/>
                <w:szCs w:val="20"/>
                <w:lang w:val="en-US"/>
              </w:rPr>
              <w:t>.57</w:t>
            </w:r>
            <w:r w:rsidRPr="002538AA">
              <w:rPr>
                <w:rFonts w:asciiTheme="minorHAnsi" w:hAnsiTheme="minorHAnsi"/>
                <w:color w:val="000000"/>
                <w:sz w:val="20"/>
                <w:szCs w:val="20"/>
                <w:vertAlign w:val="superscript"/>
                <w:lang w:val="en-US"/>
              </w:rPr>
              <w:t>**</w:t>
            </w:r>
          </w:p>
        </w:tc>
        <w:tc>
          <w:tcPr>
            <w:tcW w:w="788" w:type="dxa"/>
            <w:tcBorders>
              <w:top w:val="nil"/>
              <w:bottom w:val="nil"/>
            </w:tcBorders>
            <w:shd w:val="clear" w:color="auto" w:fill="auto"/>
            <w:noWrap/>
            <w:vAlign w:val="center"/>
          </w:tcPr>
          <w:p w14:paraId="01938368" w14:textId="77777777" w:rsidR="00877BAB" w:rsidRPr="0030218A" w:rsidRDefault="00877BAB" w:rsidP="00877BAB">
            <w:pPr>
              <w:spacing w:after="0" w:line="340" w:lineRule="exact"/>
              <w:jc w:val="center"/>
              <w:rPr>
                <w:rFonts w:asciiTheme="minorHAnsi" w:hAnsiTheme="minorHAnsi"/>
                <w:color w:val="000000"/>
                <w:sz w:val="20"/>
                <w:szCs w:val="20"/>
                <w:lang w:val="en-US"/>
              </w:rPr>
            </w:pPr>
            <w:r w:rsidRPr="0030218A">
              <w:rPr>
                <w:rFonts w:asciiTheme="minorHAnsi" w:hAnsiTheme="minorHAnsi"/>
                <w:color w:val="000000"/>
                <w:sz w:val="20"/>
                <w:szCs w:val="20"/>
                <w:lang w:val="en-US"/>
              </w:rPr>
              <w:t>.79</w:t>
            </w:r>
            <w:r w:rsidRPr="0030218A">
              <w:rPr>
                <w:rFonts w:asciiTheme="minorHAnsi" w:hAnsiTheme="minorHAnsi"/>
                <w:color w:val="000000"/>
                <w:sz w:val="20"/>
                <w:szCs w:val="20"/>
                <w:vertAlign w:val="superscript"/>
                <w:lang w:val="en-US"/>
              </w:rPr>
              <w:t>**</w:t>
            </w:r>
          </w:p>
        </w:tc>
        <w:tc>
          <w:tcPr>
            <w:tcW w:w="787" w:type="dxa"/>
            <w:tcBorders>
              <w:top w:val="nil"/>
              <w:bottom w:val="nil"/>
            </w:tcBorders>
            <w:shd w:val="clear" w:color="auto" w:fill="auto"/>
            <w:noWrap/>
            <w:vAlign w:val="center"/>
          </w:tcPr>
          <w:p w14:paraId="1324D5EC" w14:textId="77777777" w:rsidR="00877BAB" w:rsidRPr="0030218A" w:rsidRDefault="00877BAB" w:rsidP="00877BAB">
            <w:pPr>
              <w:spacing w:after="0" w:line="340" w:lineRule="exact"/>
              <w:jc w:val="center"/>
              <w:rPr>
                <w:rFonts w:asciiTheme="minorHAnsi" w:hAnsiTheme="minorHAnsi"/>
                <w:color w:val="000000"/>
                <w:sz w:val="20"/>
                <w:szCs w:val="20"/>
                <w:lang w:val="en-US"/>
              </w:rPr>
            </w:pPr>
            <w:r w:rsidRPr="0030218A">
              <w:rPr>
                <w:rFonts w:asciiTheme="minorHAnsi" w:hAnsiTheme="minorHAnsi"/>
                <w:color w:val="000000"/>
                <w:sz w:val="20"/>
                <w:szCs w:val="20"/>
                <w:lang w:val="en-US"/>
              </w:rPr>
              <w:t>-</w:t>
            </w:r>
          </w:p>
        </w:tc>
        <w:tc>
          <w:tcPr>
            <w:tcW w:w="788" w:type="dxa"/>
            <w:tcBorders>
              <w:top w:val="nil"/>
              <w:bottom w:val="nil"/>
            </w:tcBorders>
            <w:shd w:val="clear" w:color="auto" w:fill="auto"/>
            <w:noWrap/>
            <w:vAlign w:val="center"/>
          </w:tcPr>
          <w:p w14:paraId="072F6780" w14:textId="77777777" w:rsidR="00877BAB" w:rsidRPr="0030218A" w:rsidRDefault="00877BAB" w:rsidP="00877BAB">
            <w:pPr>
              <w:spacing w:after="0" w:line="340" w:lineRule="exact"/>
              <w:jc w:val="center"/>
              <w:rPr>
                <w:rFonts w:asciiTheme="minorHAnsi" w:hAnsiTheme="minorHAnsi"/>
                <w:color w:val="000000"/>
                <w:sz w:val="20"/>
                <w:szCs w:val="20"/>
                <w:lang w:val="en-US"/>
              </w:rPr>
            </w:pPr>
          </w:p>
        </w:tc>
        <w:tc>
          <w:tcPr>
            <w:tcW w:w="788" w:type="dxa"/>
            <w:tcBorders>
              <w:top w:val="nil"/>
              <w:bottom w:val="nil"/>
            </w:tcBorders>
            <w:shd w:val="clear" w:color="auto" w:fill="auto"/>
            <w:noWrap/>
            <w:vAlign w:val="center"/>
          </w:tcPr>
          <w:p w14:paraId="40A25149" w14:textId="77777777" w:rsidR="00877BAB" w:rsidRPr="00AD0B5E" w:rsidRDefault="00877BAB" w:rsidP="00877BAB">
            <w:pPr>
              <w:spacing w:after="0" w:line="340" w:lineRule="exact"/>
              <w:jc w:val="center"/>
              <w:rPr>
                <w:rFonts w:asciiTheme="minorHAnsi" w:hAnsiTheme="minorHAnsi"/>
                <w:color w:val="000000"/>
                <w:sz w:val="20"/>
                <w:szCs w:val="20"/>
                <w:lang w:val="en-US"/>
              </w:rPr>
            </w:pPr>
          </w:p>
        </w:tc>
        <w:tc>
          <w:tcPr>
            <w:tcW w:w="788" w:type="dxa"/>
            <w:tcBorders>
              <w:top w:val="nil"/>
              <w:bottom w:val="nil"/>
            </w:tcBorders>
            <w:shd w:val="clear" w:color="auto" w:fill="auto"/>
            <w:noWrap/>
            <w:vAlign w:val="center"/>
          </w:tcPr>
          <w:p w14:paraId="2E152D0F" w14:textId="77777777" w:rsidR="00877BAB" w:rsidRPr="00CD129C" w:rsidRDefault="00877BAB" w:rsidP="00877BAB">
            <w:pPr>
              <w:spacing w:after="0" w:line="340" w:lineRule="exact"/>
              <w:jc w:val="center"/>
              <w:rPr>
                <w:rFonts w:asciiTheme="minorHAnsi" w:hAnsiTheme="minorHAnsi"/>
                <w:color w:val="000000"/>
                <w:sz w:val="20"/>
                <w:szCs w:val="20"/>
                <w:lang w:val="en-US"/>
              </w:rPr>
            </w:pPr>
          </w:p>
        </w:tc>
        <w:tc>
          <w:tcPr>
            <w:tcW w:w="788" w:type="dxa"/>
            <w:tcBorders>
              <w:top w:val="nil"/>
              <w:bottom w:val="nil"/>
            </w:tcBorders>
            <w:shd w:val="clear" w:color="auto" w:fill="auto"/>
            <w:noWrap/>
            <w:vAlign w:val="center"/>
          </w:tcPr>
          <w:p w14:paraId="7D6E57D6" w14:textId="77777777" w:rsidR="00877BAB" w:rsidRPr="00CD129C" w:rsidRDefault="00877BAB" w:rsidP="00877BAB">
            <w:pPr>
              <w:spacing w:after="0" w:line="340" w:lineRule="exact"/>
              <w:jc w:val="center"/>
              <w:rPr>
                <w:rFonts w:asciiTheme="minorHAnsi" w:hAnsiTheme="minorHAnsi"/>
                <w:color w:val="000000"/>
                <w:sz w:val="20"/>
                <w:szCs w:val="20"/>
                <w:lang w:val="en-US"/>
              </w:rPr>
            </w:pPr>
          </w:p>
        </w:tc>
        <w:tc>
          <w:tcPr>
            <w:tcW w:w="788" w:type="dxa"/>
            <w:tcBorders>
              <w:top w:val="nil"/>
              <w:bottom w:val="nil"/>
            </w:tcBorders>
            <w:shd w:val="clear" w:color="auto" w:fill="auto"/>
            <w:noWrap/>
            <w:vAlign w:val="center"/>
          </w:tcPr>
          <w:p w14:paraId="0D2CA036" w14:textId="77777777" w:rsidR="00877BAB" w:rsidRPr="00CD129C" w:rsidRDefault="00877BAB" w:rsidP="00877BAB">
            <w:pPr>
              <w:spacing w:after="0" w:line="340" w:lineRule="exact"/>
              <w:jc w:val="center"/>
              <w:rPr>
                <w:rFonts w:asciiTheme="minorHAnsi" w:hAnsiTheme="minorHAnsi"/>
                <w:color w:val="000000"/>
                <w:sz w:val="20"/>
                <w:szCs w:val="20"/>
                <w:lang w:val="en-US"/>
              </w:rPr>
            </w:pPr>
          </w:p>
        </w:tc>
      </w:tr>
      <w:tr w:rsidR="00877BAB" w:rsidRPr="000223EE" w14:paraId="142677DA" w14:textId="77777777" w:rsidTr="00877BAB">
        <w:trPr>
          <w:trHeight w:val="20"/>
          <w:jc w:val="right"/>
        </w:trPr>
        <w:tc>
          <w:tcPr>
            <w:tcW w:w="1728" w:type="dxa"/>
            <w:tcBorders>
              <w:top w:val="nil"/>
              <w:bottom w:val="nil"/>
            </w:tcBorders>
            <w:shd w:val="clear" w:color="auto" w:fill="auto"/>
            <w:vAlign w:val="center"/>
          </w:tcPr>
          <w:p w14:paraId="31658F57" w14:textId="77777777" w:rsidR="00877BAB" w:rsidRPr="00553F90" w:rsidRDefault="00877BAB" w:rsidP="00877BAB">
            <w:pPr>
              <w:spacing w:after="0" w:line="340" w:lineRule="exact"/>
              <w:rPr>
                <w:rFonts w:asciiTheme="minorHAnsi" w:hAnsiTheme="minorHAnsi"/>
                <w:color w:val="000000"/>
                <w:sz w:val="20"/>
                <w:szCs w:val="20"/>
                <w:lang w:val="en-US"/>
              </w:rPr>
            </w:pPr>
            <w:r w:rsidRPr="00553F90">
              <w:rPr>
                <w:rFonts w:asciiTheme="minorHAnsi" w:hAnsiTheme="minorHAnsi"/>
                <w:color w:val="000000"/>
                <w:sz w:val="20"/>
                <w:szCs w:val="20"/>
                <w:lang w:val="en-US"/>
              </w:rPr>
              <w:t>12. TS Time 3</w:t>
            </w:r>
          </w:p>
        </w:tc>
        <w:tc>
          <w:tcPr>
            <w:tcW w:w="787" w:type="dxa"/>
            <w:tcBorders>
              <w:top w:val="nil"/>
              <w:bottom w:val="nil"/>
            </w:tcBorders>
            <w:shd w:val="clear" w:color="auto" w:fill="auto"/>
            <w:noWrap/>
            <w:vAlign w:val="center"/>
          </w:tcPr>
          <w:p w14:paraId="2038D3C0" w14:textId="77777777" w:rsidR="00877BAB" w:rsidRPr="000223EE" w:rsidRDefault="00877BAB" w:rsidP="00877BAB">
            <w:pPr>
              <w:spacing w:after="0" w:line="340" w:lineRule="exact"/>
              <w:jc w:val="center"/>
              <w:rPr>
                <w:rFonts w:asciiTheme="minorHAnsi" w:hAnsiTheme="minorHAnsi"/>
                <w:color w:val="000000"/>
                <w:sz w:val="20"/>
                <w:szCs w:val="20"/>
                <w:lang w:val="en-US"/>
              </w:rPr>
            </w:pPr>
            <w:r w:rsidRPr="000223EE">
              <w:rPr>
                <w:rFonts w:asciiTheme="minorHAnsi" w:hAnsiTheme="minorHAnsi"/>
                <w:color w:val="000000"/>
                <w:sz w:val="20"/>
                <w:szCs w:val="20"/>
                <w:lang w:val="en-US"/>
              </w:rPr>
              <w:t>.03</w:t>
            </w:r>
          </w:p>
        </w:tc>
        <w:tc>
          <w:tcPr>
            <w:tcW w:w="788" w:type="dxa"/>
            <w:tcBorders>
              <w:top w:val="nil"/>
              <w:bottom w:val="nil"/>
            </w:tcBorders>
            <w:shd w:val="clear" w:color="auto" w:fill="auto"/>
            <w:noWrap/>
            <w:vAlign w:val="center"/>
          </w:tcPr>
          <w:p w14:paraId="3F2029BE" w14:textId="77777777" w:rsidR="00877BAB" w:rsidRPr="000223EE" w:rsidRDefault="00877BAB" w:rsidP="00877BAB">
            <w:pPr>
              <w:spacing w:after="0" w:line="340" w:lineRule="exact"/>
              <w:jc w:val="center"/>
              <w:rPr>
                <w:rFonts w:asciiTheme="minorHAnsi" w:hAnsiTheme="minorHAnsi"/>
                <w:color w:val="000000"/>
                <w:sz w:val="20"/>
                <w:szCs w:val="20"/>
                <w:lang w:val="en-US"/>
              </w:rPr>
            </w:pPr>
            <w:r w:rsidRPr="000223EE">
              <w:rPr>
                <w:rFonts w:asciiTheme="minorHAnsi" w:hAnsiTheme="minorHAnsi"/>
                <w:color w:val="000000"/>
                <w:sz w:val="20"/>
                <w:szCs w:val="20"/>
                <w:lang w:val="en-US"/>
              </w:rPr>
              <w:t>-.33</w:t>
            </w:r>
            <w:r w:rsidRPr="000223EE">
              <w:rPr>
                <w:rFonts w:asciiTheme="minorHAnsi" w:hAnsiTheme="minorHAnsi"/>
                <w:color w:val="000000"/>
                <w:sz w:val="20"/>
                <w:szCs w:val="20"/>
                <w:vertAlign w:val="superscript"/>
                <w:lang w:val="en-US"/>
              </w:rPr>
              <w:t>**</w:t>
            </w:r>
          </w:p>
        </w:tc>
        <w:tc>
          <w:tcPr>
            <w:tcW w:w="788" w:type="dxa"/>
            <w:tcBorders>
              <w:top w:val="nil"/>
              <w:bottom w:val="nil"/>
            </w:tcBorders>
            <w:shd w:val="clear" w:color="auto" w:fill="auto"/>
            <w:noWrap/>
            <w:vAlign w:val="center"/>
          </w:tcPr>
          <w:p w14:paraId="4FEE3251" w14:textId="77777777" w:rsidR="00877BAB" w:rsidRPr="000223EE" w:rsidRDefault="00877BAB" w:rsidP="00877BAB">
            <w:pPr>
              <w:spacing w:after="0" w:line="340" w:lineRule="exact"/>
              <w:jc w:val="center"/>
              <w:rPr>
                <w:rFonts w:asciiTheme="minorHAnsi" w:hAnsiTheme="minorHAnsi"/>
                <w:color w:val="000000"/>
                <w:sz w:val="20"/>
                <w:szCs w:val="20"/>
                <w:lang w:val="en-US"/>
              </w:rPr>
            </w:pPr>
            <w:r w:rsidRPr="000223EE">
              <w:rPr>
                <w:rFonts w:asciiTheme="minorHAnsi" w:hAnsiTheme="minorHAnsi"/>
                <w:color w:val="000000"/>
                <w:sz w:val="20"/>
                <w:szCs w:val="20"/>
                <w:lang w:val="en-US"/>
              </w:rPr>
              <w:t>.15</w:t>
            </w:r>
          </w:p>
        </w:tc>
        <w:tc>
          <w:tcPr>
            <w:tcW w:w="788" w:type="dxa"/>
            <w:tcBorders>
              <w:top w:val="nil"/>
              <w:bottom w:val="nil"/>
            </w:tcBorders>
            <w:shd w:val="clear" w:color="auto" w:fill="auto"/>
            <w:noWrap/>
            <w:vAlign w:val="center"/>
          </w:tcPr>
          <w:p w14:paraId="000D3488" w14:textId="77777777" w:rsidR="00877BAB" w:rsidRPr="000223EE" w:rsidRDefault="00877BAB" w:rsidP="00877BAB">
            <w:pPr>
              <w:spacing w:after="0" w:line="340" w:lineRule="exact"/>
              <w:jc w:val="center"/>
              <w:rPr>
                <w:rFonts w:asciiTheme="minorHAnsi" w:hAnsiTheme="minorHAnsi"/>
                <w:color w:val="000000"/>
                <w:sz w:val="20"/>
                <w:szCs w:val="20"/>
                <w:lang w:val="en-US"/>
              </w:rPr>
            </w:pPr>
            <w:r w:rsidRPr="000223EE">
              <w:rPr>
                <w:rFonts w:asciiTheme="minorHAnsi" w:hAnsiTheme="minorHAnsi"/>
                <w:color w:val="000000"/>
                <w:sz w:val="20"/>
                <w:szCs w:val="20"/>
                <w:lang w:val="en-US"/>
              </w:rPr>
              <w:t>.31</w:t>
            </w:r>
            <w:r w:rsidRPr="000223EE">
              <w:rPr>
                <w:rFonts w:asciiTheme="minorHAnsi" w:hAnsiTheme="minorHAnsi"/>
                <w:color w:val="000000"/>
                <w:sz w:val="20"/>
                <w:szCs w:val="20"/>
                <w:vertAlign w:val="superscript"/>
                <w:lang w:val="en-US"/>
              </w:rPr>
              <w:t>**</w:t>
            </w:r>
          </w:p>
        </w:tc>
        <w:tc>
          <w:tcPr>
            <w:tcW w:w="788" w:type="dxa"/>
            <w:tcBorders>
              <w:top w:val="nil"/>
              <w:bottom w:val="nil"/>
            </w:tcBorders>
            <w:shd w:val="clear" w:color="auto" w:fill="auto"/>
            <w:noWrap/>
            <w:vAlign w:val="center"/>
          </w:tcPr>
          <w:p w14:paraId="15A4F67D" w14:textId="77777777" w:rsidR="00877BAB" w:rsidRPr="000223EE" w:rsidRDefault="00877BAB" w:rsidP="00877BAB">
            <w:pPr>
              <w:spacing w:after="0" w:line="340" w:lineRule="exact"/>
              <w:jc w:val="center"/>
              <w:rPr>
                <w:rFonts w:asciiTheme="minorHAnsi" w:hAnsiTheme="minorHAnsi"/>
                <w:color w:val="000000"/>
                <w:sz w:val="20"/>
                <w:szCs w:val="20"/>
                <w:lang w:val="en-US"/>
              </w:rPr>
            </w:pPr>
            <w:r w:rsidRPr="000223EE">
              <w:rPr>
                <w:rFonts w:asciiTheme="minorHAnsi" w:hAnsiTheme="minorHAnsi"/>
                <w:color w:val="000000"/>
                <w:sz w:val="20"/>
                <w:szCs w:val="20"/>
                <w:lang w:val="en-US"/>
              </w:rPr>
              <w:t>.27</w:t>
            </w:r>
            <w:r w:rsidRPr="000223EE">
              <w:rPr>
                <w:rFonts w:asciiTheme="minorHAnsi" w:hAnsiTheme="minorHAnsi"/>
                <w:color w:val="000000"/>
                <w:sz w:val="20"/>
                <w:szCs w:val="20"/>
                <w:vertAlign w:val="superscript"/>
                <w:lang w:val="en-US"/>
              </w:rPr>
              <w:t>*</w:t>
            </w:r>
          </w:p>
        </w:tc>
        <w:tc>
          <w:tcPr>
            <w:tcW w:w="787" w:type="dxa"/>
            <w:tcBorders>
              <w:top w:val="nil"/>
              <w:bottom w:val="nil"/>
            </w:tcBorders>
            <w:shd w:val="clear" w:color="auto" w:fill="auto"/>
            <w:noWrap/>
            <w:vAlign w:val="center"/>
          </w:tcPr>
          <w:p w14:paraId="7490CBE9" w14:textId="77777777" w:rsidR="00877BAB" w:rsidRPr="000223EE" w:rsidRDefault="00877BAB" w:rsidP="00877BAB">
            <w:pPr>
              <w:spacing w:after="0" w:line="340" w:lineRule="exact"/>
              <w:jc w:val="center"/>
              <w:rPr>
                <w:rFonts w:asciiTheme="minorHAnsi" w:hAnsiTheme="minorHAnsi"/>
                <w:color w:val="000000"/>
                <w:sz w:val="20"/>
                <w:szCs w:val="20"/>
                <w:lang w:val="en-US"/>
              </w:rPr>
            </w:pPr>
            <w:r w:rsidRPr="000223EE">
              <w:rPr>
                <w:rFonts w:asciiTheme="minorHAnsi" w:hAnsiTheme="minorHAnsi"/>
                <w:color w:val="000000"/>
                <w:sz w:val="20"/>
                <w:szCs w:val="20"/>
                <w:lang w:val="en-US"/>
              </w:rPr>
              <w:t>.66</w:t>
            </w:r>
            <w:r w:rsidRPr="000223EE">
              <w:rPr>
                <w:rFonts w:asciiTheme="minorHAnsi" w:hAnsiTheme="minorHAnsi"/>
                <w:color w:val="000000"/>
                <w:sz w:val="20"/>
                <w:szCs w:val="20"/>
                <w:vertAlign w:val="superscript"/>
                <w:lang w:val="en-US"/>
              </w:rPr>
              <w:t>**</w:t>
            </w:r>
          </w:p>
        </w:tc>
        <w:tc>
          <w:tcPr>
            <w:tcW w:w="788" w:type="dxa"/>
            <w:tcBorders>
              <w:top w:val="nil"/>
              <w:bottom w:val="nil"/>
            </w:tcBorders>
            <w:shd w:val="clear" w:color="auto" w:fill="auto"/>
            <w:noWrap/>
            <w:vAlign w:val="center"/>
          </w:tcPr>
          <w:p w14:paraId="71EBA179" w14:textId="77777777" w:rsidR="00877BAB" w:rsidRPr="000223EE" w:rsidRDefault="00877BAB" w:rsidP="00877BAB">
            <w:pPr>
              <w:spacing w:after="0" w:line="340" w:lineRule="exact"/>
              <w:jc w:val="center"/>
              <w:rPr>
                <w:rFonts w:asciiTheme="minorHAnsi" w:hAnsiTheme="minorHAnsi"/>
                <w:color w:val="000000"/>
                <w:sz w:val="20"/>
                <w:szCs w:val="20"/>
                <w:lang w:val="en-US"/>
              </w:rPr>
            </w:pPr>
            <w:r w:rsidRPr="000223EE">
              <w:rPr>
                <w:rFonts w:asciiTheme="minorHAnsi" w:hAnsiTheme="minorHAnsi"/>
                <w:color w:val="000000"/>
                <w:sz w:val="20"/>
                <w:szCs w:val="20"/>
                <w:lang w:val="en-US"/>
              </w:rPr>
              <w:t>.77</w:t>
            </w:r>
            <w:r w:rsidRPr="000223EE">
              <w:rPr>
                <w:rFonts w:asciiTheme="minorHAnsi" w:hAnsiTheme="minorHAnsi"/>
                <w:color w:val="000000"/>
                <w:sz w:val="20"/>
                <w:szCs w:val="20"/>
                <w:vertAlign w:val="superscript"/>
                <w:lang w:val="en-US"/>
              </w:rPr>
              <w:t>**</w:t>
            </w:r>
          </w:p>
        </w:tc>
        <w:tc>
          <w:tcPr>
            <w:tcW w:w="788" w:type="dxa"/>
            <w:tcBorders>
              <w:top w:val="nil"/>
              <w:bottom w:val="nil"/>
            </w:tcBorders>
            <w:shd w:val="clear" w:color="auto" w:fill="auto"/>
            <w:noWrap/>
            <w:vAlign w:val="center"/>
          </w:tcPr>
          <w:p w14:paraId="779E8216" w14:textId="77777777" w:rsidR="00877BAB" w:rsidRPr="002538AA" w:rsidRDefault="00877BAB" w:rsidP="00877BAB">
            <w:pPr>
              <w:spacing w:after="0" w:line="340" w:lineRule="exact"/>
              <w:jc w:val="center"/>
              <w:rPr>
                <w:rFonts w:asciiTheme="minorHAnsi" w:hAnsiTheme="minorHAnsi"/>
                <w:color w:val="000000"/>
                <w:sz w:val="20"/>
                <w:szCs w:val="20"/>
                <w:lang w:val="en-US"/>
              </w:rPr>
            </w:pPr>
            <w:r w:rsidRPr="002538AA">
              <w:rPr>
                <w:rFonts w:asciiTheme="minorHAnsi" w:hAnsiTheme="minorHAnsi"/>
                <w:color w:val="000000"/>
                <w:sz w:val="20"/>
                <w:szCs w:val="20"/>
                <w:lang w:val="en-US"/>
              </w:rPr>
              <w:t>.50</w:t>
            </w:r>
            <w:r w:rsidRPr="002538AA">
              <w:rPr>
                <w:rFonts w:asciiTheme="minorHAnsi" w:hAnsiTheme="minorHAnsi"/>
                <w:color w:val="000000"/>
                <w:sz w:val="20"/>
                <w:szCs w:val="20"/>
                <w:vertAlign w:val="superscript"/>
                <w:lang w:val="en-US"/>
              </w:rPr>
              <w:t>**</w:t>
            </w:r>
          </w:p>
        </w:tc>
        <w:tc>
          <w:tcPr>
            <w:tcW w:w="788" w:type="dxa"/>
            <w:tcBorders>
              <w:top w:val="nil"/>
              <w:bottom w:val="nil"/>
            </w:tcBorders>
            <w:shd w:val="clear" w:color="auto" w:fill="auto"/>
            <w:noWrap/>
            <w:vAlign w:val="center"/>
          </w:tcPr>
          <w:p w14:paraId="16F16BD3" w14:textId="77777777" w:rsidR="00877BAB" w:rsidRPr="002538AA" w:rsidRDefault="00877BAB" w:rsidP="00877BAB">
            <w:pPr>
              <w:spacing w:after="0" w:line="340" w:lineRule="exact"/>
              <w:jc w:val="center"/>
              <w:rPr>
                <w:rFonts w:asciiTheme="minorHAnsi" w:hAnsiTheme="minorHAnsi"/>
                <w:color w:val="000000"/>
                <w:sz w:val="20"/>
                <w:szCs w:val="20"/>
                <w:lang w:val="en-US"/>
              </w:rPr>
            </w:pPr>
            <w:r w:rsidRPr="002538AA">
              <w:rPr>
                <w:rFonts w:asciiTheme="minorHAnsi" w:hAnsiTheme="minorHAnsi"/>
                <w:color w:val="000000"/>
                <w:sz w:val="20"/>
                <w:szCs w:val="20"/>
                <w:lang w:val="en-US"/>
              </w:rPr>
              <w:t>.67</w:t>
            </w:r>
            <w:r w:rsidRPr="002538AA">
              <w:rPr>
                <w:rFonts w:asciiTheme="minorHAnsi" w:hAnsiTheme="minorHAnsi"/>
                <w:color w:val="000000"/>
                <w:sz w:val="20"/>
                <w:szCs w:val="20"/>
                <w:vertAlign w:val="superscript"/>
                <w:lang w:val="en-US"/>
              </w:rPr>
              <w:t>**</w:t>
            </w:r>
          </w:p>
        </w:tc>
        <w:tc>
          <w:tcPr>
            <w:tcW w:w="788" w:type="dxa"/>
            <w:tcBorders>
              <w:top w:val="nil"/>
              <w:bottom w:val="nil"/>
            </w:tcBorders>
            <w:shd w:val="clear" w:color="auto" w:fill="auto"/>
            <w:noWrap/>
            <w:vAlign w:val="center"/>
          </w:tcPr>
          <w:p w14:paraId="46C22B6F" w14:textId="77777777" w:rsidR="00877BAB" w:rsidRPr="0030218A" w:rsidRDefault="00877BAB" w:rsidP="00877BAB">
            <w:pPr>
              <w:spacing w:after="0" w:line="340" w:lineRule="exact"/>
              <w:jc w:val="center"/>
              <w:rPr>
                <w:rFonts w:asciiTheme="minorHAnsi" w:hAnsiTheme="minorHAnsi"/>
                <w:color w:val="000000"/>
                <w:sz w:val="20"/>
                <w:szCs w:val="20"/>
                <w:lang w:val="en-US"/>
              </w:rPr>
            </w:pPr>
            <w:r w:rsidRPr="0030218A">
              <w:rPr>
                <w:rFonts w:asciiTheme="minorHAnsi" w:hAnsiTheme="minorHAnsi"/>
                <w:color w:val="000000"/>
                <w:sz w:val="20"/>
                <w:szCs w:val="20"/>
                <w:lang w:val="en-US"/>
              </w:rPr>
              <w:t>.70</w:t>
            </w:r>
            <w:r w:rsidRPr="0030218A">
              <w:rPr>
                <w:rFonts w:asciiTheme="minorHAnsi" w:hAnsiTheme="minorHAnsi"/>
                <w:color w:val="000000"/>
                <w:sz w:val="20"/>
                <w:szCs w:val="20"/>
                <w:vertAlign w:val="superscript"/>
                <w:lang w:val="en-US"/>
              </w:rPr>
              <w:t>**</w:t>
            </w:r>
          </w:p>
        </w:tc>
        <w:tc>
          <w:tcPr>
            <w:tcW w:w="787" w:type="dxa"/>
            <w:tcBorders>
              <w:top w:val="nil"/>
              <w:bottom w:val="nil"/>
            </w:tcBorders>
            <w:shd w:val="clear" w:color="auto" w:fill="auto"/>
            <w:noWrap/>
            <w:vAlign w:val="center"/>
          </w:tcPr>
          <w:p w14:paraId="22091A7E" w14:textId="77777777" w:rsidR="00877BAB" w:rsidRPr="00AD0B5E" w:rsidRDefault="00877BAB" w:rsidP="00877BAB">
            <w:pPr>
              <w:spacing w:after="0" w:line="340" w:lineRule="exact"/>
              <w:jc w:val="center"/>
              <w:rPr>
                <w:rFonts w:asciiTheme="minorHAnsi" w:hAnsiTheme="minorHAnsi"/>
                <w:color w:val="000000"/>
                <w:sz w:val="20"/>
                <w:szCs w:val="20"/>
                <w:lang w:val="en-US"/>
              </w:rPr>
            </w:pPr>
            <w:r w:rsidRPr="0030218A">
              <w:rPr>
                <w:rFonts w:asciiTheme="minorHAnsi" w:hAnsiTheme="minorHAnsi"/>
                <w:color w:val="000000"/>
                <w:sz w:val="20"/>
                <w:szCs w:val="20"/>
                <w:lang w:val="en-US"/>
              </w:rPr>
              <w:t>.82</w:t>
            </w:r>
            <w:r w:rsidRPr="00AD0B5E">
              <w:rPr>
                <w:rFonts w:asciiTheme="minorHAnsi" w:hAnsiTheme="minorHAnsi"/>
                <w:color w:val="000000"/>
                <w:sz w:val="20"/>
                <w:szCs w:val="20"/>
                <w:vertAlign w:val="superscript"/>
                <w:lang w:val="en-US"/>
              </w:rPr>
              <w:t>**</w:t>
            </w:r>
          </w:p>
        </w:tc>
        <w:tc>
          <w:tcPr>
            <w:tcW w:w="788" w:type="dxa"/>
            <w:tcBorders>
              <w:top w:val="nil"/>
              <w:bottom w:val="nil"/>
            </w:tcBorders>
            <w:shd w:val="clear" w:color="auto" w:fill="auto"/>
            <w:noWrap/>
            <w:vAlign w:val="center"/>
          </w:tcPr>
          <w:p w14:paraId="524A0D18" w14:textId="77777777" w:rsidR="00877BAB" w:rsidRPr="00CD129C" w:rsidRDefault="00877BAB" w:rsidP="00877BAB">
            <w:pPr>
              <w:spacing w:after="0" w:line="340" w:lineRule="exact"/>
              <w:jc w:val="center"/>
              <w:rPr>
                <w:rFonts w:asciiTheme="minorHAnsi" w:hAnsiTheme="minorHAnsi"/>
                <w:color w:val="000000"/>
                <w:sz w:val="20"/>
                <w:szCs w:val="20"/>
                <w:lang w:val="en-US"/>
              </w:rPr>
            </w:pPr>
            <w:r w:rsidRPr="00CD129C">
              <w:rPr>
                <w:rFonts w:asciiTheme="minorHAnsi" w:hAnsiTheme="minorHAnsi"/>
                <w:color w:val="000000"/>
                <w:sz w:val="20"/>
                <w:szCs w:val="20"/>
                <w:lang w:val="en-US"/>
              </w:rPr>
              <w:t>-</w:t>
            </w:r>
          </w:p>
        </w:tc>
        <w:tc>
          <w:tcPr>
            <w:tcW w:w="788" w:type="dxa"/>
            <w:tcBorders>
              <w:top w:val="nil"/>
              <w:bottom w:val="nil"/>
            </w:tcBorders>
            <w:shd w:val="clear" w:color="auto" w:fill="auto"/>
            <w:noWrap/>
            <w:vAlign w:val="center"/>
          </w:tcPr>
          <w:p w14:paraId="7DE529D5" w14:textId="77777777" w:rsidR="00877BAB" w:rsidRPr="00CD129C" w:rsidRDefault="00877BAB" w:rsidP="00877BAB">
            <w:pPr>
              <w:spacing w:after="0" w:line="340" w:lineRule="exact"/>
              <w:jc w:val="center"/>
              <w:rPr>
                <w:rFonts w:asciiTheme="minorHAnsi" w:hAnsiTheme="minorHAnsi"/>
                <w:color w:val="000000"/>
                <w:sz w:val="20"/>
                <w:szCs w:val="20"/>
                <w:lang w:val="en-US"/>
              </w:rPr>
            </w:pPr>
          </w:p>
        </w:tc>
        <w:tc>
          <w:tcPr>
            <w:tcW w:w="788" w:type="dxa"/>
            <w:tcBorders>
              <w:top w:val="nil"/>
              <w:bottom w:val="nil"/>
            </w:tcBorders>
            <w:shd w:val="clear" w:color="auto" w:fill="auto"/>
            <w:noWrap/>
            <w:vAlign w:val="center"/>
          </w:tcPr>
          <w:p w14:paraId="5B82C198" w14:textId="77777777" w:rsidR="00877BAB" w:rsidRPr="00CD129C" w:rsidRDefault="00877BAB" w:rsidP="00877BAB">
            <w:pPr>
              <w:spacing w:after="0" w:line="340" w:lineRule="exact"/>
              <w:jc w:val="center"/>
              <w:rPr>
                <w:rFonts w:asciiTheme="minorHAnsi" w:hAnsiTheme="minorHAnsi"/>
                <w:color w:val="000000"/>
                <w:sz w:val="20"/>
                <w:szCs w:val="20"/>
                <w:lang w:val="en-US"/>
              </w:rPr>
            </w:pPr>
          </w:p>
        </w:tc>
        <w:tc>
          <w:tcPr>
            <w:tcW w:w="788" w:type="dxa"/>
            <w:tcBorders>
              <w:top w:val="nil"/>
              <w:bottom w:val="nil"/>
            </w:tcBorders>
            <w:shd w:val="clear" w:color="auto" w:fill="auto"/>
            <w:noWrap/>
            <w:vAlign w:val="center"/>
          </w:tcPr>
          <w:p w14:paraId="4249CFBE" w14:textId="77777777" w:rsidR="00877BAB" w:rsidRPr="00CD129C" w:rsidRDefault="00877BAB" w:rsidP="00877BAB">
            <w:pPr>
              <w:spacing w:after="0" w:line="340" w:lineRule="exact"/>
              <w:jc w:val="center"/>
              <w:rPr>
                <w:rFonts w:asciiTheme="minorHAnsi" w:hAnsiTheme="minorHAnsi"/>
                <w:color w:val="000000"/>
                <w:sz w:val="20"/>
                <w:szCs w:val="20"/>
                <w:lang w:val="en-US"/>
              </w:rPr>
            </w:pPr>
          </w:p>
        </w:tc>
        <w:tc>
          <w:tcPr>
            <w:tcW w:w="788" w:type="dxa"/>
            <w:tcBorders>
              <w:top w:val="nil"/>
              <w:bottom w:val="nil"/>
            </w:tcBorders>
            <w:shd w:val="clear" w:color="auto" w:fill="auto"/>
            <w:noWrap/>
            <w:vAlign w:val="center"/>
          </w:tcPr>
          <w:p w14:paraId="24B3789A" w14:textId="77777777" w:rsidR="00877BAB" w:rsidRPr="000521C6" w:rsidRDefault="00877BAB" w:rsidP="00877BAB">
            <w:pPr>
              <w:spacing w:after="0" w:line="340" w:lineRule="exact"/>
              <w:jc w:val="center"/>
              <w:rPr>
                <w:rFonts w:asciiTheme="minorHAnsi" w:hAnsiTheme="minorHAnsi"/>
                <w:color w:val="000000"/>
                <w:sz w:val="20"/>
                <w:szCs w:val="20"/>
                <w:lang w:val="en-US"/>
              </w:rPr>
            </w:pPr>
          </w:p>
        </w:tc>
      </w:tr>
      <w:tr w:rsidR="00877BAB" w:rsidRPr="000223EE" w14:paraId="1F44A3B1" w14:textId="77777777" w:rsidTr="00877BAB">
        <w:trPr>
          <w:trHeight w:val="20"/>
          <w:jc w:val="right"/>
        </w:trPr>
        <w:tc>
          <w:tcPr>
            <w:tcW w:w="1728" w:type="dxa"/>
            <w:tcBorders>
              <w:top w:val="nil"/>
              <w:bottom w:val="nil"/>
            </w:tcBorders>
            <w:shd w:val="clear" w:color="auto" w:fill="auto"/>
            <w:vAlign w:val="center"/>
          </w:tcPr>
          <w:p w14:paraId="22D099C0" w14:textId="77777777" w:rsidR="00877BAB" w:rsidRPr="00553F90" w:rsidRDefault="00877BAB" w:rsidP="00877BAB">
            <w:pPr>
              <w:spacing w:after="0" w:line="340" w:lineRule="exact"/>
              <w:rPr>
                <w:rFonts w:asciiTheme="minorHAnsi" w:hAnsiTheme="minorHAnsi"/>
                <w:color w:val="000000"/>
                <w:sz w:val="20"/>
                <w:szCs w:val="20"/>
                <w:lang w:val="en-US"/>
              </w:rPr>
            </w:pPr>
            <w:r w:rsidRPr="00553F90">
              <w:rPr>
                <w:rFonts w:asciiTheme="minorHAnsi" w:hAnsiTheme="minorHAnsi"/>
                <w:color w:val="000000"/>
                <w:sz w:val="20"/>
                <w:szCs w:val="20"/>
                <w:lang w:val="en-US"/>
              </w:rPr>
              <w:t>13. HATH Time 1</w:t>
            </w:r>
          </w:p>
        </w:tc>
        <w:tc>
          <w:tcPr>
            <w:tcW w:w="787" w:type="dxa"/>
            <w:tcBorders>
              <w:top w:val="nil"/>
              <w:bottom w:val="nil"/>
            </w:tcBorders>
            <w:shd w:val="clear" w:color="auto" w:fill="auto"/>
            <w:noWrap/>
            <w:vAlign w:val="center"/>
          </w:tcPr>
          <w:p w14:paraId="37A70D07" w14:textId="77777777" w:rsidR="00877BAB" w:rsidRPr="000223EE" w:rsidRDefault="00877BAB" w:rsidP="00877BAB">
            <w:pPr>
              <w:spacing w:after="0" w:line="340" w:lineRule="exact"/>
              <w:jc w:val="center"/>
              <w:rPr>
                <w:rFonts w:asciiTheme="minorHAnsi" w:hAnsiTheme="minorHAnsi"/>
                <w:color w:val="000000"/>
                <w:sz w:val="20"/>
                <w:szCs w:val="20"/>
                <w:lang w:val="en-US"/>
              </w:rPr>
            </w:pPr>
            <w:r w:rsidRPr="000223EE">
              <w:rPr>
                <w:rFonts w:asciiTheme="minorHAnsi" w:hAnsiTheme="minorHAnsi"/>
                <w:color w:val="000000"/>
                <w:sz w:val="20"/>
                <w:szCs w:val="20"/>
                <w:lang w:val="en-US"/>
              </w:rPr>
              <w:t>.02</w:t>
            </w:r>
          </w:p>
        </w:tc>
        <w:tc>
          <w:tcPr>
            <w:tcW w:w="788" w:type="dxa"/>
            <w:tcBorders>
              <w:top w:val="nil"/>
              <w:bottom w:val="nil"/>
            </w:tcBorders>
            <w:shd w:val="clear" w:color="auto" w:fill="auto"/>
            <w:noWrap/>
            <w:vAlign w:val="center"/>
          </w:tcPr>
          <w:p w14:paraId="1EAB9AD0" w14:textId="77777777" w:rsidR="00877BAB" w:rsidRPr="000223EE" w:rsidRDefault="00877BAB" w:rsidP="00877BAB">
            <w:pPr>
              <w:spacing w:after="0" w:line="340" w:lineRule="exact"/>
              <w:jc w:val="center"/>
              <w:rPr>
                <w:rFonts w:asciiTheme="minorHAnsi" w:hAnsiTheme="minorHAnsi"/>
                <w:color w:val="000000"/>
                <w:sz w:val="20"/>
                <w:szCs w:val="20"/>
                <w:lang w:val="en-US"/>
              </w:rPr>
            </w:pPr>
            <w:r w:rsidRPr="000223EE">
              <w:rPr>
                <w:rFonts w:asciiTheme="minorHAnsi" w:hAnsiTheme="minorHAnsi"/>
                <w:color w:val="000000"/>
                <w:sz w:val="20"/>
                <w:szCs w:val="20"/>
                <w:lang w:val="en-US"/>
              </w:rPr>
              <w:t>-.50</w:t>
            </w:r>
            <w:r w:rsidRPr="000223EE">
              <w:rPr>
                <w:rFonts w:asciiTheme="minorHAnsi" w:hAnsiTheme="minorHAnsi"/>
                <w:color w:val="000000"/>
                <w:sz w:val="20"/>
                <w:szCs w:val="20"/>
                <w:vertAlign w:val="superscript"/>
                <w:lang w:val="en-US"/>
              </w:rPr>
              <w:t>**</w:t>
            </w:r>
          </w:p>
        </w:tc>
        <w:tc>
          <w:tcPr>
            <w:tcW w:w="788" w:type="dxa"/>
            <w:tcBorders>
              <w:top w:val="nil"/>
              <w:bottom w:val="nil"/>
            </w:tcBorders>
            <w:shd w:val="clear" w:color="auto" w:fill="auto"/>
            <w:noWrap/>
            <w:vAlign w:val="center"/>
          </w:tcPr>
          <w:p w14:paraId="385EEC2A" w14:textId="77777777" w:rsidR="00877BAB" w:rsidRPr="000223EE" w:rsidRDefault="00877BAB" w:rsidP="00877BAB">
            <w:pPr>
              <w:spacing w:after="0" w:line="340" w:lineRule="exact"/>
              <w:jc w:val="center"/>
              <w:rPr>
                <w:rFonts w:asciiTheme="minorHAnsi" w:hAnsiTheme="minorHAnsi"/>
                <w:color w:val="000000"/>
                <w:sz w:val="20"/>
                <w:szCs w:val="20"/>
                <w:lang w:val="en-US"/>
              </w:rPr>
            </w:pPr>
            <w:r w:rsidRPr="000223EE">
              <w:rPr>
                <w:rFonts w:asciiTheme="minorHAnsi" w:hAnsiTheme="minorHAnsi"/>
                <w:color w:val="000000"/>
                <w:sz w:val="20"/>
                <w:szCs w:val="20"/>
                <w:lang w:val="en-US"/>
              </w:rPr>
              <w:t>.03</w:t>
            </w:r>
          </w:p>
        </w:tc>
        <w:tc>
          <w:tcPr>
            <w:tcW w:w="788" w:type="dxa"/>
            <w:tcBorders>
              <w:top w:val="nil"/>
              <w:bottom w:val="nil"/>
            </w:tcBorders>
            <w:shd w:val="clear" w:color="auto" w:fill="auto"/>
            <w:noWrap/>
            <w:vAlign w:val="center"/>
          </w:tcPr>
          <w:p w14:paraId="2C96CF7D" w14:textId="77777777" w:rsidR="00877BAB" w:rsidRPr="000223EE" w:rsidRDefault="00877BAB" w:rsidP="00877BAB">
            <w:pPr>
              <w:spacing w:after="0" w:line="340" w:lineRule="exact"/>
              <w:jc w:val="center"/>
              <w:rPr>
                <w:rFonts w:asciiTheme="minorHAnsi" w:hAnsiTheme="minorHAnsi"/>
                <w:color w:val="000000"/>
                <w:sz w:val="20"/>
                <w:szCs w:val="20"/>
                <w:lang w:val="en-US"/>
              </w:rPr>
            </w:pPr>
            <w:r w:rsidRPr="000223EE">
              <w:rPr>
                <w:rFonts w:asciiTheme="minorHAnsi" w:hAnsiTheme="minorHAnsi"/>
                <w:color w:val="000000"/>
                <w:sz w:val="20"/>
                <w:szCs w:val="20"/>
                <w:lang w:val="en-US"/>
              </w:rPr>
              <w:t>.40</w:t>
            </w:r>
            <w:r w:rsidRPr="000223EE">
              <w:rPr>
                <w:rFonts w:asciiTheme="minorHAnsi" w:hAnsiTheme="minorHAnsi"/>
                <w:color w:val="000000"/>
                <w:sz w:val="20"/>
                <w:szCs w:val="20"/>
                <w:vertAlign w:val="superscript"/>
                <w:lang w:val="en-US"/>
              </w:rPr>
              <w:t>**</w:t>
            </w:r>
          </w:p>
        </w:tc>
        <w:tc>
          <w:tcPr>
            <w:tcW w:w="788" w:type="dxa"/>
            <w:tcBorders>
              <w:top w:val="nil"/>
              <w:bottom w:val="nil"/>
            </w:tcBorders>
            <w:shd w:val="clear" w:color="auto" w:fill="auto"/>
            <w:noWrap/>
            <w:vAlign w:val="center"/>
          </w:tcPr>
          <w:p w14:paraId="30A2CC26" w14:textId="77777777" w:rsidR="00877BAB" w:rsidRPr="000223EE" w:rsidRDefault="00877BAB" w:rsidP="00877BAB">
            <w:pPr>
              <w:spacing w:after="0" w:line="340" w:lineRule="exact"/>
              <w:jc w:val="center"/>
              <w:rPr>
                <w:rFonts w:asciiTheme="minorHAnsi" w:hAnsiTheme="minorHAnsi"/>
                <w:color w:val="000000"/>
                <w:sz w:val="20"/>
                <w:szCs w:val="20"/>
                <w:lang w:val="en-US"/>
              </w:rPr>
            </w:pPr>
            <w:r w:rsidRPr="000223EE">
              <w:rPr>
                <w:rFonts w:asciiTheme="minorHAnsi" w:hAnsiTheme="minorHAnsi"/>
                <w:color w:val="000000"/>
                <w:sz w:val="20"/>
                <w:szCs w:val="20"/>
                <w:lang w:val="en-US"/>
              </w:rPr>
              <w:t>.26</w:t>
            </w:r>
            <w:r w:rsidRPr="000223EE">
              <w:rPr>
                <w:rFonts w:asciiTheme="minorHAnsi" w:hAnsiTheme="minorHAnsi"/>
                <w:color w:val="000000"/>
                <w:sz w:val="20"/>
                <w:szCs w:val="20"/>
                <w:vertAlign w:val="superscript"/>
                <w:lang w:val="en-US"/>
              </w:rPr>
              <w:t>*</w:t>
            </w:r>
          </w:p>
        </w:tc>
        <w:tc>
          <w:tcPr>
            <w:tcW w:w="787" w:type="dxa"/>
            <w:tcBorders>
              <w:top w:val="nil"/>
              <w:bottom w:val="nil"/>
            </w:tcBorders>
            <w:shd w:val="clear" w:color="auto" w:fill="auto"/>
            <w:noWrap/>
            <w:vAlign w:val="center"/>
          </w:tcPr>
          <w:p w14:paraId="707E8A32" w14:textId="77777777" w:rsidR="00877BAB" w:rsidRPr="000223EE" w:rsidRDefault="00877BAB" w:rsidP="00877BAB">
            <w:pPr>
              <w:spacing w:after="0" w:line="340" w:lineRule="exact"/>
              <w:jc w:val="center"/>
              <w:rPr>
                <w:rFonts w:asciiTheme="minorHAnsi" w:hAnsiTheme="minorHAnsi"/>
                <w:color w:val="000000"/>
                <w:sz w:val="20"/>
                <w:szCs w:val="20"/>
                <w:lang w:val="en-US"/>
              </w:rPr>
            </w:pPr>
            <w:r w:rsidRPr="000223EE">
              <w:rPr>
                <w:rFonts w:asciiTheme="minorHAnsi" w:hAnsiTheme="minorHAnsi"/>
                <w:color w:val="000000"/>
                <w:sz w:val="20"/>
                <w:szCs w:val="20"/>
                <w:lang w:val="en-US"/>
              </w:rPr>
              <w:t>.86</w:t>
            </w:r>
            <w:r w:rsidRPr="000223EE">
              <w:rPr>
                <w:rFonts w:asciiTheme="minorHAnsi" w:hAnsiTheme="minorHAnsi"/>
                <w:color w:val="000000"/>
                <w:sz w:val="20"/>
                <w:szCs w:val="20"/>
                <w:vertAlign w:val="superscript"/>
                <w:lang w:val="en-US"/>
              </w:rPr>
              <w:t>**</w:t>
            </w:r>
          </w:p>
        </w:tc>
        <w:tc>
          <w:tcPr>
            <w:tcW w:w="788" w:type="dxa"/>
            <w:tcBorders>
              <w:top w:val="nil"/>
              <w:bottom w:val="nil"/>
            </w:tcBorders>
            <w:shd w:val="clear" w:color="auto" w:fill="auto"/>
            <w:noWrap/>
            <w:vAlign w:val="center"/>
          </w:tcPr>
          <w:p w14:paraId="41888970" w14:textId="77777777" w:rsidR="00877BAB" w:rsidRPr="000223EE" w:rsidRDefault="00877BAB" w:rsidP="00877BAB">
            <w:pPr>
              <w:spacing w:after="0" w:line="340" w:lineRule="exact"/>
              <w:jc w:val="center"/>
              <w:rPr>
                <w:rFonts w:asciiTheme="minorHAnsi" w:hAnsiTheme="minorHAnsi"/>
                <w:color w:val="000000"/>
                <w:sz w:val="20"/>
                <w:szCs w:val="20"/>
                <w:lang w:val="en-US"/>
              </w:rPr>
            </w:pPr>
            <w:r w:rsidRPr="000223EE">
              <w:rPr>
                <w:rFonts w:asciiTheme="minorHAnsi" w:hAnsiTheme="minorHAnsi"/>
                <w:color w:val="000000"/>
                <w:sz w:val="20"/>
                <w:szCs w:val="20"/>
                <w:lang w:val="en-US"/>
              </w:rPr>
              <w:t>.83</w:t>
            </w:r>
            <w:r w:rsidRPr="000223EE">
              <w:rPr>
                <w:rFonts w:asciiTheme="minorHAnsi" w:hAnsiTheme="minorHAnsi"/>
                <w:color w:val="000000"/>
                <w:sz w:val="20"/>
                <w:szCs w:val="20"/>
                <w:vertAlign w:val="superscript"/>
                <w:lang w:val="en-US"/>
              </w:rPr>
              <w:t>**</w:t>
            </w:r>
          </w:p>
        </w:tc>
        <w:tc>
          <w:tcPr>
            <w:tcW w:w="788" w:type="dxa"/>
            <w:tcBorders>
              <w:top w:val="nil"/>
              <w:bottom w:val="nil"/>
            </w:tcBorders>
            <w:shd w:val="clear" w:color="auto" w:fill="auto"/>
            <w:noWrap/>
            <w:vAlign w:val="center"/>
          </w:tcPr>
          <w:p w14:paraId="2E0D6F78" w14:textId="77777777" w:rsidR="00877BAB" w:rsidRPr="002538AA" w:rsidRDefault="00877BAB" w:rsidP="00877BAB">
            <w:pPr>
              <w:spacing w:after="0" w:line="340" w:lineRule="exact"/>
              <w:jc w:val="center"/>
              <w:rPr>
                <w:rFonts w:asciiTheme="minorHAnsi" w:hAnsiTheme="minorHAnsi"/>
                <w:color w:val="000000"/>
                <w:sz w:val="20"/>
                <w:szCs w:val="20"/>
                <w:lang w:val="en-US"/>
              </w:rPr>
            </w:pPr>
            <w:r w:rsidRPr="002538AA">
              <w:rPr>
                <w:rFonts w:asciiTheme="minorHAnsi" w:hAnsiTheme="minorHAnsi"/>
                <w:color w:val="000000"/>
                <w:sz w:val="20"/>
                <w:szCs w:val="20"/>
                <w:lang w:val="en-US"/>
              </w:rPr>
              <w:t>.68</w:t>
            </w:r>
            <w:r w:rsidRPr="002538AA">
              <w:rPr>
                <w:rFonts w:asciiTheme="minorHAnsi" w:hAnsiTheme="minorHAnsi"/>
                <w:color w:val="000000"/>
                <w:sz w:val="20"/>
                <w:szCs w:val="20"/>
                <w:vertAlign w:val="superscript"/>
                <w:lang w:val="en-US"/>
              </w:rPr>
              <w:t>**</w:t>
            </w:r>
          </w:p>
        </w:tc>
        <w:tc>
          <w:tcPr>
            <w:tcW w:w="788" w:type="dxa"/>
            <w:tcBorders>
              <w:top w:val="nil"/>
              <w:bottom w:val="nil"/>
            </w:tcBorders>
            <w:shd w:val="clear" w:color="auto" w:fill="auto"/>
            <w:noWrap/>
            <w:vAlign w:val="center"/>
          </w:tcPr>
          <w:p w14:paraId="547A2A01" w14:textId="77777777" w:rsidR="00877BAB" w:rsidRPr="002538AA" w:rsidRDefault="00877BAB" w:rsidP="00877BAB">
            <w:pPr>
              <w:spacing w:after="0" w:line="340" w:lineRule="exact"/>
              <w:jc w:val="center"/>
              <w:rPr>
                <w:rFonts w:asciiTheme="minorHAnsi" w:hAnsiTheme="minorHAnsi"/>
                <w:color w:val="000000"/>
                <w:sz w:val="20"/>
                <w:szCs w:val="20"/>
                <w:lang w:val="en-US"/>
              </w:rPr>
            </w:pPr>
            <w:r w:rsidRPr="002538AA">
              <w:rPr>
                <w:rFonts w:asciiTheme="minorHAnsi" w:hAnsiTheme="minorHAnsi"/>
                <w:color w:val="000000"/>
                <w:sz w:val="20"/>
                <w:szCs w:val="20"/>
                <w:lang w:val="en-US"/>
              </w:rPr>
              <w:t>.77</w:t>
            </w:r>
            <w:r w:rsidRPr="002538AA">
              <w:rPr>
                <w:rFonts w:asciiTheme="minorHAnsi" w:hAnsiTheme="minorHAnsi"/>
                <w:color w:val="000000"/>
                <w:sz w:val="20"/>
                <w:szCs w:val="20"/>
                <w:vertAlign w:val="superscript"/>
                <w:lang w:val="en-US"/>
              </w:rPr>
              <w:t>**</w:t>
            </w:r>
          </w:p>
        </w:tc>
        <w:tc>
          <w:tcPr>
            <w:tcW w:w="788" w:type="dxa"/>
            <w:tcBorders>
              <w:top w:val="nil"/>
              <w:bottom w:val="nil"/>
            </w:tcBorders>
            <w:shd w:val="clear" w:color="auto" w:fill="auto"/>
            <w:noWrap/>
            <w:vAlign w:val="center"/>
          </w:tcPr>
          <w:p w14:paraId="6DAA5947" w14:textId="77777777" w:rsidR="00877BAB" w:rsidRPr="0030218A" w:rsidRDefault="00877BAB" w:rsidP="00877BAB">
            <w:pPr>
              <w:spacing w:after="0" w:line="340" w:lineRule="exact"/>
              <w:jc w:val="center"/>
              <w:rPr>
                <w:rFonts w:asciiTheme="minorHAnsi" w:hAnsiTheme="minorHAnsi"/>
                <w:color w:val="000000"/>
                <w:sz w:val="20"/>
                <w:szCs w:val="20"/>
                <w:lang w:val="en-US"/>
              </w:rPr>
            </w:pPr>
            <w:r w:rsidRPr="0030218A">
              <w:rPr>
                <w:rFonts w:asciiTheme="minorHAnsi" w:hAnsiTheme="minorHAnsi"/>
                <w:color w:val="000000"/>
                <w:sz w:val="20"/>
                <w:szCs w:val="20"/>
                <w:lang w:val="en-US"/>
              </w:rPr>
              <w:t>.67</w:t>
            </w:r>
            <w:r w:rsidRPr="0030218A">
              <w:rPr>
                <w:rFonts w:asciiTheme="minorHAnsi" w:hAnsiTheme="minorHAnsi"/>
                <w:color w:val="000000"/>
                <w:sz w:val="20"/>
                <w:szCs w:val="20"/>
                <w:vertAlign w:val="superscript"/>
                <w:lang w:val="en-US"/>
              </w:rPr>
              <w:t>**</w:t>
            </w:r>
          </w:p>
        </w:tc>
        <w:tc>
          <w:tcPr>
            <w:tcW w:w="787" w:type="dxa"/>
            <w:tcBorders>
              <w:top w:val="nil"/>
              <w:bottom w:val="nil"/>
            </w:tcBorders>
            <w:shd w:val="clear" w:color="auto" w:fill="auto"/>
            <w:noWrap/>
            <w:vAlign w:val="center"/>
          </w:tcPr>
          <w:p w14:paraId="3B2FEEBB" w14:textId="77777777" w:rsidR="00877BAB" w:rsidRPr="00AD0B5E" w:rsidRDefault="00877BAB" w:rsidP="00877BAB">
            <w:pPr>
              <w:spacing w:after="0" w:line="340" w:lineRule="exact"/>
              <w:jc w:val="center"/>
              <w:rPr>
                <w:rFonts w:asciiTheme="minorHAnsi" w:hAnsiTheme="minorHAnsi"/>
                <w:color w:val="000000"/>
                <w:sz w:val="20"/>
                <w:szCs w:val="20"/>
                <w:lang w:val="en-US"/>
              </w:rPr>
            </w:pPr>
            <w:r w:rsidRPr="0030218A">
              <w:rPr>
                <w:rFonts w:asciiTheme="minorHAnsi" w:hAnsiTheme="minorHAnsi"/>
                <w:color w:val="000000"/>
                <w:sz w:val="20"/>
                <w:szCs w:val="20"/>
                <w:lang w:val="en-US"/>
              </w:rPr>
              <w:t>.68</w:t>
            </w:r>
            <w:r w:rsidRPr="0030218A">
              <w:rPr>
                <w:rFonts w:asciiTheme="minorHAnsi" w:hAnsiTheme="minorHAnsi"/>
                <w:color w:val="000000"/>
                <w:sz w:val="20"/>
                <w:szCs w:val="20"/>
                <w:vertAlign w:val="superscript"/>
                <w:lang w:val="en-US"/>
              </w:rPr>
              <w:t>**</w:t>
            </w:r>
          </w:p>
        </w:tc>
        <w:tc>
          <w:tcPr>
            <w:tcW w:w="788" w:type="dxa"/>
            <w:tcBorders>
              <w:top w:val="nil"/>
              <w:bottom w:val="nil"/>
            </w:tcBorders>
            <w:shd w:val="clear" w:color="auto" w:fill="auto"/>
            <w:noWrap/>
            <w:vAlign w:val="center"/>
          </w:tcPr>
          <w:p w14:paraId="38E6522D" w14:textId="77777777" w:rsidR="00877BAB" w:rsidRPr="00CD129C" w:rsidRDefault="00877BAB" w:rsidP="00877BAB">
            <w:pPr>
              <w:spacing w:after="0" w:line="340" w:lineRule="exact"/>
              <w:jc w:val="center"/>
              <w:rPr>
                <w:rFonts w:asciiTheme="minorHAnsi" w:hAnsiTheme="minorHAnsi"/>
                <w:color w:val="000000"/>
                <w:sz w:val="20"/>
                <w:szCs w:val="20"/>
                <w:lang w:val="en-US"/>
              </w:rPr>
            </w:pPr>
            <w:r w:rsidRPr="00AD0B5E">
              <w:rPr>
                <w:rFonts w:asciiTheme="minorHAnsi" w:hAnsiTheme="minorHAnsi"/>
                <w:color w:val="000000"/>
                <w:sz w:val="20"/>
                <w:szCs w:val="20"/>
                <w:lang w:val="en-US"/>
              </w:rPr>
              <w:t>.62</w:t>
            </w:r>
            <w:r w:rsidRPr="00CD129C">
              <w:rPr>
                <w:rFonts w:asciiTheme="minorHAnsi" w:hAnsiTheme="minorHAnsi"/>
                <w:color w:val="000000"/>
                <w:sz w:val="20"/>
                <w:szCs w:val="20"/>
                <w:vertAlign w:val="superscript"/>
                <w:lang w:val="en-US"/>
              </w:rPr>
              <w:t>**</w:t>
            </w:r>
          </w:p>
        </w:tc>
        <w:tc>
          <w:tcPr>
            <w:tcW w:w="788" w:type="dxa"/>
            <w:tcBorders>
              <w:top w:val="nil"/>
              <w:bottom w:val="nil"/>
            </w:tcBorders>
            <w:shd w:val="clear" w:color="auto" w:fill="auto"/>
            <w:noWrap/>
            <w:vAlign w:val="center"/>
          </w:tcPr>
          <w:p w14:paraId="76EB64CE" w14:textId="77777777" w:rsidR="00877BAB" w:rsidRPr="00CD129C" w:rsidRDefault="00877BAB" w:rsidP="00877BAB">
            <w:pPr>
              <w:spacing w:after="0" w:line="340" w:lineRule="exact"/>
              <w:jc w:val="center"/>
              <w:rPr>
                <w:rFonts w:asciiTheme="minorHAnsi" w:hAnsiTheme="minorHAnsi"/>
                <w:color w:val="000000"/>
                <w:sz w:val="20"/>
                <w:szCs w:val="20"/>
                <w:lang w:val="en-US"/>
              </w:rPr>
            </w:pPr>
            <w:r w:rsidRPr="00CD129C">
              <w:rPr>
                <w:rFonts w:asciiTheme="minorHAnsi" w:hAnsiTheme="minorHAnsi"/>
                <w:color w:val="000000"/>
                <w:sz w:val="20"/>
                <w:szCs w:val="20"/>
                <w:lang w:val="en-US"/>
              </w:rPr>
              <w:t>-</w:t>
            </w:r>
          </w:p>
        </w:tc>
        <w:tc>
          <w:tcPr>
            <w:tcW w:w="788" w:type="dxa"/>
            <w:tcBorders>
              <w:top w:val="nil"/>
              <w:bottom w:val="nil"/>
            </w:tcBorders>
            <w:shd w:val="clear" w:color="auto" w:fill="auto"/>
            <w:noWrap/>
            <w:vAlign w:val="center"/>
          </w:tcPr>
          <w:p w14:paraId="3F873895" w14:textId="77777777" w:rsidR="00877BAB" w:rsidRPr="00CD129C" w:rsidRDefault="00877BAB" w:rsidP="00877BAB">
            <w:pPr>
              <w:spacing w:after="0" w:line="340" w:lineRule="exact"/>
              <w:jc w:val="center"/>
              <w:rPr>
                <w:rFonts w:asciiTheme="minorHAnsi" w:hAnsiTheme="minorHAnsi"/>
                <w:color w:val="000000"/>
                <w:sz w:val="20"/>
                <w:szCs w:val="20"/>
                <w:lang w:val="en-US"/>
              </w:rPr>
            </w:pPr>
          </w:p>
        </w:tc>
        <w:tc>
          <w:tcPr>
            <w:tcW w:w="788" w:type="dxa"/>
            <w:tcBorders>
              <w:top w:val="nil"/>
              <w:bottom w:val="nil"/>
            </w:tcBorders>
            <w:shd w:val="clear" w:color="auto" w:fill="auto"/>
            <w:noWrap/>
            <w:vAlign w:val="center"/>
          </w:tcPr>
          <w:p w14:paraId="41928ECF" w14:textId="77777777" w:rsidR="00877BAB" w:rsidRPr="000521C6" w:rsidRDefault="00877BAB" w:rsidP="00877BAB">
            <w:pPr>
              <w:spacing w:after="0" w:line="340" w:lineRule="exact"/>
              <w:jc w:val="center"/>
              <w:rPr>
                <w:rFonts w:asciiTheme="minorHAnsi" w:hAnsiTheme="minorHAnsi"/>
                <w:color w:val="000000"/>
                <w:sz w:val="20"/>
                <w:szCs w:val="20"/>
                <w:lang w:val="en-US"/>
              </w:rPr>
            </w:pPr>
          </w:p>
        </w:tc>
        <w:tc>
          <w:tcPr>
            <w:tcW w:w="788" w:type="dxa"/>
            <w:tcBorders>
              <w:top w:val="nil"/>
              <w:bottom w:val="nil"/>
            </w:tcBorders>
            <w:shd w:val="clear" w:color="auto" w:fill="auto"/>
            <w:noWrap/>
            <w:vAlign w:val="center"/>
          </w:tcPr>
          <w:p w14:paraId="2E7D7D82" w14:textId="77777777" w:rsidR="00877BAB" w:rsidRPr="00D95966" w:rsidRDefault="00877BAB" w:rsidP="00877BAB">
            <w:pPr>
              <w:spacing w:after="0" w:line="340" w:lineRule="exact"/>
              <w:jc w:val="center"/>
              <w:rPr>
                <w:rFonts w:asciiTheme="minorHAnsi" w:hAnsiTheme="minorHAnsi"/>
                <w:color w:val="000000"/>
                <w:sz w:val="20"/>
                <w:szCs w:val="20"/>
                <w:lang w:val="en-US"/>
              </w:rPr>
            </w:pPr>
          </w:p>
        </w:tc>
      </w:tr>
      <w:tr w:rsidR="00877BAB" w:rsidRPr="000223EE" w14:paraId="102CA890" w14:textId="77777777" w:rsidTr="00877BAB">
        <w:trPr>
          <w:trHeight w:val="20"/>
          <w:jc w:val="right"/>
        </w:trPr>
        <w:tc>
          <w:tcPr>
            <w:tcW w:w="1728" w:type="dxa"/>
            <w:tcBorders>
              <w:top w:val="nil"/>
              <w:bottom w:val="nil"/>
            </w:tcBorders>
            <w:shd w:val="clear" w:color="auto" w:fill="auto"/>
            <w:vAlign w:val="center"/>
          </w:tcPr>
          <w:p w14:paraId="2748915F" w14:textId="77777777" w:rsidR="00877BAB" w:rsidRPr="00553F90" w:rsidRDefault="00877BAB" w:rsidP="00877BAB">
            <w:pPr>
              <w:spacing w:after="0" w:line="340" w:lineRule="exact"/>
              <w:rPr>
                <w:rFonts w:asciiTheme="minorHAnsi" w:hAnsiTheme="minorHAnsi"/>
                <w:color w:val="000000"/>
                <w:sz w:val="20"/>
                <w:szCs w:val="20"/>
                <w:lang w:val="en-US"/>
              </w:rPr>
            </w:pPr>
            <w:r w:rsidRPr="00553F90">
              <w:rPr>
                <w:rFonts w:asciiTheme="minorHAnsi" w:hAnsiTheme="minorHAnsi"/>
                <w:color w:val="000000"/>
                <w:sz w:val="20"/>
                <w:szCs w:val="20"/>
                <w:lang w:val="en-US"/>
              </w:rPr>
              <w:t>14. HATH Time 2</w:t>
            </w:r>
          </w:p>
        </w:tc>
        <w:tc>
          <w:tcPr>
            <w:tcW w:w="787" w:type="dxa"/>
            <w:tcBorders>
              <w:top w:val="nil"/>
              <w:bottom w:val="nil"/>
            </w:tcBorders>
            <w:shd w:val="clear" w:color="auto" w:fill="auto"/>
            <w:noWrap/>
            <w:vAlign w:val="center"/>
          </w:tcPr>
          <w:p w14:paraId="25FDBBB6" w14:textId="77777777" w:rsidR="00877BAB" w:rsidRPr="000223EE" w:rsidRDefault="00877BAB" w:rsidP="00877BAB">
            <w:pPr>
              <w:spacing w:after="0" w:line="340" w:lineRule="exact"/>
              <w:jc w:val="center"/>
              <w:rPr>
                <w:rFonts w:asciiTheme="minorHAnsi" w:hAnsiTheme="minorHAnsi"/>
                <w:color w:val="000000"/>
                <w:sz w:val="20"/>
                <w:szCs w:val="20"/>
                <w:lang w:val="en-US"/>
              </w:rPr>
            </w:pPr>
            <w:r w:rsidRPr="000223EE">
              <w:rPr>
                <w:rFonts w:asciiTheme="minorHAnsi" w:hAnsiTheme="minorHAnsi"/>
                <w:color w:val="000000"/>
                <w:sz w:val="20"/>
                <w:szCs w:val="20"/>
                <w:lang w:val="en-US"/>
              </w:rPr>
              <w:t>.10</w:t>
            </w:r>
          </w:p>
        </w:tc>
        <w:tc>
          <w:tcPr>
            <w:tcW w:w="788" w:type="dxa"/>
            <w:tcBorders>
              <w:top w:val="nil"/>
              <w:bottom w:val="nil"/>
            </w:tcBorders>
            <w:shd w:val="clear" w:color="auto" w:fill="auto"/>
            <w:noWrap/>
            <w:vAlign w:val="center"/>
          </w:tcPr>
          <w:p w14:paraId="1216F290" w14:textId="77777777" w:rsidR="00877BAB" w:rsidRPr="000223EE" w:rsidRDefault="00877BAB" w:rsidP="00877BAB">
            <w:pPr>
              <w:spacing w:after="0" w:line="340" w:lineRule="exact"/>
              <w:jc w:val="center"/>
              <w:rPr>
                <w:rFonts w:asciiTheme="minorHAnsi" w:hAnsiTheme="minorHAnsi"/>
                <w:color w:val="000000"/>
                <w:sz w:val="20"/>
                <w:szCs w:val="20"/>
                <w:lang w:val="en-US"/>
              </w:rPr>
            </w:pPr>
            <w:r w:rsidRPr="000223EE">
              <w:rPr>
                <w:rFonts w:asciiTheme="minorHAnsi" w:hAnsiTheme="minorHAnsi"/>
                <w:color w:val="000000"/>
                <w:sz w:val="20"/>
                <w:szCs w:val="20"/>
                <w:lang w:val="en-US"/>
              </w:rPr>
              <w:t>-.45</w:t>
            </w:r>
            <w:r w:rsidRPr="000223EE">
              <w:rPr>
                <w:rFonts w:asciiTheme="minorHAnsi" w:hAnsiTheme="minorHAnsi"/>
                <w:color w:val="000000"/>
                <w:sz w:val="20"/>
                <w:szCs w:val="20"/>
                <w:vertAlign w:val="superscript"/>
                <w:lang w:val="en-US"/>
              </w:rPr>
              <w:t>**</w:t>
            </w:r>
          </w:p>
        </w:tc>
        <w:tc>
          <w:tcPr>
            <w:tcW w:w="788" w:type="dxa"/>
            <w:tcBorders>
              <w:top w:val="nil"/>
              <w:bottom w:val="nil"/>
            </w:tcBorders>
            <w:shd w:val="clear" w:color="auto" w:fill="auto"/>
            <w:noWrap/>
            <w:vAlign w:val="center"/>
          </w:tcPr>
          <w:p w14:paraId="15642FB1" w14:textId="77777777" w:rsidR="00877BAB" w:rsidRPr="000223EE" w:rsidRDefault="00877BAB" w:rsidP="00877BAB">
            <w:pPr>
              <w:spacing w:after="0" w:line="340" w:lineRule="exact"/>
              <w:jc w:val="center"/>
              <w:rPr>
                <w:rFonts w:asciiTheme="minorHAnsi" w:hAnsiTheme="minorHAnsi"/>
                <w:color w:val="000000"/>
                <w:sz w:val="20"/>
                <w:szCs w:val="20"/>
                <w:lang w:val="en-US"/>
              </w:rPr>
            </w:pPr>
            <w:r w:rsidRPr="000223EE">
              <w:rPr>
                <w:rFonts w:asciiTheme="minorHAnsi" w:hAnsiTheme="minorHAnsi"/>
                <w:color w:val="000000"/>
                <w:sz w:val="20"/>
                <w:szCs w:val="20"/>
                <w:lang w:val="en-US"/>
              </w:rPr>
              <w:t>.12</w:t>
            </w:r>
          </w:p>
        </w:tc>
        <w:tc>
          <w:tcPr>
            <w:tcW w:w="788" w:type="dxa"/>
            <w:tcBorders>
              <w:top w:val="nil"/>
              <w:bottom w:val="nil"/>
            </w:tcBorders>
            <w:shd w:val="clear" w:color="auto" w:fill="auto"/>
            <w:noWrap/>
            <w:vAlign w:val="center"/>
          </w:tcPr>
          <w:p w14:paraId="3F8667AD" w14:textId="77777777" w:rsidR="00877BAB" w:rsidRPr="000223EE" w:rsidRDefault="00877BAB" w:rsidP="00877BAB">
            <w:pPr>
              <w:spacing w:after="0" w:line="340" w:lineRule="exact"/>
              <w:jc w:val="center"/>
              <w:rPr>
                <w:rFonts w:asciiTheme="minorHAnsi" w:hAnsiTheme="minorHAnsi"/>
                <w:color w:val="000000"/>
                <w:sz w:val="20"/>
                <w:szCs w:val="20"/>
                <w:lang w:val="en-US"/>
              </w:rPr>
            </w:pPr>
            <w:r w:rsidRPr="000223EE">
              <w:rPr>
                <w:rFonts w:asciiTheme="minorHAnsi" w:hAnsiTheme="minorHAnsi"/>
                <w:color w:val="000000"/>
                <w:sz w:val="20"/>
                <w:szCs w:val="20"/>
                <w:lang w:val="en-US"/>
              </w:rPr>
              <w:t>.35</w:t>
            </w:r>
            <w:r w:rsidRPr="000223EE">
              <w:rPr>
                <w:rFonts w:asciiTheme="minorHAnsi" w:hAnsiTheme="minorHAnsi"/>
                <w:color w:val="000000"/>
                <w:sz w:val="20"/>
                <w:szCs w:val="20"/>
                <w:vertAlign w:val="superscript"/>
                <w:lang w:val="en-US"/>
              </w:rPr>
              <w:t>**</w:t>
            </w:r>
          </w:p>
        </w:tc>
        <w:tc>
          <w:tcPr>
            <w:tcW w:w="788" w:type="dxa"/>
            <w:tcBorders>
              <w:top w:val="nil"/>
              <w:bottom w:val="nil"/>
            </w:tcBorders>
            <w:shd w:val="clear" w:color="auto" w:fill="auto"/>
            <w:noWrap/>
            <w:vAlign w:val="center"/>
          </w:tcPr>
          <w:p w14:paraId="2244318A" w14:textId="77777777" w:rsidR="00877BAB" w:rsidRPr="000223EE" w:rsidRDefault="00877BAB" w:rsidP="00877BAB">
            <w:pPr>
              <w:spacing w:after="0" w:line="340" w:lineRule="exact"/>
              <w:jc w:val="center"/>
              <w:rPr>
                <w:rFonts w:asciiTheme="minorHAnsi" w:hAnsiTheme="minorHAnsi"/>
                <w:color w:val="000000"/>
                <w:sz w:val="20"/>
                <w:szCs w:val="20"/>
                <w:lang w:val="en-US"/>
              </w:rPr>
            </w:pPr>
            <w:r w:rsidRPr="000223EE">
              <w:rPr>
                <w:rFonts w:asciiTheme="minorHAnsi" w:hAnsiTheme="minorHAnsi"/>
                <w:color w:val="000000"/>
                <w:sz w:val="20"/>
                <w:szCs w:val="20"/>
                <w:lang w:val="en-US"/>
              </w:rPr>
              <w:t>.20</w:t>
            </w:r>
          </w:p>
        </w:tc>
        <w:tc>
          <w:tcPr>
            <w:tcW w:w="787" w:type="dxa"/>
            <w:tcBorders>
              <w:top w:val="nil"/>
              <w:bottom w:val="nil"/>
            </w:tcBorders>
            <w:shd w:val="clear" w:color="auto" w:fill="auto"/>
            <w:noWrap/>
            <w:vAlign w:val="center"/>
          </w:tcPr>
          <w:p w14:paraId="2D2D3EDF" w14:textId="77777777" w:rsidR="00877BAB" w:rsidRPr="000223EE" w:rsidRDefault="00877BAB" w:rsidP="00877BAB">
            <w:pPr>
              <w:spacing w:after="0" w:line="340" w:lineRule="exact"/>
              <w:jc w:val="center"/>
              <w:rPr>
                <w:rFonts w:asciiTheme="minorHAnsi" w:hAnsiTheme="minorHAnsi"/>
                <w:color w:val="000000"/>
                <w:sz w:val="20"/>
                <w:szCs w:val="20"/>
                <w:lang w:val="en-US"/>
              </w:rPr>
            </w:pPr>
            <w:r w:rsidRPr="000223EE">
              <w:rPr>
                <w:rFonts w:asciiTheme="minorHAnsi" w:hAnsiTheme="minorHAnsi"/>
                <w:color w:val="000000"/>
                <w:sz w:val="20"/>
                <w:szCs w:val="20"/>
                <w:lang w:val="en-US"/>
              </w:rPr>
              <w:t>.80</w:t>
            </w:r>
            <w:r w:rsidRPr="000223EE">
              <w:rPr>
                <w:rFonts w:asciiTheme="minorHAnsi" w:hAnsiTheme="minorHAnsi"/>
                <w:color w:val="000000"/>
                <w:sz w:val="20"/>
                <w:szCs w:val="20"/>
                <w:vertAlign w:val="superscript"/>
                <w:lang w:val="en-US"/>
              </w:rPr>
              <w:t>**</w:t>
            </w:r>
          </w:p>
        </w:tc>
        <w:tc>
          <w:tcPr>
            <w:tcW w:w="788" w:type="dxa"/>
            <w:tcBorders>
              <w:top w:val="nil"/>
              <w:bottom w:val="nil"/>
            </w:tcBorders>
            <w:shd w:val="clear" w:color="auto" w:fill="auto"/>
            <w:noWrap/>
            <w:vAlign w:val="center"/>
          </w:tcPr>
          <w:p w14:paraId="3BD1AC48" w14:textId="77777777" w:rsidR="00877BAB" w:rsidRPr="000223EE" w:rsidRDefault="00877BAB" w:rsidP="00877BAB">
            <w:pPr>
              <w:spacing w:after="0" w:line="340" w:lineRule="exact"/>
              <w:jc w:val="center"/>
              <w:rPr>
                <w:rFonts w:asciiTheme="minorHAnsi" w:hAnsiTheme="minorHAnsi"/>
                <w:color w:val="000000"/>
                <w:sz w:val="20"/>
                <w:szCs w:val="20"/>
                <w:lang w:val="en-US"/>
              </w:rPr>
            </w:pPr>
            <w:r w:rsidRPr="000223EE">
              <w:rPr>
                <w:rFonts w:asciiTheme="minorHAnsi" w:hAnsiTheme="minorHAnsi"/>
                <w:color w:val="000000"/>
                <w:sz w:val="20"/>
                <w:szCs w:val="20"/>
                <w:lang w:val="en-US"/>
              </w:rPr>
              <w:t>.81</w:t>
            </w:r>
            <w:r w:rsidRPr="000223EE">
              <w:rPr>
                <w:rFonts w:asciiTheme="minorHAnsi" w:hAnsiTheme="minorHAnsi"/>
                <w:color w:val="000000"/>
                <w:sz w:val="20"/>
                <w:szCs w:val="20"/>
                <w:vertAlign w:val="superscript"/>
                <w:lang w:val="en-US"/>
              </w:rPr>
              <w:t>**</w:t>
            </w:r>
          </w:p>
        </w:tc>
        <w:tc>
          <w:tcPr>
            <w:tcW w:w="788" w:type="dxa"/>
            <w:tcBorders>
              <w:top w:val="nil"/>
              <w:bottom w:val="nil"/>
            </w:tcBorders>
            <w:shd w:val="clear" w:color="auto" w:fill="auto"/>
            <w:noWrap/>
            <w:vAlign w:val="center"/>
          </w:tcPr>
          <w:p w14:paraId="75CB13A1" w14:textId="77777777" w:rsidR="00877BAB" w:rsidRPr="000223EE" w:rsidRDefault="00877BAB" w:rsidP="00877BAB">
            <w:pPr>
              <w:spacing w:after="0" w:line="340" w:lineRule="exact"/>
              <w:jc w:val="center"/>
              <w:rPr>
                <w:rFonts w:asciiTheme="minorHAnsi" w:hAnsiTheme="minorHAnsi"/>
                <w:color w:val="000000"/>
                <w:sz w:val="20"/>
                <w:szCs w:val="20"/>
                <w:lang w:val="en-US"/>
              </w:rPr>
            </w:pPr>
            <w:r w:rsidRPr="000223EE">
              <w:rPr>
                <w:rFonts w:asciiTheme="minorHAnsi" w:hAnsiTheme="minorHAnsi"/>
                <w:color w:val="000000"/>
                <w:sz w:val="20"/>
                <w:szCs w:val="20"/>
                <w:lang w:val="en-US"/>
              </w:rPr>
              <w:t>.59</w:t>
            </w:r>
            <w:r w:rsidRPr="000223EE">
              <w:rPr>
                <w:rFonts w:asciiTheme="minorHAnsi" w:hAnsiTheme="minorHAnsi"/>
                <w:color w:val="000000"/>
                <w:sz w:val="20"/>
                <w:szCs w:val="20"/>
                <w:vertAlign w:val="superscript"/>
                <w:lang w:val="en-US"/>
              </w:rPr>
              <w:t>**</w:t>
            </w:r>
          </w:p>
        </w:tc>
        <w:tc>
          <w:tcPr>
            <w:tcW w:w="788" w:type="dxa"/>
            <w:tcBorders>
              <w:top w:val="nil"/>
              <w:bottom w:val="nil"/>
            </w:tcBorders>
            <w:shd w:val="clear" w:color="auto" w:fill="auto"/>
            <w:noWrap/>
            <w:vAlign w:val="center"/>
          </w:tcPr>
          <w:p w14:paraId="0ABD00A7" w14:textId="77777777" w:rsidR="00877BAB" w:rsidRPr="002538AA" w:rsidRDefault="00877BAB" w:rsidP="00877BAB">
            <w:pPr>
              <w:spacing w:after="0" w:line="340" w:lineRule="exact"/>
              <w:jc w:val="center"/>
              <w:rPr>
                <w:rFonts w:asciiTheme="minorHAnsi" w:hAnsiTheme="minorHAnsi"/>
                <w:color w:val="000000"/>
                <w:sz w:val="20"/>
                <w:szCs w:val="20"/>
                <w:lang w:val="en-US"/>
              </w:rPr>
            </w:pPr>
            <w:r w:rsidRPr="002538AA">
              <w:rPr>
                <w:rFonts w:asciiTheme="minorHAnsi" w:hAnsiTheme="minorHAnsi"/>
                <w:color w:val="000000"/>
                <w:sz w:val="20"/>
                <w:szCs w:val="20"/>
                <w:lang w:val="en-US"/>
              </w:rPr>
              <w:t>.77</w:t>
            </w:r>
            <w:r w:rsidRPr="002538AA">
              <w:rPr>
                <w:rFonts w:asciiTheme="minorHAnsi" w:hAnsiTheme="minorHAnsi"/>
                <w:color w:val="000000"/>
                <w:sz w:val="20"/>
                <w:szCs w:val="20"/>
                <w:vertAlign w:val="superscript"/>
                <w:lang w:val="en-US"/>
              </w:rPr>
              <w:t>**</w:t>
            </w:r>
          </w:p>
        </w:tc>
        <w:tc>
          <w:tcPr>
            <w:tcW w:w="788" w:type="dxa"/>
            <w:tcBorders>
              <w:top w:val="nil"/>
              <w:bottom w:val="nil"/>
            </w:tcBorders>
            <w:shd w:val="clear" w:color="auto" w:fill="auto"/>
            <w:noWrap/>
            <w:vAlign w:val="center"/>
          </w:tcPr>
          <w:p w14:paraId="0FCEAF35" w14:textId="77777777" w:rsidR="00877BAB" w:rsidRPr="002538AA" w:rsidRDefault="00877BAB" w:rsidP="00877BAB">
            <w:pPr>
              <w:spacing w:after="0" w:line="340" w:lineRule="exact"/>
              <w:jc w:val="center"/>
              <w:rPr>
                <w:rFonts w:asciiTheme="minorHAnsi" w:hAnsiTheme="minorHAnsi"/>
                <w:color w:val="000000"/>
                <w:sz w:val="20"/>
                <w:szCs w:val="20"/>
                <w:lang w:val="en-US"/>
              </w:rPr>
            </w:pPr>
            <w:r w:rsidRPr="002538AA">
              <w:rPr>
                <w:rFonts w:asciiTheme="minorHAnsi" w:hAnsiTheme="minorHAnsi"/>
                <w:color w:val="000000"/>
                <w:sz w:val="20"/>
                <w:szCs w:val="20"/>
                <w:lang w:val="en-US"/>
              </w:rPr>
              <w:t>.64</w:t>
            </w:r>
            <w:r w:rsidRPr="002538AA">
              <w:rPr>
                <w:rFonts w:asciiTheme="minorHAnsi" w:hAnsiTheme="minorHAnsi"/>
                <w:color w:val="000000"/>
                <w:sz w:val="20"/>
                <w:szCs w:val="20"/>
                <w:vertAlign w:val="superscript"/>
                <w:lang w:val="en-US"/>
              </w:rPr>
              <w:t>**</w:t>
            </w:r>
          </w:p>
        </w:tc>
        <w:tc>
          <w:tcPr>
            <w:tcW w:w="787" w:type="dxa"/>
            <w:tcBorders>
              <w:top w:val="nil"/>
              <w:bottom w:val="nil"/>
            </w:tcBorders>
            <w:shd w:val="clear" w:color="auto" w:fill="auto"/>
            <w:noWrap/>
            <w:vAlign w:val="center"/>
          </w:tcPr>
          <w:p w14:paraId="07244200" w14:textId="77777777" w:rsidR="00877BAB" w:rsidRPr="0030218A" w:rsidRDefault="00877BAB" w:rsidP="00877BAB">
            <w:pPr>
              <w:spacing w:after="0" w:line="340" w:lineRule="exact"/>
              <w:jc w:val="center"/>
              <w:rPr>
                <w:rFonts w:asciiTheme="minorHAnsi" w:hAnsiTheme="minorHAnsi"/>
                <w:color w:val="000000"/>
                <w:sz w:val="20"/>
                <w:szCs w:val="20"/>
                <w:lang w:val="en-US"/>
              </w:rPr>
            </w:pPr>
            <w:r w:rsidRPr="0030218A">
              <w:rPr>
                <w:rFonts w:asciiTheme="minorHAnsi" w:hAnsiTheme="minorHAnsi"/>
                <w:color w:val="000000"/>
                <w:sz w:val="20"/>
                <w:szCs w:val="20"/>
                <w:lang w:val="en-US"/>
              </w:rPr>
              <w:t>.75</w:t>
            </w:r>
            <w:r w:rsidRPr="0030218A">
              <w:rPr>
                <w:rFonts w:asciiTheme="minorHAnsi" w:hAnsiTheme="minorHAnsi"/>
                <w:color w:val="000000"/>
                <w:sz w:val="20"/>
                <w:szCs w:val="20"/>
                <w:vertAlign w:val="superscript"/>
                <w:lang w:val="en-US"/>
              </w:rPr>
              <w:t>**</w:t>
            </w:r>
          </w:p>
        </w:tc>
        <w:tc>
          <w:tcPr>
            <w:tcW w:w="788" w:type="dxa"/>
            <w:tcBorders>
              <w:top w:val="nil"/>
              <w:bottom w:val="nil"/>
            </w:tcBorders>
            <w:shd w:val="clear" w:color="auto" w:fill="auto"/>
            <w:noWrap/>
            <w:vAlign w:val="center"/>
          </w:tcPr>
          <w:p w14:paraId="1504A0E4" w14:textId="77777777" w:rsidR="00877BAB" w:rsidRPr="00AD0B5E" w:rsidRDefault="00877BAB" w:rsidP="00877BAB">
            <w:pPr>
              <w:spacing w:after="0" w:line="340" w:lineRule="exact"/>
              <w:jc w:val="center"/>
              <w:rPr>
                <w:rFonts w:asciiTheme="minorHAnsi" w:hAnsiTheme="minorHAnsi"/>
                <w:color w:val="000000"/>
                <w:sz w:val="20"/>
                <w:szCs w:val="20"/>
                <w:lang w:val="en-US"/>
              </w:rPr>
            </w:pPr>
            <w:r w:rsidRPr="0030218A">
              <w:rPr>
                <w:rFonts w:asciiTheme="minorHAnsi" w:hAnsiTheme="minorHAnsi"/>
                <w:color w:val="000000"/>
                <w:sz w:val="20"/>
                <w:szCs w:val="20"/>
                <w:lang w:val="en-US"/>
              </w:rPr>
              <w:t>.64</w:t>
            </w:r>
            <w:r w:rsidRPr="0030218A">
              <w:rPr>
                <w:rFonts w:asciiTheme="minorHAnsi" w:hAnsiTheme="minorHAnsi"/>
                <w:color w:val="000000"/>
                <w:sz w:val="20"/>
                <w:szCs w:val="20"/>
                <w:vertAlign w:val="superscript"/>
                <w:lang w:val="en-US"/>
              </w:rPr>
              <w:t>**</w:t>
            </w:r>
          </w:p>
        </w:tc>
        <w:tc>
          <w:tcPr>
            <w:tcW w:w="788" w:type="dxa"/>
            <w:tcBorders>
              <w:top w:val="nil"/>
              <w:bottom w:val="nil"/>
            </w:tcBorders>
            <w:shd w:val="clear" w:color="auto" w:fill="auto"/>
            <w:noWrap/>
            <w:vAlign w:val="center"/>
          </w:tcPr>
          <w:p w14:paraId="6D9D08B7" w14:textId="77777777" w:rsidR="00877BAB" w:rsidRPr="00CD129C" w:rsidRDefault="00877BAB" w:rsidP="00877BAB">
            <w:pPr>
              <w:spacing w:after="0" w:line="340" w:lineRule="exact"/>
              <w:jc w:val="center"/>
              <w:rPr>
                <w:rFonts w:asciiTheme="minorHAnsi" w:hAnsiTheme="minorHAnsi"/>
                <w:color w:val="000000"/>
                <w:sz w:val="20"/>
                <w:szCs w:val="20"/>
                <w:lang w:val="en-US"/>
              </w:rPr>
            </w:pPr>
            <w:r w:rsidRPr="00AD0B5E">
              <w:rPr>
                <w:rFonts w:asciiTheme="minorHAnsi" w:hAnsiTheme="minorHAnsi"/>
                <w:color w:val="000000"/>
                <w:sz w:val="20"/>
                <w:szCs w:val="20"/>
                <w:lang w:val="en-US"/>
              </w:rPr>
              <w:t>.91</w:t>
            </w:r>
            <w:r w:rsidRPr="00CD129C">
              <w:rPr>
                <w:rFonts w:asciiTheme="minorHAnsi" w:hAnsiTheme="minorHAnsi"/>
                <w:color w:val="000000"/>
                <w:sz w:val="20"/>
                <w:szCs w:val="20"/>
                <w:vertAlign w:val="superscript"/>
                <w:lang w:val="en-US"/>
              </w:rPr>
              <w:t>**</w:t>
            </w:r>
          </w:p>
        </w:tc>
        <w:tc>
          <w:tcPr>
            <w:tcW w:w="788" w:type="dxa"/>
            <w:tcBorders>
              <w:top w:val="nil"/>
              <w:bottom w:val="nil"/>
            </w:tcBorders>
            <w:shd w:val="clear" w:color="auto" w:fill="auto"/>
            <w:noWrap/>
            <w:vAlign w:val="center"/>
          </w:tcPr>
          <w:p w14:paraId="3C645608" w14:textId="77777777" w:rsidR="00877BAB" w:rsidRPr="00CD129C" w:rsidRDefault="00877BAB" w:rsidP="00877BAB">
            <w:pPr>
              <w:spacing w:after="0" w:line="340" w:lineRule="exact"/>
              <w:jc w:val="center"/>
              <w:rPr>
                <w:rFonts w:asciiTheme="minorHAnsi" w:hAnsiTheme="minorHAnsi"/>
                <w:color w:val="000000"/>
                <w:sz w:val="20"/>
                <w:szCs w:val="20"/>
                <w:lang w:val="en-US"/>
              </w:rPr>
            </w:pPr>
            <w:r w:rsidRPr="00CD129C">
              <w:rPr>
                <w:rFonts w:asciiTheme="minorHAnsi" w:hAnsiTheme="minorHAnsi"/>
                <w:color w:val="000000"/>
                <w:sz w:val="20"/>
                <w:szCs w:val="20"/>
                <w:lang w:val="en-US"/>
              </w:rPr>
              <w:t>-</w:t>
            </w:r>
          </w:p>
        </w:tc>
        <w:tc>
          <w:tcPr>
            <w:tcW w:w="788" w:type="dxa"/>
            <w:tcBorders>
              <w:top w:val="nil"/>
              <w:bottom w:val="nil"/>
            </w:tcBorders>
            <w:shd w:val="clear" w:color="auto" w:fill="auto"/>
            <w:noWrap/>
            <w:vAlign w:val="center"/>
          </w:tcPr>
          <w:p w14:paraId="70454CFE" w14:textId="77777777" w:rsidR="00877BAB" w:rsidRPr="00CD129C" w:rsidRDefault="00877BAB" w:rsidP="00877BAB">
            <w:pPr>
              <w:spacing w:after="0" w:line="340" w:lineRule="exact"/>
              <w:jc w:val="center"/>
              <w:rPr>
                <w:rFonts w:asciiTheme="minorHAnsi" w:hAnsiTheme="minorHAnsi"/>
                <w:color w:val="000000"/>
                <w:sz w:val="20"/>
                <w:szCs w:val="20"/>
                <w:lang w:val="en-US"/>
              </w:rPr>
            </w:pPr>
          </w:p>
        </w:tc>
        <w:tc>
          <w:tcPr>
            <w:tcW w:w="788" w:type="dxa"/>
            <w:tcBorders>
              <w:top w:val="nil"/>
              <w:bottom w:val="nil"/>
            </w:tcBorders>
            <w:shd w:val="clear" w:color="auto" w:fill="auto"/>
            <w:noWrap/>
            <w:vAlign w:val="center"/>
          </w:tcPr>
          <w:p w14:paraId="2DA78F2E" w14:textId="77777777" w:rsidR="00877BAB" w:rsidRPr="000521C6" w:rsidRDefault="00877BAB" w:rsidP="00877BAB">
            <w:pPr>
              <w:spacing w:after="0" w:line="340" w:lineRule="exact"/>
              <w:jc w:val="center"/>
              <w:rPr>
                <w:rFonts w:asciiTheme="minorHAnsi" w:hAnsiTheme="minorHAnsi"/>
                <w:color w:val="000000"/>
                <w:sz w:val="20"/>
                <w:szCs w:val="20"/>
                <w:lang w:val="en-US"/>
              </w:rPr>
            </w:pPr>
          </w:p>
        </w:tc>
      </w:tr>
      <w:tr w:rsidR="00877BAB" w:rsidRPr="000223EE" w14:paraId="030B0E76" w14:textId="77777777" w:rsidTr="00877BAB">
        <w:trPr>
          <w:trHeight w:val="20"/>
          <w:jc w:val="right"/>
        </w:trPr>
        <w:tc>
          <w:tcPr>
            <w:tcW w:w="1728" w:type="dxa"/>
            <w:tcBorders>
              <w:top w:val="nil"/>
              <w:bottom w:val="nil"/>
            </w:tcBorders>
            <w:shd w:val="clear" w:color="auto" w:fill="auto"/>
            <w:vAlign w:val="center"/>
          </w:tcPr>
          <w:p w14:paraId="1C4B4F6B" w14:textId="77777777" w:rsidR="00877BAB" w:rsidRPr="00553F90" w:rsidRDefault="00877BAB" w:rsidP="00877BAB">
            <w:pPr>
              <w:spacing w:after="0" w:line="340" w:lineRule="exact"/>
              <w:rPr>
                <w:rFonts w:asciiTheme="minorHAnsi" w:hAnsiTheme="minorHAnsi"/>
                <w:color w:val="000000"/>
                <w:sz w:val="20"/>
                <w:szCs w:val="20"/>
                <w:lang w:val="en-US"/>
              </w:rPr>
            </w:pPr>
            <w:r w:rsidRPr="00553F90">
              <w:rPr>
                <w:rFonts w:asciiTheme="minorHAnsi" w:hAnsiTheme="minorHAnsi"/>
                <w:color w:val="000000"/>
                <w:sz w:val="20"/>
                <w:szCs w:val="20"/>
                <w:lang w:val="en-US"/>
              </w:rPr>
              <w:t>15. SDO Time 1</w:t>
            </w:r>
          </w:p>
        </w:tc>
        <w:tc>
          <w:tcPr>
            <w:tcW w:w="787" w:type="dxa"/>
            <w:tcBorders>
              <w:top w:val="nil"/>
              <w:bottom w:val="nil"/>
            </w:tcBorders>
            <w:shd w:val="clear" w:color="auto" w:fill="auto"/>
            <w:noWrap/>
            <w:vAlign w:val="center"/>
          </w:tcPr>
          <w:p w14:paraId="10326AB4" w14:textId="77777777" w:rsidR="00877BAB" w:rsidRPr="000223EE" w:rsidRDefault="00877BAB" w:rsidP="00877BAB">
            <w:pPr>
              <w:spacing w:after="0" w:line="340" w:lineRule="exact"/>
              <w:jc w:val="center"/>
              <w:rPr>
                <w:rFonts w:asciiTheme="minorHAnsi" w:hAnsiTheme="minorHAnsi"/>
                <w:color w:val="000000"/>
                <w:sz w:val="20"/>
                <w:szCs w:val="20"/>
                <w:lang w:val="en-US"/>
              </w:rPr>
            </w:pPr>
            <w:r w:rsidRPr="000223EE">
              <w:rPr>
                <w:rFonts w:asciiTheme="minorHAnsi" w:hAnsiTheme="minorHAnsi"/>
                <w:color w:val="000000"/>
                <w:sz w:val="20"/>
                <w:szCs w:val="20"/>
                <w:lang w:val="en-US"/>
              </w:rPr>
              <w:t>-.16</w:t>
            </w:r>
          </w:p>
        </w:tc>
        <w:tc>
          <w:tcPr>
            <w:tcW w:w="788" w:type="dxa"/>
            <w:tcBorders>
              <w:top w:val="nil"/>
              <w:bottom w:val="nil"/>
            </w:tcBorders>
            <w:shd w:val="clear" w:color="auto" w:fill="auto"/>
            <w:noWrap/>
            <w:vAlign w:val="center"/>
          </w:tcPr>
          <w:p w14:paraId="79344305" w14:textId="77777777" w:rsidR="00877BAB" w:rsidRPr="000223EE" w:rsidRDefault="00877BAB" w:rsidP="00877BAB">
            <w:pPr>
              <w:spacing w:after="0" w:line="340" w:lineRule="exact"/>
              <w:jc w:val="center"/>
              <w:rPr>
                <w:rFonts w:asciiTheme="minorHAnsi" w:hAnsiTheme="minorHAnsi"/>
                <w:color w:val="000000"/>
                <w:sz w:val="20"/>
                <w:szCs w:val="20"/>
                <w:lang w:val="en-US"/>
              </w:rPr>
            </w:pPr>
            <w:r w:rsidRPr="000223EE">
              <w:rPr>
                <w:rFonts w:asciiTheme="minorHAnsi" w:hAnsiTheme="minorHAnsi"/>
                <w:color w:val="000000"/>
                <w:sz w:val="20"/>
                <w:szCs w:val="20"/>
                <w:lang w:val="en-US"/>
              </w:rPr>
              <w:t>-.06</w:t>
            </w:r>
          </w:p>
        </w:tc>
        <w:tc>
          <w:tcPr>
            <w:tcW w:w="788" w:type="dxa"/>
            <w:tcBorders>
              <w:top w:val="nil"/>
              <w:bottom w:val="nil"/>
            </w:tcBorders>
            <w:shd w:val="clear" w:color="auto" w:fill="auto"/>
            <w:noWrap/>
            <w:vAlign w:val="center"/>
          </w:tcPr>
          <w:p w14:paraId="64FC0988" w14:textId="77777777" w:rsidR="00877BAB" w:rsidRPr="000223EE" w:rsidRDefault="00877BAB" w:rsidP="00877BAB">
            <w:pPr>
              <w:spacing w:after="0" w:line="340" w:lineRule="exact"/>
              <w:jc w:val="center"/>
              <w:rPr>
                <w:rFonts w:asciiTheme="minorHAnsi" w:hAnsiTheme="minorHAnsi"/>
                <w:color w:val="000000"/>
                <w:sz w:val="20"/>
                <w:szCs w:val="20"/>
                <w:lang w:val="en-US"/>
              </w:rPr>
            </w:pPr>
            <w:r w:rsidRPr="000223EE">
              <w:rPr>
                <w:rFonts w:asciiTheme="minorHAnsi" w:hAnsiTheme="minorHAnsi"/>
                <w:color w:val="000000"/>
                <w:sz w:val="20"/>
                <w:szCs w:val="20"/>
                <w:lang w:val="en-US"/>
              </w:rPr>
              <w:t>.13</w:t>
            </w:r>
          </w:p>
        </w:tc>
        <w:tc>
          <w:tcPr>
            <w:tcW w:w="788" w:type="dxa"/>
            <w:tcBorders>
              <w:top w:val="nil"/>
              <w:bottom w:val="nil"/>
            </w:tcBorders>
            <w:shd w:val="clear" w:color="auto" w:fill="auto"/>
            <w:noWrap/>
            <w:vAlign w:val="center"/>
          </w:tcPr>
          <w:p w14:paraId="340683D8" w14:textId="77777777" w:rsidR="00877BAB" w:rsidRPr="000223EE" w:rsidRDefault="00877BAB" w:rsidP="00877BAB">
            <w:pPr>
              <w:spacing w:after="0" w:line="340" w:lineRule="exact"/>
              <w:jc w:val="center"/>
              <w:rPr>
                <w:rFonts w:asciiTheme="minorHAnsi" w:hAnsiTheme="minorHAnsi"/>
                <w:color w:val="000000"/>
                <w:sz w:val="20"/>
                <w:szCs w:val="20"/>
                <w:lang w:val="en-US"/>
              </w:rPr>
            </w:pPr>
            <w:r w:rsidRPr="000223EE">
              <w:rPr>
                <w:rFonts w:asciiTheme="minorHAnsi" w:hAnsiTheme="minorHAnsi"/>
                <w:color w:val="000000"/>
                <w:sz w:val="20"/>
                <w:szCs w:val="20"/>
                <w:lang w:val="en-US"/>
              </w:rPr>
              <w:t>.25</w:t>
            </w:r>
            <w:r w:rsidRPr="000223EE">
              <w:rPr>
                <w:rFonts w:asciiTheme="minorHAnsi" w:hAnsiTheme="minorHAnsi"/>
                <w:color w:val="000000"/>
                <w:sz w:val="20"/>
                <w:szCs w:val="20"/>
                <w:vertAlign w:val="superscript"/>
                <w:lang w:val="en-US"/>
              </w:rPr>
              <w:t>*</w:t>
            </w:r>
          </w:p>
        </w:tc>
        <w:tc>
          <w:tcPr>
            <w:tcW w:w="788" w:type="dxa"/>
            <w:tcBorders>
              <w:top w:val="nil"/>
              <w:bottom w:val="nil"/>
            </w:tcBorders>
            <w:shd w:val="clear" w:color="auto" w:fill="auto"/>
            <w:noWrap/>
            <w:vAlign w:val="center"/>
          </w:tcPr>
          <w:p w14:paraId="78FCBC59" w14:textId="77777777" w:rsidR="00877BAB" w:rsidRPr="000223EE" w:rsidRDefault="00877BAB" w:rsidP="00877BAB">
            <w:pPr>
              <w:spacing w:after="0" w:line="340" w:lineRule="exact"/>
              <w:jc w:val="center"/>
              <w:rPr>
                <w:rFonts w:asciiTheme="minorHAnsi" w:hAnsiTheme="minorHAnsi"/>
                <w:color w:val="000000"/>
                <w:sz w:val="20"/>
                <w:szCs w:val="20"/>
                <w:lang w:val="en-US"/>
              </w:rPr>
            </w:pPr>
            <w:r w:rsidRPr="000223EE">
              <w:rPr>
                <w:rFonts w:asciiTheme="minorHAnsi" w:hAnsiTheme="minorHAnsi"/>
                <w:color w:val="000000"/>
                <w:sz w:val="20"/>
                <w:szCs w:val="20"/>
                <w:lang w:val="en-US"/>
              </w:rPr>
              <w:t>.08</w:t>
            </w:r>
          </w:p>
        </w:tc>
        <w:tc>
          <w:tcPr>
            <w:tcW w:w="787" w:type="dxa"/>
            <w:tcBorders>
              <w:top w:val="nil"/>
              <w:bottom w:val="nil"/>
            </w:tcBorders>
            <w:shd w:val="clear" w:color="auto" w:fill="auto"/>
            <w:noWrap/>
            <w:vAlign w:val="center"/>
          </w:tcPr>
          <w:p w14:paraId="12D29C18" w14:textId="77777777" w:rsidR="00877BAB" w:rsidRPr="000223EE" w:rsidRDefault="00877BAB" w:rsidP="00877BAB">
            <w:pPr>
              <w:spacing w:after="0" w:line="340" w:lineRule="exact"/>
              <w:jc w:val="center"/>
              <w:rPr>
                <w:rFonts w:asciiTheme="minorHAnsi" w:hAnsiTheme="minorHAnsi"/>
                <w:color w:val="000000"/>
                <w:sz w:val="20"/>
                <w:szCs w:val="20"/>
                <w:lang w:val="en-US"/>
              </w:rPr>
            </w:pPr>
            <w:r w:rsidRPr="000223EE">
              <w:rPr>
                <w:rFonts w:asciiTheme="minorHAnsi" w:hAnsiTheme="minorHAnsi"/>
                <w:color w:val="000000"/>
                <w:sz w:val="20"/>
                <w:szCs w:val="20"/>
                <w:lang w:val="en-US"/>
              </w:rPr>
              <w:t>.54</w:t>
            </w:r>
            <w:r w:rsidRPr="000223EE">
              <w:rPr>
                <w:rFonts w:asciiTheme="minorHAnsi" w:hAnsiTheme="minorHAnsi"/>
                <w:color w:val="000000"/>
                <w:sz w:val="20"/>
                <w:szCs w:val="20"/>
                <w:vertAlign w:val="superscript"/>
                <w:lang w:val="en-US"/>
              </w:rPr>
              <w:t>**</w:t>
            </w:r>
          </w:p>
        </w:tc>
        <w:tc>
          <w:tcPr>
            <w:tcW w:w="788" w:type="dxa"/>
            <w:tcBorders>
              <w:top w:val="nil"/>
              <w:bottom w:val="nil"/>
            </w:tcBorders>
            <w:shd w:val="clear" w:color="auto" w:fill="auto"/>
            <w:noWrap/>
            <w:vAlign w:val="center"/>
          </w:tcPr>
          <w:p w14:paraId="34BAFEA4" w14:textId="77777777" w:rsidR="00877BAB" w:rsidRPr="000223EE" w:rsidRDefault="00877BAB" w:rsidP="00877BAB">
            <w:pPr>
              <w:spacing w:after="0" w:line="340" w:lineRule="exact"/>
              <w:jc w:val="center"/>
              <w:rPr>
                <w:rFonts w:asciiTheme="minorHAnsi" w:hAnsiTheme="minorHAnsi"/>
                <w:color w:val="000000"/>
                <w:sz w:val="20"/>
                <w:szCs w:val="20"/>
                <w:lang w:val="en-US"/>
              </w:rPr>
            </w:pPr>
            <w:r w:rsidRPr="000223EE">
              <w:rPr>
                <w:rFonts w:asciiTheme="minorHAnsi" w:hAnsiTheme="minorHAnsi"/>
                <w:color w:val="000000"/>
                <w:sz w:val="20"/>
                <w:szCs w:val="20"/>
                <w:lang w:val="en-US"/>
              </w:rPr>
              <w:t>.61</w:t>
            </w:r>
            <w:r w:rsidRPr="000223EE">
              <w:rPr>
                <w:rFonts w:asciiTheme="minorHAnsi" w:hAnsiTheme="minorHAnsi"/>
                <w:color w:val="000000"/>
                <w:sz w:val="20"/>
                <w:szCs w:val="20"/>
                <w:vertAlign w:val="superscript"/>
                <w:lang w:val="en-US"/>
              </w:rPr>
              <w:t>**</w:t>
            </w:r>
          </w:p>
        </w:tc>
        <w:tc>
          <w:tcPr>
            <w:tcW w:w="788" w:type="dxa"/>
            <w:tcBorders>
              <w:top w:val="nil"/>
              <w:bottom w:val="nil"/>
            </w:tcBorders>
            <w:shd w:val="clear" w:color="auto" w:fill="auto"/>
            <w:noWrap/>
            <w:vAlign w:val="center"/>
          </w:tcPr>
          <w:p w14:paraId="04C79CB8" w14:textId="77777777" w:rsidR="00877BAB" w:rsidRPr="000223EE" w:rsidRDefault="00877BAB" w:rsidP="00877BAB">
            <w:pPr>
              <w:spacing w:after="0" w:line="340" w:lineRule="exact"/>
              <w:jc w:val="center"/>
              <w:rPr>
                <w:rFonts w:asciiTheme="minorHAnsi" w:hAnsiTheme="minorHAnsi"/>
                <w:color w:val="000000"/>
                <w:sz w:val="20"/>
                <w:szCs w:val="20"/>
                <w:lang w:val="en-US"/>
              </w:rPr>
            </w:pPr>
            <w:r w:rsidRPr="000223EE">
              <w:rPr>
                <w:rFonts w:asciiTheme="minorHAnsi" w:hAnsiTheme="minorHAnsi"/>
                <w:color w:val="000000"/>
                <w:sz w:val="20"/>
                <w:szCs w:val="20"/>
                <w:lang w:val="en-US"/>
              </w:rPr>
              <w:t>.39</w:t>
            </w:r>
            <w:r w:rsidRPr="000223EE">
              <w:rPr>
                <w:rFonts w:asciiTheme="minorHAnsi" w:hAnsiTheme="minorHAnsi"/>
                <w:color w:val="000000"/>
                <w:sz w:val="20"/>
                <w:szCs w:val="20"/>
                <w:vertAlign w:val="superscript"/>
                <w:lang w:val="en-US"/>
              </w:rPr>
              <w:t>**</w:t>
            </w:r>
          </w:p>
        </w:tc>
        <w:tc>
          <w:tcPr>
            <w:tcW w:w="788" w:type="dxa"/>
            <w:tcBorders>
              <w:top w:val="nil"/>
              <w:bottom w:val="nil"/>
            </w:tcBorders>
            <w:shd w:val="clear" w:color="auto" w:fill="auto"/>
            <w:noWrap/>
            <w:vAlign w:val="center"/>
          </w:tcPr>
          <w:p w14:paraId="78D3E8BA" w14:textId="77777777" w:rsidR="00877BAB" w:rsidRPr="000223EE" w:rsidRDefault="00877BAB" w:rsidP="00877BAB">
            <w:pPr>
              <w:spacing w:after="0" w:line="340" w:lineRule="exact"/>
              <w:jc w:val="center"/>
              <w:rPr>
                <w:rFonts w:asciiTheme="minorHAnsi" w:hAnsiTheme="minorHAnsi"/>
                <w:color w:val="000000"/>
                <w:sz w:val="20"/>
                <w:szCs w:val="20"/>
                <w:lang w:val="en-US"/>
              </w:rPr>
            </w:pPr>
            <w:r w:rsidRPr="000223EE">
              <w:rPr>
                <w:rFonts w:asciiTheme="minorHAnsi" w:hAnsiTheme="minorHAnsi"/>
                <w:color w:val="000000"/>
                <w:sz w:val="20"/>
                <w:szCs w:val="20"/>
                <w:lang w:val="en-US"/>
              </w:rPr>
              <w:t>.10</w:t>
            </w:r>
          </w:p>
        </w:tc>
        <w:tc>
          <w:tcPr>
            <w:tcW w:w="788" w:type="dxa"/>
            <w:tcBorders>
              <w:top w:val="nil"/>
              <w:bottom w:val="nil"/>
            </w:tcBorders>
            <w:shd w:val="clear" w:color="auto" w:fill="auto"/>
            <w:noWrap/>
            <w:vAlign w:val="center"/>
          </w:tcPr>
          <w:p w14:paraId="74941603" w14:textId="77777777" w:rsidR="00877BAB" w:rsidRPr="00BA1F6A" w:rsidRDefault="00877BAB" w:rsidP="00877BAB">
            <w:pPr>
              <w:spacing w:after="0" w:line="340" w:lineRule="exact"/>
              <w:jc w:val="center"/>
              <w:rPr>
                <w:rFonts w:asciiTheme="minorHAnsi" w:hAnsiTheme="minorHAnsi"/>
                <w:color w:val="000000"/>
                <w:sz w:val="20"/>
                <w:szCs w:val="20"/>
                <w:lang w:val="en-US"/>
              </w:rPr>
            </w:pPr>
            <w:r w:rsidRPr="000223EE">
              <w:rPr>
                <w:rFonts w:asciiTheme="minorHAnsi" w:hAnsiTheme="minorHAnsi"/>
                <w:color w:val="000000"/>
                <w:sz w:val="20"/>
                <w:szCs w:val="20"/>
                <w:lang w:val="en-US"/>
              </w:rPr>
              <w:t>.</w:t>
            </w:r>
            <w:r w:rsidRPr="00BA1F6A">
              <w:rPr>
                <w:rFonts w:asciiTheme="minorHAnsi" w:hAnsiTheme="minorHAnsi"/>
                <w:color w:val="000000"/>
                <w:sz w:val="20"/>
                <w:szCs w:val="20"/>
                <w:lang w:val="en-US"/>
              </w:rPr>
              <w:t>31</w:t>
            </w:r>
            <w:r w:rsidRPr="00BA1F6A">
              <w:rPr>
                <w:rFonts w:asciiTheme="minorHAnsi" w:hAnsiTheme="minorHAnsi"/>
                <w:color w:val="000000"/>
                <w:sz w:val="20"/>
                <w:szCs w:val="20"/>
                <w:vertAlign w:val="superscript"/>
                <w:lang w:val="en-US"/>
              </w:rPr>
              <w:t>*</w:t>
            </w:r>
          </w:p>
        </w:tc>
        <w:tc>
          <w:tcPr>
            <w:tcW w:w="787" w:type="dxa"/>
            <w:tcBorders>
              <w:top w:val="nil"/>
              <w:bottom w:val="nil"/>
            </w:tcBorders>
            <w:shd w:val="clear" w:color="auto" w:fill="auto"/>
            <w:noWrap/>
            <w:vAlign w:val="center"/>
          </w:tcPr>
          <w:p w14:paraId="701D6766" w14:textId="77777777" w:rsidR="00877BAB" w:rsidRPr="002538AA" w:rsidRDefault="00877BAB" w:rsidP="00877BAB">
            <w:pPr>
              <w:spacing w:after="0" w:line="340" w:lineRule="exact"/>
              <w:jc w:val="center"/>
              <w:rPr>
                <w:rFonts w:asciiTheme="minorHAnsi" w:hAnsiTheme="minorHAnsi"/>
                <w:color w:val="000000"/>
                <w:sz w:val="20"/>
                <w:szCs w:val="20"/>
                <w:lang w:val="en-US"/>
              </w:rPr>
            </w:pPr>
            <w:r w:rsidRPr="002538AA">
              <w:rPr>
                <w:rFonts w:asciiTheme="minorHAnsi" w:hAnsiTheme="minorHAnsi"/>
                <w:color w:val="000000"/>
                <w:sz w:val="20"/>
                <w:szCs w:val="20"/>
                <w:lang w:val="en-US"/>
              </w:rPr>
              <w:t>.25</w:t>
            </w:r>
            <w:r w:rsidRPr="002538AA">
              <w:rPr>
                <w:rFonts w:asciiTheme="minorHAnsi" w:hAnsiTheme="minorHAnsi"/>
                <w:color w:val="000000"/>
                <w:sz w:val="20"/>
                <w:szCs w:val="20"/>
                <w:vertAlign w:val="superscript"/>
                <w:lang w:val="en-US"/>
              </w:rPr>
              <w:t>*</w:t>
            </w:r>
          </w:p>
        </w:tc>
        <w:tc>
          <w:tcPr>
            <w:tcW w:w="788" w:type="dxa"/>
            <w:tcBorders>
              <w:top w:val="nil"/>
              <w:bottom w:val="nil"/>
            </w:tcBorders>
            <w:shd w:val="clear" w:color="auto" w:fill="auto"/>
            <w:noWrap/>
            <w:vAlign w:val="center"/>
          </w:tcPr>
          <w:p w14:paraId="3314AD11" w14:textId="77777777" w:rsidR="00877BAB" w:rsidRPr="002538AA" w:rsidRDefault="00877BAB" w:rsidP="00877BAB">
            <w:pPr>
              <w:spacing w:after="0" w:line="340" w:lineRule="exact"/>
              <w:jc w:val="center"/>
              <w:rPr>
                <w:rFonts w:asciiTheme="minorHAnsi" w:hAnsiTheme="minorHAnsi"/>
                <w:color w:val="000000"/>
                <w:sz w:val="20"/>
                <w:szCs w:val="20"/>
                <w:lang w:val="en-US"/>
              </w:rPr>
            </w:pPr>
            <w:r w:rsidRPr="002538AA">
              <w:rPr>
                <w:rFonts w:asciiTheme="minorHAnsi" w:hAnsiTheme="minorHAnsi"/>
                <w:color w:val="000000"/>
                <w:sz w:val="20"/>
                <w:szCs w:val="20"/>
                <w:lang w:val="en-US"/>
              </w:rPr>
              <w:t>.25</w:t>
            </w:r>
            <w:r w:rsidRPr="002538AA">
              <w:rPr>
                <w:rFonts w:asciiTheme="minorHAnsi" w:hAnsiTheme="minorHAnsi"/>
                <w:color w:val="000000"/>
                <w:sz w:val="20"/>
                <w:szCs w:val="20"/>
                <w:vertAlign w:val="superscript"/>
                <w:lang w:val="en-US"/>
              </w:rPr>
              <w:t>*</w:t>
            </w:r>
          </w:p>
        </w:tc>
        <w:tc>
          <w:tcPr>
            <w:tcW w:w="788" w:type="dxa"/>
            <w:tcBorders>
              <w:top w:val="nil"/>
              <w:bottom w:val="nil"/>
            </w:tcBorders>
            <w:shd w:val="clear" w:color="auto" w:fill="auto"/>
            <w:noWrap/>
            <w:vAlign w:val="center"/>
          </w:tcPr>
          <w:p w14:paraId="3B402624" w14:textId="77777777" w:rsidR="00877BAB" w:rsidRPr="0030218A" w:rsidRDefault="00877BAB" w:rsidP="00877BAB">
            <w:pPr>
              <w:spacing w:after="0" w:line="340" w:lineRule="exact"/>
              <w:jc w:val="center"/>
              <w:rPr>
                <w:rFonts w:asciiTheme="minorHAnsi" w:hAnsiTheme="minorHAnsi"/>
                <w:color w:val="000000"/>
                <w:sz w:val="20"/>
                <w:szCs w:val="20"/>
                <w:lang w:val="en-US"/>
              </w:rPr>
            </w:pPr>
            <w:r w:rsidRPr="0030218A">
              <w:rPr>
                <w:rFonts w:asciiTheme="minorHAnsi" w:hAnsiTheme="minorHAnsi"/>
                <w:color w:val="000000"/>
                <w:sz w:val="20"/>
                <w:szCs w:val="20"/>
                <w:lang w:val="en-US"/>
              </w:rPr>
              <w:t>.39</w:t>
            </w:r>
            <w:r w:rsidRPr="0030218A">
              <w:rPr>
                <w:rFonts w:asciiTheme="minorHAnsi" w:hAnsiTheme="minorHAnsi"/>
                <w:color w:val="000000"/>
                <w:sz w:val="20"/>
                <w:szCs w:val="20"/>
                <w:vertAlign w:val="superscript"/>
                <w:lang w:val="en-US"/>
              </w:rPr>
              <w:t>**</w:t>
            </w:r>
          </w:p>
        </w:tc>
        <w:tc>
          <w:tcPr>
            <w:tcW w:w="788" w:type="dxa"/>
            <w:tcBorders>
              <w:top w:val="nil"/>
              <w:bottom w:val="nil"/>
            </w:tcBorders>
            <w:shd w:val="clear" w:color="auto" w:fill="auto"/>
            <w:noWrap/>
            <w:vAlign w:val="center"/>
          </w:tcPr>
          <w:p w14:paraId="2703F910" w14:textId="77777777" w:rsidR="00877BAB" w:rsidRPr="00AD0B5E" w:rsidRDefault="00877BAB" w:rsidP="00877BAB">
            <w:pPr>
              <w:spacing w:after="0" w:line="340" w:lineRule="exact"/>
              <w:jc w:val="center"/>
              <w:rPr>
                <w:rFonts w:asciiTheme="minorHAnsi" w:hAnsiTheme="minorHAnsi"/>
                <w:color w:val="000000"/>
                <w:sz w:val="20"/>
                <w:szCs w:val="20"/>
                <w:lang w:val="en-US"/>
              </w:rPr>
            </w:pPr>
            <w:r w:rsidRPr="0030218A">
              <w:rPr>
                <w:rFonts w:asciiTheme="minorHAnsi" w:hAnsiTheme="minorHAnsi"/>
                <w:color w:val="000000"/>
                <w:sz w:val="20"/>
                <w:szCs w:val="20"/>
                <w:lang w:val="en-US"/>
              </w:rPr>
              <w:t>.34</w:t>
            </w:r>
            <w:r w:rsidRPr="0030218A">
              <w:rPr>
                <w:rFonts w:asciiTheme="minorHAnsi" w:hAnsiTheme="minorHAnsi"/>
                <w:color w:val="000000"/>
                <w:sz w:val="20"/>
                <w:szCs w:val="20"/>
                <w:vertAlign w:val="superscript"/>
                <w:lang w:val="en-US"/>
              </w:rPr>
              <w:t>**</w:t>
            </w:r>
          </w:p>
        </w:tc>
        <w:tc>
          <w:tcPr>
            <w:tcW w:w="788" w:type="dxa"/>
            <w:tcBorders>
              <w:top w:val="nil"/>
              <w:bottom w:val="nil"/>
            </w:tcBorders>
            <w:shd w:val="clear" w:color="auto" w:fill="auto"/>
            <w:noWrap/>
            <w:vAlign w:val="center"/>
          </w:tcPr>
          <w:p w14:paraId="5E76A750" w14:textId="77777777" w:rsidR="00877BAB" w:rsidRPr="00AD0B5E" w:rsidRDefault="00877BAB" w:rsidP="00877BAB">
            <w:pPr>
              <w:spacing w:after="0" w:line="340" w:lineRule="exact"/>
              <w:jc w:val="center"/>
              <w:rPr>
                <w:rFonts w:asciiTheme="minorHAnsi" w:hAnsiTheme="minorHAnsi"/>
                <w:color w:val="000000"/>
                <w:sz w:val="20"/>
                <w:szCs w:val="20"/>
                <w:lang w:val="en-US"/>
              </w:rPr>
            </w:pPr>
            <w:r w:rsidRPr="00AD0B5E">
              <w:rPr>
                <w:rFonts w:asciiTheme="minorHAnsi" w:hAnsiTheme="minorHAnsi"/>
                <w:color w:val="000000"/>
                <w:sz w:val="20"/>
                <w:szCs w:val="20"/>
                <w:lang w:val="en-US"/>
              </w:rPr>
              <w:t>-</w:t>
            </w:r>
          </w:p>
        </w:tc>
        <w:tc>
          <w:tcPr>
            <w:tcW w:w="788" w:type="dxa"/>
            <w:tcBorders>
              <w:top w:val="nil"/>
              <w:bottom w:val="nil"/>
            </w:tcBorders>
            <w:shd w:val="clear" w:color="auto" w:fill="auto"/>
            <w:noWrap/>
            <w:vAlign w:val="center"/>
          </w:tcPr>
          <w:p w14:paraId="08FD935D" w14:textId="77777777" w:rsidR="00877BAB" w:rsidRPr="00CD129C" w:rsidRDefault="00877BAB" w:rsidP="00877BAB">
            <w:pPr>
              <w:spacing w:after="0" w:line="340" w:lineRule="exact"/>
              <w:jc w:val="center"/>
              <w:rPr>
                <w:rFonts w:asciiTheme="minorHAnsi" w:hAnsiTheme="minorHAnsi"/>
                <w:color w:val="000000"/>
                <w:sz w:val="20"/>
                <w:szCs w:val="20"/>
                <w:lang w:val="en-US"/>
              </w:rPr>
            </w:pPr>
          </w:p>
        </w:tc>
      </w:tr>
      <w:tr w:rsidR="00877BAB" w:rsidRPr="000223EE" w14:paraId="2E2E0691" w14:textId="77777777" w:rsidTr="00877BAB">
        <w:trPr>
          <w:trHeight w:val="20"/>
          <w:jc w:val="right"/>
        </w:trPr>
        <w:tc>
          <w:tcPr>
            <w:tcW w:w="1728" w:type="dxa"/>
            <w:tcBorders>
              <w:top w:val="nil"/>
              <w:bottom w:val="single" w:sz="12" w:space="0" w:color="000000"/>
            </w:tcBorders>
            <w:shd w:val="clear" w:color="auto" w:fill="auto"/>
            <w:vAlign w:val="center"/>
          </w:tcPr>
          <w:p w14:paraId="5A3676C5" w14:textId="77777777" w:rsidR="00877BAB" w:rsidRPr="00553F90" w:rsidRDefault="00877BAB" w:rsidP="00877BAB">
            <w:pPr>
              <w:spacing w:after="0" w:line="340" w:lineRule="exact"/>
              <w:rPr>
                <w:rFonts w:asciiTheme="minorHAnsi" w:hAnsiTheme="minorHAnsi"/>
                <w:color w:val="000000"/>
                <w:sz w:val="20"/>
                <w:szCs w:val="20"/>
                <w:lang w:val="en-US"/>
              </w:rPr>
            </w:pPr>
            <w:r w:rsidRPr="00553F90">
              <w:rPr>
                <w:rFonts w:asciiTheme="minorHAnsi" w:hAnsiTheme="minorHAnsi"/>
                <w:color w:val="000000"/>
                <w:sz w:val="20"/>
                <w:szCs w:val="20"/>
                <w:lang w:val="en-US"/>
              </w:rPr>
              <w:t>16. SDO Time 2</w:t>
            </w:r>
          </w:p>
        </w:tc>
        <w:tc>
          <w:tcPr>
            <w:tcW w:w="787" w:type="dxa"/>
            <w:tcBorders>
              <w:top w:val="nil"/>
              <w:bottom w:val="single" w:sz="12" w:space="0" w:color="000000"/>
            </w:tcBorders>
            <w:shd w:val="clear" w:color="auto" w:fill="auto"/>
            <w:noWrap/>
            <w:vAlign w:val="center"/>
          </w:tcPr>
          <w:p w14:paraId="76773C5B" w14:textId="77777777" w:rsidR="00877BAB" w:rsidRPr="000223EE" w:rsidRDefault="00877BAB" w:rsidP="00877BAB">
            <w:pPr>
              <w:spacing w:after="0" w:line="340" w:lineRule="exact"/>
              <w:jc w:val="center"/>
              <w:rPr>
                <w:rFonts w:asciiTheme="minorHAnsi" w:hAnsiTheme="minorHAnsi"/>
                <w:color w:val="000000"/>
                <w:sz w:val="20"/>
                <w:szCs w:val="20"/>
                <w:lang w:val="en-US"/>
              </w:rPr>
            </w:pPr>
            <w:r w:rsidRPr="000223EE">
              <w:rPr>
                <w:rFonts w:asciiTheme="minorHAnsi" w:hAnsiTheme="minorHAnsi"/>
                <w:color w:val="000000"/>
                <w:sz w:val="20"/>
                <w:szCs w:val="20"/>
                <w:lang w:val="en-US"/>
              </w:rPr>
              <w:t>.11</w:t>
            </w:r>
          </w:p>
        </w:tc>
        <w:tc>
          <w:tcPr>
            <w:tcW w:w="788" w:type="dxa"/>
            <w:tcBorders>
              <w:top w:val="nil"/>
              <w:bottom w:val="single" w:sz="12" w:space="0" w:color="000000"/>
            </w:tcBorders>
            <w:shd w:val="clear" w:color="auto" w:fill="auto"/>
            <w:noWrap/>
            <w:vAlign w:val="center"/>
          </w:tcPr>
          <w:p w14:paraId="57536944" w14:textId="77777777" w:rsidR="00877BAB" w:rsidRPr="000223EE" w:rsidRDefault="00877BAB" w:rsidP="00877BAB">
            <w:pPr>
              <w:spacing w:after="0" w:line="340" w:lineRule="exact"/>
              <w:jc w:val="center"/>
              <w:rPr>
                <w:rFonts w:asciiTheme="minorHAnsi" w:hAnsiTheme="minorHAnsi"/>
                <w:color w:val="000000"/>
                <w:sz w:val="20"/>
                <w:szCs w:val="20"/>
                <w:lang w:val="en-US"/>
              </w:rPr>
            </w:pPr>
            <w:r w:rsidRPr="000223EE">
              <w:rPr>
                <w:rFonts w:asciiTheme="minorHAnsi" w:hAnsiTheme="minorHAnsi"/>
                <w:color w:val="000000"/>
                <w:sz w:val="20"/>
                <w:szCs w:val="20"/>
                <w:lang w:val="en-US"/>
              </w:rPr>
              <w:t>-.01</w:t>
            </w:r>
          </w:p>
        </w:tc>
        <w:tc>
          <w:tcPr>
            <w:tcW w:w="788" w:type="dxa"/>
            <w:tcBorders>
              <w:top w:val="nil"/>
              <w:bottom w:val="single" w:sz="12" w:space="0" w:color="000000"/>
            </w:tcBorders>
            <w:shd w:val="clear" w:color="auto" w:fill="auto"/>
            <w:noWrap/>
            <w:vAlign w:val="center"/>
          </w:tcPr>
          <w:p w14:paraId="35FA396F" w14:textId="77777777" w:rsidR="00877BAB" w:rsidRPr="000223EE" w:rsidRDefault="00877BAB" w:rsidP="00877BAB">
            <w:pPr>
              <w:spacing w:after="0" w:line="340" w:lineRule="exact"/>
              <w:jc w:val="center"/>
              <w:rPr>
                <w:rFonts w:asciiTheme="minorHAnsi" w:hAnsiTheme="minorHAnsi"/>
                <w:color w:val="000000"/>
                <w:sz w:val="20"/>
                <w:szCs w:val="20"/>
                <w:lang w:val="en-US"/>
              </w:rPr>
            </w:pPr>
            <w:r w:rsidRPr="000223EE">
              <w:rPr>
                <w:rFonts w:asciiTheme="minorHAnsi" w:hAnsiTheme="minorHAnsi"/>
                <w:color w:val="000000"/>
                <w:sz w:val="20"/>
                <w:szCs w:val="20"/>
                <w:lang w:val="en-US"/>
              </w:rPr>
              <w:t>.29</w:t>
            </w:r>
            <w:r w:rsidRPr="000223EE">
              <w:rPr>
                <w:rFonts w:asciiTheme="minorHAnsi" w:hAnsiTheme="minorHAnsi"/>
                <w:color w:val="000000"/>
                <w:sz w:val="20"/>
                <w:szCs w:val="20"/>
                <w:vertAlign w:val="superscript"/>
                <w:lang w:val="en-US"/>
              </w:rPr>
              <w:t>*</w:t>
            </w:r>
          </w:p>
        </w:tc>
        <w:tc>
          <w:tcPr>
            <w:tcW w:w="788" w:type="dxa"/>
            <w:tcBorders>
              <w:top w:val="nil"/>
              <w:bottom w:val="single" w:sz="12" w:space="0" w:color="000000"/>
            </w:tcBorders>
            <w:shd w:val="clear" w:color="auto" w:fill="auto"/>
            <w:noWrap/>
            <w:vAlign w:val="center"/>
          </w:tcPr>
          <w:p w14:paraId="5B7A2818" w14:textId="77777777" w:rsidR="00877BAB" w:rsidRPr="000223EE" w:rsidRDefault="00877BAB" w:rsidP="00877BAB">
            <w:pPr>
              <w:spacing w:after="0" w:line="340" w:lineRule="exact"/>
              <w:jc w:val="center"/>
              <w:rPr>
                <w:rFonts w:asciiTheme="minorHAnsi" w:hAnsiTheme="minorHAnsi"/>
                <w:color w:val="000000"/>
                <w:sz w:val="20"/>
                <w:szCs w:val="20"/>
                <w:lang w:val="en-US"/>
              </w:rPr>
            </w:pPr>
            <w:r w:rsidRPr="000223EE">
              <w:rPr>
                <w:rFonts w:asciiTheme="minorHAnsi" w:hAnsiTheme="minorHAnsi"/>
                <w:color w:val="000000"/>
                <w:sz w:val="20"/>
                <w:szCs w:val="20"/>
                <w:lang w:val="en-US"/>
              </w:rPr>
              <w:t>.17</w:t>
            </w:r>
          </w:p>
        </w:tc>
        <w:tc>
          <w:tcPr>
            <w:tcW w:w="788" w:type="dxa"/>
            <w:tcBorders>
              <w:top w:val="nil"/>
              <w:bottom w:val="single" w:sz="12" w:space="0" w:color="000000"/>
            </w:tcBorders>
            <w:shd w:val="clear" w:color="auto" w:fill="auto"/>
            <w:noWrap/>
            <w:vAlign w:val="center"/>
          </w:tcPr>
          <w:p w14:paraId="78611993" w14:textId="77777777" w:rsidR="00877BAB" w:rsidRPr="000223EE" w:rsidRDefault="00877BAB" w:rsidP="00877BAB">
            <w:pPr>
              <w:spacing w:after="0" w:line="340" w:lineRule="exact"/>
              <w:jc w:val="center"/>
              <w:rPr>
                <w:rFonts w:asciiTheme="minorHAnsi" w:hAnsiTheme="minorHAnsi"/>
                <w:color w:val="000000"/>
                <w:sz w:val="20"/>
                <w:szCs w:val="20"/>
                <w:lang w:val="en-US"/>
              </w:rPr>
            </w:pPr>
            <w:r w:rsidRPr="000223EE">
              <w:rPr>
                <w:rFonts w:asciiTheme="minorHAnsi" w:hAnsiTheme="minorHAnsi"/>
                <w:color w:val="000000"/>
                <w:sz w:val="20"/>
                <w:szCs w:val="20"/>
                <w:lang w:val="en-US"/>
              </w:rPr>
              <w:t>-.02</w:t>
            </w:r>
          </w:p>
        </w:tc>
        <w:tc>
          <w:tcPr>
            <w:tcW w:w="787" w:type="dxa"/>
            <w:tcBorders>
              <w:top w:val="nil"/>
              <w:bottom w:val="single" w:sz="12" w:space="0" w:color="000000"/>
            </w:tcBorders>
            <w:shd w:val="clear" w:color="auto" w:fill="auto"/>
            <w:noWrap/>
            <w:vAlign w:val="center"/>
          </w:tcPr>
          <w:p w14:paraId="401F1C15" w14:textId="77777777" w:rsidR="00877BAB" w:rsidRPr="000223EE" w:rsidRDefault="00877BAB" w:rsidP="00877BAB">
            <w:pPr>
              <w:spacing w:after="0" w:line="340" w:lineRule="exact"/>
              <w:jc w:val="center"/>
              <w:rPr>
                <w:rFonts w:asciiTheme="minorHAnsi" w:hAnsiTheme="minorHAnsi"/>
                <w:color w:val="000000"/>
                <w:sz w:val="20"/>
                <w:szCs w:val="20"/>
                <w:lang w:val="en-US"/>
              </w:rPr>
            </w:pPr>
            <w:r w:rsidRPr="000223EE">
              <w:rPr>
                <w:rFonts w:asciiTheme="minorHAnsi" w:hAnsiTheme="minorHAnsi"/>
                <w:color w:val="000000"/>
                <w:sz w:val="20"/>
                <w:szCs w:val="20"/>
                <w:lang w:val="en-US"/>
              </w:rPr>
              <w:t>.54</w:t>
            </w:r>
            <w:r w:rsidRPr="000223EE">
              <w:rPr>
                <w:rFonts w:asciiTheme="minorHAnsi" w:hAnsiTheme="minorHAnsi"/>
                <w:color w:val="000000"/>
                <w:sz w:val="20"/>
                <w:szCs w:val="20"/>
                <w:vertAlign w:val="superscript"/>
                <w:lang w:val="en-US"/>
              </w:rPr>
              <w:t>**</w:t>
            </w:r>
          </w:p>
        </w:tc>
        <w:tc>
          <w:tcPr>
            <w:tcW w:w="788" w:type="dxa"/>
            <w:tcBorders>
              <w:top w:val="nil"/>
              <w:bottom w:val="single" w:sz="12" w:space="0" w:color="000000"/>
            </w:tcBorders>
            <w:shd w:val="clear" w:color="auto" w:fill="auto"/>
            <w:noWrap/>
            <w:vAlign w:val="center"/>
          </w:tcPr>
          <w:p w14:paraId="048518E4" w14:textId="77777777" w:rsidR="00877BAB" w:rsidRPr="000223EE" w:rsidRDefault="00877BAB" w:rsidP="00877BAB">
            <w:pPr>
              <w:spacing w:after="0" w:line="340" w:lineRule="exact"/>
              <w:jc w:val="center"/>
              <w:rPr>
                <w:rFonts w:asciiTheme="minorHAnsi" w:hAnsiTheme="minorHAnsi"/>
                <w:color w:val="000000"/>
                <w:sz w:val="20"/>
                <w:szCs w:val="20"/>
                <w:lang w:val="en-US"/>
              </w:rPr>
            </w:pPr>
            <w:r w:rsidRPr="000223EE">
              <w:rPr>
                <w:rFonts w:asciiTheme="minorHAnsi" w:hAnsiTheme="minorHAnsi"/>
                <w:color w:val="000000"/>
                <w:sz w:val="20"/>
                <w:szCs w:val="20"/>
                <w:lang w:val="en-US"/>
              </w:rPr>
              <w:t>.70</w:t>
            </w:r>
            <w:r w:rsidRPr="000223EE">
              <w:rPr>
                <w:rFonts w:asciiTheme="minorHAnsi" w:hAnsiTheme="minorHAnsi"/>
                <w:color w:val="000000"/>
                <w:sz w:val="20"/>
                <w:szCs w:val="20"/>
                <w:vertAlign w:val="superscript"/>
                <w:lang w:val="en-US"/>
              </w:rPr>
              <w:t>**</w:t>
            </w:r>
          </w:p>
        </w:tc>
        <w:tc>
          <w:tcPr>
            <w:tcW w:w="788" w:type="dxa"/>
            <w:tcBorders>
              <w:top w:val="nil"/>
              <w:bottom w:val="single" w:sz="12" w:space="0" w:color="000000"/>
            </w:tcBorders>
            <w:shd w:val="clear" w:color="auto" w:fill="auto"/>
            <w:noWrap/>
            <w:vAlign w:val="center"/>
          </w:tcPr>
          <w:p w14:paraId="01188C58" w14:textId="77777777" w:rsidR="00877BAB" w:rsidRPr="000223EE" w:rsidRDefault="00877BAB" w:rsidP="00877BAB">
            <w:pPr>
              <w:spacing w:after="0" w:line="340" w:lineRule="exact"/>
              <w:jc w:val="center"/>
              <w:rPr>
                <w:rFonts w:asciiTheme="minorHAnsi" w:hAnsiTheme="minorHAnsi"/>
                <w:color w:val="000000"/>
                <w:sz w:val="20"/>
                <w:szCs w:val="20"/>
                <w:lang w:val="en-US"/>
              </w:rPr>
            </w:pPr>
            <w:r w:rsidRPr="000223EE">
              <w:rPr>
                <w:rFonts w:asciiTheme="minorHAnsi" w:hAnsiTheme="minorHAnsi"/>
                <w:color w:val="000000"/>
                <w:sz w:val="20"/>
                <w:szCs w:val="20"/>
                <w:lang w:val="en-US"/>
              </w:rPr>
              <w:t>0.36</w:t>
            </w:r>
          </w:p>
        </w:tc>
        <w:tc>
          <w:tcPr>
            <w:tcW w:w="788" w:type="dxa"/>
            <w:tcBorders>
              <w:top w:val="nil"/>
              <w:bottom w:val="single" w:sz="12" w:space="0" w:color="000000"/>
            </w:tcBorders>
            <w:shd w:val="clear" w:color="auto" w:fill="auto"/>
            <w:noWrap/>
            <w:vAlign w:val="center"/>
          </w:tcPr>
          <w:p w14:paraId="25CCB136" w14:textId="77777777" w:rsidR="00877BAB" w:rsidRPr="000223EE" w:rsidRDefault="00877BAB" w:rsidP="00877BAB">
            <w:pPr>
              <w:spacing w:after="0" w:line="340" w:lineRule="exact"/>
              <w:jc w:val="center"/>
              <w:rPr>
                <w:rFonts w:asciiTheme="minorHAnsi" w:hAnsiTheme="minorHAnsi"/>
                <w:color w:val="000000"/>
                <w:sz w:val="20"/>
                <w:szCs w:val="20"/>
                <w:lang w:val="en-US"/>
              </w:rPr>
            </w:pPr>
            <w:r w:rsidRPr="000223EE">
              <w:rPr>
                <w:rFonts w:asciiTheme="minorHAnsi" w:hAnsiTheme="minorHAnsi"/>
                <w:color w:val="000000"/>
                <w:sz w:val="20"/>
                <w:szCs w:val="20"/>
                <w:lang w:val="en-US"/>
              </w:rPr>
              <w:t>.44</w:t>
            </w:r>
            <w:r w:rsidRPr="000223EE">
              <w:rPr>
                <w:rFonts w:asciiTheme="minorHAnsi" w:hAnsiTheme="minorHAnsi"/>
                <w:color w:val="000000"/>
                <w:sz w:val="20"/>
                <w:szCs w:val="20"/>
                <w:vertAlign w:val="superscript"/>
                <w:lang w:val="en-US"/>
              </w:rPr>
              <w:t>*</w:t>
            </w:r>
          </w:p>
        </w:tc>
        <w:tc>
          <w:tcPr>
            <w:tcW w:w="788" w:type="dxa"/>
            <w:tcBorders>
              <w:top w:val="nil"/>
              <w:bottom w:val="single" w:sz="12" w:space="0" w:color="000000"/>
            </w:tcBorders>
            <w:shd w:val="clear" w:color="auto" w:fill="auto"/>
            <w:noWrap/>
            <w:vAlign w:val="center"/>
          </w:tcPr>
          <w:p w14:paraId="38B722A9" w14:textId="77777777" w:rsidR="00877BAB" w:rsidRPr="002538AA" w:rsidRDefault="00877BAB" w:rsidP="00877BAB">
            <w:pPr>
              <w:spacing w:after="0" w:line="340" w:lineRule="exact"/>
              <w:jc w:val="center"/>
              <w:rPr>
                <w:rFonts w:asciiTheme="minorHAnsi" w:hAnsiTheme="minorHAnsi"/>
                <w:color w:val="000000"/>
                <w:sz w:val="20"/>
                <w:szCs w:val="20"/>
                <w:lang w:val="en-US"/>
              </w:rPr>
            </w:pPr>
            <w:r w:rsidRPr="002538AA">
              <w:rPr>
                <w:rFonts w:asciiTheme="minorHAnsi" w:hAnsiTheme="minorHAnsi"/>
                <w:color w:val="000000"/>
                <w:sz w:val="20"/>
                <w:szCs w:val="20"/>
                <w:lang w:val="en-US"/>
              </w:rPr>
              <w:t>.34</w:t>
            </w:r>
            <w:r w:rsidRPr="002538AA">
              <w:rPr>
                <w:rFonts w:asciiTheme="minorHAnsi" w:hAnsiTheme="minorHAnsi"/>
                <w:color w:val="000000"/>
                <w:sz w:val="20"/>
                <w:szCs w:val="20"/>
                <w:vertAlign w:val="superscript"/>
                <w:lang w:val="en-US"/>
              </w:rPr>
              <w:t>**</w:t>
            </w:r>
          </w:p>
        </w:tc>
        <w:tc>
          <w:tcPr>
            <w:tcW w:w="787" w:type="dxa"/>
            <w:tcBorders>
              <w:top w:val="nil"/>
              <w:bottom w:val="single" w:sz="12" w:space="0" w:color="000000"/>
            </w:tcBorders>
            <w:shd w:val="clear" w:color="auto" w:fill="auto"/>
            <w:noWrap/>
            <w:vAlign w:val="center"/>
          </w:tcPr>
          <w:p w14:paraId="64B97BA8" w14:textId="77777777" w:rsidR="00877BAB" w:rsidRPr="002538AA" w:rsidRDefault="00877BAB" w:rsidP="00877BAB">
            <w:pPr>
              <w:spacing w:after="0" w:line="340" w:lineRule="exact"/>
              <w:jc w:val="center"/>
              <w:rPr>
                <w:rFonts w:asciiTheme="minorHAnsi" w:hAnsiTheme="minorHAnsi"/>
                <w:color w:val="000000"/>
                <w:sz w:val="20"/>
                <w:szCs w:val="20"/>
                <w:lang w:val="en-US"/>
              </w:rPr>
            </w:pPr>
            <w:r w:rsidRPr="002538AA">
              <w:rPr>
                <w:rFonts w:asciiTheme="minorHAnsi" w:hAnsiTheme="minorHAnsi"/>
                <w:color w:val="000000"/>
                <w:sz w:val="20"/>
                <w:szCs w:val="20"/>
                <w:lang w:val="en-US"/>
              </w:rPr>
              <w:t>.45</w:t>
            </w:r>
            <w:r w:rsidRPr="002538AA">
              <w:rPr>
                <w:rFonts w:asciiTheme="minorHAnsi" w:hAnsiTheme="minorHAnsi"/>
                <w:color w:val="000000"/>
                <w:sz w:val="20"/>
                <w:szCs w:val="20"/>
                <w:vertAlign w:val="superscript"/>
                <w:lang w:val="en-US"/>
              </w:rPr>
              <w:t>**</w:t>
            </w:r>
          </w:p>
        </w:tc>
        <w:tc>
          <w:tcPr>
            <w:tcW w:w="788" w:type="dxa"/>
            <w:tcBorders>
              <w:top w:val="nil"/>
              <w:bottom w:val="single" w:sz="12" w:space="0" w:color="000000"/>
            </w:tcBorders>
            <w:shd w:val="clear" w:color="auto" w:fill="auto"/>
            <w:noWrap/>
            <w:vAlign w:val="center"/>
          </w:tcPr>
          <w:p w14:paraId="3AC9BE7D" w14:textId="77777777" w:rsidR="00877BAB" w:rsidRPr="0030218A" w:rsidRDefault="00877BAB" w:rsidP="00877BAB">
            <w:pPr>
              <w:spacing w:after="0" w:line="340" w:lineRule="exact"/>
              <w:jc w:val="center"/>
              <w:rPr>
                <w:rFonts w:asciiTheme="minorHAnsi" w:hAnsiTheme="minorHAnsi"/>
                <w:color w:val="000000"/>
                <w:sz w:val="20"/>
                <w:szCs w:val="20"/>
                <w:lang w:val="en-US"/>
              </w:rPr>
            </w:pPr>
            <w:r w:rsidRPr="0030218A">
              <w:rPr>
                <w:rFonts w:asciiTheme="minorHAnsi" w:hAnsiTheme="minorHAnsi"/>
                <w:color w:val="000000"/>
                <w:sz w:val="20"/>
                <w:szCs w:val="20"/>
                <w:lang w:val="en-US"/>
              </w:rPr>
              <w:t>.45</w:t>
            </w:r>
            <w:r w:rsidRPr="0030218A">
              <w:rPr>
                <w:rFonts w:asciiTheme="minorHAnsi" w:hAnsiTheme="minorHAnsi"/>
                <w:color w:val="000000"/>
                <w:sz w:val="20"/>
                <w:szCs w:val="20"/>
                <w:vertAlign w:val="superscript"/>
                <w:lang w:val="en-US"/>
              </w:rPr>
              <w:t>**</w:t>
            </w:r>
          </w:p>
        </w:tc>
        <w:tc>
          <w:tcPr>
            <w:tcW w:w="788" w:type="dxa"/>
            <w:tcBorders>
              <w:top w:val="nil"/>
              <w:bottom w:val="single" w:sz="12" w:space="0" w:color="000000"/>
            </w:tcBorders>
            <w:shd w:val="clear" w:color="auto" w:fill="auto"/>
            <w:noWrap/>
            <w:vAlign w:val="center"/>
          </w:tcPr>
          <w:p w14:paraId="689D8ECF" w14:textId="77777777" w:rsidR="00877BAB" w:rsidRPr="00AD0B5E" w:rsidRDefault="00877BAB" w:rsidP="00877BAB">
            <w:pPr>
              <w:spacing w:after="0" w:line="340" w:lineRule="exact"/>
              <w:jc w:val="center"/>
              <w:rPr>
                <w:rFonts w:asciiTheme="minorHAnsi" w:hAnsiTheme="minorHAnsi"/>
                <w:color w:val="000000"/>
                <w:sz w:val="20"/>
                <w:szCs w:val="20"/>
                <w:lang w:val="en-US"/>
              </w:rPr>
            </w:pPr>
            <w:r w:rsidRPr="0030218A">
              <w:rPr>
                <w:rFonts w:asciiTheme="minorHAnsi" w:hAnsiTheme="minorHAnsi"/>
                <w:color w:val="000000"/>
                <w:sz w:val="20"/>
                <w:szCs w:val="20"/>
                <w:lang w:val="en-US"/>
              </w:rPr>
              <w:t>.47</w:t>
            </w:r>
            <w:r w:rsidRPr="0030218A">
              <w:rPr>
                <w:rFonts w:asciiTheme="minorHAnsi" w:hAnsiTheme="minorHAnsi"/>
                <w:color w:val="000000"/>
                <w:sz w:val="20"/>
                <w:szCs w:val="20"/>
                <w:vertAlign w:val="superscript"/>
                <w:lang w:val="en-US"/>
              </w:rPr>
              <w:t>**</w:t>
            </w:r>
          </w:p>
        </w:tc>
        <w:tc>
          <w:tcPr>
            <w:tcW w:w="788" w:type="dxa"/>
            <w:tcBorders>
              <w:top w:val="nil"/>
              <w:bottom w:val="single" w:sz="12" w:space="0" w:color="000000"/>
            </w:tcBorders>
            <w:shd w:val="clear" w:color="auto" w:fill="auto"/>
            <w:noWrap/>
            <w:vAlign w:val="center"/>
          </w:tcPr>
          <w:p w14:paraId="7F7C8D63" w14:textId="77777777" w:rsidR="00877BAB" w:rsidRPr="00CD129C" w:rsidRDefault="00877BAB" w:rsidP="00877BAB">
            <w:pPr>
              <w:spacing w:after="0" w:line="340" w:lineRule="exact"/>
              <w:jc w:val="center"/>
              <w:rPr>
                <w:rFonts w:asciiTheme="minorHAnsi" w:hAnsiTheme="minorHAnsi"/>
                <w:color w:val="000000"/>
                <w:sz w:val="20"/>
                <w:szCs w:val="20"/>
                <w:lang w:val="en-US"/>
              </w:rPr>
            </w:pPr>
            <w:r w:rsidRPr="00AD0B5E">
              <w:rPr>
                <w:rFonts w:asciiTheme="minorHAnsi" w:hAnsiTheme="minorHAnsi"/>
                <w:color w:val="000000"/>
                <w:sz w:val="20"/>
                <w:szCs w:val="20"/>
                <w:lang w:val="en-US"/>
              </w:rPr>
              <w:t>.49</w:t>
            </w:r>
            <w:r w:rsidRPr="00CD129C">
              <w:rPr>
                <w:rFonts w:asciiTheme="minorHAnsi" w:hAnsiTheme="minorHAnsi"/>
                <w:color w:val="000000"/>
                <w:sz w:val="20"/>
                <w:szCs w:val="20"/>
                <w:vertAlign w:val="superscript"/>
                <w:lang w:val="en-US"/>
              </w:rPr>
              <w:t>**</w:t>
            </w:r>
          </w:p>
        </w:tc>
        <w:tc>
          <w:tcPr>
            <w:tcW w:w="788" w:type="dxa"/>
            <w:tcBorders>
              <w:top w:val="nil"/>
              <w:bottom w:val="single" w:sz="12" w:space="0" w:color="000000"/>
            </w:tcBorders>
            <w:shd w:val="clear" w:color="auto" w:fill="auto"/>
            <w:noWrap/>
            <w:vAlign w:val="center"/>
          </w:tcPr>
          <w:p w14:paraId="68490846" w14:textId="77777777" w:rsidR="00877BAB" w:rsidRPr="00CD129C" w:rsidRDefault="00877BAB" w:rsidP="00877BAB">
            <w:pPr>
              <w:spacing w:after="0" w:line="340" w:lineRule="exact"/>
              <w:jc w:val="center"/>
              <w:rPr>
                <w:rFonts w:asciiTheme="minorHAnsi" w:hAnsiTheme="minorHAnsi"/>
                <w:color w:val="000000"/>
                <w:sz w:val="20"/>
                <w:szCs w:val="20"/>
                <w:lang w:val="en-US"/>
              </w:rPr>
            </w:pPr>
            <w:r w:rsidRPr="00CD129C">
              <w:rPr>
                <w:rFonts w:asciiTheme="minorHAnsi" w:hAnsiTheme="minorHAnsi"/>
                <w:color w:val="000000"/>
                <w:sz w:val="20"/>
                <w:szCs w:val="20"/>
                <w:lang w:val="en-US"/>
              </w:rPr>
              <w:t>.67</w:t>
            </w:r>
            <w:r w:rsidRPr="00CD129C">
              <w:rPr>
                <w:rFonts w:asciiTheme="minorHAnsi" w:hAnsiTheme="minorHAnsi"/>
                <w:color w:val="000000"/>
                <w:sz w:val="20"/>
                <w:szCs w:val="20"/>
                <w:vertAlign w:val="superscript"/>
                <w:lang w:val="en-US"/>
              </w:rPr>
              <w:t>**</w:t>
            </w:r>
          </w:p>
        </w:tc>
        <w:tc>
          <w:tcPr>
            <w:tcW w:w="788" w:type="dxa"/>
            <w:tcBorders>
              <w:top w:val="nil"/>
              <w:bottom w:val="single" w:sz="12" w:space="0" w:color="000000"/>
            </w:tcBorders>
            <w:shd w:val="clear" w:color="auto" w:fill="auto"/>
            <w:noWrap/>
            <w:vAlign w:val="center"/>
          </w:tcPr>
          <w:p w14:paraId="54CF4244" w14:textId="77777777" w:rsidR="00877BAB" w:rsidRPr="000521C6" w:rsidRDefault="00877BAB" w:rsidP="00877BAB">
            <w:pPr>
              <w:spacing w:after="0" w:line="340" w:lineRule="exact"/>
              <w:jc w:val="center"/>
              <w:rPr>
                <w:rFonts w:asciiTheme="minorHAnsi" w:hAnsiTheme="minorHAnsi"/>
                <w:color w:val="000000"/>
                <w:sz w:val="20"/>
                <w:szCs w:val="20"/>
                <w:lang w:val="en-US"/>
              </w:rPr>
            </w:pPr>
            <w:r w:rsidRPr="000521C6">
              <w:rPr>
                <w:rFonts w:asciiTheme="minorHAnsi" w:hAnsiTheme="minorHAnsi"/>
                <w:color w:val="000000"/>
                <w:sz w:val="20"/>
                <w:szCs w:val="20"/>
                <w:lang w:val="en-US"/>
              </w:rPr>
              <w:t>-</w:t>
            </w:r>
          </w:p>
        </w:tc>
      </w:tr>
    </w:tbl>
    <w:p w14:paraId="36BEB6AD" w14:textId="77777777" w:rsidR="00877BAB" w:rsidRPr="00553F90" w:rsidRDefault="00877BAB" w:rsidP="00877BAB">
      <w:pPr>
        <w:spacing w:after="0" w:line="240" w:lineRule="auto"/>
        <w:rPr>
          <w:rFonts w:asciiTheme="minorHAnsi" w:hAnsiTheme="minorHAnsi"/>
          <w:sz w:val="18"/>
          <w:szCs w:val="18"/>
        </w:rPr>
      </w:pPr>
      <w:r w:rsidRPr="00553F90">
        <w:rPr>
          <w:rFonts w:asciiTheme="minorHAnsi" w:hAnsiTheme="minorHAnsi"/>
          <w:i/>
          <w:sz w:val="18"/>
          <w:szCs w:val="18"/>
        </w:rPr>
        <w:t>Note.</w:t>
      </w:r>
      <w:r w:rsidRPr="00553F90">
        <w:rPr>
          <w:rFonts w:asciiTheme="minorHAnsi" w:hAnsiTheme="minorHAnsi"/>
          <w:sz w:val="18"/>
          <w:szCs w:val="18"/>
        </w:rPr>
        <w:t xml:space="preserve"> FTM = female-to-male trans man; MTF = male-to-female trans woman; MHS-G = Modern Homonegativity Scale – Gay Men; MHS-L = Modern Homonegativity Scale – Lesbian Women; TS = Transphobia Scale; HATH = Heterosexuals’ Attitudes Towards Homosexuality Scale; SDO = Social Dominance Orientation Scale; Time 1 = </w:t>
      </w:r>
      <w:r>
        <w:rPr>
          <w:rFonts w:asciiTheme="minorHAnsi" w:hAnsiTheme="minorHAnsi"/>
          <w:sz w:val="18"/>
          <w:szCs w:val="18"/>
        </w:rPr>
        <w:t>week 1</w:t>
      </w:r>
      <w:r w:rsidRPr="00553F90">
        <w:rPr>
          <w:rFonts w:asciiTheme="minorHAnsi" w:hAnsiTheme="minorHAnsi"/>
          <w:sz w:val="18"/>
          <w:szCs w:val="18"/>
        </w:rPr>
        <w:t xml:space="preserve">; Time 2 = </w:t>
      </w:r>
      <w:r>
        <w:rPr>
          <w:rFonts w:asciiTheme="minorHAnsi" w:hAnsiTheme="minorHAnsi"/>
          <w:sz w:val="18"/>
          <w:szCs w:val="18"/>
        </w:rPr>
        <w:t>week 5</w:t>
      </w:r>
      <w:r w:rsidRPr="00553F90">
        <w:rPr>
          <w:rFonts w:asciiTheme="minorHAnsi" w:hAnsiTheme="minorHAnsi"/>
          <w:sz w:val="18"/>
          <w:szCs w:val="18"/>
        </w:rPr>
        <w:t xml:space="preserve">; Time 3 = week 12. </w:t>
      </w:r>
    </w:p>
    <w:p w14:paraId="4D72E80F" w14:textId="77777777" w:rsidR="00877BAB" w:rsidRPr="00790B06" w:rsidRDefault="00877BAB" w:rsidP="00877BAB">
      <w:pPr>
        <w:spacing w:after="0" w:line="240" w:lineRule="auto"/>
      </w:pPr>
      <w:r w:rsidRPr="00553F90">
        <w:rPr>
          <w:rFonts w:asciiTheme="minorHAnsi" w:hAnsiTheme="minorHAnsi"/>
          <w:sz w:val="18"/>
          <w:szCs w:val="18"/>
        </w:rPr>
        <w:t>*</w:t>
      </w:r>
      <w:r w:rsidRPr="00553F90">
        <w:rPr>
          <w:rFonts w:asciiTheme="minorHAnsi" w:hAnsiTheme="minorHAnsi"/>
          <w:i/>
          <w:sz w:val="18"/>
          <w:szCs w:val="18"/>
        </w:rPr>
        <w:t>p</w:t>
      </w:r>
      <w:r w:rsidRPr="00553F90">
        <w:rPr>
          <w:rFonts w:asciiTheme="minorHAnsi" w:hAnsiTheme="minorHAnsi"/>
          <w:sz w:val="18"/>
          <w:szCs w:val="18"/>
        </w:rPr>
        <w:t xml:space="preserve"> &lt; .05, ** </w:t>
      </w:r>
      <w:r w:rsidRPr="00553F90">
        <w:rPr>
          <w:rFonts w:asciiTheme="minorHAnsi" w:hAnsiTheme="minorHAnsi"/>
          <w:i/>
          <w:sz w:val="18"/>
          <w:szCs w:val="18"/>
        </w:rPr>
        <w:t>p</w:t>
      </w:r>
      <w:r w:rsidRPr="00553F90">
        <w:rPr>
          <w:rFonts w:asciiTheme="minorHAnsi" w:hAnsiTheme="minorHAnsi"/>
          <w:sz w:val="18"/>
          <w:szCs w:val="18"/>
        </w:rPr>
        <w:t xml:space="preserve"> &lt; .01, </w:t>
      </w:r>
    </w:p>
    <w:p w14:paraId="4C3D5FCA" w14:textId="77777777" w:rsidR="00877BAB" w:rsidRDefault="00877BAB" w:rsidP="00877BAB"/>
    <w:p w14:paraId="7C9C05A4" w14:textId="08915161" w:rsidR="00877BAB" w:rsidRPr="00790B06" w:rsidRDefault="00877BAB" w:rsidP="00553F90">
      <w:pPr>
        <w:spacing w:after="0" w:line="240" w:lineRule="auto"/>
      </w:pPr>
    </w:p>
    <w:sectPr w:rsidR="00877BAB" w:rsidRPr="00790B06" w:rsidSect="000D07BE">
      <w:pgSz w:w="16838" w:h="11906" w:orient="landscape"/>
      <w:pgMar w:top="1440" w:right="1440" w:bottom="1440" w:left="1440" w:header="27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EDB88B" w14:textId="77777777" w:rsidR="003A163E" w:rsidRDefault="003A163E" w:rsidP="002C68A7">
      <w:pPr>
        <w:spacing w:after="0" w:line="240" w:lineRule="auto"/>
      </w:pPr>
      <w:r>
        <w:separator/>
      </w:r>
    </w:p>
  </w:endnote>
  <w:endnote w:type="continuationSeparator" w:id="0">
    <w:p w14:paraId="4C98D80D" w14:textId="77777777" w:rsidR="003A163E" w:rsidRDefault="003A163E" w:rsidP="002C68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02462" w14:textId="52B06683" w:rsidR="005F3AC8" w:rsidRDefault="005F3AC8">
    <w:pPr>
      <w:pStyle w:val="Footer"/>
      <w:jc w:val="center"/>
    </w:pPr>
    <w:r>
      <w:fldChar w:fldCharType="begin"/>
    </w:r>
    <w:r>
      <w:instrText xml:space="preserve"> PAGE   \* MERGEFORMAT </w:instrText>
    </w:r>
    <w:r>
      <w:fldChar w:fldCharType="separate"/>
    </w:r>
    <w:r w:rsidR="005F682E">
      <w:rPr>
        <w:noProof/>
      </w:rPr>
      <w:t>2</w:t>
    </w:r>
    <w:r>
      <w:rPr>
        <w:noProof/>
      </w:rPr>
      <w:fldChar w:fldCharType="end"/>
    </w:r>
  </w:p>
  <w:p w14:paraId="62B0A562" w14:textId="77777777" w:rsidR="005F3AC8" w:rsidRDefault="005F3AC8">
    <w:pPr>
      <w:pStyle w:val="Footer"/>
    </w:pPr>
  </w:p>
  <w:p w14:paraId="2DC57C04" w14:textId="77777777" w:rsidR="005F3AC8" w:rsidRDefault="005F3AC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0833B7" w14:textId="77777777" w:rsidR="003A163E" w:rsidRDefault="003A163E" w:rsidP="002C68A7">
      <w:pPr>
        <w:spacing w:after="0" w:line="240" w:lineRule="auto"/>
      </w:pPr>
      <w:r>
        <w:separator/>
      </w:r>
    </w:p>
  </w:footnote>
  <w:footnote w:type="continuationSeparator" w:id="0">
    <w:p w14:paraId="66765935" w14:textId="77777777" w:rsidR="003A163E" w:rsidRDefault="003A163E" w:rsidP="002C68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0A824" w14:textId="77777777" w:rsidR="005F3AC8" w:rsidRPr="00EA7A74" w:rsidRDefault="005F3AC8" w:rsidP="002C68A7">
    <w:pPr>
      <w:pStyle w:val="Header"/>
      <w:jc w:val="right"/>
      <w:rPr>
        <w:lang w:val="en-GB"/>
      </w:rPr>
    </w:pPr>
    <w:r>
      <w:t>RUNNING HEAD: REDUCING TRANS</w:t>
    </w:r>
    <w:r>
      <w:rPr>
        <w:lang w:val="en-GB"/>
      </w:rPr>
      <w:t>NEGATIVITY</w:t>
    </w:r>
  </w:p>
  <w:p w14:paraId="6D8F4C29" w14:textId="77777777" w:rsidR="005F3AC8" w:rsidRDefault="005F3AC8" w:rsidP="002C68A7">
    <w:pPr>
      <w:pStyle w:val="Header"/>
      <w:tabs>
        <w:tab w:val="clear" w:pos="4513"/>
        <w:tab w:val="clear" w:pos="9026"/>
        <w:tab w:val="left" w:pos="6225"/>
      </w:tabs>
    </w:pPr>
    <w:r>
      <w:tab/>
    </w:r>
  </w:p>
  <w:p w14:paraId="2D69ADFE" w14:textId="77777777" w:rsidR="005F3AC8" w:rsidRDefault="005F3AC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C00579"/>
    <w:multiLevelType w:val="hybridMultilevel"/>
    <w:tmpl w:val="7DA465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501"/>
    <w:rsid w:val="000203D7"/>
    <w:rsid w:val="000223EE"/>
    <w:rsid w:val="000226E5"/>
    <w:rsid w:val="0002486C"/>
    <w:rsid w:val="00042368"/>
    <w:rsid w:val="000463DE"/>
    <w:rsid w:val="00046758"/>
    <w:rsid w:val="000521C6"/>
    <w:rsid w:val="00053BE9"/>
    <w:rsid w:val="0005760E"/>
    <w:rsid w:val="00086406"/>
    <w:rsid w:val="00091450"/>
    <w:rsid w:val="00095020"/>
    <w:rsid w:val="00096782"/>
    <w:rsid w:val="000B5B4F"/>
    <w:rsid w:val="000C05BC"/>
    <w:rsid w:val="000C6314"/>
    <w:rsid w:val="000D07BE"/>
    <w:rsid w:val="000D288D"/>
    <w:rsid w:val="000E0752"/>
    <w:rsid w:val="000E7E22"/>
    <w:rsid w:val="000F7E13"/>
    <w:rsid w:val="001012F3"/>
    <w:rsid w:val="0010729C"/>
    <w:rsid w:val="00107479"/>
    <w:rsid w:val="00111669"/>
    <w:rsid w:val="001158D7"/>
    <w:rsid w:val="00121B6A"/>
    <w:rsid w:val="00135E9E"/>
    <w:rsid w:val="00143E3D"/>
    <w:rsid w:val="001642BA"/>
    <w:rsid w:val="00165BCA"/>
    <w:rsid w:val="00165DA3"/>
    <w:rsid w:val="00171F29"/>
    <w:rsid w:val="00174D4E"/>
    <w:rsid w:val="001830FE"/>
    <w:rsid w:val="00190BB4"/>
    <w:rsid w:val="001923E5"/>
    <w:rsid w:val="001A2EAC"/>
    <w:rsid w:val="001B3B50"/>
    <w:rsid w:val="001C08D7"/>
    <w:rsid w:val="001C4212"/>
    <w:rsid w:val="001D2B02"/>
    <w:rsid w:val="001E0C99"/>
    <w:rsid w:val="001E3F79"/>
    <w:rsid w:val="001E485F"/>
    <w:rsid w:val="001F0F54"/>
    <w:rsid w:val="00200F1D"/>
    <w:rsid w:val="002112D2"/>
    <w:rsid w:val="002113CD"/>
    <w:rsid w:val="00214D78"/>
    <w:rsid w:val="00216121"/>
    <w:rsid w:val="00220D3E"/>
    <w:rsid w:val="00221C3A"/>
    <w:rsid w:val="002231C6"/>
    <w:rsid w:val="00223213"/>
    <w:rsid w:val="00236E6B"/>
    <w:rsid w:val="00242D5A"/>
    <w:rsid w:val="002538AA"/>
    <w:rsid w:val="0025474E"/>
    <w:rsid w:val="00255BFF"/>
    <w:rsid w:val="002667D5"/>
    <w:rsid w:val="0027198C"/>
    <w:rsid w:val="00271EC8"/>
    <w:rsid w:val="0028578F"/>
    <w:rsid w:val="00296F39"/>
    <w:rsid w:val="002A001A"/>
    <w:rsid w:val="002A09BE"/>
    <w:rsid w:val="002A57A0"/>
    <w:rsid w:val="002A737B"/>
    <w:rsid w:val="002B0AD5"/>
    <w:rsid w:val="002B33B2"/>
    <w:rsid w:val="002B34F0"/>
    <w:rsid w:val="002C63B3"/>
    <w:rsid w:val="002C68A7"/>
    <w:rsid w:val="002D5661"/>
    <w:rsid w:val="002D5728"/>
    <w:rsid w:val="002D7949"/>
    <w:rsid w:val="002F67C4"/>
    <w:rsid w:val="0030218A"/>
    <w:rsid w:val="003148D9"/>
    <w:rsid w:val="00326E83"/>
    <w:rsid w:val="003449FC"/>
    <w:rsid w:val="00346D48"/>
    <w:rsid w:val="003500BB"/>
    <w:rsid w:val="003506C1"/>
    <w:rsid w:val="00357305"/>
    <w:rsid w:val="00363FEA"/>
    <w:rsid w:val="00367D4F"/>
    <w:rsid w:val="00370EAA"/>
    <w:rsid w:val="00385BB5"/>
    <w:rsid w:val="00393319"/>
    <w:rsid w:val="003A003B"/>
    <w:rsid w:val="003A0D9D"/>
    <w:rsid w:val="003A163E"/>
    <w:rsid w:val="003A44D7"/>
    <w:rsid w:val="003A5BED"/>
    <w:rsid w:val="003B7989"/>
    <w:rsid w:val="003C1F80"/>
    <w:rsid w:val="003D5BA4"/>
    <w:rsid w:val="003E25D3"/>
    <w:rsid w:val="003F0684"/>
    <w:rsid w:val="003F79EC"/>
    <w:rsid w:val="00403CB7"/>
    <w:rsid w:val="004065BC"/>
    <w:rsid w:val="00407811"/>
    <w:rsid w:val="00424872"/>
    <w:rsid w:val="004266CE"/>
    <w:rsid w:val="004330FB"/>
    <w:rsid w:val="004405F2"/>
    <w:rsid w:val="00442142"/>
    <w:rsid w:val="00443D9C"/>
    <w:rsid w:val="00453046"/>
    <w:rsid w:val="0046110D"/>
    <w:rsid w:val="00463C17"/>
    <w:rsid w:val="00471AEC"/>
    <w:rsid w:val="00471F76"/>
    <w:rsid w:val="00485E61"/>
    <w:rsid w:val="00493351"/>
    <w:rsid w:val="00494973"/>
    <w:rsid w:val="004A1323"/>
    <w:rsid w:val="004A1F11"/>
    <w:rsid w:val="004A5ADE"/>
    <w:rsid w:val="004B1B18"/>
    <w:rsid w:val="004B6409"/>
    <w:rsid w:val="004C24A5"/>
    <w:rsid w:val="004C39E0"/>
    <w:rsid w:val="004C6048"/>
    <w:rsid w:val="004D7033"/>
    <w:rsid w:val="004E2325"/>
    <w:rsid w:val="004F7206"/>
    <w:rsid w:val="00511FBB"/>
    <w:rsid w:val="00541465"/>
    <w:rsid w:val="00543438"/>
    <w:rsid w:val="00547A52"/>
    <w:rsid w:val="00553F90"/>
    <w:rsid w:val="00554604"/>
    <w:rsid w:val="00562045"/>
    <w:rsid w:val="005714B0"/>
    <w:rsid w:val="00583ED5"/>
    <w:rsid w:val="005843BF"/>
    <w:rsid w:val="005973CB"/>
    <w:rsid w:val="005A4CF6"/>
    <w:rsid w:val="005C5FD6"/>
    <w:rsid w:val="005D0245"/>
    <w:rsid w:val="005D5667"/>
    <w:rsid w:val="005E2BEC"/>
    <w:rsid w:val="005E38A8"/>
    <w:rsid w:val="005E7397"/>
    <w:rsid w:val="005F0B02"/>
    <w:rsid w:val="005F3AC8"/>
    <w:rsid w:val="005F50A1"/>
    <w:rsid w:val="005F67F5"/>
    <w:rsid w:val="005F682E"/>
    <w:rsid w:val="006011AB"/>
    <w:rsid w:val="00606C3F"/>
    <w:rsid w:val="00607B18"/>
    <w:rsid w:val="00611E38"/>
    <w:rsid w:val="006143EE"/>
    <w:rsid w:val="006161F8"/>
    <w:rsid w:val="006318EB"/>
    <w:rsid w:val="00635A7C"/>
    <w:rsid w:val="006400E4"/>
    <w:rsid w:val="00640372"/>
    <w:rsid w:val="006465D9"/>
    <w:rsid w:val="0068518C"/>
    <w:rsid w:val="0068519F"/>
    <w:rsid w:val="006901E8"/>
    <w:rsid w:val="006938BD"/>
    <w:rsid w:val="006A3ED5"/>
    <w:rsid w:val="006A7210"/>
    <w:rsid w:val="006B3DBF"/>
    <w:rsid w:val="006D29DC"/>
    <w:rsid w:val="006D394B"/>
    <w:rsid w:val="006E0A54"/>
    <w:rsid w:val="006E55E7"/>
    <w:rsid w:val="0070271F"/>
    <w:rsid w:val="00703133"/>
    <w:rsid w:val="007155FB"/>
    <w:rsid w:val="007201AC"/>
    <w:rsid w:val="00724152"/>
    <w:rsid w:val="00736E7B"/>
    <w:rsid w:val="0073751F"/>
    <w:rsid w:val="0074167F"/>
    <w:rsid w:val="00747916"/>
    <w:rsid w:val="00753FCC"/>
    <w:rsid w:val="007573E4"/>
    <w:rsid w:val="007646DF"/>
    <w:rsid w:val="00764E69"/>
    <w:rsid w:val="00770878"/>
    <w:rsid w:val="00774D3E"/>
    <w:rsid w:val="00775188"/>
    <w:rsid w:val="00790B06"/>
    <w:rsid w:val="00791593"/>
    <w:rsid w:val="00792759"/>
    <w:rsid w:val="0079306E"/>
    <w:rsid w:val="00797E37"/>
    <w:rsid w:val="007C3CD9"/>
    <w:rsid w:val="007C4AB9"/>
    <w:rsid w:val="007D0F1B"/>
    <w:rsid w:val="007D162B"/>
    <w:rsid w:val="007E31D8"/>
    <w:rsid w:val="007F0440"/>
    <w:rsid w:val="007F3833"/>
    <w:rsid w:val="008115E3"/>
    <w:rsid w:val="00822A76"/>
    <w:rsid w:val="0082496B"/>
    <w:rsid w:val="00832E50"/>
    <w:rsid w:val="008343A2"/>
    <w:rsid w:val="00837F23"/>
    <w:rsid w:val="00854120"/>
    <w:rsid w:val="008563F0"/>
    <w:rsid w:val="008607D4"/>
    <w:rsid w:val="0087215A"/>
    <w:rsid w:val="00874675"/>
    <w:rsid w:val="00874A97"/>
    <w:rsid w:val="00877BAB"/>
    <w:rsid w:val="00881575"/>
    <w:rsid w:val="0088442E"/>
    <w:rsid w:val="00892303"/>
    <w:rsid w:val="0089350C"/>
    <w:rsid w:val="008A6011"/>
    <w:rsid w:val="008C4FE0"/>
    <w:rsid w:val="008C517C"/>
    <w:rsid w:val="008C699C"/>
    <w:rsid w:val="008E7F23"/>
    <w:rsid w:val="008F78D9"/>
    <w:rsid w:val="0090131C"/>
    <w:rsid w:val="00902D43"/>
    <w:rsid w:val="00904E26"/>
    <w:rsid w:val="00905707"/>
    <w:rsid w:val="00906B8A"/>
    <w:rsid w:val="00913231"/>
    <w:rsid w:val="00922633"/>
    <w:rsid w:val="0092328F"/>
    <w:rsid w:val="00925097"/>
    <w:rsid w:val="0094295A"/>
    <w:rsid w:val="00943177"/>
    <w:rsid w:val="00944434"/>
    <w:rsid w:val="009469EC"/>
    <w:rsid w:val="00955EA7"/>
    <w:rsid w:val="00956C88"/>
    <w:rsid w:val="009659A4"/>
    <w:rsid w:val="00987694"/>
    <w:rsid w:val="0099447D"/>
    <w:rsid w:val="009A521E"/>
    <w:rsid w:val="009B0B00"/>
    <w:rsid w:val="009D0FB7"/>
    <w:rsid w:val="009D4531"/>
    <w:rsid w:val="009D7412"/>
    <w:rsid w:val="009D7E23"/>
    <w:rsid w:val="009E11C1"/>
    <w:rsid w:val="009E53AC"/>
    <w:rsid w:val="009E63A2"/>
    <w:rsid w:val="009F2DB0"/>
    <w:rsid w:val="009F55CC"/>
    <w:rsid w:val="00A01FD7"/>
    <w:rsid w:val="00A05BFA"/>
    <w:rsid w:val="00A13961"/>
    <w:rsid w:val="00A15377"/>
    <w:rsid w:val="00A16076"/>
    <w:rsid w:val="00A174AB"/>
    <w:rsid w:val="00A2279E"/>
    <w:rsid w:val="00A227F2"/>
    <w:rsid w:val="00A56E24"/>
    <w:rsid w:val="00A60B22"/>
    <w:rsid w:val="00A70AFB"/>
    <w:rsid w:val="00A73E6D"/>
    <w:rsid w:val="00A805D8"/>
    <w:rsid w:val="00A93CD4"/>
    <w:rsid w:val="00AA0503"/>
    <w:rsid w:val="00AA179B"/>
    <w:rsid w:val="00AA4706"/>
    <w:rsid w:val="00AC0E7B"/>
    <w:rsid w:val="00AC402C"/>
    <w:rsid w:val="00AC4FFF"/>
    <w:rsid w:val="00AD0B5E"/>
    <w:rsid w:val="00AE0DA2"/>
    <w:rsid w:val="00AE6321"/>
    <w:rsid w:val="00B257B8"/>
    <w:rsid w:val="00B373EB"/>
    <w:rsid w:val="00B41FB4"/>
    <w:rsid w:val="00B50EED"/>
    <w:rsid w:val="00B606CF"/>
    <w:rsid w:val="00B60D63"/>
    <w:rsid w:val="00B65BDE"/>
    <w:rsid w:val="00B87301"/>
    <w:rsid w:val="00B90FC8"/>
    <w:rsid w:val="00B92021"/>
    <w:rsid w:val="00BA1F6A"/>
    <w:rsid w:val="00BA3268"/>
    <w:rsid w:val="00BA5F22"/>
    <w:rsid w:val="00BB1AED"/>
    <w:rsid w:val="00BB5223"/>
    <w:rsid w:val="00BB7B98"/>
    <w:rsid w:val="00BD6294"/>
    <w:rsid w:val="00BD74D2"/>
    <w:rsid w:val="00BE177F"/>
    <w:rsid w:val="00BE5B05"/>
    <w:rsid w:val="00BF39B4"/>
    <w:rsid w:val="00C102DB"/>
    <w:rsid w:val="00C1259F"/>
    <w:rsid w:val="00C165C5"/>
    <w:rsid w:val="00C17B4D"/>
    <w:rsid w:val="00C2746A"/>
    <w:rsid w:val="00C3106B"/>
    <w:rsid w:val="00C403D3"/>
    <w:rsid w:val="00C46D4C"/>
    <w:rsid w:val="00C562B2"/>
    <w:rsid w:val="00C64302"/>
    <w:rsid w:val="00C7452E"/>
    <w:rsid w:val="00C74C77"/>
    <w:rsid w:val="00C76B8C"/>
    <w:rsid w:val="00C811BC"/>
    <w:rsid w:val="00C96A5A"/>
    <w:rsid w:val="00C97D74"/>
    <w:rsid w:val="00CA1B1F"/>
    <w:rsid w:val="00CA1C4F"/>
    <w:rsid w:val="00CA3855"/>
    <w:rsid w:val="00CA4057"/>
    <w:rsid w:val="00CA4E91"/>
    <w:rsid w:val="00CA5F54"/>
    <w:rsid w:val="00CA695E"/>
    <w:rsid w:val="00CB1AFB"/>
    <w:rsid w:val="00CB3FD8"/>
    <w:rsid w:val="00CC1912"/>
    <w:rsid w:val="00CC1DE8"/>
    <w:rsid w:val="00CC56FD"/>
    <w:rsid w:val="00CC77B8"/>
    <w:rsid w:val="00CD129C"/>
    <w:rsid w:val="00CF62C6"/>
    <w:rsid w:val="00D025D6"/>
    <w:rsid w:val="00D03EF5"/>
    <w:rsid w:val="00D241D1"/>
    <w:rsid w:val="00D27E60"/>
    <w:rsid w:val="00D30B1C"/>
    <w:rsid w:val="00D37BF8"/>
    <w:rsid w:val="00D438DF"/>
    <w:rsid w:val="00D50485"/>
    <w:rsid w:val="00D523F4"/>
    <w:rsid w:val="00D55F71"/>
    <w:rsid w:val="00D63EB2"/>
    <w:rsid w:val="00D73B12"/>
    <w:rsid w:val="00D73F73"/>
    <w:rsid w:val="00D822E1"/>
    <w:rsid w:val="00D86B1B"/>
    <w:rsid w:val="00D903F7"/>
    <w:rsid w:val="00D90E38"/>
    <w:rsid w:val="00D95966"/>
    <w:rsid w:val="00D959F0"/>
    <w:rsid w:val="00D96115"/>
    <w:rsid w:val="00DA261B"/>
    <w:rsid w:val="00DA6BDD"/>
    <w:rsid w:val="00DB166F"/>
    <w:rsid w:val="00DB4B27"/>
    <w:rsid w:val="00DD52B8"/>
    <w:rsid w:val="00DF3DE0"/>
    <w:rsid w:val="00E037A6"/>
    <w:rsid w:val="00E05858"/>
    <w:rsid w:val="00E11600"/>
    <w:rsid w:val="00E12572"/>
    <w:rsid w:val="00E161B3"/>
    <w:rsid w:val="00E30C13"/>
    <w:rsid w:val="00E373B0"/>
    <w:rsid w:val="00E43F36"/>
    <w:rsid w:val="00E50929"/>
    <w:rsid w:val="00E516DA"/>
    <w:rsid w:val="00E607A0"/>
    <w:rsid w:val="00E710D7"/>
    <w:rsid w:val="00E855B0"/>
    <w:rsid w:val="00E903BF"/>
    <w:rsid w:val="00E91B94"/>
    <w:rsid w:val="00EA7A74"/>
    <w:rsid w:val="00EB5C43"/>
    <w:rsid w:val="00EC07BF"/>
    <w:rsid w:val="00EC1504"/>
    <w:rsid w:val="00EC6529"/>
    <w:rsid w:val="00EE3AD5"/>
    <w:rsid w:val="00EE5679"/>
    <w:rsid w:val="00EE7484"/>
    <w:rsid w:val="00EF07F1"/>
    <w:rsid w:val="00EF6FFC"/>
    <w:rsid w:val="00F01DAD"/>
    <w:rsid w:val="00F11444"/>
    <w:rsid w:val="00F221B4"/>
    <w:rsid w:val="00F24452"/>
    <w:rsid w:val="00F35E6C"/>
    <w:rsid w:val="00F375EA"/>
    <w:rsid w:val="00F43816"/>
    <w:rsid w:val="00F46B97"/>
    <w:rsid w:val="00F64C2A"/>
    <w:rsid w:val="00F66096"/>
    <w:rsid w:val="00F72F4E"/>
    <w:rsid w:val="00F767EC"/>
    <w:rsid w:val="00F82F1F"/>
    <w:rsid w:val="00F87501"/>
    <w:rsid w:val="00F90607"/>
    <w:rsid w:val="00FA0796"/>
    <w:rsid w:val="00FA3DAA"/>
    <w:rsid w:val="00FB1076"/>
    <w:rsid w:val="00FC6D85"/>
    <w:rsid w:val="00FD2E3C"/>
    <w:rsid w:val="00FD7760"/>
    <w:rsid w:val="00FD77B5"/>
    <w:rsid w:val="00FE09B4"/>
    <w:rsid w:val="00FE258E"/>
    <w:rsid w:val="00FE524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BBA57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87501"/>
    <w:rPr>
      <w:color w:val="0000FF"/>
      <w:u w:val="single"/>
    </w:rPr>
  </w:style>
  <w:style w:type="paragraph" w:styleId="Header">
    <w:name w:val="header"/>
    <w:basedOn w:val="Normal"/>
    <w:link w:val="HeaderChar"/>
    <w:uiPriority w:val="99"/>
    <w:unhideWhenUsed/>
    <w:rsid w:val="00E66528"/>
    <w:pPr>
      <w:tabs>
        <w:tab w:val="center" w:pos="4513"/>
        <w:tab w:val="right" w:pos="9026"/>
      </w:tabs>
    </w:pPr>
    <w:rPr>
      <w:lang w:val="x-none"/>
    </w:rPr>
  </w:style>
  <w:style w:type="character" w:customStyle="1" w:styleId="HeaderChar">
    <w:name w:val="Header Char"/>
    <w:link w:val="Header"/>
    <w:uiPriority w:val="99"/>
    <w:rsid w:val="00E66528"/>
    <w:rPr>
      <w:sz w:val="22"/>
      <w:szCs w:val="22"/>
      <w:lang w:eastAsia="en-US"/>
    </w:rPr>
  </w:style>
  <w:style w:type="paragraph" w:styleId="Footer">
    <w:name w:val="footer"/>
    <w:basedOn w:val="Normal"/>
    <w:link w:val="FooterChar"/>
    <w:uiPriority w:val="99"/>
    <w:unhideWhenUsed/>
    <w:rsid w:val="00E66528"/>
    <w:pPr>
      <w:tabs>
        <w:tab w:val="center" w:pos="4513"/>
        <w:tab w:val="right" w:pos="9026"/>
      </w:tabs>
    </w:pPr>
    <w:rPr>
      <w:lang w:val="x-none"/>
    </w:rPr>
  </w:style>
  <w:style w:type="character" w:customStyle="1" w:styleId="FooterChar">
    <w:name w:val="Footer Char"/>
    <w:link w:val="Footer"/>
    <w:uiPriority w:val="99"/>
    <w:rsid w:val="00E66528"/>
    <w:rPr>
      <w:sz w:val="22"/>
      <w:szCs w:val="22"/>
      <w:lang w:eastAsia="en-US"/>
    </w:rPr>
  </w:style>
  <w:style w:type="paragraph" w:styleId="BalloonText">
    <w:name w:val="Balloon Text"/>
    <w:basedOn w:val="Normal"/>
    <w:link w:val="BalloonTextChar"/>
    <w:uiPriority w:val="99"/>
    <w:semiHidden/>
    <w:unhideWhenUsed/>
    <w:rsid w:val="00E66528"/>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E66528"/>
    <w:rPr>
      <w:rFonts w:ascii="Tahoma" w:hAnsi="Tahoma" w:cs="Tahoma"/>
      <w:sz w:val="16"/>
      <w:szCs w:val="16"/>
      <w:lang w:eastAsia="en-US"/>
    </w:rPr>
  </w:style>
  <w:style w:type="character" w:styleId="CommentReference">
    <w:name w:val="annotation reference"/>
    <w:basedOn w:val="DefaultParagraphFont"/>
    <w:rsid w:val="00A227F2"/>
    <w:rPr>
      <w:sz w:val="16"/>
      <w:szCs w:val="16"/>
    </w:rPr>
  </w:style>
  <w:style w:type="paragraph" w:styleId="CommentText">
    <w:name w:val="annotation text"/>
    <w:basedOn w:val="Normal"/>
    <w:link w:val="CommentTextChar"/>
    <w:rsid w:val="00A227F2"/>
    <w:rPr>
      <w:sz w:val="20"/>
      <w:szCs w:val="20"/>
    </w:rPr>
  </w:style>
  <w:style w:type="character" w:customStyle="1" w:styleId="CommentTextChar">
    <w:name w:val="Comment Text Char"/>
    <w:basedOn w:val="DefaultParagraphFont"/>
    <w:link w:val="CommentText"/>
    <w:rsid w:val="00A227F2"/>
    <w:rPr>
      <w:lang w:eastAsia="en-US"/>
    </w:rPr>
  </w:style>
  <w:style w:type="paragraph" w:styleId="CommentSubject">
    <w:name w:val="annotation subject"/>
    <w:basedOn w:val="CommentText"/>
    <w:next w:val="CommentText"/>
    <w:link w:val="CommentSubjectChar"/>
    <w:rsid w:val="00A227F2"/>
    <w:rPr>
      <w:b/>
      <w:bCs/>
    </w:rPr>
  </w:style>
  <w:style w:type="character" w:customStyle="1" w:styleId="CommentSubjectChar">
    <w:name w:val="Comment Subject Char"/>
    <w:basedOn w:val="CommentTextChar"/>
    <w:link w:val="CommentSubject"/>
    <w:rsid w:val="00A227F2"/>
    <w:rPr>
      <w:b/>
      <w:bCs/>
      <w:lang w:eastAsia="en-US"/>
    </w:rPr>
  </w:style>
  <w:style w:type="paragraph" w:styleId="NoSpacing">
    <w:name w:val="No Spacing"/>
    <w:qFormat/>
    <w:rsid w:val="000D07BE"/>
    <w:rPr>
      <w:sz w:val="22"/>
      <w:szCs w:val="22"/>
      <w:lang w:eastAsia="en-US"/>
    </w:rPr>
  </w:style>
  <w:style w:type="character" w:customStyle="1" w:styleId="apple-converted-space">
    <w:name w:val="apple-converted-space"/>
    <w:basedOn w:val="DefaultParagraphFont"/>
    <w:rsid w:val="00046758"/>
  </w:style>
  <w:style w:type="character" w:styleId="Strong">
    <w:name w:val="Strong"/>
    <w:basedOn w:val="DefaultParagraphFont"/>
    <w:qFormat/>
    <w:rsid w:val="00200F1D"/>
    <w:rPr>
      <w:b/>
      <w:bCs/>
    </w:rPr>
  </w:style>
  <w:style w:type="paragraph" w:styleId="Revision">
    <w:name w:val="Revision"/>
    <w:hidden/>
    <w:semiHidden/>
    <w:rsid w:val="00CB1AF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70849">
      <w:bodyDiv w:val="1"/>
      <w:marLeft w:val="0"/>
      <w:marRight w:val="0"/>
      <w:marTop w:val="0"/>
      <w:marBottom w:val="0"/>
      <w:divBdr>
        <w:top w:val="none" w:sz="0" w:space="0" w:color="auto"/>
        <w:left w:val="none" w:sz="0" w:space="0" w:color="auto"/>
        <w:bottom w:val="none" w:sz="0" w:space="0" w:color="auto"/>
        <w:right w:val="none" w:sz="0" w:space="0" w:color="auto"/>
      </w:divBdr>
    </w:div>
    <w:div w:id="144977290">
      <w:bodyDiv w:val="1"/>
      <w:marLeft w:val="0"/>
      <w:marRight w:val="0"/>
      <w:marTop w:val="0"/>
      <w:marBottom w:val="0"/>
      <w:divBdr>
        <w:top w:val="none" w:sz="0" w:space="0" w:color="auto"/>
        <w:left w:val="none" w:sz="0" w:space="0" w:color="auto"/>
        <w:bottom w:val="none" w:sz="0" w:space="0" w:color="auto"/>
        <w:right w:val="none" w:sz="0" w:space="0" w:color="auto"/>
      </w:divBdr>
    </w:div>
    <w:div w:id="199903655">
      <w:bodyDiv w:val="1"/>
      <w:marLeft w:val="0"/>
      <w:marRight w:val="0"/>
      <w:marTop w:val="0"/>
      <w:marBottom w:val="0"/>
      <w:divBdr>
        <w:top w:val="none" w:sz="0" w:space="0" w:color="auto"/>
        <w:left w:val="none" w:sz="0" w:space="0" w:color="auto"/>
        <w:bottom w:val="none" w:sz="0" w:space="0" w:color="auto"/>
        <w:right w:val="none" w:sz="0" w:space="0" w:color="auto"/>
      </w:divBdr>
    </w:div>
    <w:div w:id="307323068">
      <w:bodyDiv w:val="1"/>
      <w:marLeft w:val="0"/>
      <w:marRight w:val="0"/>
      <w:marTop w:val="0"/>
      <w:marBottom w:val="0"/>
      <w:divBdr>
        <w:top w:val="none" w:sz="0" w:space="0" w:color="auto"/>
        <w:left w:val="none" w:sz="0" w:space="0" w:color="auto"/>
        <w:bottom w:val="none" w:sz="0" w:space="0" w:color="auto"/>
        <w:right w:val="none" w:sz="0" w:space="0" w:color="auto"/>
      </w:divBdr>
    </w:div>
    <w:div w:id="775829023">
      <w:bodyDiv w:val="1"/>
      <w:marLeft w:val="0"/>
      <w:marRight w:val="0"/>
      <w:marTop w:val="0"/>
      <w:marBottom w:val="0"/>
      <w:divBdr>
        <w:top w:val="none" w:sz="0" w:space="0" w:color="auto"/>
        <w:left w:val="none" w:sz="0" w:space="0" w:color="auto"/>
        <w:bottom w:val="none" w:sz="0" w:space="0" w:color="auto"/>
        <w:right w:val="none" w:sz="0" w:space="0" w:color="auto"/>
      </w:divBdr>
    </w:div>
    <w:div w:id="858738657">
      <w:bodyDiv w:val="1"/>
      <w:marLeft w:val="0"/>
      <w:marRight w:val="0"/>
      <w:marTop w:val="0"/>
      <w:marBottom w:val="0"/>
      <w:divBdr>
        <w:top w:val="none" w:sz="0" w:space="0" w:color="auto"/>
        <w:left w:val="none" w:sz="0" w:space="0" w:color="auto"/>
        <w:bottom w:val="none" w:sz="0" w:space="0" w:color="auto"/>
        <w:right w:val="none" w:sz="0" w:space="0" w:color="auto"/>
      </w:divBdr>
    </w:div>
    <w:div w:id="904339894">
      <w:bodyDiv w:val="1"/>
      <w:marLeft w:val="0"/>
      <w:marRight w:val="0"/>
      <w:marTop w:val="0"/>
      <w:marBottom w:val="0"/>
      <w:divBdr>
        <w:top w:val="none" w:sz="0" w:space="0" w:color="auto"/>
        <w:left w:val="none" w:sz="0" w:space="0" w:color="auto"/>
        <w:bottom w:val="none" w:sz="0" w:space="0" w:color="auto"/>
        <w:right w:val="none" w:sz="0" w:space="0" w:color="auto"/>
      </w:divBdr>
    </w:div>
    <w:div w:id="935164839">
      <w:bodyDiv w:val="1"/>
      <w:marLeft w:val="0"/>
      <w:marRight w:val="0"/>
      <w:marTop w:val="0"/>
      <w:marBottom w:val="0"/>
      <w:divBdr>
        <w:top w:val="none" w:sz="0" w:space="0" w:color="auto"/>
        <w:left w:val="none" w:sz="0" w:space="0" w:color="auto"/>
        <w:bottom w:val="none" w:sz="0" w:space="0" w:color="auto"/>
        <w:right w:val="none" w:sz="0" w:space="0" w:color="auto"/>
      </w:divBdr>
      <w:divsChild>
        <w:div w:id="161311431">
          <w:marLeft w:val="0"/>
          <w:marRight w:val="0"/>
          <w:marTop w:val="15"/>
          <w:marBottom w:val="0"/>
          <w:divBdr>
            <w:top w:val="none" w:sz="0" w:space="0" w:color="auto"/>
            <w:left w:val="none" w:sz="0" w:space="0" w:color="auto"/>
            <w:bottom w:val="none" w:sz="0" w:space="0" w:color="auto"/>
            <w:right w:val="none" w:sz="0" w:space="0" w:color="auto"/>
          </w:divBdr>
          <w:divsChild>
            <w:div w:id="847905689">
              <w:marLeft w:val="0"/>
              <w:marRight w:val="0"/>
              <w:marTop w:val="0"/>
              <w:marBottom w:val="0"/>
              <w:divBdr>
                <w:top w:val="none" w:sz="0" w:space="0" w:color="auto"/>
                <w:left w:val="none" w:sz="0" w:space="0" w:color="auto"/>
                <w:bottom w:val="none" w:sz="0" w:space="0" w:color="auto"/>
                <w:right w:val="none" w:sz="0" w:space="0" w:color="auto"/>
              </w:divBdr>
              <w:divsChild>
                <w:div w:id="163280534">
                  <w:marLeft w:val="0"/>
                  <w:marRight w:val="0"/>
                  <w:marTop w:val="0"/>
                  <w:marBottom w:val="0"/>
                  <w:divBdr>
                    <w:top w:val="none" w:sz="0" w:space="0" w:color="auto"/>
                    <w:left w:val="none" w:sz="0" w:space="0" w:color="auto"/>
                    <w:bottom w:val="none" w:sz="0" w:space="0" w:color="auto"/>
                    <w:right w:val="none" w:sz="0" w:space="0" w:color="auto"/>
                  </w:divBdr>
                </w:div>
                <w:div w:id="120659806">
                  <w:marLeft w:val="0"/>
                  <w:marRight w:val="0"/>
                  <w:marTop w:val="0"/>
                  <w:marBottom w:val="0"/>
                  <w:divBdr>
                    <w:top w:val="none" w:sz="0" w:space="0" w:color="auto"/>
                    <w:left w:val="none" w:sz="0" w:space="0" w:color="auto"/>
                    <w:bottom w:val="none" w:sz="0" w:space="0" w:color="auto"/>
                    <w:right w:val="none" w:sz="0" w:space="0" w:color="auto"/>
                  </w:divBdr>
                </w:div>
                <w:div w:id="2013026558">
                  <w:marLeft w:val="0"/>
                  <w:marRight w:val="0"/>
                  <w:marTop w:val="0"/>
                  <w:marBottom w:val="0"/>
                  <w:divBdr>
                    <w:top w:val="none" w:sz="0" w:space="0" w:color="auto"/>
                    <w:left w:val="none" w:sz="0" w:space="0" w:color="auto"/>
                    <w:bottom w:val="none" w:sz="0" w:space="0" w:color="auto"/>
                    <w:right w:val="none" w:sz="0" w:space="0" w:color="auto"/>
                  </w:divBdr>
                </w:div>
                <w:div w:id="686717667">
                  <w:marLeft w:val="0"/>
                  <w:marRight w:val="0"/>
                  <w:marTop w:val="0"/>
                  <w:marBottom w:val="0"/>
                  <w:divBdr>
                    <w:top w:val="none" w:sz="0" w:space="0" w:color="auto"/>
                    <w:left w:val="none" w:sz="0" w:space="0" w:color="auto"/>
                    <w:bottom w:val="none" w:sz="0" w:space="0" w:color="auto"/>
                    <w:right w:val="none" w:sz="0" w:space="0" w:color="auto"/>
                  </w:divBdr>
                </w:div>
                <w:div w:id="2076968674">
                  <w:marLeft w:val="0"/>
                  <w:marRight w:val="0"/>
                  <w:marTop w:val="0"/>
                  <w:marBottom w:val="0"/>
                  <w:divBdr>
                    <w:top w:val="none" w:sz="0" w:space="0" w:color="auto"/>
                    <w:left w:val="none" w:sz="0" w:space="0" w:color="auto"/>
                    <w:bottom w:val="none" w:sz="0" w:space="0" w:color="auto"/>
                    <w:right w:val="none" w:sz="0" w:space="0" w:color="auto"/>
                  </w:divBdr>
                </w:div>
                <w:div w:id="91439483">
                  <w:marLeft w:val="0"/>
                  <w:marRight w:val="0"/>
                  <w:marTop w:val="0"/>
                  <w:marBottom w:val="0"/>
                  <w:divBdr>
                    <w:top w:val="none" w:sz="0" w:space="0" w:color="auto"/>
                    <w:left w:val="none" w:sz="0" w:space="0" w:color="auto"/>
                    <w:bottom w:val="none" w:sz="0" w:space="0" w:color="auto"/>
                    <w:right w:val="none" w:sz="0" w:space="0" w:color="auto"/>
                  </w:divBdr>
                </w:div>
                <w:div w:id="390079307">
                  <w:marLeft w:val="0"/>
                  <w:marRight w:val="0"/>
                  <w:marTop w:val="0"/>
                  <w:marBottom w:val="0"/>
                  <w:divBdr>
                    <w:top w:val="none" w:sz="0" w:space="0" w:color="auto"/>
                    <w:left w:val="none" w:sz="0" w:space="0" w:color="auto"/>
                    <w:bottom w:val="none" w:sz="0" w:space="0" w:color="auto"/>
                    <w:right w:val="none" w:sz="0" w:space="0" w:color="auto"/>
                  </w:divBdr>
                </w:div>
                <w:div w:id="206224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304796">
      <w:bodyDiv w:val="1"/>
      <w:marLeft w:val="0"/>
      <w:marRight w:val="0"/>
      <w:marTop w:val="0"/>
      <w:marBottom w:val="0"/>
      <w:divBdr>
        <w:top w:val="none" w:sz="0" w:space="0" w:color="auto"/>
        <w:left w:val="none" w:sz="0" w:space="0" w:color="auto"/>
        <w:bottom w:val="none" w:sz="0" w:space="0" w:color="auto"/>
        <w:right w:val="none" w:sz="0" w:space="0" w:color="auto"/>
      </w:divBdr>
    </w:div>
    <w:div w:id="1239293023">
      <w:bodyDiv w:val="1"/>
      <w:marLeft w:val="0"/>
      <w:marRight w:val="0"/>
      <w:marTop w:val="0"/>
      <w:marBottom w:val="0"/>
      <w:divBdr>
        <w:top w:val="none" w:sz="0" w:space="0" w:color="auto"/>
        <w:left w:val="none" w:sz="0" w:space="0" w:color="auto"/>
        <w:bottom w:val="none" w:sz="0" w:space="0" w:color="auto"/>
        <w:right w:val="none" w:sz="0" w:space="0" w:color="auto"/>
      </w:divBdr>
    </w:div>
    <w:div w:id="1805192312">
      <w:bodyDiv w:val="1"/>
      <w:marLeft w:val="0"/>
      <w:marRight w:val="0"/>
      <w:marTop w:val="0"/>
      <w:marBottom w:val="0"/>
      <w:divBdr>
        <w:top w:val="none" w:sz="0" w:space="0" w:color="auto"/>
        <w:left w:val="none" w:sz="0" w:space="0" w:color="auto"/>
        <w:bottom w:val="none" w:sz="0" w:space="0" w:color="auto"/>
        <w:right w:val="none" w:sz="0" w:space="0" w:color="auto"/>
      </w:divBdr>
    </w:div>
    <w:div w:id="199120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2C98CB-5875-4F90-9941-36ECE59DF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76E12249</Template>
  <TotalTime>1</TotalTime>
  <Pages>33</Pages>
  <Words>9958</Words>
  <Characters>56765</Characters>
  <Application>Microsoft Office Word</Application>
  <DocSecurity>4</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Anglia Ruskin University</Company>
  <LinksUpToDate>false</LinksUpToDate>
  <CharactersWithSpaces>66590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McDermott, Daragh</dc:creator>
  <cp:lastModifiedBy>McDermott, Daragh</cp:lastModifiedBy>
  <cp:revision>2</cp:revision>
  <cp:lastPrinted>2017-03-22T15:10:00Z</cp:lastPrinted>
  <dcterms:created xsi:type="dcterms:W3CDTF">2018-01-29T13:10:00Z</dcterms:created>
  <dcterms:modified xsi:type="dcterms:W3CDTF">2018-01-29T13:10:00Z</dcterms:modified>
</cp:coreProperties>
</file>