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D9E0" w14:textId="3331ACBB" w:rsidR="00845BB2" w:rsidRPr="008365B6" w:rsidRDefault="009A6A00" w:rsidP="006E66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BB2">
        <w:rPr>
          <w:rFonts w:ascii="Times New Roman" w:hAnsi="Times New Roman" w:cs="Times New Roman"/>
          <w:sz w:val="24"/>
          <w:szCs w:val="24"/>
        </w:rPr>
        <w:t xml:space="preserve">A Direct Comparison of Porcine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Strattice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™) </w:t>
      </w:r>
      <w:r w:rsidRPr="00845BB2">
        <w:rPr>
          <w:rFonts w:ascii="Times New Roman" w:hAnsi="Times New Roman" w:cs="Times New Roman"/>
          <w:sz w:val="24"/>
          <w:szCs w:val="24"/>
        </w:rPr>
        <w:t xml:space="preserve">and Bovine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Surgimend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™) </w:t>
      </w:r>
      <w:r w:rsidRPr="00845BB2">
        <w:rPr>
          <w:rFonts w:ascii="Times New Roman" w:hAnsi="Times New Roman" w:cs="Times New Roman"/>
          <w:sz w:val="24"/>
          <w:szCs w:val="24"/>
        </w:rPr>
        <w:t>Acellular Dermal Matrices in Implant-Based Immediate Breast Reconstruction</w:t>
      </w:r>
    </w:p>
    <w:p w14:paraId="3D1F20D5" w14:textId="77777777" w:rsidR="008365B6" w:rsidRDefault="008365B6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06973D5E" w14:textId="77777777" w:rsidR="00034B17" w:rsidRPr="00B441B2" w:rsidRDefault="00531666" w:rsidP="006E660B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B441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Authors &amp; </w:t>
      </w:r>
      <w:r w:rsidR="003E2B2F" w:rsidRPr="00B441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</w:t>
      </w:r>
      <w:r w:rsidRPr="00B441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ffiliations:</w:t>
      </w:r>
    </w:p>
    <w:p w14:paraId="7319E642" w14:textId="6B5DB885" w:rsidR="00531666" w:rsidRPr="00845BB2" w:rsidRDefault="0053166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Jessica </w:t>
      </w:r>
      <w:r w:rsidR="00390B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 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>Ball</w: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</w:p>
    <w:p w14:paraId="43A36B23" w14:textId="6E599102" w:rsidR="00531666" w:rsidRPr="00845BB2" w:rsidRDefault="008365B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Yezen Sheena</w:t>
      </w:r>
      <w:r w:rsidR="0053166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</w:p>
    <w:p w14:paraId="6F51EC9D" w14:textId="2FD90A05" w:rsidR="00531666" w:rsidRPr="00845BB2" w:rsidRDefault="0053166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Dina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E46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>Tarek</w:t>
      </w:r>
      <w:r w:rsidR="003E46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Saleh</w: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</w:p>
    <w:p w14:paraId="34EF2724" w14:textId="0366AF4B" w:rsidR="006A42D3" w:rsidRPr="00845BB2" w:rsidRDefault="006A42D3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Parto Forouhi</w:t>
      </w:r>
      <w:r w:rsidR="003E2B2F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</w:p>
    <w:p w14:paraId="55BD5D54" w14:textId="7DD77741" w:rsidR="00531666" w:rsidRPr="00845BB2" w:rsidRDefault="008365B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Sarah L Benyon</w:t>
      </w:r>
      <w:r w:rsidR="0053166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1,2</w:t>
      </w:r>
    </w:p>
    <w:p w14:paraId="5CB243C5" w14:textId="7D6FF88A" w:rsidR="00531666" w:rsidRPr="00845BB2" w:rsidRDefault="008365B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Michael S Irwin</w:t>
      </w:r>
      <w:r w:rsidR="0053166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1,2</w:t>
      </w:r>
    </w:p>
    <w:p w14:paraId="4D1F756A" w14:textId="13BC6298" w:rsidR="008365B6" w:rsidRPr="008365B6" w:rsidRDefault="008365B6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Charles M Malata</w:t>
      </w:r>
      <w:r w:rsidR="0053166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1,2,3</w:t>
      </w:r>
    </w:p>
    <w:p w14:paraId="243C4321" w14:textId="06BC770C" w:rsidR="00531666" w:rsidRPr="00845BB2" w:rsidRDefault="00531666" w:rsidP="006E660B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 w:rsidRPr="00845BB2">
        <w:rPr>
          <w:rFonts w:ascii="Times New Roman" w:hAnsi="Times New Roman"/>
          <w:sz w:val="24"/>
          <w:szCs w:val="24"/>
        </w:rPr>
        <w:t xml:space="preserve">1) Department of Plastic and Reconstructive Surgery, Addenbrooke’s Hospital, Cambridge University Hospitals NHS Foundation Trust, </w:t>
      </w:r>
      <w:r w:rsidR="008365B6">
        <w:rPr>
          <w:rFonts w:ascii="Times New Roman" w:hAnsi="Times New Roman"/>
          <w:sz w:val="24"/>
          <w:szCs w:val="24"/>
        </w:rPr>
        <w:t xml:space="preserve">Hills Road, </w:t>
      </w:r>
      <w:r w:rsidRPr="00845BB2">
        <w:rPr>
          <w:rFonts w:ascii="Times New Roman" w:hAnsi="Times New Roman"/>
          <w:sz w:val="24"/>
          <w:szCs w:val="24"/>
        </w:rPr>
        <w:t xml:space="preserve">Cambridge CB2 0QQ, UK </w:t>
      </w:r>
    </w:p>
    <w:p w14:paraId="36E7FE90" w14:textId="072FBAD7" w:rsidR="00531666" w:rsidRPr="00845BB2" w:rsidRDefault="00531666" w:rsidP="006E660B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 w:rsidRPr="00845BB2">
        <w:rPr>
          <w:rFonts w:ascii="Times New Roman" w:hAnsi="Times New Roman"/>
          <w:sz w:val="24"/>
          <w:szCs w:val="24"/>
        </w:rPr>
        <w:t xml:space="preserve">2) Cambridge Breast Unit, Addenbrooke’s Hospital, Cambridge University Hospitals NHS Foundation Trust, </w:t>
      </w:r>
      <w:r w:rsidR="008365B6">
        <w:rPr>
          <w:rFonts w:ascii="Times New Roman" w:hAnsi="Times New Roman"/>
          <w:sz w:val="24"/>
          <w:szCs w:val="24"/>
        </w:rPr>
        <w:t xml:space="preserve">Hills Road, </w:t>
      </w:r>
      <w:r w:rsidRPr="00845BB2">
        <w:rPr>
          <w:rFonts w:ascii="Times New Roman" w:hAnsi="Times New Roman"/>
          <w:sz w:val="24"/>
          <w:szCs w:val="24"/>
        </w:rPr>
        <w:t xml:space="preserve">Cambridge CB2 0QQ, UK </w:t>
      </w:r>
    </w:p>
    <w:p w14:paraId="76DA363E" w14:textId="6E3B6D62" w:rsidR="004E2DFF" w:rsidRDefault="00531666" w:rsidP="006E660B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 w:rsidRPr="00845BB2">
        <w:rPr>
          <w:rFonts w:ascii="Times New Roman" w:hAnsi="Times New Roman"/>
          <w:sz w:val="24"/>
          <w:szCs w:val="24"/>
        </w:rPr>
        <w:t>3) Postgraduate Medical Institute</w:t>
      </w:r>
      <w:r w:rsidR="00F839DE" w:rsidRPr="00845BB2">
        <w:rPr>
          <w:rFonts w:ascii="Times New Roman" w:hAnsi="Times New Roman"/>
          <w:sz w:val="24"/>
          <w:szCs w:val="24"/>
        </w:rPr>
        <w:t>, Faculty of Health Sciences,</w:t>
      </w:r>
      <w:r w:rsidRPr="00845BB2">
        <w:rPr>
          <w:rFonts w:ascii="Times New Roman" w:hAnsi="Times New Roman"/>
          <w:sz w:val="24"/>
          <w:szCs w:val="24"/>
        </w:rPr>
        <w:t xml:space="preserve"> Anglia Ruskin University, Cambridge &amp; Chelmsford, UK </w:t>
      </w:r>
    </w:p>
    <w:p w14:paraId="78E038EA" w14:textId="77777777" w:rsidR="008365B6" w:rsidRPr="008365B6" w:rsidRDefault="008365B6" w:rsidP="006E660B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2C5FE7AE" w14:textId="77777777" w:rsidR="004E2DFF" w:rsidRPr="00B441B2" w:rsidRDefault="00C46F3D" w:rsidP="006E660B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B441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Correspondence to:</w:t>
      </w:r>
    </w:p>
    <w:p w14:paraId="5A843007" w14:textId="6B66207C" w:rsidR="00C46F3D" w:rsidRPr="008365B6" w:rsidRDefault="00C46F3D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Professor Charles Malata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 of Plastic and Reconstructive Surgery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845BB2">
        <w:rPr>
          <w:rFonts w:ascii="Times New Roman" w:hAnsi="Times New Roman" w:cs="Times New Roman"/>
          <w:sz w:val="24"/>
          <w:szCs w:val="24"/>
        </w:rPr>
        <w:t>Addenbrooke</w:t>
      </w:r>
      <w:r w:rsidR="008365B6">
        <w:rPr>
          <w:rFonts w:ascii="Times New Roman" w:hAnsi="Times New Roman" w:cs="Times New Roman"/>
          <w:sz w:val="24"/>
          <w:szCs w:val="24"/>
        </w:rPr>
        <w:t>’s Hospital</w:t>
      </w:r>
      <w:r w:rsidRPr="00845BB2">
        <w:rPr>
          <w:rFonts w:ascii="Times New Roman" w:hAnsi="Times New Roman" w:cs="Times New Roman"/>
          <w:sz w:val="24"/>
          <w:szCs w:val="24"/>
        </w:rPr>
        <w:t xml:space="preserve">, 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Hills Road, </w:t>
      </w:r>
      <w:r w:rsidRPr="00845BB2">
        <w:rPr>
          <w:rFonts w:ascii="Times New Roman" w:hAnsi="Times New Roman" w:cs="Times New Roman"/>
          <w:sz w:val="24"/>
          <w:szCs w:val="24"/>
        </w:rPr>
        <w:t>Cambridge CB2 0QQ, UK</w:t>
      </w:r>
      <w:r w:rsidR="008365B6">
        <w:rPr>
          <w:rFonts w:ascii="Times New Roman" w:hAnsi="Times New Roman" w:cs="Times New Roman"/>
          <w:sz w:val="24"/>
          <w:szCs w:val="24"/>
        </w:rPr>
        <w:t xml:space="preserve">. Tel: </w:t>
      </w:r>
      <w:r w:rsidR="008365B6" w:rsidRPr="00B45603">
        <w:rPr>
          <w:rFonts w:ascii="Times New Roman" w:hAnsi="Times New Roman" w:cs="Times New Roman"/>
          <w:sz w:val="24"/>
          <w:szCs w:val="24"/>
        </w:rPr>
        <w:t>+44 01223 245151</w:t>
      </w:r>
      <w:r w:rsidR="008365B6">
        <w:rPr>
          <w:rFonts w:ascii="Times New Roman" w:hAnsi="Times New Roman" w:cs="Times New Roman"/>
          <w:sz w:val="24"/>
          <w:szCs w:val="24"/>
        </w:rPr>
        <w:t>; Fax:</w:t>
      </w:r>
      <w:r w:rsidR="001948CE">
        <w:rPr>
          <w:rFonts w:ascii="Times New Roman" w:hAnsi="Times New Roman" w:cs="Times New Roman"/>
          <w:sz w:val="24"/>
          <w:szCs w:val="24"/>
        </w:rPr>
        <w:t xml:space="preserve"> 01223257177</w:t>
      </w:r>
      <w:r w:rsidR="008365B6">
        <w:rPr>
          <w:rFonts w:ascii="Times New Roman" w:hAnsi="Times New Roman" w:cs="Times New Roman"/>
          <w:sz w:val="24"/>
          <w:szCs w:val="24"/>
        </w:rPr>
        <w:t>; e-mail: charles.malata@addenbrookes.nhs.uk</w:t>
      </w:r>
    </w:p>
    <w:p w14:paraId="1C3362F9" w14:textId="77777777" w:rsidR="003E2B2F" w:rsidRPr="008365B6" w:rsidRDefault="003E2B2F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365B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Presented at:</w:t>
      </w:r>
    </w:p>
    <w:p w14:paraId="1C3D3774" w14:textId="0B5A7DEC" w:rsidR="009A6A00" w:rsidRPr="001948CE" w:rsidRDefault="003E2B2F" w:rsidP="006E660B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European Society for Surgical Research 51</w: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</w:t>
      </w:r>
      <w:r w:rsidR="003D32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9119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Prague, </w:t>
      </w:r>
      <w:r w:rsidR="00F5019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Czech</w:t>
      </w:r>
      <w:r w:rsidR="008365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Republic: 27 May 2016</w:t>
      </w:r>
      <w:r w:rsidR="0009119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="009A6A00"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Summary</w:t>
      </w:r>
    </w:p>
    <w:p w14:paraId="03B840F9" w14:textId="7FF02D7B" w:rsidR="008365B6" w:rsidRDefault="00E97530" w:rsidP="006E66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8365B6">
        <w:rPr>
          <w:rFonts w:ascii="Times New Roman" w:hAnsi="Times New Roman" w:cs="Times New Roman"/>
          <w:sz w:val="24"/>
          <w:szCs w:val="24"/>
        </w:rPr>
        <w:t xml:space="preserve">: </w:t>
      </w:r>
      <w:r w:rsidR="008365B6" w:rsidRPr="004017E4">
        <w:rPr>
          <w:rFonts w:ascii="Times New Roman" w:hAnsi="Times New Roman" w:cs="Times New Roman"/>
          <w:sz w:val="24"/>
          <w:szCs w:val="24"/>
        </w:rPr>
        <w:t>Acellular dermal matrix (ADM) assisted implant-based breast reconstruction (IBBR) has grown in popularity over traditional submuscular techniques. Numerous human, bovine</w:t>
      </w:r>
      <w:r w:rsidR="008A2C9E">
        <w:rPr>
          <w:rFonts w:ascii="Times New Roman" w:hAnsi="Times New Roman" w:cs="Times New Roman"/>
          <w:sz w:val="24"/>
          <w:szCs w:val="24"/>
        </w:rPr>
        <w:t xml:space="preserve"> or porcine derived ADMs are</w:t>
      </w:r>
      <w:r w:rsidR="008365B6" w:rsidRPr="004017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8A2C9E">
        <w:rPr>
          <w:rFonts w:ascii="Times New Roman" w:hAnsi="Times New Roman" w:cs="Times New Roman"/>
          <w:sz w:val="24"/>
          <w:szCs w:val="24"/>
        </w:rPr>
        <w:t>with the type used varying considerably worldwide</w:t>
      </w:r>
      <w:r w:rsidR="008365B6" w:rsidRPr="004017E4">
        <w:rPr>
          <w:rFonts w:ascii="Times New Roman" w:hAnsi="Times New Roman" w:cs="Times New Roman"/>
          <w:sz w:val="24"/>
          <w:szCs w:val="24"/>
        </w:rPr>
        <w:t>.  Yet, comparative evidence for the efficacy of different ADMs particularly xenogenic is limited. This study directly compares early outcomes of porcine (Strattice</w:t>
      </w:r>
      <w:r w:rsidR="008365B6" w:rsidRPr="004017E4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8365B6" w:rsidRPr="004017E4">
        <w:rPr>
          <w:rFonts w:ascii="Times New Roman" w:hAnsi="Times New Roman" w:cs="Times New Roman"/>
          <w:sz w:val="24"/>
          <w:szCs w:val="24"/>
        </w:rPr>
        <w:t>) and bovine (Surgimend</w:t>
      </w:r>
      <w:r w:rsidR="008365B6" w:rsidRPr="004017E4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8365B6" w:rsidRPr="004017E4">
        <w:rPr>
          <w:rFonts w:ascii="Times New Roman" w:hAnsi="Times New Roman" w:cs="Times New Roman"/>
          <w:sz w:val="24"/>
          <w:szCs w:val="24"/>
        </w:rPr>
        <w:t xml:space="preserve">) ADMs in IBBR.  </w:t>
      </w:r>
    </w:p>
    <w:p w14:paraId="54CF7891" w14:textId="072674DB" w:rsidR="00AA2463" w:rsidRPr="00845BB2" w:rsidRDefault="00AA2463" w:rsidP="006E6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65B6">
        <w:rPr>
          <w:rFonts w:ascii="Times New Roman" w:hAnsi="Times New Roman" w:cs="Times New Roman"/>
          <w:sz w:val="24"/>
          <w:szCs w:val="24"/>
        </w:rPr>
        <w:t>Method:</w:t>
      </w:r>
      <w:r w:rsidRPr="0084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30">
        <w:rPr>
          <w:rFonts w:ascii="Times New Roman" w:hAnsi="Times New Roman" w:cs="Times New Roman"/>
          <w:sz w:val="24"/>
          <w:szCs w:val="24"/>
        </w:rPr>
        <w:t>R</w:t>
      </w:r>
      <w:r w:rsidR="00A222AC" w:rsidRPr="00845BB2">
        <w:rPr>
          <w:rFonts w:ascii="Times New Roman" w:hAnsi="Times New Roman" w:cs="Times New Roman"/>
          <w:sz w:val="24"/>
          <w:szCs w:val="24"/>
        </w:rPr>
        <w:t xml:space="preserve">etrospective study of </w:t>
      </w:r>
      <w:r w:rsidRPr="00845BB2">
        <w:rPr>
          <w:rFonts w:ascii="Times New Roman" w:hAnsi="Times New Roman" w:cs="Times New Roman"/>
          <w:sz w:val="24"/>
          <w:szCs w:val="24"/>
        </w:rPr>
        <w:t>sequential experience of immediate IBBR u</w:t>
      </w:r>
      <w:r w:rsidR="00B274E2" w:rsidRPr="00845BB2">
        <w:rPr>
          <w:rFonts w:ascii="Times New Roman" w:hAnsi="Times New Roman" w:cs="Times New Roman"/>
          <w:sz w:val="24"/>
          <w:szCs w:val="24"/>
        </w:rPr>
        <w:t>sing Strattice or Surgimend ADM</w:t>
      </w:r>
      <w:r w:rsidR="000E23DD" w:rsidRPr="00845BB2">
        <w:rPr>
          <w:rFonts w:ascii="Times New Roman" w:hAnsi="Times New Roman" w:cs="Times New Roman"/>
          <w:sz w:val="24"/>
          <w:szCs w:val="24"/>
        </w:rPr>
        <w:t>. Data was collected for</w:t>
      </w:r>
      <w:r w:rsidR="0035219C" w:rsidRPr="00845BB2">
        <w:rPr>
          <w:rFonts w:ascii="Times New Roman" w:hAnsi="Times New Roman" w:cs="Times New Roman"/>
          <w:sz w:val="24"/>
          <w:szCs w:val="24"/>
        </w:rPr>
        <w:t xml:space="preserve"> patients undergoing ADM assisted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IBBR after</w:t>
      </w:r>
      <w:r w:rsidRPr="00845BB2">
        <w:rPr>
          <w:rFonts w:ascii="Times New Roman" w:hAnsi="Times New Roman" w:cs="Times New Roman"/>
          <w:sz w:val="24"/>
          <w:szCs w:val="24"/>
        </w:rPr>
        <w:t xml:space="preserve"> prophylac</w:t>
      </w:r>
      <w:r w:rsidR="00EB7954" w:rsidRPr="00845BB2">
        <w:rPr>
          <w:rFonts w:ascii="Times New Roman" w:hAnsi="Times New Roman" w:cs="Times New Roman"/>
          <w:sz w:val="24"/>
          <w:szCs w:val="24"/>
        </w:rPr>
        <w:t xml:space="preserve">tic or therapeutic mastectomy </w:t>
      </w:r>
      <w:r w:rsidR="00770BC6" w:rsidRPr="00845BB2">
        <w:rPr>
          <w:rFonts w:ascii="Times New Roman" w:hAnsi="Times New Roman" w:cs="Times New Roman"/>
          <w:sz w:val="24"/>
          <w:szCs w:val="24"/>
        </w:rPr>
        <w:t xml:space="preserve">in Cambridge </w:t>
      </w:r>
      <w:r w:rsidR="00EB7954" w:rsidRPr="00845BB2">
        <w:rPr>
          <w:rFonts w:ascii="Times New Roman" w:hAnsi="Times New Roman" w:cs="Times New Roman"/>
          <w:sz w:val="24"/>
          <w:szCs w:val="24"/>
        </w:rPr>
        <w:t>(October 2011</w:t>
      </w:r>
      <w:r w:rsidRPr="00845BB2">
        <w:rPr>
          <w:rFonts w:ascii="Times New Roman" w:hAnsi="Times New Roman" w:cs="Times New Roman"/>
          <w:sz w:val="24"/>
          <w:szCs w:val="24"/>
        </w:rPr>
        <w:t xml:space="preserve"> - M</w:t>
      </w:r>
      <w:r w:rsidR="00740A9F" w:rsidRPr="00845BB2">
        <w:rPr>
          <w:rFonts w:ascii="Times New Roman" w:hAnsi="Times New Roman" w:cs="Times New Roman"/>
          <w:sz w:val="24"/>
          <w:szCs w:val="24"/>
        </w:rPr>
        <w:t>arch 2016)</w:t>
      </w:r>
      <w:r w:rsidRPr="00845BB2">
        <w:rPr>
          <w:rFonts w:ascii="Times New Roman" w:hAnsi="Times New Roman" w:cs="Times New Roman"/>
          <w:sz w:val="24"/>
          <w:szCs w:val="24"/>
        </w:rPr>
        <w:t>. Patient demogra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phics, adjuvant </w:t>
      </w:r>
      <w:r w:rsidRPr="00845BB2">
        <w:rPr>
          <w:rFonts w:ascii="Times New Roman" w:hAnsi="Times New Roman" w:cs="Times New Roman"/>
          <w:sz w:val="24"/>
          <w:szCs w:val="24"/>
        </w:rPr>
        <w:t>therapies, operative details, postoperati</w:t>
      </w:r>
      <w:r w:rsidR="000E23DD" w:rsidRPr="00845BB2">
        <w:rPr>
          <w:rFonts w:ascii="Times New Roman" w:hAnsi="Times New Roman" w:cs="Times New Roman"/>
          <w:sz w:val="24"/>
          <w:szCs w:val="24"/>
        </w:rPr>
        <w:t>ve management and outcomes were</w:t>
      </w:r>
      <w:r w:rsidR="00F50197" w:rsidRPr="00845BB2">
        <w:rPr>
          <w:rFonts w:ascii="Times New Roman" w:hAnsi="Times New Roman" w:cs="Times New Roman"/>
          <w:sz w:val="24"/>
          <w:szCs w:val="24"/>
        </w:rPr>
        <w:t xml:space="preserve"> analysed</w:t>
      </w:r>
      <w:r w:rsidRPr="00845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DE47D" w14:textId="73159F64" w:rsidR="000E23DD" w:rsidRPr="00845BB2" w:rsidRDefault="00E97530" w:rsidP="006E6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AA2463" w:rsidRPr="008365B6">
        <w:rPr>
          <w:rFonts w:ascii="Times New Roman" w:hAnsi="Times New Roman" w:cs="Times New Roman"/>
          <w:sz w:val="24"/>
          <w:szCs w:val="24"/>
        </w:rPr>
        <w:t>Results: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82E99" w:rsidRPr="00845BB2">
        <w:rPr>
          <w:rFonts w:ascii="Times New Roman" w:hAnsi="Times New Roman" w:cs="Times New Roman"/>
          <w:sz w:val="24"/>
          <w:szCs w:val="24"/>
        </w:rPr>
        <w:t>otal of</w:t>
      </w:r>
      <w:r w:rsidR="0035219C" w:rsidRPr="00845BB2">
        <w:rPr>
          <w:rFonts w:ascii="Times New Roman" w:hAnsi="Times New Roman" w:cs="Times New Roman"/>
          <w:sz w:val="24"/>
          <w:szCs w:val="24"/>
        </w:rPr>
        <w:t xml:space="preserve"> 81</w:t>
      </w:r>
      <w:r w:rsidR="00AA2463" w:rsidRPr="00845BB2">
        <w:rPr>
          <w:rFonts w:ascii="Times New Roman" w:hAnsi="Times New Roman" w:cs="Times New Roman"/>
          <w:sz w:val="24"/>
          <w:szCs w:val="24"/>
        </w:rPr>
        <w:t xml:space="preserve"> p</w:t>
      </w:r>
      <w:r w:rsidR="0035219C" w:rsidRPr="00845BB2">
        <w:rPr>
          <w:rFonts w:ascii="Times New Roman" w:hAnsi="Times New Roman" w:cs="Times New Roman"/>
          <w:sz w:val="24"/>
          <w:szCs w:val="24"/>
        </w:rPr>
        <w:t>atients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underwent IBBR with ADM; 38</w:t>
      </w:r>
      <w:r w:rsidR="0035219C" w:rsidRPr="00845BB2">
        <w:rPr>
          <w:rFonts w:ascii="Times New Roman" w:hAnsi="Times New Roman" w:cs="Times New Roman"/>
          <w:sz w:val="24"/>
          <w:szCs w:val="24"/>
        </w:rPr>
        <w:t xml:space="preserve"> bilateral and 43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unilateral</w:t>
      </w:r>
      <w:r w:rsidR="00F50197" w:rsidRPr="00845BB2">
        <w:rPr>
          <w:rFonts w:ascii="Times New Roman" w:hAnsi="Times New Roman" w:cs="Times New Roman"/>
          <w:sz w:val="24"/>
          <w:szCs w:val="24"/>
        </w:rPr>
        <w:t xml:space="preserve"> </w:t>
      </w:r>
      <w:r w:rsidR="00395929" w:rsidRPr="00845BB2">
        <w:rPr>
          <w:rFonts w:ascii="Times New Roman" w:hAnsi="Times New Roman" w:cs="Times New Roman"/>
          <w:sz w:val="24"/>
          <w:szCs w:val="24"/>
        </w:rPr>
        <w:t>(n=119</w:t>
      </w:r>
      <w:r w:rsidR="00AA2463" w:rsidRPr="00845BB2">
        <w:rPr>
          <w:rFonts w:ascii="Times New Roman" w:hAnsi="Times New Roman" w:cs="Times New Roman"/>
          <w:sz w:val="24"/>
          <w:szCs w:val="24"/>
        </w:rPr>
        <w:t xml:space="preserve"> breasts).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Strattice was used in</w:t>
      </w:r>
      <w:r w:rsidR="00AA2463" w:rsidRPr="00845BB2">
        <w:rPr>
          <w:rFonts w:ascii="Times New Roman" w:hAnsi="Times New Roman" w:cs="Times New Roman"/>
          <w:sz w:val="24"/>
          <w:szCs w:val="24"/>
        </w:rPr>
        <w:t xml:space="preserve"> 30 breasts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(25%) and Surgimend in</w:t>
      </w:r>
      <w:r w:rsidR="00AA2463" w:rsidRPr="00845BB2">
        <w:rPr>
          <w:rFonts w:ascii="Times New Roman" w:hAnsi="Times New Roman" w:cs="Times New Roman"/>
          <w:sz w:val="24"/>
          <w:szCs w:val="24"/>
        </w:rPr>
        <w:t xml:space="preserve"> 89 (75%).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Analysis o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 patient specific variables showed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0A9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statistical significance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006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higher</w:t>
      </w:r>
      <w:r w:rsidR="00346F7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mastectomy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weight</w:t>
      </w:r>
      <w:r w:rsidR="00346F7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Strattice group </w:t>
      </w:r>
      <w:r w:rsidR="00F5019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346F7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367.1 ± 159.3 grams versus 296.3 ± 133.4 grams; </w:t>
      </w:r>
      <w:r w:rsidR="00346F7F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 =</w:t>
      </w:r>
      <w:r w:rsidR="00346F7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0.0379)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5219C" w:rsidRPr="00845BB2">
        <w:rPr>
          <w:rFonts w:ascii="Times New Roman" w:hAnsi="Times New Roman" w:cs="Times New Roman"/>
          <w:sz w:val="24"/>
          <w:szCs w:val="24"/>
        </w:rPr>
        <w:t xml:space="preserve"> </w:t>
      </w:r>
      <w:r w:rsidR="000E23DD" w:rsidRPr="00845BB2">
        <w:rPr>
          <w:rFonts w:ascii="Times New Roman" w:hAnsi="Times New Roman" w:cs="Times New Roman"/>
          <w:sz w:val="24"/>
          <w:szCs w:val="24"/>
        </w:rPr>
        <w:t>Strattice was associated with h</w:t>
      </w:r>
      <w:r w:rsidR="000E7F8F" w:rsidRPr="00845BB2">
        <w:rPr>
          <w:rFonts w:ascii="Times New Roman" w:hAnsi="Times New Roman" w:cs="Times New Roman"/>
          <w:sz w:val="24"/>
          <w:szCs w:val="24"/>
        </w:rPr>
        <w:t xml:space="preserve">igher rates of </w:t>
      </w:r>
      <w:r w:rsidR="001C27E6" w:rsidRPr="00845BB2">
        <w:rPr>
          <w:rFonts w:ascii="Times New Roman" w:hAnsi="Times New Roman" w:cs="Times New Roman"/>
          <w:sz w:val="24"/>
          <w:szCs w:val="24"/>
        </w:rPr>
        <w:t>s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kin erythema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6DB3" w:rsidRPr="00845BB2">
        <w:rPr>
          <w:rFonts w:ascii="Times New Roman" w:hAnsi="Times New Roman" w:cs="Times New Roman"/>
          <w:sz w:val="24"/>
          <w:szCs w:val="24"/>
        </w:rPr>
        <w:t>post-operative</w:t>
      </w:r>
      <w:r w:rsidR="00026DB3">
        <w:rPr>
          <w:rFonts w:ascii="Times New Roman" w:hAnsi="Times New Roman" w:cs="Times New Roman"/>
          <w:sz w:val="24"/>
          <w:szCs w:val="24"/>
        </w:rPr>
        <w:t>ly</w:t>
      </w:r>
      <w:r w:rsidR="00026D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21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(16.7% versus</w:t>
      </w:r>
      <w:r w:rsidR="00740A9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4.5%; </w:t>
      </w:r>
      <w:r w:rsidR="009633E3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 =</w:t>
      </w:r>
      <w:r w:rsidR="00963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331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0.044).</w:t>
      </w:r>
      <w:r w:rsidR="00E83C9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Analysed per woman or per breast, t</w:t>
      </w:r>
      <w:r w:rsidR="001C27E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here was no</w:t>
      </w:r>
      <w:r w:rsidR="003521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statistical</w:t>
      </w:r>
      <w:r w:rsidR="000E7F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ly significant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difference in</w:t>
      </w:r>
      <w:r w:rsidR="000E7F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rates of haematoma, </w:t>
      </w:r>
      <w:r w:rsidR="003521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infection, wou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nd dehiscence, skin necrosis or</w:t>
      </w:r>
      <w:r w:rsidR="003521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seroma</w:t>
      </w:r>
      <w:r w:rsidR="000E23D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although</w:t>
      </w:r>
      <w:r w:rsidR="000E23DD" w:rsidRPr="00845BB2">
        <w:rPr>
          <w:rFonts w:ascii="Times New Roman" w:hAnsi="Times New Roman" w:cs="Times New Roman"/>
          <w:sz w:val="24"/>
          <w:szCs w:val="24"/>
        </w:rPr>
        <w:t xml:space="preserve"> t</w:t>
      </w:r>
      <w:r w:rsidR="00936E9D" w:rsidRPr="00845BB2">
        <w:rPr>
          <w:rFonts w:ascii="Times New Roman" w:hAnsi="Times New Roman" w:cs="Times New Roman"/>
          <w:sz w:val="24"/>
          <w:szCs w:val="24"/>
        </w:rPr>
        <w:t>here w</w:t>
      </w:r>
      <w:r w:rsidR="000E23DD" w:rsidRPr="00845BB2">
        <w:rPr>
          <w:rFonts w:ascii="Times New Roman" w:hAnsi="Times New Roman" w:cs="Times New Roman"/>
          <w:sz w:val="24"/>
          <w:szCs w:val="24"/>
        </w:rPr>
        <w:t>as</w:t>
      </w:r>
      <w:r w:rsidR="009C70AE" w:rsidRPr="00845BB2">
        <w:rPr>
          <w:rFonts w:ascii="Times New Roman" w:hAnsi="Times New Roman" w:cs="Times New Roman"/>
          <w:sz w:val="24"/>
          <w:szCs w:val="24"/>
        </w:rPr>
        <w:t xml:space="preserve"> a trend towards </w:t>
      </w:r>
      <w:r w:rsidR="000E23DD" w:rsidRPr="00845BB2">
        <w:rPr>
          <w:rFonts w:ascii="Times New Roman" w:hAnsi="Times New Roman" w:cs="Times New Roman"/>
          <w:sz w:val="24"/>
          <w:szCs w:val="24"/>
        </w:rPr>
        <w:t>more</w:t>
      </w:r>
      <w:r w:rsidR="00936E9D" w:rsidRPr="00845BB2">
        <w:rPr>
          <w:rFonts w:ascii="Times New Roman" w:hAnsi="Times New Roman" w:cs="Times New Roman"/>
          <w:sz w:val="24"/>
          <w:szCs w:val="24"/>
        </w:rPr>
        <w:t xml:space="preserve"> </w:t>
      </w:r>
      <w:r w:rsidR="000E23DD" w:rsidRPr="00845BB2">
        <w:rPr>
          <w:rFonts w:ascii="Times New Roman" w:hAnsi="Times New Roman" w:cs="Times New Roman"/>
          <w:sz w:val="24"/>
          <w:szCs w:val="24"/>
        </w:rPr>
        <w:t>complications with Strattice</w:t>
      </w:r>
      <w:r w:rsidR="00936E9D" w:rsidRPr="00845BB2">
        <w:rPr>
          <w:rFonts w:ascii="Times New Roman" w:hAnsi="Times New Roman" w:cs="Times New Roman"/>
          <w:sz w:val="24"/>
          <w:szCs w:val="24"/>
        </w:rPr>
        <w:t>.</w:t>
      </w:r>
    </w:p>
    <w:p w14:paraId="2DB8D3E6" w14:textId="4E834E59" w:rsidR="00525E76" w:rsidRPr="00845BB2" w:rsidRDefault="00AA2463" w:rsidP="006E66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7530">
        <w:rPr>
          <w:rFonts w:ascii="Times New Roman" w:hAnsi="Times New Roman" w:cs="Times New Roman"/>
          <w:sz w:val="24"/>
          <w:szCs w:val="24"/>
        </w:rPr>
        <w:t>Conclusion:</w:t>
      </w:r>
      <w:r w:rsidR="008C32BE" w:rsidRPr="00845BB2">
        <w:rPr>
          <w:rFonts w:ascii="Times New Roman" w:hAnsi="Times New Roman" w:cs="Times New Roman"/>
          <w:sz w:val="24"/>
          <w:szCs w:val="24"/>
        </w:rPr>
        <w:t xml:space="preserve"> </w:t>
      </w:r>
      <w:r w:rsidR="000E23DD" w:rsidRPr="00845BB2">
        <w:rPr>
          <w:rFonts w:ascii="Times New Roman" w:hAnsi="Times New Roman" w:cs="Times New Roman"/>
          <w:sz w:val="24"/>
          <w:szCs w:val="24"/>
        </w:rPr>
        <w:t>This study found significantly higher rates of skin erythema and a trend towards higher complication rates with Strattice in IBBR. Randomised-controlled trials comparing different ADM outcomes are needed to inform best practice.</w:t>
      </w:r>
    </w:p>
    <w:p w14:paraId="139AAF54" w14:textId="0CC1A16C" w:rsidR="00936E9D" w:rsidRPr="00CE3C9C" w:rsidRDefault="00CE3C9C" w:rsidP="006E66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Key words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Acellular dermal matrix; Strattice; Surgime</w:t>
      </w:r>
      <w:r w:rsidR="004D5250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d; Implant</w:t>
      </w:r>
      <w:r w:rsidR="004D5250">
        <w:rPr>
          <w:rFonts w:ascii="Times New Roman" w:eastAsia="Times New Roman" w:hAnsi="Times New Roman" w:cs="Times New Roman"/>
          <w:sz w:val="24"/>
          <w:szCs w:val="24"/>
          <w:lang w:eastAsia="en-GB"/>
        </w:rPr>
        <w:t>; 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reast reconstruction</w:t>
      </w:r>
      <w:r w:rsidR="00936E9D" w:rsidRPr="00CE3C9C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7461D80" w14:textId="77777777" w:rsidR="00FC07A8" w:rsidRDefault="00F97BE3" w:rsidP="00FC07A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Introduction</w:t>
      </w:r>
    </w:p>
    <w:p w14:paraId="4382A28D" w14:textId="05FCC42D" w:rsidR="002077CC" w:rsidRPr="00FC07A8" w:rsidRDefault="00042E1C" w:rsidP="00FC07A8">
      <w:pPr>
        <w:spacing w:line="48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Immediate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breast reconstruction with fixed volume </w:t>
      </w:r>
      <w:r w:rsidR="00421A9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tissue expander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implant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33C8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become increasingly popular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much so that </w:t>
      </w:r>
      <w:r w:rsidR="00930E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many countries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including the UK</w:t>
      </w:r>
      <w:r w:rsidR="00930E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it is</w:t>
      </w:r>
      <w:r w:rsidR="00421A9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8A2C9E">
        <w:rPr>
          <w:rFonts w:ascii="Times New Roman" w:eastAsia="Times New Roman" w:hAnsi="Times New Roman" w:cs="Times New Roman"/>
          <w:sz w:val="24"/>
          <w:szCs w:val="24"/>
          <w:lang w:eastAsia="en-GB"/>
        </w:rPr>
        <w:t>most common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A7DC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reconstructive 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technique</w:t>
      </w:r>
      <w:r w:rsidR="00026DB3" w:rsidRP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>post-</w:t>
      </w:r>
      <w:r w:rsidR="00026D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mastectomy</w:t>
      </w:r>
      <w:r w:rsidR="00026DB3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A9A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"/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Incorporating 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use of 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 acellular dermal m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atrix (</w:t>
      </w:r>
      <w:r w:rsidR="00EB795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ADM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technique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become </w:t>
      </w:r>
      <w:r w:rsidR="00930E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favourable with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A7DC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number of 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reported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benefits</w:t>
      </w:r>
      <w:r w:rsidR="007E72A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A1D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12C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ADM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provides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coverage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r w:rsidR="000412C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implant </w:t>
      </w:r>
      <w:r w:rsidR="004165A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inferiorly </w:t>
      </w:r>
      <w:r w:rsidR="00C8364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giving an additional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layer 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 the lower pole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patients with little or poor soft tissue. </w:t>
      </w:r>
      <w:r w:rsidR="00F44DD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enhances lower pole expansion </w:t>
      </w:r>
      <w:r w:rsidR="003658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facilitating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single-stage surgery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greater initial expander implant fill volumes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allowing for reconstruction in patients with larger breasts </w:t>
      </w:r>
      <w:r w:rsidR="008C61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thus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widening the pool of patients who</w:t>
      </w:r>
      <w:r w:rsidR="006723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suitable for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>implant-based breast reconstruction (</w:t>
      </w:r>
      <w:r w:rsidR="006723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IBBR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F44DD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Aesthetically, ADM-assisted breast reconstruction 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been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reported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give</w:t>
      </w:r>
      <w:r w:rsidR="008C3A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1A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superior</w:t>
      </w:r>
      <w:r w:rsidR="003E10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outcome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comparison with traditional subpectoral implant placement 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improving the contour of the lower pole and 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inframammary fold</w:t>
      </w:r>
      <w:r w:rsidR="00C9528C" w:rsidRPr="00845BB2" w:rsidDel="00C952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E10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definition</w:t>
      </w:r>
      <w:r w:rsidR="00961291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2"/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 comparison with</w:t>
      </w:r>
      <w:r w:rsidR="00A16C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flap </w:t>
      </w:r>
      <w:r w:rsidR="002976A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based reconstruction,</w:t>
      </w:r>
      <w:r w:rsidR="009107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IBBR with ADM </w:t>
      </w:r>
      <w:r w:rsidR="009107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has a shor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>ter operative and recovery time,</w:t>
      </w:r>
      <w:r w:rsidR="009107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lower morbidity by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1A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elimi</w:t>
      </w:r>
      <w:r w:rsidR="009107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nating the</w:t>
      </w:r>
      <w:r w:rsidR="009F1A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 for a donor si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9F1A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attendant 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scars</w:t>
      </w:r>
      <w:r w:rsidR="002C6568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3"/>
      </w:r>
      <w:r w:rsidR="009F1A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5A2D4FE" w14:textId="01357317" w:rsidR="00F20FF6" w:rsidRPr="00845BB2" w:rsidRDefault="001F0529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ADM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5315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658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</w:t>
      </w:r>
      <w:r w:rsidR="0054105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4555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drawbacks: they 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expensive and 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controversy</w:t>
      </w:r>
      <w:r w:rsidR="001C7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reports of</w:t>
      </w:r>
      <w:r w:rsidR="007F55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A1E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associated </w:t>
      </w:r>
      <w:r w:rsidR="007F55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</w:t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 risk of</w:t>
      </w:r>
      <w:r w:rsidR="002C656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B6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complications including </w:t>
      </w:r>
      <w:r w:rsidR="002C656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surgical site infection, skin flap necrosis,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seroma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formation </w:t>
      </w:r>
      <w:r w:rsidR="00E71C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2C656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reconstructive failure</w:t>
      </w:r>
      <w:bookmarkStart w:id="1" w:name="_Ref458353321"/>
      <w:r w:rsidR="002C47C6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4"/>
      </w:r>
      <w:bookmarkEnd w:id="1"/>
      <w:r w:rsidR="002C47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2C6568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5"/>
      </w:r>
      <w:r w:rsidR="002C6568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2C6568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6"/>
      </w:r>
      <w:r w:rsidR="00C952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71C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9A6A00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</w:t>
      </w:r>
      <w:r w:rsidR="00C9528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DA1D6A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frequent </w:t>
      </w:r>
      <w:r w:rsidR="00C9528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complication termed </w:t>
      </w:r>
      <w:r w:rsidR="00E71C3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‘red breast syndrome</w:t>
      </w:r>
      <w:r w:rsidR="00C9528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’ is thought to be </w:t>
      </w:r>
      <w:r w:rsid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delayed</w:t>
      </w:r>
      <w:r w:rsidR="006D67BF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hypersensitivity </w:t>
      </w:r>
      <w:r w:rsidR="00DA1D6A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reaction </w:t>
      </w:r>
      <w:r w:rsidR="001C763E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of </w:t>
      </w:r>
      <w:r w:rsidR="00E71C3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the skin overlying the ADM </w:t>
      </w:r>
      <w:r w:rsidR="008C618F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(to the ADM or its preservative) </w:t>
      </w:r>
      <w:r w:rsidR="00E71C3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that </w:t>
      </w:r>
      <w:r w:rsidR="00C4555C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mimics a post-op</w:t>
      </w:r>
      <w:r w:rsidR="002976A3" w:rsidRPr="00C64F8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erative cellulitis. 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ADMs are not a panacea and patient selection 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very important as 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demonstrated by reports of higher 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complication rates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ssociated with mastectomy weight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378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&gt; 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600g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(large breasts)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BMI &gt;30</w:t>
      </w:r>
      <w:r w:rsidR="003B192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(clinical obesity)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5315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61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smoking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61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simultaneous axillary clearance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NOTEREF _Ref458353321 \f \h </w:instrText>
      </w:r>
      <w:r w:rsidR="00845B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\* MERGEFORMAT </w:instrTex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C03871" w:rsidRPr="00C03871">
        <w:rPr>
          <w:rStyle w:val="EndnoteReference"/>
          <w:rFonts w:ascii="Times New Roman" w:hAnsi="Times New Roman" w:cs="Times New Roman"/>
          <w:sz w:val="24"/>
          <w:szCs w:val="24"/>
        </w:rPr>
        <w:t>3</w:t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2077CC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7"/>
      </w:r>
      <w:r w:rsidR="00C22AD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C22AD3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8"/>
      </w:r>
      <w:r w:rsidR="00E01415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A3273B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9"/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2D1B89D" w14:textId="1B035117" w:rsidR="00FE7A71" w:rsidRPr="00845BB2" w:rsidRDefault="00033C82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an increasing number of</w:t>
      </w:r>
      <w:r w:rsidR="00C8364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ADMs available on the market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toda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y and selecting the optimum</w:t>
      </w:r>
      <w:r w:rsidR="00026D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matrix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364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remains difficult</w:t>
      </w:r>
      <w:r w:rsidR="002C002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3389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3F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is great variation in the 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component</w:t>
      </w:r>
      <w:r w:rsidR="00A0295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0141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7D3D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de-</w:t>
      </w:r>
      <w:r w:rsidR="007D3D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cellularisation and sterilisation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processes </w:t>
      </w:r>
      <w:r w:rsidR="00BD2B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="00DB3F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impact on </w:t>
      </w:r>
      <w:r w:rsidR="007D3D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matrix properties and </w:t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host-implant response characteristics</w:t>
      </w:r>
      <w:r w:rsidR="002077CC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0"/>
      </w:r>
      <w:r w:rsidR="002077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E72A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E092F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Additionally,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storage requirements</w:t>
      </w:r>
      <w:r w:rsidR="001E092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94A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preparation and cost vary significantly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B251F4">
        <w:rPr>
          <w:rFonts w:ascii="Times New Roman" w:eastAsia="Times New Roman" w:hAnsi="Times New Roman" w:cs="Times New Roman"/>
          <w:sz w:val="24"/>
          <w:szCs w:val="24"/>
          <w:lang w:eastAsia="en-GB"/>
        </w:rPr>
        <w:t>Perhaps,</w:t>
      </w:r>
      <w:r w:rsidR="00AE77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human derived ADM </w:t>
      </w:r>
      <w:r w:rsidR="001D640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been shown to be inferior </w:t>
      </w:r>
      <w:r w:rsidR="00AE77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hernia repair due to comparatively higher rate of unfavourable outcomes</w:t>
      </w:r>
      <w:r w:rsidR="001D640C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1"/>
      </w:r>
      <w:r w:rsidR="001E092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251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may be illogical to expect</w:t>
      </w:r>
      <w:r w:rsidR="002C002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51F4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164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 reconstruction </w:t>
      </w:r>
      <w:r w:rsidR="00B251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AE77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ADMs are </w:t>
      </w:r>
      <w:r w:rsidR="00164384">
        <w:rPr>
          <w:rFonts w:ascii="Times New Roman" w:eastAsia="Times New Roman" w:hAnsi="Times New Roman" w:cs="Times New Roman"/>
          <w:sz w:val="24"/>
          <w:szCs w:val="24"/>
          <w:lang w:eastAsia="en-GB"/>
        </w:rPr>
        <w:t>equal</w:t>
      </w:r>
      <w:r w:rsidR="00AE77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B3F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Apprais</w:t>
      </w:r>
      <w:r w:rsidR="00BD2B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ing the li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terature, </w:t>
      </w:r>
      <w:r w:rsidR="00DB3F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C2744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most 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extensively </w:t>
      </w:r>
      <w:r w:rsidR="00C2744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investigated</w:t>
      </w:r>
      <w:r w:rsidR="00F20F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</w:t>
      </w:r>
      <w:r w:rsidR="009547A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772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breast reconstruction </w:t>
      </w:r>
      <w:r w:rsidR="00BD2B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the human derived </w:t>
      </w:r>
      <w:r w:rsidR="004D5250">
        <w:rPr>
          <w:rFonts w:ascii="Times New Roman" w:eastAsia="Times New Roman" w:hAnsi="Times New Roman" w:cs="Times New Roman"/>
          <w:sz w:val="24"/>
          <w:szCs w:val="24"/>
          <w:lang w:eastAsia="en-GB"/>
        </w:rPr>
        <w:t>AlloD</w:t>
      </w:r>
      <w:r w:rsidR="00635F6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erm</w:t>
      </w:r>
      <w:r w:rsidR="00ED3A00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®</w:t>
      </w:r>
      <w:r w:rsidR="009547AD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732E1F">
        <w:rPr>
          <w:rFonts w:ascii="Times New Roman" w:eastAsia="Times New Roman" w:hAnsi="Times New Roman" w:cs="Times New Roman"/>
          <w:sz w:val="24"/>
          <w:szCs w:val="24"/>
          <w:lang w:eastAsia="en-GB"/>
        </w:rPr>
        <w:t>(Acelity</w:t>
      </w:r>
      <w:r w:rsidR="00732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TM </w:t>
      </w:r>
      <w:r w:rsidR="00732E1F">
        <w:rPr>
          <w:rFonts w:ascii="Times New Roman" w:eastAsia="Times New Roman" w:hAnsi="Times New Roman" w:cs="Times New Roman"/>
          <w:sz w:val="24"/>
          <w:szCs w:val="24"/>
          <w:lang w:eastAsia="en-GB"/>
        </w:rPr>
        <w:t>San Antonio, Texas, U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nited States (US)</w:t>
      </w:r>
      <w:r w:rsidR="00732E1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is commonly used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US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but does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A1B7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="007A1B7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>marking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use in Europe. Subsequently,</w:t>
      </w:r>
      <w:r w:rsidR="00BD2B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</w:t>
      </w:r>
      <w:r w:rsidR="00CB6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lack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data comparing</w:t>
      </w:r>
      <w:r w:rsidR="00CB6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outcomes an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safety with 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use of other</w:t>
      </w:r>
      <w:r w:rsidR="00CB6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ADMs</w:t>
      </w:r>
      <w:r w:rsidR="001E0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particularly xenogen</w:t>
      </w:r>
      <w:r w:rsidR="00B251F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1E092F">
        <w:rPr>
          <w:rFonts w:ascii="Times New Roman" w:eastAsia="Times New Roman" w:hAnsi="Times New Roman" w:cs="Times New Roman"/>
          <w:sz w:val="24"/>
          <w:szCs w:val="24"/>
          <w:lang w:eastAsia="en-GB"/>
        </w:rPr>
        <w:t>ic</w:t>
      </w:r>
      <w:r w:rsidR="00CB6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EA8B6A5" w14:textId="26675553" w:rsidR="0065010E" w:rsidRPr="00845BB2" w:rsidRDefault="00BE6A89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TM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Lifecell, Branchburg, NJ, US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and Surgimend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TM 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B1F70">
        <w:rPr>
          <w:rFonts w:ascii="Times New Roman" w:eastAsia="Times New Roman" w:hAnsi="Times New Roman" w:cs="Times New Roman"/>
          <w:sz w:val="24"/>
          <w:szCs w:val="24"/>
          <w:lang w:eastAsia="en-GB"/>
        </w:rPr>
        <w:t>TEI Biosciences; Boston, MA, US</w:t>
      </w:r>
      <w:r w:rsidR="00525E7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</w:t>
      </w:r>
      <w:r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xenogen</w:t>
      </w:r>
      <w:r w:rsidR="00B251F4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ic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ADMs, derived from porcine and bovine</w:t>
      </w:r>
      <w:r w:rsidR="00BA720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foetal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071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neonatal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dermis respectively. 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non-cross linked matrices reinforce soft tissue and are a framework for cellular re-population and neovascularisation. 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became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en-GB"/>
        </w:rPr>
        <w:t>commercially available in the EU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US in 2008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E26D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been 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widely used in breast reconstruction and abdominal wall repair. It 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terminally sterilised </w:t>
      </w:r>
      <w:r w:rsidR="00DF6B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electron beam irradiation 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decellularised to remove precipitants thought to trigger a </w:t>
      </w:r>
      <w:r w:rsidR="003756ED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xenogeneic 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rejection response</w:t>
      </w:r>
      <w:r w:rsidR="00D848BC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2"/>
      </w:r>
      <w:r w:rsidR="006501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972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preserved in a phosphate buffered aqueous solution containing matrix stabilisers and in accordance with </w:t>
      </w:r>
      <w:r w:rsidR="00BA720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manuf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>acturer’s instructions</w:t>
      </w:r>
      <w:r w:rsidR="0064626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</w:t>
      </w:r>
      <w:r w:rsidR="00A972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stored at room temperature.  Prior to use it requires</w:t>
      </w:r>
      <w:r w:rsidR="00947B1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washing</w:t>
      </w:r>
      <w:r w:rsidR="00BA720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A972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saline at room temperature</w:t>
      </w:r>
      <w:r w:rsidR="00BA720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at least</w:t>
      </w:r>
      <w:r w:rsidR="006501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minutes</w:t>
      </w:r>
      <w:r w:rsidR="00BA7203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3"/>
      </w:r>
      <w:r w:rsidR="00D52E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64384">
        <w:rPr>
          <w:rFonts w:ascii="Times New Roman" w:eastAsia="Times New Roman" w:hAnsi="Times New Roman" w:cs="Times New Roman"/>
          <w:sz w:val="24"/>
          <w:szCs w:val="24"/>
          <w:lang w:eastAsia="en-GB"/>
        </w:rPr>
        <w:t>but in our practice this was done for longer</w:t>
      </w:r>
      <w:r w:rsidR="006501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756E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251E3AE" w14:textId="593E3A3F" w:rsidR="009E1E59" w:rsidRDefault="00761ACC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Surgimend</w:t>
      </w:r>
      <w:r w:rsidR="004D4B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071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widely used in hernia re</w:t>
      </w:r>
      <w:r w:rsidR="00D52EE9">
        <w:rPr>
          <w:rFonts w:ascii="Times New Roman" w:eastAsia="Times New Roman" w:hAnsi="Times New Roman" w:cs="Times New Roman"/>
          <w:sz w:val="24"/>
          <w:szCs w:val="24"/>
          <w:lang w:eastAsia="en-GB"/>
        </w:rPr>
        <w:t>pair, muscle flap reinforcement,</w:t>
      </w:r>
      <w:r w:rsidR="000F071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plastic and reconstructive surgery</w:t>
      </w:r>
      <w:r w:rsidR="000F071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It 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is a non-cross linked m</w:t>
      </w:r>
      <w:r w:rsidR="00422A87">
        <w:rPr>
          <w:rFonts w:ascii="Times New Roman" w:eastAsia="Times New Roman" w:hAnsi="Times New Roman" w:cs="Times New Roman"/>
          <w:sz w:val="24"/>
          <w:szCs w:val="24"/>
          <w:lang w:eastAsia="en-GB"/>
        </w:rPr>
        <w:t>atrix of type I and II collagen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terminally </w:t>
      </w:r>
      <w:r w:rsidR="004D4B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sterilised with ethylene oxide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free from</w:t>
      </w:r>
      <w:r w:rsidR="004E1F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07D0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preservative</w:t>
      </w:r>
      <w:r w:rsidR="00D52EE9">
        <w:rPr>
          <w:rFonts w:ascii="Times New Roman" w:eastAsia="Times New Roman" w:hAnsi="Times New Roman" w:cs="Times New Roman"/>
          <w:sz w:val="24"/>
          <w:szCs w:val="24"/>
          <w:lang w:eastAsia="en-GB"/>
        </w:rPr>
        <w:t>s including polysorbate 20</w:t>
      </w:r>
      <w:r w:rsidR="00422A8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thought to be a possible irritant or allergen in some patients</w:t>
      </w:r>
      <w:r w:rsidR="00F4130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m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anufacturer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instructs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that it can be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1AF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stored at room temperature and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1128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requires rehydration for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1-2 minutes prior to use</w:t>
      </w:r>
      <w:r w:rsidR="00D61AF3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4"/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>, but</w:t>
      </w:r>
      <w:r w:rsidR="00E56B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>again</w:t>
      </w:r>
      <w:r w:rsidR="001643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our practice this was done for longer. </w:t>
      </w:r>
    </w:p>
    <w:p w14:paraId="52A43C8B" w14:textId="4B6C083C" w:rsidR="00833970" w:rsidRPr="00845BB2" w:rsidRDefault="00D61AF3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1D640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study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Adelman et al</w:t>
      </w:r>
      <w:r w:rsidR="001D640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compare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1D640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mechanical</w:t>
      </w:r>
      <w:r w:rsidR="00C05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640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properties of 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both ADMs using</w:t>
      </w:r>
      <w:r w:rsidR="00422A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C05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series of 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vitro pre-</w:t>
      </w:r>
      <w:r w:rsidR="00C05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implantation biomechanical tests</w:t>
      </w:r>
      <w:r w:rsidR="00422A87">
        <w:rPr>
          <w:rFonts w:ascii="Times New Roman" w:eastAsia="Times New Roman" w:hAnsi="Times New Roman" w:cs="Times New Roman"/>
          <w:sz w:val="24"/>
          <w:szCs w:val="24"/>
          <w:lang w:eastAsia="en-GB"/>
        </w:rPr>
        <w:t>. They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found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Surgimend had </w:t>
      </w:r>
      <w:r w:rsidR="00761A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increased mechanical </w:t>
      </w:r>
      <w:r w:rsidR="007C4A7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strength compared with Strattice</w:t>
      </w:r>
      <w:r w:rsidR="00C05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equal thickness</w:t>
      </w:r>
      <w:r w:rsidR="00451D7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further studies are nee</w:t>
      </w:r>
      <w:r w:rsidR="00E26D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ded to investigate</w:t>
      </w:r>
      <w:r w:rsidR="00451D7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32B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how this transpires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</w:t>
      </w:r>
      <w:r w:rsidR="00451D7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vivo and </w:t>
      </w:r>
      <w:r w:rsidR="00CF6C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into </w:t>
      </w:r>
      <w:r w:rsidR="00D848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clinical outcome</w:t>
      </w:r>
      <w:r w:rsidR="00DC557F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5"/>
      </w:r>
      <w:r w:rsidR="00C053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1B394B7" w14:textId="5DF2DD8D" w:rsidR="00E71C3C" w:rsidRPr="00845BB2" w:rsidRDefault="00CF6CA1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7F55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aim of this study </w:t>
      </w:r>
      <w:r w:rsidR="008339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wa</w:t>
      </w:r>
      <w:r w:rsidR="007F55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 to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412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a</w:t>
      </w:r>
      <w:r w:rsidR="008339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direct </w:t>
      </w:r>
      <w:r w:rsidR="007F55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</w:t>
      </w:r>
      <w:r w:rsidR="008339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ison of </w:t>
      </w:r>
      <w:r w:rsidR="00E86A3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our experienc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of 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sequential use of 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 an</w:t>
      </w:r>
      <w:r w:rsidR="00BE6A8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Surgimend</w:t>
      </w:r>
      <w:r w:rsidR="004D4B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IBBR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focusing on</w:t>
      </w:r>
      <w:r w:rsidR="00A5098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short-</w:t>
      </w:r>
      <w:r w:rsidR="00E86A3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term outcomes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50FD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5DC5A47" w14:textId="77777777" w:rsidR="004E2DFF" w:rsidRPr="00845BB2" w:rsidRDefault="004E2DFF" w:rsidP="006E660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45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br w:type="page"/>
      </w:r>
    </w:p>
    <w:p w14:paraId="717FFF00" w14:textId="77777777" w:rsidR="00CB1E9D" w:rsidRPr="001948CE" w:rsidRDefault="00CB1E9D" w:rsidP="006E660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Method</w:t>
      </w:r>
      <w:r w:rsidR="00B24654"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</w:t>
      </w:r>
    </w:p>
    <w:p w14:paraId="56669F74" w14:textId="519031AE" w:rsidR="00431F62" w:rsidRPr="00845BB2" w:rsidRDefault="00546A48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hAnsi="Times New Roman" w:cs="Times New Roman"/>
          <w:sz w:val="24"/>
          <w:szCs w:val="24"/>
        </w:rPr>
        <w:t xml:space="preserve">A retrospective analysis of consecutive cases of ADM-assisted </w:t>
      </w:r>
      <w:r w:rsidR="009E1E59">
        <w:rPr>
          <w:rFonts w:ascii="Times New Roman" w:hAnsi="Times New Roman" w:cs="Times New Roman"/>
          <w:sz w:val="24"/>
          <w:szCs w:val="24"/>
        </w:rPr>
        <w:t>immediate IBBR</w:t>
      </w:r>
      <w:r w:rsidRPr="00845BB2">
        <w:rPr>
          <w:rFonts w:ascii="Times New Roman" w:hAnsi="Times New Roman" w:cs="Times New Roman"/>
          <w:sz w:val="24"/>
          <w:szCs w:val="24"/>
        </w:rPr>
        <w:t xml:space="preserve"> performed in Cambridge between October 2011 and March 2016 was undertaken.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Strattice was used in all cases until October 2014 when due to anecdotal concerns </w:t>
      </w:r>
      <w:r w:rsidR="00770B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about outcomes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was a wholesale departmental move to using Surgimend. </w:t>
      </w:r>
    </w:p>
    <w:p w14:paraId="3A001A1B" w14:textId="77777777" w:rsidR="007162F3" w:rsidRPr="00845BB2" w:rsidRDefault="007162F3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0F6460A" w14:textId="47F92FB4" w:rsidR="00CB1E9D" w:rsidRPr="001948CE" w:rsidRDefault="00CB1E9D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Patient selection</w:t>
      </w:r>
      <w:r w:rsid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</w:p>
    <w:p w14:paraId="72E9CB5E" w14:textId="36817DE8" w:rsidR="00CB1E9D" w:rsidRPr="00845BB2" w:rsidRDefault="007162F3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7E326F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atients </w:t>
      </w:r>
      <w:r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</w:t>
      </w:r>
      <w:r w:rsidR="007E326F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underwent</w:t>
      </w:r>
      <w:r w:rsidR="001D7DCF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immediate </w:t>
      </w:r>
      <w:r w:rsidR="00431F62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IBBR </w:t>
      </w:r>
      <w:r w:rsidR="00CF6CA1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one of the three plastic surgeons in the group </w:t>
      </w:r>
      <w:r w:rsidR="007E326F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oncological or prophylactic mastectomy</w:t>
      </w:r>
      <w:r w:rsidR="009F1407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identified using hospital operative logbooks, implant diaries and patient clinical records</w:t>
      </w:r>
      <w:r w:rsidR="001D7DCF" w:rsidRP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Patient </w:t>
      </w:r>
      <w:r w:rsidR="00CF6C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demographics were collected including 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age at the time of surgery, body mass index, smoking status, co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morbidities (ASA grade), neo adjuvant/adjuvant chemotherapy and radiotherapy. Smokers were classified as 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those 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were currently or had been </w:t>
      </w:r>
      <w:r w:rsidR="00881E7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smoking 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 to 3 months prior to 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surgery.  For data </w:t>
      </w:r>
      <w:r w:rsidR="00CF6CA1">
        <w:rPr>
          <w:rFonts w:ascii="Times New Roman" w:eastAsia="Times New Roman" w:hAnsi="Times New Roman" w:cs="Times New Roman"/>
          <w:sz w:val="24"/>
          <w:szCs w:val="24"/>
          <w:lang w:eastAsia="en-GB"/>
        </w:rPr>
        <w:t>analysis,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each breast was reco</w:t>
      </w:r>
      <w:r w:rsidR="00CF6CA1">
        <w:rPr>
          <w:rFonts w:ascii="Times New Roman" w:eastAsia="Times New Roman" w:hAnsi="Times New Roman" w:cs="Times New Roman"/>
          <w:sz w:val="24"/>
          <w:szCs w:val="24"/>
          <w:lang w:eastAsia="en-GB"/>
        </w:rPr>
        <w:t>rded as a separate procedure in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="00CB1E9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atients 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had undergone </w:t>
      </w:r>
      <w:r w:rsidR="00CB1E9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bilateral</w:t>
      </w:r>
      <w:r w:rsidR="009E1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reconstruction</w:t>
      </w:r>
      <w:r w:rsidR="004A065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E2BB7E8" w14:textId="77777777" w:rsidR="007162F3" w:rsidRPr="00845BB2" w:rsidRDefault="007162F3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E3B0258" w14:textId="3DA7F391" w:rsidR="00CF21F0" w:rsidRPr="001948CE" w:rsidRDefault="00CF21F0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Endpoints</w:t>
      </w:r>
      <w:r w:rsidR="001948CE"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  <w:r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3732093C" w14:textId="3ECA8E19" w:rsidR="009C6681" w:rsidRDefault="00431F62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 minimum</w:t>
      </w:r>
      <w:r w:rsidR="007E32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of 3 months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7E32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F21F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 up </w:t>
      </w:r>
      <w:r w:rsidR="007E32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date of surgery was attained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each patient</w:t>
      </w:r>
      <w:r w:rsidR="00A8797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F140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linical 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>records were reviewed and data</w:t>
      </w:r>
      <w:r w:rsidR="00F97BE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collected on</w:t>
      </w:r>
      <w:r w:rsidR="00CF21F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rates of </w:t>
      </w:r>
      <w:r w:rsidR="00CF21F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erythema or ‘red breast syndrome’, </w:t>
      </w:r>
      <w:r w:rsidR="00451D7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necrosis, </w:t>
      </w:r>
      <w:r w:rsidR="00CF21F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infection</w:t>
      </w:r>
      <w:r w:rsidR="00DB1AD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F21F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seroma</w:t>
      </w:r>
      <w:r w:rsidR="000451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formation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haematoma and return to theatre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 w:rsidR="00983970">
        <w:rPr>
          <w:rFonts w:ascii="Times New Roman" w:eastAsia="Times New Roman" w:hAnsi="Times New Roman" w:cs="Times New Roman"/>
          <w:sz w:val="24"/>
          <w:szCs w:val="24"/>
          <w:lang w:eastAsia="en-GB"/>
        </w:rPr>
        <w:t>revision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surgery</w:t>
      </w:r>
      <w:r w:rsidR="007308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C66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latter</w:t>
      </w:r>
      <w:r w:rsidR="009C66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it was specified 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>whether</w:t>
      </w:r>
      <w:r w:rsidR="003353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implant was removed and</w:t>
      </w:r>
      <w:r w:rsidR="009C66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10C2">
        <w:rPr>
          <w:rFonts w:ascii="Times New Roman" w:eastAsia="Times New Roman" w:hAnsi="Times New Roman" w:cs="Times New Roman"/>
          <w:sz w:val="24"/>
          <w:szCs w:val="24"/>
          <w:lang w:eastAsia="en-GB"/>
        </w:rPr>
        <w:t>if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353D2">
        <w:rPr>
          <w:rFonts w:ascii="Times New Roman" w:eastAsia="Times New Roman" w:hAnsi="Times New Roman" w:cs="Times New Roman"/>
          <w:sz w:val="24"/>
          <w:szCs w:val="24"/>
          <w:lang w:eastAsia="en-GB"/>
        </w:rPr>
        <w:t>replaced at the time of that surgery</w:t>
      </w:r>
      <w:r w:rsidR="009C66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EB9576B" w14:textId="6F824A87" w:rsidR="003353D2" w:rsidRDefault="00431F62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There was</w:t>
      </w:r>
      <w:r w:rsidR="00CC549E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587F91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overl</w:t>
      </w:r>
      <w:r w:rsidR="00E6154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ap </w:t>
      </w:r>
      <w:r w:rsidR="003353D2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in the clinical picture </w:t>
      </w:r>
      <w:r w:rsidR="003F68CF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between</w:t>
      </w:r>
      <w:r w:rsidR="00CC549E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E6154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skin erythema </w:t>
      </w:r>
      <w:r w:rsidR="003F68CF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or ‘red breast syndrome’ and </w:t>
      </w:r>
      <w:r w:rsidR="00E6154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infe</w:t>
      </w:r>
      <w:r w:rsidR="008541D8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ction</w:t>
      </w:r>
      <w:r w:rsidR="008541D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 T</w:t>
      </w:r>
      <w:r w:rsidR="003353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hose with 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en-GB"/>
        </w:rPr>
        <w:t>skin erythema were often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given a course of oral antibiotics due to patient and surgeon anxiety regarding i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en-GB"/>
        </w:rPr>
        <w:t>nfection near the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underlying 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implant. </w:t>
      </w:r>
      <w:r w:rsidR="008541D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from </w:t>
      </w:r>
      <w:r w:rsidR="00770B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clinical course we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en-GB"/>
        </w:rPr>
        <w:t>could</w:t>
      </w:r>
      <w:r w:rsidR="003353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determine</w:t>
      </w:r>
      <w:r w:rsidR="008541D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who had simple skin erythema.  </w:t>
      </w:r>
    </w:p>
    <w:p w14:paraId="78D5B33F" w14:textId="79244722" w:rsidR="00E6154D" w:rsidRPr="00845BB2" w:rsidRDefault="00DC6F67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Breast and axillary </w:t>
      </w:r>
      <w:r w:rsidR="00D348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seromas were differentiated;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latter were not includ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 as they were considered to be 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secondary to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 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axillary surgery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breast reconstruction</w:t>
      </w:r>
      <w:r w:rsidR="00E615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94A6A74" w14:textId="77777777" w:rsidR="007162F3" w:rsidRPr="00845BB2" w:rsidRDefault="007162F3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76E2B3A3" w14:textId="77777777" w:rsidR="00F1102A" w:rsidRPr="001948CE" w:rsidRDefault="00F1102A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Surgery</w:t>
      </w:r>
      <w:r w:rsidR="00D512B4" w:rsidRP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: </w:t>
      </w:r>
    </w:p>
    <w:p w14:paraId="721269B3" w14:textId="3E568441" w:rsidR="00BF3353" w:rsidRPr="00845BB2" w:rsidRDefault="00334F49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Mastectomies were performed by an oncological breast surgeon and then immediate reconstruction</w:t>
      </w:r>
      <w:r w:rsidR="008C6F6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353D2">
        <w:rPr>
          <w:rFonts w:ascii="Times New Roman" w:eastAsia="Times New Roman" w:hAnsi="Times New Roman" w:cs="Times New Roman"/>
          <w:sz w:val="24"/>
          <w:szCs w:val="24"/>
          <w:lang w:eastAsia="en-GB"/>
        </w:rPr>
        <w:t>by one of</w:t>
      </w:r>
      <w:r w:rsidR="00C43E7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three breast </w:t>
      </w:r>
      <w:r w:rsidR="00C43E7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reconstructive 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plastic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surgeons</w:t>
      </w:r>
      <w:r w:rsidR="007A03F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standard 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gical technique was followed where </w:t>
      </w:r>
      <w:r w:rsidR="00387BD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pectoralis major 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mobilised or freed inferomedially</w:t>
      </w:r>
      <w:r w:rsidR="00770B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implant is washed with aqueous iodine solution. </w:t>
      </w:r>
      <w:r w:rsidR="00770B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preparation</w:t>
      </w:r>
      <w:r w:rsidR="00BF33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ADM 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sutured</w:t>
      </w:r>
      <w:r w:rsidR="00BF33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along the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inframammary fold and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F33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secured to the inf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BF33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lateral free border of the pectoralis major</w:t>
      </w:r>
      <w:r w:rsidR="0091710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an absorbable suture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76DF109" w14:textId="2B6978C8" w:rsidR="00D512B4" w:rsidRPr="00845BB2" w:rsidRDefault="00CC549E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E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ach reconstructed breast </w:t>
      </w:r>
      <w:r w:rsidR="009C66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has</w:t>
      </w:r>
      <w:r w:rsidRPr="00845BB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two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D0113" w:rsidRPr="00845BB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suction </w:t>
      </w:r>
      <w:r w:rsidR="00BF335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rain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87BD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inser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ted</w:t>
      </w:r>
      <w:r w:rsidR="00387BD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387BD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subcutaneously</w:t>
      </w:r>
      <w:r w:rsidR="00CF777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subpectorally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387BD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F20D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removed when the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output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="0004487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less than </w:t>
      </w:r>
      <w:r w:rsidR="00CF777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30-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40mls</w:t>
      </w:r>
      <w:r w:rsidR="0004487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 </w:t>
      </w:r>
      <w:r w:rsidR="00D512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24 hours</w:t>
      </w:r>
      <w:r w:rsidR="008D1B3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always prior to discharge from hospital. </w:t>
      </w:r>
      <w:r w:rsidR="00DB1AD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 re</w:t>
      </w:r>
      <w:r w:rsidR="00D348AF">
        <w:rPr>
          <w:rFonts w:ascii="Times New Roman" w:eastAsia="Times New Roman" w:hAnsi="Times New Roman" w:cs="Times New Roman"/>
          <w:sz w:val="24"/>
          <w:szCs w:val="24"/>
          <w:lang w:eastAsia="en-GB"/>
        </w:rPr>
        <w:t>ceive</w:t>
      </w:r>
      <w:r w:rsidR="00DB1AD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antibiotic (co-amoxiclav unless penicillin allergy) </w:t>
      </w:r>
      <w:r w:rsidR="00D348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intravenously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until </w:t>
      </w:r>
      <w:r w:rsidR="00DB1AD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at lea</w:t>
      </w:r>
      <w:r w:rsidR="009C66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 48 hours after all drains </w:t>
      </w:r>
      <w:r w:rsidR="00D348AF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r w:rsidR="00DB1AD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removed. </w:t>
      </w:r>
      <w:r w:rsidR="00CF777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FC4CD98" w14:textId="77777777" w:rsidR="004E2DFF" w:rsidRPr="00845BB2" w:rsidRDefault="004E2DFF" w:rsidP="006E66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br w:type="page"/>
      </w:r>
    </w:p>
    <w:p w14:paraId="1C102C91" w14:textId="20B8E207" w:rsidR="00AC07B8" w:rsidRPr="001948CE" w:rsidRDefault="00F97BE3" w:rsidP="006E660B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Results</w:t>
      </w:r>
      <w:r w:rsidR="008D57DE"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14:paraId="338A832E" w14:textId="6F37E015" w:rsidR="00343C85" w:rsidRPr="00845BB2" w:rsidRDefault="00343C85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Patient demographics</w:t>
      </w:r>
      <w:r w:rsid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3D740A5" w14:textId="5C823600" w:rsidR="00B701BE" w:rsidRPr="00845BB2" w:rsidRDefault="00AD7480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Of 81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women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included in th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study,</w:t>
      </w:r>
      <w:r w:rsidR="0060651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38 had bilateral</w:t>
      </w:r>
      <w:r w:rsidR="000D439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reconstruction and 43 had unilateral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0D439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119 reconstructed breasts</w:t>
      </w:r>
      <w:r w:rsidR="00CC54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034B1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72B1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 was used in 19 women</w:t>
      </w:r>
      <w:r w:rsidR="00840E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25%, 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30 breasts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and Surgimend in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62 women (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75%, </w:t>
      </w:r>
      <w:r w:rsidR="005C7D7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89 breasts)</w:t>
      </w:r>
      <w:r w:rsidR="001F63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658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Strattice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initially </w:t>
      </w:r>
      <w:r w:rsidR="00C0006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for one</w:t>
      </w:r>
      <w:r w:rsidR="003658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</w:t>
      </w:r>
      <w:r w:rsidR="00A82C3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October 2011, then in 18 women from April 2013</w:t>
      </w:r>
      <w:r w:rsidR="00840E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April 2014</w:t>
      </w:r>
      <w:r w:rsidR="00451D7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658F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business case was accepted by out NHS trust in 2013 which enabled ADM reconstructions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to be offered as our</w:t>
      </w:r>
      <w:r w:rsidR="00283B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routine practice. </w:t>
      </w:r>
      <w:r w:rsidR="00EC57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D439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urgimend</w:t>
      </w:r>
      <w:r w:rsidR="00840E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2C3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used 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>from March 2014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data collection was performed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840E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 2016. 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 up duration was calculated from surgery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the last clinical encounter and was obtained in 61 women (75%). T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mean follow up 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432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>days (range 83 to 945 days)</w:t>
      </w:r>
      <w:r w:rsidR="00E722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Calculated by group this was 701 days for 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E7228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380 days</w:t>
      </w:r>
      <w:r w:rsidR="00E722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B278C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</w:t>
      </w:r>
      <w:r w:rsidR="00EC799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46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3D7D7FA" w14:textId="1F118021" w:rsidR="00B266B6" w:rsidRPr="00845BB2" w:rsidRDefault="00772B12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summary of the 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data of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>ient specific variables is displayed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EC5762" w:rsidRPr="00845B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Pr="00845B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able 1.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B283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mean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age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wom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this study 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was 4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5 years and there was no st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atistical difference between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age </w:t>
      </w:r>
      <w:r w:rsidR="00A1452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Strattice 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group</w:t>
      </w:r>
      <w:r w:rsidR="002F57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A227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range 26 to 67 years; 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44 ± 11.3 years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2F57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9528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versus the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 </w:t>
      </w:r>
      <w:r w:rsidR="002F57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group 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A227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range </w:t>
      </w:r>
      <w:r w:rsidR="00FC5E7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 to 70 years; 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46.9 ±</w:t>
      </w:r>
      <w:r w:rsidR="00A967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11.2 years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A967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C0006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 </w:t>
      </w:r>
      <w:r w:rsidR="00A967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0.326).</w:t>
      </w:r>
      <w:r w:rsidR="004C073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2" w:name="_Hlk481614701"/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Analysis of 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BMI, mastectomy </w:t>
      </w:r>
      <w:r w:rsidR="00EC57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breast</w:t>
      </w:r>
      <w:r w:rsidR="00EC57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weight, smoking status, ASA grade, </w:t>
      </w:r>
      <w:r w:rsidR="000D63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and oncological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treatment with chemotherapy and/o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 radiotherapy demonstrated 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significant</w:t>
      </w:r>
      <w:r w:rsidR="008E330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ly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significant difference for </w:t>
      </w:r>
      <w:r w:rsidR="008E330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higher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mastect</w:t>
      </w:r>
      <w:r w:rsidR="00A35B4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omy breast weight</w:t>
      </w:r>
      <w:r w:rsidR="008E330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Strattice group</w:t>
      </w:r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End w:id="2"/>
      <w:r w:rsidR="00557C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="00FC5E7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his was</w:t>
      </w:r>
      <w:r w:rsidR="00B92C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41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367.1 ±</w:t>
      </w:r>
      <w:r w:rsidR="008E330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159.3 grams and in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Surgimend </w:t>
      </w:r>
      <w:r w:rsidR="002F57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group 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296.3 ± 133.4 grams (</w:t>
      </w:r>
      <w:r w:rsidR="00E632E1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E632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0.0</w:t>
      </w:r>
      <w:r w:rsidR="00B92C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379)</w:t>
      </w:r>
      <w:r w:rsidR="00B266B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A856A17" w14:textId="77777777" w:rsidR="008161B5" w:rsidRPr="00845BB2" w:rsidRDefault="008161B5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0B43A6C9" w14:textId="4D9C80BC" w:rsidR="00FD095B" w:rsidRPr="00845BB2" w:rsidRDefault="00016B8A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Indication and S</w:t>
      </w:r>
      <w:r w:rsidR="00FD095B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urgery</w:t>
      </w:r>
      <w:r w:rsid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</w:p>
    <w:p w14:paraId="3D6229DD" w14:textId="131000AC" w:rsidR="002A2E9E" w:rsidRPr="00845BB2" w:rsidRDefault="00FC5E7A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Oncological treatment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the most c</w:t>
      </w:r>
      <w:r w:rsidR="00E72287">
        <w:rPr>
          <w:rFonts w:ascii="Times New Roman" w:eastAsia="Times New Roman" w:hAnsi="Times New Roman" w:cs="Times New Roman"/>
          <w:sz w:val="24"/>
          <w:szCs w:val="24"/>
          <w:lang w:eastAsia="en-GB"/>
        </w:rPr>
        <w:t>ommon indication in both groups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</w:t>
      </w:r>
      <w:r w:rsidR="002F57B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surgery in </w:t>
      </w:r>
      <w:r w:rsidR="0044791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68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women (85%)</w:t>
      </w:r>
      <w:r w:rsidR="0032705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; 13 in</w:t>
      </w:r>
      <w:r w:rsidR="0044791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32705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Strattice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2705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group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(68%) 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44791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55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Surgimend group (89%)</w:t>
      </w:r>
      <w:r w:rsidR="007952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531D38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407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0.067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44791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these</w:t>
      </w:r>
      <w:r w:rsidR="009407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 women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407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had</w:t>
      </w:r>
      <w:r w:rsidR="0092060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risk reducing </w:t>
      </w:r>
      <w:r w:rsidR="0092060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ntralateral mastectomy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228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BRCA 1 or BRCA 2 </w:t>
      </w:r>
      <w:r w:rsidR="009407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 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</w:t>
      </w:r>
      <w:r w:rsidR="0017788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vity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7788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high risk </w:t>
      </w:r>
      <w:r w:rsidR="009407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contralateral </w:t>
      </w:r>
      <w:r w:rsidR="0017788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disease</w:t>
      </w:r>
      <w:r w:rsidR="000615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F17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remaining 13 women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F17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had </w:t>
      </w:r>
      <w:r w:rsidR="0017788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B1380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rophylac</w:t>
      </w:r>
      <w:r w:rsidR="003F17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tic bilateral mastectomies;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</w:t>
      </w:r>
      <w:r w:rsidR="003F17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BRCA 1 or BRCA </w:t>
      </w:r>
      <w:r w:rsidR="001078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gene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positivity and one</w:t>
      </w:r>
      <w:r w:rsidR="003F179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1078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31D3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 strong</w:t>
      </w:r>
      <w:r w:rsidR="001078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779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oncological </w:t>
      </w:r>
      <w:r w:rsidR="001078C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family history. </w:t>
      </w:r>
    </w:p>
    <w:p w14:paraId="79ECC9A4" w14:textId="2D73D448" w:rsidR="00D55693" w:rsidRPr="00845BB2" w:rsidRDefault="003F1791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Axillary surgery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either sentinel lymph node bi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opsy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>or axillary node clearance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was performed at the time of mast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ectomy in 58 women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; 13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women 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(68.4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%) in the Strattice group and </w:t>
      </w:r>
      <w:r w:rsidR="006D233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44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women (</w:t>
      </w:r>
      <w:r w:rsidR="006D233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71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%) in the Surgimend group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710DEF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="0068767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10D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0). </w:t>
      </w:r>
    </w:p>
    <w:p w14:paraId="0C0087ED" w14:textId="77777777" w:rsidR="00543F6B" w:rsidRPr="00845BB2" w:rsidRDefault="00543F6B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6B3F94" w14:textId="080396EC" w:rsidR="00DA5FB9" w:rsidRPr="00845BB2" w:rsidRDefault="002F57BD" w:rsidP="006E660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Post-operative </w:t>
      </w:r>
      <w:r w:rsidR="003D6698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outcomes</w:t>
      </w:r>
      <w:r w:rsidR="001948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:</w:t>
      </w:r>
      <w:r w:rsidR="003D6698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21088CF3" w14:textId="7EE445A7" w:rsidR="00CC75D9" w:rsidRPr="00845BB2" w:rsidRDefault="009D167F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Complications are classified</w:t>
      </w:r>
      <w:r w:rsidR="00283BB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into immediate prior to disc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harge and late after discharge, 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>necessitating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readmission to hospital 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those requiring return to theatre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was one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inpatient complication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 breast haematoma that required a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return to theatre 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>2 days after reconstruction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13 hospital readmissions for treatment of a complication</w:t>
      </w:r>
      <w:r w:rsidR="00C000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006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(10.9%)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, including one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who required two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readmissions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>. Of these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three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breasts were </w:t>
      </w:r>
      <w:r w:rsidR="0050069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reconstructions 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Strattice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(10%) and ten 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</w:t>
      </w:r>
      <w:r w:rsidR="005006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D42A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Surgimend (11%). 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were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eight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 complications 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that required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to theatre</w:t>
      </w:r>
      <w:r w:rsidR="00587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revisional surgery</w:t>
      </w:r>
      <w:r w:rsidR="00CC75D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(6.7%)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; two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reconstructions with Strattice </w:t>
      </w:r>
      <w:r w:rsidR="00065B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(6.7%)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and six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r w:rsidR="007752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</w:t>
      </w:r>
      <w:r w:rsidR="00065B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(6.7%)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Of these, in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breasts the implant was removed without replacement at that time </w:t>
      </w:r>
      <w:r w:rsidR="003041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(1.7%)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>, both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</w:t>
      </w:r>
      <w:r w:rsidR="0030412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reconstructions with Surgimend</w:t>
      </w:r>
      <w:r w:rsidR="00CC75D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F0249B9" w14:textId="62546BD8" w:rsidR="00CC75D9" w:rsidRPr="00845BB2" w:rsidRDefault="000171A5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12 breast infections (10%)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which three</w:t>
      </w:r>
      <w:r w:rsidR="001C6A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</w:t>
      </w:r>
      <w:r w:rsidR="00127B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reconstruction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127B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 and nine</w:t>
      </w:r>
      <w:r w:rsidR="001C6A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7B9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with Surgimend</w:t>
      </w:r>
      <w:r w:rsidR="00CC75D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these,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six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minor infection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successfully treated with oral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antibiotics as outpatients and six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75D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required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admission for intravenous antibiotic therapy.</w:t>
      </w:r>
      <w:r w:rsidR="00CC75D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</w:t>
      </w:r>
      <w:r w:rsidR="00D3247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presented with a 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delayed infection 3 months after 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reconstruction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Surgimend</w:t>
      </w:r>
      <w:r w:rsidR="00D3247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required re</w:t>
      </w:r>
      <w:r w:rsidR="00D06F81">
        <w:rPr>
          <w:rFonts w:ascii="Times New Roman" w:eastAsia="Times New Roman" w:hAnsi="Times New Roman" w:cs="Times New Roman"/>
          <w:sz w:val="24"/>
          <w:szCs w:val="24"/>
          <w:lang w:eastAsia="en-GB"/>
        </w:rPr>
        <w:t>turn to theatre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>. The</w:t>
      </w:r>
      <w:r w:rsidR="00D06F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implant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D06F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reconstructed breast 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>and an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augmentation implant in the other bre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ast</w:t>
      </w:r>
      <w:r w:rsidR="003041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3247E">
        <w:rPr>
          <w:rFonts w:ascii="Times New Roman" w:eastAsia="Times New Roman" w:hAnsi="Times New Roman" w:cs="Times New Roman"/>
          <w:sz w:val="24"/>
          <w:szCs w:val="24"/>
          <w:lang w:eastAsia="en-GB"/>
        </w:rPr>
        <w:t>were removed and at a subsequently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324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 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salvage 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late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reconstruction and balancing surgery with a 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deep inferior epigastric perforator (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DIEP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) flap</w:t>
      </w:r>
      <w:r w:rsidR="00D324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performed</w:t>
      </w:r>
      <w:r w:rsidR="00EA1AB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14:paraId="3560660D" w14:textId="4AAFCCBD" w:rsidR="00CC29A1" w:rsidRPr="00845BB2" w:rsidRDefault="000171A5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C6A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were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three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 haematomas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(2.5%)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; two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breasts re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constructed with Strattice and one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Surgimend. One 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case was an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inpatient and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="001C6A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required re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admission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 A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ll necessitated return to theatre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evacuation of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haematoma and the implant was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salvaged</w:t>
      </w:r>
      <w:r w:rsidR="007410B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2853D20" w14:textId="163951F5" w:rsidR="00652DFC" w:rsidRDefault="007A08F8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four</w:t>
      </w:r>
      <w:r w:rsidR="00DB77D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cases of breast skin necrosis</w:t>
      </w:r>
      <w:r w:rsidR="00652D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(3.4</w:t>
      </w:r>
      <w:r w:rsidR="0005326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which two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minor and</w:t>
      </w:r>
      <w:r w:rsidR="008B0F1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successfully managed conservatively</w:t>
      </w:r>
      <w:r w:rsidR="00FA06A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two</w:t>
      </w:r>
      <w:r w:rsidR="00C038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required hospital</w:t>
      </w:r>
      <w:r w:rsidR="00FA06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admission for revisional surgery</w:t>
      </w:r>
      <w:r w:rsidR="00A84F7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ne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 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>had undergone</w:t>
      </w:r>
      <w:r w:rsidR="00652D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A63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 prophylactic nipple sparing mastectomy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ith Surgimend reconstruction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developed</w:t>
      </w:r>
      <w:r w:rsidR="001A63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 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>flap necrosis requiring</w:t>
      </w:r>
      <w:r w:rsidR="001A63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to theatre 19 days after the initial reconstruction</w:t>
      </w:r>
      <w:r w:rsidR="00C81D7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1A63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debri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dement to prevent implant loss.</w:t>
      </w:r>
      <w:r w:rsidR="001A631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>The other</w:t>
      </w:r>
      <w:r w:rsidR="00652DFC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</w:t>
      </w:r>
      <w:r w:rsidR="006506D8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>who had undergone a completion mastectom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y with periareolar incision and reconstruction with Surgimend,</w:t>
      </w:r>
      <w:r w:rsidR="009C6F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was a previous smoker noted to have poor skin quality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developed</w:t>
      </w:r>
      <w:r w:rsid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otrusion of the </w:t>
      </w:r>
      <w:r w:rsidR="009C6F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implant 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 thin mastectomy flap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causing skin compromise 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required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>revisional sur</w:t>
      </w:r>
      <w:r w:rsidR="00C81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gery 13 months after 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reconstruction for 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>de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>bridement and</w:t>
      </w:r>
      <w:r w:rsidR="002F0E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2DFC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removal of the implant</w:t>
      </w:r>
      <w:r w:rsidR="006A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without replacement. </w:t>
      </w:r>
    </w:p>
    <w:p w14:paraId="7A3927BD" w14:textId="701655F1" w:rsidR="00CC29A1" w:rsidRPr="00845BB2" w:rsidRDefault="00CC29A1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Dehiscence of the wound occurred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in three</w:t>
      </w:r>
      <w:r w:rsidR="006506D8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breasts (2.5</w:t>
      </w:r>
      <w:r w:rsidR="003A6C62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%), of which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="00C90D5A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6C62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wer</w:t>
      </w:r>
      <w:r w:rsidR="001F0242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e reconstruction with Surgimend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one</w:t>
      </w:r>
      <w:r w:rsidR="00C90D5A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Strattice</w:t>
      </w:r>
      <w:r w:rsidR="001F0242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90D5A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latter was minor dehiscence that was managed conservatively.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other two</w:t>
      </w:r>
      <w:r w:rsidR="006506D8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cases,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127B9E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required admissi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on 2 months after</w:t>
      </w:r>
      <w:r w:rsid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reconstruction 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debridement in theatre and treatment with a </w:t>
      </w:r>
      <w:r w:rsidR="00127B9E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gentamicin irrigation system. </w:t>
      </w:r>
      <w:r w:rsidR="006506D8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remaining</w:t>
      </w:r>
      <w:r w:rsidR="00127B9E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 was admitted 5 </w:t>
      </w:r>
      <w:r w:rsidR="00560BB1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weeks’</w:t>
      </w:r>
      <w:r w:rsidR="00127B9E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 reconstruction and retu</w:t>
      </w:r>
      <w:r w:rsidR="006506D8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rned to theatre for debridement</w:t>
      </w:r>
      <w:r w:rsid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with removal of the implant and simultaneous replacement</w:t>
      </w:r>
      <w:r w:rsidR="00127B9E" w:rsidRPr="006506D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27B9E" w:rsidRPr="00845BB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14:paraId="2B49825B" w14:textId="63888C1D" w:rsidR="00CC29A1" w:rsidRPr="00845BB2" w:rsidRDefault="00D06664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799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Seven women </w:t>
      </w:r>
      <w:r w:rsidR="00A7099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(8.6%) 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developed a </w:t>
      </w:r>
      <w:r w:rsidR="00EC799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clinically detectable</w:t>
      </w:r>
      <w:r w:rsidR="00EC576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breast serom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a of which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five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required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more 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aspiration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outpatients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Eight </w:t>
      </w:r>
      <w:r w:rsidR="00A7099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(9.9%) 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women had</w:t>
      </w:r>
      <w:r w:rsidR="00E704A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</w:t>
      </w:r>
      <w:r w:rsidR="008E756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ast skin erythema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thought to be ADM related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. Three</w:t>
      </w:r>
      <w:r w:rsidR="008E756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given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prophylactic </w:t>
      </w:r>
      <w:r w:rsidR="00DA5FB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="008E756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al antibiotic</w:t>
      </w:r>
      <w:r w:rsidR="002B3DD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cover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due t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anxiety</w:t>
      </w:r>
      <w:r w:rsidR="0079611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context of an</w:t>
      </w:r>
      <w:r w:rsidR="004C6AA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underlying implant</w:t>
      </w:r>
      <w:r w:rsidR="008D7D6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0B80">
        <w:rPr>
          <w:rFonts w:ascii="Times New Roman" w:eastAsia="Times New Roman" w:hAnsi="Times New Roman" w:cs="Times New Roman"/>
          <w:sz w:val="24"/>
          <w:szCs w:val="24"/>
          <w:lang w:eastAsia="en-GB"/>
        </w:rPr>
        <w:t>All were treated con</w:t>
      </w:r>
      <w:r w:rsidR="00FD1EF6">
        <w:rPr>
          <w:rFonts w:ascii="Times New Roman" w:eastAsia="Times New Roman" w:hAnsi="Times New Roman" w:cs="Times New Roman"/>
          <w:sz w:val="24"/>
          <w:szCs w:val="24"/>
          <w:lang w:eastAsia="en-GB"/>
        </w:rPr>
        <w:t>servatively not requiring any other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0B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intervention.   </w:t>
      </w:r>
    </w:p>
    <w:p w14:paraId="6E84F292" w14:textId="6C6EE044" w:rsidR="00EE6065" w:rsidRPr="00845BB2" w:rsidRDefault="002B3DD0" w:rsidP="006E660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only statistically significant difference in post-operative complications between the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Strattice and Surgimend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group</w:t>
      </w:r>
      <w:r w:rsidR="00CC29A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breast skin erythema </w:t>
      </w:r>
      <w:r w:rsidR="004D37E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(16.7% versus</w:t>
      </w:r>
      <w:r w:rsidR="00746A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4.5% respectively) 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when analysed per breast (</w:t>
      </w:r>
      <w:r w:rsidR="00EE6065" w:rsidRPr="00845BB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0.044). There was no statistical difference between the rates of haematoma, wound infection, </w:t>
      </w:r>
      <w:r w:rsidR="002E64F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skin necrosis</w:t>
      </w:r>
      <w:r w:rsidR="002E64F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E64F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E64FF">
        <w:rPr>
          <w:rFonts w:ascii="Times New Roman" w:eastAsia="Times New Roman" w:hAnsi="Times New Roman" w:cs="Times New Roman"/>
          <w:sz w:val="24"/>
          <w:szCs w:val="24"/>
          <w:lang w:eastAsia="en-GB"/>
        </w:rPr>
        <w:t>wound dehiscence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seroma formation</w:t>
      </w:r>
      <w:r w:rsidR="0027358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either when analysed per woman or per breast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See </w:t>
      </w:r>
      <w:r w:rsidR="00EC5762" w:rsidRPr="00845B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="00EE6065" w:rsidRPr="00845B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able 2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comparison of </w:t>
      </w:r>
      <w:r w:rsidR="002E64FF">
        <w:rPr>
          <w:rFonts w:ascii="Times New Roman" w:eastAsia="Times New Roman" w:hAnsi="Times New Roman" w:cs="Times New Roman"/>
          <w:sz w:val="24"/>
          <w:szCs w:val="24"/>
          <w:lang w:eastAsia="en-GB"/>
        </w:rPr>
        <w:t>outcomes</w:t>
      </w:r>
      <w:r w:rsidR="00EE606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D5ABB5A" w14:textId="77777777" w:rsidR="0027358C" w:rsidRPr="00845BB2" w:rsidRDefault="004E2DFF" w:rsidP="006E66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1CD276B1" w14:textId="77777777" w:rsidR="0027358C" w:rsidRPr="001948CE" w:rsidRDefault="0027358C" w:rsidP="00390B01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Discussion</w:t>
      </w:r>
    </w:p>
    <w:p w14:paraId="512015AE" w14:textId="0975FA16" w:rsidR="00F127CD" w:rsidRPr="00845BB2" w:rsidRDefault="005F29E2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his study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sought to</w:t>
      </w:r>
      <w:r w:rsidR="00FE5B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direct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examine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5B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AB64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early </w:t>
      </w:r>
      <w:r w:rsidR="00FE5B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postoper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ative outcomes of</w:t>
      </w:r>
      <w:r w:rsidR="00FE5BE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porcine (Strattice) versus bovine (Surgimend) ADM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IBBR to expand upon the comparative evidence in the literature for different ADMs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particularly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xenogen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ic</w:t>
      </w:r>
      <w:r w:rsidR="00A074F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widespread 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use of ADMs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this is important to </w:t>
      </w:r>
      <w:r w:rsidR="006B359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 </w:t>
      </w:r>
      <w:r w:rsidR="003D597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surgeon</w:t>
      </w:r>
      <w:r w:rsidR="0081130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choosing the appropriate</w:t>
      </w:r>
      <w:r w:rsidR="003D597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 for their patient by evolving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our understanding </w:t>
      </w:r>
      <w:r w:rsidR="006855F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product </w:t>
      </w:r>
      <w:r w:rsidR="00930A4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characteristics</w:t>
      </w:r>
      <w:r w:rsidR="00A233C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safety</w:t>
      </w:r>
      <w:r w:rsidR="006855F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profile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855F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4D1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0E8BB2" w14:textId="6D2191C5" w:rsidR="00A62ECD" w:rsidRPr="00845BB2" w:rsidRDefault="00684116" w:rsidP="00390B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6B359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stud</w:t>
      </w:r>
      <w:r w:rsidR="006B359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comprised </w:t>
      </w:r>
      <w:r w:rsidR="00560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6B359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81 women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(119 breasts) </w:t>
      </w:r>
      <w:r w:rsidR="006B359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had </w:t>
      </w:r>
      <w:r w:rsidR="00DA693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immediate IBBR with ADM</w:t>
      </w:r>
      <w:r w:rsidR="00BB1DD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B4080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11CC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82254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nalysis of patient specific variable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showed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no</w:t>
      </w:r>
      <w:r w:rsidR="00F33F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statistically significan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 difference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between the two ADM groups,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except for</w:t>
      </w:r>
      <w:r w:rsidR="00F33F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increased </w:t>
      </w:r>
      <w:r w:rsidR="00F33F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mean mastectomy weight </w:t>
      </w:r>
      <w:r w:rsidR="00EC1C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F33F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Strattice group (367.1 ± 159.3 versus 296.3 ± 133.4 grams; </w:t>
      </w:r>
      <w:r w:rsidR="00B241B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p=</w:t>
      </w:r>
      <w:r w:rsidR="00F33F6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0.0379).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11CC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Mastectomy weight of 600g or more is a known risk factor for complications. </w:t>
      </w:r>
      <w:r w:rsidR="00211CC1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Despite the increased mean breast weigh</w:t>
      </w:r>
      <w:r w:rsid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 in the Strattice group,</w:t>
      </w:r>
      <w:r w:rsidR="007A08F8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445DD1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of 30 breasts </w:t>
      </w:r>
      <w:r w:rsidR="007A08F8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only two</w:t>
      </w:r>
      <w:r w:rsidR="00211CC1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5B74C5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mastectomies </w:t>
      </w:r>
      <w:r w:rsidR="00211CC1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were over 600g (601g and 779 g). 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was no statistically significant difference in age, BMI, smoking status and neoadjuvant or adjuvant treatment with chemotherapy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radiotherapy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between the two ADM 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group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62E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BE1270C" w14:textId="4988C2E9" w:rsidR="00B241B9" w:rsidRPr="00845BB2" w:rsidRDefault="00DA693E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has been no other head to head study of </w:t>
      </w:r>
      <w:r w:rsidR="000E39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Strattice versus Surgimend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literature to compare our findings with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reports of</w:t>
      </w:r>
      <w:r w:rsidR="0077092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experience with one 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ADM</w:t>
      </w:r>
      <w:r w:rsidR="0077092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39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</w:t>
      </w:r>
      <w:r w:rsidR="0077092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as a comparison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human</w:t>
      </w:r>
      <w:r w:rsidR="0077092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derived ADM</w:t>
      </w:r>
      <w:r w:rsidR="00732E1F">
        <w:rPr>
          <w:rFonts w:ascii="Times New Roman" w:eastAsia="Times New Roman" w:hAnsi="Times New Roman" w:cs="Times New Roman"/>
          <w:sz w:val="24"/>
          <w:szCs w:val="24"/>
          <w:lang w:eastAsia="en-GB"/>
        </w:rPr>
        <w:t>s AlloD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erm and Epifle</w:t>
      </w:r>
      <w:r w:rsidR="004D5D83">
        <w:rPr>
          <w:rFonts w:ascii="Times New Roman" w:eastAsia="Times New Roman" w:hAnsi="Times New Roman" w:cs="Times New Roman"/>
          <w:sz w:val="24"/>
          <w:szCs w:val="24"/>
          <w:lang w:eastAsia="en-GB"/>
        </w:rPr>
        <w:t>x (Deutsches Institut fur Zell- und Gewebeersatz gGmdH, Berlin, Germany)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_Ref461968526 \h  \* MERGEFORMAT </w:instrTex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16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2C47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17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_Ref466550882 \h  \* MERGEFORMAT </w:instrTex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18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_Ref461969275 \h  \* MERGEFORMAT </w:instrTex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19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_Ref466550892 \h  \* MERGEFORMAT </w:instrTex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20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0E39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 In o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>ur study postoperative outcomes of</w:t>
      </w:r>
      <w:r w:rsidR="000E39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haematoma, infection, soft tissue breakdown, seroma and skin erythema have been reported per women and breast to facilitate comparison with this literature.</w:t>
      </w:r>
      <w:r w:rsidR="00AB64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Yet recognisably, in cases of bilateral reconstruction, each breast was subject to the same patient specific conditions and 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thus </w:t>
      </w:r>
      <w:r w:rsidR="00AB648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not independent entities.  </w:t>
      </w:r>
    </w:p>
    <w:p w14:paraId="0F0D64D0" w14:textId="0EA090B0" w:rsidR="007148C7" w:rsidRPr="00845BB2" w:rsidRDefault="00EC1CE1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As anticipated,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en-GB"/>
        </w:rPr>
        <w:t>mean length of follow up in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trattice group was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longer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 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 group (701 days versus 380 days)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because </w:t>
      </w:r>
      <w:r w:rsidR="00A2284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our use of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Strattice </w:t>
      </w:r>
      <w:r w:rsidR="00B6642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pre-dated</w:t>
      </w:r>
      <w:r w:rsidR="004562B3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(Strattice; October 2011 to April 2014</w:t>
      </w:r>
      <w:r w:rsidR="007148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Surgimend; March 2014 to February 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2016)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B74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48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Despite this, the length of follow up for both groups is ample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capture</w:t>
      </w:r>
      <w:r w:rsidR="007148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important </w:t>
      </w:r>
      <w:r w:rsidR="00B241B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early </w:t>
      </w:r>
      <w:r w:rsidR="007148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postoperative complications in question and thus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</w:t>
      </w:r>
      <w:r w:rsidR="00BC7F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confident it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not influenced outcome figures.</w:t>
      </w:r>
    </w:p>
    <w:p w14:paraId="02DE1715" w14:textId="3E17E1AD" w:rsidR="00B241B9" w:rsidRPr="00845BB2" w:rsidRDefault="00A22844" w:rsidP="00FC07A8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675CD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outcome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analysed </w:t>
      </w:r>
      <w:r w:rsidR="005F29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014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tatistical significance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was demonstrated</w:t>
      </w:r>
      <w:r w:rsidR="005F29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increased skin erythema in the Strattice</w:t>
      </w:r>
      <w:r w:rsidR="000014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 </w:t>
      </w:r>
      <w:r w:rsidR="005F29E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analysed per breast </w:t>
      </w:r>
      <w:r w:rsidR="0000149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(16.7% versus 4.5%). 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Dikmans et al in a study of 110 breasts reconstructed with Strattice reported </w:t>
      </w:r>
      <w:r w:rsidR="00652E1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comparable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erythema rates of 14.5%</w: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_Ref461968526 \h  \* MERGEFORMAT </w:instrTex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16</w:t>
      </w:r>
      <w:r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8397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</w:t>
      </w:r>
      <w:r w:rsidR="005F29E2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kin erythema or ‘red breast syndrome</w:t>
      </w:r>
      <w:r w:rsidR="00F127C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’ </w:t>
      </w:r>
      <w:r w:rsidR="00652E1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is well</w:t>
      </w:r>
      <w:r w:rsidR="005F29E2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reported</w:t>
      </w:r>
      <w:r w:rsidR="00F127C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with</w:t>
      </w:r>
      <w:r w:rsidR="005F29E2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ADM </w:t>
      </w:r>
      <w:r w:rsidR="00F127CD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use and </w:t>
      </w:r>
      <w:r w:rsidR="0098397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although the exact </w:t>
      </w:r>
      <w:r w:rsidR="000B33C3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aetiology is uncertain, a delayed</w:t>
      </w:r>
      <w:r w:rsidR="0098397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0B33C3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hypersensitivity reaction overlying the ADM has been postulated</w:t>
      </w:r>
      <w:r w:rsidR="00971E45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  <w:r w:rsidR="00971E4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Although self-limiting and requiring only conservative management, </w:t>
      </w:r>
      <w:r w:rsidR="00F127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</w:t>
      </w:r>
      <w:r w:rsidR="003E2712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significant complication </w:t>
      </w:r>
      <w:r w:rsidR="00675CD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nonetheless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F127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can cause</w:t>
      </w:r>
      <w:r w:rsidR="00971E4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anxiety both fo</w:t>
      </w:r>
      <w:r w:rsidR="00F127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 the patient and clinician concerning</w:t>
      </w:r>
      <w:r w:rsidR="00971E4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infection </w:t>
      </w:r>
      <w:r w:rsidR="0058265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and a</w:t>
      </w:r>
      <w:r w:rsidR="00971E4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 in our cohort</w:t>
      </w:r>
      <w:r w:rsidR="00F127CD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can</w:t>
      </w:r>
      <w:r w:rsidR="00971E4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result in</w:t>
      </w:r>
      <w:r w:rsidR="0058265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cautious management with </w:t>
      </w:r>
      <w:r w:rsidR="008B0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prophylactic </w:t>
      </w:r>
      <w:r w:rsidR="0058265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antibiotics.</w:t>
      </w:r>
      <w:r w:rsidR="005263E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243470" w14:textId="57F9CA11" w:rsidR="00B241B9" w:rsidRPr="00845BB2" w:rsidRDefault="006A046F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 h</w:t>
      </w:r>
      <w:r w:rsidR="00EC1C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igher </w:t>
      </w:r>
      <w:r w:rsidR="000B33C3">
        <w:rPr>
          <w:rFonts w:ascii="Times New Roman" w:eastAsia="Times New Roman" w:hAnsi="Times New Roman" w:cs="Times New Roman"/>
          <w:sz w:val="24"/>
          <w:szCs w:val="24"/>
          <w:lang w:eastAsia="en-GB"/>
        </w:rPr>
        <w:t>seroma rate</w:t>
      </w:r>
      <w:r w:rsidR="00EC1C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observed </w:t>
      </w:r>
      <w:r w:rsidR="00A2284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our</w:t>
      </w:r>
      <w:r w:rsidR="00EC1C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Strattice group (10% versus 4.5%)</w:t>
      </w:r>
      <w:r w:rsidR="00BC7F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although not statistically significant</w:t>
      </w:r>
      <w:r w:rsidR="00EC1CE1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D4AD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Dikman</w:t>
      </w:r>
      <w:r w:rsidR="000B33C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al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found seroma was the 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common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compli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cation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associated with reconstruction with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reported an even 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higher rate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20.9%</w:t>
      </w:r>
      <w:r w:rsidR="00A2284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studies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hav</w:t>
      </w:r>
      <w:r w:rsidR="00A2284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 reported lower rates of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C7F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1.4% -1.9%</w:t>
      </w:r>
      <w:bookmarkStart w:id="3" w:name="_Ref461968493"/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Strattice use</w:t>
      </w:r>
      <w:bookmarkStart w:id="4" w:name="_Ref461968526"/>
      <w:bookmarkStart w:id="5" w:name="_Ref466550859"/>
      <w:r w:rsidR="00A22844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6"/>
      </w:r>
      <w:bookmarkEnd w:id="4"/>
      <w:r w:rsidR="00A22844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bookmarkStart w:id="6" w:name="_Ref466552666"/>
      <w:r w:rsidR="00BC7F59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7"/>
      </w:r>
      <w:bookmarkEnd w:id="3"/>
      <w:bookmarkEnd w:id="5"/>
      <w:bookmarkEnd w:id="6"/>
      <w:r w:rsidR="00BC7F59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bookmarkStart w:id="7" w:name="_Ref466550882"/>
      <w:r w:rsidR="00BC7F59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8"/>
      </w:r>
      <w:bookmarkEnd w:id="7"/>
      <w:r w:rsidR="003C4E3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For Surgimend Eichler demonstrated seroma in</w:t>
      </w:r>
      <w:r w:rsidR="00251FB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1.6% in a comparative study with Epiflex 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ADM </w:t>
      </w:r>
      <w:r w:rsidR="00251FB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Ohkuma et al found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251FB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higher rate of 7.5% in a 65-patient study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251FB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Surgimend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showing 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variability within the literature</w:t>
      </w:r>
      <w:bookmarkStart w:id="8" w:name="_Ref461969275"/>
      <w:r w:rsidR="00251FBA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19"/>
      </w:r>
      <w:bookmarkEnd w:id="8"/>
      <w:r w:rsidR="00251FBA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</w:t>
      </w:r>
      <w:bookmarkStart w:id="9" w:name="_Ref466550892"/>
      <w:r w:rsidR="00251FBA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20"/>
      </w:r>
      <w:bookmarkEnd w:id="9"/>
      <w:r w:rsidR="00251FBA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our </w:t>
      </w:r>
      <w:r w:rsidR="008D144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study,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three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women in the 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 group</w:t>
      </w:r>
      <w:r w:rsidR="001028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experienced a seroma </w:t>
      </w:r>
      <w:r w:rsidR="008D1440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 observed particular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ly large volumes and</w:t>
      </w:r>
      <w:r w:rsidR="001028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605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all requ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ired</w:t>
      </w:r>
      <w:r w:rsidR="00A605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intervention with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one or more aspiration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a procedure that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poses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risk</w:t>
      </w:r>
      <w:r w:rsidR="00A605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of introducing</w:t>
      </w:r>
      <w:r w:rsidR="00A605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infection and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distressing for patients</w:t>
      </w:r>
      <w:r w:rsidR="00A605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14:paraId="0329B898" w14:textId="6D0CA234" w:rsidR="00B241B9" w:rsidRPr="00845BB2" w:rsidRDefault="00A60528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 observed h</w:t>
      </w:r>
      <w:r w:rsidR="0010284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igher rates</w:t>
      </w:r>
      <w:r w:rsidR="008E0C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675CD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postoperative </w:t>
      </w:r>
      <w:r w:rsidR="008E0C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haematoma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Strattice group </w:t>
      </w:r>
      <w:r w:rsidR="008E0CC6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6.7% versus 1.1%)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higher than reported in the literature (2.7%)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_Ref461968526 \h  \* MERGEFORMAT </w:instrTex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16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however this difference is </w:t>
      </w:r>
      <w:r w:rsidR="00C71B7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exaggerated by </w:t>
      </w:r>
      <w:r w:rsidR="00983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F54237">
        <w:rPr>
          <w:rFonts w:ascii="Times New Roman" w:eastAsia="Times New Roman" w:hAnsi="Times New Roman" w:cs="Times New Roman"/>
          <w:sz w:val="24"/>
          <w:szCs w:val="24"/>
          <w:lang w:eastAsia="en-GB"/>
        </w:rPr>
        <w:t>small number</w:t>
      </w:r>
      <w:r w:rsidR="009839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cases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(two cases versus one</w:t>
      </w:r>
      <w:r w:rsidR="00065B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case)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is not statistically significant. </w:t>
      </w:r>
    </w:p>
    <w:p w14:paraId="3A4F7E3D" w14:textId="6F9D4D5E" w:rsidR="000E39EB" w:rsidRPr="00845BB2" w:rsidRDefault="00640C06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Overall r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ates of return to theatre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revisional surgery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were comparable in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 (6.7%) and Surgimend (6.7%)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groups</w:t>
      </w:r>
      <w:r w:rsidR="00AC22F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6A4B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Interesting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ly thou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gh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 for</w:t>
      </w:r>
      <w:r w:rsid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implant removal without concurrent replacement </w:t>
      </w:r>
      <w:r w:rsidR="00906AE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r w:rsidR="0004731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signify failure of the reconstruction, </w:t>
      </w:r>
      <w:r w:rsidR="00047315" w:rsidRP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were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="00CA3DF6" w:rsidRP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cases in the Surgimend group and non in the Strattice group. Recognisably though </w:t>
      </w:r>
      <w:r w:rsidR="002E64FF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are small case numbers</w:t>
      </w:r>
      <w:r w:rsidR="00CA3DF6" w:rsidRP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74FDC" w:rsidRP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4BDC" w:rsidRPr="00CA3D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731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Glasberg et al similarly reported low explant rates in Strattice of 1.4% but this is not consistent across the literature and rates of 11% and 15.5% have also been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reported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NOTEREF _Ref466552666 \h  \* MERGEFORMAT </w:instrTex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="00C03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17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  <w:r w:rsidR="00047315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47315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21"/>
      </w:r>
      <w:r w:rsidR="0004731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0E32A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17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Eichler et al had revision surgery rat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es of 4.8% for Surgimend but did</w:t>
      </w:r>
      <w:r w:rsidR="006A04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17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</w:t>
      </w:r>
      <w:r w:rsidR="006A04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5BE4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whether</w:t>
      </w:r>
      <w:r w:rsidR="00B17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implant was </w:t>
      </w:r>
      <w:r w:rsidR="006A04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salvaged </w:t>
      </w:r>
      <w:r w:rsidR="00B17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these cases</w:t>
      </w:r>
      <w:r w:rsidR="002C47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C47C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NOTEREF _Ref461969275 \f \h </w:instrText>
      </w:r>
      <w:r w:rsidR="002C47C6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2C47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C47C6" w:rsidRPr="002C47C6">
        <w:rPr>
          <w:rStyle w:val="EndnoteReference"/>
        </w:rPr>
        <w:t>19</w:t>
      </w:r>
      <w:r w:rsidR="002C47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B17028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6AABB9C" w14:textId="3653F0C4" w:rsidR="00AF5E3C" w:rsidRPr="00845BB2" w:rsidRDefault="00E12467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 recognise</w:t>
      </w:r>
      <w:r w:rsidR="006A04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</w:t>
      </w:r>
      <w:r w:rsidR="006A046F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some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limitations of our study. 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total patient number in each group is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skewed towards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Surgimend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our department moved away from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use of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Strattice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early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55301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There was </w:t>
      </w:r>
      <w:r w:rsidR="00447DC6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a </w:t>
      </w:r>
      <w:r w:rsidR="00872FB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statistically</w:t>
      </w:r>
      <w:r w:rsidR="0055301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significant</w:t>
      </w:r>
      <w:r w:rsidR="00F54237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higher mastectomy breast weight in the Strattice group</w:t>
      </w:r>
      <w:r w:rsidR="00872FB0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,</w:t>
      </w:r>
      <w:r w:rsidR="00F54237" w:rsidRPr="00445DD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a recognised risk factor for higher complication rates. </w:t>
      </w:r>
      <w:r w:rsidR="007A08F8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Operations were performed by three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plastic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surgeons 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with a subspecialist intere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 in breast reconstruction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closely and with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similar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surgical technique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however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minor variation in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time of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drain removal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7740C5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duration of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postoperative antibiotic regimen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 may have</w:t>
      </w:r>
      <w:r w:rsidR="00E82E9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existed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82E9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was beyond the scope of this paper to assess the long term and cosmetic outcomes, but this would be of interest in future studies.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238864C" w14:textId="6F3DBBF1" w:rsidR="00D20594" w:rsidRPr="00845BB2" w:rsidRDefault="00D20594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Considering the body of litera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ture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ADMs there are significant limitations. 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 found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few head to head co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mparative ADM studies</w:t>
      </w:r>
      <w:r w:rsidR="00445DD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which most were retrospective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small sample sizes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often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a single centre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more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 preponderance of th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ese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focused on huma</w:t>
      </w:r>
      <w:r w:rsidR="004D5D83">
        <w:rPr>
          <w:rFonts w:ascii="Times New Roman" w:eastAsia="Times New Roman" w:hAnsi="Times New Roman" w:cs="Times New Roman"/>
          <w:sz w:val="24"/>
          <w:szCs w:val="24"/>
          <w:lang w:eastAsia="en-GB"/>
        </w:rPr>
        <w:t>n derived ADMs notably AlloD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erm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Cross analysis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785DAE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existing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studies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is probl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ematic as there is considerable variability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a lack of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standardisation in </w:t>
      </w:r>
      <w:r w:rsidR="00AF5E3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reporting and classification of outcomes.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instance,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infection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rates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ha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been reported as major or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minor, using standard surgical site infection grading scale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only if requir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admission or </w:t>
      </w:r>
      <w:r w:rsidR="00874FDC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causing </w:t>
      </w:r>
      <w:r w:rsidR="002874C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implant loss.  </w:t>
      </w:r>
    </w:p>
    <w:p w14:paraId="31CE1D1F" w14:textId="77B19449" w:rsidR="002874C7" w:rsidRPr="00845BB2" w:rsidRDefault="00B044C5" w:rsidP="00390B01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hope this study will add to the literature and pre-empt further </w:t>
      </w:r>
      <w:r w:rsidR="0077543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well designed comparative ADM studies, preferably randomised control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trials in this area and we await the iBRA study </w:t>
      </w:r>
      <w:r w:rsidR="0077543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findings 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to further inform the breast reconstructive surgeon in selecting the best ADMs for each patient</w:t>
      </w:r>
      <w:r w:rsidR="00D20594" w:rsidRPr="00845BB2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GB"/>
        </w:rPr>
        <w:endnoteReference w:id="22"/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B3FF8E4" w14:textId="77777777" w:rsidR="002874C7" w:rsidRPr="00845BB2" w:rsidRDefault="002874C7" w:rsidP="00390B0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64F8E7C" w14:textId="77777777" w:rsidR="00B044C5" w:rsidRPr="00845BB2" w:rsidRDefault="00B044C5" w:rsidP="00390B0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703C195E" w14:textId="1C319C8D" w:rsidR="00DA1D6A" w:rsidRPr="001948CE" w:rsidRDefault="00DA1D6A" w:rsidP="00390B01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Conclusion</w:t>
      </w:r>
    </w:p>
    <w:p w14:paraId="4CA6237C" w14:textId="2F4A4058" w:rsidR="00982F57" w:rsidRPr="00845BB2" w:rsidRDefault="006758D6" w:rsidP="00FC07A8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2A00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study suggests an increased rate of 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breast </w:t>
      </w:r>
      <w:r w:rsidR="002A00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skin erythema with use of porcine (Strattice)</w:t>
      </w:r>
      <w:r w:rsidR="00081C5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compared to bovine (Surgimend)</w:t>
      </w:r>
      <w:r w:rsidR="002A00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</w:t>
      </w:r>
      <w:r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A00EB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770C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found no other statistically significant differences in post-operative complications.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</w:t>
      </w:r>
      <w:r w:rsidR="00F770C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expanding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use of ADMs there is a</w:t>
      </w:r>
      <w:r w:rsidR="00F770C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current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need for large</w:t>
      </w:r>
      <w:r w:rsidR="00F770C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multicentre, randomised studies, particularly </w:t>
      </w:r>
      <w:r w:rsidR="00F770C9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comparing </w:t>
      </w:r>
      <w:r w:rsidR="00EF7BF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xenogen</w:t>
      </w:r>
      <w:r w:rsidR="008D1440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F7BF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ic 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ADMs</w:t>
      </w:r>
      <w:r w:rsidR="00EF7BF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IBBR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EF7BF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 best practice</w:t>
      </w:r>
      <w:r w:rsidR="00982F57" w:rsidRPr="00845B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14:paraId="68E96022" w14:textId="77777777" w:rsidR="00845BB2" w:rsidRPr="00845BB2" w:rsidRDefault="00845BB2" w:rsidP="00390B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19E7B2" w14:textId="693D9529" w:rsidR="00845BB2" w:rsidRPr="00845BB2" w:rsidRDefault="00845BB2" w:rsidP="00390B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E">
        <w:rPr>
          <w:rFonts w:ascii="Times New Roman" w:hAnsi="Times New Roman" w:cs="Times New Roman"/>
          <w:b/>
          <w:i/>
          <w:sz w:val="24"/>
          <w:szCs w:val="24"/>
        </w:rPr>
        <w:t>Conflict of interest</w:t>
      </w:r>
      <w:r w:rsidR="003E4676" w:rsidRPr="001948CE">
        <w:rPr>
          <w:rFonts w:ascii="Times New Roman" w:hAnsi="Times New Roman" w:cs="Times New Roman"/>
          <w:b/>
          <w:i/>
          <w:sz w:val="24"/>
          <w:szCs w:val="24"/>
        </w:rPr>
        <w:t xml:space="preserve"> statement</w:t>
      </w:r>
      <w:r w:rsidRPr="00845BB2">
        <w:rPr>
          <w:rFonts w:ascii="Times New Roman" w:hAnsi="Times New Roman" w:cs="Times New Roman"/>
          <w:sz w:val="24"/>
          <w:szCs w:val="24"/>
        </w:rPr>
        <w:t>: The authors declare that they have no conflict of interest</w:t>
      </w:r>
      <w:r w:rsidR="00390B01">
        <w:rPr>
          <w:rFonts w:ascii="Times New Roman" w:hAnsi="Times New Roman" w:cs="Times New Roman"/>
          <w:sz w:val="24"/>
          <w:szCs w:val="24"/>
        </w:rPr>
        <w:t xml:space="preserve">. </w:t>
      </w:r>
      <w:r w:rsidRPr="00845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A6E5B" w14:textId="7A9030BD" w:rsidR="00845BB2" w:rsidRPr="00845BB2" w:rsidRDefault="00390B01" w:rsidP="00390B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CE">
        <w:rPr>
          <w:rFonts w:ascii="Times New Roman" w:hAnsi="Times New Roman" w:cs="Times New Roman"/>
          <w:b/>
          <w:i/>
          <w:sz w:val="24"/>
          <w:szCs w:val="24"/>
        </w:rPr>
        <w:t>Funding</w:t>
      </w:r>
      <w:r w:rsidR="003E4676" w:rsidRPr="001948CE">
        <w:rPr>
          <w:rFonts w:ascii="Times New Roman" w:hAnsi="Times New Roman" w:cs="Times New Roman"/>
          <w:b/>
          <w:i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 xml:space="preserve">: There are no funding sources for the completion of this work. </w:t>
      </w:r>
    </w:p>
    <w:p w14:paraId="1CAC1B19" w14:textId="7F82CF05" w:rsidR="00B044C5" w:rsidRPr="006E660B" w:rsidRDefault="006E660B" w:rsidP="00390B01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6E660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Acknowledgements: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6E660B">
        <w:rPr>
          <w:rFonts w:ascii="Times New Roman" w:eastAsia="Times New Roman" w:hAnsi="Times New Roman" w:cs="Times New Roman"/>
          <w:sz w:val="24"/>
          <w:szCs w:val="24"/>
          <w:lang w:eastAsia="en-GB"/>
        </w:rPr>
        <w:t>Non</w:t>
      </w:r>
      <w:r w:rsidR="00086C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. </w:t>
      </w:r>
      <w:r w:rsidR="00B044C5" w:rsidRPr="006E660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br w:type="page"/>
      </w:r>
    </w:p>
    <w:p w14:paraId="77A80635" w14:textId="77777777" w:rsidR="002813A2" w:rsidRPr="001948CE" w:rsidRDefault="004E2DFF" w:rsidP="00BC7F59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1948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References</w:t>
      </w:r>
    </w:p>
    <w:sectPr w:rsidR="002813A2" w:rsidRPr="001948CE">
      <w:foot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FBD" w14:textId="77777777" w:rsidR="00D32DE4" w:rsidRDefault="00D32DE4" w:rsidP="00800C84">
      <w:pPr>
        <w:spacing w:after="0" w:line="240" w:lineRule="auto"/>
      </w:pPr>
      <w:r>
        <w:separator/>
      </w:r>
    </w:p>
  </w:endnote>
  <w:endnote w:type="continuationSeparator" w:id="0">
    <w:p w14:paraId="1600FC7C" w14:textId="77777777" w:rsidR="00D32DE4" w:rsidRDefault="00D32DE4" w:rsidP="00800C84">
      <w:pPr>
        <w:spacing w:after="0" w:line="240" w:lineRule="auto"/>
      </w:pPr>
      <w:r>
        <w:continuationSeparator/>
      </w:r>
    </w:p>
  </w:endnote>
  <w:endnote w:id="1">
    <w:p w14:paraId="2DFED076" w14:textId="4AF0DBE2" w:rsidR="001C763E" w:rsidRPr="00682C8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Jeevan R, Cromwell DA, Browne JP, et al. </w:t>
      </w:r>
      <w:r w:rsidRPr="00682C8F">
        <w:rPr>
          <w:rFonts w:ascii="Times New Roman" w:hAnsi="Times New Roman" w:cs="Times New Roman"/>
          <w:sz w:val="24"/>
          <w:szCs w:val="24"/>
          <w:lang w:val="en"/>
        </w:rPr>
        <w:t>Findings of a national comparative audit of mastectomy and breast reconstruction surgery in England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390B01">
        <w:rPr>
          <w:rFonts w:ascii="Times New Roman" w:hAnsi="Times New Roman" w:cs="Times New Roman"/>
          <w:sz w:val="24"/>
          <w:szCs w:val="24"/>
        </w:rPr>
        <w:t>J Plast Reconstr Aesthet Surg</w:t>
      </w:r>
      <w:r>
        <w:rPr>
          <w:rFonts w:ascii="Times New Roman" w:hAnsi="Times New Roman" w:cs="Times New Roman"/>
          <w:sz w:val="24"/>
          <w:szCs w:val="24"/>
        </w:rPr>
        <w:t xml:space="preserve"> 2014; 67(10); 1333-1344. </w:t>
      </w:r>
    </w:p>
    <w:p w14:paraId="23901D5B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2">
    <w:p w14:paraId="6AC2E168" w14:textId="112C0C13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Vardanian AJ, Clayton JL, Roostaeian J, et al. Comparison of implant-based immediate breast reconstruction with and without acellular dermal matrix. Plast Reconstr Surg 2011; 128(5)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0B01">
        <w:rPr>
          <w:rFonts w:ascii="Times New Roman" w:hAnsi="Times New Roman" w:cs="Times New Roman"/>
          <w:sz w:val="24"/>
          <w:szCs w:val="24"/>
        </w:rPr>
        <w:t xml:space="preserve">403e-410e. </w:t>
      </w:r>
    </w:p>
    <w:p w14:paraId="514E3935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14:paraId="64B1F4C5" w14:textId="631F638C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>Johnson RK, Wright CK, Gandhi A, Charny MC, Barr L. Cost minimisation analysis of using acellular dermal matrix (Strattice</w:t>
      </w:r>
      <w:r w:rsidRPr="00390B01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TM </w:t>
      </w:r>
      <w:r w:rsidRPr="00390B01">
        <w:rPr>
          <w:rFonts w:ascii="Times New Roman" w:hAnsi="Times New Roman" w:cs="Times New Roman"/>
          <w:smallCaps/>
          <w:sz w:val="24"/>
          <w:szCs w:val="24"/>
        </w:rPr>
        <w:t xml:space="preserve">) </w:t>
      </w:r>
      <w:r w:rsidRPr="00390B01">
        <w:rPr>
          <w:rFonts w:ascii="Times New Roman" w:hAnsi="Times New Roman" w:cs="Times New Roman"/>
          <w:sz w:val="24"/>
          <w:szCs w:val="24"/>
        </w:rPr>
        <w:t>for breast reconstruction compared with standard techniques. Eur J Surg Oncol 2013; 39</w:t>
      </w:r>
      <w:r>
        <w:rPr>
          <w:rFonts w:ascii="Times New Roman" w:hAnsi="Times New Roman" w:cs="Times New Roman"/>
          <w:sz w:val="24"/>
          <w:szCs w:val="24"/>
        </w:rPr>
        <w:t xml:space="preserve">(3); </w:t>
      </w:r>
      <w:r w:rsidRPr="00390B01">
        <w:rPr>
          <w:rFonts w:ascii="Times New Roman" w:hAnsi="Times New Roman" w:cs="Times New Roman"/>
          <w:sz w:val="24"/>
          <w:szCs w:val="24"/>
        </w:rPr>
        <w:t xml:space="preserve">242 -7. </w:t>
      </w:r>
    </w:p>
    <w:p w14:paraId="1A080B80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4">
    <w:p w14:paraId="514FD507" w14:textId="09909A8F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Ho G, Nguyen TJ, Shahabi A, Hwang BH, Chan LS, Wong AK. A systemic review and meta-analysis of complications associated with acellular dermal matrix assisted breast reconstruction. Ann Plast Surg 2012; 68(4)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0B01">
        <w:rPr>
          <w:rFonts w:ascii="Times New Roman" w:hAnsi="Times New Roman" w:cs="Times New Roman"/>
          <w:sz w:val="24"/>
          <w:szCs w:val="24"/>
        </w:rPr>
        <w:t xml:space="preserve"> 346-56.  </w:t>
      </w:r>
    </w:p>
    <w:p w14:paraId="7EAC41FC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5">
    <w:p w14:paraId="41ADF07C" w14:textId="5C8DB6B1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Winocour S, Martinez-Jorge J, Habermann E, Thomsen K, Lemaine V. Early Surgical Site Infection Following Tissue Expander Breast Reconstruction with or without Acellular Dermal Matrix: National Benchmarking Using National Surgical Quality Improvement Program. Arch Plast Surg 2015; 42(2)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90B01">
        <w:rPr>
          <w:rFonts w:ascii="Times New Roman" w:hAnsi="Times New Roman" w:cs="Times New Roman"/>
          <w:sz w:val="24"/>
          <w:szCs w:val="24"/>
        </w:rPr>
        <w:t xml:space="preserve">194-200. </w:t>
      </w:r>
    </w:p>
    <w:p w14:paraId="48EFADB9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6">
    <w:p w14:paraId="2DE86288" w14:textId="68BD14A8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Nguyen TJ, Carey JN, Wong AK. Use of human acellular dermal matrix in implant –based breast reconstruction: evaluating the evidence. J Plast Reconstr Aesthet Surg 2011; 64(12)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0B01">
        <w:rPr>
          <w:rFonts w:ascii="Times New Roman" w:hAnsi="Times New Roman" w:cs="Times New Roman"/>
          <w:sz w:val="24"/>
          <w:szCs w:val="24"/>
        </w:rPr>
        <w:t xml:space="preserve"> 1553-61. </w:t>
      </w:r>
    </w:p>
    <w:p w14:paraId="4718CA75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7">
    <w:p w14:paraId="1D1BB62F" w14:textId="610EF129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>Martin L, O'Donoghue JM, Horgan K, Thrush S, Johnson R, Gandhi A. Acellular dermal matrix (ADM) assisted breast reconstruction procedures: joint guidelines from the Association of Breast Surgery and the British Association of Plastic, Reconstructive and Aesthetic Surgeons. Eur J Surg Oncol 2013; 39(5)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90B01">
        <w:rPr>
          <w:rFonts w:ascii="Times New Roman" w:hAnsi="Times New Roman" w:cs="Times New Roman"/>
          <w:sz w:val="24"/>
          <w:szCs w:val="24"/>
        </w:rPr>
        <w:t>425-9.</w:t>
      </w:r>
    </w:p>
    <w:p w14:paraId="4B28EE15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8">
    <w:p w14:paraId="7C4280A1" w14:textId="4F6E3154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Lanier ST, Wang ED, Chen JJ, et al. The effect of acellular dermal matrix use on complication rates in tissue expander/implant breast reconstruction. Ann Plast Surg 2010; 64(5)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0B01">
        <w:rPr>
          <w:rFonts w:ascii="Times New Roman" w:hAnsi="Times New Roman" w:cs="Times New Roman"/>
          <w:sz w:val="24"/>
          <w:szCs w:val="24"/>
        </w:rPr>
        <w:t xml:space="preserve"> 674-8. </w:t>
      </w:r>
    </w:p>
    <w:p w14:paraId="1E4D9B00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9">
    <w:p w14:paraId="292B7A06" w14:textId="304F9E53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Lanier ST, Wang ED, Chen JJ, et al. A complication analysis of 2 acellular dermal matrices in prosthetic-based breast reconstruction. Plast Reconstr Surg Glob Open 2016; 13; 4(7):e800.</w:t>
      </w:r>
    </w:p>
    <w:p w14:paraId="32EFE2A5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0">
    <w:p w14:paraId="224001E1" w14:textId="2B30BE65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Cornwell K, Landsman A, James KS. Extracellular Matrix Biomaterials for Soft Tissue Repair. Clin P</w:t>
      </w:r>
      <w:r>
        <w:rPr>
          <w:rFonts w:ascii="Times New Roman" w:hAnsi="Times New Roman" w:cs="Times New Roman"/>
          <w:sz w:val="24"/>
          <w:szCs w:val="24"/>
        </w:rPr>
        <w:t xml:space="preserve">odiatr Med Surg. 2009 Oct;26(4); </w:t>
      </w:r>
      <w:r w:rsidRPr="00390B01">
        <w:rPr>
          <w:rFonts w:ascii="Times New Roman" w:hAnsi="Times New Roman" w:cs="Times New Roman"/>
          <w:sz w:val="24"/>
          <w:szCs w:val="24"/>
        </w:rPr>
        <w:t>507-23.</w:t>
      </w:r>
    </w:p>
    <w:p w14:paraId="0C94D508" w14:textId="77777777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1">
    <w:p w14:paraId="4F7DA5CB" w14:textId="3F371282" w:rsidR="001C763E" w:rsidRPr="00390B01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B0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0B01">
        <w:rPr>
          <w:rFonts w:ascii="Times New Roman" w:hAnsi="Times New Roman" w:cs="Times New Roman"/>
          <w:sz w:val="24"/>
          <w:szCs w:val="24"/>
        </w:rPr>
        <w:t xml:space="preserve"> Gaertner WB, Bonsack ME, Delaney JP. Experimental evaluation of four biologic prostheses for ventral hernia repair. J Gastrointest Surg. 2007; 11(10)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90B01">
        <w:rPr>
          <w:rFonts w:ascii="Times New Roman" w:hAnsi="Times New Roman" w:cs="Times New Roman"/>
          <w:sz w:val="24"/>
          <w:szCs w:val="24"/>
        </w:rPr>
        <w:t xml:space="preserve">1275-1285. </w:t>
      </w:r>
    </w:p>
    <w:p w14:paraId="017CB072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2">
    <w:p w14:paraId="7EB3E6AF" w14:textId="2E664083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Ibrahim AM, Ayeni OA, Hughes KB, Lee BT, Slavin SA, Lin SJ. Acellular dermal matrices in breast surgery: a comprehensive review.</w:t>
      </w:r>
      <w:r>
        <w:rPr>
          <w:rFonts w:ascii="Times New Roman" w:hAnsi="Times New Roman" w:cs="Times New Roman"/>
          <w:sz w:val="24"/>
          <w:szCs w:val="24"/>
        </w:rPr>
        <w:t xml:space="preserve"> Ann Plast Surg. 2013 Jun;70(6); </w:t>
      </w:r>
      <w:r w:rsidRPr="00B44E9F">
        <w:rPr>
          <w:rFonts w:ascii="Times New Roman" w:hAnsi="Times New Roman" w:cs="Times New Roman"/>
          <w:sz w:val="24"/>
          <w:szCs w:val="24"/>
        </w:rPr>
        <w:t>732-8</w:t>
      </w:r>
    </w:p>
    <w:p w14:paraId="7B5A5CDC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3">
    <w:p w14:paraId="37EE4800" w14:textId="6F295989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LifeCell. Strattice™ reconstructive tissue matrix: Instructions for use 2015. </w:t>
      </w:r>
      <w:r w:rsidRPr="00FE7EEA">
        <w:rPr>
          <w:rFonts w:ascii="Times New Roman" w:hAnsi="Times New Roman" w:cs="Times New Roman"/>
          <w:sz w:val="24"/>
          <w:szCs w:val="24"/>
        </w:rPr>
        <w:t>http://www.lifecellcorp.ca/fileadmin/media/files/downloads/STRcan_ifu_173P0023a_T4.pdf</w:t>
      </w:r>
      <w:r>
        <w:rPr>
          <w:rFonts w:ascii="Times New Roman" w:hAnsi="Times New Roman" w:cs="Times New Roman"/>
          <w:sz w:val="24"/>
          <w:szCs w:val="24"/>
        </w:rPr>
        <w:t xml:space="preserve"> [Accessibility verified January 27, 2017]</w:t>
      </w:r>
    </w:p>
    <w:p w14:paraId="02094B68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4">
    <w:p w14:paraId="7796A4FA" w14:textId="4FE89741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TEI. SurgiMend collagen matrix for soft tissue reconstruction. Health care professions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EE">
        <w:rPr>
          <w:rFonts w:ascii="Times New Roman" w:hAnsi="Times New Roman" w:cs="Times New Roman"/>
          <w:sz w:val="24"/>
          <w:szCs w:val="24"/>
        </w:rPr>
        <w:t>http://www.surgimend.com/file-assets/surgimend-safety-handling.pdf</w:t>
      </w:r>
      <w:r>
        <w:rPr>
          <w:rFonts w:ascii="Times New Roman" w:hAnsi="Times New Roman" w:cs="Times New Roman"/>
          <w:sz w:val="24"/>
          <w:szCs w:val="24"/>
        </w:rPr>
        <w:t xml:space="preserve"> [Accessibility verified January 27, 2017]</w:t>
      </w:r>
    </w:p>
    <w:p w14:paraId="3EEA2287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5">
    <w:p w14:paraId="31CA0FF1" w14:textId="6F926C39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Adelman DM, Selber JC, Butler CE. Bovine versus porcine acellular dermal matrix: a comparison of mechanical properties</w:t>
      </w:r>
      <w:r>
        <w:rPr>
          <w:rFonts w:ascii="Times New Roman" w:hAnsi="Times New Roman" w:cs="Times New Roman"/>
          <w:sz w:val="24"/>
          <w:szCs w:val="24"/>
        </w:rPr>
        <w:t>. Plast Reconstr Surg Glob Open</w:t>
      </w:r>
      <w:r w:rsidRPr="00B44E9F">
        <w:rPr>
          <w:rFonts w:ascii="Times New Roman" w:hAnsi="Times New Roman" w:cs="Times New Roman"/>
          <w:sz w:val="24"/>
          <w:szCs w:val="24"/>
        </w:rPr>
        <w:t xml:space="preserve"> 2014 Jun 6;2(5):e155</w:t>
      </w:r>
    </w:p>
    <w:p w14:paraId="7932A4E7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6">
    <w:p w14:paraId="1EEF1C9D" w14:textId="0A1B0F6B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Dikmans RE, El Morabit F, Ottenhof MJ, et al. Single-stage breast reconstruction using Strattice</w:t>
      </w:r>
      <w:r w:rsidRPr="00B44E9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44E9F">
        <w:rPr>
          <w:rFonts w:ascii="Times New Roman" w:hAnsi="Times New Roman" w:cs="Times New Roman"/>
          <w:sz w:val="24"/>
          <w:szCs w:val="24"/>
        </w:rPr>
        <w:t>: A retrospective study. J Plast R</w:t>
      </w:r>
      <w:r>
        <w:rPr>
          <w:rFonts w:ascii="Times New Roman" w:hAnsi="Times New Roman" w:cs="Times New Roman"/>
          <w:sz w:val="24"/>
          <w:szCs w:val="24"/>
        </w:rPr>
        <w:t xml:space="preserve">econstr Aesthet Surg 2016;69(2); </w:t>
      </w:r>
      <w:r w:rsidRPr="00B44E9F">
        <w:rPr>
          <w:rFonts w:ascii="Times New Roman" w:hAnsi="Times New Roman" w:cs="Times New Roman"/>
          <w:sz w:val="24"/>
          <w:szCs w:val="24"/>
        </w:rPr>
        <w:t>227-33.</w:t>
      </w:r>
    </w:p>
    <w:p w14:paraId="56296888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7">
    <w:p w14:paraId="1ECEAF5A" w14:textId="0651336D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Glasberg SB, Light D. Alloderm and Strattice in breast reconstruction: a comparison and techniques for optimizing outcomes. </w:t>
      </w:r>
      <w:r>
        <w:rPr>
          <w:rFonts w:ascii="Times New Roman" w:hAnsi="Times New Roman" w:cs="Times New Roman"/>
          <w:sz w:val="24"/>
          <w:szCs w:val="24"/>
        </w:rPr>
        <w:t xml:space="preserve">Plast Reconstr Surg 2012;129(6); </w:t>
      </w:r>
      <w:r w:rsidRPr="00B44E9F">
        <w:rPr>
          <w:rFonts w:ascii="Times New Roman" w:hAnsi="Times New Roman" w:cs="Times New Roman"/>
          <w:sz w:val="24"/>
          <w:szCs w:val="24"/>
        </w:rPr>
        <w:t>1234-5</w:t>
      </w:r>
    </w:p>
    <w:p w14:paraId="7A29C0B2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8">
    <w:p w14:paraId="7BF6BE5B" w14:textId="39EF73DA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Saltberg CA, Dunavant C, Nocera N. Immediate breast reconstruction using porcine acellular dermal matrix (Strattice): long-term outcomes and complications. J Plast Reconstr Aesthet Surg 2013; 66(3)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44E9F">
        <w:rPr>
          <w:rFonts w:ascii="Times New Roman" w:hAnsi="Times New Roman" w:cs="Times New Roman"/>
          <w:sz w:val="24"/>
          <w:szCs w:val="24"/>
        </w:rPr>
        <w:t xml:space="preserve">323-8. </w:t>
      </w:r>
    </w:p>
    <w:p w14:paraId="2ED264ED" w14:textId="0D2927E9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9">
    <w:p w14:paraId="06A599DF" w14:textId="64C640DE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>Eichler C, Vogt N, Brunnert K, Sauerwald A, Puppe J, Warm M. A head-to-head comparison between Surgimend and Epiflax in 127 breast reconstructions. Plast R</w:t>
      </w:r>
      <w:r>
        <w:rPr>
          <w:rFonts w:ascii="Times New Roman" w:hAnsi="Times New Roman" w:cs="Times New Roman"/>
          <w:sz w:val="24"/>
          <w:szCs w:val="24"/>
        </w:rPr>
        <w:t>econstr Surg Glob Open</w:t>
      </w:r>
      <w:r w:rsidRPr="00B44E9F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8;3(6); </w:t>
      </w:r>
      <w:r w:rsidRPr="00B44E9F">
        <w:rPr>
          <w:rFonts w:ascii="Times New Roman" w:hAnsi="Times New Roman" w:cs="Times New Roman"/>
          <w:sz w:val="24"/>
          <w:szCs w:val="24"/>
        </w:rPr>
        <w:t>e439</w:t>
      </w:r>
    </w:p>
    <w:p w14:paraId="59E8F4A3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20">
    <w:p w14:paraId="58FE0055" w14:textId="39D4FC8C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Ohkuma R, Buretta KJ, Mohan R, Rosson GD, Rad AN. Initial experience with the use of foetal/neonatal bovine acellular dermal collagen matrix (SurgiMend™) for tissue-expander breast reconstruction</w:t>
      </w:r>
      <w:r>
        <w:rPr>
          <w:rFonts w:ascii="Times New Roman" w:hAnsi="Times New Roman" w:cs="Times New Roman"/>
          <w:sz w:val="24"/>
          <w:szCs w:val="24"/>
        </w:rPr>
        <w:t xml:space="preserve">. J Plast Reconstr Aesthet Surg 2013;66(9); </w:t>
      </w:r>
      <w:r w:rsidRPr="00B44E9F">
        <w:rPr>
          <w:rFonts w:ascii="Times New Roman" w:hAnsi="Times New Roman" w:cs="Times New Roman"/>
          <w:sz w:val="24"/>
          <w:szCs w:val="24"/>
        </w:rPr>
        <w:t>1195-201</w:t>
      </w:r>
    </w:p>
    <w:p w14:paraId="235FA508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21">
    <w:p w14:paraId="274AE9D1" w14:textId="70B37B38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Barber MD, Williams L, Anderson ED, et al. Outcomes of the use of acellular-dermal matrix to assist implant-based breast reconstruction in a single centr</w:t>
      </w:r>
      <w:r>
        <w:rPr>
          <w:rFonts w:ascii="Times New Roman" w:hAnsi="Times New Roman" w:cs="Times New Roman"/>
          <w:sz w:val="24"/>
          <w:szCs w:val="24"/>
        </w:rPr>
        <w:t xml:space="preserve">e. Eur J Surg Oncol 2015; 41(1); </w:t>
      </w:r>
      <w:r w:rsidRPr="00B44E9F">
        <w:rPr>
          <w:rFonts w:ascii="Times New Roman" w:hAnsi="Times New Roman" w:cs="Times New Roman"/>
          <w:sz w:val="24"/>
          <w:szCs w:val="24"/>
        </w:rPr>
        <w:t xml:space="preserve">100-5. </w:t>
      </w:r>
    </w:p>
    <w:p w14:paraId="0C0951A1" w14:textId="77777777" w:rsidR="001C763E" w:rsidRPr="00B44E9F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22">
    <w:p w14:paraId="6EDC22A4" w14:textId="6D1B43B0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E9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44E9F">
        <w:rPr>
          <w:rFonts w:ascii="Times New Roman" w:hAnsi="Times New Roman" w:cs="Times New Roman"/>
          <w:sz w:val="24"/>
          <w:szCs w:val="24"/>
        </w:rPr>
        <w:t xml:space="preserve"> The iBRA Study 2014-2016 [ONLINE] Available at: </w:t>
      </w:r>
      <w:r w:rsidRPr="006C76EE">
        <w:rPr>
          <w:rFonts w:ascii="Times New Roman" w:hAnsi="Times New Roman" w:cs="Times New Roman"/>
          <w:sz w:val="24"/>
          <w:szCs w:val="24"/>
        </w:rPr>
        <w:t>http://ibrastudy.com</w:t>
      </w:r>
      <w:r>
        <w:rPr>
          <w:rFonts w:ascii="Times New Roman" w:hAnsi="Times New Roman" w:cs="Times New Roman"/>
          <w:sz w:val="24"/>
          <w:szCs w:val="24"/>
        </w:rPr>
        <w:t xml:space="preserve"> [Accessibility </w:t>
      </w:r>
      <w:r w:rsidRPr="00B4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verified November 10, </w:t>
      </w:r>
      <w:r w:rsidRPr="00B44E9F">
        <w:rPr>
          <w:rFonts w:ascii="Times New Roman" w:hAnsi="Times New Roman" w:cs="Times New Roman"/>
          <w:sz w:val="24"/>
          <w:szCs w:val="24"/>
        </w:rPr>
        <w:t>2016]</w:t>
      </w:r>
    </w:p>
    <w:p w14:paraId="6AC8F957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12761E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4A2BF2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84D4F5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EA8004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3DD817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97E4DE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33CB86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13BA54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E022E1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A6B6AF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BAF9BE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0BC146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025D57" w14:textId="77777777" w:rsidR="001C763E" w:rsidRDefault="001C763E" w:rsidP="00086CCF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8996ED" w14:textId="77777777" w:rsidR="001C763E" w:rsidRDefault="001C763E" w:rsidP="001D5211">
      <w:pPr>
        <w:rPr>
          <w:i/>
        </w:rPr>
      </w:pPr>
    </w:p>
    <w:p w14:paraId="6257F973" w14:textId="77777777" w:rsidR="001C763E" w:rsidRPr="00C82B20" w:rsidRDefault="001C763E" w:rsidP="001D5211">
      <w:r w:rsidRPr="001D5211">
        <w:rPr>
          <w:b/>
          <w:i/>
        </w:rPr>
        <w:t xml:space="preserve">Table </w:t>
      </w:r>
      <w:r w:rsidRPr="001D5211">
        <w:rPr>
          <w:b/>
          <w:i/>
        </w:rPr>
        <w:fldChar w:fldCharType="begin"/>
      </w:r>
      <w:r w:rsidRPr="001D5211">
        <w:rPr>
          <w:b/>
          <w:i/>
        </w:rPr>
        <w:instrText xml:space="preserve"> SEQ Table \* ARABIC </w:instrText>
      </w:r>
      <w:r w:rsidRPr="001D5211">
        <w:rPr>
          <w:b/>
          <w:i/>
        </w:rPr>
        <w:fldChar w:fldCharType="separate"/>
      </w:r>
      <w:r w:rsidRPr="001D5211">
        <w:rPr>
          <w:b/>
          <w:i/>
          <w:noProof/>
        </w:rPr>
        <w:t>1</w:t>
      </w:r>
      <w:r w:rsidRPr="001D5211">
        <w:rPr>
          <w:b/>
          <w:i/>
        </w:rPr>
        <w:fldChar w:fldCharType="end"/>
      </w:r>
      <w:r w:rsidRPr="001D5211">
        <w:rPr>
          <w:b/>
          <w:i/>
        </w:rPr>
        <w:t>.</w:t>
      </w:r>
      <w:r w:rsidRPr="00C82B20">
        <w:t xml:space="preserve"> Summary of patient specific variables for reconstruction with Strattice or Surgimend  </w:t>
      </w:r>
    </w:p>
    <w:tbl>
      <w:tblPr>
        <w:tblStyle w:val="TableGrid"/>
        <w:tblW w:w="1002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9"/>
        <w:gridCol w:w="1701"/>
        <w:gridCol w:w="2409"/>
        <w:gridCol w:w="1564"/>
      </w:tblGrid>
      <w:tr w:rsidR="001C763E" w:rsidRPr="00C82B20" w14:paraId="41987060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6409A42A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Variables</w:t>
            </w:r>
          </w:p>
        </w:tc>
        <w:tc>
          <w:tcPr>
            <w:tcW w:w="2079" w:type="dxa"/>
            <w:vAlign w:val="center"/>
            <w:hideMark/>
          </w:tcPr>
          <w:p w14:paraId="60EBD4F8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Group total</w:t>
            </w:r>
          </w:p>
        </w:tc>
        <w:tc>
          <w:tcPr>
            <w:tcW w:w="1701" w:type="dxa"/>
            <w:vAlign w:val="center"/>
            <w:hideMark/>
          </w:tcPr>
          <w:p w14:paraId="525615A5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Strattice</w:t>
            </w:r>
          </w:p>
        </w:tc>
        <w:tc>
          <w:tcPr>
            <w:tcW w:w="2409" w:type="dxa"/>
            <w:vAlign w:val="center"/>
            <w:hideMark/>
          </w:tcPr>
          <w:p w14:paraId="4B8935D4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Surgimend</w:t>
            </w:r>
          </w:p>
        </w:tc>
        <w:tc>
          <w:tcPr>
            <w:tcW w:w="1564" w:type="dxa"/>
            <w:vAlign w:val="center"/>
            <w:hideMark/>
          </w:tcPr>
          <w:p w14:paraId="69E2EC84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value</w:t>
            </w:r>
          </w:p>
        </w:tc>
      </w:tr>
      <w:tr w:rsidR="001C763E" w:rsidRPr="00C82B20" w14:paraId="1A7A4761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101BE65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Number of women</w:t>
            </w:r>
          </w:p>
        </w:tc>
        <w:tc>
          <w:tcPr>
            <w:tcW w:w="2079" w:type="dxa"/>
            <w:vAlign w:val="center"/>
            <w:hideMark/>
          </w:tcPr>
          <w:p w14:paraId="1960A526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701" w:type="dxa"/>
            <w:vAlign w:val="center"/>
            <w:hideMark/>
          </w:tcPr>
          <w:p w14:paraId="2BAC5ADA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409" w:type="dxa"/>
            <w:vAlign w:val="center"/>
            <w:hideMark/>
          </w:tcPr>
          <w:p w14:paraId="0E2631F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564" w:type="dxa"/>
            <w:vAlign w:val="center"/>
            <w:hideMark/>
          </w:tcPr>
          <w:p w14:paraId="6A56AEB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1C763E" w:rsidRPr="00C82B20" w14:paraId="52F9CEB4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601108F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Number of breasts</w:t>
            </w:r>
          </w:p>
        </w:tc>
        <w:tc>
          <w:tcPr>
            <w:tcW w:w="2079" w:type="dxa"/>
            <w:vAlign w:val="center"/>
            <w:hideMark/>
          </w:tcPr>
          <w:p w14:paraId="0892A6F5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701" w:type="dxa"/>
            <w:vAlign w:val="center"/>
            <w:hideMark/>
          </w:tcPr>
          <w:p w14:paraId="7D1BBEB2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09" w:type="dxa"/>
            <w:vAlign w:val="center"/>
            <w:hideMark/>
          </w:tcPr>
          <w:p w14:paraId="2C6FAD9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564" w:type="dxa"/>
            <w:vAlign w:val="center"/>
            <w:hideMark/>
          </w:tcPr>
          <w:p w14:paraId="53648972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1C763E" w:rsidRPr="00C82B20" w14:paraId="520C691E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547BA5A2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Mean age</w:t>
            </w:r>
          </w:p>
        </w:tc>
        <w:tc>
          <w:tcPr>
            <w:tcW w:w="2079" w:type="dxa"/>
            <w:vAlign w:val="center"/>
            <w:hideMark/>
          </w:tcPr>
          <w:p w14:paraId="268E145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14:paraId="33AE2073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409" w:type="dxa"/>
            <w:vAlign w:val="center"/>
            <w:hideMark/>
          </w:tcPr>
          <w:p w14:paraId="3A1F9805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46.9</w:t>
            </w:r>
          </w:p>
        </w:tc>
        <w:tc>
          <w:tcPr>
            <w:tcW w:w="1564" w:type="dxa"/>
            <w:vAlign w:val="center"/>
            <w:hideMark/>
          </w:tcPr>
          <w:p w14:paraId="6917D327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0.326</w:t>
            </w:r>
          </w:p>
        </w:tc>
      </w:tr>
      <w:tr w:rsidR="001C763E" w:rsidRPr="00C82B20" w14:paraId="5A1724B0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41297798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Mean BMI </w:t>
            </w:r>
            <w:r w:rsidRPr="00C82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ɸ</w:t>
            </w:r>
          </w:p>
        </w:tc>
        <w:tc>
          <w:tcPr>
            <w:tcW w:w="2079" w:type="dxa"/>
            <w:vAlign w:val="center"/>
            <w:hideMark/>
          </w:tcPr>
          <w:p w14:paraId="6EDDD7E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23.3</w:t>
            </w:r>
          </w:p>
        </w:tc>
        <w:tc>
          <w:tcPr>
            <w:tcW w:w="1701" w:type="dxa"/>
            <w:vAlign w:val="center"/>
            <w:hideMark/>
          </w:tcPr>
          <w:p w14:paraId="4FB1E43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09" w:type="dxa"/>
            <w:vAlign w:val="center"/>
            <w:hideMark/>
          </w:tcPr>
          <w:p w14:paraId="768DA7B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23.4</w:t>
            </w:r>
          </w:p>
        </w:tc>
        <w:tc>
          <w:tcPr>
            <w:tcW w:w="1564" w:type="dxa"/>
            <w:vAlign w:val="center"/>
            <w:hideMark/>
          </w:tcPr>
          <w:p w14:paraId="3368E49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</w:t>
            </w:r>
          </w:p>
        </w:tc>
      </w:tr>
      <w:tr w:rsidR="001C763E" w:rsidRPr="00C82B20" w14:paraId="71EB10E8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44E762FB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Mastectomy weight</w:t>
            </w:r>
          </w:p>
        </w:tc>
        <w:tc>
          <w:tcPr>
            <w:tcW w:w="2079" w:type="dxa"/>
            <w:vAlign w:val="center"/>
          </w:tcPr>
          <w:p w14:paraId="7BCD185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14:paraId="062C982E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367.1 ± 159.3</w:t>
            </w:r>
          </w:p>
        </w:tc>
        <w:tc>
          <w:tcPr>
            <w:tcW w:w="2409" w:type="dxa"/>
            <w:vAlign w:val="center"/>
            <w:hideMark/>
          </w:tcPr>
          <w:p w14:paraId="77D6E1DE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296.3 ±133.4</w:t>
            </w:r>
          </w:p>
        </w:tc>
        <w:tc>
          <w:tcPr>
            <w:tcW w:w="1564" w:type="dxa"/>
            <w:vAlign w:val="center"/>
            <w:hideMark/>
          </w:tcPr>
          <w:p w14:paraId="09A3F498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0.037*</w:t>
            </w:r>
          </w:p>
        </w:tc>
      </w:tr>
      <w:tr w:rsidR="001C763E" w:rsidRPr="00C82B20" w14:paraId="12180DBB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61F47C2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Smoking</w:t>
            </w:r>
          </w:p>
        </w:tc>
        <w:tc>
          <w:tcPr>
            <w:tcW w:w="2079" w:type="dxa"/>
            <w:vAlign w:val="center"/>
            <w:hideMark/>
          </w:tcPr>
          <w:p w14:paraId="7B4AF4E5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 (21%)</w:t>
            </w:r>
          </w:p>
        </w:tc>
        <w:tc>
          <w:tcPr>
            <w:tcW w:w="1701" w:type="dxa"/>
            <w:vAlign w:val="center"/>
            <w:hideMark/>
          </w:tcPr>
          <w:p w14:paraId="05A1FF83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(15.8%)</w:t>
            </w:r>
          </w:p>
        </w:tc>
        <w:tc>
          <w:tcPr>
            <w:tcW w:w="2409" w:type="dxa"/>
            <w:vAlign w:val="center"/>
            <w:hideMark/>
          </w:tcPr>
          <w:p w14:paraId="32D4040E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 (22.6%)</w:t>
            </w:r>
          </w:p>
        </w:tc>
        <w:tc>
          <w:tcPr>
            <w:tcW w:w="1564" w:type="dxa"/>
            <w:vAlign w:val="center"/>
            <w:hideMark/>
          </w:tcPr>
          <w:p w14:paraId="0AAC612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C763E" w:rsidRPr="00C82B20" w14:paraId="45A0BEC5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3FD37C60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ASA grade 2</w:t>
            </w:r>
            <w:r w:rsidRPr="00C82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ɸ</w:t>
            </w:r>
          </w:p>
        </w:tc>
        <w:tc>
          <w:tcPr>
            <w:tcW w:w="2079" w:type="dxa"/>
            <w:vAlign w:val="center"/>
            <w:hideMark/>
          </w:tcPr>
          <w:p w14:paraId="2F57469E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701" w:type="dxa"/>
            <w:vAlign w:val="center"/>
            <w:hideMark/>
          </w:tcPr>
          <w:p w14:paraId="423CE9C6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09" w:type="dxa"/>
            <w:vAlign w:val="center"/>
            <w:hideMark/>
          </w:tcPr>
          <w:p w14:paraId="35E12A9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64" w:type="dxa"/>
            <w:vAlign w:val="center"/>
            <w:hideMark/>
          </w:tcPr>
          <w:p w14:paraId="1A2CD980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1C763E" w:rsidRPr="00C82B20" w14:paraId="558016B9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42C3590B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ASA grade 3</w:t>
            </w:r>
            <w:r w:rsidRPr="00C82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ɸ</w:t>
            </w:r>
          </w:p>
        </w:tc>
        <w:tc>
          <w:tcPr>
            <w:tcW w:w="2079" w:type="dxa"/>
            <w:vAlign w:val="center"/>
            <w:hideMark/>
          </w:tcPr>
          <w:p w14:paraId="5B3BCDCA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2052B393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409" w:type="dxa"/>
            <w:vAlign w:val="center"/>
            <w:hideMark/>
          </w:tcPr>
          <w:p w14:paraId="1FBFC52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14:paraId="1AFC20B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1C763E" w:rsidRPr="00C82B20" w14:paraId="076CE9E8" w14:textId="77777777" w:rsidTr="00C82B20">
        <w:trPr>
          <w:trHeight w:val="269"/>
          <w:jc w:val="center"/>
        </w:trPr>
        <w:tc>
          <w:tcPr>
            <w:tcW w:w="2268" w:type="dxa"/>
            <w:vAlign w:val="center"/>
            <w:hideMark/>
          </w:tcPr>
          <w:p w14:paraId="2DF495EB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Chemotherapy:</w:t>
            </w:r>
          </w:p>
        </w:tc>
        <w:tc>
          <w:tcPr>
            <w:tcW w:w="2079" w:type="dxa"/>
            <w:vAlign w:val="center"/>
          </w:tcPr>
          <w:p w14:paraId="1B2822A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DC52E30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4089CE04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4" w:type="dxa"/>
            <w:vAlign w:val="center"/>
          </w:tcPr>
          <w:p w14:paraId="01B13C8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63E" w:rsidRPr="00C82B20" w14:paraId="274E5E1F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7856265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Preoperative</w:t>
            </w:r>
          </w:p>
        </w:tc>
        <w:tc>
          <w:tcPr>
            <w:tcW w:w="2079" w:type="dxa"/>
            <w:vAlign w:val="center"/>
            <w:hideMark/>
          </w:tcPr>
          <w:p w14:paraId="1C0A1697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01" w:type="dxa"/>
            <w:vAlign w:val="center"/>
            <w:hideMark/>
          </w:tcPr>
          <w:p w14:paraId="4A11698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09" w:type="dxa"/>
            <w:vAlign w:val="center"/>
            <w:hideMark/>
          </w:tcPr>
          <w:p w14:paraId="190B7076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64" w:type="dxa"/>
            <w:vAlign w:val="center"/>
            <w:hideMark/>
          </w:tcPr>
          <w:p w14:paraId="66E62CB7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</w:t>
            </w:r>
          </w:p>
        </w:tc>
      </w:tr>
      <w:tr w:rsidR="001C763E" w:rsidRPr="00C82B20" w14:paraId="44069BA2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047D857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Postoperative</w:t>
            </w:r>
          </w:p>
        </w:tc>
        <w:tc>
          <w:tcPr>
            <w:tcW w:w="2079" w:type="dxa"/>
            <w:vAlign w:val="center"/>
            <w:hideMark/>
          </w:tcPr>
          <w:p w14:paraId="5E769EB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07B2D26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409" w:type="dxa"/>
            <w:vAlign w:val="center"/>
            <w:hideMark/>
          </w:tcPr>
          <w:p w14:paraId="723F8F8A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64" w:type="dxa"/>
            <w:vAlign w:val="center"/>
            <w:hideMark/>
          </w:tcPr>
          <w:p w14:paraId="0B728936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0.11</w:t>
            </w:r>
          </w:p>
        </w:tc>
      </w:tr>
      <w:tr w:rsidR="001C763E" w:rsidRPr="00C82B20" w14:paraId="2C7E3261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4C8D667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Radiotherapy:</w:t>
            </w:r>
          </w:p>
        </w:tc>
        <w:tc>
          <w:tcPr>
            <w:tcW w:w="2079" w:type="dxa"/>
            <w:vAlign w:val="center"/>
          </w:tcPr>
          <w:p w14:paraId="67A11AE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A910B4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196B291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4" w:type="dxa"/>
            <w:vAlign w:val="center"/>
          </w:tcPr>
          <w:p w14:paraId="3F153AD1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63E" w:rsidRPr="00C82B20" w14:paraId="7DAA83C9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005F6D89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Previous </w:t>
            </w:r>
            <w:r w:rsidRPr="00C82B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ɸ</w:t>
            </w:r>
          </w:p>
        </w:tc>
        <w:tc>
          <w:tcPr>
            <w:tcW w:w="2079" w:type="dxa"/>
            <w:vAlign w:val="center"/>
            <w:hideMark/>
          </w:tcPr>
          <w:p w14:paraId="67F9E062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7821F19B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493EC603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4" w:type="dxa"/>
            <w:vAlign w:val="center"/>
            <w:hideMark/>
          </w:tcPr>
          <w:p w14:paraId="083F40E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C763E" w:rsidRPr="00C82B20" w14:paraId="1AD6564D" w14:textId="77777777" w:rsidTr="00C82B20">
        <w:trPr>
          <w:jc w:val="center"/>
        </w:trPr>
        <w:tc>
          <w:tcPr>
            <w:tcW w:w="2268" w:type="dxa"/>
            <w:vAlign w:val="center"/>
            <w:hideMark/>
          </w:tcPr>
          <w:p w14:paraId="118E9EFF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Postoperative</w:t>
            </w:r>
          </w:p>
        </w:tc>
        <w:tc>
          <w:tcPr>
            <w:tcW w:w="2079" w:type="dxa"/>
            <w:vAlign w:val="center"/>
            <w:hideMark/>
          </w:tcPr>
          <w:p w14:paraId="2776628C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14:paraId="03AF5A66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09" w:type="dxa"/>
            <w:vAlign w:val="center"/>
            <w:hideMark/>
          </w:tcPr>
          <w:p w14:paraId="792B9DBE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64" w:type="dxa"/>
            <w:vAlign w:val="center"/>
            <w:hideMark/>
          </w:tcPr>
          <w:p w14:paraId="194F860D" w14:textId="77777777" w:rsidR="001C763E" w:rsidRPr="00C82B20" w:rsidRDefault="001C763E" w:rsidP="00C82B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0.22</w:t>
            </w:r>
          </w:p>
        </w:tc>
      </w:tr>
    </w:tbl>
    <w:p w14:paraId="2DE93582" w14:textId="77777777" w:rsidR="001C763E" w:rsidRDefault="001C763E" w:rsidP="00C82B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B97694" w14:textId="77777777" w:rsidR="001C763E" w:rsidRPr="00C82B20" w:rsidRDefault="001C763E" w:rsidP="00C82B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B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*Statistically significant </w:t>
      </w:r>
      <w:r w:rsidRPr="00C82B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C82B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value &lt;0.05</w:t>
      </w:r>
    </w:p>
    <w:p w14:paraId="0506E4DC" w14:textId="77777777" w:rsidR="001C763E" w:rsidRPr="00C82B20" w:rsidRDefault="001C763E" w:rsidP="00C82B2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82B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 </w:t>
      </w:r>
      <w:r w:rsidRPr="00C82B20">
        <w:rPr>
          <w:rFonts w:ascii="Times New Roman" w:eastAsia="Times New Roman" w:hAnsi="Times New Roman" w:cs="Times New Roman"/>
          <w:sz w:val="24"/>
          <w:szCs w:val="24"/>
          <w:lang w:eastAsia="en-GB"/>
        </w:rPr>
        <w:t>values obtained using T test and Fisher exact test. (T test for age, breast weight, BMI)</w:t>
      </w:r>
    </w:p>
    <w:p w14:paraId="47F1956C" w14:textId="23564CF0" w:rsidR="001C763E" w:rsidRPr="00C82B20" w:rsidRDefault="001C763E" w:rsidP="00C82B20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82B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ɸ </w:t>
      </w:r>
      <w:r w:rsidRPr="00C82B20">
        <w:rPr>
          <w:rFonts w:ascii="Times New Roman" w:eastAsia="Times New Roman" w:hAnsi="Times New Roman" w:cs="Times New Roman"/>
          <w:sz w:val="24"/>
          <w:szCs w:val="24"/>
          <w:lang w:eastAsia="en-GB"/>
        </w:rPr>
        <w:t>Data absent for: previous radiotherapy status in 2 patients, ASA in 22 patients, BMI in 5 patients</w:t>
      </w:r>
    </w:p>
    <w:p w14:paraId="19FE2654" w14:textId="77777777" w:rsidR="001C763E" w:rsidRPr="00C82B20" w:rsidRDefault="001C763E" w:rsidP="00C82B20">
      <w:pPr>
        <w:spacing w:line="480" w:lineRule="auto"/>
        <w:rPr>
          <w:sz w:val="24"/>
          <w:szCs w:val="24"/>
        </w:rPr>
      </w:pPr>
    </w:p>
    <w:p w14:paraId="4611330A" w14:textId="77777777" w:rsidR="001C763E" w:rsidRPr="00C82B20" w:rsidRDefault="001C763E" w:rsidP="001D5211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2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Table </w:t>
      </w:r>
      <w:r w:rsidRPr="00C82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Pr="00C82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SEQ Table \* ARABIC </w:instrText>
      </w:r>
      <w:r w:rsidRPr="00C82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C82B2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2</w:t>
      </w:r>
      <w:r w:rsidRPr="00C82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C82B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2B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Summary of postoperative outcome results for reconstruction with Strattice or Surgimend calculated per women and breast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957"/>
        <w:gridCol w:w="1106"/>
        <w:gridCol w:w="1356"/>
        <w:gridCol w:w="778"/>
        <w:gridCol w:w="1106"/>
        <w:gridCol w:w="1356"/>
        <w:gridCol w:w="889"/>
      </w:tblGrid>
      <w:tr w:rsidR="001C763E" w:rsidRPr="00C82B20" w14:paraId="65D9607B" w14:textId="77777777" w:rsidTr="00C82B20"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FEE4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Outcome measure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C43BD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Total breasts</w:t>
            </w:r>
          </w:p>
          <w:p w14:paraId="64383CC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n=119</w:t>
            </w:r>
          </w:p>
          <w:p w14:paraId="5C7FCB4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60C6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Per woman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5B7C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Per breast</w:t>
            </w:r>
          </w:p>
        </w:tc>
      </w:tr>
      <w:tr w:rsidR="001C763E" w:rsidRPr="00C82B20" w14:paraId="36036F5C" w14:textId="77777777" w:rsidTr="00C82B2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7382E" w14:textId="77777777" w:rsidR="001C763E" w:rsidRPr="00C82B20" w:rsidRDefault="001C763E" w:rsidP="001D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133353" w14:textId="77777777" w:rsidR="001C763E" w:rsidRPr="00C82B20" w:rsidRDefault="001C763E" w:rsidP="001D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4BF3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Strattice</w:t>
            </w:r>
          </w:p>
          <w:p w14:paraId="2A49309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n=19</w:t>
            </w:r>
          </w:p>
          <w:p w14:paraId="54DA224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2606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Surgimend</w:t>
            </w:r>
          </w:p>
          <w:p w14:paraId="0C18278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n=62</w:t>
            </w:r>
          </w:p>
          <w:p w14:paraId="15B0578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1AC3D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6E06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Strattice</w:t>
            </w:r>
          </w:p>
          <w:p w14:paraId="086A863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n=30</w:t>
            </w:r>
          </w:p>
          <w:p w14:paraId="79AC90F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1B35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Surgimend</w:t>
            </w:r>
          </w:p>
          <w:p w14:paraId="2F8A62C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n=89</w:t>
            </w:r>
          </w:p>
          <w:p w14:paraId="6AFC597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0F6A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1C763E" w:rsidRPr="00C82B20" w14:paraId="5114C6CE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3FEA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2B8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Haematoma</w:t>
            </w:r>
          </w:p>
          <w:p w14:paraId="5EDBB23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i/>
                <w:sz w:val="24"/>
                <w:szCs w:val="24"/>
              </w:rPr>
              <w:t>Return to theatre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1799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89B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(2.5)</w:t>
            </w:r>
          </w:p>
          <w:p w14:paraId="67B76A8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(2.5)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F961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B54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(10.5)</w:t>
            </w:r>
          </w:p>
          <w:p w14:paraId="6A10B5E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(10.5)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FE7A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4E4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(1.6)</w:t>
            </w:r>
          </w:p>
          <w:p w14:paraId="11F6C40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(1.6)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A20A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425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  <w:p w14:paraId="1823F83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71BB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45D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  <w:p w14:paraId="0FFA429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8790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34B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  <w:p w14:paraId="269F2FE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D39F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518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  <w:p w14:paraId="5B93D30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3E" w:rsidRPr="00C82B20" w14:paraId="63D701B5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BBD4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257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Major infection</w:t>
            </w:r>
          </w:p>
          <w:p w14:paraId="35BC0EB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i/>
                <w:sz w:val="24"/>
                <w:szCs w:val="24"/>
              </w:rPr>
              <w:t>Return to theatre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C423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0E5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  <w:p w14:paraId="25953CE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(0.8)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E8DC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3B6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(5.3)</w:t>
            </w:r>
          </w:p>
          <w:p w14:paraId="3BCCA62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FA6B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DEA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5 (8.1)</w:t>
            </w:r>
          </w:p>
          <w:p w14:paraId="0F195F2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(1.6)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4DEC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FA5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67F1B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FC01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BD7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(3.3)</w:t>
            </w:r>
          </w:p>
          <w:p w14:paraId="7296B9D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4B37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C86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5 (5.6)</w:t>
            </w:r>
          </w:p>
          <w:p w14:paraId="46C8BC6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1BDD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223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8A6F2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3E" w:rsidRPr="00C82B20" w14:paraId="0734D83E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9751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C24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Minor infection</w:t>
            </w:r>
          </w:p>
          <w:p w14:paraId="6CD21BB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E2F1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900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FFE8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E5D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(10.5)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56BC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4A91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(6.5)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8355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38B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03E4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674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31D6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BF4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(4.5)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2069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B0D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</w:tr>
      <w:tr w:rsidR="001C763E" w:rsidRPr="00C82B20" w14:paraId="5DAA22E1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880B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BD2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Wound dehiscence</w:t>
            </w:r>
          </w:p>
          <w:p w14:paraId="66BC593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i/>
                <w:sz w:val="24"/>
                <w:szCs w:val="24"/>
              </w:rPr>
              <w:t>Return to theatre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8569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EF27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(2.5)</w:t>
            </w:r>
          </w:p>
          <w:p w14:paraId="080892A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(1.7)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DE45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736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1(5.3)</w:t>
            </w:r>
          </w:p>
          <w:p w14:paraId="1C21578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72AA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771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(3.2)</w:t>
            </w:r>
          </w:p>
          <w:p w14:paraId="7891F4E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(3.2)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C9D8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2D3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A582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544A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D57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(3.3)</w:t>
            </w:r>
          </w:p>
          <w:p w14:paraId="0D5540C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2C02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5D7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  <w:p w14:paraId="05B77BE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8FF7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75E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0.557</w:t>
            </w:r>
          </w:p>
          <w:p w14:paraId="7ACE76A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3E" w:rsidRPr="00C82B20" w14:paraId="0311735B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8FFA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4BBC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Skin necrosis</w:t>
            </w:r>
          </w:p>
          <w:p w14:paraId="46E4A2C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i/>
                <w:sz w:val="24"/>
                <w:szCs w:val="24"/>
              </w:rPr>
              <w:t>Return to theatre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56BE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854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(3.4)</w:t>
            </w:r>
          </w:p>
          <w:p w14:paraId="058B31D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(1.7)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3C34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0B4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(5.3)</w:t>
            </w:r>
          </w:p>
          <w:p w14:paraId="5986A13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0B8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411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(4.8)</w:t>
            </w:r>
          </w:p>
          <w:p w14:paraId="7FC0A29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(3.2)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974F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C49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1A38F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8DF8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4E6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 (3.3)</w:t>
            </w:r>
          </w:p>
          <w:p w14:paraId="5793868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CE36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B1A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(3.4)</w:t>
            </w:r>
          </w:p>
          <w:p w14:paraId="69C7EED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3920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755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93C5A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3E" w:rsidRPr="00C82B20" w14:paraId="28BC27F2" w14:textId="77777777" w:rsidTr="00C82B20">
        <w:trPr>
          <w:trHeight w:val="59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3109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98D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Seroma</w:t>
            </w:r>
          </w:p>
          <w:p w14:paraId="41366A5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i/>
                <w:sz w:val="24"/>
                <w:szCs w:val="24"/>
              </w:rPr>
              <w:t>Aspirated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B1C91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DC0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7 (5.9)</w:t>
            </w:r>
          </w:p>
          <w:p w14:paraId="153C4A2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5 (4.2)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5F663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189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(15.8)</w:t>
            </w:r>
          </w:p>
          <w:p w14:paraId="578E56E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(15.8)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809E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8DD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(6.5)</w:t>
            </w:r>
          </w:p>
          <w:p w14:paraId="7D409B0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(3.2)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7A75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B78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  <w:p w14:paraId="16D06FF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3FF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8E4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  <w:p w14:paraId="2886A97E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0FCD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D664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(4.5)</w:t>
            </w:r>
          </w:p>
          <w:p w14:paraId="6ADAC34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315F2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CEE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  <w:p w14:paraId="6E28A7D9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3E" w:rsidRPr="00C82B20" w14:paraId="6FFD2268" w14:textId="77777777" w:rsidTr="00C82B2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528FC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1C9F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b/>
                <w:sz w:val="24"/>
                <w:szCs w:val="24"/>
              </w:rPr>
              <w:t>Skin erythema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E0C7C5" w14:textId="77777777" w:rsidR="001C763E" w:rsidRPr="00C82B20" w:rsidRDefault="001C763E" w:rsidP="001D521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8 (6.7)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996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5A6D0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(21.1)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D3B5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B19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(6.5)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C4CD8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C386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5C957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EA65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5 (16.7)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1EBB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CF98A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4 (4.5)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FB1B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E85D" w14:textId="77777777" w:rsidR="001C763E" w:rsidRPr="00C82B20" w:rsidRDefault="001C763E" w:rsidP="001D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0">
              <w:rPr>
                <w:rFonts w:ascii="Times New Roman" w:hAnsi="Times New Roman" w:cs="Times New Roman"/>
                <w:sz w:val="24"/>
                <w:szCs w:val="24"/>
              </w:rPr>
              <w:t>0.044*</w:t>
            </w:r>
          </w:p>
        </w:tc>
      </w:tr>
    </w:tbl>
    <w:p w14:paraId="5D1DDBD4" w14:textId="77777777" w:rsidR="001C763E" w:rsidRPr="00C82B20" w:rsidRDefault="001C763E" w:rsidP="00C82B20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D872B28" w14:textId="77777777" w:rsidR="001C763E" w:rsidRPr="00C82B20" w:rsidRDefault="001C763E" w:rsidP="00C82B2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82B20">
        <w:rPr>
          <w:rFonts w:ascii="Times New Roman" w:hAnsi="Times New Roman" w:cs="Times New Roman"/>
          <w:sz w:val="24"/>
          <w:szCs w:val="24"/>
        </w:rPr>
        <w:t xml:space="preserve">*Statistically significant </w:t>
      </w:r>
      <w:r w:rsidRPr="00C82B20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C82B20">
        <w:rPr>
          <w:rFonts w:ascii="Times New Roman" w:hAnsi="Times New Roman" w:cs="Times New Roman"/>
          <w:sz w:val="24"/>
          <w:szCs w:val="24"/>
        </w:rPr>
        <w:t>value &lt;0.05</w:t>
      </w:r>
    </w:p>
    <w:p w14:paraId="258F80E3" w14:textId="77777777" w:rsidR="001C763E" w:rsidRPr="00C82B20" w:rsidRDefault="001C763E" w:rsidP="00C82B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B20">
        <w:rPr>
          <w:rFonts w:ascii="Times New Roman" w:hAnsi="Times New Roman" w:cs="Times New Roman"/>
          <w:i/>
          <w:sz w:val="24"/>
          <w:szCs w:val="24"/>
        </w:rPr>
        <w:t>P</w:t>
      </w:r>
      <w:r w:rsidRPr="00C82B20">
        <w:rPr>
          <w:rFonts w:ascii="Times New Roman" w:hAnsi="Times New Roman" w:cs="Times New Roman"/>
          <w:sz w:val="24"/>
          <w:szCs w:val="24"/>
        </w:rPr>
        <w:t xml:space="preserve"> values obtained using Fisher exact test </w:t>
      </w:r>
    </w:p>
    <w:p w14:paraId="7292A9EE" w14:textId="2607C6EA" w:rsidR="001C763E" w:rsidRPr="00003C35" w:rsidRDefault="001C763E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E0ABE" w14:textId="627243B1" w:rsidR="001C763E" w:rsidRDefault="001C7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37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7A5E4B5" w14:textId="77777777" w:rsidR="001C763E" w:rsidRDefault="001C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65CA" w14:textId="77777777" w:rsidR="00D32DE4" w:rsidRDefault="00D32DE4" w:rsidP="00800C84">
      <w:pPr>
        <w:spacing w:after="0" w:line="240" w:lineRule="auto"/>
      </w:pPr>
      <w:r>
        <w:separator/>
      </w:r>
    </w:p>
  </w:footnote>
  <w:footnote w:type="continuationSeparator" w:id="0">
    <w:p w14:paraId="796D2564" w14:textId="77777777" w:rsidR="00D32DE4" w:rsidRDefault="00D32DE4" w:rsidP="0080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59D"/>
    <w:multiLevelType w:val="hybridMultilevel"/>
    <w:tmpl w:val="1046C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2B94"/>
    <w:multiLevelType w:val="hybridMultilevel"/>
    <w:tmpl w:val="4BD24E92"/>
    <w:lvl w:ilvl="0" w:tplc="31387A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17"/>
    <w:rsid w:val="0000149C"/>
    <w:rsid w:val="00003C35"/>
    <w:rsid w:val="000060FE"/>
    <w:rsid w:val="00016B8A"/>
    <w:rsid w:val="000171A5"/>
    <w:rsid w:val="00021F22"/>
    <w:rsid w:val="00026DB3"/>
    <w:rsid w:val="00033C82"/>
    <w:rsid w:val="00034790"/>
    <w:rsid w:val="00034B17"/>
    <w:rsid w:val="000412CE"/>
    <w:rsid w:val="0004198E"/>
    <w:rsid w:val="00042E1C"/>
    <w:rsid w:val="0004487A"/>
    <w:rsid w:val="00045185"/>
    <w:rsid w:val="00047315"/>
    <w:rsid w:val="00053260"/>
    <w:rsid w:val="00056705"/>
    <w:rsid w:val="00060F77"/>
    <w:rsid w:val="000615FB"/>
    <w:rsid w:val="0006254B"/>
    <w:rsid w:val="00065BE4"/>
    <w:rsid w:val="00081C59"/>
    <w:rsid w:val="00083BF4"/>
    <w:rsid w:val="00086CCF"/>
    <w:rsid w:val="00091197"/>
    <w:rsid w:val="000B33C3"/>
    <w:rsid w:val="000D4394"/>
    <w:rsid w:val="000D63BD"/>
    <w:rsid w:val="000E23DD"/>
    <w:rsid w:val="000E32AB"/>
    <w:rsid w:val="000E39EB"/>
    <w:rsid w:val="000E7F8F"/>
    <w:rsid w:val="000F071E"/>
    <w:rsid w:val="00102847"/>
    <w:rsid w:val="001078C0"/>
    <w:rsid w:val="0011737C"/>
    <w:rsid w:val="00127B9E"/>
    <w:rsid w:val="00133894"/>
    <w:rsid w:val="00164384"/>
    <w:rsid w:val="001666A5"/>
    <w:rsid w:val="00175380"/>
    <w:rsid w:val="00177882"/>
    <w:rsid w:val="001948CE"/>
    <w:rsid w:val="00195B05"/>
    <w:rsid w:val="00197D7D"/>
    <w:rsid w:val="001A1E86"/>
    <w:rsid w:val="001A58E9"/>
    <w:rsid w:val="001A6313"/>
    <w:rsid w:val="001B1E5E"/>
    <w:rsid w:val="001B40FF"/>
    <w:rsid w:val="001B536D"/>
    <w:rsid w:val="001B62FC"/>
    <w:rsid w:val="001C27E6"/>
    <w:rsid w:val="001C6A47"/>
    <w:rsid w:val="001C763E"/>
    <w:rsid w:val="001D3EF8"/>
    <w:rsid w:val="001D4ADB"/>
    <w:rsid w:val="001D5211"/>
    <w:rsid w:val="001D640C"/>
    <w:rsid w:val="001D7D59"/>
    <w:rsid w:val="001D7DCF"/>
    <w:rsid w:val="001E092F"/>
    <w:rsid w:val="001E1259"/>
    <w:rsid w:val="001E1FD0"/>
    <w:rsid w:val="001F0242"/>
    <w:rsid w:val="001F0529"/>
    <w:rsid w:val="001F20DA"/>
    <w:rsid w:val="001F5BEC"/>
    <w:rsid w:val="001F6360"/>
    <w:rsid w:val="002077CC"/>
    <w:rsid w:val="00211CC1"/>
    <w:rsid w:val="00222DA7"/>
    <w:rsid w:val="002465A2"/>
    <w:rsid w:val="00250B44"/>
    <w:rsid w:val="00251FBA"/>
    <w:rsid w:val="0027358C"/>
    <w:rsid w:val="00273A2C"/>
    <w:rsid w:val="00276F32"/>
    <w:rsid w:val="002813A2"/>
    <w:rsid w:val="00283BBC"/>
    <w:rsid w:val="002874C7"/>
    <w:rsid w:val="002976A3"/>
    <w:rsid w:val="002A00EB"/>
    <w:rsid w:val="002A2E9E"/>
    <w:rsid w:val="002B3DD0"/>
    <w:rsid w:val="002C0022"/>
    <w:rsid w:val="002C47C6"/>
    <w:rsid w:val="002C6568"/>
    <w:rsid w:val="002C7331"/>
    <w:rsid w:val="002E64FF"/>
    <w:rsid w:val="002F0E0D"/>
    <w:rsid w:val="002F57BD"/>
    <w:rsid w:val="0030412A"/>
    <w:rsid w:val="00327058"/>
    <w:rsid w:val="003309A3"/>
    <w:rsid w:val="00332E8D"/>
    <w:rsid w:val="00334F49"/>
    <w:rsid w:val="003353D2"/>
    <w:rsid w:val="00336154"/>
    <w:rsid w:val="00343C85"/>
    <w:rsid w:val="00346F7F"/>
    <w:rsid w:val="0035219C"/>
    <w:rsid w:val="00362262"/>
    <w:rsid w:val="003658F6"/>
    <w:rsid w:val="003756ED"/>
    <w:rsid w:val="00387BD6"/>
    <w:rsid w:val="00390B01"/>
    <w:rsid w:val="00394DF6"/>
    <w:rsid w:val="00395929"/>
    <w:rsid w:val="00397A5D"/>
    <w:rsid w:val="003A6C62"/>
    <w:rsid w:val="003B192E"/>
    <w:rsid w:val="003B33AC"/>
    <w:rsid w:val="003C4E35"/>
    <w:rsid w:val="003C7E37"/>
    <w:rsid w:val="003D3262"/>
    <w:rsid w:val="003D5979"/>
    <w:rsid w:val="003D6698"/>
    <w:rsid w:val="003E1008"/>
    <w:rsid w:val="003E2712"/>
    <w:rsid w:val="003E2B2F"/>
    <w:rsid w:val="003E3117"/>
    <w:rsid w:val="003E4676"/>
    <w:rsid w:val="003F1791"/>
    <w:rsid w:val="003F3F22"/>
    <w:rsid w:val="003F68CF"/>
    <w:rsid w:val="003F7D4A"/>
    <w:rsid w:val="00407D09"/>
    <w:rsid w:val="004165A8"/>
    <w:rsid w:val="00421A9A"/>
    <w:rsid w:val="00422A87"/>
    <w:rsid w:val="00431F62"/>
    <w:rsid w:val="00441271"/>
    <w:rsid w:val="00445DD1"/>
    <w:rsid w:val="0044791C"/>
    <w:rsid w:val="00447DC6"/>
    <w:rsid w:val="00451D7D"/>
    <w:rsid w:val="00453592"/>
    <w:rsid w:val="004562B3"/>
    <w:rsid w:val="00471722"/>
    <w:rsid w:val="00491EFA"/>
    <w:rsid w:val="004965EA"/>
    <w:rsid w:val="004A065A"/>
    <w:rsid w:val="004B1DCC"/>
    <w:rsid w:val="004B6B75"/>
    <w:rsid w:val="004C0737"/>
    <w:rsid w:val="004C6AA7"/>
    <w:rsid w:val="004D0113"/>
    <w:rsid w:val="004D37E5"/>
    <w:rsid w:val="004D4B53"/>
    <w:rsid w:val="004D5250"/>
    <w:rsid w:val="004D5D83"/>
    <w:rsid w:val="004E1F70"/>
    <w:rsid w:val="004E2DFF"/>
    <w:rsid w:val="004E4102"/>
    <w:rsid w:val="0050069D"/>
    <w:rsid w:val="005219BA"/>
    <w:rsid w:val="0052479F"/>
    <w:rsid w:val="00525E76"/>
    <w:rsid w:val="005263E9"/>
    <w:rsid w:val="00530CB7"/>
    <w:rsid w:val="00531666"/>
    <w:rsid w:val="00531D38"/>
    <w:rsid w:val="00540454"/>
    <w:rsid w:val="00541055"/>
    <w:rsid w:val="00543F6B"/>
    <w:rsid w:val="00546A48"/>
    <w:rsid w:val="00550E6B"/>
    <w:rsid w:val="00553010"/>
    <w:rsid w:val="00557C2A"/>
    <w:rsid w:val="00560BB1"/>
    <w:rsid w:val="0056304A"/>
    <w:rsid w:val="005756E2"/>
    <w:rsid w:val="0058265B"/>
    <w:rsid w:val="00584584"/>
    <w:rsid w:val="00587CDF"/>
    <w:rsid w:val="00587F91"/>
    <w:rsid w:val="005B74C5"/>
    <w:rsid w:val="005C7D70"/>
    <w:rsid w:val="005D2A75"/>
    <w:rsid w:val="005D2F84"/>
    <w:rsid w:val="005D50AA"/>
    <w:rsid w:val="005E247E"/>
    <w:rsid w:val="005F2180"/>
    <w:rsid w:val="005F29E2"/>
    <w:rsid w:val="00606516"/>
    <w:rsid w:val="00620287"/>
    <w:rsid w:val="0062427B"/>
    <w:rsid w:val="00635F64"/>
    <w:rsid w:val="00640C06"/>
    <w:rsid w:val="00646266"/>
    <w:rsid w:val="0065010E"/>
    <w:rsid w:val="006506D8"/>
    <w:rsid w:val="00652DFC"/>
    <w:rsid w:val="00652E10"/>
    <w:rsid w:val="00653783"/>
    <w:rsid w:val="00666DE0"/>
    <w:rsid w:val="006723B3"/>
    <w:rsid w:val="006758D6"/>
    <w:rsid w:val="00675CD4"/>
    <w:rsid w:val="006812B9"/>
    <w:rsid w:val="00682022"/>
    <w:rsid w:val="00682C8F"/>
    <w:rsid w:val="00684116"/>
    <w:rsid w:val="006855F1"/>
    <w:rsid w:val="00685E36"/>
    <w:rsid w:val="00687671"/>
    <w:rsid w:val="006A046F"/>
    <w:rsid w:val="006A42D3"/>
    <w:rsid w:val="006A46BB"/>
    <w:rsid w:val="006A4BDC"/>
    <w:rsid w:val="006B3590"/>
    <w:rsid w:val="006C0135"/>
    <w:rsid w:val="006C76EE"/>
    <w:rsid w:val="006C7A4B"/>
    <w:rsid w:val="006D233F"/>
    <w:rsid w:val="006D67BF"/>
    <w:rsid w:val="006E2F91"/>
    <w:rsid w:val="006E4B35"/>
    <w:rsid w:val="006E660B"/>
    <w:rsid w:val="007101A4"/>
    <w:rsid w:val="00710DEF"/>
    <w:rsid w:val="007126C9"/>
    <w:rsid w:val="007148C7"/>
    <w:rsid w:val="007162F3"/>
    <w:rsid w:val="0072337C"/>
    <w:rsid w:val="00723CFA"/>
    <w:rsid w:val="007308C2"/>
    <w:rsid w:val="00732E1F"/>
    <w:rsid w:val="00733B4B"/>
    <w:rsid w:val="00737353"/>
    <w:rsid w:val="00740A9F"/>
    <w:rsid w:val="007410B4"/>
    <w:rsid w:val="0074461A"/>
    <w:rsid w:val="00746AE4"/>
    <w:rsid w:val="007522CE"/>
    <w:rsid w:val="00761ACC"/>
    <w:rsid w:val="00770925"/>
    <w:rsid w:val="00770BC6"/>
    <w:rsid w:val="00772B12"/>
    <w:rsid w:val="007740C5"/>
    <w:rsid w:val="00775210"/>
    <w:rsid w:val="00775439"/>
    <w:rsid w:val="00785DAE"/>
    <w:rsid w:val="00793ED7"/>
    <w:rsid w:val="00795286"/>
    <w:rsid w:val="007955E3"/>
    <w:rsid w:val="00796112"/>
    <w:rsid w:val="007A03F1"/>
    <w:rsid w:val="007A08F8"/>
    <w:rsid w:val="007A1B79"/>
    <w:rsid w:val="007A6209"/>
    <w:rsid w:val="007A7344"/>
    <w:rsid w:val="007A7DC4"/>
    <w:rsid w:val="007C4A73"/>
    <w:rsid w:val="007D08A7"/>
    <w:rsid w:val="007D3DA7"/>
    <w:rsid w:val="007E326F"/>
    <w:rsid w:val="007E487B"/>
    <w:rsid w:val="007E72AE"/>
    <w:rsid w:val="007F186D"/>
    <w:rsid w:val="007F55E2"/>
    <w:rsid w:val="00800C84"/>
    <w:rsid w:val="00811308"/>
    <w:rsid w:val="00814AB8"/>
    <w:rsid w:val="00814D19"/>
    <w:rsid w:val="00815023"/>
    <w:rsid w:val="008161B5"/>
    <w:rsid w:val="00817FCC"/>
    <w:rsid w:val="00822546"/>
    <w:rsid w:val="00824F23"/>
    <w:rsid w:val="00827DD3"/>
    <w:rsid w:val="00833970"/>
    <w:rsid w:val="008365B6"/>
    <w:rsid w:val="00840EC6"/>
    <w:rsid w:val="00841967"/>
    <w:rsid w:val="00845BB2"/>
    <w:rsid w:val="0085302D"/>
    <w:rsid w:val="008541D8"/>
    <w:rsid w:val="00872FB0"/>
    <w:rsid w:val="00874FDC"/>
    <w:rsid w:val="00875D32"/>
    <w:rsid w:val="00881E79"/>
    <w:rsid w:val="0088779A"/>
    <w:rsid w:val="008A2C9E"/>
    <w:rsid w:val="008B0F14"/>
    <w:rsid w:val="008B2839"/>
    <w:rsid w:val="008C32BE"/>
    <w:rsid w:val="008C3AE4"/>
    <w:rsid w:val="008C618F"/>
    <w:rsid w:val="008C6F63"/>
    <w:rsid w:val="008D1440"/>
    <w:rsid w:val="008D1B3D"/>
    <w:rsid w:val="008D57DE"/>
    <w:rsid w:val="008D7D68"/>
    <w:rsid w:val="008E0CC6"/>
    <w:rsid w:val="008E3309"/>
    <w:rsid w:val="008E580F"/>
    <w:rsid w:val="008E756E"/>
    <w:rsid w:val="008F067C"/>
    <w:rsid w:val="008F25E0"/>
    <w:rsid w:val="00905CFE"/>
    <w:rsid w:val="009066EA"/>
    <w:rsid w:val="00906AEE"/>
    <w:rsid w:val="00907493"/>
    <w:rsid w:val="00910770"/>
    <w:rsid w:val="00914CD0"/>
    <w:rsid w:val="0091710D"/>
    <w:rsid w:val="00917C5F"/>
    <w:rsid w:val="00920606"/>
    <w:rsid w:val="00930A48"/>
    <w:rsid w:val="00930EBD"/>
    <w:rsid w:val="0093424A"/>
    <w:rsid w:val="00936E9D"/>
    <w:rsid w:val="00940708"/>
    <w:rsid w:val="00947B1D"/>
    <w:rsid w:val="00953152"/>
    <w:rsid w:val="009547AD"/>
    <w:rsid w:val="00955555"/>
    <w:rsid w:val="00961291"/>
    <w:rsid w:val="00962A70"/>
    <w:rsid w:val="009633E3"/>
    <w:rsid w:val="00971E45"/>
    <w:rsid w:val="009766E3"/>
    <w:rsid w:val="009813F5"/>
    <w:rsid w:val="00982F57"/>
    <w:rsid w:val="00983970"/>
    <w:rsid w:val="009930FA"/>
    <w:rsid w:val="00994BA7"/>
    <w:rsid w:val="00994F28"/>
    <w:rsid w:val="009A0BC1"/>
    <w:rsid w:val="009A2272"/>
    <w:rsid w:val="009A5701"/>
    <w:rsid w:val="009A6A00"/>
    <w:rsid w:val="009B1F70"/>
    <w:rsid w:val="009B3E02"/>
    <w:rsid w:val="009C25E3"/>
    <w:rsid w:val="009C6681"/>
    <w:rsid w:val="009C6F59"/>
    <w:rsid w:val="009C70AE"/>
    <w:rsid w:val="009D167F"/>
    <w:rsid w:val="009E1E59"/>
    <w:rsid w:val="009E31F9"/>
    <w:rsid w:val="009F1407"/>
    <w:rsid w:val="009F1A0F"/>
    <w:rsid w:val="00A01425"/>
    <w:rsid w:val="00A02952"/>
    <w:rsid w:val="00A074FB"/>
    <w:rsid w:val="00A10BF6"/>
    <w:rsid w:val="00A11284"/>
    <w:rsid w:val="00A12EF9"/>
    <w:rsid w:val="00A14526"/>
    <w:rsid w:val="00A16CB2"/>
    <w:rsid w:val="00A222AC"/>
    <w:rsid w:val="00A22844"/>
    <w:rsid w:val="00A233C3"/>
    <w:rsid w:val="00A3273B"/>
    <w:rsid w:val="00A35B4D"/>
    <w:rsid w:val="00A40FDB"/>
    <w:rsid w:val="00A50987"/>
    <w:rsid w:val="00A5283F"/>
    <w:rsid w:val="00A60528"/>
    <w:rsid w:val="00A62ECD"/>
    <w:rsid w:val="00A70993"/>
    <w:rsid w:val="00A710C2"/>
    <w:rsid w:val="00A74B8A"/>
    <w:rsid w:val="00A7574B"/>
    <w:rsid w:val="00A76EDD"/>
    <w:rsid w:val="00A82C34"/>
    <w:rsid w:val="00A84F78"/>
    <w:rsid w:val="00A8750C"/>
    <w:rsid w:val="00A8797B"/>
    <w:rsid w:val="00A950F1"/>
    <w:rsid w:val="00A967C7"/>
    <w:rsid w:val="00A972ED"/>
    <w:rsid w:val="00AA2463"/>
    <w:rsid w:val="00AB648F"/>
    <w:rsid w:val="00AC07B8"/>
    <w:rsid w:val="00AC1BCD"/>
    <w:rsid w:val="00AC22F5"/>
    <w:rsid w:val="00AD7480"/>
    <w:rsid w:val="00AE7720"/>
    <w:rsid w:val="00AF5E3C"/>
    <w:rsid w:val="00B044C5"/>
    <w:rsid w:val="00B1380F"/>
    <w:rsid w:val="00B17028"/>
    <w:rsid w:val="00B241B9"/>
    <w:rsid w:val="00B24654"/>
    <w:rsid w:val="00B251F4"/>
    <w:rsid w:val="00B266B6"/>
    <w:rsid w:val="00B274E2"/>
    <w:rsid w:val="00B278CC"/>
    <w:rsid w:val="00B40803"/>
    <w:rsid w:val="00B441B2"/>
    <w:rsid w:val="00B44E9F"/>
    <w:rsid w:val="00B60960"/>
    <w:rsid w:val="00B6389A"/>
    <w:rsid w:val="00B6642C"/>
    <w:rsid w:val="00B701BE"/>
    <w:rsid w:val="00B92CB3"/>
    <w:rsid w:val="00B948E8"/>
    <w:rsid w:val="00BA7203"/>
    <w:rsid w:val="00BB1853"/>
    <w:rsid w:val="00BB1DD3"/>
    <w:rsid w:val="00BC7F59"/>
    <w:rsid w:val="00BD259C"/>
    <w:rsid w:val="00BD2BCD"/>
    <w:rsid w:val="00BD3EC6"/>
    <w:rsid w:val="00BD4E83"/>
    <w:rsid w:val="00BE6139"/>
    <w:rsid w:val="00BE6A89"/>
    <w:rsid w:val="00BF3353"/>
    <w:rsid w:val="00C00063"/>
    <w:rsid w:val="00C03871"/>
    <w:rsid w:val="00C053E3"/>
    <w:rsid w:val="00C1393E"/>
    <w:rsid w:val="00C1684B"/>
    <w:rsid w:val="00C22AD3"/>
    <w:rsid w:val="00C2333D"/>
    <w:rsid w:val="00C27442"/>
    <w:rsid w:val="00C30BF9"/>
    <w:rsid w:val="00C32727"/>
    <w:rsid w:val="00C32E18"/>
    <w:rsid w:val="00C40B4E"/>
    <w:rsid w:val="00C43E7C"/>
    <w:rsid w:val="00C4555C"/>
    <w:rsid w:val="00C46F3D"/>
    <w:rsid w:val="00C57CC0"/>
    <w:rsid w:val="00C64F82"/>
    <w:rsid w:val="00C70B80"/>
    <w:rsid w:val="00C71B73"/>
    <w:rsid w:val="00C74C3B"/>
    <w:rsid w:val="00C74E6F"/>
    <w:rsid w:val="00C81D76"/>
    <w:rsid w:val="00C82B20"/>
    <w:rsid w:val="00C83646"/>
    <w:rsid w:val="00C90D5A"/>
    <w:rsid w:val="00C9528C"/>
    <w:rsid w:val="00CA014A"/>
    <w:rsid w:val="00CA3DF6"/>
    <w:rsid w:val="00CA71ED"/>
    <w:rsid w:val="00CB1DDF"/>
    <w:rsid w:val="00CB1E9D"/>
    <w:rsid w:val="00CB6028"/>
    <w:rsid w:val="00CB708F"/>
    <w:rsid w:val="00CC29A1"/>
    <w:rsid w:val="00CC549E"/>
    <w:rsid w:val="00CC66B9"/>
    <w:rsid w:val="00CC75D9"/>
    <w:rsid w:val="00CD406A"/>
    <w:rsid w:val="00CE3C9C"/>
    <w:rsid w:val="00CF21F0"/>
    <w:rsid w:val="00CF6CA1"/>
    <w:rsid w:val="00CF777B"/>
    <w:rsid w:val="00D06664"/>
    <w:rsid w:val="00D06F81"/>
    <w:rsid w:val="00D177F8"/>
    <w:rsid w:val="00D20343"/>
    <w:rsid w:val="00D20594"/>
    <w:rsid w:val="00D3247E"/>
    <w:rsid w:val="00D32DE4"/>
    <w:rsid w:val="00D33191"/>
    <w:rsid w:val="00D348AF"/>
    <w:rsid w:val="00D42A62"/>
    <w:rsid w:val="00D453D1"/>
    <w:rsid w:val="00D50CA8"/>
    <w:rsid w:val="00D512B4"/>
    <w:rsid w:val="00D52EE9"/>
    <w:rsid w:val="00D55693"/>
    <w:rsid w:val="00D61AF3"/>
    <w:rsid w:val="00D65514"/>
    <w:rsid w:val="00D848BC"/>
    <w:rsid w:val="00D85CD7"/>
    <w:rsid w:val="00D94A3D"/>
    <w:rsid w:val="00DA1D6A"/>
    <w:rsid w:val="00DA484E"/>
    <w:rsid w:val="00DA5FB9"/>
    <w:rsid w:val="00DA693E"/>
    <w:rsid w:val="00DB1543"/>
    <w:rsid w:val="00DB1AD2"/>
    <w:rsid w:val="00DB3F20"/>
    <w:rsid w:val="00DB77D7"/>
    <w:rsid w:val="00DC557F"/>
    <w:rsid w:val="00DC5EBF"/>
    <w:rsid w:val="00DC6F67"/>
    <w:rsid w:val="00DD1580"/>
    <w:rsid w:val="00DD2A1E"/>
    <w:rsid w:val="00DE1EAD"/>
    <w:rsid w:val="00DE47F6"/>
    <w:rsid w:val="00DF6B78"/>
    <w:rsid w:val="00E01415"/>
    <w:rsid w:val="00E06220"/>
    <w:rsid w:val="00E12467"/>
    <w:rsid w:val="00E26DC0"/>
    <w:rsid w:val="00E30F20"/>
    <w:rsid w:val="00E45255"/>
    <w:rsid w:val="00E45B66"/>
    <w:rsid w:val="00E50FDE"/>
    <w:rsid w:val="00E5467F"/>
    <w:rsid w:val="00E56844"/>
    <w:rsid w:val="00E56B60"/>
    <w:rsid w:val="00E6154D"/>
    <w:rsid w:val="00E632E1"/>
    <w:rsid w:val="00E63411"/>
    <w:rsid w:val="00E6584A"/>
    <w:rsid w:val="00E66B59"/>
    <w:rsid w:val="00E704A6"/>
    <w:rsid w:val="00E71C3C"/>
    <w:rsid w:val="00E72287"/>
    <w:rsid w:val="00E76328"/>
    <w:rsid w:val="00E82E99"/>
    <w:rsid w:val="00E83C92"/>
    <w:rsid w:val="00E84160"/>
    <w:rsid w:val="00E86A36"/>
    <w:rsid w:val="00E92C93"/>
    <w:rsid w:val="00E97530"/>
    <w:rsid w:val="00EA1AB2"/>
    <w:rsid w:val="00EA308B"/>
    <w:rsid w:val="00EB7954"/>
    <w:rsid w:val="00EC1CE1"/>
    <w:rsid w:val="00EC5762"/>
    <w:rsid w:val="00EC7993"/>
    <w:rsid w:val="00ED3A00"/>
    <w:rsid w:val="00EE6065"/>
    <w:rsid w:val="00EF4B08"/>
    <w:rsid w:val="00EF7BF7"/>
    <w:rsid w:val="00F00423"/>
    <w:rsid w:val="00F1102A"/>
    <w:rsid w:val="00F127CD"/>
    <w:rsid w:val="00F14A8C"/>
    <w:rsid w:val="00F20FF6"/>
    <w:rsid w:val="00F33F6A"/>
    <w:rsid w:val="00F4130E"/>
    <w:rsid w:val="00F44DDB"/>
    <w:rsid w:val="00F462E1"/>
    <w:rsid w:val="00F50197"/>
    <w:rsid w:val="00F54237"/>
    <w:rsid w:val="00F770C9"/>
    <w:rsid w:val="00F839DE"/>
    <w:rsid w:val="00F86F9C"/>
    <w:rsid w:val="00F9611C"/>
    <w:rsid w:val="00F97BE3"/>
    <w:rsid w:val="00FA06A0"/>
    <w:rsid w:val="00FC07A8"/>
    <w:rsid w:val="00FC5E7A"/>
    <w:rsid w:val="00FC6569"/>
    <w:rsid w:val="00FD095B"/>
    <w:rsid w:val="00FD1EF6"/>
    <w:rsid w:val="00FE5BEF"/>
    <w:rsid w:val="00FE7A71"/>
    <w:rsid w:val="00FE7EEA"/>
    <w:rsid w:val="00FF2195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31278"/>
  <w15:docId w15:val="{5FA99576-3FC6-4B58-8C21-CDFA5B6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0C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C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0C84"/>
    <w:rPr>
      <w:vertAlign w:val="superscript"/>
    </w:rPr>
  </w:style>
  <w:style w:type="table" w:styleId="TableGrid">
    <w:name w:val="Table Grid"/>
    <w:basedOn w:val="TableNormal"/>
    <w:uiPriority w:val="59"/>
    <w:rsid w:val="00B6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2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316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DA1D6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A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A0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97A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79F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D20594"/>
    <w:rPr>
      <w:rFonts w:ascii="Consolas" w:eastAsia="Times New Roman" w:hAnsi="Consolas" w:cs="Consolas" w:hint="default"/>
      <w:b w:val="0"/>
      <w:bCs w:val="0"/>
      <w:sz w:val="24"/>
      <w:szCs w:val="24"/>
      <w:bdr w:val="single" w:sz="6" w:space="0" w:color="CACACA" w:frame="1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01"/>
  </w:style>
  <w:style w:type="paragraph" w:styleId="Footer">
    <w:name w:val="footer"/>
    <w:basedOn w:val="Normal"/>
    <w:link w:val="FooterChar"/>
    <w:uiPriority w:val="99"/>
    <w:unhideWhenUsed/>
    <w:rsid w:val="0039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01"/>
  </w:style>
  <w:style w:type="character" w:styleId="FollowedHyperlink">
    <w:name w:val="FollowedHyperlink"/>
    <w:basedOn w:val="DefaultParagraphFont"/>
    <w:uiPriority w:val="99"/>
    <w:semiHidden/>
    <w:unhideWhenUsed/>
    <w:rsid w:val="00086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853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3152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06873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0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8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7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4595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3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0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9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33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68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0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38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36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344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77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2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992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8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0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875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6301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30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02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420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7642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89CF-517E-4F1D-893A-2A6AA47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Charles Malata</cp:lastModifiedBy>
  <cp:revision>2</cp:revision>
  <cp:lastPrinted>2017-01-25T22:11:00Z</cp:lastPrinted>
  <dcterms:created xsi:type="dcterms:W3CDTF">2018-01-07T23:53:00Z</dcterms:created>
  <dcterms:modified xsi:type="dcterms:W3CDTF">2018-01-07T23:53:00Z</dcterms:modified>
</cp:coreProperties>
</file>