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9B615" w14:textId="77777777" w:rsidR="00DD623F" w:rsidRDefault="007F5903" w:rsidP="007F5903">
      <w:pPr>
        <w:jc w:val="center"/>
        <w:rPr>
          <w:rFonts w:ascii="Times New Roman" w:hAnsi="Times New Roman" w:cs="Times New Roman"/>
          <w:b/>
          <w:bCs/>
          <w:sz w:val="24"/>
          <w:szCs w:val="24"/>
          <w:lang w:val="en-US"/>
        </w:rPr>
      </w:pPr>
      <w:r w:rsidRPr="000F57AA">
        <w:rPr>
          <w:rFonts w:ascii="Times New Roman" w:hAnsi="Times New Roman" w:cs="Times New Roman"/>
          <w:b/>
          <w:bCs/>
          <w:sz w:val="24"/>
          <w:szCs w:val="24"/>
          <w:lang w:val="en-US"/>
        </w:rPr>
        <w:t>C</w:t>
      </w:r>
      <w:r w:rsidR="00DD623F">
        <w:rPr>
          <w:rFonts w:ascii="Times New Roman" w:hAnsi="Times New Roman" w:cs="Times New Roman"/>
          <w:b/>
          <w:bCs/>
          <w:sz w:val="24"/>
          <w:szCs w:val="24"/>
          <w:lang w:val="en-US"/>
        </w:rPr>
        <w:t xml:space="preserve">orporate </w:t>
      </w:r>
      <w:r w:rsidRPr="000F57AA">
        <w:rPr>
          <w:rFonts w:ascii="Times New Roman" w:hAnsi="Times New Roman" w:cs="Times New Roman"/>
          <w:b/>
          <w:bCs/>
          <w:sz w:val="24"/>
          <w:szCs w:val="24"/>
          <w:lang w:val="en-US"/>
        </w:rPr>
        <w:t>S</w:t>
      </w:r>
      <w:r w:rsidR="00DD623F">
        <w:rPr>
          <w:rFonts w:ascii="Times New Roman" w:hAnsi="Times New Roman" w:cs="Times New Roman"/>
          <w:b/>
          <w:bCs/>
          <w:sz w:val="24"/>
          <w:szCs w:val="24"/>
          <w:lang w:val="en-US"/>
        </w:rPr>
        <w:t>ocial Responsibility and Multinational Enterprise</w:t>
      </w:r>
      <w:r w:rsidRPr="000F57AA">
        <w:rPr>
          <w:rFonts w:ascii="Times New Roman" w:hAnsi="Times New Roman" w:cs="Times New Roman"/>
          <w:b/>
          <w:bCs/>
          <w:sz w:val="24"/>
          <w:szCs w:val="24"/>
          <w:lang w:val="en-US"/>
        </w:rPr>
        <w:t xml:space="preserve"> Identity: </w:t>
      </w:r>
    </w:p>
    <w:p w14:paraId="3098D9F8" w14:textId="0163C13B" w:rsidR="007F5903" w:rsidRDefault="00DD623F" w:rsidP="007F590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Insights from a Mining C</w:t>
      </w:r>
      <w:r w:rsidR="007F5903" w:rsidRPr="000F57AA">
        <w:rPr>
          <w:rFonts w:ascii="Times New Roman" w:hAnsi="Times New Roman" w:cs="Times New Roman"/>
          <w:b/>
          <w:bCs/>
          <w:sz w:val="24"/>
          <w:szCs w:val="24"/>
          <w:lang w:val="en-US"/>
        </w:rPr>
        <w:t xml:space="preserve">ompany’s attempt to localize in Ghana </w:t>
      </w:r>
    </w:p>
    <w:p w14:paraId="02E47FB6" w14:textId="77777777" w:rsidR="00DD623F" w:rsidRPr="000F57AA" w:rsidRDefault="00DD623F" w:rsidP="007F5903">
      <w:pPr>
        <w:jc w:val="center"/>
        <w:rPr>
          <w:rFonts w:ascii="Times New Roman" w:hAnsi="Times New Roman" w:cs="Times New Roman"/>
          <w:b/>
          <w:bCs/>
          <w:sz w:val="24"/>
          <w:szCs w:val="24"/>
          <w:lang w:val="en-US"/>
        </w:rPr>
      </w:pPr>
    </w:p>
    <w:p w14:paraId="72EED8DB" w14:textId="65F07BEA" w:rsidR="007F5903" w:rsidRPr="000F57AA" w:rsidRDefault="007F5903" w:rsidP="007F5903">
      <w:pPr>
        <w:jc w:val="center"/>
        <w:rPr>
          <w:rFonts w:ascii="Times New Roman" w:hAnsi="Times New Roman" w:cs="Times New Roman"/>
          <w:sz w:val="24"/>
          <w:szCs w:val="24"/>
          <w:vertAlign w:val="superscript"/>
        </w:rPr>
      </w:pPr>
      <w:r w:rsidRPr="000F57AA">
        <w:rPr>
          <w:rFonts w:ascii="Times New Roman" w:hAnsi="Times New Roman" w:cs="Times New Roman"/>
          <w:sz w:val="24"/>
          <w:szCs w:val="24"/>
        </w:rPr>
        <w:t>Swetketu Patnaik</w:t>
      </w:r>
      <w:r w:rsidRPr="000F57AA">
        <w:rPr>
          <w:rFonts w:ascii="Times New Roman" w:hAnsi="Times New Roman" w:cs="Times New Roman"/>
          <w:sz w:val="24"/>
          <w:szCs w:val="24"/>
          <w:vertAlign w:val="superscript"/>
        </w:rPr>
        <w:t>a</w:t>
      </w:r>
      <w:r w:rsidRPr="000F57AA">
        <w:rPr>
          <w:rFonts w:ascii="Times New Roman" w:hAnsi="Times New Roman" w:cs="Times New Roman"/>
          <w:sz w:val="24"/>
          <w:szCs w:val="24"/>
        </w:rPr>
        <w:t>, Yama Temouri</w:t>
      </w:r>
      <w:r w:rsidRPr="000F57AA">
        <w:rPr>
          <w:rFonts w:ascii="Times New Roman" w:hAnsi="Times New Roman" w:cs="Times New Roman"/>
          <w:sz w:val="24"/>
          <w:szCs w:val="24"/>
          <w:vertAlign w:val="superscript"/>
        </w:rPr>
        <w:t>b</w:t>
      </w:r>
      <w:r w:rsidR="000F57AA">
        <w:rPr>
          <w:rFonts w:ascii="Times New Roman" w:hAnsi="Times New Roman" w:cs="Times New Roman"/>
          <w:sz w:val="24"/>
          <w:szCs w:val="24"/>
          <w:vertAlign w:val="superscript"/>
        </w:rPr>
        <w:t>c</w:t>
      </w:r>
      <w:r w:rsidRPr="000F57AA">
        <w:rPr>
          <w:rFonts w:ascii="Times New Roman" w:hAnsi="Times New Roman" w:cs="Times New Roman"/>
          <w:sz w:val="24"/>
          <w:szCs w:val="24"/>
        </w:rPr>
        <w:t>, James Tuffour</w:t>
      </w:r>
      <w:r w:rsidRPr="000F57AA">
        <w:rPr>
          <w:rFonts w:ascii="Times New Roman" w:hAnsi="Times New Roman" w:cs="Times New Roman"/>
          <w:sz w:val="24"/>
          <w:szCs w:val="24"/>
          <w:vertAlign w:val="superscript"/>
        </w:rPr>
        <w:t>a</w:t>
      </w:r>
      <w:r w:rsidRPr="000F57AA">
        <w:rPr>
          <w:rFonts w:ascii="Times New Roman" w:hAnsi="Times New Roman" w:cs="Times New Roman"/>
          <w:sz w:val="24"/>
          <w:szCs w:val="24"/>
        </w:rPr>
        <w:t xml:space="preserve"> and Shlomo Tarba</w:t>
      </w:r>
      <w:r w:rsidR="000F57AA">
        <w:rPr>
          <w:rFonts w:ascii="Times New Roman" w:hAnsi="Times New Roman" w:cs="Times New Roman"/>
          <w:sz w:val="24"/>
          <w:szCs w:val="24"/>
          <w:vertAlign w:val="superscript"/>
        </w:rPr>
        <w:t>d</w:t>
      </w:r>
      <w:r w:rsidR="000F57AA">
        <w:rPr>
          <w:rFonts w:ascii="Times New Roman" w:hAnsi="Times New Roman" w:cs="Times New Roman"/>
          <w:sz w:val="24"/>
          <w:szCs w:val="24"/>
        </w:rPr>
        <w:t xml:space="preserve">, Sanjay </w:t>
      </w:r>
      <w:r w:rsidR="0034287B">
        <w:rPr>
          <w:rFonts w:ascii="Times New Roman" w:hAnsi="Times New Roman" w:cs="Times New Roman"/>
          <w:sz w:val="24"/>
          <w:szCs w:val="24"/>
        </w:rPr>
        <w:t xml:space="preserve">Kumar </w:t>
      </w:r>
      <w:r w:rsidR="000F57AA">
        <w:rPr>
          <w:rFonts w:ascii="Times New Roman" w:hAnsi="Times New Roman" w:cs="Times New Roman"/>
          <w:sz w:val="24"/>
          <w:szCs w:val="24"/>
        </w:rPr>
        <w:t>Singh</w:t>
      </w:r>
      <w:r w:rsidR="000F57AA">
        <w:rPr>
          <w:rFonts w:ascii="Times New Roman" w:hAnsi="Times New Roman" w:cs="Times New Roman"/>
          <w:sz w:val="24"/>
          <w:szCs w:val="24"/>
          <w:vertAlign w:val="superscript"/>
        </w:rPr>
        <w:t>e</w:t>
      </w:r>
    </w:p>
    <w:p w14:paraId="50023AA0" w14:textId="77777777" w:rsidR="007F5903" w:rsidRPr="00A376DE" w:rsidRDefault="007F5903" w:rsidP="007F5903">
      <w:pPr>
        <w:jc w:val="center"/>
        <w:rPr>
          <w:rFonts w:ascii="Times New Roman" w:hAnsi="Times New Roman" w:cs="Times New Roman"/>
          <w:sz w:val="20"/>
          <w:szCs w:val="20"/>
        </w:rPr>
      </w:pPr>
      <w:r w:rsidRPr="00A376DE">
        <w:rPr>
          <w:rFonts w:ascii="Times New Roman" w:hAnsi="Times New Roman" w:cs="Times New Roman"/>
          <w:sz w:val="20"/>
          <w:szCs w:val="20"/>
          <w:vertAlign w:val="superscript"/>
        </w:rPr>
        <w:t xml:space="preserve">a </w:t>
      </w:r>
      <w:r w:rsidRPr="00A376DE">
        <w:rPr>
          <w:rFonts w:ascii="Times New Roman" w:hAnsi="Times New Roman" w:cs="Times New Roman"/>
          <w:sz w:val="20"/>
          <w:szCs w:val="20"/>
        </w:rPr>
        <w:t xml:space="preserve">Lord Ashcroft International Business School, Anglia Ruskin University CB1 1PT, United Kingdom </w:t>
      </w:r>
    </w:p>
    <w:p w14:paraId="008FE9B7" w14:textId="1249B162" w:rsidR="007F5903" w:rsidRPr="00A376DE" w:rsidRDefault="007F5903" w:rsidP="007F5903">
      <w:pPr>
        <w:jc w:val="center"/>
        <w:rPr>
          <w:rFonts w:ascii="Times New Roman" w:hAnsi="Times New Roman" w:cs="Times New Roman"/>
          <w:sz w:val="20"/>
          <w:szCs w:val="20"/>
        </w:rPr>
      </w:pPr>
      <w:r w:rsidRPr="00A376DE">
        <w:rPr>
          <w:rFonts w:ascii="Times New Roman" w:hAnsi="Times New Roman" w:cs="Times New Roman"/>
          <w:sz w:val="20"/>
          <w:szCs w:val="20"/>
          <w:vertAlign w:val="superscript"/>
        </w:rPr>
        <w:t xml:space="preserve">b </w:t>
      </w:r>
      <w:r w:rsidRPr="00A376DE">
        <w:rPr>
          <w:rFonts w:ascii="Times New Roman" w:hAnsi="Times New Roman" w:cs="Times New Roman"/>
          <w:sz w:val="20"/>
          <w:szCs w:val="20"/>
        </w:rPr>
        <w:t>Aston Business School, Aston University, Birmingham B4 7ET, United Kingdom</w:t>
      </w:r>
    </w:p>
    <w:p w14:paraId="3026C32F" w14:textId="260364ED" w:rsidR="000F57AA" w:rsidRPr="00A376DE" w:rsidRDefault="000F57AA" w:rsidP="007F5903">
      <w:pPr>
        <w:jc w:val="center"/>
        <w:rPr>
          <w:rFonts w:ascii="Times New Roman" w:hAnsi="Times New Roman" w:cs="Times New Roman"/>
          <w:sz w:val="20"/>
          <w:szCs w:val="20"/>
        </w:rPr>
      </w:pPr>
      <w:r w:rsidRPr="00A376DE">
        <w:rPr>
          <w:rFonts w:ascii="Times New Roman" w:hAnsi="Times New Roman" w:cs="Times New Roman"/>
          <w:sz w:val="20"/>
          <w:szCs w:val="20"/>
          <w:vertAlign w:val="superscript"/>
        </w:rPr>
        <w:t>c</w:t>
      </w:r>
      <w:r w:rsidRPr="00A376DE">
        <w:rPr>
          <w:rFonts w:ascii="Times New Roman" w:hAnsi="Times New Roman" w:cs="Times New Roman"/>
          <w:sz w:val="20"/>
          <w:szCs w:val="20"/>
        </w:rPr>
        <w:t xml:space="preserve"> University of Wollongong in Dubai, Faculty of Business, United Arab Emirates.</w:t>
      </w:r>
    </w:p>
    <w:p w14:paraId="2C05BFF0" w14:textId="4C2F22B3" w:rsidR="007F5903" w:rsidRPr="00A376DE" w:rsidRDefault="000F57AA" w:rsidP="000F57AA">
      <w:pPr>
        <w:jc w:val="center"/>
        <w:rPr>
          <w:rFonts w:ascii="Times New Roman" w:hAnsi="Times New Roman" w:cs="Times New Roman"/>
          <w:sz w:val="20"/>
          <w:szCs w:val="20"/>
        </w:rPr>
      </w:pPr>
      <w:r w:rsidRPr="00A376DE">
        <w:rPr>
          <w:rFonts w:ascii="Times New Roman" w:hAnsi="Times New Roman" w:cs="Times New Roman"/>
          <w:sz w:val="20"/>
          <w:szCs w:val="20"/>
          <w:vertAlign w:val="superscript"/>
        </w:rPr>
        <w:t>d</w:t>
      </w:r>
      <w:r w:rsidR="007F5903" w:rsidRPr="00A376DE">
        <w:rPr>
          <w:rFonts w:ascii="Times New Roman" w:hAnsi="Times New Roman" w:cs="Times New Roman"/>
          <w:sz w:val="20"/>
          <w:szCs w:val="20"/>
        </w:rPr>
        <w:t xml:space="preserve"> Birmingham Business School, Birmingham University, Birmingham B15 2TT, United Kingdom</w:t>
      </w:r>
    </w:p>
    <w:p w14:paraId="3935AE99" w14:textId="7333B528" w:rsidR="000F57AA" w:rsidRPr="00A376DE" w:rsidRDefault="000F57AA" w:rsidP="000F57AA">
      <w:pPr>
        <w:jc w:val="center"/>
        <w:rPr>
          <w:rFonts w:ascii="Times New Roman" w:hAnsi="Times New Roman" w:cs="Times New Roman"/>
          <w:sz w:val="20"/>
          <w:szCs w:val="20"/>
        </w:rPr>
      </w:pPr>
      <w:r w:rsidRPr="00A376DE">
        <w:rPr>
          <w:rFonts w:ascii="Times New Roman" w:hAnsi="Times New Roman" w:cs="Times New Roman"/>
          <w:sz w:val="20"/>
          <w:szCs w:val="20"/>
          <w:vertAlign w:val="superscript"/>
        </w:rPr>
        <w:t>e</w:t>
      </w:r>
      <w:r w:rsidRPr="00A376DE">
        <w:rPr>
          <w:rFonts w:ascii="Times New Roman" w:hAnsi="Times New Roman" w:cs="Times New Roman"/>
          <w:sz w:val="20"/>
          <w:szCs w:val="20"/>
        </w:rPr>
        <w:t xml:space="preserve"> Abu Dhabi University, College of Business Administration, United Arab Emirates</w:t>
      </w:r>
    </w:p>
    <w:p w14:paraId="08226711" w14:textId="01B38F43" w:rsidR="007F5903" w:rsidRDefault="007F5903" w:rsidP="0034287B">
      <w:pPr>
        <w:pStyle w:val="NoteLevel11"/>
        <w:numPr>
          <w:ilvl w:val="0"/>
          <w:numId w:val="0"/>
        </w:numPr>
        <w:spacing w:line="480" w:lineRule="auto"/>
        <w:rPr>
          <w:rFonts w:ascii="Times New Roman" w:hAnsi="Times New Roman"/>
          <w:sz w:val="24"/>
          <w:szCs w:val="24"/>
          <w:lang w:val="en-US"/>
        </w:rPr>
      </w:pPr>
      <w:r w:rsidRPr="000F57AA">
        <w:rPr>
          <w:rFonts w:ascii="Times New Roman" w:hAnsi="Times New Roman"/>
          <w:sz w:val="24"/>
          <w:szCs w:val="24"/>
          <w:lang w:val="en-US"/>
        </w:rPr>
        <w:t>Abstract</w:t>
      </w:r>
    </w:p>
    <w:p w14:paraId="2AD8BAFD" w14:textId="5A529277" w:rsidR="007F5903" w:rsidRPr="000F57AA" w:rsidRDefault="007F5903" w:rsidP="00DD623F">
      <w:pPr>
        <w:pStyle w:val="NoteLevel11"/>
        <w:numPr>
          <w:ilvl w:val="0"/>
          <w:numId w:val="0"/>
        </w:numPr>
        <w:spacing w:line="240" w:lineRule="auto"/>
        <w:jc w:val="both"/>
        <w:rPr>
          <w:rFonts w:ascii="Times New Roman" w:hAnsi="Times New Roman"/>
          <w:sz w:val="24"/>
          <w:szCs w:val="24"/>
          <w:lang w:val="en-US"/>
        </w:rPr>
      </w:pPr>
      <w:r w:rsidRPr="000F57AA">
        <w:rPr>
          <w:rFonts w:ascii="Times New Roman" w:hAnsi="Times New Roman"/>
          <w:sz w:val="24"/>
          <w:szCs w:val="24"/>
          <w:lang w:val="en-US"/>
        </w:rPr>
        <w:t>This paper investigates how one of the world’s largest gold mining multinational enterprises (MNE) of United States origin operates its subsidiaries in various parts of the world</w:t>
      </w:r>
      <w:r w:rsidR="006F50EE">
        <w:rPr>
          <w:rFonts w:ascii="Times New Roman" w:hAnsi="Times New Roman"/>
          <w:sz w:val="24"/>
          <w:szCs w:val="24"/>
          <w:lang w:val="en-US"/>
        </w:rPr>
        <w:t xml:space="preserve"> by creating a unique </w:t>
      </w:r>
      <w:r w:rsidR="00B5404A">
        <w:rPr>
          <w:rFonts w:ascii="Times New Roman" w:hAnsi="Times New Roman"/>
          <w:sz w:val="24"/>
          <w:szCs w:val="24"/>
          <w:lang w:val="en-US"/>
        </w:rPr>
        <w:t>“</w:t>
      </w:r>
      <w:r w:rsidR="006F50EE">
        <w:rPr>
          <w:rFonts w:ascii="Times New Roman" w:hAnsi="Times New Roman"/>
          <w:sz w:val="24"/>
          <w:szCs w:val="24"/>
          <w:lang w:val="en-US"/>
        </w:rPr>
        <w:t>glocal identity</w:t>
      </w:r>
      <w:r w:rsidR="00B5404A">
        <w:rPr>
          <w:rFonts w:ascii="Times New Roman" w:hAnsi="Times New Roman"/>
          <w:sz w:val="24"/>
          <w:szCs w:val="24"/>
          <w:lang w:val="en-US"/>
        </w:rPr>
        <w:t>”</w:t>
      </w:r>
      <w:r w:rsidRPr="000F57AA">
        <w:rPr>
          <w:rFonts w:ascii="Times New Roman" w:hAnsi="Times New Roman"/>
          <w:sz w:val="24"/>
          <w:szCs w:val="24"/>
          <w:lang w:val="en-US"/>
        </w:rPr>
        <w:t xml:space="preserve">. The US parent firm has experienced several significant challenges across its network of subsidiaries. These challenges were mostly due to enforcing the MNE’s identity and culture in its host environment. </w:t>
      </w:r>
      <w:r w:rsidR="003D393D">
        <w:rPr>
          <w:rFonts w:ascii="Times New Roman" w:hAnsi="Times New Roman"/>
          <w:sz w:val="24"/>
          <w:szCs w:val="24"/>
          <w:lang w:val="en-US"/>
        </w:rPr>
        <w:t>We contribute by</w:t>
      </w:r>
      <w:r w:rsidRPr="000F57AA">
        <w:rPr>
          <w:rFonts w:ascii="Times New Roman" w:hAnsi="Times New Roman"/>
          <w:sz w:val="24"/>
          <w:szCs w:val="24"/>
          <w:lang w:val="en-US"/>
        </w:rPr>
        <w:t xml:space="preserve"> describ</w:t>
      </w:r>
      <w:r w:rsidR="003D393D">
        <w:rPr>
          <w:rFonts w:ascii="Times New Roman" w:hAnsi="Times New Roman"/>
          <w:sz w:val="24"/>
          <w:szCs w:val="24"/>
          <w:lang w:val="en-US"/>
        </w:rPr>
        <w:t>ing in detail</w:t>
      </w:r>
      <w:r w:rsidRPr="000F57AA">
        <w:rPr>
          <w:rFonts w:ascii="Times New Roman" w:hAnsi="Times New Roman"/>
          <w:sz w:val="24"/>
          <w:szCs w:val="24"/>
          <w:lang w:val="en-US"/>
        </w:rPr>
        <w:t xml:space="preserve"> the attempts by this company to localize their Corporate Social Responsibility practices in Ghana as it seeks to gain legitimacy </w:t>
      </w:r>
      <w:r w:rsidR="000C7B9A">
        <w:rPr>
          <w:rFonts w:ascii="Times New Roman" w:hAnsi="Times New Roman"/>
          <w:sz w:val="24"/>
          <w:szCs w:val="24"/>
          <w:lang w:val="en-US"/>
        </w:rPr>
        <w:t xml:space="preserve">and create an identity that </w:t>
      </w:r>
      <w:r w:rsidRPr="000F57AA">
        <w:rPr>
          <w:rFonts w:ascii="Times New Roman" w:hAnsi="Times New Roman"/>
          <w:sz w:val="24"/>
          <w:szCs w:val="24"/>
          <w:lang w:val="en-US"/>
        </w:rPr>
        <w:t>overcome</w:t>
      </w:r>
      <w:r w:rsidR="000C7B9A">
        <w:rPr>
          <w:rFonts w:ascii="Times New Roman" w:hAnsi="Times New Roman"/>
          <w:sz w:val="24"/>
          <w:szCs w:val="24"/>
          <w:lang w:val="en-US"/>
        </w:rPr>
        <w:t>s</w:t>
      </w:r>
      <w:r w:rsidRPr="000F57AA">
        <w:rPr>
          <w:rFonts w:ascii="Times New Roman" w:hAnsi="Times New Roman"/>
          <w:sz w:val="24"/>
          <w:szCs w:val="24"/>
          <w:lang w:val="en-US"/>
        </w:rPr>
        <w:t xml:space="preserve"> the issues relating to liability of foreignness. </w:t>
      </w:r>
      <w:r w:rsidR="006F50EE">
        <w:rPr>
          <w:rFonts w:ascii="Times New Roman" w:hAnsi="Times New Roman"/>
          <w:sz w:val="24"/>
          <w:szCs w:val="24"/>
          <w:lang w:val="en-US"/>
        </w:rPr>
        <w:t>Our data comes from</w:t>
      </w:r>
      <w:r w:rsidR="002E0AA8">
        <w:rPr>
          <w:rFonts w:ascii="Times New Roman" w:hAnsi="Times New Roman"/>
          <w:sz w:val="24"/>
          <w:szCs w:val="24"/>
          <w:lang w:val="en-US"/>
        </w:rPr>
        <w:t xml:space="preserve"> </w:t>
      </w:r>
      <w:r w:rsidR="003D393D">
        <w:rPr>
          <w:rFonts w:ascii="Times New Roman" w:hAnsi="Times New Roman"/>
          <w:sz w:val="24"/>
          <w:szCs w:val="24"/>
          <w:lang w:val="en-US"/>
        </w:rPr>
        <w:t>a combination of data sources including</w:t>
      </w:r>
      <w:r w:rsidR="002E0AA8">
        <w:rPr>
          <w:rFonts w:ascii="Times New Roman" w:hAnsi="Times New Roman"/>
          <w:sz w:val="24"/>
          <w:szCs w:val="24"/>
          <w:lang w:val="en-US"/>
        </w:rPr>
        <w:t xml:space="preserve"> questionnaires</w:t>
      </w:r>
      <w:r w:rsidR="003D393D">
        <w:rPr>
          <w:rFonts w:ascii="Times New Roman" w:hAnsi="Times New Roman"/>
          <w:sz w:val="24"/>
          <w:szCs w:val="24"/>
          <w:lang w:val="en-US"/>
        </w:rPr>
        <w:t xml:space="preserve">, </w:t>
      </w:r>
      <w:r w:rsidR="002E0AA8">
        <w:rPr>
          <w:rFonts w:ascii="Times New Roman" w:hAnsi="Times New Roman"/>
          <w:sz w:val="24"/>
          <w:szCs w:val="24"/>
          <w:lang w:val="en-US"/>
        </w:rPr>
        <w:t xml:space="preserve">detailed semi-structured interviews with the key </w:t>
      </w:r>
      <w:r w:rsidR="002E0AA8" w:rsidRPr="000F57AA">
        <w:rPr>
          <w:rFonts w:ascii="Times New Roman" w:hAnsi="Times New Roman"/>
          <w:sz w:val="24"/>
          <w:szCs w:val="24"/>
        </w:rPr>
        <w:t xml:space="preserve">management employees of </w:t>
      </w:r>
      <w:r w:rsidR="002E0AA8">
        <w:rPr>
          <w:rFonts w:ascii="Times New Roman" w:hAnsi="Times New Roman"/>
          <w:sz w:val="24"/>
          <w:szCs w:val="24"/>
        </w:rPr>
        <w:t>the mining company</w:t>
      </w:r>
      <w:r w:rsidR="002E0AA8" w:rsidRPr="000F57AA">
        <w:rPr>
          <w:rFonts w:ascii="Times New Roman" w:hAnsi="Times New Roman"/>
          <w:sz w:val="24"/>
          <w:szCs w:val="24"/>
        </w:rPr>
        <w:t>, members of the loca</w:t>
      </w:r>
      <w:r w:rsidR="002E0AA8">
        <w:rPr>
          <w:rFonts w:ascii="Times New Roman" w:hAnsi="Times New Roman"/>
          <w:sz w:val="24"/>
          <w:szCs w:val="24"/>
        </w:rPr>
        <w:t>l community</w:t>
      </w:r>
      <w:r w:rsidR="002E0AA8" w:rsidRPr="000F57AA">
        <w:rPr>
          <w:rFonts w:ascii="Times New Roman" w:hAnsi="Times New Roman"/>
          <w:sz w:val="24"/>
          <w:szCs w:val="24"/>
        </w:rPr>
        <w:t xml:space="preserve"> and opinion leaders of the company’s host communities</w:t>
      </w:r>
      <w:r w:rsidR="003D393D">
        <w:rPr>
          <w:rFonts w:ascii="Times New Roman" w:hAnsi="Times New Roman"/>
          <w:sz w:val="24"/>
          <w:szCs w:val="24"/>
        </w:rPr>
        <w:t xml:space="preserve"> and secondary sources</w:t>
      </w:r>
      <w:r w:rsidR="00B5404A">
        <w:rPr>
          <w:rFonts w:ascii="Times New Roman" w:hAnsi="Times New Roman"/>
          <w:sz w:val="24"/>
          <w:szCs w:val="24"/>
        </w:rPr>
        <w:t>. Our main finding is that</w:t>
      </w:r>
      <w:r w:rsidR="002E0AA8">
        <w:rPr>
          <w:rFonts w:ascii="Times New Roman" w:hAnsi="Times New Roman"/>
          <w:sz w:val="24"/>
          <w:szCs w:val="24"/>
          <w:lang w:val="en-US"/>
        </w:rPr>
        <w:t xml:space="preserve"> </w:t>
      </w:r>
      <w:r w:rsidR="00B5404A">
        <w:rPr>
          <w:rFonts w:ascii="Times New Roman" w:hAnsi="Times New Roman"/>
          <w:sz w:val="24"/>
          <w:szCs w:val="24"/>
          <w:lang w:val="en-US"/>
        </w:rPr>
        <w:t>t</w:t>
      </w:r>
      <w:r w:rsidRPr="000F57AA">
        <w:rPr>
          <w:rFonts w:ascii="Times New Roman" w:hAnsi="Times New Roman"/>
          <w:sz w:val="24"/>
          <w:szCs w:val="24"/>
          <w:lang w:val="en-US"/>
        </w:rPr>
        <w:t>he construction of a ‘host friendly’ identity is centered around</w:t>
      </w:r>
      <w:r w:rsidR="00A10BA1" w:rsidRPr="000F57AA">
        <w:rPr>
          <w:rFonts w:ascii="Times New Roman" w:hAnsi="Times New Roman"/>
          <w:sz w:val="24"/>
          <w:szCs w:val="24"/>
          <w:lang w:val="en-US"/>
        </w:rPr>
        <w:t xml:space="preserve"> the mining company’s</w:t>
      </w:r>
      <w:r w:rsidRPr="000F57AA">
        <w:rPr>
          <w:rFonts w:ascii="Times New Roman" w:hAnsi="Times New Roman"/>
          <w:sz w:val="24"/>
          <w:szCs w:val="24"/>
          <w:lang w:val="en-US"/>
        </w:rPr>
        <w:t xml:space="preserve"> collaboration with the Newmont Ahafo Development Foundation. </w:t>
      </w:r>
    </w:p>
    <w:p w14:paraId="578A3E25" w14:textId="1D95355D" w:rsidR="007F5903" w:rsidRPr="000F57AA" w:rsidRDefault="007F5903" w:rsidP="007F5903">
      <w:pPr>
        <w:spacing w:line="480" w:lineRule="auto"/>
        <w:rPr>
          <w:rFonts w:ascii="Times New Roman" w:hAnsi="Times New Roman" w:cs="Times New Roman"/>
          <w:b/>
          <w:sz w:val="24"/>
          <w:szCs w:val="24"/>
        </w:rPr>
      </w:pPr>
      <w:r w:rsidRPr="000F57AA">
        <w:rPr>
          <w:rFonts w:ascii="Times New Roman" w:hAnsi="Times New Roman" w:cs="Times New Roman"/>
          <w:b/>
          <w:sz w:val="24"/>
          <w:szCs w:val="24"/>
          <w:lang w:val="en-US"/>
        </w:rPr>
        <w:br w:type="page"/>
      </w:r>
      <w:r w:rsidR="00A76B41" w:rsidRPr="000F57AA">
        <w:rPr>
          <w:rFonts w:ascii="Times New Roman" w:hAnsi="Times New Roman" w:cs="Times New Roman"/>
          <w:b/>
          <w:sz w:val="24"/>
          <w:szCs w:val="24"/>
          <w:lang w:val="en-US"/>
        </w:rPr>
        <w:lastRenderedPageBreak/>
        <w:t>1.</w:t>
      </w:r>
      <w:r w:rsidR="00A76B41" w:rsidRPr="000F57AA">
        <w:rPr>
          <w:rFonts w:ascii="Times New Roman" w:hAnsi="Times New Roman" w:cs="Times New Roman"/>
          <w:b/>
          <w:sz w:val="24"/>
          <w:szCs w:val="24"/>
        </w:rPr>
        <w:t xml:space="preserve"> Introduction</w:t>
      </w:r>
    </w:p>
    <w:p w14:paraId="32DBDAA6" w14:textId="5B66DDFE" w:rsidR="006C3C69" w:rsidRPr="000F57AA" w:rsidRDefault="006A5A23" w:rsidP="00645EAD">
      <w:pPr>
        <w:spacing w:line="480" w:lineRule="auto"/>
        <w:jc w:val="both"/>
        <w:rPr>
          <w:rFonts w:ascii="Times New Roman" w:eastAsia="Calibri" w:hAnsi="Times New Roman" w:cs="Times New Roman"/>
          <w:sz w:val="24"/>
          <w:szCs w:val="24"/>
          <w:lang w:val="en-US" w:bidi="he-IL"/>
        </w:rPr>
      </w:pPr>
      <w:r w:rsidRPr="00645EAD">
        <w:rPr>
          <w:rFonts w:ascii="Times New Roman" w:eastAsia="Calibri" w:hAnsi="Times New Roman" w:cs="Times New Roman"/>
          <w:sz w:val="24"/>
          <w:szCs w:val="24"/>
          <w:shd w:val="clear" w:color="auto" w:fill="FFFFFF"/>
          <w:lang w:val="en-US" w:bidi="he-IL"/>
        </w:rPr>
        <w:t>T</w:t>
      </w:r>
      <w:r w:rsidR="003F45F9" w:rsidRPr="00645EAD">
        <w:rPr>
          <w:rFonts w:ascii="Times New Roman" w:eastAsia="Calibri" w:hAnsi="Times New Roman" w:cs="Times New Roman"/>
          <w:sz w:val="24"/>
          <w:szCs w:val="24"/>
          <w:shd w:val="clear" w:color="auto" w:fill="FFFFFF"/>
          <w:lang w:val="en-US" w:bidi="he-IL"/>
        </w:rPr>
        <w:t xml:space="preserve">he </w:t>
      </w:r>
      <w:r w:rsidRPr="00645EAD">
        <w:rPr>
          <w:rFonts w:ascii="Times New Roman" w:eastAsia="Calibri" w:hAnsi="Times New Roman" w:cs="Times New Roman"/>
          <w:sz w:val="24"/>
          <w:szCs w:val="24"/>
          <w:shd w:val="clear" w:color="auto" w:fill="FFFFFF"/>
          <w:lang w:val="en-US" w:bidi="he-IL"/>
        </w:rPr>
        <w:t>existing</w:t>
      </w:r>
      <w:r w:rsidR="003F45F9" w:rsidRPr="00645EAD">
        <w:rPr>
          <w:rFonts w:ascii="Times New Roman" w:eastAsia="Calibri" w:hAnsi="Times New Roman" w:cs="Times New Roman"/>
          <w:sz w:val="24"/>
          <w:szCs w:val="24"/>
          <w:shd w:val="clear" w:color="auto" w:fill="FFFFFF"/>
          <w:lang w:val="en-US" w:bidi="he-IL"/>
        </w:rPr>
        <w:t xml:space="preserve"> theory and research in international business </w:t>
      </w:r>
      <w:r w:rsidR="005C40D4">
        <w:rPr>
          <w:rFonts w:ascii="Times New Roman" w:eastAsia="Calibri" w:hAnsi="Times New Roman" w:cs="Times New Roman"/>
          <w:sz w:val="24"/>
          <w:szCs w:val="24"/>
          <w:shd w:val="clear" w:color="auto" w:fill="FFFFFF"/>
          <w:lang w:val="en-US" w:bidi="he-IL"/>
        </w:rPr>
        <w:t xml:space="preserve">(IB) </w:t>
      </w:r>
      <w:r w:rsidRPr="00645EAD">
        <w:rPr>
          <w:rFonts w:ascii="Times New Roman" w:eastAsia="Calibri" w:hAnsi="Times New Roman" w:cs="Times New Roman"/>
          <w:sz w:val="24"/>
          <w:szCs w:val="24"/>
          <w:shd w:val="clear" w:color="auto" w:fill="FFFFFF"/>
          <w:lang w:val="en-US" w:bidi="he-IL"/>
        </w:rPr>
        <w:t>portrays</w:t>
      </w:r>
      <w:r w:rsidR="003F45F9" w:rsidRPr="00645EAD">
        <w:rPr>
          <w:rFonts w:ascii="Times New Roman" w:eastAsia="Calibri" w:hAnsi="Times New Roman" w:cs="Times New Roman"/>
          <w:sz w:val="24"/>
          <w:szCs w:val="24"/>
          <w:shd w:val="clear" w:color="auto" w:fill="FFFFFF"/>
          <w:lang w:val="en-US" w:bidi="he-IL"/>
        </w:rPr>
        <w:t xml:space="preserve"> a negative view on foreignness, distance, and differences </w:t>
      </w:r>
      <w:r w:rsidRPr="00645EAD">
        <w:rPr>
          <w:rFonts w:ascii="Times New Roman" w:eastAsia="Calibri" w:hAnsi="Times New Roman" w:cs="Times New Roman"/>
          <w:sz w:val="24"/>
          <w:szCs w:val="24"/>
          <w:shd w:val="clear" w:color="auto" w:fill="FFFFFF"/>
          <w:lang w:val="en-US" w:bidi="he-IL"/>
        </w:rPr>
        <w:t xml:space="preserve">in for e.g. </w:t>
      </w:r>
      <w:r w:rsidR="003F45F9" w:rsidRPr="00645EAD">
        <w:rPr>
          <w:rFonts w:ascii="Times New Roman" w:eastAsia="Calibri" w:hAnsi="Times New Roman" w:cs="Times New Roman"/>
          <w:sz w:val="24"/>
          <w:szCs w:val="24"/>
          <w:shd w:val="clear" w:color="auto" w:fill="FFFFFF"/>
          <w:lang w:val="en-US" w:bidi="he-IL"/>
        </w:rPr>
        <w:t>national, cultural, or</w:t>
      </w:r>
      <w:r w:rsidRPr="00645EAD">
        <w:rPr>
          <w:rFonts w:ascii="Times New Roman" w:eastAsia="Calibri" w:hAnsi="Times New Roman" w:cs="Times New Roman"/>
          <w:sz w:val="24"/>
          <w:szCs w:val="24"/>
          <w:shd w:val="clear" w:color="auto" w:fill="FFFFFF"/>
          <w:lang w:val="en-US" w:bidi="he-IL"/>
        </w:rPr>
        <w:t>ganizational, and institutional</w:t>
      </w:r>
      <w:r w:rsidR="003F45F9" w:rsidRPr="00645EAD">
        <w:rPr>
          <w:rFonts w:ascii="Times New Roman" w:eastAsia="Calibri" w:hAnsi="Times New Roman" w:cs="Times New Roman"/>
          <w:sz w:val="24"/>
          <w:szCs w:val="24"/>
          <w:shd w:val="clear" w:color="auto" w:fill="FFFFFF"/>
          <w:lang w:val="en-US" w:bidi="he-IL"/>
        </w:rPr>
        <w:t xml:space="preserve">, with an emphasis on liabilities and adverse outcomes </w:t>
      </w:r>
      <w:r w:rsidRPr="00645EAD">
        <w:rPr>
          <w:rFonts w:ascii="Times New Roman" w:eastAsia="Calibri" w:hAnsi="Times New Roman" w:cs="Times New Roman"/>
          <w:sz w:val="24"/>
          <w:szCs w:val="24"/>
          <w:shd w:val="clear" w:color="auto" w:fill="FFFFFF"/>
          <w:lang w:val="en-US" w:bidi="he-IL"/>
        </w:rPr>
        <w:t xml:space="preserve">thereof </w:t>
      </w:r>
      <w:r w:rsidRPr="00645EAD">
        <w:rPr>
          <w:rFonts w:ascii="Times New Roman" w:hAnsi="Times New Roman" w:cs="Times New Roman"/>
        </w:rPr>
        <w:t>(</w:t>
      </w:r>
      <w:r w:rsidRPr="00645EAD">
        <w:rPr>
          <w:rFonts w:ascii="Times New Roman" w:eastAsia="Calibri" w:hAnsi="Times New Roman" w:cs="Times New Roman"/>
          <w:sz w:val="24"/>
          <w:szCs w:val="24"/>
          <w:shd w:val="clear" w:color="auto" w:fill="FFFFFF"/>
          <w:lang w:val="en-US" w:bidi="he-IL"/>
        </w:rPr>
        <w:t>Stahl, Tung, Kostova &amp; Zellmer-Bruhn, 2016)</w:t>
      </w:r>
      <w:r w:rsidR="003F45F9" w:rsidRPr="00645EAD">
        <w:rPr>
          <w:rFonts w:ascii="Times New Roman" w:eastAsia="Calibri" w:hAnsi="Times New Roman" w:cs="Times New Roman"/>
          <w:sz w:val="24"/>
          <w:szCs w:val="24"/>
          <w:shd w:val="clear" w:color="auto" w:fill="FFFFFF"/>
          <w:lang w:val="en-US" w:bidi="he-IL"/>
        </w:rPr>
        <w:t xml:space="preserve">. Furthermore, while </w:t>
      </w:r>
      <w:r w:rsidRPr="00645EAD">
        <w:rPr>
          <w:rFonts w:ascii="Times New Roman" w:eastAsia="Calibri" w:hAnsi="Times New Roman" w:cs="Times New Roman"/>
          <w:sz w:val="24"/>
          <w:szCs w:val="24"/>
          <w:shd w:val="clear" w:color="auto" w:fill="FFFFFF"/>
          <w:lang w:val="en-US" w:bidi="he-IL"/>
        </w:rPr>
        <w:t xml:space="preserve">the </w:t>
      </w:r>
      <w:r w:rsidR="003F45F9" w:rsidRPr="00645EAD">
        <w:rPr>
          <w:rFonts w:ascii="Times New Roman" w:eastAsia="Calibri" w:hAnsi="Times New Roman" w:cs="Times New Roman"/>
          <w:sz w:val="24"/>
          <w:szCs w:val="24"/>
          <w:shd w:val="clear" w:color="auto" w:fill="FFFFFF"/>
          <w:lang w:val="en-US" w:bidi="he-IL"/>
        </w:rPr>
        <w:t xml:space="preserve">extant research is certainly valuable, focusing on primarily negative processes and outcomes has hindered the understanding of the dynamics, processes, and conditions that enable organizations to benefit from diversity in a wide range of IB contexts (Stahl, Tung, Kostova &amp; Zellmer-Bruhn, 2016). </w:t>
      </w:r>
      <w:r w:rsidR="00960B44" w:rsidRPr="00645EAD">
        <w:rPr>
          <w:rFonts w:ascii="Times New Roman" w:eastAsia="Calibri" w:hAnsi="Times New Roman" w:cs="Times New Roman"/>
          <w:sz w:val="24"/>
          <w:szCs w:val="24"/>
          <w:shd w:val="clear" w:color="auto" w:fill="FFFFFF"/>
          <w:lang w:val="en-US" w:bidi="he-IL"/>
        </w:rPr>
        <w:t xml:space="preserve">Drawing on institutional theory, </w:t>
      </w:r>
      <w:r w:rsidR="00645EAD">
        <w:rPr>
          <w:rFonts w:ascii="Times New Roman" w:eastAsia="Calibri" w:hAnsi="Times New Roman" w:cs="Times New Roman"/>
          <w:sz w:val="24"/>
          <w:szCs w:val="24"/>
          <w:shd w:val="clear" w:color="auto" w:fill="FFFFFF"/>
          <w:lang w:val="en-US" w:bidi="he-IL"/>
        </w:rPr>
        <w:t>Kostova &amp; Roth</w:t>
      </w:r>
      <w:r w:rsidR="00645EAD" w:rsidRPr="00645EAD">
        <w:rPr>
          <w:rFonts w:ascii="Times New Roman" w:eastAsia="Calibri" w:hAnsi="Times New Roman" w:cs="Times New Roman"/>
          <w:sz w:val="24"/>
          <w:szCs w:val="24"/>
          <w:shd w:val="clear" w:color="auto" w:fill="FFFFFF"/>
          <w:lang w:val="en-US" w:bidi="he-IL"/>
        </w:rPr>
        <w:t xml:space="preserve"> </w:t>
      </w:r>
      <w:r w:rsidR="00645EAD">
        <w:rPr>
          <w:rFonts w:ascii="Times New Roman" w:eastAsia="Calibri" w:hAnsi="Times New Roman" w:cs="Times New Roman"/>
          <w:sz w:val="24"/>
          <w:szCs w:val="24"/>
          <w:shd w:val="clear" w:color="auto" w:fill="FFFFFF"/>
          <w:lang w:val="en-US" w:bidi="he-IL"/>
        </w:rPr>
        <w:t>(</w:t>
      </w:r>
      <w:r w:rsidR="00645EAD" w:rsidRPr="00645EAD">
        <w:rPr>
          <w:rFonts w:ascii="Times New Roman" w:eastAsia="Calibri" w:hAnsi="Times New Roman" w:cs="Times New Roman"/>
          <w:sz w:val="24"/>
          <w:szCs w:val="24"/>
          <w:shd w:val="clear" w:color="auto" w:fill="FFFFFF"/>
          <w:lang w:val="en-US" w:bidi="he-IL"/>
        </w:rPr>
        <w:t>2002)</w:t>
      </w:r>
      <w:r w:rsidR="00645EAD">
        <w:rPr>
          <w:rFonts w:ascii="Times New Roman" w:eastAsia="Calibri" w:hAnsi="Times New Roman" w:cs="Times New Roman"/>
          <w:sz w:val="24"/>
          <w:szCs w:val="24"/>
          <w:shd w:val="clear" w:color="auto" w:fill="FFFFFF"/>
          <w:lang w:val="en-US" w:bidi="he-IL"/>
        </w:rPr>
        <w:t xml:space="preserve"> </w:t>
      </w:r>
      <w:r w:rsidR="00645EAD" w:rsidRPr="00645EAD">
        <w:rPr>
          <w:rFonts w:ascii="Times New Roman" w:eastAsia="Calibri" w:hAnsi="Times New Roman" w:cs="Times New Roman"/>
          <w:sz w:val="24"/>
          <w:szCs w:val="24"/>
          <w:shd w:val="clear" w:color="auto" w:fill="FFFFFF"/>
          <w:lang w:val="en-US" w:bidi="he-IL"/>
        </w:rPr>
        <w:t>stud</w:t>
      </w:r>
      <w:r w:rsidR="00645EAD">
        <w:rPr>
          <w:rFonts w:ascii="Times New Roman" w:eastAsia="Calibri" w:hAnsi="Times New Roman" w:cs="Times New Roman"/>
          <w:sz w:val="24"/>
          <w:szCs w:val="24"/>
          <w:shd w:val="clear" w:color="auto" w:fill="FFFFFF"/>
          <w:lang w:val="en-US" w:bidi="he-IL"/>
        </w:rPr>
        <w:t>y</w:t>
      </w:r>
      <w:r w:rsidR="00645EAD" w:rsidRPr="00645EAD">
        <w:rPr>
          <w:rFonts w:ascii="Times New Roman" w:eastAsia="Calibri" w:hAnsi="Times New Roman" w:cs="Times New Roman"/>
          <w:sz w:val="24"/>
          <w:szCs w:val="24"/>
          <w:shd w:val="clear" w:color="auto" w:fill="FFFFFF"/>
          <w:lang w:val="en-US" w:bidi="he-IL"/>
        </w:rPr>
        <w:t xml:space="preserve"> ha</w:t>
      </w:r>
      <w:r w:rsidR="00645EAD">
        <w:rPr>
          <w:rFonts w:ascii="Times New Roman" w:eastAsia="Calibri" w:hAnsi="Times New Roman" w:cs="Times New Roman"/>
          <w:sz w:val="24"/>
          <w:szCs w:val="24"/>
          <w:shd w:val="clear" w:color="auto" w:fill="FFFFFF"/>
          <w:lang w:val="en-US" w:bidi="he-IL"/>
        </w:rPr>
        <w:t>s</w:t>
      </w:r>
      <w:r w:rsidR="00645EAD" w:rsidRPr="00645EAD">
        <w:rPr>
          <w:rFonts w:ascii="Times New Roman" w:eastAsia="Calibri" w:hAnsi="Times New Roman" w:cs="Times New Roman"/>
          <w:sz w:val="24"/>
          <w:szCs w:val="24"/>
          <w:shd w:val="clear" w:color="auto" w:fill="FFFFFF"/>
          <w:lang w:val="en-US" w:bidi="he-IL"/>
        </w:rPr>
        <w:t xml:space="preserve"> identified</w:t>
      </w:r>
      <w:r w:rsidR="00960B44" w:rsidRPr="00645EAD">
        <w:rPr>
          <w:rFonts w:ascii="Times New Roman" w:eastAsia="Calibri" w:hAnsi="Times New Roman" w:cs="Times New Roman"/>
          <w:sz w:val="24"/>
          <w:szCs w:val="24"/>
          <w:shd w:val="clear" w:color="auto" w:fill="FFFFFF"/>
          <w:lang w:val="en-US" w:bidi="he-IL"/>
        </w:rPr>
        <w:t xml:space="preserve"> two factors influencing the adoption of a practice namely </w:t>
      </w:r>
      <w:r w:rsidR="005C40D4">
        <w:rPr>
          <w:rFonts w:ascii="Times New Roman" w:eastAsia="Calibri" w:hAnsi="Times New Roman" w:cs="Times New Roman"/>
          <w:sz w:val="24"/>
          <w:szCs w:val="24"/>
          <w:shd w:val="clear" w:color="auto" w:fill="FFFFFF"/>
          <w:lang w:val="en-US" w:bidi="he-IL"/>
        </w:rPr>
        <w:t xml:space="preserve">a) </w:t>
      </w:r>
      <w:r w:rsidR="00960B44" w:rsidRPr="00645EAD">
        <w:rPr>
          <w:rFonts w:ascii="Times New Roman" w:eastAsia="Calibri" w:hAnsi="Times New Roman" w:cs="Times New Roman"/>
          <w:sz w:val="24"/>
          <w:szCs w:val="24"/>
          <w:shd w:val="clear" w:color="auto" w:fill="FFFFFF"/>
          <w:lang w:val="en-US" w:bidi="he-IL"/>
        </w:rPr>
        <w:t xml:space="preserve">the institutional profile of the host country and </w:t>
      </w:r>
      <w:r w:rsidR="005C40D4">
        <w:rPr>
          <w:rFonts w:ascii="Times New Roman" w:eastAsia="Calibri" w:hAnsi="Times New Roman" w:cs="Times New Roman"/>
          <w:sz w:val="24"/>
          <w:szCs w:val="24"/>
          <w:shd w:val="clear" w:color="auto" w:fill="FFFFFF"/>
          <w:lang w:val="en-US" w:bidi="he-IL"/>
        </w:rPr>
        <w:t xml:space="preserve">b) </w:t>
      </w:r>
      <w:r w:rsidR="00960B44" w:rsidRPr="00645EAD">
        <w:rPr>
          <w:rFonts w:ascii="Times New Roman" w:eastAsia="Calibri" w:hAnsi="Times New Roman" w:cs="Times New Roman"/>
          <w:sz w:val="24"/>
          <w:szCs w:val="24"/>
          <w:shd w:val="clear" w:color="auto" w:fill="FFFFFF"/>
          <w:lang w:val="en-US" w:bidi="he-IL"/>
        </w:rPr>
        <w:t xml:space="preserve">the relational context within the MNC. </w:t>
      </w:r>
      <w:r w:rsidR="00645EAD">
        <w:rPr>
          <w:rFonts w:ascii="Times New Roman" w:eastAsia="Calibri" w:hAnsi="Times New Roman" w:cs="Times New Roman"/>
          <w:sz w:val="24"/>
          <w:szCs w:val="24"/>
          <w:shd w:val="clear" w:color="auto" w:fill="FFFFFF"/>
          <w:lang w:val="en-US" w:bidi="he-IL"/>
        </w:rPr>
        <w:t>Thus, m</w:t>
      </w:r>
      <w:r w:rsidR="006C3C69" w:rsidRPr="000F57AA">
        <w:rPr>
          <w:rFonts w:ascii="Times New Roman" w:eastAsia="Calibri" w:hAnsi="Times New Roman" w:cs="Times New Roman"/>
          <w:sz w:val="24"/>
          <w:szCs w:val="24"/>
          <w:lang w:val="en-US" w:bidi="he-IL"/>
        </w:rPr>
        <w:t>ultinational enterprises (MNEs) operate in complex environments with multiple, diverse, and possibly conflicting institutional forces</w:t>
      </w:r>
      <w:r w:rsidR="00645EAD">
        <w:rPr>
          <w:rFonts w:ascii="Times New Roman" w:eastAsia="Calibri" w:hAnsi="Times New Roman" w:cs="Times New Roman"/>
          <w:sz w:val="24"/>
          <w:szCs w:val="24"/>
          <w:lang w:val="en-US" w:bidi="he-IL"/>
        </w:rPr>
        <w:t>. Such forces could also</w:t>
      </w:r>
      <w:r w:rsidR="006C3C69" w:rsidRPr="000F57AA">
        <w:rPr>
          <w:rFonts w:ascii="Times New Roman" w:eastAsia="Calibri" w:hAnsi="Times New Roman" w:cs="Times New Roman"/>
          <w:sz w:val="24"/>
          <w:szCs w:val="24"/>
          <w:lang w:val="en-US" w:bidi="he-IL"/>
        </w:rPr>
        <w:t xml:space="preserve"> affect </w:t>
      </w:r>
      <w:r w:rsidR="00645EAD">
        <w:rPr>
          <w:rFonts w:ascii="Times New Roman" w:eastAsia="Calibri" w:hAnsi="Times New Roman" w:cs="Times New Roman"/>
          <w:sz w:val="24"/>
          <w:szCs w:val="24"/>
          <w:lang w:val="en-US" w:bidi="he-IL"/>
        </w:rPr>
        <w:t xml:space="preserve">a </w:t>
      </w:r>
      <w:r w:rsidR="006C3C69" w:rsidRPr="000F57AA">
        <w:rPr>
          <w:rFonts w:ascii="Times New Roman" w:eastAsia="Calibri" w:hAnsi="Times New Roman" w:cs="Times New Roman"/>
          <w:sz w:val="24"/>
          <w:szCs w:val="24"/>
          <w:lang w:val="en-US" w:bidi="he-IL"/>
        </w:rPr>
        <w:t xml:space="preserve">firm's adoption of corporate social responsibility (CSR) practices. Based on the study of 710 US MNEs from 2007 to 2011 with global ties to over 100 countries, Marano and Kostova (2016) identified a set of factors that make certain pressures more salient than others, including </w:t>
      </w:r>
      <w:r w:rsidR="00645EAD">
        <w:rPr>
          <w:rFonts w:ascii="Times New Roman" w:eastAsia="Calibri" w:hAnsi="Times New Roman" w:cs="Times New Roman"/>
          <w:sz w:val="24"/>
          <w:szCs w:val="24"/>
          <w:lang w:val="en-US" w:bidi="he-IL"/>
        </w:rPr>
        <w:t xml:space="preserve">a </w:t>
      </w:r>
      <w:r w:rsidR="006C3C69" w:rsidRPr="000F57AA">
        <w:rPr>
          <w:rFonts w:ascii="Times New Roman" w:eastAsia="Calibri" w:hAnsi="Times New Roman" w:cs="Times New Roman"/>
          <w:sz w:val="24"/>
          <w:szCs w:val="24"/>
          <w:lang w:val="en-US" w:bidi="he-IL"/>
        </w:rPr>
        <w:t xml:space="preserve">firm's economic dependence on a particular country, heterogeneity of institutional forces within the firm's transnational field, exposure to leading </w:t>
      </w:r>
      <w:r w:rsidR="006C3C69" w:rsidRPr="000F57AA">
        <w:rPr>
          <w:rFonts w:ascii="Times New Roman" w:eastAsia="Calibri" w:hAnsi="Times New Roman" w:cs="Times New Roman"/>
          <w:sz w:val="24"/>
          <w:szCs w:val="24"/>
          <w:lang w:val="en-US" w:bidi="he-IL"/>
        </w:rPr>
        <w:lastRenderedPageBreak/>
        <w:t>countries with more stringent CSR templates, and intensity and commitment to particular economic linkages (i.e., foreign direct investment versus international trade).</w:t>
      </w:r>
    </w:p>
    <w:p w14:paraId="6FFEACBA" w14:textId="77777777" w:rsidR="00E62C30" w:rsidRPr="000F57AA" w:rsidRDefault="00E62C30" w:rsidP="000F57AA">
      <w:pPr>
        <w:spacing w:line="480" w:lineRule="auto"/>
        <w:ind w:firstLine="720"/>
        <w:jc w:val="both"/>
        <w:rPr>
          <w:rFonts w:ascii="Times New Roman" w:hAnsi="Times New Roman"/>
          <w:sz w:val="24"/>
          <w:szCs w:val="24"/>
          <w:lang w:val="en-US"/>
        </w:rPr>
      </w:pPr>
      <w:r w:rsidRPr="000F57AA">
        <w:rPr>
          <w:rFonts w:ascii="Times New Roman" w:hAnsi="Times New Roman"/>
          <w:sz w:val="24"/>
          <w:szCs w:val="24"/>
          <w:lang w:val="en-US"/>
        </w:rPr>
        <w:t xml:space="preserve">The extractive industries, which include oil, gas and mining sectors are an important part of the economies of many developing countries. In the specific context of low and medium-low income countries, such as countries in Western-Africa, the extractive industries account for a staggering 75 – 80% of the total exports and 45-50% of total government revenue (Halland et al. 2015; IMF 2012). It is this focus on extractive industries that has made countries in Western Africa witness significant increases in foreign direct investment (FDI), particularly in the mining sector during the period 2000 – 2012 (UNCTAD, 2015). </w:t>
      </w:r>
    </w:p>
    <w:p w14:paraId="18354705" w14:textId="70FA042F" w:rsidR="00E62C30" w:rsidRPr="000F57AA" w:rsidRDefault="00DD623F" w:rsidP="00E62C30">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S</w:t>
      </w:r>
      <w:r w:rsidR="00E62C30" w:rsidRPr="000F57AA">
        <w:rPr>
          <w:rFonts w:ascii="Times New Roman" w:hAnsi="Times New Roman"/>
          <w:sz w:val="24"/>
          <w:szCs w:val="24"/>
          <w:lang w:val="en-US"/>
        </w:rPr>
        <w:t xml:space="preserve">cholars attribute the growth in FDI in sub-Saharan African countries to incentive packages, such as tax breaks and low royalties, offered by the host country governments to </w:t>
      </w:r>
      <w:r>
        <w:rPr>
          <w:rFonts w:ascii="Times New Roman" w:hAnsi="Times New Roman"/>
          <w:sz w:val="24"/>
          <w:szCs w:val="24"/>
          <w:lang w:val="en-US"/>
        </w:rPr>
        <w:t>MNEs</w:t>
      </w:r>
      <w:r w:rsidR="00E62C30" w:rsidRPr="000F57AA">
        <w:rPr>
          <w:rFonts w:ascii="Times New Roman" w:hAnsi="Times New Roman"/>
          <w:sz w:val="24"/>
          <w:szCs w:val="24"/>
          <w:lang w:val="en-US"/>
        </w:rPr>
        <w:t xml:space="preserve"> (see for instance Hilson, 2012). At the same time, a majority of these countries are characterized by weak and corrupt governance systems, widespread poverty and lack of any resemblance of labour unions, which in turn allows MNEs to dictate terms and scope of their investment (Hilson and Maconachie, 2009; Hilson, 2012). As a consequence, one of the fundamental challenges that </w:t>
      </w:r>
      <w:r w:rsidR="00E62C30" w:rsidRPr="000F57AA">
        <w:rPr>
          <w:rFonts w:ascii="Times New Roman" w:hAnsi="Times New Roman"/>
          <w:sz w:val="24"/>
          <w:szCs w:val="24"/>
          <w:lang w:val="en-US"/>
        </w:rPr>
        <w:lastRenderedPageBreak/>
        <w:t xml:space="preserve">these resource rich countries face is how to translate benefits from the natural resources into long term sustainable socio-economic development for its regions, where the resources are </w:t>
      </w:r>
      <w:r w:rsidR="00645EAD">
        <w:rPr>
          <w:rFonts w:ascii="Times New Roman" w:hAnsi="Times New Roman"/>
          <w:sz w:val="24"/>
          <w:szCs w:val="24"/>
          <w:lang w:val="en-US"/>
        </w:rPr>
        <w:t>located in (Garvin et al., 2009</w:t>
      </w:r>
      <w:r w:rsidR="00E62C30" w:rsidRPr="000F57AA">
        <w:rPr>
          <w:rFonts w:ascii="Times New Roman" w:hAnsi="Times New Roman"/>
          <w:sz w:val="24"/>
          <w:szCs w:val="24"/>
          <w:lang w:val="en-US"/>
        </w:rPr>
        <w:t xml:space="preserve">). </w:t>
      </w:r>
    </w:p>
    <w:p w14:paraId="4EF25093" w14:textId="77777777" w:rsidR="00E62C30" w:rsidRPr="000F57AA" w:rsidRDefault="00E62C30" w:rsidP="00E62C30">
      <w:pPr>
        <w:spacing w:line="480" w:lineRule="auto"/>
        <w:ind w:firstLine="720"/>
        <w:jc w:val="both"/>
        <w:rPr>
          <w:rFonts w:ascii="Times New Roman" w:hAnsi="Times New Roman"/>
          <w:sz w:val="24"/>
          <w:szCs w:val="24"/>
          <w:lang w:val="en-US"/>
        </w:rPr>
      </w:pPr>
      <w:r w:rsidRPr="000F57AA">
        <w:rPr>
          <w:rFonts w:ascii="Times New Roman" w:hAnsi="Times New Roman"/>
          <w:sz w:val="24"/>
          <w:szCs w:val="24"/>
          <w:lang w:val="en-US"/>
        </w:rPr>
        <w:t xml:space="preserve">MNEs that are keen to invest in these locations find it challenging to navigate through the complex socio cultural, economic and institutional settings. It is in this context that creating and maintaining important relationship with local stakeholders, including community members becomes paramount to successfully operate in extractive resource rich countries. Therefore, exploring ways to mitigate stakeholder related risks rank very high on the agenda of MNEs involved in the extractive industries (Davis and Frank, 2014).  </w:t>
      </w:r>
    </w:p>
    <w:p w14:paraId="4109F55D" w14:textId="77777777" w:rsidR="00E62C30" w:rsidRPr="000F57AA" w:rsidRDefault="00E62C30" w:rsidP="00E62C30">
      <w:pPr>
        <w:spacing w:line="480" w:lineRule="auto"/>
        <w:ind w:firstLine="720"/>
        <w:jc w:val="both"/>
        <w:rPr>
          <w:rFonts w:ascii="Times New Roman" w:hAnsi="Times New Roman"/>
          <w:sz w:val="24"/>
          <w:szCs w:val="24"/>
        </w:rPr>
      </w:pPr>
      <w:r w:rsidRPr="000F57AA">
        <w:rPr>
          <w:rFonts w:ascii="Times New Roman" w:hAnsi="Times New Roman"/>
          <w:sz w:val="24"/>
          <w:szCs w:val="24"/>
        </w:rPr>
        <w:t>Despite the increasing importance attached to corporate social responsibility (CSR) activities in host countries there are few studies that highlight challenges which MNEs face in adapting CSR issues that are of importance to their respective host countries (Logsdon and Wood, 2005). Equally, there is dearth of research that provides insights on how MNEs use their CSR activities to interact with various stakeholders in their host countries with the aim to gaining legitimacy (Husted and Allen, 2006; Beddewela and Fairbass, 2016).</w:t>
      </w:r>
    </w:p>
    <w:p w14:paraId="3616C215" w14:textId="77777777" w:rsidR="00E62C30" w:rsidRPr="000F57AA" w:rsidRDefault="00E62C30" w:rsidP="00E62C30">
      <w:pPr>
        <w:spacing w:line="480" w:lineRule="auto"/>
        <w:ind w:firstLine="720"/>
        <w:jc w:val="both"/>
        <w:rPr>
          <w:rFonts w:ascii="Times New Roman" w:eastAsia="Times New Roman" w:hAnsi="Times New Roman"/>
          <w:sz w:val="24"/>
          <w:szCs w:val="24"/>
          <w:lang w:eastAsia="en-AU"/>
        </w:rPr>
      </w:pPr>
      <w:r w:rsidRPr="000F57AA">
        <w:rPr>
          <w:rFonts w:ascii="Times New Roman" w:eastAsia="Times New Roman" w:hAnsi="Times New Roman"/>
          <w:sz w:val="24"/>
          <w:szCs w:val="24"/>
          <w:lang w:eastAsia="en-AU"/>
        </w:rPr>
        <w:lastRenderedPageBreak/>
        <w:t>The importance of this special issue topic lies in the limited understanding of how MNE develop and adjust their identity when internationalisation, especially to emerging market countries. The MNE’s identity in the home country setting has a strong influence on its strategy, operation and behaviour in the marketplace. However, this identity may be of little value to the MNE when it tries to establish its operations in foreign markets, due to many different factors outlined by the social identity theory (Ashforth and Mael, 1989). These differing perspectives that stakeholders in host countries may hold create a significant social identity challenge for MNEs in their quest to understanding and managing these additional liabilities of foreignness.</w:t>
      </w:r>
    </w:p>
    <w:p w14:paraId="22207C8B" w14:textId="3B9BD34D" w:rsidR="00E62C30" w:rsidRPr="000F57AA" w:rsidRDefault="00645EAD" w:rsidP="00E62C30">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Thus, through this</w:t>
      </w:r>
      <w:r w:rsidR="00E62C30" w:rsidRPr="000F57AA">
        <w:rPr>
          <w:rFonts w:ascii="Times New Roman" w:hAnsi="Times New Roman"/>
          <w:sz w:val="24"/>
          <w:szCs w:val="24"/>
          <w:lang w:val="en-US"/>
        </w:rPr>
        <w:t xml:space="preserve"> paper, we </w:t>
      </w:r>
      <w:r>
        <w:rPr>
          <w:rFonts w:ascii="Times New Roman" w:hAnsi="Times New Roman"/>
          <w:sz w:val="24"/>
          <w:szCs w:val="24"/>
          <w:lang w:val="en-US"/>
        </w:rPr>
        <w:t>contribute and aim to fill the</w:t>
      </w:r>
      <w:r w:rsidR="00E62C30" w:rsidRPr="000F57AA">
        <w:rPr>
          <w:rFonts w:ascii="Times New Roman" w:hAnsi="Times New Roman"/>
          <w:sz w:val="24"/>
          <w:szCs w:val="24"/>
          <w:lang w:val="en-US"/>
        </w:rPr>
        <w:t xml:space="preserve"> </w:t>
      </w:r>
      <w:r w:rsidRPr="000F57AA">
        <w:rPr>
          <w:rFonts w:ascii="Times New Roman" w:hAnsi="Times New Roman"/>
          <w:sz w:val="24"/>
          <w:szCs w:val="24"/>
          <w:lang w:val="en-US"/>
        </w:rPr>
        <w:t xml:space="preserve">gap </w:t>
      </w:r>
      <w:r>
        <w:rPr>
          <w:rFonts w:ascii="Times New Roman" w:hAnsi="Times New Roman"/>
          <w:sz w:val="24"/>
          <w:szCs w:val="24"/>
          <w:lang w:val="en-US"/>
        </w:rPr>
        <w:t xml:space="preserve">identified above </w:t>
      </w:r>
      <w:r w:rsidR="00E62C30" w:rsidRPr="000F57AA">
        <w:rPr>
          <w:rFonts w:ascii="Times New Roman" w:hAnsi="Times New Roman"/>
          <w:sz w:val="24"/>
          <w:szCs w:val="24"/>
          <w:lang w:val="en-US"/>
        </w:rPr>
        <w:t>in the literature o</w:t>
      </w:r>
      <w:r>
        <w:rPr>
          <w:rFonts w:ascii="Times New Roman" w:hAnsi="Times New Roman"/>
          <w:sz w:val="24"/>
          <w:szCs w:val="24"/>
          <w:lang w:val="en-US"/>
        </w:rPr>
        <w:t>n</w:t>
      </w:r>
      <w:r w:rsidR="00E62C30" w:rsidRPr="000F57AA">
        <w:rPr>
          <w:rFonts w:ascii="Times New Roman" w:hAnsi="Times New Roman"/>
          <w:sz w:val="24"/>
          <w:szCs w:val="24"/>
          <w:lang w:val="en-US"/>
        </w:rPr>
        <w:t xml:space="preserve"> social identity of MNEs by providing case study evidence on how a US based mining company localized its CSR policies in Ghana to maintain its corporate identity. We highlight detailed issues in terms of challenges for the MNE in implementing its CSR activities and the management of its various stakeholders in Ghana. We find that localizing its CSR policies was central to the MNEs strategy and behaviour to develop a </w:t>
      </w:r>
      <w:r w:rsidR="000C7B9A">
        <w:rPr>
          <w:rFonts w:ascii="Times New Roman" w:hAnsi="Times New Roman"/>
          <w:sz w:val="24"/>
          <w:szCs w:val="24"/>
          <w:lang w:val="en-US"/>
        </w:rPr>
        <w:t>“g</w:t>
      </w:r>
      <w:r w:rsidR="00E62C30" w:rsidRPr="000F57AA">
        <w:rPr>
          <w:rFonts w:ascii="Times New Roman" w:hAnsi="Times New Roman"/>
          <w:sz w:val="24"/>
          <w:szCs w:val="24"/>
          <w:lang w:val="en-US"/>
        </w:rPr>
        <w:t>local identity</w:t>
      </w:r>
      <w:r w:rsidR="000C7B9A">
        <w:rPr>
          <w:rFonts w:ascii="Times New Roman" w:hAnsi="Times New Roman"/>
          <w:sz w:val="24"/>
          <w:szCs w:val="24"/>
          <w:lang w:val="en-US"/>
        </w:rPr>
        <w:t>”</w:t>
      </w:r>
      <w:r w:rsidR="00E62C30" w:rsidRPr="000F57AA">
        <w:rPr>
          <w:rFonts w:ascii="Times New Roman" w:hAnsi="Times New Roman"/>
          <w:sz w:val="24"/>
          <w:szCs w:val="24"/>
          <w:lang w:val="en-US"/>
        </w:rPr>
        <w:t xml:space="preserve"> </w:t>
      </w:r>
      <w:r w:rsidR="00142D1E" w:rsidRPr="00142D1E">
        <w:rPr>
          <w:rFonts w:ascii="Times New Roman" w:hAnsi="Times New Roman"/>
          <w:sz w:val="24"/>
          <w:szCs w:val="24"/>
          <w:lang w:val="en-US"/>
        </w:rPr>
        <w:t>(Robertson, 1994)</w:t>
      </w:r>
      <w:r w:rsidR="00142D1E">
        <w:rPr>
          <w:rFonts w:ascii="Times New Roman" w:hAnsi="Times New Roman"/>
          <w:sz w:val="24"/>
          <w:szCs w:val="24"/>
          <w:lang w:val="en-US"/>
        </w:rPr>
        <w:t xml:space="preserve"> </w:t>
      </w:r>
      <w:r w:rsidR="00E62C30" w:rsidRPr="000F57AA">
        <w:rPr>
          <w:rFonts w:ascii="Times New Roman" w:hAnsi="Times New Roman"/>
          <w:sz w:val="24"/>
          <w:szCs w:val="24"/>
          <w:lang w:val="en-US"/>
        </w:rPr>
        <w:t>in the host country to gain legitimacy and overcome the issues relating to liability of foreignness</w:t>
      </w:r>
      <w:r w:rsidR="00142D1E" w:rsidRPr="00142D1E">
        <w:t xml:space="preserve"> </w:t>
      </w:r>
      <w:r w:rsidR="00142D1E">
        <w:t>(</w:t>
      </w:r>
      <w:r w:rsidR="00142D1E" w:rsidRPr="00142D1E">
        <w:rPr>
          <w:rFonts w:ascii="Times New Roman" w:hAnsi="Times New Roman"/>
          <w:sz w:val="24"/>
          <w:szCs w:val="24"/>
          <w:lang w:val="en-US"/>
        </w:rPr>
        <w:t>Zaheer, 1995</w:t>
      </w:r>
      <w:r w:rsidR="00142D1E">
        <w:rPr>
          <w:rFonts w:ascii="Times New Roman" w:hAnsi="Times New Roman"/>
          <w:sz w:val="24"/>
          <w:szCs w:val="24"/>
          <w:lang w:val="en-US"/>
        </w:rPr>
        <w:t>)</w:t>
      </w:r>
      <w:r w:rsidR="00E62C30" w:rsidRPr="000F57AA">
        <w:rPr>
          <w:rFonts w:ascii="Times New Roman" w:hAnsi="Times New Roman"/>
          <w:sz w:val="24"/>
          <w:szCs w:val="24"/>
          <w:lang w:val="en-US"/>
        </w:rPr>
        <w:t xml:space="preserve">. </w:t>
      </w:r>
    </w:p>
    <w:p w14:paraId="53569CF6" w14:textId="77777777" w:rsidR="00E62C30" w:rsidRPr="000F57AA" w:rsidRDefault="00E62C30" w:rsidP="00E62C30">
      <w:pPr>
        <w:spacing w:line="480" w:lineRule="auto"/>
        <w:ind w:firstLine="720"/>
        <w:jc w:val="both"/>
        <w:rPr>
          <w:rFonts w:ascii="Times New Roman" w:hAnsi="Times New Roman"/>
          <w:sz w:val="24"/>
          <w:szCs w:val="24"/>
          <w:lang w:val="en-US"/>
        </w:rPr>
      </w:pPr>
      <w:r w:rsidRPr="000F57AA">
        <w:rPr>
          <w:rFonts w:ascii="Times New Roman" w:hAnsi="Times New Roman"/>
          <w:sz w:val="24"/>
          <w:szCs w:val="24"/>
          <w:lang w:val="en-US"/>
        </w:rPr>
        <w:lastRenderedPageBreak/>
        <w:t>The remainder of the paper is structured as follows. In section 2, we begin by reviewing the literature on internationalization of MNEs and explore the challenges that liability of foreignness poses to MNEs. In section 3, we review the literature on CSR and particularly focus on the body of work that calls for organizations to take a strategic view of the programs to gain reputation and identity. Section 4 describes the research design and how our data were collected and analyzed, followed in section 5 by a discussion of our findings in relation to localization of CSR policies to maintain the corporate identity. We conclude in section 6 with a discussion of the implications of our findings for future research on CSR and identity.</w:t>
      </w:r>
    </w:p>
    <w:p w14:paraId="3ED197BF" w14:textId="77777777" w:rsidR="007F5903" w:rsidRPr="000F57AA" w:rsidRDefault="007F5903" w:rsidP="007F5903">
      <w:pPr>
        <w:spacing w:line="480" w:lineRule="auto"/>
        <w:rPr>
          <w:rFonts w:ascii="Times New Roman" w:hAnsi="Times New Roman" w:cs="Times New Roman"/>
          <w:b/>
          <w:sz w:val="24"/>
          <w:szCs w:val="24"/>
        </w:rPr>
      </w:pPr>
      <w:r w:rsidRPr="000F57AA">
        <w:rPr>
          <w:rFonts w:ascii="Times New Roman" w:hAnsi="Times New Roman" w:cs="Times New Roman"/>
          <w:b/>
          <w:sz w:val="24"/>
          <w:szCs w:val="24"/>
        </w:rPr>
        <w:t xml:space="preserve">2. Internationalisation and liability of foreignness </w:t>
      </w:r>
    </w:p>
    <w:p w14:paraId="4C33C754" w14:textId="77777777" w:rsidR="00E62C30" w:rsidRPr="000F57AA" w:rsidRDefault="00E62C30" w:rsidP="00E62C30">
      <w:pPr>
        <w:spacing w:line="480" w:lineRule="auto"/>
        <w:rPr>
          <w:rFonts w:ascii="Times New Roman" w:hAnsi="Times New Roman"/>
          <w:sz w:val="24"/>
          <w:szCs w:val="24"/>
          <w:shd w:val="clear" w:color="auto" w:fill="FFFFFF"/>
        </w:rPr>
      </w:pPr>
      <w:r w:rsidRPr="000F57AA">
        <w:rPr>
          <w:rFonts w:ascii="Times New Roman" w:hAnsi="Times New Roman"/>
          <w:sz w:val="24"/>
          <w:szCs w:val="24"/>
        </w:rPr>
        <w:t xml:space="preserve">Drawing on the concept of liability of foreignness coupled with insights from institutional theory allows us to explain the success of the US mining MNE’s subsidiary in Ghana. The liability of foreignness concept has its origins in the international business literature </w:t>
      </w:r>
      <w:r w:rsidRPr="000F57AA">
        <w:rPr>
          <w:rFonts w:ascii="Times New Roman" w:hAnsi="Times New Roman"/>
          <w:sz w:val="24"/>
          <w:szCs w:val="24"/>
          <w:shd w:val="clear" w:color="auto" w:fill="FFFFFF"/>
        </w:rPr>
        <w:t xml:space="preserve">(Hymer, 1976; Kindleberger, 1969; Zaheer, 1995) and states that MNEs face significant upfront costs when setting up subsidiaries in foreign markets. These sunk costs arise from differences between the home country and the host countries where the MNEs decide to set up their subsidiaries. </w:t>
      </w:r>
    </w:p>
    <w:p w14:paraId="7972CF82" w14:textId="427F70AA" w:rsidR="00E62C30" w:rsidRPr="000F57AA" w:rsidRDefault="00E62C30" w:rsidP="00E62C30">
      <w:pPr>
        <w:spacing w:line="480" w:lineRule="auto"/>
        <w:ind w:firstLine="720"/>
        <w:rPr>
          <w:rFonts w:ascii="Times New Roman" w:hAnsi="Times New Roman"/>
          <w:sz w:val="24"/>
          <w:szCs w:val="24"/>
          <w:shd w:val="clear" w:color="auto" w:fill="FFFFFF"/>
        </w:rPr>
      </w:pPr>
      <w:r w:rsidRPr="000F57AA">
        <w:rPr>
          <w:rFonts w:ascii="Times New Roman" w:hAnsi="Times New Roman"/>
          <w:sz w:val="24"/>
          <w:szCs w:val="24"/>
          <w:shd w:val="clear" w:color="auto" w:fill="FFFFFF"/>
        </w:rPr>
        <w:lastRenderedPageBreak/>
        <w:t>For example, firms may be unfamiliar with the business environment in host countries, which includes cultural, institutional, political and economic factors. Some of these costs can be overcome more easily, such as learning about setting up a business and paying corporate taxes. However,</w:t>
      </w:r>
      <w:r w:rsidR="0034287B">
        <w:rPr>
          <w:rFonts w:ascii="Times New Roman" w:hAnsi="Times New Roman"/>
          <w:sz w:val="24"/>
          <w:szCs w:val="24"/>
          <w:shd w:val="clear" w:color="auto" w:fill="FFFFFF"/>
        </w:rPr>
        <w:t xml:space="preserve"> other </w:t>
      </w:r>
      <w:r w:rsidR="005C40D4">
        <w:rPr>
          <w:rFonts w:ascii="Times New Roman" w:hAnsi="Times New Roman"/>
          <w:sz w:val="24"/>
          <w:szCs w:val="24"/>
          <w:shd w:val="clear" w:color="auto" w:fill="FFFFFF"/>
        </w:rPr>
        <w:t>subtle</w:t>
      </w:r>
      <w:r w:rsidR="0034287B">
        <w:rPr>
          <w:rFonts w:ascii="Times New Roman" w:hAnsi="Times New Roman"/>
          <w:sz w:val="24"/>
          <w:szCs w:val="24"/>
          <w:shd w:val="clear" w:color="auto" w:fill="FFFFFF"/>
        </w:rPr>
        <w:t xml:space="preserve"> and</w:t>
      </w:r>
      <w:r w:rsidRPr="000F57AA">
        <w:rPr>
          <w:rFonts w:ascii="Times New Roman" w:hAnsi="Times New Roman"/>
          <w:sz w:val="24"/>
          <w:szCs w:val="24"/>
          <w:shd w:val="clear" w:color="auto" w:fill="FFFFFF"/>
        </w:rPr>
        <w:t xml:space="preserve"> complex challenges include</w:t>
      </w:r>
      <w:r w:rsidR="0034287B">
        <w:rPr>
          <w:rFonts w:ascii="Times New Roman" w:hAnsi="Times New Roman"/>
          <w:sz w:val="24"/>
          <w:szCs w:val="24"/>
          <w:shd w:val="clear" w:color="auto" w:fill="FFFFFF"/>
        </w:rPr>
        <w:t xml:space="preserve"> </w:t>
      </w:r>
      <w:r w:rsidRPr="000F57AA">
        <w:rPr>
          <w:rFonts w:ascii="Times New Roman" w:hAnsi="Times New Roman"/>
          <w:sz w:val="24"/>
          <w:szCs w:val="24"/>
          <w:shd w:val="clear" w:color="auto" w:fill="FFFFFF"/>
        </w:rPr>
        <w:t>dealing with corruption or other network based relationship</w:t>
      </w:r>
      <w:r w:rsidR="00DD623F">
        <w:rPr>
          <w:rFonts w:ascii="Times New Roman" w:hAnsi="Times New Roman"/>
          <w:sz w:val="24"/>
          <w:szCs w:val="24"/>
          <w:shd w:val="clear" w:color="auto" w:fill="FFFFFF"/>
        </w:rPr>
        <w:t>,</w:t>
      </w:r>
      <w:r w:rsidRPr="000F57AA">
        <w:rPr>
          <w:rFonts w:ascii="Times New Roman" w:hAnsi="Times New Roman"/>
          <w:sz w:val="24"/>
          <w:szCs w:val="24"/>
          <w:shd w:val="clear" w:color="auto" w:fill="FFFFFF"/>
        </w:rPr>
        <w:t xml:space="preserve"> which are built over a long period of time (Gaur et al., 2007). This unfamiliarity means that MNEs need to invest significant time, effort and investments in learning about the various dimensions of the host country. This is essential for any MNE in order to reduce their disadvantages and compete successfully vis-à-vis local firms that are already present in the host country. A recent study by </w:t>
      </w:r>
      <w:r w:rsidRPr="000F57AA">
        <w:rPr>
          <w:rFonts w:ascii="Times New Roman" w:eastAsia="Times New Roman" w:hAnsi="Times New Roman"/>
          <w:sz w:val="24"/>
          <w:szCs w:val="24"/>
          <w:lang w:eastAsia="en-AU"/>
        </w:rPr>
        <w:t>Munjal and Pereira (2015) show that local embeddedness of mergers and acquisitions is strengthened by the MNE’s persistence and learning from the local emerging host country context.</w:t>
      </w:r>
    </w:p>
    <w:p w14:paraId="1292344E" w14:textId="1E9E0155" w:rsidR="009A3DCE" w:rsidRPr="000F57AA" w:rsidRDefault="00E62C30" w:rsidP="0034287B">
      <w:pPr>
        <w:spacing w:line="480" w:lineRule="auto"/>
        <w:ind w:firstLine="720"/>
        <w:jc w:val="both"/>
        <w:rPr>
          <w:rFonts w:ascii="Times New Roman" w:eastAsia="Calibri" w:hAnsi="Times New Roman" w:cs="Times New Roman"/>
          <w:sz w:val="24"/>
          <w:szCs w:val="24"/>
          <w:lang w:val="en-US" w:bidi="he-IL"/>
        </w:rPr>
      </w:pPr>
      <w:r w:rsidRPr="000F57AA">
        <w:rPr>
          <w:rFonts w:ascii="Times New Roman" w:hAnsi="Times New Roman"/>
          <w:sz w:val="24"/>
          <w:szCs w:val="24"/>
          <w:shd w:val="clear" w:color="auto" w:fill="FFFFFF"/>
        </w:rPr>
        <w:t xml:space="preserve">In turn, the ability to overcome the challenges from the </w:t>
      </w:r>
      <w:r w:rsidRPr="000F57AA">
        <w:rPr>
          <w:rFonts w:ascii="Times New Roman" w:hAnsi="Times New Roman"/>
          <w:sz w:val="24"/>
          <w:szCs w:val="24"/>
          <w:lang w:val="en-US"/>
        </w:rPr>
        <w:t>liability of foreignness</w:t>
      </w:r>
      <w:r w:rsidRPr="000F57AA">
        <w:rPr>
          <w:rFonts w:ascii="Times New Roman" w:hAnsi="Times New Roman"/>
          <w:sz w:val="24"/>
          <w:szCs w:val="24"/>
          <w:shd w:val="clear" w:color="auto" w:fill="FFFFFF"/>
        </w:rPr>
        <w:t xml:space="preserve"> means that MNEs need to possess significant and unique firm-specific advantages that can be exploited in foreign markets. Only then can foreign expansion in different countries be worthwhile because the firm-specific advantages outweigh the sunk costs</w:t>
      </w:r>
      <w:r w:rsidR="00DD623F">
        <w:rPr>
          <w:rFonts w:ascii="Times New Roman" w:hAnsi="Times New Roman"/>
          <w:sz w:val="24"/>
          <w:szCs w:val="24"/>
          <w:shd w:val="clear" w:color="auto" w:fill="FFFFFF"/>
        </w:rPr>
        <w:t>,</w:t>
      </w:r>
      <w:r w:rsidRPr="000F57AA">
        <w:rPr>
          <w:rFonts w:ascii="Times New Roman" w:hAnsi="Times New Roman"/>
          <w:sz w:val="24"/>
          <w:szCs w:val="24"/>
          <w:shd w:val="clear" w:color="auto" w:fill="FFFFFF"/>
        </w:rPr>
        <w:t xml:space="preserve"> which are incurred the learning phase about the host country. </w:t>
      </w:r>
      <w:r w:rsidRPr="000F57AA">
        <w:rPr>
          <w:rFonts w:ascii="Times New Roman" w:hAnsi="Times New Roman"/>
          <w:sz w:val="24"/>
          <w:szCs w:val="24"/>
        </w:rPr>
        <w:t xml:space="preserve">These firm-specific advantages can come in the form of superior resources (e.g. </w:t>
      </w:r>
      <w:r w:rsidRPr="000F57AA">
        <w:rPr>
          <w:rFonts w:ascii="Times New Roman" w:hAnsi="Times New Roman"/>
          <w:sz w:val="24"/>
          <w:szCs w:val="24"/>
        </w:rPr>
        <w:lastRenderedPageBreak/>
        <w:t>technology) and other managerial or organizational advantages</w:t>
      </w:r>
      <w:r w:rsidR="00DD623F">
        <w:rPr>
          <w:rFonts w:ascii="Times New Roman" w:hAnsi="Times New Roman"/>
          <w:sz w:val="24"/>
          <w:szCs w:val="24"/>
        </w:rPr>
        <w:t>,</w:t>
      </w:r>
      <w:r w:rsidRPr="000F57AA">
        <w:rPr>
          <w:rFonts w:ascii="Times New Roman" w:hAnsi="Times New Roman"/>
          <w:sz w:val="24"/>
          <w:szCs w:val="24"/>
        </w:rPr>
        <w:t xml:space="preserve"> which are transferred from the parent headquarters to the subsidiary in the host country. This superior performance of foreign investors over domestic firms has become a stylised fact in the applied and policy-oriented literature concerned with FDI flows or the impacts of inward investment. </w:t>
      </w:r>
      <w:r w:rsidR="005C781E" w:rsidRPr="000F57AA">
        <w:rPr>
          <w:rFonts w:ascii="Times New Roman" w:eastAsia="Calibri" w:hAnsi="Times New Roman" w:cs="Times New Roman"/>
          <w:sz w:val="24"/>
          <w:szCs w:val="24"/>
          <w:shd w:val="clear" w:color="auto" w:fill="FFFFFF"/>
          <w:lang w:val="en-US" w:bidi="he-IL"/>
        </w:rPr>
        <w:t>In this vein, Kostova, Marano, &amp; Tallman (2016) in their comprehensive review of the existing research o</w:t>
      </w:r>
      <w:r w:rsidR="00DD623F">
        <w:rPr>
          <w:rFonts w:ascii="Times New Roman" w:eastAsia="Calibri" w:hAnsi="Times New Roman" w:cs="Times New Roman"/>
          <w:sz w:val="24"/>
          <w:szCs w:val="24"/>
          <w:shd w:val="clear" w:color="auto" w:fill="FFFFFF"/>
          <w:lang w:val="en-US" w:bidi="he-IL"/>
        </w:rPr>
        <w:t xml:space="preserve">n headquarters–subsidiary </w:t>
      </w:r>
      <w:r w:rsidR="005C781E" w:rsidRPr="000F57AA">
        <w:rPr>
          <w:rFonts w:ascii="Times New Roman" w:eastAsia="Calibri" w:hAnsi="Times New Roman" w:cs="Times New Roman"/>
          <w:sz w:val="24"/>
          <w:szCs w:val="24"/>
          <w:shd w:val="clear" w:color="auto" w:fill="FFFFFF"/>
          <w:lang w:val="en-US" w:bidi="he-IL"/>
        </w:rPr>
        <w:t>relationships published in the Journal of World Business, highlighted the need for the further exploration of the novel trends and approaches in elucidating the connection of this topic to the broader field o</w:t>
      </w:r>
      <w:r w:rsidR="00DD623F">
        <w:rPr>
          <w:rFonts w:ascii="Times New Roman" w:eastAsia="Calibri" w:hAnsi="Times New Roman" w:cs="Times New Roman"/>
          <w:sz w:val="24"/>
          <w:szCs w:val="24"/>
          <w:shd w:val="clear" w:color="auto" w:fill="FFFFFF"/>
          <w:lang w:val="en-US" w:bidi="he-IL"/>
        </w:rPr>
        <w:t xml:space="preserve">f international management </w:t>
      </w:r>
      <w:r w:rsidR="005C781E" w:rsidRPr="000F57AA">
        <w:rPr>
          <w:rFonts w:ascii="Times New Roman" w:eastAsia="Calibri" w:hAnsi="Times New Roman" w:cs="Times New Roman"/>
          <w:sz w:val="24"/>
          <w:szCs w:val="24"/>
          <w:shd w:val="clear" w:color="auto" w:fill="FFFFFF"/>
          <w:lang w:val="en-US" w:bidi="he-IL"/>
        </w:rPr>
        <w:t xml:space="preserve">research and practice. </w:t>
      </w:r>
      <w:r w:rsidR="00D47A2C" w:rsidRPr="000F57AA">
        <w:rPr>
          <w:rFonts w:ascii="Times New Roman" w:eastAsia="Calibri" w:hAnsi="Times New Roman" w:cs="Times New Roman"/>
          <w:sz w:val="24"/>
          <w:szCs w:val="24"/>
          <w:shd w:val="clear" w:color="auto" w:fill="FFFFFF"/>
          <w:lang w:val="en-US" w:bidi="he-IL"/>
        </w:rPr>
        <w:t xml:space="preserve">For instance, Hoenen &amp; Kostova (2015) </w:t>
      </w:r>
      <w:r w:rsidR="00D47A2C" w:rsidRPr="000F57AA">
        <w:rPr>
          <w:rFonts w:ascii="Times New Roman" w:eastAsia="Calibri" w:hAnsi="Times New Roman" w:cs="Times New Roman"/>
          <w:sz w:val="24"/>
          <w:szCs w:val="24"/>
          <w:lang w:val="en-US" w:bidi="he-IL"/>
        </w:rPr>
        <w:t xml:space="preserve">identified key unresolved issues in headquarters-subsidiary relationships including closing the gap between headquarters’ expectations and subsidiary performance, managing the nested hierarchical relationships across multiple organizational layers, and aligning these relationships across diverse subunits embedded in different social contexts. </w:t>
      </w:r>
      <w:r w:rsidR="00742093" w:rsidRPr="000F57AA">
        <w:rPr>
          <w:rFonts w:ascii="Times New Roman" w:eastAsia="Calibri" w:hAnsi="Times New Roman" w:cs="Times New Roman"/>
          <w:sz w:val="24"/>
          <w:szCs w:val="24"/>
          <w:shd w:val="clear" w:color="auto" w:fill="FFFFFF"/>
          <w:lang w:val="en-US" w:bidi="he-IL"/>
        </w:rPr>
        <w:t xml:space="preserve">Furthermore, departing from the classical agency theory, Kostova, Nell, &amp; Hoenen, (2016) recently proposed an agency model for headquarters-subsidiary relationships in </w:t>
      </w:r>
      <w:r w:rsidR="00DD623F">
        <w:rPr>
          <w:rFonts w:ascii="Times New Roman" w:eastAsia="Calibri" w:hAnsi="Times New Roman" w:cs="Times New Roman"/>
          <w:sz w:val="24"/>
          <w:szCs w:val="24"/>
          <w:shd w:val="clear" w:color="auto" w:fill="FFFFFF"/>
          <w:lang w:val="en-US" w:bidi="he-IL"/>
        </w:rPr>
        <w:t>MNEs</w:t>
      </w:r>
      <w:r w:rsidR="00742093" w:rsidRPr="000F57AA">
        <w:rPr>
          <w:rFonts w:ascii="Times New Roman" w:eastAsia="Calibri" w:hAnsi="Times New Roman" w:cs="Times New Roman"/>
          <w:sz w:val="24"/>
          <w:szCs w:val="24"/>
          <w:shd w:val="clear" w:color="auto" w:fill="FFFFFF"/>
          <w:lang w:val="en-US" w:bidi="he-IL"/>
        </w:rPr>
        <w:t xml:space="preserve"> with headquarters as the principal and the subsidiary as the agent. They maintain that in the organizational setting, one cannot assume absolute self-interest and perfect rationality of agents (subsidiaries), but should allow them to vary </w:t>
      </w:r>
      <w:r w:rsidR="00742093" w:rsidRPr="000F57AA">
        <w:rPr>
          <w:rFonts w:ascii="Times New Roman" w:eastAsia="Calibri" w:hAnsi="Times New Roman" w:cs="Times New Roman"/>
          <w:sz w:val="24"/>
          <w:szCs w:val="24"/>
          <w:shd w:val="clear" w:color="auto" w:fill="FFFFFF"/>
          <w:lang w:val="en-US" w:bidi="he-IL"/>
        </w:rPr>
        <w:lastRenderedPageBreak/>
        <w:t xml:space="preserve">through a set of internal organizational and external social conditions in which the headquarters-subsidiary agency dyad is embedded. </w:t>
      </w:r>
      <w:r w:rsidR="009A3DCE" w:rsidRPr="000F57AA">
        <w:rPr>
          <w:rFonts w:ascii="Times New Roman" w:eastAsia="Calibri" w:hAnsi="Times New Roman" w:cs="Times New Roman"/>
          <w:sz w:val="24"/>
          <w:szCs w:val="24"/>
          <w:lang w:val="en-US" w:bidi="he-IL"/>
        </w:rPr>
        <w:t xml:space="preserve">Another interesting aspect refers to the examination of the fulfillment of complex roles when managers develop dual organizational identification towards both entities (the MNC and the subsidiary). The study by </w:t>
      </w:r>
      <w:r w:rsidR="009A3DCE" w:rsidRPr="000F57AA">
        <w:rPr>
          <w:rFonts w:ascii="Times New Roman" w:eastAsia="Calibri" w:hAnsi="Times New Roman" w:cs="Times New Roman"/>
          <w:sz w:val="24"/>
          <w:szCs w:val="24"/>
          <w:shd w:val="clear" w:color="auto" w:fill="FFFFFF"/>
          <w:lang w:val="en-US" w:bidi="he-IL"/>
        </w:rPr>
        <w:t>Vora, Kostova, &amp; Roth (2007)</w:t>
      </w:r>
      <w:r w:rsidR="009A3DCE" w:rsidRPr="000F57AA">
        <w:rPr>
          <w:rFonts w:ascii="Times New Roman" w:eastAsia="Calibri" w:hAnsi="Times New Roman" w:cs="Times New Roman"/>
          <w:sz w:val="24"/>
          <w:szCs w:val="24"/>
          <w:lang w:val="en-US" w:bidi="he-IL"/>
        </w:rPr>
        <w:t xml:space="preserve"> indicates that high identification with both entities is associated with high role fulfillment and that similarity in organizational identities directly affects role conflict.</w:t>
      </w:r>
    </w:p>
    <w:p w14:paraId="551E1AFC" w14:textId="690D0758" w:rsidR="00E62C30" w:rsidRPr="000F57AA" w:rsidRDefault="00E62C30" w:rsidP="00E62C30">
      <w:pPr>
        <w:spacing w:line="480" w:lineRule="auto"/>
        <w:ind w:firstLine="720"/>
        <w:rPr>
          <w:rFonts w:ascii="Times New Roman" w:hAnsi="Times New Roman"/>
          <w:sz w:val="24"/>
          <w:szCs w:val="24"/>
        </w:rPr>
      </w:pPr>
      <w:r w:rsidRPr="000F57AA">
        <w:rPr>
          <w:rFonts w:ascii="Times New Roman" w:hAnsi="Times New Roman"/>
          <w:sz w:val="24"/>
          <w:szCs w:val="24"/>
        </w:rPr>
        <w:t xml:space="preserve">However, in host country settings, culturally and institutionally, which are much different from the home country, a MNE may try to minimise their foreignness by mimicking the behaviour of local firms, who are seen as the better performing firms due to their familiarity with the country, industry and consumers. This view emanates from institutional theory which argues that firms behave similarly by following a set of written or tacit rules and strategies in order to signal their commitment and legitimacy to the host country and thereby be accepted which increases the chances of survival (DiMaggio &amp; Powell, 1983). This allows MNEs to adapt to different institutional environments by limiting their risk and reducing their transaction costs. In short, the goal of MNEs lies in the virtue of fitting in and playing by the rules of the game in a manner that is similar to local firms. This is coined as </w:t>
      </w:r>
      <w:r w:rsidR="00A52ACC" w:rsidRPr="00A52ACC">
        <w:rPr>
          <w:rFonts w:ascii="Times New Roman" w:hAnsi="Times New Roman"/>
          <w:sz w:val="24"/>
          <w:szCs w:val="24"/>
        </w:rPr>
        <w:t>“</w:t>
      </w:r>
      <w:r w:rsidRPr="00A52ACC">
        <w:rPr>
          <w:rFonts w:ascii="Times New Roman" w:hAnsi="Times New Roman"/>
          <w:sz w:val="24"/>
          <w:szCs w:val="24"/>
          <w:shd w:val="clear" w:color="auto" w:fill="FFFFFF"/>
        </w:rPr>
        <w:t>Isomorphism</w:t>
      </w:r>
      <w:r w:rsidR="00A52ACC" w:rsidRPr="00A52ACC">
        <w:rPr>
          <w:rFonts w:ascii="Times New Roman" w:hAnsi="Times New Roman"/>
          <w:sz w:val="24"/>
          <w:szCs w:val="24"/>
          <w:shd w:val="clear" w:color="auto" w:fill="FFFFFF"/>
        </w:rPr>
        <w:t>”</w:t>
      </w:r>
      <w:r w:rsidRPr="000F57AA">
        <w:rPr>
          <w:rFonts w:ascii="Times New Roman" w:hAnsi="Times New Roman"/>
          <w:sz w:val="24"/>
          <w:szCs w:val="24"/>
          <w:shd w:val="clear" w:color="auto" w:fill="FFFFFF"/>
        </w:rPr>
        <w:t xml:space="preserve"> by organization theorists </w:t>
      </w:r>
      <w:r w:rsidRPr="000F57AA">
        <w:rPr>
          <w:rFonts w:ascii="Times New Roman" w:hAnsi="Times New Roman"/>
          <w:sz w:val="24"/>
          <w:szCs w:val="24"/>
          <w:shd w:val="clear" w:color="auto" w:fill="FFFFFF"/>
        </w:rPr>
        <w:lastRenderedPageBreak/>
        <w:t xml:space="preserve">and </w:t>
      </w:r>
      <w:r w:rsidR="00A52ACC" w:rsidRPr="00A52ACC">
        <w:rPr>
          <w:rFonts w:ascii="Times New Roman" w:hAnsi="Times New Roman"/>
          <w:sz w:val="24"/>
          <w:szCs w:val="24"/>
          <w:shd w:val="clear" w:color="auto" w:fill="FFFFFF"/>
        </w:rPr>
        <w:t>“</w:t>
      </w:r>
      <w:r w:rsidRPr="00A52ACC">
        <w:rPr>
          <w:rFonts w:ascii="Times New Roman" w:hAnsi="Times New Roman"/>
          <w:sz w:val="24"/>
          <w:szCs w:val="24"/>
          <w:shd w:val="clear" w:color="auto" w:fill="FFFFFF"/>
        </w:rPr>
        <w:t>strategic herding</w:t>
      </w:r>
      <w:r w:rsidR="00A52ACC" w:rsidRPr="00A52ACC">
        <w:rPr>
          <w:rFonts w:ascii="Times New Roman" w:hAnsi="Times New Roman"/>
          <w:sz w:val="24"/>
          <w:szCs w:val="24"/>
          <w:shd w:val="clear" w:color="auto" w:fill="FFFFFF"/>
        </w:rPr>
        <w:t>”</w:t>
      </w:r>
      <w:r w:rsidRPr="000F57AA">
        <w:rPr>
          <w:rFonts w:ascii="Times New Roman" w:hAnsi="Times New Roman"/>
          <w:sz w:val="24"/>
          <w:szCs w:val="24"/>
          <w:shd w:val="clear" w:color="auto" w:fill="FFFFFF"/>
        </w:rPr>
        <w:t xml:space="preserve"> in the management literature. Both terms represent a change that makes firms and other organisations more similar to each other.</w:t>
      </w:r>
    </w:p>
    <w:p w14:paraId="17C4DA5D" w14:textId="77777777" w:rsidR="00E62C30" w:rsidRPr="000F57AA" w:rsidRDefault="00E62C30" w:rsidP="0034287B">
      <w:pPr>
        <w:spacing w:line="480" w:lineRule="auto"/>
        <w:ind w:firstLine="720"/>
        <w:rPr>
          <w:rFonts w:ascii="Times New Roman" w:hAnsi="Times New Roman"/>
          <w:sz w:val="24"/>
          <w:szCs w:val="24"/>
          <w:shd w:val="clear" w:color="auto" w:fill="FFFFFF"/>
        </w:rPr>
      </w:pPr>
      <w:r w:rsidRPr="000F57AA">
        <w:rPr>
          <w:rFonts w:ascii="Times New Roman" w:hAnsi="Times New Roman"/>
          <w:sz w:val="24"/>
          <w:szCs w:val="24"/>
          <w:shd w:val="clear" w:color="auto" w:fill="FFFFFF"/>
        </w:rPr>
        <w:t xml:space="preserve">Therefore, MNE subsidiaries around the world are faced with a dual pressure of conforming to the global organisation and standards of the MNEs, which achieves internal legitimacy and the pressure to conform to the host country environment, which reduces the liability of foreignness. This is particularly important in the case of emerging market countries (Nachum, 2003), where the </w:t>
      </w:r>
      <w:r w:rsidRPr="000F57AA">
        <w:rPr>
          <w:rFonts w:ascii="Times New Roman" w:hAnsi="Times New Roman"/>
          <w:sz w:val="24"/>
          <w:szCs w:val="24"/>
          <w:lang w:val="en-US"/>
        </w:rPr>
        <w:t>liability of foreignness</w:t>
      </w:r>
      <w:r w:rsidRPr="000F57AA">
        <w:rPr>
          <w:rFonts w:ascii="Times New Roman" w:hAnsi="Times New Roman"/>
          <w:sz w:val="24"/>
          <w:szCs w:val="24"/>
          <w:shd w:val="clear" w:color="auto" w:fill="FFFFFF"/>
        </w:rPr>
        <w:t xml:space="preserve"> can be significant and thus creates enormous challenges. In general, these challenges emanate from the MNE’s efforts of imposing its corporate identity which in the face of manager’s bounded rationality and/or reliability of host countries creates stakeholder hostility in these countries</w:t>
      </w:r>
    </w:p>
    <w:p w14:paraId="17B68B80" w14:textId="77777777" w:rsidR="007F5903" w:rsidRPr="000F57AA" w:rsidRDefault="007F5903" w:rsidP="007F5903">
      <w:pPr>
        <w:spacing w:line="480" w:lineRule="auto"/>
        <w:rPr>
          <w:rFonts w:ascii="Times New Roman" w:hAnsi="Times New Roman" w:cs="Times New Roman"/>
          <w:b/>
          <w:sz w:val="24"/>
          <w:szCs w:val="24"/>
        </w:rPr>
      </w:pPr>
      <w:r w:rsidRPr="000F57AA">
        <w:rPr>
          <w:rFonts w:ascii="Times New Roman" w:hAnsi="Times New Roman" w:cs="Times New Roman"/>
          <w:b/>
          <w:sz w:val="24"/>
          <w:szCs w:val="24"/>
        </w:rPr>
        <w:t>3. CSR as a mechanism to localise social identity</w:t>
      </w:r>
    </w:p>
    <w:p w14:paraId="511274C2" w14:textId="6F054A26" w:rsidR="007F5903" w:rsidRPr="000F57AA" w:rsidRDefault="007F5903" w:rsidP="0034287B">
      <w:pPr>
        <w:spacing w:line="480" w:lineRule="auto"/>
        <w:rPr>
          <w:rFonts w:ascii="Times New Roman" w:hAnsi="Times New Roman" w:cs="Times New Roman"/>
          <w:sz w:val="24"/>
          <w:szCs w:val="24"/>
          <w:lang w:val="en-US"/>
        </w:rPr>
      </w:pPr>
      <w:r w:rsidRPr="000F57AA">
        <w:rPr>
          <w:rFonts w:ascii="Times New Roman" w:hAnsi="Times New Roman" w:cs="Times New Roman"/>
          <w:sz w:val="24"/>
          <w:szCs w:val="24"/>
          <w:lang w:val="en-US"/>
        </w:rPr>
        <w:t xml:space="preserve">CSR is </w:t>
      </w:r>
      <w:r w:rsidR="0068447B" w:rsidRPr="000F57AA">
        <w:rPr>
          <w:rFonts w:ascii="Times New Roman" w:hAnsi="Times New Roman" w:cs="Times New Roman"/>
          <w:sz w:val="24"/>
          <w:szCs w:val="24"/>
          <w:lang w:val="en-US"/>
        </w:rPr>
        <w:t xml:space="preserve">considered as </w:t>
      </w:r>
      <w:r w:rsidRPr="000F57AA">
        <w:rPr>
          <w:rFonts w:ascii="Times New Roman" w:hAnsi="Times New Roman" w:cs="Times New Roman"/>
          <w:sz w:val="24"/>
          <w:szCs w:val="24"/>
          <w:lang w:val="en-US"/>
        </w:rPr>
        <w:t xml:space="preserve">a Western </w:t>
      </w:r>
      <w:r w:rsidR="00E93824" w:rsidRPr="000F57AA">
        <w:rPr>
          <w:rFonts w:ascii="Times New Roman" w:hAnsi="Times New Roman" w:cs="Times New Roman"/>
          <w:sz w:val="24"/>
          <w:szCs w:val="24"/>
          <w:lang w:val="en-US"/>
        </w:rPr>
        <w:t>concept that</w:t>
      </w:r>
      <w:r w:rsidRPr="000F57AA">
        <w:rPr>
          <w:rFonts w:ascii="Times New Roman" w:hAnsi="Times New Roman" w:cs="Times New Roman"/>
          <w:sz w:val="24"/>
          <w:szCs w:val="24"/>
          <w:lang w:val="en-US"/>
        </w:rPr>
        <w:t xml:space="preserve"> gained popularity in the 1980s (see Blowfield and Frynas, 2005), and </w:t>
      </w:r>
      <w:r w:rsidR="0068447B" w:rsidRPr="000F57AA">
        <w:rPr>
          <w:rFonts w:ascii="Times New Roman" w:hAnsi="Times New Roman" w:cs="Times New Roman"/>
          <w:sz w:val="24"/>
          <w:szCs w:val="24"/>
          <w:lang w:val="en-US"/>
        </w:rPr>
        <w:t xml:space="preserve">which </w:t>
      </w:r>
      <w:r w:rsidRPr="000F57AA">
        <w:rPr>
          <w:rFonts w:ascii="Times New Roman" w:hAnsi="Times New Roman" w:cs="Times New Roman"/>
          <w:sz w:val="24"/>
          <w:szCs w:val="24"/>
          <w:lang w:val="en-US"/>
        </w:rPr>
        <w:t xml:space="preserve">was subsequently spearheaded in developing countries, particularly by companies active in the extractive industry (Hilson, 2012).  </w:t>
      </w:r>
      <w:r w:rsidRPr="000F57AA">
        <w:rPr>
          <w:rFonts w:ascii="Times New Roman" w:hAnsi="Times New Roman" w:cs="Times New Roman"/>
          <w:sz w:val="24"/>
          <w:szCs w:val="24"/>
        </w:rPr>
        <w:t>Despite a</w:t>
      </w:r>
      <w:r w:rsidR="0068447B" w:rsidRPr="000F57AA">
        <w:rPr>
          <w:rFonts w:ascii="Times New Roman" w:hAnsi="Times New Roman" w:cs="Times New Roman"/>
          <w:sz w:val="24"/>
          <w:szCs w:val="24"/>
        </w:rPr>
        <w:t xml:space="preserve"> burgeoning </w:t>
      </w:r>
      <w:r w:rsidRPr="000F57AA">
        <w:rPr>
          <w:rFonts w:ascii="Times New Roman" w:hAnsi="Times New Roman" w:cs="Times New Roman"/>
          <w:sz w:val="24"/>
          <w:szCs w:val="24"/>
        </w:rPr>
        <w:t xml:space="preserve">body of literature on CSR, there is no agreement on a single definition of the concept (Torugsa et al, </w:t>
      </w:r>
      <w:r w:rsidRPr="000F57AA">
        <w:rPr>
          <w:rFonts w:ascii="Times New Roman" w:hAnsi="Times New Roman" w:cs="Times New Roman"/>
          <w:sz w:val="24"/>
          <w:szCs w:val="24"/>
        </w:rPr>
        <w:lastRenderedPageBreak/>
        <w:t>2012). Broadly speaking, CSR pertains to the formal and in-formal ways in which enterprises make contribution to improve governance, social, ethical, labour and environmental conditions in the developing countries in which they operate in, while remaining sensitive to prevailing religious, historical and cultural contexts (Visser et al., 2007). Simply put, the common thread that permeates amongst different conceptualisation of CSR is the relationship</w:t>
      </w:r>
      <w:r w:rsidR="006B3FCD" w:rsidRPr="000F57AA">
        <w:rPr>
          <w:rFonts w:ascii="Times New Roman" w:hAnsi="Times New Roman" w:cs="Times New Roman"/>
          <w:sz w:val="24"/>
          <w:szCs w:val="24"/>
        </w:rPr>
        <w:t xml:space="preserve"> </w:t>
      </w:r>
      <w:r w:rsidRPr="000F57AA">
        <w:rPr>
          <w:rFonts w:ascii="Times New Roman" w:hAnsi="Times New Roman" w:cs="Times New Roman"/>
          <w:sz w:val="24"/>
          <w:szCs w:val="24"/>
        </w:rPr>
        <w:t xml:space="preserve">between an enterprise </w:t>
      </w:r>
      <w:r w:rsidRPr="000F57AA">
        <w:rPr>
          <w:rFonts w:ascii="Times New Roman" w:hAnsi="Times New Roman" w:cs="Times New Roman"/>
          <w:sz w:val="24"/>
          <w:szCs w:val="24"/>
          <w:lang w:val="en-US"/>
        </w:rPr>
        <w:t>and the society they are embedded in (Matten and Moon, 2008). In this context one notes a certain degree of congruence amongst some scholars who posit that companies</w:t>
      </w:r>
      <w:r w:rsidR="006B3FCD" w:rsidRPr="000F57AA">
        <w:rPr>
          <w:rFonts w:ascii="Times New Roman" w:hAnsi="Times New Roman" w:cs="Times New Roman"/>
          <w:sz w:val="24"/>
          <w:szCs w:val="24"/>
          <w:lang w:val="en-US"/>
        </w:rPr>
        <w:t xml:space="preserve">, MNEs in particular, could </w:t>
      </w:r>
      <w:r w:rsidRPr="000F57AA">
        <w:rPr>
          <w:rFonts w:ascii="Times New Roman" w:hAnsi="Times New Roman" w:cs="Times New Roman"/>
          <w:sz w:val="24"/>
          <w:szCs w:val="24"/>
          <w:lang w:val="en-US"/>
        </w:rPr>
        <w:t xml:space="preserve">accrue benefits if they proactively embrace environmental and community development concerns </w:t>
      </w:r>
      <w:r w:rsidR="006B3FCD" w:rsidRPr="000F57AA">
        <w:rPr>
          <w:rFonts w:ascii="Times New Roman" w:hAnsi="Times New Roman" w:cs="Times New Roman"/>
          <w:sz w:val="24"/>
          <w:szCs w:val="24"/>
          <w:lang w:val="en-US"/>
        </w:rPr>
        <w:t xml:space="preserve">of their host country </w:t>
      </w:r>
      <w:r w:rsidRPr="000F57AA">
        <w:rPr>
          <w:rFonts w:ascii="Times New Roman" w:hAnsi="Times New Roman" w:cs="Times New Roman"/>
          <w:sz w:val="24"/>
          <w:szCs w:val="24"/>
          <w:lang w:val="en-US"/>
        </w:rPr>
        <w:t>(</w:t>
      </w:r>
      <w:r w:rsidRPr="000F57AA">
        <w:rPr>
          <w:rFonts w:ascii="Times New Roman" w:hAnsi="Times New Roman" w:cs="Times New Roman"/>
          <w:sz w:val="24"/>
          <w:szCs w:val="24"/>
        </w:rPr>
        <w:t xml:space="preserve">Dunphy, 2003; </w:t>
      </w:r>
      <w:r w:rsidRPr="000F57AA">
        <w:rPr>
          <w:rFonts w:ascii="Times New Roman" w:hAnsi="Times New Roman" w:cs="Times New Roman"/>
          <w:sz w:val="24"/>
          <w:szCs w:val="24"/>
          <w:lang w:val="en-US"/>
        </w:rPr>
        <w:t>Jenkins, 2009</w:t>
      </w:r>
      <w:r w:rsidRPr="000F57AA">
        <w:rPr>
          <w:rFonts w:ascii="Times New Roman" w:hAnsi="Times New Roman" w:cs="Times New Roman"/>
          <w:i/>
          <w:sz w:val="24"/>
          <w:szCs w:val="24"/>
          <w:lang w:val="en-US"/>
        </w:rPr>
        <w:t xml:space="preserve">).  </w:t>
      </w:r>
      <w:r w:rsidRPr="000F57AA">
        <w:rPr>
          <w:rFonts w:ascii="Times New Roman" w:hAnsi="Times New Roman" w:cs="Times New Roman"/>
          <w:sz w:val="24"/>
          <w:szCs w:val="24"/>
          <w:lang w:val="en-US"/>
        </w:rPr>
        <w:t xml:space="preserve">However, it is a widely acknowledged that in the specific context </w:t>
      </w:r>
      <w:r w:rsidR="006B3FCD" w:rsidRPr="000F57AA">
        <w:rPr>
          <w:rFonts w:ascii="Times New Roman" w:hAnsi="Times New Roman" w:cs="Times New Roman"/>
          <w:sz w:val="24"/>
          <w:szCs w:val="24"/>
          <w:lang w:val="en-US"/>
        </w:rPr>
        <w:t xml:space="preserve">of </w:t>
      </w:r>
      <w:r w:rsidRPr="000F57AA">
        <w:rPr>
          <w:rFonts w:ascii="Times New Roman" w:hAnsi="Times New Roman" w:cs="Times New Roman"/>
          <w:sz w:val="24"/>
          <w:szCs w:val="24"/>
          <w:lang w:val="en-US"/>
        </w:rPr>
        <w:t xml:space="preserve">developing countries, there is a wide gap between what CSR means </w:t>
      </w:r>
      <w:r w:rsidR="006B3FCD" w:rsidRPr="000F57AA">
        <w:rPr>
          <w:rFonts w:ascii="Times New Roman" w:hAnsi="Times New Roman" w:cs="Times New Roman"/>
          <w:sz w:val="24"/>
          <w:szCs w:val="24"/>
          <w:lang w:val="en-US"/>
        </w:rPr>
        <w:t xml:space="preserve">and stands for </w:t>
      </w:r>
      <w:r w:rsidRPr="000F57AA">
        <w:rPr>
          <w:rFonts w:ascii="Times New Roman" w:hAnsi="Times New Roman" w:cs="Times New Roman"/>
          <w:sz w:val="24"/>
          <w:szCs w:val="24"/>
          <w:lang w:val="en-US"/>
        </w:rPr>
        <w:t xml:space="preserve">and how it is implemented by different corporate entities (Hilson, 2012). </w:t>
      </w:r>
      <w:r w:rsidR="00036C8F" w:rsidRPr="000F57AA">
        <w:rPr>
          <w:rFonts w:ascii="Times New Roman" w:hAnsi="Times New Roman" w:cs="Times New Roman"/>
          <w:sz w:val="24"/>
          <w:szCs w:val="24"/>
          <w:lang w:val="en-US"/>
        </w:rPr>
        <w:t xml:space="preserve">Extant literature on CSR implementation points to two broad approaches that firms, MNEs, in particular, adopt in host country environments.  First when firms operate in host countries, which are geographically and institutionally closer to the home country environment, they pursue either the global strategy (Muller, 2006) or </w:t>
      </w:r>
      <w:r w:rsidR="006F742F" w:rsidRPr="000F57AA">
        <w:rPr>
          <w:rFonts w:ascii="Times New Roman" w:hAnsi="Times New Roman" w:cs="Times New Roman"/>
          <w:sz w:val="24"/>
          <w:szCs w:val="24"/>
          <w:lang w:val="en-US"/>
        </w:rPr>
        <w:t>a</w:t>
      </w:r>
      <w:r w:rsidR="00036C8F" w:rsidRPr="000F57AA">
        <w:rPr>
          <w:rFonts w:ascii="Times New Roman" w:hAnsi="Times New Roman" w:cs="Times New Roman"/>
          <w:sz w:val="24"/>
          <w:szCs w:val="24"/>
          <w:lang w:val="en-US"/>
        </w:rPr>
        <w:t xml:space="preserve"> strategy akin to what they implement in the home coun</w:t>
      </w:r>
      <w:r w:rsidR="006F742F" w:rsidRPr="000F57AA">
        <w:rPr>
          <w:rFonts w:ascii="Times New Roman" w:hAnsi="Times New Roman" w:cs="Times New Roman"/>
          <w:sz w:val="24"/>
          <w:szCs w:val="24"/>
          <w:lang w:val="en-US"/>
        </w:rPr>
        <w:t>try (Munjal and Tripathy, 2015). However</w:t>
      </w:r>
      <w:r w:rsidR="0034287B">
        <w:rPr>
          <w:rFonts w:ascii="Times New Roman" w:hAnsi="Times New Roman" w:cs="Times New Roman"/>
          <w:sz w:val="24"/>
          <w:szCs w:val="24"/>
          <w:lang w:val="en-US"/>
        </w:rPr>
        <w:t>,</w:t>
      </w:r>
      <w:r w:rsidR="006F742F" w:rsidRPr="000F57AA">
        <w:rPr>
          <w:rFonts w:ascii="Times New Roman" w:hAnsi="Times New Roman" w:cs="Times New Roman"/>
          <w:sz w:val="24"/>
          <w:szCs w:val="24"/>
          <w:lang w:val="en-US"/>
        </w:rPr>
        <w:t xml:space="preserve"> when host countries are </w:t>
      </w:r>
      <w:r w:rsidR="006F742F" w:rsidRPr="000F57AA">
        <w:rPr>
          <w:rFonts w:ascii="Times New Roman" w:hAnsi="Times New Roman" w:cs="Times New Roman"/>
          <w:sz w:val="24"/>
          <w:szCs w:val="24"/>
          <w:lang w:val="en-US"/>
        </w:rPr>
        <w:lastRenderedPageBreak/>
        <w:t xml:space="preserve">geographically and institutionally afar, then MNEs either tend to improvise and localize their CSR strategies (Muller, 2006) or simply </w:t>
      </w:r>
      <w:r w:rsidR="00F31441" w:rsidRPr="000F57AA">
        <w:rPr>
          <w:rFonts w:ascii="Times New Roman" w:hAnsi="Times New Roman" w:cs="Times New Roman"/>
          <w:sz w:val="24"/>
          <w:szCs w:val="24"/>
          <w:lang w:val="en-US"/>
        </w:rPr>
        <w:t xml:space="preserve">use </w:t>
      </w:r>
      <w:r w:rsidR="006F742F" w:rsidRPr="000F57AA">
        <w:rPr>
          <w:rFonts w:ascii="Times New Roman" w:hAnsi="Times New Roman" w:cs="Times New Roman"/>
          <w:sz w:val="24"/>
          <w:szCs w:val="24"/>
          <w:lang w:val="en-US"/>
        </w:rPr>
        <w:t xml:space="preserve">CSR </w:t>
      </w:r>
      <w:r w:rsidR="00F31441" w:rsidRPr="000F57AA">
        <w:rPr>
          <w:rFonts w:ascii="Times New Roman" w:hAnsi="Times New Roman" w:cs="Times New Roman"/>
          <w:sz w:val="24"/>
          <w:szCs w:val="24"/>
          <w:lang w:val="en-US"/>
        </w:rPr>
        <w:t>as rhetori</w:t>
      </w:r>
      <w:r w:rsidR="00814862" w:rsidRPr="000F57AA">
        <w:rPr>
          <w:rFonts w:ascii="Times New Roman" w:hAnsi="Times New Roman" w:cs="Times New Roman"/>
          <w:sz w:val="24"/>
          <w:szCs w:val="24"/>
          <w:lang w:val="en-US"/>
        </w:rPr>
        <w:t xml:space="preserve">c (Hilson, 2006). Hence, </w:t>
      </w:r>
      <w:r w:rsidRPr="000F57AA">
        <w:rPr>
          <w:rFonts w:ascii="Times New Roman" w:hAnsi="Times New Roman" w:cs="Times New Roman"/>
          <w:sz w:val="24"/>
          <w:szCs w:val="24"/>
          <w:lang w:val="en-US"/>
        </w:rPr>
        <w:t>Banerjee’s (2001) assertion that in contrast to developed countries, where CSR complements a set of robust check and balance mechanisms, in developing countries, which are often characterized by weak enforcement of legislation and rampant corruption, the companies find themselves in a situation to self-regulate and in the process act as the ‘de facto government’ (see Blowfield and Frynas, 2005).</w:t>
      </w:r>
      <w:r w:rsidRPr="000F57AA">
        <w:rPr>
          <w:rFonts w:ascii="Times New Roman" w:hAnsi="Times New Roman" w:cs="Times New Roman"/>
          <w:b/>
          <w:sz w:val="24"/>
          <w:szCs w:val="24"/>
          <w:lang w:val="en-US"/>
        </w:rPr>
        <w:t xml:space="preserve">  </w:t>
      </w:r>
      <w:r w:rsidRPr="000F57AA">
        <w:rPr>
          <w:rFonts w:ascii="Times New Roman" w:hAnsi="Times New Roman" w:cs="Times New Roman"/>
          <w:sz w:val="24"/>
          <w:szCs w:val="24"/>
          <w:lang w:val="en-US"/>
        </w:rPr>
        <w:t>Therefore, some scholars assert that CSR has inevitably become critical for corporate reputation (</w:t>
      </w:r>
      <w:r w:rsidRPr="000F57AA">
        <w:rPr>
          <w:rFonts w:ascii="Times New Roman" w:hAnsi="Times New Roman" w:cs="Times New Roman"/>
          <w:sz w:val="24"/>
          <w:szCs w:val="24"/>
        </w:rPr>
        <w:t>Garberg and Fombrun, 2006; Hillenbrand and Money, 2007) and hence represent a critical aspect of corporate identity (</w:t>
      </w:r>
      <w:r w:rsidRPr="000F57AA">
        <w:rPr>
          <w:rFonts w:ascii="Times New Roman" w:hAnsi="Times New Roman" w:cs="Times New Roman"/>
          <w:sz w:val="24"/>
          <w:szCs w:val="24"/>
          <w:lang w:val="en-US"/>
        </w:rPr>
        <w:t>Balmer et al, 2007; Arendt and Brettel, 2010</w:t>
      </w:r>
      <w:r w:rsidR="004C5AC5" w:rsidRPr="000F57AA">
        <w:rPr>
          <w:rFonts w:ascii="Times New Roman" w:hAnsi="Times New Roman" w:cs="Times New Roman"/>
          <w:sz w:val="24"/>
          <w:szCs w:val="24"/>
          <w:lang w:val="en-US"/>
        </w:rPr>
        <w:t>). The CSR</w:t>
      </w:r>
      <w:r w:rsidR="00902F8C" w:rsidRPr="000F57AA">
        <w:rPr>
          <w:rFonts w:ascii="Times New Roman" w:hAnsi="Times New Roman" w:cs="Times New Roman"/>
          <w:sz w:val="24"/>
          <w:szCs w:val="24"/>
          <w:lang w:val="en-US"/>
        </w:rPr>
        <w:t xml:space="preserve"> </w:t>
      </w:r>
      <w:r w:rsidRPr="000F57AA">
        <w:rPr>
          <w:rFonts w:ascii="Times New Roman" w:hAnsi="Times New Roman" w:cs="Times New Roman"/>
          <w:sz w:val="24"/>
          <w:szCs w:val="24"/>
          <w:lang w:val="en-US"/>
        </w:rPr>
        <w:t>based corporate identity and reputation, particularly in the context of the extractive industry, and most specifically, the mining sector is considered critical in generating good community relations. It has been suggested that working closely with local communities could help companies to positively contribute to the wider socio-economic development in the areas they operate in</w:t>
      </w:r>
      <w:r w:rsidR="00E55800" w:rsidRPr="000F57AA">
        <w:rPr>
          <w:rFonts w:ascii="Times New Roman" w:hAnsi="Times New Roman" w:cs="Times New Roman"/>
          <w:sz w:val="24"/>
          <w:szCs w:val="24"/>
          <w:lang w:val="en-US"/>
        </w:rPr>
        <w:t xml:space="preserve"> and </w:t>
      </w:r>
      <w:r w:rsidR="00902F8C" w:rsidRPr="000F57AA">
        <w:rPr>
          <w:rFonts w:ascii="Times New Roman" w:hAnsi="Times New Roman" w:cs="Times New Roman"/>
          <w:sz w:val="24"/>
          <w:szCs w:val="24"/>
          <w:lang w:val="en-US"/>
        </w:rPr>
        <w:t xml:space="preserve">help mitigate </w:t>
      </w:r>
      <w:r w:rsidR="00E55800" w:rsidRPr="000F57AA">
        <w:rPr>
          <w:rFonts w:ascii="Times New Roman" w:hAnsi="Times New Roman" w:cs="Times New Roman"/>
          <w:sz w:val="24"/>
          <w:szCs w:val="24"/>
          <w:lang w:val="en-US"/>
        </w:rPr>
        <w:t xml:space="preserve">that </w:t>
      </w:r>
      <w:r w:rsidRPr="000F57AA">
        <w:rPr>
          <w:rFonts w:ascii="Times New Roman" w:hAnsi="Times New Roman" w:cs="Times New Roman"/>
          <w:sz w:val="24"/>
          <w:szCs w:val="24"/>
          <w:lang w:val="en-US"/>
        </w:rPr>
        <w:t>the issue</w:t>
      </w:r>
      <w:r w:rsidR="00902F8C" w:rsidRPr="000F57AA">
        <w:rPr>
          <w:rFonts w:ascii="Times New Roman" w:hAnsi="Times New Roman" w:cs="Times New Roman"/>
          <w:sz w:val="24"/>
          <w:szCs w:val="24"/>
          <w:lang w:val="en-US"/>
        </w:rPr>
        <w:t>s relating to</w:t>
      </w:r>
      <w:r w:rsidRPr="000F57AA">
        <w:rPr>
          <w:rFonts w:ascii="Times New Roman" w:hAnsi="Times New Roman" w:cs="Times New Roman"/>
          <w:sz w:val="24"/>
          <w:szCs w:val="24"/>
          <w:lang w:val="en-US"/>
        </w:rPr>
        <w:t xml:space="preserve"> liability of foreignness</w:t>
      </w:r>
      <w:r w:rsidR="006D5A57" w:rsidRPr="000F57AA">
        <w:rPr>
          <w:rFonts w:ascii="Times New Roman" w:hAnsi="Times New Roman" w:cs="Times New Roman"/>
          <w:sz w:val="24"/>
          <w:szCs w:val="24"/>
          <w:lang w:val="en-US"/>
        </w:rPr>
        <w:t xml:space="preserve"> (Moeller et al, 2013)</w:t>
      </w:r>
      <w:r w:rsidR="00F674F1" w:rsidRPr="000F57AA">
        <w:rPr>
          <w:rFonts w:ascii="Times New Roman" w:hAnsi="Times New Roman" w:cs="Times New Roman"/>
          <w:sz w:val="24"/>
          <w:szCs w:val="24"/>
          <w:lang w:val="en-US"/>
        </w:rPr>
        <w:t>.</w:t>
      </w:r>
    </w:p>
    <w:p w14:paraId="4C16065A" w14:textId="77777777" w:rsidR="007F5903" w:rsidRPr="000F57AA" w:rsidRDefault="007F5903" w:rsidP="007F5903">
      <w:pPr>
        <w:pStyle w:val="NoteLevel11"/>
        <w:spacing w:line="480" w:lineRule="auto"/>
        <w:rPr>
          <w:rFonts w:ascii="Times New Roman" w:hAnsi="Times New Roman"/>
          <w:b/>
          <w:sz w:val="24"/>
          <w:szCs w:val="24"/>
          <w:lang w:val="en-US"/>
        </w:rPr>
      </w:pPr>
      <w:r w:rsidRPr="000F57AA">
        <w:rPr>
          <w:rFonts w:ascii="Times New Roman" w:hAnsi="Times New Roman"/>
          <w:b/>
          <w:sz w:val="24"/>
          <w:szCs w:val="24"/>
          <w:lang w:val="en-US"/>
        </w:rPr>
        <w:lastRenderedPageBreak/>
        <w:t xml:space="preserve">4. Research setting and methodology </w:t>
      </w:r>
    </w:p>
    <w:p w14:paraId="03FE764D" w14:textId="6BE38A7E" w:rsidR="007F5903" w:rsidRPr="000F57AA" w:rsidRDefault="007F5903" w:rsidP="0034287B">
      <w:pPr>
        <w:pStyle w:val="NoteLevel11"/>
        <w:numPr>
          <w:ilvl w:val="0"/>
          <w:numId w:val="0"/>
        </w:numPr>
        <w:spacing w:line="480" w:lineRule="auto"/>
        <w:rPr>
          <w:rFonts w:ascii="Times New Roman" w:hAnsi="Times New Roman"/>
          <w:sz w:val="24"/>
          <w:szCs w:val="24"/>
        </w:rPr>
      </w:pPr>
      <w:r w:rsidRPr="000F57AA">
        <w:rPr>
          <w:rFonts w:ascii="Times New Roman" w:hAnsi="Times New Roman"/>
          <w:sz w:val="24"/>
          <w:szCs w:val="24"/>
        </w:rPr>
        <w:t>Mining in Ghana and other Sub-Saharan Africa countries dates back as far as pre-colonial era (Garvin et al, 2009; Government of Ghana, 1980). Ghana is naturally endowed with mineral resources like gold, manganese, diamond, bauxite, aluminium and many others. The extractive industry in Ghana is the leading source of foreign exchange and drives other economic activities, such as attracting foreign direct investment, boosting domestic revenue generation, and job creation (Akabzaa, 2009; Forstater et al, 2010). The extractive industry in Ghana has been majorly dominated by gold mining and it is ranked amongst the top 10 global producers of gold</w:t>
      </w:r>
      <w:r w:rsidR="00E90DCA" w:rsidRPr="000F57AA">
        <w:rPr>
          <w:rFonts w:ascii="Times New Roman" w:hAnsi="Times New Roman"/>
          <w:sz w:val="24"/>
          <w:szCs w:val="24"/>
        </w:rPr>
        <w:t xml:space="preserve"> </w:t>
      </w:r>
      <w:r w:rsidRPr="000F57AA">
        <w:rPr>
          <w:rFonts w:ascii="Times New Roman" w:hAnsi="Times New Roman"/>
          <w:sz w:val="24"/>
          <w:szCs w:val="24"/>
        </w:rPr>
        <w:t>(</w:t>
      </w:r>
      <w:r w:rsidR="00E90DCA" w:rsidRPr="000F57AA">
        <w:rPr>
          <w:rFonts w:ascii="Times New Roman" w:hAnsi="Times New Roman"/>
          <w:sz w:val="24"/>
          <w:szCs w:val="24"/>
        </w:rPr>
        <w:t>US Geological Survey, 2016</w:t>
      </w:r>
      <w:r w:rsidRPr="000F57AA">
        <w:rPr>
          <w:rFonts w:ascii="Times New Roman" w:hAnsi="Times New Roman"/>
          <w:sz w:val="24"/>
          <w:szCs w:val="24"/>
        </w:rPr>
        <w:t xml:space="preserve">). </w:t>
      </w:r>
      <w:r w:rsidR="001663C4" w:rsidRPr="000F57AA">
        <w:rPr>
          <w:rFonts w:ascii="Times New Roman" w:hAnsi="Times New Roman"/>
          <w:sz w:val="24"/>
          <w:szCs w:val="24"/>
        </w:rPr>
        <w:t>Today, g</w:t>
      </w:r>
      <w:r w:rsidRPr="000F57AA">
        <w:rPr>
          <w:rFonts w:ascii="Times New Roman" w:hAnsi="Times New Roman"/>
          <w:sz w:val="24"/>
          <w:szCs w:val="24"/>
        </w:rPr>
        <w:t>old</w:t>
      </w:r>
      <w:r w:rsidR="001663C4" w:rsidRPr="000F57AA">
        <w:rPr>
          <w:rFonts w:ascii="Times New Roman" w:hAnsi="Times New Roman"/>
          <w:sz w:val="24"/>
          <w:szCs w:val="24"/>
        </w:rPr>
        <w:t xml:space="preserve"> production</w:t>
      </w:r>
      <w:r w:rsidRPr="000F57AA">
        <w:rPr>
          <w:rFonts w:ascii="Times New Roman" w:hAnsi="Times New Roman"/>
          <w:sz w:val="24"/>
          <w:szCs w:val="24"/>
        </w:rPr>
        <w:t xml:space="preserve"> in Ghana constitutes between 80 and 90 percent of the sector’s output (</w:t>
      </w:r>
      <w:r w:rsidR="00DE5C57" w:rsidRPr="000F57AA">
        <w:rPr>
          <w:rFonts w:ascii="Times New Roman" w:hAnsi="Times New Roman"/>
          <w:sz w:val="24"/>
          <w:szCs w:val="24"/>
        </w:rPr>
        <w:t xml:space="preserve">Appiah-Adu,and Bawumia, 2016; </w:t>
      </w:r>
      <w:r w:rsidR="009170AC" w:rsidRPr="000F57AA">
        <w:rPr>
          <w:rFonts w:ascii="Times New Roman" w:hAnsi="Times New Roman"/>
          <w:sz w:val="24"/>
          <w:szCs w:val="24"/>
        </w:rPr>
        <w:t>US Geological Survey, 2016</w:t>
      </w:r>
      <w:r w:rsidR="00DE5C57" w:rsidRPr="000F57AA">
        <w:rPr>
          <w:rFonts w:ascii="Times New Roman" w:hAnsi="Times New Roman"/>
          <w:sz w:val="24"/>
          <w:szCs w:val="24"/>
        </w:rPr>
        <w:t>).</w:t>
      </w:r>
      <w:r w:rsidRPr="000F57AA">
        <w:rPr>
          <w:rFonts w:ascii="Times New Roman" w:hAnsi="Times New Roman"/>
          <w:sz w:val="24"/>
          <w:szCs w:val="24"/>
        </w:rPr>
        <w:t xml:space="preserve"> Ghana’s export income from mines stood at about US$4.</w:t>
      </w:r>
      <w:r w:rsidR="00902F8C" w:rsidRPr="000F57AA">
        <w:rPr>
          <w:rFonts w:ascii="Times New Roman" w:hAnsi="Times New Roman"/>
          <w:sz w:val="24"/>
          <w:szCs w:val="24"/>
        </w:rPr>
        <w:t>9</w:t>
      </w:r>
      <w:r w:rsidRPr="000F57AA">
        <w:rPr>
          <w:rFonts w:ascii="Times New Roman" w:hAnsi="Times New Roman"/>
          <w:sz w:val="24"/>
          <w:szCs w:val="24"/>
        </w:rPr>
        <w:t xml:space="preserve"> billion represent</w:t>
      </w:r>
      <w:r w:rsidR="00902F8C" w:rsidRPr="000F57AA">
        <w:rPr>
          <w:rFonts w:ascii="Times New Roman" w:hAnsi="Times New Roman"/>
          <w:sz w:val="24"/>
          <w:szCs w:val="24"/>
        </w:rPr>
        <w:t xml:space="preserve">ing </w:t>
      </w:r>
      <w:r w:rsidR="000B1D7A" w:rsidRPr="000F57AA">
        <w:rPr>
          <w:rFonts w:ascii="Times New Roman" w:hAnsi="Times New Roman"/>
          <w:sz w:val="24"/>
          <w:szCs w:val="24"/>
        </w:rPr>
        <w:t>44</w:t>
      </w:r>
      <w:r w:rsidR="0034287B">
        <w:rPr>
          <w:rFonts w:ascii="Times New Roman" w:hAnsi="Times New Roman"/>
          <w:sz w:val="24"/>
          <w:szCs w:val="24"/>
        </w:rPr>
        <w:t xml:space="preserve"> </w:t>
      </w:r>
      <w:r w:rsidRPr="000F57AA">
        <w:rPr>
          <w:rFonts w:ascii="Times New Roman" w:hAnsi="Times New Roman"/>
          <w:sz w:val="24"/>
          <w:szCs w:val="24"/>
        </w:rPr>
        <w:t>% of the country’s total merchandise export in 201</w:t>
      </w:r>
      <w:r w:rsidR="000B1D7A" w:rsidRPr="000F57AA">
        <w:rPr>
          <w:rFonts w:ascii="Times New Roman" w:hAnsi="Times New Roman"/>
          <w:sz w:val="24"/>
          <w:szCs w:val="24"/>
        </w:rPr>
        <w:t xml:space="preserve">6 (Bank of Ghana, 2016). </w:t>
      </w:r>
      <w:r w:rsidRPr="000F57AA">
        <w:rPr>
          <w:rFonts w:ascii="Times New Roman" w:hAnsi="Times New Roman"/>
          <w:sz w:val="24"/>
          <w:szCs w:val="24"/>
        </w:rPr>
        <w:t xml:space="preserve"> </w:t>
      </w:r>
      <w:r w:rsidR="007C53FC" w:rsidRPr="000F57AA">
        <w:rPr>
          <w:rFonts w:ascii="Times New Roman" w:hAnsi="Times New Roman"/>
          <w:sz w:val="24"/>
          <w:szCs w:val="24"/>
        </w:rPr>
        <w:t>According to the Ghana Chamber of Mines (GCM) (2014), t</w:t>
      </w:r>
      <w:r w:rsidRPr="000F57AA">
        <w:rPr>
          <w:rFonts w:ascii="Times New Roman" w:hAnsi="Times New Roman"/>
          <w:sz w:val="24"/>
          <w:szCs w:val="24"/>
        </w:rPr>
        <w:t>he industr</w:t>
      </w:r>
      <w:r w:rsidR="007C53FC" w:rsidRPr="000F57AA">
        <w:rPr>
          <w:rFonts w:ascii="Times New Roman" w:hAnsi="Times New Roman"/>
          <w:sz w:val="24"/>
          <w:szCs w:val="24"/>
        </w:rPr>
        <w:t xml:space="preserve">y’s tax revenue </w:t>
      </w:r>
      <w:r w:rsidR="00E62C30" w:rsidRPr="000F57AA">
        <w:rPr>
          <w:rFonts w:ascii="Times New Roman" w:hAnsi="Times New Roman"/>
          <w:sz w:val="24"/>
          <w:szCs w:val="24"/>
        </w:rPr>
        <w:t>for 2013</w:t>
      </w:r>
      <w:r w:rsidR="007C53FC" w:rsidRPr="000F57AA">
        <w:rPr>
          <w:rFonts w:ascii="Times New Roman" w:hAnsi="Times New Roman"/>
          <w:sz w:val="24"/>
          <w:szCs w:val="24"/>
        </w:rPr>
        <w:t xml:space="preserve"> </w:t>
      </w:r>
      <w:r w:rsidRPr="000F57AA">
        <w:rPr>
          <w:rFonts w:ascii="Times New Roman" w:hAnsi="Times New Roman"/>
          <w:sz w:val="24"/>
          <w:szCs w:val="24"/>
        </w:rPr>
        <w:t>was 1.</w:t>
      </w:r>
      <w:r w:rsidR="001B0DA4" w:rsidRPr="000F57AA">
        <w:rPr>
          <w:rFonts w:ascii="Times New Roman" w:hAnsi="Times New Roman"/>
          <w:sz w:val="24"/>
          <w:szCs w:val="24"/>
        </w:rPr>
        <w:t>24</w:t>
      </w:r>
      <w:r w:rsidRPr="000F57AA">
        <w:rPr>
          <w:rFonts w:ascii="Times New Roman" w:hAnsi="Times New Roman"/>
          <w:sz w:val="24"/>
          <w:szCs w:val="24"/>
        </w:rPr>
        <w:t xml:space="preserve"> billion </w:t>
      </w:r>
      <w:r w:rsidR="007C53FC" w:rsidRPr="000F57AA">
        <w:rPr>
          <w:rFonts w:ascii="Times New Roman" w:hAnsi="Times New Roman"/>
          <w:sz w:val="24"/>
          <w:szCs w:val="24"/>
        </w:rPr>
        <w:t>Ghanaian C</w:t>
      </w:r>
      <w:r w:rsidRPr="000F57AA">
        <w:rPr>
          <w:rFonts w:ascii="Times New Roman" w:hAnsi="Times New Roman"/>
          <w:sz w:val="24"/>
          <w:szCs w:val="24"/>
        </w:rPr>
        <w:t>edis (US$540 million), representing 14.3% and 18.7% of total domestic and direct tax revenues respectively (</w:t>
      </w:r>
      <w:r w:rsidRPr="000F57AA">
        <w:rPr>
          <w:rFonts w:ascii="Times New Roman" w:hAnsi="Times New Roman"/>
          <w:i/>
          <w:sz w:val="24"/>
          <w:szCs w:val="24"/>
        </w:rPr>
        <w:t>ibid</w:t>
      </w:r>
      <w:r w:rsidRPr="000F57AA">
        <w:rPr>
          <w:rFonts w:ascii="Times New Roman" w:hAnsi="Times New Roman"/>
          <w:sz w:val="24"/>
          <w:szCs w:val="24"/>
        </w:rPr>
        <w:t xml:space="preserve">). Global industry players like Newmont Corporation, Goldfields and AngloGold Ashanti operate several mines in Ghana. Apart from the MNEs, there </w:t>
      </w:r>
      <w:r w:rsidR="007D12B9" w:rsidRPr="000F57AA">
        <w:rPr>
          <w:rFonts w:ascii="Times New Roman" w:hAnsi="Times New Roman"/>
          <w:sz w:val="24"/>
          <w:szCs w:val="24"/>
        </w:rPr>
        <w:t xml:space="preserve">are many other </w:t>
      </w:r>
      <w:r w:rsidR="007D12B9" w:rsidRPr="000F57AA">
        <w:rPr>
          <w:rFonts w:ascii="Times New Roman" w:hAnsi="Times New Roman"/>
          <w:sz w:val="24"/>
          <w:szCs w:val="24"/>
        </w:rPr>
        <w:lastRenderedPageBreak/>
        <w:t>small and medium-</w:t>
      </w:r>
      <w:r w:rsidRPr="000F57AA">
        <w:rPr>
          <w:rFonts w:ascii="Times New Roman" w:hAnsi="Times New Roman"/>
          <w:sz w:val="24"/>
          <w:szCs w:val="24"/>
        </w:rPr>
        <w:t xml:space="preserve">scale enterprises licenced by the Government of Ghana through the Minerals Commission (Ministry of Lands and Natural Resources, 2004). </w:t>
      </w:r>
    </w:p>
    <w:p w14:paraId="540D2603" w14:textId="7A236121" w:rsidR="007F5903" w:rsidRPr="000F57AA" w:rsidRDefault="007F5903" w:rsidP="007F5903">
      <w:pPr>
        <w:pStyle w:val="NoteLevel11"/>
        <w:numPr>
          <w:ilvl w:val="0"/>
          <w:numId w:val="0"/>
        </w:numPr>
        <w:spacing w:line="480" w:lineRule="auto"/>
        <w:ind w:firstLine="720"/>
        <w:rPr>
          <w:rFonts w:ascii="Times New Roman" w:hAnsi="Times New Roman"/>
          <w:sz w:val="24"/>
          <w:szCs w:val="24"/>
        </w:rPr>
      </w:pPr>
      <w:r w:rsidRPr="000F57AA">
        <w:rPr>
          <w:rFonts w:ascii="Times New Roman" w:hAnsi="Times New Roman"/>
          <w:sz w:val="24"/>
          <w:szCs w:val="24"/>
        </w:rPr>
        <w:t xml:space="preserve">Newmont Corporation is a US based mining company that has operational presence in </w:t>
      </w:r>
      <w:r w:rsidR="004F765C" w:rsidRPr="000F57AA">
        <w:rPr>
          <w:rFonts w:ascii="Times New Roman" w:hAnsi="Times New Roman"/>
          <w:sz w:val="24"/>
          <w:szCs w:val="24"/>
        </w:rPr>
        <w:t xml:space="preserve">five </w:t>
      </w:r>
      <w:r w:rsidRPr="000F57AA">
        <w:rPr>
          <w:rFonts w:ascii="Times New Roman" w:hAnsi="Times New Roman"/>
          <w:sz w:val="24"/>
          <w:szCs w:val="24"/>
        </w:rPr>
        <w:t>countries worldwide: United States of America, Australia, Ghana, Peru, Mexico</w:t>
      </w:r>
      <w:r w:rsidR="00067F3C">
        <w:rPr>
          <w:rFonts w:ascii="Times New Roman" w:hAnsi="Times New Roman"/>
          <w:sz w:val="24"/>
          <w:szCs w:val="24"/>
        </w:rPr>
        <w:t xml:space="preserve"> and New Zealand (Newmont, 2014a</w:t>
      </w:r>
      <w:r w:rsidRPr="000F57AA">
        <w:rPr>
          <w:rFonts w:ascii="Times New Roman" w:hAnsi="Times New Roman"/>
          <w:sz w:val="24"/>
          <w:szCs w:val="24"/>
        </w:rPr>
        <w:t>). Today, Newmont continues to be one of the key players in the mining industry with about 29,000 employees and contractors (Newmont, 2014b). The company considers its operation in Ghana to be stable and does not present any social or political risks, which is not the case with the operations in Indonesia and Peru (Annual Report, 2014-15). In this context, it is critical to highlight that Newmont Corp</w:t>
      </w:r>
      <w:r w:rsidR="007D12B9" w:rsidRPr="000F57AA">
        <w:rPr>
          <w:rFonts w:ascii="Times New Roman" w:hAnsi="Times New Roman"/>
          <w:sz w:val="24"/>
          <w:szCs w:val="24"/>
        </w:rPr>
        <w:t>oration</w:t>
      </w:r>
      <w:r w:rsidRPr="000F57AA">
        <w:rPr>
          <w:rFonts w:ascii="Times New Roman" w:hAnsi="Times New Roman"/>
          <w:sz w:val="24"/>
          <w:szCs w:val="24"/>
        </w:rPr>
        <w:t xml:space="preserve"> sold off its operations in Indonesia in early 2016 due to unmanageable high social and political risks</w:t>
      </w:r>
      <w:r w:rsidR="00261A22" w:rsidRPr="000F57AA">
        <w:rPr>
          <w:rFonts w:ascii="Times New Roman" w:hAnsi="Times New Roman"/>
          <w:sz w:val="24"/>
          <w:szCs w:val="24"/>
        </w:rPr>
        <w:t xml:space="preserve"> (Welker, 2009)</w:t>
      </w:r>
      <w:r w:rsidRPr="000F57AA">
        <w:rPr>
          <w:rFonts w:ascii="Times New Roman" w:hAnsi="Times New Roman"/>
          <w:sz w:val="24"/>
          <w:szCs w:val="24"/>
        </w:rPr>
        <w:t xml:space="preserve">. </w:t>
      </w:r>
      <w:r w:rsidR="004F765C" w:rsidRPr="000F57AA">
        <w:rPr>
          <w:rFonts w:ascii="Times New Roman" w:hAnsi="Times New Roman"/>
          <w:sz w:val="24"/>
          <w:szCs w:val="24"/>
        </w:rPr>
        <w:t xml:space="preserve">Its operations in Peru has also attracted attention of different groups, including widespread protests from the local </w:t>
      </w:r>
      <w:r w:rsidR="004F765C" w:rsidRPr="000F57AA">
        <w:rPr>
          <w:rFonts w:ascii="Times New Roman" w:hAnsi="Times New Roman"/>
          <w:sz w:val="24"/>
          <w:szCs w:val="24"/>
        </w:rPr>
        <w:lastRenderedPageBreak/>
        <w:t>community, due to environmental issues and the company’s highhanded actions in resolving local issues</w:t>
      </w:r>
      <w:r w:rsidR="004F765C" w:rsidRPr="000F57AA">
        <w:rPr>
          <w:rStyle w:val="FootnoteReference"/>
          <w:rFonts w:ascii="Times New Roman" w:hAnsi="Times New Roman"/>
          <w:sz w:val="24"/>
          <w:szCs w:val="24"/>
        </w:rPr>
        <w:footnoteReference w:id="1"/>
      </w:r>
      <w:r w:rsidR="004F765C" w:rsidRPr="000F57AA">
        <w:rPr>
          <w:rFonts w:ascii="Times New Roman" w:hAnsi="Times New Roman"/>
          <w:sz w:val="24"/>
          <w:szCs w:val="24"/>
        </w:rPr>
        <w:t xml:space="preserve">. </w:t>
      </w:r>
    </w:p>
    <w:p w14:paraId="17782A38" w14:textId="32779FC1" w:rsidR="007F5903" w:rsidRPr="000F57AA" w:rsidRDefault="007F5903" w:rsidP="007F5903">
      <w:pPr>
        <w:pStyle w:val="NoteLevel11"/>
        <w:numPr>
          <w:ilvl w:val="0"/>
          <w:numId w:val="0"/>
        </w:numPr>
        <w:spacing w:line="480" w:lineRule="auto"/>
        <w:ind w:firstLine="720"/>
        <w:rPr>
          <w:rFonts w:ascii="Times New Roman" w:hAnsi="Times New Roman"/>
          <w:sz w:val="24"/>
          <w:szCs w:val="24"/>
        </w:rPr>
      </w:pPr>
      <w:r w:rsidRPr="000F57AA">
        <w:rPr>
          <w:rFonts w:ascii="Times New Roman" w:hAnsi="Times New Roman"/>
          <w:sz w:val="24"/>
          <w:szCs w:val="24"/>
        </w:rPr>
        <w:t>The subsidiary of Newmont Corp</w:t>
      </w:r>
      <w:r w:rsidR="007D12B9" w:rsidRPr="000F57AA">
        <w:rPr>
          <w:rFonts w:ascii="Times New Roman" w:hAnsi="Times New Roman"/>
          <w:sz w:val="24"/>
          <w:szCs w:val="24"/>
        </w:rPr>
        <w:t>oration</w:t>
      </w:r>
      <w:r w:rsidRPr="000F57AA">
        <w:rPr>
          <w:rFonts w:ascii="Times New Roman" w:hAnsi="Times New Roman"/>
          <w:sz w:val="24"/>
          <w:szCs w:val="24"/>
        </w:rPr>
        <w:t xml:space="preserve"> in Ghana is called Newmont Ghana Gold Limited (henceforth NGGL)</w:t>
      </w:r>
      <w:r w:rsidR="007D12B9" w:rsidRPr="000F57AA">
        <w:rPr>
          <w:rFonts w:ascii="Times New Roman" w:hAnsi="Times New Roman"/>
          <w:sz w:val="24"/>
          <w:szCs w:val="24"/>
        </w:rPr>
        <w:t>.</w:t>
      </w:r>
      <w:r w:rsidRPr="000F57AA">
        <w:rPr>
          <w:rFonts w:ascii="Times New Roman" w:hAnsi="Times New Roman"/>
          <w:sz w:val="24"/>
          <w:szCs w:val="24"/>
        </w:rPr>
        <w:t xml:space="preserve"> </w:t>
      </w:r>
      <w:r w:rsidR="007D12B9" w:rsidRPr="000F57AA">
        <w:rPr>
          <w:rFonts w:ascii="Times New Roman" w:hAnsi="Times New Roman"/>
          <w:sz w:val="24"/>
          <w:szCs w:val="24"/>
        </w:rPr>
        <w:t xml:space="preserve">The NGGL </w:t>
      </w:r>
      <w:r w:rsidRPr="000F57AA">
        <w:rPr>
          <w:rFonts w:ascii="Times New Roman" w:hAnsi="Times New Roman"/>
          <w:sz w:val="24"/>
          <w:szCs w:val="24"/>
        </w:rPr>
        <w:t>commenced commercial exploration of gold</w:t>
      </w:r>
      <w:r w:rsidR="007D12B9" w:rsidRPr="000F57AA">
        <w:rPr>
          <w:rFonts w:ascii="Times New Roman" w:hAnsi="Times New Roman"/>
          <w:sz w:val="24"/>
          <w:szCs w:val="24"/>
        </w:rPr>
        <w:t xml:space="preserve"> in Ghana</w:t>
      </w:r>
      <w:r w:rsidRPr="000F57AA">
        <w:rPr>
          <w:rFonts w:ascii="Times New Roman" w:hAnsi="Times New Roman"/>
          <w:sz w:val="24"/>
          <w:szCs w:val="24"/>
        </w:rPr>
        <w:t xml:space="preserve"> at the Ahafo Mines in the Brong-Ahafo region in 2006.  In December 2003, Ghana’s Parliament unanimously ratified an investment agreement between Newmont Corp</w:t>
      </w:r>
      <w:r w:rsidR="007D12B9" w:rsidRPr="000F57AA">
        <w:rPr>
          <w:rFonts w:ascii="Times New Roman" w:hAnsi="Times New Roman"/>
          <w:sz w:val="24"/>
          <w:szCs w:val="24"/>
        </w:rPr>
        <w:t>oration</w:t>
      </w:r>
      <w:r w:rsidRPr="000F57AA">
        <w:rPr>
          <w:rFonts w:ascii="Times New Roman" w:hAnsi="Times New Roman"/>
          <w:sz w:val="24"/>
          <w:szCs w:val="24"/>
        </w:rPr>
        <w:t xml:space="preserve"> and the Government of Ghana. The investment agreement established the fiscal and legal regime underpinning the operations of NGGL. The fiscal regime included royalties and taxes the company would pay to the State</w:t>
      </w:r>
      <w:r w:rsidR="007D12B9" w:rsidRPr="000F57AA">
        <w:rPr>
          <w:rFonts w:ascii="Times New Roman" w:hAnsi="Times New Roman"/>
          <w:sz w:val="24"/>
          <w:szCs w:val="24"/>
        </w:rPr>
        <w:t>’s</w:t>
      </w:r>
      <w:r w:rsidRPr="000F57AA">
        <w:rPr>
          <w:rFonts w:ascii="Times New Roman" w:hAnsi="Times New Roman"/>
          <w:sz w:val="24"/>
          <w:szCs w:val="24"/>
        </w:rPr>
        <w:t xml:space="preserve"> exchequer during the life of the project in Ghana.</w:t>
      </w:r>
      <w:r w:rsidRPr="000F57AA">
        <w:rPr>
          <w:rStyle w:val="FootnoteReference"/>
          <w:rFonts w:ascii="Times New Roman" w:hAnsi="Times New Roman"/>
          <w:sz w:val="24"/>
          <w:szCs w:val="24"/>
        </w:rPr>
        <w:footnoteReference w:id="2"/>
      </w:r>
      <w:r w:rsidRPr="000F57AA">
        <w:rPr>
          <w:rFonts w:ascii="Times New Roman" w:hAnsi="Times New Roman"/>
          <w:sz w:val="24"/>
          <w:szCs w:val="24"/>
        </w:rPr>
        <w:t xml:space="preserve">  NGGL</w:t>
      </w:r>
      <w:r w:rsidR="00261A22" w:rsidRPr="000F57AA">
        <w:rPr>
          <w:rFonts w:ascii="Times New Roman" w:hAnsi="Times New Roman"/>
          <w:sz w:val="24"/>
          <w:szCs w:val="24"/>
        </w:rPr>
        <w:t xml:space="preserve">, together with its contractors employ </w:t>
      </w:r>
      <w:r w:rsidRPr="000F57AA">
        <w:rPr>
          <w:rFonts w:ascii="Times New Roman" w:hAnsi="Times New Roman"/>
          <w:sz w:val="24"/>
          <w:szCs w:val="24"/>
        </w:rPr>
        <w:t xml:space="preserve">approximately </w:t>
      </w:r>
      <w:r w:rsidR="00261A22" w:rsidRPr="000F57AA">
        <w:rPr>
          <w:rFonts w:ascii="Times New Roman" w:hAnsi="Times New Roman"/>
          <w:sz w:val="24"/>
          <w:szCs w:val="24"/>
        </w:rPr>
        <w:t>6,0</w:t>
      </w:r>
      <w:r w:rsidRPr="000F57AA">
        <w:rPr>
          <w:rFonts w:ascii="Times New Roman" w:hAnsi="Times New Roman"/>
          <w:sz w:val="24"/>
          <w:szCs w:val="24"/>
        </w:rPr>
        <w:t xml:space="preserve">00 people in two mines and produces </w:t>
      </w:r>
      <w:r w:rsidR="007D12B9" w:rsidRPr="000F57AA">
        <w:rPr>
          <w:rFonts w:ascii="Times New Roman" w:hAnsi="Times New Roman"/>
          <w:sz w:val="24"/>
          <w:szCs w:val="24"/>
        </w:rPr>
        <w:t xml:space="preserve">about </w:t>
      </w:r>
      <w:r w:rsidRPr="000F57AA">
        <w:rPr>
          <w:rFonts w:ascii="Times New Roman" w:hAnsi="Times New Roman"/>
          <w:sz w:val="24"/>
          <w:szCs w:val="24"/>
        </w:rPr>
        <w:t>550,000 ounces of gold per annum (</w:t>
      </w:r>
      <w:r w:rsidR="00261A22" w:rsidRPr="000F57AA">
        <w:rPr>
          <w:rFonts w:ascii="Times New Roman" w:hAnsi="Times New Roman"/>
          <w:sz w:val="24"/>
          <w:szCs w:val="24"/>
        </w:rPr>
        <w:t>Newmont, 2017</w:t>
      </w:r>
      <w:r w:rsidRPr="000F57AA">
        <w:rPr>
          <w:rFonts w:ascii="Times New Roman" w:hAnsi="Times New Roman"/>
          <w:sz w:val="24"/>
          <w:szCs w:val="24"/>
        </w:rPr>
        <w:t xml:space="preserve">).  The Ahafo </w:t>
      </w:r>
      <w:r w:rsidR="00093CFC" w:rsidRPr="000F57AA">
        <w:rPr>
          <w:rFonts w:ascii="Times New Roman" w:hAnsi="Times New Roman"/>
          <w:sz w:val="24"/>
          <w:szCs w:val="24"/>
        </w:rPr>
        <w:t xml:space="preserve">mines for instance </w:t>
      </w:r>
      <w:r w:rsidR="00093CFC" w:rsidRPr="000F57AA">
        <w:rPr>
          <w:rFonts w:ascii="Times New Roman" w:hAnsi="Times New Roman"/>
          <w:sz w:val="24"/>
          <w:szCs w:val="24"/>
        </w:rPr>
        <w:lastRenderedPageBreak/>
        <w:t>encompass</w:t>
      </w:r>
      <w:r w:rsidRPr="000F57AA">
        <w:rPr>
          <w:rFonts w:ascii="Times New Roman" w:hAnsi="Times New Roman"/>
          <w:sz w:val="24"/>
          <w:szCs w:val="24"/>
        </w:rPr>
        <w:t xml:space="preserve"> two administrative districts and cover ten major communities. A living standard survey conducted by the Ghana Statistical Service in 2008</w:t>
      </w:r>
      <w:r w:rsidR="007D12B9" w:rsidRPr="000F57AA">
        <w:rPr>
          <w:rFonts w:ascii="Times New Roman" w:hAnsi="Times New Roman"/>
          <w:sz w:val="24"/>
          <w:szCs w:val="24"/>
        </w:rPr>
        <w:t xml:space="preserve"> found that the two local councils</w:t>
      </w:r>
      <w:r w:rsidRPr="000F57AA">
        <w:rPr>
          <w:rFonts w:ascii="Times New Roman" w:hAnsi="Times New Roman"/>
          <w:sz w:val="24"/>
          <w:szCs w:val="24"/>
        </w:rPr>
        <w:t xml:space="preserve"> are rural districts and lack many basic social amenities such as education and health infrastructure, portable pipe-borne water, and road networks. Thus, NGGL is envisaged to play a critical role to in the development of the region. </w:t>
      </w:r>
    </w:p>
    <w:p w14:paraId="77F853BF" w14:textId="3D8BEE95" w:rsidR="007F5903" w:rsidRPr="000F57AA" w:rsidRDefault="007F5903" w:rsidP="007F5903">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hAnsi="Times New Roman"/>
          <w:sz w:val="24"/>
          <w:szCs w:val="24"/>
          <w:lang w:val="en-US"/>
        </w:rPr>
        <w:t xml:space="preserve">We collected data </w:t>
      </w:r>
      <w:r w:rsidRPr="000F57AA">
        <w:rPr>
          <w:rFonts w:ascii="Times New Roman" w:hAnsi="Times New Roman"/>
          <w:sz w:val="24"/>
          <w:szCs w:val="24"/>
        </w:rPr>
        <w:t>between December 2014 and June 2015</w:t>
      </w:r>
      <w:r w:rsidR="00261A22" w:rsidRPr="000F57AA">
        <w:rPr>
          <w:rFonts w:ascii="Times New Roman" w:hAnsi="Times New Roman"/>
          <w:sz w:val="24"/>
          <w:szCs w:val="24"/>
        </w:rPr>
        <w:t xml:space="preserve">. We used </w:t>
      </w:r>
      <w:r w:rsidRPr="000F57AA">
        <w:rPr>
          <w:rFonts w:ascii="Times New Roman" w:hAnsi="Times New Roman"/>
          <w:sz w:val="24"/>
          <w:szCs w:val="24"/>
          <w:lang w:val="en-US"/>
        </w:rPr>
        <w:t xml:space="preserve">several data sources, namely, (a) initial data generated from a survey questionnaire; (b) qualitative data generated from semi-structured interviews; and (c) archival data including corporate documents, press releases, annual reports and other investor’s presentations on the company’s CSR initiatives and activities. </w:t>
      </w:r>
    </w:p>
    <w:p w14:paraId="6B3BDC09" w14:textId="6958707A" w:rsidR="00A376DE" w:rsidRPr="00A376DE" w:rsidRDefault="007F5903" w:rsidP="00A376DE">
      <w:pPr>
        <w:pStyle w:val="NoteLevel11"/>
        <w:numPr>
          <w:ilvl w:val="0"/>
          <w:numId w:val="0"/>
        </w:numPr>
        <w:spacing w:line="480" w:lineRule="auto"/>
        <w:rPr>
          <w:rFonts w:ascii="Times New Roman" w:hAnsi="Times New Roman"/>
          <w:sz w:val="24"/>
          <w:szCs w:val="24"/>
        </w:rPr>
      </w:pPr>
      <w:r w:rsidRPr="000F57AA">
        <w:rPr>
          <w:rFonts w:ascii="Times New Roman" w:hAnsi="Times New Roman"/>
          <w:sz w:val="24"/>
          <w:szCs w:val="24"/>
          <w:lang w:val="en-US"/>
        </w:rPr>
        <w:t>In the first phase, we collected</w:t>
      </w:r>
      <w:r w:rsidRPr="000F57AA">
        <w:rPr>
          <w:rFonts w:ascii="Times New Roman" w:hAnsi="Times New Roman"/>
          <w:sz w:val="24"/>
          <w:szCs w:val="24"/>
        </w:rPr>
        <w:t xml:space="preserve"> data through the administration of questionnaire to 103 respondents. We adopted random sampling technique in selecting the respondents for the study. This technique ensures that all the members of the target population </w:t>
      </w:r>
      <w:r w:rsidR="00CF43A6" w:rsidRPr="000F57AA">
        <w:rPr>
          <w:rFonts w:ascii="Times New Roman" w:hAnsi="Times New Roman"/>
          <w:sz w:val="24"/>
          <w:szCs w:val="24"/>
        </w:rPr>
        <w:t xml:space="preserve">were provided equal </w:t>
      </w:r>
      <w:r w:rsidRPr="000F57AA">
        <w:rPr>
          <w:rFonts w:ascii="Times New Roman" w:hAnsi="Times New Roman"/>
          <w:sz w:val="24"/>
          <w:szCs w:val="24"/>
        </w:rPr>
        <w:t xml:space="preserve">opportunity to be selected for the study (Cooper and Schindler, 2006). The population surveyed consisted of both the employees of </w:t>
      </w:r>
      <w:r w:rsidR="004318AC" w:rsidRPr="000F57AA">
        <w:rPr>
          <w:rFonts w:ascii="Times New Roman" w:hAnsi="Times New Roman"/>
          <w:sz w:val="24"/>
          <w:szCs w:val="24"/>
        </w:rPr>
        <w:t>NGGL</w:t>
      </w:r>
      <w:r w:rsidRPr="000F57AA">
        <w:rPr>
          <w:rFonts w:ascii="Times New Roman" w:hAnsi="Times New Roman"/>
          <w:sz w:val="24"/>
          <w:szCs w:val="24"/>
        </w:rPr>
        <w:t xml:space="preserve"> and members of the communities that the mines operated from. The purpose for drawing the research participants from both officials of the MNE and the local communities was to ensure that data collected for the study were more </w:t>
      </w:r>
      <w:r w:rsidRPr="000F57AA">
        <w:rPr>
          <w:rFonts w:ascii="Times New Roman" w:hAnsi="Times New Roman"/>
          <w:sz w:val="24"/>
          <w:szCs w:val="24"/>
        </w:rPr>
        <w:lastRenderedPageBreak/>
        <w:t xml:space="preserve">representative. Hence, our findings do not emanate from </w:t>
      </w:r>
      <w:r w:rsidR="00CF43A6" w:rsidRPr="000F57AA">
        <w:rPr>
          <w:rFonts w:ascii="Times New Roman" w:hAnsi="Times New Roman"/>
          <w:sz w:val="24"/>
          <w:szCs w:val="24"/>
        </w:rPr>
        <w:t xml:space="preserve">the responses from one section of the population only. </w:t>
      </w:r>
      <w:r w:rsidRPr="000F57AA">
        <w:rPr>
          <w:rFonts w:ascii="Times New Roman" w:hAnsi="Times New Roman"/>
          <w:sz w:val="24"/>
          <w:szCs w:val="24"/>
        </w:rPr>
        <w:t xml:space="preserve">Eighty-two questionnaires were retrieved from the sampled population, representing 79.6%. In similar study conducted by Welford and Dixon (2010) the retrieval rate was 37%. Therefore, the high rate of response for this study reflects the fair representation of the sampled population (Gao, 2007). </w:t>
      </w:r>
      <w:r w:rsidR="00A376DE" w:rsidRPr="00A376DE">
        <w:rPr>
          <w:rFonts w:ascii="Times New Roman" w:hAnsi="Times New Roman"/>
          <w:sz w:val="24"/>
          <w:szCs w:val="24"/>
        </w:rPr>
        <w:t>The summary of the sample population is provided in table 1.</w:t>
      </w:r>
    </w:p>
    <w:p w14:paraId="3A8714F5" w14:textId="00DFF887" w:rsidR="00A376DE" w:rsidRPr="000F57AA" w:rsidRDefault="00A376DE" w:rsidP="00A376DE">
      <w:pPr>
        <w:pStyle w:val="NoteLevel11"/>
        <w:numPr>
          <w:ilvl w:val="0"/>
          <w:numId w:val="0"/>
        </w:numPr>
        <w:spacing w:line="480" w:lineRule="auto"/>
        <w:jc w:val="center"/>
        <w:rPr>
          <w:rFonts w:ascii="Times New Roman" w:hAnsi="Times New Roman"/>
          <w:sz w:val="24"/>
          <w:szCs w:val="24"/>
        </w:rPr>
      </w:pPr>
      <w:r>
        <w:rPr>
          <w:rFonts w:ascii="Times New Roman" w:hAnsi="Times New Roman"/>
          <w:sz w:val="24"/>
          <w:szCs w:val="24"/>
        </w:rPr>
        <w:t>(Please insert table 1 here)</w:t>
      </w:r>
    </w:p>
    <w:p w14:paraId="4DA2DAEC" w14:textId="649933EA" w:rsidR="0034287B" w:rsidRDefault="007F5903" w:rsidP="000F36EC">
      <w:pPr>
        <w:pStyle w:val="NoteLevel11"/>
        <w:numPr>
          <w:ilvl w:val="0"/>
          <w:numId w:val="0"/>
        </w:numPr>
        <w:spacing w:line="480" w:lineRule="auto"/>
        <w:ind w:firstLine="720"/>
        <w:rPr>
          <w:rFonts w:ascii="Times New Roman" w:hAnsi="Times New Roman"/>
          <w:sz w:val="24"/>
          <w:szCs w:val="24"/>
        </w:rPr>
      </w:pPr>
      <w:r w:rsidRPr="000F57AA">
        <w:rPr>
          <w:rFonts w:ascii="Times New Roman" w:hAnsi="Times New Roman"/>
          <w:sz w:val="24"/>
          <w:szCs w:val="24"/>
        </w:rPr>
        <w:t>The questionnaire was carefully designed to obtain information in three main parts: a) personal data b) the benefits and factors motivating CSR and c) the level of stakeholder participation in the CSR strategy formulation and implementation. The first part obtained information about participants’ gender, the number of years they have worked/encountered the company under study and their awareness of the company’s CSR policies. Also, this part of the question suggested seven key CSR motivating factors, and asked the participants to rate them in</w:t>
      </w:r>
      <w:r w:rsidR="0034287B">
        <w:rPr>
          <w:rFonts w:ascii="Times New Roman" w:hAnsi="Times New Roman"/>
          <w:sz w:val="24"/>
          <w:szCs w:val="24"/>
        </w:rPr>
        <w:t xml:space="preserve"> </w:t>
      </w:r>
      <w:r w:rsidR="0034287B">
        <w:rPr>
          <w:rFonts w:ascii="Times New Roman" w:hAnsi="Times New Roman"/>
          <w:sz w:val="24"/>
          <w:szCs w:val="24"/>
        </w:rPr>
        <w:lastRenderedPageBreak/>
        <w:t>o</w:t>
      </w:r>
      <w:r w:rsidRPr="000F57AA">
        <w:rPr>
          <w:rFonts w:ascii="Times New Roman" w:hAnsi="Times New Roman"/>
          <w:sz w:val="24"/>
          <w:szCs w:val="24"/>
        </w:rPr>
        <w:t>rder of importance from a range between one and seven, where the former was the least important and the later the most important. Furthermore, participants were asked to disclose other</w:t>
      </w:r>
    </w:p>
    <w:p w14:paraId="72652600" w14:textId="7DB8F679" w:rsidR="000F36EC" w:rsidRPr="000F57AA" w:rsidRDefault="00A376DE" w:rsidP="000F36EC">
      <w:pPr>
        <w:pStyle w:val="NoteLevel11"/>
        <w:numPr>
          <w:ilvl w:val="0"/>
          <w:numId w:val="0"/>
        </w:numPr>
        <w:spacing w:line="480" w:lineRule="auto"/>
        <w:ind w:firstLine="720"/>
        <w:rPr>
          <w:rFonts w:ascii="Times New Roman" w:hAnsi="Times New Roman"/>
          <w:sz w:val="24"/>
          <w:szCs w:val="24"/>
        </w:rPr>
      </w:pPr>
      <w:r>
        <w:rPr>
          <w:rFonts w:ascii="Times New Roman" w:hAnsi="Times New Roman"/>
          <w:sz w:val="24"/>
          <w:szCs w:val="24"/>
        </w:rPr>
        <w:t xml:space="preserve">The CSR motivating factors </w:t>
      </w:r>
      <w:r w:rsidR="007F5903" w:rsidRPr="000F57AA">
        <w:rPr>
          <w:rFonts w:ascii="Times New Roman" w:hAnsi="Times New Roman"/>
          <w:sz w:val="24"/>
          <w:szCs w:val="24"/>
        </w:rPr>
        <w:t xml:space="preserve">were not listed in the questionnaire but related to the organisation under study. </w:t>
      </w:r>
      <w:r w:rsidR="000F36EC" w:rsidRPr="000F57AA">
        <w:rPr>
          <w:rFonts w:ascii="Times New Roman" w:hAnsi="Times New Roman"/>
          <w:sz w:val="24"/>
          <w:szCs w:val="24"/>
        </w:rPr>
        <w:t xml:space="preserve">The </w:t>
      </w:r>
      <w:r w:rsidR="00A80415" w:rsidRPr="000F57AA">
        <w:rPr>
          <w:rFonts w:ascii="Times New Roman" w:hAnsi="Times New Roman"/>
          <w:sz w:val="24"/>
          <w:szCs w:val="24"/>
        </w:rPr>
        <w:t xml:space="preserve">responses from the </w:t>
      </w:r>
      <w:r>
        <w:rPr>
          <w:rFonts w:ascii="Times New Roman" w:hAnsi="Times New Roman"/>
          <w:sz w:val="24"/>
          <w:szCs w:val="24"/>
        </w:rPr>
        <w:t xml:space="preserve">survey respondents pertaining to NGGL’s motivation for CSR </w:t>
      </w:r>
      <w:r w:rsidR="00A80415" w:rsidRPr="000F57AA">
        <w:rPr>
          <w:rFonts w:ascii="Times New Roman" w:hAnsi="Times New Roman"/>
          <w:sz w:val="24"/>
          <w:szCs w:val="24"/>
        </w:rPr>
        <w:t xml:space="preserve">are </w:t>
      </w:r>
      <w:r>
        <w:rPr>
          <w:rFonts w:ascii="Times New Roman" w:hAnsi="Times New Roman"/>
          <w:sz w:val="24"/>
          <w:szCs w:val="24"/>
        </w:rPr>
        <w:t>in Figure 1</w:t>
      </w:r>
      <w:r w:rsidR="000F36EC" w:rsidRPr="000F57AA">
        <w:rPr>
          <w:rFonts w:ascii="Times New Roman" w:hAnsi="Times New Roman"/>
          <w:sz w:val="24"/>
          <w:szCs w:val="24"/>
        </w:rPr>
        <w:t xml:space="preserve">. </w:t>
      </w:r>
    </w:p>
    <w:p w14:paraId="2D6FC85C" w14:textId="77777777" w:rsidR="000F36EC" w:rsidRPr="000F57AA" w:rsidRDefault="000F36EC" w:rsidP="000F36EC">
      <w:pPr>
        <w:pStyle w:val="NoteLevel11"/>
        <w:numPr>
          <w:ilvl w:val="0"/>
          <w:numId w:val="0"/>
        </w:numPr>
        <w:spacing w:line="480" w:lineRule="auto"/>
        <w:rPr>
          <w:rFonts w:ascii="Times New Roman" w:hAnsi="Times New Roman"/>
          <w:sz w:val="24"/>
          <w:szCs w:val="24"/>
        </w:rPr>
      </w:pPr>
    </w:p>
    <w:p w14:paraId="34663CBA" w14:textId="1D6CB767" w:rsidR="000F36EC" w:rsidRPr="000F57AA" w:rsidRDefault="006A5A23" w:rsidP="000F36EC">
      <w:pPr>
        <w:pStyle w:val="NoteLevel11"/>
        <w:numPr>
          <w:ilvl w:val="0"/>
          <w:numId w:val="0"/>
        </w:numPr>
        <w:spacing w:line="480" w:lineRule="auto"/>
        <w:jc w:val="center"/>
        <w:rPr>
          <w:rFonts w:ascii="Times New Roman" w:hAnsi="Times New Roman"/>
          <w:sz w:val="24"/>
          <w:szCs w:val="24"/>
        </w:rPr>
      </w:pPr>
      <w:r>
        <w:rPr>
          <w:rFonts w:ascii="Times New Roman" w:hAnsi="Times New Roman"/>
          <w:sz w:val="24"/>
          <w:szCs w:val="24"/>
        </w:rPr>
        <w:t>(</w:t>
      </w:r>
      <w:r w:rsidR="000F36EC" w:rsidRPr="000F57AA">
        <w:rPr>
          <w:rFonts w:ascii="Times New Roman" w:hAnsi="Times New Roman"/>
          <w:sz w:val="24"/>
          <w:szCs w:val="24"/>
        </w:rPr>
        <w:t>Please insert Figure 1 over here</w:t>
      </w:r>
      <w:r>
        <w:rPr>
          <w:rFonts w:ascii="Times New Roman" w:hAnsi="Times New Roman"/>
          <w:sz w:val="24"/>
          <w:szCs w:val="24"/>
        </w:rPr>
        <w:t>)</w:t>
      </w:r>
    </w:p>
    <w:p w14:paraId="67F0C278" w14:textId="5253C919" w:rsidR="007F5903" w:rsidRPr="000F57AA" w:rsidRDefault="007F5903" w:rsidP="007F5903">
      <w:pPr>
        <w:pStyle w:val="NoteLevel11"/>
        <w:numPr>
          <w:ilvl w:val="0"/>
          <w:numId w:val="0"/>
        </w:numPr>
        <w:spacing w:line="480" w:lineRule="auto"/>
        <w:ind w:firstLine="720"/>
        <w:rPr>
          <w:rFonts w:ascii="Times New Roman" w:hAnsi="Times New Roman"/>
          <w:sz w:val="24"/>
          <w:szCs w:val="24"/>
        </w:rPr>
      </w:pPr>
    </w:p>
    <w:p w14:paraId="1A61634B" w14:textId="6B139F80" w:rsidR="007F5903" w:rsidRPr="000F57AA" w:rsidRDefault="007F5903" w:rsidP="007F5903">
      <w:pPr>
        <w:pStyle w:val="NoteLevel11"/>
        <w:numPr>
          <w:ilvl w:val="0"/>
          <w:numId w:val="0"/>
        </w:numPr>
        <w:spacing w:line="480" w:lineRule="auto"/>
        <w:rPr>
          <w:rFonts w:ascii="Times New Roman" w:hAnsi="Times New Roman"/>
          <w:sz w:val="24"/>
          <w:szCs w:val="24"/>
        </w:rPr>
      </w:pPr>
      <w:r w:rsidRPr="000F57AA">
        <w:rPr>
          <w:rFonts w:ascii="Times New Roman" w:hAnsi="Times New Roman"/>
          <w:sz w:val="24"/>
          <w:szCs w:val="24"/>
        </w:rPr>
        <w:t>Responses from the questionnaire, particularly regarding perceptions of the respondents regarding motivation of the firm to engage in CSR activities</w:t>
      </w:r>
      <w:r w:rsidR="0094597F" w:rsidRPr="000F57AA">
        <w:rPr>
          <w:rFonts w:ascii="Times New Roman" w:hAnsi="Times New Roman"/>
          <w:sz w:val="24"/>
          <w:szCs w:val="24"/>
        </w:rPr>
        <w:t>,</w:t>
      </w:r>
      <w:r w:rsidRPr="000F57AA">
        <w:rPr>
          <w:rFonts w:ascii="Times New Roman" w:hAnsi="Times New Roman"/>
          <w:sz w:val="24"/>
          <w:szCs w:val="24"/>
        </w:rPr>
        <w:t xml:space="preserve"> encouraged us to undertake a more in-depth study. In the second phase, we </w:t>
      </w:r>
      <w:r w:rsidR="000F36EC" w:rsidRPr="000F57AA">
        <w:rPr>
          <w:rFonts w:ascii="Times New Roman" w:hAnsi="Times New Roman"/>
          <w:sz w:val="24"/>
          <w:szCs w:val="24"/>
        </w:rPr>
        <w:t>undertook semi-</w:t>
      </w:r>
      <w:r w:rsidR="002E0AA8">
        <w:rPr>
          <w:rFonts w:ascii="Times New Roman" w:hAnsi="Times New Roman"/>
          <w:sz w:val="24"/>
          <w:szCs w:val="24"/>
        </w:rPr>
        <w:t xml:space="preserve">structured </w:t>
      </w:r>
      <w:r w:rsidRPr="000F57AA">
        <w:rPr>
          <w:rFonts w:ascii="Times New Roman" w:hAnsi="Times New Roman"/>
          <w:sz w:val="24"/>
          <w:szCs w:val="24"/>
        </w:rPr>
        <w:t>interview</w:t>
      </w:r>
      <w:r w:rsidR="000F36EC" w:rsidRPr="000F57AA">
        <w:rPr>
          <w:rFonts w:ascii="Times New Roman" w:hAnsi="Times New Roman"/>
          <w:sz w:val="24"/>
          <w:szCs w:val="24"/>
        </w:rPr>
        <w:t>s</w:t>
      </w:r>
      <w:r w:rsidRPr="000F57AA">
        <w:rPr>
          <w:rFonts w:ascii="Times New Roman" w:hAnsi="Times New Roman"/>
          <w:sz w:val="24"/>
          <w:szCs w:val="24"/>
        </w:rPr>
        <w:t xml:space="preserve"> </w:t>
      </w:r>
      <w:r w:rsidR="000F36EC" w:rsidRPr="000F57AA">
        <w:rPr>
          <w:rFonts w:ascii="Times New Roman" w:hAnsi="Times New Roman"/>
          <w:sz w:val="24"/>
          <w:szCs w:val="24"/>
        </w:rPr>
        <w:t xml:space="preserve">of </w:t>
      </w:r>
      <w:r w:rsidRPr="000F57AA">
        <w:rPr>
          <w:rFonts w:ascii="Times New Roman" w:hAnsi="Times New Roman"/>
          <w:sz w:val="24"/>
          <w:szCs w:val="24"/>
        </w:rPr>
        <w:t xml:space="preserve">14 key individuals to develop fine-grained understanding of how NGGL approaches and implements its CSR strategy in the region. The interviewees for the semi-structured interview consisted of some management employees of </w:t>
      </w:r>
      <w:r w:rsidR="000F36EC" w:rsidRPr="000F57AA">
        <w:rPr>
          <w:rFonts w:ascii="Times New Roman" w:hAnsi="Times New Roman"/>
          <w:sz w:val="24"/>
          <w:szCs w:val="24"/>
        </w:rPr>
        <w:t>NGGL</w:t>
      </w:r>
      <w:r w:rsidRPr="000F57AA">
        <w:rPr>
          <w:rFonts w:ascii="Times New Roman" w:hAnsi="Times New Roman"/>
          <w:sz w:val="24"/>
          <w:szCs w:val="24"/>
        </w:rPr>
        <w:t xml:space="preserve">, members of the local community, and opinion leaders of the company’s host communities.  The responses from the questionnaires and interviews provided us insights on (a) the motivating factors that drive CSR initiatives of NGGL in the region; and (b) </w:t>
      </w:r>
      <w:r w:rsidRPr="000F57AA">
        <w:rPr>
          <w:rFonts w:ascii="Times New Roman" w:hAnsi="Times New Roman"/>
          <w:sz w:val="24"/>
          <w:szCs w:val="24"/>
        </w:rPr>
        <w:lastRenderedPageBreak/>
        <w:t>the approach the company adopts to implement the CSR initiatives, and in the process, creates and localize its ‘host-friendly’ identity. We used archival sources to complement the data and insights we generated from the survey and interviews.</w:t>
      </w:r>
      <w:r w:rsidR="0094597F" w:rsidRPr="000F57AA">
        <w:rPr>
          <w:rFonts w:ascii="Times New Roman" w:hAnsi="Times New Roman"/>
          <w:sz w:val="24"/>
          <w:szCs w:val="24"/>
        </w:rPr>
        <w:t xml:space="preserve"> The list of the interviewees is provided </w:t>
      </w:r>
      <w:r w:rsidR="00A376DE">
        <w:rPr>
          <w:rFonts w:ascii="Times New Roman" w:hAnsi="Times New Roman"/>
          <w:sz w:val="24"/>
          <w:szCs w:val="24"/>
        </w:rPr>
        <w:t xml:space="preserve">in </w:t>
      </w:r>
      <w:r w:rsidR="0094597F" w:rsidRPr="000F57AA">
        <w:rPr>
          <w:rFonts w:ascii="Times New Roman" w:hAnsi="Times New Roman"/>
          <w:sz w:val="24"/>
          <w:szCs w:val="24"/>
        </w:rPr>
        <w:t xml:space="preserve">table </w:t>
      </w:r>
      <w:r w:rsidR="00A376DE">
        <w:rPr>
          <w:rFonts w:ascii="Times New Roman" w:hAnsi="Times New Roman"/>
          <w:sz w:val="24"/>
          <w:szCs w:val="24"/>
        </w:rPr>
        <w:t>2</w:t>
      </w:r>
      <w:r w:rsidR="0094597F" w:rsidRPr="000F57AA">
        <w:rPr>
          <w:rFonts w:ascii="Times New Roman" w:hAnsi="Times New Roman"/>
          <w:sz w:val="24"/>
          <w:szCs w:val="24"/>
        </w:rPr>
        <w:t xml:space="preserve">. </w:t>
      </w:r>
    </w:p>
    <w:p w14:paraId="319E00B0" w14:textId="4820B3E6" w:rsidR="0094597F" w:rsidRPr="000F57AA" w:rsidRDefault="00A376DE" w:rsidP="00853FAE">
      <w:pPr>
        <w:pStyle w:val="NoteLevel11"/>
        <w:numPr>
          <w:ilvl w:val="0"/>
          <w:numId w:val="0"/>
        </w:numPr>
        <w:spacing w:line="480" w:lineRule="auto"/>
        <w:ind w:left="2160" w:firstLine="720"/>
        <w:rPr>
          <w:rFonts w:ascii="Times New Roman" w:hAnsi="Times New Roman"/>
          <w:sz w:val="24"/>
          <w:szCs w:val="24"/>
        </w:rPr>
      </w:pPr>
      <w:r>
        <w:rPr>
          <w:rFonts w:ascii="Times New Roman" w:hAnsi="Times New Roman"/>
          <w:sz w:val="24"/>
          <w:szCs w:val="24"/>
        </w:rPr>
        <w:t>(Please insert Table 2</w:t>
      </w:r>
      <w:r w:rsidR="0094597F" w:rsidRPr="000F57AA">
        <w:rPr>
          <w:rFonts w:ascii="Times New Roman" w:hAnsi="Times New Roman"/>
          <w:sz w:val="24"/>
          <w:szCs w:val="24"/>
        </w:rPr>
        <w:t xml:space="preserve"> here</w:t>
      </w:r>
      <w:r>
        <w:rPr>
          <w:rFonts w:ascii="Times New Roman" w:hAnsi="Times New Roman"/>
          <w:sz w:val="24"/>
          <w:szCs w:val="24"/>
        </w:rPr>
        <w:t>)</w:t>
      </w:r>
    </w:p>
    <w:p w14:paraId="252AE4BA" w14:textId="77777777" w:rsidR="007F5903" w:rsidRPr="000F57AA" w:rsidRDefault="007F5903" w:rsidP="007F5903">
      <w:pPr>
        <w:pStyle w:val="NoteLevel11"/>
        <w:spacing w:line="480" w:lineRule="auto"/>
        <w:rPr>
          <w:rFonts w:ascii="Times New Roman" w:hAnsi="Times New Roman"/>
          <w:b/>
          <w:sz w:val="24"/>
          <w:szCs w:val="24"/>
          <w:lang w:val="en-US"/>
        </w:rPr>
      </w:pPr>
      <w:r w:rsidRPr="000F57AA">
        <w:rPr>
          <w:rFonts w:ascii="Times New Roman" w:hAnsi="Times New Roman"/>
          <w:b/>
          <w:sz w:val="24"/>
          <w:szCs w:val="24"/>
          <w:lang w:val="en-US"/>
        </w:rPr>
        <w:t>5. Findings</w:t>
      </w:r>
    </w:p>
    <w:p w14:paraId="3C6DE5CC" w14:textId="5A72AF70" w:rsidR="002870CA" w:rsidRPr="000F57AA" w:rsidRDefault="007F5903" w:rsidP="0034287B">
      <w:pPr>
        <w:pStyle w:val="NoteLevel11"/>
        <w:numPr>
          <w:ilvl w:val="0"/>
          <w:numId w:val="0"/>
        </w:numPr>
        <w:spacing w:line="480" w:lineRule="auto"/>
        <w:jc w:val="both"/>
        <w:rPr>
          <w:rFonts w:ascii="Times New Roman" w:hAnsi="Times New Roman"/>
          <w:sz w:val="24"/>
          <w:szCs w:val="24"/>
          <w:lang w:val="en-US"/>
        </w:rPr>
      </w:pPr>
      <w:r w:rsidRPr="000F57AA">
        <w:rPr>
          <w:rFonts w:ascii="Times New Roman" w:hAnsi="Times New Roman"/>
          <w:sz w:val="24"/>
          <w:szCs w:val="24"/>
          <w:lang w:val="en-US"/>
        </w:rPr>
        <w:t xml:space="preserve">The review of literature on extractive industry and CSR suggests that although CSR ranks high on the agenda of </w:t>
      </w:r>
      <w:r w:rsidR="002870CA" w:rsidRPr="000F57AA">
        <w:rPr>
          <w:rFonts w:ascii="Times New Roman" w:hAnsi="Times New Roman"/>
          <w:sz w:val="24"/>
          <w:szCs w:val="24"/>
          <w:lang w:val="en-US"/>
        </w:rPr>
        <w:t>the</w:t>
      </w:r>
      <w:r w:rsidRPr="000F57AA">
        <w:rPr>
          <w:rFonts w:ascii="Times New Roman" w:hAnsi="Times New Roman"/>
          <w:sz w:val="24"/>
          <w:szCs w:val="24"/>
          <w:lang w:val="en-US"/>
        </w:rPr>
        <w:t xml:space="preserve"> mining enterprises, there is lack of agreement on whether these enterprises adequately implement the strategies in their host country settings </w:t>
      </w:r>
      <w:r w:rsidR="002870CA" w:rsidRPr="000F57AA">
        <w:rPr>
          <w:rFonts w:ascii="Times New Roman" w:hAnsi="Times New Roman"/>
          <w:sz w:val="24"/>
          <w:szCs w:val="24"/>
          <w:lang w:val="en-US"/>
        </w:rPr>
        <w:t>and if they do</w:t>
      </w:r>
      <w:r w:rsidR="00693E8A" w:rsidRPr="000F57AA">
        <w:rPr>
          <w:rFonts w:ascii="Times New Roman" w:hAnsi="Times New Roman"/>
          <w:sz w:val="24"/>
          <w:szCs w:val="24"/>
          <w:lang w:val="en-US"/>
        </w:rPr>
        <w:t>,</w:t>
      </w:r>
      <w:r w:rsidR="002870CA" w:rsidRPr="000F57AA">
        <w:rPr>
          <w:rFonts w:ascii="Times New Roman" w:hAnsi="Times New Roman"/>
          <w:sz w:val="24"/>
          <w:szCs w:val="24"/>
          <w:lang w:val="en-US"/>
        </w:rPr>
        <w:t xml:space="preserve"> how they do</w:t>
      </w:r>
      <w:r w:rsidR="00693E8A" w:rsidRPr="000F57AA">
        <w:rPr>
          <w:rFonts w:ascii="Times New Roman" w:hAnsi="Times New Roman"/>
          <w:sz w:val="24"/>
          <w:szCs w:val="24"/>
          <w:lang w:val="en-US"/>
        </w:rPr>
        <w:t xml:space="preserve"> they really implement in practice </w:t>
      </w:r>
      <w:r w:rsidRPr="000F57AA">
        <w:rPr>
          <w:rFonts w:ascii="Times New Roman" w:hAnsi="Times New Roman"/>
          <w:sz w:val="24"/>
          <w:szCs w:val="24"/>
          <w:lang w:val="en-US"/>
        </w:rPr>
        <w:t xml:space="preserve">(Hilson, 2012; Banerjee, 2001; Blowfield and Frynas, 2005). </w:t>
      </w:r>
      <w:r w:rsidR="002870CA" w:rsidRPr="000F57AA">
        <w:rPr>
          <w:rFonts w:ascii="Times New Roman" w:hAnsi="Times New Roman"/>
          <w:sz w:val="24"/>
          <w:szCs w:val="24"/>
          <w:lang w:val="en-US"/>
        </w:rPr>
        <w:t xml:space="preserve"> </w:t>
      </w:r>
    </w:p>
    <w:p w14:paraId="79957B0C" w14:textId="21D00E70" w:rsidR="007F5903" w:rsidRPr="0034287B" w:rsidRDefault="007F5903" w:rsidP="00E44806">
      <w:pPr>
        <w:pStyle w:val="NoteLevel11"/>
        <w:numPr>
          <w:ilvl w:val="0"/>
          <w:numId w:val="0"/>
        </w:numPr>
        <w:spacing w:line="480" w:lineRule="auto"/>
        <w:ind w:firstLine="720"/>
        <w:jc w:val="both"/>
        <w:rPr>
          <w:rFonts w:ascii="Times New Roman" w:hAnsi="Times New Roman"/>
          <w:sz w:val="24"/>
          <w:szCs w:val="24"/>
          <w:lang w:val="en-US"/>
        </w:rPr>
      </w:pPr>
      <w:r w:rsidRPr="000F57AA">
        <w:rPr>
          <w:rFonts w:ascii="Times New Roman" w:hAnsi="Times New Roman"/>
          <w:sz w:val="24"/>
          <w:szCs w:val="24"/>
          <w:lang w:val="en-US"/>
        </w:rPr>
        <w:t xml:space="preserve">In contrast, Newmont </w:t>
      </w:r>
      <w:r w:rsidR="002870CA" w:rsidRPr="000F57AA">
        <w:rPr>
          <w:rFonts w:ascii="Times New Roman" w:hAnsi="Times New Roman"/>
          <w:sz w:val="24"/>
          <w:szCs w:val="24"/>
          <w:lang w:val="en-US"/>
        </w:rPr>
        <w:t>Corporation</w:t>
      </w:r>
      <w:r w:rsidRPr="000F57AA">
        <w:rPr>
          <w:rFonts w:ascii="Times New Roman" w:hAnsi="Times New Roman"/>
          <w:sz w:val="24"/>
          <w:szCs w:val="24"/>
          <w:lang w:val="en-US"/>
        </w:rPr>
        <w:t xml:space="preserve"> has through its subsidiary in Ghana, NGGL, </w:t>
      </w:r>
      <w:r w:rsidR="002870CA" w:rsidRPr="000F57AA">
        <w:rPr>
          <w:rFonts w:ascii="Times New Roman" w:hAnsi="Times New Roman"/>
          <w:sz w:val="24"/>
          <w:szCs w:val="24"/>
          <w:lang w:val="en-US"/>
        </w:rPr>
        <w:t xml:space="preserve">has facilitated </w:t>
      </w:r>
      <w:r w:rsidR="00C14707" w:rsidRPr="000F57AA">
        <w:rPr>
          <w:rFonts w:ascii="Times New Roman" w:hAnsi="Times New Roman"/>
          <w:sz w:val="24"/>
          <w:szCs w:val="24"/>
          <w:lang w:val="en-US"/>
        </w:rPr>
        <w:t xml:space="preserve">creation of </w:t>
      </w:r>
      <w:r w:rsidRPr="000F57AA">
        <w:rPr>
          <w:rFonts w:ascii="Times New Roman" w:hAnsi="Times New Roman"/>
          <w:sz w:val="24"/>
          <w:szCs w:val="24"/>
          <w:lang w:val="en-US"/>
        </w:rPr>
        <w:t xml:space="preserve">a successful structure </w:t>
      </w:r>
      <w:r w:rsidR="00DD5EE8" w:rsidRPr="000F57AA">
        <w:rPr>
          <w:rFonts w:ascii="Times New Roman" w:hAnsi="Times New Roman"/>
          <w:sz w:val="24"/>
          <w:szCs w:val="24"/>
          <w:lang w:val="en-US"/>
        </w:rPr>
        <w:t xml:space="preserve">which is at the core of its CSR implementation in </w:t>
      </w:r>
      <w:r w:rsidRPr="000F57AA">
        <w:rPr>
          <w:rFonts w:ascii="Times New Roman" w:hAnsi="Times New Roman"/>
          <w:sz w:val="24"/>
          <w:szCs w:val="24"/>
          <w:lang w:val="en-US"/>
        </w:rPr>
        <w:t xml:space="preserve">partnership with the local community. In this context, the Newmont Ahafo Development Foundation (NADeF) becomes an effective vehicle to facilitate localization of NGGL’s CSR initiatives in the region. We build on our understanding of this special structure that underpins the partnership between NGGL and other local stakeholders, to discern the overarching motivation of </w:t>
      </w:r>
      <w:r w:rsidRPr="000F57AA">
        <w:rPr>
          <w:rFonts w:ascii="Times New Roman" w:hAnsi="Times New Roman"/>
          <w:sz w:val="24"/>
          <w:szCs w:val="24"/>
          <w:lang w:val="en-US"/>
        </w:rPr>
        <w:lastRenderedPageBreak/>
        <w:t xml:space="preserve">CSR initiatives pursued by NGGL. </w:t>
      </w:r>
      <w:r w:rsidRPr="0034287B">
        <w:rPr>
          <w:rFonts w:ascii="Times New Roman" w:hAnsi="Times New Roman"/>
          <w:sz w:val="24"/>
          <w:szCs w:val="24"/>
          <w:lang w:val="en-US"/>
        </w:rPr>
        <w:t xml:space="preserve">In the final part of this section we present our findings on localization of CSR initiatives leading to legitimization of NGGL within the local community. </w:t>
      </w:r>
    </w:p>
    <w:p w14:paraId="769E8680" w14:textId="77777777" w:rsidR="007F5903" w:rsidRPr="000F57AA" w:rsidRDefault="007F5903" w:rsidP="007F5903">
      <w:pPr>
        <w:pStyle w:val="NoteLevel11"/>
        <w:numPr>
          <w:ilvl w:val="0"/>
          <w:numId w:val="0"/>
        </w:numPr>
        <w:spacing w:line="480" w:lineRule="auto"/>
        <w:jc w:val="both"/>
        <w:rPr>
          <w:rFonts w:ascii="Times New Roman" w:eastAsia="Times New Roman" w:hAnsi="Times New Roman"/>
          <w:sz w:val="24"/>
          <w:szCs w:val="24"/>
          <w:lang w:eastAsia="en-GB"/>
        </w:rPr>
      </w:pPr>
      <w:r w:rsidRPr="000F57AA">
        <w:rPr>
          <w:rFonts w:ascii="Times New Roman" w:hAnsi="Times New Roman"/>
          <w:b/>
          <w:sz w:val="24"/>
          <w:szCs w:val="24"/>
          <w:lang w:val="en-US"/>
        </w:rPr>
        <w:t xml:space="preserve">5.1 Localization of CSR and community engagement structure </w:t>
      </w:r>
    </w:p>
    <w:p w14:paraId="3A9AC22E" w14:textId="77777777" w:rsidR="007F5903" w:rsidRPr="000F57AA" w:rsidRDefault="007F5903" w:rsidP="0034287B">
      <w:pPr>
        <w:spacing w:after="0" w:line="480" w:lineRule="auto"/>
        <w:jc w:val="both"/>
        <w:rPr>
          <w:rFonts w:ascii="Times New Roman" w:eastAsia="Times New Roman" w:hAnsi="Times New Roman" w:cs="Times New Roman"/>
          <w:sz w:val="24"/>
          <w:szCs w:val="24"/>
          <w:lang w:eastAsia="en-GB"/>
        </w:rPr>
      </w:pPr>
      <w:r w:rsidRPr="000F57AA">
        <w:rPr>
          <w:rFonts w:ascii="Times New Roman" w:hAnsi="Times New Roman" w:cs="Times New Roman"/>
          <w:sz w:val="24"/>
          <w:szCs w:val="24"/>
        </w:rPr>
        <w:t xml:space="preserve">The first thing we note about the localization of NGGL’s CSR strategy is that it rests on three major institutions, namely the Ahafo Social Responsibility Forum (ASRF); Newmont Ahafo Development Foundation (NADeF); and the Sustainable Development Committees (SDCs). These three institutions are community-based and are dominated by indigenous people.  </w:t>
      </w:r>
    </w:p>
    <w:p w14:paraId="71085DE7" w14:textId="0F1C1B9C" w:rsidR="00693E8A" w:rsidRPr="000F57AA" w:rsidRDefault="007F5903" w:rsidP="0034287B">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eastAsia="Times New Roman" w:hAnsi="Times New Roman"/>
          <w:sz w:val="24"/>
          <w:szCs w:val="24"/>
          <w:lang w:eastAsia="en-GB"/>
        </w:rPr>
        <w:t>Before the commencement of mining operations at Ahafo in 2005, the Chief Executive Officer (CEO) of Newmont Mining Corporation announced that the NGGL would contribute one US dollar per every ounce of gold it would extract from the Ahafo mine enclave (NADeF 2009). He also announced that the company would dedicate one percent of net annual pre-tax profits for sustainable development of the local communities (</w:t>
      </w:r>
      <w:r w:rsidRPr="000F57AA">
        <w:rPr>
          <w:rFonts w:ascii="Times New Roman" w:eastAsia="Times New Roman" w:hAnsi="Times New Roman"/>
          <w:i/>
          <w:sz w:val="24"/>
          <w:szCs w:val="24"/>
          <w:lang w:eastAsia="en-GB"/>
        </w:rPr>
        <w:t>ibid</w:t>
      </w:r>
      <w:r w:rsidRPr="000F57AA">
        <w:rPr>
          <w:rFonts w:ascii="Times New Roman" w:eastAsia="Times New Roman" w:hAnsi="Times New Roman"/>
          <w:sz w:val="24"/>
          <w:szCs w:val="24"/>
          <w:lang w:eastAsia="en-GB"/>
        </w:rPr>
        <w:t>)</w:t>
      </w:r>
      <w:r w:rsidR="00693E8A" w:rsidRPr="000F57AA">
        <w:rPr>
          <w:rStyle w:val="FootnoteReference"/>
          <w:rFonts w:ascii="Times New Roman" w:eastAsia="Times New Roman" w:hAnsi="Times New Roman"/>
          <w:sz w:val="24"/>
          <w:szCs w:val="24"/>
          <w:lang w:eastAsia="en-GB"/>
        </w:rPr>
        <w:footnoteReference w:id="3"/>
      </w:r>
      <w:r w:rsidRPr="000F57AA">
        <w:rPr>
          <w:rFonts w:ascii="Times New Roman" w:eastAsia="Times New Roman" w:hAnsi="Times New Roman"/>
          <w:sz w:val="24"/>
          <w:szCs w:val="24"/>
          <w:lang w:eastAsia="en-GB"/>
        </w:rPr>
        <w:t xml:space="preserve">. </w:t>
      </w:r>
      <w:r w:rsidR="00776094" w:rsidRPr="000F57AA">
        <w:rPr>
          <w:rFonts w:ascii="Times New Roman" w:hAnsi="Times New Roman"/>
          <w:sz w:val="24"/>
          <w:szCs w:val="24"/>
          <w:lang w:val="en-US"/>
        </w:rPr>
        <w:t xml:space="preserve">The gesture from the CEO of </w:t>
      </w:r>
      <w:r w:rsidR="00776094" w:rsidRPr="000F57AA">
        <w:rPr>
          <w:rFonts w:ascii="Times New Roman" w:hAnsi="Times New Roman"/>
          <w:sz w:val="24"/>
          <w:szCs w:val="24"/>
          <w:lang w:val="en-US"/>
        </w:rPr>
        <w:lastRenderedPageBreak/>
        <w:t>Newmont was, we argue, about assuaging local community about his and his company’s commitment for the development of the local region.</w:t>
      </w:r>
    </w:p>
    <w:p w14:paraId="5E1824EB" w14:textId="575E2B60" w:rsidR="007F5903" w:rsidRPr="000F57AA" w:rsidRDefault="007F5903" w:rsidP="0034287B">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eastAsia="Times New Roman" w:hAnsi="Times New Roman"/>
          <w:sz w:val="24"/>
          <w:szCs w:val="24"/>
          <w:lang w:eastAsia="en-GB"/>
        </w:rPr>
        <w:t>Subsequently</w:t>
      </w:r>
      <w:r w:rsidR="000A6E8E" w:rsidRPr="000F57AA">
        <w:rPr>
          <w:rFonts w:ascii="Times New Roman" w:eastAsia="Times New Roman" w:hAnsi="Times New Roman"/>
          <w:sz w:val="24"/>
          <w:szCs w:val="24"/>
          <w:lang w:eastAsia="en-GB"/>
        </w:rPr>
        <w:t>,</w:t>
      </w:r>
      <w:r w:rsidRPr="000F57AA">
        <w:rPr>
          <w:rFonts w:ascii="Times New Roman" w:eastAsia="Times New Roman" w:hAnsi="Times New Roman"/>
          <w:sz w:val="24"/>
          <w:szCs w:val="24"/>
          <w:lang w:eastAsia="en-GB"/>
        </w:rPr>
        <w:t xml:space="preserve"> ASRF was established </w:t>
      </w:r>
      <w:r w:rsidR="00DD5EE8" w:rsidRPr="000F57AA">
        <w:rPr>
          <w:rFonts w:ascii="Times New Roman" w:eastAsia="Times New Roman" w:hAnsi="Times New Roman"/>
          <w:sz w:val="24"/>
          <w:szCs w:val="24"/>
          <w:lang w:eastAsia="en-GB"/>
        </w:rPr>
        <w:t xml:space="preserve">in 2006 </w:t>
      </w:r>
      <w:r w:rsidRPr="000F57AA">
        <w:rPr>
          <w:rFonts w:ascii="Times New Roman" w:eastAsia="Times New Roman" w:hAnsi="Times New Roman"/>
          <w:sz w:val="24"/>
          <w:szCs w:val="24"/>
          <w:lang w:eastAsia="en-GB"/>
        </w:rPr>
        <w:t>with 53 members representing a diverse set of stakeholders including:</w:t>
      </w:r>
      <w:r w:rsidR="003B1146" w:rsidRPr="000F57AA">
        <w:rPr>
          <w:rFonts w:ascii="Times New Roman" w:eastAsia="Times New Roman" w:hAnsi="Times New Roman"/>
          <w:sz w:val="24"/>
          <w:szCs w:val="24"/>
          <w:lang w:eastAsia="en-GB"/>
        </w:rPr>
        <w:t xml:space="preserve"> </w:t>
      </w:r>
      <w:r w:rsidRPr="000F57AA">
        <w:rPr>
          <w:rFonts w:ascii="Times New Roman" w:eastAsia="Times New Roman" w:hAnsi="Times New Roman"/>
          <w:sz w:val="24"/>
          <w:szCs w:val="24"/>
          <w:lang w:eastAsia="en-GB"/>
        </w:rPr>
        <w:t>traditional leaders, local councils, advocacy groups and non-governmental organizations, and the management of NGGL (</w:t>
      </w:r>
      <w:r w:rsidR="00DD5EE8" w:rsidRPr="000F57AA">
        <w:rPr>
          <w:rFonts w:ascii="Times New Roman" w:eastAsia="Times New Roman" w:hAnsi="Times New Roman"/>
          <w:sz w:val="24"/>
          <w:szCs w:val="24"/>
          <w:lang w:eastAsia="en-GB"/>
        </w:rPr>
        <w:t>Ayee, 2011; Mares, 2012</w:t>
      </w:r>
      <w:r w:rsidRPr="000F57AA">
        <w:rPr>
          <w:rFonts w:ascii="Times New Roman" w:eastAsia="Times New Roman" w:hAnsi="Times New Roman"/>
          <w:sz w:val="24"/>
          <w:szCs w:val="24"/>
          <w:lang w:eastAsia="en-GB"/>
        </w:rPr>
        <w:t>). The ASRF</w:t>
      </w:r>
      <w:r w:rsidR="005E7C74" w:rsidRPr="000F57AA">
        <w:rPr>
          <w:rFonts w:ascii="Times New Roman" w:eastAsia="Times New Roman" w:hAnsi="Times New Roman"/>
          <w:sz w:val="24"/>
          <w:szCs w:val="24"/>
          <w:lang w:eastAsia="en-GB"/>
        </w:rPr>
        <w:t>, which is the highest decision making body for the NADeF</w:t>
      </w:r>
      <w:r w:rsidR="00DD5EE8" w:rsidRPr="000F57AA">
        <w:rPr>
          <w:rFonts w:ascii="Times New Roman" w:eastAsia="Times New Roman" w:hAnsi="Times New Roman"/>
          <w:sz w:val="24"/>
          <w:szCs w:val="24"/>
          <w:lang w:eastAsia="en-GB"/>
        </w:rPr>
        <w:t xml:space="preserve"> </w:t>
      </w:r>
      <w:r w:rsidR="003715AA" w:rsidRPr="000F57AA">
        <w:rPr>
          <w:rFonts w:ascii="Times New Roman" w:eastAsia="Times New Roman" w:hAnsi="Times New Roman"/>
          <w:sz w:val="24"/>
          <w:szCs w:val="24"/>
          <w:lang w:eastAsia="en-GB"/>
        </w:rPr>
        <w:t>represents the interests of the local community. This body, which came into being though the initiative of the members of the local community, engaged with NGGL</w:t>
      </w:r>
      <w:r w:rsidRPr="000F57AA">
        <w:rPr>
          <w:rFonts w:ascii="Times New Roman" w:eastAsia="Times New Roman" w:hAnsi="Times New Roman"/>
          <w:sz w:val="24"/>
          <w:szCs w:val="24"/>
          <w:lang w:eastAsia="en-GB"/>
        </w:rPr>
        <w:t xml:space="preserve"> to explore ways to</w:t>
      </w:r>
      <w:r w:rsidR="00086D24" w:rsidRPr="000F57AA">
        <w:rPr>
          <w:rFonts w:ascii="Times New Roman" w:eastAsia="Times New Roman" w:hAnsi="Times New Roman"/>
          <w:sz w:val="24"/>
          <w:szCs w:val="24"/>
          <w:lang w:eastAsia="en-GB"/>
        </w:rPr>
        <w:t xml:space="preserve"> </w:t>
      </w:r>
      <w:r w:rsidR="00853FAE" w:rsidRPr="000F57AA">
        <w:rPr>
          <w:rFonts w:ascii="Times New Roman" w:eastAsia="Times New Roman" w:hAnsi="Times New Roman"/>
          <w:sz w:val="24"/>
          <w:szCs w:val="24"/>
          <w:lang w:eastAsia="en-GB"/>
        </w:rPr>
        <w:t>effectively execute</w:t>
      </w:r>
      <w:r w:rsidRPr="000F57AA">
        <w:rPr>
          <w:rFonts w:ascii="Times New Roman" w:eastAsia="Times New Roman" w:hAnsi="Times New Roman"/>
          <w:sz w:val="24"/>
          <w:szCs w:val="24"/>
          <w:lang w:eastAsia="en-GB"/>
        </w:rPr>
        <w:t xml:space="preserve"> the commitments by the CEO (</w:t>
      </w:r>
      <w:r w:rsidR="00DD5EE8" w:rsidRPr="000F57AA">
        <w:rPr>
          <w:rFonts w:ascii="Times New Roman" w:eastAsia="Times New Roman" w:hAnsi="Times New Roman"/>
          <w:sz w:val="24"/>
          <w:szCs w:val="24"/>
          <w:lang w:eastAsia="en-GB"/>
        </w:rPr>
        <w:t>NADeF, 2009)</w:t>
      </w:r>
      <w:r w:rsidRPr="000F57AA">
        <w:rPr>
          <w:rFonts w:ascii="Times New Roman" w:eastAsia="Times New Roman" w:hAnsi="Times New Roman"/>
          <w:sz w:val="24"/>
          <w:szCs w:val="24"/>
          <w:lang w:eastAsia="en-GB"/>
        </w:rPr>
        <w:t>. After consultations for over two years, the Ahafo Social Responsibility Agreement (ASRA) and was signed in 2008 between the NGGL and people of the Ahafo Mine local communities (</w:t>
      </w:r>
      <w:r w:rsidR="00D00B7B" w:rsidRPr="000F57AA">
        <w:rPr>
          <w:rFonts w:ascii="Times New Roman" w:eastAsia="Times New Roman" w:hAnsi="Times New Roman"/>
          <w:sz w:val="24"/>
          <w:szCs w:val="24"/>
          <w:lang w:eastAsia="en-GB"/>
        </w:rPr>
        <w:t xml:space="preserve">Owusu-Ansah, 2015) </w:t>
      </w:r>
      <w:r w:rsidRPr="000F57AA">
        <w:rPr>
          <w:rFonts w:ascii="Times New Roman" w:eastAsia="Times New Roman" w:hAnsi="Times New Roman"/>
          <w:sz w:val="24"/>
          <w:szCs w:val="24"/>
          <w:lang w:eastAsia="en-GB"/>
        </w:rPr>
        <w:t>ASRA is underpinned by three main agreements: (a) A relationship agreement that provides the modalities governing the relationship between NGGL and the communit</w:t>
      </w:r>
      <w:r w:rsidR="00D00B7B" w:rsidRPr="000F57AA">
        <w:rPr>
          <w:rFonts w:ascii="Times New Roman" w:eastAsia="Times New Roman" w:hAnsi="Times New Roman"/>
          <w:sz w:val="24"/>
          <w:szCs w:val="24"/>
          <w:lang w:eastAsia="en-GB"/>
        </w:rPr>
        <w:t>ies</w:t>
      </w:r>
      <w:r w:rsidRPr="000F57AA">
        <w:rPr>
          <w:rFonts w:ascii="Times New Roman" w:eastAsia="Times New Roman" w:hAnsi="Times New Roman"/>
          <w:sz w:val="24"/>
          <w:szCs w:val="24"/>
          <w:lang w:eastAsia="en-GB"/>
        </w:rPr>
        <w:t xml:space="preserve"> affected by the mine; (b) An employment agreement, which spells out </w:t>
      </w:r>
      <w:r w:rsidR="00D00B7B" w:rsidRPr="000F57AA">
        <w:rPr>
          <w:rFonts w:ascii="Times New Roman" w:eastAsia="Times New Roman" w:hAnsi="Times New Roman"/>
          <w:sz w:val="24"/>
          <w:szCs w:val="24"/>
          <w:lang w:eastAsia="en-GB"/>
        </w:rPr>
        <w:t xml:space="preserve">the </w:t>
      </w:r>
      <w:r w:rsidRPr="000F57AA">
        <w:rPr>
          <w:rFonts w:ascii="Times New Roman" w:eastAsia="Times New Roman" w:hAnsi="Times New Roman"/>
          <w:sz w:val="24"/>
          <w:szCs w:val="24"/>
          <w:lang w:eastAsia="en-GB"/>
        </w:rPr>
        <w:t>modalities relating to local content</w:t>
      </w:r>
      <w:r w:rsidR="00D00B7B" w:rsidRPr="000F57AA">
        <w:rPr>
          <w:rFonts w:ascii="Times New Roman" w:eastAsia="Times New Roman" w:hAnsi="Times New Roman"/>
          <w:sz w:val="24"/>
          <w:szCs w:val="24"/>
          <w:lang w:eastAsia="en-GB"/>
        </w:rPr>
        <w:t>; and</w:t>
      </w:r>
      <w:r w:rsidRPr="000F57AA">
        <w:rPr>
          <w:rFonts w:ascii="Times New Roman" w:eastAsia="Times New Roman" w:hAnsi="Times New Roman"/>
          <w:sz w:val="24"/>
          <w:szCs w:val="24"/>
          <w:lang w:eastAsia="en-GB"/>
        </w:rPr>
        <w:t xml:space="preserve"> (c) The NADeF agreement, which focuses </w:t>
      </w:r>
      <w:r w:rsidRPr="000F57AA">
        <w:rPr>
          <w:rFonts w:ascii="Times New Roman" w:eastAsia="Times New Roman" w:hAnsi="Times New Roman"/>
          <w:sz w:val="24"/>
          <w:szCs w:val="24"/>
          <w:lang w:eastAsia="en-GB"/>
        </w:rPr>
        <w:lastRenderedPageBreak/>
        <w:t xml:space="preserve">on funding and implementation of various sustainability development projects in the communities. </w:t>
      </w:r>
    </w:p>
    <w:p w14:paraId="58B8585B" w14:textId="2902D635" w:rsidR="00D40C94" w:rsidRPr="000F57AA" w:rsidRDefault="007F5903" w:rsidP="0034287B">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hAnsi="Times New Roman"/>
          <w:sz w:val="24"/>
          <w:szCs w:val="24"/>
          <w:lang w:val="en-US"/>
        </w:rPr>
        <w:t xml:space="preserve">The NADeF was incorporated in 2008 as a trust with a nine-member Board of Trustees to oversee the </w:t>
      </w:r>
      <w:r w:rsidRPr="000F57AA">
        <w:rPr>
          <w:rFonts w:ascii="Times New Roman" w:eastAsia="Times New Roman" w:hAnsi="Times New Roman"/>
          <w:sz w:val="24"/>
          <w:szCs w:val="24"/>
          <w:lang w:eastAsia="en-GB"/>
        </w:rPr>
        <w:t xml:space="preserve">implementation </w:t>
      </w:r>
      <w:r w:rsidRPr="000F57AA">
        <w:rPr>
          <w:rFonts w:ascii="Times New Roman" w:hAnsi="Times New Roman"/>
          <w:sz w:val="24"/>
          <w:szCs w:val="24"/>
          <w:lang w:val="en-US"/>
        </w:rPr>
        <w:t xml:space="preserve">of the three agreements. </w:t>
      </w:r>
      <w:r w:rsidR="00035355" w:rsidRPr="000F57AA">
        <w:rPr>
          <w:rFonts w:ascii="Times New Roman" w:hAnsi="Times New Roman"/>
          <w:sz w:val="24"/>
          <w:szCs w:val="24"/>
          <w:lang w:val="en-US"/>
        </w:rPr>
        <w:t xml:space="preserve">The respondents referred to NADeF as a </w:t>
      </w:r>
      <w:r w:rsidR="00D40C94" w:rsidRPr="000F57AA">
        <w:rPr>
          <w:rFonts w:ascii="Times New Roman" w:eastAsia="Times New Roman" w:hAnsi="Times New Roman"/>
          <w:sz w:val="24"/>
          <w:szCs w:val="24"/>
          <w:lang w:eastAsia="en-GB"/>
        </w:rPr>
        <w:t>“special structure” wherein the communities in the mining region are “fully represented</w:t>
      </w:r>
      <w:r w:rsidR="006757A6" w:rsidRPr="000F57AA">
        <w:rPr>
          <w:rFonts w:ascii="Times New Roman" w:eastAsia="Times New Roman" w:hAnsi="Times New Roman"/>
          <w:sz w:val="24"/>
          <w:szCs w:val="24"/>
          <w:lang w:eastAsia="en-GB"/>
        </w:rPr>
        <w:t>”</w:t>
      </w:r>
      <w:r w:rsidR="00D40C94" w:rsidRPr="000F57AA">
        <w:rPr>
          <w:rFonts w:ascii="Times New Roman" w:eastAsia="Times New Roman" w:hAnsi="Times New Roman"/>
          <w:sz w:val="24"/>
          <w:szCs w:val="24"/>
          <w:lang w:eastAsia="en-GB"/>
        </w:rPr>
        <w:t xml:space="preserve">. The key motivation for the formation of NADeF was highlighted by one of the </w:t>
      </w:r>
      <w:r w:rsidR="00F215C0" w:rsidRPr="000F57AA">
        <w:rPr>
          <w:rFonts w:ascii="Times New Roman" w:eastAsia="Times New Roman" w:hAnsi="Times New Roman"/>
          <w:sz w:val="24"/>
          <w:szCs w:val="24"/>
          <w:lang w:eastAsia="en-GB"/>
        </w:rPr>
        <w:t>T</w:t>
      </w:r>
      <w:r w:rsidR="00D40C94" w:rsidRPr="000F57AA">
        <w:rPr>
          <w:rFonts w:ascii="Times New Roman" w:eastAsia="Times New Roman" w:hAnsi="Times New Roman"/>
          <w:sz w:val="24"/>
          <w:szCs w:val="24"/>
          <w:lang w:eastAsia="en-GB"/>
        </w:rPr>
        <w:t xml:space="preserve">rustees of the Foundation. She asserted that: </w:t>
      </w:r>
    </w:p>
    <w:p w14:paraId="7992B85C" w14:textId="2E9F0BFC" w:rsidR="00644DCD" w:rsidRPr="000F57AA" w:rsidRDefault="00D40C94" w:rsidP="000F57AA">
      <w:pPr>
        <w:pStyle w:val="NoteLevel11"/>
        <w:numPr>
          <w:ilvl w:val="0"/>
          <w:numId w:val="0"/>
        </w:numPr>
        <w:spacing w:line="480" w:lineRule="auto"/>
        <w:ind w:firstLine="720"/>
        <w:rPr>
          <w:rFonts w:ascii="Times New Roman" w:eastAsia="Times New Roman" w:hAnsi="Times New Roman"/>
          <w:i/>
          <w:sz w:val="24"/>
          <w:szCs w:val="24"/>
          <w:lang w:eastAsia="en-GB"/>
        </w:rPr>
      </w:pPr>
      <w:r w:rsidRPr="000F57AA">
        <w:rPr>
          <w:rFonts w:ascii="Times New Roman" w:eastAsia="Times New Roman" w:hAnsi="Times New Roman"/>
          <w:i/>
          <w:sz w:val="24"/>
          <w:szCs w:val="24"/>
          <w:lang w:eastAsia="en-GB"/>
        </w:rPr>
        <w:t xml:space="preserve">“in 2008, an agreement was signed between NGGL and some </w:t>
      </w:r>
      <w:r w:rsidR="00035355" w:rsidRPr="000F57AA">
        <w:rPr>
          <w:rFonts w:ascii="Times New Roman" w:eastAsia="Times New Roman" w:hAnsi="Times New Roman"/>
          <w:i/>
          <w:sz w:val="24"/>
          <w:szCs w:val="24"/>
          <w:lang w:eastAsia="en-GB"/>
        </w:rPr>
        <w:t xml:space="preserve">local </w:t>
      </w:r>
      <w:r w:rsidRPr="000F57AA">
        <w:rPr>
          <w:rFonts w:ascii="Times New Roman" w:eastAsia="Times New Roman" w:hAnsi="Times New Roman"/>
          <w:i/>
          <w:sz w:val="24"/>
          <w:szCs w:val="24"/>
          <w:lang w:eastAsia="en-GB"/>
        </w:rPr>
        <w:t xml:space="preserve">stakeholders. The leading stakeholders were the local communities, represented by </w:t>
      </w:r>
      <w:r w:rsidR="00035355" w:rsidRPr="000F57AA">
        <w:rPr>
          <w:rFonts w:ascii="Times New Roman" w:eastAsia="Times New Roman" w:hAnsi="Times New Roman"/>
          <w:i/>
          <w:sz w:val="24"/>
          <w:szCs w:val="24"/>
          <w:lang w:eastAsia="en-GB"/>
        </w:rPr>
        <w:t xml:space="preserve">ASRF </w:t>
      </w:r>
      <w:r w:rsidRPr="000F57AA">
        <w:rPr>
          <w:rFonts w:ascii="Times New Roman" w:eastAsia="Times New Roman" w:hAnsi="Times New Roman"/>
          <w:i/>
          <w:sz w:val="24"/>
          <w:szCs w:val="24"/>
          <w:lang w:eastAsia="en-GB"/>
        </w:rPr>
        <w:t>and certain Civil Society Groups. We were mindful of the effects of mining in certain local communities in Ghana and wanted to take proactive measures in order not to experience the same in our communities. We brought the NADeF to distribute fairly mining proceeds for our community development.”</w:t>
      </w:r>
      <w:r w:rsidR="00F215C0" w:rsidRPr="000F57AA" w:rsidDel="00F215C0">
        <w:rPr>
          <w:rFonts w:ascii="Times New Roman" w:eastAsia="Times New Roman" w:hAnsi="Times New Roman"/>
          <w:i/>
          <w:sz w:val="24"/>
          <w:szCs w:val="24"/>
          <w:lang w:eastAsia="en-GB"/>
        </w:rPr>
        <w:t xml:space="preserve"> </w:t>
      </w:r>
      <w:r w:rsidR="00A80415" w:rsidRPr="000F57AA">
        <w:rPr>
          <w:rFonts w:ascii="Times New Roman" w:eastAsia="Times New Roman" w:hAnsi="Times New Roman"/>
          <w:i/>
          <w:sz w:val="24"/>
          <w:szCs w:val="24"/>
          <w:lang w:eastAsia="en-GB"/>
        </w:rPr>
        <w:t>(Trustee, NADeF)</w:t>
      </w:r>
    </w:p>
    <w:p w14:paraId="409CFD0E" w14:textId="77777777" w:rsidR="00F215C0" w:rsidRPr="000F57AA" w:rsidRDefault="00F215C0" w:rsidP="000F57AA">
      <w:pPr>
        <w:pStyle w:val="NoteLevel11"/>
        <w:numPr>
          <w:ilvl w:val="0"/>
          <w:numId w:val="0"/>
        </w:numPr>
        <w:spacing w:line="480" w:lineRule="auto"/>
        <w:ind w:firstLine="720"/>
        <w:rPr>
          <w:rFonts w:ascii="Times New Roman" w:hAnsi="Times New Roman"/>
          <w:sz w:val="24"/>
          <w:szCs w:val="24"/>
          <w:lang w:val="en-US"/>
        </w:rPr>
      </w:pPr>
    </w:p>
    <w:p w14:paraId="5176986C" w14:textId="6E3432AD" w:rsidR="00A85321" w:rsidRDefault="002B6415" w:rsidP="000F57AA">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hAnsi="Times New Roman"/>
          <w:sz w:val="24"/>
          <w:szCs w:val="24"/>
          <w:lang w:val="en-US"/>
        </w:rPr>
        <w:t>As committed by the CEO in 2005, NGGL</w:t>
      </w:r>
      <w:r w:rsidR="007F5903" w:rsidRPr="000F57AA">
        <w:rPr>
          <w:rFonts w:ascii="Times New Roman" w:hAnsi="Times New Roman"/>
          <w:sz w:val="24"/>
          <w:szCs w:val="24"/>
          <w:lang w:val="en-US"/>
        </w:rPr>
        <w:t xml:space="preserve"> </w:t>
      </w:r>
      <w:r w:rsidR="00F215C0" w:rsidRPr="000F57AA">
        <w:rPr>
          <w:rFonts w:ascii="Times New Roman" w:hAnsi="Times New Roman"/>
          <w:sz w:val="24"/>
          <w:szCs w:val="24"/>
          <w:lang w:val="en-US"/>
        </w:rPr>
        <w:t>between 2008</w:t>
      </w:r>
      <w:r w:rsidRPr="000F57AA">
        <w:rPr>
          <w:rFonts w:ascii="Times New Roman" w:hAnsi="Times New Roman"/>
          <w:sz w:val="24"/>
          <w:szCs w:val="24"/>
          <w:lang w:val="en-US"/>
        </w:rPr>
        <w:t xml:space="preserve"> </w:t>
      </w:r>
      <w:r w:rsidR="000D0E82" w:rsidRPr="000F57AA">
        <w:rPr>
          <w:rFonts w:ascii="Times New Roman" w:hAnsi="Times New Roman"/>
          <w:sz w:val="24"/>
          <w:szCs w:val="24"/>
          <w:lang w:val="en-US"/>
        </w:rPr>
        <w:t>and</w:t>
      </w:r>
      <w:r w:rsidRPr="000F57AA">
        <w:rPr>
          <w:rFonts w:ascii="Times New Roman" w:hAnsi="Times New Roman"/>
          <w:sz w:val="24"/>
          <w:szCs w:val="24"/>
          <w:lang w:val="en-US"/>
        </w:rPr>
        <w:t xml:space="preserve"> 2015 contributed</w:t>
      </w:r>
      <w:r w:rsidR="007F5903" w:rsidRPr="000F57AA">
        <w:rPr>
          <w:rFonts w:ascii="Times New Roman" w:hAnsi="Times New Roman"/>
          <w:sz w:val="24"/>
          <w:szCs w:val="24"/>
          <w:lang w:val="en-US"/>
        </w:rPr>
        <w:t xml:space="preserve"> about </w:t>
      </w:r>
      <w:r w:rsidR="001E290A" w:rsidRPr="000F57AA">
        <w:rPr>
          <w:rFonts w:ascii="Times New Roman" w:hAnsi="Times New Roman"/>
          <w:sz w:val="24"/>
          <w:szCs w:val="24"/>
          <w:lang w:val="en-US"/>
        </w:rPr>
        <w:t>50.5</w:t>
      </w:r>
      <w:r w:rsidR="00DD2945" w:rsidRPr="000F57AA">
        <w:rPr>
          <w:rFonts w:ascii="Times New Roman" w:hAnsi="Times New Roman"/>
          <w:sz w:val="24"/>
          <w:szCs w:val="24"/>
          <w:lang w:val="en-US"/>
        </w:rPr>
        <w:t xml:space="preserve"> </w:t>
      </w:r>
      <w:r w:rsidR="007F5903" w:rsidRPr="000F57AA">
        <w:rPr>
          <w:rFonts w:ascii="Times New Roman" w:hAnsi="Times New Roman"/>
          <w:sz w:val="24"/>
          <w:szCs w:val="24"/>
          <w:lang w:val="en-US"/>
        </w:rPr>
        <w:t>million</w:t>
      </w:r>
      <w:r w:rsidR="00DD2945" w:rsidRPr="000F57AA">
        <w:rPr>
          <w:rFonts w:ascii="Times New Roman" w:hAnsi="Times New Roman"/>
          <w:sz w:val="24"/>
          <w:szCs w:val="24"/>
          <w:lang w:val="en-US"/>
        </w:rPr>
        <w:t xml:space="preserve"> Ghana Cedis</w:t>
      </w:r>
      <w:r w:rsidRPr="000F57AA">
        <w:rPr>
          <w:rFonts w:ascii="Times New Roman" w:hAnsi="Times New Roman"/>
          <w:sz w:val="24"/>
          <w:szCs w:val="24"/>
          <w:lang w:val="en-US"/>
        </w:rPr>
        <w:t xml:space="preserve"> to the</w:t>
      </w:r>
      <w:r w:rsidR="007F5903" w:rsidRPr="000F57AA">
        <w:rPr>
          <w:rFonts w:ascii="Times New Roman" w:hAnsi="Times New Roman"/>
          <w:sz w:val="24"/>
          <w:szCs w:val="24"/>
          <w:lang w:val="en-US"/>
        </w:rPr>
        <w:t xml:space="preserve"> </w:t>
      </w:r>
      <w:r w:rsidRPr="000F57AA">
        <w:rPr>
          <w:rFonts w:ascii="Times New Roman" w:hAnsi="Times New Roman"/>
          <w:sz w:val="24"/>
          <w:szCs w:val="24"/>
          <w:lang w:val="en-US"/>
        </w:rPr>
        <w:t xml:space="preserve">NADeF </w:t>
      </w:r>
      <w:r w:rsidR="007F5903" w:rsidRPr="000F57AA">
        <w:rPr>
          <w:rFonts w:ascii="Times New Roman" w:hAnsi="Times New Roman"/>
          <w:sz w:val="24"/>
          <w:szCs w:val="24"/>
          <w:lang w:val="en-US"/>
        </w:rPr>
        <w:t xml:space="preserve">towards </w:t>
      </w:r>
      <w:r w:rsidR="003715AA" w:rsidRPr="000F57AA">
        <w:rPr>
          <w:rFonts w:ascii="Times New Roman" w:hAnsi="Times New Roman"/>
          <w:sz w:val="24"/>
          <w:szCs w:val="24"/>
          <w:lang w:val="en-US"/>
        </w:rPr>
        <w:t xml:space="preserve">various projects for the development of the </w:t>
      </w:r>
      <w:r w:rsidR="003715AA" w:rsidRPr="000F57AA">
        <w:rPr>
          <w:rFonts w:ascii="Times New Roman" w:hAnsi="Times New Roman"/>
          <w:sz w:val="24"/>
          <w:szCs w:val="24"/>
          <w:lang w:val="en-US"/>
        </w:rPr>
        <w:lastRenderedPageBreak/>
        <w:t xml:space="preserve">local community </w:t>
      </w:r>
      <w:r w:rsidR="00004845" w:rsidRPr="000F57AA">
        <w:rPr>
          <w:rFonts w:ascii="Times New Roman" w:hAnsi="Times New Roman"/>
          <w:sz w:val="24"/>
          <w:szCs w:val="24"/>
          <w:lang w:val="en-US"/>
        </w:rPr>
        <w:t>(NADeF, 2015)</w:t>
      </w:r>
      <w:r w:rsidR="007F5903" w:rsidRPr="000F57AA">
        <w:rPr>
          <w:rFonts w:ascii="Times New Roman" w:hAnsi="Times New Roman"/>
          <w:sz w:val="24"/>
          <w:szCs w:val="24"/>
          <w:lang w:val="en-US"/>
        </w:rPr>
        <w:t xml:space="preserve">. </w:t>
      </w:r>
      <w:r w:rsidR="00505F0E" w:rsidRPr="000F57AA">
        <w:rPr>
          <w:rFonts w:ascii="Times New Roman" w:hAnsi="Times New Roman"/>
          <w:sz w:val="24"/>
          <w:szCs w:val="24"/>
          <w:lang w:val="en-US"/>
        </w:rPr>
        <w:t xml:space="preserve">The NADeF board of Trustees have disbursed about </w:t>
      </w:r>
      <w:r w:rsidR="003715AA" w:rsidRPr="000F57AA">
        <w:rPr>
          <w:rFonts w:ascii="Times New Roman" w:hAnsi="Times New Roman"/>
          <w:sz w:val="24"/>
          <w:szCs w:val="24"/>
          <w:lang w:val="en-US"/>
        </w:rPr>
        <w:t xml:space="preserve">25.41 million Ghana Cedis </w:t>
      </w:r>
      <w:r w:rsidR="00505F0E" w:rsidRPr="000F57AA">
        <w:rPr>
          <w:rFonts w:ascii="Times New Roman" w:hAnsi="Times New Roman"/>
          <w:sz w:val="24"/>
          <w:szCs w:val="24"/>
          <w:lang w:val="en-US"/>
        </w:rPr>
        <w:t xml:space="preserve">of the money received and invested </w:t>
      </w:r>
      <w:r w:rsidR="003715AA" w:rsidRPr="000F57AA">
        <w:rPr>
          <w:rFonts w:ascii="Times New Roman" w:hAnsi="Times New Roman"/>
          <w:sz w:val="24"/>
          <w:szCs w:val="24"/>
          <w:lang w:val="en-US"/>
        </w:rPr>
        <w:t xml:space="preserve">25.09 million Ghana Cedis </w:t>
      </w:r>
      <w:r w:rsidR="00505F0E" w:rsidRPr="000F57AA">
        <w:rPr>
          <w:rFonts w:ascii="Times New Roman" w:hAnsi="Times New Roman"/>
          <w:sz w:val="24"/>
          <w:szCs w:val="24"/>
          <w:lang w:val="en-US"/>
        </w:rPr>
        <w:t xml:space="preserve">in a </w:t>
      </w:r>
      <w:r w:rsidR="003715AA" w:rsidRPr="000F57AA">
        <w:rPr>
          <w:rFonts w:ascii="Times New Roman" w:hAnsi="Times New Roman"/>
          <w:sz w:val="24"/>
          <w:szCs w:val="24"/>
          <w:lang w:val="en-US"/>
        </w:rPr>
        <w:t xml:space="preserve">endowment </w:t>
      </w:r>
      <w:r w:rsidR="00505F0E" w:rsidRPr="000F57AA">
        <w:rPr>
          <w:rFonts w:ascii="Times New Roman" w:hAnsi="Times New Roman"/>
          <w:sz w:val="24"/>
          <w:szCs w:val="24"/>
          <w:lang w:val="en-US"/>
        </w:rPr>
        <w:t xml:space="preserve">fund to be used after the closure of the mines. </w:t>
      </w:r>
      <w:r w:rsidR="00853FAE" w:rsidRPr="000F57AA">
        <w:rPr>
          <w:rFonts w:ascii="Times New Roman" w:hAnsi="Times New Roman"/>
          <w:sz w:val="24"/>
          <w:szCs w:val="24"/>
          <w:lang w:val="en-US"/>
        </w:rPr>
        <w:t>Below we provide the figure regarding various developmental programmes sponsored by NADeF</w:t>
      </w:r>
      <w:r w:rsidR="00A376DE">
        <w:rPr>
          <w:rFonts w:ascii="Times New Roman" w:hAnsi="Times New Roman"/>
          <w:sz w:val="24"/>
          <w:szCs w:val="24"/>
          <w:lang w:val="en-US"/>
        </w:rPr>
        <w:t xml:space="preserve"> since 2008</w:t>
      </w:r>
      <w:r w:rsidR="00853FAE" w:rsidRPr="000F57AA">
        <w:rPr>
          <w:rFonts w:ascii="Times New Roman" w:hAnsi="Times New Roman"/>
          <w:sz w:val="24"/>
          <w:szCs w:val="24"/>
          <w:lang w:val="en-US"/>
        </w:rPr>
        <w:t xml:space="preserve">. </w:t>
      </w:r>
    </w:p>
    <w:p w14:paraId="4DEB8CE4" w14:textId="4D794A27" w:rsidR="00A66990" w:rsidRPr="000F57AA" w:rsidRDefault="00A66990" w:rsidP="007F5903">
      <w:pPr>
        <w:pStyle w:val="NoteLevel11"/>
        <w:numPr>
          <w:ilvl w:val="0"/>
          <w:numId w:val="0"/>
        </w:numPr>
        <w:spacing w:line="480" w:lineRule="auto"/>
        <w:rPr>
          <w:rFonts w:ascii="Times New Roman" w:hAnsi="Times New Roman"/>
          <w:sz w:val="24"/>
          <w:szCs w:val="24"/>
          <w:lang w:val="en-US"/>
        </w:rPr>
      </w:pPr>
    </w:p>
    <w:p w14:paraId="119AD2AB" w14:textId="638910AE" w:rsidR="00853FAE" w:rsidRDefault="006A5A23" w:rsidP="00A376DE">
      <w:pPr>
        <w:pStyle w:val="NoteLevel11"/>
        <w:numPr>
          <w:ilvl w:val="0"/>
          <w:numId w:val="0"/>
        </w:numPr>
        <w:spacing w:line="480" w:lineRule="auto"/>
        <w:ind w:left="2160"/>
        <w:jc w:val="center"/>
        <w:rPr>
          <w:rFonts w:ascii="Times New Roman" w:hAnsi="Times New Roman"/>
          <w:sz w:val="24"/>
          <w:szCs w:val="24"/>
          <w:lang w:val="en-US"/>
        </w:rPr>
      </w:pPr>
      <w:r>
        <w:rPr>
          <w:rFonts w:ascii="Times New Roman" w:hAnsi="Times New Roman"/>
          <w:sz w:val="24"/>
          <w:szCs w:val="24"/>
          <w:lang w:val="en-US"/>
        </w:rPr>
        <w:t>(</w:t>
      </w:r>
      <w:r w:rsidR="00853FAE" w:rsidRPr="000F57AA">
        <w:rPr>
          <w:rFonts w:ascii="Times New Roman" w:hAnsi="Times New Roman"/>
          <w:sz w:val="24"/>
          <w:szCs w:val="24"/>
          <w:lang w:val="en-US"/>
        </w:rPr>
        <w:t xml:space="preserve">Insert Figure </w:t>
      </w:r>
      <w:r w:rsidR="00A80415" w:rsidRPr="000F57AA">
        <w:rPr>
          <w:rFonts w:ascii="Times New Roman" w:hAnsi="Times New Roman"/>
          <w:sz w:val="24"/>
          <w:szCs w:val="24"/>
          <w:lang w:val="en-US"/>
        </w:rPr>
        <w:t>2</w:t>
      </w:r>
      <w:r w:rsidR="00853FAE" w:rsidRPr="000F57AA">
        <w:rPr>
          <w:rFonts w:ascii="Times New Roman" w:hAnsi="Times New Roman"/>
          <w:sz w:val="24"/>
          <w:szCs w:val="24"/>
          <w:lang w:val="en-US"/>
        </w:rPr>
        <w:t xml:space="preserve"> over here</w:t>
      </w:r>
      <w:r>
        <w:rPr>
          <w:rFonts w:ascii="Times New Roman" w:hAnsi="Times New Roman"/>
          <w:sz w:val="24"/>
          <w:szCs w:val="24"/>
          <w:lang w:val="en-US"/>
        </w:rPr>
        <w:t>)</w:t>
      </w:r>
    </w:p>
    <w:p w14:paraId="1C51CA8A" w14:textId="77777777" w:rsidR="00A376DE" w:rsidRPr="000F57AA" w:rsidRDefault="00A376DE" w:rsidP="00A376DE">
      <w:pPr>
        <w:pStyle w:val="NoteLevel11"/>
        <w:numPr>
          <w:ilvl w:val="0"/>
          <w:numId w:val="0"/>
        </w:numPr>
        <w:spacing w:line="480" w:lineRule="auto"/>
        <w:ind w:left="2160"/>
        <w:jc w:val="center"/>
        <w:rPr>
          <w:rFonts w:ascii="Times New Roman" w:hAnsi="Times New Roman"/>
          <w:sz w:val="24"/>
          <w:szCs w:val="24"/>
          <w:lang w:val="en-US"/>
        </w:rPr>
      </w:pPr>
    </w:p>
    <w:p w14:paraId="70F1693A" w14:textId="153E92BE" w:rsidR="007F5903" w:rsidRDefault="007F5903" w:rsidP="005E315A">
      <w:pPr>
        <w:pStyle w:val="NoteLevel11"/>
        <w:numPr>
          <w:ilvl w:val="0"/>
          <w:numId w:val="0"/>
        </w:numPr>
        <w:spacing w:line="480" w:lineRule="auto"/>
        <w:ind w:firstLine="720"/>
        <w:rPr>
          <w:rFonts w:ascii="Times New Roman" w:hAnsi="Times New Roman"/>
          <w:sz w:val="24"/>
          <w:szCs w:val="24"/>
        </w:rPr>
      </w:pPr>
      <w:r w:rsidRPr="000F57AA">
        <w:rPr>
          <w:rFonts w:ascii="Times New Roman" w:hAnsi="Times New Roman"/>
          <w:sz w:val="24"/>
          <w:szCs w:val="24"/>
          <w:lang w:val="en-US"/>
        </w:rPr>
        <w:t xml:space="preserve">The sustainable development committees (SDCs), are community-based teams, established in </w:t>
      </w:r>
      <w:r w:rsidRPr="000F57AA">
        <w:rPr>
          <w:rFonts w:ascii="Times New Roman" w:hAnsi="Times New Roman"/>
          <w:sz w:val="24"/>
          <w:szCs w:val="24"/>
        </w:rPr>
        <w:t xml:space="preserve">each of the 10 Ahafo </w:t>
      </w:r>
      <w:r w:rsidRPr="000F57AA">
        <w:rPr>
          <w:rFonts w:ascii="Times New Roman" w:hAnsi="Times New Roman"/>
          <w:sz w:val="24"/>
          <w:szCs w:val="24"/>
          <w:lang w:val="en-US"/>
        </w:rPr>
        <w:t xml:space="preserve">communities affected by NGGL’s mining activities. </w:t>
      </w:r>
      <w:r w:rsidR="00853FAE" w:rsidRPr="000F57AA">
        <w:rPr>
          <w:rFonts w:ascii="Times New Roman" w:hAnsi="Times New Roman"/>
          <w:sz w:val="24"/>
          <w:szCs w:val="24"/>
          <w:lang w:val="en-US"/>
        </w:rPr>
        <w:t>In other words</w:t>
      </w:r>
      <w:r w:rsidR="0034287B">
        <w:rPr>
          <w:rFonts w:ascii="Times New Roman" w:hAnsi="Times New Roman"/>
          <w:sz w:val="24"/>
          <w:szCs w:val="24"/>
          <w:lang w:val="en-US"/>
        </w:rPr>
        <w:t>,</w:t>
      </w:r>
      <w:r w:rsidR="00853FAE" w:rsidRPr="000F57AA">
        <w:rPr>
          <w:rFonts w:ascii="Times New Roman" w:hAnsi="Times New Roman"/>
          <w:sz w:val="24"/>
          <w:szCs w:val="24"/>
          <w:lang w:val="en-US"/>
        </w:rPr>
        <w:t xml:space="preserve"> 10 SDCs are part of the NADeF structure, each representing one Ahafo community. Thus, the SDCs</w:t>
      </w:r>
      <w:r w:rsidRPr="000F57AA">
        <w:rPr>
          <w:rFonts w:ascii="Times New Roman" w:hAnsi="Times New Roman"/>
          <w:sz w:val="24"/>
          <w:szCs w:val="24"/>
          <w:lang w:val="en-US"/>
        </w:rPr>
        <w:t xml:space="preserve"> serve as a link between the communities and the NADeF. The main roles of these committees are to identify and appraise projects/initiatives within their respective communities and submit the same to NADeF for sponsorship. The</w:t>
      </w:r>
      <w:r w:rsidRPr="000F57AA">
        <w:rPr>
          <w:rFonts w:ascii="Times New Roman" w:hAnsi="Times New Roman"/>
          <w:sz w:val="24"/>
          <w:szCs w:val="24"/>
        </w:rPr>
        <w:t xml:space="preserve"> committees undertake these responsibilities by engaging all the indigenous stakeholders. The engagement process includes periodic meetings durbars with the residents. The relationships maintained among the three institutions</w:t>
      </w:r>
      <w:r w:rsidR="00295FAB" w:rsidRPr="000F57AA">
        <w:rPr>
          <w:rFonts w:ascii="Times New Roman" w:hAnsi="Times New Roman"/>
          <w:sz w:val="24"/>
          <w:szCs w:val="24"/>
        </w:rPr>
        <w:t xml:space="preserve">, facilitating </w:t>
      </w:r>
      <w:r w:rsidR="00295FAB" w:rsidRPr="000F57AA">
        <w:rPr>
          <w:rFonts w:ascii="Times New Roman" w:hAnsi="Times New Roman"/>
          <w:sz w:val="24"/>
          <w:szCs w:val="24"/>
        </w:rPr>
        <w:lastRenderedPageBreak/>
        <w:t xml:space="preserve">implementation </w:t>
      </w:r>
      <w:r w:rsidR="00B25560" w:rsidRPr="000F57AA">
        <w:rPr>
          <w:rFonts w:ascii="Times New Roman" w:hAnsi="Times New Roman"/>
          <w:sz w:val="24"/>
          <w:szCs w:val="24"/>
        </w:rPr>
        <w:t>of NGGL’s</w:t>
      </w:r>
      <w:r w:rsidR="00295FAB" w:rsidRPr="000F57AA">
        <w:rPr>
          <w:rFonts w:ascii="Times New Roman" w:hAnsi="Times New Roman"/>
          <w:sz w:val="24"/>
          <w:szCs w:val="24"/>
        </w:rPr>
        <w:t xml:space="preserve"> </w:t>
      </w:r>
      <w:r w:rsidR="00B25560" w:rsidRPr="000F57AA">
        <w:rPr>
          <w:rFonts w:ascii="Times New Roman" w:hAnsi="Times New Roman"/>
          <w:sz w:val="24"/>
          <w:szCs w:val="24"/>
        </w:rPr>
        <w:t xml:space="preserve">commitment to contribute proceeds from its operations in community development </w:t>
      </w:r>
      <w:r w:rsidR="00A376DE">
        <w:rPr>
          <w:rFonts w:ascii="Times New Roman" w:hAnsi="Times New Roman"/>
          <w:sz w:val="24"/>
          <w:szCs w:val="24"/>
        </w:rPr>
        <w:t>is</w:t>
      </w:r>
      <w:r w:rsidRPr="000F57AA">
        <w:rPr>
          <w:rFonts w:ascii="Times New Roman" w:hAnsi="Times New Roman"/>
          <w:sz w:val="24"/>
          <w:szCs w:val="24"/>
        </w:rPr>
        <w:t xml:space="preserve"> depicted in</w:t>
      </w:r>
      <w:r w:rsidR="006A5A23">
        <w:rPr>
          <w:rFonts w:ascii="Times New Roman" w:hAnsi="Times New Roman"/>
          <w:sz w:val="24"/>
          <w:szCs w:val="24"/>
        </w:rPr>
        <w:t xml:space="preserve"> figure 3</w:t>
      </w:r>
      <w:r w:rsidRPr="000F57AA">
        <w:rPr>
          <w:rFonts w:ascii="Times New Roman" w:hAnsi="Times New Roman"/>
          <w:sz w:val="24"/>
          <w:szCs w:val="24"/>
        </w:rPr>
        <w:t xml:space="preserve">. </w:t>
      </w:r>
    </w:p>
    <w:p w14:paraId="5750A68E" w14:textId="77777777" w:rsidR="00A376DE" w:rsidRPr="00B655A1" w:rsidRDefault="00A376DE" w:rsidP="00A376DE">
      <w:pPr>
        <w:pStyle w:val="NoteLevel11"/>
        <w:numPr>
          <w:ilvl w:val="0"/>
          <w:numId w:val="0"/>
        </w:numPr>
        <w:spacing w:line="480" w:lineRule="auto"/>
        <w:ind w:firstLine="720"/>
        <w:rPr>
          <w:rFonts w:ascii="Times New Roman" w:hAnsi="Times New Roman"/>
          <w:sz w:val="24"/>
          <w:szCs w:val="24"/>
        </w:rPr>
      </w:pPr>
    </w:p>
    <w:p w14:paraId="677D6220" w14:textId="63B59C1A" w:rsidR="007F5903" w:rsidRPr="006A5A23" w:rsidRDefault="00A376DE" w:rsidP="007F5903">
      <w:pPr>
        <w:pStyle w:val="NoteLevel11"/>
        <w:numPr>
          <w:ilvl w:val="0"/>
          <w:numId w:val="0"/>
        </w:numPr>
        <w:spacing w:line="480" w:lineRule="auto"/>
        <w:jc w:val="center"/>
        <w:rPr>
          <w:rFonts w:ascii="Times New Roman" w:eastAsia="Times New Roman" w:hAnsi="Times New Roman"/>
          <w:sz w:val="24"/>
          <w:szCs w:val="24"/>
          <w:lang w:eastAsia="en-GB"/>
        </w:rPr>
      </w:pPr>
      <w:r w:rsidRPr="006A5A23">
        <w:rPr>
          <w:rFonts w:ascii="Times New Roman" w:eastAsia="Times New Roman" w:hAnsi="Times New Roman"/>
          <w:sz w:val="24"/>
          <w:szCs w:val="24"/>
          <w:lang w:eastAsia="en-GB"/>
        </w:rPr>
        <w:t xml:space="preserve"> </w:t>
      </w:r>
      <w:r w:rsidR="007F5903" w:rsidRPr="006A5A23">
        <w:rPr>
          <w:rFonts w:ascii="Times New Roman" w:eastAsia="Times New Roman" w:hAnsi="Times New Roman"/>
          <w:sz w:val="24"/>
          <w:szCs w:val="24"/>
          <w:lang w:eastAsia="en-GB"/>
        </w:rPr>
        <w:t xml:space="preserve">(Insert Figure </w:t>
      </w:r>
      <w:r w:rsidR="00D40C94" w:rsidRPr="006A5A23">
        <w:rPr>
          <w:rFonts w:ascii="Times New Roman" w:eastAsia="Times New Roman" w:hAnsi="Times New Roman"/>
          <w:sz w:val="24"/>
          <w:szCs w:val="24"/>
          <w:lang w:eastAsia="en-GB"/>
        </w:rPr>
        <w:t xml:space="preserve">3 </w:t>
      </w:r>
      <w:r w:rsidR="007F5903" w:rsidRPr="006A5A23">
        <w:rPr>
          <w:rFonts w:ascii="Times New Roman" w:eastAsia="Times New Roman" w:hAnsi="Times New Roman"/>
          <w:sz w:val="24"/>
          <w:szCs w:val="24"/>
          <w:lang w:eastAsia="en-GB"/>
        </w:rPr>
        <w:t>here)</w:t>
      </w:r>
    </w:p>
    <w:p w14:paraId="502A557E" w14:textId="77777777" w:rsidR="007F5903" w:rsidRPr="000F57AA" w:rsidRDefault="007F5903" w:rsidP="007F5903">
      <w:pPr>
        <w:pStyle w:val="NoteLevel11"/>
        <w:numPr>
          <w:ilvl w:val="0"/>
          <w:numId w:val="0"/>
        </w:numPr>
        <w:spacing w:line="480" w:lineRule="auto"/>
        <w:jc w:val="center"/>
        <w:rPr>
          <w:rFonts w:ascii="Times New Roman" w:eastAsia="Times New Roman" w:hAnsi="Times New Roman"/>
          <w:b/>
          <w:i/>
          <w:sz w:val="24"/>
          <w:szCs w:val="24"/>
          <w:lang w:eastAsia="en-GB"/>
        </w:rPr>
      </w:pPr>
    </w:p>
    <w:p w14:paraId="0C6DDA77" w14:textId="485165B0" w:rsidR="003B3E6D" w:rsidRPr="000F57AA" w:rsidRDefault="00B25560" w:rsidP="0034287B">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The distinctiveness of the NADeF emanates from </w:t>
      </w:r>
      <w:r w:rsidR="00761B9C" w:rsidRPr="000F57AA">
        <w:rPr>
          <w:rFonts w:ascii="Times New Roman" w:eastAsia="Times New Roman" w:hAnsi="Times New Roman"/>
          <w:sz w:val="24"/>
          <w:szCs w:val="24"/>
          <w:lang w:eastAsia="en-GB"/>
        </w:rPr>
        <w:t>adequate representation of the local communities</w:t>
      </w:r>
      <w:r w:rsidR="00394DB5" w:rsidRPr="000F57AA">
        <w:rPr>
          <w:rFonts w:ascii="Times New Roman" w:eastAsia="Times New Roman" w:hAnsi="Times New Roman"/>
          <w:sz w:val="24"/>
          <w:szCs w:val="24"/>
          <w:lang w:eastAsia="en-GB"/>
        </w:rPr>
        <w:t xml:space="preserve"> in it and </w:t>
      </w:r>
      <w:r w:rsidR="0011774B" w:rsidRPr="000F57AA">
        <w:rPr>
          <w:rFonts w:ascii="Times New Roman" w:eastAsia="Times New Roman" w:hAnsi="Times New Roman"/>
          <w:sz w:val="24"/>
          <w:szCs w:val="24"/>
          <w:lang w:eastAsia="en-GB"/>
        </w:rPr>
        <w:t xml:space="preserve">this allows </w:t>
      </w:r>
      <w:r w:rsidR="00394DB5" w:rsidRPr="000F57AA">
        <w:rPr>
          <w:rFonts w:ascii="Times New Roman" w:eastAsia="Times New Roman" w:hAnsi="Times New Roman"/>
          <w:sz w:val="24"/>
          <w:szCs w:val="24"/>
          <w:lang w:eastAsia="en-GB"/>
        </w:rPr>
        <w:t>representative of the local community</w:t>
      </w:r>
      <w:r w:rsidR="0011774B" w:rsidRPr="000F57AA">
        <w:rPr>
          <w:rFonts w:ascii="Times New Roman" w:eastAsia="Times New Roman" w:hAnsi="Times New Roman"/>
          <w:sz w:val="24"/>
          <w:szCs w:val="24"/>
          <w:lang w:eastAsia="en-GB"/>
        </w:rPr>
        <w:t xml:space="preserve"> the opportunity to be involved </w:t>
      </w:r>
      <w:r w:rsidR="00394DB5" w:rsidRPr="000F57AA">
        <w:rPr>
          <w:rFonts w:ascii="Times New Roman" w:eastAsia="Times New Roman" w:hAnsi="Times New Roman"/>
          <w:sz w:val="24"/>
          <w:szCs w:val="24"/>
          <w:lang w:eastAsia="en-GB"/>
        </w:rPr>
        <w:t xml:space="preserve">in the evaluation of the developmental proposals, implementation and monitoring </w:t>
      </w:r>
      <w:r w:rsidR="00610145" w:rsidRPr="000F57AA">
        <w:rPr>
          <w:rFonts w:ascii="Times New Roman" w:eastAsia="Times New Roman" w:hAnsi="Times New Roman"/>
          <w:sz w:val="24"/>
          <w:szCs w:val="24"/>
          <w:lang w:eastAsia="en-GB"/>
        </w:rPr>
        <w:t xml:space="preserve">of the </w:t>
      </w:r>
      <w:r w:rsidR="00394DB5" w:rsidRPr="000F57AA">
        <w:rPr>
          <w:rFonts w:ascii="Times New Roman" w:eastAsia="Times New Roman" w:hAnsi="Times New Roman"/>
          <w:sz w:val="24"/>
          <w:szCs w:val="24"/>
          <w:lang w:eastAsia="en-GB"/>
        </w:rPr>
        <w:t xml:space="preserve">approved developmental projects. </w:t>
      </w:r>
      <w:r w:rsidR="00761B9C" w:rsidRPr="000F57AA">
        <w:rPr>
          <w:rFonts w:ascii="Times New Roman" w:eastAsia="Times New Roman" w:hAnsi="Times New Roman"/>
          <w:sz w:val="24"/>
          <w:szCs w:val="24"/>
          <w:lang w:eastAsia="en-GB"/>
        </w:rPr>
        <w:t xml:space="preserve"> The board of</w:t>
      </w:r>
      <w:r w:rsidR="003B3E6D" w:rsidRPr="000F57AA">
        <w:rPr>
          <w:rFonts w:ascii="Times New Roman" w:eastAsia="Times New Roman" w:hAnsi="Times New Roman"/>
          <w:sz w:val="24"/>
          <w:szCs w:val="24"/>
          <w:lang w:eastAsia="en-GB"/>
        </w:rPr>
        <w:t xml:space="preserve"> trustees of the </w:t>
      </w:r>
      <w:r w:rsidR="00761B9C" w:rsidRPr="000F57AA">
        <w:rPr>
          <w:rFonts w:ascii="Times New Roman" w:eastAsia="Times New Roman" w:hAnsi="Times New Roman"/>
          <w:sz w:val="24"/>
          <w:szCs w:val="24"/>
          <w:lang w:eastAsia="en-GB"/>
        </w:rPr>
        <w:t xml:space="preserve">NADeF comprise of </w:t>
      </w:r>
      <w:r w:rsidR="003B3E6D" w:rsidRPr="000F57AA">
        <w:rPr>
          <w:rFonts w:ascii="Times New Roman" w:eastAsia="Times New Roman" w:hAnsi="Times New Roman"/>
          <w:sz w:val="24"/>
          <w:szCs w:val="24"/>
          <w:lang w:eastAsia="en-GB"/>
        </w:rPr>
        <w:t xml:space="preserve">representatives from </w:t>
      </w:r>
      <w:r w:rsidR="00610145" w:rsidRPr="000F57AA">
        <w:rPr>
          <w:rFonts w:ascii="Times New Roman" w:eastAsia="Times New Roman" w:hAnsi="Times New Roman"/>
          <w:sz w:val="24"/>
          <w:szCs w:val="24"/>
          <w:lang w:eastAsia="en-GB"/>
        </w:rPr>
        <w:t xml:space="preserve">all the 10 </w:t>
      </w:r>
      <w:r w:rsidR="007F5903" w:rsidRPr="000F57AA">
        <w:rPr>
          <w:rFonts w:ascii="Times New Roman" w:eastAsia="Times New Roman" w:hAnsi="Times New Roman"/>
          <w:sz w:val="24"/>
          <w:szCs w:val="24"/>
          <w:lang w:eastAsia="en-GB"/>
        </w:rPr>
        <w:t>communities in the mining region</w:t>
      </w:r>
      <w:r w:rsidR="00610145" w:rsidRPr="000F57AA">
        <w:rPr>
          <w:rFonts w:ascii="Times New Roman" w:eastAsia="Times New Roman" w:hAnsi="Times New Roman"/>
          <w:sz w:val="24"/>
          <w:szCs w:val="24"/>
          <w:lang w:eastAsia="en-GB"/>
        </w:rPr>
        <w:t xml:space="preserve">. </w:t>
      </w:r>
      <w:r w:rsidR="00A80415" w:rsidRPr="000F57AA">
        <w:rPr>
          <w:rFonts w:ascii="Times New Roman" w:eastAsia="Times New Roman" w:hAnsi="Times New Roman"/>
          <w:sz w:val="24"/>
          <w:szCs w:val="24"/>
          <w:lang w:eastAsia="en-GB"/>
        </w:rPr>
        <w:t xml:space="preserve">In this context, one of opinion leaders asserted: </w:t>
      </w:r>
    </w:p>
    <w:p w14:paraId="1DD968F7" w14:textId="6D62AEDD" w:rsidR="007F5903" w:rsidRPr="000F57AA" w:rsidRDefault="007F5903" w:rsidP="000F57AA">
      <w:pPr>
        <w:pStyle w:val="NoteLevel11"/>
        <w:numPr>
          <w:ilvl w:val="0"/>
          <w:numId w:val="0"/>
        </w:numPr>
        <w:spacing w:line="480" w:lineRule="auto"/>
        <w:ind w:firstLine="720"/>
        <w:rPr>
          <w:rFonts w:ascii="Times New Roman" w:eastAsia="Times New Roman" w:hAnsi="Times New Roman"/>
          <w:i/>
          <w:sz w:val="24"/>
          <w:szCs w:val="24"/>
          <w:lang w:eastAsia="en-GB"/>
        </w:rPr>
      </w:pPr>
      <w:r w:rsidRPr="000F57AA">
        <w:rPr>
          <w:rFonts w:ascii="Times New Roman" w:eastAsia="Times New Roman" w:hAnsi="Times New Roman"/>
          <w:i/>
          <w:sz w:val="24"/>
          <w:szCs w:val="24"/>
          <w:lang w:eastAsia="en-GB"/>
        </w:rPr>
        <w:t>“We have large communities, as many as 10 and under two different local government structures. Others</w:t>
      </w:r>
      <w:r w:rsidR="00975AD4" w:rsidRPr="000F57AA">
        <w:rPr>
          <w:rFonts w:ascii="Times New Roman" w:eastAsia="Times New Roman" w:hAnsi="Times New Roman"/>
          <w:i/>
          <w:sz w:val="24"/>
          <w:szCs w:val="24"/>
          <w:lang w:eastAsia="en-GB"/>
        </w:rPr>
        <w:t xml:space="preserve"> [mining communities]</w:t>
      </w:r>
      <w:r w:rsidRPr="000F57AA">
        <w:rPr>
          <w:rFonts w:ascii="Times New Roman" w:eastAsia="Times New Roman" w:hAnsi="Times New Roman"/>
          <w:i/>
          <w:sz w:val="24"/>
          <w:szCs w:val="24"/>
          <w:lang w:eastAsia="en-GB"/>
        </w:rPr>
        <w:t xml:space="preserve"> have fewer communities and different culture, beliefs </w:t>
      </w:r>
      <w:r w:rsidRPr="000F57AA">
        <w:rPr>
          <w:rFonts w:ascii="Times New Roman" w:eastAsia="Times New Roman" w:hAnsi="Times New Roman"/>
          <w:i/>
          <w:sz w:val="24"/>
          <w:szCs w:val="24"/>
          <w:lang w:eastAsia="en-GB"/>
        </w:rPr>
        <w:lastRenderedPageBreak/>
        <w:t xml:space="preserve">and </w:t>
      </w:r>
      <w:r w:rsidR="00975AD4" w:rsidRPr="000F57AA">
        <w:rPr>
          <w:rFonts w:ascii="Times New Roman" w:eastAsia="Times New Roman" w:hAnsi="Times New Roman"/>
          <w:i/>
          <w:sz w:val="24"/>
          <w:szCs w:val="24"/>
          <w:lang w:eastAsia="en-GB"/>
        </w:rPr>
        <w:t>norms</w:t>
      </w:r>
      <w:r w:rsidRPr="000F57AA">
        <w:rPr>
          <w:rFonts w:ascii="Times New Roman" w:eastAsia="Times New Roman" w:hAnsi="Times New Roman"/>
          <w:i/>
          <w:sz w:val="24"/>
          <w:szCs w:val="24"/>
          <w:lang w:eastAsia="en-GB"/>
        </w:rPr>
        <w:t>. To us, a consultative group like NADeF reflect</w:t>
      </w:r>
      <w:r w:rsidR="00975AD4" w:rsidRPr="000F57AA">
        <w:rPr>
          <w:rFonts w:ascii="Times New Roman" w:eastAsia="Times New Roman" w:hAnsi="Times New Roman"/>
          <w:i/>
          <w:sz w:val="24"/>
          <w:szCs w:val="24"/>
          <w:lang w:eastAsia="en-GB"/>
        </w:rPr>
        <w:t>s</w:t>
      </w:r>
      <w:r w:rsidRPr="000F57AA">
        <w:rPr>
          <w:rFonts w:ascii="Times New Roman" w:eastAsia="Times New Roman" w:hAnsi="Times New Roman"/>
          <w:i/>
          <w:sz w:val="24"/>
          <w:szCs w:val="24"/>
          <w:lang w:eastAsia="en-GB"/>
        </w:rPr>
        <w:t xml:space="preserve"> our tradition. Our culture supports working with opinion leaders to facilitate harmony.”</w:t>
      </w:r>
      <w:r w:rsidR="003B3E6D" w:rsidRPr="000F57AA">
        <w:rPr>
          <w:rFonts w:ascii="Times New Roman" w:eastAsia="Times New Roman" w:hAnsi="Times New Roman"/>
          <w:i/>
          <w:sz w:val="24"/>
          <w:szCs w:val="24"/>
          <w:lang w:eastAsia="en-GB"/>
        </w:rPr>
        <w:t xml:space="preserve"> (Interviewee 9). </w:t>
      </w:r>
    </w:p>
    <w:p w14:paraId="04CB9740" w14:textId="77777777" w:rsidR="00465634" w:rsidRPr="000F57AA" w:rsidRDefault="00465634" w:rsidP="000F57AA">
      <w:pPr>
        <w:pStyle w:val="NoteLevel11"/>
        <w:numPr>
          <w:ilvl w:val="0"/>
          <w:numId w:val="0"/>
        </w:numPr>
        <w:spacing w:line="480" w:lineRule="auto"/>
        <w:rPr>
          <w:rFonts w:ascii="Times New Roman" w:eastAsia="Times New Roman" w:hAnsi="Times New Roman"/>
          <w:sz w:val="24"/>
          <w:szCs w:val="24"/>
          <w:lang w:eastAsia="en-GB"/>
        </w:rPr>
      </w:pPr>
    </w:p>
    <w:p w14:paraId="47B347F6" w14:textId="376A70BB" w:rsidR="002A0297" w:rsidRPr="000F57AA" w:rsidRDefault="00B56FF5">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The above quotation highlights two critical issues. First, </w:t>
      </w:r>
      <w:r w:rsidR="003476C3" w:rsidRPr="000F57AA">
        <w:rPr>
          <w:rFonts w:ascii="Times New Roman" w:eastAsia="Times New Roman" w:hAnsi="Times New Roman"/>
          <w:sz w:val="24"/>
          <w:szCs w:val="24"/>
          <w:lang w:eastAsia="en-GB"/>
        </w:rPr>
        <w:t xml:space="preserve">there is a </w:t>
      </w:r>
      <w:r w:rsidR="002A0297" w:rsidRPr="000F57AA">
        <w:rPr>
          <w:rFonts w:ascii="Times New Roman" w:eastAsia="Times New Roman" w:hAnsi="Times New Roman"/>
          <w:sz w:val="24"/>
          <w:szCs w:val="24"/>
          <w:lang w:eastAsia="en-GB"/>
        </w:rPr>
        <w:t xml:space="preserve">recognition that </w:t>
      </w:r>
      <w:r w:rsidRPr="000F57AA">
        <w:rPr>
          <w:rFonts w:ascii="Times New Roman" w:eastAsia="Times New Roman" w:hAnsi="Times New Roman"/>
          <w:sz w:val="24"/>
          <w:szCs w:val="24"/>
          <w:lang w:eastAsia="en-GB"/>
        </w:rPr>
        <w:t xml:space="preserve">collective functioning or consultative approach is central to achieve </w:t>
      </w:r>
      <w:r w:rsidR="00465634" w:rsidRPr="000F57AA">
        <w:rPr>
          <w:rFonts w:ascii="Times New Roman" w:eastAsia="Times New Roman" w:hAnsi="Times New Roman"/>
          <w:sz w:val="24"/>
          <w:szCs w:val="24"/>
          <w:lang w:eastAsia="en-GB"/>
        </w:rPr>
        <w:t>long-term development of the region</w:t>
      </w:r>
      <w:r w:rsidR="002A0297" w:rsidRPr="000F57AA">
        <w:rPr>
          <w:rFonts w:ascii="Times New Roman" w:eastAsia="Times New Roman" w:hAnsi="Times New Roman"/>
          <w:sz w:val="24"/>
          <w:szCs w:val="24"/>
          <w:lang w:eastAsia="en-GB"/>
        </w:rPr>
        <w:t xml:space="preserve"> and in that context NADeF provides a </w:t>
      </w:r>
      <w:r w:rsidR="000F7043" w:rsidRPr="000F57AA">
        <w:rPr>
          <w:rFonts w:ascii="Times New Roman" w:eastAsia="Times New Roman" w:hAnsi="Times New Roman"/>
          <w:sz w:val="24"/>
          <w:szCs w:val="24"/>
          <w:lang w:eastAsia="en-GB"/>
        </w:rPr>
        <w:t xml:space="preserve">space </w:t>
      </w:r>
      <w:r w:rsidR="002A0297" w:rsidRPr="000F57AA">
        <w:rPr>
          <w:rFonts w:ascii="Times New Roman" w:eastAsia="Times New Roman" w:hAnsi="Times New Roman"/>
          <w:sz w:val="24"/>
          <w:szCs w:val="24"/>
          <w:lang w:eastAsia="en-GB"/>
        </w:rPr>
        <w:t xml:space="preserve">to the 10 local communities to suggest potential developmental programmes. </w:t>
      </w:r>
      <w:r w:rsidR="003476C3" w:rsidRPr="000F57AA">
        <w:rPr>
          <w:rFonts w:ascii="Times New Roman" w:eastAsia="Times New Roman" w:hAnsi="Times New Roman"/>
          <w:sz w:val="24"/>
          <w:szCs w:val="24"/>
          <w:lang w:eastAsia="en-GB"/>
        </w:rPr>
        <w:t>The consultative approach entails regular</w:t>
      </w:r>
      <w:r w:rsidR="000F7043" w:rsidRPr="000F57AA">
        <w:rPr>
          <w:rFonts w:ascii="Times New Roman" w:eastAsia="Times New Roman" w:hAnsi="Times New Roman"/>
          <w:sz w:val="24"/>
          <w:szCs w:val="24"/>
          <w:lang w:eastAsia="en-GB"/>
        </w:rPr>
        <w:t xml:space="preserve"> periodic</w:t>
      </w:r>
      <w:r w:rsidR="003476C3" w:rsidRPr="000F57AA">
        <w:rPr>
          <w:rFonts w:ascii="Times New Roman" w:eastAsia="Times New Roman" w:hAnsi="Times New Roman"/>
          <w:sz w:val="24"/>
          <w:szCs w:val="24"/>
          <w:lang w:eastAsia="en-GB"/>
        </w:rPr>
        <w:t xml:space="preserve"> </w:t>
      </w:r>
      <w:r w:rsidR="009B285A" w:rsidRPr="000F57AA">
        <w:rPr>
          <w:rFonts w:ascii="Times New Roman" w:eastAsia="Times New Roman" w:hAnsi="Times New Roman"/>
          <w:sz w:val="24"/>
          <w:szCs w:val="24"/>
          <w:lang w:eastAsia="en-GB"/>
        </w:rPr>
        <w:t>interaction</w:t>
      </w:r>
      <w:r w:rsidR="003476C3" w:rsidRPr="000F57AA">
        <w:rPr>
          <w:rFonts w:ascii="Times New Roman" w:eastAsia="Times New Roman" w:hAnsi="Times New Roman"/>
          <w:sz w:val="24"/>
          <w:szCs w:val="24"/>
          <w:lang w:eastAsia="en-GB"/>
        </w:rPr>
        <w:t xml:space="preserve"> between </w:t>
      </w:r>
      <w:r w:rsidR="009B285A" w:rsidRPr="000F57AA">
        <w:rPr>
          <w:rFonts w:ascii="Times New Roman" w:eastAsia="Times New Roman" w:hAnsi="Times New Roman"/>
          <w:sz w:val="24"/>
          <w:szCs w:val="24"/>
          <w:lang w:eastAsia="en-GB"/>
        </w:rPr>
        <w:t xml:space="preserve">the </w:t>
      </w:r>
      <w:r w:rsidR="003476C3" w:rsidRPr="000F57AA">
        <w:rPr>
          <w:rFonts w:ascii="Times New Roman" w:eastAsia="Times New Roman" w:hAnsi="Times New Roman"/>
          <w:sz w:val="24"/>
          <w:szCs w:val="24"/>
          <w:lang w:eastAsia="en-GB"/>
        </w:rPr>
        <w:t xml:space="preserve">NGGL, </w:t>
      </w:r>
      <w:r w:rsidR="009B285A" w:rsidRPr="000F57AA">
        <w:rPr>
          <w:rFonts w:ascii="Times New Roman" w:eastAsia="Times New Roman" w:hAnsi="Times New Roman"/>
          <w:sz w:val="24"/>
          <w:szCs w:val="24"/>
          <w:lang w:eastAsia="en-GB"/>
        </w:rPr>
        <w:t>which effectively</w:t>
      </w:r>
      <w:r w:rsidR="003476C3" w:rsidRPr="000F57AA">
        <w:rPr>
          <w:rFonts w:ascii="Times New Roman" w:eastAsia="Times New Roman" w:hAnsi="Times New Roman"/>
          <w:sz w:val="24"/>
          <w:szCs w:val="24"/>
          <w:lang w:eastAsia="en-GB"/>
        </w:rPr>
        <w:t xml:space="preserve"> sponsor</w:t>
      </w:r>
      <w:r w:rsidR="009B285A" w:rsidRPr="000F57AA">
        <w:rPr>
          <w:rFonts w:ascii="Times New Roman" w:eastAsia="Times New Roman" w:hAnsi="Times New Roman"/>
          <w:sz w:val="24"/>
          <w:szCs w:val="24"/>
          <w:lang w:eastAsia="en-GB"/>
        </w:rPr>
        <w:t xml:space="preserve">s the </w:t>
      </w:r>
      <w:r w:rsidR="003476C3" w:rsidRPr="000F57AA">
        <w:rPr>
          <w:rFonts w:ascii="Times New Roman" w:eastAsia="Times New Roman" w:hAnsi="Times New Roman"/>
          <w:sz w:val="24"/>
          <w:szCs w:val="24"/>
          <w:lang w:eastAsia="en-GB"/>
        </w:rPr>
        <w:t xml:space="preserve">developmental programmes and </w:t>
      </w:r>
      <w:r w:rsidR="009B285A" w:rsidRPr="000F57AA">
        <w:rPr>
          <w:rFonts w:ascii="Times New Roman" w:eastAsia="Times New Roman" w:hAnsi="Times New Roman"/>
          <w:sz w:val="24"/>
          <w:szCs w:val="24"/>
          <w:lang w:eastAsia="en-GB"/>
        </w:rPr>
        <w:t xml:space="preserve">other representatives in NADeF and ASRF, who propose various initiatives based on proposals received from the SDCs. In that context, NADeF </w:t>
      </w:r>
      <w:r w:rsidR="000F7043" w:rsidRPr="000F57AA">
        <w:rPr>
          <w:rFonts w:ascii="Times New Roman" w:eastAsia="Times New Roman" w:hAnsi="Times New Roman"/>
          <w:sz w:val="24"/>
          <w:szCs w:val="24"/>
          <w:lang w:eastAsia="en-GB"/>
        </w:rPr>
        <w:t>provides</w:t>
      </w:r>
      <w:r w:rsidR="009B285A" w:rsidRPr="000F57AA">
        <w:rPr>
          <w:rFonts w:ascii="Times New Roman" w:eastAsia="Times New Roman" w:hAnsi="Times New Roman"/>
          <w:sz w:val="24"/>
          <w:szCs w:val="24"/>
          <w:lang w:eastAsia="en-GB"/>
        </w:rPr>
        <w:t xml:space="preserve"> a platform </w:t>
      </w:r>
      <w:r w:rsidR="006A5A23">
        <w:rPr>
          <w:rFonts w:ascii="Times New Roman" w:eastAsia="Times New Roman" w:hAnsi="Times New Roman"/>
          <w:sz w:val="24"/>
          <w:szCs w:val="24"/>
          <w:lang w:eastAsia="en-GB"/>
        </w:rPr>
        <w:t>for the</w:t>
      </w:r>
      <w:r w:rsidR="009B285A" w:rsidRPr="000F57AA">
        <w:rPr>
          <w:rFonts w:ascii="Times New Roman" w:eastAsia="Times New Roman" w:hAnsi="Times New Roman"/>
          <w:sz w:val="24"/>
          <w:szCs w:val="24"/>
          <w:lang w:eastAsia="en-GB"/>
        </w:rPr>
        <w:t xml:space="preserve"> interaction between NGGL and the members of the local community</w:t>
      </w:r>
      <w:r w:rsidR="000F7043" w:rsidRPr="000F57AA">
        <w:rPr>
          <w:rFonts w:ascii="Times New Roman" w:eastAsia="Times New Roman" w:hAnsi="Times New Roman"/>
          <w:sz w:val="24"/>
          <w:szCs w:val="24"/>
          <w:lang w:eastAsia="en-GB"/>
        </w:rPr>
        <w:t xml:space="preserve"> to take place.</w:t>
      </w:r>
      <w:r w:rsidR="009B285A" w:rsidRPr="000F57AA">
        <w:rPr>
          <w:rFonts w:ascii="Times New Roman" w:eastAsia="Times New Roman" w:hAnsi="Times New Roman"/>
          <w:sz w:val="24"/>
          <w:szCs w:val="24"/>
          <w:lang w:eastAsia="en-GB"/>
        </w:rPr>
        <w:t xml:space="preserve"> </w:t>
      </w:r>
      <w:r w:rsidRPr="000F57AA">
        <w:rPr>
          <w:rFonts w:ascii="Times New Roman" w:eastAsia="Times New Roman" w:hAnsi="Times New Roman"/>
          <w:sz w:val="24"/>
          <w:szCs w:val="24"/>
          <w:lang w:eastAsia="en-GB"/>
        </w:rPr>
        <w:t xml:space="preserve">The second issue </w:t>
      </w:r>
      <w:r w:rsidR="002A0297" w:rsidRPr="000F57AA">
        <w:rPr>
          <w:rFonts w:ascii="Times New Roman" w:eastAsia="Times New Roman" w:hAnsi="Times New Roman"/>
          <w:sz w:val="24"/>
          <w:szCs w:val="24"/>
          <w:lang w:eastAsia="en-GB"/>
        </w:rPr>
        <w:t xml:space="preserve">relates to </w:t>
      </w:r>
      <w:r w:rsidRPr="000F57AA">
        <w:rPr>
          <w:rFonts w:ascii="Times New Roman" w:eastAsia="Times New Roman" w:hAnsi="Times New Roman"/>
          <w:sz w:val="24"/>
          <w:szCs w:val="24"/>
          <w:lang w:eastAsia="en-GB"/>
        </w:rPr>
        <w:t xml:space="preserve">how the local community views the presence of the MNE in their midst. It is widely acknowledged that CSR initiatives of MNEs in </w:t>
      </w:r>
      <w:r w:rsidR="0065219F" w:rsidRPr="000F57AA">
        <w:rPr>
          <w:rFonts w:ascii="Times New Roman" w:eastAsia="Times New Roman" w:hAnsi="Times New Roman"/>
          <w:sz w:val="24"/>
          <w:szCs w:val="24"/>
          <w:lang w:eastAsia="en-GB"/>
        </w:rPr>
        <w:t xml:space="preserve">extractive industry in </w:t>
      </w:r>
      <w:r w:rsidRPr="000F57AA">
        <w:rPr>
          <w:rFonts w:ascii="Times New Roman" w:eastAsia="Times New Roman" w:hAnsi="Times New Roman"/>
          <w:sz w:val="24"/>
          <w:szCs w:val="24"/>
          <w:lang w:eastAsia="en-GB"/>
        </w:rPr>
        <w:t xml:space="preserve">countries with weaker institutions fail to deliver adequate </w:t>
      </w:r>
      <w:r w:rsidR="002A0297" w:rsidRPr="000F57AA">
        <w:rPr>
          <w:rFonts w:ascii="Times New Roman" w:eastAsia="Times New Roman" w:hAnsi="Times New Roman"/>
          <w:sz w:val="24"/>
          <w:szCs w:val="24"/>
          <w:lang w:eastAsia="en-GB"/>
        </w:rPr>
        <w:t>long-term</w:t>
      </w:r>
      <w:r w:rsidRPr="000F57AA">
        <w:rPr>
          <w:rFonts w:ascii="Times New Roman" w:eastAsia="Times New Roman" w:hAnsi="Times New Roman"/>
          <w:sz w:val="24"/>
          <w:szCs w:val="24"/>
          <w:lang w:eastAsia="en-GB"/>
        </w:rPr>
        <w:t xml:space="preserve"> results (</w:t>
      </w:r>
      <w:r w:rsidR="0065219F" w:rsidRPr="000F57AA">
        <w:rPr>
          <w:rFonts w:ascii="Times New Roman" w:eastAsia="Times New Roman" w:hAnsi="Times New Roman"/>
          <w:sz w:val="24"/>
          <w:szCs w:val="24"/>
          <w:lang w:eastAsia="en-GB"/>
        </w:rPr>
        <w:t xml:space="preserve">Hilson, 2012; Cambell 2012). </w:t>
      </w:r>
      <w:r w:rsidR="001A41D0" w:rsidRPr="000F57AA">
        <w:rPr>
          <w:rFonts w:ascii="Times New Roman" w:eastAsia="Times New Roman" w:hAnsi="Times New Roman"/>
          <w:sz w:val="24"/>
          <w:szCs w:val="24"/>
          <w:lang w:eastAsia="en-GB"/>
        </w:rPr>
        <w:t xml:space="preserve">Thus, seen through the lens of CSR performance, we would argue that the existence of a structure, such as NADeF, which came into existence as an initiative from the local community to make good of the commitments </w:t>
      </w:r>
      <w:r w:rsidR="001A41D0" w:rsidRPr="000F57AA">
        <w:rPr>
          <w:rFonts w:ascii="Times New Roman" w:eastAsia="Times New Roman" w:hAnsi="Times New Roman"/>
          <w:sz w:val="24"/>
          <w:szCs w:val="24"/>
          <w:lang w:eastAsia="en-GB"/>
        </w:rPr>
        <w:lastRenderedPageBreak/>
        <w:t xml:space="preserve">announced by the CEO of Newmont in 2005, ensures that benefits from mining in the region are directly accrued back to the local community. Put simply, participatory decision-making, wherein </w:t>
      </w:r>
      <w:r w:rsidR="00AE7309" w:rsidRPr="000F57AA">
        <w:rPr>
          <w:rFonts w:ascii="Times New Roman" w:eastAsia="Times New Roman" w:hAnsi="Times New Roman"/>
          <w:sz w:val="24"/>
          <w:szCs w:val="24"/>
          <w:lang w:eastAsia="en-GB"/>
        </w:rPr>
        <w:t>voices of the local community are</w:t>
      </w:r>
      <w:r w:rsidR="001A41D0" w:rsidRPr="000F57AA">
        <w:rPr>
          <w:rFonts w:ascii="Times New Roman" w:eastAsia="Times New Roman" w:hAnsi="Times New Roman"/>
          <w:sz w:val="24"/>
          <w:szCs w:val="24"/>
          <w:lang w:eastAsia="en-GB"/>
        </w:rPr>
        <w:t xml:space="preserve"> </w:t>
      </w:r>
      <w:r w:rsidR="009B285A" w:rsidRPr="000F57AA">
        <w:rPr>
          <w:rFonts w:ascii="Times New Roman" w:eastAsia="Times New Roman" w:hAnsi="Times New Roman"/>
          <w:sz w:val="24"/>
          <w:szCs w:val="24"/>
          <w:lang w:eastAsia="en-GB"/>
        </w:rPr>
        <w:t xml:space="preserve">not </w:t>
      </w:r>
      <w:r w:rsidR="001A41D0" w:rsidRPr="000F57AA">
        <w:rPr>
          <w:rFonts w:ascii="Times New Roman" w:eastAsia="Times New Roman" w:hAnsi="Times New Roman"/>
          <w:sz w:val="24"/>
          <w:szCs w:val="24"/>
          <w:lang w:eastAsia="en-GB"/>
        </w:rPr>
        <w:t xml:space="preserve">lost in the corridors of </w:t>
      </w:r>
      <w:r w:rsidR="00AE7309" w:rsidRPr="000F57AA">
        <w:rPr>
          <w:rFonts w:ascii="Times New Roman" w:eastAsia="Times New Roman" w:hAnsi="Times New Roman"/>
          <w:sz w:val="24"/>
          <w:szCs w:val="24"/>
          <w:lang w:eastAsia="en-GB"/>
        </w:rPr>
        <w:t xml:space="preserve">NGGL, </w:t>
      </w:r>
      <w:r w:rsidR="001A41D0" w:rsidRPr="000F57AA">
        <w:rPr>
          <w:rFonts w:ascii="Times New Roman" w:eastAsia="Times New Roman" w:hAnsi="Times New Roman"/>
          <w:sz w:val="24"/>
          <w:szCs w:val="24"/>
          <w:lang w:eastAsia="en-GB"/>
        </w:rPr>
        <w:t xml:space="preserve">underpins effective </w:t>
      </w:r>
      <w:r w:rsidR="00A52ACC" w:rsidRPr="000F57AA">
        <w:rPr>
          <w:rFonts w:ascii="Times New Roman" w:eastAsia="Times New Roman" w:hAnsi="Times New Roman"/>
          <w:sz w:val="24"/>
          <w:szCs w:val="24"/>
          <w:lang w:eastAsia="en-GB"/>
        </w:rPr>
        <w:t>long-term</w:t>
      </w:r>
      <w:r w:rsidR="001A41D0" w:rsidRPr="000F57AA">
        <w:rPr>
          <w:rFonts w:ascii="Times New Roman" w:eastAsia="Times New Roman" w:hAnsi="Times New Roman"/>
          <w:sz w:val="24"/>
          <w:szCs w:val="24"/>
          <w:lang w:eastAsia="en-GB"/>
        </w:rPr>
        <w:t xml:space="preserve"> development in mining regions. </w:t>
      </w:r>
    </w:p>
    <w:p w14:paraId="389C94B6" w14:textId="10EE2638" w:rsidR="007F5903" w:rsidRPr="000F57AA" w:rsidRDefault="007F5903" w:rsidP="007F5903">
      <w:pPr>
        <w:pStyle w:val="NoteLevel11"/>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The interaction between the three institutions</w:t>
      </w:r>
      <w:r w:rsidR="0065219F" w:rsidRPr="000F57AA">
        <w:rPr>
          <w:rFonts w:ascii="Times New Roman" w:eastAsia="Times New Roman" w:hAnsi="Times New Roman"/>
          <w:sz w:val="24"/>
          <w:szCs w:val="24"/>
          <w:lang w:eastAsia="en-GB"/>
        </w:rPr>
        <w:t>, the NADeF, SDC and ASRF,</w:t>
      </w:r>
      <w:r w:rsidRPr="000F57AA">
        <w:rPr>
          <w:rFonts w:ascii="Times New Roman" w:eastAsia="Times New Roman" w:hAnsi="Times New Roman"/>
          <w:sz w:val="24"/>
          <w:szCs w:val="24"/>
          <w:lang w:eastAsia="en-GB"/>
        </w:rPr>
        <w:t xml:space="preserve"> ensure that matters relating to community development remain at the forefront so far as financing of developmental initiatives are concerned. In this regard, one of the Opinion Leaders provided us insights on the</w:t>
      </w:r>
      <w:r w:rsidR="0065219F" w:rsidRPr="000F57AA">
        <w:rPr>
          <w:rFonts w:ascii="Times New Roman" w:eastAsia="Times New Roman" w:hAnsi="Times New Roman"/>
          <w:sz w:val="24"/>
          <w:szCs w:val="24"/>
          <w:lang w:eastAsia="en-GB"/>
        </w:rPr>
        <w:t xml:space="preserve"> functioning relationship</w:t>
      </w:r>
      <w:r w:rsidRPr="000F57AA">
        <w:rPr>
          <w:rFonts w:ascii="Times New Roman" w:eastAsia="Times New Roman" w:hAnsi="Times New Roman"/>
          <w:sz w:val="24"/>
          <w:szCs w:val="24"/>
          <w:lang w:eastAsia="en-GB"/>
        </w:rPr>
        <w:t xml:space="preserve"> between NADeF and SDC</w:t>
      </w:r>
      <w:r w:rsidR="0065219F" w:rsidRPr="000F57AA">
        <w:rPr>
          <w:rFonts w:ascii="Times New Roman" w:eastAsia="Times New Roman" w:hAnsi="Times New Roman"/>
          <w:sz w:val="24"/>
          <w:szCs w:val="24"/>
          <w:lang w:eastAsia="en-GB"/>
        </w:rPr>
        <w:t xml:space="preserve">: </w:t>
      </w:r>
    </w:p>
    <w:p w14:paraId="2D579533" w14:textId="4C7DB2AC" w:rsidR="004A09AD" w:rsidRPr="000F57AA" w:rsidRDefault="007F5903" w:rsidP="00B81911">
      <w:pPr>
        <w:pStyle w:val="NoteLevel11"/>
        <w:numPr>
          <w:ilvl w:val="0"/>
          <w:numId w:val="0"/>
        </w:numPr>
        <w:spacing w:line="480" w:lineRule="auto"/>
        <w:ind w:left="720" w:firstLine="60"/>
        <w:rPr>
          <w:rFonts w:ascii="Times New Roman" w:eastAsia="Times New Roman" w:hAnsi="Times New Roman"/>
          <w:i/>
          <w:sz w:val="24"/>
          <w:szCs w:val="24"/>
          <w:lang w:eastAsia="en-GB"/>
        </w:rPr>
      </w:pPr>
      <w:r w:rsidRPr="000F57AA">
        <w:rPr>
          <w:rFonts w:ascii="Times New Roman" w:hAnsi="Times New Roman"/>
          <w:b/>
          <w:i/>
          <w:sz w:val="24"/>
          <w:szCs w:val="24"/>
          <w:lang w:val="en-US"/>
        </w:rPr>
        <w:t>“</w:t>
      </w:r>
      <w:r w:rsidRPr="000F57AA">
        <w:rPr>
          <w:rFonts w:ascii="Times New Roman" w:eastAsia="Times New Roman" w:hAnsi="Times New Roman"/>
          <w:i/>
          <w:sz w:val="24"/>
          <w:szCs w:val="24"/>
          <w:lang w:eastAsia="en-GB"/>
        </w:rPr>
        <w:t xml:space="preserve">We liaise with the NADeF in identifying community projects. The SDC then writes proposals, justifying the benefits of the identified project to the community concern. We also monitor the progress of approved work and report same to the NADeF Secretariat.” </w:t>
      </w:r>
    </w:p>
    <w:p w14:paraId="64A69BF3" w14:textId="7A84D3E2" w:rsidR="00B81911" w:rsidRPr="000F57AA" w:rsidRDefault="007F5903" w:rsidP="00287B75">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The above assertion highlights the functioning of a bottom-up approach system</w:t>
      </w:r>
      <w:r w:rsidR="004A09AD" w:rsidRPr="000F57AA">
        <w:rPr>
          <w:rFonts w:ascii="Times New Roman" w:eastAsia="Times New Roman" w:hAnsi="Times New Roman"/>
          <w:sz w:val="24"/>
          <w:szCs w:val="24"/>
          <w:lang w:eastAsia="en-GB"/>
        </w:rPr>
        <w:t xml:space="preserve">, not only when a proposal is drafted but also when the project is being implemented. This approach </w:t>
      </w:r>
      <w:r w:rsidRPr="000F57AA">
        <w:rPr>
          <w:rFonts w:ascii="Times New Roman" w:eastAsia="Times New Roman" w:hAnsi="Times New Roman"/>
          <w:sz w:val="24"/>
          <w:szCs w:val="24"/>
          <w:lang w:eastAsia="en-GB"/>
        </w:rPr>
        <w:t>ensures that NGGL does not impose development projects on their local communities. Instead, the communities assess their own needs and seek approval from the NADeF</w:t>
      </w:r>
      <w:r w:rsidR="00917041" w:rsidRPr="000F57AA">
        <w:rPr>
          <w:rFonts w:ascii="Times New Roman" w:eastAsia="Times New Roman" w:hAnsi="Times New Roman"/>
          <w:sz w:val="24"/>
          <w:szCs w:val="24"/>
          <w:lang w:eastAsia="en-GB"/>
        </w:rPr>
        <w:t xml:space="preserve"> </w:t>
      </w:r>
      <w:r w:rsidR="004A09AD" w:rsidRPr="000F57AA">
        <w:rPr>
          <w:rFonts w:ascii="Times New Roman" w:eastAsia="Times New Roman" w:hAnsi="Times New Roman"/>
          <w:sz w:val="24"/>
          <w:szCs w:val="24"/>
          <w:lang w:eastAsia="en-GB"/>
        </w:rPr>
        <w:t xml:space="preserve">and monitor the </w:t>
      </w:r>
      <w:r w:rsidR="004A09AD" w:rsidRPr="000F57AA">
        <w:rPr>
          <w:rFonts w:ascii="Times New Roman" w:eastAsia="Times New Roman" w:hAnsi="Times New Roman"/>
          <w:sz w:val="24"/>
          <w:szCs w:val="24"/>
          <w:lang w:eastAsia="en-GB"/>
        </w:rPr>
        <w:lastRenderedPageBreak/>
        <w:t xml:space="preserve">progress of work. </w:t>
      </w:r>
      <w:r w:rsidR="00F543D7" w:rsidRPr="000F57AA">
        <w:rPr>
          <w:rFonts w:ascii="Times New Roman" w:eastAsia="Times New Roman" w:hAnsi="Times New Roman"/>
          <w:sz w:val="24"/>
          <w:szCs w:val="24"/>
          <w:lang w:eastAsia="en-GB"/>
        </w:rPr>
        <w:t xml:space="preserve">Simply put, even though NGGL financially contributes, it does not solely decide which projects </w:t>
      </w:r>
      <w:r w:rsidR="00454501" w:rsidRPr="000F57AA">
        <w:rPr>
          <w:rFonts w:ascii="Times New Roman" w:eastAsia="Times New Roman" w:hAnsi="Times New Roman"/>
          <w:sz w:val="24"/>
          <w:szCs w:val="24"/>
          <w:lang w:eastAsia="en-GB"/>
        </w:rPr>
        <w:t xml:space="preserve">are </w:t>
      </w:r>
      <w:r w:rsidR="00F543D7" w:rsidRPr="000F57AA">
        <w:rPr>
          <w:rFonts w:ascii="Times New Roman" w:eastAsia="Times New Roman" w:hAnsi="Times New Roman"/>
          <w:sz w:val="24"/>
          <w:szCs w:val="24"/>
          <w:lang w:eastAsia="en-GB"/>
        </w:rPr>
        <w:t xml:space="preserve">justifiable and which are not.   </w:t>
      </w:r>
    </w:p>
    <w:p w14:paraId="66D3814B" w14:textId="0B3B6DB7" w:rsidR="007F5903" w:rsidRPr="000F57AA" w:rsidRDefault="00322A80" w:rsidP="006B329C">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Most respondents acknowledged the positive </w:t>
      </w:r>
      <w:r w:rsidR="007F5903" w:rsidRPr="000F57AA">
        <w:rPr>
          <w:rFonts w:ascii="Times New Roman" w:eastAsia="Times New Roman" w:hAnsi="Times New Roman"/>
          <w:sz w:val="24"/>
          <w:szCs w:val="24"/>
          <w:lang w:eastAsia="en-GB"/>
        </w:rPr>
        <w:t>contribution</w:t>
      </w:r>
      <w:r w:rsidR="006B329C" w:rsidRPr="000F57AA">
        <w:rPr>
          <w:rFonts w:ascii="Times New Roman" w:eastAsia="Times New Roman" w:hAnsi="Times New Roman"/>
          <w:sz w:val="24"/>
          <w:szCs w:val="24"/>
          <w:lang w:eastAsia="en-GB"/>
        </w:rPr>
        <w:t>s</w:t>
      </w:r>
      <w:r w:rsidR="007F5903" w:rsidRPr="000F57AA">
        <w:rPr>
          <w:rFonts w:ascii="Times New Roman" w:eastAsia="Times New Roman" w:hAnsi="Times New Roman"/>
          <w:sz w:val="24"/>
          <w:szCs w:val="24"/>
          <w:lang w:eastAsia="en-GB"/>
        </w:rPr>
        <w:t xml:space="preserve"> of NADeF</w:t>
      </w:r>
      <w:r w:rsidR="00917041" w:rsidRPr="000F57AA">
        <w:rPr>
          <w:rFonts w:ascii="Times New Roman" w:eastAsia="Times New Roman" w:hAnsi="Times New Roman"/>
          <w:sz w:val="24"/>
          <w:szCs w:val="24"/>
          <w:lang w:eastAsia="en-GB"/>
        </w:rPr>
        <w:t xml:space="preserve">, which </w:t>
      </w:r>
      <w:r w:rsidR="00454501" w:rsidRPr="000F57AA">
        <w:rPr>
          <w:rFonts w:ascii="Times New Roman" w:eastAsia="Times New Roman" w:hAnsi="Times New Roman"/>
          <w:sz w:val="24"/>
          <w:szCs w:val="24"/>
          <w:lang w:eastAsia="en-GB"/>
        </w:rPr>
        <w:t xml:space="preserve">also </w:t>
      </w:r>
      <w:r w:rsidR="00917041" w:rsidRPr="000F57AA">
        <w:rPr>
          <w:rFonts w:ascii="Times New Roman" w:eastAsia="Times New Roman" w:hAnsi="Times New Roman"/>
          <w:sz w:val="24"/>
          <w:szCs w:val="24"/>
          <w:lang w:eastAsia="en-GB"/>
        </w:rPr>
        <w:t xml:space="preserve">has representative from </w:t>
      </w:r>
      <w:r w:rsidR="00454501" w:rsidRPr="000F57AA">
        <w:rPr>
          <w:rFonts w:ascii="Times New Roman" w:eastAsia="Times New Roman" w:hAnsi="Times New Roman"/>
          <w:sz w:val="24"/>
          <w:szCs w:val="24"/>
          <w:lang w:eastAsia="en-GB"/>
        </w:rPr>
        <w:t xml:space="preserve">the </w:t>
      </w:r>
      <w:r w:rsidR="00917041" w:rsidRPr="000F57AA">
        <w:rPr>
          <w:rFonts w:ascii="Times New Roman" w:eastAsia="Times New Roman" w:hAnsi="Times New Roman"/>
          <w:sz w:val="24"/>
          <w:szCs w:val="24"/>
          <w:lang w:eastAsia="en-GB"/>
        </w:rPr>
        <w:t>NGGL as one of the trustees</w:t>
      </w:r>
      <w:r w:rsidR="006B329C" w:rsidRPr="000F57AA">
        <w:rPr>
          <w:rFonts w:ascii="Times New Roman" w:eastAsia="Times New Roman" w:hAnsi="Times New Roman"/>
          <w:sz w:val="24"/>
          <w:szCs w:val="24"/>
          <w:lang w:eastAsia="en-GB"/>
        </w:rPr>
        <w:t xml:space="preserve">. </w:t>
      </w:r>
      <w:r w:rsidR="007F5903" w:rsidRPr="000F57AA">
        <w:rPr>
          <w:rFonts w:ascii="Times New Roman" w:eastAsia="Times New Roman" w:hAnsi="Times New Roman"/>
          <w:sz w:val="24"/>
          <w:szCs w:val="24"/>
          <w:lang w:eastAsia="en-GB"/>
        </w:rPr>
        <w:t>The response from one of the Traditional Rulers aptly capture</w:t>
      </w:r>
      <w:r w:rsidR="006B329C" w:rsidRPr="000F57AA">
        <w:rPr>
          <w:rFonts w:ascii="Times New Roman" w:eastAsia="Times New Roman" w:hAnsi="Times New Roman"/>
          <w:sz w:val="24"/>
          <w:szCs w:val="24"/>
          <w:lang w:eastAsia="en-GB"/>
        </w:rPr>
        <w:t>s</w:t>
      </w:r>
      <w:r w:rsidR="007F5903" w:rsidRPr="000F57AA">
        <w:rPr>
          <w:rFonts w:ascii="Times New Roman" w:eastAsia="Times New Roman" w:hAnsi="Times New Roman"/>
          <w:sz w:val="24"/>
          <w:szCs w:val="24"/>
          <w:lang w:eastAsia="en-GB"/>
        </w:rPr>
        <w:t xml:space="preserve"> this point: </w:t>
      </w:r>
    </w:p>
    <w:p w14:paraId="5B13F7FB" w14:textId="32D727BE" w:rsidR="007F5903" w:rsidRPr="000F57AA" w:rsidRDefault="007F5903" w:rsidP="007F5903">
      <w:pPr>
        <w:pStyle w:val="NoteLevel11"/>
        <w:numPr>
          <w:ilvl w:val="0"/>
          <w:numId w:val="0"/>
        </w:numPr>
        <w:spacing w:line="480" w:lineRule="auto"/>
        <w:rPr>
          <w:rFonts w:ascii="Times New Roman" w:eastAsia="Times New Roman" w:hAnsi="Times New Roman"/>
          <w:i/>
          <w:sz w:val="24"/>
          <w:szCs w:val="24"/>
          <w:lang w:eastAsia="en-GB"/>
        </w:rPr>
      </w:pPr>
      <w:r w:rsidRPr="000F57AA">
        <w:rPr>
          <w:rFonts w:ascii="Times New Roman" w:eastAsia="Times New Roman" w:hAnsi="Times New Roman"/>
          <w:sz w:val="24"/>
          <w:szCs w:val="24"/>
          <w:lang w:eastAsia="en-GB"/>
        </w:rPr>
        <w:tab/>
      </w:r>
      <w:r w:rsidRPr="000F57AA">
        <w:rPr>
          <w:rFonts w:ascii="Times New Roman" w:eastAsia="Times New Roman" w:hAnsi="Times New Roman"/>
          <w:i/>
          <w:sz w:val="24"/>
          <w:szCs w:val="24"/>
          <w:lang w:eastAsia="en-GB"/>
        </w:rPr>
        <w:t>“They [NADeF] are doing a very good job. We [community] have been provided with schools, a health post and a community centre…most of our children are awarded scholarship to senior high schools. This was rare before the mining operations commenced”</w:t>
      </w:r>
    </w:p>
    <w:p w14:paraId="1DB17C86" w14:textId="5B41B7FB" w:rsidR="00470DDD" w:rsidRPr="0034287B" w:rsidRDefault="00A732C0" w:rsidP="00B81911">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Traditional rule</w:t>
      </w:r>
      <w:r w:rsidR="00287B75" w:rsidRPr="000F57AA">
        <w:rPr>
          <w:rFonts w:ascii="Times New Roman" w:eastAsia="Times New Roman" w:hAnsi="Times New Roman"/>
          <w:sz w:val="24"/>
          <w:szCs w:val="24"/>
          <w:lang w:eastAsia="en-GB"/>
        </w:rPr>
        <w:t>r</w:t>
      </w:r>
      <w:r w:rsidRPr="000F57AA">
        <w:rPr>
          <w:rFonts w:ascii="Times New Roman" w:eastAsia="Times New Roman" w:hAnsi="Times New Roman"/>
          <w:sz w:val="24"/>
          <w:szCs w:val="24"/>
          <w:lang w:eastAsia="en-GB"/>
        </w:rPr>
        <w:t>s in Ghana are viewed as custodian</w:t>
      </w:r>
      <w:r w:rsidR="00287B75" w:rsidRPr="000F57AA">
        <w:rPr>
          <w:rFonts w:ascii="Times New Roman" w:eastAsia="Times New Roman" w:hAnsi="Times New Roman"/>
          <w:sz w:val="24"/>
          <w:szCs w:val="24"/>
          <w:lang w:eastAsia="en-GB"/>
        </w:rPr>
        <w:t>s</w:t>
      </w:r>
      <w:r w:rsidRPr="000F57AA">
        <w:rPr>
          <w:rFonts w:ascii="Times New Roman" w:eastAsia="Times New Roman" w:hAnsi="Times New Roman"/>
          <w:sz w:val="24"/>
          <w:szCs w:val="24"/>
          <w:lang w:eastAsia="en-GB"/>
        </w:rPr>
        <w:t xml:space="preserve"> of local culture (see for instance Augustine. 2016; Asante et al., 2017). The above quotation from one of </w:t>
      </w:r>
      <w:r w:rsidR="006B329C" w:rsidRPr="000F57AA">
        <w:rPr>
          <w:rFonts w:ascii="Times New Roman" w:eastAsia="Times New Roman" w:hAnsi="Times New Roman"/>
          <w:sz w:val="24"/>
          <w:szCs w:val="24"/>
          <w:lang w:eastAsia="en-GB"/>
        </w:rPr>
        <w:t>the</w:t>
      </w:r>
      <w:r w:rsidRPr="000F57AA">
        <w:rPr>
          <w:rFonts w:ascii="Times New Roman" w:eastAsia="Times New Roman" w:hAnsi="Times New Roman"/>
          <w:sz w:val="24"/>
          <w:szCs w:val="24"/>
          <w:lang w:eastAsia="en-GB"/>
        </w:rPr>
        <w:t xml:space="preserve"> traditional rule</w:t>
      </w:r>
      <w:r w:rsidR="00287B75" w:rsidRPr="000F57AA">
        <w:rPr>
          <w:rFonts w:ascii="Times New Roman" w:eastAsia="Times New Roman" w:hAnsi="Times New Roman"/>
          <w:sz w:val="24"/>
          <w:szCs w:val="24"/>
          <w:lang w:eastAsia="en-GB"/>
        </w:rPr>
        <w:t xml:space="preserve">r, suggests that NADeF is considered as the central </w:t>
      </w:r>
      <w:r w:rsidR="00B81911" w:rsidRPr="000F57AA">
        <w:rPr>
          <w:rFonts w:ascii="Times New Roman" w:eastAsia="Times New Roman" w:hAnsi="Times New Roman"/>
          <w:sz w:val="24"/>
          <w:szCs w:val="24"/>
          <w:lang w:eastAsia="en-GB"/>
        </w:rPr>
        <w:t>entity that has</w:t>
      </w:r>
      <w:r w:rsidR="00287B75" w:rsidRPr="000F57AA">
        <w:rPr>
          <w:rFonts w:ascii="Times New Roman" w:eastAsia="Times New Roman" w:hAnsi="Times New Roman"/>
          <w:sz w:val="24"/>
          <w:szCs w:val="24"/>
          <w:lang w:eastAsia="en-GB"/>
        </w:rPr>
        <w:t xml:space="preserve"> </w:t>
      </w:r>
      <w:r w:rsidR="006B329C" w:rsidRPr="000F57AA">
        <w:rPr>
          <w:rFonts w:ascii="Times New Roman" w:eastAsia="Times New Roman" w:hAnsi="Times New Roman"/>
          <w:sz w:val="24"/>
          <w:szCs w:val="24"/>
          <w:lang w:eastAsia="en-GB"/>
        </w:rPr>
        <w:t xml:space="preserve">constructively </w:t>
      </w:r>
      <w:r w:rsidR="00287B75" w:rsidRPr="000F57AA">
        <w:rPr>
          <w:rFonts w:ascii="Times New Roman" w:eastAsia="Times New Roman" w:hAnsi="Times New Roman"/>
          <w:sz w:val="24"/>
          <w:szCs w:val="24"/>
          <w:lang w:eastAsia="en-GB"/>
        </w:rPr>
        <w:t xml:space="preserve">engaged with NGGL in delivering social and infrastructure development. Interestingly, </w:t>
      </w:r>
      <w:r w:rsidR="007F5903" w:rsidRPr="000F57AA">
        <w:rPr>
          <w:rFonts w:ascii="Times New Roman" w:eastAsia="Times New Roman" w:hAnsi="Times New Roman"/>
          <w:sz w:val="24"/>
          <w:szCs w:val="24"/>
          <w:lang w:eastAsia="en-GB"/>
        </w:rPr>
        <w:t xml:space="preserve">majority of the respondents identify developmental initiatives funded </w:t>
      </w:r>
      <w:r w:rsidR="00B81911" w:rsidRPr="000F57AA">
        <w:rPr>
          <w:rFonts w:ascii="Times New Roman" w:eastAsia="Times New Roman" w:hAnsi="Times New Roman"/>
          <w:sz w:val="24"/>
          <w:szCs w:val="24"/>
          <w:lang w:eastAsia="en-GB"/>
        </w:rPr>
        <w:t xml:space="preserve">by </w:t>
      </w:r>
      <w:r w:rsidR="007F5903" w:rsidRPr="000F57AA">
        <w:rPr>
          <w:rFonts w:ascii="Times New Roman" w:eastAsia="Times New Roman" w:hAnsi="Times New Roman"/>
          <w:sz w:val="24"/>
          <w:szCs w:val="24"/>
          <w:lang w:eastAsia="en-GB"/>
        </w:rPr>
        <w:t>NGGL through the NADeF</w:t>
      </w:r>
      <w:r w:rsidR="0065219F" w:rsidRPr="000F57AA">
        <w:rPr>
          <w:rFonts w:ascii="Times New Roman" w:eastAsia="Times New Roman" w:hAnsi="Times New Roman"/>
          <w:sz w:val="24"/>
          <w:szCs w:val="24"/>
          <w:lang w:eastAsia="en-GB"/>
        </w:rPr>
        <w:t xml:space="preserve">. </w:t>
      </w:r>
      <w:r w:rsidR="00B81911" w:rsidRPr="000F57AA">
        <w:rPr>
          <w:rFonts w:ascii="Times New Roman" w:eastAsia="Times New Roman" w:hAnsi="Times New Roman"/>
          <w:sz w:val="24"/>
          <w:szCs w:val="24"/>
          <w:lang w:eastAsia="en-GB"/>
        </w:rPr>
        <w:t xml:space="preserve">This is important because in the past, the </w:t>
      </w:r>
      <w:r w:rsidR="006B329C" w:rsidRPr="000F57AA">
        <w:rPr>
          <w:rFonts w:ascii="Times New Roman" w:eastAsia="Times New Roman" w:hAnsi="Times New Roman"/>
          <w:sz w:val="24"/>
          <w:szCs w:val="24"/>
          <w:lang w:eastAsia="en-GB"/>
        </w:rPr>
        <w:t xml:space="preserve">mining </w:t>
      </w:r>
      <w:r w:rsidR="004A09AD" w:rsidRPr="0034287B">
        <w:rPr>
          <w:rFonts w:ascii="Times New Roman" w:eastAsia="Times New Roman" w:hAnsi="Times New Roman"/>
          <w:sz w:val="24"/>
          <w:szCs w:val="24"/>
          <w:lang w:eastAsia="en-GB"/>
        </w:rPr>
        <w:t>communities</w:t>
      </w:r>
      <w:r w:rsidR="006B329C" w:rsidRPr="0034287B">
        <w:rPr>
          <w:rFonts w:ascii="Times New Roman" w:eastAsia="Times New Roman" w:hAnsi="Times New Roman"/>
          <w:sz w:val="24"/>
          <w:szCs w:val="24"/>
          <w:lang w:eastAsia="en-GB"/>
        </w:rPr>
        <w:t xml:space="preserve"> of the region</w:t>
      </w:r>
      <w:r w:rsidR="00B81911" w:rsidRPr="0034287B">
        <w:rPr>
          <w:rFonts w:ascii="Times New Roman" w:eastAsia="Times New Roman" w:hAnsi="Times New Roman"/>
          <w:sz w:val="24"/>
          <w:szCs w:val="24"/>
          <w:lang w:eastAsia="en-GB"/>
        </w:rPr>
        <w:t xml:space="preserve">, were considered one of the most under developed regions in Ghana, </w:t>
      </w:r>
      <w:r w:rsidR="006B329C" w:rsidRPr="0034287B">
        <w:rPr>
          <w:rFonts w:ascii="Times New Roman" w:eastAsia="Times New Roman" w:hAnsi="Times New Roman"/>
          <w:sz w:val="24"/>
          <w:szCs w:val="24"/>
          <w:lang w:eastAsia="en-GB"/>
        </w:rPr>
        <w:t xml:space="preserve">(Ghana Statistical Services, 2008) </w:t>
      </w:r>
      <w:r w:rsidR="00470DDD" w:rsidRPr="0034287B">
        <w:rPr>
          <w:rFonts w:ascii="Times New Roman" w:eastAsia="Times New Roman" w:hAnsi="Times New Roman"/>
          <w:sz w:val="24"/>
          <w:szCs w:val="24"/>
          <w:lang w:eastAsia="en-GB"/>
        </w:rPr>
        <w:t xml:space="preserve">and were </w:t>
      </w:r>
      <w:r w:rsidR="004A09AD" w:rsidRPr="0034287B">
        <w:rPr>
          <w:rFonts w:ascii="Times New Roman" w:eastAsia="Times New Roman" w:hAnsi="Times New Roman"/>
          <w:sz w:val="24"/>
          <w:szCs w:val="24"/>
          <w:lang w:eastAsia="en-GB"/>
        </w:rPr>
        <w:t xml:space="preserve">solely </w:t>
      </w:r>
      <w:r w:rsidR="004A09AD" w:rsidRPr="0034287B">
        <w:rPr>
          <w:rFonts w:ascii="Times New Roman" w:eastAsia="Times New Roman" w:hAnsi="Times New Roman"/>
          <w:sz w:val="24"/>
          <w:szCs w:val="24"/>
          <w:lang w:eastAsia="en-GB"/>
        </w:rPr>
        <w:lastRenderedPageBreak/>
        <w:t>depended on the government for the provision of developmental projects</w:t>
      </w:r>
      <w:r w:rsidR="00470DDD" w:rsidRPr="0034287B">
        <w:rPr>
          <w:rFonts w:ascii="Times New Roman" w:eastAsia="Times New Roman" w:hAnsi="Times New Roman"/>
          <w:sz w:val="24"/>
          <w:szCs w:val="24"/>
          <w:lang w:eastAsia="en-GB"/>
        </w:rPr>
        <w:t xml:space="preserve">, which were not always forthcoming. </w:t>
      </w:r>
    </w:p>
    <w:p w14:paraId="046AF277" w14:textId="1E1ED57A" w:rsidR="007F5903" w:rsidRPr="000F57AA" w:rsidRDefault="00470DDD" w:rsidP="00B81911">
      <w:pPr>
        <w:pStyle w:val="NoteLevel11"/>
        <w:numPr>
          <w:ilvl w:val="0"/>
          <w:numId w:val="0"/>
        </w:numPr>
        <w:spacing w:line="480" w:lineRule="auto"/>
        <w:ind w:firstLine="720"/>
        <w:rPr>
          <w:rFonts w:ascii="Times New Roman" w:eastAsia="Times New Roman" w:hAnsi="Times New Roman"/>
          <w:sz w:val="24"/>
          <w:szCs w:val="24"/>
          <w:lang w:eastAsia="en-GB"/>
        </w:rPr>
      </w:pPr>
      <w:r w:rsidRPr="0034287B">
        <w:rPr>
          <w:rFonts w:ascii="Times New Roman" w:eastAsia="Times New Roman" w:hAnsi="Times New Roman"/>
          <w:sz w:val="24"/>
          <w:szCs w:val="24"/>
          <w:lang w:eastAsia="en-GB"/>
        </w:rPr>
        <w:t xml:space="preserve">Interestingly, although our respondents acknowledged </w:t>
      </w:r>
      <w:r w:rsidR="00926229" w:rsidRPr="0034287B">
        <w:rPr>
          <w:rFonts w:ascii="Times New Roman" w:eastAsia="Times New Roman" w:hAnsi="Times New Roman"/>
          <w:sz w:val="24"/>
          <w:szCs w:val="24"/>
          <w:lang w:eastAsia="en-GB"/>
        </w:rPr>
        <w:t>NGGL</w:t>
      </w:r>
      <w:r w:rsidRPr="0034287B">
        <w:rPr>
          <w:rFonts w:ascii="Times New Roman" w:eastAsia="Times New Roman" w:hAnsi="Times New Roman"/>
          <w:sz w:val="24"/>
          <w:szCs w:val="24"/>
          <w:lang w:eastAsia="en-GB"/>
        </w:rPr>
        <w:t>’s financial contributions in NADeF, they did not hesitate to suggest that the company could do more than what it promised. The views of</w:t>
      </w:r>
      <w:r w:rsidRPr="000F57AA">
        <w:rPr>
          <w:rFonts w:ascii="Times New Roman" w:eastAsia="Times New Roman" w:hAnsi="Times New Roman"/>
          <w:b/>
          <w:sz w:val="24"/>
          <w:szCs w:val="24"/>
          <w:lang w:eastAsia="en-GB"/>
        </w:rPr>
        <w:t xml:space="preserve"> </w:t>
      </w:r>
      <w:r w:rsidR="007F5903" w:rsidRPr="000F57AA">
        <w:rPr>
          <w:rFonts w:ascii="Times New Roman" w:eastAsia="Times New Roman" w:hAnsi="Times New Roman"/>
          <w:sz w:val="24"/>
          <w:szCs w:val="24"/>
          <w:lang w:eastAsia="en-GB"/>
        </w:rPr>
        <w:t>another Traditional Ruler</w:t>
      </w:r>
      <w:r w:rsidR="00926229" w:rsidRPr="000F57AA">
        <w:rPr>
          <w:rFonts w:ascii="Times New Roman" w:eastAsia="Times New Roman" w:hAnsi="Times New Roman"/>
          <w:sz w:val="24"/>
          <w:szCs w:val="24"/>
          <w:lang w:eastAsia="en-GB"/>
        </w:rPr>
        <w:t xml:space="preserve"> </w:t>
      </w:r>
      <w:r w:rsidRPr="000F57AA">
        <w:rPr>
          <w:rFonts w:ascii="Times New Roman" w:eastAsia="Times New Roman" w:hAnsi="Times New Roman"/>
          <w:sz w:val="24"/>
          <w:szCs w:val="24"/>
          <w:lang w:eastAsia="en-GB"/>
        </w:rPr>
        <w:t xml:space="preserve">summed up this view: </w:t>
      </w:r>
    </w:p>
    <w:p w14:paraId="15E47A94" w14:textId="4334DE7C" w:rsidR="007F5903" w:rsidRPr="000F57AA" w:rsidRDefault="007F5903" w:rsidP="007F5903">
      <w:pPr>
        <w:pStyle w:val="NoteLevel11"/>
        <w:spacing w:line="480" w:lineRule="auto"/>
        <w:ind w:left="720"/>
        <w:rPr>
          <w:rFonts w:ascii="Times New Roman" w:eastAsia="Times New Roman" w:hAnsi="Times New Roman"/>
          <w:i/>
          <w:sz w:val="24"/>
          <w:szCs w:val="24"/>
          <w:lang w:eastAsia="en-GB"/>
        </w:rPr>
      </w:pPr>
      <w:r w:rsidRPr="000F57AA">
        <w:rPr>
          <w:rFonts w:ascii="Times New Roman" w:hAnsi="Times New Roman"/>
          <w:b/>
          <w:i/>
          <w:sz w:val="24"/>
          <w:szCs w:val="24"/>
          <w:lang w:val="en-US"/>
        </w:rPr>
        <w:t>“</w:t>
      </w:r>
      <w:r w:rsidRPr="000F57AA">
        <w:rPr>
          <w:rFonts w:ascii="Times New Roman" w:eastAsia="Times New Roman" w:hAnsi="Times New Roman"/>
          <w:i/>
          <w:sz w:val="24"/>
          <w:szCs w:val="24"/>
          <w:lang w:eastAsia="en-GB"/>
        </w:rPr>
        <w:t xml:space="preserve">They [NADeF are working very hard. I think they can do better if we increase the funding received from the sponsor. I have the feeling that NGGL can give better than 1% of their profit. There are many other social amenities our communities would be provided with if funds were available.” </w:t>
      </w:r>
    </w:p>
    <w:p w14:paraId="7E208088" w14:textId="0B621C27" w:rsidR="00A00AD3" w:rsidRPr="000F57AA" w:rsidRDefault="007F5903" w:rsidP="007F5903">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hAnsi="Times New Roman"/>
          <w:sz w:val="24"/>
          <w:szCs w:val="24"/>
          <w:lang w:val="en-US"/>
        </w:rPr>
        <w:t xml:space="preserve">Although empirical evidence suggests that in many developing countries, MNEs take advantage of weak regulations in the areas of community development and environmental responsibility (Cuervo-Cazurra and Genc, 2008), the comments by </w:t>
      </w:r>
      <w:r w:rsidR="006B329C" w:rsidRPr="000F57AA">
        <w:rPr>
          <w:rFonts w:ascii="Times New Roman" w:hAnsi="Times New Roman"/>
          <w:sz w:val="24"/>
          <w:szCs w:val="24"/>
          <w:lang w:val="en-US"/>
        </w:rPr>
        <w:t xml:space="preserve">the </w:t>
      </w:r>
      <w:r w:rsidRPr="000F57AA">
        <w:rPr>
          <w:rFonts w:ascii="Times New Roman" w:hAnsi="Times New Roman"/>
          <w:sz w:val="24"/>
          <w:szCs w:val="24"/>
          <w:lang w:val="en-US"/>
        </w:rPr>
        <w:t>Traditional Ruler suggest</w:t>
      </w:r>
      <w:r w:rsidR="00926229" w:rsidRPr="000F57AA">
        <w:rPr>
          <w:rFonts w:ascii="Times New Roman" w:hAnsi="Times New Roman"/>
          <w:sz w:val="24"/>
          <w:szCs w:val="24"/>
          <w:lang w:val="en-US"/>
        </w:rPr>
        <w:t>s</w:t>
      </w:r>
      <w:r w:rsidRPr="000F57AA">
        <w:rPr>
          <w:rFonts w:ascii="Times New Roman" w:hAnsi="Times New Roman"/>
          <w:sz w:val="24"/>
          <w:szCs w:val="24"/>
          <w:lang w:val="en-US"/>
        </w:rPr>
        <w:t xml:space="preserve"> that the local communities are conscious of the NGGL’s operations, and expect a fair</w:t>
      </w:r>
      <w:r w:rsidR="00926229" w:rsidRPr="000F57AA">
        <w:rPr>
          <w:rFonts w:ascii="Times New Roman" w:hAnsi="Times New Roman"/>
          <w:sz w:val="24"/>
          <w:szCs w:val="24"/>
          <w:lang w:val="en-US"/>
        </w:rPr>
        <w:t>er</w:t>
      </w:r>
      <w:r w:rsidR="00D159FC" w:rsidRPr="000F57AA">
        <w:rPr>
          <w:rFonts w:ascii="Times New Roman" w:hAnsi="Times New Roman"/>
          <w:sz w:val="24"/>
          <w:szCs w:val="24"/>
          <w:lang w:val="en-US"/>
        </w:rPr>
        <w:t xml:space="preserve"> share of the profit</w:t>
      </w:r>
      <w:r w:rsidRPr="000F57AA">
        <w:rPr>
          <w:rFonts w:ascii="Times New Roman" w:hAnsi="Times New Roman"/>
          <w:sz w:val="24"/>
          <w:szCs w:val="24"/>
          <w:lang w:val="en-US"/>
        </w:rPr>
        <w:t xml:space="preserve">. </w:t>
      </w:r>
    </w:p>
    <w:p w14:paraId="793F2DD8" w14:textId="5A509EEC" w:rsidR="007F5903" w:rsidRPr="000F57AA" w:rsidRDefault="007F5903" w:rsidP="007F5903">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hAnsi="Times New Roman"/>
          <w:sz w:val="24"/>
          <w:szCs w:val="24"/>
          <w:lang w:val="en-US"/>
        </w:rPr>
        <w:t xml:space="preserve">Arguably, Newmont’s strategy of involving their stakeholders (especially, local communities) in the formulation and implementation of CSR programmes is intended to mitigate </w:t>
      </w:r>
      <w:r w:rsidR="00470DDD" w:rsidRPr="000F57AA">
        <w:rPr>
          <w:rFonts w:ascii="Times New Roman" w:hAnsi="Times New Roman"/>
          <w:sz w:val="24"/>
          <w:szCs w:val="24"/>
          <w:lang w:val="en-US"/>
        </w:rPr>
        <w:lastRenderedPageBreak/>
        <w:t xml:space="preserve">possible local discontent or </w:t>
      </w:r>
      <w:r w:rsidRPr="000F57AA">
        <w:rPr>
          <w:rFonts w:ascii="Times New Roman" w:hAnsi="Times New Roman"/>
          <w:sz w:val="24"/>
          <w:szCs w:val="24"/>
          <w:lang w:val="en-US"/>
        </w:rPr>
        <w:t>social risk</w:t>
      </w:r>
      <w:r w:rsidR="006B329C" w:rsidRPr="000F57AA">
        <w:rPr>
          <w:rFonts w:ascii="Times New Roman" w:hAnsi="Times New Roman"/>
          <w:sz w:val="24"/>
          <w:szCs w:val="24"/>
          <w:lang w:val="en-US"/>
        </w:rPr>
        <w:t>, particularly in the backdrop of opposition</w:t>
      </w:r>
      <w:r w:rsidRPr="000F57AA">
        <w:rPr>
          <w:rFonts w:ascii="Times New Roman" w:hAnsi="Times New Roman"/>
          <w:sz w:val="24"/>
          <w:szCs w:val="24"/>
          <w:lang w:val="en-US"/>
        </w:rPr>
        <w:t xml:space="preserve"> in Peru and Indonesia</w:t>
      </w:r>
      <w:r w:rsidR="006B329C" w:rsidRPr="000F57AA">
        <w:rPr>
          <w:rFonts w:ascii="Times New Roman" w:hAnsi="Times New Roman"/>
          <w:sz w:val="24"/>
          <w:szCs w:val="24"/>
          <w:lang w:val="en-US"/>
        </w:rPr>
        <w:t xml:space="preserve"> that the company encountered</w:t>
      </w:r>
      <w:r w:rsidRPr="000F57AA">
        <w:rPr>
          <w:rFonts w:ascii="Times New Roman" w:hAnsi="Times New Roman"/>
          <w:sz w:val="24"/>
          <w:szCs w:val="24"/>
          <w:lang w:val="en-US"/>
        </w:rPr>
        <w:t xml:space="preserve"> (see for example, Stern, 2016; BBC, 2011; Perlez, 2005; Johnston, 2006)</w:t>
      </w:r>
      <w:r w:rsidR="006B329C" w:rsidRPr="000F57AA">
        <w:rPr>
          <w:rFonts w:ascii="Times New Roman" w:hAnsi="Times New Roman"/>
          <w:sz w:val="24"/>
          <w:szCs w:val="24"/>
          <w:lang w:val="en-US"/>
        </w:rPr>
        <w:t xml:space="preserve">. </w:t>
      </w:r>
      <w:r w:rsidRPr="000F57AA">
        <w:rPr>
          <w:rFonts w:ascii="Times New Roman" w:hAnsi="Times New Roman"/>
          <w:sz w:val="24"/>
          <w:szCs w:val="24"/>
          <w:lang w:val="en-US"/>
        </w:rPr>
        <w:t>Newmont has introduced</w:t>
      </w:r>
      <w:r w:rsidR="00926229" w:rsidRPr="000F57AA">
        <w:rPr>
          <w:rFonts w:ascii="Times New Roman" w:hAnsi="Times New Roman"/>
          <w:sz w:val="24"/>
          <w:szCs w:val="24"/>
          <w:lang w:val="en-US"/>
        </w:rPr>
        <w:t xml:space="preserve"> and embraced</w:t>
      </w:r>
      <w:r w:rsidRPr="000F57AA">
        <w:rPr>
          <w:rFonts w:ascii="Times New Roman" w:hAnsi="Times New Roman"/>
          <w:sz w:val="24"/>
          <w:szCs w:val="24"/>
          <w:lang w:val="en-US"/>
        </w:rPr>
        <w:t xml:space="preserve"> this concept of corporate-community participation in Ghana to win the support of their host communities. This provides an illustration of NGGL’s attempt to create a ‘host-friendly’ identity in Ghana to enhance its corporate reputation. We argue that the creation of this ‘host-friendly’ identity is critical for the company, particularly, in the back drop of loss of reputation due to its mishandling of social and environmental issues in Peru and Indonesia. </w:t>
      </w:r>
    </w:p>
    <w:p w14:paraId="07CEAC83" w14:textId="448D36B0" w:rsidR="007F5903" w:rsidRPr="000F57AA" w:rsidRDefault="007F5903" w:rsidP="007F5903">
      <w:pPr>
        <w:pStyle w:val="NoteLevel11"/>
        <w:numPr>
          <w:ilvl w:val="0"/>
          <w:numId w:val="0"/>
        </w:numPr>
        <w:spacing w:line="480" w:lineRule="auto"/>
        <w:ind w:firstLine="720"/>
        <w:rPr>
          <w:rFonts w:ascii="Times New Roman" w:hAnsi="Times New Roman"/>
          <w:sz w:val="24"/>
          <w:szCs w:val="24"/>
          <w:lang w:val="en-US"/>
        </w:rPr>
      </w:pPr>
      <w:r w:rsidRPr="000F57AA">
        <w:rPr>
          <w:rFonts w:ascii="Times New Roman" w:hAnsi="Times New Roman"/>
          <w:sz w:val="24"/>
          <w:szCs w:val="24"/>
          <w:lang w:val="en-US"/>
        </w:rPr>
        <w:t xml:space="preserve">Considering </w:t>
      </w:r>
      <w:r w:rsidR="00B45698" w:rsidRPr="000F57AA">
        <w:rPr>
          <w:rFonts w:ascii="Times New Roman" w:hAnsi="Times New Roman"/>
          <w:sz w:val="24"/>
          <w:szCs w:val="24"/>
          <w:lang w:val="en-US"/>
        </w:rPr>
        <w:t xml:space="preserve">that </w:t>
      </w:r>
      <w:r w:rsidRPr="000F57AA">
        <w:rPr>
          <w:rFonts w:ascii="Times New Roman" w:hAnsi="Times New Roman"/>
          <w:sz w:val="24"/>
          <w:szCs w:val="24"/>
          <w:lang w:val="en-US"/>
        </w:rPr>
        <w:t>NGGL</w:t>
      </w:r>
      <w:r w:rsidR="00B45698" w:rsidRPr="000F57AA">
        <w:rPr>
          <w:rFonts w:ascii="Times New Roman" w:hAnsi="Times New Roman"/>
          <w:sz w:val="24"/>
          <w:szCs w:val="24"/>
          <w:lang w:val="en-US"/>
        </w:rPr>
        <w:t xml:space="preserve"> also </w:t>
      </w:r>
      <w:r w:rsidR="00926229" w:rsidRPr="000F57AA">
        <w:rPr>
          <w:rFonts w:ascii="Times New Roman" w:hAnsi="Times New Roman"/>
          <w:sz w:val="24"/>
          <w:szCs w:val="24"/>
          <w:lang w:val="en-US"/>
        </w:rPr>
        <w:t xml:space="preserve">uses </w:t>
      </w:r>
      <w:r w:rsidRPr="000F57AA">
        <w:rPr>
          <w:rFonts w:ascii="Times New Roman" w:hAnsi="Times New Roman"/>
          <w:sz w:val="24"/>
          <w:szCs w:val="24"/>
          <w:lang w:val="en-US"/>
        </w:rPr>
        <w:t xml:space="preserve">NADeF as a mechanism to undertake and localize its CSR initiatives, it is critical that local communities observe and acknowledge the relationship. The critical examination of the relationship between NGGL and NADeF help us in discerning motivation of NGGL’s CSR activities in the region. </w:t>
      </w:r>
    </w:p>
    <w:p w14:paraId="4B1ADCF4" w14:textId="77777777" w:rsidR="007F5903" w:rsidRPr="000F57AA" w:rsidRDefault="007F5903" w:rsidP="007F5903">
      <w:pPr>
        <w:pStyle w:val="NoteLevel11"/>
        <w:numPr>
          <w:ilvl w:val="0"/>
          <w:numId w:val="0"/>
        </w:numPr>
        <w:spacing w:line="480" w:lineRule="auto"/>
        <w:rPr>
          <w:rFonts w:ascii="Times New Roman" w:hAnsi="Times New Roman"/>
          <w:b/>
          <w:sz w:val="24"/>
          <w:szCs w:val="24"/>
          <w:lang w:val="en-US"/>
        </w:rPr>
      </w:pPr>
      <w:r w:rsidRPr="000F57AA">
        <w:rPr>
          <w:rFonts w:ascii="Times New Roman" w:hAnsi="Times New Roman"/>
          <w:b/>
          <w:sz w:val="24"/>
          <w:szCs w:val="24"/>
          <w:lang w:val="en-US"/>
        </w:rPr>
        <w:t xml:space="preserve">5.2 Motivation of NGGL’s CSR </w:t>
      </w:r>
    </w:p>
    <w:p w14:paraId="63965A32" w14:textId="292D7880" w:rsidR="00541C25" w:rsidRPr="000F57AA" w:rsidRDefault="007F5903" w:rsidP="0034287B">
      <w:pPr>
        <w:pStyle w:val="NoteLevel11"/>
        <w:numPr>
          <w:ilvl w:val="0"/>
          <w:numId w:val="0"/>
        </w:numPr>
        <w:spacing w:line="480" w:lineRule="auto"/>
        <w:rPr>
          <w:rFonts w:ascii="Times New Roman" w:hAnsi="Times New Roman"/>
          <w:sz w:val="24"/>
          <w:szCs w:val="24"/>
          <w:lang w:val="en-US"/>
        </w:rPr>
      </w:pPr>
      <w:r w:rsidRPr="000F57AA">
        <w:rPr>
          <w:rFonts w:ascii="Times New Roman" w:hAnsi="Times New Roman"/>
          <w:sz w:val="24"/>
          <w:szCs w:val="24"/>
          <w:lang w:val="en-US"/>
        </w:rPr>
        <w:t>It is increasingly argued that enhancing corporate reputation underpins motivation of firms to engage in CSR activities (</w:t>
      </w:r>
      <w:r w:rsidRPr="000F57AA">
        <w:rPr>
          <w:rFonts w:ascii="Times New Roman" w:hAnsi="Times New Roman"/>
          <w:sz w:val="24"/>
          <w:szCs w:val="24"/>
        </w:rPr>
        <w:t xml:space="preserve">Garberg and Fombrun, 2006; Hillenbrand and Money, 2007) and hence represent a critical aspect of corporate identity </w:t>
      </w:r>
      <w:r w:rsidRPr="000F57AA">
        <w:rPr>
          <w:rFonts w:ascii="Times New Roman" w:hAnsi="Times New Roman"/>
          <w:sz w:val="24"/>
          <w:szCs w:val="24"/>
          <w:lang w:val="en-US"/>
        </w:rPr>
        <w:t xml:space="preserve">(Balmer et al, 2007; Arendt and Brettel, 2010).  </w:t>
      </w:r>
      <w:r w:rsidRPr="000F57AA">
        <w:rPr>
          <w:rFonts w:ascii="Times New Roman" w:hAnsi="Times New Roman"/>
          <w:sz w:val="24"/>
          <w:szCs w:val="24"/>
          <w:lang w:val="en-US"/>
        </w:rPr>
        <w:lastRenderedPageBreak/>
        <w:t>Our findings</w:t>
      </w:r>
      <w:r w:rsidR="00926229" w:rsidRPr="000F57AA">
        <w:rPr>
          <w:rFonts w:ascii="Times New Roman" w:hAnsi="Times New Roman"/>
          <w:sz w:val="24"/>
          <w:szCs w:val="24"/>
          <w:lang w:val="en-US"/>
        </w:rPr>
        <w:t xml:space="preserve"> from the survey </w:t>
      </w:r>
      <w:r w:rsidR="00724E26" w:rsidRPr="000F57AA">
        <w:rPr>
          <w:rFonts w:ascii="Times New Roman" w:hAnsi="Times New Roman"/>
          <w:sz w:val="24"/>
          <w:szCs w:val="24"/>
          <w:lang w:val="en-US"/>
        </w:rPr>
        <w:t xml:space="preserve">highlighted that most of the respondents considered NGGL’s attempts to project corporate reputation as the key motivation for undertaking CSR activities. </w:t>
      </w:r>
    </w:p>
    <w:p w14:paraId="53430CEB" w14:textId="73944D0C" w:rsidR="007F5903" w:rsidRPr="000F57AA" w:rsidRDefault="00724E26" w:rsidP="00C668B1">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hAnsi="Times New Roman"/>
          <w:sz w:val="24"/>
          <w:szCs w:val="24"/>
          <w:lang w:val="en-US"/>
        </w:rPr>
        <w:t>Senior managers we interviewed ack</w:t>
      </w:r>
      <w:r w:rsidR="007502C9" w:rsidRPr="000F57AA">
        <w:rPr>
          <w:rFonts w:ascii="Times New Roman" w:hAnsi="Times New Roman"/>
          <w:sz w:val="24"/>
          <w:szCs w:val="24"/>
          <w:lang w:val="en-US"/>
        </w:rPr>
        <w:t xml:space="preserve">nowledged </w:t>
      </w:r>
      <w:r w:rsidRPr="000F57AA">
        <w:rPr>
          <w:rFonts w:ascii="Times New Roman" w:hAnsi="Times New Roman"/>
          <w:sz w:val="24"/>
          <w:szCs w:val="24"/>
          <w:lang w:val="en-US"/>
        </w:rPr>
        <w:t>that CSR activities undertaken by the company</w:t>
      </w:r>
      <w:r w:rsidR="00541C25" w:rsidRPr="000F57AA">
        <w:rPr>
          <w:rFonts w:ascii="Times New Roman" w:hAnsi="Times New Roman"/>
          <w:sz w:val="24"/>
          <w:szCs w:val="24"/>
          <w:lang w:val="en-US"/>
        </w:rPr>
        <w:t xml:space="preserve"> are part of their efforts to </w:t>
      </w:r>
      <w:r w:rsidRPr="000F57AA">
        <w:rPr>
          <w:rFonts w:ascii="Times New Roman" w:hAnsi="Times New Roman"/>
          <w:sz w:val="24"/>
          <w:szCs w:val="24"/>
          <w:lang w:val="en-US"/>
        </w:rPr>
        <w:t xml:space="preserve">create a </w:t>
      </w:r>
      <w:r w:rsidR="007502C9" w:rsidRPr="000F57AA">
        <w:rPr>
          <w:rFonts w:ascii="Times New Roman" w:hAnsi="Times New Roman"/>
          <w:sz w:val="24"/>
          <w:szCs w:val="24"/>
          <w:lang w:val="en-US"/>
        </w:rPr>
        <w:t>favorable</w:t>
      </w:r>
      <w:r w:rsidRPr="000F57AA">
        <w:rPr>
          <w:rFonts w:ascii="Times New Roman" w:hAnsi="Times New Roman"/>
          <w:sz w:val="24"/>
          <w:szCs w:val="24"/>
          <w:lang w:val="en-US"/>
        </w:rPr>
        <w:t xml:space="preserve"> image amongst its stakeholders</w:t>
      </w:r>
      <w:r w:rsidR="00644FF8" w:rsidRPr="000F57AA">
        <w:rPr>
          <w:rStyle w:val="FootnoteReference"/>
          <w:rFonts w:ascii="Times New Roman" w:hAnsi="Times New Roman"/>
          <w:sz w:val="24"/>
          <w:szCs w:val="24"/>
          <w:lang w:val="en-US"/>
        </w:rPr>
        <w:footnoteReference w:id="4"/>
      </w:r>
      <w:r w:rsidRPr="000F57AA">
        <w:rPr>
          <w:rFonts w:ascii="Times New Roman" w:hAnsi="Times New Roman"/>
          <w:sz w:val="24"/>
          <w:szCs w:val="24"/>
          <w:lang w:val="en-US"/>
        </w:rPr>
        <w:t xml:space="preserve">. </w:t>
      </w:r>
      <w:r w:rsidR="00541C25" w:rsidRPr="000F57AA">
        <w:rPr>
          <w:rFonts w:ascii="Times New Roman" w:hAnsi="Times New Roman"/>
          <w:sz w:val="24"/>
          <w:szCs w:val="24"/>
          <w:lang w:val="en-US"/>
        </w:rPr>
        <w:t xml:space="preserve"> In this context, </w:t>
      </w:r>
      <w:r w:rsidR="005F53C5" w:rsidRPr="000F57AA">
        <w:rPr>
          <w:rFonts w:ascii="Times New Roman" w:eastAsia="Times New Roman" w:hAnsi="Times New Roman"/>
          <w:sz w:val="24"/>
          <w:szCs w:val="24"/>
          <w:lang w:eastAsia="en-GB"/>
        </w:rPr>
        <w:t xml:space="preserve">an </w:t>
      </w:r>
      <w:r w:rsidR="007F5903" w:rsidRPr="000F57AA">
        <w:rPr>
          <w:rFonts w:ascii="Times New Roman" w:eastAsia="Times New Roman" w:hAnsi="Times New Roman"/>
          <w:sz w:val="24"/>
          <w:szCs w:val="24"/>
          <w:lang w:eastAsia="en-GB"/>
        </w:rPr>
        <w:t xml:space="preserve">official informed us that: </w:t>
      </w:r>
    </w:p>
    <w:p w14:paraId="4E5366D7" w14:textId="280F795A" w:rsidR="007F5903" w:rsidRPr="000F57AA" w:rsidRDefault="007F5903" w:rsidP="007F5903">
      <w:pPr>
        <w:pStyle w:val="NoteLevel11"/>
        <w:spacing w:line="480" w:lineRule="auto"/>
        <w:ind w:left="720"/>
        <w:rPr>
          <w:rFonts w:ascii="Times New Roman" w:hAnsi="Times New Roman"/>
          <w:b/>
          <w:i/>
          <w:sz w:val="24"/>
          <w:szCs w:val="24"/>
          <w:lang w:val="en-US"/>
        </w:rPr>
      </w:pPr>
      <w:r w:rsidRPr="000F57AA">
        <w:rPr>
          <w:rFonts w:ascii="Times New Roman" w:hAnsi="Times New Roman"/>
          <w:b/>
          <w:i/>
          <w:sz w:val="24"/>
          <w:szCs w:val="24"/>
          <w:lang w:val="en-US"/>
        </w:rPr>
        <w:t>“</w:t>
      </w:r>
      <w:r w:rsidRPr="000F57AA">
        <w:rPr>
          <w:rFonts w:ascii="Times New Roman" w:eastAsia="Times New Roman" w:hAnsi="Times New Roman"/>
          <w:b/>
          <w:i/>
          <w:sz w:val="24"/>
          <w:szCs w:val="24"/>
          <w:lang w:eastAsia="en-GB"/>
        </w:rPr>
        <w:t>Our CSR activities are voluntary</w:t>
      </w:r>
      <w:r w:rsidRPr="000F57AA">
        <w:rPr>
          <w:rFonts w:ascii="Times New Roman" w:eastAsia="Times New Roman" w:hAnsi="Times New Roman"/>
          <w:i/>
          <w:sz w:val="24"/>
          <w:szCs w:val="24"/>
          <w:lang w:eastAsia="en-GB"/>
        </w:rPr>
        <w:t xml:space="preserve">. As a company, we have fulfilled all the legal requirements to enable us operate this mining field. No law in Ghana enjoins us to undertake developmental projects in our communities. </w:t>
      </w:r>
      <w:r w:rsidRPr="000F57AA">
        <w:rPr>
          <w:rFonts w:ascii="Times New Roman" w:eastAsia="Times New Roman" w:hAnsi="Times New Roman"/>
          <w:b/>
          <w:i/>
          <w:sz w:val="24"/>
          <w:szCs w:val="24"/>
          <w:lang w:eastAsia="en-GB"/>
        </w:rPr>
        <w:t>However, we are mindful of our operational impact on our communities and strive to live in harmony with them</w:t>
      </w:r>
      <w:r w:rsidRPr="000F57AA">
        <w:rPr>
          <w:rFonts w:ascii="Times New Roman" w:eastAsia="Times New Roman" w:hAnsi="Times New Roman"/>
          <w:i/>
          <w:sz w:val="24"/>
          <w:szCs w:val="24"/>
          <w:lang w:eastAsia="en-GB"/>
        </w:rPr>
        <w:t xml:space="preserve">. With this in consideration, we have voluntarily adopted several international best practices to protect the environment, and contribute to their social development.” </w:t>
      </w:r>
    </w:p>
    <w:p w14:paraId="392B3C80" w14:textId="77777777" w:rsidR="00781A4C" w:rsidRPr="000F57AA" w:rsidRDefault="00781A4C" w:rsidP="00CC6580">
      <w:pPr>
        <w:pStyle w:val="NoteLevel11"/>
        <w:numPr>
          <w:ilvl w:val="0"/>
          <w:numId w:val="0"/>
        </w:numPr>
        <w:spacing w:line="480" w:lineRule="auto"/>
        <w:rPr>
          <w:rFonts w:ascii="Times New Roman" w:eastAsia="Times New Roman" w:hAnsi="Times New Roman"/>
          <w:sz w:val="24"/>
          <w:szCs w:val="24"/>
          <w:lang w:eastAsia="en-GB"/>
        </w:rPr>
      </w:pPr>
    </w:p>
    <w:p w14:paraId="261FE3D2" w14:textId="26BCF1B1" w:rsidR="00541C25" w:rsidRPr="000F57AA" w:rsidRDefault="007F5903" w:rsidP="008B2126">
      <w:pPr>
        <w:pStyle w:val="NoteLevel11"/>
        <w:numPr>
          <w:ilvl w:val="0"/>
          <w:numId w:val="0"/>
        </w:numPr>
        <w:spacing w:line="480" w:lineRule="auto"/>
        <w:rPr>
          <w:rFonts w:ascii="Times New Roman" w:hAnsi="Times New Roman"/>
          <w:sz w:val="24"/>
          <w:szCs w:val="24"/>
          <w:lang w:val="en-US"/>
        </w:rPr>
      </w:pPr>
      <w:r w:rsidRPr="000F57AA">
        <w:rPr>
          <w:rFonts w:ascii="Times New Roman" w:eastAsia="Times New Roman" w:hAnsi="Times New Roman"/>
          <w:sz w:val="24"/>
          <w:szCs w:val="24"/>
          <w:lang w:eastAsia="en-GB"/>
        </w:rPr>
        <w:t xml:space="preserve">We can discern two critical issues from the above quotation. </w:t>
      </w:r>
      <w:r w:rsidR="00541C25" w:rsidRPr="000F57AA">
        <w:rPr>
          <w:rFonts w:ascii="Times New Roman" w:eastAsia="Times New Roman" w:hAnsi="Times New Roman"/>
          <w:sz w:val="24"/>
          <w:szCs w:val="24"/>
          <w:lang w:eastAsia="en-GB"/>
        </w:rPr>
        <w:t xml:space="preserve">First, </w:t>
      </w:r>
      <w:r w:rsidR="003D1411" w:rsidRPr="000F57AA">
        <w:rPr>
          <w:rFonts w:ascii="Times New Roman" w:eastAsia="Times New Roman" w:hAnsi="Times New Roman"/>
          <w:sz w:val="24"/>
          <w:szCs w:val="24"/>
          <w:lang w:eastAsia="en-GB"/>
        </w:rPr>
        <w:t xml:space="preserve">the quotation is an illustration </w:t>
      </w:r>
      <w:r w:rsidR="00541C25" w:rsidRPr="000F57AA">
        <w:rPr>
          <w:rFonts w:ascii="Times New Roman" w:eastAsia="Times New Roman" w:hAnsi="Times New Roman"/>
          <w:sz w:val="24"/>
          <w:szCs w:val="24"/>
          <w:lang w:eastAsia="en-GB"/>
        </w:rPr>
        <w:t xml:space="preserve">how </w:t>
      </w:r>
      <w:r w:rsidR="009E6DC0" w:rsidRPr="000F57AA">
        <w:rPr>
          <w:rFonts w:ascii="Times New Roman" w:eastAsia="Times New Roman" w:hAnsi="Times New Roman"/>
          <w:sz w:val="24"/>
          <w:szCs w:val="24"/>
          <w:lang w:eastAsia="en-GB"/>
        </w:rPr>
        <w:t xml:space="preserve">MNEs view CSR in general. </w:t>
      </w:r>
      <w:r w:rsidR="003D1411" w:rsidRPr="000F57AA">
        <w:rPr>
          <w:rFonts w:ascii="Times New Roman" w:eastAsia="Times New Roman" w:hAnsi="Times New Roman"/>
          <w:sz w:val="24"/>
          <w:szCs w:val="24"/>
          <w:lang w:eastAsia="en-GB"/>
        </w:rPr>
        <w:t>CSR is considered as a ‘</w:t>
      </w:r>
      <w:r w:rsidR="009E6DC0" w:rsidRPr="000F57AA">
        <w:rPr>
          <w:rFonts w:ascii="Times New Roman" w:eastAsia="Times New Roman" w:hAnsi="Times New Roman"/>
          <w:sz w:val="24"/>
          <w:szCs w:val="24"/>
          <w:lang w:eastAsia="en-GB"/>
        </w:rPr>
        <w:t>voluntary obligation</w:t>
      </w:r>
      <w:r w:rsidR="003D1411" w:rsidRPr="000F57AA">
        <w:rPr>
          <w:rFonts w:ascii="Times New Roman" w:eastAsia="Times New Roman" w:hAnsi="Times New Roman"/>
          <w:sz w:val="24"/>
          <w:szCs w:val="24"/>
          <w:lang w:eastAsia="en-GB"/>
        </w:rPr>
        <w:t>’</w:t>
      </w:r>
      <w:r w:rsidR="009E6DC0" w:rsidRPr="000F57AA">
        <w:rPr>
          <w:rFonts w:ascii="Times New Roman" w:eastAsia="Times New Roman" w:hAnsi="Times New Roman"/>
          <w:sz w:val="24"/>
          <w:szCs w:val="24"/>
          <w:lang w:eastAsia="en-GB"/>
        </w:rPr>
        <w:t xml:space="preserve">, on part of the </w:t>
      </w:r>
      <w:r w:rsidR="009E6DC0" w:rsidRPr="000F57AA">
        <w:rPr>
          <w:rFonts w:ascii="Times New Roman" w:eastAsia="Times New Roman" w:hAnsi="Times New Roman"/>
          <w:sz w:val="24"/>
          <w:szCs w:val="24"/>
          <w:lang w:eastAsia="en-GB"/>
        </w:rPr>
        <w:lastRenderedPageBreak/>
        <w:t xml:space="preserve">firm to fulfil. Without any legal or institutional oversight on their respective CSR activities, the MNEs are under no obligation to do any more than that they perceive necessary. The voluntary conception of CSR, in essence, captures the ambiguities associated with the concept and how it is implemented by MNEs (Blowfield and Frynas, 2005; </w:t>
      </w:r>
      <w:r w:rsidR="009E6DC0" w:rsidRPr="000F57AA">
        <w:rPr>
          <w:rFonts w:ascii="Times New Roman" w:hAnsi="Times New Roman"/>
          <w:sz w:val="24"/>
          <w:szCs w:val="24"/>
        </w:rPr>
        <w:t xml:space="preserve">Torugsa et al, 2012). </w:t>
      </w:r>
      <w:r w:rsidR="009209CF" w:rsidRPr="000F57AA">
        <w:rPr>
          <w:rFonts w:ascii="Times New Roman" w:hAnsi="Times New Roman"/>
          <w:sz w:val="24"/>
          <w:szCs w:val="24"/>
          <w:lang w:val="en-US"/>
        </w:rPr>
        <w:t xml:space="preserve">At the same time, the respondent also acknowledges that the company has a social obligation </w:t>
      </w:r>
      <w:r w:rsidR="00E20C35" w:rsidRPr="000F57AA">
        <w:rPr>
          <w:rFonts w:ascii="Times New Roman" w:hAnsi="Times New Roman"/>
          <w:sz w:val="24"/>
          <w:szCs w:val="24"/>
          <w:lang w:val="en-US"/>
        </w:rPr>
        <w:t xml:space="preserve">to the local community and hence </w:t>
      </w:r>
      <w:r w:rsidR="008B2126" w:rsidRPr="000F57AA">
        <w:rPr>
          <w:rFonts w:ascii="Times New Roman" w:hAnsi="Times New Roman"/>
          <w:sz w:val="24"/>
          <w:szCs w:val="24"/>
          <w:lang w:val="en-US"/>
        </w:rPr>
        <w:t xml:space="preserve">the </w:t>
      </w:r>
      <w:r w:rsidR="00E20C35" w:rsidRPr="000F57AA">
        <w:rPr>
          <w:rFonts w:ascii="Times New Roman" w:hAnsi="Times New Roman"/>
          <w:sz w:val="24"/>
          <w:szCs w:val="24"/>
          <w:lang w:val="en-US"/>
        </w:rPr>
        <w:t>motivation for CSR. However, it is important to emphasis here that, although the announcement by the CEO to contribute specific amount was voluntary, the local community, by coming together and forming ASRF ensured that they are able to facilitate the commitment</w:t>
      </w:r>
      <w:r w:rsidR="00E20C35" w:rsidRPr="000F57AA">
        <w:rPr>
          <w:rStyle w:val="FootnoteReference"/>
          <w:rFonts w:ascii="Times New Roman" w:hAnsi="Times New Roman"/>
          <w:sz w:val="24"/>
          <w:szCs w:val="24"/>
          <w:lang w:val="en-US"/>
        </w:rPr>
        <w:footnoteReference w:id="5"/>
      </w:r>
      <w:r w:rsidR="00E20C35" w:rsidRPr="000F57AA">
        <w:rPr>
          <w:rFonts w:ascii="Times New Roman" w:hAnsi="Times New Roman"/>
          <w:sz w:val="24"/>
          <w:szCs w:val="24"/>
          <w:lang w:val="en-US"/>
        </w:rPr>
        <w:t xml:space="preserve">. </w:t>
      </w:r>
      <w:r w:rsidR="008B2126" w:rsidRPr="000F57AA">
        <w:rPr>
          <w:rFonts w:ascii="Times New Roman" w:hAnsi="Times New Roman"/>
          <w:sz w:val="24"/>
          <w:szCs w:val="24"/>
          <w:lang w:val="en-US"/>
        </w:rPr>
        <w:t>So, irrespective of the opinion of the manager that their contribution to is voluntary, in effect it is not because they are bound by the</w:t>
      </w:r>
      <w:r w:rsidR="003D1411" w:rsidRPr="000F57AA">
        <w:rPr>
          <w:rFonts w:ascii="Times New Roman" w:hAnsi="Times New Roman"/>
          <w:sz w:val="24"/>
          <w:szCs w:val="24"/>
          <w:lang w:val="en-US"/>
        </w:rPr>
        <w:t xml:space="preserve"> </w:t>
      </w:r>
      <w:r w:rsidR="008B2126" w:rsidRPr="000F57AA">
        <w:rPr>
          <w:rFonts w:ascii="Times New Roman" w:hAnsi="Times New Roman"/>
          <w:sz w:val="24"/>
          <w:szCs w:val="24"/>
          <w:lang w:val="en-US"/>
        </w:rPr>
        <w:t xml:space="preserve">agreement with ASRF to contribute the said amount. </w:t>
      </w:r>
    </w:p>
    <w:p w14:paraId="1E1485B2" w14:textId="5AB40905" w:rsidR="00E4250F" w:rsidRPr="000F57AA" w:rsidRDefault="008B2126" w:rsidP="004E15EB">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The second issue we discern from the quotations pertains to the essence of maintenance of harmonious relationship with the local community. </w:t>
      </w:r>
      <w:r w:rsidR="003D1411" w:rsidRPr="000F57AA">
        <w:rPr>
          <w:rFonts w:ascii="Times New Roman" w:eastAsia="Times New Roman" w:hAnsi="Times New Roman"/>
          <w:sz w:val="24"/>
          <w:szCs w:val="24"/>
          <w:lang w:eastAsia="en-GB"/>
        </w:rPr>
        <w:t xml:space="preserve">Other respondents also highlighted the link </w:t>
      </w:r>
      <w:r w:rsidR="003D1411" w:rsidRPr="000F57AA">
        <w:rPr>
          <w:rFonts w:ascii="Times New Roman" w:eastAsia="Times New Roman" w:hAnsi="Times New Roman"/>
          <w:sz w:val="24"/>
          <w:szCs w:val="24"/>
          <w:lang w:eastAsia="en-GB"/>
        </w:rPr>
        <w:lastRenderedPageBreak/>
        <w:t>between CSR and reducing and the necessity to avoid conflicts with the local community</w:t>
      </w:r>
      <w:r w:rsidR="007B1AC8" w:rsidRPr="000F57AA">
        <w:rPr>
          <w:rFonts w:ascii="Times New Roman" w:eastAsia="Times New Roman" w:hAnsi="Times New Roman"/>
          <w:sz w:val="24"/>
          <w:szCs w:val="24"/>
          <w:lang w:eastAsia="en-GB"/>
        </w:rPr>
        <w:t>. One of the respondents</w:t>
      </w:r>
      <w:r w:rsidR="005F53C5" w:rsidRPr="000F57AA">
        <w:rPr>
          <w:rFonts w:ascii="Times New Roman" w:eastAsia="Times New Roman" w:hAnsi="Times New Roman"/>
          <w:sz w:val="24"/>
          <w:szCs w:val="24"/>
          <w:lang w:eastAsia="en-GB"/>
        </w:rPr>
        <w:t xml:space="preserve"> from NGGL</w:t>
      </w:r>
      <w:r w:rsidR="007B1AC8" w:rsidRPr="000F57AA">
        <w:rPr>
          <w:rFonts w:ascii="Times New Roman" w:eastAsia="Times New Roman" w:hAnsi="Times New Roman"/>
          <w:sz w:val="24"/>
          <w:szCs w:val="24"/>
          <w:lang w:eastAsia="en-GB"/>
        </w:rPr>
        <w:t xml:space="preserve"> aptly highlighted this aspect: </w:t>
      </w:r>
    </w:p>
    <w:p w14:paraId="52548975" w14:textId="41D3A806" w:rsidR="005F53C5" w:rsidRPr="000F57AA" w:rsidRDefault="00E4250F" w:rsidP="004E15EB">
      <w:pPr>
        <w:pStyle w:val="NoteLevel11"/>
        <w:numPr>
          <w:ilvl w:val="0"/>
          <w:numId w:val="0"/>
        </w:numPr>
        <w:spacing w:line="480" w:lineRule="auto"/>
        <w:ind w:firstLine="720"/>
        <w:rPr>
          <w:rFonts w:ascii="Times New Roman" w:eastAsia="Times New Roman" w:hAnsi="Times New Roman"/>
          <w:i/>
          <w:sz w:val="24"/>
          <w:szCs w:val="24"/>
          <w:lang w:eastAsia="en-GB"/>
        </w:rPr>
      </w:pPr>
      <w:r w:rsidRPr="000F57AA">
        <w:rPr>
          <w:rFonts w:ascii="Times New Roman" w:eastAsia="Times New Roman" w:hAnsi="Times New Roman"/>
          <w:i/>
          <w:sz w:val="24"/>
          <w:szCs w:val="24"/>
          <w:lang w:eastAsia="en-GB"/>
        </w:rPr>
        <w:t>“You will agree with me that peace is priceless. Many mining companies, globally, suffer huge operational losses because of misunderstanding, conflicts and legal battles with their communities. The communities here do not disrupt our activities and that's a good gain for us.”</w:t>
      </w:r>
      <w:r w:rsidR="007B1AC8" w:rsidRPr="000F57AA">
        <w:rPr>
          <w:rFonts w:ascii="Times New Roman" w:eastAsia="Times New Roman" w:hAnsi="Times New Roman"/>
          <w:i/>
          <w:sz w:val="24"/>
          <w:szCs w:val="24"/>
          <w:lang w:eastAsia="en-GB"/>
        </w:rPr>
        <w:t xml:space="preserve"> </w:t>
      </w:r>
    </w:p>
    <w:p w14:paraId="78963101" w14:textId="77777777" w:rsidR="00025C3E" w:rsidRPr="000F57AA" w:rsidRDefault="00025C3E" w:rsidP="005F53C5">
      <w:pPr>
        <w:pStyle w:val="NoteLevel11"/>
        <w:numPr>
          <w:ilvl w:val="0"/>
          <w:numId w:val="0"/>
        </w:numPr>
        <w:spacing w:line="480" w:lineRule="auto"/>
        <w:rPr>
          <w:rFonts w:ascii="Times New Roman" w:eastAsia="Times New Roman" w:hAnsi="Times New Roman"/>
          <w:sz w:val="24"/>
          <w:szCs w:val="24"/>
          <w:lang w:eastAsia="en-GB"/>
        </w:rPr>
      </w:pPr>
    </w:p>
    <w:p w14:paraId="3F4AA914" w14:textId="099EAF9B" w:rsidR="005F53C5" w:rsidRPr="000F57AA" w:rsidRDefault="005F53C5" w:rsidP="005F53C5">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The local community also recognises that peace in the region necessarily entails sharing of profits from the company that could be used in social development activities. In this context one of the Traditional Chiefs asserts: </w:t>
      </w:r>
    </w:p>
    <w:p w14:paraId="2E4528E7" w14:textId="77777777" w:rsidR="005F53C5" w:rsidRPr="000F57AA" w:rsidRDefault="005F53C5" w:rsidP="005F53C5">
      <w:pPr>
        <w:pStyle w:val="NoteLevel11"/>
        <w:spacing w:line="480" w:lineRule="auto"/>
        <w:ind w:left="720"/>
        <w:rPr>
          <w:rFonts w:ascii="Times New Roman" w:eastAsia="Times New Roman" w:hAnsi="Times New Roman"/>
          <w:i/>
          <w:sz w:val="24"/>
          <w:szCs w:val="24"/>
          <w:lang w:eastAsia="en-GB"/>
        </w:rPr>
      </w:pPr>
      <w:r w:rsidRPr="000F57AA">
        <w:rPr>
          <w:rFonts w:ascii="Times New Roman" w:eastAsia="Times New Roman" w:hAnsi="Times New Roman"/>
          <w:i/>
          <w:sz w:val="24"/>
          <w:szCs w:val="24"/>
          <w:lang w:eastAsia="en-GB"/>
        </w:rPr>
        <w:t xml:space="preserve">“They have to share the profit with us because we are giving them our natural resources. When they collaborate with us, we will be at peace. They will make their profits whiles we also mind our business. It means we will not disturb them with demonstrations that would disrupt their operations.” </w:t>
      </w:r>
    </w:p>
    <w:p w14:paraId="65BCFA11" w14:textId="77777777" w:rsidR="00E62C30" w:rsidRPr="000F57AA" w:rsidRDefault="00E62C30" w:rsidP="005F53C5">
      <w:pPr>
        <w:pStyle w:val="NoteLevel11"/>
        <w:numPr>
          <w:ilvl w:val="0"/>
          <w:numId w:val="0"/>
        </w:numPr>
        <w:spacing w:line="480" w:lineRule="auto"/>
        <w:rPr>
          <w:rFonts w:ascii="Times New Roman" w:eastAsia="Times New Roman" w:hAnsi="Times New Roman"/>
          <w:sz w:val="24"/>
          <w:szCs w:val="24"/>
          <w:lang w:eastAsia="en-GB"/>
        </w:rPr>
      </w:pPr>
    </w:p>
    <w:p w14:paraId="626E2651" w14:textId="2989D087" w:rsidR="005F53C5" w:rsidRPr="000F57AA" w:rsidRDefault="005F53C5" w:rsidP="005F53C5">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Mining is a capital-intensive industry with a long project life and mining </w:t>
      </w:r>
      <w:r w:rsidR="008B2126" w:rsidRPr="000F57AA">
        <w:rPr>
          <w:rFonts w:ascii="Times New Roman" w:eastAsia="Times New Roman" w:hAnsi="Times New Roman"/>
          <w:sz w:val="24"/>
          <w:szCs w:val="24"/>
          <w:lang w:eastAsia="en-GB"/>
        </w:rPr>
        <w:t xml:space="preserve">MNEs are inexplicably linked to social conflicts in the regions they operate in. Most of the conflicts between the local </w:t>
      </w:r>
      <w:r w:rsidR="008B2126" w:rsidRPr="000F57AA">
        <w:rPr>
          <w:rFonts w:ascii="Times New Roman" w:eastAsia="Times New Roman" w:hAnsi="Times New Roman"/>
          <w:sz w:val="24"/>
          <w:szCs w:val="24"/>
          <w:lang w:eastAsia="en-GB"/>
        </w:rPr>
        <w:lastRenderedPageBreak/>
        <w:t>community and the MNE result from the use and acquisition of land and how the company manages influx of immigrants into the existing community (Kemp et al., 2011; Carstens and Hilson, 2009; Owusu-Korateng, 2008).</w:t>
      </w:r>
      <w:r w:rsidRPr="000F57AA">
        <w:rPr>
          <w:rFonts w:ascii="Times New Roman" w:eastAsia="Times New Roman" w:hAnsi="Times New Roman"/>
          <w:sz w:val="24"/>
          <w:szCs w:val="24"/>
          <w:lang w:eastAsia="en-GB"/>
        </w:rPr>
        <w:t xml:space="preserve"> </w:t>
      </w:r>
      <w:r w:rsidR="00A97A45" w:rsidRPr="000F57AA">
        <w:rPr>
          <w:rFonts w:ascii="Times New Roman" w:eastAsia="Times New Roman" w:hAnsi="Times New Roman"/>
          <w:sz w:val="24"/>
          <w:szCs w:val="24"/>
          <w:lang w:eastAsia="en-GB"/>
        </w:rPr>
        <w:t xml:space="preserve">In this context, creating and maintaining cordial relationship with the local community is critical for an MNE to functioning over a longer period, to recoup its capital and operational costs. Creation of NADeF not only allows NGGL to operationalise its CSR activities in the Brong-Ahafo region in Ghana but also provides it a structure to engage with the community in </w:t>
      </w:r>
      <w:r w:rsidR="001F1DB5" w:rsidRPr="000F57AA">
        <w:rPr>
          <w:rFonts w:ascii="Times New Roman" w:eastAsia="Times New Roman" w:hAnsi="Times New Roman"/>
          <w:sz w:val="24"/>
          <w:szCs w:val="24"/>
          <w:lang w:eastAsia="en-GB"/>
        </w:rPr>
        <w:t xml:space="preserve">potential </w:t>
      </w:r>
      <w:r w:rsidR="00A97A45" w:rsidRPr="000F57AA">
        <w:rPr>
          <w:rFonts w:ascii="Times New Roman" w:eastAsia="Times New Roman" w:hAnsi="Times New Roman"/>
          <w:sz w:val="24"/>
          <w:szCs w:val="24"/>
          <w:lang w:eastAsia="en-GB"/>
        </w:rPr>
        <w:t xml:space="preserve">conflict situations. </w:t>
      </w:r>
      <w:r w:rsidR="001F1DB5" w:rsidRPr="000F57AA">
        <w:rPr>
          <w:rFonts w:ascii="Times New Roman" w:eastAsia="Times New Roman" w:hAnsi="Times New Roman"/>
          <w:sz w:val="24"/>
          <w:szCs w:val="24"/>
          <w:lang w:eastAsia="en-GB"/>
        </w:rPr>
        <w:t xml:space="preserve">For instance, in a major cyanide spillage at the Ahafo Mine in 2009, the water bodies were polluted resulting in loss of aquatic lives </w:t>
      </w:r>
      <w:r w:rsidR="00A52ACC">
        <w:rPr>
          <w:rFonts w:ascii="Times New Roman" w:eastAsia="Times New Roman" w:hAnsi="Times New Roman"/>
          <w:sz w:val="24"/>
          <w:szCs w:val="24"/>
          <w:lang w:eastAsia="en-GB"/>
        </w:rPr>
        <w:t xml:space="preserve">that </w:t>
      </w:r>
      <w:r w:rsidR="001F1DB5" w:rsidRPr="000F57AA">
        <w:rPr>
          <w:rFonts w:ascii="Times New Roman" w:eastAsia="Times New Roman" w:hAnsi="Times New Roman"/>
          <w:sz w:val="24"/>
          <w:szCs w:val="24"/>
          <w:lang w:eastAsia="en-GB"/>
        </w:rPr>
        <w:t>were destroyed. The local community used NADeF to engage with Newmont and although Newmont was subsequently fined about five million dollars by the Government of Ghana</w:t>
      </w:r>
      <w:r w:rsidR="00837F39" w:rsidRPr="000F57AA">
        <w:rPr>
          <w:rStyle w:val="FootnoteReference"/>
          <w:rFonts w:ascii="Times New Roman" w:eastAsia="Times New Roman" w:hAnsi="Times New Roman"/>
          <w:sz w:val="24"/>
          <w:szCs w:val="24"/>
          <w:lang w:eastAsia="en-GB"/>
        </w:rPr>
        <w:footnoteReference w:id="6"/>
      </w:r>
      <w:r w:rsidR="00837F39" w:rsidRPr="000F57AA">
        <w:rPr>
          <w:rFonts w:ascii="Times New Roman" w:eastAsia="Times New Roman" w:hAnsi="Times New Roman"/>
          <w:sz w:val="24"/>
          <w:szCs w:val="24"/>
          <w:lang w:eastAsia="en-GB"/>
        </w:rPr>
        <w:t xml:space="preserve">. As a consequence, </w:t>
      </w:r>
      <w:r w:rsidR="001F1DB5" w:rsidRPr="000F57AA">
        <w:rPr>
          <w:rFonts w:ascii="Times New Roman" w:eastAsia="Times New Roman" w:hAnsi="Times New Roman"/>
          <w:sz w:val="24"/>
          <w:szCs w:val="24"/>
          <w:lang w:eastAsia="en-GB"/>
        </w:rPr>
        <w:t xml:space="preserve">the matter was amicably addressed without community agitations. It </w:t>
      </w:r>
      <w:r w:rsidR="001F1DB5" w:rsidRPr="000F57AA">
        <w:rPr>
          <w:rFonts w:ascii="Times New Roman" w:eastAsia="Times New Roman" w:hAnsi="Times New Roman"/>
          <w:sz w:val="24"/>
          <w:szCs w:val="24"/>
          <w:lang w:eastAsia="en-GB"/>
        </w:rPr>
        <w:lastRenderedPageBreak/>
        <w:t xml:space="preserve">is important to highlight here that Newmont has faced limited opposition in its operation in Ghana as compared to other parts of the world. </w:t>
      </w:r>
    </w:p>
    <w:p w14:paraId="36C0CFB0" w14:textId="65EA5D94" w:rsidR="005F53C5" w:rsidRPr="000F57AA" w:rsidRDefault="00E4250F" w:rsidP="0080308A">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The creation and successful operationalisation of NADeF contributes to the development of </w:t>
      </w:r>
      <w:r w:rsidR="00DF7F21" w:rsidRPr="000F57AA">
        <w:rPr>
          <w:rFonts w:ascii="Times New Roman" w:eastAsia="Times New Roman" w:hAnsi="Times New Roman"/>
          <w:sz w:val="24"/>
          <w:szCs w:val="24"/>
          <w:lang w:eastAsia="en-GB"/>
        </w:rPr>
        <w:t>cordial relationship</w:t>
      </w:r>
      <w:r w:rsidRPr="000F57AA">
        <w:rPr>
          <w:rFonts w:ascii="Times New Roman" w:eastAsia="Times New Roman" w:hAnsi="Times New Roman"/>
          <w:sz w:val="24"/>
          <w:szCs w:val="24"/>
          <w:lang w:eastAsia="en-GB"/>
        </w:rPr>
        <w:t xml:space="preserve"> between the local community and the company. In a sense, it has provided a platform for not only sharing of profits but also working together on matters central to the needs of the local stakeholders. </w:t>
      </w:r>
      <w:r w:rsidR="00DF7F21" w:rsidRPr="000F57AA">
        <w:rPr>
          <w:rFonts w:ascii="Times New Roman" w:eastAsia="Times New Roman" w:hAnsi="Times New Roman"/>
          <w:sz w:val="24"/>
          <w:szCs w:val="24"/>
          <w:lang w:eastAsia="en-GB"/>
        </w:rPr>
        <w:t>The structure and functioning of NADeF, wherein N</w:t>
      </w:r>
      <w:r w:rsidR="00A52ACC">
        <w:rPr>
          <w:rFonts w:ascii="Times New Roman" w:eastAsia="Times New Roman" w:hAnsi="Times New Roman"/>
          <w:sz w:val="24"/>
          <w:szCs w:val="24"/>
          <w:lang w:eastAsia="en-GB"/>
        </w:rPr>
        <w:t>GGL is viewed as a key sponsor</w:t>
      </w:r>
      <w:r w:rsidR="00DF7F21" w:rsidRPr="000F57AA">
        <w:rPr>
          <w:rFonts w:ascii="Times New Roman" w:eastAsia="Times New Roman" w:hAnsi="Times New Roman"/>
          <w:sz w:val="24"/>
          <w:szCs w:val="24"/>
          <w:lang w:eastAsia="en-GB"/>
        </w:rPr>
        <w:t xml:space="preserve"> of community development activities as decided by the members of SDC. </w:t>
      </w:r>
      <w:r w:rsidR="005F53C5" w:rsidRPr="000F57AA">
        <w:rPr>
          <w:rFonts w:ascii="Times New Roman" w:eastAsia="Times New Roman" w:hAnsi="Times New Roman"/>
          <w:sz w:val="24"/>
          <w:szCs w:val="24"/>
          <w:lang w:eastAsia="en-GB"/>
        </w:rPr>
        <w:t>This bottom up approach to resource community development initiatives provides</w:t>
      </w:r>
      <w:r w:rsidR="00DF7F21" w:rsidRPr="000F57AA">
        <w:rPr>
          <w:rFonts w:ascii="Times New Roman" w:eastAsia="Times New Roman" w:hAnsi="Times New Roman"/>
          <w:sz w:val="24"/>
          <w:szCs w:val="24"/>
          <w:lang w:eastAsia="en-GB"/>
        </w:rPr>
        <w:t xml:space="preserve"> the company a platform wherein it could act as ‘partner in development’</w:t>
      </w:r>
      <w:r w:rsidR="005F53C5" w:rsidRPr="000F57AA">
        <w:rPr>
          <w:rFonts w:ascii="Times New Roman" w:eastAsia="Times New Roman" w:hAnsi="Times New Roman"/>
          <w:sz w:val="24"/>
          <w:szCs w:val="24"/>
          <w:lang w:eastAsia="en-GB"/>
        </w:rPr>
        <w:t xml:space="preserve">. According to the </w:t>
      </w:r>
      <w:r w:rsidR="005F53C5" w:rsidRPr="000F57AA">
        <w:rPr>
          <w:rFonts w:ascii="Times New Roman" w:hAnsi="Times New Roman"/>
          <w:sz w:val="24"/>
          <w:szCs w:val="24"/>
          <w:lang w:val="en-US"/>
        </w:rPr>
        <w:t xml:space="preserve">Director of NGGL in charge of sustainability: </w:t>
      </w:r>
    </w:p>
    <w:p w14:paraId="2ACB7171" w14:textId="6A9C7710" w:rsidR="005F53C5" w:rsidRPr="000F57AA" w:rsidRDefault="005F53C5" w:rsidP="00C668B1">
      <w:pPr>
        <w:pStyle w:val="NoteLevel11"/>
        <w:numPr>
          <w:ilvl w:val="0"/>
          <w:numId w:val="0"/>
        </w:numPr>
        <w:spacing w:line="480" w:lineRule="auto"/>
        <w:ind w:left="720" w:firstLine="60"/>
        <w:rPr>
          <w:rFonts w:ascii="Times New Roman" w:eastAsia="Times New Roman" w:hAnsi="Times New Roman"/>
          <w:i/>
          <w:sz w:val="24"/>
          <w:szCs w:val="24"/>
          <w:lang w:eastAsia="en-GB"/>
        </w:rPr>
      </w:pPr>
      <w:r w:rsidRPr="000F57AA">
        <w:rPr>
          <w:rFonts w:ascii="Times New Roman" w:hAnsi="Times New Roman"/>
          <w:b/>
          <w:i/>
          <w:sz w:val="24"/>
          <w:szCs w:val="24"/>
          <w:lang w:val="en-US"/>
        </w:rPr>
        <w:t>“</w:t>
      </w:r>
      <w:r w:rsidRPr="000F57AA">
        <w:rPr>
          <w:rFonts w:ascii="Times New Roman" w:eastAsia="Times New Roman" w:hAnsi="Times New Roman"/>
          <w:i/>
          <w:sz w:val="24"/>
          <w:szCs w:val="24"/>
          <w:lang w:eastAsia="en-GB"/>
        </w:rPr>
        <w:t xml:space="preserve">First, we want to build a solid brand for our company. We want our communities to see us as </w:t>
      </w:r>
      <w:r w:rsidRPr="000F57AA">
        <w:rPr>
          <w:rFonts w:ascii="Times New Roman" w:eastAsia="Times New Roman" w:hAnsi="Times New Roman"/>
          <w:b/>
          <w:i/>
          <w:sz w:val="24"/>
          <w:szCs w:val="24"/>
          <w:lang w:eastAsia="en-GB"/>
        </w:rPr>
        <w:t xml:space="preserve">a partner </w:t>
      </w:r>
      <w:r w:rsidR="00DB1930" w:rsidRPr="000F57AA">
        <w:rPr>
          <w:rFonts w:ascii="Times New Roman" w:eastAsia="Times New Roman" w:hAnsi="Times New Roman"/>
          <w:b/>
          <w:i/>
          <w:sz w:val="24"/>
          <w:szCs w:val="24"/>
          <w:lang w:eastAsia="en-GB"/>
        </w:rPr>
        <w:t>in</w:t>
      </w:r>
      <w:r w:rsidRPr="000F57AA">
        <w:rPr>
          <w:rFonts w:ascii="Times New Roman" w:eastAsia="Times New Roman" w:hAnsi="Times New Roman"/>
          <w:b/>
          <w:i/>
          <w:sz w:val="24"/>
          <w:szCs w:val="24"/>
          <w:lang w:eastAsia="en-GB"/>
        </w:rPr>
        <w:t xml:space="preserve"> development</w:t>
      </w:r>
      <w:r w:rsidRPr="000F57AA">
        <w:rPr>
          <w:rFonts w:ascii="Times New Roman" w:eastAsia="Times New Roman" w:hAnsi="Times New Roman"/>
          <w:i/>
          <w:sz w:val="24"/>
          <w:szCs w:val="24"/>
          <w:lang w:eastAsia="en-GB"/>
        </w:rPr>
        <w:t xml:space="preserve"> and not just a profit-making venture.” </w:t>
      </w:r>
    </w:p>
    <w:p w14:paraId="0C47EBD7" w14:textId="78E03F88" w:rsidR="00DF7F21" w:rsidRPr="000F57AA" w:rsidRDefault="00DF7F21" w:rsidP="00DF7F21">
      <w:pPr>
        <w:pStyle w:val="NoteLevel11"/>
        <w:numPr>
          <w:ilvl w:val="0"/>
          <w:numId w:val="0"/>
        </w:numPr>
        <w:spacing w:line="480" w:lineRule="auto"/>
        <w:rPr>
          <w:rFonts w:ascii="Times New Roman" w:eastAsia="Times New Roman" w:hAnsi="Times New Roman"/>
          <w:sz w:val="24"/>
          <w:szCs w:val="24"/>
          <w:lang w:eastAsia="en-GB"/>
        </w:rPr>
      </w:pPr>
    </w:p>
    <w:p w14:paraId="7D9E7BAE" w14:textId="5229CFF7" w:rsidR="00D16814" w:rsidRPr="000F57AA" w:rsidRDefault="00DB1930" w:rsidP="002C16FD">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Clearly seen as a partner in </w:t>
      </w:r>
      <w:r w:rsidR="005F53C5" w:rsidRPr="000F57AA">
        <w:rPr>
          <w:rFonts w:ascii="Times New Roman" w:eastAsia="Times New Roman" w:hAnsi="Times New Roman"/>
          <w:sz w:val="24"/>
          <w:szCs w:val="24"/>
          <w:lang w:eastAsia="en-GB"/>
        </w:rPr>
        <w:t xml:space="preserve">development is at the core of the company’s attempts to create a positive </w:t>
      </w:r>
      <w:r w:rsidR="00DF7F21" w:rsidRPr="000F57AA">
        <w:rPr>
          <w:rFonts w:ascii="Times New Roman" w:eastAsia="Times New Roman" w:hAnsi="Times New Roman"/>
          <w:sz w:val="24"/>
          <w:szCs w:val="24"/>
          <w:lang w:eastAsia="en-GB"/>
        </w:rPr>
        <w:t xml:space="preserve">corporate image and </w:t>
      </w:r>
      <w:r w:rsidR="005F53C5" w:rsidRPr="000F57AA">
        <w:rPr>
          <w:rFonts w:ascii="Times New Roman" w:eastAsia="Times New Roman" w:hAnsi="Times New Roman"/>
          <w:sz w:val="24"/>
          <w:szCs w:val="24"/>
          <w:lang w:eastAsia="en-GB"/>
        </w:rPr>
        <w:t>identity, which is</w:t>
      </w:r>
      <w:r w:rsidR="00DF7F21" w:rsidRPr="000F57AA">
        <w:rPr>
          <w:rFonts w:ascii="Times New Roman" w:eastAsia="Times New Roman" w:hAnsi="Times New Roman"/>
          <w:sz w:val="24"/>
          <w:szCs w:val="24"/>
          <w:lang w:eastAsia="en-GB"/>
        </w:rPr>
        <w:t xml:space="preserve"> </w:t>
      </w:r>
      <w:r w:rsidR="005F53C5" w:rsidRPr="000F57AA">
        <w:rPr>
          <w:rFonts w:ascii="Times New Roman" w:eastAsia="Times New Roman" w:hAnsi="Times New Roman"/>
          <w:sz w:val="24"/>
          <w:szCs w:val="24"/>
          <w:lang w:eastAsia="en-GB"/>
        </w:rPr>
        <w:t xml:space="preserve">also </w:t>
      </w:r>
      <w:r w:rsidR="00DF7F21" w:rsidRPr="000F57AA">
        <w:rPr>
          <w:rFonts w:ascii="Times New Roman" w:eastAsia="Times New Roman" w:hAnsi="Times New Roman"/>
          <w:sz w:val="24"/>
          <w:szCs w:val="24"/>
          <w:lang w:eastAsia="en-GB"/>
        </w:rPr>
        <w:t xml:space="preserve">critical </w:t>
      </w:r>
      <w:r w:rsidR="005F53C5" w:rsidRPr="000F57AA">
        <w:rPr>
          <w:rFonts w:ascii="Times New Roman" w:eastAsia="Times New Roman" w:hAnsi="Times New Roman"/>
          <w:sz w:val="24"/>
          <w:szCs w:val="24"/>
          <w:lang w:eastAsia="en-GB"/>
        </w:rPr>
        <w:t xml:space="preserve">in </w:t>
      </w:r>
      <w:r w:rsidR="00DF7F21" w:rsidRPr="000F57AA">
        <w:rPr>
          <w:rFonts w:ascii="Times New Roman" w:eastAsia="Times New Roman" w:hAnsi="Times New Roman"/>
          <w:sz w:val="24"/>
          <w:szCs w:val="24"/>
          <w:lang w:eastAsia="en-GB"/>
        </w:rPr>
        <w:t>attract</w:t>
      </w:r>
      <w:r w:rsidR="005F53C5" w:rsidRPr="000F57AA">
        <w:rPr>
          <w:rFonts w:ascii="Times New Roman" w:eastAsia="Times New Roman" w:hAnsi="Times New Roman"/>
          <w:sz w:val="24"/>
          <w:szCs w:val="24"/>
          <w:lang w:eastAsia="en-GB"/>
        </w:rPr>
        <w:t>ing</w:t>
      </w:r>
      <w:r w:rsidR="00DF7F21" w:rsidRPr="000F57AA">
        <w:rPr>
          <w:rFonts w:ascii="Times New Roman" w:eastAsia="Times New Roman" w:hAnsi="Times New Roman"/>
          <w:sz w:val="24"/>
          <w:szCs w:val="24"/>
          <w:lang w:eastAsia="en-GB"/>
        </w:rPr>
        <w:t xml:space="preserve"> new </w:t>
      </w:r>
      <w:r w:rsidR="005F53C5" w:rsidRPr="000F57AA">
        <w:rPr>
          <w:rFonts w:ascii="Times New Roman" w:eastAsia="Times New Roman" w:hAnsi="Times New Roman"/>
          <w:sz w:val="24"/>
          <w:szCs w:val="24"/>
          <w:lang w:eastAsia="en-GB"/>
        </w:rPr>
        <w:t xml:space="preserve">skilled </w:t>
      </w:r>
      <w:r w:rsidR="00DF7F21" w:rsidRPr="000F57AA">
        <w:rPr>
          <w:rFonts w:ascii="Times New Roman" w:eastAsia="Times New Roman" w:hAnsi="Times New Roman"/>
          <w:sz w:val="24"/>
          <w:szCs w:val="24"/>
          <w:lang w:eastAsia="en-GB"/>
        </w:rPr>
        <w:t xml:space="preserve">employees to the organisation and retain them (Cable and Turban, 2003; Turkey 2009). </w:t>
      </w:r>
      <w:r w:rsidR="00202147" w:rsidRPr="000F57AA">
        <w:rPr>
          <w:rFonts w:ascii="Times New Roman" w:eastAsia="Times New Roman" w:hAnsi="Times New Roman"/>
          <w:sz w:val="24"/>
          <w:szCs w:val="24"/>
          <w:lang w:eastAsia="en-GB"/>
        </w:rPr>
        <w:t xml:space="preserve">One of the stated </w:t>
      </w:r>
      <w:r w:rsidR="00202147" w:rsidRPr="000F57AA">
        <w:rPr>
          <w:rFonts w:ascii="Times New Roman" w:eastAsia="Times New Roman" w:hAnsi="Times New Roman"/>
          <w:sz w:val="24"/>
          <w:szCs w:val="24"/>
          <w:lang w:eastAsia="en-GB"/>
        </w:rPr>
        <w:lastRenderedPageBreak/>
        <w:t>objectives of the local content agreement on employment between NGGL and the mining community was that NGGL would create job opportunities for local members</w:t>
      </w:r>
      <w:r w:rsidR="005F53C5" w:rsidRPr="000F57AA">
        <w:rPr>
          <w:rFonts w:ascii="Times New Roman" w:eastAsia="Times New Roman" w:hAnsi="Times New Roman"/>
          <w:sz w:val="24"/>
          <w:szCs w:val="24"/>
          <w:lang w:eastAsia="en-GB"/>
        </w:rPr>
        <w:t xml:space="preserve">. Respondents in </w:t>
      </w:r>
      <w:r w:rsidR="00DF7F21" w:rsidRPr="000F57AA">
        <w:rPr>
          <w:rFonts w:ascii="Times New Roman" w:eastAsia="Times New Roman" w:hAnsi="Times New Roman"/>
          <w:sz w:val="24"/>
          <w:szCs w:val="24"/>
          <w:lang w:eastAsia="en-GB"/>
        </w:rPr>
        <w:t>our survey also attributed NGGL’s motivation for CSR in their community to attract and retain competent and skill labour.</w:t>
      </w:r>
      <w:r w:rsidR="00D16814" w:rsidRPr="000F57AA">
        <w:rPr>
          <w:rFonts w:ascii="Times New Roman" w:eastAsia="Times New Roman" w:hAnsi="Times New Roman"/>
          <w:sz w:val="24"/>
          <w:szCs w:val="24"/>
          <w:lang w:eastAsia="en-GB"/>
        </w:rPr>
        <w:t xml:space="preserve"> </w:t>
      </w:r>
      <w:r w:rsidR="00DF7F21" w:rsidRPr="000F57AA">
        <w:rPr>
          <w:rFonts w:ascii="Times New Roman" w:eastAsia="Times New Roman" w:hAnsi="Times New Roman"/>
          <w:sz w:val="24"/>
          <w:szCs w:val="24"/>
          <w:lang w:eastAsia="en-GB"/>
        </w:rPr>
        <w:t xml:space="preserve"> </w:t>
      </w:r>
    </w:p>
    <w:p w14:paraId="062E56FB" w14:textId="23107671" w:rsidR="007F5903" w:rsidRPr="000F57AA" w:rsidRDefault="007F5903" w:rsidP="00C668B1">
      <w:pPr>
        <w:pStyle w:val="NoteLevel11"/>
        <w:numPr>
          <w:ilvl w:val="0"/>
          <w:numId w:val="0"/>
        </w:numPr>
        <w:spacing w:line="480" w:lineRule="auto"/>
        <w:ind w:left="720"/>
        <w:rPr>
          <w:rFonts w:ascii="Times New Roman" w:eastAsia="Times New Roman" w:hAnsi="Times New Roman"/>
          <w:sz w:val="24"/>
          <w:szCs w:val="24"/>
          <w:lang w:eastAsia="en-GB"/>
        </w:rPr>
      </w:pPr>
    </w:p>
    <w:p w14:paraId="3ACB9960" w14:textId="77777777" w:rsidR="007F5903" w:rsidRPr="000F57AA" w:rsidRDefault="007F5903" w:rsidP="007F5903">
      <w:pPr>
        <w:pStyle w:val="NoteLevel11"/>
        <w:numPr>
          <w:ilvl w:val="0"/>
          <w:numId w:val="0"/>
        </w:numPr>
        <w:spacing w:line="480" w:lineRule="auto"/>
        <w:rPr>
          <w:rFonts w:ascii="Times New Roman" w:eastAsia="Times New Roman" w:hAnsi="Times New Roman"/>
          <w:b/>
          <w:sz w:val="24"/>
          <w:szCs w:val="24"/>
          <w:lang w:eastAsia="en-GB"/>
        </w:rPr>
      </w:pPr>
      <w:r w:rsidRPr="000F57AA">
        <w:rPr>
          <w:rFonts w:ascii="Times New Roman" w:eastAsia="Times New Roman" w:hAnsi="Times New Roman"/>
          <w:b/>
          <w:sz w:val="24"/>
          <w:szCs w:val="24"/>
          <w:lang w:eastAsia="en-GB"/>
        </w:rPr>
        <w:t xml:space="preserve">5.3 Localization of CSR and legitimisation of NGGL </w:t>
      </w:r>
    </w:p>
    <w:p w14:paraId="2FC7C893" w14:textId="3FE0FB10" w:rsidR="007F5903" w:rsidRPr="000F57AA" w:rsidRDefault="007F5903" w:rsidP="007F5903">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NGGL has clearly </w:t>
      </w:r>
      <w:r w:rsidR="00DB1930" w:rsidRPr="000F57AA">
        <w:rPr>
          <w:rFonts w:ascii="Times New Roman" w:eastAsia="Times New Roman" w:hAnsi="Times New Roman"/>
          <w:sz w:val="24"/>
          <w:szCs w:val="24"/>
          <w:lang w:eastAsia="en-GB"/>
        </w:rPr>
        <w:t xml:space="preserve">embraced a </w:t>
      </w:r>
      <w:r w:rsidRPr="000F57AA">
        <w:rPr>
          <w:rFonts w:ascii="Times New Roman" w:eastAsia="Times New Roman" w:hAnsi="Times New Roman"/>
          <w:sz w:val="24"/>
          <w:szCs w:val="24"/>
          <w:lang w:eastAsia="en-GB"/>
        </w:rPr>
        <w:t>localized approach to implement CSR initiatives</w:t>
      </w:r>
      <w:r w:rsidR="002C16FD" w:rsidRPr="000F57AA">
        <w:rPr>
          <w:rFonts w:ascii="Times New Roman" w:eastAsia="Times New Roman" w:hAnsi="Times New Roman"/>
          <w:sz w:val="24"/>
          <w:szCs w:val="24"/>
          <w:lang w:eastAsia="en-GB"/>
        </w:rPr>
        <w:t xml:space="preserve"> in </w:t>
      </w:r>
      <w:r w:rsidR="002846AE" w:rsidRPr="000F57AA">
        <w:rPr>
          <w:rFonts w:ascii="Times New Roman" w:eastAsia="Times New Roman" w:hAnsi="Times New Roman"/>
          <w:sz w:val="24"/>
          <w:szCs w:val="24"/>
          <w:lang w:eastAsia="en-GB"/>
        </w:rPr>
        <w:t xml:space="preserve">the </w:t>
      </w:r>
      <w:r w:rsidR="002C16FD" w:rsidRPr="000F57AA">
        <w:rPr>
          <w:rFonts w:ascii="Times New Roman" w:eastAsia="Times New Roman" w:hAnsi="Times New Roman"/>
          <w:sz w:val="24"/>
          <w:szCs w:val="24"/>
          <w:lang w:eastAsia="en-GB"/>
        </w:rPr>
        <w:t>Brong-Ahafo region in Ghana</w:t>
      </w:r>
      <w:r w:rsidRPr="000F57AA">
        <w:rPr>
          <w:rFonts w:ascii="Times New Roman" w:eastAsia="Times New Roman" w:hAnsi="Times New Roman"/>
          <w:sz w:val="24"/>
          <w:szCs w:val="24"/>
          <w:lang w:eastAsia="en-GB"/>
        </w:rPr>
        <w:t>. Consequently, we note that, the company enjoys a positive image amongst the members of the community.  Members of the local community acknowledge that the relationship between the local community and NGGL is that of ‘partners in development’ – an identity that NGGL has attempted to foster</w:t>
      </w:r>
      <w:r w:rsidR="002C16FD" w:rsidRPr="000F57AA">
        <w:rPr>
          <w:rFonts w:ascii="Times New Roman" w:eastAsia="Times New Roman" w:hAnsi="Times New Roman"/>
          <w:sz w:val="24"/>
          <w:szCs w:val="24"/>
          <w:lang w:eastAsia="en-GB"/>
        </w:rPr>
        <w:t xml:space="preserve"> in its host environment</w:t>
      </w:r>
      <w:r w:rsidRPr="000F57AA">
        <w:rPr>
          <w:rFonts w:ascii="Times New Roman" w:eastAsia="Times New Roman" w:hAnsi="Times New Roman"/>
          <w:sz w:val="24"/>
          <w:szCs w:val="24"/>
          <w:lang w:eastAsia="en-GB"/>
        </w:rPr>
        <w:t>. The comments from a Youth Leader capture this view:</w:t>
      </w:r>
    </w:p>
    <w:p w14:paraId="1E667AEF" w14:textId="77777777" w:rsidR="007F5903" w:rsidRPr="000F57AA" w:rsidRDefault="007F5903" w:rsidP="007F5903">
      <w:pPr>
        <w:spacing w:after="0" w:line="480" w:lineRule="auto"/>
        <w:ind w:left="720"/>
        <w:rPr>
          <w:rFonts w:ascii="Times New Roman" w:eastAsia="Times New Roman" w:hAnsi="Times New Roman" w:cs="Times New Roman"/>
          <w:i/>
          <w:sz w:val="24"/>
          <w:szCs w:val="24"/>
          <w:lang w:eastAsia="en-GB"/>
        </w:rPr>
      </w:pPr>
      <w:r w:rsidRPr="000F57AA">
        <w:rPr>
          <w:rFonts w:ascii="Times New Roman" w:eastAsia="Times New Roman" w:hAnsi="Times New Roman" w:cs="Times New Roman"/>
          <w:i/>
          <w:sz w:val="24"/>
          <w:szCs w:val="24"/>
          <w:lang w:eastAsia="en-GB"/>
        </w:rPr>
        <w:t>“NGGL sees the communities as development partners. They want to share their profit with us. I know they pay huge taxes and royalties and that local and central governments were supposed to initiate these projects. These are voluntary services they are rendering to the communities.”</w:t>
      </w:r>
    </w:p>
    <w:p w14:paraId="5C86D9E5" w14:textId="77777777" w:rsidR="007F5903" w:rsidRPr="000F57AA" w:rsidRDefault="007F5903" w:rsidP="007F5903">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lastRenderedPageBreak/>
        <w:t xml:space="preserve">A similar view was also expressed by one of the Traditional Leaders: </w:t>
      </w:r>
    </w:p>
    <w:p w14:paraId="3C621370" w14:textId="77777777" w:rsidR="007F5903" w:rsidRPr="000F57AA" w:rsidRDefault="007F5903" w:rsidP="007F5903">
      <w:pPr>
        <w:spacing w:after="0" w:line="480" w:lineRule="auto"/>
        <w:ind w:left="720"/>
        <w:rPr>
          <w:rFonts w:ascii="Times New Roman" w:eastAsia="Times New Roman" w:hAnsi="Times New Roman" w:cs="Times New Roman"/>
          <w:i/>
          <w:sz w:val="24"/>
          <w:szCs w:val="24"/>
          <w:lang w:eastAsia="en-GB"/>
        </w:rPr>
      </w:pPr>
      <w:r w:rsidRPr="000F57AA">
        <w:rPr>
          <w:rFonts w:ascii="Times New Roman" w:eastAsia="Times New Roman" w:hAnsi="Times New Roman" w:cs="Times New Roman"/>
          <w:i/>
          <w:sz w:val="24"/>
          <w:szCs w:val="24"/>
          <w:lang w:eastAsia="en-GB"/>
        </w:rPr>
        <w:t xml:space="preserve">“I think they want to impress the public as a company that cares for the community. I belief they have succeeded in achieving this as many people come from all the corners of Ghana to look for jobs here. It appears they enjoy favourable reputation among the local people because their workers are highly respected by our people”. </w:t>
      </w:r>
    </w:p>
    <w:p w14:paraId="58019CD6" w14:textId="3A53DEF3" w:rsidR="007F5903" w:rsidRPr="000F57AA" w:rsidRDefault="00EB0389" w:rsidP="00112108">
      <w:pPr>
        <w:spacing w:after="0" w:line="480" w:lineRule="auto"/>
        <w:rPr>
          <w:rFonts w:ascii="Times New Roman" w:eastAsia="Times New Roman" w:hAnsi="Times New Roman" w:cs="Times New Roman"/>
          <w:sz w:val="24"/>
          <w:szCs w:val="24"/>
          <w:lang w:eastAsia="en-GB"/>
        </w:rPr>
      </w:pPr>
      <w:r w:rsidRPr="000F57AA">
        <w:rPr>
          <w:rFonts w:ascii="Times New Roman" w:eastAsia="Times New Roman" w:hAnsi="Times New Roman" w:cs="Times New Roman"/>
          <w:sz w:val="24"/>
          <w:szCs w:val="24"/>
          <w:lang w:eastAsia="en-GB"/>
        </w:rPr>
        <w:t xml:space="preserve">Creation of a host friendly identity inevitably entails acceptance by the local members as being community friendly. </w:t>
      </w:r>
      <w:r w:rsidR="002C16FD" w:rsidRPr="000F57AA">
        <w:rPr>
          <w:rFonts w:ascii="Times New Roman" w:eastAsia="Times New Roman" w:hAnsi="Times New Roman" w:cs="Times New Roman"/>
          <w:sz w:val="24"/>
          <w:szCs w:val="24"/>
          <w:lang w:eastAsia="en-GB"/>
        </w:rPr>
        <w:t xml:space="preserve"> </w:t>
      </w:r>
      <w:r w:rsidRPr="000F57AA">
        <w:rPr>
          <w:rFonts w:ascii="Times New Roman" w:eastAsia="Times New Roman" w:hAnsi="Times New Roman" w:cs="Times New Roman"/>
          <w:sz w:val="24"/>
          <w:szCs w:val="24"/>
          <w:lang w:eastAsia="en-GB"/>
        </w:rPr>
        <w:t>These positive assertions about NGGL demonstrate</w:t>
      </w:r>
      <w:r w:rsidR="00DB1930" w:rsidRPr="000F57AA">
        <w:rPr>
          <w:rFonts w:ascii="Times New Roman" w:eastAsia="Times New Roman" w:hAnsi="Times New Roman" w:cs="Times New Roman"/>
          <w:sz w:val="24"/>
          <w:szCs w:val="24"/>
          <w:lang w:eastAsia="en-GB"/>
        </w:rPr>
        <w:t xml:space="preserve"> </w:t>
      </w:r>
      <w:r w:rsidRPr="000F57AA">
        <w:rPr>
          <w:rFonts w:ascii="Times New Roman" w:eastAsia="Times New Roman" w:hAnsi="Times New Roman" w:cs="Times New Roman"/>
          <w:sz w:val="24"/>
          <w:szCs w:val="24"/>
          <w:lang w:eastAsia="en-GB"/>
        </w:rPr>
        <w:t>how NGGL</w:t>
      </w:r>
      <w:r w:rsidR="00DB1930" w:rsidRPr="000F57AA">
        <w:rPr>
          <w:rFonts w:ascii="Times New Roman" w:eastAsia="Times New Roman" w:hAnsi="Times New Roman" w:cs="Times New Roman"/>
          <w:sz w:val="24"/>
          <w:szCs w:val="24"/>
          <w:lang w:eastAsia="en-GB"/>
        </w:rPr>
        <w:t xml:space="preserve">, in Ghana has been accepted within the local community. </w:t>
      </w:r>
      <w:r w:rsidR="007F5903" w:rsidRPr="000F57AA">
        <w:rPr>
          <w:rFonts w:ascii="Times New Roman" w:eastAsia="Times New Roman" w:hAnsi="Times New Roman" w:cs="Times New Roman"/>
          <w:sz w:val="24"/>
          <w:szCs w:val="24"/>
          <w:lang w:eastAsia="en-GB"/>
        </w:rPr>
        <w:t>Apart from sharing profits and investing in infrastructure, housing, schooling and providing training and scholarships to school going children, NGGL also maintains its identity (and in the process, reinforces it) as a part and parcel of the local community. This is exhibited in the comments by another management employee:</w:t>
      </w:r>
    </w:p>
    <w:p w14:paraId="50EAA046" w14:textId="77777777" w:rsidR="007F5903" w:rsidRPr="000F57AA" w:rsidRDefault="007F5903" w:rsidP="007F5903">
      <w:pPr>
        <w:pStyle w:val="NoteLevel11"/>
        <w:spacing w:line="480" w:lineRule="auto"/>
        <w:ind w:left="720"/>
        <w:rPr>
          <w:rFonts w:ascii="Times New Roman" w:hAnsi="Times New Roman"/>
          <w:b/>
          <w:i/>
          <w:sz w:val="24"/>
          <w:szCs w:val="24"/>
          <w:lang w:val="en-US"/>
        </w:rPr>
      </w:pPr>
      <w:r w:rsidRPr="000F57AA">
        <w:rPr>
          <w:rFonts w:ascii="Times New Roman" w:hAnsi="Times New Roman"/>
          <w:b/>
          <w:i/>
          <w:sz w:val="24"/>
          <w:szCs w:val="24"/>
          <w:lang w:val="en-US"/>
        </w:rPr>
        <w:t>“</w:t>
      </w:r>
      <w:r w:rsidRPr="000F57AA">
        <w:rPr>
          <w:rFonts w:ascii="Times New Roman" w:eastAsia="Times New Roman" w:hAnsi="Times New Roman"/>
          <w:i/>
          <w:sz w:val="24"/>
          <w:szCs w:val="24"/>
          <w:lang w:eastAsia="en-GB"/>
        </w:rPr>
        <w:t xml:space="preserve">Our office is opened to the public. We receive letters and sometimes, petitions from interest groups. We have Information Centres in all the Communities where members can lodge complaints and receive answers to their questions. Most of the staff manning these </w:t>
      </w:r>
      <w:r w:rsidRPr="000F57AA">
        <w:rPr>
          <w:rFonts w:ascii="Times New Roman" w:eastAsia="Times New Roman" w:hAnsi="Times New Roman"/>
          <w:i/>
          <w:sz w:val="24"/>
          <w:szCs w:val="24"/>
          <w:lang w:eastAsia="en-GB"/>
        </w:rPr>
        <w:lastRenderedPageBreak/>
        <w:t>Centres are locals, trained by the company. We act promptly to all requests because we aim at building a relationship of trust”,</w:t>
      </w:r>
    </w:p>
    <w:p w14:paraId="541371CC" w14:textId="491A9FCD" w:rsidR="007F5903" w:rsidRPr="000F57AA" w:rsidRDefault="007F5903" w:rsidP="007F5903">
      <w:pPr>
        <w:spacing w:after="0" w:line="480" w:lineRule="auto"/>
        <w:ind w:firstLine="720"/>
        <w:rPr>
          <w:rFonts w:ascii="Times New Roman" w:eastAsia="Times New Roman" w:hAnsi="Times New Roman" w:cs="Times New Roman"/>
          <w:sz w:val="24"/>
          <w:szCs w:val="24"/>
          <w:lang w:eastAsia="en-GB"/>
        </w:rPr>
      </w:pPr>
      <w:r w:rsidRPr="000F57AA">
        <w:rPr>
          <w:rFonts w:ascii="Times New Roman" w:eastAsia="Times New Roman" w:hAnsi="Times New Roman" w:cs="Times New Roman"/>
          <w:sz w:val="24"/>
          <w:szCs w:val="24"/>
          <w:lang w:eastAsia="en-GB"/>
        </w:rPr>
        <w:t xml:space="preserve">Responding quick to concerns and complaints helps in the building of cordial relationship between NGGL and the </w:t>
      </w:r>
      <w:r w:rsidR="003C0322" w:rsidRPr="000F57AA">
        <w:rPr>
          <w:rFonts w:ascii="Times New Roman" w:eastAsia="Times New Roman" w:hAnsi="Times New Roman" w:cs="Times New Roman"/>
          <w:sz w:val="24"/>
          <w:szCs w:val="24"/>
          <w:lang w:eastAsia="en-GB"/>
        </w:rPr>
        <w:t xml:space="preserve">local </w:t>
      </w:r>
      <w:r w:rsidRPr="000F57AA">
        <w:rPr>
          <w:rFonts w:ascii="Times New Roman" w:eastAsia="Times New Roman" w:hAnsi="Times New Roman" w:cs="Times New Roman"/>
          <w:sz w:val="24"/>
          <w:szCs w:val="24"/>
          <w:lang w:eastAsia="en-GB"/>
        </w:rPr>
        <w:t xml:space="preserve">community. NGGL has also been extremely cautious in adhering to the culture and traditions of the region and did not alter the social structure. The interaction with the Traditional Leaders highlights that they do not view their role to have been diminished after commencement of mining operations by the company. In fact, there is greater recognition that through NADeF, NGGL has effectively accommodated members of different stakeholders. </w:t>
      </w:r>
    </w:p>
    <w:p w14:paraId="09018D2F" w14:textId="77777777" w:rsidR="007F5903" w:rsidRPr="000F57AA" w:rsidRDefault="007F5903" w:rsidP="007F5903">
      <w:pPr>
        <w:spacing w:after="0" w:line="480" w:lineRule="auto"/>
        <w:rPr>
          <w:rFonts w:ascii="Times New Roman" w:eastAsia="Times New Roman" w:hAnsi="Times New Roman" w:cs="Times New Roman"/>
          <w:sz w:val="24"/>
          <w:szCs w:val="24"/>
          <w:lang w:eastAsia="en-GB"/>
        </w:rPr>
      </w:pPr>
    </w:p>
    <w:p w14:paraId="1B91F109" w14:textId="77777777" w:rsidR="007F5903" w:rsidRPr="000F57AA" w:rsidRDefault="007F5903" w:rsidP="007F5903">
      <w:pPr>
        <w:pStyle w:val="NoteLevel11"/>
        <w:numPr>
          <w:ilvl w:val="0"/>
          <w:numId w:val="0"/>
        </w:numPr>
        <w:spacing w:line="480" w:lineRule="auto"/>
        <w:rPr>
          <w:rFonts w:ascii="Times New Roman" w:eastAsia="Times New Roman" w:hAnsi="Times New Roman"/>
          <w:b/>
          <w:sz w:val="24"/>
          <w:szCs w:val="24"/>
          <w:lang w:eastAsia="en-GB"/>
        </w:rPr>
      </w:pPr>
      <w:r w:rsidRPr="000F57AA">
        <w:rPr>
          <w:rFonts w:ascii="Times New Roman" w:eastAsia="Times New Roman" w:hAnsi="Times New Roman"/>
          <w:b/>
          <w:sz w:val="24"/>
          <w:szCs w:val="24"/>
          <w:lang w:eastAsia="en-GB"/>
        </w:rPr>
        <w:t>6. Conclusion</w:t>
      </w:r>
    </w:p>
    <w:p w14:paraId="096C87A8" w14:textId="35F053F4" w:rsidR="003301B3" w:rsidRPr="000F57AA" w:rsidRDefault="00B40DE7" w:rsidP="00B75C89">
      <w:pPr>
        <w:pStyle w:val="NoteLevel11"/>
        <w:numPr>
          <w:ilvl w:val="0"/>
          <w:numId w:val="0"/>
        </w:numPr>
        <w:spacing w:line="480" w:lineRule="auto"/>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The purpose of this paper was to explore how MNEs use CSR as a mechanism to address issues relating to liability of foreignness. Extant literature on MNEs and internationalisation sensitise us to various socio-economic and political challenges firms face when they internationalise into culturally and institutionally unfamiliar territory. </w:t>
      </w:r>
      <w:r w:rsidR="00B32F27" w:rsidRPr="000F57AA">
        <w:rPr>
          <w:rFonts w:ascii="Times New Roman" w:eastAsia="Times New Roman" w:hAnsi="Times New Roman"/>
          <w:sz w:val="24"/>
          <w:szCs w:val="24"/>
          <w:lang w:eastAsia="en-GB"/>
        </w:rPr>
        <w:t xml:space="preserve">Although </w:t>
      </w:r>
      <w:r w:rsidRPr="000F57AA">
        <w:rPr>
          <w:rFonts w:ascii="Times New Roman" w:eastAsia="Times New Roman" w:hAnsi="Times New Roman"/>
          <w:sz w:val="24"/>
          <w:szCs w:val="24"/>
          <w:lang w:eastAsia="en-GB"/>
        </w:rPr>
        <w:t>burgeoning research on CSR emphasise</w:t>
      </w:r>
      <w:r w:rsidR="00B32F27" w:rsidRPr="000F57AA">
        <w:rPr>
          <w:rFonts w:ascii="Times New Roman" w:eastAsia="Times New Roman" w:hAnsi="Times New Roman"/>
          <w:sz w:val="24"/>
          <w:szCs w:val="24"/>
          <w:lang w:eastAsia="en-GB"/>
        </w:rPr>
        <w:t>s</w:t>
      </w:r>
      <w:r w:rsidRPr="000F57AA">
        <w:rPr>
          <w:rFonts w:ascii="Times New Roman" w:eastAsia="Times New Roman" w:hAnsi="Times New Roman"/>
          <w:sz w:val="24"/>
          <w:szCs w:val="24"/>
          <w:lang w:eastAsia="en-GB"/>
        </w:rPr>
        <w:t xml:space="preserve"> the significance of a fruitful relationship between the firm </w:t>
      </w:r>
      <w:r w:rsidR="005E1D4F" w:rsidRPr="000F57AA">
        <w:rPr>
          <w:rFonts w:ascii="Times New Roman" w:eastAsia="Times New Roman" w:hAnsi="Times New Roman"/>
          <w:sz w:val="24"/>
          <w:szCs w:val="24"/>
          <w:lang w:eastAsia="en-GB"/>
        </w:rPr>
        <w:t>and the</w:t>
      </w:r>
      <w:r w:rsidR="00B32F27" w:rsidRPr="000F57AA">
        <w:rPr>
          <w:rFonts w:ascii="Times New Roman" w:eastAsia="Times New Roman" w:hAnsi="Times New Roman"/>
          <w:sz w:val="24"/>
          <w:szCs w:val="24"/>
          <w:lang w:eastAsia="en-GB"/>
        </w:rPr>
        <w:t xml:space="preserve"> society it is embedded in (Matten and Moon, 2008), there are less evidence on how firms actually </w:t>
      </w:r>
      <w:r w:rsidR="005E06A9" w:rsidRPr="000F57AA">
        <w:rPr>
          <w:rFonts w:ascii="Times New Roman" w:eastAsia="Times New Roman" w:hAnsi="Times New Roman"/>
          <w:sz w:val="24"/>
          <w:szCs w:val="24"/>
          <w:lang w:eastAsia="en-GB"/>
        </w:rPr>
        <w:t>implement</w:t>
      </w:r>
      <w:r w:rsidR="00B32F27" w:rsidRPr="000F57AA">
        <w:rPr>
          <w:rFonts w:ascii="Times New Roman" w:eastAsia="Times New Roman" w:hAnsi="Times New Roman"/>
          <w:sz w:val="24"/>
          <w:szCs w:val="24"/>
          <w:lang w:eastAsia="en-GB"/>
        </w:rPr>
        <w:t xml:space="preserve"> </w:t>
      </w:r>
      <w:r w:rsidR="00B32F27" w:rsidRPr="000F57AA">
        <w:rPr>
          <w:rFonts w:ascii="Times New Roman" w:eastAsia="Times New Roman" w:hAnsi="Times New Roman"/>
          <w:sz w:val="24"/>
          <w:szCs w:val="24"/>
          <w:lang w:eastAsia="en-GB"/>
        </w:rPr>
        <w:lastRenderedPageBreak/>
        <w:t xml:space="preserve">their CSR strategies. In our paper we </w:t>
      </w:r>
      <w:r w:rsidR="005E06A9" w:rsidRPr="000F57AA">
        <w:rPr>
          <w:rFonts w:ascii="Times New Roman" w:eastAsia="Times New Roman" w:hAnsi="Times New Roman"/>
          <w:sz w:val="24"/>
          <w:szCs w:val="24"/>
          <w:lang w:eastAsia="en-GB"/>
        </w:rPr>
        <w:t>highlight how the NGGL, the subsidiary of Newmont Inc, a US based mining company works closely with NADeF to facilitate implementation of community development initiatives. NADeF is</w:t>
      </w:r>
      <w:r w:rsidR="00B32F27" w:rsidRPr="000F57AA">
        <w:rPr>
          <w:rFonts w:ascii="Times New Roman" w:eastAsia="Times New Roman" w:hAnsi="Times New Roman"/>
          <w:sz w:val="24"/>
          <w:szCs w:val="24"/>
          <w:lang w:eastAsia="en-GB"/>
        </w:rPr>
        <w:t xml:space="preserve"> a unique </w:t>
      </w:r>
      <w:r w:rsidR="005E06A9" w:rsidRPr="000F57AA">
        <w:rPr>
          <w:rFonts w:ascii="Times New Roman" w:eastAsia="Times New Roman" w:hAnsi="Times New Roman"/>
          <w:sz w:val="24"/>
          <w:szCs w:val="24"/>
          <w:lang w:eastAsia="en-GB"/>
        </w:rPr>
        <w:t xml:space="preserve">foundation that was created in 2008 as a result of community development agreement between ASRF, where all the 10 affected communities are represented and NGGL. </w:t>
      </w:r>
    </w:p>
    <w:p w14:paraId="3E8F97BE" w14:textId="453BE71E" w:rsidR="005E06A9" w:rsidRPr="000F57AA" w:rsidRDefault="005E06A9" w:rsidP="000F57AA">
      <w:pPr>
        <w:pStyle w:val="NoteLevel11"/>
        <w:numPr>
          <w:ilvl w:val="0"/>
          <w:numId w:val="0"/>
        </w:num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We observe that NADeF plays a </w:t>
      </w:r>
      <w:r w:rsidR="003301B3" w:rsidRPr="000F57AA">
        <w:rPr>
          <w:rFonts w:ascii="Times New Roman" w:eastAsia="Times New Roman" w:hAnsi="Times New Roman"/>
          <w:sz w:val="24"/>
          <w:szCs w:val="24"/>
          <w:lang w:eastAsia="en-GB"/>
        </w:rPr>
        <w:t xml:space="preserve">dual role in the sense that it represents the voices of the local communities and thus help facilitate interaction between the company and local communities. In this respect, it acts as platform for conflict resolution and in the process help in mitigating potential stakeholder related risks (Davis and Frank, 2014). NADeF also facilitates creation of a </w:t>
      </w:r>
      <w:r w:rsidRPr="000F57AA">
        <w:rPr>
          <w:rFonts w:ascii="Times New Roman" w:eastAsia="Times New Roman" w:hAnsi="Times New Roman"/>
          <w:sz w:val="24"/>
          <w:szCs w:val="24"/>
          <w:lang w:eastAsia="en-GB"/>
        </w:rPr>
        <w:t xml:space="preserve">friendly identity by Newmont inc in Ghana. </w:t>
      </w:r>
      <w:r w:rsidR="003301B3" w:rsidRPr="000F57AA">
        <w:rPr>
          <w:rFonts w:ascii="Times New Roman" w:eastAsia="Times New Roman" w:hAnsi="Times New Roman"/>
          <w:sz w:val="24"/>
          <w:szCs w:val="24"/>
          <w:lang w:eastAsia="en-GB"/>
        </w:rPr>
        <w:t>The financial contributions made the company in undertaking various community development initiatives are well acknowledged by the local people, which helps in enhancing reputation the firm. NADeF, in that sense also contributes in entrenching Newmont’s presence in the communities (</w:t>
      </w:r>
      <w:r w:rsidR="008851B9" w:rsidRPr="000F57AA">
        <w:rPr>
          <w:rFonts w:ascii="Times New Roman" w:eastAsia="Times New Roman" w:hAnsi="Times New Roman"/>
          <w:sz w:val="24"/>
          <w:szCs w:val="24"/>
          <w:lang w:eastAsia="en-GB"/>
        </w:rPr>
        <w:t>Munjal and Pereira, 2015)</w:t>
      </w:r>
      <w:r w:rsidR="00C81A3E" w:rsidRPr="000F57AA">
        <w:rPr>
          <w:rFonts w:ascii="Times New Roman" w:eastAsia="Times New Roman" w:hAnsi="Times New Roman"/>
          <w:sz w:val="24"/>
          <w:szCs w:val="24"/>
          <w:lang w:eastAsia="en-GB"/>
        </w:rPr>
        <w:t xml:space="preserve">, </w:t>
      </w:r>
      <w:r w:rsidR="00C81A3E" w:rsidRPr="000F57AA">
        <w:rPr>
          <w:rFonts w:ascii="Times New Roman" w:eastAsia="Times New Roman" w:hAnsi="Times New Roman"/>
          <w:sz w:val="24"/>
          <w:szCs w:val="24"/>
          <w:lang w:eastAsia="en-GB"/>
        </w:rPr>
        <w:lastRenderedPageBreak/>
        <w:t xml:space="preserve">which underpins the view of the parent company that its operation in Ghana presents significantly less social and political risks. </w:t>
      </w:r>
    </w:p>
    <w:p w14:paraId="76BFF560" w14:textId="77777777" w:rsidR="00EF03F0" w:rsidRPr="000F57AA" w:rsidRDefault="001A4552" w:rsidP="006A5A23">
      <w:p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Our </w:t>
      </w:r>
      <w:r w:rsidRPr="000F57AA">
        <w:rPr>
          <w:rFonts w:ascii="Times New Roman" w:eastAsia="Times New Roman" w:hAnsi="Times New Roman" w:cs="Times New Roman"/>
          <w:sz w:val="24"/>
          <w:szCs w:val="24"/>
          <w:lang w:eastAsia="en-GB"/>
        </w:rPr>
        <w:t xml:space="preserve">research suggests foundations, which are underpinned by community development agreements (World Bank, 2012), such as NADeF, could potentially play a direct role in facilitating that localization of MNEs in host countries. </w:t>
      </w:r>
      <w:r w:rsidR="00382B36" w:rsidRPr="000F57AA">
        <w:rPr>
          <w:rFonts w:ascii="Times New Roman" w:eastAsia="Times New Roman" w:hAnsi="Times New Roman" w:cs="Times New Roman"/>
          <w:sz w:val="24"/>
          <w:szCs w:val="24"/>
          <w:lang w:eastAsia="en-GB"/>
        </w:rPr>
        <w:t>C</w:t>
      </w:r>
      <w:r w:rsidR="0048777A" w:rsidRPr="000F57AA">
        <w:rPr>
          <w:rFonts w:ascii="Times New Roman" w:eastAsia="Times New Roman" w:hAnsi="Times New Roman" w:cs="Times New Roman"/>
          <w:sz w:val="24"/>
          <w:szCs w:val="24"/>
          <w:lang w:eastAsia="en-GB"/>
        </w:rPr>
        <w:t xml:space="preserve">ommunity development agreements have emerged over the few years, particularly in the extractive sector, as an approach to ensure sustainable development of affected communities. These in essence, provide the MNEs a ‘social licence to operate’ </w:t>
      </w:r>
      <w:r w:rsidR="00EF03F0" w:rsidRPr="000F57AA">
        <w:rPr>
          <w:rFonts w:ascii="Times New Roman" w:eastAsia="Times New Roman" w:hAnsi="Times New Roman" w:cs="Times New Roman"/>
          <w:sz w:val="24"/>
          <w:szCs w:val="24"/>
          <w:lang w:eastAsia="en-GB"/>
        </w:rPr>
        <w:t xml:space="preserve">based on continued support from the local communities </w:t>
      </w:r>
      <w:r w:rsidR="0048777A" w:rsidRPr="000F57AA">
        <w:rPr>
          <w:rFonts w:ascii="Times New Roman" w:eastAsia="Times New Roman" w:hAnsi="Times New Roman" w:cs="Times New Roman"/>
          <w:sz w:val="24"/>
          <w:szCs w:val="24"/>
          <w:lang w:eastAsia="en-GB"/>
        </w:rPr>
        <w:t>(Mayers, 2015)</w:t>
      </w:r>
      <w:r w:rsidR="00EF03F0" w:rsidRPr="000F57AA">
        <w:rPr>
          <w:rFonts w:ascii="Times New Roman" w:eastAsia="Times New Roman" w:hAnsi="Times New Roman" w:cs="Times New Roman"/>
          <w:sz w:val="24"/>
          <w:szCs w:val="24"/>
          <w:lang w:eastAsia="en-GB"/>
        </w:rPr>
        <w:t xml:space="preserve">. In this paper we find support to this assertion. </w:t>
      </w:r>
    </w:p>
    <w:p w14:paraId="7111E96D" w14:textId="19EEA106" w:rsidR="00EF03F0" w:rsidRPr="000F57AA" w:rsidRDefault="00EF03F0" w:rsidP="000F57AA">
      <w:pPr>
        <w:spacing w:line="480" w:lineRule="auto"/>
        <w:ind w:firstLine="720"/>
        <w:rPr>
          <w:rFonts w:ascii="Times New Roman" w:eastAsia="Times New Roman" w:hAnsi="Times New Roman"/>
          <w:sz w:val="24"/>
          <w:szCs w:val="24"/>
          <w:lang w:eastAsia="en-GB"/>
        </w:rPr>
      </w:pPr>
      <w:r w:rsidRPr="000F57AA">
        <w:rPr>
          <w:rFonts w:ascii="Times New Roman" w:eastAsia="Times New Roman" w:hAnsi="Times New Roman" w:cs="Times New Roman"/>
          <w:sz w:val="24"/>
          <w:szCs w:val="24"/>
          <w:lang w:eastAsia="en-GB"/>
        </w:rPr>
        <w:t>One of the major reasons attributed to failure of CSR is that it is conceptualised as a voluntary activity (</w:t>
      </w:r>
      <w:r w:rsidR="00652237" w:rsidRPr="000F57AA">
        <w:rPr>
          <w:rFonts w:ascii="Times New Roman" w:eastAsia="Times New Roman" w:hAnsi="Times New Roman" w:cs="Times New Roman"/>
          <w:sz w:val="24"/>
          <w:szCs w:val="24"/>
          <w:lang w:eastAsia="en-GB"/>
        </w:rPr>
        <w:t xml:space="preserve">Brammer et al., 2012). Although most MNEs in extractive industries have CSR strategies, they often struggle to implement them in host countries, particularly if the host countries are geographically, institutionally and politically </w:t>
      </w:r>
      <w:r w:rsidR="000A45C6" w:rsidRPr="000F57AA">
        <w:rPr>
          <w:rFonts w:ascii="Times New Roman" w:eastAsia="Times New Roman" w:hAnsi="Times New Roman" w:cs="Times New Roman"/>
          <w:sz w:val="24"/>
          <w:szCs w:val="24"/>
          <w:lang w:eastAsia="en-GB"/>
        </w:rPr>
        <w:t>‘</w:t>
      </w:r>
      <w:r w:rsidR="00652237" w:rsidRPr="000F57AA">
        <w:rPr>
          <w:rFonts w:ascii="Times New Roman" w:eastAsia="Times New Roman" w:hAnsi="Times New Roman" w:cs="Times New Roman"/>
          <w:sz w:val="24"/>
          <w:szCs w:val="24"/>
          <w:lang w:eastAsia="en-GB"/>
        </w:rPr>
        <w:t>afar</w:t>
      </w:r>
      <w:r w:rsidR="000A45C6" w:rsidRPr="000F57AA">
        <w:rPr>
          <w:rFonts w:ascii="Times New Roman" w:eastAsia="Times New Roman" w:hAnsi="Times New Roman" w:cs="Times New Roman"/>
          <w:sz w:val="24"/>
          <w:szCs w:val="24"/>
          <w:lang w:eastAsia="en-GB"/>
        </w:rPr>
        <w:t>’</w:t>
      </w:r>
      <w:r w:rsidR="00652237" w:rsidRPr="000F57AA">
        <w:rPr>
          <w:rFonts w:ascii="Times New Roman" w:eastAsia="Times New Roman" w:hAnsi="Times New Roman" w:cs="Times New Roman"/>
          <w:sz w:val="24"/>
          <w:szCs w:val="24"/>
          <w:lang w:eastAsia="en-GB"/>
        </w:rPr>
        <w:t xml:space="preserve"> (</w:t>
      </w:r>
      <w:r w:rsidR="000A45C6" w:rsidRPr="000F57AA">
        <w:rPr>
          <w:rFonts w:ascii="Times New Roman" w:eastAsia="Times New Roman" w:hAnsi="Times New Roman" w:cs="Times New Roman"/>
          <w:sz w:val="24"/>
          <w:szCs w:val="24"/>
          <w:lang w:eastAsia="en-GB"/>
        </w:rPr>
        <w:t>Munjal and T</w:t>
      </w:r>
      <w:r w:rsidR="00652237" w:rsidRPr="000F57AA">
        <w:rPr>
          <w:rFonts w:ascii="Times New Roman" w:eastAsia="Times New Roman" w:hAnsi="Times New Roman" w:cs="Times New Roman"/>
          <w:sz w:val="24"/>
          <w:szCs w:val="24"/>
          <w:lang w:eastAsia="en-GB"/>
        </w:rPr>
        <w:t xml:space="preserve">ripathy, </w:t>
      </w:r>
      <w:r w:rsidR="000A45C6" w:rsidRPr="000F57AA">
        <w:rPr>
          <w:rFonts w:ascii="Times New Roman" w:eastAsia="Times New Roman" w:hAnsi="Times New Roman" w:cs="Times New Roman"/>
          <w:sz w:val="24"/>
          <w:szCs w:val="24"/>
          <w:lang w:eastAsia="en-GB"/>
        </w:rPr>
        <w:t xml:space="preserve">2016). In this context, we find that NADeF has emerged as a platform for NGGL to fulfil its CSR </w:t>
      </w:r>
      <w:r w:rsidR="000A45C6" w:rsidRPr="000F57AA">
        <w:rPr>
          <w:rFonts w:ascii="Times New Roman" w:eastAsia="Times New Roman" w:hAnsi="Times New Roman" w:cs="Times New Roman"/>
          <w:sz w:val="24"/>
          <w:szCs w:val="24"/>
          <w:lang w:eastAsia="en-GB"/>
        </w:rPr>
        <w:lastRenderedPageBreak/>
        <w:t xml:space="preserve">commitments and in the process creates a host friendly identity and enhances its corporate reputation. </w:t>
      </w:r>
    </w:p>
    <w:p w14:paraId="38780718" w14:textId="77777777" w:rsidR="007F5903" w:rsidRPr="000F57AA" w:rsidRDefault="007F5903" w:rsidP="000F57AA">
      <w:pPr>
        <w:spacing w:line="480" w:lineRule="auto"/>
        <w:rPr>
          <w:rFonts w:ascii="Times New Roman" w:eastAsia="Times New Roman" w:hAnsi="Times New Roman"/>
          <w:sz w:val="24"/>
          <w:szCs w:val="24"/>
          <w:lang w:eastAsia="en-GB"/>
        </w:rPr>
      </w:pPr>
    </w:p>
    <w:p w14:paraId="45B54E35" w14:textId="4A408A12" w:rsidR="00EB1108" w:rsidRDefault="00EB1108" w:rsidP="007F5903">
      <w:pPr>
        <w:pStyle w:val="NoteLevel11"/>
        <w:numPr>
          <w:ilvl w:val="0"/>
          <w:numId w:val="0"/>
        </w:numPr>
        <w:rPr>
          <w:rFonts w:ascii="Times New Roman" w:eastAsia="Times New Roman" w:hAnsi="Times New Roman"/>
          <w:b/>
          <w:sz w:val="24"/>
          <w:szCs w:val="24"/>
          <w:lang w:eastAsia="en-GB"/>
        </w:rPr>
      </w:pPr>
    </w:p>
    <w:p w14:paraId="28FDBBCB" w14:textId="77777777" w:rsidR="0034287B" w:rsidRPr="000F57AA" w:rsidRDefault="0034287B" w:rsidP="007F5903">
      <w:pPr>
        <w:pStyle w:val="NoteLevel11"/>
        <w:numPr>
          <w:ilvl w:val="0"/>
          <w:numId w:val="0"/>
        </w:numPr>
        <w:rPr>
          <w:rFonts w:ascii="Times New Roman" w:eastAsia="Times New Roman" w:hAnsi="Times New Roman"/>
          <w:b/>
          <w:sz w:val="24"/>
          <w:szCs w:val="24"/>
          <w:lang w:eastAsia="en-GB"/>
        </w:rPr>
      </w:pPr>
    </w:p>
    <w:p w14:paraId="578621FE" w14:textId="77777777" w:rsidR="00EB1108" w:rsidRPr="000F57AA" w:rsidRDefault="00EB1108" w:rsidP="007F5903">
      <w:pPr>
        <w:pStyle w:val="NoteLevel11"/>
        <w:numPr>
          <w:ilvl w:val="0"/>
          <w:numId w:val="0"/>
        </w:numPr>
        <w:rPr>
          <w:rFonts w:ascii="Times New Roman" w:eastAsia="Times New Roman" w:hAnsi="Times New Roman"/>
          <w:b/>
          <w:sz w:val="24"/>
          <w:szCs w:val="24"/>
          <w:lang w:eastAsia="en-GB"/>
        </w:rPr>
      </w:pPr>
    </w:p>
    <w:p w14:paraId="4FD2E5D7" w14:textId="77777777" w:rsidR="00EB1108" w:rsidRPr="000F57AA" w:rsidRDefault="00EB1108" w:rsidP="007F5903">
      <w:pPr>
        <w:pStyle w:val="NoteLevel11"/>
        <w:numPr>
          <w:ilvl w:val="0"/>
          <w:numId w:val="0"/>
        </w:numPr>
        <w:rPr>
          <w:rFonts w:ascii="Times New Roman" w:eastAsia="Times New Roman" w:hAnsi="Times New Roman"/>
          <w:b/>
          <w:sz w:val="24"/>
          <w:szCs w:val="24"/>
          <w:lang w:eastAsia="en-GB"/>
        </w:rPr>
      </w:pPr>
    </w:p>
    <w:p w14:paraId="68C83767" w14:textId="55FB6394" w:rsidR="00EB1108" w:rsidRDefault="00EB1108" w:rsidP="007F5903">
      <w:pPr>
        <w:pStyle w:val="NoteLevel11"/>
        <w:numPr>
          <w:ilvl w:val="0"/>
          <w:numId w:val="0"/>
        </w:numPr>
        <w:rPr>
          <w:rFonts w:ascii="Times New Roman" w:eastAsia="Times New Roman" w:hAnsi="Times New Roman"/>
          <w:b/>
          <w:sz w:val="24"/>
          <w:szCs w:val="24"/>
          <w:lang w:eastAsia="en-GB"/>
        </w:rPr>
      </w:pPr>
    </w:p>
    <w:p w14:paraId="28280DAB" w14:textId="11C01F6E" w:rsidR="00067F3C" w:rsidRDefault="00067F3C" w:rsidP="007F5903">
      <w:pPr>
        <w:pStyle w:val="NoteLevel11"/>
        <w:numPr>
          <w:ilvl w:val="0"/>
          <w:numId w:val="0"/>
        </w:numPr>
        <w:rPr>
          <w:rFonts w:ascii="Times New Roman" w:eastAsia="Times New Roman" w:hAnsi="Times New Roman"/>
          <w:b/>
          <w:sz w:val="24"/>
          <w:szCs w:val="24"/>
          <w:lang w:eastAsia="en-GB"/>
        </w:rPr>
      </w:pPr>
    </w:p>
    <w:p w14:paraId="12827D4E" w14:textId="0293DDE0" w:rsidR="00067F3C" w:rsidRDefault="00067F3C" w:rsidP="007F5903">
      <w:pPr>
        <w:pStyle w:val="NoteLevel11"/>
        <w:numPr>
          <w:ilvl w:val="0"/>
          <w:numId w:val="0"/>
        </w:numPr>
        <w:rPr>
          <w:rFonts w:ascii="Times New Roman" w:eastAsia="Times New Roman" w:hAnsi="Times New Roman"/>
          <w:b/>
          <w:sz w:val="24"/>
          <w:szCs w:val="24"/>
          <w:lang w:eastAsia="en-GB"/>
        </w:rPr>
      </w:pPr>
    </w:p>
    <w:p w14:paraId="7DB38A07" w14:textId="14E8674E" w:rsidR="00067F3C" w:rsidRDefault="00067F3C" w:rsidP="007F5903">
      <w:pPr>
        <w:pStyle w:val="NoteLevel11"/>
        <w:numPr>
          <w:ilvl w:val="0"/>
          <w:numId w:val="0"/>
        </w:numPr>
        <w:rPr>
          <w:rFonts w:ascii="Times New Roman" w:eastAsia="Times New Roman" w:hAnsi="Times New Roman"/>
          <w:b/>
          <w:sz w:val="24"/>
          <w:szCs w:val="24"/>
          <w:lang w:eastAsia="en-GB"/>
        </w:rPr>
      </w:pPr>
    </w:p>
    <w:p w14:paraId="32CFCCA4" w14:textId="77777777" w:rsidR="00067F3C" w:rsidRPr="000F57AA" w:rsidRDefault="00067F3C" w:rsidP="007F5903">
      <w:pPr>
        <w:pStyle w:val="NoteLevel11"/>
        <w:numPr>
          <w:ilvl w:val="0"/>
          <w:numId w:val="0"/>
        </w:numPr>
        <w:rPr>
          <w:rFonts w:ascii="Times New Roman" w:eastAsia="Times New Roman" w:hAnsi="Times New Roman"/>
          <w:b/>
          <w:sz w:val="24"/>
          <w:szCs w:val="24"/>
          <w:lang w:eastAsia="en-GB"/>
        </w:rPr>
      </w:pPr>
    </w:p>
    <w:p w14:paraId="551C8640" w14:textId="329ADAF6" w:rsidR="006E5B7B" w:rsidRDefault="006E5B7B" w:rsidP="00EB1108">
      <w:pPr>
        <w:spacing w:line="480" w:lineRule="auto"/>
        <w:rPr>
          <w:rStyle w:val="Hyperlink"/>
          <w:rFonts w:ascii="Times New Roman" w:eastAsia="Times New Roman" w:hAnsi="Times New Roman" w:cs="Times New Roman"/>
          <w:b/>
          <w:color w:val="auto"/>
          <w:sz w:val="24"/>
          <w:szCs w:val="24"/>
          <w:lang w:eastAsia="en-GB"/>
        </w:rPr>
      </w:pPr>
    </w:p>
    <w:p w14:paraId="79CED772" w14:textId="17B64E2F" w:rsidR="00067F3C" w:rsidRDefault="00067F3C" w:rsidP="00EB1108">
      <w:pPr>
        <w:spacing w:line="480" w:lineRule="auto"/>
        <w:rPr>
          <w:rStyle w:val="Hyperlink"/>
          <w:rFonts w:ascii="Times New Roman" w:eastAsia="Times New Roman" w:hAnsi="Times New Roman" w:cs="Times New Roman"/>
          <w:b/>
          <w:color w:val="auto"/>
          <w:sz w:val="24"/>
          <w:szCs w:val="24"/>
          <w:lang w:eastAsia="en-GB"/>
        </w:rPr>
      </w:pPr>
    </w:p>
    <w:p w14:paraId="28C3F789" w14:textId="7DAC80D7" w:rsidR="00067F3C" w:rsidRDefault="00067F3C" w:rsidP="00EB1108">
      <w:pPr>
        <w:spacing w:line="480" w:lineRule="auto"/>
        <w:rPr>
          <w:rStyle w:val="Hyperlink"/>
          <w:rFonts w:ascii="Times New Roman" w:eastAsia="Times New Roman" w:hAnsi="Times New Roman" w:cs="Times New Roman"/>
          <w:b/>
          <w:color w:val="auto"/>
          <w:sz w:val="24"/>
          <w:szCs w:val="24"/>
          <w:lang w:eastAsia="en-GB"/>
        </w:rPr>
      </w:pPr>
    </w:p>
    <w:p w14:paraId="5DD7BD1A" w14:textId="77777777" w:rsidR="00067F3C" w:rsidRPr="000F57AA" w:rsidRDefault="00067F3C" w:rsidP="00EB1108">
      <w:pPr>
        <w:spacing w:line="480" w:lineRule="auto"/>
        <w:rPr>
          <w:rStyle w:val="Hyperlink"/>
          <w:rFonts w:ascii="Times New Roman" w:eastAsia="Times New Roman" w:hAnsi="Times New Roman" w:cs="Times New Roman"/>
          <w:b/>
          <w:color w:val="auto"/>
          <w:sz w:val="24"/>
          <w:szCs w:val="24"/>
          <w:lang w:eastAsia="en-GB"/>
        </w:rPr>
      </w:pPr>
    </w:p>
    <w:p w14:paraId="2DD2D15D" w14:textId="77777777" w:rsidR="00EB1108" w:rsidRPr="000F57AA" w:rsidRDefault="00EB1108" w:rsidP="00EB1108">
      <w:pPr>
        <w:spacing w:line="480" w:lineRule="auto"/>
        <w:rPr>
          <w:rFonts w:ascii="Times New Roman" w:hAnsi="Times New Roman" w:cs="Times New Roman"/>
          <w:b/>
          <w:noProof/>
          <w:sz w:val="24"/>
          <w:szCs w:val="24"/>
        </w:rPr>
      </w:pPr>
      <w:r w:rsidRPr="000F57AA">
        <w:rPr>
          <w:rStyle w:val="Hyperlink"/>
          <w:rFonts w:ascii="Times New Roman" w:eastAsia="Times New Roman" w:hAnsi="Times New Roman" w:cs="Times New Roman"/>
          <w:b/>
          <w:color w:val="auto"/>
          <w:sz w:val="24"/>
          <w:szCs w:val="24"/>
          <w:lang w:eastAsia="en-GB"/>
        </w:rPr>
        <w:t xml:space="preserve">References </w:t>
      </w:r>
    </w:p>
    <w:p w14:paraId="0BB6AD43" w14:textId="5A425C3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lastRenderedPageBreak/>
        <w:t>Akabzaa, T. (2009) Ghana section of “Breaking the cur</w:t>
      </w:r>
      <w:r w:rsidR="00067F3C">
        <w:rPr>
          <w:rFonts w:ascii="Times New Roman" w:hAnsi="Times New Roman" w:cs="Times New Roman"/>
          <w:noProof/>
          <w:sz w:val="24"/>
          <w:szCs w:val="24"/>
        </w:rPr>
        <w:t xml:space="preserve">se” report, Accra: Third World </w:t>
      </w:r>
      <w:r w:rsidRPr="000F57AA">
        <w:rPr>
          <w:rFonts w:ascii="Times New Roman" w:hAnsi="Times New Roman" w:cs="Times New Roman"/>
          <w:noProof/>
          <w:sz w:val="24"/>
          <w:szCs w:val="24"/>
        </w:rPr>
        <w:t>Network, Africa Publication.</w:t>
      </w:r>
    </w:p>
    <w:p w14:paraId="7A2199F6" w14:textId="3DA972DC" w:rsidR="00EB1108" w:rsidRPr="000F57AA" w:rsidRDefault="00EB1108" w:rsidP="00EB1108">
      <w:pPr>
        <w:pStyle w:val="NoteLevel11"/>
        <w:numPr>
          <w:ilvl w:val="0"/>
          <w:numId w:val="0"/>
        </w:numPr>
        <w:spacing w:line="480" w:lineRule="auto"/>
        <w:ind w:left="360"/>
        <w:rPr>
          <w:rStyle w:val="Hyperlink"/>
          <w:rFonts w:ascii="Times New Roman" w:eastAsia="Times New Roman" w:hAnsi="Times New Roman"/>
          <w:color w:val="auto"/>
          <w:sz w:val="24"/>
          <w:szCs w:val="24"/>
          <w:lang w:eastAsia="en-GB"/>
        </w:rPr>
      </w:pPr>
      <w:r w:rsidRPr="000F57AA">
        <w:rPr>
          <w:rFonts w:ascii="Times New Roman" w:hAnsi="Times New Roman"/>
          <w:sz w:val="24"/>
          <w:szCs w:val="24"/>
        </w:rPr>
        <w:t xml:space="preserve">AngloGold Ashanti, (2016). </w:t>
      </w:r>
      <w:r w:rsidRPr="000F57AA">
        <w:rPr>
          <w:rFonts w:ascii="Times New Roman" w:eastAsia="Times New Roman" w:hAnsi="Times New Roman"/>
          <w:sz w:val="24"/>
          <w:szCs w:val="24"/>
          <w:lang w:eastAsia="en-GB"/>
        </w:rPr>
        <w:t xml:space="preserve">Sustainability development report, available at: </w:t>
      </w:r>
      <w:hyperlink r:id="rId8" w:history="1">
        <w:r w:rsidRPr="000F57AA">
          <w:rPr>
            <w:rStyle w:val="Hyperlink"/>
            <w:rFonts w:ascii="Times New Roman" w:eastAsia="Times New Roman" w:hAnsi="Times New Roman"/>
            <w:color w:val="auto"/>
            <w:sz w:val="24"/>
            <w:szCs w:val="24"/>
            <w:lang w:eastAsia="en-GB"/>
          </w:rPr>
          <w:t>http://www.anglogoldashanti.com/en/Media/Reports/Sustainability%20Reports/AGA-SD-2016.pdf</w:t>
        </w:r>
      </w:hyperlink>
      <w:r w:rsidRPr="000F57AA">
        <w:rPr>
          <w:rFonts w:ascii="Times New Roman" w:eastAsia="Times New Roman" w:hAnsi="Times New Roman"/>
          <w:sz w:val="24"/>
          <w:szCs w:val="24"/>
          <w:lang w:eastAsia="en-GB"/>
        </w:rPr>
        <w:t xml:space="preserve">  </w:t>
      </w:r>
      <w:r w:rsidR="00C668B1" w:rsidRPr="000F57AA">
        <w:rPr>
          <w:rFonts w:ascii="Times New Roman" w:eastAsia="Times New Roman" w:hAnsi="Times New Roman"/>
          <w:sz w:val="24"/>
          <w:szCs w:val="24"/>
          <w:lang w:eastAsia="en-GB"/>
        </w:rPr>
        <w:t xml:space="preserve">(assessed </w:t>
      </w:r>
      <w:r w:rsidR="003C0322" w:rsidRPr="000F57AA">
        <w:rPr>
          <w:rFonts w:ascii="Times New Roman" w:eastAsia="Times New Roman" w:hAnsi="Times New Roman"/>
          <w:sz w:val="24"/>
          <w:szCs w:val="24"/>
          <w:lang w:eastAsia="en-GB"/>
        </w:rPr>
        <w:t>on 05.05.2017</w:t>
      </w:r>
      <w:r w:rsidR="00C668B1" w:rsidRPr="000F57AA">
        <w:rPr>
          <w:rFonts w:ascii="Times New Roman" w:eastAsia="Times New Roman" w:hAnsi="Times New Roman"/>
          <w:sz w:val="24"/>
          <w:szCs w:val="24"/>
          <w:lang w:eastAsia="en-GB"/>
        </w:rPr>
        <w:t>)</w:t>
      </w:r>
    </w:p>
    <w:p w14:paraId="761C5C2A" w14:textId="28A832D9" w:rsidR="00EB1108" w:rsidRPr="000F57AA" w:rsidRDefault="00EB1108" w:rsidP="00EB1108">
      <w:pPr>
        <w:pStyle w:val="NoteLevel11"/>
        <w:numPr>
          <w:ilvl w:val="0"/>
          <w:numId w:val="0"/>
        </w:numPr>
        <w:spacing w:line="480" w:lineRule="auto"/>
        <w:ind w:left="36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Appiah-Adu, K., &amp; Bawumia, M. (2016). Key determinants of national development: Historical perspectives and implications for developing economies. Routledge.</w:t>
      </w:r>
    </w:p>
    <w:p w14:paraId="3908A361" w14:textId="18CC36FE"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Arendt, S., &amp; Brettel, M. (2010). Understanding the influence of corporate social </w:t>
      </w:r>
      <w:r w:rsidR="003C0322" w:rsidRPr="000F57AA">
        <w:rPr>
          <w:rFonts w:ascii="Times New Roman" w:hAnsi="Times New Roman" w:cs="Times New Roman"/>
          <w:noProof/>
          <w:sz w:val="24"/>
          <w:szCs w:val="24"/>
        </w:rPr>
        <w:t>r</w:t>
      </w:r>
      <w:r w:rsidRPr="000F57AA">
        <w:rPr>
          <w:rFonts w:ascii="Times New Roman" w:hAnsi="Times New Roman" w:cs="Times New Roman"/>
          <w:noProof/>
          <w:sz w:val="24"/>
          <w:szCs w:val="24"/>
        </w:rPr>
        <w:t xml:space="preserve">sponsibility on corporate identity, image, and firm performance. </w:t>
      </w:r>
      <w:r w:rsidRPr="000F57AA">
        <w:rPr>
          <w:rFonts w:ascii="Times New Roman" w:hAnsi="Times New Roman" w:cs="Times New Roman"/>
          <w:b/>
          <w:i/>
          <w:noProof/>
          <w:sz w:val="24"/>
          <w:szCs w:val="24"/>
        </w:rPr>
        <w:t>Management Decision </w:t>
      </w:r>
      <w:r w:rsidRPr="000F57AA">
        <w:rPr>
          <w:rFonts w:ascii="Times New Roman" w:hAnsi="Times New Roman" w:cs="Times New Roman"/>
          <w:noProof/>
          <w:sz w:val="24"/>
          <w:szCs w:val="24"/>
        </w:rPr>
        <w:t xml:space="preserve">48(10): </w:t>
      </w:r>
      <w:r w:rsidRPr="000F57AA">
        <w:rPr>
          <w:rFonts w:ascii="Times New Roman" w:hAnsi="Times New Roman" w:cs="Times New Roman"/>
          <w:sz w:val="24"/>
          <w:szCs w:val="24"/>
        </w:rPr>
        <w:t>1469-1492.</w:t>
      </w:r>
    </w:p>
    <w:p w14:paraId="1B709E47" w14:textId="6D66764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sz w:val="24"/>
          <w:szCs w:val="24"/>
        </w:rPr>
        <w:t xml:space="preserve">Augustine, M. (2016). The role of traditional leaders in post-independence countries Botswana, Ghana and Zimbabwe, available at: </w:t>
      </w:r>
      <w:hyperlink r:id="rId9" w:history="1">
        <w:r w:rsidRPr="000F57AA">
          <w:rPr>
            <w:rStyle w:val="Hyperlink"/>
            <w:rFonts w:ascii="Times New Roman" w:hAnsi="Times New Roman" w:cs="Times New Roman"/>
            <w:color w:val="auto"/>
            <w:sz w:val="24"/>
            <w:szCs w:val="24"/>
          </w:rPr>
          <w:t>http://hsf.org.za/resource-centre/hsf-briefs/the-role-of-traditional-leaders-in-post-independence-countries-botswana-ghana-and-zimbabwe</w:t>
        </w:r>
      </w:hyperlink>
      <w:r w:rsidRPr="000F57AA">
        <w:rPr>
          <w:rFonts w:ascii="Times New Roman" w:hAnsi="Times New Roman" w:cs="Times New Roman"/>
          <w:sz w:val="24"/>
          <w:szCs w:val="24"/>
        </w:rPr>
        <w:t xml:space="preserve"> </w:t>
      </w:r>
    </w:p>
    <w:p w14:paraId="4A74BBB2" w14:textId="77777777"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lastRenderedPageBreak/>
        <w:t>Ayee, J., Soreide, T., Shukla, G. P., &amp; Le, T. M. (2011). Political economy of the mining sector in Ghana.</w:t>
      </w:r>
    </w:p>
    <w:p w14:paraId="7B517473" w14:textId="7777777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Balmer, J. M. T., Fukukawa, K., &amp; Gray, E. (2007). The nature and management of </w:t>
      </w:r>
      <w:r w:rsidRPr="000F57AA">
        <w:rPr>
          <w:rFonts w:ascii="Times New Roman" w:hAnsi="Times New Roman" w:cs="Times New Roman"/>
          <w:noProof/>
          <w:sz w:val="24"/>
          <w:szCs w:val="24"/>
        </w:rPr>
        <w:tab/>
        <w:t xml:space="preserve">ethical corporate identity: a commentary on corporate identity, corporate </w:t>
      </w:r>
      <w:r w:rsidRPr="000F57AA">
        <w:rPr>
          <w:rFonts w:ascii="Times New Roman" w:hAnsi="Times New Roman" w:cs="Times New Roman"/>
          <w:noProof/>
          <w:sz w:val="24"/>
          <w:szCs w:val="24"/>
        </w:rPr>
        <w:tab/>
        <w:t xml:space="preserve">social responsibility and ethics. </w:t>
      </w:r>
      <w:r w:rsidRPr="000F57AA">
        <w:rPr>
          <w:rFonts w:ascii="Times New Roman" w:hAnsi="Times New Roman" w:cs="Times New Roman"/>
          <w:b/>
          <w:i/>
          <w:noProof/>
          <w:sz w:val="24"/>
          <w:szCs w:val="24"/>
        </w:rPr>
        <w:t>Journal of Business Ethics</w:t>
      </w:r>
      <w:r w:rsidRPr="000F57AA">
        <w:rPr>
          <w:rFonts w:ascii="Times New Roman" w:hAnsi="Times New Roman" w:cs="Times New Roman"/>
          <w:noProof/>
          <w:sz w:val="24"/>
          <w:szCs w:val="24"/>
        </w:rPr>
        <w:t>, 76(1): 7-15.</w:t>
      </w:r>
    </w:p>
    <w:p w14:paraId="7EED6958" w14:textId="7777777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Banerjee, S. B. (2001). Corporate Citizenship and Indigenous Stakeholders: Exploring </w:t>
      </w:r>
      <w:r w:rsidRPr="000F57AA">
        <w:rPr>
          <w:rFonts w:ascii="Times New Roman" w:hAnsi="Times New Roman" w:cs="Times New Roman"/>
          <w:noProof/>
          <w:sz w:val="24"/>
          <w:szCs w:val="24"/>
        </w:rPr>
        <w:tab/>
        <w:t xml:space="preserve">a New Dynamic of Organizational-Stakeholder Relationships. </w:t>
      </w:r>
      <w:r w:rsidRPr="000F57AA">
        <w:rPr>
          <w:rFonts w:ascii="Times New Roman" w:hAnsi="Times New Roman" w:cs="Times New Roman"/>
          <w:b/>
          <w:i/>
          <w:noProof/>
          <w:sz w:val="24"/>
          <w:szCs w:val="24"/>
        </w:rPr>
        <w:t xml:space="preserve">Journal of </w:t>
      </w:r>
      <w:r w:rsidRPr="000F57AA">
        <w:rPr>
          <w:rFonts w:ascii="Times New Roman" w:hAnsi="Times New Roman" w:cs="Times New Roman"/>
          <w:b/>
          <w:i/>
          <w:noProof/>
          <w:sz w:val="24"/>
          <w:szCs w:val="24"/>
        </w:rPr>
        <w:tab/>
        <w:t>Corporate Citizenship</w:t>
      </w:r>
      <w:r w:rsidRPr="000F57AA">
        <w:rPr>
          <w:rFonts w:ascii="Times New Roman" w:hAnsi="Times New Roman" w:cs="Times New Roman"/>
          <w:noProof/>
          <w:sz w:val="24"/>
          <w:szCs w:val="24"/>
        </w:rPr>
        <w:t>, 1(1): 39-55.</w:t>
      </w:r>
    </w:p>
    <w:p w14:paraId="74EF41B0" w14:textId="77777777"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 xml:space="preserve">Bank of Ghana, (2017). Summary of Economic and Financial Data. Bank of Ghana </w:t>
      </w:r>
      <w:r w:rsidRPr="000F57AA">
        <w:rPr>
          <w:rFonts w:ascii="Times New Roman" w:hAnsi="Times New Roman"/>
          <w:sz w:val="24"/>
          <w:szCs w:val="24"/>
        </w:rPr>
        <w:tab/>
        <w:t>Publication.</w:t>
      </w:r>
    </w:p>
    <w:p w14:paraId="19B7EC5C" w14:textId="77777777" w:rsidR="00EB1108"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 xml:space="preserve">Bawole, J. N. (2013). Public hearing or ‘hearing public’? An evaluation of the participation </w:t>
      </w:r>
      <w:r w:rsidRPr="000F57AA">
        <w:rPr>
          <w:rFonts w:ascii="Times New Roman" w:hAnsi="Times New Roman" w:cs="Times New Roman"/>
          <w:sz w:val="24"/>
          <w:szCs w:val="24"/>
        </w:rPr>
        <w:tab/>
        <w:t xml:space="preserve">of local stakeholders in environmental impact assessment of Ghana’s Jubilee Oil </w:t>
      </w:r>
      <w:r w:rsidRPr="000F57AA">
        <w:rPr>
          <w:rFonts w:ascii="Times New Roman" w:hAnsi="Times New Roman" w:cs="Times New Roman"/>
          <w:sz w:val="24"/>
          <w:szCs w:val="24"/>
        </w:rPr>
        <w:tab/>
        <w:t xml:space="preserve">Fields. </w:t>
      </w:r>
      <w:r w:rsidRPr="000F57AA">
        <w:rPr>
          <w:rFonts w:ascii="Times New Roman" w:hAnsi="Times New Roman" w:cs="Times New Roman"/>
          <w:b/>
          <w:i/>
          <w:sz w:val="24"/>
          <w:szCs w:val="24"/>
        </w:rPr>
        <w:t>Environmental Management</w:t>
      </w:r>
      <w:r w:rsidRPr="000F57AA">
        <w:rPr>
          <w:rFonts w:ascii="Times New Roman" w:hAnsi="Times New Roman" w:cs="Times New Roman"/>
          <w:b/>
          <w:sz w:val="24"/>
          <w:szCs w:val="24"/>
        </w:rPr>
        <w:t>:</w:t>
      </w:r>
      <w:r w:rsidRPr="000F57AA">
        <w:rPr>
          <w:rFonts w:ascii="Times New Roman" w:hAnsi="Times New Roman" w:cs="Times New Roman"/>
          <w:sz w:val="24"/>
          <w:szCs w:val="24"/>
        </w:rPr>
        <w:t xml:space="preserve"> 52(2), 385-397.</w:t>
      </w:r>
    </w:p>
    <w:p w14:paraId="3FF33CCB" w14:textId="230423C4" w:rsidR="00EB1108" w:rsidRPr="000F57AA" w:rsidRDefault="00EB1108" w:rsidP="00EB1108">
      <w:pPr>
        <w:spacing w:line="480" w:lineRule="auto"/>
        <w:ind w:left="360"/>
        <w:rPr>
          <w:rStyle w:val="Hyperlink"/>
          <w:rFonts w:ascii="Times New Roman" w:hAnsi="Times New Roman" w:cs="Times New Roman"/>
          <w:noProof/>
          <w:color w:val="auto"/>
          <w:sz w:val="24"/>
          <w:szCs w:val="24"/>
        </w:rPr>
      </w:pPr>
      <w:r w:rsidRPr="000F57AA">
        <w:rPr>
          <w:rFonts w:ascii="Times New Roman" w:hAnsi="Times New Roman" w:cs="Times New Roman"/>
          <w:noProof/>
          <w:sz w:val="24"/>
          <w:szCs w:val="24"/>
        </w:rPr>
        <w:t>BBC, (2011). Protests in Peru halt Newmont gold mine project. Available at:</w:t>
      </w:r>
      <w:r w:rsidRPr="000F57AA">
        <w:rPr>
          <w:rFonts w:ascii="Times New Roman" w:hAnsi="Times New Roman" w:cs="Times New Roman"/>
          <w:sz w:val="24"/>
          <w:szCs w:val="24"/>
        </w:rPr>
        <w:t xml:space="preserve"> </w:t>
      </w:r>
      <w:r w:rsidRPr="000F57AA">
        <w:rPr>
          <w:rFonts w:ascii="Times New Roman" w:hAnsi="Times New Roman" w:cs="Times New Roman"/>
          <w:noProof/>
          <w:sz w:val="24"/>
          <w:szCs w:val="24"/>
        </w:rPr>
        <w:t xml:space="preserve">  </w:t>
      </w:r>
      <w:hyperlink r:id="rId10" w:history="1">
        <w:r w:rsidRPr="000F57AA">
          <w:rPr>
            <w:rStyle w:val="Hyperlink"/>
            <w:rFonts w:ascii="Times New Roman" w:hAnsi="Times New Roman" w:cs="Times New Roman"/>
            <w:noProof/>
            <w:color w:val="auto"/>
            <w:sz w:val="24"/>
            <w:szCs w:val="24"/>
          </w:rPr>
          <w:t>http://www.bbc.co.uk/news/world-latin-america-15956429</w:t>
        </w:r>
      </w:hyperlink>
      <w:r w:rsidR="00C668B1" w:rsidRPr="000F57AA">
        <w:rPr>
          <w:rStyle w:val="Hyperlink"/>
          <w:rFonts w:ascii="Times New Roman" w:hAnsi="Times New Roman" w:cs="Times New Roman"/>
          <w:noProof/>
          <w:color w:val="auto"/>
          <w:sz w:val="24"/>
          <w:szCs w:val="24"/>
        </w:rPr>
        <w:t xml:space="preserve"> (accessed on </w:t>
      </w:r>
      <w:r w:rsidR="008873A4" w:rsidRPr="000F57AA">
        <w:rPr>
          <w:rStyle w:val="Hyperlink"/>
          <w:rFonts w:ascii="Times New Roman" w:hAnsi="Times New Roman" w:cs="Times New Roman"/>
          <w:noProof/>
          <w:color w:val="auto"/>
          <w:sz w:val="24"/>
          <w:szCs w:val="24"/>
        </w:rPr>
        <w:t>30.11.2016)</w:t>
      </w:r>
    </w:p>
    <w:p w14:paraId="71701A80" w14:textId="7777777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lastRenderedPageBreak/>
        <w:t xml:space="preserve">Beddewela, E., &amp; Fairbrass, J. (2016). Seeking legitimacy through CSR: Institutional </w:t>
      </w:r>
      <w:r w:rsidRPr="000F57AA">
        <w:rPr>
          <w:rFonts w:ascii="Times New Roman" w:hAnsi="Times New Roman" w:cs="Times New Roman"/>
          <w:noProof/>
          <w:sz w:val="24"/>
          <w:szCs w:val="24"/>
        </w:rPr>
        <w:tab/>
        <w:t xml:space="preserve">Pressures and Corporate Responses of Multinationals in Sri Lanka. </w:t>
      </w:r>
      <w:r w:rsidRPr="000F57AA">
        <w:rPr>
          <w:rFonts w:ascii="Times New Roman" w:hAnsi="Times New Roman" w:cs="Times New Roman"/>
          <w:b/>
          <w:i/>
          <w:noProof/>
          <w:sz w:val="24"/>
          <w:szCs w:val="24"/>
        </w:rPr>
        <w:t xml:space="preserve">Journal of </w:t>
      </w:r>
      <w:r w:rsidRPr="000F57AA">
        <w:rPr>
          <w:rFonts w:ascii="Times New Roman" w:hAnsi="Times New Roman" w:cs="Times New Roman"/>
          <w:b/>
          <w:i/>
          <w:noProof/>
          <w:sz w:val="24"/>
          <w:szCs w:val="24"/>
        </w:rPr>
        <w:tab/>
        <w:t>Business Ethics</w:t>
      </w:r>
      <w:r w:rsidRPr="000F57AA">
        <w:rPr>
          <w:rFonts w:ascii="Times New Roman" w:hAnsi="Times New Roman" w:cs="Times New Roman"/>
          <w:noProof/>
          <w:sz w:val="24"/>
          <w:szCs w:val="24"/>
        </w:rPr>
        <w:t>, 136(3): 503-522.</w:t>
      </w:r>
    </w:p>
    <w:p w14:paraId="74B589C5" w14:textId="7777777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Blowfield, M., &amp; Frynas, J. G. (2005). Setting New Agendas: Critical Perspectives on </w:t>
      </w:r>
      <w:r w:rsidRPr="000F57AA">
        <w:rPr>
          <w:rFonts w:ascii="Times New Roman" w:hAnsi="Times New Roman" w:cs="Times New Roman"/>
          <w:noProof/>
          <w:sz w:val="24"/>
          <w:szCs w:val="24"/>
        </w:rPr>
        <w:tab/>
        <w:t xml:space="preserve">Corporate Social Responsibility in the Developing World. </w:t>
      </w:r>
      <w:r w:rsidRPr="000F57AA">
        <w:rPr>
          <w:rFonts w:ascii="Times New Roman" w:hAnsi="Times New Roman" w:cs="Times New Roman"/>
          <w:b/>
          <w:i/>
          <w:noProof/>
          <w:sz w:val="24"/>
          <w:szCs w:val="24"/>
        </w:rPr>
        <w:t xml:space="preserve">International </w:t>
      </w:r>
      <w:r w:rsidRPr="000F57AA">
        <w:rPr>
          <w:rFonts w:ascii="Times New Roman" w:hAnsi="Times New Roman" w:cs="Times New Roman"/>
          <w:b/>
          <w:i/>
          <w:noProof/>
          <w:sz w:val="24"/>
          <w:szCs w:val="24"/>
        </w:rPr>
        <w:tab/>
        <w:t xml:space="preserve">Affairs </w:t>
      </w:r>
      <w:r w:rsidRPr="000F57AA">
        <w:rPr>
          <w:rFonts w:ascii="Times New Roman" w:hAnsi="Times New Roman" w:cs="Times New Roman"/>
          <w:b/>
          <w:i/>
          <w:noProof/>
          <w:sz w:val="24"/>
          <w:szCs w:val="24"/>
        </w:rPr>
        <w:tab/>
      </w:r>
      <w:r w:rsidRPr="000F57AA">
        <w:rPr>
          <w:rFonts w:ascii="Times New Roman" w:hAnsi="Times New Roman" w:cs="Times New Roman"/>
          <w:noProof/>
          <w:sz w:val="24"/>
          <w:szCs w:val="24"/>
        </w:rPr>
        <w:t>81(3): 499-513.</w:t>
      </w:r>
    </w:p>
    <w:p w14:paraId="737352B5" w14:textId="6C40D14E"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Boateng, P. K. (2017). Land Access, Agricultural Land Use Changes and Narratives </w:t>
      </w:r>
      <w:r w:rsidRPr="000F57AA">
        <w:rPr>
          <w:rFonts w:ascii="Times New Roman" w:hAnsi="Times New Roman" w:cs="Times New Roman"/>
          <w:noProof/>
          <w:sz w:val="24"/>
          <w:szCs w:val="24"/>
        </w:rPr>
        <w:tab/>
        <w:t xml:space="preserve">about Land Degradation in the Savannahs of Northeast Ghana during the Pre-Colonial and Colonial Periods. </w:t>
      </w:r>
      <w:r w:rsidRPr="000F57AA">
        <w:rPr>
          <w:rFonts w:ascii="Times New Roman" w:hAnsi="Times New Roman" w:cs="Times New Roman"/>
          <w:b/>
          <w:i/>
          <w:noProof/>
          <w:sz w:val="24"/>
          <w:szCs w:val="24"/>
        </w:rPr>
        <w:t>Social Sciences</w:t>
      </w:r>
      <w:r w:rsidRPr="000F57AA">
        <w:rPr>
          <w:rFonts w:ascii="Times New Roman" w:hAnsi="Times New Roman" w:cs="Times New Roman"/>
          <w:noProof/>
          <w:sz w:val="24"/>
          <w:szCs w:val="24"/>
        </w:rPr>
        <w:t>: 6(1), 35.</w:t>
      </w:r>
    </w:p>
    <w:p w14:paraId="131DBFE9" w14:textId="77777777" w:rsidR="00652237" w:rsidRPr="000F57AA" w:rsidRDefault="00652237" w:rsidP="000F57AA">
      <w:pPr>
        <w:ind w:left="720" w:hanging="360"/>
        <w:rPr>
          <w:rFonts w:ascii="Cambria" w:hAnsi="Cambria"/>
          <w:noProof/>
        </w:rPr>
      </w:pPr>
      <w:bookmarkStart w:id="0" w:name="_ENREF_1"/>
      <w:r w:rsidRPr="000F57AA">
        <w:rPr>
          <w:rFonts w:ascii="Cambria" w:hAnsi="Cambria"/>
          <w:noProof/>
        </w:rPr>
        <w:t>Brammer, S., Jackson, G., &amp; Mattern, D. 2012. Corporate Social Responsibility and institutional</w:t>
      </w:r>
    </w:p>
    <w:p w14:paraId="13F321C7" w14:textId="775817E5" w:rsidR="00652237" w:rsidRPr="000F57AA" w:rsidRDefault="00652237" w:rsidP="000F57AA">
      <w:pPr>
        <w:ind w:left="720" w:hanging="360"/>
        <w:rPr>
          <w:rFonts w:ascii="Cambria" w:hAnsi="Cambria"/>
          <w:noProof/>
        </w:rPr>
      </w:pPr>
      <w:r w:rsidRPr="000F57AA">
        <w:rPr>
          <w:rFonts w:ascii="Cambria" w:hAnsi="Cambria"/>
          <w:noProof/>
        </w:rPr>
        <w:t xml:space="preserve">theory: new perspectives on private governance. </w:t>
      </w:r>
      <w:r w:rsidRPr="000F57AA">
        <w:rPr>
          <w:rFonts w:ascii="Cambria" w:hAnsi="Cambria"/>
          <w:b/>
          <w:i/>
          <w:noProof/>
        </w:rPr>
        <w:t>Socio-Economic Review</w:t>
      </w:r>
      <w:r w:rsidRPr="000F57AA">
        <w:rPr>
          <w:rFonts w:ascii="Cambria" w:hAnsi="Cambria"/>
          <w:noProof/>
        </w:rPr>
        <w:t>, 10 (1): 3-28.</w:t>
      </w:r>
      <w:bookmarkEnd w:id="0"/>
    </w:p>
    <w:p w14:paraId="2A38EB9B" w14:textId="17372FC0"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Cable, D. M., &amp; Turban, D. B. (2003). The value of organizational reputation in the recruitment context: A brand</w:t>
      </w:r>
      <w:r w:rsidRPr="000F57AA">
        <w:rPr>
          <w:rFonts w:ascii="Cambria Math" w:hAnsi="Cambria Math" w:cs="Cambria Math"/>
          <w:noProof/>
          <w:sz w:val="24"/>
          <w:szCs w:val="24"/>
        </w:rPr>
        <w:t>‐</w:t>
      </w:r>
      <w:r w:rsidRPr="000F57AA">
        <w:rPr>
          <w:rFonts w:ascii="Times New Roman" w:hAnsi="Times New Roman" w:cs="Times New Roman"/>
          <w:noProof/>
          <w:sz w:val="24"/>
          <w:szCs w:val="24"/>
        </w:rPr>
        <w:t xml:space="preserve">equity perspective. </w:t>
      </w:r>
      <w:r w:rsidRPr="000F57AA">
        <w:rPr>
          <w:rFonts w:ascii="Times New Roman" w:hAnsi="Times New Roman" w:cs="Times New Roman"/>
          <w:b/>
          <w:i/>
          <w:noProof/>
          <w:sz w:val="24"/>
          <w:szCs w:val="24"/>
        </w:rPr>
        <w:t xml:space="preserve">Journal of Applied Social </w:t>
      </w:r>
      <w:r w:rsidRPr="000F57AA">
        <w:rPr>
          <w:rFonts w:ascii="Times New Roman" w:hAnsi="Times New Roman" w:cs="Times New Roman"/>
          <w:b/>
          <w:i/>
          <w:noProof/>
          <w:sz w:val="24"/>
          <w:szCs w:val="24"/>
        </w:rPr>
        <w:tab/>
        <w:t>Psychology</w:t>
      </w:r>
      <w:r w:rsidRPr="000F57AA">
        <w:rPr>
          <w:rFonts w:ascii="Times New Roman" w:hAnsi="Times New Roman" w:cs="Times New Roman"/>
          <w:noProof/>
          <w:sz w:val="24"/>
          <w:szCs w:val="24"/>
        </w:rPr>
        <w:t>: 33(11), 2244-2266.</w:t>
      </w:r>
    </w:p>
    <w:p w14:paraId="64B36AE7" w14:textId="631A6385"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lastRenderedPageBreak/>
        <w:t xml:space="preserve">Campbell, B. (2012). Corporate Social Responsibility and development in Africa: Redefining the roles and responsibilities of public and private actors in the mining sector. </w:t>
      </w:r>
      <w:r w:rsidRPr="000F57AA">
        <w:rPr>
          <w:rFonts w:ascii="Times New Roman" w:hAnsi="Times New Roman" w:cs="Times New Roman"/>
          <w:b/>
          <w:noProof/>
          <w:sz w:val="24"/>
          <w:szCs w:val="24"/>
        </w:rPr>
        <w:t>Resources Policy</w:t>
      </w:r>
      <w:r w:rsidRPr="000F57AA">
        <w:rPr>
          <w:rFonts w:ascii="Times New Roman" w:hAnsi="Times New Roman" w:cs="Times New Roman"/>
          <w:noProof/>
          <w:sz w:val="24"/>
          <w:szCs w:val="24"/>
        </w:rPr>
        <w:t>: 37(2), 138-143.</w:t>
      </w:r>
    </w:p>
    <w:p w14:paraId="521918B4" w14:textId="77777777" w:rsidR="00EB1108"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 xml:space="preserve">Cooper and Schindler (2006) Business Research Methods. McGraw-Hill. </w:t>
      </w:r>
    </w:p>
    <w:p w14:paraId="27D583BD" w14:textId="2A6E1B62"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Cuervo-Cazurra, A. and Genc, M., (2008). Transforming disadvantages into advantages: developing-country MNEs in the least developed countries. </w:t>
      </w:r>
      <w:r w:rsidRPr="000F57AA">
        <w:rPr>
          <w:rFonts w:ascii="Times New Roman" w:hAnsi="Times New Roman" w:cs="Times New Roman"/>
          <w:b/>
          <w:i/>
          <w:noProof/>
          <w:sz w:val="24"/>
          <w:szCs w:val="24"/>
        </w:rPr>
        <w:t>Journal of International Business Studies</w:t>
      </w:r>
      <w:r w:rsidRPr="000F57AA">
        <w:rPr>
          <w:rFonts w:ascii="Times New Roman" w:hAnsi="Times New Roman" w:cs="Times New Roman"/>
          <w:noProof/>
          <w:sz w:val="24"/>
          <w:szCs w:val="24"/>
        </w:rPr>
        <w:t>, 39(6): 957-979.</w:t>
      </w:r>
    </w:p>
    <w:p w14:paraId="452BB50A" w14:textId="5D1D3992"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Davis, R., &amp; Franks, D. M. (2014). Costs of Company-Community Conflict in the Extractive Sector. Cambridge, MA: Harvard Kennedy School.</w:t>
      </w:r>
    </w:p>
    <w:p w14:paraId="38CD1022" w14:textId="3224268E" w:rsidR="00EB1108" w:rsidRPr="000F57AA" w:rsidRDefault="00EB1108" w:rsidP="00EB1108">
      <w:pPr>
        <w:pStyle w:val="NoteLevel11"/>
        <w:numPr>
          <w:ilvl w:val="0"/>
          <w:numId w:val="0"/>
        </w:numPr>
        <w:spacing w:line="480" w:lineRule="auto"/>
        <w:ind w:left="360"/>
        <w:rPr>
          <w:rFonts w:ascii="Times New Roman" w:eastAsia="Times New Roman" w:hAnsi="Times New Roman"/>
          <w:sz w:val="24"/>
          <w:szCs w:val="24"/>
          <w:lang w:eastAsia="en-GB"/>
        </w:rPr>
      </w:pPr>
      <w:r w:rsidRPr="000F57AA">
        <w:rPr>
          <w:rFonts w:ascii="Times New Roman" w:eastAsia="Times New Roman" w:hAnsi="Times New Roman"/>
          <w:sz w:val="24"/>
          <w:szCs w:val="24"/>
          <w:lang w:eastAsia="en-GB"/>
        </w:rPr>
        <w:t xml:space="preserve">Dayee, D. Y., (2016). Kenyasi youth resist Newmont underground mining. Daily Guide. Available at: </w:t>
      </w:r>
      <w:hyperlink r:id="rId11" w:history="1">
        <w:r w:rsidRPr="000F57AA">
          <w:rPr>
            <w:rStyle w:val="Hyperlink"/>
            <w:rFonts w:ascii="Times New Roman" w:eastAsia="Times New Roman" w:hAnsi="Times New Roman"/>
            <w:color w:val="auto"/>
            <w:sz w:val="24"/>
            <w:szCs w:val="24"/>
            <w:lang w:eastAsia="en-GB"/>
          </w:rPr>
          <w:t>http://dailyguideafrica.com/kenyasi-youth-resist-newmont-underground-mining/</w:t>
        </w:r>
      </w:hyperlink>
      <w:r w:rsidRPr="000F57AA">
        <w:rPr>
          <w:rFonts w:ascii="Times New Roman" w:eastAsia="Times New Roman" w:hAnsi="Times New Roman"/>
          <w:sz w:val="24"/>
          <w:szCs w:val="24"/>
          <w:lang w:eastAsia="en-GB"/>
        </w:rPr>
        <w:t xml:space="preserve"> </w:t>
      </w:r>
    </w:p>
    <w:p w14:paraId="2DF0B77A" w14:textId="45366E01"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sz w:val="24"/>
          <w:szCs w:val="24"/>
        </w:rPr>
        <w:t>DiMaggio, Paul J. and Walter W. Powell. 1983. “The Iron Cage Revisited: Institutional Isomorphism and Collective Rationality in Organizational Fields.” American Sociological Review 48:147–60.</w:t>
      </w:r>
    </w:p>
    <w:p w14:paraId="06BB95F8" w14:textId="6F913481" w:rsidR="00EB1108" w:rsidRPr="000F57AA" w:rsidRDefault="00EB1108" w:rsidP="00EB1108">
      <w:pPr>
        <w:pStyle w:val="NoteLevel11"/>
        <w:numPr>
          <w:ilvl w:val="0"/>
          <w:numId w:val="0"/>
        </w:numPr>
        <w:spacing w:line="480" w:lineRule="auto"/>
        <w:ind w:left="360"/>
        <w:rPr>
          <w:rFonts w:ascii="Times New Roman" w:eastAsia="Times New Roman" w:hAnsi="Times New Roman"/>
          <w:sz w:val="24"/>
          <w:szCs w:val="24"/>
          <w:lang w:eastAsia="en-GB"/>
        </w:rPr>
      </w:pPr>
      <w:r w:rsidRPr="000F57AA">
        <w:rPr>
          <w:rFonts w:ascii="Times New Roman" w:hAnsi="Times New Roman"/>
          <w:sz w:val="24"/>
          <w:szCs w:val="24"/>
        </w:rPr>
        <w:lastRenderedPageBreak/>
        <w:t xml:space="preserve">Dunphy, D. (2003) Corporate Sustainability: Challenge to Managerial Orthodoxies’, </w:t>
      </w:r>
      <w:r w:rsidRPr="000F57AA">
        <w:rPr>
          <w:rFonts w:ascii="Times New Roman" w:hAnsi="Times New Roman"/>
          <w:b/>
          <w:i/>
          <w:sz w:val="24"/>
          <w:szCs w:val="24"/>
        </w:rPr>
        <w:t>Journal of the Australian and New Zealand Academy of Management</w:t>
      </w:r>
      <w:r w:rsidRPr="000F57AA">
        <w:rPr>
          <w:rFonts w:ascii="Times New Roman" w:hAnsi="Times New Roman"/>
          <w:sz w:val="24"/>
          <w:szCs w:val="24"/>
        </w:rPr>
        <w:t>, 9(1), 2-11.</w:t>
      </w:r>
    </w:p>
    <w:p w14:paraId="65750BFB" w14:textId="77777777" w:rsidR="00EB1108" w:rsidRPr="000F57AA" w:rsidRDefault="00EB1108" w:rsidP="00EB1108">
      <w:pPr>
        <w:pStyle w:val="NoteLevel11"/>
        <w:numPr>
          <w:ilvl w:val="0"/>
          <w:numId w:val="0"/>
        </w:numPr>
        <w:spacing w:line="480" w:lineRule="auto"/>
        <w:ind w:left="360"/>
        <w:rPr>
          <w:rFonts w:ascii="Times New Roman" w:hAnsi="Times New Roman"/>
          <w:noProof/>
          <w:sz w:val="24"/>
          <w:szCs w:val="24"/>
        </w:rPr>
      </w:pPr>
      <w:r w:rsidRPr="000F57AA">
        <w:rPr>
          <w:rFonts w:ascii="Times New Roman" w:hAnsi="Times New Roman"/>
          <w:noProof/>
          <w:sz w:val="24"/>
          <w:szCs w:val="24"/>
        </w:rPr>
        <w:t xml:space="preserve">Epstein, L. and King, G. (2002). The Rules of Inference, University of Chicago Law </w:t>
      </w:r>
      <w:r w:rsidRPr="000F57AA">
        <w:rPr>
          <w:rFonts w:ascii="Times New Roman" w:hAnsi="Times New Roman"/>
          <w:noProof/>
          <w:sz w:val="24"/>
          <w:szCs w:val="24"/>
        </w:rPr>
        <w:tab/>
        <w:t>Review 69: 191–209.</w:t>
      </w:r>
    </w:p>
    <w:p w14:paraId="5659818F" w14:textId="5426FFA4"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Forstater, Maya, Simon Zadek, Yang Guang, Kelly Yu, Chen Xiao Hong, and Mark </w:t>
      </w:r>
      <w:r w:rsidRPr="000F57AA">
        <w:rPr>
          <w:rFonts w:ascii="Times New Roman" w:hAnsi="Times New Roman" w:cs="Times New Roman"/>
          <w:noProof/>
          <w:sz w:val="24"/>
          <w:szCs w:val="24"/>
        </w:rPr>
        <w:tab/>
        <w:t xml:space="preserve">George (2010), Corporate Responsibility in African Development: Insights from an Emerging Dialogue, Corporate Social Responsibility Initiative, Working </w:t>
      </w:r>
      <w:r w:rsidRPr="000F57AA">
        <w:rPr>
          <w:rFonts w:ascii="Times New Roman" w:hAnsi="Times New Roman" w:cs="Times New Roman"/>
          <w:noProof/>
          <w:sz w:val="24"/>
          <w:szCs w:val="24"/>
        </w:rPr>
        <w:tab/>
        <w:t>Paper 60.</w:t>
      </w:r>
    </w:p>
    <w:p w14:paraId="42CC41EF" w14:textId="27A45DED"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Garberg, N. A., &amp; Fombrun, C. (2006). Corporate citizenship: Creating intangible assets across institutional environment. </w:t>
      </w:r>
      <w:r w:rsidRPr="000F57AA">
        <w:rPr>
          <w:rFonts w:ascii="Times New Roman" w:hAnsi="Times New Roman" w:cs="Times New Roman"/>
          <w:b/>
          <w:i/>
          <w:noProof/>
          <w:sz w:val="24"/>
          <w:szCs w:val="24"/>
        </w:rPr>
        <w:t>Academy of Management Review</w:t>
      </w:r>
      <w:r w:rsidRPr="000F57AA">
        <w:rPr>
          <w:rFonts w:ascii="Times New Roman" w:hAnsi="Times New Roman" w:cs="Times New Roman"/>
          <w:noProof/>
          <w:sz w:val="24"/>
          <w:szCs w:val="24"/>
        </w:rPr>
        <w:t>, 31: 329-346.</w:t>
      </w:r>
    </w:p>
    <w:p w14:paraId="310A58C0" w14:textId="67B4243D"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Garvin, T., McGee, T. K., Smoyer-Tomic, K. E., &amp; Aubynn, E. A. (2009). Community - company relations in gold mining in Ghana. </w:t>
      </w:r>
      <w:r w:rsidRPr="000F57AA">
        <w:rPr>
          <w:rFonts w:ascii="Times New Roman" w:hAnsi="Times New Roman" w:cs="Times New Roman"/>
          <w:b/>
          <w:i/>
          <w:noProof/>
          <w:sz w:val="24"/>
          <w:szCs w:val="24"/>
        </w:rPr>
        <w:t xml:space="preserve">Journal of </w:t>
      </w:r>
      <w:r w:rsidRPr="000F57AA">
        <w:rPr>
          <w:rFonts w:ascii="Times New Roman" w:hAnsi="Times New Roman" w:cs="Times New Roman"/>
          <w:b/>
          <w:i/>
          <w:noProof/>
          <w:sz w:val="24"/>
          <w:szCs w:val="24"/>
        </w:rPr>
        <w:tab/>
        <w:t xml:space="preserve">Environmental Management, </w:t>
      </w:r>
      <w:r w:rsidRPr="000F57AA">
        <w:rPr>
          <w:rFonts w:ascii="Times New Roman" w:hAnsi="Times New Roman" w:cs="Times New Roman"/>
          <w:noProof/>
          <w:sz w:val="24"/>
          <w:szCs w:val="24"/>
        </w:rPr>
        <w:t>90(1): 571-586.</w:t>
      </w:r>
    </w:p>
    <w:p w14:paraId="74FB78F1" w14:textId="3098237D"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sz w:val="24"/>
          <w:szCs w:val="24"/>
        </w:rPr>
        <w:t xml:space="preserve">Gaur A, Delios A, Singh K. (2007). Institutional environments, staffing strategies, and subsidiary performance. </w:t>
      </w:r>
      <w:r w:rsidRPr="000F57AA">
        <w:rPr>
          <w:rFonts w:ascii="Times New Roman" w:hAnsi="Times New Roman" w:cs="Times New Roman"/>
          <w:b/>
          <w:i/>
          <w:sz w:val="24"/>
          <w:szCs w:val="24"/>
        </w:rPr>
        <w:t>Journal of Management</w:t>
      </w:r>
      <w:r w:rsidRPr="000F57AA">
        <w:rPr>
          <w:rFonts w:ascii="Times New Roman" w:hAnsi="Times New Roman" w:cs="Times New Roman"/>
          <w:sz w:val="24"/>
          <w:szCs w:val="24"/>
        </w:rPr>
        <w:t xml:space="preserve"> 33(4): 611–636.</w:t>
      </w:r>
    </w:p>
    <w:p w14:paraId="6E5BA26B" w14:textId="77777777"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eastAsia="Times New Roman" w:hAnsi="Times New Roman" w:cs="Times New Roman"/>
          <w:sz w:val="24"/>
          <w:szCs w:val="24"/>
          <w:lang w:eastAsia="en-GB"/>
        </w:rPr>
        <w:lastRenderedPageBreak/>
        <w:t xml:space="preserve">Ghanaweb, (2006). Angry youth clash with mining company Available at: </w:t>
      </w:r>
      <w:r w:rsidRPr="000F57AA">
        <w:rPr>
          <w:rFonts w:ascii="Times New Roman" w:eastAsia="Times New Roman" w:hAnsi="Times New Roman" w:cs="Times New Roman"/>
          <w:sz w:val="24"/>
          <w:szCs w:val="24"/>
          <w:lang w:eastAsia="en-GB"/>
        </w:rPr>
        <w:tab/>
        <w:t>http://www.ghanaweb.com/GhanaHomePage/regional/artikel.php?ID=105493</w:t>
      </w:r>
    </w:p>
    <w:p w14:paraId="4C72E03A" w14:textId="38F5A795" w:rsidR="00EB1108"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 xml:space="preserve">GhanaWeb, (2007) ASRF to sign agreement with Newmont Gold, available at: </w:t>
      </w:r>
      <w:hyperlink r:id="rId12" w:history="1">
        <w:r w:rsidRPr="000F57AA">
          <w:rPr>
            <w:rStyle w:val="Hyperlink"/>
            <w:rFonts w:ascii="Times New Roman" w:hAnsi="Times New Roman" w:cs="Times New Roman"/>
            <w:color w:val="auto"/>
            <w:sz w:val="24"/>
            <w:szCs w:val="24"/>
          </w:rPr>
          <w:t>http://www.ghanaweb.com/GhanaHomePage/business/ASRF-to-sign-agreement-with-Newmont-Gold-123889</w:t>
        </w:r>
      </w:hyperlink>
      <w:r w:rsidRPr="000F57AA">
        <w:rPr>
          <w:rFonts w:ascii="Times New Roman" w:hAnsi="Times New Roman" w:cs="Times New Roman"/>
          <w:sz w:val="24"/>
          <w:szCs w:val="24"/>
        </w:rPr>
        <w:t xml:space="preserve"> </w:t>
      </w:r>
      <w:r w:rsidR="008873A4" w:rsidRPr="000F57AA">
        <w:rPr>
          <w:rFonts w:ascii="Times New Roman" w:hAnsi="Times New Roman" w:cs="Times New Roman"/>
          <w:sz w:val="24"/>
          <w:szCs w:val="24"/>
        </w:rPr>
        <w:t>(accessed on 15.05.2017)</w:t>
      </w:r>
    </w:p>
    <w:p w14:paraId="6E10E690" w14:textId="432AD06D" w:rsidR="00EB1108" w:rsidRPr="000F57AA" w:rsidRDefault="00EB1108" w:rsidP="00EB1108">
      <w:pPr>
        <w:pStyle w:val="NoteLevel11"/>
        <w:numPr>
          <w:ilvl w:val="0"/>
          <w:numId w:val="0"/>
        </w:numPr>
        <w:spacing w:line="480" w:lineRule="auto"/>
        <w:ind w:left="360"/>
        <w:rPr>
          <w:rStyle w:val="Hyperlink"/>
          <w:rFonts w:ascii="Times New Roman" w:hAnsi="Times New Roman"/>
          <w:noProof/>
          <w:color w:val="auto"/>
          <w:sz w:val="24"/>
          <w:szCs w:val="24"/>
        </w:rPr>
      </w:pPr>
      <w:r w:rsidRPr="000F57AA">
        <w:rPr>
          <w:rFonts w:ascii="Times New Roman" w:eastAsia="Times New Roman" w:hAnsi="Times New Roman"/>
          <w:sz w:val="24"/>
          <w:szCs w:val="24"/>
          <w:lang w:eastAsia="en-GB"/>
        </w:rPr>
        <w:t xml:space="preserve">Gold Fields, (2014). Integrated Annual Report for the year ended 31 December 2014, available at: </w:t>
      </w:r>
      <w:hyperlink r:id="rId13" w:history="1">
        <w:r w:rsidRPr="000F57AA">
          <w:rPr>
            <w:rStyle w:val="Hyperlink"/>
            <w:rFonts w:ascii="Times New Roman" w:eastAsia="Times New Roman" w:hAnsi="Times New Roman"/>
            <w:color w:val="auto"/>
            <w:sz w:val="24"/>
            <w:szCs w:val="24"/>
            <w:lang w:eastAsia="en-GB"/>
          </w:rPr>
          <w:t>https://www.goldfields.co.za/pdf/investors/integrated-annual-reports/2014/iar-2014.pdf</w:t>
        </w:r>
      </w:hyperlink>
      <w:r w:rsidR="008873A4" w:rsidRPr="000F57AA">
        <w:rPr>
          <w:rStyle w:val="Hyperlink"/>
          <w:rFonts w:ascii="Times New Roman" w:eastAsia="Times New Roman" w:hAnsi="Times New Roman"/>
          <w:color w:val="auto"/>
          <w:sz w:val="24"/>
          <w:szCs w:val="24"/>
          <w:lang w:eastAsia="en-GB"/>
        </w:rPr>
        <w:t xml:space="preserve"> (accessed on 15.05.2017)</w:t>
      </w:r>
    </w:p>
    <w:p w14:paraId="196A05D2" w14:textId="5C8AC282" w:rsidR="00EB1108" w:rsidRPr="000F57AA" w:rsidRDefault="00EB1108" w:rsidP="00EB1108">
      <w:pPr>
        <w:spacing w:line="480" w:lineRule="auto"/>
        <w:ind w:left="360"/>
        <w:rPr>
          <w:rStyle w:val="Hyperlink"/>
          <w:rFonts w:ascii="Times New Roman" w:eastAsia="MS Gothic" w:hAnsi="Times New Roman" w:cs="Times New Roman"/>
          <w:noProof/>
          <w:color w:val="auto"/>
          <w:sz w:val="24"/>
          <w:szCs w:val="24"/>
        </w:rPr>
      </w:pPr>
      <w:r w:rsidRPr="000F57AA">
        <w:rPr>
          <w:rStyle w:val="Hyperlink"/>
          <w:rFonts w:ascii="Times New Roman" w:eastAsia="MS Gothic" w:hAnsi="Times New Roman" w:cs="Times New Roman"/>
          <w:noProof/>
          <w:color w:val="auto"/>
          <w:sz w:val="24"/>
          <w:szCs w:val="24"/>
        </w:rPr>
        <w:t>Government of Ghana, (1980). Report of the Committee for Increased Gold Output in Ghana. United Nations, New York.</w:t>
      </w:r>
    </w:p>
    <w:p w14:paraId="136E0529" w14:textId="5254D80E"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Halland, H., Lokanc, M., &amp; Nair, A. (2015). The Extractive Industries Sector: </w:t>
      </w:r>
      <w:r w:rsidRPr="000F57AA">
        <w:rPr>
          <w:rFonts w:ascii="Times New Roman" w:hAnsi="Times New Roman" w:cs="Times New Roman"/>
          <w:noProof/>
          <w:sz w:val="24"/>
          <w:szCs w:val="24"/>
        </w:rPr>
        <w:tab/>
        <w:t xml:space="preserve">Essentials for Economists, Public Finance Professionals, and Policy Makers. </w:t>
      </w:r>
      <w:r w:rsidRPr="000F57AA">
        <w:rPr>
          <w:rFonts w:ascii="Times New Roman" w:hAnsi="Times New Roman" w:cs="Times New Roman"/>
          <w:noProof/>
          <w:sz w:val="24"/>
          <w:szCs w:val="24"/>
        </w:rPr>
        <w:tab/>
        <w:t xml:space="preserve">World Bank </w:t>
      </w:r>
      <w:r w:rsidRPr="000F57AA">
        <w:rPr>
          <w:rFonts w:ascii="Times New Roman" w:hAnsi="Times New Roman" w:cs="Times New Roman"/>
          <w:noProof/>
          <w:sz w:val="24"/>
          <w:szCs w:val="24"/>
        </w:rPr>
        <w:tab/>
        <w:t>Publications.</w:t>
      </w:r>
    </w:p>
    <w:p w14:paraId="7EC8AE63" w14:textId="1AFB511B" w:rsidR="00EB1108" w:rsidRPr="000F57AA" w:rsidRDefault="00EB1108" w:rsidP="00EB1108">
      <w:pPr>
        <w:pStyle w:val="NoteLevel11"/>
        <w:numPr>
          <w:ilvl w:val="0"/>
          <w:numId w:val="0"/>
        </w:numPr>
        <w:spacing w:line="480" w:lineRule="auto"/>
        <w:ind w:left="360"/>
        <w:rPr>
          <w:rFonts w:ascii="Times New Roman" w:hAnsi="Times New Roman"/>
          <w:noProof/>
          <w:sz w:val="24"/>
          <w:szCs w:val="24"/>
        </w:rPr>
      </w:pPr>
      <w:r w:rsidRPr="000F57AA">
        <w:rPr>
          <w:rFonts w:ascii="Times New Roman" w:hAnsi="Times New Roman"/>
          <w:noProof/>
          <w:sz w:val="24"/>
          <w:szCs w:val="24"/>
        </w:rPr>
        <w:lastRenderedPageBreak/>
        <w:t xml:space="preserve">Hillenbrand, C., &amp; Money, K. (2007). Corporate Responsibility and Corporate Reputation: Two Separate Concepts or Two Sides of the Same Coin? </w:t>
      </w:r>
      <w:r w:rsidRPr="000F57AA">
        <w:rPr>
          <w:rFonts w:ascii="Times New Roman" w:hAnsi="Times New Roman"/>
          <w:b/>
          <w:i/>
          <w:noProof/>
          <w:sz w:val="24"/>
          <w:szCs w:val="24"/>
        </w:rPr>
        <w:t> </w:t>
      </w:r>
      <w:r w:rsidRPr="000F57AA">
        <w:rPr>
          <w:rFonts w:ascii="Times New Roman" w:hAnsi="Times New Roman"/>
          <w:b/>
          <w:i/>
          <w:noProof/>
          <w:sz w:val="24"/>
          <w:szCs w:val="24"/>
        </w:rPr>
        <w:t>Corporate Reputation Review 10(4):261-277</w:t>
      </w:r>
      <w:r w:rsidRPr="000F57AA">
        <w:rPr>
          <w:rFonts w:ascii="Times New Roman" w:hAnsi="Times New Roman"/>
          <w:noProof/>
          <w:sz w:val="24"/>
          <w:szCs w:val="24"/>
        </w:rPr>
        <w:t>, 10(4): 261-277.</w:t>
      </w:r>
    </w:p>
    <w:p w14:paraId="5873B500" w14:textId="1C324D2C" w:rsidR="00866964" w:rsidRPr="000F57AA" w:rsidRDefault="00866964" w:rsidP="00EB1108">
      <w:pPr>
        <w:pStyle w:val="NoteLevel11"/>
        <w:numPr>
          <w:ilvl w:val="0"/>
          <w:numId w:val="0"/>
        </w:numPr>
        <w:spacing w:line="480" w:lineRule="auto"/>
        <w:ind w:left="360"/>
        <w:rPr>
          <w:rFonts w:ascii="Times New Roman" w:hAnsi="Times New Roman"/>
          <w:noProof/>
          <w:sz w:val="24"/>
          <w:szCs w:val="24"/>
        </w:rPr>
      </w:pPr>
      <w:r w:rsidRPr="000F57AA">
        <w:rPr>
          <w:rFonts w:ascii="Times New Roman" w:hAnsi="Times New Roman"/>
          <w:sz w:val="24"/>
          <w:szCs w:val="24"/>
          <w:lang w:val="en-US"/>
        </w:rPr>
        <w:t xml:space="preserve">Hilson, G. (2006). Championing the Rhetoric? : Corporate Social Responsibility’ in Ghana's Mining Sector. </w:t>
      </w:r>
      <w:r w:rsidRPr="000F57AA">
        <w:rPr>
          <w:rFonts w:ascii="Times New Roman" w:hAnsi="Times New Roman"/>
          <w:b/>
          <w:bCs/>
          <w:i/>
          <w:iCs/>
          <w:sz w:val="24"/>
          <w:szCs w:val="24"/>
          <w:lang w:val="en-US"/>
        </w:rPr>
        <w:t>Greener Management International</w:t>
      </w:r>
      <w:r w:rsidRPr="000F57AA">
        <w:rPr>
          <w:rFonts w:ascii="Times New Roman" w:hAnsi="Times New Roman"/>
          <w:sz w:val="24"/>
          <w:szCs w:val="24"/>
          <w:lang w:val="en-US"/>
        </w:rPr>
        <w:t>, 53: 43-56.</w:t>
      </w:r>
    </w:p>
    <w:p w14:paraId="73D70A84" w14:textId="77777777" w:rsidR="00EB1108" w:rsidRPr="000F57AA" w:rsidRDefault="00EB1108" w:rsidP="00EB1108">
      <w:pPr>
        <w:spacing w:line="480" w:lineRule="auto"/>
        <w:ind w:left="360"/>
        <w:rPr>
          <w:rFonts w:ascii="Times New Roman" w:hAnsi="Times New Roman" w:cs="Times New Roman"/>
          <w:bCs/>
          <w:sz w:val="24"/>
          <w:szCs w:val="24"/>
        </w:rPr>
      </w:pPr>
      <w:r w:rsidRPr="000F57AA">
        <w:rPr>
          <w:rFonts w:ascii="Times New Roman" w:eastAsia="Times New Roman" w:hAnsi="Times New Roman" w:cs="Times New Roman"/>
          <w:sz w:val="24"/>
          <w:szCs w:val="24"/>
          <w:lang w:eastAsia="en-GB"/>
        </w:rPr>
        <w:t xml:space="preserve">Hilson, G. (2012) </w:t>
      </w:r>
      <w:r w:rsidRPr="000F57AA">
        <w:rPr>
          <w:rFonts w:ascii="Times New Roman" w:hAnsi="Times New Roman" w:cs="Times New Roman"/>
          <w:bCs/>
          <w:sz w:val="24"/>
          <w:szCs w:val="24"/>
        </w:rPr>
        <w:t xml:space="preserve">Corporate Social Responsibility in the extractive industry: </w:t>
      </w:r>
      <w:r w:rsidRPr="000F57AA">
        <w:rPr>
          <w:rFonts w:ascii="Times New Roman" w:hAnsi="Times New Roman" w:cs="Times New Roman"/>
          <w:bCs/>
          <w:sz w:val="24"/>
          <w:szCs w:val="24"/>
        </w:rPr>
        <w:tab/>
        <w:t>Experiences from developing countries</w:t>
      </w:r>
      <w:r w:rsidRPr="000F57AA">
        <w:rPr>
          <w:rFonts w:ascii="Times New Roman" w:hAnsi="Times New Roman" w:cs="Times New Roman"/>
          <w:b/>
          <w:bCs/>
          <w:sz w:val="24"/>
          <w:szCs w:val="24"/>
        </w:rPr>
        <w:t>, Research Policy</w:t>
      </w:r>
      <w:r w:rsidRPr="000F57AA">
        <w:rPr>
          <w:rFonts w:ascii="Times New Roman" w:hAnsi="Times New Roman" w:cs="Times New Roman"/>
          <w:bCs/>
          <w:sz w:val="24"/>
          <w:szCs w:val="24"/>
        </w:rPr>
        <w:t>, 37(2), 131-137.</w:t>
      </w:r>
    </w:p>
    <w:p w14:paraId="71C29B1B" w14:textId="04DF1B85" w:rsidR="00D270BB" w:rsidRPr="000F57AA" w:rsidRDefault="00EB1108" w:rsidP="00D270BB">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hAnsi="Times New Roman" w:cs="Times New Roman"/>
          <w:noProof/>
          <w:sz w:val="24"/>
          <w:szCs w:val="24"/>
        </w:rPr>
        <w:t xml:space="preserve">Hilson, G., &amp; Maconachie, G. (2009). “Good Governance" and the extractive industry in sub-saharan Africa.  </w:t>
      </w:r>
      <w:r w:rsidRPr="000F57AA">
        <w:rPr>
          <w:rFonts w:ascii="Times New Roman" w:hAnsi="Times New Roman" w:cs="Times New Roman"/>
          <w:b/>
          <w:i/>
          <w:noProof/>
          <w:sz w:val="24"/>
          <w:szCs w:val="24"/>
        </w:rPr>
        <w:t>Mineral Processing and Extractive Metallurgy Review</w:t>
      </w:r>
      <w:r w:rsidRPr="000F57AA">
        <w:rPr>
          <w:rFonts w:ascii="Times New Roman" w:hAnsi="Times New Roman" w:cs="Times New Roman"/>
          <w:noProof/>
          <w:sz w:val="24"/>
          <w:szCs w:val="24"/>
        </w:rPr>
        <w:t>, 30(1): 52-100.</w:t>
      </w:r>
    </w:p>
    <w:p w14:paraId="076EFAC0" w14:textId="51C551B8" w:rsidR="00D270BB" w:rsidRPr="000F57AA" w:rsidRDefault="00D270BB" w:rsidP="00D270BB">
      <w:pPr>
        <w:spacing w:line="480" w:lineRule="auto"/>
        <w:ind w:left="360"/>
        <w:rPr>
          <w:rFonts w:ascii="Times New Roman" w:eastAsia="Calibri" w:hAnsi="Times New Roman" w:cs="Times New Roman"/>
          <w:sz w:val="24"/>
          <w:szCs w:val="24"/>
          <w:lang w:val="en-US" w:bidi="he-IL"/>
        </w:rPr>
      </w:pPr>
      <w:r w:rsidRPr="000F57AA">
        <w:rPr>
          <w:rFonts w:ascii="Times New Roman" w:eastAsia="Calibri" w:hAnsi="Times New Roman" w:cs="Times New Roman"/>
          <w:sz w:val="24"/>
          <w:szCs w:val="24"/>
          <w:shd w:val="clear" w:color="auto" w:fill="FFFFFF"/>
          <w:lang w:val="en-US" w:bidi="he-IL"/>
        </w:rPr>
        <w:t>Hoenen, A. K., &amp; Kostova, T. (2015). Utilizing the broader agency perspective for studying headquarters–subsidiary relations in multinational companies. </w:t>
      </w:r>
      <w:r w:rsidRPr="000F57AA">
        <w:rPr>
          <w:rFonts w:ascii="Times New Roman" w:eastAsia="Calibri" w:hAnsi="Times New Roman" w:cs="Times New Roman"/>
          <w:b/>
          <w:bCs/>
          <w:i/>
          <w:iCs/>
          <w:sz w:val="24"/>
          <w:szCs w:val="24"/>
          <w:shd w:val="clear" w:color="auto" w:fill="FFFFFF"/>
          <w:lang w:val="en-US" w:bidi="he-IL"/>
        </w:rPr>
        <w:t>Journal of International Business Studies</w:t>
      </w:r>
      <w:r w:rsidRPr="000F57AA">
        <w:rPr>
          <w:rFonts w:ascii="Times New Roman" w:eastAsia="Calibri" w:hAnsi="Times New Roman" w:cs="Times New Roman"/>
          <w:sz w:val="24"/>
          <w:szCs w:val="24"/>
          <w:shd w:val="clear" w:color="auto" w:fill="FFFFFF"/>
          <w:lang w:val="en-US" w:bidi="he-IL"/>
        </w:rPr>
        <w:t>, </w:t>
      </w:r>
      <w:r w:rsidRPr="000F57AA">
        <w:rPr>
          <w:rFonts w:ascii="Times New Roman" w:eastAsia="Calibri" w:hAnsi="Times New Roman" w:cs="Times New Roman"/>
          <w:i/>
          <w:iCs/>
          <w:sz w:val="24"/>
          <w:szCs w:val="24"/>
          <w:shd w:val="clear" w:color="auto" w:fill="FFFFFF"/>
          <w:lang w:val="en-US" w:bidi="he-IL"/>
        </w:rPr>
        <w:t>46</w:t>
      </w:r>
      <w:r w:rsidRPr="000F57AA">
        <w:rPr>
          <w:rFonts w:ascii="Times New Roman" w:eastAsia="Calibri" w:hAnsi="Times New Roman" w:cs="Times New Roman"/>
          <w:sz w:val="24"/>
          <w:szCs w:val="24"/>
          <w:shd w:val="clear" w:color="auto" w:fill="FFFFFF"/>
          <w:lang w:val="en-US" w:bidi="he-IL"/>
        </w:rPr>
        <w:t>(1), 104-113.</w:t>
      </w:r>
    </w:p>
    <w:p w14:paraId="57B79615" w14:textId="7E2F6B3E" w:rsidR="0045213C"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Husted, B. W., &amp; Allen, D. B. (2006). Corporate social responsibility in the </w:t>
      </w:r>
      <w:r w:rsidRPr="000F57AA">
        <w:rPr>
          <w:rFonts w:ascii="Times New Roman" w:hAnsi="Times New Roman" w:cs="Times New Roman"/>
          <w:noProof/>
          <w:sz w:val="24"/>
          <w:szCs w:val="24"/>
        </w:rPr>
        <w:tab/>
        <w:t xml:space="preserve">multinational enterprise: strategic and institutional approaches </w:t>
      </w:r>
      <w:r w:rsidRPr="000F57AA">
        <w:rPr>
          <w:rFonts w:ascii="Times New Roman" w:hAnsi="Times New Roman" w:cs="Times New Roman"/>
          <w:b/>
          <w:i/>
          <w:noProof/>
          <w:sz w:val="24"/>
          <w:szCs w:val="24"/>
        </w:rPr>
        <w:t>Journal of International Business Studies</w:t>
      </w:r>
      <w:r w:rsidRPr="000F57AA">
        <w:rPr>
          <w:rFonts w:ascii="Times New Roman" w:hAnsi="Times New Roman" w:cs="Times New Roman"/>
          <w:noProof/>
          <w:sz w:val="24"/>
          <w:szCs w:val="24"/>
        </w:rPr>
        <w:t>, 37(6): 838-849.</w:t>
      </w:r>
    </w:p>
    <w:p w14:paraId="4C0D75BD" w14:textId="37A47793" w:rsidR="00EB1108" w:rsidRPr="000F57AA" w:rsidRDefault="00EB1108" w:rsidP="000F57AA">
      <w:pPr>
        <w:spacing w:line="480" w:lineRule="auto"/>
        <w:ind w:left="360"/>
        <w:rPr>
          <w:rFonts w:ascii="Times New Roman" w:hAnsi="Times New Roman"/>
          <w:sz w:val="24"/>
          <w:szCs w:val="24"/>
          <w:lang w:eastAsia="en-GB"/>
        </w:rPr>
      </w:pPr>
      <w:r w:rsidRPr="000F57AA">
        <w:rPr>
          <w:rFonts w:ascii="Times New Roman" w:hAnsi="Times New Roman" w:cs="Times New Roman"/>
          <w:sz w:val="24"/>
          <w:szCs w:val="24"/>
          <w:lang w:eastAsia="en-GB"/>
        </w:rPr>
        <w:lastRenderedPageBreak/>
        <w:t>Hymer, S. (1960/1976). The international operations of national firms: A study of direct</w:t>
      </w:r>
      <w:r w:rsidRPr="000F57AA">
        <w:rPr>
          <w:rFonts w:ascii="Times New Roman" w:hAnsi="Times New Roman" w:cs="Times New Roman"/>
          <w:sz w:val="24"/>
          <w:szCs w:val="24"/>
        </w:rPr>
        <w:t xml:space="preserve"> </w:t>
      </w:r>
      <w:r w:rsidRPr="000F57AA">
        <w:rPr>
          <w:rFonts w:ascii="Times New Roman" w:hAnsi="Times New Roman" w:cs="Times New Roman"/>
          <w:sz w:val="24"/>
          <w:szCs w:val="24"/>
          <w:lang w:eastAsia="en-GB"/>
        </w:rPr>
        <w:t>foreign investment. Cambridge, MA: MIT Press.</w:t>
      </w:r>
    </w:p>
    <w:p w14:paraId="3B6AC2C8" w14:textId="3B8C0DDB"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eastAsia="Times New Roman" w:hAnsi="Times New Roman"/>
          <w:sz w:val="24"/>
          <w:szCs w:val="24"/>
          <w:lang w:eastAsia="en-GB"/>
        </w:rPr>
        <w:t xml:space="preserve">IMF (2012) </w:t>
      </w:r>
      <w:r w:rsidRPr="000F57AA">
        <w:rPr>
          <w:rFonts w:ascii="Times New Roman" w:hAnsi="Times New Roman"/>
          <w:sz w:val="24"/>
          <w:szCs w:val="24"/>
        </w:rPr>
        <w:t xml:space="preserve">Regional economic outlook. Sub-Saharan Africa. Maintaining Growth in </w:t>
      </w:r>
      <w:r w:rsidRPr="000F57AA">
        <w:rPr>
          <w:rFonts w:ascii="Times New Roman" w:hAnsi="Times New Roman"/>
          <w:sz w:val="24"/>
          <w:szCs w:val="24"/>
        </w:rPr>
        <w:tab/>
        <w:t>an Uncertain World</w:t>
      </w:r>
      <w:r w:rsidRPr="000F57AA">
        <w:rPr>
          <w:rFonts w:ascii="Times New Roman" w:eastAsia="Times New Roman" w:hAnsi="Times New Roman"/>
          <w:sz w:val="24"/>
          <w:szCs w:val="24"/>
          <w:lang w:eastAsia="en-GB"/>
        </w:rPr>
        <w:t xml:space="preserve">, </w:t>
      </w:r>
      <w:r w:rsidRPr="000F57AA">
        <w:rPr>
          <w:rFonts w:ascii="Times New Roman" w:hAnsi="Times New Roman"/>
          <w:b/>
          <w:i/>
          <w:sz w:val="24"/>
          <w:szCs w:val="24"/>
        </w:rPr>
        <w:t>World Economic and Financial Surveys</w:t>
      </w:r>
      <w:r w:rsidRPr="000F57AA">
        <w:rPr>
          <w:rFonts w:ascii="Times New Roman" w:hAnsi="Times New Roman"/>
          <w:sz w:val="24"/>
          <w:szCs w:val="24"/>
        </w:rPr>
        <w:t>, Washington, D.C.</w:t>
      </w:r>
    </w:p>
    <w:p w14:paraId="09BF3472" w14:textId="1B23148C"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 xml:space="preserve">Jenkins, H. (2009) A Business Opportunity Model of Corporate Social Responsibility for Small-and Medium-Sized Enterprises, </w:t>
      </w:r>
      <w:r w:rsidRPr="000F57AA">
        <w:rPr>
          <w:rFonts w:ascii="Times New Roman" w:hAnsi="Times New Roman"/>
          <w:b/>
          <w:i/>
          <w:sz w:val="24"/>
          <w:szCs w:val="24"/>
        </w:rPr>
        <w:t xml:space="preserve">Business Ethics: A European </w:t>
      </w:r>
      <w:r w:rsidRPr="000F57AA">
        <w:rPr>
          <w:rFonts w:ascii="Times New Roman" w:hAnsi="Times New Roman"/>
          <w:b/>
          <w:i/>
          <w:sz w:val="24"/>
          <w:szCs w:val="24"/>
        </w:rPr>
        <w:tab/>
        <w:t>Review,</w:t>
      </w:r>
      <w:r w:rsidRPr="000F57AA">
        <w:rPr>
          <w:rFonts w:ascii="Times New Roman" w:hAnsi="Times New Roman"/>
          <w:sz w:val="24"/>
          <w:szCs w:val="24"/>
        </w:rPr>
        <w:t xml:space="preserve"> 18(1), 21- 36.</w:t>
      </w:r>
    </w:p>
    <w:p w14:paraId="074BBF53" w14:textId="0641745F" w:rsidR="00EB1108" w:rsidRPr="000F57AA" w:rsidRDefault="00EB1108" w:rsidP="00EB1108">
      <w:pPr>
        <w:spacing w:line="480" w:lineRule="auto"/>
        <w:ind w:left="360"/>
        <w:rPr>
          <w:rFonts w:ascii="Times New Roman" w:eastAsia="Times New Roman" w:hAnsi="Times New Roman" w:cs="Times New Roman"/>
          <w:sz w:val="24"/>
          <w:szCs w:val="24"/>
          <w:lang w:eastAsia="en-GB"/>
        </w:rPr>
      </w:pPr>
      <w:r w:rsidRPr="000F57AA">
        <w:rPr>
          <w:rFonts w:ascii="Times New Roman" w:hAnsi="Times New Roman" w:cs="Times New Roman"/>
          <w:noProof/>
          <w:sz w:val="24"/>
          <w:szCs w:val="24"/>
        </w:rPr>
        <w:t>Jonhston, (2006). Attack on indondesia mining camp. Available at:</w:t>
      </w:r>
      <w:r w:rsidRPr="000F57AA">
        <w:rPr>
          <w:rFonts w:ascii="Times New Roman" w:hAnsi="Times New Roman" w:cs="Times New Roman"/>
          <w:sz w:val="24"/>
          <w:szCs w:val="24"/>
        </w:rPr>
        <w:t xml:space="preserve"> </w:t>
      </w:r>
      <w:r w:rsidRPr="000F57AA">
        <w:rPr>
          <w:rFonts w:ascii="Times New Roman" w:hAnsi="Times New Roman" w:cs="Times New Roman"/>
          <w:noProof/>
          <w:sz w:val="24"/>
          <w:szCs w:val="24"/>
        </w:rPr>
        <w:t xml:space="preserve"> </w:t>
      </w:r>
      <w:hyperlink r:id="rId14" w:history="1">
        <w:r w:rsidRPr="000F57AA">
          <w:rPr>
            <w:rStyle w:val="Hyperlink"/>
            <w:rFonts w:ascii="Times New Roman" w:hAnsi="Times New Roman" w:cs="Times New Roman"/>
            <w:noProof/>
            <w:color w:val="auto"/>
            <w:sz w:val="24"/>
            <w:szCs w:val="24"/>
          </w:rPr>
          <w:t>http://news.bbc.co.uk/1/hi/world/asia-pacific/4823842.stm</w:t>
        </w:r>
      </w:hyperlink>
      <w:r w:rsidR="002834EE" w:rsidRPr="000F57AA">
        <w:rPr>
          <w:rFonts w:ascii="Times New Roman" w:hAnsi="Times New Roman" w:cs="Times New Roman"/>
          <w:noProof/>
          <w:sz w:val="24"/>
          <w:szCs w:val="24"/>
        </w:rPr>
        <w:t xml:space="preserve"> (accessed on 15.05.2017)</w:t>
      </w:r>
      <w:r w:rsidRPr="000F57AA">
        <w:rPr>
          <w:rFonts w:ascii="Times New Roman" w:hAnsi="Times New Roman" w:cs="Times New Roman"/>
          <w:noProof/>
          <w:sz w:val="24"/>
          <w:szCs w:val="24"/>
        </w:rPr>
        <w:t>.</w:t>
      </w:r>
    </w:p>
    <w:p w14:paraId="5FE420BB" w14:textId="77777777" w:rsidR="00515C31" w:rsidRPr="000F57AA" w:rsidRDefault="00EB1108" w:rsidP="00515C31">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hAnsi="Times New Roman" w:cs="Times New Roman"/>
          <w:sz w:val="24"/>
          <w:szCs w:val="24"/>
        </w:rPr>
        <w:t xml:space="preserve">Kindleberger C.P. (1969) American Business Abroad, </w:t>
      </w:r>
      <w:r w:rsidRPr="000F57AA">
        <w:rPr>
          <w:rFonts w:ascii="Times New Roman" w:hAnsi="Times New Roman" w:cs="Times New Roman"/>
          <w:b/>
          <w:i/>
          <w:sz w:val="24"/>
          <w:szCs w:val="24"/>
        </w:rPr>
        <w:t>The International Executive,</w:t>
      </w:r>
      <w:r w:rsidRPr="000F57AA">
        <w:rPr>
          <w:rFonts w:ascii="Times New Roman" w:hAnsi="Times New Roman" w:cs="Times New Roman"/>
          <w:sz w:val="24"/>
          <w:szCs w:val="24"/>
        </w:rPr>
        <w:t xml:space="preserve"> </w:t>
      </w:r>
      <w:r w:rsidRPr="000F57AA">
        <w:rPr>
          <w:rFonts w:ascii="Times New Roman" w:hAnsi="Times New Roman" w:cs="Times New Roman"/>
          <w:sz w:val="24"/>
          <w:szCs w:val="24"/>
        </w:rPr>
        <w:tab/>
        <w:t>11, 11–12.</w:t>
      </w:r>
      <w:r w:rsidR="00515C31" w:rsidRPr="000F57AA">
        <w:rPr>
          <w:rFonts w:ascii="Times New Roman" w:eastAsia="Calibri" w:hAnsi="Times New Roman" w:cs="Times New Roman"/>
          <w:sz w:val="24"/>
          <w:szCs w:val="24"/>
          <w:shd w:val="clear" w:color="auto" w:fill="FFFFFF"/>
          <w:lang w:val="en-US" w:bidi="he-IL"/>
        </w:rPr>
        <w:t xml:space="preserve"> </w:t>
      </w:r>
    </w:p>
    <w:p w14:paraId="3E402BE4" w14:textId="77777777" w:rsidR="00343B7D" w:rsidRPr="000F57AA" w:rsidRDefault="00515C31" w:rsidP="00343B7D">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eastAsia="Calibri" w:hAnsi="Times New Roman" w:cs="Times New Roman"/>
          <w:sz w:val="24"/>
          <w:szCs w:val="24"/>
          <w:shd w:val="clear" w:color="auto" w:fill="FFFFFF"/>
          <w:lang w:val="en-US" w:bidi="he-IL"/>
        </w:rPr>
        <w:t>Kostova, T., Marano, V., &amp; Tallman, S. (2016). Headquarters–subsidiary relationships in MNCs: Fifty years of evolving research. </w:t>
      </w:r>
      <w:r w:rsidRPr="000F57AA">
        <w:rPr>
          <w:rFonts w:ascii="Times New Roman" w:eastAsia="Calibri" w:hAnsi="Times New Roman" w:cs="Times New Roman"/>
          <w:b/>
          <w:bCs/>
          <w:i/>
          <w:iCs/>
          <w:sz w:val="24"/>
          <w:szCs w:val="24"/>
          <w:shd w:val="clear" w:color="auto" w:fill="FFFFFF"/>
          <w:lang w:val="en-US" w:bidi="he-IL"/>
        </w:rPr>
        <w:t>Journal of World Business</w:t>
      </w:r>
      <w:r w:rsidRPr="000F57AA">
        <w:rPr>
          <w:rFonts w:ascii="Times New Roman" w:eastAsia="Calibri" w:hAnsi="Times New Roman" w:cs="Times New Roman"/>
          <w:sz w:val="24"/>
          <w:szCs w:val="24"/>
          <w:shd w:val="clear" w:color="auto" w:fill="FFFFFF"/>
          <w:lang w:val="en-US" w:bidi="he-IL"/>
        </w:rPr>
        <w:t>, </w:t>
      </w:r>
      <w:r w:rsidRPr="000F57AA">
        <w:rPr>
          <w:rFonts w:ascii="Times New Roman" w:eastAsia="Calibri" w:hAnsi="Times New Roman" w:cs="Times New Roman"/>
          <w:i/>
          <w:iCs/>
          <w:sz w:val="24"/>
          <w:szCs w:val="24"/>
          <w:shd w:val="clear" w:color="auto" w:fill="FFFFFF"/>
          <w:lang w:val="en-US" w:bidi="he-IL"/>
        </w:rPr>
        <w:t>51</w:t>
      </w:r>
      <w:r w:rsidRPr="000F57AA">
        <w:rPr>
          <w:rFonts w:ascii="Times New Roman" w:eastAsia="Calibri" w:hAnsi="Times New Roman" w:cs="Times New Roman"/>
          <w:sz w:val="24"/>
          <w:szCs w:val="24"/>
          <w:shd w:val="clear" w:color="auto" w:fill="FFFFFF"/>
          <w:lang w:val="en-US" w:bidi="he-IL"/>
        </w:rPr>
        <w:t>(1), 176-184.</w:t>
      </w:r>
    </w:p>
    <w:p w14:paraId="42B2C303" w14:textId="3EE0A29E" w:rsidR="00343B7D" w:rsidRPr="000F57AA" w:rsidRDefault="00343B7D" w:rsidP="00343B7D">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eastAsia="Calibri" w:hAnsi="Times New Roman" w:cs="Times New Roman"/>
          <w:sz w:val="24"/>
          <w:szCs w:val="24"/>
          <w:shd w:val="clear" w:color="auto" w:fill="FFFFFF"/>
          <w:lang w:val="en-US" w:bidi="he-IL"/>
        </w:rPr>
        <w:t>Kostova, T., Nell, P. C., &amp; Hoenen, A. K. (2016). Understanding Agency Problems in Headquarters-Subsidiary Relationships in Multinational Corporations A Contextualized Model. </w:t>
      </w:r>
      <w:r w:rsidRPr="000F57AA">
        <w:rPr>
          <w:rFonts w:ascii="Times New Roman" w:eastAsia="Calibri" w:hAnsi="Times New Roman" w:cs="Times New Roman"/>
          <w:b/>
          <w:bCs/>
          <w:i/>
          <w:iCs/>
          <w:sz w:val="24"/>
          <w:szCs w:val="24"/>
          <w:shd w:val="clear" w:color="auto" w:fill="FFFFFF"/>
          <w:lang w:val="en-US" w:bidi="he-IL"/>
        </w:rPr>
        <w:t>Journal of Management</w:t>
      </w:r>
      <w:r w:rsidRPr="000F57AA">
        <w:rPr>
          <w:rFonts w:ascii="Times New Roman" w:eastAsia="Calibri" w:hAnsi="Times New Roman" w:cs="Times New Roman"/>
          <w:sz w:val="24"/>
          <w:szCs w:val="24"/>
          <w:shd w:val="clear" w:color="auto" w:fill="FFFFFF"/>
          <w:lang w:val="en-US" w:bidi="he-IL"/>
        </w:rPr>
        <w:t>, 0149206316648383.</w:t>
      </w:r>
    </w:p>
    <w:p w14:paraId="57E3FD45" w14:textId="4BDE5A7B" w:rsidR="00C5254A" w:rsidRPr="000F57AA" w:rsidRDefault="00C5254A" w:rsidP="00C5254A">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eastAsia="Calibri" w:hAnsi="Times New Roman" w:cs="Times New Roman"/>
          <w:sz w:val="24"/>
          <w:szCs w:val="24"/>
          <w:shd w:val="clear" w:color="auto" w:fill="FFFFFF"/>
          <w:lang w:val="en-US" w:bidi="he-IL"/>
        </w:rPr>
        <w:lastRenderedPageBreak/>
        <w:t>Kostova, T., &amp; Roth, K. (2002). Adoption of an organizational practice by subsidiaries of multinational corporations: Institutional and relational effects. </w:t>
      </w:r>
      <w:r w:rsidRPr="000F57AA">
        <w:rPr>
          <w:rFonts w:ascii="Times New Roman" w:eastAsia="Calibri" w:hAnsi="Times New Roman" w:cs="Times New Roman"/>
          <w:b/>
          <w:bCs/>
          <w:i/>
          <w:iCs/>
          <w:sz w:val="24"/>
          <w:szCs w:val="24"/>
          <w:shd w:val="clear" w:color="auto" w:fill="FFFFFF"/>
          <w:lang w:val="en-US" w:bidi="he-IL"/>
        </w:rPr>
        <w:t>Academy of Management Journal</w:t>
      </w:r>
      <w:r w:rsidRPr="000F57AA">
        <w:rPr>
          <w:rFonts w:ascii="Times New Roman" w:eastAsia="Calibri" w:hAnsi="Times New Roman" w:cs="Times New Roman"/>
          <w:sz w:val="24"/>
          <w:szCs w:val="24"/>
          <w:shd w:val="clear" w:color="auto" w:fill="FFFFFF"/>
          <w:lang w:val="en-US" w:bidi="he-IL"/>
        </w:rPr>
        <w:t>, </w:t>
      </w:r>
      <w:r w:rsidRPr="000F57AA">
        <w:rPr>
          <w:rFonts w:ascii="Times New Roman" w:eastAsia="Calibri" w:hAnsi="Times New Roman" w:cs="Times New Roman"/>
          <w:i/>
          <w:iCs/>
          <w:sz w:val="24"/>
          <w:szCs w:val="24"/>
          <w:shd w:val="clear" w:color="auto" w:fill="FFFFFF"/>
          <w:lang w:val="en-US" w:bidi="he-IL"/>
        </w:rPr>
        <w:t>45</w:t>
      </w:r>
      <w:r w:rsidRPr="000F57AA">
        <w:rPr>
          <w:rFonts w:ascii="Times New Roman" w:eastAsia="Calibri" w:hAnsi="Times New Roman" w:cs="Times New Roman"/>
          <w:sz w:val="24"/>
          <w:szCs w:val="24"/>
          <w:shd w:val="clear" w:color="auto" w:fill="FFFFFF"/>
          <w:lang w:val="en-US" w:bidi="he-IL"/>
        </w:rPr>
        <w:t>(1), 215-233.</w:t>
      </w:r>
    </w:p>
    <w:p w14:paraId="73AB1328" w14:textId="7C3236FC" w:rsidR="001A197C" w:rsidRPr="000F57AA" w:rsidRDefault="00EB1108" w:rsidP="001A197C">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hAnsi="Times New Roman" w:cs="Times New Roman"/>
          <w:noProof/>
          <w:sz w:val="24"/>
          <w:szCs w:val="24"/>
        </w:rPr>
        <w:t xml:space="preserve">Logsdon, J. M., &amp; Wood, D. J. (2005). Global Business Citizenship and Voluntary Codes of Ethical Conduct. </w:t>
      </w:r>
      <w:r w:rsidRPr="000F57AA">
        <w:rPr>
          <w:rFonts w:ascii="Times New Roman" w:hAnsi="Times New Roman" w:cs="Times New Roman"/>
          <w:b/>
          <w:i/>
          <w:noProof/>
          <w:sz w:val="24"/>
          <w:szCs w:val="24"/>
        </w:rPr>
        <w:t>Journal of Business Ethics</w:t>
      </w:r>
      <w:r w:rsidRPr="000F57AA">
        <w:rPr>
          <w:rFonts w:ascii="Times New Roman" w:hAnsi="Times New Roman" w:cs="Times New Roman"/>
          <w:noProof/>
          <w:sz w:val="24"/>
          <w:szCs w:val="24"/>
        </w:rPr>
        <w:t>, 59(1): 55-67.</w:t>
      </w:r>
    </w:p>
    <w:p w14:paraId="634625A8" w14:textId="050AC824" w:rsidR="001A197C" w:rsidRPr="000F57AA" w:rsidRDefault="001A197C" w:rsidP="001A197C">
      <w:pPr>
        <w:spacing w:line="480" w:lineRule="auto"/>
        <w:ind w:left="360"/>
        <w:rPr>
          <w:rFonts w:ascii="Times New Roman" w:eastAsia="Calibri" w:hAnsi="Times New Roman" w:cs="Times New Roman"/>
          <w:sz w:val="24"/>
          <w:szCs w:val="24"/>
          <w:lang w:val="en-US" w:bidi="he-IL"/>
        </w:rPr>
      </w:pPr>
      <w:r w:rsidRPr="000F57AA">
        <w:rPr>
          <w:rFonts w:ascii="Times New Roman" w:eastAsia="Calibri" w:hAnsi="Times New Roman" w:cs="Times New Roman"/>
          <w:sz w:val="24"/>
          <w:szCs w:val="24"/>
          <w:shd w:val="clear" w:color="auto" w:fill="FFFFFF"/>
          <w:lang w:val="en-US" w:bidi="he-IL"/>
        </w:rPr>
        <w:t>Marano, V., &amp; Kostova, T. (2016). Unpacking the institutional complexity in adoption of CSR practices in multinational enterprises. </w:t>
      </w:r>
      <w:r w:rsidRPr="000F57AA">
        <w:rPr>
          <w:rFonts w:ascii="Times New Roman" w:eastAsia="Calibri" w:hAnsi="Times New Roman" w:cs="Times New Roman"/>
          <w:b/>
          <w:bCs/>
          <w:i/>
          <w:iCs/>
          <w:sz w:val="24"/>
          <w:szCs w:val="24"/>
          <w:shd w:val="clear" w:color="auto" w:fill="FFFFFF"/>
          <w:lang w:val="en-US" w:bidi="he-IL"/>
        </w:rPr>
        <w:t>Journal of Management Studies</w:t>
      </w:r>
      <w:r w:rsidRPr="000F57AA">
        <w:rPr>
          <w:rFonts w:ascii="Times New Roman" w:eastAsia="Calibri" w:hAnsi="Times New Roman" w:cs="Times New Roman"/>
          <w:sz w:val="24"/>
          <w:szCs w:val="24"/>
          <w:shd w:val="clear" w:color="auto" w:fill="FFFFFF"/>
          <w:lang w:val="en-US" w:bidi="he-IL"/>
        </w:rPr>
        <w:t>, </w:t>
      </w:r>
      <w:r w:rsidRPr="000F57AA">
        <w:rPr>
          <w:rFonts w:ascii="Times New Roman" w:eastAsia="Calibri" w:hAnsi="Times New Roman" w:cs="Times New Roman"/>
          <w:i/>
          <w:iCs/>
          <w:sz w:val="24"/>
          <w:szCs w:val="24"/>
          <w:shd w:val="clear" w:color="auto" w:fill="FFFFFF"/>
          <w:lang w:val="en-US" w:bidi="he-IL"/>
        </w:rPr>
        <w:t>53</w:t>
      </w:r>
      <w:r w:rsidRPr="000F57AA">
        <w:rPr>
          <w:rFonts w:ascii="Times New Roman" w:eastAsia="Calibri" w:hAnsi="Times New Roman" w:cs="Times New Roman"/>
          <w:sz w:val="24"/>
          <w:szCs w:val="24"/>
          <w:shd w:val="clear" w:color="auto" w:fill="FFFFFF"/>
          <w:lang w:val="en-US" w:bidi="he-IL"/>
        </w:rPr>
        <w:t>(1), 28-54.</w:t>
      </w:r>
    </w:p>
    <w:p w14:paraId="74FACE01" w14:textId="181A0CA6"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 xml:space="preserve">Mares, R. (2012). Corporate Responsibility and Compliance with the Law: A Case Study of Land, Dispossession, and Aftermath at Newmont's Ahafo Project in Ghana1. </w:t>
      </w:r>
      <w:r w:rsidRPr="000F57AA">
        <w:rPr>
          <w:rFonts w:ascii="Times New Roman" w:hAnsi="Times New Roman"/>
          <w:sz w:val="24"/>
          <w:szCs w:val="24"/>
        </w:rPr>
        <w:tab/>
      </w:r>
      <w:r w:rsidRPr="000F57AA">
        <w:rPr>
          <w:rFonts w:ascii="Times New Roman" w:hAnsi="Times New Roman"/>
          <w:b/>
          <w:i/>
          <w:sz w:val="24"/>
          <w:szCs w:val="24"/>
        </w:rPr>
        <w:t>Business and Society Review</w:t>
      </w:r>
      <w:r w:rsidRPr="000F57AA">
        <w:rPr>
          <w:rFonts w:ascii="Times New Roman" w:hAnsi="Times New Roman"/>
          <w:b/>
          <w:sz w:val="24"/>
          <w:szCs w:val="24"/>
        </w:rPr>
        <w:t>:</w:t>
      </w:r>
      <w:r w:rsidRPr="000F57AA">
        <w:rPr>
          <w:rFonts w:ascii="Times New Roman" w:hAnsi="Times New Roman"/>
          <w:sz w:val="24"/>
          <w:szCs w:val="24"/>
        </w:rPr>
        <w:t xml:space="preserve"> 117(2), 233-280.</w:t>
      </w:r>
    </w:p>
    <w:p w14:paraId="54BE057B" w14:textId="3A63EF42"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Matten, D., &amp; Moon, J. (2008). "Implicit" and "Explicit" CSR: A Conceptual </w:t>
      </w:r>
      <w:r w:rsidRPr="000F57AA">
        <w:rPr>
          <w:rFonts w:ascii="Times New Roman" w:hAnsi="Times New Roman" w:cs="Times New Roman"/>
          <w:noProof/>
          <w:sz w:val="24"/>
          <w:szCs w:val="24"/>
        </w:rPr>
        <w:tab/>
        <w:t xml:space="preserve">Framework for a Comparative Understanding of Corporate Social Responsibility. </w:t>
      </w:r>
      <w:r w:rsidRPr="000F57AA">
        <w:rPr>
          <w:rFonts w:ascii="Times New Roman" w:hAnsi="Times New Roman" w:cs="Times New Roman"/>
          <w:b/>
          <w:i/>
          <w:noProof/>
          <w:sz w:val="24"/>
          <w:szCs w:val="24"/>
        </w:rPr>
        <w:t>Academy of Management Review</w:t>
      </w:r>
      <w:r w:rsidRPr="000F57AA">
        <w:rPr>
          <w:rFonts w:ascii="Times New Roman" w:hAnsi="Times New Roman" w:cs="Times New Roman"/>
          <w:noProof/>
          <w:sz w:val="24"/>
          <w:szCs w:val="24"/>
        </w:rPr>
        <w:t>, 33(2): 404-424.</w:t>
      </w:r>
    </w:p>
    <w:p w14:paraId="0BF42BC5" w14:textId="57C4D220" w:rsidR="0048777A" w:rsidRPr="000F57AA" w:rsidRDefault="0048777A" w:rsidP="000F57AA">
      <w:pPr>
        <w:spacing w:line="480" w:lineRule="auto"/>
        <w:ind w:left="360"/>
        <w:rPr>
          <w:rFonts w:ascii="Times New Roman" w:eastAsia="Times New Roman" w:hAnsi="Times New Roman" w:cs="Times New Roman"/>
          <w:bCs/>
          <w:kern w:val="36"/>
          <w:sz w:val="24"/>
          <w:szCs w:val="24"/>
        </w:rPr>
      </w:pPr>
      <w:r w:rsidRPr="000F57AA">
        <w:rPr>
          <w:rFonts w:ascii="Times New Roman" w:hAnsi="Times New Roman" w:cs="Times New Roman"/>
          <w:noProof/>
          <w:sz w:val="24"/>
          <w:szCs w:val="24"/>
        </w:rPr>
        <w:lastRenderedPageBreak/>
        <w:t xml:space="preserve">Mayes, R. (2015). </w:t>
      </w:r>
      <w:r w:rsidRPr="000F57AA">
        <w:rPr>
          <w:rFonts w:ascii="Times New Roman" w:eastAsia="Times New Roman" w:hAnsi="Times New Roman" w:cs="Times New Roman"/>
          <w:bCs/>
          <w:kern w:val="36"/>
          <w:sz w:val="24"/>
          <w:szCs w:val="24"/>
        </w:rPr>
        <w:t>A social licence to operate: corporate social responsibility, local communities and the constitution of global production networks. Global Networks, 15 (1): 109-128</w:t>
      </w:r>
    </w:p>
    <w:p w14:paraId="532B834E" w14:textId="77777777" w:rsidR="0048777A" w:rsidRPr="000F57AA" w:rsidRDefault="0048777A" w:rsidP="000F57AA">
      <w:pPr>
        <w:spacing w:line="480" w:lineRule="auto"/>
        <w:rPr>
          <w:rFonts w:ascii="Times New Roman" w:hAnsi="Times New Roman" w:cs="Times New Roman"/>
          <w:noProof/>
          <w:sz w:val="24"/>
          <w:szCs w:val="24"/>
        </w:rPr>
      </w:pPr>
    </w:p>
    <w:p w14:paraId="18E5291C" w14:textId="77777777" w:rsidR="00EB1108" w:rsidRPr="000F57AA" w:rsidRDefault="00EB1108" w:rsidP="00EB1108">
      <w:pPr>
        <w:spacing w:line="480" w:lineRule="auto"/>
        <w:ind w:left="360"/>
        <w:rPr>
          <w:rFonts w:ascii="Times New Roman" w:eastAsia="MS Gothic" w:hAnsi="Times New Roman" w:cs="Times New Roman"/>
          <w:sz w:val="24"/>
          <w:szCs w:val="24"/>
          <w:lang w:val="en-US"/>
        </w:rPr>
      </w:pPr>
      <w:r w:rsidRPr="000F57AA">
        <w:rPr>
          <w:rFonts w:ascii="Times New Roman" w:eastAsia="MS Gothic" w:hAnsi="Times New Roman" w:cs="Times New Roman"/>
          <w:sz w:val="24"/>
          <w:szCs w:val="24"/>
          <w:lang w:val="en-US"/>
        </w:rPr>
        <w:t xml:space="preserve">Ministry of Lands and Natural Resources, 2012. Ghana investment plan for the forest investment program. Available (online) at: </w:t>
      </w:r>
      <w:hyperlink r:id="rId15" w:history="1">
        <w:r w:rsidRPr="000F57AA">
          <w:rPr>
            <w:rStyle w:val="Hyperlink"/>
            <w:rFonts w:ascii="Times New Roman" w:eastAsia="MS Gothic" w:hAnsi="Times New Roman" w:cs="Times New Roman"/>
            <w:color w:val="auto"/>
            <w:sz w:val="24"/>
            <w:szCs w:val="24"/>
            <w:lang w:val="en-US"/>
          </w:rPr>
          <w:t>http://www.fcghana.org/assets/file/Programmes/Forest_Investment_Plan_fip/Ghana%20Draft%20FIP%203-5%20_31_august2012.pdf</w:t>
        </w:r>
      </w:hyperlink>
      <w:r w:rsidRPr="000F57AA">
        <w:rPr>
          <w:rFonts w:ascii="Times New Roman" w:eastAsia="MS Gothic" w:hAnsi="Times New Roman" w:cs="Times New Roman"/>
          <w:sz w:val="24"/>
          <w:szCs w:val="24"/>
          <w:lang w:val="en-US"/>
        </w:rPr>
        <w:t xml:space="preserve"> </w:t>
      </w:r>
    </w:p>
    <w:p w14:paraId="2A66E074" w14:textId="647AD8A2" w:rsidR="00EB1108" w:rsidRPr="000F57AA" w:rsidRDefault="00EB1108" w:rsidP="00EB1108">
      <w:pPr>
        <w:spacing w:line="480" w:lineRule="auto"/>
        <w:ind w:left="360"/>
        <w:rPr>
          <w:rFonts w:ascii="Times New Roman" w:hAnsi="Times New Roman" w:cs="Times New Roman"/>
          <w:sz w:val="24"/>
          <w:szCs w:val="24"/>
          <w:lang w:val="en-US"/>
        </w:rPr>
      </w:pPr>
      <w:r w:rsidRPr="000F57AA">
        <w:rPr>
          <w:rFonts w:ascii="Times New Roman" w:hAnsi="Times New Roman" w:cs="Times New Roman"/>
          <w:sz w:val="24"/>
          <w:szCs w:val="24"/>
          <w:lang w:val="en-US"/>
        </w:rPr>
        <w:t xml:space="preserve">Moeller, M., Harvey, M., Griffith, D., &amp; Richey, G. (2013). The impact of country-of-origin on the acceptance of foreign subsidiaries in host countries: An </w:t>
      </w:r>
      <w:r w:rsidRPr="000F57AA">
        <w:rPr>
          <w:rFonts w:ascii="Times New Roman" w:hAnsi="Times New Roman" w:cs="Times New Roman"/>
          <w:sz w:val="24"/>
          <w:szCs w:val="24"/>
          <w:lang w:val="en-US"/>
        </w:rPr>
        <w:tab/>
        <w:t xml:space="preserve">examination of the ‘liability-of-foreignness’. </w:t>
      </w:r>
      <w:r w:rsidRPr="000F57AA">
        <w:rPr>
          <w:rFonts w:ascii="Times New Roman" w:hAnsi="Times New Roman" w:cs="Times New Roman"/>
          <w:b/>
          <w:i/>
          <w:sz w:val="24"/>
          <w:szCs w:val="24"/>
          <w:lang w:val="en-US"/>
        </w:rPr>
        <w:t>International Business Review</w:t>
      </w:r>
      <w:r w:rsidRPr="000F57AA">
        <w:rPr>
          <w:rFonts w:ascii="Times New Roman" w:hAnsi="Times New Roman" w:cs="Times New Roman"/>
          <w:sz w:val="24"/>
          <w:szCs w:val="24"/>
          <w:lang w:val="en-US"/>
        </w:rPr>
        <w:t>, 22(1): 89-99.</w:t>
      </w:r>
    </w:p>
    <w:p w14:paraId="47BD8E58" w14:textId="65516808" w:rsidR="00EB1108" w:rsidRPr="000F57AA" w:rsidRDefault="000A45C6" w:rsidP="00EB1108">
      <w:pPr>
        <w:spacing w:line="480" w:lineRule="auto"/>
        <w:ind w:left="360"/>
        <w:rPr>
          <w:rFonts w:ascii="Times New Roman" w:hAnsi="Times New Roman" w:cs="Times New Roman"/>
          <w:sz w:val="24"/>
          <w:szCs w:val="24"/>
        </w:rPr>
      </w:pPr>
      <w:r w:rsidRPr="000F57AA">
        <w:rPr>
          <w:rFonts w:ascii="Times New Roman" w:eastAsia="Times New Roman" w:hAnsi="Times New Roman" w:cs="Times New Roman"/>
          <w:sz w:val="24"/>
          <w:szCs w:val="24"/>
          <w:lang w:eastAsia="en-AU"/>
        </w:rPr>
        <w:t>Munjal, S., &amp; Tripathy, R. 2016. Corporate social responsibility under regulatory framework: A case study of Dedicated Freight Corridor Corporation of India, Working Paper. Leeds: University of Leeds.</w:t>
      </w:r>
      <w:r w:rsidRPr="000F57AA">
        <w:rPr>
          <w:rFonts w:ascii="Times New Roman" w:eastAsia="Times New Roman" w:hAnsi="Times New Roman" w:cs="Times New Roman"/>
          <w:sz w:val="24"/>
          <w:szCs w:val="24"/>
          <w:lang w:eastAsia="en-AU"/>
        </w:rPr>
        <w:br/>
      </w:r>
      <w:r w:rsidR="00EB1108" w:rsidRPr="000F57AA">
        <w:rPr>
          <w:rFonts w:ascii="Times New Roman" w:hAnsi="Times New Roman" w:cs="Times New Roman"/>
          <w:sz w:val="24"/>
          <w:szCs w:val="24"/>
        </w:rPr>
        <w:lastRenderedPageBreak/>
        <w:t>Nachum, L. (2003). Liability of foreignness in global competition? Financial service affiliates in the city of London. Strategic Management Journal, 24: 1187-1208.</w:t>
      </w:r>
    </w:p>
    <w:p w14:paraId="239F8B46" w14:textId="56DDC0D7" w:rsidR="0045213C"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NADeF, 20</w:t>
      </w:r>
      <w:r w:rsidR="0045213C" w:rsidRPr="000F57AA">
        <w:rPr>
          <w:rFonts w:ascii="Times New Roman" w:hAnsi="Times New Roman" w:cs="Times New Roman"/>
          <w:sz w:val="24"/>
          <w:szCs w:val="24"/>
        </w:rPr>
        <w:t>09</w:t>
      </w:r>
      <w:r w:rsidRPr="000F57AA">
        <w:rPr>
          <w:rFonts w:ascii="Times New Roman" w:hAnsi="Times New Roman" w:cs="Times New Roman"/>
          <w:sz w:val="24"/>
          <w:szCs w:val="24"/>
        </w:rPr>
        <w:t>. Annual Report 20</w:t>
      </w:r>
      <w:r w:rsidR="0045213C" w:rsidRPr="000F57AA">
        <w:rPr>
          <w:rFonts w:ascii="Times New Roman" w:hAnsi="Times New Roman" w:cs="Times New Roman"/>
          <w:sz w:val="24"/>
          <w:szCs w:val="24"/>
        </w:rPr>
        <w:t>09</w:t>
      </w:r>
    </w:p>
    <w:p w14:paraId="4E0A9564" w14:textId="5F8D102D" w:rsidR="00EB1108" w:rsidRPr="000F57AA" w:rsidRDefault="0045213C"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NADeF 2015. Annual Report 2015</w:t>
      </w:r>
      <w:r w:rsidR="00EB1108" w:rsidRPr="000F57AA">
        <w:rPr>
          <w:rFonts w:ascii="Times New Roman" w:hAnsi="Times New Roman" w:cs="Times New Roman"/>
          <w:sz w:val="24"/>
          <w:szCs w:val="24"/>
        </w:rPr>
        <w:t xml:space="preserve">. </w:t>
      </w:r>
    </w:p>
    <w:p w14:paraId="07120BDA" w14:textId="181682AF" w:rsidR="00EB1108"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 xml:space="preserve">Newmont, (2017a). Company at a glance, available at: </w:t>
      </w:r>
      <w:hyperlink r:id="rId16" w:history="1">
        <w:r w:rsidRPr="000F57AA">
          <w:rPr>
            <w:rStyle w:val="Hyperlink"/>
            <w:rFonts w:ascii="Times New Roman" w:hAnsi="Times New Roman" w:cs="Times New Roman"/>
            <w:color w:val="auto"/>
            <w:sz w:val="24"/>
            <w:szCs w:val="24"/>
          </w:rPr>
          <w:t>http://www.newmont.com/about-us/default.aspx</w:t>
        </w:r>
      </w:hyperlink>
      <w:r w:rsidR="002834EE" w:rsidRPr="000F57AA">
        <w:rPr>
          <w:rStyle w:val="Hyperlink"/>
          <w:rFonts w:ascii="Times New Roman" w:hAnsi="Times New Roman" w:cs="Times New Roman"/>
          <w:color w:val="auto"/>
          <w:sz w:val="24"/>
          <w:szCs w:val="24"/>
        </w:rPr>
        <w:t xml:space="preserve"> (accessed on 15.05.2017) </w:t>
      </w:r>
    </w:p>
    <w:p w14:paraId="5A5D5A99" w14:textId="77777777" w:rsidR="00EB1108"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Newmont, (2017b). About us, http://www.newmont.com/about-us/</w:t>
      </w:r>
    </w:p>
    <w:p w14:paraId="4A698675" w14:textId="409D93AC"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 xml:space="preserve">Newmont, (2017c).  Newmont Africa Region Fact Sheet, available at: </w:t>
      </w:r>
      <w:hyperlink r:id="rId17" w:history="1">
        <w:r w:rsidRPr="000F57AA">
          <w:rPr>
            <w:rStyle w:val="Hyperlink"/>
            <w:rFonts w:ascii="Times New Roman" w:hAnsi="Times New Roman"/>
            <w:color w:val="auto"/>
            <w:sz w:val="24"/>
            <w:szCs w:val="24"/>
          </w:rPr>
          <w:t>http://s1.q4cdn.com/259923520/files/doc_downloads/fact_sheets/africa/Newmont-Africa-Factsheet.pdf</w:t>
        </w:r>
      </w:hyperlink>
      <w:r w:rsidR="002834EE" w:rsidRPr="000F57AA">
        <w:rPr>
          <w:rStyle w:val="Hyperlink"/>
          <w:rFonts w:ascii="Times New Roman" w:hAnsi="Times New Roman"/>
          <w:color w:val="auto"/>
          <w:sz w:val="24"/>
          <w:szCs w:val="24"/>
        </w:rPr>
        <w:t xml:space="preserve"> (accessed on 15.05.2017)</w:t>
      </w:r>
    </w:p>
    <w:p w14:paraId="4D581F67" w14:textId="37C594C6"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eastAsia="Times New Roman" w:hAnsi="Times New Roman"/>
          <w:sz w:val="24"/>
          <w:szCs w:val="24"/>
          <w:lang w:eastAsia="en-GB"/>
        </w:rPr>
        <w:t xml:space="preserve">Owusu-Ansah, D., Adu-Gyamfi, S., Brenya, E., Sarpong, Y. A., &amp; Damtar, D. (2015).Corporate Social Responsibility of Mining Companies in Ghana: The case of </w:t>
      </w:r>
      <w:r w:rsidRPr="000F57AA">
        <w:rPr>
          <w:rFonts w:ascii="Times New Roman" w:eastAsia="Times New Roman" w:hAnsi="Times New Roman"/>
          <w:sz w:val="24"/>
          <w:szCs w:val="24"/>
          <w:lang w:eastAsia="en-GB"/>
        </w:rPr>
        <w:lastRenderedPageBreak/>
        <w:t xml:space="preserve">Newmont Ghana Gold Limited at Ahafo. </w:t>
      </w:r>
      <w:r w:rsidRPr="000F57AA">
        <w:rPr>
          <w:rFonts w:ascii="Times New Roman" w:eastAsia="Times New Roman" w:hAnsi="Times New Roman"/>
          <w:b/>
          <w:i/>
          <w:sz w:val="24"/>
          <w:szCs w:val="24"/>
          <w:lang w:eastAsia="en-GB"/>
        </w:rPr>
        <w:t>Journal of Social and Development Sciences</w:t>
      </w:r>
      <w:r w:rsidRPr="000F57AA">
        <w:rPr>
          <w:rFonts w:ascii="Times New Roman" w:eastAsia="Times New Roman" w:hAnsi="Times New Roman"/>
          <w:sz w:val="24"/>
          <w:szCs w:val="24"/>
          <w:lang w:eastAsia="en-GB"/>
        </w:rPr>
        <w:t>, 6(4), 52.</w:t>
      </w:r>
    </w:p>
    <w:p w14:paraId="5C9198D7" w14:textId="717362F4" w:rsidR="0099377F" w:rsidRPr="000F57AA" w:rsidRDefault="00EB1108" w:rsidP="0099377F">
      <w:pPr>
        <w:pStyle w:val="NoteLevel11"/>
        <w:numPr>
          <w:ilvl w:val="0"/>
          <w:numId w:val="0"/>
        </w:numPr>
        <w:spacing w:line="480" w:lineRule="auto"/>
        <w:ind w:left="360"/>
        <w:rPr>
          <w:rFonts w:ascii="Times New Roman" w:eastAsia="Calibri" w:hAnsi="Times New Roman"/>
          <w:sz w:val="24"/>
          <w:szCs w:val="24"/>
          <w:shd w:val="clear" w:color="auto" w:fill="FFFFFF"/>
          <w:lang w:val="en-US" w:bidi="he-IL"/>
        </w:rPr>
      </w:pPr>
      <w:r w:rsidRPr="000F57AA">
        <w:rPr>
          <w:rFonts w:ascii="Times New Roman" w:hAnsi="Times New Roman"/>
          <w:noProof/>
          <w:sz w:val="24"/>
          <w:szCs w:val="24"/>
        </w:rPr>
        <w:t xml:space="preserve">Perlez, J., (2005). Cause of Mystery Ills Splits Indonesian Fishing Village. New York </w:t>
      </w:r>
      <w:r w:rsidRPr="000F57AA">
        <w:rPr>
          <w:rFonts w:ascii="Times New Roman" w:hAnsi="Times New Roman"/>
          <w:noProof/>
          <w:sz w:val="24"/>
          <w:szCs w:val="24"/>
        </w:rPr>
        <w:tab/>
        <w:t>Times, June. Available at:</w:t>
      </w:r>
      <w:r w:rsidRPr="000F57AA">
        <w:rPr>
          <w:rFonts w:ascii="Times New Roman" w:hAnsi="Times New Roman"/>
          <w:sz w:val="24"/>
          <w:szCs w:val="24"/>
        </w:rPr>
        <w:t xml:space="preserve"> </w:t>
      </w:r>
      <w:hyperlink r:id="rId18" w:history="1">
        <w:r w:rsidR="00895844" w:rsidRPr="000F57AA">
          <w:rPr>
            <w:rStyle w:val="Hyperlink"/>
            <w:rFonts w:ascii="Times New Roman" w:hAnsi="Times New Roman"/>
            <w:noProof/>
            <w:color w:val="auto"/>
            <w:sz w:val="24"/>
            <w:szCs w:val="24"/>
          </w:rPr>
          <w:t>http://www.nytimes.com/2005/03/27/world/asia/cause-of-mystery-ills-splits-indonesian-fishing-village.html</w:t>
        </w:r>
      </w:hyperlink>
      <w:r w:rsidRPr="000F57AA">
        <w:t>?</w:t>
      </w:r>
      <w:r w:rsidR="00895844" w:rsidRPr="000F57AA">
        <w:rPr>
          <w:rFonts w:ascii="Times New Roman" w:hAnsi="Times New Roman"/>
          <w:noProof/>
          <w:sz w:val="24"/>
          <w:szCs w:val="24"/>
        </w:rPr>
        <w:t xml:space="preserve"> (accessed on 12.05.2017)</w:t>
      </w:r>
      <w:r w:rsidR="0099377F" w:rsidRPr="000F57AA">
        <w:rPr>
          <w:rFonts w:ascii="Times New Roman" w:eastAsia="Calibri" w:hAnsi="Times New Roman"/>
          <w:sz w:val="24"/>
          <w:szCs w:val="24"/>
          <w:shd w:val="clear" w:color="auto" w:fill="FFFFFF"/>
          <w:lang w:val="en-US" w:bidi="he-IL"/>
        </w:rPr>
        <w:t xml:space="preserve">Stahl, G. K., Tung, R. L., Kostova, T., &amp; Zellmer-Bruhn, M. (2016). Widening the lens: Rethinking distance, diversity, and foreignness in international business research through positive organizational scholarship. </w:t>
      </w:r>
      <w:r w:rsidR="0099377F" w:rsidRPr="000F57AA">
        <w:rPr>
          <w:rFonts w:ascii="Times New Roman" w:eastAsia="Calibri" w:hAnsi="Times New Roman"/>
          <w:b/>
          <w:bCs/>
          <w:i/>
          <w:iCs/>
          <w:sz w:val="24"/>
          <w:szCs w:val="24"/>
          <w:shd w:val="clear" w:color="auto" w:fill="FFFFFF"/>
          <w:lang w:val="en-US" w:bidi="he-IL"/>
        </w:rPr>
        <w:t>Journal of International Business Studies</w:t>
      </w:r>
      <w:r w:rsidR="0099377F" w:rsidRPr="000F57AA">
        <w:rPr>
          <w:rFonts w:ascii="Times New Roman" w:eastAsia="Calibri" w:hAnsi="Times New Roman"/>
          <w:sz w:val="24"/>
          <w:szCs w:val="24"/>
          <w:shd w:val="clear" w:color="auto" w:fill="FFFFFF"/>
          <w:lang w:val="en-US" w:bidi="he-IL"/>
        </w:rPr>
        <w:t>, 47 (6), 621–630.</w:t>
      </w:r>
    </w:p>
    <w:p w14:paraId="2054A009" w14:textId="240F6041" w:rsidR="000C7B9A" w:rsidRPr="000C7B9A" w:rsidRDefault="000C7B9A" w:rsidP="000C7B9A">
      <w:pPr>
        <w:pStyle w:val="NoteLevel11"/>
        <w:numPr>
          <w:ilvl w:val="0"/>
          <w:numId w:val="0"/>
        </w:numPr>
        <w:spacing w:line="480" w:lineRule="auto"/>
        <w:ind w:left="360"/>
        <w:rPr>
          <w:rFonts w:ascii="Times New Roman" w:eastAsia="Calibri" w:hAnsi="Times New Roman"/>
          <w:sz w:val="24"/>
          <w:szCs w:val="24"/>
          <w:shd w:val="clear" w:color="auto" w:fill="FFFFFF"/>
          <w:lang w:val="en-US" w:bidi="he-IL"/>
        </w:rPr>
      </w:pPr>
      <w:r>
        <w:rPr>
          <w:rFonts w:ascii="Times New Roman" w:eastAsia="Calibri" w:hAnsi="Times New Roman"/>
          <w:sz w:val="24"/>
          <w:szCs w:val="24"/>
          <w:shd w:val="clear" w:color="auto" w:fill="FFFFFF"/>
          <w:lang w:val="en-US" w:bidi="he-IL"/>
        </w:rPr>
        <w:t>Robertson, R.</w:t>
      </w:r>
      <w:r w:rsidRPr="000C7B9A">
        <w:rPr>
          <w:rFonts w:ascii="Times New Roman" w:eastAsia="Calibri" w:hAnsi="Times New Roman"/>
          <w:sz w:val="24"/>
          <w:szCs w:val="24"/>
          <w:shd w:val="clear" w:color="auto" w:fill="FFFFFF"/>
          <w:lang w:val="en-US" w:bidi="he-IL"/>
        </w:rPr>
        <w:t xml:space="preserve"> </w:t>
      </w:r>
      <w:r>
        <w:rPr>
          <w:rFonts w:ascii="Times New Roman" w:eastAsia="Calibri" w:hAnsi="Times New Roman"/>
          <w:sz w:val="24"/>
          <w:szCs w:val="24"/>
          <w:shd w:val="clear" w:color="auto" w:fill="FFFFFF"/>
          <w:lang w:val="en-US" w:bidi="he-IL"/>
        </w:rPr>
        <w:t>(</w:t>
      </w:r>
      <w:r w:rsidRPr="000C7B9A">
        <w:rPr>
          <w:rFonts w:ascii="Times New Roman" w:eastAsia="Calibri" w:hAnsi="Times New Roman"/>
          <w:sz w:val="24"/>
          <w:szCs w:val="24"/>
          <w:shd w:val="clear" w:color="auto" w:fill="FFFFFF"/>
          <w:lang w:val="en-US" w:bidi="he-IL"/>
        </w:rPr>
        <w:t>1994</w:t>
      </w:r>
      <w:r>
        <w:rPr>
          <w:rFonts w:ascii="Times New Roman" w:eastAsia="Calibri" w:hAnsi="Times New Roman"/>
          <w:sz w:val="24"/>
          <w:szCs w:val="24"/>
          <w:shd w:val="clear" w:color="auto" w:fill="FFFFFF"/>
          <w:lang w:val="en-US" w:bidi="he-IL"/>
        </w:rPr>
        <w:t xml:space="preserve">). </w:t>
      </w:r>
      <w:r w:rsidRPr="000C7B9A">
        <w:rPr>
          <w:rFonts w:ascii="Times New Roman" w:eastAsia="Calibri" w:hAnsi="Times New Roman"/>
          <w:sz w:val="24"/>
          <w:szCs w:val="24"/>
          <w:shd w:val="clear" w:color="auto" w:fill="FFFFFF"/>
          <w:lang w:val="en-US" w:bidi="he-IL"/>
        </w:rPr>
        <w:t>G</w:t>
      </w:r>
      <w:r>
        <w:rPr>
          <w:rFonts w:ascii="Times New Roman" w:eastAsia="Calibri" w:hAnsi="Times New Roman"/>
          <w:sz w:val="24"/>
          <w:szCs w:val="24"/>
          <w:shd w:val="clear" w:color="auto" w:fill="FFFFFF"/>
          <w:lang w:val="en-US" w:bidi="he-IL"/>
        </w:rPr>
        <w:t>lobalisation or Glocalisation?</w:t>
      </w:r>
      <w:r w:rsidRPr="000C7B9A">
        <w:rPr>
          <w:rFonts w:ascii="Times New Roman" w:eastAsia="Calibri" w:hAnsi="Times New Roman"/>
          <w:i/>
          <w:iCs/>
          <w:sz w:val="24"/>
          <w:szCs w:val="24"/>
          <w:shd w:val="clear" w:color="auto" w:fill="FFFFFF"/>
          <w:lang w:val="en-US" w:bidi="he-IL"/>
        </w:rPr>
        <w:t xml:space="preserve"> Journal of International Communication</w:t>
      </w:r>
      <w:r w:rsidRPr="000C7B9A">
        <w:rPr>
          <w:rFonts w:ascii="Times New Roman" w:eastAsia="Calibri" w:hAnsi="Times New Roman"/>
          <w:sz w:val="24"/>
          <w:szCs w:val="24"/>
          <w:shd w:val="clear" w:color="auto" w:fill="FFFFFF"/>
          <w:lang w:val="en-US" w:bidi="he-IL"/>
        </w:rPr>
        <w:t xml:space="preserve"> </w:t>
      </w:r>
      <w:r>
        <w:rPr>
          <w:rFonts w:ascii="Times New Roman" w:eastAsia="Calibri" w:hAnsi="Times New Roman"/>
          <w:sz w:val="24"/>
          <w:szCs w:val="24"/>
          <w:shd w:val="clear" w:color="auto" w:fill="FFFFFF"/>
          <w:lang w:val="en-US" w:bidi="he-IL"/>
        </w:rPr>
        <w:t xml:space="preserve">1(1), </w:t>
      </w:r>
      <w:r w:rsidRPr="000C7B9A">
        <w:rPr>
          <w:rFonts w:ascii="Times New Roman" w:eastAsia="Calibri" w:hAnsi="Times New Roman"/>
          <w:sz w:val="24"/>
          <w:szCs w:val="24"/>
          <w:shd w:val="clear" w:color="auto" w:fill="FFFFFF"/>
          <w:lang w:val="en-US" w:bidi="he-IL"/>
        </w:rPr>
        <w:t>33-52.</w:t>
      </w:r>
    </w:p>
    <w:p w14:paraId="12FB7DFE" w14:textId="0C5E7FAC" w:rsidR="00EB1108" w:rsidRPr="000F57AA" w:rsidRDefault="00EB1108" w:rsidP="00EB1108">
      <w:pPr>
        <w:spacing w:line="480" w:lineRule="auto"/>
        <w:ind w:left="360"/>
        <w:rPr>
          <w:rStyle w:val="Hyperlink"/>
          <w:rFonts w:ascii="Times New Roman" w:hAnsi="Times New Roman" w:cs="Times New Roman"/>
          <w:noProof/>
          <w:color w:val="auto"/>
          <w:sz w:val="24"/>
          <w:szCs w:val="24"/>
        </w:rPr>
      </w:pPr>
      <w:r w:rsidRPr="000F57AA">
        <w:rPr>
          <w:rFonts w:ascii="Times New Roman" w:hAnsi="Times New Roman" w:cs="Times New Roman"/>
          <w:noProof/>
          <w:sz w:val="24"/>
          <w:szCs w:val="24"/>
        </w:rPr>
        <w:t>Stern, R., (2016).</w:t>
      </w:r>
      <w:r w:rsidRPr="000F57AA">
        <w:rPr>
          <w:rFonts w:ascii="Times New Roman" w:hAnsi="Times New Roman" w:cs="Times New Roman"/>
          <w:sz w:val="24"/>
          <w:szCs w:val="24"/>
        </w:rPr>
        <w:t xml:space="preserve"> </w:t>
      </w:r>
      <w:r w:rsidRPr="000F57AA">
        <w:rPr>
          <w:rFonts w:ascii="Times New Roman" w:hAnsi="Times New Roman" w:cs="Times New Roman"/>
          <w:noProof/>
          <w:sz w:val="24"/>
          <w:szCs w:val="24"/>
        </w:rPr>
        <w:t xml:space="preserve">All that glitters is not gold: Indigenous communities in Peru protest </w:t>
      </w:r>
      <w:r w:rsidRPr="000F57AA">
        <w:rPr>
          <w:rFonts w:ascii="Times New Roman" w:hAnsi="Times New Roman" w:cs="Times New Roman"/>
          <w:noProof/>
          <w:sz w:val="24"/>
          <w:szCs w:val="24"/>
        </w:rPr>
        <w:tab/>
        <w:t>mining. Available at:</w:t>
      </w:r>
      <w:r w:rsidRPr="000F57AA">
        <w:rPr>
          <w:rFonts w:ascii="Times New Roman" w:hAnsi="Times New Roman" w:cs="Times New Roman"/>
          <w:sz w:val="24"/>
          <w:szCs w:val="24"/>
        </w:rPr>
        <w:t xml:space="preserve"> </w:t>
      </w:r>
      <w:hyperlink r:id="rId19" w:history="1">
        <w:r w:rsidRPr="000F57AA">
          <w:rPr>
            <w:rStyle w:val="Hyperlink"/>
            <w:rFonts w:ascii="Times New Roman" w:hAnsi="Times New Roman" w:cs="Times New Roman"/>
            <w:noProof/>
            <w:color w:val="auto"/>
            <w:sz w:val="24"/>
            <w:szCs w:val="24"/>
          </w:rPr>
          <w:t>http://www.dw.com/en/all-that-glitters-is-not-gold-indigenous-communities-in-peru-protest-mining/a-19328199</w:t>
        </w:r>
      </w:hyperlink>
      <w:r w:rsidR="00E73331" w:rsidRPr="000F57AA">
        <w:rPr>
          <w:rStyle w:val="Hyperlink"/>
          <w:rFonts w:ascii="Times New Roman" w:hAnsi="Times New Roman" w:cs="Times New Roman"/>
          <w:noProof/>
          <w:color w:val="auto"/>
          <w:sz w:val="24"/>
          <w:szCs w:val="24"/>
        </w:rPr>
        <w:t xml:space="preserve"> (accessed on 12.05.2017)</w:t>
      </w:r>
    </w:p>
    <w:p w14:paraId="551D4613" w14:textId="34618D25"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lastRenderedPageBreak/>
        <w:t xml:space="preserve">Torugsa, N. A., O’Donohue, W., &amp; Hecker, R. (2012). Capabilities, proactive CSR </w:t>
      </w:r>
      <w:r w:rsidRPr="000F57AA">
        <w:rPr>
          <w:rFonts w:ascii="Times New Roman" w:hAnsi="Times New Roman" w:cs="Times New Roman"/>
          <w:noProof/>
          <w:sz w:val="24"/>
          <w:szCs w:val="24"/>
        </w:rPr>
        <w:tab/>
        <w:t xml:space="preserve">and financial performance in SMEs: empirical evidence from an Australian manufacturing industry sector. </w:t>
      </w:r>
      <w:r w:rsidRPr="000F57AA">
        <w:rPr>
          <w:rFonts w:ascii="Times New Roman" w:hAnsi="Times New Roman" w:cs="Times New Roman"/>
          <w:b/>
          <w:i/>
          <w:noProof/>
          <w:sz w:val="24"/>
          <w:szCs w:val="24"/>
        </w:rPr>
        <w:t>Journal of Business Ethics</w:t>
      </w:r>
      <w:r w:rsidRPr="000F57AA">
        <w:rPr>
          <w:rFonts w:ascii="Times New Roman" w:hAnsi="Times New Roman" w:cs="Times New Roman"/>
          <w:noProof/>
          <w:sz w:val="24"/>
          <w:szCs w:val="24"/>
        </w:rPr>
        <w:t>, 109(4): 483-500.</w:t>
      </w:r>
    </w:p>
    <w:p w14:paraId="5F1627B5" w14:textId="1D7086C1" w:rsidR="00EB1108" w:rsidRPr="000F57AA" w:rsidRDefault="00EB1108" w:rsidP="00EB1108">
      <w:pPr>
        <w:spacing w:line="480" w:lineRule="auto"/>
        <w:ind w:left="360"/>
        <w:rPr>
          <w:rFonts w:ascii="Times New Roman" w:hAnsi="Times New Roman" w:cs="Times New Roman"/>
          <w:noProof/>
          <w:sz w:val="24"/>
          <w:szCs w:val="24"/>
        </w:rPr>
      </w:pPr>
      <w:r w:rsidRPr="000F57AA">
        <w:rPr>
          <w:rFonts w:ascii="Times New Roman" w:hAnsi="Times New Roman" w:cs="Times New Roman"/>
          <w:noProof/>
          <w:sz w:val="24"/>
          <w:szCs w:val="24"/>
        </w:rPr>
        <w:t xml:space="preserve">Turker, D. (2009). How corporate social responsibility influences organizational commitment. </w:t>
      </w:r>
      <w:r w:rsidRPr="000F57AA">
        <w:rPr>
          <w:rFonts w:ascii="Times New Roman" w:hAnsi="Times New Roman" w:cs="Times New Roman"/>
          <w:b/>
          <w:i/>
          <w:noProof/>
          <w:sz w:val="24"/>
          <w:szCs w:val="24"/>
        </w:rPr>
        <w:t>Journal of Business Ethics</w:t>
      </w:r>
      <w:r w:rsidRPr="000F57AA">
        <w:rPr>
          <w:rFonts w:ascii="Times New Roman" w:hAnsi="Times New Roman" w:cs="Times New Roman"/>
          <w:noProof/>
          <w:sz w:val="24"/>
          <w:szCs w:val="24"/>
        </w:rPr>
        <w:t>: 89(2), 189-204.</w:t>
      </w:r>
    </w:p>
    <w:p w14:paraId="6FFE3EAA" w14:textId="77777777" w:rsidR="00EB1108" w:rsidRPr="000F57AA" w:rsidRDefault="00EB1108" w:rsidP="00EB1108">
      <w:pPr>
        <w:spacing w:line="480" w:lineRule="auto"/>
        <w:ind w:left="360"/>
        <w:rPr>
          <w:rFonts w:ascii="Times New Roman" w:hAnsi="Times New Roman" w:cs="Times New Roman"/>
          <w:sz w:val="24"/>
          <w:szCs w:val="24"/>
        </w:rPr>
      </w:pPr>
      <w:r w:rsidRPr="000F57AA">
        <w:rPr>
          <w:rFonts w:ascii="Times New Roman" w:hAnsi="Times New Roman" w:cs="Times New Roman"/>
          <w:sz w:val="24"/>
          <w:szCs w:val="24"/>
        </w:rPr>
        <w:t>UNCTAD, (2015). World Investment Report 2015. United Nations.</w:t>
      </w:r>
    </w:p>
    <w:p w14:paraId="07B6FFE4" w14:textId="557619BC"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US Geological Survey, (2016). Mineral Commodity Summaries. United States Geological Survey Publication.</w:t>
      </w:r>
    </w:p>
    <w:p w14:paraId="47635394" w14:textId="04AC6115" w:rsidR="00D052AD" w:rsidRPr="000F57AA" w:rsidRDefault="00EB1108" w:rsidP="00D052AD">
      <w:pPr>
        <w:spacing w:line="480" w:lineRule="auto"/>
        <w:ind w:left="360"/>
        <w:rPr>
          <w:rFonts w:ascii="Times New Roman" w:eastAsia="Calibri" w:hAnsi="Times New Roman" w:cs="Times New Roman"/>
          <w:sz w:val="24"/>
          <w:szCs w:val="24"/>
          <w:shd w:val="clear" w:color="auto" w:fill="FFFFFF"/>
          <w:lang w:val="en-US" w:bidi="he-IL"/>
        </w:rPr>
      </w:pPr>
      <w:r w:rsidRPr="000F57AA">
        <w:rPr>
          <w:rFonts w:ascii="Times New Roman" w:hAnsi="Times New Roman" w:cs="Times New Roman"/>
          <w:sz w:val="24"/>
          <w:szCs w:val="24"/>
        </w:rPr>
        <w:t xml:space="preserve">Visser, Wayne, Dirk Matten, Manfred Pohl, Nick Tolhurst, Katja Böhmer, Aron Ghebremariam, Judith Hennigfeld, and Sandra S. Huble. (2007). </w:t>
      </w:r>
      <w:r w:rsidRPr="000F57AA">
        <w:rPr>
          <w:rFonts w:ascii="Times New Roman" w:hAnsi="Times New Roman" w:cs="Times New Roman"/>
          <w:b/>
          <w:sz w:val="24"/>
          <w:szCs w:val="24"/>
        </w:rPr>
        <w:t xml:space="preserve">The A to Z </w:t>
      </w:r>
      <w:r w:rsidRPr="000F57AA">
        <w:rPr>
          <w:rFonts w:ascii="Times New Roman" w:hAnsi="Times New Roman" w:cs="Times New Roman"/>
          <w:b/>
          <w:sz w:val="24"/>
          <w:szCs w:val="24"/>
        </w:rPr>
        <w:tab/>
        <w:t>of corporate social responsibility: a complete reference guide to concepts, codes and organisations</w:t>
      </w:r>
      <w:r w:rsidRPr="000F57AA">
        <w:rPr>
          <w:rFonts w:ascii="Times New Roman" w:hAnsi="Times New Roman" w:cs="Times New Roman"/>
          <w:sz w:val="24"/>
          <w:szCs w:val="24"/>
        </w:rPr>
        <w:t>. Chichester, England; Hoboken, NJ: John Wiley &amp; Sons.</w:t>
      </w:r>
    </w:p>
    <w:p w14:paraId="0662E59F" w14:textId="488A3593" w:rsidR="00D052AD" w:rsidRPr="000F57AA" w:rsidRDefault="00D052AD" w:rsidP="00D052AD">
      <w:pPr>
        <w:spacing w:line="480" w:lineRule="auto"/>
        <w:ind w:left="360"/>
        <w:rPr>
          <w:rFonts w:ascii="Times New Roman" w:eastAsia="Calibri" w:hAnsi="Times New Roman" w:cs="Times New Roman"/>
          <w:sz w:val="24"/>
          <w:szCs w:val="24"/>
          <w:lang w:val="en-US" w:bidi="he-IL"/>
        </w:rPr>
      </w:pPr>
      <w:r w:rsidRPr="000F57AA">
        <w:rPr>
          <w:rFonts w:ascii="Times New Roman" w:eastAsia="Calibri" w:hAnsi="Times New Roman" w:cs="Times New Roman"/>
          <w:sz w:val="24"/>
          <w:szCs w:val="24"/>
          <w:shd w:val="clear" w:color="auto" w:fill="FFFFFF"/>
          <w:lang w:val="en-US" w:bidi="he-IL"/>
        </w:rPr>
        <w:t>Vora, D., Kostova, T., &amp; Roth, K. (2007). Roles of subsidiary managers in multinational corporations: The effect of dual organizational identification. </w:t>
      </w:r>
      <w:r w:rsidRPr="000F57AA">
        <w:rPr>
          <w:rFonts w:ascii="Times New Roman" w:eastAsia="Calibri" w:hAnsi="Times New Roman" w:cs="Times New Roman"/>
          <w:b/>
          <w:bCs/>
          <w:i/>
          <w:iCs/>
          <w:sz w:val="24"/>
          <w:szCs w:val="24"/>
          <w:shd w:val="clear" w:color="auto" w:fill="FFFFFF"/>
          <w:lang w:val="en-US" w:bidi="he-IL"/>
        </w:rPr>
        <w:t>Management International Review</w:t>
      </w:r>
      <w:r w:rsidRPr="000F57AA">
        <w:rPr>
          <w:rFonts w:ascii="Times New Roman" w:eastAsia="Calibri" w:hAnsi="Times New Roman" w:cs="Times New Roman"/>
          <w:sz w:val="24"/>
          <w:szCs w:val="24"/>
          <w:shd w:val="clear" w:color="auto" w:fill="FFFFFF"/>
          <w:lang w:val="en-US" w:bidi="he-IL"/>
        </w:rPr>
        <w:t>, </w:t>
      </w:r>
      <w:r w:rsidRPr="000F57AA">
        <w:rPr>
          <w:rFonts w:ascii="Times New Roman" w:eastAsia="Calibri" w:hAnsi="Times New Roman" w:cs="Times New Roman"/>
          <w:i/>
          <w:iCs/>
          <w:sz w:val="24"/>
          <w:szCs w:val="24"/>
          <w:shd w:val="clear" w:color="auto" w:fill="FFFFFF"/>
          <w:lang w:val="en-US" w:bidi="he-IL"/>
        </w:rPr>
        <w:t>47</w:t>
      </w:r>
      <w:r w:rsidRPr="000F57AA">
        <w:rPr>
          <w:rFonts w:ascii="Times New Roman" w:eastAsia="Calibri" w:hAnsi="Times New Roman" w:cs="Times New Roman"/>
          <w:sz w:val="24"/>
          <w:szCs w:val="24"/>
          <w:shd w:val="clear" w:color="auto" w:fill="FFFFFF"/>
          <w:lang w:val="en-US" w:bidi="he-IL"/>
        </w:rPr>
        <w:t>(4), 595-620.</w:t>
      </w:r>
    </w:p>
    <w:p w14:paraId="57C578DF" w14:textId="77777777" w:rsidR="00EB1108" w:rsidRPr="000F57AA" w:rsidRDefault="00EB1108" w:rsidP="00EB1108">
      <w:pPr>
        <w:spacing w:line="480" w:lineRule="auto"/>
        <w:ind w:left="360"/>
        <w:rPr>
          <w:rFonts w:ascii="Times New Roman" w:eastAsia="Times New Roman" w:hAnsi="Times New Roman" w:cs="Times New Roman"/>
          <w:sz w:val="24"/>
          <w:szCs w:val="24"/>
          <w:lang w:eastAsia="en-GB"/>
        </w:rPr>
      </w:pPr>
      <w:r w:rsidRPr="000F57AA">
        <w:rPr>
          <w:rFonts w:ascii="Times New Roman" w:hAnsi="Times New Roman" w:cs="Times New Roman"/>
          <w:sz w:val="24"/>
          <w:szCs w:val="24"/>
        </w:rPr>
        <w:lastRenderedPageBreak/>
        <w:t xml:space="preserve">Welford and Dixon, (2010) Corporate Social Responsibility Survey of Hang Seng </w:t>
      </w:r>
      <w:r w:rsidRPr="000F57AA">
        <w:rPr>
          <w:rFonts w:ascii="Times New Roman" w:hAnsi="Times New Roman" w:cs="Times New Roman"/>
          <w:sz w:val="24"/>
          <w:szCs w:val="24"/>
        </w:rPr>
        <w:tab/>
        <w:t xml:space="preserve">Index Constituent Companies, available at: </w:t>
      </w:r>
      <w:hyperlink r:id="rId20" w:history="1">
        <w:r w:rsidRPr="000F57AA">
          <w:rPr>
            <w:rStyle w:val="Hyperlink"/>
            <w:rFonts w:ascii="Times New Roman" w:hAnsi="Times New Roman" w:cs="Times New Roman"/>
            <w:color w:val="auto"/>
            <w:sz w:val="24"/>
            <w:szCs w:val="24"/>
          </w:rPr>
          <w:t>http://www.csr-asia.com/upload/OHK_CSR_survey.pdf</w:t>
        </w:r>
      </w:hyperlink>
      <w:r w:rsidRPr="000F57AA">
        <w:rPr>
          <w:rFonts w:ascii="Times New Roman" w:hAnsi="Times New Roman" w:cs="Times New Roman"/>
          <w:sz w:val="24"/>
          <w:szCs w:val="24"/>
        </w:rPr>
        <w:t xml:space="preserve"> </w:t>
      </w:r>
    </w:p>
    <w:p w14:paraId="4DBAEEFC" w14:textId="1867367C" w:rsidR="00EB1108" w:rsidRPr="000F57AA" w:rsidRDefault="00EB1108"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 xml:space="preserve">Welker, M. (2009). "Corporate Security Begins in the Community": Mining, the Corporate Social Responsibility Industry, and Environmental Advocacy in Indonesia. </w:t>
      </w:r>
      <w:r w:rsidRPr="000F57AA">
        <w:rPr>
          <w:rFonts w:ascii="Times New Roman" w:hAnsi="Times New Roman"/>
          <w:b/>
          <w:i/>
          <w:sz w:val="24"/>
          <w:szCs w:val="24"/>
        </w:rPr>
        <w:t>Cultural Anthropology</w:t>
      </w:r>
      <w:r w:rsidRPr="000F57AA">
        <w:rPr>
          <w:rFonts w:ascii="Times New Roman" w:hAnsi="Times New Roman"/>
          <w:b/>
          <w:sz w:val="24"/>
          <w:szCs w:val="24"/>
        </w:rPr>
        <w:t>:</w:t>
      </w:r>
      <w:r w:rsidRPr="000F57AA">
        <w:rPr>
          <w:rFonts w:ascii="Times New Roman" w:hAnsi="Times New Roman"/>
          <w:sz w:val="24"/>
          <w:szCs w:val="24"/>
        </w:rPr>
        <w:t xml:space="preserve"> 24(1), 142-179.</w:t>
      </w:r>
    </w:p>
    <w:p w14:paraId="79197425" w14:textId="42FB9076" w:rsidR="0045213C" w:rsidRPr="000F57AA" w:rsidRDefault="0045213C" w:rsidP="00EB1108">
      <w:pPr>
        <w:pStyle w:val="NoteLevel11"/>
        <w:numPr>
          <w:ilvl w:val="0"/>
          <w:numId w:val="0"/>
        </w:numPr>
        <w:spacing w:line="480" w:lineRule="auto"/>
        <w:ind w:left="360"/>
        <w:rPr>
          <w:rFonts w:ascii="Times New Roman" w:hAnsi="Times New Roman"/>
          <w:sz w:val="24"/>
          <w:szCs w:val="24"/>
        </w:rPr>
      </w:pPr>
      <w:r w:rsidRPr="000F57AA">
        <w:rPr>
          <w:rFonts w:ascii="Times New Roman" w:hAnsi="Times New Roman"/>
          <w:sz w:val="24"/>
          <w:szCs w:val="24"/>
        </w:rPr>
        <w:t xml:space="preserve">World Bank (2012). Mining community development agreement: Source Book. </w:t>
      </w:r>
    </w:p>
    <w:p w14:paraId="176F0993" w14:textId="4AA1EAA5" w:rsidR="00EB1108" w:rsidRDefault="00EB1108" w:rsidP="00EB1108">
      <w:pPr>
        <w:spacing w:line="480" w:lineRule="auto"/>
        <w:ind w:left="360"/>
        <w:rPr>
          <w:rFonts w:ascii="Times New Roman" w:eastAsia="Times New Roman" w:hAnsi="Times New Roman" w:cs="Times New Roman"/>
          <w:sz w:val="24"/>
          <w:szCs w:val="24"/>
          <w:lang w:eastAsia="en-GB"/>
        </w:rPr>
      </w:pPr>
      <w:r w:rsidRPr="000F57AA">
        <w:rPr>
          <w:rFonts w:ascii="Times New Roman" w:eastAsia="Times New Roman" w:hAnsi="Times New Roman" w:cs="Times New Roman"/>
          <w:sz w:val="24"/>
          <w:szCs w:val="24"/>
          <w:lang w:eastAsia="en-GB"/>
        </w:rPr>
        <w:t>Zaheer, S. (1995). Overcoming the liability of foreignness. Academy of Management Journal, 38(2), 341-363.</w:t>
      </w:r>
    </w:p>
    <w:p w14:paraId="105D0930"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5C3625CA"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2454AECB"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5FC2779D"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4273A205"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691B6771"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68733BC2" w14:textId="77777777" w:rsidR="002C4EAD" w:rsidRDefault="002C4EAD" w:rsidP="002C4EAD">
      <w:pPr>
        <w:jc w:val="center"/>
        <w:rPr>
          <w:b/>
          <w:sz w:val="24"/>
          <w:szCs w:val="24"/>
        </w:rPr>
      </w:pPr>
      <w:r w:rsidRPr="006566A0">
        <w:rPr>
          <w:b/>
          <w:sz w:val="24"/>
          <w:szCs w:val="24"/>
        </w:rPr>
        <w:lastRenderedPageBreak/>
        <w:t>FIGURES</w:t>
      </w:r>
    </w:p>
    <w:p w14:paraId="5B5C3AC8" w14:textId="27C874A5" w:rsidR="00A376DE" w:rsidRDefault="002C4EAD" w:rsidP="002C4EAD">
      <w:pPr>
        <w:spacing w:line="480" w:lineRule="auto"/>
        <w:ind w:left="360"/>
        <w:rPr>
          <w:rFonts w:ascii="Times New Roman" w:eastAsia="Times New Roman" w:hAnsi="Times New Roman" w:cs="Times New Roman"/>
          <w:sz w:val="24"/>
          <w:szCs w:val="24"/>
          <w:lang w:eastAsia="en-GB"/>
        </w:rPr>
      </w:pPr>
      <w:r>
        <w:rPr>
          <w:sz w:val="24"/>
          <w:szCs w:val="24"/>
        </w:rPr>
        <w:t>Figure 1</w:t>
      </w:r>
      <w:r w:rsidRPr="006566A0">
        <w:rPr>
          <w:sz w:val="24"/>
          <w:szCs w:val="24"/>
        </w:rPr>
        <w:t xml:space="preserve"> Factors Motivating CSR Strategies of NGGL</w:t>
      </w:r>
    </w:p>
    <w:p w14:paraId="522B8D7D" w14:textId="6DB4BFFD" w:rsidR="002C4EAD" w:rsidRDefault="002C4EAD" w:rsidP="00EB1108">
      <w:pPr>
        <w:spacing w:line="480" w:lineRule="auto"/>
        <w:ind w:left="360"/>
        <w:rPr>
          <w:rFonts w:ascii="Times New Roman" w:eastAsia="Times New Roman" w:hAnsi="Times New Roman" w:cs="Times New Roman"/>
          <w:sz w:val="24"/>
          <w:szCs w:val="24"/>
          <w:lang w:eastAsia="en-GB"/>
        </w:rPr>
      </w:pPr>
      <w:r w:rsidRPr="006566A0">
        <w:rPr>
          <w:rFonts w:cs="Arial"/>
          <w:noProof/>
          <w:sz w:val="24"/>
          <w:szCs w:val="24"/>
          <w:lang w:eastAsia="en-GB"/>
        </w:rPr>
        <w:drawing>
          <wp:inline distT="0" distB="0" distL="0" distR="0" wp14:anchorId="4A363C2E" wp14:editId="1DAF8083">
            <wp:extent cx="5172075" cy="4714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8839" cy="4730157"/>
                    </a:xfrm>
                    <a:prstGeom prst="rect">
                      <a:avLst/>
                    </a:prstGeom>
                    <a:noFill/>
                  </pic:spPr>
                </pic:pic>
              </a:graphicData>
            </a:graphic>
          </wp:inline>
        </w:drawing>
      </w:r>
    </w:p>
    <w:p w14:paraId="7C47F799"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6FF2ACD4" w14:textId="77777777" w:rsidR="00A376DE" w:rsidRDefault="00A376DE" w:rsidP="00EB1108">
      <w:pPr>
        <w:spacing w:line="480" w:lineRule="auto"/>
        <w:ind w:left="360"/>
        <w:rPr>
          <w:rFonts w:ascii="Times New Roman" w:eastAsia="Times New Roman" w:hAnsi="Times New Roman" w:cs="Times New Roman"/>
          <w:sz w:val="24"/>
          <w:szCs w:val="24"/>
          <w:lang w:eastAsia="en-GB"/>
        </w:rPr>
      </w:pPr>
    </w:p>
    <w:p w14:paraId="4BDD31C8" w14:textId="77777777" w:rsidR="00A376DE" w:rsidRPr="000F57AA" w:rsidRDefault="00A376DE" w:rsidP="00EB1108">
      <w:pPr>
        <w:spacing w:line="480" w:lineRule="auto"/>
        <w:ind w:left="360"/>
        <w:rPr>
          <w:rFonts w:ascii="Times New Roman" w:eastAsia="Times New Roman" w:hAnsi="Times New Roman" w:cs="Times New Roman"/>
          <w:sz w:val="24"/>
          <w:szCs w:val="24"/>
          <w:lang w:eastAsia="en-GB"/>
        </w:rPr>
      </w:pPr>
    </w:p>
    <w:p w14:paraId="136FDB85" w14:textId="77777777" w:rsidR="007F5903" w:rsidRPr="000F57AA" w:rsidRDefault="007F5903" w:rsidP="007F5903">
      <w:pPr>
        <w:ind w:left="720"/>
        <w:rPr>
          <w:rFonts w:ascii="Times New Roman" w:hAnsi="Times New Roman" w:cs="Times New Roman"/>
          <w:sz w:val="24"/>
          <w:szCs w:val="24"/>
        </w:rPr>
      </w:pPr>
      <w:r w:rsidRPr="000F57AA">
        <w:rPr>
          <w:rFonts w:ascii="Times New Roman" w:hAnsi="Times New Roman" w:cs="Times New Roman"/>
          <w:sz w:val="24"/>
          <w:szCs w:val="24"/>
        </w:rPr>
        <w:lastRenderedPageBreak/>
        <w:tab/>
      </w:r>
    </w:p>
    <w:p w14:paraId="4C04AAE9" w14:textId="77777777" w:rsidR="002C4EAD" w:rsidRPr="006566A0" w:rsidRDefault="002C4EAD" w:rsidP="002C4EAD">
      <w:pPr>
        <w:rPr>
          <w:sz w:val="24"/>
          <w:szCs w:val="24"/>
        </w:rPr>
      </w:pPr>
      <w:r w:rsidRPr="006566A0">
        <w:rPr>
          <w:sz w:val="24"/>
          <w:szCs w:val="24"/>
        </w:rPr>
        <w:t xml:space="preserve">Figure 2: Developmental projects sponsored by NADeF 2008-2015 (NADeF Annual Report, 2015) </w:t>
      </w:r>
    </w:p>
    <w:p w14:paraId="69B590D0" w14:textId="77777777" w:rsidR="002C4EAD" w:rsidRDefault="002C4EAD">
      <w:pPr>
        <w:rPr>
          <w:rFonts w:ascii="Times New Roman" w:hAnsi="Times New Roman" w:cs="Times New Roman"/>
          <w:sz w:val="24"/>
          <w:szCs w:val="24"/>
        </w:rPr>
      </w:pPr>
    </w:p>
    <w:p w14:paraId="7FCBBACA" w14:textId="77777777" w:rsidR="002C4EAD" w:rsidRDefault="002C4EAD">
      <w:pPr>
        <w:rPr>
          <w:rFonts w:ascii="Times New Roman" w:hAnsi="Times New Roman" w:cs="Times New Roman"/>
          <w:sz w:val="24"/>
          <w:szCs w:val="24"/>
        </w:rPr>
      </w:pPr>
      <w:r w:rsidRPr="006566A0">
        <w:rPr>
          <w:noProof/>
          <w:sz w:val="24"/>
          <w:szCs w:val="24"/>
          <w:lang w:eastAsia="en-GB"/>
        </w:rPr>
        <w:drawing>
          <wp:inline distT="0" distB="0" distL="0" distR="0" wp14:anchorId="6C03CC53" wp14:editId="393AA3B6">
            <wp:extent cx="5971540" cy="389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540" cy="3891040"/>
                    </a:xfrm>
                    <a:prstGeom prst="rect">
                      <a:avLst/>
                    </a:prstGeom>
                    <a:noFill/>
                    <a:ln>
                      <a:noFill/>
                    </a:ln>
                  </pic:spPr>
                </pic:pic>
              </a:graphicData>
            </a:graphic>
          </wp:inline>
        </w:drawing>
      </w:r>
    </w:p>
    <w:p w14:paraId="78CAEE79" w14:textId="77777777" w:rsidR="002C4EAD" w:rsidRDefault="002C4EAD">
      <w:pPr>
        <w:rPr>
          <w:rFonts w:ascii="Times New Roman" w:hAnsi="Times New Roman" w:cs="Times New Roman"/>
          <w:sz w:val="24"/>
          <w:szCs w:val="24"/>
        </w:rPr>
      </w:pPr>
    </w:p>
    <w:p w14:paraId="740CC9BC" w14:textId="77777777" w:rsidR="002C4EAD" w:rsidRDefault="002C4EAD">
      <w:pPr>
        <w:rPr>
          <w:rFonts w:ascii="Times New Roman" w:hAnsi="Times New Roman" w:cs="Times New Roman"/>
          <w:sz w:val="24"/>
          <w:szCs w:val="24"/>
        </w:rPr>
      </w:pPr>
      <w:r>
        <w:rPr>
          <w:rFonts w:ascii="Times New Roman" w:hAnsi="Times New Roman" w:cs="Times New Roman"/>
          <w:sz w:val="24"/>
          <w:szCs w:val="24"/>
        </w:rPr>
        <w:br w:type="page"/>
      </w:r>
    </w:p>
    <w:p w14:paraId="1C9F427A" w14:textId="77777777" w:rsidR="002C4EAD" w:rsidRPr="006566A0" w:rsidRDefault="002C4EAD" w:rsidP="002C4EAD">
      <w:pPr>
        <w:rPr>
          <w:sz w:val="24"/>
          <w:szCs w:val="24"/>
        </w:rPr>
      </w:pPr>
      <w:r w:rsidRPr="006566A0">
        <w:rPr>
          <w:sz w:val="24"/>
          <w:szCs w:val="24"/>
        </w:rPr>
        <w:lastRenderedPageBreak/>
        <w:t xml:space="preserve">Figure 3: NADeF operational structure </w:t>
      </w:r>
    </w:p>
    <w:p w14:paraId="09037DB7" w14:textId="0C5ED8F8" w:rsidR="000B0193" w:rsidRDefault="002C4EAD">
      <w:pPr>
        <w:rPr>
          <w:rFonts w:ascii="Times New Roman" w:hAnsi="Times New Roman" w:cs="Times New Roman"/>
          <w:sz w:val="24"/>
          <w:szCs w:val="24"/>
        </w:rPr>
      </w:pPr>
      <w:bookmarkStart w:id="1" w:name="_GoBack"/>
      <w:r w:rsidRPr="002C4EAD">
        <w:rPr>
          <w:noProof/>
          <w:sz w:val="24"/>
          <w:szCs w:val="24"/>
          <w:lang w:eastAsia="en-GB"/>
        </w:rPr>
        <mc:AlternateContent>
          <mc:Choice Requires="wpg">
            <w:drawing>
              <wp:anchor distT="0" distB="0" distL="114300" distR="114300" simplePos="0" relativeHeight="251659264" behindDoc="0" locked="0" layoutInCell="1" allowOverlap="1" wp14:anchorId="2DB65798" wp14:editId="3F867FF6">
                <wp:simplePos x="0" y="0"/>
                <wp:positionH relativeFrom="margin">
                  <wp:posOffset>-748030</wp:posOffset>
                </wp:positionH>
                <wp:positionV relativeFrom="paragraph">
                  <wp:posOffset>419735</wp:posOffset>
                </wp:positionV>
                <wp:extent cx="7533640" cy="5695950"/>
                <wp:effectExtent l="57150" t="38100" r="67310" b="95250"/>
                <wp:wrapThrough wrapText="bothSides">
                  <wp:wrapPolygon edited="0">
                    <wp:start x="-164" y="-144"/>
                    <wp:lineTo x="-164" y="5779"/>
                    <wp:lineTo x="3823" y="5779"/>
                    <wp:lineTo x="3823" y="6935"/>
                    <wp:lineTo x="4096" y="6935"/>
                    <wp:lineTo x="4096" y="10330"/>
                    <wp:lineTo x="-164" y="10836"/>
                    <wp:lineTo x="-164" y="17338"/>
                    <wp:lineTo x="11525" y="17338"/>
                    <wp:lineTo x="11579" y="21889"/>
                    <wp:lineTo x="21684" y="21889"/>
                    <wp:lineTo x="21738" y="14593"/>
                    <wp:lineTo x="17041" y="13870"/>
                    <wp:lineTo x="16987" y="12787"/>
                    <wp:lineTo x="16987" y="12714"/>
                    <wp:lineTo x="17260" y="11703"/>
                    <wp:lineTo x="16440" y="11559"/>
                    <wp:lineTo x="21738" y="11053"/>
                    <wp:lineTo x="21738" y="3684"/>
                    <wp:lineTo x="16877" y="3468"/>
                    <wp:lineTo x="16823" y="2384"/>
                    <wp:lineTo x="16932" y="1228"/>
                    <wp:lineTo x="11197" y="1156"/>
                    <wp:lineTo x="10705" y="72"/>
                    <wp:lineTo x="10651" y="-144"/>
                    <wp:lineTo x="-164" y="-144"/>
                  </wp:wrapPolygon>
                </wp:wrapThrough>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3640" cy="5695950"/>
                          <a:chOff x="0" y="0"/>
                          <a:chExt cx="5581650" cy="5184140"/>
                        </a:xfrm>
                        <a:solidFill>
                          <a:sysClr val="window" lastClr="FFFFFF">
                            <a:lumMod val="85000"/>
                          </a:sysClr>
                        </a:solidFill>
                      </wpg:grpSpPr>
                      <wps:wsp>
                        <wps:cNvPr id="10" name="Text Box 2"/>
                        <wps:cNvSpPr txBox="1">
                          <a:spLocks noChangeArrowheads="1"/>
                        </wps:cNvSpPr>
                        <wps:spPr bwMode="auto">
                          <a:xfrm>
                            <a:off x="2989580" y="923290"/>
                            <a:ext cx="2590800" cy="1657350"/>
                          </a:xfrm>
                          <a:prstGeom prst="rect">
                            <a:avLst/>
                          </a:prstGeom>
                          <a:grp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txbx>
                          <w:txbxContent>
                            <w:p w14:paraId="206485ED" w14:textId="77777777" w:rsidR="002C4EAD" w:rsidRPr="003A6397" w:rsidRDefault="002C4EAD" w:rsidP="002C4EAD">
                              <w:pPr>
                                <w:spacing w:after="0" w:line="240" w:lineRule="auto"/>
                                <w:jc w:val="center"/>
                                <w:rPr>
                                  <w:b/>
                                  <w:color w:val="000000" w:themeColor="text1"/>
                                </w:rPr>
                              </w:pPr>
                              <w:r w:rsidRPr="003A6397">
                                <w:rPr>
                                  <w:b/>
                                  <w:color w:val="000000" w:themeColor="text1"/>
                                </w:rPr>
                                <w:t>Local Government</w:t>
                              </w:r>
                            </w:p>
                            <w:p w14:paraId="4B728EB8" w14:textId="77777777" w:rsidR="002C4EAD" w:rsidRPr="00912D5D" w:rsidRDefault="002C4EAD" w:rsidP="002C4EAD">
                              <w:pPr>
                                <w:jc w:val="both"/>
                                <w:rPr>
                                  <w:b/>
                                  <w:color w:val="000000" w:themeColor="text1"/>
                                  <w:sz w:val="20"/>
                                  <w:szCs w:val="20"/>
                                </w:rPr>
                              </w:pPr>
                              <w:r w:rsidRPr="00912D5D">
                                <w:rPr>
                                  <w:color w:val="000000" w:themeColor="text1"/>
                                  <w:sz w:val="20"/>
                                  <w:szCs w:val="20"/>
                                </w:rPr>
                                <w:t>The two Local Councils are the agents of development in the local communities. Elected Members of the Councils serve on their respective SDCs, providing technical support and ensuring that developmental</w:t>
                              </w:r>
                              <w:r w:rsidRPr="00912D5D">
                                <w:rPr>
                                  <w:sz w:val="20"/>
                                  <w:szCs w:val="20"/>
                                </w:rPr>
                                <w:t xml:space="preserve"> </w:t>
                              </w:r>
                              <w:r w:rsidRPr="00912D5D">
                                <w:rPr>
                                  <w:color w:val="000000" w:themeColor="text1"/>
                                  <w:sz w:val="20"/>
                                  <w:szCs w:val="20"/>
                                </w:rPr>
                                <w:t>projects initiated by the communities are in line with the Council’s plans.</w:t>
                              </w:r>
                            </w:p>
                            <w:p w14:paraId="04D9F679" w14:textId="77777777" w:rsidR="002C4EAD" w:rsidRDefault="002C4EAD" w:rsidP="002C4EAD"/>
                          </w:txbxContent>
                        </wps:txbx>
                        <wps:bodyPr rot="0" vert="horz" wrap="square" lIns="91440" tIns="45720" rIns="91440" bIns="45720" anchor="t" anchorCtr="0" upright="1">
                          <a:noAutofit/>
                        </wps:bodyPr>
                      </wps:wsp>
                      <wps:wsp>
                        <wps:cNvPr id="13" name="Text Box 2"/>
                        <wps:cNvSpPr txBox="1">
                          <a:spLocks noChangeArrowheads="1"/>
                        </wps:cNvSpPr>
                        <wps:spPr bwMode="auto">
                          <a:xfrm>
                            <a:off x="0" y="2659380"/>
                            <a:ext cx="2647950" cy="1400175"/>
                          </a:xfrm>
                          <a:prstGeom prst="rect">
                            <a:avLst/>
                          </a:prstGeom>
                          <a:grp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DB76F19" w14:textId="77777777" w:rsidR="002C4EAD" w:rsidRPr="00912D5D" w:rsidRDefault="002C4EAD" w:rsidP="002C4EAD">
                              <w:pPr>
                                <w:spacing w:after="0"/>
                                <w:jc w:val="both"/>
                                <w:rPr>
                                  <w:b/>
                                  <w:sz w:val="20"/>
                                  <w:szCs w:val="20"/>
                                </w:rPr>
                              </w:pPr>
                              <w:r w:rsidRPr="00912D5D">
                                <w:rPr>
                                  <w:b/>
                                  <w:sz w:val="20"/>
                                  <w:szCs w:val="20"/>
                                </w:rPr>
                                <w:t>Newmont Ahafo Development Foundation</w:t>
                              </w:r>
                            </w:p>
                            <w:p w14:paraId="112DEFF8" w14:textId="77777777" w:rsidR="002C4EAD" w:rsidRPr="00912D5D" w:rsidRDefault="002C4EAD" w:rsidP="002C4EAD">
                              <w:pPr>
                                <w:spacing w:after="0" w:line="240" w:lineRule="auto"/>
                                <w:jc w:val="both"/>
                                <w:rPr>
                                  <w:sz w:val="20"/>
                                  <w:szCs w:val="20"/>
                                </w:rPr>
                              </w:pPr>
                              <w:r w:rsidRPr="00912D5D">
                                <w:rPr>
                                  <w:sz w:val="20"/>
                                  <w:szCs w:val="20"/>
                                </w:rPr>
                                <w:t>NADeF manages and invests the CSR funds through a Secretariat headed by an Executive Secretary. The Secretariat is the link between the SDC and the NADeF Board of Trustees, assessing and reviewing project needs identified by the communities.</w:t>
                              </w:r>
                            </w:p>
                          </w:txbxContent>
                        </wps:txbx>
                        <wps:bodyPr rot="0" vert="horz" wrap="square" lIns="91440" tIns="45720" rIns="91440" bIns="45720" anchor="t" anchorCtr="0" upright="1">
                          <a:noAutofit/>
                        </wps:bodyPr>
                      </wps:wsp>
                      <wps:wsp>
                        <wps:cNvPr id="14" name="AutoShape 11"/>
                        <wps:cNvSpPr>
                          <a:spLocks noChangeArrowheads="1"/>
                        </wps:cNvSpPr>
                        <wps:spPr bwMode="auto">
                          <a:xfrm rot="16200000">
                            <a:off x="619760" y="1755775"/>
                            <a:ext cx="1117918" cy="259080"/>
                          </a:xfrm>
                          <a:prstGeom prst="notchedRightArrow">
                            <a:avLst>
                              <a:gd name="adj1" fmla="val 50000"/>
                              <a:gd name="adj2" fmla="val 50261"/>
                            </a:avLst>
                          </a:prstGeom>
                          <a:grp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1DFE5B45" w14:textId="77777777" w:rsidR="002C4EAD" w:rsidRDefault="002C4EAD" w:rsidP="002C4EAD"/>
                          </w:txbxContent>
                        </wps:txbx>
                        <wps:bodyPr rot="0" vert="horz" wrap="square" lIns="91440" tIns="45720" rIns="91440" bIns="45720" anchor="t" anchorCtr="0" upright="1">
                          <a:noAutofit/>
                        </wps:bodyPr>
                      </wps:wsp>
                      <wps:wsp>
                        <wps:cNvPr id="15" name="Text Box 2"/>
                        <wps:cNvSpPr txBox="1">
                          <a:spLocks noChangeArrowheads="1"/>
                        </wps:cNvSpPr>
                        <wps:spPr bwMode="auto">
                          <a:xfrm>
                            <a:off x="3019425" y="3536315"/>
                            <a:ext cx="2562225" cy="1647825"/>
                          </a:xfrm>
                          <a:prstGeom prst="rect">
                            <a:avLst/>
                          </a:prstGeom>
                          <a:grp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txbx>
                          <w:txbxContent>
                            <w:p w14:paraId="1A2B4C4C" w14:textId="77777777" w:rsidR="002C4EAD" w:rsidRPr="00912D5D" w:rsidRDefault="002C4EAD" w:rsidP="002C4EAD">
                              <w:pPr>
                                <w:spacing w:after="0" w:line="240" w:lineRule="auto"/>
                                <w:jc w:val="center"/>
                                <w:rPr>
                                  <w:b/>
                                  <w:color w:val="000000" w:themeColor="text1"/>
                                </w:rPr>
                              </w:pPr>
                              <w:r w:rsidRPr="00912D5D">
                                <w:rPr>
                                  <w:b/>
                                  <w:color w:val="000000" w:themeColor="text1"/>
                                </w:rPr>
                                <w:t>Sustainable Development Committees</w:t>
                              </w:r>
                            </w:p>
                            <w:p w14:paraId="0A1ACB71" w14:textId="77777777" w:rsidR="002C4EAD" w:rsidRPr="00912D5D" w:rsidRDefault="002C4EAD" w:rsidP="002C4EAD">
                              <w:pPr>
                                <w:jc w:val="both"/>
                                <w:rPr>
                                  <w:color w:val="000000" w:themeColor="text1"/>
                                  <w:sz w:val="20"/>
                                  <w:szCs w:val="20"/>
                                </w:rPr>
                              </w:pPr>
                              <w:r w:rsidRPr="00912D5D">
                                <w:rPr>
                                  <w:color w:val="000000" w:themeColor="text1"/>
                                  <w:sz w:val="20"/>
                                  <w:szCs w:val="20"/>
                                </w:rPr>
                                <w:t>The SDCs are local-level groups that consult communities to initiate/plan projects to be supported with the CSR Fund.  The committees also receive complaints from people affected by mining activities and forward same to NADeF for resolution.</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0" y="0"/>
                            <a:ext cx="2705100" cy="1144270"/>
                          </a:xfrm>
                          <a:prstGeom prst="rect">
                            <a:avLst/>
                          </a:prstGeom>
                          <a:grp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5D0D59E" w14:textId="77777777" w:rsidR="002C4EAD" w:rsidRPr="00912D5D" w:rsidRDefault="002C4EAD" w:rsidP="002C4EAD">
                              <w:pPr>
                                <w:spacing w:after="0"/>
                                <w:jc w:val="center"/>
                                <w:rPr>
                                  <w:sz w:val="20"/>
                                  <w:szCs w:val="20"/>
                                </w:rPr>
                              </w:pPr>
                              <w:r w:rsidRPr="00912D5D">
                                <w:rPr>
                                  <w:b/>
                                  <w:sz w:val="20"/>
                                  <w:szCs w:val="20"/>
                                </w:rPr>
                                <w:t>The Ahafo Social Responsibility Forum</w:t>
                              </w:r>
                            </w:p>
                            <w:p w14:paraId="379FBCEE" w14:textId="77777777" w:rsidR="002C4EAD" w:rsidRPr="00912D5D" w:rsidRDefault="002C4EAD" w:rsidP="002C4EAD">
                              <w:pPr>
                                <w:spacing w:after="0" w:line="240" w:lineRule="auto"/>
                                <w:jc w:val="both"/>
                                <w:rPr>
                                  <w:sz w:val="20"/>
                                  <w:szCs w:val="20"/>
                                </w:rPr>
                              </w:pPr>
                              <w:r w:rsidRPr="00912D5D">
                                <w:rPr>
                                  <w:sz w:val="20"/>
                                  <w:szCs w:val="20"/>
                                </w:rPr>
                                <w:t>The Forum is the highest decision-making body for the NADeF, represented by traditional chiefs, civil society groups and the local people affected by the Ahafo Mine Community.</w:t>
                              </w:r>
                            </w:p>
                          </w:txbxContent>
                        </wps:txbx>
                        <wps:bodyPr rot="0" vert="horz" wrap="square" lIns="91440" tIns="45720" rIns="91440" bIns="45720" anchor="t" anchorCtr="0" upright="1">
                          <a:noAutofit/>
                        </wps:bodyPr>
                      </wps:wsp>
                      <wps:wsp>
                        <wps:cNvPr id="17" name="Left-Right Arrow 21"/>
                        <wps:cNvSpPr/>
                        <wps:spPr>
                          <a:xfrm rot="5400000">
                            <a:off x="3976052" y="2964498"/>
                            <a:ext cx="590231" cy="276860"/>
                          </a:xfrm>
                          <a:prstGeom prst="leftRightArrow">
                            <a:avLst/>
                          </a:prstGeom>
                          <a:grp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Left-Up Arrow 22"/>
                        <wps:cNvSpPr/>
                        <wps:spPr>
                          <a:xfrm rot="16200000">
                            <a:off x="3194368" y="-261303"/>
                            <a:ext cx="676910" cy="1658305"/>
                          </a:xfrm>
                          <a:prstGeom prst="leftUpArrow">
                            <a:avLst/>
                          </a:prstGeom>
                          <a:grp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DB65798" id="Group 15" o:spid="_x0000_s1026" style="position:absolute;margin-left:-58.9pt;margin-top:33.05pt;width:593.2pt;height:448.5pt;z-index:251659264;mso-position-horizontal-relative:margin;mso-width-relative:margin" coordsize="55816,5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">
                <v:shapetype id="_x0000_t202" coordsize="21600,21600" o:spt="202" path="m,l,21600r21600,l21600,xe">
                  <v:stroke joinstyle="miter"/>
                  <v:path gradientshapeok="t" o:connecttype="rect"/>
                </v:shapetype>
                <v:shape id="Text Box 2" o:spid="_x0000_s1027" type="#_x0000_t202" style="position:absolute;left:29895;top:9232;width:25908;height:1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" filled="f" strokecolor="#98b954">
                  <v:shadow on="t" color="black" opacity="22937f" origin=",.5" offset="0,.63889mm"/>
                  <v:textbox>
                    <w:txbxContent>
                      <w:p w14:paraId="206485ED" w14:textId="77777777" w:rsidR="002C4EAD" w:rsidRPr="003A6397" w:rsidRDefault="002C4EAD" w:rsidP="002C4EAD">
                        <w:pPr>
                          <w:spacing w:after="0" w:line="240" w:lineRule="auto"/>
                          <w:jc w:val="center"/>
                          <w:rPr>
                            <w:b/>
                            <w:color w:val="000000" w:themeColor="text1"/>
                          </w:rPr>
                        </w:pPr>
                        <w:r w:rsidRPr="003A6397">
                          <w:rPr>
                            <w:b/>
                            <w:color w:val="000000" w:themeColor="text1"/>
                          </w:rPr>
                          <w:t>Local Government</w:t>
                        </w:r>
                      </w:p>
                      <w:p w14:paraId="4B728EB8" w14:textId="77777777" w:rsidR="002C4EAD" w:rsidRPr="00912D5D" w:rsidRDefault="002C4EAD" w:rsidP="002C4EAD">
                        <w:pPr>
                          <w:jc w:val="both"/>
                          <w:rPr>
                            <w:b/>
                            <w:color w:val="000000" w:themeColor="text1"/>
                            <w:sz w:val="20"/>
                            <w:szCs w:val="20"/>
                          </w:rPr>
                        </w:pPr>
                        <w:r w:rsidRPr="00912D5D">
                          <w:rPr>
                            <w:color w:val="000000" w:themeColor="text1"/>
                            <w:sz w:val="20"/>
                            <w:szCs w:val="20"/>
                          </w:rPr>
                          <w:t>The two Local Councils are the agents of development in the local communities. Elected Members of the Councils serve on their respective SDCs, providing technical support and ensuring that developmental</w:t>
                        </w:r>
                        <w:r w:rsidRPr="00912D5D">
                          <w:rPr>
                            <w:sz w:val="20"/>
                            <w:szCs w:val="20"/>
                          </w:rPr>
                          <w:t xml:space="preserve"> </w:t>
                        </w:r>
                        <w:r w:rsidRPr="00912D5D">
                          <w:rPr>
                            <w:color w:val="000000" w:themeColor="text1"/>
                            <w:sz w:val="20"/>
                            <w:szCs w:val="20"/>
                          </w:rPr>
                          <w:t>projects initiated by the communities are in line with the Council’s plans.</w:t>
                        </w:r>
                      </w:p>
                      <w:p w14:paraId="04D9F679" w14:textId="77777777" w:rsidR="002C4EAD" w:rsidRDefault="002C4EAD" w:rsidP="002C4EAD"/>
                    </w:txbxContent>
                  </v:textbox>
                </v:shape>
                <v:shape id="Text Box 2" o:spid="_x0000_s1028" type="#_x0000_t202" style="position:absolute;top:26593;width:26479;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" filled="f" strokecolor="#4a7ebb">
                  <v:shadow on="t" color="black" opacity="24903f" origin=",.5" offset="0,.55556mm"/>
                  <v:textbox>
                    <w:txbxContent>
                      <w:p w14:paraId="4DB76F19" w14:textId="77777777" w:rsidR="002C4EAD" w:rsidRPr="00912D5D" w:rsidRDefault="002C4EAD" w:rsidP="002C4EAD">
                        <w:pPr>
                          <w:spacing w:after="0"/>
                          <w:jc w:val="both"/>
                          <w:rPr>
                            <w:b/>
                            <w:sz w:val="20"/>
                            <w:szCs w:val="20"/>
                          </w:rPr>
                        </w:pPr>
                        <w:r w:rsidRPr="00912D5D">
                          <w:rPr>
                            <w:b/>
                            <w:sz w:val="20"/>
                            <w:szCs w:val="20"/>
                          </w:rPr>
                          <w:t>Newmont Ahafo Development Foundation</w:t>
                        </w:r>
                      </w:p>
                      <w:p w14:paraId="112DEFF8" w14:textId="77777777" w:rsidR="002C4EAD" w:rsidRPr="00912D5D" w:rsidRDefault="002C4EAD" w:rsidP="002C4EAD">
                        <w:pPr>
                          <w:spacing w:after="0" w:line="240" w:lineRule="auto"/>
                          <w:jc w:val="both"/>
                          <w:rPr>
                            <w:sz w:val="20"/>
                            <w:szCs w:val="20"/>
                          </w:rPr>
                        </w:pPr>
                        <w:r w:rsidRPr="00912D5D">
                          <w:rPr>
                            <w:sz w:val="20"/>
                            <w:szCs w:val="20"/>
                          </w:rPr>
                          <w:t>NADeF manages and invests the CSR funds through a Secretariat headed by an Executive Secretary. The Secretariat is the link between the SDC and the NADeF Board of Trustees, assessing and reviewing project needs identified by the communities.</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1" o:spid="_x0000_s1029" type="#_x0000_t94" style="position:absolute;left:6197;top:17557;width:11179;height:2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" adj="19084" filled="f">
                  <v:shadow on="t" color="black" opacity="24903f" origin=",.5" offset="0,.55556mm"/>
                  <v:textbox>
                    <w:txbxContent>
                      <w:p w14:paraId="1DFE5B45" w14:textId="77777777" w:rsidR="002C4EAD" w:rsidRDefault="002C4EAD" w:rsidP="002C4EAD"/>
                    </w:txbxContent>
                  </v:textbox>
                </v:shape>
                <v:shape id="Text Box 2" o:spid="_x0000_s1030" type="#_x0000_t202" style="position:absolute;left:30194;top:35363;width:25622;height:1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" filled="f" strokecolor="#98b954">
                  <v:shadow on="t" color="black" opacity="22937f" origin=",.5" offset="0,.63889mm"/>
                  <v:textbox>
                    <w:txbxContent>
                      <w:p w14:paraId="1A2B4C4C" w14:textId="77777777" w:rsidR="002C4EAD" w:rsidRPr="00912D5D" w:rsidRDefault="002C4EAD" w:rsidP="002C4EAD">
                        <w:pPr>
                          <w:spacing w:after="0" w:line="240" w:lineRule="auto"/>
                          <w:jc w:val="center"/>
                          <w:rPr>
                            <w:b/>
                            <w:color w:val="000000" w:themeColor="text1"/>
                          </w:rPr>
                        </w:pPr>
                        <w:r w:rsidRPr="00912D5D">
                          <w:rPr>
                            <w:b/>
                            <w:color w:val="000000" w:themeColor="text1"/>
                          </w:rPr>
                          <w:t>Sustainable Development Committees</w:t>
                        </w:r>
                      </w:p>
                      <w:p w14:paraId="0A1ACB71" w14:textId="77777777" w:rsidR="002C4EAD" w:rsidRPr="00912D5D" w:rsidRDefault="002C4EAD" w:rsidP="002C4EAD">
                        <w:pPr>
                          <w:jc w:val="both"/>
                          <w:rPr>
                            <w:color w:val="000000" w:themeColor="text1"/>
                            <w:sz w:val="20"/>
                            <w:szCs w:val="20"/>
                          </w:rPr>
                        </w:pPr>
                        <w:r w:rsidRPr="00912D5D">
                          <w:rPr>
                            <w:color w:val="000000" w:themeColor="text1"/>
                            <w:sz w:val="20"/>
                            <w:szCs w:val="20"/>
                          </w:rPr>
                          <w:t>The SDCs are local-level groups that consult communities to initiate/plan projects to be supported with the CSR Fund.  The committees also receive complaints from people affected by mining activities and forward same to NADeF for resolution.</w:t>
                        </w:r>
                      </w:p>
                    </w:txbxContent>
                  </v:textbox>
                </v:shape>
                <v:shape id="Text Box 2" o:spid="_x0000_s1031" type="#_x0000_t202" style="position:absolute;width:27051;height:1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" filled="f" strokecolor="#be4b48">
                  <v:shadow on="t" color="black" opacity="24903f" origin=",.5" offset="0,.55556mm"/>
                  <v:textbox>
                    <w:txbxContent>
                      <w:p w14:paraId="05D0D59E" w14:textId="77777777" w:rsidR="002C4EAD" w:rsidRPr="00912D5D" w:rsidRDefault="002C4EAD" w:rsidP="002C4EAD">
                        <w:pPr>
                          <w:spacing w:after="0"/>
                          <w:jc w:val="center"/>
                          <w:rPr>
                            <w:sz w:val="20"/>
                            <w:szCs w:val="20"/>
                          </w:rPr>
                        </w:pPr>
                        <w:r w:rsidRPr="00912D5D">
                          <w:rPr>
                            <w:b/>
                            <w:sz w:val="20"/>
                            <w:szCs w:val="20"/>
                          </w:rPr>
                          <w:t>The Ahafo Social Responsibility Forum</w:t>
                        </w:r>
                      </w:p>
                      <w:p w14:paraId="379FBCEE" w14:textId="77777777" w:rsidR="002C4EAD" w:rsidRPr="00912D5D" w:rsidRDefault="002C4EAD" w:rsidP="002C4EAD">
                        <w:pPr>
                          <w:spacing w:after="0" w:line="240" w:lineRule="auto"/>
                          <w:jc w:val="both"/>
                          <w:rPr>
                            <w:sz w:val="20"/>
                            <w:szCs w:val="20"/>
                          </w:rPr>
                        </w:pPr>
                        <w:r w:rsidRPr="00912D5D">
                          <w:rPr>
                            <w:sz w:val="20"/>
                            <w:szCs w:val="20"/>
                          </w:rPr>
                          <w:t>The Forum is the highest decision-making body for the NADeF, represented by traditional chiefs, civil society groups and the local people affected by the Ahafo Mine Community.</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32" type="#_x0000_t69" style="position:absolute;left:39760;top:29645;width:5902;height:27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" adj="5066" filled="f">
                  <v:shadow on="t" color="black" opacity="24903f" origin=",.5" offset="0,.55556mm"/>
                </v:shape>
                <v:shape id="Left-Up Arrow 22" o:spid="_x0000_s1033" style="position:absolute;left:31943;top:-2614;width:6770;height:16583;rotation:-90;visibility:visible;mso-wrap-style:square;v-text-anchor:middle" coordsize="676910,165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" path="m,1489078l169228,1319850r,84614l423069,1404464r,-1235236l338455,169228,507683,,676910,169228r-84614,l592296,1573691r-423068,l169228,1658305,,1489078xe" filled="f">
                  <v:shadow on="t" color="black" opacity="24903f" origin=",.5" offset="0,.55556mm"/>
                  <v:path arrowok="t" o:connecttype="custom" o:connectlocs="0,1489078;169228,1319850;169228,1404464;423069,1404464;423069,169228;338455,169228;507683,0;676910,169228;592296,169228;592296,1573691;169228,1573691;169228,1658305;0,1489078" o:connectangles="0,0,0,0,0,0,0,0,0,0,0,0,0"/>
                </v:shape>
                <w10:wrap type="through" anchorx="margin"/>
              </v:group>
            </w:pict>
          </mc:Fallback>
        </mc:AlternateContent>
      </w:r>
      <w:bookmarkEnd w:id="1"/>
      <w:r w:rsidR="000B0193" w:rsidRPr="000F57AA">
        <w:rPr>
          <w:rFonts w:ascii="Times New Roman" w:hAnsi="Times New Roman" w:cs="Times New Roman"/>
          <w:sz w:val="24"/>
          <w:szCs w:val="24"/>
        </w:rPr>
        <w:br w:type="page"/>
      </w:r>
    </w:p>
    <w:p w14:paraId="29050E83" w14:textId="77777777" w:rsidR="002C4EAD" w:rsidRDefault="002C4EAD" w:rsidP="002C4EAD">
      <w:pPr>
        <w:jc w:val="center"/>
        <w:rPr>
          <w:sz w:val="24"/>
          <w:szCs w:val="24"/>
        </w:rPr>
      </w:pPr>
      <w:r w:rsidRPr="006566A0">
        <w:rPr>
          <w:sz w:val="24"/>
          <w:szCs w:val="24"/>
        </w:rPr>
        <w:lastRenderedPageBreak/>
        <w:t>TABLES</w:t>
      </w:r>
    </w:p>
    <w:p w14:paraId="420A7E8C" w14:textId="77777777" w:rsidR="002C4EAD" w:rsidRDefault="002C4EAD" w:rsidP="002C4EAD">
      <w:pPr>
        <w:rPr>
          <w:sz w:val="24"/>
          <w:szCs w:val="24"/>
        </w:rPr>
      </w:pPr>
    </w:p>
    <w:p w14:paraId="27A59B3A" w14:textId="77777777" w:rsidR="002C4EAD" w:rsidRPr="006566A0" w:rsidRDefault="002C4EAD" w:rsidP="002C4EAD">
      <w:pPr>
        <w:rPr>
          <w:sz w:val="24"/>
          <w:szCs w:val="24"/>
        </w:rPr>
      </w:pPr>
      <w:r>
        <w:rPr>
          <w:sz w:val="24"/>
          <w:szCs w:val="24"/>
        </w:rPr>
        <w:t>Table 1</w:t>
      </w:r>
      <w:r w:rsidRPr="006566A0">
        <w:rPr>
          <w:sz w:val="24"/>
          <w:szCs w:val="24"/>
        </w:rPr>
        <w:t xml:space="preserve"> Summary of sampled population</w:t>
      </w:r>
    </w:p>
    <w:tbl>
      <w:tblPr>
        <w:tblStyle w:val="GridTable2-Accent31"/>
        <w:tblW w:w="0" w:type="auto"/>
        <w:tblLook w:val="04A0" w:firstRow="1" w:lastRow="0" w:firstColumn="1" w:lastColumn="0" w:noHBand="0" w:noVBand="1"/>
      </w:tblPr>
      <w:tblGrid>
        <w:gridCol w:w="1384"/>
        <w:gridCol w:w="1559"/>
        <w:gridCol w:w="1184"/>
        <w:gridCol w:w="234"/>
        <w:gridCol w:w="1559"/>
        <w:gridCol w:w="1559"/>
      </w:tblGrid>
      <w:tr w:rsidR="002C4EAD" w:rsidRPr="006566A0" w14:paraId="3E160010" w14:textId="77777777" w:rsidTr="005F4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9E44A83" w14:textId="77777777" w:rsidR="002C4EAD" w:rsidRPr="006566A0" w:rsidRDefault="002C4EAD" w:rsidP="005F4586">
            <w:pPr>
              <w:pStyle w:val="NoteLevel11"/>
              <w:numPr>
                <w:ilvl w:val="0"/>
                <w:numId w:val="0"/>
              </w:numPr>
              <w:spacing w:line="480" w:lineRule="auto"/>
              <w:jc w:val="center"/>
              <w:rPr>
                <w:rFonts w:ascii="Times New Roman" w:hAnsi="Times New Roman"/>
                <w:sz w:val="24"/>
                <w:szCs w:val="24"/>
              </w:rPr>
            </w:pPr>
            <w:r w:rsidRPr="006566A0">
              <w:rPr>
                <w:rFonts w:ascii="Times New Roman" w:hAnsi="Times New Roman"/>
                <w:sz w:val="24"/>
                <w:szCs w:val="24"/>
              </w:rPr>
              <w:t>Gender</w:t>
            </w:r>
          </w:p>
        </w:tc>
        <w:tc>
          <w:tcPr>
            <w:tcW w:w="1559" w:type="dxa"/>
          </w:tcPr>
          <w:p w14:paraId="460B836B" w14:textId="77777777" w:rsidR="002C4EAD" w:rsidRPr="006566A0" w:rsidRDefault="002C4EAD" w:rsidP="005F4586">
            <w:pPr>
              <w:pStyle w:val="NoteLevel11"/>
              <w:numPr>
                <w:ilvl w:val="0"/>
                <w:numId w:val="0"/>
              </w:num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566A0">
              <w:rPr>
                <w:rFonts w:ascii="Times New Roman" w:hAnsi="Times New Roman"/>
                <w:sz w:val="24"/>
                <w:szCs w:val="24"/>
              </w:rPr>
              <w:t>Rate of Occurrence</w:t>
            </w:r>
          </w:p>
        </w:tc>
        <w:tc>
          <w:tcPr>
            <w:tcW w:w="1418" w:type="dxa"/>
            <w:gridSpan w:val="2"/>
          </w:tcPr>
          <w:p w14:paraId="42BD7537" w14:textId="77777777" w:rsidR="002C4EAD" w:rsidRPr="006566A0" w:rsidRDefault="002C4EAD" w:rsidP="005F4586">
            <w:pPr>
              <w:pStyle w:val="NoteLevel11"/>
              <w:numPr>
                <w:ilvl w:val="0"/>
                <w:numId w:val="0"/>
              </w:num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566A0">
              <w:rPr>
                <w:rFonts w:ascii="Times New Roman" w:hAnsi="Times New Roman"/>
                <w:sz w:val="24"/>
                <w:szCs w:val="24"/>
              </w:rPr>
              <w:t>Percentage (%)</w:t>
            </w:r>
          </w:p>
        </w:tc>
        <w:tc>
          <w:tcPr>
            <w:tcW w:w="1559" w:type="dxa"/>
          </w:tcPr>
          <w:p w14:paraId="7946948C" w14:textId="77777777" w:rsidR="002C4EAD" w:rsidRPr="006566A0" w:rsidRDefault="002C4EAD" w:rsidP="005F4586">
            <w:pPr>
              <w:pStyle w:val="NoteLevel11"/>
              <w:numPr>
                <w:ilvl w:val="0"/>
                <w:numId w:val="0"/>
              </w:num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566A0">
              <w:rPr>
                <w:rFonts w:ascii="Times New Roman" w:hAnsi="Times New Roman"/>
                <w:sz w:val="24"/>
                <w:szCs w:val="24"/>
              </w:rPr>
              <w:t>Employees</w:t>
            </w:r>
          </w:p>
        </w:tc>
        <w:tc>
          <w:tcPr>
            <w:tcW w:w="1559" w:type="dxa"/>
          </w:tcPr>
          <w:p w14:paraId="23BDA956" w14:textId="77777777" w:rsidR="002C4EAD" w:rsidRPr="006566A0" w:rsidRDefault="002C4EAD" w:rsidP="005F4586">
            <w:pPr>
              <w:pStyle w:val="NoteLevel11"/>
              <w:numPr>
                <w:ilvl w:val="0"/>
                <w:numId w:val="0"/>
              </w:num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566A0">
              <w:rPr>
                <w:rFonts w:ascii="Times New Roman" w:hAnsi="Times New Roman"/>
                <w:sz w:val="24"/>
                <w:szCs w:val="24"/>
              </w:rPr>
              <w:t>Community Members</w:t>
            </w:r>
          </w:p>
        </w:tc>
      </w:tr>
      <w:tr w:rsidR="002C4EAD" w:rsidRPr="006566A0" w14:paraId="6515F660" w14:textId="77777777" w:rsidTr="005F4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D0D4C03" w14:textId="77777777" w:rsidR="002C4EAD" w:rsidRPr="006566A0" w:rsidRDefault="002C4EAD" w:rsidP="005F4586">
            <w:pPr>
              <w:pStyle w:val="NoteLevel11"/>
              <w:numPr>
                <w:ilvl w:val="0"/>
                <w:numId w:val="0"/>
              </w:numPr>
              <w:spacing w:line="480" w:lineRule="auto"/>
              <w:rPr>
                <w:rFonts w:ascii="Times New Roman" w:hAnsi="Times New Roman"/>
                <w:sz w:val="24"/>
                <w:szCs w:val="24"/>
              </w:rPr>
            </w:pPr>
            <w:r w:rsidRPr="006566A0">
              <w:rPr>
                <w:rFonts w:ascii="Times New Roman" w:hAnsi="Times New Roman"/>
                <w:sz w:val="24"/>
                <w:szCs w:val="24"/>
              </w:rPr>
              <w:t>Male</w:t>
            </w:r>
          </w:p>
        </w:tc>
        <w:tc>
          <w:tcPr>
            <w:tcW w:w="1559" w:type="dxa"/>
          </w:tcPr>
          <w:p w14:paraId="322A0601"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68</w:t>
            </w:r>
          </w:p>
        </w:tc>
        <w:tc>
          <w:tcPr>
            <w:tcW w:w="1184" w:type="dxa"/>
          </w:tcPr>
          <w:p w14:paraId="11351208"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82.9</w:t>
            </w:r>
          </w:p>
        </w:tc>
        <w:tc>
          <w:tcPr>
            <w:tcW w:w="1793" w:type="dxa"/>
            <w:gridSpan w:val="2"/>
          </w:tcPr>
          <w:p w14:paraId="3C018331"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16</w:t>
            </w:r>
          </w:p>
        </w:tc>
        <w:tc>
          <w:tcPr>
            <w:tcW w:w="1559" w:type="dxa"/>
          </w:tcPr>
          <w:p w14:paraId="2112B0D1"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42</w:t>
            </w:r>
          </w:p>
        </w:tc>
      </w:tr>
      <w:tr w:rsidR="002C4EAD" w:rsidRPr="006566A0" w14:paraId="34EC7150" w14:textId="77777777" w:rsidTr="005F4586">
        <w:tc>
          <w:tcPr>
            <w:cnfStyle w:val="001000000000" w:firstRow="0" w:lastRow="0" w:firstColumn="1" w:lastColumn="0" w:oddVBand="0" w:evenVBand="0" w:oddHBand="0" w:evenHBand="0" w:firstRowFirstColumn="0" w:firstRowLastColumn="0" w:lastRowFirstColumn="0" w:lastRowLastColumn="0"/>
            <w:tcW w:w="1384" w:type="dxa"/>
          </w:tcPr>
          <w:p w14:paraId="1699A069" w14:textId="77777777" w:rsidR="002C4EAD" w:rsidRPr="006566A0" w:rsidRDefault="002C4EAD" w:rsidP="005F4586">
            <w:pPr>
              <w:pStyle w:val="NoteLevel11"/>
              <w:numPr>
                <w:ilvl w:val="0"/>
                <w:numId w:val="0"/>
              </w:numPr>
              <w:spacing w:line="480" w:lineRule="auto"/>
              <w:rPr>
                <w:rFonts w:ascii="Times New Roman" w:hAnsi="Times New Roman"/>
                <w:sz w:val="24"/>
                <w:szCs w:val="24"/>
              </w:rPr>
            </w:pPr>
            <w:r w:rsidRPr="006566A0">
              <w:rPr>
                <w:rFonts w:ascii="Times New Roman" w:hAnsi="Times New Roman"/>
                <w:sz w:val="24"/>
                <w:szCs w:val="24"/>
              </w:rPr>
              <w:t>Female</w:t>
            </w:r>
          </w:p>
        </w:tc>
        <w:tc>
          <w:tcPr>
            <w:tcW w:w="1559" w:type="dxa"/>
          </w:tcPr>
          <w:p w14:paraId="1EABA653" w14:textId="77777777" w:rsidR="002C4EAD" w:rsidRPr="006566A0" w:rsidRDefault="002C4EAD" w:rsidP="005F4586">
            <w:pPr>
              <w:pStyle w:val="NoteLevel11"/>
              <w:numPr>
                <w:ilvl w:val="0"/>
                <w:numId w:val="0"/>
              </w:num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14</w:t>
            </w:r>
          </w:p>
        </w:tc>
        <w:tc>
          <w:tcPr>
            <w:tcW w:w="1184" w:type="dxa"/>
          </w:tcPr>
          <w:p w14:paraId="3A189140" w14:textId="77777777" w:rsidR="002C4EAD" w:rsidRPr="006566A0" w:rsidRDefault="002C4EAD" w:rsidP="005F4586">
            <w:pPr>
              <w:pStyle w:val="NoteLevel11"/>
              <w:numPr>
                <w:ilvl w:val="0"/>
                <w:numId w:val="0"/>
              </w:num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17.1</w:t>
            </w:r>
          </w:p>
        </w:tc>
        <w:tc>
          <w:tcPr>
            <w:tcW w:w="1793" w:type="dxa"/>
            <w:gridSpan w:val="2"/>
          </w:tcPr>
          <w:p w14:paraId="5B890895" w14:textId="77777777" w:rsidR="002C4EAD" w:rsidRPr="006566A0" w:rsidRDefault="002C4EAD" w:rsidP="005F4586">
            <w:pPr>
              <w:pStyle w:val="NoteLevel11"/>
              <w:numPr>
                <w:ilvl w:val="0"/>
                <w:numId w:val="0"/>
              </w:num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6</w:t>
            </w:r>
          </w:p>
        </w:tc>
        <w:tc>
          <w:tcPr>
            <w:tcW w:w="1559" w:type="dxa"/>
          </w:tcPr>
          <w:p w14:paraId="331B2F25" w14:textId="77777777" w:rsidR="002C4EAD" w:rsidRPr="006566A0" w:rsidRDefault="002C4EAD" w:rsidP="005F4586">
            <w:pPr>
              <w:pStyle w:val="NoteLevel11"/>
              <w:numPr>
                <w:ilvl w:val="0"/>
                <w:numId w:val="0"/>
              </w:num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18</w:t>
            </w:r>
          </w:p>
        </w:tc>
      </w:tr>
      <w:tr w:rsidR="002C4EAD" w:rsidRPr="006566A0" w14:paraId="1F8938BB" w14:textId="77777777" w:rsidTr="005F4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DC3DFDA" w14:textId="77777777" w:rsidR="002C4EAD" w:rsidRPr="006566A0" w:rsidRDefault="002C4EAD" w:rsidP="005F4586">
            <w:pPr>
              <w:pStyle w:val="NoteLevel11"/>
              <w:numPr>
                <w:ilvl w:val="0"/>
                <w:numId w:val="0"/>
              </w:numPr>
              <w:spacing w:line="480" w:lineRule="auto"/>
              <w:rPr>
                <w:rFonts w:ascii="Times New Roman" w:hAnsi="Times New Roman"/>
                <w:sz w:val="24"/>
                <w:szCs w:val="24"/>
              </w:rPr>
            </w:pPr>
            <w:r w:rsidRPr="006566A0">
              <w:rPr>
                <w:rFonts w:ascii="Times New Roman" w:hAnsi="Times New Roman"/>
                <w:sz w:val="24"/>
                <w:szCs w:val="24"/>
              </w:rPr>
              <w:t>Total</w:t>
            </w:r>
          </w:p>
        </w:tc>
        <w:tc>
          <w:tcPr>
            <w:tcW w:w="1559" w:type="dxa"/>
          </w:tcPr>
          <w:p w14:paraId="0E6FAD94"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82</w:t>
            </w:r>
          </w:p>
        </w:tc>
        <w:tc>
          <w:tcPr>
            <w:tcW w:w="1184" w:type="dxa"/>
          </w:tcPr>
          <w:p w14:paraId="6D62B226"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100</w:t>
            </w:r>
          </w:p>
        </w:tc>
        <w:tc>
          <w:tcPr>
            <w:tcW w:w="1793" w:type="dxa"/>
            <w:gridSpan w:val="2"/>
          </w:tcPr>
          <w:p w14:paraId="7E593C29"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22</w:t>
            </w:r>
          </w:p>
        </w:tc>
        <w:tc>
          <w:tcPr>
            <w:tcW w:w="1559" w:type="dxa"/>
          </w:tcPr>
          <w:p w14:paraId="4065E183" w14:textId="77777777" w:rsidR="002C4EAD" w:rsidRPr="006566A0" w:rsidRDefault="002C4EAD" w:rsidP="005F4586">
            <w:pPr>
              <w:pStyle w:val="NoteLevel11"/>
              <w:numPr>
                <w:ilvl w:val="0"/>
                <w:numId w:val="0"/>
              </w:num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566A0">
              <w:rPr>
                <w:rFonts w:ascii="Times New Roman" w:hAnsi="Times New Roman"/>
                <w:b/>
                <w:sz w:val="24"/>
                <w:szCs w:val="24"/>
              </w:rPr>
              <w:t>60</w:t>
            </w:r>
          </w:p>
        </w:tc>
      </w:tr>
    </w:tbl>
    <w:p w14:paraId="6E52251D" w14:textId="77777777" w:rsidR="002C4EAD" w:rsidRPr="006566A0" w:rsidRDefault="002C4EAD" w:rsidP="002C4EAD">
      <w:pPr>
        <w:rPr>
          <w:sz w:val="24"/>
          <w:szCs w:val="24"/>
        </w:rPr>
      </w:pPr>
    </w:p>
    <w:p w14:paraId="5FCC86A2" w14:textId="77777777" w:rsidR="002C4EAD" w:rsidRPr="006566A0" w:rsidRDefault="002C4EAD" w:rsidP="002C4EAD">
      <w:pPr>
        <w:rPr>
          <w:sz w:val="24"/>
          <w:szCs w:val="24"/>
        </w:rPr>
      </w:pPr>
      <w:r w:rsidRPr="006566A0">
        <w:rPr>
          <w:sz w:val="24"/>
          <w:szCs w:val="24"/>
        </w:rPr>
        <w:t>Table 2.0 Details of Interviewees</w:t>
      </w:r>
    </w:p>
    <w:tbl>
      <w:tblPr>
        <w:tblStyle w:val="TableGrid"/>
        <w:tblW w:w="0" w:type="auto"/>
        <w:tblLook w:val="04A0" w:firstRow="1" w:lastRow="0" w:firstColumn="1" w:lastColumn="0" w:noHBand="0" w:noVBand="1"/>
      </w:tblPr>
      <w:tblGrid>
        <w:gridCol w:w="1960"/>
        <w:gridCol w:w="1636"/>
        <w:gridCol w:w="2583"/>
        <w:gridCol w:w="1807"/>
      </w:tblGrid>
      <w:tr w:rsidR="002C4EAD" w:rsidRPr="006566A0" w14:paraId="250BEBB4" w14:textId="77777777" w:rsidTr="005F4586">
        <w:tc>
          <w:tcPr>
            <w:tcW w:w="1960" w:type="dxa"/>
          </w:tcPr>
          <w:p w14:paraId="4455DFD9" w14:textId="77777777" w:rsidR="002C4EAD" w:rsidRPr="006566A0" w:rsidRDefault="002C4EAD" w:rsidP="005F4586">
            <w:pPr>
              <w:rPr>
                <w:b/>
                <w:sz w:val="24"/>
                <w:szCs w:val="24"/>
              </w:rPr>
            </w:pPr>
            <w:r w:rsidRPr="006566A0">
              <w:rPr>
                <w:b/>
                <w:sz w:val="24"/>
                <w:szCs w:val="24"/>
              </w:rPr>
              <w:t>Interviewee No.</w:t>
            </w:r>
          </w:p>
        </w:tc>
        <w:tc>
          <w:tcPr>
            <w:tcW w:w="1636" w:type="dxa"/>
          </w:tcPr>
          <w:p w14:paraId="2D79705C" w14:textId="77777777" w:rsidR="002C4EAD" w:rsidRPr="006566A0" w:rsidRDefault="002C4EAD" w:rsidP="005F4586">
            <w:pPr>
              <w:rPr>
                <w:b/>
                <w:sz w:val="24"/>
                <w:szCs w:val="24"/>
              </w:rPr>
            </w:pPr>
            <w:r w:rsidRPr="006566A0">
              <w:rPr>
                <w:b/>
                <w:sz w:val="24"/>
                <w:szCs w:val="24"/>
              </w:rPr>
              <w:t>Sex</w:t>
            </w:r>
          </w:p>
        </w:tc>
        <w:tc>
          <w:tcPr>
            <w:tcW w:w="2583" w:type="dxa"/>
          </w:tcPr>
          <w:p w14:paraId="26D83BCF" w14:textId="77777777" w:rsidR="002C4EAD" w:rsidRPr="006566A0" w:rsidRDefault="002C4EAD" w:rsidP="005F4586">
            <w:pPr>
              <w:rPr>
                <w:b/>
                <w:sz w:val="24"/>
                <w:szCs w:val="24"/>
              </w:rPr>
            </w:pPr>
            <w:r w:rsidRPr="006566A0">
              <w:rPr>
                <w:b/>
                <w:sz w:val="24"/>
                <w:szCs w:val="24"/>
              </w:rPr>
              <w:t>Office</w:t>
            </w:r>
          </w:p>
        </w:tc>
        <w:tc>
          <w:tcPr>
            <w:tcW w:w="1807" w:type="dxa"/>
          </w:tcPr>
          <w:p w14:paraId="507B4B7D" w14:textId="77777777" w:rsidR="002C4EAD" w:rsidRPr="006566A0" w:rsidRDefault="002C4EAD" w:rsidP="005F4586">
            <w:pPr>
              <w:rPr>
                <w:b/>
                <w:sz w:val="24"/>
                <w:szCs w:val="24"/>
              </w:rPr>
            </w:pPr>
            <w:r w:rsidRPr="006566A0">
              <w:rPr>
                <w:b/>
                <w:sz w:val="24"/>
                <w:szCs w:val="24"/>
              </w:rPr>
              <w:t>Outfit</w:t>
            </w:r>
          </w:p>
        </w:tc>
      </w:tr>
      <w:tr w:rsidR="002C4EAD" w:rsidRPr="006566A0" w14:paraId="61B641F8" w14:textId="77777777" w:rsidTr="005F4586">
        <w:tc>
          <w:tcPr>
            <w:tcW w:w="1960" w:type="dxa"/>
          </w:tcPr>
          <w:p w14:paraId="555E2471" w14:textId="77777777" w:rsidR="002C4EAD" w:rsidRPr="006566A0" w:rsidRDefault="002C4EAD" w:rsidP="005F4586">
            <w:pPr>
              <w:rPr>
                <w:sz w:val="24"/>
                <w:szCs w:val="24"/>
              </w:rPr>
            </w:pPr>
            <w:r w:rsidRPr="006566A0">
              <w:rPr>
                <w:sz w:val="24"/>
                <w:szCs w:val="24"/>
              </w:rPr>
              <w:t>Interviewee 1</w:t>
            </w:r>
          </w:p>
        </w:tc>
        <w:tc>
          <w:tcPr>
            <w:tcW w:w="1636" w:type="dxa"/>
          </w:tcPr>
          <w:p w14:paraId="17A8EAE7" w14:textId="77777777" w:rsidR="002C4EAD" w:rsidRPr="006566A0" w:rsidRDefault="002C4EAD" w:rsidP="005F4586">
            <w:pPr>
              <w:rPr>
                <w:sz w:val="24"/>
                <w:szCs w:val="24"/>
              </w:rPr>
            </w:pPr>
            <w:r w:rsidRPr="006566A0">
              <w:rPr>
                <w:sz w:val="24"/>
                <w:szCs w:val="24"/>
              </w:rPr>
              <w:t>Male</w:t>
            </w:r>
          </w:p>
        </w:tc>
        <w:tc>
          <w:tcPr>
            <w:tcW w:w="2583" w:type="dxa"/>
          </w:tcPr>
          <w:p w14:paraId="46487051" w14:textId="77777777" w:rsidR="002C4EAD" w:rsidRPr="006566A0" w:rsidRDefault="002C4EAD" w:rsidP="005F4586">
            <w:pPr>
              <w:rPr>
                <w:sz w:val="24"/>
                <w:szCs w:val="24"/>
              </w:rPr>
            </w:pPr>
            <w:r w:rsidRPr="006566A0">
              <w:rPr>
                <w:sz w:val="24"/>
                <w:szCs w:val="24"/>
              </w:rPr>
              <w:t>Sustainability</w:t>
            </w:r>
          </w:p>
        </w:tc>
        <w:tc>
          <w:tcPr>
            <w:tcW w:w="1807" w:type="dxa"/>
          </w:tcPr>
          <w:p w14:paraId="6409A971" w14:textId="77777777" w:rsidR="002C4EAD" w:rsidRPr="006566A0" w:rsidRDefault="002C4EAD" w:rsidP="005F4586">
            <w:pPr>
              <w:rPr>
                <w:sz w:val="24"/>
                <w:szCs w:val="24"/>
              </w:rPr>
            </w:pPr>
            <w:r w:rsidRPr="006566A0">
              <w:rPr>
                <w:sz w:val="24"/>
                <w:szCs w:val="24"/>
              </w:rPr>
              <w:t>NGGL</w:t>
            </w:r>
          </w:p>
        </w:tc>
      </w:tr>
      <w:tr w:rsidR="002C4EAD" w:rsidRPr="006566A0" w14:paraId="7CBDEC01" w14:textId="77777777" w:rsidTr="005F4586">
        <w:tc>
          <w:tcPr>
            <w:tcW w:w="1960" w:type="dxa"/>
          </w:tcPr>
          <w:p w14:paraId="280DB2D8" w14:textId="77777777" w:rsidR="002C4EAD" w:rsidRPr="006566A0" w:rsidRDefault="002C4EAD" w:rsidP="005F4586">
            <w:pPr>
              <w:rPr>
                <w:sz w:val="24"/>
                <w:szCs w:val="24"/>
              </w:rPr>
            </w:pPr>
            <w:r w:rsidRPr="006566A0">
              <w:rPr>
                <w:sz w:val="24"/>
                <w:szCs w:val="24"/>
              </w:rPr>
              <w:t>Interviewee 2</w:t>
            </w:r>
          </w:p>
        </w:tc>
        <w:tc>
          <w:tcPr>
            <w:tcW w:w="1636" w:type="dxa"/>
          </w:tcPr>
          <w:p w14:paraId="3092C397" w14:textId="77777777" w:rsidR="002C4EAD" w:rsidRPr="006566A0" w:rsidRDefault="002C4EAD" w:rsidP="005F4586">
            <w:pPr>
              <w:rPr>
                <w:sz w:val="24"/>
                <w:szCs w:val="24"/>
              </w:rPr>
            </w:pPr>
            <w:r w:rsidRPr="006566A0">
              <w:rPr>
                <w:sz w:val="24"/>
                <w:szCs w:val="24"/>
              </w:rPr>
              <w:t>Male</w:t>
            </w:r>
          </w:p>
        </w:tc>
        <w:tc>
          <w:tcPr>
            <w:tcW w:w="2583" w:type="dxa"/>
          </w:tcPr>
          <w:p w14:paraId="09663766" w14:textId="77777777" w:rsidR="002C4EAD" w:rsidRPr="006566A0" w:rsidRDefault="002C4EAD" w:rsidP="005F4586">
            <w:pPr>
              <w:rPr>
                <w:sz w:val="24"/>
                <w:szCs w:val="24"/>
              </w:rPr>
            </w:pPr>
            <w:r w:rsidRPr="006566A0">
              <w:rPr>
                <w:sz w:val="24"/>
                <w:szCs w:val="24"/>
              </w:rPr>
              <w:t>Sustainability</w:t>
            </w:r>
          </w:p>
        </w:tc>
        <w:tc>
          <w:tcPr>
            <w:tcW w:w="1807" w:type="dxa"/>
          </w:tcPr>
          <w:p w14:paraId="3167F8BB" w14:textId="77777777" w:rsidR="002C4EAD" w:rsidRPr="006566A0" w:rsidRDefault="002C4EAD" w:rsidP="005F4586">
            <w:pPr>
              <w:rPr>
                <w:sz w:val="24"/>
                <w:szCs w:val="24"/>
              </w:rPr>
            </w:pPr>
            <w:r w:rsidRPr="006566A0">
              <w:rPr>
                <w:sz w:val="24"/>
                <w:szCs w:val="24"/>
              </w:rPr>
              <w:t>NGGL</w:t>
            </w:r>
          </w:p>
        </w:tc>
      </w:tr>
      <w:tr w:rsidR="002C4EAD" w:rsidRPr="006566A0" w14:paraId="26590734" w14:textId="77777777" w:rsidTr="005F4586">
        <w:tc>
          <w:tcPr>
            <w:tcW w:w="1960" w:type="dxa"/>
          </w:tcPr>
          <w:p w14:paraId="1D13ECE8" w14:textId="77777777" w:rsidR="002C4EAD" w:rsidRPr="006566A0" w:rsidRDefault="002C4EAD" w:rsidP="005F4586">
            <w:pPr>
              <w:rPr>
                <w:sz w:val="24"/>
                <w:szCs w:val="24"/>
              </w:rPr>
            </w:pPr>
            <w:r w:rsidRPr="006566A0">
              <w:rPr>
                <w:sz w:val="24"/>
                <w:szCs w:val="24"/>
              </w:rPr>
              <w:t>Interviewee 3</w:t>
            </w:r>
          </w:p>
        </w:tc>
        <w:tc>
          <w:tcPr>
            <w:tcW w:w="1636" w:type="dxa"/>
          </w:tcPr>
          <w:p w14:paraId="20745494" w14:textId="77777777" w:rsidR="002C4EAD" w:rsidRPr="006566A0" w:rsidRDefault="002C4EAD" w:rsidP="005F4586">
            <w:pPr>
              <w:rPr>
                <w:sz w:val="24"/>
                <w:szCs w:val="24"/>
              </w:rPr>
            </w:pPr>
            <w:r w:rsidRPr="006566A0">
              <w:rPr>
                <w:sz w:val="24"/>
                <w:szCs w:val="24"/>
              </w:rPr>
              <w:t>Male</w:t>
            </w:r>
          </w:p>
        </w:tc>
        <w:tc>
          <w:tcPr>
            <w:tcW w:w="2583" w:type="dxa"/>
          </w:tcPr>
          <w:p w14:paraId="29DD7281" w14:textId="77777777" w:rsidR="002C4EAD" w:rsidRPr="006566A0" w:rsidRDefault="002C4EAD" w:rsidP="005F4586">
            <w:pPr>
              <w:rPr>
                <w:sz w:val="24"/>
                <w:szCs w:val="24"/>
              </w:rPr>
            </w:pPr>
            <w:r w:rsidRPr="006566A0">
              <w:rPr>
                <w:sz w:val="24"/>
                <w:szCs w:val="24"/>
              </w:rPr>
              <w:t>Health and Safety</w:t>
            </w:r>
          </w:p>
        </w:tc>
        <w:tc>
          <w:tcPr>
            <w:tcW w:w="1807" w:type="dxa"/>
          </w:tcPr>
          <w:p w14:paraId="2F7E964E" w14:textId="77777777" w:rsidR="002C4EAD" w:rsidRPr="006566A0" w:rsidRDefault="002C4EAD" w:rsidP="005F4586">
            <w:pPr>
              <w:rPr>
                <w:sz w:val="24"/>
                <w:szCs w:val="24"/>
              </w:rPr>
            </w:pPr>
            <w:r w:rsidRPr="006566A0">
              <w:rPr>
                <w:sz w:val="24"/>
                <w:szCs w:val="24"/>
              </w:rPr>
              <w:t>NGGL</w:t>
            </w:r>
          </w:p>
        </w:tc>
      </w:tr>
      <w:tr w:rsidR="002C4EAD" w:rsidRPr="006566A0" w14:paraId="0E2E2CE2" w14:textId="77777777" w:rsidTr="005F4586">
        <w:tc>
          <w:tcPr>
            <w:tcW w:w="1960" w:type="dxa"/>
          </w:tcPr>
          <w:p w14:paraId="407619B3" w14:textId="77777777" w:rsidR="002C4EAD" w:rsidRPr="006566A0" w:rsidRDefault="002C4EAD" w:rsidP="005F4586">
            <w:pPr>
              <w:rPr>
                <w:sz w:val="24"/>
                <w:szCs w:val="24"/>
              </w:rPr>
            </w:pPr>
            <w:r w:rsidRPr="006566A0">
              <w:rPr>
                <w:sz w:val="24"/>
                <w:szCs w:val="24"/>
              </w:rPr>
              <w:t>Interviewee 4</w:t>
            </w:r>
          </w:p>
        </w:tc>
        <w:tc>
          <w:tcPr>
            <w:tcW w:w="1636" w:type="dxa"/>
          </w:tcPr>
          <w:p w14:paraId="0DC4D0A1" w14:textId="77777777" w:rsidR="002C4EAD" w:rsidRPr="006566A0" w:rsidRDefault="002C4EAD" w:rsidP="005F4586">
            <w:pPr>
              <w:rPr>
                <w:sz w:val="24"/>
                <w:szCs w:val="24"/>
              </w:rPr>
            </w:pPr>
            <w:r w:rsidRPr="006566A0">
              <w:rPr>
                <w:sz w:val="24"/>
                <w:szCs w:val="24"/>
              </w:rPr>
              <w:t>Female</w:t>
            </w:r>
          </w:p>
        </w:tc>
        <w:tc>
          <w:tcPr>
            <w:tcW w:w="2583" w:type="dxa"/>
          </w:tcPr>
          <w:p w14:paraId="528479D8" w14:textId="77777777" w:rsidR="002C4EAD" w:rsidRPr="006566A0" w:rsidRDefault="002C4EAD" w:rsidP="005F4586">
            <w:pPr>
              <w:rPr>
                <w:sz w:val="24"/>
                <w:szCs w:val="24"/>
              </w:rPr>
            </w:pPr>
            <w:r w:rsidRPr="006566A0">
              <w:rPr>
                <w:sz w:val="24"/>
                <w:szCs w:val="24"/>
              </w:rPr>
              <w:t>HRM</w:t>
            </w:r>
          </w:p>
        </w:tc>
        <w:tc>
          <w:tcPr>
            <w:tcW w:w="1807" w:type="dxa"/>
          </w:tcPr>
          <w:p w14:paraId="3F4326A4" w14:textId="77777777" w:rsidR="002C4EAD" w:rsidRPr="006566A0" w:rsidRDefault="002C4EAD" w:rsidP="005F4586">
            <w:pPr>
              <w:rPr>
                <w:sz w:val="24"/>
                <w:szCs w:val="24"/>
              </w:rPr>
            </w:pPr>
            <w:r w:rsidRPr="006566A0">
              <w:rPr>
                <w:sz w:val="24"/>
                <w:szCs w:val="24"/>
              </w:rPr>
              <w:t>NGGL</w:t>
            </w:r>
          </w:p>
        </w:tc>
      </w:tr>
      <w:tr w:rsidR="002C4EAD" w:rsidRPr="006566A0" w14:paraId="220C96F5" w14:textId="77777777" w:rsidTr="005F4586">
        <w:tc>
          <w:tcPr>
            <w:tcW w:w="1960" w:type="dxa"/>
          </w:tcPr>
          <w:p w14:paraId="1C7CA2A2" w14:textId="77777777" w:rsidR="002C4EAD" w:rsidRPr="006566A0" w:rsidRDefault="002C4EAD" w:rsidP="005F4586">
            <w:pPr>
              <w:rPr>
                <w:sz w:val="24"/>
                <w:szCs w:val="24"/>
              </w:rPr>
            </w:pPr>
            <w:r w:rsidRPr="006566A0">
              <w:rPr>
                <w:sz w:val="24"/>
                <w:szCs w:val="24"/>
              </w:rPr>
              <w:t>Interviewee 5</w:t>
            </w:r>
          </w:p>
        </w:tc>
        <w:tc>
          <w:tcPr>
            <w:tcW w:w="1636" w:type="dxa"/>
          </w:tcPr>
          <w:p w14:paraId="7477F418" w14:textId="77777777" w:rsidR="002C4EAD" w:rsidRPr="006566A0" w:rsidRDefault="002C4EAD" w:rsidP="005F4586">
            <w:pPr>
              <w:rPr>
                <w:sz w:val="24"/>
                <w:szCs w:val="24"/>
              </w:rPr>
            </w:pPr>
            <w:r w:rsidRPr="006566A0">
              <w:rPr>
                <w:sz w:val="24"/>
                <w:szCs w:val="24"/>
              </w:rPr>
              <w:t>Male</w:t>
            </w:r>
          </w:p>
        </w:tc>
        <w:tc>
          <w:tcPr>
            <w:tcW w:w="2583" w:type="dxa"/>
          </w:tcPr>
          <w:p w14:paraId="38DC355B" w14:textId="77777777" w:rsidR="002C4EAD" w:rsidRPr="006566A0" w:rsidRDefault="002C4EAD" w:rsidP="005F4586">
            <w:pPr>
              <w:rPr>
                <w:sz w:val="24"/>
                <w:szCs w:val="24"/>
              </w:rPr>
            </w:pPr>
            <w:r w:rsidRPr="006566A0">
              <w:rPr>
                <w:sz w:val="24"/>
                <w:szCs w:val="24"/>
              </w:rPr>
              <w:t>Administration</w:t>
            </w:r>
          </w:p>
        </w:tc>
        <w:tc>
          <w:tcPr>
            <w:tcW w:w="1807" w:type="dxa"/>
          </w:tcPr>
          <w:p w14:paraId="72F7A89D" w14:textId="77777777" w:rsidR="002C4EAD" w:rsidRPr="006566A0" w:rsidRDefault="002C4EAD" w:rsidP="005F4586">
            <w:pPr>
              <w:rPr>
                <w:sz w:val="24"/>
                <w:szCs w:val="24"/>
              </w:rPr>
            </w:pPr>
            <w:r w:rsidRPr="006566A0">
              <w:rPr>
                <w:sz w:val="24"/>
                <w:szCs w:val="24"/>
              </w:rPr>
              <w:t>NADeF</w:t>
            </w:r>
          </w:p>
        </w:tc>
      </w:tr>
      <w:tr w:rsidR="002C4EAD" w:rsidRPr="006566A0" w14:paraId="2309F695" w14:textId="77777777" w:rsidTr="005F4586">
        <w:tc>
          <w:tcPr>
            <w:tcW w:w="1960" w:type="dxa"/>
          </w:tcPr>
          <w:p w14:paraId="5807FBA9" w14:textId="77777777" w:rsidR="002C4EAD" w:rsidRPr="006566A0" w:rsidRDefault="002C4EAD" w:rsidP="005F4586">
            <w:pPr>
              <w:rPr>
                <w:sz w:val="24"/>
                <w:szCs w:val="24"/>
              </w:rPr>
            </w:pPr>
            <w:r w:rsidRPr="006566A0">
              <w:rPr>
                <w:sz w:val="24"/>
                <w:szCs w:val="24"/>
              </w:rPr>
              <w:t>Interviewee 6</w:t>
            </w:r>
          </w:p>
        </w:tc>
        <w:tc>
          <w:tcPr>
            <w:tcW w:w="1636" w:type="dxa"/>
          </w:tcPr>
          <w:p w14:paraId="454E673F" w14:textId="77777777" w:rsidR="002C4EAD" w:rsidRPr="006566A0" w:rsidRDefault="002C4EAD" w:rsidP="005F4586">
            <w:pPr>
              <w:rPr>
                <w:sz w:val="24"/>
                <w:szCs w:val="24"/>
              </w:rPr>
            </w:pPr>
            <w:r w:rsidRPr="006566A0">
              <w:rPr>
                <w:sz w:val="24"/>
                <w:szCs w:val="24"/>
              </w:rPr>
              <w:t xml:space="preserve">Male </w:t>
            </w:r>
          </w:p>
        </w:tc>
        <w:tc>
          <w:tcPr>
            <w:tcW w:w="2583" w:type="dxa"/>
          </w:tcPr>
          <w:p w14:paraId="6BDBC875" w14:textId="77777777" w:rsidR="002C4EAD" w:rsidRPr="006566A0" w:rsidRDefault="002C4EAD" w:rsidP="005F4586">
            <w:pPr>
              <w:rPr>
                <w:sz w:val="24"/>
                <w:szCs w:val="24"/>
              </w:rPr>
            </w:pPr>
            <w:r w:rsidRPr="006566A0">
              <w:rPr>
                <w:sz w:val="24"/>
                <w:szCs w:val="24"/>
              </w:rPr>
              <w:t>Trustee</w:t>
            </w:r>
          </w:p>
        </w:tc>
        <w:tc>
          <w:tcPr>
            <w:tcW w:w="1807" w:type="dxa"/>
          </w:tcPr>
          <w:p w14:paraId="69A611E9" w14:textId="77777777" w:rsidR="002C4EAD" w:rsidRPr="006566A0" w:rsidRDefault="002C4EAD" w:rsidP="005F4586">
            <w:pPr>
              <w:rPr>
                <w:sz w:val="24"/>
                <w:szCs w:val="24"/>
              </w:rPr>
            </w:pPr>
            <w:r w:rsidRPr="006566A0">
              <w:rPr>
                <w:sz w:val="24"/>
                <w:szCs w:val="24"/>
              </w:rPr>
              <w:t>NADeF</w:t>
            </w:r>
          </w:p>
        </w:tc>
      </w:tr>
      <w:tr w:rsidR="002C4EAD" w:rsidRPr="006566A0" w14:paraId="74595A70" w14:textId="77777777" w:rsidTr="005F4586">
        <w:tc>
          <w:tcPr>
            <w:tcW w:w="1960" w:type="dxa"/>
          </w:tcPr>
          <w:p w14:paraId="50456AED" w14:textId="77777777" w:rsidR="002C4EAD" w:rsidRPr="006566A0" w:rsidRDefault="002C4EAD" w:rsidP="005F4586">
            <w:pPr>
              <w:rPr>
                <w:sz w:val="24"/>
                <w:szCs w:val="24"/>
              </w:rPr>
            </w:pPr>
            <w:r w:rsidRPr="006566A0">
              <w:rPr>
                <w:sz w:val="24"/>
                <w:szCs w:val="24"/>
              </w:rPr>
              <w:t>Interviewee 7</w:t>
            </w:r>
          </w:p>
        </w:tc>
        <w:tc>
          <w:tcPr>
            <w:tcW w:w="1636" w:type="dxa"/>
          </w:tcPr>
          <w:p w14:paraId="1223D3CD" w14:textId="77777777" w:rsidR="002C4EAD" w:rsidRPr="006566A0" w:rsidRDefault="002C4EAD" w:rsidP="005F4586">
            <w:pPr>
              <w:rPr>
                <w:sz w:val="24"/>
                <w:szCs w:val="24"/>
              </w:rPr>
            </w:pPr>
            <w:r w:rsidRPr="006566A0">
              <w:rPr>
                <w:sz w:val="24"/>
                <w:szCs w:val="24"/>
              </w:rPr>
              <w:t>Male</w:t>
            </w:r>
          </w:p>
        </w:tc>
        <w:tc>
          <w:tcPr>
            <w:tcW w:w="2583" w:type="dxa"/>
          </w:tcPr>
          <w:p w14:paraId="038120D0" w14:textId="77777777" w:rsidR="002C4EAD" w:rsidRPr="006566A0" w:rsidRDefault="002C4EAD" w:rsidP="005F4586">
            <w:pPr>
              <w:rPr>
                <w:sz w:val="24"/>
                <w:szCs w:val="24"/>
              </w:rPr>
            </w:pPr>
            <w:r w:rsidRPr="006566A0">
              <w:rPr>
                <w:sz w:val="24"/>
                <w:szCs w:val="24"/>
              </w:rPr>
              <w:t>Traditional Ruler</w:t>
            </w:r>
          </w:p>
        </w:tc>
        <w:tc>
          <w:tcPr>
            <w:tcW w:w="1807" w:type="dxa"/>
          </w:tcPr>
          <w:p w14:paraId="0BD48E07" w14:textId="77777777" w:rsidR="002C4EAD" w:rsidRPr="006566A0" w:rsidRDefault="002C4EAD" w:rsidP="005F4586">
            <w:pPr>
              <w:rPr>
                <w:sz w:val="24"/>
                <w:szCs w:val="24"/>
              </w:rPr>
            </w:pPr>
            <w:r w:rsidRPr="006566A0">
              <w:rPr>
                <w:sz w:val="24"/>
                <w:szCs w:val="24"/>
              </w:rPr>
              <w:t>Community</w:t>
            </w:r>
          </w:p>
        </w:tc>
      </w:tr>
      <w:tr w:rsidR="002C4EAD" w:rsidRPr="006566A0" w14:paraId="1E7FFF52" w14:textId="77777777" w:rsidTr="005F4586">
        <w:tc>
          <w:tcPr>
            <w:tcW w:w="1960" w:type="dxa"/>
          </w:tcPr>
          <w:p w14:paraId="22EF67DC" w14:textId="77777777" w:rsidR="002C4EAD" w:rsidRPr="006566A0" w:rsidRDefault="002C4EAD" w:rsidP="005F4586">
            <w:pPr>
              <w:rPr>
                <w:sz w:val="24"/>
                <w:szCs w:val="24"/>
              </w:rPr>
            </w:pPr>
            <w:r w:rsidRPr="006566A0">
              <w:rPr>
                <w:sz w:val="24"/>
                <w:szCs w:val="24"/>
              </w:rPr>
              <w:t>Interviewee 8</w:t>
            </w:r>
          </w:p>
        </w:tc>
        <w:tc>
          <w:tcPr>
            <w:tcW w:w="1636" w:type="dxa"/>
          </w:tcPr>
          <w:p w14:paraId="55702F6C" w14:textId="77777777" w:rsidR="002C4EAD" w:rsidRPr="006566A0" w:rsidRDefault="002C4EAD" w:rsidP="005F4586">
            <w:pPr>
              <w:rPr>
                <w:sz w:val="24"/>
                <w:szCs w:val="24"/>
              </w:rPr>
            </w:pPr>
            <w:r w:rsidRPr="006566A0">
              <w:rPr>
                <w:sz w:val="24"/>
                <w:szCs w:val="24"/>
              </w:rPr>
              <w:t>Male</w:t>
            </w:r>
          </w:p>
        </w:tc>
        <w:tc>
          <w:tcPr>
            <w:tcW w:w="2583" w:type="dxa"/>
          </w:tcPr>
          <w:p w14:paraId="4BD82D88" w14:textId="77777777" w:rsidR="002C4EAD" w:rsidRPr="006566A0" w:rsidRDefault="002C4EAD" w:rsidP="005F4586">
            <w:pPr>
              <w:rPr>
                <w:sz w:val="24"/>
                <w:szCs w:val="24"/>
              </w:rPr>
            </w:pPr>
            <w:r w:rsidRPr="006566A0">
              <w:rPr>
                <w:sz w:val="24"/>
                <w:szCs w:val="24"/>
              </w:rPr>
              <w:t>Traditional Ruler</w:t>
            </w:r>
          </w:p>
        </w:tc>
        <w:tc>
          <w:tcPr>
            <w:tcW w:w="1807" w:type="dxa"/>
          </w:tcPr>
          <w:p w14:paraId="3F579871" w14:textId="77777777" w:rsidR="002C4EAD" w:rsidRPr="006566A0" w:rsidRDefault="002C4EAD" w:rsidP="005F4586">
            <w:pPr>
              <w:rPr>
                <w:sz w:val="24"/>
                <w:szCs w:val="24"/>
              </w:rPr>
            </w:pPr>
            <w:r w:rsidRPr="006566A0">
              <w:rPr>
                <w:sz w:val="24"/>
                <w:szCs w:val="24"/>
              </w:rPr>
              <w:t>Community</w:t>
            </w:r>
          </w:p>
        </w:tc>
      </w:tr>
      <w:tr w:rsidR="002C4EAD" w:rsidRPr="006566A0" w14:paraId="2918BB0D" w14:textId="77777777" w:rsidTr="005F4586">
        <w:tc>
          <w:tcPr>
            <w:tcW w:w="1960" w:type="dxa"/>
          </w:tcPr>
          <w:p w14:paraId="2F729F38" w14:textId="77777777" w:rsidR="002C4EAD" w:rsidRPr="006566A0" w:rsidRDefault="002C4EAD" w:rsidP="005F4586">
            <w:pPr>
              <w:rPr>
                <w:sz w:val="24"/>
                <w:szCs w:val="24"/>
              </w:rPr>
            </w:pPr>
            <w:r w:rsidRPr="006566A0">
              <w:rPr>
                <w:sz w:val="24"/>
                <w:szCs w:val="24"/>
              </w:rPr>
              <w:t>Interviewee 9</w:t>
            </w:r>
          </w:p>
        </w:tc>
        <w:tc>
          <w:tcPr>
            <w:tcW w:w="1636" w:type="dxa"/>
          </w:tcPr>
          <w:p w14:paraId="5B52E42F" w14:textId="77777777" w:rsidR="002C4EAD" w:rsidRPr="006566A0" w:rsidRDefault="002C4EAD" w:rsidP="005F4586">
            <w:pPr>
              <w:rPr>
                <w:sz w:val="24"/>
                <w:szCs w:val="24"/>
              </w:rPr>
            </w:pPr>
            <w:r w:rsidRPr="006566A0">
              <w:rPr>
                <w:sz w:val="24"/>
                <w:szCs w:val="24"/>
              </w:rPr>
              <w:t>Male</w:t>
            </w:r>
          </w:p>
        </w:tc>
        <w:tc>
          <w:tcPr>
            <w:tcW w:w="2583" w:type="dxa"/>
          </w:tcPr>
          <w:p w14:paraId="1608CBCC" w14:textId="77777777" w:rsidR="002C4EAD" w:rsidRPr="006566A0" w:rsidRDefault="002C4EAD" w:rsidP="005F4586">
            <w:pPr>
              <w:rPr>
                <w:sz w:val="24"/>
                <w:szCs w:val="24"/>
              </w:rPr>
            </w:pPr>
            <w:r w:rsidRPr="006566A0">
              <w:rPr>
                <w:sz w:val="24"/>
                <w:szCs w:val="24"/>
              </w:rPr>
              <w:t>Opinion Leader</w:t>
            </w:r>
          </w:p>
        </w:tc>
        <w:tc>
          <w:tcPr>
            <w:tcW w:w="1807" w:type="dxa"/>
          </w:tcPr>
          <w:p w14:paraId="6A7F1A16" w14:textId="77777777" w:rsidR="002C4EAD" w:rsidRPr="006566A0" w:rsidRDefault="002C4EAD" w:rsidP="005F4586">
            <w:pPr>
              <w:rPr>
                <w:sz w:val="24"/>
                <w:szCs w:val="24"/>
              </w:rPr>
            </w:pPr>
            <w:r w:rsidRPr="006566A0">
              <w:rPr>
                <w:sz w:val="24"/>
                <w:szCs w:val="24"/>
              </w:rPr>
              <w:t>Community</w:t>
            </w:r>
          </w:p>
        </w:tc>
      </w:tr>
      <w:tr w:rsidR="002C4EAD" w:rsidRPr="006566A0" w14:paraId="2C25C73A" w14:textId="77777777" w:rsidTr="005F4586">
        <w:tc>
          <w:tcPr>
            <w:tcW w:w="1960" w:type="dxa"/>
          </w:tcPr>
          <w:p w14:paraId="34CC9B45" w14:textId="77777777" w:rsidR="002C4EAD" w:rsidRPr="006566A0" w:rsidRDefault="002C4EAD" w:rsidP="005F4586">
            <w:pPr>
              <w:rPr>
                <w:sz w:val="24"/>
                <w:szCs w:val="24"/>
              </w:rPr>
            </w:pPr>
            <w:r w:rsidRPr="006566A0">
              <w:rPr>
                <w:sz w:val="24"/>
                <w:szCs w:val="24"/>
              </w:rPr>
              <w:t>Interviewee 10</w:t>
            </w:r>
          </w:p>
        </w:tc>
        <w:tc>
          <w:tcPr>
            <w:tcW w:w="1636" w:type="dxa"/>
          </w:tcPr>
          <w:p w14:paraId="286D6CBA" w14:textId="77777777" w:rsidR="002C4EAD" w:rsidRPr="006566A0" w:rsidRDefault="002C4EAD" w:rsidP="005F4586">
            <w:pPr>
              <w:rPr>
                <w:sz w:val="24"/>
                <w:szCs w:val="24"/>
              </w:rPr>
            </w:pPr>
            <w:r w:rsidRPr="006566A0">
              <w:rPr>
                <w:sz w:val="24"/>
                <w:szCs w:val="24"/>
              </w:rPr>
              <w:t>Female</w:t>
            </w:r>
          </w:p>
        </w:tc>
        <w:tc>
          <w:tcPr>
            <w:tcW w:w="2583" w:type="dxa"/>
          </w:tcPr>
          <w:p w14:paraId="08F0DA10" w14:textId="77777777" w:rsidR="002C4EAD" w:rsidRPr="006566A0" w:rsidRDefault="002C4EAD" w:rsidP="005F4586">
            <w:pPr>
              <w:rPr>
                <w:sz w:val="24"/>
                <w:szCs w:val="24"/>
              </w:rPr>
            </w:pPr>
            <w:r w:rsidRPr="006566A0">
              <w:rPr>
                <w:sz w:val="24"/>
                <w:szCs w:val="24"/>
              </w:rPr>
              <w:t>Opinion Leader</w:t>
            </w:r>
          </w:p>
        </w:tc>
        <w:tc>
          <w:tcPr>
            <w:tcW w:w="1807" w:type="dxa"/>
          </w:tcPr>
          <w:p w14:paraId="1AEA5E06" w14:textId="77777777" w:rsidR="002C4EAD" w:rsidRPr="006566A0" w:rsidRDefault="002C4EAD" w:rsidP="005F4586">
            <w:pPr>
              <w:rPr>
                <w:sz w:val="24"/>
                <w:szCs w:val="24"/>
              </w:rPr>
            </w:pPr>
            <w:r w:rsidRPr="006566A0">
              <w:rPr>
                <w:sz w:val="24"/>
                <w:szCs w:val="24"/>
              </w:rPr>
              <w:t>Community</w:t>
            </w:r>
          </w:p>
        </w:tc>
      </w:tr>
      <w:tr w:rsidR="002C4EAD" w:rsidRPr="006566A0" w14:paraId="71962915" w14:textId="77777777" w:rsidTr="005F4586">
        <w:tc>
          <w:tcPr>
            <w:tcW w:w="1960" w:type="dxa"/>
          </w:tcPr>
          <w:p w14:paraId="4058B4A4" w14:textId="77777777" w:rsidR="002C4EAD" w:rsidRPr="006566A0" w:rsidRDefault="002C4EAD" w:rsidP="005F4586">
            <w:pPr>
              <w:rPr>
                <w:sz w:val="24"/>
                <w:szCs w:val="24"/>
              </w:rPr>
            </w:pPr>
            <w:r w:rsidRPr="006566A0">
              <w:rPr>
                <w:sz w:val="24"/>
                <w:szCs w:val="24"/>
              </w:rPr>
              <w:t>Interviewee 11</w:t>
            </w:r>
          </w:p>
        </w:tc>
        <w:tc>
          <w:tcPr>
            <w:tcW w:w="1636" w:type="dxa"/>
          </w:tcPr>
          <w:p w14:paraId="2616D6BD" w14:textId="77777777" w:rsidR="002C4EAD" w:rsidRPr="006566A0" w:rsidRDefault="002C4EAD" w:rsidP="005F4586">
            <w:pPr>
              <w:rPr>
                <w:sz w:val="24"/>
                <w:szCs w:val="24"/>
              </w:rPr>
            </w:pPr>
            <w:r w:rsidRPr="006566A0">
              <w:rPr>
                <w:sz w:val="24"/>
                <w:szCs w:val="24"/>
              </w:rPr>
              <w:t>Male</w:t>
            </w:r>
          </w:p>
        </w:tc>
        <w:tc>
          <w:tcPr>
            <w:tcW w:w="2583" w:type="dxa"/>
          </w:tcPr>
          <w:p w14:paraId="5538DE5C" w14:textId="77777777" w:rsidR="002C4EAD" w:rsidRPr="006566A0" w:rsidRDefault="002C4EAD" w:rsidP="005F4586">
            <w:pPr>
              <w:rPr>
                <w:sz w:val="24"/>
                <w:szCs w:val="24"/>
              </w:rPr>
            </w:pPr>
            <w:r w:rsidRPr="006566A0">
              <w:rPr>
                <w:sz w:val="24"/>
                <w:szCs w:val="24"/>
              </w:rPr>
              <w:t>Opinion Leader</w:t>
            </w:r>
          </w:p>
        </w:tc>
        <w:tc>
          <w:tcPr>
            <w:tcW w:w="1807" w:type="dxa"/>
          </w:tcPr>
          <w:p w14:paraId="01B75720" w14:textId="77777777" w:rsidR="002C4EAD" w:rsidRPr="006566A0" w:rsidRDefault="002C4EAD" w:rsidP="005F4586">
            <w:pPr>
              <w:rPr>
                <w:sz w:val="24"/>
                <w:szCs w:val="24"/>
              </w:rPr>
            </w:pPr>
            <w:r w:rsidRPr="006566A0">
              <w:rPr>
                <w:sz w:val="24"/>
                <w:szCs w:val="24"/>
              </w:rPr>
              <w:t>Community</w:t>
            </w:r>
          </w:p>
        </w:tc>
      </w:tr>
      <w:tr w:rsidR="002C4EAD" w:rsidRPr="006566A0" w14:paraId="1FDDFAD1" w14:textId="77777777" w:rsidTr="005F4586">
        <w:tc>
          <w:tcPr>
            <w:tcW w:w="1960" w:type="dxa"/>
          </w:tcPr>
          <w:p w14:paraId="28B30F42" w14:textId="77777777" w:rsidR="002C4EAD" w:rsidRPr="006566A0" w:rsidRDefault="002C4EAD" w:rsidP="005F4586">
            <w:pPr>
              <w:rPr>
                <w:sz w:val="24"/>
                <w:szCs w:val="24"/>
              </w:rPr>
            </w:pPr>
            <w:r w:rsidRPr="006566A0">
              <w:rPr>
                <w:sz w:val="24"/>
                <w:szCs w:val="24"/>
              </w:rPr>
              <w:t>Interviewee 12</w:t>
            </w:r>
          </w:p>
        </w:tc>
        <w:tc>
          <w:tcPr>
            <w:tcW w:w="1636" w:type="dxa"/>
          </w:tcPr>
          <w:p w14:paraId="785D0E7F" w14:textId="77777777" w:rsidR="002C4EAD" w:rsidRPr="006566A0" w:rsidRDefault="002C4EAD" w:rsidP="005F4586">
            <w:pPr>
              <w:rPr>
                <w:sz w:val="24"/>
                <w:szCs w:val="24"/>
              </w:rPr>
            </w:pPr>
            <w:r w:rsidRPr="006566A0">
              <w:rPr>
                <w:sz w:val="24"/>
                <w:szCs w:val="24"/>
              </w:rPr>
              <w:t>Male</w:t>
            </w:r>
          </w:p>
        </w:tc>
        <w:tc>
          <w:tcPr>
            <w:tcW w:w="2583" w:type="dxa"/>
          </w:tcPr>
          <w:p w14:paraId="25020ED5" w14:textId="77777777" w:rsidR="002C4EAD" w:rsidRPr="006566A0" w:rsidRDefault="002C4EAD" w:rsidP="005F4586">
            <w:pPr>
              <w:rPr>
                <w:sz w:val="24"/>
                <w:szCs w:val="24"/>
              </w:rPr>
            </w:pPr>
            <w:r w:rsidRPr="006566A0">
              <w:rPr>
                <w:sz w:val="24"/>
                <w:szCs w:val="24"/>
              </w:rPr>
              <w:t>Assembly Member</w:t>
            </w:r>
          </w:p>
        </w:tc>
        <w:tc>
          <w:tcPr>
            <w:tcW w:w="1807" w:type="dxa"/>
          </w:tcPr>
          <w:p w14:paraId="5AFFBC0C" w14:textId="77777777" w:rsidR="002C4EAD" w:rsidRPr="006566A0" w:rsidRDefault="002C4EAD" w:rsidP="005F4586">
            <w:pPr>
              <w:rPr>
                <w:sz w:val="24"/>
                <w:szCs w:val="24"/>
              </w:rPr>
            </w:pPr>
            <w:r w:rsidRPr="006566A0">
              <w:rPr>
                <w:sz w:val="24"/>
                <w:szCs w:val="24"/>
              </w:rPr>
              <w:t>Local Council</w:t>
            </w:r>
          </w:p>
        </w:tc>
      </w:tr>
      <w:tr w:rsidR="002C4EAD" w:rsidRPr="006566A0" w14:paraId="734F9054" w14:textId="77777777" w:rsidTr="005F4586">
        <w:tc>
          <w:tcPr>
            <w:tcW w:w="1960" w:type="dxa"/>
          </w:tcPr>
          <w:p w14:paraId="21EBF154" w14:textId="77777777" w:rsidR="002C4EAD" w:rsidRPr="006566A0" w:rsidRDefault="002C4EAD" w:rsidP="005F4586">
            <w:pPr>
              <w:rPr>
                <w:sz w:val="24"/>
                <w:szCs w:val="24"/>
              </w:rPr>
            </w:pPr>
            <w:r w:rsidRPr="006566A0">
              <w:rPr>
                <w:sz w:val="24"/>
                <w:szCs w:val="24"/>
              </w:rPr>
              <w:t>Interviewee 13</w:t>
            </w:r>
          </w:p>
        </w:tc>
        <w:tc>
          <w:tcPr>
            <w:tcW w:w="1636" w:type="dxa"/>
          </w:tcPr>
          <w:p w14:paraId="7395EF57" w14:textId="77777777" w:rsidR="002C4EAD" w:rsidRPr="006566A0" w:rsidRDefault="002C4EAD" w:rsidP="005F4586">
            <w:pPr>
              <w:rPr>
                <w:sz w:val="24"/>
                <w:szCs w:val="24"/>
              </w:rPr>
            </w:pPr>
            <w:r w:rsidRPr="006566A0">
              <w:rPr>
                <w:sz w:val="24"/>
                <w:szCs w:val="24"/>
              </w:rPr>
              <w:t>Female</w:t>
            </w:r>
          </w:p>
        </w:tc>
        <w:tc>
          <w:tcPr>
            <w:tcW w:w="2583" w:type="dxa"/>
          </w:tcPr>
          <w:p w14:paraId="5A0BD5EA" w14:textId="77777777" w:rsidR="002C4EAD" w:rsidRPr="006566A0" w:rsidRDefault="002C4EAD" w:rsidP="005F4586">
            <w:pPr>
              <w:rPr>
                <w:sz w:val="24"/>
                <w:szCs w:val="24"/>
              </w:rPr>
            </w:pPr>
            <w:r w:rsidRPr="006566A0">
              <w:rPr>
                <w:sz w:val="24"/>
                <w:szCs w:val="24"/>
              </w:rPr>
              <w:t>Assembly Member</w:t>
            </w:r>
          </w:p>
        </w:tc>
        <w:tc>
          <w:tcPr>
            <w:tcW w:w="1807" w:type="dxa"/>
          </w:tcPr>
          <w:p w14:paraId="131A4ED9" w14:textId="77777777" w:rsidR="002C4EAD" w:rsidRPr="006566A0" w:rsidRDefault="002C4EAD" w:rsidP="005F4586">
            <w:pPr>
              <w:rPr>
                <w:sz w:val="24"/>
                <w:szCs w:val="24"/>
              </w:rPr>
            </w:pPr>
            <w:r w:rsidRPr="006566A0">
              <w:rPr>
                <w:sz w:val="24"/>
                <w:szCs w:val="24"/>
              </w:rPr>
              <w:t>Local Council</w:t>
            </w:r>
          </w:p>
        </w:tc>
      </w:tr>
      <w:tr w:rsidR="002C4EAD" w:rsidRPr="006566A0" w14:paraId="794C16D1" w14:textId="77777777" w:rsidTr="005F4586">
        <w:tc>
          <w:tcPr>
            <w:tcW w:w="1960" w:type="dxa"/>
          </w:tcPr>
          <w:p w14:paraId="4E60DAE1" w14:textId="77777777" w:rsidR="002C4EAD" w:rsidRPr="006566A0" w:rsidRDefault="002C4EAD" w:rsidP="005F4586">
            <w:pPr>
              <w:rPr>
                <w:sz w:val="24"/>
                <w:szCs w:val="24"/>
              </w:rPr>
            </w:pPr>
            <w:r w:rsidRPr="006566A0">
              <w:rPr>
                <w:sz w:val="24"/>
                <w:szCs w:val="24"/>
              </w:rPr>
              <w:t>Interviewee 14</w:t>
            </w:r>
          </w:p>
        </w:tc>
        <w:tc>
          <w:tcPr>
            <w:tcW w:w="1636" w:type="dxa"/>
          </w:tcPr>
          <w:p w14:paraId="74B9C705" w14:textId="77777777" w:rsidR="002C4EAD" w:rsidRPr="006566A0" w:rsidRDefault="002C4EAD" w:rsidP="005F4586">
            <w:pPr>
              <w:rPr>
                <w:sz w:val="24"/>
                <w:szCs w:val="24"/>
              </w:rPr>
            </w:pPr>
            <w:r w:rsidRPr="006566A0">
              <w:rPr>
                <w:sz w:val="24"/>
                <w:szCs w:val="24"/>
              </w:rPr>
              <w:t>Female</w:t>
            </w:r>
          </w:p>
        </w:tc>
        <w:tc>
          <w:tcPr>
            <w:tcW w:w="2583" w:type="dxa"/>
          </w:tcPr>
          <w:p w14:paraId="1615107E" w14:textId="77777777" w:rsidR="002C4EAD" w:rsidRPr="006566A0" w:rsidRDefault="002C4EAD" w:rsidP="005F4586">
            <w:pPr>
              <w:rPr>
                <w:sz w:val="24"/>
                <w:szCs w:val="24"/>
              </w:rPr>
            </w:pPr>
            <w:r w:rsidRPr="006566A0">
              <w:rPr>
                <w:sz w:val="24"/>
                <w:szCs w:val="24"/>
              </w:rPr>
              <w:t>Unit Committee Member</w:t>
            </w:r>
          </w:p>
        </w:tc>
        <w:tc>
          <w:tcPr>
            <w:tcW w:w="1807" w:type="dxa"/>
          </w:tcPr>
          <w:p w14:paraId="4126670C" w14:textId="77777777" w:rsidR="002C4EAD" w:rsidRPr="006566A0" w:rsidRDefault="002C4EAD" w:rsidP="005F4586">
            <w:pPr>
              <w:rPr>
                <w:sz w:val="24"/>
                <w:szCs w:val="24"/>
              </w:rPr>
            </w:pPr>
            <w:r w:rsidRPr="006566A0">
              <w:rPr>
                <w:sz w:val="24"/>
                <w:szCs w:val="24"/>
              </w:rPr>
              <w:t>Local Council</w:t>
            </w:r>
          </w:p>
        </w:tc>
      </w:tr>
    </w:tbl>
    <w:p w14:paraId="31120661" w14:textId="380A0047" w:rsidR="0070615F" w:rsidRPr="000F57AA" w:rsidRDefault="0070615F">
      <w:pPr>
        <w:rPr>
          <w:rFonts w:ascii="Times New Roman" w:hAnsi="Times New Roman" w:cs="Times New Roman"/>
          <w:sz w:val="24"/>
          <w:szCs w:val="24"/>
        </w:rPr>
      </w:pPr>
    </w:p>
    <w:sectPr w:rsidR="0070615F" w:rsidRPr="000F57AA" w:rsidSect="00490855">
      <w:footerReference w:type="even" r:id="rId23"/>
      <w:footerReference w:type="default" r:id="rId24"/>
      <w:headerReference w:type="first" r:id="rId25"/>
      <w:pgSz w:w="12240" w:h="15840"/>
      <w:pgMar w:top="1440" w:right="1418" w:bottom="1440"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8349" w14:textId="77777777" w:rsidR="00DD623F" w:rsidRDefault="00DD623F" w:rsidP="007F5903">
      <w:pPr>
        <w:spacing w:after="0" w:line="240" w:lineRule="auto"/>
      </w:pPr>
      <w:r>
        <w:separator/>
      </w:r>
    </w:p>
  </w:endnote>
  <w:endnote w:type="continuationSeparator" w:id="0">
    <w:p w14:paraId="7498AFF3" w14:textId="77777777" w:rsidR="00DD623F" w:rsidRDefault="00DD623F" w:rsidP="007F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5713" w14:textId="77777777" w:rsidR="00DD623F" w:rsidRDefault="00DD623F" w:rsidP="00490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45D67" w14:textId="77777777" w:rsidR="00DD623F" w:rsidRDefault="00DD623F" w:rsidP="00490855">
    <w:pPr>
      <w:pStyle w:val="Footer"/>
      <w:ind w:right="360"/>
    </w:pPr>
  </w:p>
  <w:p w14:paraId="27C008AB" w14:textId="77777777" w:rsidR="00DD623F" w:rsidRDefault="00DD623F"/>
  <w:p w14:paraId="07241820" w14:textId="77777777" w:rsidR="00DD623F" w:rsidRDefault="00DD62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22445"/>
      <w:docPartObj>
        <w:docPartGallery w:val="Page Numbers (Bottom of Page)"/>
        <w:docPartUnique/>
      </w:docPartObj>
    </w:sdtPr>
    <w:sdtEndPr>
      <w:rPr>
        <w:noProof/>
      </w:rPr>
    </w:sdtEndPr>
    <w:sdtContent>
      <w:p w14:paraId="1F26AAB1" w14:textId="371B2229" w:rsidR="00DD623F" w:rsidRDefault="00DD623F">
        <w:pPr>
          <w:pStyle w:val="Footer"/>
          <w:jc w:val="center"/>
        </w:pPr>
        <w:r>
          <w:fldChar w:fldCharType="begin"/>
        </w:r>
        <w:r>
          <w:instrText xml:space="preserve"> PAGE   \* MERGEFORMAT </w:instrText>
        </w:r>
        <w:r>
          <w:fldChar w:fldCharType="separate"/>
        </w:r>
        <w:r w:rsidR="008B01F7">
          <w:rPr>
            <w:noProof/>
          </w:rPr>
          <w:t>58</w:t>
        </w:r>
        <w:r>
          <w:rPr>
            <w:noProof/>
          </w:rPr>
          <w:fldChar w:fldCharType="end"/>
        </w:r>
      </w:p>
    </w:sdtContent>
  </w:sdt>
  <w:p w14:paraId="296F0CF0" w14:textId="77777777" w:rsidR="00DD623F" w:rsidRDefault="00DD623F">
    <w:pPr>
      <w:pStyle w:val="Footer"/>
    </w:pPr>
  </w:p>
  <w:p w14:paraId="5DAF0210" w14:textId="77777777" w:rsidR="00DD623F" w:rsidRDefault="00DD623F"/>
  <w:p w14:paraId="1DEF0CE9" w14:textId="77777777" w:rsidR="00DD623F" w:rsidRDefault="00DD623F">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58B1" w14:textId="77777777" w:rsidR="00DD623F" w:rsidRDefault="00DD623F" w:rsidP="007F5903">
      <w:pPr>
        <w:spacing w:after="0" w:line="240" w:lineRule="auto"/>
      </w:pPr>
      <w:r>
        <w:separator/>
      </w:r>
    </w:p>
  </w:footnote>
  <w:footnote w:type="continuationSeparator" w:id="0">
    <w:p w14:paraId="466BCF66" w14:textId="77777777" w:rsidR="00DD623F" w:rsidRDefault="00DD623F" w:rsidP="007F5903">
      <w:pPr>
        <w:spacing w:after="0" w:line="240" w:lineRule="auto"/>
      </w:pPr>
      <w:r>
        <w:continuationSeparator/>
      </w:r>
    </w:p>
  </w:footnote>
  <w:footnote w:id="1">
    <w:p w14:paraId="076A1572" w14:textId="002906AF" w:rsidR="00DD623F" w:rsidRPr="007E7CFB" w:rsidRDefault="00DD623F">
      <w:pPr>
        <w:pStyle w:val="FootnoteText"/>
        <w:rPr>
          <w:lang w:val="en-US"/>
        </w:rPr>
      </w:pPr>
      <w:r>
        <w:rPr>
          <w:rStyle w:val="FootnoteReference"/>
        </w:rPr>
        <w:footnoteRef/>
      </w:r>
      <w:r>
        <w:t xml:space="preserve"> </w:t>
      </w:r>
      <w:r>
        <w:rPr>
          <w:lang w:val="en-US"/>
        </w:rPr>
        <w:t xml:space="preserve">On May 3, 2017, the Supreme Court of Peru ruled in favor of local potato farmers who were protesting against Newmont’s use of their land. The company’s plans to expand its presence in Peru by building Conga mine has been put on host since protests from local community </w:t>
      </w:r>
    </w:p>
  </w:footnote>
  <w:footnote w:id="2">
    <w:p w14:paraId="25BD09D0" w14:textId="3B778B02" w:rsidR="00DD623F" w:rsidRPr="00831C77" w:rsidRDefault="00DD623F" w:rsidP="007F5903">
      <w:pPr>
        <w:pStyle w:val="FootnoteText"/>
        <w:rPr>
          <w:lang w:val="en-US"/>
        </w:rPr>
      </w:pPr>
      <w:r>
        <w:rPr>
          <w:rStyle w:val="FootnoteReference"/>
        </w:rPr>
        <w:footnoteRef/>
      </w:r>
      <w:r>
        <w:t xml:space="preserve"> </w:t>
      </w:r>
      <w:r>
        <w:rPr>
          <w:rFonts w:ascii="TimesNewRoman" w:hAnsi="TimesNewRoman"/>
        </w:rPr>
        <w:t xml:space="preserve">Under the Investment agreement, Newmont Corp. would pay corporate income tax not to exceed 32.5% and fixed gross royalties on gold production of 3.0% (3.6% for any production from forest reserve areas). The Government of Ghana was also entitled to receive 10% of </w:t>
      </w:r>
      <w:r w:rsidRPr="00E125C5">
        <w:rPr>
          <w:rFonts w:ascii="TimesNewRoman" w:hAnsi="TimesNewRoman"/>
        </w:rPr>
        <w:t>the</w:t>
      </w:r>
      <w:r>
        <w:rPr>
          <w:rFonts w:ascii="TimesNewRoman" w:hAnsi="TimesNewRoman"/>
        </w:rPr>
        <w:t xml:space="preserve"> project’s net cash flow after Newmont had recouped its investment and another 20% of the production. The investment agreement also contained commitments with respect to job training for local Ghanaians, community development, purchasing of local goods and services and environmental protection (Source: </w:t>
      </w:r>
      <w:hyperlink r:id="rId1" w:history="1">
        <w:r w:rsidRPr="00DA0B43">
          <w:rPr>
            <w:rStyle w:val="Hyperlink"/>
            <w:rFonts w:ascii="TimesNewRoman" w:hAnsi="TimesNewRoman"/>
          </w:rPr>
          <w:t>www.sec.gov/archives</w:t>
        </w:r>
      </w:hyperlink>
      <w:r>
        <w:rPr>
          <w:rFonts w:ascii="TimesNewRoman" w:hAnsi="TimesNewRoman"/>
        </w:rPr>
        <w:t xml:space="preserve">; accessed on 25.12.2016) </w:t>
      </w:r>
    </w:p>
  </w:footnote>
  <w:footnote w:id="3">
    <w:p w14:paraId="58E6C28D" w14:textId="63B59BA0" w:rsidR="00DD623F" w:rsidRPr="00853FAE" w:rsidRDefault="00DD623F">
      <w:pPr>
        <w:pStyle w:val="FootnoteText"/>
        <w:rPr>
          <w:lang w:val="en-US"/>
        </w:rPr>
      </w:pPr>
      <w:r>
        <w:rPr>
          <w:rStyle w:val="FootnoteReference"/>
        </w:rPr>
        <w:footnoteRef/>
      </w:r>
      <w:r>
        <w:t xml:space="preserve"> </w:t>
      </w:r>
      <w:r>
        <w:rPr>
          <w:lang w:val="en-US"/>
        </w:rPr>
        <w:t xml:space="preserve">Ghana became a center for mining with the arrival of the Portuguese and Arab traders. Between 1957, when Ghana became attained independence from the British, till 1972, foreign MNEs dominated the landscape of Ghana’s mining sector. In 1972 the mining sector was nationalised and foreign mining companies were taken over by the State. In mid 1980s, the mining sector was privatized in the backdrop of the IMF Structural Adjustment programme. The gesture from the CEO of Newmont was essentially made to to assuage local community about his commitment for local economic development of the region.  </w:t>
      </w:r>
    </w:p>
  </w:footnote>
  <w:footnote w:id="4">
    <w:p w14:paraId="5E470C74" w14:textId="021DB174" w:rsidR="00DD623F" w:rsidRDefault="00DD623F">
      <w:pPr>
        <w:pStyle w:val="FootnoteText"/>
      </w:pPr>
      <w:r>
        <w:rPr>
          <w:rStyle w:val="FootnoteReference"/>
        </w:rPr>
        <w:footnoteRef/>
      </w:r>
      <w:r>
        <w:t xml:space="preserve"> Before commencement of operation in Ahafo, some Civil Society Groups campaigned against Newmont’s entry onto the Ghana market because of their previous records of environmental pollution in other developing countries.</w:t>
      </w:r>
    </w:p>
  </w:footnote>
  <w:footnote w:id="5">
    <w:p w14:paraId="23F80F44" w14:textId="77F848D4" w:rsidR="00DD623F" w:rsidRPr="005F53C5" w:rsidRDefault="00DD623F">
      <w:pPr>
        <w:pStyle w:val="FootnoteText"/>
        <w:rPr>
          <w:lang w:val="en-US"/>
        </w:rPr>
      </w:pPr>
      <w:r>
        <w:rPr>
          <w:rStyle w:val="FootnoteReference"/>
        </w:rPr>
        <w:footnoteRef/>
      </w:r>
      <w:r>
        <w:t xml:space="preserve"> </w:t>
      </w:r>
      <w:r>
        <w:rPr>
          <w:lang w:val="en-US"/>
        </w:rPr>
        <w:t>Professor Gyimah- Boadi, the then Vice Chancellor of the University of Mining and Technology, Tarkwa, who although was as not a member of the local community, was made the co-moderator of ASRF, which was represented by the representatives of the 10 communities and Government and imminent members of the civil society He and his colleagues were instrumental in drafting the formal agreement between NGGL and the ASRF. In an interview he stated that, “the agreement is the most comprehensive document ever to be enjoyed by a mining community in the country, if not in the world” (speaking to SKY FM, May 11, 2007; reported in www.Ghanaweb.com)</w:t>
      </w:r>
    </w:p>
  </w:footnote>
  <w:footnote w:id="6">
    <w:p w14:paraId="465D58F5" w14:textId="49202942" w:rsidR="00DD623F" w:rsidRPr="000F57AA" w:rsidRDefault="00DD623F" w:rsidP="00837F39">
      <w:pPr>
        <w:rPr>
          <w:rFonts w:ascii="Times New Roman" w:eastAsia="Times New Roman" w:hAnsi="Times New Roman" w:cs="Times New Roman"/>
          <w:sz w:val="24"/>
          <w:szCs w:val="24"/>
        </w:rPr>
      </w:pPr>
      <w:r w:rsidRPr="000F57AA">
        <w:rPr>
          <w:rStyle w:val="FootnoteReference"/>
          <w:rFonts w:ascii="Times New Roman" w:hAnsi="Times New Roman" w:cs="Times New Roman"/>
          <w:sz w:val="24"/>
          <w:szCs w:val="24"/>
        </w:rPr>
        <w:footnoteRef/>
      </w:r>
      <w:r w:rsidRPr="000F57AA">
        <w:rPr>
          <w:rFonts w:ascii="Times New Roman" w:hAnsi="Times New Roman" w:cs="Times New Roman"/>
          <w:sz w:val="24"/>
          <w:szCs w:val="24"/>
        </w:rPr>
        <w:t xml:space="preserve"> The company initially denied the charges that it had wilfully caused the cyanide spill but the accusation was upheld by the Govt of Ghana in 2010. </w:t>
      </w:r>
      <w:r w:rsidRPr="000F57AA">
        <w:rPr>
          <w:rStyle w:val="apple-converted-space"/>
          <w:rFonts w:ascii="Times New Roman" w:eastAsia="Times New Roman" w:hAnsi="Times New Roman" w:cs="Times New Roman"/>
          <w:color w:val="333333"/>
          <w:sz w:val="24"/>
          <w:szCs w:val="24"/>
          <w:shd w:val="clear" w:color="auto" w:fill="DBEDFE"/>
        </w:rPr>
        <w:t>(</w:t>
      </w:r>
      <w:hyperlink r:id="rId2" w:history="1">
        <w:r w:rsidRPr="000F57AA">
          <w:rPr>
            <w:rStyle w:val="Hyperlink"/>
            <w:rFonts w:ascii="Times New Roman" w:hAnsi="Times New Roman" w:cs="Times New Roman"/>
            <w:color w:val="003366"/>
            <w:sz w:val="24"/>
            <w:szCs w:val="24"/>
          </w:rPr>
          <w:t>http://www.minesandcommunities.org/article.php?a=9597</w:t>
        </w:r>
      </w:hyperlink>
      <w:r w:rsidRPr="000F57AA">
        <w:rPr>
          <w:rFonts w:ascii="Times New Roman" w:eastAsia="Times New Roman" w:hAnsi="Times New Roman" w:cs="Times New Roman"/>
          <w:color w:val="333333"/>
          <w:sz w:val="24"/>
          <w:szCs w:val="24"/>
          <w:shd w:val="clear" w:color="auto" w:fill="DBEDFE"/>
        </w:rPr>
        <w:t>; accessed on 22.05.2017)</w:t>
      </w:r>
    </w:p>
    <w:p w14:paraId="33A26D35" w14:textId="4F81813C" w:rsidR="00DD623F" w:rsidRPr="000F57AA" w:rsidRDefault="00DD623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E015" w14:textId="77777777" w:rsidR="00DD623F" w:rsidRDefault="00DD623F">
    <w:pPr>
      <w:pStyle w:val="Header"/>
    </w:pPr>
    <w:bookmarkStart w:id="2" w:name="_WNSectionTitle_2"/>
    <w:bookmarkStart w:id="3" w:name="_WNTabType_1"/>
    <w:bookmarkStart w:id="4" w:name="_WNSectionTitle"/>
    <w:bookmarkStart w:id="5" w:name="_WNTabType_0"/>
    <w:bookmarkEnd w:id="2"/>
    <w:bookmarkEnd w:id="3"/>
  </w:p>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208B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31B356F"/>
    <w:multiLevelType w:val="hybridMultilevel"/>
    <w:tmpl w:val="54D2534A"/>
    <w:lvl w:ilvl="0" w:tplc="F62699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905A2"/>
    <w:multiLevelType w:val="hybridMultilevel"/>
    <w:tmpl w:val="3C52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C5B2B"/>
    <w:multiLevelType w:val="hybridMultilevel"/>
    <w:tmpl w:val="FB3AA010"/>
    <w:lvl w:ilvl="0" w:tplc="CADE61B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663AA"/>
    <w:multiLevelType w:val="hybridMultilevel"/>
    <w:tmpl w:val="B178DE8E"/>
    <w:lvl w:ilvl="0" w:tplc="1C042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0"/>
  </w:num>
  <w:num w:numId="6">
    <w:abstractNumId w:val="0"/>
  </w:num>
  <w:num w:numId="7">
    <w:abstractNumId w:val="0"/>
  </w:num>
  <w:num w:numId="8">
    <w:abstractNumId w:val="0"/>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03"/>
    <w:rsid w:val="00004845"/>
    <w:rsid w:val="00025C3E"/>
    <w:rsid w:val="0002783F"/>
    <w:rsid w:val="00032AA6"/>
    <w:rsid w:val="00032B73"/>
    <w:rsid w:val="00035355"/>
    <w:rsid w:val="00036C8F"/>
    <w:rsid w:val="00042846"/>
    <w:rsid w:val="00043599"/>
    <w:rsid w:val="000450A2"/>
    <w:rsid w:val="00053FDF"/>
    <w:rsid w:val="00067F3C"/>
    <w:rsid w:val="00071EAD"/>
    <w:rsid w:val="000775A6"/>
    <w:rsid w:val="00086D24"/>
    <w:rsid w:val="000924BB"/>
    <w:rsid w:val="00093CFC"/>
    <w:rsid w:val="000A45C6"/>
    <w:rsid w:val="000A6E8E"/>
    <w:rsid w:val="000B0193"/>
    <w:rsid w:val="000B1D7A"/>
    <w:rsid w:val="000C7B9A"/>
    <w:rsid w:val="000D0E82"/>
    <w:rsid w:val="000F17DC"/>
    <w:rsid w:val="000F36EC"/>
    <w:rsid w:val="000F57AA"/>
    <w:rsid w:val="000F7043"/>
    <w:rsid w:val="00112108"/>
    <w:rsid w:val="0011774B"/>
    <w:rsid w:val="001207D0"/>
    <w:rsid w:val="00142D1E"/>
    <w:rsid w:val="00164324"/>
    <w:rsid w:val="001663C4"/>
    <w:rsid w:val="00180280"/>
    <w:rsid w:val="001A197C"/>
    <w:rsid w:val="001A393F"/>
    <w:rsid w:val="001A41D0"/>
    <w:rsid w:val="001A4552"/>
    <w:rsid w:val="001B03DE"/>
    <w:rsid w:val="001B0DA4"/>
    <w:rsid w:val="001E290A"/>
    <w:rsid w:val="001F1DB5"/>
    <w:rsid w:val="00202147"/>
    <w:rsid w:val="00213914"/>
    <w:rsid w:val="00232F83"/>
    <w:rsid w:val="00261A22"/>
    <w:rsid w:val="002653BC"/>
    <w:rsid w:val="002658F6"/>
    <w:rsid w:val="00272D4E"/>
    <w:rsid w:val="0027374F"/>
    <w:rsid w:val="002834EE"/>
    <w:rsid w:val="002846AE"/>
    <w:rsid w:val="002870CA"/>
    <w:rsid w:val="00287B75"/>
    <w:rsid w:val="00295FAB"/>
    <w:rsid w:val="00297914"/>
    <w:rsid w:val="002A0297"/>
    <w:rsid w:val="002A7A8C"/>
    <w:rsid w:val="002B14D4"/>
    <w:rsid w:val="002B2DCF"/>
    <w:rsid w:val="002B6415"/>
    <w:rsid w:val="002C16FD"/>
    <w:rsid w:val="002C2EE3"/>
    <w:rsid w:val="002C4EAD"/>
    <w:rsid w:val="002E0AA8"/>
    <w:rsid w:val="003072DE"/>
    <w:rsid w:val="00322A80"/>
    <w:rsid w:val="003301B3"/>
    <w:rsid w:val="00330433"/>
    <w:rsid w:val="003313E7"/>
    <w:rsid w:val="003324E9"/>
    <w:rsid w:val="0034287B"/>
    <w:rsid w:val="00342B61"/>
    <w:rsid w:val="00343B7D"/>
    <w:rsid w:val="003476C3"/>
    <w:rsid w:val="003569A3"/>
    <w:rsid w:val="003643C7"/>
    <w:rsid w:val="003715AA"/>
    <w:rsid w:val="00382B36"/>
    <w:rsid w:val="00387DFB"/>
    <w:rsid w:val="0039140F"/>
    <w:rsid w:val="00391450"/>
    <w:rsid w:val="00394DB5"/>
    <w:rsid w:val="003A0621"/>
    <w:rsid w:val="003B1146"/>
    <w:rsid w:val="003B3E6D"/>
    <w:rsid w:val="003C0322"/>
    <w:rsid w:val="003C73EE"/>
    <w:rsid w:val="003D1411"/>
    <w:rsid w:val="003D393D"/>
    <w:rsid w:val="003E30A4"/>
    <w:rsid w:val="003F45F9"/>
    <w:rsid w:val="003F57AB"/>
    <w:rsid w:val="00407043"/>
    <w:rsid w:val="004272E8"/>
    <w:rsid w:val="004318AC"/>
    <w:rsid w:val="00436836"/>
    <w:rsid w:val="0045213C"/>
    <w:rsid w:val="00454501"/>
    <w:rsid w:val="00456BDC"/>
    <w:rsid w:val="00461E76"/>
    <w:rsid w:val="00465634"/>
    <w:rsid w:val="00470DDD"/>
    <w:rsid w:val="004753E9"/>
    <w:rsid w:val="0048777A"/>
    <w:rsid w:val="00490855"/>
    <w:rsid w:val="004963AD"/>
    <w:rsid w:val="004A09AD"/>
    <w:rsid w:val="004B5B9F"/>
    <w:rsid w:val="004B5C2D"/>
    <w:rsid w:val="004C5AC5"/>
    <w:rsid w:val="004D104D"/>
    <w:rsid w:val="004E15EB"/>
    <w:rsid w:val="004E308D"/>
    <w:rsid w:val="004F1431"/>
    <w:rsid w:val="004F765C"/>
    <w:rsid w:val="00505F0E"/>
    <w:rsid w:val="00510BFF"/>
    <w:rsid w:val="00515C31"/>
    <w:rsid w:val="005354D9"/>
    <w:rsid w:val="00541C25"/>
    <w:rsid w:val="00566580"/>
    <w:rsid w:val="005C055A"/>
    <w:rsid w:val="005C38BC"/>
    <w:rsid w:val="005C40D4"/>
    <w:rsid w:val="005C781E"/>
    <w:rsid w:val="005D0F2B"/>
    <w:rsid w:val="005E06A9"/>
    <w:rsid w:val="005E1D4F"/>
    <w:rsid w:val="005E315A"/>
    <w:rsid w:val="005E352F"/>
    <w:rsid w:val="005E7C74"/>
    <w:rsid w:val="005F53C5"/>
    <w:rsid w:val="005F7F52"/>
    <w:rsid w:val="00610145"/>
    <w:rsid w:val="00633521"/>
    <w:rsid w:val="00644DCD"/>
    <w:rsid w:val="00644FF8"/>
    <w:rsid w:val="00645EAD"/>
    <w:rsid w:val="0065219F"/>
    <w:rsid w:val="00652237"/>
    <w:rsid w:val="006615D7"/>
    <w:rsid w:val="00674553"/>
    <w:rsid w:val="006757A6"/>
    <w:rsid w:val="00675CD4"/>
    <w:rsid w:val="0068447B"/>
    <w:rsid w:val="00693E8A"/>
    <w:rsid w:val="006A5A23"/>
    <w:rsid w:val="006B329C"/>
    <w:rsid w:val="006B3FCD"/>
    <w:rsid w:val="006B6273"/>
    <w:rsid w:val="006C3C69"/>
    <w:rsid w:val="006D5A57"/>
    <w:rsid w:val="006E5B7B"/>
    <w:rsid w:val="006F1369"/>
    <w:rsid w:val="006F50EE"/>
    <w:rsid w:val="006F742F"/>
    <w:rsid w:val="0070615F"/>
    <w:rsid w:val="00715ED4"/>
    <w:rsid w:val="00724E26"/>
    <w:rsid w:val="00730D60"/>
    <w:rsid w:val="00734539"/>
    <w:rsid w:val="00735320"/>
    <w:rsid w:val="00740CD3"/>
    <w:rsid w:val="00742093"/>
    <w:rsid w:val="007502C9"/>
    <w:rsid w:val="00751FED"/>
    <w:rsid w:val="00755DF7"/>
    <w:rsid w:val="00761B9C"/>
    <w:rsid w:val="00766F5F"/>
    <w:rsid w:val="00772E0C"/>
    <w:rsid w:val="00776094"/>
    <w:rsid w:val="00781A4C"/>
    <w:rsid w:val="0078695C"/>
    <w:rsid w:val="007A5C4D"/>
    <w:rsid w:val="007B1AC8"/>
    <w:rsid w:val="007B23A9"/>
    <w:rsid w:val="007C53FC"/>
    <w:rsid w:val="007D12B9"/>
    <w:rsid w:val="007D476B"/>
    <w:rsid w:val="007D47B1"/>
    <w:rsid w:val="007E7CFB"/>
    <w:rsid w:val="007F0274"/>
    <w:rsid w:val="007F2AFB"/>
    <w:rsid w:val="007F5903"/>
    <w:rsid w:val="0080308A"/>
    <w:rsid w:val="00814862"/>
    <w:rsid w:val="00837F39"/>
    <w:rsid w:val="008449C8"/>
    <w:rsid w:val="00853FAE"/>
    <w:rsid w:val="00854DB5"/>
    <w:rsid w:val="00866964"/>
    <w:rsid w:val="00867337"/>
    <w:rsid w:val="00877535"/>
    <w:rsid w:val="008851B9"/>
    <w:rsid w:val="008873A4"/>
    <w:rsid w:val="00895844"/>
    <w:rsid w:val="008B01F7"/>
    <w:rsid w:val="008B2126"/>
    <w:rsid w:val="008D3D88"/>
    <w:rsid w:val="008E0C0E"/>
    <w:rsid w:val="00902F8C"/>
    <w:rsid w:val="00917041"/>
    <w:rsid w:val="009170AC"/>
    <w:rsid w:val="009209CF"/>
    <w:rsid w:val="00926229"/>
    <w:rsid w:val="009279A3"/>
    <w:rsid w:val="00931263"/>
    <w:rsid w:val="00932914"/>
    <w:rsid w:val="0094338C"/>
    <w:rsid w:val="0094597F"/>
    <w:rsid w:val="00946625"/>
    <w:rsid w:val="00953D67"/>
    <w:rsid w:val="00960B44"/>
    <w:rsid w:val="009620B9"/>
    <w:rsid w:val="009639F7"/>
    <w:rsid w:val="00975A1C"/>
    <w:rsid w:val="00975AD4"/>
    <w:rsid w:val="00977909"/>
    <w:rsid w:val="00977E86"/>
    <w:rsid w:val="00987746"/>
    <w:rsid w:val="0099212A"/>
    <w:rsid w:val="0099377F"/>
    <w:rsid w:val="00993B20"/>
    <w:rsid w:val="00994E7D"/>
    <w:rsid w:val="00997505"/>
    <w:rsid w:val="009A3DCE"/>
    <w:rsid w:val="009A5128"/>
    <w:rsid w:val="009A640E"/>
    <w:rsid w:val="009B0330"/>
    <w:rsid w:val="009B06D5"/>
    <w:rsid w:val="009B285A"/>
    <w:rsid w:val="009C7F2C"/>
    <w:rsid w:val="009D7DC0"/>
    <w:rsid w:val="009E561C"/>
    <w:rsid w:val="009E58AD"/>
    <w:rsid w:val="009E6DC0"/>
    <w:rsid w:val="00A00AD3"/>
    <w:rsid w:val="00A05B3C"/>
    <w:rsid w:val="00A10BA1"/>
    <w:rsid w:val="00A253D4"/>
    <w:rsid w:val="00A3144F"/>
    <w:rsid w:val="00A33F0B"/>
    <w:rsid w:val="00A376DE"/>
    <w:rsid w:val="00A52ACC"/>
    <w:rsid w:val="00A66990"/>
    <w:rsid w:val="00A732C0"/>
    <w:rsid w:val="00A76501"/>
    <w:rsid w:val="00A76B41"/>
    <w:rsid w:val="00A80415"/>
    <w:rsid w:val="00A85321"/>
    <w:rsid w:val="00A91262"/>
    <w:rsid w:val="00A97A45"/>
    <w:rsid w:val="00AA0E85"/>
    <w:rsid w:val="00AE7309"/>
    <w:rsid w:val="00AF5D79"/>
    <w:rsid w:val="00B25560"/>
    <w:rsid w:val="00B32F27"/>
    <w:rsid w:val="00B40DE7"/>
    <w:rsid w:val="00B45698"/>
    <w:rsid w:val="00B5404A"/>
    <w:rsid w:val="00B55817"/>
    <w:rsid w:val="00B56FF5"/>
    <w:rsid w:val="00B655A1"/>
    <w:rsid w:val="00B75C89"/>
    <w:rsid w:val="00B76E65"/>
    <w:rsid w:val="00B81911"/>
    <w:rsid w:val="00B95525"/>
    <w:rsid w:val="00BA0E82"/>
    <w:rsid w:val="00BA7FD4"/>
    <w:rsid w:val="00BB5721"/>
    <w:rsid w:val="00BF2037"/>
    <w:rsid w:val="00C107E9"/>
    <w:rsid w:val="00C14707"/>
    <w:rsid w:val="00C173FD"/>
    <w:rsid w:val="00C5254A"/>
    <w:rsid w:val="00C668B1"/>
    <w:rsid w:val="00C81A3E"/>
    <w:rsid w:val="00C84460"/>
    <w:rsid w:val="00CA6E63"/>
    <w:rsid w:val="00CB315C"/>
    <w:rsid w:val="00CC6580"/>
    <w:rsid w:val="00CD3986"/>
    <w:rsid w:val="00CF43A6"/>
    <w:rsid w:val="00D001E4"/>
    <w:rsid w:val="00D00B7B"/>
    <w:rsid w:val="00D052AD"/>
    <w:rsid w:val="00D0672A"/>
    <w:rsid w:val="00D0713D"/>
    <w:rsid w:val="00D159FC"/>
    <w:rsid w:val="00D16814"/>
    <w:rsid w:val="00D270BB"/>
    <w:rsid w:val="00D32A13"/>
    <w:rsid w:val="00D40C94"/>
    <w:rsid w:val="00D47A2C"/>
    <w:rsid w:val="00D547A4"/>
    <w:rsid w:val="00D65ED0"/>
    <w:rsid w:val="00D70818"/>
    <w:rsid w:val="00D93D2A"/>
    <w:rsid w:val="00DA1D74"/>
    <w:rsid w:val="00DB1930"/>
    <w:rsid w:val="00DB3A03"/>
    <w:rsid w:val="00DB5D16"/>
    <w:rsid w:val="00DD2945"/>
    <w:rsid w:val="00DD5EE8"/>
    <w:rsid w:val="00DD623F"/>
    <w:rsid w:val="00DE5C57"/>
    <w:rsid w:val="00DF49BD"/>
    <w:rsid w:val="00DF7F21"/>
    <w:rsid w:val="00E125C5"/>
    <w:rsid w:val="00E1480B"/>
    <w:rsid w:val="00E20C35"/>
    <w:rsid w:val="00E3407D"/>
    <w:rsid w:val="00E4250F"/>
    <w:rsid w:val="00E44806"/>
    <w:rsid w:val="00E55800"/>
    <w:rsid w:val="00E57042"/>
    <w:rsid w:val="00E60888"/>
    <w:rsid w:val="00E62C30"/>
    <w:rsid w:val="00E73331"/>
    <w:rsid w:val="00E90B45"/>
    <w:rsid w:val="00E90DCA"/>
    <w:rsid w:val="00E93824"/>
    <w:rsid w:val="00E95115"/>
    <w:rsid w:val="00EA7B98"/>
    <w:rsid w:val="00EB0389"/>
    <w:rsid w:val="00EB1108"/>
    <w:rsid w:val="00EB186F"/>
    <w:rsid w:val="00EC12B1"/>
    <w:rsid w:val="00EF03F0"/>
    <w:rsid w:val="00F1196B"/>
    <w:rsid w:val="00F150C9"/>
    <w:rsid w:val="00F215C0"/>
    <w:rsid w:val="00F31441"/>
    <w:rsid w:val="00F4743D"/>
    <w:rsid w:val="00F478F6"/>
    <w:rsid w:val="00F543D7"/>
    <w:rsid w:val="00F674F1"/>
    <w:rsid w:val="00F73EE3"/>
    <w:rsid w:val="00F771FD"/>
    <w:rsid w:val="00F83193"/>
    <w:rsid w:val="00F87E3C"/>
    <w:rsid w:val="00FC00FD"/>
    <w:rsid w:val="00FE6ACA"/>
    <w:rsid w:val="00FF5D0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6E04D"/>
  <w15:docId w15:val="{EC7359EB-5694-4D18-B164-D825436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03"/>
  </w:style>
  <w:style w:type="paragraph" w:styleId="Heading1">
    <w:name w:val="heading 1"/>
    <w:basedOn w:val="Normal"/>
    <w:link w:val="Heading1Char"/>
    <w:uiPriority w:val="9"/>
    <w:qFormat/>
    <w:rsid w:val="0048777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5903"/>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semiHidden/>
    <w:rsid w:val="007F5903"/>
    <w:rPr>
      <w:rFonts w:ascii="Times New Roman" w:eastAsia="Times New Roman" w:hAnsi="Times New Roman" w:cs="Times New Roman"/>
      <w:sz w:val="20"/>
      <w:szCs w:val="20"/>
      <w:lang w:eastAsia="x-none"/>
    </w:rPr>
  </w:style>
  <w:style w:type="character" w:styleId="FootnoteReference">
    <w:name w:val="footnote reference"/>
    <w:semiHidden/>
    <w:rsid w:val="007F5903"/>
    <w:rPr>
      <w:vertAlign w:val="superscript"/>
    </w:rPr>
  </w:style>
  <w:style w:type="paragraph" w:styleId="Header">
    <w:name w:val="header"/>
    <w:basedOn w:val="Normal"/>
    <w:link w:val="HeaderChar"/>
    <w:uiPriority w:val="99"/>
    <w:unhideWhenUsed/>
    <w:rsid w:val="007F5903"/>
    <w:pPr>
      <w:tabs>
        <w:tab w:val="center" w:pos="4703"/>
        <w:tab w:val="right" w:pos="9406"/>
      </w:tabs>
    </w:pPr>
    <w:rPr>
      <w:rFonts w:ascii="Calibri" w:eastAsia="Calibri" w:hAnsi="Calibri" w:cs="Times New Roman"/>
      <w:lang w:eastAsia="x-none"/>
    </w:rPr>
  </w:style>
  <w:style w:type="character" w:customStyle="1" w:styleId="HeaderChar">
    <w:name w:val="Header Char"/>
    <w:basedOn w:val="DefaultParagraphFont"/>
    <w:link w:val="Header"/>
    <w:uiPriority w:val="99"/>
    <w:rsid w:val="007F5903"/>
    <w:rPr>
      <w:rFonts w:ascii="Calibri" w:eastAsia="Calibri" w:hAnsi="Calibri" w:cs="Times New Roman"/>
      <w:lang w:eastAsia="x-none"/>
    </w:rPr>
  </w:style>
  <w:style w:type="paragraph" w:styleId="Footer">
    <w:name w:val="footer"/>
    <w:basedOn w:val="Normal"/>
    <w:link w:val="FooterChar"/>
    <w:uiPriority w:val="99"/>
    <w:unhideWhenUsed/>
    <w:rsid w:val="007F5903"/>
    <w:pPr>
      <w:tabs>
        <w:tab w:val="center" w:pos="4703"/>
        <w:tab w:val="right" w:pos="9406"/>
      </w:tabs>
    </w:pPr>
    <w:rPr>
      <w:rFonts w:ascii="Calibri" w:eastAsia="Calibri" w:hAnsi="Calibri" w:cs="Times New Roman"/>
      <w:lang w:eastAsia="x-none"/>
    </w:rPr>
  </w:style>
  <w:style w:type="character" w:customStyle="1" w:styleId="FooterChar">
    <w:name w:val="Footer Char"/>
    <w:basedOn w:val="DefaultParagraphFont"/>
    <w:link w:val="Footer"/>
    <w:uiPriority w:val="99"/>
    <w:rsid w:val="007F5903"/>
    <w:rPr>
      <w:rFonts w:ascii="Calibri" w:eastAsia="Calibri" w:hAnsi="Calibri" w:cs="Times New Roman"/>
      <w:lang w:eastAsia="x-none"/>
    </w:rPr>
  </w:style>
  <w:style w:type="character" w:styleId="Hyperlink">
    <w:name w:val="Hyperlink"/>
    <w:uiPriority w:val="99"/>
    <w:unhideWhenUsed/>
    <w:rsid w:val="007F5903"/>
    <w:rPr>
      <w:color w:val="0000FF"/>
      <w:u w:val="single"/>
    </w:rPr>
  </w:style>
  <w:style w:type="paragraph" w:customStyle="1" w:styleId="NoteLevel11">
    <w:name w:val="Note Level 11"/>
    <w:basedOn w:val="Normal"/>
    <w:uiPriority w:val="99"/>
    <w:semiHidden/>
    <w:rsid w:val="007F5903"/>
    <w:pPr>
      <w:keepNext/>
      <w:numPr>
        <w:numId w:val="1"/>
      </w:numPr>
      <w:contextualSpacing/>
      <w:outlineLvl w:val="0"/>
    </w:pPr>
    <w:rPr>
      <w:rFonts w:ascii="Verdana" w:eastAsia="MS Gothic" w:hAnsi="Verdana" w:cs="Times New Roman"/>
    </w:rPr>
  </w:style>
  <w:style w:type="paragraph" w:customStyle="1" w:styleId="NoteLevel21">
    <w:name w:val="Note Level 21"/>
    <w:basedOn w:val="Normal"/>
    <w:uiPriority w:val="1"/>
    <w:qFormat/>
    <w:rsid w:val="007F5903"/>
    <w:pPr>
      <w:keepNext/>
      <w:numPr>
        <w:ilvl w:val="1"/>
        <w:numId w:val="1"/>
      </w:numPr>
      <w:contextualSpacing/>
      <w:outlineLvl w:val="1"/>
    </w:pPr>
    <w:rPr>
      <w:rFonts w:ascii="Verdana" w:eastAsia="MS Gothic" w:hAnsi="Verdana" w:cs="Times New Roman"/>
    </w:rPr>
  </w:style>
  <w:style w:type="paragraph" w:customStyle="1" w:styleId="NoteLevel31">
    <w:name w:val="Note Level 31"/>
    <w:basedOn w:val="Normal"/>
    <w:uiPriority w:val="60"/>
    <w:rsid w:val="007F5903"/>
    <w:pPr>
      <w:keepNext/>
      <w:numPr>
        <w:ilvl w:val="2"/>
        <w:numId w:val="1"/>
      </w:numPr>
      <w:contextualSpacing/>
      <w:outlineLvl w:val="2"/>
    </w:pPr>
    <w:rPr>
      <w:rFonts w:ascii="Verdana" w:eastAsia="MS Gothic" w:hAnsi="Verdana" w:cs="Times New Roman"/>
    </w:rPr>
  </w:style>
  <w:style w:type="paragraph" w:customStyle="1" w:styleId="NoteLevel41">
    <w:name w:val="Note Level 41"/>
    <w:basedOn w:val="Normal"/>
    <w:uiPriority w:val="61"/>
    <w:rsid w:val="007F5903"/>
    <w:pPr>
      <w:keepNext/>
      <w:numPr>
        <w:ilvl w:val="3"/>
        <w:numId w:val="1"/>
      </w:numPr>
      <w:contextualSpacing/>
      <w:outlineLvl w:val="3"/>
    </w:pPr>
    <w:rPr>
      <w:rFonts w:ascii="Verdana" w:eastAsia="MS Gothic" w:hAnsi="Verdana" w:cs="Times New Roman"/>
    </w:rPr>
  </w:style>
  <w:style w:type="paragraph" w:customStyle="1" w:styleId="NoteLevel51">
    <w:name w:val="Note Level 51"/>
    <w:basedOn w:val="Normal"/>
    <w:uiPriority w:val="62"/>
    <w:rsid w:val="007F5903"/>
    <w:pPr>
      <w:keepNext/>
      <w:numPr>
        <w:ilvl w:val="4"/>
        <w:numId w:val="1"/>
      </w:numPr>
      <w:contextualSpacing/>
      <w:outlineLvl w:val="4"/>
    </w:pPr>
    <w:rPr>
      <w:rFonts w:ascii="Verdana" w:eastAsia="MS Gothic" w:hAnsi="Verdana" w:cs="Times New Roman"/>
    </w:rPr>
  </w:style>
  <w:style w:type="paragraph" w:customStyle="1" w:styleId="NoteLevel61">
    <w:name w:val="Note Level 61"/>
    <w:basedOn w:val="Normal"/>
    <w:uiPriority w:val="63"/>
    <w:rsid w:val="007F5903"/>
    <w:pPr>
      <w:keepNext/>
      <w:numPr>
        <w:ilvl w:val="5"/>
        <w:numId w:val="1"/>
      </w:numPr>
      <w:contextualSpacing/>
      <w:outlineLvl w:val="5"/>
    </w:pPr>
    <w:rPr>
      <w:rFonts w:ascii="Verdana" w:eastAsia="MS Gothic" w:hAnsi="Verdana" w:cs="Times New Roman"/>
    </w:rPr>
  </w:style>
  <w:style w:type="paragraph" w:customStyle="1" w:styleId="NoteLevel71">
    <w:name w:val="Note Level 71"/>
    <w:basedOn w:val="Normal"/>
    <w:uiPriority w:val="64"/>
    <w:rsid w:val="007F5903"/>
    <w:pPr>
      <w:keepNext/>
      <w:numPr>
        <w:ilvl w:val="6"/>
        <w:numId w:val="1"/>
      </w:numPr>
      <w:contextualSpacing/>
      <w:outlineLvl w:val="6"/>
    </w:pPr>
    <w:rPr>
      <w:rFonts w:ascii="Verdana" w:eastAsia="MS Gothic" w:hAnsi="Verdana" w:cs="Times New Roman"/>
    </w:rPr>
  </w:style>
  <w:style w:type="paragraph" w:customStyle="1" w:styleId="NoteLevel81">
    <w:name w:val="Note Level 81"/>
    <w:basedOn w:val="Normal"/>
    <w:uiPriority w:val="65"/>
    <w:rsid w:val="007F5903"/>
    <w:pPr>
      <w:keepNext/>
      <w:numPr>
        <w:ilvl w:val="7"/>
        <w:numId w:val="1"/>
      </w:numPr>
      <w:contextualSpacing/>
      <w:outlineLvl w:val="7"/>
    </w:pPr>
    <w:rPr>
      <w:rFonts w:ascii="Verdana" w:eastAsia="MS Gothic" w:hAnsi="Verdana" w:cs="Times New Roman"/>
    </w:rPr>
  </w:style>
  <w:style w:type="paragraph" w:customStyle="1" w:styleId="NoteLevel91">
    <w:name w:val="Note Level 91"/>
    <w:basedOn w:val="Normal"/>
    <w:uiPriority w:val="66"/>
    <w:rsid w:val="007F5903"/>
    <w:pPr>
      <w:keepNext/>
      <w:numPr>
        <w:ilvl w:val="8"/>
        <w:numId w:val="1"/>
      </w:numPr>
      <w:contextualSpacing/>
      <w:outlineLvl w:val="8"/>
    </w:pPr>
    <w:rPr>
      <w:rFonts w:ascii="Verdana" w:eastAsia="MS Gothic" w:hAnsi="Verdana" w:cs="Times New Roman"/>
    </w:rPr>
  </w:style>
  <w:style w:type="character" w:styleId="PageNumber">
    <w:name w:val="page number"/>
    <w:basedOn w:val="DefaultParagraphFont"/>
    <w:uiPriority w:val="99"/>
    <w:semiHidden/>
    <w:unhideWhenUsed/>
    <w:rsid w:val="007F5903"/>
  </w:style>
  <w:style w:type="paragraph" w:styleId="ListParagraph">
    <w:name w:val="List Paragraph"/>
    <w:basedOn w:val="Normal"/>
    <w:uiPriority w:val="34"/>
    <w:qFormat/>
    <w:rsid w:val="007F590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F590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F590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F5903"/>
    <w:rPr>
      <w:sz w:val="16"/>
      <w:szCs w:val="16"/>
    </w:rPr>
  </w:style>
  <w:style w:type="paragraph" w:styleId="CommentText">
    <w:name w:val="annotation text"/>
    <w:basedOn w:val="Normal"/>
    <w:link w:val="CommentTextChar"/>
    <w:uiPriority w:val="99"/>
    <w:semiHidden/>
    <w:unhideWhenUsed/>
    <w:rsid w:val="007F590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F59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5903"/>
    <w:rPr>
      <w:b/>
      <w:bCs/>
    </w:rPr>
  </w:style>
  <w:style w:type="character" w:customStyle="1" w:styleId="CommentSubjectChar">
    <w:name w:val="Comment Subject Char"/>
    <w:basedOn w:val="CommentTextChar"/>
    <w:link w:val="CommentSubject"/>
    <w:uiPriority w:val="99"/>
    <w:semiHidden/>
    <w:rsid w:val="007F5903"/>
    <w:rPr>
      <w:rFonts w:ascii="Calibri" w:eastAsia="Calibri" w:hAnsi="Calibri" w:cs="Times New Roman"/>
      <w:b/>
      <w:bCs/>
      <w:sz w:val="20"/>
      <w:szCs w:val="20"/>
    </w:rPr>
  </w:style>
  <w:style w:type="table" w:styleId="TableGrid">
    <w:name w:val="Table Grid"/>
    <w:basedOn w:val="TableNormal"/>
    <w:uiPriority w:val="59"/>
    <w:rsid w:val="007F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7F59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F59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7F59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7F59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7F590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uiPriority w:val="99"/>
    <w:semiHidden/>
    <w:unhideWhenUsed/>
    <w:rsid w:val="00644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FF8"/>
    <w:rPr>
      <w:sz w:val="20"/>
      <w:szCs w:val="20"/>
    </w:rPr>
  </w:style>
  <w:style w:type="character" w:styleId="EndnoteReference">
    <w:name w:val="endnote reference"/>
    <w:basedOn w:val="DefaultParagraphFont"/>
    <w:uiPriority w:val="99"/>
    <w:semiHidden/>
    <w:unhideWhenUsed/>
    <w:rsid w:val="00644FF8"/>
    <w:rPr>
      <w:vertAlign w:val="superscript"/>
    </w:rPr>
  </w:style>
  <w:style w:type="character" w:customStyle="1" w:styleId="apple-converted-space">
    <w:name w:val="apple-converted-space"/>
    <w:basedOn w:val="DefaultParagraphFont"/>
    <w:rsid w:val="00837F39"/>
  </w:style>
  <w:style w:type="paragraph" w:styleId="NormalWeb">
    <w:name w:val="Normal (Web)"/>
    <w:basedOn w:val="Normal"/>
    <w:uiPriority w:val="99"/>
    <w:semiHidden/>
    <w:unhideWhenUsed/>
    <w:rsid w:val="0048777A"/>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48777A"/>
    <w:rPr>
      <w:rFonts w:ascii="Times" w:hAnsi="Times"/>
      <w:b/>
      <w:bCs/>
      <w:kern w:val="36"/>
      <w:sz w:val="48"/>
      <w:szCs w:val="48"/>
    </w:rPr>
  </w:style>
  <w:style w:type="character" w:customStyle="1" w:styleId="footnotes1">
    <w:name w:val="footnotes1"/>
    <w:basedOn w:val="DefaultParagraphFont"/>
    <w:rsid w:val="000C7B9A"/>
    <w:rPr>
      <w:rFonts w:ascii="Arial" w:hAnsi="Arial" w:cs="Arial" w:hint="default"/>
      <w:color w:val="666666"/>
      <w:sz w:val="15"/>
      <w:szCs w:val="15"/>
    </w:rPr>
  </w:style>
  <w:style w:type="character" w:styleId="Emphasis">
    <w:name w:val="Emphasis"/>
    <w:basedOn w:val="DefaultParagraphFont"/>
    <w:uiPriority w:val="20"/>
    <w:qFormat/>
    <w:rsid w:val="000C7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6737">
      <w:bodyDiv w:val="1"/>
      <w:marLeft w:val="0"/>
      <w:marRight w:val="0"/>
      <w:marTop w:val="0"/>
      <w:marBottom w:val="0"/>
      <w:divBdr>
        <w:top w:val="none" w:sz="0" w:space="0" w:color="auto"/>
        <w:left w:val="none" w:sz="0" w:space="0" w:color="auto"/>
        <w:bottom w:val="none" w:sz="0" w:space="0" w:color="auto"/>
        <w:right w:val="none" w:sz="0" w:space="0" w:color="auto"/>
      </w:divBdr>
      <w:divsChild>
        <w:div w:id="89855330">
          <w:marLeft w:val="0"/>
          <w:marRight w:val="0"/>
          <w:marTop w:val="0"/>
          <w:marBottom w:val="0"/>
          <w:divBdr>
            <w:top w:val="none" w:sz="0" w:space="0" w:color="auto"/>
            <w:left w:val="none" w:sz="0" w:space="0" w:color="auto"/>
            <w:bottom w:val="none" w:sz="0" w:space="0" w:color="auto"/>
            <w:right w:val="none" w:sz="0" w:space="0" w:color="auto"/>
          </w:divBdr>
          <w:divsChild>
            <w:div w:id="1550998891">
              <w:marLeft w:val="0"/>
              <w:marRight w:val="0"/>
              <w:marTop w:val="0"/>
              <w:marBottom w:val="0"/>
              <w:divBdr>
                <w:top w:val="none" w:sz="0" w:space="0" w:color="auto"/>
                <w:left w:val="none" w:sz="0" w:space="0" w:color="auto"/>
                <w:bottom w:val="none" w:sz="0" w:space="0" w:color="auto"/>
                <w:right w:val="none" w:sz="0" w:space="0" w:color="auto"/>
              </w:divBdr>
              <w:divsChild>
                <w:div w:id="935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7860">
      <w:bodyDiv w:val="1"/>
      <w:marLeft w:val="0"/>
      <w:marRight w:val="0"/>
      <w:marTop w:val="0"/>
      <w:marBottom w:val="0"/>
      <w:divBdr>
        <w:top w:val="none" w:sz="0" w:space="0" w:color="auto"/>
        <w:left w:val="none" w:sz="0" w:space="0" w:color="auto"/>
        <w:bottom w:val="none" w:sz="0" w:space="0" w:color="auto"/>
        <w:right w:val="none" w:sz="0" w:space="0" w:color="auto"/>
      </w:divBdr>
    </w:div>
    <w:div w:id="1830057749">
      <w:bodyDiv w:val="1"/>
      <w:marLeft w:val="0"/>
      <w:marRight w:val="0"/>
      <w:marTop w:val="0"/>
      <w:marBottom w:val="0"/>
      <w:divBdr>
        <w:top w:val="none" w:sz="0" w:space="0" w:color="auto"/>
        <w:left w:val="none" w:sz="0" w:space="0" w:color="auto"/>
        <w:bottom w:val="none" w:sz="0" w:space="0" w:color="auto"/>
        <w:right w:val="none" w:sz="0" w:space="0" w:color="auto"/>
      </w:divBdr>
    </w:div>
    <w:div w:id="1903902035">
      <w:bodyDiv w:val="1"/>
      <w:marLeft w:val="0"/>
      <w:marRight w:val="0"/>
      <w:marTop w:val="0"/>
      <w:marBottom w:val="0"/>
      <w:divBdr>
        <w:top w:val="none" w:sz="0" w:space="0" w:color="auto"/>
        <w:left w:val="none" w:sz="0" w:space="0" w:color="auto"/>
        <w:bottom w:val="none" w:sz="0" w:space="0" w:color="auto"/>
        <w:right w:val="none" w:sz="0" w:space="0" w:color="auto"/>
      </w:divBdr>
      <w:divsChild>
        <w:div w:id="1865705195">
          <w:marLeft w:val="0"/>
          <w:marRight w:val="0"/>
          <w:marTop w:val="0"/>
          <w:marBottom w:val="0"/>
          <w:divBdr>
            <w:top w:val="none" w:sz="0" w:space="0" w:color="auto"/>
            <w:left w:val="none" w:sz="0" w:space="0" w:color="auto"/>
            <w:bottom w:val="none" w:sz="0" w:space="0" w:color="auto"/>
            <w:right w:val="none" w:sz="0" w:space="0" w:color="auto"/>
          </w:divBdr>
        </w:div>
      </w:divsChild>
    </w:div>
    <w:div w:id="20647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goldashanti.com/en/Media/Reports/Sustainability%20Reports/AGA-SD-2016.pdf" TargetMode="External"/><Relationship Id="rId13" Type="http://schemas.openxmlformats.org/officeDocument/2006/relationships/hyperlink" Target="https://www.goldfields.co.za/pdf/investors/integrated-annual-reports/2014/iar-2014.pdf" TargetMode="External"/><Relationship Id="rId18" Type="http://schemas.openxmlformats.org/officeDocument/2006/relationships/hyperlink" Target="http://www.nytimes.com/2005/03/27/world/asia/cause-of-mystery-ills-splits-indonesian-fishing-villag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hanaweb.com/GhanaHomePage/business/ASRF-to-sign-agreement-with-Newmont-Gold-123889" TargetMode="External"/><Relationship Id="rId17" Type="http://schemas.openxmlformats.org/officeDocument/2006/relationships/hyperlink" Target="http://s1.q4cdn.com/259923520/files/doc_downloads/fact_sheets/africa/Newmont-Africa-Factshee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wmont.com/about-us/default.aspx" TargetMode="External"/><Relationship Id="rId20" Type="http://schemas.openxmlformats.org/officeDocument/2006/relationships/hyperlink" Target="http://www.csr-asia.com/upload/OHK_CSR_surve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ilyguideafrica.com/kenyasi-youth-resist-newmont-underground-min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ghana.org/assets/file/Programmes/Forest_Investment_Plan_fip/Ghana%20Draft%20FIP%203-5%20_31_august2012.pdf" TargetMode="External"/><Relationship Id="rId23" Type="http://schemas.openxmlformats.org/officeDocument/2006/relationships/footer" Target="footer1.xml"/><Relationship Id="rId10" Type="http://schemas.openxmlformats.org/officeDocument/2006/relationships/hyperlink" Target="http://www.bbc.co.uk/news/world-latin-america-15956429" TargetMode="External"/><Relationship Id="rId19" Type="http://schemas.openxmlformats.org/officeDocument/2006/relationships/hyperlink" Target="http://www.dw.com/en/all-that-glitters-is-not-gold-indigenous-communities-in-peru-protest-mining/a-19328199" TargetMode="External"/><Relationship Id="rId4" Type="http://schemas.openxmlformats.org/officeDocument/2006/relationships/settings" Target="settings.xml"/><Relationship Id="rId9" Type="http://schemas.openxmlformats.org/officeDocument/2006/relationships/hyperlink" Target="http://hsf.org.za/resource-centre/hsf-briefs/the-role-of-traditional-leaders-in-post-independence-countries-botswana-ghana-and-zimbabwe" TargetMode="External"/><Relationship Id="rId14" Type="http://schemas.openxmlformats.org/officeDocument/2006/relationships/hyperlink" Target="http://news.bbc.co.uk/1/hi/world/asia-pacific/4823842.stm"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nesandcommunities.org/article.php?a=9597" TargetMode="External"/><Relationship Id="rId1" Type="http://schemas.openxmlformats.org/officeDocument/2006/relationships/hyperlink" Target="http://www.sec.gov/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2A21-A1E1-4470-AE06-C38D34B0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2C7CA426.dotm</Template>
  <TotalTime>0</TotalTime>
  <Pages>58</Pages>
  <Words>9596</Words>
  <Characters>54699</Characters>
  <Application>Microsoft Office Word</Application>
  <DocSecurity>0</DocSecurity>
  <Lines>455</Lines>
  <Paragraphs>128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Tuffour, James (Student)</dc:creator>
  <cp:lastModifiedBy>Patnaik, Swetketu</cp:lastModifiedBy>
  <cp:revision>2</cp:revision>
  <cp:lastPrinted>2017-06-12T14:12:00Z</cp:lastPrinted>
  <dcterms:created xsi:type="dcterms:W3CDTF">2018-01-04T14:47:00Z</dcterms:created>
  <dcterms:modified xsi:type="dcterms:W3CDTF">2018-01-04T14:47:00Z</dcterms:modified>
</cp:coreProperties>
</file>