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54F" w:rsidRDefault="00CD554F" w:rsidP="002A01BE">
      <w:pPr>
        <w:pStyle w:val="Heading2"/>
      </w:pPr>
      <w:r w:rsidRPr="00CD554F">
        <w:t>Drawing Analogies to Deepen Learning</w:t>
      </w:r>
    </w:p>
    <w:p w:rsidR="00F53056" w:rsidRDefault="002A01BE" w:rsidP="002A01BE">
      <w:pPr>
        <w:spacing w:line="360" w:lineRule="auto"/>
      </w:pPr>
      <w:r>
        <w:t>Michelle Fava</w:t>
      </w:r>
    </w:p>
    <w:p w:rsidR="00CD554F" w:rsidRPr="00F53056" w:rsidRDefault="00F53056" w:rsidP="002A01BE">
      <w:pPr>
        <w:pStyle w:val="Heading2"/>
        <w:spacing w:line="360" w:lineRule="auto"/>
      </w:pPr>
      <w:r w:rsidRPr="00F53056">
        <w:t>Abstract</w:t>
      </w:r>
    </w:p>
    <w:p w:rsidR="00CD554F" w:rsidRDefault="00CD554F" w:rsidP="002A01BE">
      <w:pPr>
        <w:spacing w:line="360" w:lineRule="auto"/>
      </w:pPr>
      <w:r>
        <w:t>This article offers examples of how drawing can facilitate thinking skills that promote analogical reasoning to enable deeper learning. The instructional design applies cognitive principles, briefly described here. The workshops were developed iteratively, through feedback from student and teacher participants.</w:t>
      </w:r>
    </w:p>
    <w:p w:rsidR="00F53056" w:rsidRDefault="00CD554F" w:rsidP="002A01BE">
      <w:pPr>
        <w:spacing w:line="360" w:lineRule="auto"/>
      </w:pPr>
      <w:r>
        <w:t xml:space="preserve">Elements of the UK National Curriculum’s key stage 3 science were covered in these examples, </w:t>
      </w:r>
      <w:r w:rsidR="002A01BE">
        <w:t>but the m</w:t>
      </w:r>
      <w:r>
        <w:t>ethod of ‘drawing analogies’ can theoretically be applied in any subject.</w:t>
      </w:r>
    </w:p>
    <w:p w:rsidR="00CD554F" w:rsidRDefault="00F53056" w:rsidP="002A01BE">
      <w:pPr>
        <w:pStyle w:val="Heading2"/>
        <w:spacing w:line="360" w:lineRule="auto"/>
      </w:pPr>
      <w:r>
        <w:t>Keywords</w:t>
      </w:r>
    </w:p>
    <w:p w:rsidR="00F53056" w:rsidRDefault="00CD554F" w:rsidP="002A01BE">
      <w:pPr>
        <w:spacing w:line="360" w:lineRule="auto"/>
      </w:pPr>
      <w:proofErr w:type="gramStart"/>
      <w:r>
        <w:t>meta-learning</w:t>
      </w:r>
      <w:proofErr w:type="gramEnd"/>
      <w:r>
        <w:t>, analogical reasoning, key stage 3, transfer, drawing</w:t>
      </w:r>
    </w:p>
    <w:p w:rsidR="00F53056" w:rsidRDefault="00F53056" w:rsidP="002A01BE">
      <w:pPr>
        <w:pStyle w:val="Heading2"/>
        <w:spacing w:line="360" w:lineRule="auto"/>
      </w:pPr>
      <w:r>
        <w:t>Introduction</w:t>
      </w:r>
    </w:p>
    <w:p w:rsidR="00CD554F" w:rsidRDefault="00CD554F" w:rsidP="002A01BE">
      <w:pPr>
        <w:spacing w:line="360" w:lineRule="auto"/>
      </w:pPr>
      <w:r>
        <w:t>Art education traditionally nurtures a broad set of thinking skills. To look closely at the world is the first step. To interpret ambiguous representations is another. The ability to ‘draw’ novel connections between superficially unrelated things is also recognised as an important asset, enabling us to conceptualise and to visualise the invisible.</w:t>
      </w:r>
    </w:p>
    <w:p w:rsidR="00CD554F" w:rsidRDefault="00CD554F" w:rsidP="002A01BE">
      <w:pPr>
        <w:spacing w:line="360" w:lineRule="auto"/>
      </w:pPr>
      <w:r>
        <w:t>These skills are valuable not only to budding artists, but also to individuals capable of independently managing their own learning, and are often facilitated through visua</w:t>
      </w:r>
      <w:bookmarkStart w:id="0" w:name="_GoBack"/>
      <w:bookmarkEnd w:id="0"/>
      <w:r>
        <w:t>l and spatial tasks that invite divergent outcomes. In art education, there is often no ‘right answer’, and it is in this learning context that creativity and independent thought are cultivated. Drawing is a good medium for such exploration, by virtue of its immediacy and its capacity to allow for ambiguity. However, artists are not the only practitioners who make use of drawing. Engagement with drawing can facilitate learning beyond the art classroom by enabling creative and open-ended responses.</w:t>
      </w:r>
    </w:p>
    <w:p w:rsidR="00CD554F" w:rsidRDefault="00CD554F" w:rsidP="002A01BE">
      <w:pPr>
        <w:spacing w:line="360" w:lineRule="auto"/>
      </w:pPr>
      <w:r>
        <w:t xml:space="preserve">Disciplines that are not arts-based are increasingly likely to recognise the importance of thinking skills promoted through art and design based activity. The World Economic Forum predicts the top three skills needed across sectors in 2020 to be ‘complex problem solving’, ‘critical thinking’ and ‘creativity’ (World Economic Forum 2016). There is a growing movement to include drawing and ‘design thinking’ skills across the curriculum. Many such initiatives are happening internationally, developed by researchers like Ridley &amp; Rogers (2010), van der Veen (2012), </w:t>
      </w:r>
      <w:proofErr w:type="spellStart"/>
      <w:r>
        <w:t>Barbot</w:t>
      </w:r>
      <w:proofErr w:type="spellEnd"/>
      <w:r>
        <w:t xml:space="preserve"> et al. (2013), </w:t>
      </w:r>
      <w:proofErr w:type="spellStart"/>
      <w:r>
        <w:t>Hetland</w:t>
      </w:r>
      <w:proofErr w:type="spellEnd"/>
      <w:r>
        <w:t xml:space="preserve"> (2013), Goldsmith et al. (2014), Koester (2015) and many others. For a critical view on </w:t>
      </w:r>
      <w:r>
        <w:lastRenderedPageBreak/>
        <w:t xml:space="preserve">developments in this field, see Bastos &amp; Zimmerman (2015), Winner &amp; </w:t>
      </w:r>
      <w:proofErr w:type="spellStart"/>
      <w:r>
        <w:t>Hetland</w:t>
      </w:r>
      <w:proofErr w:type="spellEnd"/>
      <w:r>
        <w:t xml:space="preserve"> (2003), </w:t>
      </w:r>
      <w:proofErr w:type="spellStart"/>
      <w:proofErr w:type="gramStart"/>
      <w:r>
        <w:t>Hetland</w:t>
      </w:r>
      <w:proofErr w:type="spellEnd"/>
      <w:proofErr w:type="gramEnd"/>
      <w:r>
        <w:t xml:space="preserve"> &amp; Winner (2004).</w:t>
      </w:r>
    </w:p>
    <w:p w:rsidR="00CD554F" w:rsidRDefault="00CD554F" w:rsidP="002A01BE">
      <w:pPr>
        <w:spacing w:line="360" w:lineRule="auto"/>
      </w:pPr>
      <w:r>
        <w:t xml:space="preserve">Art educators have long been aware of the potential benefits of sharing their pedagogies, but are faced with obstacles such as discrete subject assessment strategies which are not conducive to </w:t>
      </w:r>
      <w:proofErr w:type="spellStart"/>
      <w:r>
        <w:t>interdisciplinarity</w:t>
      </w:r>
      <w:proofErr w:type="spellEnd"/>
      <w:r>
        <w:t>. In terms of sharing methods, the arts speak a different language to fields such as science, technology, engineering and maths (STEM subjects). From an outside perspective, art and design pedagogies that develop exploratory approaches through drawing can appear vague, but this is precisely because they allow for divergent, non-verbal, lateral and analogical thinking.</w:t>
      </w:r>
    </w:p>
    <w:p w:rsidR="00CD554F" w:rsidRDefault="00CD554F" w:rsidP="002A01BE">
      <w:pPr>
        <w:spacing w:line="360" w:lineRule="auto"/>
      </w:pPr>
      <w:r>
        <w:t>Over the past decades, cognitive psychology has greatly advanced understanding of the thought processes involved in drawing. I argue that this has effectively opened a door for potential collaboration between educators across disciplines, by allowing the so-called poetic mind of the artist to be penetrated by the apparently rational lens of empirical study and scientific terminology, therefore shedding light on the additional value brought by arts-based learning.</w:t>
      </w:r>
    </w:p>
    <w:p w:rsidR="00CD554F" w:rsidRDefault="00CD554F" w:rsidP="002A01BE">
      <w:pPr>
        <w:spacing w:line="360" w:lineRule="auto"/>
      </w:pPr>
      <w:r>
        <w:t>Much recent work to apply cognitive principles to education has focused on the design of digital and multimedia learning resources, seeking to optimise the speed and efficiency of learning. This project differs in that it relies mainly on analogue methods with an emphasis on developing learning skills through image making, rather than designing learning resources.</w:t>
      </w:r>
    </w:p>
    <w:p w:rsidR="00F53056" w:rsidRDefault="00CD554F" w:rsidP="002A01BE">
      <w:pPr>
        <w:spacing w:line="360" w:lineRule="auto"/>
      </w:pPr>
      <w:r>
        <w:t>This article describes five workshops that were part of an intervention seeking to employ drawing tasks to promote analogical reasoning as a ‘meta-learning skill’: a learning strategy that can be applied in many contexts once it is recognised. The workshops have been offered in various forms, each time refined with participant feedback. This article refers to versions adapted for UK key stage 3 students (15 to 16 years old) as part of an extracurricular enrichment programme. They were evaluated by peer-observation from three teachers who were familiar with these students, and by the pupils themselves through verbal and written feedback.</w:t>
      </w:r>
    </w:p>
    <w:p w:rsidR="00F53056" w:rsidRPr="00F53056" w:rsidRDefault="00F53056" w:rsidP="002A01BE">
      <w:pPr>
        <w:pStyle w:val="Heading2"/>
        <w:spacing w:line="360" w:lineRule="auto"/>
      </w:pPr>
      <w:r w:rsidRPr="00F53056">
        <w:t>All knowledge is derived from direct experience and observation</w:t>
      </w:r>
    </w:p>
    <w:p w:rsidR="00F53056" w:rsidRDefault="00F53056" w:rsidP="002A01BE">
      <w:pPr>
        <w:spacing w:line="360" w:lineRule="auto"/>
      </w:pPr>
      <w:r>
        <w:t>Scientific knowledge is derived mainly, if not entirely, from observation, either using the naked eye or with instruments. Much of our knowledge comes from secondary sources, but this still ultimately derives from observation and must be corroborated by experience to be meaningful. The same is true of personal knowledge. Our neural pathways are established and reinforced through perception and experience. We now know that the same neural pathways are recruited when we recall something as were stimulated when we first saw it. Remembering and imagining are both acts of reconstructing and recombining past experiences (</w:t>
      </w:r>
      <w:proofErr w:type="spellStart"/>
      <w:r>
        <w:t>Schacter</w:t>
      </w:r>
      <w:proofErr w:type="spellEnd"/>
      <w:r>
        <w:t xml:space="preserve"> &amp; Addis 2007). Our experiences and </w:t>
      </w:r>
      <w:r>
        <w:lastRenderedPageBreak/>
        <w:t>observations form the foundations of our understanding and our creativity. Primary observation is therefore an important foundation for learning, especially in our younger years.</w:t>
      </w:r>
    </w:p>
    <w:p w:rsidR="00F53056" w:rsidRDefault="00F53056" w:rsidP="002A01BE">
      <w:pPr>
        <w:spacing w:line="360" w:lineRule="auto"/>
      </w:pPr>
      <w:r>
        <w:t>For the same reasons, how we construe meaning is also strongly influenced by the sum of our past experiences – they become the context in which we ‘read’ the world and, indeed, how we read secondary sources. This is beautifully illustrated by Herbert Read in the autobiography of his early years (1933), in which he describes his childhood home becoming the imaginary setting of the novels he read as an adult.</w:t>
      </w:r>
    </w:p>
    <w:p w:rsidR="00F53056" w:rsidRDefault="00F53056" w:rsidP="002A01BE">
      <w:pPr>
        <w:spacing w:line="360" w:lineRule="auto"/>
      </w:pPr>
      <w:r>
        <w:t>To set a foundation in direct perception, the programme began with observational drawing tasks, inviting students to learn what they could from natural objects alone. I presented the group with a collection of things to draw: crystals, corals, shells, mushrooms, leaves, bones and birds’ nests. The first task is to ‘imagine yourself as an explorer’, encountering the objects for the first time but unable to bring them home. What can you ascertain about the origin and nature of the objects simply by looking closely, with the naked eye or through a microscope? Which features allow those insights? Which of these could be recorded visually, and which required a written label?</w:t>
      </w:r>
    </w:p>
    <w:p w:rsidR="001D4BF3" w:rsidRDefault="00F53056" w:rsidP="002A01BE">
      <w:pPr>
        <w:spacing w:line="360" w:lineRule="auto"/>
      </w:pPr>
      <w:r>
        <w:t xml:space="preserve">This method is not intended to produce better drawings, but to encourage visual inquiry. When presented with such a task, it becomes clear that perception is not a neutral process. We are not impartial observers; we exercise choice in what we look for and how we filter what we see. Vision is a modular process, actually comprising many separable elements. Our brains ‘see’ the same thing many times over at varying levels of abstraction, and are able to exercise some control over which of these levels we consciously ‘tune in’ to (see Farah 2000; Farah &amp; Ratcliff 2013; </w:t>
      </w:r>
      <w:proofErr w:type="spellStart"/>
      <w:r>
        <w:t>Rensink</w:t>
      </w:r>
      <w:proofErr w:type="spellEnd"/>
      <w:r>
        <w:t xml:space="preserve"> 2007 for a comprehensive review of cognitive and neurological perspectives). We see colour, texture and form before recognising an object and construing meaning, but we cannot draw all these things at once, and must select the features relevant to our inquiry. When we consider this, it becomes clear that it is not only what we look at that is important, but also how we look at it. What about the object are we drawing? Drawing with a question in mind can guide purposeful focus: exercising selective attention with effort in order to gain knowledge.</w:t>
      </w:r>
    </w:p>
    <w:p w:rsidR="001D4BF3" w:rsidRDefault="001D4BF3" w:rsidP="002A01BE">
      <w:pPr>
        <w:pStyle w:val="Heading2"/>
        <w:spacing w:line="360" w:lineRule="auto"/>
      </w:pPr>
      <w:r w:rsidRPr="001D4BF3">
        <w:t>Analogy is the core of cognition, because we are embodied</w:t>
      </w:r>
    </w:p>
    <w:p w:rsidR="001D4BF3" w:rsidRDefault="001D4BF3" w:rsidP="002A01BE">
      <w:pPr>
        <w:spacing w:line="360" w:lineRule="auto"/>
      </w:pPr>
      <w:r>
        <w:t xml:space="preserve">Douglas Hofstadter (2001) famously wrote that analogy is ‘the core of cognition’; analogy being the likening of one thing to another. This is now also understood to be due to shared use of neural pathways. This means that not only are all new experiences understood in relation to prior ones, all abstract concepts are understood only in relation to concrete experiences. For example, the neural networks we establish for understanding physical laws and the properties of materials are later </w:t>
      </w:r>
      <w:r>
        <w:lastRenderedPageBreak/>
        <w:t>recruited in predicting causality and even in understanding human agency (</w:t>
      </w:r>
      <w:proofErr w:type="spellStart"/>
      <w:r>
        <w:t>Goswami</w:t>
      </w:r>
      <w:proofErr w:type="spellEnd"/>
      <w:r>
        <w:t xml:space="preserve"> 2001). This is the cognitive root of metaphor. There is now a growing field of cognitive linguistics that offers valuable insights into how our sensory experience creates the ground for abstract cognition (see </w:t>
      </w:r>
      <w:proofErr w:type="spellStart"/>
      <w:r>
        <w:t>Lakoff</w:t>
      </w:r>
      <w:proofErr w:type="spellEnd"/>
      <w:r>
        <w:t xml:space="preserve"> &amp; Johnson 1980, 2008).</w:t>
      </w:r>
    </w:p>
    <w:p w:rsidR="001D4BF3" w:rsidRDefault="001D4BF3" w:rsidP="002A01BE">
      <w:pPr>
        <w:spacing w:line="360" w:lineRule="auto"/>
      </w:pPr>
      <w:r>
        <w:t>The second part of the observational workshop seeks to elicit analogies. The second question regarding the drawn objects is: ‘What else is your object like?’ Students are asked to make notes of anything their object reminds them of while they draw. They are then introduced to the distinction between surface and deep analogies, that is, the extent to which their analogies are concerned with superficial, visible similarities, or with the processes that gave rise to the form, the way in which they have grown and adapted to their environment. Figure 1 shows a student’s drawing relating to this activity with notes.</w:t>
      </w:r>
    </w:p>
    <w:p w:rsidR="001D4BF3" w:rsidRDefault="001D4BF3" w:rsidP="002A01BE">
      <w:pPr>
        <w:spacing w:line="360" w:lineRule="auto"/>
      </w:pPr>
      <w:r>
        <w:t xml:space="preserve">When presented with physical objects to draw, students found surface analogies easily. Some were obvious immediately, while others were more subtle and came about after more drawing. Presentation of </w:t>
      </w:r>
      <w:proofErr w:type="spellStart"/>
      <w:r>
        <w:t>timelapse</w:t>
      </w:r>
      <w:proofErr w:type="spellEnd"/>
      <w:r>
        <w:t xml:space="preserve"> footage of some of the growth patterns of similar objects inspired deeper analogies and, after sharing many suggestions among the group, students were able to generate and distinguish between deep and surface analogies. They recognised that static representations were conducive to surface analogies, while understanding of process, structure and movement allowed deeper analogies. This created opportunity for discussion about figurative language – simile, metaphor and personification – as covered in the GCSE English syllabus.</w:t>
      </w:r>
    </w:p>
    <w:p w:rsidR="00E01355" w:rsidRDefault="001D4BF3" w:rsidP="002A01BE">
      <w:pPr>
        <w:spacing w:line="360" w:lineRule="auto"/>
      </w:pPr>
      <w:r w:rsidRPr="001D4BF3">
        <w:rPr>
          <w:noProof/>
          <w:lang w:eastAsia="en-GB"/>
        </w:rPr>
        <w:drawing>
          <wp:inline distT="0" distB="0" distL="0" distR="0">
            <wp:extent cx="3803788" cy="2838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6492" cy="2840468"/>
                    </a:xfrm>
                    <a:prstGeom prst="rect">
                      <a:avLst/>
                    </a:prstGeom>
                    <a:noFill/>
                    <a:ln>
                      <a:noFill/>
                    </a:ln>
                  </pic:spPr>
                </pic:pic>
              </a:graphicData>
            </a:graphic>
          </wp:inline>
        </w:drawing>
      </w:r>
      <w:r w:rsidR="002A01BE">
        <w:br/>
      </w:r>
      <w:r w:rsidRPr="002A01BE">
        <w:rPr>
          <w:rStyle w:val="Heading4Char"/>
        </w:rPr>
        <w:t>Figure 1. Student drawing showing different corals and initial notes on ‘what else they are like’</w:t>
      </w:r>
    </w:p>
    <w:p w:rsidR="00E01355" w:rsidRDefault="00E01355" w:rsidP="002A01BE">
      <w:pPr>
        <w:pStyle w:val="Heading2"/>
        <w:spacing w:line="360" w:lineRule="auto"/>
      </w:pPr>
      <w:r w:rsidRPr="00E01355">
        <w:lastRenderedPageBreak/>
        <w:t>Analogical transfer is a skill in its own right</w:t>
      </w:r>
    </w:p>
    <w:p w:rsidR="00E01355" w:rsidRDefault="00E01355" w:rsidP="002A01BE">
      <w:pPr>
        <w:spacing w:line="360" w:lineRule="auto"/>
      </w:pPr>
      <w:r>
        <w:t xml:space="preserve">Analogy is often used as an explanatory device, but learning to construct analogies or, indeed, to transfer classroom learning to life outside school, is another matter. Generalising learned principles and applying them in novel situations is a crucial cognitive ability, and this can be developed through observation and reflection. </w:t>
      </w:r>
      <w:proofErr w:type="spellStart"/>
      <w:r>
        <w:t>Wilensky</w:t>
      </w:r>
      <w:proofErr w:type="spellEnd"/>
      <w:r>
        <w:t xml:space="preserve"> &amp; Resnick (1999) and Goldstone &amp; </w:t>
      </w:r>
      <w:proofErr w:type="spellStart"/>
      <w:r>
        <w:t>Wilensky</w:t>
      </w:r>
      <w:proofErr w:type="spellEnd"/>
      <w:r>
        <w:t xml:space="preserve"> (2008) have presented key ideas regarding how to foster analogical transfer. They explain the importance of an understanding of systems thinking and levels of complexity to our ability to make analogical leaps sideways. In particular, how the behaviour of individual agents gives rise to patterns within larger systems. They outline a few main types of system that can be generalised to a very wide range of phenomena. They argue that an understanding of these systems can provide a broad foundation for analogical reasoning. These include positive feedback and autocatalysis; negative feedback, lateral inhibition and oscillating populations; path formation and simulated annealing; diffusion limited aggregation; and competitive specialisation (Goldstone &amp; </w:t>
      </w:r>
      <w:proofErr w:type="spellStart"/>
      <w:r>
        <w:t>Wilensky</w:t>
      </w:r>
      <w:proofErr w:type="spellEnd"/>
      <w:r>
        <w:t xml:space="preserve"> 2008, 473).</w:t>
      </w:r>
    </w:p>
    <w:p w:rsidR="00E01355" w:rsidRDefault="00E01355" w:rsidP="002A01BE">
      <w:pPr>
        <w:spacing w:line="360" w:lineRule="auto"/>
      </w:pPr>
      <w:r>
        <w:t>Examples of each of these systems can be observed in the objects we drew. The students’ drawings provide a talking point to inspire connections and analogies. I prepared simple diagrams explaining each system principle, and challenged students to recognise them in their objects, and then to suggest further analogies. For example, as a snail grows, it is generally able to eat more and grow faster (positive feedback). The way in which it forms new layers of shell – each larger than the last in equal proportion – creates its spiral forms. Similarly, ‘autocatalysis’ can be seen in chemical reactions like rust, in which the oxide (rust) acts as a catalyst for further oxidation (more rust). Mushrooms grow in a similarly accelerating fashion, growing more quickly the larger they are, but reaching a point of collapse on maturity. By their nature, autocatalytic reactions are rarely sustainable.</w:t>
      </w:r>
    </w:p>
    <w:p w:rsidR="00E01355" w:rsidRDefault="00E01355" w:rsidP="002A01BE">
      <w:pPr>
        <w:spacing w:line="360" w:lineRule="auto"/>
      </w:pPr>
      <w:r>
        <w:t>The form of the Nautilus shell obeys the geometry of a Fibonacci spiral, while the other shells vary in</w:t>
      </w:r>
    </w:p>
    <w:p w:rsidR="00E01355" w:rsidRDefault="00E01355" w:rsidP="002A01BE">
      <w:pPr>
        <w:spacing w:line="360" w:lineRule="auto"/>
      </w:pPr>
      <w:proofErr w:type="gramStart"/>
      <w:r>
        <w:t>angle</w:t>
      </w:r>
      <w:proofErr w:type="gramEnd"/>
      <w:r>
        <w:t xml:space="preserve"> and proportion. The patterning on the shells are examples of oscillation. That is, the genes giving rise to pigment turn themselves on and off as the shell grows. In the shells, this is due to a timed genetic ‘switch’, but similar patterns can be observed in many phenomena with lateral inhibition, a form of negative feedback. For example, </w:t>
      </w:r>
      <w:proofErr w:type="spellStart"/>
      <w:r>
        <w:t>Belousov</w:t>
      </w:r>
      <w:proofErr w:type="spellEnd"/>
      <w:r>
        <w:t xml:space="preserve"> </w:t>
      </w:r>
      <w:proofErr w:type="spellStart"/>
      <w:r>
        <w:t>Zhabotinsky</w:t>
      </w:r>
      <w:proofErr w:type="spellEnd"/>
      <w:r>
        <w:t xml:space="preserve"> chemical reactions, in which the product of the reaction inhibits the reaction itself, give rise to striped patterns of concentric spirals and circles. Alan Turing’s sketchbooks, which can be found online (Alan Turing Digital Archive 2017), include wonderful hand-drawn examples of similar pattern variations resulting from morphogenesis.</w:t>
      </w:r>
    </w:p>
    <w:p w:rsidR="00E01355" w:rsidRDefault="00E01355" w:rsidP="002A01BE">
      <w:pPr>
        <w:spacing w:line="360" w:lineRule="auto"/>
      </w:pPr>
      <w:r>
        <w:lastRenderedPageBreak/>
        <w:t>Other objects in our collection demonstrate other systems, once their growth is understood: path formation in leaf veins; diffusion limited aggregation in crystals and corals; competitive specialisation in animal forms (e.g., comparing equivalent bones in different animals). Darwin’s drawings of Galapagos finches (BBC 2014; originally published by Darwin 1845) provide a clear example of competitive specialisation – different beak shapes had adapted to specialise in different food sources, allowing the finches to prosper alongside one another.</w:t>
      </w:r>
    </w:p>
    <w:p w:rsidR="00E01355" w:rsidRDefault="00E01355" w:rsidP="002A01BE">
      <w:pPr>
        <w:spacing w:line="360" w:lineRule="auto"/>
      </w:pPr>
      <w:r>
        <w:t xml:space="preserve">Each of these patterns resulted from systems of behaviour of many individual agents, be they chemical agents or animals, within environments. Environmental variables give rise to individual differences in shape and form and, over time, also shape species through evolution. The objects we studied provided real-world examples of these systems. In addition to Goldstone &amp; </w:t>
      </w:r>
      <w:proofErr w:type="spellStart"/>
      <w:r>
        <w:t>Wilensky’s</w:t>
      </w:r>
      <w:proofErr w:type="spellEnd"/>
      <w:r>
        <w:t xml:space="preserve"> suggestions, I added another type of system, niche construction, represented by the nests. In these examples, it is the agent who modifies the environment in order to flourish, rather than adapting themselves to that environment. This addition represented a further, more </w:t>
      </w:r>
      <w:proofErr w:type="spellStart"/>
      <w:r>
        <w:t>complex</w:t>
      </w:r>
      <w:proofErr w:type="gramStart"/>
      <w:r>
        <w:t>,type</w:t>
      </w:r>
      <w:proofErr w:type="spellEnd"/>
      <w:proofErr w:type="gramEnd"/>
      <w:r>
        <w:t xml:space="preserve"> of dynamic system to be understood.</w:t>
      </w:r>
    </w:p>
    <w:p w:rsidR="00E01355" w:rsidRDefault="00E01355" w:rsidP="002A01BE">
      <w:pPr>
        <w:spacing w:line="360" w:lineRule="auto"/>
      </w:pPr>
      <w:r>
        <w:t>At this point, a number of complex concepts had been introduced. I found that the drawing tasks provided a buffer, quiet time in which the students could absorb concepts while contemplating objects that embody them. With the group around a single table, drawing together quietly provided a calm atmosphere of shared concentration which, managed appropriately for the group, offered a good atmosphere for discussion. Periods of silence can feel natural if students are engrossed in their drawings, allowing conversation to flow more slowly, giving rise to more considered responses. Here, I used this time to invite more suggestions of analogies.</w:t>
      </w:r>
    </w:p>
    <w:p w:rsidR="00E01355" w:rsidRDefault="00E01355" w:rsidP="002A01BE">
      <w:pPr>
        <w:spacing w:line="360" w:lineRule="auto"/>
      </w:pPr>
      <w:r>
        <w:t>Regarding positive and negative feedback, one student likened these processes to their school experience. She described how a negative comment had sent a classmate ‘spiralling’ downwards, to the detriment of her achievement, and how the opposite had happened in a different subject. Another student noted that this can also happen internally when her own motivation was reinforced by how well she felt she was doing. However, it was noted that matters are not so simple when it comes to academic feedback. Too much praise from the same tutor can become meaningless; very little can lead to any praise at all being prized. The importance of self-evaluation and personal goals became apparent through the conversation.</w:t>
      </w:r>
    </w:p>
    <w:p w:rsidR="002A5AA2" w:rsidRDefault="00E01355" w:rsidP="002A01BE">
      <w:pPr>
        <w:spacing w:line="360" w:lineRule="auto"/>
        <w:rPr>
          <w:rFonts w:eastAsiaTheme="majorEastAsia" w:cstheme="majorBidi"/>
          <w:bCs/>
          <w:color w:val="4F81BD" w:themeColor="accent1"/>
        </w:rPr>
      </w:pPr>
      <w:r>
        <w:t xml:space="preserve">A student volunteered a further reflection based on beginning a new school, mid-term. Corals form colonies through a process of diffusion-limited aggregation, as do crystals. Individual (animals or molecules) float in liquid or gas until they find an appropriate niche to attach to. Other pupils had </w:t>
      </w:r>
      <w:r>
        <w:lastRenderedPageBreak/>
        <w:t>already formed strong friendship groups, and the student described feeling like a lone coral polyp swimming in a vast ocean. However, once she found a likeminded group, they became firm friends. The school was likened to a coral colony, with friendship groups as different, related branches. Another student likened the school to the nest. She recognised how it was engineered to protect and nurture them during their formative years, until they are ready to take flight.</w:t>
      </w:r>
    </w:p>
    <w:p w:rsidR="00034415" w:rsidRPr="00A76FA3" w:rsidRDefault="002A5AA2" w:rsidP="002A01BE">
      <w:pPr>
        <w:pStyle w:val="Heading2"/>
        <w:spacing w:line="360" w:lineRule="auto"/>
      </w:pPr>
      <w:r w:rsidRPr="002A5AA2">
        <w:t>Thinking is vague, drawing helps clarify because it allows for ambiguity</w:t>
      </w:r>
    </w:p>
    <w:p w:rsidR="002A5AA2" w:rsidRDefault="002A5AA2" w:rsidP="002A01BE">
      <w:pPr>
        <w:spacing w:line="360" w:lineRule="auto"/>
      </w:pPr>
      <w:r>
        <w:t xml:space="preserve">The ideas we hold are often not fully formed. There are degrees of resolution. Vinod </w:t>
      </w:r>
      <w:proofErr w:type="spellStart"/>
      <w:r>
        <w:t>Goel</w:t>
      </w:r>
      <w:proofErr w:type="spellEnd"/>
      <w:r>
        <w:t xml:space="preserve"> (1995), explains that many of our thought processes are indeterminate, vague and probabilistic. He debunks computational models of the brain (which were, for a time, the dominant paradigm), explaining that our minds do not function like computers. There is no binary language or rigid distinctions. Our thoughts are fluid and amorphous, often falling beyond the realm of what can be articulated propositionally. In order to consider the ambiguous, we recruit symbol systems of various kinds, which allow for indeterminacy and doubt, while we engage in clarifying our thoughts. Designers are particularly skilled at this, using drawing as a tool for externalising the process of clarifying and crystallising vague ideas. Investigating this phenomenon, </w:t>
      </w:r>
      <w:proofErr w:type="spellStart"/>
      <w:r>
        <w:t>Suwa</w:t>
      </w:r>
      <w:proofErr w:type="spellEnd"/>
      <w:r>
        <w:t xml:space="preserve"> &amp; </w:t>
      </w:r>
      <w:proofErr w:type="spellStart"/>
      <w:r>
        <w:t>Tversky’s</w:t>
      </w:r>
      <w:proofErr w:type="spellEnd"/>
      <w:r>
        <w:t xml:space="preserve"> (2003) studies of designers led them to formulate the notion of ‘constructive perception’: a process whereby the drawer creates an ambiguous image, and then re-construes, and redraws it, regrouping and reinterpreting elements iteratively, exploring the space of possibilities around a given problem or idea.</w:t>
      </w:r>
    </w:p>
    <w:p w:rsidR="002A01BE" w:rsidRDefault="002A5AA2" w:rsidP="002A01BE">
      <w:pPr>
        <w:spacing w:line="360" w:lineRule="auto"/>
      </w:pPr>
      <w:proofErr w:type="spellStart"/>
      <w:r>
        <w:t>Kavakli</w:t>
      </w:r>
      <w:proofErr w:type="spellEnd"/>
      <w:r>
        <w:t xml:space="preserve"> et al. (1999) observed that expert designers tend to revise and manipulate their drawings, preserving ambiguity for longer than novices, to make use of it. </w:t>
      </w:r>
      <w:proofErr w:type="spellStart"/>
      <w:r>
        <w:t>Kantrowitz</w:t>
      </w:r>
      <w:proofErr w:type="spellEnd"/>
      <w:r>
        <w:t xml:space="preserve"> (2012) likewise observed a similar pattern in artists who draw using improvisation. They knowingly make use of ambiguity and prolong this phase of the drawing, sometimes even deliberately introducing randomness in order to create new possibilities. These ideas led to the development of a workshop called ‘doodle rescue’ where students are encouraged to embrace ambiguity, and to recognise when they are doing so, remaining open to alternatives by freeing themselves from attachment to outcomes. The process is improvisational, and takes students through an iterative process of randomisation and revision. The game involves a series of instructions, between each of which students switch paper with each other. It begins with the instruction to create a neutral ground with charcoal (or a random line if using other media). The next instruction is to create randomness. The third is to create something recognisable then, ‘mess it up’, and then ‘rescue’ and again ‘mess it up’ and so on until the group feel it is time to begin a fresh round. Each destruction should take only a few seconds, and each rescuing a few minutes, with longer allowed for final rescuing phases. Other instructions can also be </w:t>
      </w:r>
    </w:p>
    <w:p w:rsidR="002A01BE" w:rsidRDefault="002A01BE" w:rsidP="002A01BE">
      <w:pPr>
        <w:spacing w:line="360" w:lineRule="auto"/>
      </w:pPr>
      <w:r w:rsidRPr="002A01BE">
        <w:rPr>
          <w:noProof/>
          <w:lang w:eastAsia="en-GB"/>
        </w:rPr>
        <w:lastRenderedPageBreak/>
        <w:drawing>
          <wp:inline distT="0" distB="0" distL="0" distR="0">
            <wp:extent cx="4110134" cy="30670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2748" cy="3069001"/>
                    </a:xfrm>
                    <a:prstGeom prst="rect">
                      <a:avLst/>
                    </a:prstGeom>
                    <a:noFill/>
                    <a:ln>
                      <a:noFill/>
                    </a:ln>
                  </pic:spPr>
                </pic:pic>
              </a:graphicData>
            </a:graphic>
          </wp:inline>
        </w:drawing>
      </w:r>
    </w:p>
    <w:p w:rsidR="002A01BE" w:rsidRDefault="002A01BE" w:rsidP="002A01BE">
      <w:pPr>
        <w:pStyle w:val="Heading4"/>
      </w:pPr>
      <w:r w:rsidRPr="002A01BE">
        <w:t>Figure 2. Results of the Doodle Rescue workshop, using coloured chalk</w:t>
      </w:r>
    </w:p>
    <w:p w:rsidR="002A01BE" w:rsidRDefault="002A01BE" w:rsidP="002A01BE">
      <w:pPr>
        <w:spacing w:line="360" w:lineRule="auto"/>
      </w:pPr>
    </w:p>
    <w:p w:rsidR="002A5AA2" w:rsidRDefault="002A5AA2" w:rsidP="002A01BE">
      <w:pPr>
        <w:spacing w:line="360" w:lineRule="auto"/>
      </w:pPr>
      <w:proofErr w:type="gramStart"/>
      <w:r>
        <w:t>introduced</w:t>
      </w:r>
      <w:proofErr w:type="gramEnd"/>
      <w:r>
        <w:t>, concerning the mood, feel or theme of the drawing. Figure 2 shows a collection of drawings made through this process. The longer ‘rescuing’ phases can include discussion to encourage reflection: ‘How does it feel to destroy someone else’s drawing?’, ‘How does it feel to make a drawing you know will not last long?’, ‘How does it feel to lose ownership of your drawing?’ and ‘Which phase do you prefer?</w:t>
      </w:r>
      <w:proofErr w:type="gramStart"/>
      <w:r>
        <w:t>’.</w:t>
      </w:r>
      <w:proofErr w:type="gramEnd"/>
      <w:r>
        <w:t xml:space="preserve"> Questions like these can invite meta-cognition and reflection on the emotional underpinning of creative acts. Usually, there will be different personalities in the group: some enjoy the destruction, while others are natural rescuers; some will draw flippantly, others will pay attention to detail despite the impending destruction. A few occasionally struggle to concede ownership of the drawing most recently worked on, or do not want to destroy the work of others. Most commonly, participants reported feeling liberated by the loss of authorship.</w:t>
      </w:r>
    </w:p>
    <w:p w:rsidR="002A5AA2" w:rsidRDefault="002A5AA2" w:rsidP="002A01BE">
      <w:pPr>
        <w:spacing w:line="360" w:lineRule="auto"/>
      </w:pPr>
      <w:r>
        <w:t>Finally, in keeping with other workshops, the question ‘What else is this process like?’ can be posed, to reinforce the habit of seeking analogies. Responses to this question always differ widely between groups, some focusing on the comparison between this process and solitary modes of drawing and painting, in which these roles and emotions are played out alone. Other groups have turned to life experiences, sharing personal stories about how they have rescued or transformed unfortunate circumstances for which they were not responsible. When played as separate groups, some have noted that each group develops its own style or themes after several iterations, like miniature stylistic movements.</w:t>
      </w:r>
    </w:p>
    <w:p w:rsidR="002A5AA2" w:rsidRDefault="002A5AA2" w:rsidP="002A01BE">
      <w:pPr>
        <w:spacing w:line="360" w:lineRule="auto"/>
      </w:pPr>
      <w:r>
        <w:lastRenderedPageBreak/>
        <w:t>Recent studies have confirmed something artists who draw have long known: if you draw something, you are more likely to remember it (</w:t>
      </w:r>
      <w:proofErr w:type="spellStart"/>
      <w:r>
        <w:t>Wammes</w:t>
      </w:r>
      <w:proofErr w:type="spellEnd"/>
      <w:r>
        <w:t xml:space="preserve"> et al. 2016). This is not necessarily due to drawing’s visual nature, more to the fact that in order to draw something you must process it more deeply: considering parts in relation to the whole; extracting relevant features; comparing and evaluating likeness. We must also transpose between modalities, encoding the seen into </w:t>
      </w:r>
      <w:proofErr w:type="spellStart"/>
      <w:r>
        <w:t>visuo</w:t>
      </w:r>
      <w:proofErr w:type="spellEnd"/>
      <w:r>
        <w:t xml:space="preserve">-spatial coordinates and movements, with visual and tactile feedback. We see, we draw, we compare what we have seen and what we have drawn, we revise. This process constitutes an important perceptual ability, which Aaron </w:t>
      </w:r>
      <w:proofErr w:type="spellStart"/>
      <w:r>
        <w:t>Kozbelt</w:t>
      </w:r>
      <w:proofErr w:type="spellEnd"/>
      <w:r>
        <w:t xml:space="preserve"> demonstrates is stronger in artists (who draw) than non-artists (</w:t>
      </w:r>
      <w:proofErr w:type="spellStart"/>
      <w:r>
        <w:t>Kozbelt</w:t>
      </w:r>
      <w:proofErr w:type="spellEnd"/>
      <w:r>
        <w:t xml:space="preserve"> 2001; </w:t>
      </w:r>
      <w:proofErr w:type="spellStart"/>
      <w:r>
        <w:t>Kozbelt</w:t>
      </w:r>
      <w:proofErr w:type="spellEnd"/>
      <w:r>
        <w:t xml:space="preserve"> &amp; Seeley 2007; </w:t>
      </w:r>
      <w:proofErr w:type="spellStart"/>
      <w:r>
        <w:t>Kozbelt</w:t>
      </w:r>
      <w:proofErr w:type="spellEnd"/>
      <w:r>
        <w:t xml:space="preserve"> et al. 2010), and this is likely to be transferable to other domains (</w:t>
      </w:r>
      <w:proofErr w:type="spellStart"/>
      <w:r>
        <w:t>Angelone</w:t>
      </w:r>
      <w:proofErr w:type="spellEnd"/>
      <w:r>
        <w:t xml:space="preserve"> et al. 2016).</w:t>
      </w:r>
    </w:p>
    <w:p w:rsidR="002A5AA2" w:rsidRDefault="002A5AA2" w:rsidP="002A01BE">
      <w:pPr>
        <w:spacing w:line="360" w:lineRule="auto"/>
      </w:pPr>
      <w:r>
        <w:t xml:space="preserve">In the case of drawn responses to verbal cues, the translation required is even more involved. We must make decisions about how to represent and combine elements with no external visual clues. </w:t>
      </w:r>
      <w:proofErr w:type="spellStart"/>
      <w:r>
        <w:t>Bobek</w:t>
      </w:r>
      <w:proofErr w:type="spellEnd"/>
      <w:r>
        <w:t xml:space="preserve"> &amp; </w:t>
      </w:r>
      <w:proofErr w:type="spellStart"/>
      <w:r>
        <w:t>Tversky</w:t>
      </w:r>
      <w:proofErr w:type="spellEnd"/>
      <w:r>
        <w:t xml:space="preserve"> (2014) have demonstrated the value of this, showing deeper and longer retention of learning after ‘drawn explanations’ were made, than from verbal explanations alone. Crucially, they showed that this benefit occurs regardless of drawing ‘ability’. </w:t>
      </w:r>
      <w:proofErr w:type="spellStart"/>
      <w:r>
        <w:t>Bobek’s</w:t>
      </w:r>
      <w:proofErr w:type="spellEnd"/>
      <w:r>
        <w:t xml:space="preserve"> (2012) doctoral research also demonstrated drawn explanations to be a very effective mode of formative assessment, visibly demonstrating misconstrued information or gaps in understanding.</w:t>
      </w:r>
    </w:p>
    <w:p w:rsidR="002A5AA2" w:rsidRDefault="002A5AA2" w:rsidP="002A01BE">
      <w:pPr>
        <w:spacing w:line="360" w:lineRule="auto"/>
      </w:pPr>
      <w:r>
        <w:t xml:space="preserve">These principles were applied in a game called ‘Process Pictionary’. For this occasion, I devised the content based on science tutors’ suggestions of the most difficult topics from their (already covered) year 10 syllabi. These included: terminal velocity, active transport and chemical bonding. The game has three rounds. First, students are put into three teams and given one ‘process word’ each relating to one of the three topics: for example, acceleration, diffusion and repulsion, which is only initially revealed to one member of the group. The task is to quickly draw their word for classmates to guess, using three frames to show change. Figure 3 shows an example of a student’s drawn clue for ‘repulsion’. In the second round, the topics are revealed in short written descriptions, and each group must collaborate on a larger drawing to represent theirs. They must agree on how to draw their process, creating opportunity for peer-learning. Most had understood their topic generally, but there were disagreements over details. How do solutions become more </w:t>
      </w:r>
      <w:proofErr w:type="gramStart"/>
      <w:r>
        <w:t>concentrated  through</w:t>
      </w:r>
      <w:proofErr w:type="gramEnd"/>
      <w:r>
        <w:t xml:space="preserve"> a membrane? What are all the differences between the different types of bonding? And how is terminal velocity actually reached? Debating how to depict these complex processes created an engaging opportunity for students to compare their understandings. A third round invites students to ‘draw analogies’. ‘What else is your process like?’ Each group must generate suggestions and </w:t>
      </w:r>
      <w:r>
        <w:lastRenderedPageBreak/>
        <w:t>agree on the most apt analogy, before endeavouring to draw it. This is made easier by the existing drawings, which can be adapted to fit the analogy.</w:t>
      </w:r>
    </w:p>
    <w:p w:rsidR="00034415" w:rsidRDefault="002A5AA2" w:rsidP="002A01BE">
      <w:pPr>
        <w:spacing w:line="360" w:lineRule="auto"/>
      </w:pPr>
      <w:r>
        <w:t xml:space="preserve">Our groups agreed on human growth as an analogue of terminal velocity. We grow, we accelerate with a growth spurt, </w:t>
      </w:r>
      <w:proofErr w:type="gramStart"/>
      <w:r>
        <w:t>then</w:t>
      </w:r>
      <w:proofErr w:type="gramEnd"/>
      <w:r>
        <w:t xml:space="preserve"> we remain more or less the same height until we die. The velocity time graphs have a similar shape. Active transport was likened to selective schools and border controls, but the group agreed to concoct an elaborate Harry Potter themed scenario, in which children were moved along an ‘evil concentration gradient’ by characters like Voldemort, who acted as a carrier protein. It was noted that this was actually personification, rather than metaphor. Chemical bonding was agreed to be comparable to human bonding. I asked which type would correspond to an ideal romantic </w:t>
      </w:r>
      <w:proofErr w:type="gramStart"/>
      <w:r>
        <w:t>relationship?</w:t>
      </w:r>
      <w:proofErr w:type="gramEnd"/>
      <w:r>
        <w:t xml:space="preserve"> At first, ionic bonding was suggested, as these are strong bonds. However, another noted that ionic substances are crystals, which tend to be brittle, breaking easily with sudden shock. Another pointed out that ionic bonds are not equal exchanges, one atom gives electrons whilst the other receives. Covalent bonds were agreed to be superior, representing a more equal partnership as electrons are shared rather than given. Metallic bonds share electrons freely, which the students disapproved of. Figure 4 shows the group’s representation of the three kinds of bonding. Ionic is represented as the couple from the film Titanic, because ionic bonds dissolve easily in water. The covalent bonds are depicted as a same-sex couple, because they can exist between atoms of the same element.</w:t>
      </w:r>
    </w:p>
    <w:p w:rsidR="002A01BE" w:rsidRDefault="002A01BE" w:rsidP="002A01BE">
      <w:pPr>
        <w:spacing w:line="360" w:lineRule="auto"/>
      </w:pPr>
      <w:r w:rsidRPr="002A01BE">
        <w:rPr>
          <w:noProof/>
          <w:lang w:eastAsia="en-GB"/>
        </w:rPr>
        <w:drawing>
          <wp:inline distT="0" distB="0" distL="0" distR="0">
            <wp:extent cx="4415384" cy="23336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1862" cy="2337049"/>
                    </a:xfrm>
                    <a:prstGeom prst="rect">
                      <a:avLst/>
                    </a:prstGeom>
                    <a:noFill/>
                    <a:ln>
                      <a:noFill/>
                    </a:ln>
                  </pic:spPr>
                </pic:pic>
              </a:graphicData>
            </a:graphic>
          </wp:inline>
        </w:drawing>
      </w:r>
    </w:p>
    <w:p w:rsidR="002A01BE" w:rsidRDefault="002A01BE" w:rsidP="002A01BE">
      <w:pPr>
        <w:pStyle w:val="Heading4"/>
      </w:pPr>
      <w:r w:rsidRPr="002A01BE">
        <w:t>Figure 3. Student drawing for Science Process Pictionary, representing ‘repulsion’</w:t>
      </w:r>
    </w:p>
    <w:p w:rsidR="002A01BE" w:rsidRDefault="002A01BE" w:rsidP="002A01BE"/>
    <w:p w:rsidR="002A01BE" w:rsidRDefault="003D2E26" w:rsidP="002A01BE">
      <w:r w:rsidRPr="003D2E26">
        <w:rPr>
          <w:noProof/>
          <w:lang w:eastAsia="en-GB"/>
        </w:rPr>
        <w:lastRenderedPageBreak/>
        <w:drawing>
          <wp:inline distT="0" distB="0" distL="0" distR="0">
            <wp:extent cx="4351844"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4990" cy="3259905"/>
                    </a:xfrm>
                    <a:prstGeom prst="rect">
                      <a:avLst/>
                    </a:prstGeom>
                    <a:noFill/>
                    <a:ln>
                      <a:noFill/>
                    </a:ln>
                  </pic:spPr>
                </pic:pic>
              </a:graphicData>
            </a:graphic>
          </wp:inline>
        </w:drawing>
      </w:r>
    </w:p>
    <w:p w:rsidR="003D2E26" w:rsidRDefault="003D2E26" w:rsidP="003D2E26">
      <w:pPr>
        <w:pStyle w:val="Heading4"/>
      </w:pPr>
      <w:r w:rsidRPr="003D2E26">
        <w:t>Figure 4. Collaborative student drawing representing analogies for covalent and ionic chemical bonding</w:t>
      </w:r>
    </w:p>
    <w:p w:rsidR="003D2E26" w:rsidRPr="003D2E26" w:rsidRDefault="003D2E26" w:rsidP="003D2E26"/>
    <w:p w:rsidR="006C557D" w:rsidRPr="00A76FA3" w:rsidRDefault="006C557D" w:rsidP="002A01BE">
      <w:pPr>
        <w:pStyle w:val="Heading2"/>
        <w:spacing w:line="360" w:lineRule="auto"/>
        <w:rPr>
          <w:b/>
          <w:szCs w:val="22"/>
        </w:rPr>
      </w:pPr>
      <w:r w:rsidRPr="00A76FA3">
        <w:rPr>
          <w:szCs w:val="22"/>
        </w:rPr>
        <w:t>Conclusion</w:t>
      </w:r>
    </w:p>
    <w:p w:rsidR="005E0F52" w:rsidRDefault="005E0F52" w:rsidP="002A01BE">
      <w:pPr>
        <w:spacing w:line="360" w:lineRule="auto"/>
      </w:pPr>
      <w:r>
        <w:t>We found that after these five sessions all the students in this year 10 group could confidently generate analogies, recognise when they were doing so, critique others’ and distinguish deep from surface analogies. Some students grasped the approach more quickly. Their suggestions and examples helped to encourage others’ understanding. Some analogies students suggested were only partially apt. In these cases, I endeavoured not to negate suggestions, but to encourage the group to scrutinise the comparison on different levels, and consider alternatives. It helped that some analogies were funny, particularly those which held across many levels, but also far-fetched examples that related to the interests of individuals in the group. These discussions meant that poor analogies were still useful for learning, especially when the level on which they stopped corresponding became apparent.</w:t>
      </w:r>
    </w:p>
    <w:p w:rsidR="005E0F52" w:rsidRDefault="005E0F52" w:rsidP="002A01BE">
      <w:pPr>
        <w:spacing w:line="360" w:lineRule="auto"/>
      </w:pPr>
      <w:r>
        <w:t>I believe our success in achieving these outcomes was enabled by the drawing tasks, by focusing attention, grounding the discussions in concrete examples, allowing for comfortable pauses, and making the lessons more interactive and multi-modal. Some of the students reported continuing to use drawing in their class notes and revision to help them remember (they had previously felt this was not approved of, and were happy to have been encouraged), and continued to voluntarily suggest novel analogies later in the programme.</w:t>
      </w:r>
    </w:p>
    <w:p w:rsidR="003D2E26" w:rsidRPr="00A76FA3" w:rsidRDefault="005E0F52" w:rsidP="002A01BE">
      <w:pPr>
        <w:spacing w:line="360" w:lineRule="auto"/>
      </w:pPr>
      <w:r>
        <w:lastRenderedPageBreak/>
        <w:t>I hope that these approaches have demonstrated some of the ways cognitive principles can be applied to drawing tasks that engender analogical reasoning and promote deeper learning. Further iterations of this programme are being devised based on feedback of students and peer-observations from other tutors. This will be produced as a practical workbook. Further studies would be needed to quantify any specific achievement effects, although the targeted effects are on students’ cognitive strategies for learning, rather than the specific syllabi covered here.</w:t>
      </w:r>
    </w:p>
    <w:p w:rsidR="006E55F9" w:rsidRPr="00A76FA3" w:rsidRDefault="009B326C" w:rsidP="002A01BE">
      <w:pPr>
        <w:pStyle w:val="Heading3"/>
        <w:spacing w:line="360" w:lineRule="auto"/>
        <w:rPr>
          <w:rFonts w:asciiTheme="minorHAnsi" w:hAnsiTheme="minorHAnsi"/>
          <w:b w:val="0"/>
        </w:rPr>
      </w:pPr>
      <w:r w:rsidRPr="00A76FA3">
        <w:rPr>
          <w:rFonts w:asciiTheme="minorHAnsi" w:hAnsiTheme="minorHAnsi"/>
          <w:b w:val="0"/>
        </w:rPr>
        <w:t xml:space="preserve">References </w:t>
      </w:r>
    </w:p>
    <w:p w:rsidR="005E0F52" w:rsidRPr="005E0F52" w:rsidRDefault="005E0F52" w:rsidP="002A01BE">
      <w:pPr>
        <w:spacing w:line="360" w:lineRule="auto"/>
        <w:rPr>
          <w:rFonts w:cs="Arial"/>
          <w:shd w:val="clear" w:color="auto" w:fill="FFFFFF"/>
        </w:rPr>
      </w:pPr>
      <w:r w:rsidRPr="005E0F52">
        <w:rPr>
          <w:rFonts w:cs="Arial"/>
          <w:shd w:val="clear" w:color="auto" w:fill="FFFFFF"/>
        </w:rPr>
        <w:t>Alan Turing Digital Archive (2017) Material given to Kings College Archive (online). Available at: http:</w:t>
      </w:r>
      <w:r>
        <w:rPr>
          <w:rFonts w:cs="Arial"/>
          <w:shd w:val="clear" w:color="auto" w:fill="FFFFFF"/>
        </w:rPr>
        <w:t>//www.turingarchive.org/browse.</w:t>
      </w:r>
      <w:r w:rsidRPr="005E0F52">
        <w:rPr>
          <w:rFonts w:cs="Arial"/>
          <w:shd w:val="clear" w:color="auto" w:fill="FFFFFF"/>
        </w:rPr>
        <w:t>php/K/3 (accessed 10 March 2017).</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Angelone</w:t>
      </w:r>
      <w:proofErr w:type="spellEnd"/>
      <w:r w:rsidRPr="005E0F52">
        <w:rPr>
          <w:rFonts w:cs="Arial"/>
          <w:shd w:val="clear" w:color="auto" w:fill="FFFFFF"/>
        </w:rPr>
        <w:t>, B. L., Hass, R. W. &amp; Cohen, M. (2016) Skill transfer in visual arts expertise, Psychology of Aesthe</w:t>
      </w:r>
      <w:r>
        <w:rPr>
          <w:rFonts w:cs="Arial"/>
          <w:shd w:val="clear" w:color="auto" w:fill="FFFFFF"/>
        </w:rPr>
        <w:t xml:space="preserve">tics, Creativity, and the Arts, </w:t>
      </w:r>
      <w:r w:rsidRPr="005E0F52">
        <w:rPr>
          <w:rFonts w:cs="Arial"/>
          <w:shd w:val="clear" w:color="auto" w:fill="FFFFFF"/>
        </w:rPr>
        <w:t>Vol. 10, No. 2, pp. 147–56.</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Barbot</w:t>
      </w:r>
      <w:proofErr w:type="spellEnd"/>
      <w:r w:rsidRPr="005E0F52">
        <w:rPr>
          <w:rFonts w:cs="Arial"/>
          <w:shd w:val="clear" w:color="auto" w:fill="FFFFFF"/>
        </w:rPr>
        <w:t xml:space="preserve">, B., Randi, J., Tan, M., </w:t>
      </w:r>
      <w:proofErr w:type="spellStart"/>
      <w:r w:rsidRPr="005E0F52">
        <w:rPr>
          <w:rFonts w:cs="Arial"/>
          <w:shd w:val="clear" w:color="auto" w:fill="FFFFFF"/>
        </w:rPr>
        <w:t>Levenson</w:t>
      </w:r>
      <w:proofErr w:type="spellEnd"/>
      <w:r w:rsidRPr="005E0F52">
        <w:rPr>
          <w:rFonts w:cs="Arial"/>
          <w:shd w:val="clear" w:color="auto" w:fill="FFFFFF"/>
        </w:rPr>
        <w:t xml:space="preserve">, C., </w:t>
      </w:r>
      <w:proofErr w:type="spellStart"/>
      <w:r w:rsidRPr="005E0F52">
        <w:rPr>
          <w:rFonts w:cs="Arial"/>
          <w:shd w:val="clear" w:color="auto" w:fill="FFFFFF"/>
        </w:rPr>
        <w:t>Friedlaender</w:t>
      </w:r>
      <w:proofErr w:type="spellEnd"/>
      <w:r w:rsidRPr="005E0F52">
        <w:rPr>
          <w:rFonts w:cs="Arial"/>
          <w:shd w:val="clear" w:color="auto" w:fill="FFFFFF"/>
        </w:rPr>
        <w:t xml:space="preserve">, L. &amp; </w:t>
      </w:r>
      <w:proofErr w:type="spellStart"/>
      <w:r w:rsidRPr="005E0F52">
        <w:rPr>
          <w:rFonts w:cs="Arial"/>
          <w:shd w:val="clear" w:color="auto" w:fill="FFFFFF"/>
        </w:rPr>
        <w:t>Grigorenko</w:t>
      </w:r>
      <w:proofErr w:type="spellEnd"/>
      <w:r w:rsidRPr="005E0F52">
        <w:rPr>
          <w:rFonts w:cs="Arial"/>
          <w:shd w:val="clear" w:color="auto" w:fill="FFFFFF"/>
        </w:rPr>
        <w:t>, E. L. (2013) From perception to creative writing</w:t>
      </w:r>
      <w:r>
        <w:rPr>
          <w:rFonts w:cs="Arial"/>
          <w:shd w:val="clear" w:color="auto" w:fill="FFFFFF"/>
        </w:rPr>
        <w:t xml:space="preserve">: a multimethod </w:t>
      </w:r>
      <w:r w:rsidRPr="005E0F52">
        <w:rPr>
          <w:rFonts w:cs="Arial"/>
          <w:shd w:val="clear" w:color="auto" w:fill="FFFFFF"/>
        </w:rPr>
        <w:t>pilot study of a visual literacy instructional approach, Learning and Individual Differences, Vol. 28, pp. 167–76.</w:t>
      </w:r>
    </w:p>
    <w:p w:rsidR="005E0F52" w:rsidRPr="005E0F52" w:rsidRDefault="005E0F52" w:rsidP="002A01BE">
      <w:pPr>
        <w:spacing w:line="360" w:lineRule="auto"/>
        <w:rPr>
          <w:rFonts w:cs="Arial"/>
          <w:shd w:val="clear" w:color="auto" w:fill="FFFFFF"/>
        </w:rPr>
      </w:pPr>
      <w:r w:rsidRPr="005E0F52">
        <w:rPr>
          <w:rFonts w:cs="Arial"/>
          <w:shd w:val="clear" w:color="auto" w:fill="FFFFFF"/>
        </w:rPr>
        <w:t xml:space="preserve">Bastos, F. &amp; Zimmerman, E. (2015) Connecting Creativity Research and Practice in Art Education: Foundations, Pedagogies, and </w:t>
      </w:r>
      <w:r>
        <w:rPr>
          <w:rFonts w:cs="Arial"/>
          <w:shd w:val="clear" w:color="auto" w:fill="FFFFFF"/>
        </w:rPr>
        <w:t xml:space="preserve">Contemporary </w:t>
      </w:r>
      <w:r w:rsidRPr="005E0F52">
        <w:rPr>
          <w:rFonts w:cs="Arial"/>
          <w:shd w:val="clear" w:color="auto" w:fill="FFFFFF"/>
        </w:rPr>
        <w:t>Issues. Reston, VA: National Art Education Association.</w:t>
      </w:r>
    </w:p>
    <w:p w:rsidR="005E0F52" w:rsidRPr="005E0F52" w:rsidRDefault="005E0F52" w:rsidP="002A01BE">
      <w:pPr>
        <w:spacing w:line="360" w:lineRule="auto"/>
        <w:rPr>
          <w:rFonts w:cs="Arial"/>
          <w:shd w:val="clear" w:color="auto" w:fill="FFFFFF"/>
        </w:rPr>
      </w:pPr>
      <w:r w:rsidRPr="005E0F52">
        <w:rPr>
          <w:rFonts w:cs="Arial"/>
          <w:shd w:val="clear" w:color="auto" w:fill="FFFFFF"/>
        </w:rPr>
        <w:t>BBC (2014) GCSE Bitesize Science: Evolution (online resource). Available at: http://www.bbc.co.uk/sc</w:t>
      </w:r>
      <w:r>
        <w:rPr>
          <w:rFonts w:cs="Arial"/>
          <w:shd w:val="clear" w:color="auto" w:fill="FFFFFF"/>
        </w:rPr>
        <w:t>hools/gcsebitesize/science/aqa_</w:t>
      </w:r>
      <w:r w:rsidRPr="005E0F52">
        <w:rPr>
          <w:rFonts w:cs="Arial"/>
          <w:shd w:val="clear" w:color="auto" w:fill="FFFFFF"/>
        </w:rPr>
        <w:t>pre_2011/evolution/evolutionrev1.shtml (accessed 10 March 2017).</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Bobek</w:t>
      </w:r>
      <w:proofErr w:type="spellEnd"/>
      <w:r w:rsidRPr="005E0F52">
        <w:rPr>
          <w:rFonts w:cs="Arial"/>
          <w:shd w:val="clear" w:color="auto" w:fill="FFFFFF"/>
        </w:rPr>
        <w:t>, E. (2012) Visualizing the invisible: generating explanations of scientific phenomena (Doctoral dissertation, Columbia University).</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Bobek</w:t>
      </w:r>
      <w:proofErr w:type="spellEnd"/>
      <w:r w:rsidRPr="005E0F52">
        <w:rPr>
          <w:rFonts w:cs="Arial"/>
          <w:shd w:val="clear" w:color="auto" w:fill="FFFFFF"/>
        </w:rPr>
        <w:t xml:space="preserve">, E. &amp; </w:t>
      </w:r>
      <w:proofErr w:type="spellStart"/>
      <w:r w:rsidRPr="005E0F52">
        <w:rPr>
          <w:rFonts w:cs="Arial"/>
          <w:shd w:val="clear" w:color="auto" w:fill="FFFFFF"/>
        </w:rPr>
        <w:t>Tversky</w:t>
      </w:r>
      <w:proofErr w:type="spellEnd"/>
      <w:r w:rsidRPr="005E0F52">
        <w:rPr>
          <w:rFonts w:cs="Arial"/>
          <w:shd w:val="clear" w:color="auto" w:fill="FFFFFF"/>
        </w:rPr>
        <w:t>, B. (2014) Creating visual explanations improves learning. Paper presented at the 36th a</w:t>
      </w:r>
      <w:r>
        <w:rPr>
          <w:rFonts w:cs="Arial"/>
          <w:shd w:val="clear" w:color="auto" w:fill="FFFFFF"/>
        </w:rPr>
        <w:t xml:space="preserve">nnual conference of the </w:t>
      </w:r>
      <w:r w:rsidRPr="005E0F52">
        <w:rPr>
          <w:rFonts w:cs="Arial"/>
          <w:shd w:val="clear" w:color="auto" w:fill="FFFFFF"/>
        </w:rPr>
        <w:t>Cognitive Science Society. Austin, TX: Cognitive Science Society.</w:t>
      </w:r>
    </w:p>
    <w:p w:rsidR="005E0F52" w:rsidRPr="005E0F52" w:rsidRDefault="005E0F52" w:rsidP="002A01BE">
      <w:pPr>
        <w:spacing w:line="360" w:lineRule="auto"/>
        <w:rPr>
          <w:rFonts w:cs="Arial"/>
          <w:shd w:val="clear" w:color="auto" w:fill="FFFFFF"/>
        </w:rPr>
      </w:pPr>
      <w:r w:rsidRPr="005E0F52">
        <w:rPr>
          <w:rFonts w:cs="Arial"/>
          <w:shd w:val="clear" w:color="auto" w:fill="FFFFFF"/>
        </w:rPr>
        <w:t>Darwin, C. (1845) Journal of researches into the natural history and geology of the countries visited dur</w:t>
      </w:r>
      <w:r>
        <w:rPr>
          <w:rFonts w:cs="Arial"/>
          <w:shd w:val="clear" w:color="auto" w:fill="FFFFFF"/>
        </w:rPr>
        <w:t xml:space="preserve">ing the voyage of H.M.S. Beagle </w:t>
      </w:r>
      <w:r w:rsidRPr="005E0F52">
        <w:rPr>
          <w:rFonts w:cs="Arial"/>
          <w:shd w:val="clear" w:color="auto" w:fill="FFFFFF"/>
        </w:rPr>
        <w:t xml:space="preserve">round the world, under the Command of Capt. Fitz Roy, R.N., 2nd </w:t>
      </w:r>
      <w:proofErr w:type="spellStart"/>
      <w:r w:rsidRPr="005E0F52">
        <w:rPr>
          <w:rFonts w:cs="Arial"/>
          <w:shd w:val="clear" w:color="auto" w:fill="FFFFFF"/>
        </w:rPr>
        <w:t>edn</w:t>
      </w:r>
      <w:proofErr w:type="spellEnd"/>
      <w:r w:rsidRPr="005E0F52">
        <w:rPr>
          <w:rFonts w:cs="Arial"/>
          <w:shd w:val="clear" w:color="auto" w:fill="FFFFFF"/>
        </w:rPr>
        <w:t>. London: John Murray.</w:t>
      </w:r>
    </w:p>
    <w:p w:rsidR="005E0F52" w:rsidRPr="005E0F52" w:rsidRDefault="005E0F52" w:rsidP="002A01BE">
      <w:pPr>
        <w:spacing w:line="360" w:lineRule="auto"/>
        <w:rPr>
          <w:rFonts w:cs="Arial"/>
          <w:shd w:val="clear" w:color="auto" w:fill="FFFFFF"/>
        </w:rPr>
      </w:pPr>
      <w:r w:rsidRPr="005E0F52">
        <w:rPr>
          <w:rFonts w:cs="Arial"/>
          <w:shd w:val="clear" w:color="auto" w:fill="FFFFFF"/>
        </w:rPr>
        <w:t xml:space="preserve">Farah, M. J. (2000) </w:t>
      </w:r>
      <w:proofErr w:type="gramStart"/>
      <w:r w:rsidRPr="005E0F52">
        <w:rPr>
          <w:rFonts w:cs="Arial"/>
          <w:shd w:val="clear" w:color="auto" w:fill="FFFFFF"/>
        </w:rPr>
        <w:t>The</w:t>
      </w:r>
      <w:proofErr w:type="gramEnd"/>
      <w:r w:rsidRPr="005E0F52">
        <w:rPr>
          <w:rFonts w:cs="Arial"/>
          <w:shd w:val="clear" w:color="auto" w:fill="FFFFFF"/>
        </w:rPr>
        <w:t xml:space="preserve"> Cognitive Neuroscience of Vision. Oxford: Blackwell.</w:t>
      </w:r>
    </w:p>
    <w:p w:rsidR="005E0F52" w:rsidRPr="005E0F52" w:rsidRDefault="005E0F52" w:rsidP="002A01BE">
      <w:pPr>
        <w:spacing w:line="360" w:lineRule="auto"/>
        <w:rPr>
          <w:rFonts w:cs="Arial"/>
          <w:shd w:val="clear" w:color="auto" w:fill="FFFFFF"/>
        </w:rPr>
      </w:pPr>
      <w:r w:rsidRPr="005E0F52">
        <w:rPr>
          <w:rFonts w:cs="Arial"/>
          <w:shd w:val="clear" w:color="auto" w:fill="FFFFFF"/>
        </w:rPr>
        <w:t xml:space="preserve">Farah, M. J. &amp; Ratcliff, G. (2013) </w:t>
      </w:r>
      <w:proofErr w:type="gramStart"/>
      <w:r w:rsidRPr="005E0F52">
        <w:rPr>
          <w:rFonts w:cs="Arial"/>
          <w:shd w:val="clear" w:color="auto" w:fill="FFFFFF"/>
        </w:rPr>
        <w:t>The</w:t>
      </w:r>
      <w:proofErr w:type="gramEnd"/>
      <w:r w:rsidRPr="005E0F52">
        <w:rPr>
          <w:rFonts w:cs="Arial"/>
          <w:shd w:val="clear" w:color="auto" w:fill="FFFFFF"/>
        </w:rPr>
        <w:t xml:space="preserve"> Neuropsychology of High-Level Vision: Collected Tutorial Essays. New York: Psychology Press.</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lastRenderedPageBreak/>
        <w:t>Goel</w:t>
      </w:r>
      <w:proofErr w:type="spellEnd"/>
      <w:r w:rsidRPr="005E0F52">
        <w:rPr>
          <w:rFonts w:cs="Arial"/>
          <w:shd w:val="clear" w:color="auto" w:fill="FFFFFF"/>
        </w:rPr>
        <w:t>, V. (1995) Sketches of Thought. Cambridge, MA: MIT Press.</w:t>
      </w:r>
    </w:p>
    <w:p w:rsidR="005E0F52" w:rsidRPr="005E0F52" w:rsidRDefault="005E0F52" w:rsidP="002A01BE">
      <w:pPr>
        <w:spacing w:line="360" w:lineRule="auto"/>
        <w:rPr>
          <w:rFonts w:cs="Arial"/>
          <w:shd w:val="clear" w:color="auto" w:fill="FFFFFF"/>
        </w:rPr>
      </w:pPr>
      <w:r w:rsidRPr="005E0F52">
        <w:rPr>
          <w:rFonts w:cs="Arial"/>
          <w:shd w:val="clear" w:color="auto" w:fill="FFFFFF"/>
        </w:rPr>
        <w:t xml:space="preserve">Goldsmith, L. T., Simmons, S., Winner, E., </w:t>
      </w:r>
      <w:proofErr w:type="spellStart"/>
      <w:r w:rsidRPr="005E0F52">
        <w:rPr>
          <w:rFonts w:cs="Arial"/>
          <w:shd w:val="clear" w:color="auto" w:fill="FFFFFF"/>
        </w:rPr>
        <w:t>Hetland</w:t>
      </w:r>
      <w:proofErr w:type="spellEnd"/>
      <w:r w:rsidRPr="005E0F52">
        <w:rPr>
          <w:rFonts w:cs="Arial"/>
          <w:shd w:val="clear" w:color="auto" w:fill="FFFFFF"/>
        </w:rPr>
        <w:t xml:space="preserve">, L., Hoyle, C. &amp; Brooks, </w:t>
      </w:r>
      <w:proofErr w:type="gramStart"/>
      <w:r w:rsidRPr="005E0F52">
        <w:rPr>
          <w:rFonts w:cs="Arial"/>
          <w:shd w:val="clear" w:color="auto" w:fill="FFFFFF"/>
        </w:rPr>
        <w:t>C</w:t>
      </w:r>
      <w:proofErr w:type="gramEnd"/>
      <w:r w:rsidRPr="005E0F52">
        <w:rPr>
          <w:rFonts w:cs="Arial"/>
          <w:shd w:val="clear" w:color="auto" w:fill="FFFFFF"/>
        </w:rPr>
        <w:t>. (2014) Geometric reasoning and dra</w:t>
      </w:r>
      <w:r>
        <w:rPr>
          <w:rFonts w:cs="Arial"/>
          <w:shd w:val="clear" w:color="auto" w:fill="FFFFFF"/>
        </w:rPr>
        <w:t xml:space="preserve">wing: possible interconnections </w:t>
      </w:r>
      <w:r w:rsidRPr="005E0F52">
        <w:rPr>
          <w:rFonts w:cs="Arial"/>
          <w:shd w:val="clear" w:color="auto" w:fill="FFFFFF"/>
        </w:rPr>
        <w:t>among STEM subjects and art, Tracey: Online Journal of Drawing and Visualization Resea</w:t>
      </w:r>
      <w:r>
        <w:rPr>
          <w:rFonts w:cs="Arial"/>
          <w:shd w:val="clear" w:color="auto" w:fill="FFFFFF"/>
        </w:rPr>
        <w:t xml:space="preserve">rch, December (Special Edition: </w:t>
      </w:r>
      <w:r w:rsidRPr="005E0F52">
        <w:rPr>
          <w:rFonts w:cs="Arial"/>
          <w:shd w:val="clear" w:color="auto" w:fill="FFFFFF"/>
        </w:rPr>
        <w:t>Drawing in STEAM). Available from: www.lboro.ac.uk/microsites/sota/tracey/journal/thin/</w:t>
      </w:r>
      <w:r>
        <w:rPr>
          <w:rFonts w:cs="Arial"/>
          <w:shd w:val="clear" w:color="auto" w:fill="FFFFFF"/>
        </w:rPr>
        <w:t xml:space="preserve">2014/goldsmith.html (accessed 7 </w:t>
      </w:r>
      <w:r w:rsidRPr="005E0F52">
        <w:rPr>
          <w:rFonts w:cs="Arial"/>
          <w:shd w:val="clear" w:color="auto" w:fill="FFFFFF"/>
        </w:rPr>
        <w:t>March 2017).</w:t>
      </w:r>
    </w:p>
    <w:p w:rsidR="005E0F52" w:rsidRPr="005E0F52" w:rsidRDefault="005E0F52" w:rsidP="002A01BE">
      <w:pPr>
        <w:spacing w:line="360" w:lineRule="auto"/>
        <w:rPr>
          <w:rFonts w:cs="Arial"/>
          <w:shd w:val="clear" w:color="auto" w:fill="FFFFFF"/>
        </w:rPr>
      </w:pPr>
      <w:r w:rsidRPr="005E0F52">
        <w:rPr>
          <w:rFonts w:cs="Arial"/>
          <w:shd w:val="clear" w:color="auto" w:fill="FFFFFF"/>
        </w:rPr>
        <w:t xml:space="preserve">Goldstone, R. L. &amp; </w:t>
      </w:r>
      <w:proofErr w:type="spellStart"/>
      <w:r w:rsidRPr="005E0F52">
        <w:rPr>
          <w:rFonts w:cs="Arial"/>
          <w:shd w:val="clear" w:color="auto" w:fill="FFFFFF"/>
        </w:rPr>
        <w:t>Wilensky</w:t>
      </w:r>
      <w:proofErr w:type="spellEnd"/>
      <w:r w:rsidRPr="005E0F52">
        <w:rPr>
          <w:rFonts w:cs="Arial"/>
          <w:shd w:val="clear" w:color="auto" w:fill="FFFFFF"/>
        </w:rPr>
        <w:t>, U. (2008) Promoting transfer by grounding complex systems principles, Jo</w:t>
      </w:r>
      <w:r>
        <w:rPr>
          <w:rFonts w:cs="Arial"/>
          <w:shd w:val="clear" w:color="auto" w:fill="FFFFFF"/>
        </w:rPr>
        <w:t xml:space="preserve">urnal of the Learning Sciences, </w:t>
      </w:r>
      <w:r w:rsidRPr="005E0F52">
        <w:rPr>
          <w:rFonts w:cs="Arial"/>
          <w:shd w:val="clear" w:color="auto" w:fill="FFFFFF"/>
        </w:rPr>
        <w:t>Vol. 17, No. 4, pp. 465–516.</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Goswami</w:t>
      </w:r>
      <w:proofErr w:type="spellEnd"/>
      <w:r w:rsidRPr="005E0F52">
        <w:rPr>
          <w:rFonts w:cs="Arial"/>
          <w:shd w:val="clear" w:color="auto" w:fill="FFFFFF"/>
        </w:rPr>
        <w:t xml:space="preserve">, U. (2001) Analogical reasoning in children, in D. </w:t>
      </w:r>
      <w:proofErr w:type="spellStart"/>
      <w:r w:rsidRPr="005E0F52">
        <w:rPr>
          <w:rFonts w:cs="Arial"/>
          <w:shd w:val="clear" w:color="auto" w:fill="FFFFFF"/>
        </w:rPr>
        <w:t>Gentner</w:t>
      </w:r>
      <w:proofErr w:type="spellEnd"/>
      <w:r w:rsidRPr="005E0F52">
        <w:rPr>
          <w:rFonts w:cs="Arial"/>
          <w:shd w:val="clear" w:color="auto" w:fill="FFFFFF"/>
        </w:rPr>
        <w:t xml:space="preserve">, K. </w:t>
      </w:r>
      <w:proofErr w:type="spellStart"/>
      <w:r w:rsidRPr="005E0F52">
        <w:rPr>
          <w:rFonts w:cs="Arial"/>
          <w:shd w:val="clear" w:color="auto" w:fill="FFFFFF"/>
        </w:rPr>
        <w:t>Holyoak</w:t>
      </w:r>
      <w:proofErr w:type="spellEnd"/>
      <w:r w:rsidRPr="005E0F52">
        <w:rPr>
          <w:rFonts w:cs="Arial"/>
          <w:shd w:val="clear" w:color="auto" w:fill="FFFFFF"/>
        </w:rPr>
        <w:t xml:space="preserve"> &amp; B. </w:t>
      </w:r>
      <w:proofErr w:type="spellStart"/>
      <w:r w:rsidRPr="005E0F52">
        <w:rPr>
          <w:rFonts w:cs="Arial"/>
          <w:shd w:val="clear" w:color="auto" w:fill="FFFFFF"/>
        </w:rPr>
        <w:t>Kokinov</w:t>
      </w:r>
      <w:proofErr w:type="spellEnd"/>
      <w:r w:rsidRPr="005E0F52">
        <w:rPr>
          <w:rFonts w:cs="Arial"/>
          <w:shd w:val="clear" w:color="auto" w:fill="FFFFFF"/>
        </w:rPr>
        <w:t xml:space="preserve"> [</w:t>
      </w:r>
      <w:proofErr w:type="spellStart"/>
      <w:r w:rsidRPr="005E0F52">
        <w:rPr>
          <w:rFonts w:cs="Arial"/>
          <w:shd w:val="clear" w:color="auto" w:fill="FFFFFF"/>
        </w:rPr>
        <w:t>Eds</w:t>
      </w:r>
      <w:proofErr w:type="spellEnd"/>
      <w:r w:rsidRPr="005E0F52">
        <w:rPr>
          <w:rFonts w:cs="Arial"/>
          <w:shd w:val="clear" w:color="auto" w:fill="FFFFFF"/>
        </w:rPr>
        <w:t>] Th</w:t>
      </w:r>
      <w:r>
        <w:rPr>
          <w:rFonts w:cs="Arial"/>
          <w:shd w:val="clear" w:color="auto" w:fill="FFFFFF"/>
        </w:rPr>
        <w:t xml:space="preserve">e Analogical Mind: Perspectives </w:t>
      </w:r>
      <w:r w:rsidRPr="005E0F52">
        <w:rPr>
          <w:rFonts w:cs="Arial"/>
          <w:shd w:val="clear" w:color="auto" w:fill="FFFFFF"/>
        </w:rPr>
        <w:t>from Cognitive Science. Cambridge, MA: MIT Press, pp. 437–70.</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Hetland</w:t>
      </w:r>
      <w:proofErr w:type="spellEnd"/>
      <w:r w:rsidRPr="005E0F52">
        <w:rPr>
          <w:rFonts w:cs="Arial"/>
          <w:shd w:val="clear" w:color="auto" w:fill="FFFFFF"/>
        </w:rPr>
        <w:t>, L. (2013) Studio Thinking 2: The Real Benefits of Visual Arts Education. New York: Teachers College Press.</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Hetland</w:t>
      </w:r>
      <w:proofErr w:type="spellEnd"/>
      <w:r w:rsidRPr="005E0F52">
        <w:rPr>
          <w:rFonts w:cs="Arial"/>
          <w:shd w:val="clear" w:color="auto" w:fill="FFFFFF"/>
        </w:rPr>
        <w:t xml:space="preserve">, L. &amp; Winner, E. (2004) Cognitive transfer from arts education to </w:t>
      </w:r>
      <w:proofErr w:type="spellStart"/>
      <w:r w:rsidRPr="005E0F52">
        <w:rPr>
          <w:rFonts w:cs="Arial"/>
          <w:shd w:val="clear" w:color="auto" w:fill="FFFFFF"/>
        </w:rPr>
        <w:t>non arts</w:t>
      </w:r>
      <w:proofErr w:type="spellEnd"/>
      <w:r w:rsidRPr="005E0F52">
        <w:rPr>
          <w:rFonts w:cs="Arial"/>
          <w:shd w:val="clear" w:color="auto" w:fill="FFFFFF"/>
        </w:rPr>
        <w:t xml:space="preserve"> outcomes: research ev</w:t>
      </w:r>
      <w:r>
        <w:rPr>
          <w:rFonts w:cs="Arial"/>
          <w:shd w:val="clear" w:color="auto" w:fill="FFFFFF"/>
        </w:rPr>
        <w:t xml:space="preserve">idence and policy implications, </w:t>
      </w:r>
      <w:r w:rsidRPr="005E0F52">
        <w:rPr>
          <w:rFonts w:cs="Arial"/>
          <w:shd w:val="clear" w:color="auto" w:fill="FFFFFF"/>
        </w:rPr>
        <w:t>Handbook of Research and Policy in Art Education. Reston, VA: National Art Education Association, pp. 135–62.</w:t>
      </w:r>
    </w:p>
    <w:p w:rsidR="005E0F52" w:rsidRPr="005E0F52" w:rsidRDefault="005E0F52" w:rsidP="002A01BE">
      <w:pPr>
        <w:spacing w:line="360" w:lineRule="auto"/>
        <w:rPr>
          <w:rFonts w:cs="Arial"/>
          <w:shd w:val="clear" w:color="auto" w:fill="FFFFFF"/>
        </w:rPr>
      </w:pPr>
      <w:r w:rsidRPr="005E0F52">
        <w:rPr>
          <w:rFonts w:cs="Arial"/>
          <w:shd w:val="clear" w:color="auto" w:fill="FFFFFF"/>
        </w:rPr>
        <w:t xml:space="preserve">Hofstadter, D. R. (2001) Analogy as the core of cognition, in D. </w:t>
      </w:r>
      <w:proofErr w:type="spellStart"/>
      <w:r w:rsidRPr="005E0F52">
        <w:rPr>
          <w:rFonts w:cs="Arial"/>
          <w:shd w:val="clear" w:color="auto" w:fill="FFFFFF"/>
        </w:rPr>
        <w:t>Gentner</w:t>
      </w:r>
      <w:proofErr w:type="spellEnd"/>
      <w:r w:rsidRPr="005E0F52">
        <w:rPr>
          <w:rFonts w:cs="Arial"/>
          <w:shd w:val="clear" w:color="auto" w:fill="FFFFFF"/>
        </w:rPr>
        <w:t xml:space="preserve">, K. </w:t>
      </w:r>
      <w:proofErr w:type="spellStart"/>
      <w:r w:rsidRPr="005E0F52">
        <w:rPr>
          <w:rFonts w:cs="Arial"/>
          <w:shd w:val="clear" w:color="auto" w:fill="FFFFFF"/>
        </w:rPr>
        <w:t>Holyoak</w:t>
      </w:r>
      <w:proofErr w:type="spellEnd"/>
      <w:r w:rsidRPr="005E0F52">
        <w:rPr>
          <w:rFonts w:cs="Arial"/>
          <w:shd w:val="clear" w:color="auto" w:fill="FFFFFF"/>
        </w:rPr>
        <w:t xml:space="preserve"> &amp; B. </w:t>
      </w:r>
      <w:proofErr w:type="spellStart"/>
      <w:r w:rsidRPr="005E0F52">
        <w:rPr>
          <w:rFonts w:cs="Arial"/>
          <w:shd w:val="clear" w:color="auto" w:fill="FFFFFF"/>
        </w:rPr>
        <w:t>Kokinov</w:t>
      </w:r>
      <w:proofErr w:type="spellEnd"/>
      <w:r w:rsidRPr="005E0F52">
        <w:rPr>
          <w:rFonts w:cs="Arial"/>
          <w:shd w:val="clear" w:color="auto" w:fill="FFFFFF"/>
        </w:rPr>
        <w:t xml:space="preserve"> [</w:t>
      </w:r>
      <w:proofErr w:type="spellStart"/>
      <w:r w:rsidRPr="005E0F52">
        <w:rPr>
          <w:rFonts w:cs="Arial"/>
          <w:shd w:val="clear" w:color="auto" w:fill="FFFFFF"/>
        </w:rPr>
        <w:t>Eds</w:t>
      </w:r>
      <w:proofErr w:type="spellEnd"/>
      <w:r w:rsidRPr="005E0F52">
        <w:rPr>
          <w:rFonts w:cs="Arial"/>
          <w:shd w:val="clear" w:color="auto" w:fill="FFFFFF"/>
        </w:rPr>
        <w:t>] Th</w:t>
      </w:r>
      <w:r>
        <w:rPr>
          <w:rFonts w:cs="Arial"/>
          <w:shd w:val="clear" w:color="auto" w:fill="FFFFFF"/>
        </w:rPr>
        <w:t xml:space="preserve">e Analogical Mind: Perspectives </w:t>
      </w:r>
      <w:r w:rsidRPr="005E0F52">
        <w:rPr>
          <w:rFonts w:cs="Arial"/>
          <w:shd w:val="clear" w:color="auto" w:fill="FFFFFF"/>
        </w:rPr>
        <w:t>from Cognitive Science. Cambridge, MA: MIT Press, pp. 499–538.</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Kantrowitz</w:t>
      </w:r>
      <w:proofErr w:type="spellEnd"/>
      <w:r w:rsidRPr="005E0F52">
        <w:rPr>
          <w:rFonts w:cs="Arial"/>
          <w:shd w:val="clear" w:color="auto" w:fill="FFFFFF"/>
        </w:rPr>
        <w:t>, A. (2012) Drawn to discover: a cognitive perspective, Tracey: Online Journal of Drawing and Vi</w:t>
      </w:r>
      <w:r>
        <w:rPr>
          <w:rFonts w:cs="Arial"/>
          <w:shd w:val="clear" w:color="auto" w:fill="FFFFFF"/>
        </w:rPr>
        <w:t xml:space="preserve">sualization Research. Available </w:t>
      </w:r>
      <w:r w:rsidRPr="005E0F52">
        <w:rPr>
          <w:rFonts w:cs="Arial"/>
          <w:shd w:val="clear" w:color="auto" w:fill="FFFFFF"/>
        </w:rPr>
        <w:t>at: http://www.lboro.ac.uk/microsites/sota/tracey/journal/edu/2012/PDF/Andrea_Kantrowitz-TRACEY-Journal-DK-2012.pdf</w:t>
      </w:r>
      <w:r>
        <w:rPr>
          <w:rFonts w:cs="Arial"/>
          <w:shd w:val="clear" w:color="auto" w:fill="FFFFFF"/>
        </w:rPr>
        <w:t xml:space="preserve"> </w:t>
      </w:r>
      <w:r w:rsidRPr="005E0F52">
        <w:rPr>
          <w:rFonts w:cs="Arial"/>
          <w:shd w:val="clear" w:color="auto" w:fill="FFFFFF"/>
        </w:rPr>
        <w:t>(accessed 7 March 2017).</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Kavakli</w:t>
      </w:r>
      <w:proofErr w:type="spellEnd"/>
      <w:r w:rsidRPr="005E0F52">
        <w:rPr>
          <w:rFonts w:cs="Arial"/>
          <w:shd w:val="clear" w:color="auto" w:fill="FFFFFF"/>
        </w:rPr>
        <w:t xml:space="preserve">, M., </w:t>
      </w:r>
      <w:proofErr w:type="spellStart"/>
      <w:r w:rsidRPr="005E0F52">
        <w:rPr>
          <w:rFonts w:cs="Arial"/>
          <w:shd w:val="clear" w:color="auto" w:fill="FFFFFF"/>
        </w:rPr>
        <w:t>Suwa</w:t>
      </w:r>
      <w:proofErr w:type="spellEnd"/>
      <w:r w:rsidRPr="005E0F52">
        <w:rPr>
          <w:rFonts w:cs="Arial"/>
          <w:shd w:val="clear" w:color="auto" w:fill="FFFFFF"/>
        </w:rPr>
        <w:t xml:space="preserve">, M., </w:t>
      </w:r>
      <w:proofErr w:type="spellStart"/>
      <w:r w:rsidRPr="005E0F52">
        <w:rPr>
          <w:rFonts w:cs="Arial"/>
          <w:shd w:val="clear" w:color="auto" w:fill="FFFFFF"/>
        </w:rPr>
        <w:t>Gero</w:t>
      </w:r>
      <w:proofErr w:type="spellEnd"/>
      <w:r w:rsidRPr="005E0F52">
        <w:rPr>
          <w:rFonts w:cs="Arial"/>
          <w:shd w:val="clear" w:color="auto" w:fill="FFFFFF"/>
        </w:rPr>
        <w:t xml:space="preserve">, J. S. &amp; Purcell, T. (1999) Sketching interpretation in novice and expert designers, Visual </w:t>
      </w:r>
      <w:r>
        <w:rPr>
          <w:rFonts w:cs="Arial"/>
          <w:shd w:val="clear" w:color="auto" w:fill="FFFFFF"/>
        </w:rPr>
        <w:t xml:space="preserve">and Spatial Reasoning </w:t>
      </w:r>
      <w:r w:rsidRPr="005E0F52">
        <w:rPr>
          <w:rFonts w:cs="Arial"/>
          <w:shd w:val="clear" w:color="auto" w:fill="FFFFFF"/>
        </w:rPr>
        <w:t>in Design, Vol. 99, pp. 209–19.</w:t>
      </w:r>
    </w:p>
    <w:p w:rsidR="005E0F52" w:rsidRPr="005E0F52" w:rsidRDefault="005E0F52" w:rsidP="002A01BE">
      <w:pPr>
        <w:spacing w:line="360" w:lineRule="auto"/>
        <w:rPr>
          <w:rFonts w:cs="Arial"/>
          <w:shd w:val="clear" w:color="auto" w:fill="FFFFFF"/>
        </w:rPr>
      </w:pPr>
      <w:r w:rsidRPr="005E0F52">
        <w:rPr>
          <w:rFonts w:cs="Arial"/>
          <w:shd w:val="clear" w:color="auto" w:fill="FFFFFF"/>
        </w:rPr>
        <w:t>Koester, M. (2015) Science Teachers who Draw: The Red is Always There. Blue Mounds, WI: Deep University Press.</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Kozbelt</w:t>
      </w:r>
      <w:proofErr w:type="spellEnd"/>
      <w:r w:rsidRPr="005E0F52">
        <w:rPr>
          <w:rFonts w:cs="Arial"/>
          <w:shd w:val="clear" w:color="auto" w:fill="FFFFFF"/>
        </w:rPr>
        <w:t>, A. (2001) Artists as experts in visual cognition, Visual Cognition, Vol. 8, No. 6, pp. 705–23.</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lastRenderedPageBreak/>
        <w:t>Kozbelt</w:t>
      </w:r>
      <w:proofErr w:type="spellEnd"/>
      <w:r w:rsidRPr="005E0F52">
        <w:rPr>
          <w:rFonts w:cs="Arial"/>
          <w:shd w:val="clear" w:color="auto" w:fill="FFFFFF"/>
        </w:rPr>
        <w:t>, A. &amp; Seeley, W. P. (2007) Integrating art historical, psychological, and neuroscientific explana</w:t>
      </w:r>
      <w:r>
        <w:rPr>
          <w:rFonts w:cs="Arial"/>
          <w:shd w:val="clear" w:color="auto" w:fill="FFFFFF"/>
        </w:rPr>
        <w:t xml:space="preserve">tions of artists’ advantages in </w:t>
      </w:r>
      <w:r w:rsidRPr="005E0F52">
        <w:rPr>
          <w:rFonts w:cs="Arial"/>
          <w:shd w:val="clear" w:color="auto" w:fill="FFFFFF"/>
        </w:rPr>
        <w:t>drawing and perception, Psychology of Aesthetics, Creativity, and the Arts, Vol. 1, No. 2, pp. 80–90.</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Kozbelt</w:t>
      </w:r>
      <w:proofErr w:type="spellEnd"/>
      <w:r w:rsidRPr="005E0F52">
        <w:rPr>
          <w:rFonts w:cs="Arial"/>
          <w:shd w:val="clear" w:color="auto" w:fill="FFFFFF"/>
        </w:rPr>
        <w:t xml:space="preserve">, A., Seidel, A., El </w:t>
      </w:r>
      <w:proofErr w:type="spellStart"/>
      <w:r w:rsidRPr="005E0F52">
        <w:rPr>
          <w:rFonts w:cs="Arial"/>
          <w:shd w:val="clear" w:color="auto" w:fill="FFFFFF"/>
        </w:rPr>
        <w:t>Bassiouny</w:t>
      </w:r>
      <w:proofErr w:type="spellEnd"/>
      <w:r w:rsidRPr="005E0F52">
        <w:rPr>
          <w:rFonts w:cs="Arial"/>
          <w:shd w:val="clear" w:color="auto" w:fill="FFFFFF"/>
        </w:rPr>
        <w:t>, A., Mark, Y. &amp; Owen, D. R. (2010) Visual selection contributes to a</w:t>
      </w:r>
      <w:r>
        <w:rPr>
          <w:rFonts w:cs="Arial"/>
          <w:shd w:val="clear" w:color="auto" w:fill="FFFFFF"/>
        </w:rPr>
        <w:t xml:space="preserve">rtists’ advantages in realistic </w:t>
      </w:r>
      <w:r w:rsidRPr="005E0F52">
        <w:rPr>
          <w:rFonts w:cs="Arial"/>
          <w:shd w:val="clear" w:color="auto" w:fill="FFFFFF"/>
        </w:rPr>
        <w:t>drawing, Psychology of Aesthetics, Creativity, and the Arts, Vol. 4, No. 2, pp. 93–102.</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Lakoff</w:t>
      </w:r>
      <w:proofErr w:type="spellEnd"/>
      <w:r w:rsidRPr="005E0F52">
        <w:rPr>
          <w:rFonts w:cs="Arial"/>
          <w:shd w:val="clear" w:color="auto" w:fill="FFFFFF"/>
        </w:rPr>
        <w:t>, G. &amp; Johnson, M. (1980) Metaphors We Live By. Chicago, IL: University of Chicago Press.</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Lakoff</w:t>
      </w:r>
      <w:proofErr w:type="spellEnd"/>
      <w:r w:rsidRPr="005E0F52">
        <w:rPr>
          <w:rFonts w:cs="Arial"/>
          <w:shd w:val="clear" w:color="auto" w:fill="FFFFFF"/>
        </w:rPr>
        <w:t>, G. &amp; Johnson, M. (2008) Philosophy in the Flesh. Chicago, IL: University of Chicago Press.</w:t>
      </w:r>
    </w:p>
    <w:p w:rsidR="005E0F52" w:rsidRPr="005E0F52" w:rsidRDefault="005E0F52" w:rsidP="002A01BE">
      <w:pPr>
        <w:spacing w:line="360" w:lineRule="auto"/>
        <w:rPr>
          <w:rFonts w:cs="Arial"/>
          <w:shd w:val="clear" w:color="auto" w:fill="FFFFFF"/>
        </w:rPr>
      </w:pPr>
      <w:r w:rsidRPr="005E0F52">
        <w:rPr>
          <w:rFonts w:cs="Arial"/>
          <w:shd w:val="clear" w:color="auto" w:fill="FFFFFF"/>
        </w:rPr>
        <w:t xml:space="preserve">Read, H. (1933) </w:t>
      </w:r>
      <w:proofErr w:type="gramStart"/>
      <w:r w:rsidRPr="005E0F52">
        <w:rPr>
          <w:rFonts w:cs="Arial"/>
          <w:shd w:val="clear" w:color="auto" w:fill="FFFFFF"/>
        </w:rPr>
        <w:t>The</w:t>
      </w:r>
      <w:proofErr w:type="gramEnd"/>
      <w:r w:rsidRPr="005E0F52">
        <w:rPr>
          <w:rFonts w:cs="Arial"/>
          <w:shd w:val="clear" w:color="auto" w:fill="FFFFFF"/>
        </w:rPr>
        <w:t xml:space="preserve"> Innocent Eye. London: Faber &amp; Faber.</w:t>
      </w:r>
    </w:p>
    <w:p w:rsidR="005E0F52" w:rsidRPr="005E0F52" w:rsidRDefault="005E0F52" w:rsidP="002A01BE">
      <w:pPr>
        <w:spacing w:line="360" w:lineRule="auto"/>
        <w:rPr>
          <w:rFonts w:cs="Arial"/>
          <w:shd w:val="clear" w:color="auto" w:fill="FFFFFF"/>
        </w:rPr>
      </w:pPr>
      <w:proofErr w:type="spellStart"/>
      <w:r w:rsidRPr="005E0F52">
        <w:rPr>
          <w:rFonts w:cs="Arial"/>
          <w:shd w:val="clear" w:color="auto" w:fill="FFFFFF"/>
        </w:rPr>
        <w:t>Rensink</w:t>
      </w:r>
      <w:proofErr w:type="spellEnd"/>
      <w:r w:rsidRPr="005E0F52">
        <w:rPr>
          <w:rFonts w:cs="Arial"/>
          <w:shd w:val="clear" w:color="auto" w:fill="FFFFFF"/>
        </w:rPr>
        <w:t xml:space="preserve">, R. A. (2007) </w:t>
      </w:r>
      <w:proofErr w:type="gramStart"/>
      <w:r w:rsidRPr="005E0F52">
        <w:rPr>
          <w:rFonts w:cs="Arial"/>
          <w:shd w:val="clear" w:color="auto" w:fill="FFFFFF"/>
        </w:rPr>
        <w:t>The</w:t>
      </w:r>
      <w:proofErr w:type="gramEnd"/>
      <w:r w:rsidRPr="005E0F52">
        <w:rPr>
          <w:rFonts w:cs="Arial"/>
          <w:shd w:val="clear" w:color="auto" w:fill="FFFFFF"/>
        </w:rPr>
        <w:t xml:space="preserve"> </w:t>
      </w:r>
      <w:proofErr w:type="spellStart"/>
      <w:r w:rsidRPr="005E0F52">
        <w:rPr>
          <w:rFonts w:cs="Arial"/>
          <w:shd w:val="clear" w:color="auto" w:fill="FFFFFF"/>
        </w:rPr>
        <w:t>modeling</w:t>
      </w:r>
      <w:proofErr w:type="spellEnd"/>
      <w:r w:rsidRPr="005E0F52">
        <w:rPr>
          <w:rFonts w:cs="Arial"/>
          <w:shd w:val="clear" w:color="auto" w:fill="FFFFFF"/>
        </w:rPr>
        <w:t xml:space="preserve"> and control of visual perception, in W. D. </w:t>
      </w:r>
      <w:proofErr w:type="spellStart"/>
      <w:r w:rsidRPr="005E0F52">
        <w:rPr>
          <w:rFonts w:cs="Arial"/>
          <w:shd w:val="clear" w:color="auto" w:fill="FFFFFF"/>
        </w:rPr>
        <w:t>Gray</w:t>
      </w:r>
      <w:proofErr w:type="spellEnd"/>
      <w:r w:rsidRPr="005E0F52">
        <w:rPr>
          <w:rFonts w:cs="Arial"/>
          <w:shd w:val="clear" w:color="auto" w:fill="FFFFFF"/>
        </w:rPr>
        <w:t xml:space="preserve"> [Ed.] Integrated M</w:t>
      </w:r>
      <w:r>
        <w:rPr>
          <w:rFonts w:cs="Arial"/>
          <w:shd w:val="clear" w:color="auto" w:fill="FFFFFF"/>
        </w:rPr>
        <w:t xml:space="preserve">odels of Cognitive Systems. New </w:t>
      </w:r>
      <w:r w:rsidRPr="005E0F52">
        <w:rPr>
          <w:rFonts w:cs="Arial"/>
          <w:shd w:val="clear" w:color="auto" w:fill="FFFFFF"/>
        </w:rPr>
        <w:t>York: Oxford University Press, pp. 132–48.</w:t>
      </w:r>
    </w:p>
    <w:p w:rsidR="005E0F52" w:rsidRPr="005E0F52" w:rsidRDefault="005E0F52" w:rsidP="002A01BE">
      <w:pPr>
        <w:spacing w:line="360" w:lineRule="auto"/>
        <w:rPr>
          <w:rFonts w:cs="Arial"/>
          <w:shd w:val="clear" w:color="auto" w:fill="FFFFFF"/>
        </w:rPr>
      </w:pPr>
      <w:r w:rsidRPr="005E0F52">
        <w:rPr>
          <w:rFonts w:cs="Arial"/>
          <w:shd w:val="clear" w:color="auto" w:fill="FFFFFF"/>
        </w:rPr>
        <w:t>Ridley, P. &amp; Rogers, A. (2010) Drawing to Learn, Science Technology Engineering and Maths. Brighton: University of Bri</w:t>
      </w:r>
      <w:r>
        <w:rPr>
          <w:rFonts w:cs="Arial"/>
          <w:shd w:val="clear" w:color="auto" w:fill="FFFFFF"/>
        </w:rPr>
        <w:t xml:space="preserve">ghton, Centre for </w:t>
      </w:r>
      <w:r w:rsidRPr="005E0F52">
        <w:rPr>
          <w:rFonts w:cs="Arial"/>
          <w:shd w:val="clear" w:color="auto" w:fill="FFFFFF"/>
        </w:rPr>
        <w:t>Learning and Teaching.</w:t>
      </w:r>
    </w:p>
    <w:p w:rsidR="000B3BCD" w:rsidRPr="005E0F52" w:rsidRDefault="005E0F52" w:rsidP="002A01BE">
      <w:pPr>
        <w:spacing w:line="360" w:lineRule="auto"/>
        <w:rPr>
          <w:rFonts w:cs="Arial"/>
          <w:shd w:val="clear" w:color="auto" w:fill="FFFFFF"/>
        </w:rPr>
      </w:pPr>
      <w:proofErr w:type="spellStart"/>
      <w:r w:rsidRPr="005E0F52">
        <w:rPr>
          <w:rFonts w:cs="Arial"/>
          <w:shd w:val="clear" w:color="auto" w:fill="FFFFFF"/>
        </w:rPr>
        <w:t>Schacter</w:t>
      </w:r>
      <w:proofErr w:type="spellEnd"/>
      <w:r w:rsidRPr="005E0F52">
        <w:rPr>
          <w:rFonts w:cs="Arial"/>
          <w:shd w:val="clear" w:color="auto" w:fill="FFFFFF"/>
        </w:rPr>
        <w:t xml:space="preserve">, D. L. &amp; Addis, D. R. (2007) </w:t>
      </w:r>
      <w:proofErr w:type="gramStart"/>
      <w:r w:rsidRPr="005E0F52">
        <w:rPr>
          <w:rFonts w:cs="Arial"/>
          <w:shd w:val="clear" w:color="auto" w:fill="FFFFFF"/>
        </w:rPr>
        <w:t>The</w:t>
      </w:r>
      <w:proofErr w:type="gramEnd"/>
      <w:r w:rsidRPr="005E0F52">
        <w:rPr>
          <w:rFonts w:cs="Arial"/>
          <w:shd w:val="clear" w:color="auto" w:fill="FFFFFF"/>
        </w:rPr>
        <w:t xml:space="preserve"> cognitive neuroscience of constructive memory: remembe</w:t>
      </w:r>
      <w:r>
        <w:rPr>
          <w:rFonts w:cs="Arial"/>
          <w:shd w:val="clear" w:color="auto" w:fill="FFFFFF"/>
        </w:rPr>
        <w:t xml:space="preserve">ring the past and imagining the </w:t>
      </w:r>
      <w:r w:rsidRPr="005E0F52">
        <w:rPr>
          <w:rFonts w:cs="Arial"/>
          <w:shd w:val="clear" w:color="auto" w:fill="FFFFFF"/>
        </w:rPr>
        <w:t>future, Philosophical Transactions of the Royal Society B: Biological Sciences, Vol. 362, No. 1481, pp. 773–86.</w:t>
      </w:r>
    </w:p>
    <w:p w:rsidR="005E0F52" w:rsidRPr="005E0F52" w:rsidRDefault="005E0F52" w:rsidP="002A01BE">
      <w:pPr>
        <w:spacing w:line="360" w:lineRule="auto"/>
      </w:pPr>
      <w:proofErr w:type="spellStart"/>
      <w:r w:rsidRPr="005E0F52">
        <w:t>Suwa</w:t>
      </w:r>
      <w:proofErr w:type="spellEnd"/>
      <w:r w:rsidRPr="005E0F52">
        <w:t xml:space="preserve">, M. &amp; </w:t>
      </w:r>
      <w:proofErr w:type="spellStart"/>
      <w:r w:rsidRPr="005E0F52">
        <w:t>Tversky</w:t>
      </w:r>
      <w:proofErr w:type="spellEnd"/>
      <w:r w:rsidRPr="005E0F52">
        <w:t>, B. (2003) Constructive perception: a metacognitive skill for coordinating percept</w:t>
      </w:r>
      <w:r>
        <w:t xml:space="preserve">ion and conception, Proceedings </w:t>
      </w:r>
      <w:r w:rsidRPr="005E0F52">
        <w:t>of the Annual Meeting of the Cognitive Science Society, Vol. 25, pp. 1140–45.</w:t>
      </w:r>
    </w:p>
    <w:p w:rsidR="005E0F52" w:rsidRPr="005E0F52" w:rsidRDefault="005E0F52" w:rsidP="002A01BE">
      <w:pPr>
        <w:spacing w:line="360" w:lineRule="auto"/>
      </w:pPr>
      <w:proofErr w:type="gramStart"/>
      <w:r w:rsidRPr="005E0F52">
        <w:t>van</w:t>
      </w:r>
      <w:proofErr w:type="gramEnd"/>
      <w:r w:rsidRPr="005E0F52">
        <w:t xml:space="preserve"> der Veen, J. (2012) Draw your physics homework? Art as a path to understanding in physics</w:t>
      </w:r>
      <w:r>
        <w:t xml:space="preserve"> teaching, American Educational </w:t>
      </w:r>
      <w:r w:rsidRPr="005E0F52">
        <w:t>Research Journal, Vol. 49, No. 2, pp. 356–407.</w:t>
      </w:r>
    </w:p>
    <w:p w:rsidR="005E0F52" w:rsidRPr="005E0F52" w:rsidRDefault="005E0F52" w:rsidP="002A01BE">
      <w:pPr>
        <w:spacing w:line="360" w:lineRule="auto"/>
      </w:pPr>
      <w:proofErr w:type="spellStart"/>
      <w:r w:rsidRPr="005E0F52">
        <w:t>Wammes</w:t>
      </w:r>
      <w:proofErr w:type="spellEnd"/>
      <w:r w:rsidRPr="005E0F52">
        <w:t xml:space="preserve">, J. D., Meade, M. E. &amp; </w:t>
      </w:r>
      <w:proofErr w:type="spellStart"/>
      <w:r w:rsidRPr="005E0F52">
        <w:t>Fernandes</w:t>
      </w:r>
      <w:proofErr w:type="spellEnd"/>
      <w:r w:rsidRPr="005E0F52">
        <w:t>, M. A. (2016) The drawing effect: evidence for reliable and</w:t>
      </w:r>
      <w:r>
        <w:t xml:space="preserve"> robust memory benefits in free </w:t>
      </w:r>
      <w:r w:rsidRPr="005E0F52">
        <w:t>recall, Quarterly Journal of Experimental Psychology, Vol. 69, No. 9, pp. 1752–76.</w:t>
      </w:r>
    </w:p>
    <w:p w:rsidR="005E0F52" w:rsidRPr="005E0F52" w:rsidRDefault="005E0F52" w:rsidP="002A01BE">
      <w:pPr>
        <w:spacing w:line="360" w:lineRule="auto"/>
      </w:pPr>
      <w:proofErr w:type="spellStart"/>
      <w:r w:rsidRPr="005E0F52">
        <w:t>Wilensky</w:t>
      </w:r>
      <w:proofErr w:type="spellEnd"/>
      <w:r w:rsidRPr="005E0F52">
        <w:t>, U. &amp; Resnick, M. (1999) Thinking in levels: a dynamic systems approach to making sense of the world, Journal of Scie</w:t>
      </w:r>
      <w:r>
        <w:t xml:space="preserve">nce </w:t>
      </w:r>
      <w:r w:rsidRPr="005E0F52">
        <w:t>Education and technology, Vol. 8, No. 1, pp. 3–19.</w:t>
      </w:r>
    </w:p>
    <w:p w:rsidR="005E0F52" w:rsidRPr="005E0F52" w:rsidRDefault="005E0F52" w:rsidP="002A01BE">
      <w:pPr>
        <w:spacing w:line="360" w:lineRule="auto"/>
      </w:pPr>
      <w:r w:rsidRPr="005E0F52">
        <w:t xml:space="preserve">Winner, E. &amp; </w:t>
      </w:r>
      <w:proofErr w:type="spellStart"/>
      <w:r w:rsidRPr="005E0F52">
        <w:t>Hetland</w:t>
      </w:r>
      <w:proofErr w:type="spellEnd"/>
      <w:r w:rsidRPr="005E0F52">
        <w:t>, L. (2003) Beyond the evidence given: a critical commentary on critical links, Art</w:t>
      </w:r>
      <w:r>
        <w:t xml:space="preserve">s Education Policy Review, Vol. </w:t>
      </w:r>
      <w:r w:rsidRPr="005E0F52">
        <w:t>104, No. 3, pp. 13–15.</w:t>
      </w:r>
    </w:p>
    <w:p w:rsidR="000B3BCD" w:rsidRPr="005E0F52" w:rsidRDefault="005E0F52" w:rsidP="002A01BE">
      <w:pPr>
        <w:spacing w:line="360" w:lineRule="auto"/>
      </w:pPr>
      <w:r w:rsidRPr="005E0F52">
        <w:lastRenderedPageBreak/>
        <w:t>World Economic Forum (2016) Future of Jobs and Skills reports (online). Available at: http://reports.w</w:t>
      </w:r>
      <w:r>
        <w:t>eforum.org/future-of-jobs-2016/</w:t>
      </w:r>
      <w:r w:rsidRPr="005E0F52">
        <w:t>shareable-infographics/ (accessed 27 July 2017).</w:t>
      </w:r>
    </w:p>
    <w:sectPr w:rsidR="000B3BCD" w:rsidRPr="005E0F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E1F4B"/>
    <w:multiLevelType w:val="hybridMultilevel"/>
    <w:tmpl w:val="14CAE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532E8"/>
    <w:multiLevelType w:val="hybridMultilevel"/>
    <w:tmpl w:val="7968E6F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402EE7"/>
    <w:multiLevelType w:val="hybridMultilevel"/>
    <w:tmpl w:val="DB2A86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4680BD0"/>
    <w:multiLevelType w:val="hybridMultilevel"/>
    <w:tmpl w:val="92BCBE28"/>
    <w:lvl w:ilvl="0" w:tplc="44387C3C">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4040B9"/>
    <w:multiLevelType w:val="multilevel"/>
    <w:tmpl w:val="8F0A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41B125D"/>
    <w:multiLevelType w:val="hybridMultilevel"/>
    <w:tmpl w:val="D39ED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6EA"/>
    <w:rsid w:val="00006369"/>
    <w:rsid w:val="000133ED"/>
    <w:rsid w:val="00034415"/>
    <w:rsid w:val="00047B61"/>
    <w:rsid w:val="000566EA"/>
    <w:rsid w:val="00061471"/>
    <w:rsid w:val="00063CD6"/>
    <w:rsid w:val="00087244"/>
    <w:rsid w:val="000B3BCD"/>
    <w:rsid w:val="000B5BE3"/>
    <w:rsid w:val="000B7E66"/>
    <w:rsid w:val="000D6694"/>
    <w:rsid w:val="000F2E7B"/>
    <w:rsid w:val="00100F8C"/>
    <w:rsid w:val="001201D9"/>
    <w:rsid w:val="00127A47"/>
    <w:rsid w:val="00161980"/>
    <w:rsid w:val="00185682"/>
    <w:rsid w:val="001A2F3D"/>
    <w:rsid w:val="001A6058"/>
    <w:rsid w:val="001C1886"/>
    <w:rsid w:val="001C6802"/>
    <w:rsid w:val="001C78D7"/>
    <w:rsid w:val="001D1C11"/>
    <w:rsid w:val="001D4BF3"/>
    <w:rsid w:val="002026D3"/>
    <w:rsid w:val="002070CE"/>
    <w:rsid w:val="002347CC"/>
    <w:rsid w:val="00235BCA"/>
    <w:rsid w:val="00236DD8"/>
    <w:rsid w:val="002465F5"/>
    <w:rsid w:val="002469FA"/>
    <w:rsid w:val="002A01BE"/>
    <w:rsid w:val="002A5AA2"/>
    <w:rsid w:val="002E0B93"/>
    <w:rsid w:val="002E368B"/>
    <w:rsid w:val="002E6758"/>
    <w:rsid w:val="002F77CF"/>
    <w:rsid w:val="00327E2E"/>
    <w:rsid w:val="003350F1"/>
    <w:rsid w:val="0034227F"/>
    <w:rsid w:val="00350ADC"/>
    <w:rsid w:val="003872C2"/>
    <w:rsid w:val="00390063"/>
    <w:rsid w:val="003A3EAF"/>
    <w:rsid w:val="003B6EB6"/>
    <w:rsid w:val="003B744B"/>
    <w:rsid w:val="003C26DC"/>
    <w:rsid w:val="003C3388"/>
    <w:rsid w:val="003D2E26"/>
    <w:rsid w:val="003F7FBB"/>
    <w:rsid w:val="004274D1"/>
    <w:rsid w:val="00430256"/>
    <w:rsid w:val="00442071"/>
    <w:rsid w:val="00450553"/>
    <w:rsid w:val="00452C55"/>
    <w:rsid w:val="00471BB3"/>
    <w:rsid w:val="00484BA4"/>
    <w:rsid w:val="0048581B"/>
    <w:rsid w:val="00493618"/>
    <w:rsid w:val="00495559"/>
    <w:rsid w:val="004A6148"/>
    <w:rsid w:val="004C76A3"/>
    <w:rsid w:val="004D57A5"/>
    <w:rsid w:val="004E1C17"/>
    <w:rsid w:val="004E767E"/>
    <w:rsid w:val="004F1DF2"/>
    <w:rsid w:val="004F5D02"/>
    <w:rsid w:val="00516C46"/>
    <w:rsid w:val="00592C45"/>
    <w:rsid w:val="00592F9A"/>
    <w:rsid w:val="005A503F"/>
    <w:rsid w:val="005C67F7"/>
    <w:rsid w:val="005E0F52"/>
    <w:rsid w:val="005E43DE"/>
    <w:rsid w:val="0060687E"/>
    <w:rsid w:val="00612779"/>
    <w:rsid w:val="0061590D"/>
    <w:rsid w:val="0062504D"/>
    <w:rsid w:val="0065582F"/>
    <w:rsid w:val="0067488B"/>
    <w:rsid w:val="006765F2"/>
    <w:rsid w:val="006B3355"/>
    <w:rsid w:val="006C557D"/>
    <w:rsid w:val="006D4902"/>
    <w:rsid w:val="006E28A7"/>
    <w:rsid w:val="006E55F9"/>
    <w:rsid w:val="00711C4B"/>
    <w:rsid w:val="007178E4"/>
    <w:rsid w:val="00762CCF"/>
    <w:rsid w:val="00773D0B"/>
    <w:rsid w:val="00782490"/>
    <w:rsid w:val="00785B6A"/>
    <w:rsid w:val="00795529"/>
    <w:rsid w:val="007C25E5"/>
    <w:rsid w:val="007D0974"/>
    <w:rsid w:val="00833534"/>
    <w:rsid w:val="00850791"/>
    <w:rsid w:val="0085714D"/>
    <w:rsid w:val="0087711D"/>
    <w:rsid w:val="00883234"/>
    <w:rsid w:val="008B3122"/>
    <w:rsid w:val="008C3E60"/>
    <w:rsid w:val="008D75AA"/>
    <w:rsid w:val="008F1367"/>
    <w:rsid w:val="00900716"/>
    <w:rsid w:val="009034A9"/>
    <w:rsid w:val="009301C9"/>
    <w:rsid w:val="00947709"/>
    <w:rsid w:val="00963584"/>
    <w:rsid w:val="0098043D"/>
    <w:rsid w:val="009B326C"/>
    <w:rsid w:val="009B3406"/>
    <w:rsid w:val="009C032A"/>
    <w:rsid w:val="009C5469"/>
    <w:rsid w:val="009E2B23"/>
    <w:rsid w:val="00A23058"/>
    <w:rsid w:val="00A70C90"/>
    <w:rsid w:val="00A76FA3"/>
    <w:rsid w:val="00AA1DD6"/>
    <w:rsid w:val="00AB1430"/>
    <w:rsid w:val="00AC512E"/>
    <w:rsid w:val="00AF4DCB"/>
    <w:rsid w:val="00B17116"/>
    <w:rsid w:val="00B277BA"/>
    <w:rsid w:val="00B27C35"/>
    <w:rsid w:val="00B64AB4"/>
    <w:rsid w:val="00B96FB2"/>
    <w:rsid w:val="00BD3B61"/>
    <w:rsid w:val="00BE359E"/>
    <w:rsid w:val="00C40B7F"/>
    <w:rsid w:val="00CC5FCE"/>
    <w:rsid w:val="00CD554F"/>
    <w:rsid w:val="00D07DDD"/>
    <w:rsid w:val="00D148D7"/>
    <w:rsid w:val="00D21F38"/>
    <w:rsid w:val="00D310A7"/>
    <w:rsid w:val="00D41376"/>
    <w:rsid w:val="00D539BD"/>
    <w:rsid w:val="00D90CC1"/>
    <w:rsid w:val="00D952E7"/>
    <w:rsid w:val="00DB402B"/>
    <w:rsid w:val="00E01355"/>
    <w:rsid w:val="00E101FF"/>
    <w:rsid w:val="00E25895"/>
    <w:rsid w:val="00EB7D1E"/>
    <w:rsid w:val="00F04AA0"/>
    <w:rsid w:val="00F3358E"/>
    <w:rsid w:val="00F3560E"/>
    <w:rsid w:val="00F47D17"/>
    <w:rsid w:val="00F53056"/>
    <w:rsid w:val="00F83B27"/>
    <w:rsid w:val="00FB5405"/>
    <w:rsid w:val="00FC6F05"/>
    <w:rsid w:val="00FD3C32"/>
    <w:rsid w:val="00FD6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B3FA7E-0745-4C7B-902E-913F26BB8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4B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53056"/>
    <w:pPr>
      <w:keepNext/>
      <w:keepLines/>
      <w:spacing w:before="200" w:after="0"/>
      <w:outlineLvl w:val="1"/>
    </w:pPr>
    <w:rPr>
      <w:rFonts w:eastAsiaTheme="majorEastAsia" w:cstheme="majorBidi"/>
      <w:bCs/>
      <w:color w:val="4F81BD" w:themeColor="accent1"/>
      <w:szCs w:val="26"/>
    </w:rPr>
  </w:style>
  <w:style w:type="paragraph" w:styleId="Heading3">
    <w:name w:val="heading 3"/>
    <w:basedOn w:val="Normal"/>
    <w:next w:val="Normal"/>
    <w:link w:val="Heading3Char"/>
    <w:uiPriority w:val="9"/>
    <w:unhideWhenUsed/>
    <w:qFormat/>
    <w:rsid w:val="009C03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A01B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043D"/>
    <w:pPr>
      <w:ind w:left="720"/>
      <w:contextualSpacing/>
    </w:pPr>
  </w:style>
  <w:style w:type="character" w:customStyle="1" w:styleId="apple-converted-space">
    <w:name w:val="apple-converted-space"/>
    <w:basedOn w:val="DefaultParagraphFont"/>
    <w:rsid w:val="007D0974"/>
  </w:style>
  <w:style w:type="paragraph" w:styleId="NormalWeb">
    <w:name w:val="Normal (Web)"/>
    <w:basedOn w:val="Normal"/>
    <w:uiPriority w:val="99"/>
    <w:unhideWhenUsed/>
    <w:rsid w:val="000B3BC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4D57A5"/>
    <w:rPr>
      <w:color w:val="0000FF"/>
      <w:u w:val="single"/>
    </w:rPr>
  </w:style>
  <w:style w:type="character" w:customStyle="1" w:styleId="Heading2Char">
    <w:name w:val="Heading 2 Char"/>
    <w:basedOn w:val="DefaultParagraphFont"/>
    <w:link w:val="Heading2"/>
    <w:uiPriority w:val="9"/>
    <w:rsid w:val="00F53056"/>
    <w:rPr>
      <w:rFonts w:eastAsiaTheme="majorEastAsia" w:cstheme="majorBidi"/>
      <w:bCs/>
      <w:color w:val="4F81BD" w:themeColor="accent1"/>
      <w:szCs w:val="26"/>
    </w:rPr>
  </w:style>
  <w:style w:type="paragraph" w:styleId="Revision">
    <w:name w:val="Revision"/>
    <w:hidden/>
    <w:uiPriority w:val="99"/>
    <w:semiHidden/>
    <w:rsid w:val="0048581B"/>
    <w:pPr>
      <w:spacing w:after="0" w:line="240" w:lineRule="auto"/>
    </w:pPr>
  </w:style>
  <w:style w:type="paragraph" w:styleId="BalloonText">
    <w:name w:val="Balloon Text"/>
    <w:basedOn w:val="Normal"/>
    <w:link w:val="BalloonTextChar"/>
    <w:uiPriority w:val="99"/>
    <w:semiHidden/>
    <w:unhideWhenUsed/>
    <w:rsid w:val="00485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81B"/>
    <w:rPr>
      <w:rFonts w:ascii="Tahoma" w:hAnsi="Tahoma" w:cs="Tahoma"/>
      <w:sz w:val="16"/>
      <w:szCs w:val="16"/>
    </w:rPr>
  </w:style>
  <w:style w:type="character" w:customStyle="1" w:styleId="Heading3Char">
    <w:name w:val="Heading 3 Char"/>
    <w:basedOn w:val="DefaultParagraphFont"/>
    <w:link w:val="Heading3"/>
    <w:uiPriority w:val="9"/>
    <w:rsid w:val="009C032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65582F"/>
    <w:rPr>
      <w:i/>
      <w:iCs/>
    </w:rPr>
  </w:style>
  <w:style w:type="character" w:customStyle="1" w:styleId="Heading1Char">
    <w:name w:val="Heading 1 Char"/>
    <w:basedOn w:val="DefaultParagraphFont"/>
    <w:link w:val="Heading1"/>
    <w:uiPriority w:val="9"/>
    <w:rsid w:val="001D4BF3"/>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2A01B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03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D13E8EC1</Template>
  <TotalTime>3</TotalTime>
  <Pages>15</Pages>
  <Words>5033</Words>
  <Characters>28692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dc:creator>
  <cp:lastModifiedBy>Blanshard, Lisa</cp:lastModifiedBy>
  <cp:revision>3</cp:revision>
  <dcterms:created xsi:type="dcterms:W3CDTF">2017-11-17T11:18:00Z</dcterms:created>
  <dcterms:modified xsi:type="dcterms:W3CDTF">2017-11-17T11:22:00Z</dcterms:modified>
</cp:coreProperties>
</file>