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C33A1" w14:textId="77777777" w:rsidR="008D3D1F" w:rsidRPr="007A49E1" w:rsidRDefault="008D3D1F" w:rsidP="008D3D1F">
      <w:pPr>
        <w:tabs>
          <w:tab w:val="left" w:pos="1800"/>
        </w:tabs>
        <w:spacing w:line="480" w:lineRule="auto"/>
      </w:pPr>
      <w:r w:rsidRPr="007A49E1">
        <w:t>Running head: BODY APPRECIATION SCALE-2</w:t>
      </w:r>
    </w:p>
    <w:p w14:paraId="55958C31" w14:textId="77777777" w:rsidR="008D3D1F" w:rsidRPr="007A49E1" w:rsidRDefault="008D3D1F" w:rsidP="008D3D1F">
      <w:pPr>
        <w:spacing w:line="480" w:lineRule="auto"/>
      </w:pPr>
    </w:p>
    <w:p w14:paraId="6530126F" w14:textId="77777777" w:rsidR="008D3D1F" w:rsidRPr="007A49E1" w:rsidRDefault="008D3D1F" w:rsidP="008D3D1F">
      <w:pPr>
        <w:spacing w:line="480" w:lineRule="auto"/>
      </w:pPr>
    </w:p>
    <w:p w14:paraId="004015FA" w14:textId="77777777" w:rsidR="008D3D1F" w:rsidRPr="007A49E1" w:rsidRDefault="008D3D1F" w:rsidP="008D3D1F">
      <w:pPr>
        <w:spacing w:line="480" w:lineRule="auto"/>
      </w:pPr>
    </w:p>
    <w:p w14:paraId="3597CFA5" w14:textId="77777777" w:rsidR="008D3D1F" w:rsidRPr="007A49E1" w:rsidRDefault="008D3D1F" w:rsidP="008D3D1F">
      <w:pPr>
        <w:spacing w:line="480" w:lineRule="auto"/>
        <w:jc w:val="center"/>
      </w:pPr>
      <w:r w:rsidRPr="007A49E1">
        <w:t>Factor Structure and Psychometric Properties of a Romanian Translation of the Body Appreciation Scale-2</w:t>
      </w:r>
    </w:p>
    <w:p w14:paraId="1C05ACC9" w14:textId="77777777" w:rsidR="008D3D1F" w:rsidRPr="007A49E1" w:rsidRDefault="008D3D1F" w:rsidP="008D3D1F">
      <w:pPr>
        <w:spacing w:line="480" w:lineRule="auto"/>
        <w:jc w:val="center"/>
      </w:pPr>
    </w:p>
    <w:p w14:paraId="20C25398" w14:textId="77777777" w:rsidR="008D3D1F" w:rsidRPr="007A49E1" w:rsidRDefault="008D3D1F" w:rsidP="008D3D1F">
      <w:pPr>
        <w:spacing w:line="480" w:lineRule="auto"/>
        <w:jc w:val="center"/>
      </w:pPr>
      <w:r w:rsidRPr="007A49E1">
        <w:t>Viren Swami</w:t>
      </w:r>
      <w:r w:rsidRPr="007A49E1">
        <w:rPr>
          <w:vertAlign w:val="superscript"/>
        </w:rPr>
        <w:t>1-2</w:t>
      </w:r>
      <w:r w:rsidRPr="007A49E1">
        <w:t>, David Barron</w:t>
      </w:r>
      <w:r>
        <w:rPr>
          <w:vertAlign w:val="superscript"/>
        </w:rPr>
        <w:t>2</w:t>
      </w:r>
      <w:r>
        <w:t>,</w:t>
      </w:r>
      <w:r>
        <w:rPr>
          <w:vertAlign w:val="superscript"/>
        </w:rPr>
        <w:t xml:space="preserve"> </w:t>
      </w:r>
      <w:r w:rsidRPr="007A49E1">
        <w:t>Otilia Tudorel</w:t>
      </w:r>
      <w:r w:rsidRPr="007A49E1">
        <w:rPr>
          <w:vertAlign w:val="superscript"/>
        </w:rPr>
        <w:t>3</w:t>
      </w:r>
      <w:r w:rsidRPr="007A49E1">
        <w:t>, Cosmin Goian</w:t>
      </w:r>
      <w:r w:rsidRPr="007A49E1">
        <w:rPr>
          <w:vertAlign w:val="superscript"/>
        </w:rPr>
        <w:t>4</w:t>
      </w:r>
      <w:r w:rsidRPr="007A49E1">
        <w:t>, &amp; Mona Vintila</w:t>
      </w:r>
      <w:r w:rsidRPr="007A49E1">
        <w:rPr>
          <w:vertAlign w:val="superscript"/>
        </w:rPr>
        <w:t>3</w:t>
      </w:r>
    </w:p>
    <w:p w14:paraId="5A0DA703" w14:textId="77777777" w:rsidR="008D3D1F" w:rsidRPr="007A49E1" w:rsidRDefault="008D3D1F" w:rsidP="008D3D1F">
      <w:pPr>
        <w:spacing w:line="480" w:lineRule="auto"/>
        <w:jc w:val="center"/>
        <w:rPr>
          <w:color w:val="000000" w:themeColor="text1"/>
        </w:rPr>
      </w:pPr>
    </w:p>
    <w:p w14:paraId="58CD1227" w14:textId="77777777" w:rsidR="008D3D1F" w:rsidRPr="007A49E1" w:rsidRDefault="008D3D1F" w:rsidP="008D3D1F">
      <w:pPr>
        <w:spacing w:line="480" w:lineRule="auto"/>
        <w:jc w:val="center"/>
        <w:rPr>
          <w:color w:val="000000" w:themeColor="text1"/>
        </w:rPr>
      </w:pPr>
      <w:r w:rsidRPr="007A49E1">
        <w:rPr>
          <w:color w:val="000000" w:themeColor="text1"/>
          <w:vertAlign w:val="superscript"/>
        </w:rPr>
        <w:t>1</w:t>
      </w:r>
      <w:r w:rsidRPr="007A49E1">
        <w:rPr>
          <w:color w:val="000000" w:themeColor="text1"/>
        </w:rPr>
        <w:t xml:space="preserve"> Department of Psychology, Anglia Ruskin University, Cambridge, UK</w:t>
      </w:r>
    </w:p>
    <w:p w14:paraId="4E3E49DE" w14:textId="77777777" w:rsidR="008D3D1F" w:rsidRPr="007A49E1" w:rsidRDefault="008D3D1F" w:rsidP="008D3D1F">
      <w:pPr>
        <w:spacing w:line="480" w:lineRule="auto"/>
        <w:jc w:val="center"/>
        <w:rPr>
          <w:color w:val="000000" w:themeColor="text1"/>
        </w:rPr>
      </w:pPr>
      <w:r w:rsidRPr="007A49E1">
        <w:rPr>
          <w:color w:val="000000" w:themeColor="text1"/>
          <w:vertAlign w:val="superscript"/>
        </w:rPr>
        <w:t>2</w:t>
      </w:r>
      <w:r w:rsidRPr="007A49E1">
        <w:rPr>
          <w:color w:val="000000" w:themeColor="text1"/>
        </w:rPr>
        <w:t xml:space="preserve"> Centre for Psychological Medicine, Perdana University, Serdang, Malaysia</w:t>
      </w:r>
    </w:p>
    <w:p w14:paraId="46A4B279" w14:textId="77777777" w:rsidR="008D3D1F" w:rsidRPr="007A49E1" w:rsidRDefault="008D3D1F" w:rsidP="008D3D1F">
      <w:pPr>
        <w:spacing w:line="480" w:lineRule="auto"/>
        <w:jc w:val="center"/>
        <w:rPr>
          <w:color w:val="000000" w:themeColor="text1"/>
        </w:rPr>
      </w:pPr>
      <w:r w:rsidRPr="007A49E1">
        <w:rPr>
          <w:color w:val="000000" w:themeColor="text1"/>
          <w:vertAlign w:val="superscript"/>
        </w:rPr>
        <w:t>3</w:t>
      </w:r>
      <w:r w:rsidRPr="007A49E1">
        <w:rPr>
          <w:color w:val="000000" w:themeColor="text1"/>
        </w:rPr>
        <w:t xml:space="preserve"> Department of Psychology, West University of Tim</w:t>
      </w:r>
      <w:r w:rsidRPr="007A49E1">
        <w:rPr>
          <w:rFonts w:eastAsia="Times New Roman"/>
          <w:color w:val="000000" w:themeColor="text1"/>
          <w:shd w:val="clear" w:color="auto" w:fill="FFFFFF"/>
        </w:rPr>
        <w:t xml:space="preserve">ișoara, </w:t>
      </w:r>
      <w:r w:rsidRPr="007A49E1">
        <w:rPr>
          <w:color w:val="000000" w:themeColor="text1"/>
        </w:rPr>
        <w:t>Tim</w:t>
      </w:r>
      <w:r w:rsidRPr="007A49E1">
        <w:rPr>
          <w:rFonts w:eastAsia="Times New Roman"/>
          <w:color w:val="000000" w:themeColor="text1"/>
          <w:shd w:val="clear" w:color="auto" w:fill="FFFFFF"/>
        </w:rPr>
        <w:t>ișoara, Romania</w:t>
      </w:r>
    </w:p>
    <w:p w14:paraId="375FAA38" w14:textId="77777777" w:rsidR="008D3D1F" w:rsidRPr="007A49E1" w:rsidRDefault="008D3D1F" w:rsidP="008D3D1F">
      <w:pPr>
        <w:spacing w:line="480" w:lineRule="auto"/>
        <w:jc w:val="center"/>
        <w:rPr>
          <w:rFonts w:eastAsia="Times New Roman"/>
          <w:color w:val="000000" w:themeColor="text1"/>
          <w:shd w:val="clear" w:color="auto" w:fill="FFFFFF"/>
        </w:rPr>
      </w:pPr>
      <w:r w:rsidRPr="007A49E1">
        <w:rPr>
          <w:rFonts w:eastAsia="Times New Roman"/>
          <w:color w:val="000000" w:themeColor="text1"/>
          <w:shd w:val="clear" w:color="auto" w:fill="FFFFFF"/>
          <w:vertAlign w:val="superscript"/>
        </w:rPr>
        <w:t>4</w:t>
      </w:r>
      <w:r w:rsidRPr="007A49E1">
        <w:rPr>
          <w:rFonts w:eastAsia="Times New Roman"/>
          <w:color w:val="000000" w:themeColor="text1"/>
          <w:shd w:val="clear" w:color="auto" w:fill="FFFFFF"/>
        </w:rPr>
        <w:t xml:space="preserve"> Department of Social Work, </w:t>
      </w:r>
      <w:r w:rsidRPr="007A49E1">
        <w:rPr>
          <w:color w:val="000000" w:themeColor="text1"/>
        </w:rPr>
        <w:t>West University of Tim</w:t>
      </w:r>
      <w:r w:rsidRPr="007A49E1">
        <w:rPr>
          <w:rFonts w:eastAsia="Times New Roman"/>
          <w:color w:val="000000" w:themeColor="text1"/>
          <w:shd w:val="clear" w:color="auto" w:fill="FFFFFF"/>
        </w:rPr>
        <w:t xml:space="preserve">ișoara, </w:t>
      </w:r>
      <w:r w:rsidRPr="007A49E1">
        <w:rPr>
          <w:color w:val="000000" w:themeColor="text1"/>
        </w:rPr>
        <w:t>Tim</w:t>
      </w:r>
      <w:r w:rsidRPr="007A49E1">
        <w:rPr>
          <w:rFonts w:eastAsia="Times New Roman"/>
          <w:color w:val="000000" w:themeColor="text1"/>
          <w:shd w:val="clear" w:color="auto" w:fill="FFFFFF"/>
        </w:rPr>
        <w:t>ișoara, Romania</w:t>
      </w:r>
    </w:p>
    <w:p w14:paraId="6C11ED26" w14:textId="77777777" w:rsidR="008D3D1F" w:rsidRPr="007A49E1" w:rsidRDefault="008D3D1F" w:rsidP="008D3D1F">
      <w:pPr>
        <w:spacing w:line="480" w:lineRule="auto"/>
        <w:jc w:val="center"/>
        <w:rPr>
          <w:rFonts w:eastAsia="Times New Roman"/>
          <w:color w:val="000000" w:themeColor="text1"/>
          <w:shd w:val="clear" w:color="auto" w:fill="FFFFFF"/>
        </w:rPr>
      </w:pPr>
    </w:p>
    <w:p w14:paraId="06C3BD99" w14:textId="77777777" w:rsidR="008D3D1F" w:rsidRPr="007A49E1" w:rsidRDefault="008D3D1F" w:rsidP="008D3D1F">
      <w:pPr>
        <w:spacing w:line="480" w:lineRule="auto"/>
        <w:jc w:val="center"/>
        <w:rPr>
          <w:rFonts w:eastAsia="Times New Roman"/>
          <w:color w:val="000000" w:themeColor="text1"/>
          <w:shd w:val="clear" w:color="auto" w:fill="FFFFFF"/>
        </w:rPr>
      </w:pPr>
    </w:p>
    <w:p w14:paraId="1E4D548D" w14:textId="77777777" w:rsidR="008D3D1F" w:rsidRPr="007A49E1" w:rsidRDefault="008D3D1F" w:rsidP="008D3D1F">
      <w:pPr>
        <w:spacing w:line="480" w:lineRule="auto"/>
        <w:jc w:val="center"/>
        <w:rPr>
          <w:rFonts w:eastAsia="Times New Roman"/>
          <w:color w:val="000000" w:themeColor="text1"/>
          <w:shd w:val="clear" w:color="auto" w:fill="FFFFFF"/>
        </w:rPr>
      </w:pPr>
    </w:p>
    <w:p w14:paraId="17B16105" w14:textId="77777777" w:rsidR="008D3D1F" w:rsidRPr="007A49E1" w:rsidRDefault="008D3D1F" w:rsidP="008D3D1F">
      <w:pPr>
        <w:spacing w:line="480" w:lineRule="auto"/>
        <w:jc w:val="center"/>
        <w:rPr>
          <w:rFonts w:eastAsia="Times New Roman"/>
          <w:color w:val="000000" w:themeColor="text1"/>
          <w:shd w:val="clear" w:color="auto" w:fill="FFFFFF"/>
        </w:rPr>
      </w:pPr>
    </w:p>
    <w:p w14:paraId="0AE3AE59" w14:textId="77777777" w:rsidR="008D3D1F" w:rsidRPr="007A49E1" w:rsidRDefault="008D3D1F" w:rsidP="008D3D1F">
      <w:pPr>
        <w:spacing w:line="480" w:lineRule="auto"/>
        <w:jc w:val="center"/>
        <w:rPr>
          <w:rFonts w:eastAsia="Times New Roman"/>
          <w:color w:val="000000" w:themeColor="text1"/>
          <w:shd w:val="clear" w:color="auto" w:fill="FFFFFF"/>
        </w:rPr>
      </w:pPr>
    </w:p>
    <w:p w14:paraId="5BA44247" w14:textId="77777777" w:rsidR="008D3D1F" w:rsidRPr="007A49E1" w:rsidRDefault="008D3D1F" w:rsidP="008D3D1F">
      <w:pPr>
        <w:spacing w:line="480" w:lineRule="auto"/>
        <w:jc w:val="center"/>
        <w:rPr>
          <w:rFonts w:eastAsia="Times New Roman"/>
          <w:color w:val="000000" w:themeColor="text1"/>
          <w:shd w:val="clear" w:color="auto" w:fill="FFFFFF"/>
        </w:rPr>
      </w:pPr>
    </w:p>
    <w:p w14:paraId="478F959A" w14:textId="77777777" w:rsidR="008D3D1F" w:rsidRPr="007A49E1" w:rsidRDefault="008D3D1F" w:rsidP="008D3D1F">
      <w:pPr>
        <w:spacing w:line="480" w:lineRule="auto"/>
        <w:jc w:val="center"/>
        <w:rPr>
          <w:rFonts w:eastAsia="Times New Roman"/>
          <w:color w:val="000000" w:themeColor="text1"/>
          <w:shd w:val="clear" w:color="auto" w:fill="FFFFFF"/>
        </w:rPr>
      </w:pPr>
    </w:p>
    <w:p w14:paraId="6A6B1FCA" w14:textId="77777777" w:rsidR="008D3D1F" w:rsidRPr="007A49E1" w:rsidRDefault="008D3D1F" w:rsidP="008D3D1F">
      <w:pPr>
        <w:spacing w:line="480" w:lineRule="auto"/>
        <w:rPr>
          <w:rFonts w:eastAsia="Times New Roman"/>
          <w:color w:val="000000" w:themeColor="text1"/>
          <w:shd w:val="clear" w:color="auto" w:fill="FFFFFF"/>
        </w:rPr>
      </w:pPr>
      <w:r w:rsidRPr="007A49E1">
        <w:rPr>
          <w:rFonts w:eastAsia="Times New Roman"/>
          <w:color w:val="000000" w:themeColor="text1"/>
          <w:shd w:val="clear" w:color="auto" w:fill="FFFFFF"/>
        </w:rPr>
        <w:t xml:space="preserve">Address correspondence to: Prof. Viren Swami, Department of Psychology, Anglia Ruskin University, East Road, Cambridge, Cambridgeshire CB1 1PT, UK. Email: viren.swami@anglia.ac.uk. </w:t>
      </w:r>
    </w:p>
    <w:p w14:paraId="2AAF8956" w14:textId="77777777" w:rsidR="008D3D1F" w:rsidRDefault="008D3D1F" w:rsidP="008D3D1F"/>
    <w:p w14:paraId="0C9899A7" w14:textId="77777777" w:rsidR="004B300D" w:rsidRPr="007A49E1" w:rsidRDefault="004B300D" w:rsidP="005D7929">
      <w:pPr>
        <w:spacing w:line="480" w:lineRule="auto"/>
        <w:jc w:val="center"/>
      </w:pPr>
      <w:bookmarkStart w:id="0" w:name="_GoBack"/>
      <w:bookmarkEnd w:id="0"/>
    </w:p>
    <w:p w14:paraId="21C4C065" w14:textId="77777777" w:rsidR="004B300D" w:rsidRPr="007A49E1" w:rsidRDefault="004B300D">
      <w:pPr>
        <w:rPr>
          <w:rFonts w:eastAsia="Times New Roman"/>
          <w:color w:val="000000" w:themeColor="text1"/>
          <w:shd w:val="clear" w:color="auto" w:fill="FFFFFF"/>
        </w:rPr>
      </w:pPr>
      <w:r w:rsidRPr="007A49E1">
        <w:rPr>
          <w:rFonts w:eastAsia="Times New Roman"/>
          <w:color w:val="000000" w:themeColor="text1"/>
          <w:shd w:val="clear" w:color="auto" w:fill="FFFFFF"/>
        </w:rPr>
        <w:br w:type="page"/>
      </w:r>
    </w:p>
    <w:p w14:paraId="141596C5" w14:textId="77777777" w:rsidR="004B300D" w:rsidRPr="007A49E1" w:rsidRDefault="004B300D" w:rsidP="004B300D">
      <w:pPr>
        <w:spacing w:line="480" w:lineRule="auto"/>
        <w:jc w:val="center"/>
        <w:rPr>
          <w:b/>
          <w:color w:val="000000" w:themeColor="text1"/>
        </w:rPr>
      </w:pPr>
      <w:r w:rsidRPr="007A49E1">
        <w:rPr>
          <w:b/>
          <w:color w:val="000000" w:themeColor="text1"/>
        </w:rPr>
        <w:lastRenderedPageBreak/>
        <w:t>Abstract</w:t>
      </w:r>
    </w:p>
    <w:p w14:paraId="2605A319" w14:textId="0CFAA8F4" w:rsidR="008D507E" w:rsidRDefault="00DD1867" w:rsidP="00664458">
      <w:pPr>
        <w:spacing w:line="480" w:lineRule="auto"/>
        <w:rPr>
          <w:rFonts w:eastAsia="Times New Roman"/>
          <w:color w:val="000000" w:themeColor="text1"/>
          <w:shd w:val="clear" w:color="auto" w:fill="FFFFFF"/>
        </w:rPr>
      </w:pPr>
      <w:r>
        <w:rPr>
          <w:color w:val="000000" w:themeColor="text1"/>
        </w:rPr>
        <w:t>W</w:t>
      </w:r>
      <w:r w:rsidR="00664458" w:rsidRPr="00DD1867">
        <w:rPr>
          <w:color w:val="000000" w:themeColor="text1"/>
        </w:rPr>
        <w:t xml:space="preserve">e </w:t>
      </w:r>
      <w:r w:rsidR="00A97F80" w:rsidRPr="00DD1867">
        <w:rPr>
          <w:color w:val="000000" w:themeColor="text1"/>
        </w:rPr>
        <w:t xml:space="preserve">examined the psychometric properties of a Romanian translation of </w:t>
      </w:r>
      <w:r w:rsidR="00664458" w:rsidRPr="00DD1867">
        <w:rPr>
          <w:color w:val="000000" w:themeColor="text1"/>
        </w:rPr>
        <w:t xml:space="preserve">the </w:t>
      </w:r>
      <w:r>
        <w:rPr>
          <w:color w:val="000000" w:themeColor="text1"/>
        </w:rPr>
        <w:t>10</w:t>
      </w:r>
      <w:r w:rsidRPr="00DD1867">
        <w:rPr>
          <w:color w:val="000000" w:themeColor="text1"/>
        </w:rPr>
        <w:t>-item Body Appreciation Scale-2 (BAS-2)</w:t>
      </w:r>
      <w:r w:rsidR="00A97F80" w:rsidRPr="00DD1867">
        <w:rPr>
          <w:color w:val="000000" w:themeColor="text1"/>
        </w:rPr>
        <w:t xml:space="preserve">. A total of 453 </w:t>
      </w:r>
      <w:r w:rsidR="00664458" w:rsidRPr="00DD1867">
        <w:rPr>
          <w:rFonts w:eastAsia="Times New Roman"/>
          <w:color w:val="000000" w:themeColor="text1"/>
          <w:shd w:val="clear" w:color="auto" w:fill="FFFFFF"/>
        </w:rPr>
        <w:t xml:space="preserve">university students from Romania completed the BAS-2, along with measures of disordered eating, self-esteem, satisfaction with life, and subjective happiness. </w:t>
      </w:r>
      <w:r w:rsidR="008D507E">
        <w:rPr>
          <w:rFonts w:eastAsia="Times New Roman"/>
          <w:color w:val="000000" w:themeColor="text1"/>
          <w:shd w:val="clear" w:color="auto" w:fill="FFFFFF"/>
        </w:rPr>
        <w:t>In addition, a separate sample of university students (</w:t>
      </w:r>
      <w:r w:rsidR="008D507E">
        <w:rPr>
          <w:rFonts w:eastAsia="Times New Roman"/>
          <w:i/>
          <w:color w:val="000000" w:themeColor="text1"/>
          <w:shd w:val="clear" w:color="auto" w:fill="FFFFFF"/>
        </w:rPr>
        <w:t>N</w:t>
      </w:r>
      <w:r w:rsidR="008D507E">
        <w:rPr>
          <w:rFonts w:eastAsia="Times New Roman"/>
          <w:color w:val="000000" w:themeColor="text1"/>
          <w:shd w:val="clear" w:color="auto" w:fill="FFFFFF"/>
        </w:rPr>
        <w:t xml:space="preserve"> = 109) completed only the BAS-2 at two time-points three weeks apart. Principal-axis</w:t>
      </w:r>
      <w:r w:rsidR="00664458" w:rsidRPr="00DD1867">
        <w:rPr>
          <w:rFonts w:eastAsia="Times New Roman"/>
          <w:color w:val="000000" w:themeColor="text1"/>
          <w:shd w:val="clear" w:color="auto" w:fill="FFFFFF"/>
        </w:rPr>
        <w:t xml:space="preserve"> factor analysis indicated that BAS-2 scores had a one-dimensional factor structure in both women and men.</w:t>
      </w:r>
      <w:r w:rsidR="008D507E">
        <w:rPr>
          <w:rFonts w:eastAsia="Times New Roman"/>
          <w:color w:val="000000" w:themeColor="text1"/>
          <w:shd w:val="clear" w:color="auto" w:fill="FFFFFF"/>
        </w:rPr>
        <w:t xml:space="preserve"> Confirmatory factor analysis indicated that this factor structure had adequate fit, but </w:t>
      </w:r>
      <w:r w:rsidR="00FC767A">
        <w:rPr>
          <w:rFonts w:eastAsia="Times New Roman"/>
          <w:color w:val="000000" w:themeColor="text1"/>
          <w:shd w:val="clear" w:color="auto" w:fill="FFFFFF"/>
        </w:rPr>
        <w:t xml:space="preserve">invariance across </w:t>
      </w:r>
      <w:r w:rsidR="00D43A86">
        <w:rPr>
          <w:rFonts w:eastAsia="Times New Roman"/>
          <w:color w:val="000000" w:themeColor="text1"/>
          <w:shd w:val="clear" w:color="auto" w:fill="FFFFFF"/>
        </w:rPr>
        <w:t xml:space="preserve">sex </w:t>
      </w:r>
      <w:r w:rsidR="00FC767A">
        <w:rPr>
          <w:rFonts w:eastAsia="Times New Roman"/>
          <w:color w:val="000000" w:themeColor="text1"/>
          <w:shd w:val="clear" w:color="auto" w:fill="FFFFFF"/>
        </w:rPr>
        <w:t xml:space="preserve">was not supported. Further analyses indicated that BAS-2 scores </w:t>
      </w:r>
      <w:r w:rsidR="000B7F9A">
        <w:rPr>
          <w:rFonts w:eastAsia="Times New Roman"/>
          <w:color w:val="000000" w:themeColor="text1"/>
          <w:shd w:val="clear" w:color="auto" w:fill="FFFFFF"/>
        </w:rPr>
        <w:t>evidenced</w:t>
      </w:r>
      <w:r w:rsidR="00FC767A">
        <w:rPr>
          <w:rFonts w:eastAsia="Times New Roman"/>
          <w:color w:val="000000" w:themeColor="text1"/>
          <w:shd w:val="clear" w:color="auto" w:fill="FFFFFF"/>
        </w:rPr>
        <w:t xml:space="preserve"> internal consistency</w:t>
      </w:r>
      <w:r w:rsidR="005D02D6">
        <w:rPr>
          <w:rFonts w:eastAsia="Times New Roman"/>
          <w:color w:val="000000" w:themeColor="text1"/>
          <w:shd w:val="clear" w:color="auto" w:fill="FFFFFF"/>
        </w:rPr>
        <w:t>,</w:t>
      </w:r>
      <w:r w:rsidR="00FC767A">
        <w:rPr>
          <w:rFonts w:eastAsia="Times New Roman"/>
          <w:color w:val="000000" w:themeColor="text1"/>
          <w:shd w:val="clear" w:color="auto" w:fill="FFFFFF"/>
        </w:rPr>
        <w:t xml:space="preserve"> convergent validity</w:t>
      </w:r>
      <w:r w:rsidR="005D02D6">
        <w:rPr>
          <w:rFonts w:eastAsia="Times New Roman"/>
          <w:color w:val="000000" w:themeColor="text1"/>
          <w:shd w:val="clear" w:color="auto" w:fill="FFFFFF"/>
        </w:rPr>
        <w:t>, and test-retest reliability</w:t>
      </w:r>
      <w:r w:rsidR="00FC767A">
        <w:rPr>
          <w:rFonts w:eastAsia="Times New Roman"/>
          <w:color w:val="000000" w:themeColor="text1"/>
          <w:shd w:val="clear" w:color="auto" w:fill="FFFFFF"/>
        </w:rPr>
        <w:t xml:space="preserve"> in both women and men. These results suggest that BAS-2 scores reduce to one dimension in Romanian adults, but the lack of sex invariance may </w:t>
      </w:r>
      <w:r w:rsidR="005D02D6">
        <w:rPr>
          <w:rFonts w:eastAsia="Times New Roman"/>
          <w:color w:val="000000" w:themeColor="text1"/>
          <w:shd w:val="clear" w:color="auto" w:fill="FFFFFF"/>
        </w:rPr>
        <w:t xml:space="preserve">indicate that the same latent construct is not being measured in women and men. </w:t>
      </w:r>
    </w:p>
    <w:p w14:paraId="4D45EFC1" w14:textId="60DAC139" w:rsidR="005A275F" w:rsidRPr="007A49E1" w:rsidRDefault="004B300D" w:rsidP="00664458">
      <w:pPr>
        <w:spacing w:line="480" w:lineRule="auto"/>
        <w:ind w:firstLine="720"/>
        <w:rPr>
          <w:color w:val="000000" w:themeColor="text1"/>
        </w:rPr>
      </w:pPr>
      <w:r w:rsidRPr="007A49E1">
        <w:rPr>
          <w:b/>
          <w:color w:val="000000" w:themeColor="text1"/>
        </w:rPr>
        <w:t>Keywords:</w:t>
      </w:r>
      <w:r w:rsidR="00664458" w:rsidRPr="007A49E1">
        <w:rPr>
          <w:color w:val="000000" w:themeColor="text1"/>
        </w:rPr>
        <w:t xml:space="preserve"> Body appreciation; Positive body image; Scale translation; Psychometrics; Romania</w:t>
      </w:r>
    </w:p>
    <w:p w14:paraId="3D0A141A" w14:textId="77777777" w:rsidR="005A275F" w:rsidRPr="007A49E1" w:rsidRDefault="005A275F">
      <w:pPr>
        <w:rPr>
          <w:b/>
          <w:color w:val="000000" w:themeColor="text1"/>
        </w:rPr>
      </w:pPr>
      <w:r w:rsidRPr="007A49E1">
        <w:rPr>
          <w:b/>
          <w:color w:val="000000" w:themeColor="text1"/>
        </w:rPr>
        <w:br w:type="page"/>
      </w:r>
    </w:p>
    <w:p w14:paraId="313D6703" w14:textId="43C36ED2" w:rsidR="004B300D" w:rsidRPr="007A49E1" w:rsidRDefault="003D4B8E" w:rsidP="003D4B8E">
      <w:pPr>
        <w:spacing w:line="480" w:lineRule="auto"/>
        <w:jc w:val="center"/>
        <w:rPr>
          <w:b/>
          <w:color w:val="000000" w:themeColor="text1"/>
        </w:rPr>
      </w:pPr>
      <w:r w:rsidRPr="007A49E1">
        <w:rPr>
          <w:b/>
          <w:color w:val="000000" w:themeColor="text1"/>
        </w:rPr>
        <w:lastRenderedPageBreak/>
        <w:t>Introduction</w:t>
      </w:r>
    </w:p>
    <w:p w14:paraId="4573963A" w14:textId="7570461E" w:rsidR="009022CC" w:rsidRPr="007A49E1" w:rsidRDefault="003D4B8E" w:rsidP="003D4B8E">
      <w:pPr>
        <w:spacing w:line="480" w:lineRule="auto"/>
        <w:rPr>
          <w:bCs/>
        </w:rPr>
      </w:pPr>
      <w:r w:rsidRPr="007A49E1">
        <w:rPr>
          <w:color w:val="000000" w:themeColor="text1"/>
        </w:rPr>
        <w:tab/>
      </w:r>
      <w:r w:rsidR="00F367DA" w:rsidRPr="007A49E1">
        <w:rPr>
          <w:color w:val="000000" w:themeColor="text1"/>
        </w:rPr>
        <w:t xml:space="preserve">Over the past decade, researchers have given sustained attention to the construct of positive body image, signalling an important shift in the field from a primary focus on pathology to a comprehensive account of the body image concept (e.g., Smolak &amp; Cash, 2011; Tylka, 2012). </w:t>
      </w:r>
      <w:r w:rsidR="009A6894" w:rsidRPr="007A49E1">
        <w:rPr>
          <w:color w:val="000000" w:themeColor="text1"/>
        </w:rPr>
        <w:t xml:space="preserve">One particular facet of positive body image that has benefitted from this attention is </w:t>
      </w:r>
      <w:r w:rsidR="009A6894" w:rsidRPr="007A49E1">
        <w:rPr>
          <w:i/>
          <w:color w:val="000000" w:themeColor="text1"/>
        </w:rPr>
        <w:t>body appreciation</w:t>
      </w:r>
      <w:r w:rsidR="009A6894" w:rsidRPr="007A49E1">
        <w:rPr>
          <w:color w:val="000000" w:themeColor="text1"/>
        </w:rPr>
        <w:t>, which Tylka and Wood-Barcalow (2015a, p. 53) define</w:t>
      </w:r>
      <w:r w:rsidR="00591EDF" w:rsidRPr="007A49E1">
        <w:rPr>
          <w:color w:val="000000" w:themeColor="text1"/>
        </w:rPr>
        <w:t>d</w:t>
      </w:r>
      <w:r w:rsidR="009A6894" w:rsidRPr="007A49E1">
        <w:rPr>
          <w:color w:val="000000" w:themeColor="text1"/>
        </w:rPr>
        <w:t xml:space="preserve"> as</w:t>
      </w:r>
      <w:r w:rsidR="009022CC" w:rsidRPr="007A49E1">
        <w:rPr>
          <w:bCs/>
        </w:rPr>
        <w:t xml:space="preserve"> “accepting, holding favorable opinions toward, and respecting the body, while also rejecting media-promoted appearance ideals as the only form of human beauty</w:t>
      </w:r>
      <w:r w:rsidR="005372B0">
        <w:rPr>
          <w:bCs/>
        </w:rPr>
        <w:t>.</w:t>
      </w:r>
      <w:r w:rsidR="009022CC" w:rsidRPr="007A49E1">
        <w:rPr>
          <w:bCs/>
        </w:rPr>
        <w:t>”</w:t>
      </w:r>
      <w:r w:rsidR="009A6894" w:rsidRPr="007A49E1">
        <w:rPr>
          <w:bCs/>
        </w:rPr>
        <w:t xml:space="preserve"> To measure this facet, Avalos, Tylka, and Wood-Barcalow (2005) </w:t>
      </w:r>
      <w:r w:rsidR="007560D7" w:rsidRPr="007A49E1">
        <w:rPr>
          <w:bCs/>
        </w:rPr>
        <w:t>developed a 13-item measure, the Body Appreciation Scale</w:t>
      </w:r>
      <w:r w:rsidR="00237E33" w:rsidRPr="007A49E1">
        <w:rPr>
          <w:bCs/>
        </w:rPr>
        <w:t xml:space="preserve"> (BAS)</w:t>
      </w:r>
      <w:r w:rsidR="007560D7" w:rsidRPr="007A49E1">
        <w:rPr>
          <w:bCs/>
        </w:rPr>
        <w:t xml:space="preserve">, </w:t>
      </w:r>
      <w:r w:rsidR="005372B0">
        <w:rPr>
          <w:bCs/>
        </w:rPr>
        <w:t>and its</w:t>
      </w:r>
      <w:r w:rsidR="005372B0" w:rsidRPr="007A49E1">
        <w:rPr>
          <w:bCs/>
        </w:rPr>
        <w:t xml:space="preserve"> </w:t>
      </w:r>
      <w:r w:rsidR="007560D7" w:rsidRPr="007A49E1">
        <w:rPr>
          <w:bCs/>
        </w:rPr>
        <w:t xml:space="preserve">scores were found to have a one-dimensional factor structure in college women in the United States (U.S.). In a later study, Tylka (2013) reported that this one-dimensional factor structure was invariant across U.S. college women and men. </w:t>
      </w:r>
    </w:p>
    <w:p w14:paraId="254D2373" w14:textId="5AFE3CEB" w:rsidR="007560D7" w:rsidRPr="007A49E1" w:rsidRDefault="00094DE9" w:rsidP="003D4B8E">
      <w:pPr>
        <w:spacing w:line="480" w:lineRule="auto"/>
        <w:rPr>
          <w:color w:val="000000" w:themeColor="text1"/>
        </w:rPr>
      </w:pPr>
      <w:r w:rsidRPr="007A49E1">
        <w:rPr>
          <w:bCs/>
        </w:rPr>
        <w:tab/>
      </w:r>
      <w:r w:rsidR="000F5AFC" w:rsidRPr="007A49E1">
        <w:rPr>
          <w:bCs/>
        </w:rPr>
        <w:t xml:space="preserve">Studies using </w:t>
      </w:r>
      <w:r w:rsidR="00014FA0">
        <w:rPr>
          <w:bCs/>
        </w:rPr>
        <w:t>factor analysis</w:t>
      </w:r>
      <w:r w:rsidR="000F5AFC" w:rsidRPr="007A49E1">
        <w:rPr>
          <w:bCs/>
        </w:rPr>
        <w:t xml:space="preserve"> have supported the one-dimensional nature of BAS scores in a community sample of Austrian adults (Swami, Stieger, Haubner, &amp; Voracek, 2008), Spanish adolescents (Lobera &amp; Rios, 201</w:t>
      </w:r>
      <w:r w:rsidR="00670A18" w:rsidRPr="007A49E1">
        <w:rPr>
          <w:bCs/>
        </w:rPr>
        <w:t>1), and Tur</w:t>
      </w:r>
      <w:r w:rsidR="000F5AFC" w:rsidRPr="007A49E1">
        <w:rPr>
          <w:bCs/>
        </w:rPr>
        <w:t>kish college women (</w:t>
      </w:r>
      <w:r w:rsidR="000F5AFC" w:rsidRPr="007A49E1">
        <w:rPr>
          <w:color w:val="000000" w:themeColor="text1"/>
        </w:rPr>
        <w:t>Swami, Özgen, Gökçen, &amp; Petrides, 2015</w:t>
      </w:r>
      <w:r w:rsidR="00670A18" w:rsidRPr="007A49E1">
        <w:rPr>
          <w:color w:val="000000" w:themeColor="text1"/>
        </w:rPr>
        <w:t xml:space="preserve">; but </w:t>
      </w:r>
      <w:r w:rsidR="003129BE" w:rsidRPr="007A49E1">
        <w:rPr>
          <w:color w:val="000000" w:themeColor="text1"/>
        </w:rPr>
        <w:t xml:space="preserve">see </w:t>
      </w:r>
      <w:r w:rsidR="00670A18" w:rsidRPr="007A49E1">
        <w:rPr>
          <w:color w:val="000000" w:themeColor="text1"/>
        </w:rPr>
        <w:t>Bakalim &amp; Tasleden-Karçkay, 2016</w:t>
      </w:r>
      <w:r w:rsidR="000F5AFC" w:rsidRPr="007A49E1">
        <w:rPr>
          <w:color w:val="000000" w:themeColor="text1"/>
        </w:rPr>
        <w:t>). However, in an early study with Malaysian women, Swami and Chamorro-Premuzic (2008) reported</w:t>
      </w:r>
      <w:r w:rsidR="00531DDA" w:rsidRPr="007A49E1">
        <w:rPr>
          <w:color w:val="000000" w:themeColor="text1"/>
        </w:rPr>
        <w:t>,</w:t>
      </w:r>
      <w:r w:rsidR="000F5AFC" w:rsidRPr="007A49E1">
        <w:rPr>
          <w:color w:val="000000" w:themeColor="text1"/>
        </w:rPr>
        <w:t xml:space="preserve"> using confirmatory factor analysis (CFA)</w:t>
      </w:r>
      <w:r w:rsidR="00531DDA" w:rsidRPr="007A49E1">
        <w:rPr>
          <w:color w:val="000000" w:themeColor="text1"/>
        </w:rPr>
        <w:t>,</w:t>
      </w:r>
      <w:r w:rsidR="000F5AFC" w:rsidRPr="007A49E1">
        <w:rPr>
          <w:color w:val="000000" w:themeColor="text1"/>
        </w:rPr>
        <w:t xml:space="preserve"> that the one-dimensional factor structure of </w:t>
      </w:r>
      <w:r w:rsidR="00014FA0">
        <w:rPr>
          <w:color w:val="000000" w:themeColor="text1"/>
        </w:rPr>
        <w:t>BAS scores had poor fit. Using principal-axis factor analysis</w:t>
      </w:r>
      <w:r w:rsidR="000F5AFC" w:rsidRPr="007A49E1">
        <w:rPr>
          <w:color w:val="000000" w:themeColor="text1"/>
        </w:rPr>
        <w:t xml:space="preserve">, these authors instead extracted a two-dimensional structure consisting of a primary factor tapping what they termed </w:t>
      </w:r>
      <w:r w:rsidR="00531DDA" w:rsidRPr="007A49E1">
        <w:rPr>
          <w:color w:val="000000" w:themeColor="text1"/>
        </w:rPr>
        <w:t>“</w:t>
      </w:r>
      <w:r w:rsidR="000F5AFC" w:rsidRPr="007A49E1">
        <w:rPr>
          <w:color w:val="000000" w:themeColor="text1"/>
        </w:rPr>
        <w:t>general body appreciation</w:t>
      </w:r>
      <w:r w:rsidR="00531DDA" w:rsidRPr="007A49E1">
        <w:rPr>
          <w:color w:val="000000" w:themeColor="text1"/>
        </w:rPr>
        <w:t>”</w:t>
      </w:r>
      <w:r w:rsidR="000F5AFC" w:rsidRPr="007A49E1">
        <w:rPr>
          <w:color w:val="000000" w:themeColor="text1"/>
        </w:rPr>
        <w:t xml:space="preserve"> and a secondary factor that was said to measure </w:t>
      </w:r>
      <w:r w:rsidR="00531DDA" w:rsidRPr="007A49E1">
        <w:rPr>
          <w:color w:val="000000" w:themeColor="text1"/>
        </w:rPr>
        <w:t>“</w:t>
      </w:r>
      <w:r w:rsidR="000F5AFC" w:rsidRPr="007A49E1">
        <w:rPr>
          <w:color w:val="000000" w:themeColor="text1"/>
        </w:rPr>
        <w:t>body image investment</w:t>
      </w:r>
      <w:r w:rsidR="003B54EE">
        <w:rPr>
          <w:color w:val="000000" w:themeColor="text1"/>
        </w:rPr>
        <w:t>.</w:t>
      </w:r>
      <w:r w:rsidR="00531DDA" w:rsidRPr="007A49E1">
        <w:rPr>
          <w:color w:val="000000" w:themeColor="text1"/>
        </w:rPr>
        <w:t>”</w:t>
      </w:r>
      <w:r w:rsidR="000F5AFC" w:rsidRPr="007A49E1">
        <w:rPr>
          <w:color w:val="000000" w:themeColor="text1"/>
        </w:rPr>
        <w:t xml:space="preserve"> Later studies also supported a two-factor structure of BAS scores across distinct linguistic and national groups (for reviews, see Swami, 2017; Webb, Wood-Barcalow, &amp; Tylka, 2015), </w:t>
      </w:r>
      <w:r w:rsidR="004F70C0" w:rsidRPr="007A49E1">
        <w:rPr>
          <w:color w:val="000000" w:themeColor="text1"/>
        </w:rPr>
        <w:t>including in Brazil (</w:t>
      </w:r>
      <w:r w:rsidR="00670A18" w:rsidRPr="007A49E1">
        <w:rPr>
          <w:color w:val="000000" w:themeColor="text1"/>
        </w:rPr>
        <w:t xml:space="preserve">Ferreira, Neves, &amp; Tavares, 2014; </w:t>
      </w:r>
      <w:r w:rsidR="004F70C0" w:rsidRPr="007A49E1">
        <w:rPr>
          <w:color w:val="000000" w:themeColor="text1"/>
        </w:rPr>
        <w:t xml:space="preserve">Swami et al., 2011), Indonesia (Swami &amp; Jaafar, 2012), South Korea (Swami, Hwang, &amp; Jung, 2012), Poland </w:t>
      </w:r>
      <w:r w:rsidR="004F70C0" w:rsidRPr="007A49E1">
        <w:rPr>
          <w:color w:val="000000" w:themeColor="text1"/>
        </w:rPr>
        <w:lastRenderedPageBreak/>
        <w:t>(Taylor, Szpakowska, &amp; Swami, 2013), Zimbabwe (Swami, Mada, &amp; Tovée, 2012), Hong Kong (Ng, Barron, &amp; Swami, 2015), and Iran (Atari, Akba</w:t>
      </w:r>
      <w:r w:rsidR="00237E33" w:rsidRPr="007A49E1">
        <w:rPr>
          <w:color w:val="000000" w:themeColor="text1"/>
        </w:rPr>
        <w:t>ri-Zardkhaneh, Mohammadi, &amp; Souf</w:t>
      </w:r>
      <w:r w:rsidR="004F70C0" w:rsidRPr="007A49E1">
        <w:rPr>
          <w:color w:val="000000" w:themeColor="text1"/>
        </w:rPr>
        <w:t xml:space="preserve">iabadi, 2015). </w:t>
      </w:r>
    </w:p>
    <w:p w14:paraId="1012A101" w14:textId="5628FE8A" w:rsidR="005122FF" w:rsidRPr="007A49E1" w:rsidRDefault="0088554F" w:rsidP="003D4B8E">
      <w:pPr>
        <w:spacing w:line="480" w:lineRule="auto"/>
        <w:rPr>
          <w:color w:val="000000" w:themeColor="text1"/>
        </w:rPr>
      </w:pPr>
      <w:r w:rsidRPr="007A49E1">
        <w:rPr>
          <w:color w:val="000000" w:themeColor="text1"/>
        </w:rPr>
        <w:tab/>
      </w:r>
      <w:r w:rsidR="006B74D1" w:rsidRPr="007A49E1">
        <w:rPr>
          <w:color w:val="000000" w:themeColor="text1"/>
        </w:rPr>
        <w:t xml:space="preserve">In addition to these discrepant factor structures, the BAS was also developed prior to sustained focus on the concept of positive body image (e.g., Coppola, Dimler, Letendre, &amp; McHugh, 2017; Holmqvist &amp; Frisén, 2012; McHugh, Coppola, &amp; Sabiston, 2014; Wood-Barcalow, Tylka, &amp; Augustus-Horvath, 2010). In particular, some items of the BAS </w:t>
      </w:r>
      <w:r w:rsidR="006325F8" w:rsidRPr="007A49E1">
        <w:rPr>
          <w:color w:val="000000" w:themeColor="text1"/>
        </w:rPr>
        <w:t xml:space="preserve">reflected the antiquated belief that positive body image was equivalent to the absence of indices of negative body image. Given these issues, </w:t>
      </w:r>
      <w:r w:rsidRPr="007A49E1">
        <w:rPr>
          <w:color w:val="000000" w:themeColor="text1"/>
        </w:rPr>
        <w:t xml:space="preserve">Tylka and Wood-Barcalow (2015b) developed a revised version of the BAS. Specifically, they </w:t>
      </w:r>
      <w:r w:rsidR="003D4B8E" w:rsidRPr="007A49E1">
        <w:rPr>
          <w:color w:val="000000" w:themeColor="text1"/>
        </w:rPr>
        <w:t>deleted one sex-specific item</w:t>
      </w:r>
      <w:r w:rsidR="003B54EE">
        <w:rPr>
          <w:color w:val="000000" w:themeColor="text1"/>
        </w:rPr>
        <w:t xml:space="preserve">, two items that represent </w:t>
      </w:r>
      <w:r w:rsidR="00B80A13">
        <w:rPr>
          <w:color w:val="000000" w:themeColor="text1"/>
        </w:rPr>
        <w:t>low levels</w:t>
      </w:r>
      <w:r w:rsidR="003B54EE">
        <w:rPr>
          <w:color w:val="000000" w:themeColor="text1"/>
        </w:rPr>
        <w:t xml:space="preserve"> of negative body image, and two items that </w:t>
      </w:r>
      <w:r w:rsidR="00AE48A6">
        <w:rPr>
          <w:color w:val="000000" w:themeColor="text1"/>
        </w:rPr>
        <w:t>are</w:t>
      </w:r>
      <w:r w:rsidR="003B54EE">
        <w:rPr>
          <w:color w:val="000000" w:themeColor="text1"/>
        </w:rPr>
        <w:t xml:space="preserve"> inconsistent with current conceptualizations of positive body image</w:t>
      </w:r>
      <w:r w:rsidR="00B80A13">
        <w:rPr>
          <w:color w:val="000000" w:themeColor="text1"/>
        </w:rPr>
        <w:t xml:space="preserve"> (i.e., </w:t>
      </w:r>
      <w:r w:rsidR="00AE48A6">
        <w:rPr>
          <w:color w:val="000000" w:themeColor="text1"/>
        </w:rPr>
        <w:t xml:space="preserve">containing language that </w:t>
      </w:r>
      <w:r w:rsidR="00B80A13">
        <w:rPr>
          <w:color w:val="000000" w:themeColor="text1"/>
        </w:rPr>
        <w:t>assum</w:t>
      </w:r>
      <w:r w:rsidR="00AE48A6">
        <w:rPr>
          <w:color w:val="000000" w:themeColor="text1"/>
        </w:rPr>
        <w:t>es</w:t>
      </w:r>
      <w:r w:rsidR="00B80A13">
        <w:rPr>
          <w:color w:val="000000" w:themeColor="text1"/>
        </w:rPr>
        <w:t xml:space="preserve"> bodies are flawed)</w:t>
      </w:r>
      <w:r w:rsidRPr="007A49E1">
        <w:rPr>
          <w:color w:val="000000" w:themeColor="text1"/>
        </w:rPr>
        <w:t xml:space="preserve">. </w:t>
      </w:r>
      <w:r w:rsidR="003B54EE">
        <w:rPr>
          <w:color w:val="000000" w:themeColor="text1"/>
        </w:rPr>
        <w:t>They developed additional items that would better reflect positive body image</w:t>
      </w:r>
      <w:r w:rsidR="00B80A13">
        <w:rPr>
          <w:color w:val="000000" w:themeColor="text1"/>
        </w:rPr>
        <w:t xml:space="preserve"> and, alongside the eight remaining original items, conducted a factor analysis, in which items were retained that had high factor loadings and low item redundancy</w:t>
      </w:r>
      <w:r w:rsidR="003B54EE">
        <w:rPr>
          <w:color w:val="000000" w:themeColor="text1"/>
        </w:rPr>
        <w:t xml:space="preserve">. </w:t>
      </w:r>
      <w:r w:rsidRPr="007A49E1">
        <w:rPr>
          <w:color w:val="000000" w:themeColor="text1"/>
        </w:rPr>
        <w:t>This revised measure, known as the Body Appreciation Scale-2 (BAS-2), consists of 10 items</w:t>
      </w:r>
      <w:r w:rsidR="00D7484C">
        <w:rPr>
          <w:color w:val="000000" w:themeColor="text1"/>
        </w:rPr>
        <w:t xml:space="preserve"> (five original BAS items and five newly developed items)</w:t>
      </w:r>
      <w:r w:rsidR="00B80A13">
        <w:rPr>
          <w:color w:val="000000" w:themeColor="text1"/>
        </w:rPr>
        <w:t>,</w:t>
      </w:r>
      <w:r w:rsidRPr="007A49E1">
        <w:rPr>
          <w:color w:val="000000" w:themeColor="text1"/>
        </w:rPr>
        <w:t xml:space="preserve"> and scores on the scale have been found to have a one-dimensional factor structure in college and community adults from the U.S. (Tylka &amp; Wood-Barcalow, 2015b). </w:t>
      </w:r>
    </w:p>
    <w:p w14:paraId="23B2D5C9" w14:textId="6C011229" w:rsidR="00AC6E92" w:rsidRPr="007A49E1" w:rsidRDefault="0088554F" w:rsidP="005122FF">
      <w:pPr>
        <w:spacing w:line="480" w:lineRule="auto"/>
        <w:ind w:firstLine="720"/>
        <w:rPr>
          <w:color w:val="000000" w:themeColor="text1"/>
        </w:rPr>
      </w:pPr>
      <w:r w:rsidRPr="007A49E1">
        <w:rPr>
          <w:color w:val="000000" w:themeColor="text1"/>
        </w:rPr>
        <w:t xml:space="preserve">As with </w:t>
      </w:r>
      <w:r w:rsidR="005122FF" w:rsidRPr="007A49E1">
        <w:rPr>
          <w:color w:val="000000" w:themeColor="text1"/>
        </w:rPr>
        <w:t>the BAS</w:t>
      </w:r>
      <w:r w:rsidRPr="007A49E1">
        <w:rPr>
          <w:color w:val="000000" w:themeColor="text1"/>
        </w:rPr>
        <w:t>, scholars have also been quick to examine the factor structure of scores derived from translat</w:t>
      </w:r>
      <w:r w:rsidR="00014FA0">
        <w:rPr>
          <w:color w:val="000000" w:themeColor="text1"/>
        </w:rPr>
        <w:t>ions of the BAS-2. Thus, using principal-axis factor analysis</w:t>
      </w:r>
      <w:r w:rsidRPr="007A49E1">
        <w:rPr>
          <w:color w:val="000000" w:themeColor="text1"/>
        </w:rPr>
        <w:t>, the one-dimensional factor structure of BAS-2 scores has been supported with college samples from Hong Kong (Swami &amp; Ng, 2015), the Netherlands (Alleva, Martijn, Veldhuis, &amp; Tylka, 2016), and Iran (Atari, 2016), as well as</w:t>
      </w:r>
      <w:r w:rsidR="00A65493">
        <w:rPr>
          <w:color w:val="000000" w:themeColor="text1"/>
        </w:rPr>
        <w:t xml:space="preserve"> a community sample</w:t>
      </w:r>
      <w:r w:rsidRPr="007A49E1">
        <w:rPr>
          <w:color w:val="000000" w:themeColor="text1"/>
        </w:rPr>
        <w:t xml:space="preserve"> from </w:t>
      </w:r>
      <w:r w:rsidR="003D4B8E" w:rsidRPr="007A49E1">
        <w:rPr>
          <w:color w:val="000000" w:themeColor="text1"/>
        </w:rPr>
        <w:t xml:space="preserve">Serbia (Jovic, Sfroza, Jovanovic, &amp; Jovic, 2016). </w:t>
      </w:r>
      <w:r w:rsidRPr="007A49E1">
        <w:rPr>
          <w:color w:val="000000" w:themeColor="text1"/>
        </w:rPr>
        <w:t xml:space="preserve">In addition, </w:t>
      </w:r>
      <w:r w:rsidR="003D4B8E" w:rsidRPr="007A49E1">
        <w:rPr>
          <w:color w:val="000000" w:themeColor="text1"/>
        </w:rPr>
        <w:t xml:space="preserve">using CFA, the one-dimensional factor structure of </w:t>
      </w:r>
      <w:r w:rsidR="003D4B8E" w:rsidRPr="007A49E1">
        <w:rPr>
          <w:color w:val="000000" w:themeColor="text1"/>
        </w:rPr>
        <w:lastRenderedPageBreak/>
        <w:t>the BAS-2 has been confirmed in a mixed college staff-and-student sample from mainland China (Swami, Ng, &amp; Barron, 2016), in a college sample from France (Ker</w:t>
      </w:r>
      <w:r w:rsidR="00B20BBC">
        <w:rPr>
          <w:color w:val="000000" w:themeColor="text1"/>
        </w:rPr>
        <w:t>techian &amp; Swami, 2017), and in</w:t>
      </w:r>
      <w:r w:rsidR="003D4B8E" w:rsidRPr="007A49E1">
        <w:rPr>
          <w:color w:val="000000" w:themeColor="text1"/>
        </w:rPr>
        <w:t xml:space="preserve"> community sample</w:t>
      </w:r>
      <w:r w:rsidR="00B20BBC">
        <w:rPr>
          <w:color w:val="000000" w:themeColor="text1"/>
        </w:rPr>
        <w:t>s</w:t>
      </w:r>
      <w:r w:rsidR="003D4B8E" w:rsidRPr="007A49E1">
        <w:rPr>
          <w:color w:val="000000" w:themeColor="text1"/>
        </w:rPr>
        <w:t xml:space="preserve"> from Spain (Swami, García, &amp; Barron, 2017)</w:t>
      </w:r>
      <w:r w:rsidR="00B20BBC">
        <w:rPr>
          <w:color w:val="000000" w:themeColor="text1"/>
        </w:rPr>
        <w:t xml:space="preserve"> and Poland (Razmus &amp; Razmus, 2017)</w:t>
      </w:r>
      <w:r w:rsidR="003D4B8E" w:rsidRPr="007A49E1">
        <w:rPr>
          <w:color w:val="000000" w:themeColor="text1"/>
        </w:rPr>
        <w:t xml:space="preserve">. </w:t>
      </w:r>
      <w:r w:rsidR="00AC6E92" w:rsidRPr="007A49E1">
        <w:rPr>
          <w:color w:val="000000" w:themeColor="text1"/>
        </w:rPr>
        <w:t>As in the parent study (Tylka &amp; Wood-Barcalow, 2015b), these CFA-based studies have also reported that BAS</w:t>
      </w:r>
      <w:r w:rsidR="005122FF" w:rsidRPr="007A49E1">
        <w:rPr>
          <w:color w:val="000000" w:themeColor="text1"/>
        </w:rPr>
        <w:t>-2</w:t>
      </w:r>
      <w:r w:rsidR="00AC6E92" w:rsidRPr="007A49E1">
        <w:rPr>
          <w:color w:val="000000" w:themeColor="text1"/>
        </w:rPr>
        <w:t xml:space="preserve"> scores are invariant across participant sex, </w:t>
      </w:r>
      <w:r w:rsidR="000B7F9A">
        <w:rPr>
          <w:color w:val="000000" w:themeColor="text1"/>
        </w:rPr>
        <w:t>evidence</w:t>
      </w:r>
      <w:r w:rsidR="00AC6E92" w:rsidRPr="007A49E1">
        <w:rPr>
          <w:color w:val="000000" w:themeColor="text1"/>
        </w:rPr>
        <w:t xml:space="preserve"> internal consistency, and </w:t>
      </w:r>
      <w:r w:rsidR="000B7F9A">
        <w:rPr>
          <w:color w:val="000000" w:themeColor="text1"/>
        </w:rPr>
        <w:t>reveal</w:t>
      </w:r>
      <w:r w:rsidR="00AC6E92" w:rsidRPr="007A49E1">
        <w:rPr>
          <w:color w:val="000000" w:themeColor="text1"/>
        </w:rPr>
        <w:t xml:space="preserve"> patterns of convergent validity. In addition, most studies with relevant data have reported that men have significantly higher BAS-2 scores than women, with small-to-moderate effect size (</w:t>
      </w:r>
      <w:r w:rsidR="00AC6E92" w:rsidRPr="007A49E1">
        <w:rPr>
          <w:i/>
        </w:rPr>
        <w:t>d</w:t>
      </w:r>
      <w:r w:rsidR="00AC6E92" w:rsidRPr="007A49E1">
        <w:t xml:space="preserve">s = 0.15-0.58; Atari, 2016; Kertechian &amp; Swami, 2017; Swami &amp; Ng, 2015; Tylka &amp; Wood-Barcalow, 2015), although two studies have failed to find significant sex differences </w:t>
      </w:r>
      <w:r w:rsidR="00265B25" w:rsidRPr="007A49E1">
        <w:t>(Swami et al., 2016, 2</w:t>
      </w:r>
      <w:r w:rsidR="00AC6E92" w:rsidRPr="007A49E1">
        <w:t>017). Taken together, the available evidence suggests that BAS-2 scores have a one-dimensional factor structure across cultural groups</w:t>
      </w:r>
      <w:r w:rsidR="00C35CC4">
        <w:t>,</w:t>
      </w:r>
      <w:r w:rsidR="00AC6E92" w:rsidRPr="007A49E1">
        <w:t xml:space="preserve"> with good psychometric properties. </w:t>
      </w:r>
    </w:p>
    <w:p w14:paraId="4FAF0446" w14:textId="022B42D2" w:rsidR="00AC6E92" w:rsidRPr="007A49E1" w:rsidRDefault="00AC6E92" w:rsidP="003D4B8E">
      <w:pPr>
        <w:spacing w:line="480" w:lineRule="auto"/>
        <w:rPr>
          <w:b/>
        </w:rPr>
      </w:pPr>
      <w:r w:rsidRPr="007A49E1">
        <w:rPr>
          <w:b/>
        </w:rPr>
        <w:t xml:space="preserve">The </w:t>
      </w:r>
      <w:r w:rsidR="005122FF" w:rsidRPr="007A49E1">
        <w:rPr>
          <w:b/>
        </w:rPr>
        <w:t>Romanian Context</w:t>
      </w:r>
    </w:p>
    <w:p w14:paraId="5983834A" w14:textId="6CA89686" w:rsidR="0014379C" w:rsidRPr="007A49E1" w:rsidRDefault="00AC6E92" w:rsidP="00225F13">
      <w:pPr>
        <w:spacing w:line="480" w:lineRule="auto"/>
      </w:pPr>
      <w:r w:rsidRPr="007A49E1">
        <w:tab/>
      </w:r>
      <w:r w:rsidR="005122FF" w:rsidRPr="007A49E1">
        <w:t>Here</w:t>
      </w:r>
      <w:r w:rsidR="00CF1D8F" w:rsidRPr="007A49E1">
        <w:t>, we examined the factor structure and psychometric properties of a Romanian</w:t>
      </w:r>
      <w:r w:rsidR="00225F13" w:rsidRPr="007A49E1">
        <w:t xml:space="preserve"> (</w:t>
      </w:r>
      <w:r w:rsidR="0014379C" w:rsidRPr="007A49E1">
        <w:rPr>
          <w:rFonts w:eastAsia="Times New Roman"/>
          <w:i/>
          <w:iCs/>
          <w:color w:val="252525"/>
        </w:rPr>
        <w:t>limba română</w:t>
      </w:r>
      <w:r w:rsidR="0014379C" w:rsidRPr="007A49E1">
        <w:rPr>
          <w:rFonts w:eastAsia="Times New Roman"/>
          <w:color w:val="252525"/>
          <w:shd w:val="clear" w:color="auto" w:fill="FFFFFF"/>
        </w:rPr>
        <w:t xml:space="preserve"> or лимба ромынэ in</w:t>
      </w:r>
      <w:r w:rsidR="0014379C" w:rsidRPr="007A49E1">
        <w:rPr>
          <w:rStyle w:val="apple-converted-space"/>
          <w:rFonts w:eastAsia="Times New Roman"/>
          <w:color w:val="252525"/>
          <w:shd w:val="clear" w:color="auto" w:fill="FFFFFF"/>
        </w:rPr>
        <w:t> </w:t>
      </w:r>
      <w:r w:rsidR="0014379C" w:rsidRPr="007A49E1">
        <w:rPr>
          <w:rFonts w:eastAsia="Times New Roman"/>
        </w:rPr>
        <w:t>Moldovan Cyrillic</w:t>
      </w:r>
      <w:r w:rsidR="00225F13" w:rsidRPr="007A49E1">
        <w:t>) translation of the BAS-2. We believe this is important for several reasons. First, Romanian is spoken by around 24 million people as a first language, mainly in Romania and Moldova</w:t>
      </w:r>
      <w:r w:rsidR="002A2325" w:rsidRPr="007A49E1">
        <w:t xml:space="preserve"> (where it has official status)</w:t>
      </w:r>
      <w:r w:rsidR="00225F13" w:rsidRPr="007A49E1">
        <w:t>, as well as by several million more as a second language (</w:t>
      </w:r>
      <w:r w:rsidR="002A2325" w:rsidRPr="007A49E1">
        <w:t xml:space="preserve">European Commission, 2012). </w:t>
      </w:r>
      <w:r w:rsidR="00650F96" w:rsidRPr="007A49E1">
        <w:t xml:space="preserve">The availability of a translation of the BAS-2 would, therefore, provide an important tool for the assessment of positive body image in relatively neglected linguistic groups within the body image literature. To be sure, </w:t>
      </w:r>
      <w:r w:rsidR="001F3F90" w:rsidRPr="007A49E1">
        <w:t xml:space="preserve">a Romanian translation of the BAS appears to have been prepared (Dumitrescu, Zetu, Teslaru, Dogaru, &amp; Dogaru, 2008), but the authors neglected to report on the translational procedures. Just as important, the authors of this translation also did not examine the factor structure of Romanian BAS scores, instead assuming that these scores were one-dimensional. This is problematic because the assumed one-dimensional structure </w:t>
      </w:r>
      <w:r w:rsidR="001F3F90" w:rsidRPr="007A49E1">
        <w:lastRenderedPageBreak/>
        <w:t xml:space="preserve">may not be appropriate for these data </w:t>
      </w:r>
      <w:r w:rsidR="00685746" w:rsidRPr="007A49E1">
        <w:t xml:space="preserve">and may result in spurious associations with other variables. </w:t>
      </w:r>
    </w:p>
    <w:p w14:paraId="79F80847" w14:textId="4933A094" w:rsidR="00393DEE" w:rsidRPr="007A49E1" w:rsidRDefault="00393DEE" w:rsidP="00225F13">
      <w:pPr>
        <w:spacing w:line="480" w:lineRule="auto"/>
      </w:pPr>
      <w:r w:rsidRPr="007A49E1">
        <w:tab/>
        <w:t xml:space="preserve">Second, </w:t>
      </w:r>
      <w:r w:rsidR="00705304" w:rsidRPr="007A49E1">
        <w:t xml:space="preserve">investigating body image issues in Romania is important in its own right because of the unique cultural and historical trajectories of its population. For example, </w:t>
      </w:r>
      <w:r w:rsidR="00622871" w:rsidRPr="007A49E1">
        <w:t xml:space="preserve">it has been suggested that, prior to the adoption of free market economics in Eastern European nations, Communism may have protected women in the region from body image disturbances through a rejection of objectification and a promotion of egalitarianism (Catina &amp; Joja, 2001; Haavio-Mannila &amp; Purhonen, 2001). Although this claim is contested (Eisler, 2001), what is clear is that the introduction of a market economy brought a raft of social and cultural changes (e.g., an influx of Western media emphasising the thin ideal and an ethos of working on the body as necessary) that may have contributed to a rise in body image disturbance </w:t>
      </w:r>
      <w:r w:rsidR="00585DAC" w:rsidRPr="007A49E1">
        <w:t>in women (e.g., Catina &amp; Joja, 2001; Frederick, Forbes, &amp; Berezovskaya, 2008). Conversely, however, few studies have specifically focused on issues of positive body image in these nations (but see Taylor et al., 2013). In addition, body image research in Romania specifically remains piecemeal and hampered by a lack of psychomet</w:t>
      </w:r>
      <w:r w:rsidR="008D5542" w:rsidRPr="007A49E1">
        <w:t>rically sound assessment tools, although it is clear that the country is experiencing nutrition</w:t>
      </w:r>
      <w:r w:rsidR="008B0FEE">
        <w:t xml:space="preserve"> and physical activity</w:t>
      </w:r>
      <w:r w:rsidR="008D5542" w:rsidRPr="007A49E1">
        <w:t xml:space="preserve"> transition</w:t>
      </w:r>
      <w:r w:rsidR="008B0FEE">
        <w:t>s</w:t>
      </w:r>
      <w:r w:rsidR="008D5542" w:rsidRPr="007A49E1">
        <w:t xml:space="preserve"> with increased intake of foods rich in carbohydrates and saturated fats</w:t>
      </w:r>
      <w:r w:rsidR="004B1E8D">
        <w:t>,</w:t>
      </w:r>
      <w:r w:rsidR="008D5542" w:rsidRPr="007A49E1">
        <w:t xml:space="preserve"> and an increase in sedentary lifestyles (Mocanu, 2013; Ulijaszek &amp; Koziel, 2007).</w:t>
      </w:r>
    </w:p>
    <w:p w14:paraId="1AA37A9C" w14:textId="0CA363C1" w:rsidR="005122FF" w:rsidRPr="007A49E1" w:rsidRDefault="005122FF" w:rsidP="00225F13">
      <w:pPr>
        <w:spacing w:line="480" w:lineRule="auto"/>
        <w:rPr>
          <w:b/>
        </w:rPr>
      </w:pPr>
      <w:r w:rsidRPr="007A49E1">
        <w:rPr>
          <w:b/>
        </w:rPr>
        <w:t>The Present Study</w:t>
      </w:r>
    </w:p>
    <w:p w14:paraId="701CA643" w14:textId="231F997F" w:rsidR="00531DDA" w:rsidRPr="007A49E1" w:rsidRDefault="008D5542" w:rsidP="00225F13">
      <w:pPr>
        <w:spacing w:line="480" w:lineRule="auto"/>
      </w:pPr>
      <w:r w:rsidRPr="007A49E1">
        <w:tab/>
        <w:t xml:space="preserve">As a contribution to the literature, therefore, we prepared a Romanian translation of the BAS-2 and examined its factor structure and psychometric properties in a sample of Romanian adults. </w:t>
      </w:r>
      <w:r w:rsidR="005122FF" w:rsidRPr="007A49E1">
        <w:t>First, we began by examining the factor structure of t</w:t>
      </w:r>
      <w:r w:rsidR="00014FA0">
        <w:t>he Romanian BAS-2 using both principal-axis factor analysis</w:t>
      </w:r>
      <w:r w:rsidR="005122FF" w:rsidRPr="007A49E1">
        <w:t xml:space="preserve"> and CFA, and based on the available literature we expected to find evidence of a one-dimensional structure with all 10 items. Second, we assessed the scale’s internal consistency, expecting that scores would demonstrate </w:t>
      </w:r>
      <w:r w:rsidR="000B7F9A">
        <w:t>internal</w:t>
      </w:r>
      <w:r w:rsidR="000B7F9A" w:rsidRPr="007A49E1">
        <w:t xml:space="preserve"> </w:t>
      </w:r>
      <w:r w:rsidR="005122FF" w:rsidRPr="007A49E1">
        <w:lastRenderedPageBreak/>
        <w:t xml:space="preserve">reliability. Third, we examined whether BAS-2 scores were invariant across sex, hypothesising that they would be. Based on our expectation of sex invariance, we also hypothesised that men would have significantly higher body appreciation than women. Fourth, </w:t>
      </w:r>
      <w:r w:rsidR="005122FF" w:rsidRPr="00014FA0">
        <w:rPr>
          <w:color w:val="000000" w:themeColor="text1"/>
        </w:rPr>
        <w:t xml:space="preserve">we </w:t>
      </w:r>
      <w:r w:rsidR="00014FA0">
        <w:rPr>
          <w:color w:val="000000" w:themeColor="text1"/>
        </w:rPr>
        <w:t>examined the test-retest reliability of BAS-2 scores after three weeks</w:t>
      </w:r>
      <w:r w:rsidR="005122FF" w:rsidRPr="007A49E1">
        <w:t xml:space="preserve">, hypothesising that scores would demonstrate </w:t>
      </w:r>
      <w:r w:rsidR="000B7F9A">
        <w:t>stability across time</w:t>
      </w:r>
      <w:r w:rsidR="005122FF" w:rsidRPr="007A49E1">
        <w:t xml:space="preserve">. Finally, </w:t>
      </w:r>
      <w:r w:rsidR="00531DDA" w:rsidRPr="007A49E1">
        <w:t xml:space="preserve">we </w:t>
      </w:r>
      <w:r w:rsidR="007A49E1" w:rsidRPr="007A49E1">
        <w:t>conducted a preliminary examination of</w:t>
      </w:r>
      <w:r w:rsidR="00531DDA" w:rsidRPr="007A49E1">
        <w:t xml:space="preserve"> the convergent validity of BAS-2 scores by examining associations </w:t>
      </w:r>
      <w:r w:rsidR="00265B25" w:rsidRPr="007A49E1">
        <w:t>with scores from</w:t>
      </w:r>
      <w:r w:rsidR="00531DDA" w:rsidRPr="007A49E1">
        <w:t xml:space="preserve"> measure</w:t>
      </w:r>
      <w:r w:rsidR="00265B25" w:rsidRPr="007A49E1">
        <w:t>s</w:t>
      </w:r>
      <w:r w:rsidR="00531DDA" w:rsidRPr="007A49E1">
        <w:t xml:space="preserve"> of disordered eating</w:t>
      </w:r>
      <w:r w:rsidR="00265B25" w:rsidRPr="007A49E1">
        <w:t>,</w:t>
      </w:r>
      <w:r w:rsidR="00531DDA" w:rsidRPr="007A49E1">
        <w:t xml:space="preserve"> self-</w:t>
      </w:r>
      <w:r w:rsidR="00822628">
        <w:t>esteem, satisfaction with life,</w:t>
      </w:r>
      <w:r w:rsidR="0093381C" w:rsidRPr="007A49E1">
        <w:t xml:space="preserve"> </w:t>
      </w:r>
      <w:r w:rsidR="00A76DAA" w:rsidRPr="007A49E1">
        <w:t>subjective happiness</w:t>
      </w:r>
      <w:r w:rsidR="00822628">
        <w:t>, and body mass index (BMI)</w:t>
      </w:r>
      <w:r w:rsidR="00A76DAA" w:rsidRPr="007A49E1">
        <w:t>. Evidence of convergen</w:t>
      </w:r>
      <w:r w:rsidR="00FC3E22">
        <w:t>t validity would be provided by</w:t>
      </w:r>
      <w:r w:rsidR="00265B25" w:rsidRPr="007A49E1">
        <w:t xml:space="preserve"> negative association</w:t>
      </w:r>
      <w:r w:rsidR="00822628">
        <w:t>s</w:t>
      </w:r>
      <w:r w:rsidR="00A76DAA" w:rsidRPr="007A49E1">
        <w:t xml:space="preserve"> with disordered eating</w:t>
      </w:r>
      <w:r w:rsidR="00822628">
        <w:t xml:space="preserve"> and BMI</w:t>
      </w:r>
      <w:r w:rsidR="0093381C" w:rsidRPr="007A49E1">
        <w:t xml:space="preserve">, </w:t>
      </w:r>
      <w:r w:rsidR="00A76DAA" w:rsidRPr="007A49E1">
        <w:t xml:space="preserve">and positive associations with self-esteem, satisfaction with </w:t>
      </w:r>
      <w:r w:rsidR="007A49E1" w:rsidRPr="007A49E1">
        <w:t xml:space="preserve">life, and subjective happiness (cf. Tylka &amp; Wood-Barcalow, 2015b). </w:t>
      </w:r>
    </w:p>
    <w:p w14:paraId="2B11EA17" w14:textId="29EF41F3" w:rsidR="00CF1D8F" w:rsidRPr="007A49E1" w:rsidRDefault="008D5542" w:rsidP="008D5542">
      <w:pPr>
        <w:spacing w:line="480" w:lineRule="auto"/>
        <w:jc w:val="center"/>
        <w:rPr>
          <w:b/>
        </w:rPr>
      </w:pPr>
      <w:r w:rsidRPr="007A49E1">
        <w:rPr>
          <w:b/>
        </w:rPr>
        <w:t>Method</w:t>
      </w:r>
    </w:p>
    <w:p w14:paraId="00586353" w14:textId="77777777" w:rsidR="005F55F5" w:rsidRPr="007A49E1" w:rsidRDefault="005F55F5" w:rsidP="005F55F5">
      <w:pPr>
        <w:spacing w:line="480" w:lineRule="auto"/>
        <w:rPr>
          <w:b/>
          <w:bCs/>
        </w:rPr>
      </w:pPr>
      <w:r w:rsidRPr="007A49E1">
        <w:rPr>
          <w:b/>
          <w:bCs/>
        </w:rPr>
        <w:t xml:space="preserve">Participants </w:t>
      </w:r>
    </w:p>
    <w:p w14:paraId="66C6F620" w14:textId="6FD80A2B" w:rsidR="008A3F7A" w:rsidRDefault="00014FA0" w:rsidP="005F55F5">
      <w:pPr>
        <w:spacing w:line="480" w:lineRule="auto"/>
        <w:ind w:firstLine="720"/>
        <w:rPr>
          <w:rFonts w:eastAsia="Times New Roman"/>
          <w:color w:val="000000" w:themeColor="text1"/>
          <w:shd w:val="clear" w:color="auto" w:fill="FFFFFF"/>
        </w:rPr>
      </w:pPr>
      <w:r>
        <w:rPr>
          <w:b/>
        </w:rPr>
        <w:t>Main sample</w:t>
      </w:r>
      <w:r>
        <w:t>.</w:t>
      </w:r>
      <w:r>
        <w:rPr>
          <w:b/>
        </w:rPr>
        <w:t xml:space="preserve"> </w:t>
      </w:r>
      <w:r>
        <w:t>Participants of the main</w:t>
      </w:r>
      <w:r w:rsidR="005F55F5" w:rsidRPr="007A49E1">
        <w:t xml:space="preserve"> study were </w:t>
      </w:r>
      <w:r w:rsidR="0042510D" w:rsidRPr="007A49E1">
        <w:t>212</w:t>
      </w:r>
      <w:r w:rsidR="008A3F7A" w:rsidRPr="007A49E1">
        <w:t xml:space="preserve"> female and 2</w:t>
      </w:r>
      <w:r w:rsidR="00A76DAA" w:rsidRPr="007A49E1">
        <w:t>41</w:t>
      </w:r>
      <w:r w:rsidR="008A3F7A" w:rsidRPr="007A49E1">
        <w:t xml:space="preserve"> male students from a university in Timi</w:t>
      </w:r>
      <w:r w:rsidR="008A3F7A" w:rsidRPr="007A49E1">
        <w:rPr>
          <w:rFonts w:eastAsia="Times New Roman"/>
          <w:color w:val="000000" w:themeColor="text1"/>
          <w:shd w:val="clear" w:color="auto" w:fill="FFFFFF"/>
        </w:rPr>
        <w:t>ș County in the west of Romania. Pa</w:t>
      </w:r>
      <w:r w:rsidR="00A76DAA" w:rsidRPr="007A49E1">
        <w:rPr>
          <w:rFonts w:eastAsia="Times New Roman"/>
          <w:color w:val="000000" w:themeColor="text1"/>
          <w:shd w:val="clear" w:color="auto" w:fill="FFFFFF"/>
        </w:rPr>
        <w:t>rticipants ranged in age from 17</w:t>
      </w:r>
      <w:r w:rsidR="008A3F7A" w:rsidRPr="007A49E1">
        <w:rPr>
          <w:rFonts w:eastAsia="Times New Roman"/>
          <w:color w:val="000000" w:themeColor="text1"/>
          <w:shd w:val="clear" w:color="auto" w:fill="FFFFFF"/>
        </w:rPr>
        <w:t xml:space="preserve"> to 61 years (</w:t>
      </w:r>
      <w:r w:rsidR="008A3F7A" w:rsidRPr="007A49E1">
        <w:rPr>
          <w:rFonts w:eastAsia="Times New Roman"/>
          <w:i/>
          <w:color w:val="000000" w:themeColor="text1"/>
          <w:shd w:val="clear" w:color="auto" w:fill="FFFFFF"/>
        </w:rPr>
        <w:t>M</w:t>
      </w:r>
      <w:r w:rsidR="0042510D" w:rsidRPr="007A49E1">
        <w:rPr>
          <w:rFonts w:eastAsia="Times New Roman"/>
          <w:color w:val="000000" w:themeColor="text1"/>
          <w:shd w:val="clear" w:color="auto" w:fill="FFFFFF"/>
        </w:rPr>
        <w:t xml:space="preserve"> = 23.57</w:t>
      </w:r>
      <w:r w:rsidR="008A3F7A" w:rsidRPr="007A49E1">
        <w:rPr>
          <w:rFonts w:eastAsia="Times New Roman"/>
          <w:color w:val="000000" w:themeColor="text1"/>
          <w:shd w:val="clear" w:color="auto" w:fill="FFFFFF"/>
        </w:rPr>
        <w:t xml:space="preserve">, </w:t>
      </w:r>
      <w:r w:rsidR="008A3F7A" w:rsidRPr="007A49E1">
        <w:rPr>
          <w:rFonts w:eastAsia="Times New Roman"/>
          <w:i/>
          <w:color w:val="000000" w:themeColor="text1"/>
          <w:shd w:val="clear" w:color="auto" w:fill="FFFFFF"/>
        </w:rPr>
        <w:t>SD</w:t>
      </w:r>
      <w:r w:rsidR="0042510D" w:rsidRPr="007A49E1">
        <w:rPr>
          <w:rFonts w:eastAsia="Times New Roman"/>
          <w:color w:val="000000" w:themeColor="text1"/>
          <w:shd w:val="clear" w:color="auto" w:fill="FFFFFF"/>
        </w:rPr>
        <w:t xml:space="preserve"> = 7.86</w:t>
      </w:r>
      <w:r w:rsidR="008A3F7A" w:rsidRPr="007A49E1">
        <w:rPr>
          <w:rFonts w:eastAsia="Times New Roman"/>
          <w:color w:val="000000" w:themeColor="text1"/>
          <w:shd w:val="clear" w:color="auto" w:fill="FFFFFF"/>
        </w:rPr>
        <w:t xml:space="preserve">) </w:t>
      </w:r>
      <w:r w:rsidR="00204BED" w:rsidRPr="007A49E1">
        <w:rPr>
          <w:rFonts w:eastAsia="Times New Roman"/>
          <w:color w:val="000000" w:themeColor="text1"/>
          <w:shd w:val="clear" w:color="auto" w:fill="FFFFFF"/>
        </w:rPr>
        <w:t>and in self-reported BMI from 13.98</w:t>
      </w:r>
      <w:r w:rsidR="008A3F7A" w:rsidRPr="007A49E1">
        <w:rPr>
          <w:rFonts w:eastAsia="Times New Roman"/>
          <w:color w:val="000000" w:themeColor="text1"/>
          <w:shd w:val="clear" w:color="auto" w:fill="FFFFFF"/>
        </w:rPr>
        <w:t xml:space="preserve"> to 37.11 kg/m</w:t>
      </w:r>
      <w:r w:rsidR="008A3F7A" w:rsidRPr="007A49E1">
        <w:rPr>
          <w:rFonts w:eastAsia="Times New Roman"/>
          <w:color w:val="000000" w:themeColor="text1"/>
          <w:shd w:val="clear" w:color="auto" w:fill="FFFFFF"/>
          <w:vertAlign w:val="superscript"/>
        </w:rPr>
        <w:t>2</w:t>
      </w:r>
      <w:r w:rsidR="008A3F7A" w:rsidRPr="007A49E1">
        <w:rPr>
          <w:rFonts w:eastAsia="Times New Roman"/>
          <w:color w:val="000000" w:themeColor="text1"/>
          <w:shd w:val="clear" w:color="auto" w:fill="FFFFFF"/>
        </w:rPr>
        <w:t xml:space="preserve"> (</w:t>
      </w:r>
      <w:r w:rsidR="008A3F7A" w:rsidRPr="007A49E1">
        <w:rPr>
          <w:rFonts w:eastAsia="Times New Roman"/>
          <w:i/>
          <w:color w:val="000000" w:themeColor="text1"/>
          <w:shd w:val="clear" w:color="auto" w:fill="FFFFFF"/>
        </w:rPr>
        <w:t>M</w:t>
      </w:r>
      <w:r w:rsidR="0042510D" w:rsidRPr="007A49E1">
        <w:rPr>
          <w:rFonts w:eastAsia="Times New Roman"/>
          <w:color w:val="000000" w:themeColor="text1"/>
          <w:shd w:val="clear" w:color="auto" w:fill="FFFFFF"/>
        </w:rPr>
        <w:t xml:space="preserve"> = 22</w:t>
      </w:r>
      <w:r w:rsidR="00E723E8" w:rsidRPr="007A49E1">
        <w:rPr>
          <w:rFonts w:eastAsia="Times New Roman"/>
          <w:color w:val="000000" w:themeColor="text1"/>
          <w:shd w:val="clear" w:color="auto" w:fill="FFFFFF"/>
        </w:rPr>
        <w:t>.18</w:t>
      </w:r>
      <w:r w:rsidR="008A3F7A" w:rsidRPr="007A49E1">
        <w:rPr>
          <w:rFonts w:eastAsia="Times New Roman"/>
          <w:color w:val="000000" w:themeColor="text1"/>
          <w:shd w:val="clear" w:color="auto" w:fill="FFFFFF"/>
        </w:rPr>
        <w:t xml:space="preserve">, </w:t>
      </w:r>
      <w:r w:rsidR="008A3F7A" w:rsidRPr="007A49E1">
        <w:rPr>
          <w:rFonts w:eastAsia="Times New Roman"/>
          <w:i/>
          <w:color w:val="000000" w:themeColor="text1"/>
          <w:shd w:val="clear" w:color="auto" w:fill="FFFFFF"/>
        </w:rPr>
        <w:t>SD</w:t>
      </w:r>
      <w:r w:rsidR="0042510D" w:rsidRPr="007A49E1">
        <w:rPr>
          <w:rFonts w:eastAsia="Times New Roman"/>
          <w:color w:val="000000" w:themeColor="text1"/>
          <w:shd w:val="clear" w:color="auto" w:fill="FFFFFF"/>
        </w:rPr>
        <w:t xml:space="preserve"> = 3.46</w:t>
      </w:r>
      <w:r w:rsidR="008A3F7A" w:rsidRPr="007A49E1">
        <w:rPr>
          <w:rFonts w:eastAsia="Times New Roman"/>
          <w:color w:val="000000" w:themeColor="text1"/>
          <w:shd w:val="clear" w:color="auto" w:fill="FFFFFF"/>
        </w:rPr>
        <w:t xml:space="preserve">). </w:t>
      </w:r>
      <w:r w:rsidR="001102DF" w:rsidRPr="007A49E1">
        <w:rPr>
          <w:rFonts w:eastAsia="Times New Roman"/>
          <w:color w:val="000000" w:themeColor="text1"/>
          <w:shd w:val="clear" w:color="auto" w:fill="FFFFFF"/>
        </w:rPr>
        <w:t>Most participants were enrolled</w:t>
      </w:r>
      <w:r w:rsidR="00E723E8" w:rsidRPr="007A49E1">
        <w:rPr>
          <w:rFonts w:eastAsia="Times New Roman"/>
          <w:color w:val="000000" w:themeColor="text1"/>
          <w:shd w:val="clear" w:color="auto" w:fill="FFFFFF"/>
        </w:rPr>
        <w:t xml:space="preserve"> on unde</w:t>
      </w:r>
      <w:r w:rsidR="0042510D" w:rsidRPr="007A49E1">
        <w:rPr>
          <w:rFonts w:eastAsia="Times New Roman"/>
          <w:color w:val="000000" w:themeColor="text1"/>
          <w:shd w:val="clear" w:color="auto" w:fill="FFFFFF"/>
        </w:rPr>
        <w:t>rgraduate programmes (72</w:t>
      </w:r>
      <w:r w:rsidR="00E723E8" w:rsidRPr="007A49E1">
        <w:rPr>
          <w:rFonts w:eastAsia="Times New Roman"/>
          <w:color w:val="000000" w:themeColor="text1"/>
          <w:shd w:val="clear" w:color="auto" w:fill="FFFFFF"/>
        </w:rPr>
        <w:t>.2</w:t>
      </w:r>
      <w:r w:rsidR="001102DF" w:rsidRPr="007A49E1">
        <w:rPr>
          <w:rFonts w:eastAsia="Times New Roman"/>
          <w:color w:val="000000" w:themeColor="text1"/>
          <w:shd w:val="clear" w:color="auto" w:fill="FFFFFF"/>
        </w:rPr>
        <w:t>%; Master</w:t>
      </w:r>
      <w:r w:rsidR="0042510D" w:rsidRPr="007A49E1">
        <w:rPr>
          <w:rFonts w:eastAsia="Times New Roman"/>
          <w:color w:val="000000" w:themeColor="text1"/>
          <w:shd w:val="clear" w:color="auto" w:fill="FFFFFF"/>
        </w:rPr>
        <w:t>s programmes = 16.1%, other = 11</w:t>
      </w:r>
      <w:r w:rsidR="00E723E8" w:rsidRPr="007A49E1">
        <w:rPr>
          <w:rFonts w:eastAsia="Times New Roman"/>
          <w:color w:val="000000" w:themeColor="text1"/>
          <w:shd w:val="clear" w:color="auto" w:fill="FFFFFF"/>
        </w:rPr>
        <w:t>.7</w:t>
      </w:r>
      <w:r w:rsidR="001102DF" w:rsidRPr="007A49E1">
        <w:rPr>
          <w:rFonts w:eastAsia="Times New Roman"/>
          <w:color w:val="000000" w:themeColor="text1"/>
          <w:shd w:val="clear" w:color="auto" w:fill="FFFFFF"/>
        </w:rPr>
        <w:t>%) and self-reported as being of Romanian ethnicity (97.3%). In terms of r</w:t>
      </w:r>
      <w:r w:rsidR="0042510D" w:rsidRPr="007A49E1">
        <w:rPr>
          <w:rFonts w:eastAsia="Times New Roman"/>
          <w:color w:val="000000" w:themeColor="text1"/>
          <w:shd w:val="clear" w:color="auto" w:fill="FFFFFF"/>
        </w:rPr>
        <w:t>eligion, 68.1</w:t>
      </w:r>
      <w:r w:rsidR="00981FEA" w:rsidRPr="007A49E1">
        <w:rPr>
          <w:rFonts w:eastAsia="Times New Roman"/>
          <w:color w:val="000000" w:themeColor="text1"/>
          <w:shd w:val="clear" w:color="auto" w:fill="FFFFFF"/>
        </w:rPr>
        <w:t>% reported being East</w:t>
      </w:r>
      <w:r w:rsidR="00E723E8" w:rsidRPr="007A49E1">
        <w:rPr>
          <w:rFonts w:eastAsia="Times New Roman"/>
          <w:color w:val="000000" w:themeColor="text1"/>
          <w:shd w:val="clear" w:color="auto" w:fill="FFFFFF"/>
        </w:rPr>
        <w:t>e</w:t>
      </w:r>
      <w:r w:rsidR="0042510D" w:rsidRPr="007A49E1">
        <w:rPr>
          <w:rFonts w:eastAsia="Times New Roman"/>
          <w:color w:val="000000" w:themeColor="text1"/>
          <w:shd w:val="clear" w:color="auto" w:fill="FFFFFF"/>
        </w:rPr>
        <w:t>rn Orthodox, 8.4% Catholic, 8.0</w:t>
      </w:r>
      <w:r w:rsidR="00981FEA" w:rsidRPr="007A49E1">
        <w:rPr>
          <w:rFonts w:eastAsia="Times New Roman"/>
          <w:color w:val="000000" w:themeColor="text1"/>
          <w:shd w:val="clear" w:color="auto" w:fill="FFFFFF"/>
        </w:rPr>
        <w:t>% atheist</w:t>
      </w:r>
      <w:r w:rsidR="00FD27B4" w:rsidRPr="007A49E1">
        <w:rPr>
          <w:rFonts w:eastAsia="Times New Roman"/>
          <w:color w:val="000000" w:themeColor="text1"/>
          <w:shd w:val="clear" w:color="auto" w:fill="FFFFFF"/>
        </w:rPr>
        <w:t xml:space="preserve">, and the remainder </w:t>
      </w:r>
      <w:r w:rsidR="00B15674">
        <w:rPr>
          <w:rFonts w:eastAsia="Times New Roman"/>
          <w:color w:val="000000" w:themeColor="text1"/>
          <w:shd w:val="clear" w:color="auto" w:fill="FFFFFF"/>
        </w:rPr>
        <w:t>reported</w:t>
      </w:r>
      <w:r w:rsidR="00FD27B4" w:rsidRPr="007A49E1">
        <w:rPr>
          <w:rFonts w:eastAsia="Times New Roman"/>
          <w:color w:val="000000" w:themeColor="text1"/>
          <w:shd w:val="clear" w:color="auto" w:fill="FFFFFF"/>
        </w:rPr>
        <w:t xml:space="preserve"> being of some other religious affiliation. </w:t>
      </w:r>
      <w:r>
        <w:rPr>
          <w:rFonts w:eastAsia="Times New Roman"/>
          <w:color w:val="000000" w:themeColor="text1"/>
          <w:shd w:val="clear" w:color="auto" w:fill="FFFFFF"/>
        </w:rPr>
        <w:t>These participants completed all the measures listed below.</w:t>
      </w:r>
    </w:p>
    <w:p w14:paraId="4B42B192" w14:textId="2B576A5A" w:rsidR="00014FA0" w:rsidRPr="00D263D5" w:rsidRDefault="00014FA0" w:rsidP="00D263D5">
      <w:pPr>
        <w:spacing w:line="480" w:lineRule="auto"/>
        <w:ind w:firstLine="720"/>
        <w:rPr>
          <w:rFonts w:eastAsia="Times New Roman"/>
          <w:color w:val="000000" w:themeColor="text1"/>
          <w:shd w:val="clear" w:color="auto" w:fill="FFFFFF"/>
        </w:rPr>
      </w:pPr>
      <w:r w:rsidRPr="00242E5C">
        <w:rPr>
          <w:rFonts w:eastAsia="Times New Roman"/>
          <w:b/>
          <w:color w:val="000000" w:themeColor="text1"/>
          <w:shd w:val="clear" w:color="auto" w:fill="FFFFFF"/>
        </w:rPr>
        <w:t>Test-retest sample</w:t>
      </w:r>
      <w:r w:rsidRPr="00242E5C">
        <w:rPr>
          <w:rFonts w:eastAsia="Times New Roman"/>
          <w:color w:val="000000" w:themeColor="text1"/>
          <w:shd w:val="clear" w:color="auto" w:fill="FFFFFF"/>
        </w:rPr>
        <w:t xml:space="preserve">. </w:t>
      </w:r>
      <w:r w:rsidR="00242E5C">
        <w:rPr>
          <w:rFonts w:eastAsia="Times New Roman"/>
          <w:color w:val="000000" w:themeColor="text1"/>
          <w:shd w:val="clear" w:color="auto" w:fill="FFFFFF"/>
        </w:rPr>
        <w:t xml:space="preserve">The test-retest sample consisted of 57 female </w:t>
      </w:r>
      <w:r w:rsidR="00387F03">
        <w:rPr>
          <w:rFonts w:eastAsia="Times New Roman"/>
          <w:color w:val="000000" w:themeColor="text1"/>
          <w:shd w:val="clear" w:color="auto" w:fill="FFFFFF"/>
        </w:rPr>
        <w:t xml:space="preserve">and 52 male </w:t>
      </w:r>
      <w:r w:rsidR="00242E5C">
        <w:rPr>
          <w:rFonts w:eastAsia="Times New Roman"/>
          <w:color w:val="000000" w:themeColor="text1"/>
          <w:shd w:val="clear" w:color="auto" w:fill="FFFFFF"/>
        </w:rPr>
        <w:t xml:space="preserve">university students from the same university in the west of Romania. </w:t>
      </w:r>
      <w:r w:rsidR="00C35CC4">
        <w:rPr>
          <w:rFonts w:eastAsia="Times New Roman"/>
          <w:color w:val="000000" w:themeColor="text1"/>
          <w:shd w:val="clear" w:color="auto" w:fill="FFFFFF"/>
        </w:rPr>
        <w:t>All participants were of Romanian ethnicity and</w:t>
      </w:r>
      <w:r w:rsidR="00272203">
        <w:rPr>
          <w:rFonts w:eastAsia="Times New Roman"/>
          <w:color w:val="000000" w:themeColor="text1"/>
          <w:shd w:val="clear" w:color="auto" w:fill="FFFFFF"/>
        </w:rPr>
        <w:t xml:space="preserve"> ranged in age from 18 to 57</w:t>
      </w:r>
      <w:r w:rsidR="00242E5C">
        <w:rPr>
          <w:rFonts w:eastAsia="Times New Roman"/>
          <w:color w:val="000000" w:themeColor="text1"/>
          <w:shd w:val="clear" w:color="auto" w:fill="FFFFFF"/>
        </w:rPr>
        <w:t xml:space="preserve"> years (</w:t>
      </w:r>
      <w:r w:rsidR="00242E5C">
        <w:rPr>
          <w:rFonts w:eastAsia="Times New Roman"/>
          <w:i/>
          <w:color w:val="000000" w:themeColor="text1"/>
          <w:shd w:val="clear" w:color="auto" w:fill="FFFFFF"/>
        </w:rPr>
        <w:t>M</w:t>
      </w:r>
      <w:r w:rsidR="00272203">
        <w:rPr>
          <w:rFonts w:eastAsia="Times New Roman"/>
          <w:color w:val="000000" w:themeColor="text1"/>
          <w:shd w:val="clear" w:color="auto" w:fill="FFFFFF"/>
        </w:rPr>
        <w:t xml:space="preserve"> = 25.02</w:t>
      </w:r>
      <w:r w:rsidR="00242E5C">
        <w:rPr>
          <w:rFonts w:eastAsia="Times New Roman"/>
          <w:color w:val="000000" w:themeColor="text1"/>
          <w:shd w:val="clear" w:color="auto" w:fill="FFFFFF"/>
        </w:rPr>
        <w:t xml:space="preserve">, </w:t>
      </w:r>
      <w:r w:rsidR="00242E5C">
        <w:rPr>
          <w:rFonts w:eastAsia="Times New Roman"/>
          <w:i/>
          <w:color w:val="000000" w:themeColor="text1"/>
          <w:shd w:val="clear" w:color="auto" w:fill="FFFFFF"/>
        </w:rPr>
        <w:t>SD</w:t>
      </w:r>
      <w:r w:rsidR="00272203">
        <w:rPr>
          <w:rFonts w:eastAsia="Times New Roman"/>
          <w:color w:val="000000" w:themeColor="text1"/>
          <w:shd w:val="clear" w:color="auto" w:fill="FFFFFF"/>
        </w:rPr>
        <w:t xml:space="preserve"> = 8.91</w:t>
      </w:r>
      <w:r w:rsidR="00242E5C">
        <w:rPr>
          <w:rFonts w:eastAsia="Times New Roman"/>
          <w:color w:val="000000" w:themeColor="text1"/>
          <w:shd w:val="clear" w:color="auto" w:fill="FFFFFF"/>
        </w:rPr>
        <w:t xml:space="preserve">). </w:t>
      </w:r>
      <w:r w:rsidR="00D263D5">
        <w:rPr>
          <w:rFonts w:eastAsia="Times New Roman"/>
          <w:color w:val="000000" w:themeColor="text1"/>
          <w:shd w:val="clear" w:color="auto" w:fill="FFFFFF"/>
        </w:rPr>
        <w:t xml:space="preserve">No further </w:t>
      </w:r>
      <w:r w:rsidR="00D263D5">
        <w:rPr>
          <w:rFonts w:eastAsia="Times New Roman"/>
          <w:color w:val="000000" w:themeColor="text1"/>
          <w:shd w:val="clear" w:color="auto" w:fill="FFFFFF"/>
        </w:rPr>
        <w:lastRenderedPageBreak/>
        <w:t>demographics were collected</w:t>
      </w:r>
      <w:r w:rsidR="00B15674">
        <w:rPr>
          <w:rFonts w:eastAsia="Times New Roman"/>
          <w:color w:val="000000" w:themeColor="text1"/>
          <w:shd w:val="clear" w:color="auto" w:fill="FFFFFF"/>
        </w:rPr>
        <w:t>,</w:t>
      </w:r>
      <w:r w:rsidR="00D263D5">
        <w:rPr>
          <w:rFonts w:eastAsia="Times New Roman"/>
          <w:color w:val="000000" w:themeColor="text1"/>
          <w:shd w:val="clear" w:color="auto" w:fill="FFFFFF"/>
        </w:rPr>
        <w:t xml:space="preserve"> and t</w:t>
      </w:r>
      <w:r w:rsidRPr="00242E5C">
        <w:rPr>
          <w:rFonts w:eastAsia="Times New Roman"/>
          <w:color w:val="000000" w:themeColor="text1"/>
          <w:shd w:val="clear" w:color="auto" w:fill="FFFFFF"/>
        </w:rPr>
        <w:t>hese participants only completed the BAS-2 at two time-points three weeks apart.</w:t>
      </w:r>
    </w:p>
    <w:p w14:paraId="1006FA69" w14:textId="77777777" w:rsidR="005F55F5" w:rsidRPr="007A49E1" w:rsidRDefault="005F55F5" w:rsidP="005F55F5">
      <w:pPr>
        <w:spacing w:line="480" w:lineRule="auto"/>
        <w:rPr>
          <w:b/>
          <w:bCs/>
        </w:rPr>
      </w:pPr>
      <w:r w:rsidRPr="007A49E1">
        <w:rPr>
          <w:b/>
          <w:bCs/>
        </w:rPr>
        <w:t>Measures</w:t>
      </w:r>
    </w:p>
    <w:p w14:paraId="2611673A" w14:textId="13D1F328" w:rsidR="00FD27B4" w:rsidRPr="007A49E1" w:rsidRDefault="005F55F5" w:rsidP="00E723E8">
      <w:pPr>
        <w:spacing w:line="480" w:lineRule="auto"/>
        <w:ind w:firstLine="720"/>
      </w:pPr>
      <w:r w:rsidRPr="007A49E1">
        <w:rPr>
          <w:b/>
          <w:bCs/>
        </w:rPr>
        <w:t xml:space="preserve">Body appreciation. </w:t>
      </w:r>
      <w:r w:rsidRPr="007A49E1">
        <w:t xml:space="preserve">Participants completed a </w:t>
      </w:r>
      <w:r w:rsidR="00FD27B4" w:rsidRPr="007A49E1">
        <w:t>Romanian</w:t>
      </w:r>
      <w:r w:rsidRPr="007A49E1">
        <w:t xml:space="preserve"> translation of </w:t>
      </w:r>
      <w:r w:rsidR="00E723E8" w:rsidRPr="007A49E1">
        <w:t xml:space="preserve">the </w:t>
      </w:r>
      <w:r w:rsidRPr="007A49E1">
        <w:t>BAS-2 (Tylka &amp; Wood-Barcalow, 2015b).</w:t>
      </w:r>
      <w:r w:rsidR="00E723E8" w:rsidRPr="007A49E1">
        <w:t xml:space="preserve"> The scale was translated from English into Romanian using the parallel back-translation procedure (Brislin, 1986). First, a bilingual individual unaffiliated with the study translated the scale from English to Romanian, while a second individual translated this version back into English. Next, the items obtained were assessed by a committee consisting of the individuals who participated in the translation process, the third to fifth authors, and two psychology professors who settled minor discrepancies in the translation through consensus.</w:t>
      </w:r>
      <w:r w:rsidRPr="007A49E1">
        <w:t xml:space="preserve"> All items are presented in Table 1 and were rated on a 5-point scale, ranging from 1 (</w:t>
      </w:r>
      <w:r w:rsidRPr="007A49E1">
        <w:rPr>
          <w:i/>
        </w:rPr>
        <w:t>Never</w:t>
      </w:r>
      <w:r w:rsidRPr="007A49E1">
        <w:t>) to 5 (</w:t>
      </w:r>
      <w:r w:rsidRPr="007A49E1">
        <w:rPr>
          <w:i/>
        </w:rPr>
        <w:t>Always</w:t>
      </w:r>
      <w:r w:rsidRPr="007A49E1">
        <w:t xml:space="preserve">). </w:t>
      </w:r>
    </w:p>
    <w:p w14:paraId="3B15466B" w14:textId="6350EB1D" w:rsidR="00E723E8" w:rsidRPr="007A49E1" w:rsidRDefault="00E723E8" w:rsidP="00E723E8">
      <w:pPr>
        <w:spacing w:line="480" w:lineRule="auto"/>
        <w:ind w:firstLine="720"/>
        <w:rPr>
          <w:bCs/>
        </w:rPr>
      </w:pPr>
      <w:r w:rsidRPr="007A49E1">
        <w:rPr>
          <w:b/>
        </w:rPr>
        <w:t>Symptoms of disordered eating</w:t>
      </w:r>
      <w:r w:rsidRPr="007A49E1">
        <w:t>. The questionnaire included the Body Image Screening Questionnaire for Eating Disorder Early Detection (</w:t>
      </w:r>
      <w:r w:rsidR="005D138E" w:rsidRPr="007A49E1">
        <w:t xml:space="preserve">BISQ; </w:t>
      </w:r>
      <w:r w:rsidRPr="007A49E1">
        <w:t xml:space="preserve">Jenaro, Flores, Tomsa, &amp; Bermejo, 2011; Romanian translation: Tomsa, Istfan, Jenaro, Flores, &amp; Bermejo, 2012). </w:t>
      </w:r>
      <w:r w:rsidR="00C17170" w:rsidRPr="007A49E1">
        <w:t>This i</w:t>
      </w:r>
      <w:r w:rsidR="00265B25" w:rsidRPr="007A49E1">
        <w:t>s a 24-item scale that measures symptomatology of</w:t>
      </w:r>
      <w:r w:rsidR="0028309B" w:rsidRPr="007A49E1">
        <w:t xml:space="preserve"> disordered eating along five dimensions, namely bulimia, anorexia, orthorexia, perception of obesity, and vigorexia</w:t>
      </w:r>
      <w:r w:rsidR="004B1E8D">
        <w:t xml:space="preserve"> (i.e., muscle dysmorphia”</w:t>
      </w:r>
      <w:r w:rsidR="0028309B" w:rsidRPr="007A49E1">
        <w:t>. Item</w:t>
      </w:r>
      <w:r w:rsidR="00265B25" w:rsidRPr="007A49E1">
        <w:t>s</w:t>
      </w:r>
      <w:r w:rsidR="0028309B" w:rsidRPr="007A49E1">
        <w:t xml:space="preserve"> were rated on a 6-point scale (1 = </w:t>
      </w:r>
      <w:r w:rsidR="0028309B" w:rsidRPr="007A49E1">
        <w:rPr>
          <w:i/>
        </w:rPr>
        <w:t>Never</w:t>
      </w:r>
      <w:r w:rsidR="0028309B" w:rsidRPr="007A49E1">
        <w:t xml:space="preserve">, 6 = </w:t>
      </w:r>
      <w:r w:rsidR="0028309B" w:rsidRPr="007A49E1">
        <w:rPr>
          <w:i/>
        </w:rPr>
        <w:t>Always</w:t>
      </w:r>
      <w:r w:rsidR="0028309B" w:rsidRPr="007A49E1">
        <w:t>). Although a Romanian translation of this scale has been prepared (Tomsa et al., 2012), the a</w:t>
      </w:r>
      <w:r w:rsidR="00265B25" w:rsidRPr="007A49E1">
        <w:t>uthors failed to factor analyse</w:t>
      </w:r>
      <w:r w:rsidR="0028309B" w:rsidRPr="007A49E1">
        <w:t xml:space="preserve"> scores derived from the scale and reported that internal consistency coefficients for </w:t>
      </w:r>
      <w:r w:rsidR="004B1E8D">
        <w:t>all but one of the subscales were</w:t>
      </w:r>
      <w:r w:rsidR="0028309B" w:rsidRPr="007A49E1">
        <w:t xml:space="preserve"> less than adequate. However, total scores were reported to </w:t>
      </w:r>
      <w:r w:rsidR="000B7F9A">
        <w:t>yield evidence of</w:t>
      </w:r>
      <w:r w:rsidR="0028309B" w:rsidRPr="007A49E1">
        <w:t xml:space="preserve"> internal consistency (</w:t>
      </w:r>
      <w:r w:rsidR="005D138E" w:rsidRPr="007A49E1">
        <w:rPr>
          <w:bCs/>
        </w:rPr>
        <w:t>Cronbach α = .85) and discriminant validity. In the present study, we therefore used an overall BISQ score, computed as the mean of all items following reverse-coding of relevant items.</w:t>
      </w:r>
      <w:r w:rsidR="00B83235" w:rsidRPr="007A49E1">
        <w:rPr>
          <w:bCs/>
        </w:rPr>
        <w:t xml:space="preserve"> Higher scores on this scale reflect </w:t>
      </w:r>
      <w:r w:rsidR="00B83235" w:rsidRPr="007A49E1">
        <w:rPr>
          <w:bCs/>
        </w:rPr>
        <w:lastRenderedPageBreak/>
        <w:t>greater degree of eating disorder symptomatology (Tomsa et al., 2012).</w:t>
      </w:r>
      <w:r w:rsidR="005D138E" w:rsidRPr="007A49E1">
        <w:rPr>
          <w:bCs/>
        </w:rPr>
        <w:t xml:space="preserve"> </w:t>
      </w:r>
      <w:r w:rsidR="000B7F9A">
        <w:rPr>
          <w:bCs/>
        </w:rPr>
        <w:t xml:space="preserve">Cronbach’s alpha </w:t>
      </w:r>
      <w:r w:rsidR="005D138E" w:rsidRPr="007A49E1">
        <w:rPr>
          <w:bCs/>
        </w:rPr>
        <w:t xml:space="preserve">for the overall score in the present study was </w:t>
      </w:r>
      <w:r w:rsidR="000B7F9A">
        <w:rPr>
          <w:bCs/>
        </w:rPr>
        <w:t>.82</w:t>
      </w:r>
      <w:r w:rsidR="005D138E" w:rsidRPr="007A49E1">
        <w:rPr>
          <w:bCs/>
        </w:rPr>
        <w:t xml:space="preserve"> for women and </w:t>
      </w:r>
      <w:r w:rsidR="000B7F9A">
        <w:rPr>
          <w:bCs/>
        </w:rPr>
        <w:t xml:space="preserve">.80 for </w:t>
      </w:r>
      <w:r w:rsidR="005D138E" w:rsidRPr="007A49E1">
        <w:rPr>
          <w:bCs/>
        </w:rPr>
        <w:t>men.</w:t>
      </w:r>
    </w:p>
    <w:p w14:paraId="60558E07" w14:textId="7316FD29" w:rsidR="005D138E" w:rsidRPr="007A49E1" w:rsidRDefault="005D138E" w:rsidP="008F6A2A">
      <w:pPr>
        <w:spacing w:line="480" w:lineRule="auto"/>
        <w:ind w:firstLine="720"/>
        <w:rPr>
          <w:bCs/>
        </w:rPr>
      </w:pPr>
      <w:r w:rsidRPr="007A49E1">
        <w:rPr>
          <w:b/>
          <w:bCs/>
        </w:rPr>
        <w:t>Self-esteem</w:t>
      </w:r>
      <w:r w:rsidRPr="007A49E1">
        <w:rPr>
          <w:bCs/>
        </w:rPr>
        <w:t>. We included the Rosenberg Self-Esteem Scale (RSES; Rosenberg, 196</w:t>
      </w:r>
      <w:r w:rsidR="00B83235" w:rsidRPr="007A49E1">
        <w:rPr>
          <w:bCs/>
        </w:rPr>
        <w:t>5</w:t>
      </w:r>
      <w:r w:rsidRPr="007A49E1">
        <w:rPr>
          <w:bCs/>
        </w:rPr>
        <w:t xml:space="preserve">; </w:t>
      </w:r>
      <w:r w:rsidR="00B83235" w:rsidRPr="007A49E1">
        <w:rPr>
          <w:bCs/>
        </w:rPr>
        <w:t>Roma</w:t>
      </w:r>
      <w:r w:rsidR="008F6A2A" w:rsidRPr="007A49E1">
        <w:rPr>
          <w:bCs/>
        </w:rPr>
        <w:t>nian translation: Schmitt &amp; Allik</w:t>
      </w:r>
      <w:r w:rsidR="00B83235" w:rsidRPr="007A49E1">
        <w:rPr>
          <w:bCs/>
        </w:rPr>
        <w:t xml:space="preserve">, 2005), a 10-item measure of global self-evaluations of worth as a human being. All items were rated on a </w:t>
      </w:r>
      <w:r w:rsidR="000B7F9A">
        <w:rPr>
          <w:bCs/>
        </w:rPr>
        <w:t>4</w:t>
      </w:r>
      <w:r w:rsidR="00B83235" w:rsidRPr="007A49E1">
        <w:rPr>
          <w:bCs/>
        </w:rPr>
        <w:t xml:space="preserve">-point scale (1 = </w:t>
      </w:r>
      <w:r w:rsidR="00B83235" w:rsidRPr="007A49E1">
        <w:rPr>
          <w:bCs/>
          <w:i/>
        </w:rPr>
        <w:t>Definitely disagree</w:t>
      </w:r>
      <w:r w:rsidR="00B83235" w:rsidRPr="007A49E1">
        <w:rPr>
          <w:bCs/>
        </w:rPr>
        <w:t xml:space="preserve">, 4 = </w:t>
      </w:r>
      <w:r w:rsidR="00B83235" w:rsidRPr="007A49E1">
        <w:rPr>
          <w:bCs/>
          <w:i/>
        </w:rPr>
        <w:t>Definitely agree</w:t>
      </w:r>
      <w:r w:rsidR="00B83235" w:rsidRPr="007A49E1">
        <w:rPr>
          <w:bCs/>
        </w:rPr>
        <w:t xml:space="preserve">). An overall score was computed as the mean of all 10 items, following reverse-coding of 5 items. Higher scores on this scale reflect greater self-esteem. The Romanian version of the RSES </w:t>
      </w:r>
      <w:r w:rsidR="00B83235" w:rsidRPr="007A49E1">
        <w:rPr>
          <w:bCs/>
          <w:color w:val="000000" w:themeColor="text1"/>
        </w:rPr>
        <w:t xml:space="preserve">has </w:t>
      </w:r>
      <w:r w:rsidR="00CE25FB">
        <w:rPr>
          <w:bCs/>
          <w:color w:val="000000" w:themeColor="text1"/>
        </w:rPr>
        <w:t xml:space="preserve">evidenced </w:t>
      </w:r>
      <w:r w:rsidR="00B83235" w:rsidRPr="007A49E1">
        <w:rPr>
          <w:bCs/>
          <w:color w:val="000000" w:themeColor="text1"/>
        </w:rPr>
        <w:t xml:space="preserve">factorial validity (Schmitt </w:t>
      </w:r>
      <w:r w:rsidR="00265B25" w:rsidRPr="007A49E1">
        <w:rPr>
          <w:bCs/>
          <w:color w:val="000000" w:themeColor="text1"/>
        </w:rPr>
        <w:t>&amp; Allik,</w:t>
      </w:r>
      <w:r w:rsidR="008F6A2A" w:rsidRPr="007A49E1">
        <w:rPr>
          <w:bCs/>
          <w:color w:val="000000" w:themeColor="text1"/>
        </w:rPr>
        <w:t xml:space="preserve"> 2005) and patterns of convergent validity (e.g., Sava, Maricu</w:t>
      </w:r>
      <w:r w:rsidR="008F6A2A" w:rsidRPr="007A49E1">
        <w:rPr>
          <w:rStyle w:val="Emphasis"/>
          <w:rFonts w:eastAsia="Times New Roman"/>
          <w:bCs/>
          <w:i w:val="0"/>
          <w:iCs w:val="0"/>
          <w:color w:val="000000" w:themeColor="text1"/>
        </w:rPr>
        <w:t xml:space="preserve">țoiu, Rusu, Macsinga, &amp; Vîrgā, 2011). </w:t>
      </w:r>
      <w:r w:rsidR="00265B25" w:rsidRPr="007A49E1">
        <w:rPr>
          <w:bCs/>
        </w:rPr>
        <w:t>In the present study, Cronbach</w:t>
      </w:r>
      <w:r w:rsidR="00B83235" w:rsidRPr="007A49E1">
        <w:rPr>
          <w:bCs/>
        </w:rPr>
        <w:t xml:space="preserve"> α for this scale was </w:t>
      </w:r>
      <w:r w:rsidR="00CE25FB">
        <w:rPr>
          <w:bCs/>
        </w:rPr>
        <w:t>.87</w:t>
      </w:r>
      <w:r w:rsidR="00B83235" w:rsidRPr="007A49E1">
        <w:rPr>
          <w:bCs/>
        </w:rPr>
        <w:t xml:space="preserve"> for women and </w:t>
      </w:r>
      <w:r w:rsidR="00CE25FB">
        <w:rPr>
          <w:bCs/>
        </w:rPr>
        <w:t xml:space="preserve">.84 for </w:t>
      </w:r>
      <w:r w:rsidR="00B83235" w:rsidRPr="007A49E1">
        <w:rPr>
          <w:bCs/>
        </w:rPr>
        <w:t xml:space="preserve">men. </w:t>
      </w:r>
    </w:p>
    <w:p w14:paraId="5A0ACE80" w14:textId="3A49B26C" w:rsidR="00B83235" w:rsidRPr="007A49E1" w:rsidRDefault="00B83235" w:rsidP="00E723E8">
      <w:pPr>
        <w:spacing w:line="480" w:lineRule="auto"/>
        <w:ind w:firstLine="720"/>
        <w:rPr>
          <w:bCs/>
        </w:rPr>
      </w:pPr>
      <w:r w:rsidRPr="007A49E1">
        <w:rPr>
          <w:b/>
          <w:bCs/>
        </w:rPr>
        <w:t>Satisfaction with life</w:t>
      </w:r>
      <w:r w:rsidRPr="007A49E1">
        <w:rPr>
          <w:bCs/>
        </w:rPr>
        <w:t xml:space="preserve">. The survey package included the 5-item Satisfaction </w:t>
      </w:r>
      <w:proofErr w:type="gramStart"/>
      <w:r w:rsidRPr="007A49E1">
        <w:rPr>
          <w:bCs/>
        </w:rPr>
        <w:t>With</w:t>
      </w:r>
      <w:proofErr w:type="gramEnd"/>
      <w:r w:rsidRPr="007A49E1">
        <w:rPr>
          <w:bCs/>
        </w:rPr>
        <w:t xml:space="preserve"> Life Scale (SWLS; Diener, Emmons, Larsen, &amp; Griffin, 1985; Romanian translation: Lambru et al., 2012), which taps global assessments of life satisfaction. Items on this scale were rated on </w:t>
      </w:r>
      <w:r w:rsidR="00DF421E" w:rsidRPr="007A49E1">
        <w:rPr>
          <w:bCs/>
        </w:rPr>
        <w:t xml:space="preserve">a 7-point scale (1 = </w:t>
      </w:r>
      <w:r w:rsidR="00DF421E" w:rsidRPr="007A49E1">
        <w:rPr>
          <w:bCs/>
          <w:i/>
        </w:rPr>
        <w:t>Strongly disagree</w:t>
      </w:r>
      <w:r w:rsidR="00DF421E" w:rsidRPr="007A49E1">
        <w:rPr>
          <w:bCs/>
        </w:rPr>
        <w:t xml:space="preserve">, 7 = </w:t>
      </w:r>
      <w:r w:rsidR="00DF421E" w:rsidRPr="007A49E1">
        <w:rPr>
          <w:bCs/>
          <w:i/>
        </w:rPr>
        <w:t>Strongly agree</w:t>
      </w:r>
      <w:r w:rsidR="00DF421E" w:rsidRPr="007A49E1">
        <w:rPr>
          <w:bCs/>
        </w:rPr>
        <w:t xml:space="preserve">). An overall score was computed at the mean of all </w:t>
      </w:r>
      <w:r w:rsidR="001675CE">
        <w:rPr>
          <w:bCs/>
        </w:rPr>
        <w:t>five</w:t>
      </w:r>
      <w:r w:rsidR="00DF421E" w:rsidRPr="007A49E1">
        <w:rPr>
          <w:bCs/>
        </w:rPr>
        <w:t xml:space="preserve"> items, so that higher scores reflect greater life satisfaction. Scores on the Romanian version of the scale have been shown to have a one-dimensional factor structure and </w:t>
      </w:r>
      <w:r w:rsidR="001675CE">
        <w:rPr>
          <w:bCs/>
        </w:rPr>
        <w:t xml:space="preserve">evidence </w:t>
      </w:r>
      <w:r w:rsidR="00DF421E" w:rsidRPr="007A49E1">
        <w:rPr>
          <w:bCs/>
        </w:rPr>
        <w:t xml:space="preserve">patterns of convergent validity (Lambru et al., 2012). In the present study, </w:t>
      </w:r>
      <w:r w:rsidR="001675CE">
        <w:rPr>
          <w:bCs/>
        </w:rPr>
        <w:t>Cronbach’s alpha was .85 for women and .86 for men</w:t>
      </w:r>
      <w:r w:rsidR="00DF421E" w:rsidRPr="007A49E1">
        <w:rPr>
          <w:bCs/>
        </w:rPr>
        <w:t xml:space="preserve">. </w:t>
      </w:r>
    </w:p>
    <w:p w14:paraId="5068EE7B" w14:textId="2D2719C0" w:rsidR="006E73B5" w:rsidRPr="007A49E1" w:rsidRDefault="00DF421E" w:rsidP="006E73B5">
      <w:pPr>
        <w:spacing w:line="480" w:lineRule="auto"/>
        <w:ind w:firstLine="720"/>
        <w:rPr>
          <w:bCs/>
        </w:rPr>
      </w:pPr>
      <w:r w:rsidRPr="007A49E1">
        <w:rPr>
          <w:b/>
          <w:bCs/>
        </w:rPr>
        <w:t>Subjective happiness</w:t>
      </w:r>
      <w:r w:rsidRPr="007A49E1">
        <w:rPr>
          <w:bCs/>
        </w:rPr>
        <w:t xml:space="preserve">. We also included the Subjective Happiness Scale (SHS; Lyubomirsky </w:t>
      </w:r>
      <w:r w:rsidR="001675CE">
        <w:rPr>
          <w:bCs/>
        </w:rPr>
        <w:t>&amp;</w:t>
      </w:r>
      <w:r w:rsidRPr="007A49E1">
        <w:rPr>
          <w:bCs/>
        </w:rPr>
        <w:t xml:space="preserve"> Lepper, 1999), a 4-item measure that </w:t>
      </w:r>
      <w:r w:rsidR="00D67B6C" w:rsidRPr="007A49E1">
        <w:rPr>
          <w:bCs/>
        </w:rPr>
        <w:t>assesses the degree to which respondents consider</w:t>
      </w:r>
      <w:r w:rsidRPr="007A49E1">
        <w:rPr>
          <w:bCs/>
        </w:rPr>
        <w:t xml:space="preserve"> themselves to </w:t>
      </w:r>
      <w:r w:rsidR="00D67B6C" w:rsidRPr="007A49E1">
        <w:rPr>
          <w:bCs/>
        </w:rPr>
        <w:t>be happy or unhappy persons. Items on the scale were rated on a 7-point scales</w:t>
      </w:r>
      <w:r w:rsidR="00C822F3" w:rsidRPr="007A49E1">
        <w:rPr>
          <w:bCs/>
        </w:rPr>
        <w:t xml:space="preserve"> with various anchors. Because a Romanian translation of this scale was not available at the time of the study, we prepared such a translation using the back-translation technique (Brislin, 1986)</w:t>
      </w:r>
      <w:r w:rsidR="00265B25" w:rsidRPr="007A49E1">
        <w:rPr>
          <w:bCs/>
        </w:rPr>
        <w:t>,</w:t>
      </w:r>
      <w:r w:rsidR="00C822F3" w:rsidRPr="007A49E1">
        <w:rPr>
          <w:bCs/>
        </w:rPr>
        <w:t xml:space="preserve"> as described above. To examine the factor structure of scores on this translation of the</w:t>
      </w:r>
      <w:r w:rsidR="00E57DAA">
        <w:rPr>
          <w:bCs/>
        </w:rPr>
        <w:t xml:space="preserve"> scale, we computed a principal-</w:t>
      </w:r>
      <w:r w:rsidR="007A49E1">
        <w:rPr>
          <w:bCs/>
        </w:rPr>
        <w:t>axis EFA</w:t>
      </w:r>
      <w:r w:rsidR="00C822F3" w:rsidRPr="007A49E1">
        <w:rPr>
          <w:bCs/>
        </w:rPr>
        <w:t xml:space="preserve"> with the total </w:t>
      </w:r>
      <w:r w:rsidR="00C822F3" w:rsidRPr="007A49E1">
        <w:rPr>
          <w:bCs/>
        </w:rPr>
        <w:lastRenderedPageBreak/>
        <w:t>sample</w:t>
      </w:r>
      <w:r w:rsidR="006E73B5" w:rsidRPr="007A49E1">
        <w:rPr>
          <w:bCs/>
        </w:rPr>
        <w:t xml:space="preserve"> (</w:t>
      </w:r>
      <w:r w:rsidR="006E73B5" w:rsidRPr="007A49E1">
        <w:rPr>
          <w:bCs/>
          <w:i/>
        </w:rPr>
        <w:t>N</w:t>
      </w:r>
      <w:r w:rsidR="00A97F80" w:rsidRPr="007A49E1">
        <w:rPr>
          <w:bCs/>
        </w:rPr>
        <w:t xml:space="preserve"> = 453</w:t>
      </w:r>
      <w:r w:rsidR="006E73B5" w:rsidRPr="007A49E1">
        <w:rPr>
          <w:bCs/>
        </w:rPr>
        <w:t>) using a quartimax rotation</w:t>
      </w:r>
      <w:r w:rsidR="003129BE" w:rsidRPr="007A49E1">
        <w:rPr>
          <w:bCs/>
        </w:rPr>
        <w:t xml:space="preserve"> because of the expectation of a single factor</w:t>
      </w:r>
      <w:r w:rsidR="006E73B5" w:rsidRPr="007A49E1">
        <w:rPr>
          <w:bCs/>
        </w:rPr>
        <w:t xml:space="preserve">. </w:t>
      </w:r>
      <w:r w:rsidR="00C822F3" w:rsidRPr="007A49E1">
        <w:t>The Kaiser-Meyer-Olkin (KMO) m</w:t>
      </w:r>
      <w:r w:rsidR="006E73B5" w:rsidRPr="007A49E1">
        <w:t>easure of sampling adequacy (.77</w:t>
      </w:r>
      <w:r w:rsidR="00C822F3" w:rsidRPr="007A49E1">
        <w:t xml:space="preserve">) and the significance of Bartlett’s test of sphericity, </w:t>
      </w:r>
      <w:r w:rsidR="00C822F3" w:rsidRPr="007A49E1">
        <w:rPr>
          <w:rStyle w:val="texhtml"/>
          <w:i/>
          <w:iCs/>
          <w:color w:val="252525"/>
          <w:sz w:val="25"/>
          <w:szCs w:val="25"/>
          <w:shd w:val="clear" w:color="auto" w:fill="FFFFFF"/>
        </w:rPr>
        <w:t>χ</w:t>
      </w:r>
      <w:r w:rsidR="00C822F3" w:rsidRPr="007A49E1">
        <w:rPr>
          <w:rStyle w:val="texhtml"/>
          <w:color w:val="252525"/>
          <w:sz w:val="20"/>
          <w:szCs w:val="20"/>
          <w:shd w:val="clear" w:color="auto" w:fill="FFFFFF"/>
        </w:rPr>
        <w:t>2</w:t>
      </w:r>
      <w:r w:rsidR="006E73B5" w:rsidRPr="007A49E1">
        <w:rPr>
          <w:bCs/>
        </w:rPr>
        <w:t>(6</w:t>
      </w:r>
      <w:r w:rsidR="00C822F3" w:rsidRPr="007A49E1">
        <w:rPr>
          <w:bCs/>
        </w:rPr>
        <w:t xml:space="preserve">) = </w:t>
      </w:r>
      <w:r w:rsidR="006E73B5" w:rsidRPr="007A49E1">
        <w:rPr>
          <w:bCs/>
        </w:rPr>
        <w:t>642.81</w:t>
      </w:r>
      <w:r w:rsidR="00C822F3" w:rsidRPr="007A49E1">
        <w:rPr>
          <w:bCs/>
        </w:rPr>
        <w:t xml:space="preserve">, </w:t>
      </w:r>
      <w:r w:rsidR="00C822F3" w:rsidRPr="007A49E1">
        <w:rPr>
          <w:bCs/>
          <w:i/>
          <w:iCs/>
        </w:rPr>
        <w:t xml:space="preserve">p </w:t>
      </w:r>
      <w:r w:rsidR="00C822F3" w:rsidRPr="007A49E1">
        <w:rPr>
          <w:bCs/>
        </w:rPr>
        <w:t>&lt; .001, indicated that these data had adequate factorability. The results of the EFA indicated that only a single factor should be extracted</w:t>
      </w:r>
      <w:r w:rsidR="006E73B5" w:rsidRPr="007A49E1">
        <w:rPr>
          <w:bCs/>
        </w:rPr>
        <w:t xml:space="preserve">, with an eigenvalue </w:t>
      </w:r>
      <w:r w:rsidR="00C822F3" w:rsidRPr="007A49E1">
        <w:rPr>
          <w:bCs/>
        </w:rPr>
        <w:t>(</w:t>
      </w:r>
      <w:r w:rsidR="00C822F3" w:rsidRPr="007A49E1">
        <w:t xml:space="preserve">λ) of </w:t>
      </w:r>
      <w:r w:rsidR="006E73B5" w:rsidRPr="007A49E1">
        <w:t>2.52 and explaining</w:t>
      </w:r>
      <w:r w:rsidR="00C822F3" w:rsidRPr="007A49E1">
        <w:t xml:space="preserve"> </w:t>
      </w:r>
      <w:r w:rsidR="006E73B5" w:rsidRPr="007A49E1">
        <w:t xml:space="preserve">63.0% of the total variance. All </w:t>
      </w:r>
      <w:r w:rsidR="001675CE">
        <w:t>four</w:t>
      </w:r>
      <w:r w:rsidR="00C822F3" w:rsidRPr="007A49E1">
        <w:t xml:space="preserve"> items of the </w:t>
      </w:r>
      <w:r w:rsidR="006E73B5" w:rsidRPr="007A49E1">
        <w:t>SHS loaded onto this factor and had</w:t>
      </w:r>
      <w:r w:rsidR="00265B25" w:rsidRPr="007A49E1">
        <w:t xml:space="preserve"> good-to-excellent</w:t>
      </w:r>
      <w:r w:rsidR="006E73B5" w:rsidRPr="007A49E1">
        <w:t xml:space="preserve"> factor loadings (.56-.86). These results are consistent with other translational studies of the SHS (e.g., Swami, 2008; Swami et al., 2009). Based on these results, we computed an overall SHS score as the mean of all </w:t>
      </w:r>
      <w:r w:rsidR="001675CE">
        <w:t>four</w:t>
      </w:r>
      <w:r w:rsidR="006E73B5" w:rsidRPr="007A49E1">
        <w:t xml:space="preserve"> items, with higher scores reflecting greater subjective happiness. </w:t>
      </w:r>
      <w:r w:rsidR="001675CE">
        <w:t>Cronbach’s alpha was .89 for women and .92 for men</w:t>
      </w:r>
      <w:r w:rsidR="006E73B5" w:rsidRPr="007A49E1">
        <w:rPr>
          <w:bCs/>
        </w:rPr>
        <w:t xml:space="preserve">. </w:t>
      </w:r>
    </w:p>
    <w:p w14:paraId="0F80FB57" w14:textId="5B0E1F3F" w:rsidR="006E73B5" w:rsidRPr="007A49E1" w:rsidRDefault="006E73B5" w:rsidP="006E73B5">
      <w:pPr>
        <w:spacing w:line="480" w:lineRule="auto"/>
        <w:ind w:firstLine="720"/>
      </w:pPr>
      <w:r w:rsidRPr="007A49E1">
        <w:rPr>
          <w:b/>
          <w:bCs/>
        </w:rPr>
        <w:t>Demographics</w:t>
      </w:r>
      <w:r w:rsidRPr="007A49E1">
        <w:rPr>
          <w:bCs/>
        </w:rPr>
        <w:t xml:space="preserve">. Participants provided their demographic details consisting of sex, age, </w:t>
      </w:r>
      <w:r w:rsidR="00A33564" w:rsidRPr="007A49E1">
        <w:rPr>
          <w:bCs/>
        </w:rPr>
        <w:t>degree programme, ethnicity, and religion. Participants were also asked to self-reported their height and weight, which we used to calculate BMI as kg/m</w:t>
      </w:r>
      <w:r w:rsidR="00A33564" w:rsidRPr="007A49E1">
        <w:rPr>
          <w:bCs/>
          <w:vertAlign w:val="superscript"/>
        </w:rPr>
        <w:t>2</w:t>
      </w:r>
      <w:r w:rsidR="00A33564" w:rsidRPr="007A49E1">
        <w:rPr>
          <w:bCs/>
        </w:rPr>
        <w:t xml:space="preserve">. </w:t>
      </w:r>
    </w:p>
    <w:p w14:paraId="1A8BCE34" w14:textId="77777777" w:rsidR="005F55F5" w:rsidRPr="007A49E1" w:rsidRDefault="005F55F5" w:rsidP="005F55F5">
      <w:pPr>
        <w:spacing w:line="480" w:lineRule="auto"/>
        <w:rPr>
          <w:b/>
          <w:bCs/>
        </w:rPr>
      </w:pPr>
      <w:r w:rsidRPr="007A49E1">
        <w:rPr>
          <w:b/>
          <w:bCs/>
        </w:rPr>
        <w:t xml:space="preserve">Procedures </w:t>
      </w:r>
    </w:p>
    <w:p w14:paraId="00726468" w14:textId="5E04BA6A" w:rsidR="005F55F5" w:rsidRDefault="005F55F5" w:rsidP="00014FA0">
      <w:pPr>
        <w:spacing w:line="480" w:lineRule="auto"/>
        <w:ind w:firstLine="720"/>
      </w:pPr>
      <w:r w:rsidRPr="007A49E1">
        <w:t xml:space="preserve">Ethics approval for this project was obtained from the </w:t>
      </w:r>
      <w:r w:rsidR="00FD27B4" w:rsidRPr="007A49E1">
        <w:t>relevant university ethics committee</w:t>
      </w:r>
      <w:r w:rsidRPr="007A49E1">
        <w:t>.</w:t>
      </w:r>
      <w:r w:rsidR="003F02EA" w:rsidRPr="007A49E1">
        <w:t xml:space="preserve"> </w:t>
      </w:r>
      <w:r w:rsidR="00A33564" w:rsidRPr="007A49E1">
        <w:t xml:space="preserve">The </w:t>
      </w:r>
      <w:r w:rsidR="00014FA0">
        <w:t xml:space="preserve">main </w:t>
      </w:r>
      <w:r w:rsidR="00A33564" w:rsidRPr="007A49E1">
        <w:t>study was</w:t>
      </w:r>
      <w:r w:rsidR="00721F70" w:rsidRPr="007A49E1">
        <w:t xml:space="preserve"> advertised a</w:t>
      </w:r>
      <w:r w:rsidR="00A33564" w:rsidRPr="007A49E1">
        <w:t xml:space="preserve">s a project </w:t>
      </w:r>
      <w:r w:rsidR="00721F70" w:rsidRPr="007A49E1">
        <w:t xml:space="preserve">on health and well-being on campus locations between January and </w:t>
      </w:r>
      <w:r w:rsidR="00A33564" w:rsidRPr="007A49E1">
        <w:t>March</w:t>
      </w:r>
      <w:r w:rsidR="00721F70" w:rsidRPr="007A49E1">
        <w:t xml:space="preserve"> 2017.</w:t>
      </w:r>
      <w:r w:rsidR="00014FA0">
        <w:t xml:space="preserve"> </w:t>
      </w:r>
      <w:r w:rsidR="00721F70" w:rsidRPr="007A49E1">
        <w:t>Individuals who agreed to participate were provided with an information sheet that contained brief inf</w:t>
      </w:r>
      <w:r w:rsidR="00014FA0">
        <w:t>ormation about the project</w:t>
      </w:r>
      <w:r w:rsidR="00C35CC4">
        <w:t>s</w:t>
      </w:r>
      <w:r w:rsidR="00721F70" w:rsidRPr="007A49E1">
        <w:t xml:space="preserve"> and provided written informed consent. They then completed an anonymous paper-and-pencil questionnaire in a private cubicle. The que</w:t>
      </w:r>
      <w:r w:rsidR="00A33564" w:rsidRPr="007A49E1">
        <w:t>stionnaire took approximately 20</w:t>
      </w:r>
      <w:r w:rsidR="00721F70" w:rsidRPr="007A49E1">
        <w:t xml:space="preserve"> minutes to complete and the order of presentation of the scales above was semi-randomised (demographic items were always presented last). All participation was voluntary and participants did not receive any remuneration.</w:t>
      </w:r>
      <w:r w:rsidR="00014FA0">
        <w:t xml:space="preserve"> </w:t>
      </w:r>
      <w:r w:rsidR="00721F70" w:rsidRPr="007A49E1">
        <w:t>U</w:t>
      </w:r>
      <w:r w:rsidRPr="007A49E1">
        <w:t>pon return of completed questionnaires, participants were provided with written debrief information.</w:t>
      </w:r>
    </w:p>
    <w:p w14:paraId="5B18C5EB" w14:textId="719B8018" w:rsidR="00C35CC4" w:rsidRPr="00014FA0" w:rsidRDefault="00D43A86" w:rsidP="00C35CC4">
      <w:pPr>
        <w:spacing w:line="480" w:lineRule="auto"/>
        <w:ind w:firstLine="720"/>
      </w:pPr>
      <w:r>
        <w:lastRenderedPageBreak/>
        <w:t>The test-retest participant</w:t>
      </w:r>
      <w:r w:rsidR="007438F5">
        <w:t xml:space="preserve"> </w:t>
      </w:r>
      <w:r>
        <w:t>s</w:t>
      </w:r>
      <w:r w:rsidR="007438F5">
        <w:t>ample</w:t>
      </w:r>
      <w:r w:rsidR="00C35CC4">
        <w:t xml:space="preserve"> was recrui</w:t>
      </w:r>
      <w:r>
        <w:t>ted in June 2017</w:t>
      </w:r>
      <w:r w:rsidR="007438F5">
        <w:t>,</w:t>
      </w:r>
      <w:r>
        <w:t xml:space="preserve"> and</w:t>
      </w:r>
      <w:r w:rsidR="00C35CC4">
        <w:t xml:space="preserve"> </w:t>
      </w:r>
      <w:r w:rsidR="007438F5">
        <w:t xml:space="preserve">participants </w:t>
      </w:r>
      <w:r w:rsidR="00C35CC4">
        <w:t>were only eligible if they had not taken part in the earlier study. Where participation was agreed, participants provided written informed consent and complete the BAS-2 along with brief demographics in a private cubicle. Three weeks after initial testing, p</w:t>
      </w:r>
      <w:r>
        <w:t>articipants were contacted</w:t>
      </w:r>
      <w:r w:rsidR="00C35CC4">
        <w:t xml:space="preserve"> and asked to completed the BAS-2 a second time. No participant declined the invitation. Unique codes were generated to link test-retest data and were destroyed prior to analyses. </w:t>
      </w:r>
      <w:r w:rsidR="00C35CC4" w:rsidRPr="007A49E1">
        <w:t>All participation was voluntary and participants did not receive any remuneration.</w:t>
      </w:r>
      <w:r w:rsidR="00C35CC4">
        <w:t xml:space="preserve"> At the end of the second testing session</w:t>
      </w:r>
      <w:r w:rsidR="00C35CC4" w:rsidRPr="007A49E1">
        <w:t>, participants were provided with written debrief information.</w:t>
      </w:r>
    </w:p>
    <w:p w14:paraId="15CB6463" w14:textId="26C659D5" w:rsidR="001B4094" w:rsidRDefault="005F55F5" w:rsidP="005F55F5">
      <w:pPr>
        <w:spacing w:line="480" w:lineRule="auto"/>
        <w:rPr>
          <w:b/>
          <w:bCs/>
        </w:rPr>
      </w:pPr>
      <w:r w:rsidRPr="007A49E1">
        <w:rPr>
          <w:b/>
          <w:bCs/>
        </w:rPr>
        <w:t>Statistical Analyses</w:t>
      </w:r>
    </w:p>
    <w:p w14:paraId="25EFD7F6" w14:textId="6D40DC07" w:rsidR="00E57DAA" w:rsidRPr="00C35CC4" w:rsidRDefault="00E42491" w:rsidP="00C35CC4">
      <w:pPr>
        <w:spacing w:line="480" w:lineRule="auto"/>
        <w:ind w:firstLine="720"/>
        <w:rPr>
          <w:rFonts w:eastAsia="Arial Unicode MS"/>
          <w:color w:val="000000" w:themeColor="text1"/>
        </w:rPr>
      </w:pPr>
      <w:r>
        <w:rPr>
          <w:rFonts w:eastAsia="Arial Unicode MS"/>
          <w:color w:val="000000" w:themeColor="text1"/>
        </w:rPr>
        <w:t>Missing data</w:t>
      </w:r>
      <w:r w:rsidR="00C35CC4">
        <w:rPr>
          <w:rFonts w:eastAsia="Arial Unicode MS"/>
          <w:color w:val="000000" w:themeColor="text1"/>
        </w:rPr>
        <w:t xml:space="preserve"> accounted for </w:t>
      </w:r>
      <w:r>
        <w:rPr>
          <w:rFonts w:eastAsia="Arial Unicode MS"/>
          <w:color w:val="000000" w:themeColor="text1"/>
        </w:rPr>
        <w:t>&lt; 0.6</w:t>
      </w:r>
      <w:r w:rsidR="006C252C">
        <w:rPr>
          <w:rFonts w:eastAsia="Arial Unicode MS"/>
          <w:color w:val="000000" w:themeColor="text1"/>
        </w:rPr>
        <w:t>% of the main</w:t>
      </w:r>
      <w:r w:rsidR="00C35CC4">
        <w:rPr>
          <w:rFonts w:eastAsia="Arial Unicode MS"/>
          <w:color w:val="000000" w:themeColor="text1"/>
        </w:rPr>
        <w:t xml:space="preserve"> dataset and </w:t>
      </w:r>
      <w:r>
        <w:rPr>
          <w:rFonts w:eastAsia="Arial Unicode MS"/>
          <w:color w:val="000000" w:themeColor="text1"/>
        </w:rPr>
        <w:t xml:space="preserve">were missing completely at random, as </w:t>
      </w:r>
      <w:r w:rsidRPr="00DA4C8A">
        <w:rPr>
          <w:rFonts w:eastAsia="Arial Unicode MS"/>
          <w:color w:val="000000" w:themeColor="text1"/>
        </w:rPr>
        <w:t>determined by Little’s MCAR analyses</w:t>
      </w:r>
      <w:r w:rsidR="00C35CC4">
        <w:rPr>
          <w:rFonts w:eastAsia="Arial Unicode MS"/>
          <w:color w:val="000000" w:themeColor="text1"/>
        </w:rPr>
        <w:t xml:space="preserve">. In this case, </w:t>
      </w:r>
      <w:r w:rsidRPr="00DA4C8A">
        <w:rPr>
          <w:rFonts w:eastAsia="Arial Unicode MS"/>
          <w:color w:val="000000" w:themeColor="text1"/>
        </w:rPr>
        <w:t xml:space="preserve">we used the mean replacement technique to </w:t>
      </w:r>
      <w:r w:rsidRPr="00DA4C8A">
        <w:rPr>
          <w:color w:val="000000" w:themeColor="text1"/>
        </w:rPr>
        <w:t>estima</w:t>
      </w:r>
      <w:r>
        <w:rPr>
          <w:color w:val="000000" w:themeColor="text1"/>
        </w:rPr>
        <w:t>te missing values</w:t>
      </w:r>
      <w:r w:rsidRPr="00DA4C8A">
        <w:rPr>
          <w:color w:val="000000" w:themeColor="text1"/>
        </w:rPr>
        <w:t>.</w:t>
      </w:r>
      <w:r w:rsidR="00C35CC4">
        <w:rPr>
          <w:color w:val="000000" w:themeColor="text1"/>
        </w:rPr>
        <w:t xml:space="preserve"> There were no missing data in the test-retest dataset.</w:t>
      </w:r>
      <w:r w:rsidRPr="00DA4C8A">
        <w:rPr>
          <w:color w:val="000000" w:themeColor="text1"/>
        </w:rPr>
        <w:t xml:space="preserve"> </w:t>
      </w:r>
      <w:r w:rsidR="00E57DAA">
        <w:t>We used a two-step analytic strategy t</w:t>
      </w:r>
      <w:r w:rsidR="001B4094">
        <w:t xml:space="preserve">o examine the psychometric properties of the </w:t>
      </w:r>
      <w:r w:rsidR="00E57DAA">
        <w:t>Romanian BAS-2</w:t>
      </w:r>
      <w:r w:rsidR="001B4094">
        <w:t xml:space="preserve">. </w:t>
      </w:r>
      <w:r w:rsidR="00014FA0">
        <w:t xml:space="preserve">First, we </w:t>
      </w:r>
      <w:r w:rsidR="00653148">
        <w:t>split the main dataset so that the first subsample had a random allocation of 100 women and 100 men, and so that t</w:t>
      </w:r>
      <w:r w:rsidR="00C35CC4">
        <w:t>he second subsample included all</w:t>
      </w:r>
      <w:r w:rsidR="00653148">
        <w:t xml:space="preserve"> remaining participants (women </w:t>
      </w:r>
      <w:r w:rsidR="00653148">
        <w:rPr>
          <w:i/>
        </w:rPr>
        <w:t>n</w:t>
      </w:r>
      <w:r w:rsidR="00653148">
        <w:t xml:space="preserve"> = 112, men </w:t>
      </w:r>
      <w:r w:rsidR="00653148">
        <w:rPr>
          <w:i/>
        </w:rPr>
        <w:t>n</w:t>
      </w:r>
      <w:r w:rsidR="00653148">
        <w:t xml:space="preserve"> = 141). </w:t>
      </w:r>
      <w:r w:rsidR="00D43A86">
        <w:t>In the first</w:t>
      </w:r>
      <w:r w:rsidR="00E57DAA">
        <w:t xml:space="preserve"> subsample, we assessed the factor structure of BAS-2 scores in women and men sepa</w:t>
      </w:r>
      <w:r w:rsidR="00143AD4">
        <w:t>rately, using principal-axis factor analysis</w:t>
      </w:r>
      <w:r w:rsidR="00E57DAA">
        <w:t xml:space="preserve"> in </w:t>
      </w:r>
      <w:r w:rsidR="001B4094">
        <w:t>IBM SPSS Statistics v.20.</w:t>
      </w:r>
      <w:r w:rsidR="001B4094" w:rsidRPr="00CF60FF">
        <w:t xml:space="preserve"> </w:t>
      </w:r>
      <w:r w:rsidR="00653148">
        <w:t>The sample sizes for women and men</w:t>
      </w:r>
      <w:r w:rsidR="00E57DAA">
        <w:t xml:space="preserve"> in this </w:t>
      </w:r>
      <w:r w:rsidR="00D43A86">
        <w:t>subsample</w:t>
      </w:r>
      <w:r w:rsidR="00E57DAA">
        <w:t xml:space="preserve"> met a</w:t>
      </w:r>
      <w:r w:rsidR="00E57DAA" w:rsidRPr="007A49E1">
        <w:t xml:space="preserve"> conservative item-to-participant ratio of 10:1 (Tabacknick &amp; Fidell, 2013).</w:t>
      </w:r>
      <w:r w:rsidR="00E57DAA">
        <w:t xml:space="preserve"> </w:t>
      </w:r>
      <w:r w:rsidR="00E57DAA" w:rsidRPr="007A49E1">
        <w:t xml:space="preserve">As in Tylka and Wood-Barcalow (2015b), we used a quartimax rotation as we hypothesised that BAS-2 scores would have a single, orthogonal factor (Pedhazur &amp; Schmelkin, 1990). Factor loadings were interpreted </w:t>
      </w:r>
      <w:r w:rsidR="00E57DAA" w:rsidRPr="007A49E1">
        <w:rPr>
          <w:szCs w:val="16"/>
        </w:rPr>
        <w:t>using Tabachnick and Fidell’s (2013) recommendations, with loadings of .71 and above considered excellent, .63-.70 considered very good, .55-.62 considered good, .33-.54 considered fair, and .32 or lower considered poor.</w:t>
      </w:r>
    </w:p>
    <w:p w14:paraId="464E39C2" w14:textId="36F50499" w:rsidR="001B4094" w:rsidRDefault="00E57DAA" w:rsidP="00E57DAA">
      <w:pPr>
        <w:spacing w:line="480" w:lineRule="auto"/>
        <w:ind w:firstLine="720"/>
        <w:rPr>
          <w:rFonts w:eastAsia="Arial Unicode MS"/>
        </w:rPr>
      </w:pPr>
      <w:r>
        <w:lastRenderedPageBreak/>
        <w:t>Next, d</w:t>
      </w:r>
      <w:r w:rsidR="001B4094" w:rsidRPr="00CF60FF">
        <w:t>ata from the second subsample (</w:t>
      </w:r>
      <w:r w:rsidR="001B4094" w:rsidRPr="00CF60FF">
        <w:rPr>
          <w:i/>
        </w:rPr>
        <w:t>n</w:t>
      </w:r>
      <w:r w:rsidR="00653148">
        <w:t xml:space="preserve"> = 243</w:t>
      </w:r>
      <w:r w:rsidR="001B4094">
        <w:t>) were</w:t>
      </w:r>
      <w:r w:rsidR="001B4094" w:rsidRPr="00CF60FF">
        <w:t xml:space="preserve"> sub</w:t>
      </w:r>
      <w:r w:rsidR="001B4094">
        <w:t xml:space="preserve">jected to </w:t>
      </w:r>
      <w:r w:rsidR="001B4094" w:rsidRPr="00CF60FF">
        <w:t xml:space="preserve">CFA </w:t>
      </w:r>
      <w:r w:rsidR="001B4094">
        <w:t>u</w:t>
      </w:r>
      <w:r w:rsidR="001B4094" w:rsidRPr="00CF60FF">
        <w:t xml:space="preserve">sing </w:t>
      </w:r>
      <w:r w:rsidR="001B4094" w:rsidRPr="00CF60FF">
        <w:rPr>
          <w:rFonts w:eastAsia="Arial Unicode MS"/>
        </w:rPr>
        <w:t>Analysis of Mome</w:t>
      </w:r>
      <w:r w:rsidR="001B4094">
        <w:rPr>
          <w:rFonts w:eastAsia="Arial Unicode MS"/>
        </w:rPr>
        <w:t>nt Structures (AMOS v.23). Hypothesiz</w:t>
      </w:r>
      <w:r w:rsidR="001B4094" w:rsidRPr="00CF60FF">
        <w:rPr>
          <w:rFonts w:eastAsia="Arial Unicode MS"/>
        </w:rPr>
        <w:t>ed modelling was based on t</w:t>
      </w:r>
      <w:r w:rsidR="001B4094">
        <w:rPr>
          <w:rFonts w:eastAsia="Arial Unicode MS"/>
        </w:rPr>
        <w:t xml:space="preserve">he results of the EFA in the first </w:t>
      </w:r>
      <w:r w:rsidR="00D43A86">
        <w:rPr>
          <w:rFonts w:eastAsia="Arial Unicode MS"/>
        </w:rPr>
        <w:t>subsample</w:t>
      </w:r>
      <w:r w:rsidR="001B4094">
        <w:rPr>
          <w:rFonts w:eastAsia="Arial Unicode MS"/>
        </w:rPr>
        <w:t>, as well as the expected one-dimensional factor structure</w:t>
      </w:r>
      <w:r w:rsidR="001B4094" w:rsidRPr="00CF60FF">
        <w:rPr>
          <w:rFonts w:eastAsia="Arial Unicode MS"/>
        </w:rPr>
        <w:t>. Standard goodness-of-fit indices were selected</w:t>
      </w:r>
      <w:r w:rsidR="001B4094" w:rsidRPr="00CF60FF">
        <w:rPr>
          <w:rStyle w:val="apple-converted-space"/>
          <w:rFonts w:eastAsia="Arial Unicode MS"/>
        </w:rPr>
        <w:t> </w:t>
      </w:r>
      <w:r w:rsidR="001B4094" w:rsidRPr="00CF60FF">
        <w:rPr>
          <w:rStyle w:val="Emphasis"/>
          <w:rFonts w:eastAsia="Arial Unicode MS"/>
          <w:bdr w:val="none" w:sz="0" w:space="0" w:color="auto" w:frame="1"/>
        </w:rPr>
        <w:t>a priori</w:t>
      </w:r>
      <w:r w:rsidR="001B4094" w:rsidRPr="00CF60FF">
        <w:rPr>
          <w:rStyle w:val="apple-converted-space"/>
          <w:rFonts w:eastAsia="Arial Unicode MS"/>
        </w:rPr>
        <w:t> </w:t>
      </w:r>
      <w:r w:rsidR="001B4094" w:rsidRPr="00CF60FF">
        <w:rPr>
          <w:rFonts w:eastAsia="Arial Unicode MS"/>
        </w:rPr>
        <w:t>to assess the measurement models</w:t>
      </w:r>
      <w:r w:rsidR="001B4094">
        <w:rPr>
          <w:rFonts w:eastAsia="Arial Unicode MS"/>
        </w:rPr>
        <w:t xml:space="preserve"> (Hu &amp; Bentler, 1999)</w:t>
      </w:r>
      <w:r w:rsidR="001B4094" w:rsidRPr="00CF60FF">
        <w:rPr>
          <w:rFonts w:eastAsia="Arial Unicode MS"/>
        </w:rPr>
        <w:t>.</w:t>
      </w:r>
      <w:r w:rsidR="001B4094">
        <w:rPr>
          <w:rFonts w:eastAsia="Arial Unicode MS"/>
        </w:rPr>
        <w:t xml:space="preserve"> </w:t>
      </w:r>
      <w:r w:rsidR="001B4094" w:rsidRPr="00CF60FF">
        <w:rPr>
          <w:rFonts w:eastAsia="Arial Unicode MS"/>
        </w:rPr>
        <w:t>The normed model chi-square (</w:t>
      </w:r>
      <w:r w:rsidR="001B4094" w:rsidRPr="003403D4">
        <w:rPr>
          <w:bCs/>
          <w:iCs/>
          <w:shd w:val="clear" w:color="auto" w:fill="FFFFFF"/>
        </w:rPr>
        <w:t>χ</w:t>
      </w:r>
      <w:r w:rsidR="001B4094" w:rsidRPr="00CF60FF">
        <w:rPr>
          <w:bCs/>
          <w:shd w:val="clear" w:color="auto" w:fill="FFFFFF"/>
        </w:rPr>
        <w:t>²</w:t>
      </w:r>
      <w:r w:rsidR="001B4094" w:rsidRPr="00CF60FF">
        <w:rPr>
          <w:vertAlign w:val="subscript"/>
        </w:rPr>
        <w:t>normed</w:t>
      </w:r>
      <w:r w:rsidR="001B4094" w:rsidRPr="00CF60FF">
        <w:t>)</w:t>
      </w:r>
      <w:r w:rsidR="001B4094" w:rsidRPr="00CF60FF">
        <w:rPr>
          <w:rFonts w:eastAsia="Arial Unicode MS"/>
        </w:rPr>
        <w:t xml:space="preserve"> is reported with lower values of the overall model </w:t>
      </w:r>
      <w:r w:rsidR="001B4094" w:rsidRPr="003403D4">
        <w:rPr>
          <w:bCs/>
          <w:iCs/>
          <w:shd w:val="clear" w:color="auto" w:fill="FFFFFF"/>
        </w:rPr>
        <w:t>χ</w:t>
      </w:r>
      <w:r w:rsidR="001B4094" w:rsidRPr="00CF60FF">
        <w:rPr>
          <w:bCs/>
          <w:shd w:val="clear" w:color="auto" w:fill="FFFFFF"/>
        </w:rPr>
        <w:t>²</w:t>
      </w:r>
      <w:r w:rsidR="001B4094" w:rsidRPr="00CF60FF">
        <w:rPr>
          <w:rFonts w:eastAsia="Arial Unicode MS"/>
        </w:rPr>
        <w:t xml:space="preserve"> indicating goodness-of-fit. A </w:t>
      </w:r>
      <w:r w:rsidR="001B4094" w:rsidRPr="003403D4">
        <w:rPr>
          <w:bCs/>
          <w:iCs/>
          <w:shd w:val="clear" w:color="auto" w:fill="FFFFFF"/>
        </w:rPr>
        <w:t>χ</w:t>
      </w:r>
      <w:r w:rsidR="001B4094" w:rsidRPr="00CF60FF">
        <w:rPr>
          <w:bCs/>
          <w:shd w:val="clear" w:color="auto" w:fill="FFFFFF"/>
        </w:rPr>
        <w:t>²</w:t>
      </w:r>
      <w:r w:rsidR="001B4094" w:rsidRPr="00CF60FF">
        <w:rPr>
          <w:vertAlign w:val="subscript"/>
        </w:rPr>
        <w:t xml:space="preserve">normed </w:t>
      </w:r>
      <w:r w:rsidR="001B4094" w:rsidRPr="00CF60FF">
        <w:t xml:space="preserve">value of </w:t>
      </w:r>
      <w:r w:rsidR="001B4094" w:rsidRPr="00CF60FF">
        <w:rPr>
          <w:rFonts w:eastAsia="Arial Unicode MS"/>
        </w:rPr>
        <w:t>&lt; 3.00 indicat</w:t>
      </w:r>
      <w:r w:rsidR="001B4094">
        <w:rPr>
          <w:rFonts w:eastAsia="Arial Unicode MS"/>
        </w:rPr>
        <w:t>es good fit</w:t>
      </w:r>
      <w:r w:rsidR="00F64646">
        <w:rPr>
          <w:rFonts w:eastAsia="Arial Unicode MS"/>
        </w:rPr>
        <w:t xml:space="preserve"> (we also report the mean chi-square value, </w:t>
      </w:r>
      <w:r w:rsidR="00F64646" w:rsidRPr="00EC0DDC">
        <w:rPr>
          <w:color w:val="000000" w:themeColor="text1"/>
        </w:rPr>
        <w:t>χ²</w:t>
      </w:r>
      <w:r w:rsidR="00F64646" w:rsidRPr="00EC0DDC">
        <w:rPr>
          <w:color w:val="000000" w:themeColor="text1"/>
          <w:vertAlign w:val="subscript"/>
        </w:rPr>
        <w:t>M</w:t>
      </w:r>
      <w:r w:rsidR="00F64646">
        <w:rPr>
          <w:color w:val="000000" w:themeColor="text1"/>
        </w:rPr>
        <w:t>, for completeness)</w:t>
      </w:r>
      <w:r w:rsidR="001B4094" w:rsidRPr="00CF60FF">
        <w:rPr>
          <w:rFonts w:eastAsia="Arial Unicode MS"/>
        </w:rPr>
        <w:t>. The Steiger-Lind root mean square error of approximation (RMSEA) and its 90% confidence interval provide a correction for model complexity. RMSEA values close to .06 indicate a good fit, with values ranging to .10 representing a m</w:t>
      </w:r>
      <w:r w:rsidR="001B4094">
        <w:rPr>
          <w:rFonts w:eastAsia="Arial Unicode MS"/>
        </w:rPr>
        <w:t>ediocre fit</w:t>
      </w:r>
      <w:r w:rsidR="001B4094" w:rsidRPr="00CF60FF">
        <w:rPr>
          <w:rFonts w:eastAsia="Arial Unicode MS"/>
        </w:rPr>
        <w:t xml:space="preserve">. The </w:t>
      </w:r>
      <w:r w:rsidR="001B4094">
        <w:rPr>
          <w:rFonts w:eastAsia="Arial Unicode MS"/>
        </w:rPr>
        <w:t>standardiz</w:t>
      </w:r>
      <w:r w:rsidR="001B4094" w:rsidRPr="00CF60FF">
        <w:rPr>
          <w:rFonts w:eastAsia="Arial Unicode MS"/>
        </w:rPr>
        <w:t>ed root mean square residual (SRMR) assesses the mean absolute correlation residual and is a badness-of-fit index: the smaller the SRMR, the better the model fit. A cut-off value</w:t>
      </w:r>
      <w:r w:rsidR="001B4094">
        <w:rPr>
          <w:rFonts w:eastAsia="Arial Unicode MS"/>
        </w:rPr>
        <w:t xml:space="preserve"> for SRMR is recommended to be </w:t>
      </w:r>
      <w:r w:rsidR="001B4094" w:rsidRPr="00CF60FF">
        <w:rPr>
          <w:rFonts w:eastAsia="Arial Unicode MS"/>
        </w:rPr>
        <w:t>clos</w:t>
      </w:r>
      <w:r w:rsidR="001B4094">
        <w:rPr>
          <w:rFonts w:eastAsia="Arial Unicode MS"/>
        </w:rPr>
        <w:t>e to or &lt; .09</w:t>
      </w:r>
      <w:r w:rsidR="001B4094" w:rsidRPr="00CF60FF">
        <w:rPr>
          <w:rFonts w:eastAsia="Arial Unicode MS"/>
        </w:rPr>
        <w:t xml:space="preserve">. The comparative fit index (CFI) </w:t>
      </w:r>
      <w:r w:rsidR="001B4094" w:rsidRPr="00CF60FF">
        <w:rPr>
          <w:rFonts w:eastAsia="Arial Unicode MS"/>
          <w:bCs/>
        </w:rPr>
        <w:t>measures the proportionate improvement in fit by comparing a target model with a more restricted, nested baseline model</w:t>
      </w:r>
      <w:r w:rsidR="001B4094" w:rsidRPr="00CF60FF">
        <w:rPr>
          <w:rFonts w:eastAsia="Arial Unicode MS"/>
        </w:rPr>
        <w:t>.</w:t>
      </w:r>
      <w:r w:rsidR="001B4094" w:rsidRPr="00CF60FF">
        <w:rPr>
          <w:rFonts w:eastAsia="Arial Unicode MS"/>
          <w:b/>
        </w:rPr>
        <w:t xml:space="preserve"> </w:t>
      </w:r>
      <w:r w:rsidR="001B4094" w:rsidRPr="00CF60FF">
        <w:rPr>
          <w:rFonts w:eastAsia="Arial Unicode MS"/>
        </w:rPr>
        <w:t>The CFI reflects a goodness-of-f</w:t>
      </w:r>
      <w:r w:rsidR="001B4094">
        <w:rPr>
          <w:rFonts w:eastAsia="Arial Unicode MS"/>
        </w:rPr>
        <w:t>it index and is recommended to close to</w:t>
      </w:r>
      <w:r w:rsidR="001B4094" w:rsidRPr="00CF60FF">
        <w:rPr>
          <w:rFonts w:eastAsia="Arial Unicode MS"/>
        </w:rPr>
        <w:t xml:space="preserve"> or &gt; .95 for </w:t>
      </w:r>
      <w:r w:rsidR="006D0757">
        <w:rPr>
          <w:rFonts w:eastAsia="Arial Unicode MS"/>
        </w:rPr>
        <w:t>good</w:t>
      </w:r>
      <w:r w:rsidR="006D0757" w:rsidRPr="00CF60FF">
        <w:rPr>
          <w:rFonts w:eastAsia="Arial Unicode MS"/>
        </w:rPr>
        <w:t xml:space="preserve"> </w:t>
      </w:r>
      <w:r w:rsidR="00EB22C6">
        <w:rPr>
          <w:rFonts w:eastAsia="Arial Unicode MS"/>
        </w:rPr>
        <w:t xml:space="preserve">fit, but can be as low as .90 for adequate fit. </w:t>
      </w:r>
    </w:p>
    <w:p w14:paraId="0EE0B549" w14:textId="61A6360B" w:rsidR="005F55F5" w:rsidRPr="006B4EB3" w:rsidRDefault="001B4094" w:rsidP="006B4EB3">
      <w:pPr>
        <w:widowControl w:val="0"/>
        <w:autoSpaceDE w:val="0"/>
        <w:autoSpaceDN w:val="0"/>
        <w:adjustRightInd w:val="0"/>
        <w:spacing w:line="480" w:lineRule="auto"/>
        <w:ind w:firstLine="720"/>
        <w:rPr>
          <w:bCs/>
        </w:rPr>
      </w:pPr>
      <w:r w:rsidRPr="00CF60FF">
        <w:rPr>
          <w:rFonts w:eastAsia="Arial Unicode MS"/>
        </w:rPr>
        <w:t xml:space="preserve"> </w:t>
      </w:r>
      <w:r w:rsidR="00E57DAA">
        <w:rPr>
          <w:rFonts w:eastAsia="Arial Unicode MS"/>
        </w:rPr>
        <w:t>In this second subsample, w</w:t>
      </w:r>
      <w:r>
        <w:rPr>
          <w:rFonts w:eastAsia="Arial Unicode MS"/>
        </w:rPr>
        <w:t xml:space="preserve">e also examined whether BAS-2 scores were invariant across sex at the </w:t>
      </w:r>
      <w:r>
        <w:rPr>
          <w:color w:val="000000"/>
        </w:rPr>
        <w:t>configu</w:t>
      </w:r>
      <w:r w:rsidRPr="00C82FA5">
        <w:rPr>
          <w:color w:val="000000"/>
        </w:rPr>
        <w:t>ral (i.e., whether similar factors are measured), factor loading (i.e., whether the magnitude of factor loadings is th</w:t>
      </w:r>
      <w:r>
        <w:rPr>
          <w:color w:val="000000"/>
        </w:rPr>
        <w:t>e same), and inter</w:t>
      </w:r>
      <w:r w:rsidRPr="00C82FA5">
        <w:rPr>
          <w:color w:val="000000"/>
        </w:rPr>
        <w:t>cept (i.e., whether the intercept of the regression relating each item to its factor is the same) level</w:t>
      </w:r>
      <w:r>
        <w:rPr>
          <w:color w:val="000000"/>
        </w:rPr>
        <w:t>s</w:t>
      </w:r>
      <w:r w:rsidRPr="00C82FA5">
        <w:rPr>
          <w:color w:val="000000"/>
        </w:rPr>
        <w:t xml:space="preserve"> (</w:t>
      </w:r>
      <w:r w:rsidRPr="00C82FA5">
        <w:rPr>
          <w:color w:val="000000" w:themeColor="text1"/>
        </w:rPr>
        <w:t>Chen, 2007</w:t>
      </w:r>
      <w:r>
        <w:rPr>
          <w:color w:val="000000"/>
        </w:rPr>
        <w:t xml:space="preserve">). </w:t>
      </w:r>
      <w:r w:rsidR="00E57DAA">
        <w:rPr>
          <w:color w:val="000000"/>
        </w:rPr>
        <w:t xml:space="preserve">In both </w:t>
      </w:r>
      <w:r w:rsidR="00D43A86">
        <w:rPr>
          <w:color w:val="000000"/>
        </w:rPr>
        <w:t>subsamples</w:t>
      </w:r>
      <w:r w:rsidR="00E57DAA">
        <w:rPr>
          <w:color w:val="000000"/>
        </w:rPr>
        <w:t xml:space="preserve"> separately, and </w:t>
      </w:r>
      <w:r w:rsidR="00E57DAA">
        <w:rPr>
          <w:rFonts w:eastAsia="Arial Unicode MS"/>
        </w:rPr>
        <w:t>f</w:t>
      </w:r>
      <w:r w:rsidR="00E57DAA" w:rsidRPr="007A49E1">
        <w:rPr>
          <w:rFonts w:eastAsia="Arial Unicode MS"/>
        </w:rPr>
        <w:t xml:space="preserve">or both women and men, we examined internal consistency by computing Cronbach’s </w:t>
      </w:r>
      <w:r w:rsidR="00E57DAA" w:rsidRPr="007A49E1">
        <w:rPr>
          <w:bCs/>
        </w:rPr>
        <w:t>α.</w:t>
      </w:r>
      <w:r w:rsidR="00014FA0">
        <w:rPr>
          <w:bCs/>
        </w:rPr>
        <w:t xml:space="preserve"> For the test-retest </w:t>
      </w:r>
      <w:r w:rsidR="0043418D">
        <w:rPr>
          <w:bCs/>
        </w:rPr>
        <w:t>sample</w:t>
      </w:r>
      <w:r w:rsidR="006B4EB3">
        <w:rPr>
          <w:bCs/>
        </w:rPr>
        <w:t xml:space="preserve"> (</w:t>
      </w:r>
      <w:r w:rsidR="00FC3E22">
        <w:rPr>
          <w:bCs/>
          <w:i/>
          <w:color w:val="000000" w:themeColor="text1"/>
        </w:rPr>
        <w:t>n</w:t>
      </w:r>
      <w:r w:rsidR="00FC3E22">
        <w:rPr>
          <w:bCs/>
          <w:color w:val="000000" w:themeColor="text1"/>
        </w:rPr>
        <w:t xml:space="preserve"> = </w:t>
      </w:r>
      <w:r w:rsidR="00BA7D60">
        <w:rPr>
          <w:bCs/>
          <w:color w:val="000000" w:themeColor="text1"/>
        </w:rPr>
        <w:t>109</w:t>
      </w:r>
      <w:r w:rsidR="00653148">
        <w:rPr>
          <w:bCs/>
        </w:rPr>
        <w:t>)</w:t>
      </w:r>
      <w:r w:rsidR="0043418D">
        <w:rPr>
          <w:bCs/>
        </w:rPr>
        <w:t>, i</w:t>
      </w:r>
      <w:r w:rsidR="0043418D" w:rsidRPr="0043418D">
        <w:t>ntraclass correlation</w:t>
      </w:r>
      <w:r w:rsidR="006B4EB3">
        <w:t xml:space="preserve"> coefficients and paired-</w:t>
      </w:r>
      <w:r w:rsidR="0043418D" w:rsidRPr="0043418D">
        <w:t xml:space="preserve">sample </w:t>
      </w:r>
      <w:r w:rsidR="0043418D" w:rsidRPr="0043418D">
        <w:rPr>
          <w:i/>
        </w:rPr>
        <w:t>t</w:t>
      </w:r>
      <w:r w:rsidR="0043418D" w:rsidRPr="0043418D">
        <w:t xml:space="preserve">-tests were used to estimate the stability of </w:t>
      </w:r>
      <w:r w:rsidR="006B4EB3">
        <w:t>BAS-2’s scores</w:t>
      </w:r>
      <w:r w:rsidR="00014FA0">
        <w:t xml:space="preserve"> in women and men separately</w:t>
      </w:r>
      <w:r w:rsidR="0043418D" w:rsidRPr="0043418D">
        <w:t>.</w:t>
      </w:r>
      <w:r w:rsidR="006B4EB3">
        <w:t xml:space="preserve"> To examine sex differences in BAS-2 scores, we</w:t>
      </w:r>
      <w:r w:rsidR="00014FA0">
        <w:t xml:space="preserve"> planned on using</w:t>
      </w:r>
      <w:r w:rsidR="006B4EB3">
        <w:t xml:space="preserve"> independent-samples </w:t>
      </w:r>
      <w:r w:rsidR="006B4EB3">
        <w:rPr>
          <w:i/>
        </w:rPr>
        <w:t>t</w:t>
      </w:r>
      <w:r w:rsidR="006B4EB3">
        <w:t>-tests. Finally, we examined converg</w:t>
      </w:r>
      <w:r w:rsidR="00FC3E22">
        <w:t>ent validity</w:t>
      </w:r>
      <w:r w:rsidR="006B4EB3">
        <w:t xml:space="preserve"> by computing </w:t>
      </w:r>
      <w:r w:rsidR="005140C1" w:rsidRPr="007A49E1">
        <w:rPr>
          <w:bCs/>
        </w:rPr>
        <w:lastRenderedPageBreak/>
        <w:t>bivariate correlations between BAS-2 scores and sco</w:t>
      </w:r>
      <w:r w:rsidR="00BA7D60">
        <w:rPr>
          <w:bCs/>
        </w:rPr>
        <w:t>res on all other included measures</w:t>
      </w:r>
      <w:r w:rsidR="005140C1" w:rsidRPr="007A49E1">
        <w:rPr>
          <w:bCs/>
        </w:rPr>
        <w:t xml:space="preserve">. </w:t>
      </w:r>
    </w:p>
    <w:p w14:paraId="169E6ECC" w14:textId="0F047808" w:rsidR="00E35BBF" w:rsidRDefault="00E35BBF" w:rsidP="00E35BBF">
      <w:pPr>
        <w:spacing w:line="480" w:lineRule="auto"/>
        <w:jc w:val="center"/>
        <w:rPr>
          <w:rStyle w:val="apple-converted-space"/>
          <w:b/>
          <w:shd w:val="clear" w:color="auto" w:fill="FFFFFF"/>
        </w:rPr>
      </w:pPr>
      <w:r w:rsidRPr="007A49E1">
        <w:rPr>
          <w:rStyle w:val="apple-converted-space"/>
          <w:b/>
          <w:shd w:val="clear" w:color="auto" w:fill="FFFFFF"/>
        </w:rPr>
        <w:t>Results</w:t>
      </w:r>
    </w:p>
    <w:p w14:paraId="4A2B356C" w14:textId="2F20CC69" w:rsidR="006B4EB3" w:rsidRPr="007A49E1" w:rsidRDefault="00822628" w:rsidP="006B4EB3">
      <w:pPr>
        <w:spacing w:line="480" w:lineRule="auto"/>
        <w:rPr>
          <w:rStyle w:val="apple-converted-space"/>
          <w:b/>
          <w:shd w:val="clear" w:color="auto" w:fill="FFFFFF"/>
        </w:rPr>
      </w:pPr>
      <w:r>
        <w:rPr>
          <w:rStyle w:val="apple-converted-space"/>
          <w:b/>
          <w:shd w:val="clear" w:color="auto" w:fill="FFFFFF"/>
        </w:rPr>
        <w:t>Principal-Axis</w:t>
      </w:r>
      <w:r w:rsidR="006B4EB3">
        <w:rPr>
          <w:rStyle w:val="apple-converted-space"/>
          <w:b/>
          <w:shd w:val="clear" w:color="auto" w:fill="FFFFFF"/>
        </w:rPr>
        <w:t xml:space="preserve"> Factor Analysis</w:t>
      </w:r>
    </w:p>
    <w:p w14:paraId="1DBCAEE8" w14:textId="3FE17253" w:rsidR="00E35BBF" w:rsidRPr="007A49E1" w:rsidRDefault="005140C1" w:rsidP="006B4EB3">
      <w:pPr>
        <w:spacing w:line="480" w:lineRule="auto"/>
        <w:ind w:firstLine="720"/>
      </w:pPr>
      <w:r w:rsidRPr="007A49E1">
        <w:rPr>
          <w:b/>
        </w:rPr>
        <w:t xml:space="preserve">Female </w:t>
      </w:r>
      <w:r w:rsidR="006B4EB3">
        <w:rPr>
          <w:b/>
        </w:rPr>
        <w:t>sub</w:t>
      </w:r>
      <w:r w:rsidRPr="007A49E1">
        <w:rPr>
          <w:b/>
        </w:rPr>
        <w:t>sample</w:t>
      </w:r>
      <w:r w:rsidR="006B4EB3">
        <w:rPr>
          <w:b/>
        </w:rPr>
        <w:t>.</w:t>
      </w:r>
      <w:r w:rsidR="006B4EB3" w:rsidRPr="00653148">
        <w:rPr>
          <w:color w:val="000000" w:themeColor="text1"/>
        </w:rPr>
        <w:t xml:space="preserve"> </w:t>
      </w:r>
      <w:r w:rsidR="0091616D" w:rsidRPr="00653148">
        <w:rPr>
          <w:color w:val="000000" w:themeColor="text1"/>
        </w:rPr>
        <w:t>Descriptive statistics (</w:t>
      </w:r>
      <w:r w:rsidR="0091616D" w:rsidRPr="00653148">
        <w:rPr>
          <w:i/>
          <w:color w:val="000000" w:themeColor="text1"/>
        </w:rPr>
        <w:t>M</w:t>
      </w:r>
      <w:r w:rsidR="0091616D" w:rsidRPr="00653148">
        <w:rPr>
          <w:color w:val="000000" w:themeColor="text1"/>
        </w:rPr>
        <w:t xml:space="preserve">s and </w:t>
      </w:r>
      <w:r w:rsidR="0091616D" w:rsidRPr="00653148">
        <w:rPr>
          <w:i/>
          <w:color w:val="000000" w:themeColor="text1"/>
        </w:rPr>
        <w:t>SD</w:t>
      </w:r>
      <w:r w:rsidR="0091616D" w:rsidRPr="00653148">
        <w:rPr>
          <w:color w:val="000000" w:themeColor="text1"/>
        </w:rPr>
        <w:t xml:space="preserve">s) for all BAS-2 items for </w:t>
      </w:r>
      <w:r w:rsidRPr="00653148">
        <w:rPr>
          <w:color w:val="000000" w:themeColor="text1"/>
        </w:rPr>
        <w:t>the female subsample (</w:t>
      </w:r>
      <w:r w:rsidRPr="00653148">
        <w:rPr>
          <w:i/>
          <w:color w:val="000000" w:themeColor="text1"/>
        </w:rPr>
        <w:t>n</w:t>
      </w:r>
      <w:r w:rsidR="00653148" w:rsidRPr="00653148">
        <w:rPr>
          <w:color w:val="000000" w:themeColor="text1"/>
        </w:rPr>
        <w:t xml:space="preserve"> = 100</w:t>
      </w:r>
      <w:r w:rsidRPr="00653148">
        <w:rPr>
          <w:color w:val="000000" w:themeColor="text1"/>
        </w:rPr>
        <w:t xml:space="preserve">) are reported in Table 1. </w:t>
      </w:r>
      <w:r w:rsidR="0091616D" w:rsidRPr="00653148">
        <w:rPr>
          <w:color w:val="000000" w:themeColor="text1"/>
        </w:rPr>
        <w:t xml:space="preserve">Based on item distribution, average correlation with other items, and item-total correlations (Clark &amp; Watson, 1995), </w:t>
      </w:r>
      <w:r w:rsidRPr="00653148">
        <w:rPr>
          <w:color w:val="000000" w:themeColor="text1"/>
        </w:rPr>
        <w:t>these data were suitable for factor analysis</w:t>
      </w:r>
      <w:r w:rsidR="0091616D" w:rsidRPr="00653148">
        <w:rPr>
          <w:color w:val="000000" w:themeColor="text1"/>
        </w:rPr>
        <w:t>. T</w:t>
      </w:r>
      <w:r w:rsidR="00E35BBF" w:rsidRPr="00653148">
        <w:rPr>
          <w:color w:val="000000" w:themeColor="text1"/>
        </w:rPr>
        <w:t>he Kaiser-Meyer-Olkin (KMO) m</w:t>
      </w:r>
      <w:r w:rsidR="00653148">
        <w:rPr>
          <w:color w:val="000000" w:themeColor="text1"/>
        </w:rPr>
        <w:t>easure of sampling adequacy (.92</w:t>
      </w:r>
      <w:r w:rsidR="00E35BBF" w:rsidRPr="00653148">
        <w:rPr>
          <w:color w:val="000000" w:themeColor="text1"/>
        </w:rPr>
        <w:t xml:space="preserve">) and the significance of Bartlett’s test of sphericity, </w:t>
      </w:r>
      <w:r w:rsidR="00E35BBF" w:rsidRPr="00653148">
        <w:rPr>
          <w:rStyle w:val="texhtml"/>
          <w:i/>
          <w:iCs/>
          <w:color w:val="000000" w:themeColor="text1"/>
          <w:sz w:val="25"/>
          <w:szCs w:val="25"/>
          <w:shd w:val="clear" w:color="auto" w:fill="FFFFFF"/>
        </w:rPr>
        <w:t>χ</w:t>
      </w:r>
      <w:r w:rsidR="00E35BBF" w:rsidRPr="00653148">
        <w:rPr>
          <w:rStyle w:val="texhtml"/>
          <w:color w:val="000000" w:themeColor="text1"/>
          <w:sz w:val="20"/>
          <w:szCs w:val="20"/>
          <w:shd w:val="clear" w:color="auto" w:fill="FFFFFF"/>
        </w:rPr>
        <w:t>2</w:t>
      </w:r>
      <w:r w:rsidR="00E35BBF" w:rsidRPr="00653148">
        <w:rPr>
          <w:bCs/>
          <w:color w:val="000000" w:themeColor="text1"/>
        </w:rPr>
        <w:t xml:space="preserve">(45) = </w:t>
      </w:r>
      <w:r w:rsidR="00653148">
        <w:rPr>
          <w:bCs/>
          <w:color w:val="000000" w:themeColor="text1"/>
        </w:rPr>
        <w:t>674.52</w:t>
      </w:r>
      <w:r w:rsidR="00E35BBF" w:rsidRPr="00653148">
        <w:rPr>
          <w:bCs/>
          <w:color w:val="000000" w:themeColor="text1"/>
        </w:rPr>
        <w:t xml:space="preserve">, </w:t>
      </w:r>
      <w:r w:rsidR="00E35BBF" w:rsidRPr="00653148">
        <w:rPr>
          <w:bCs/>
          <w:i/>
          <w:iCs/>
          <w:color w:val="000000" w:themeColor="text1"/>
        </w:rPr>
        <w:t xml:space="preserve">p </w:t>
      </w:r>
      <w:r w:rsidR="00E35BBF" w:rsidRPr="00653148">
        <w:rPr>
          <w:bCs/>
          <w:color w:val="000000" w:themeColor="text1"/>
        </w:rPr>
        <w:t>&lt; .001, indicated that these data had adequate facto</w:t>
      </w:r>
      <w:r w:rsidR="00265B25" w:rsidRPr="00653148">
        <w:rPr>
          <w:bCs/>
          <w:color w:val="000000" w:themeColor="text1"/>
        </w:rPr>
        <w:t>rability. The results of the factor analysis</w:t>
      </w:r>
      <w:r w:rsidR="00E35BBF" w:rsidRPr="00653148">
        <w:rPr>
          <w:bCs/>
          <w:color w:val="000000" w:themeColor="text1"/>
        </w:rPr>
        <w:t xml:space="preserve"> indicated that only a single factor should be extracted</w:t>
      </w:r>
      <w:r w:rsidR="00FC58DB" w:rsidRPr="00653148">
        <w:rPr>
          <w:bCs/>
          <w:color w:val="000000" w:themeColor="text1"/>
        </w:rPr>
        <w:t>;</w:t>
      </w:r>
      <w:r w:rsidRPr="00653148">
        <w:rPr>
          <w:bCs/>
          <w:color w:val="000000" w:themeColor="text1"/>
        </w:rPr>
        <w:t xml:space="preserve"> this factor had an </w:t>
      </w:r>
      <w:r w:rsidR="00E35BBF" w:rsidRPr="00653148">
        <w:rPr>
          <w:color w:val="000000" w:themeColor="text1"/>
        </w:rPr>
        <w:t>λ</w:t>
      </w:r>
      <w:r w:rsidRPr="00653148">
        <w:rPr>
          <w:color w:val="000000" w:themeColor="text1"/>
        </w:rPr>
        <w:t xml:space="preserve"> </w:t>
      </w:r>
      <w:r w:rsidR="00FC58DB" w:rsidRPr="00653148">
        <w:rPr>
          <w:color w:val="000000" w:themeColor="text1"/>
        </w:rPr>
        <w:t xml:space="preserve">of </w:t>
      </w:r>
      <w:r w:rsidR="00653148">
        <w:rPr>
          <w:color w:val="000000" w:themeColor="text1"/>
        </w:rPr>
        <w:t>6.14</w:t>
      </w:r>
      <w:r w:rsidR="00FC58DB" w:rsidRPr="00653148">
        <w:rPr>
          <w:color w:val="000000" w:themeColor="text1"/>
        </w:rPr>
        <w:t xml:space="preserve"> and explained </w:t>
      </w:r>
      <w:r w:rsidR="00653148">
        <w:rPr>
          <w:color w:val="000000" w:themeColor="text1"/>
        </w:rPr>
        <w:t>61.4</w:t>
      </w:r>
      <w:r w:rsidR="00FC58DB" w:rsidRPr="00653148">
        <w:rPr>
          <w:color w:val="000000" w:themeColor="text1"/>
        </w:rPr>
        <w:t xml:space="preserve">% of the total variance. All 10 items of the BAS-2 loaded onto this factor and had </w:t>
      </w:r>
      <w:r w:rsidR="00EF6AB5" w:rsidRPr="00653148">
        <w:rPr>
          <w:color w:val="000000" w:themeColor="text1"/>
        </w:rPr>
        <w:t>good</w:t>
      </w:r>
      <w:r w:rsidR="009E545E" w:rsidRPr="00653148">
        <w:rPr>
          <w:color w:val="000000" w:themeColor="text1"/>
        </w:rPr>
        <w:t>-to-excellent factor loadings (see Table 1).</w:t>
      </w:r>
      <w:r w:rsidR="006B4EB3" w:rsidRPr="00653148">
        <w:rPr>
          <w:color w:val="000000" w:themeColor="text1"/>
        </w:rPr>
        <w:t xml:space="preserve"> </w:t>
      </w:r>
      <w:r w:rsidR="006D0757">
        <w:rPr>
          <w:color w:val="000000" w:themeColor="text1"/>
        </w:rPr>
        <w:t>Cronbach’s alpha</w:t>
      </w:r>
      <w:r w:rsidR="00EC0DDC">
        <w:rPr>
          <w:bCs/>
          <w:color w:val="000000" w:themeColor="text1"/>
        </w:rPr>
        <w:t xml:space="preserve"> was </w:t>
      </w:r>
      <w:r w:rsidR="006D0757">
        <w:rPr>
          <w:bCs/>
          <w:color w:val="000000" w:themeColor="text1"/>
        </w:rPr>
        <w:t>.93</w:t>
      </w:r>
      <w:r w:rsidR="006B4EB3" w:rsidRPr="00653148">
        <w:rPr>
          <w:bCs/>
          <w:color w:val="000000" w:themeColor="text1"/>
        </w:rPr>
        <w:t xml:space="preserve"> </w:t>
      </w:r>
      <w:r w:rsidR="006D0757">
        <w:rPr>
          <w:bCs/>
          <w:color w:val="000000" w:themeColor="text1"/>
        </w:rPr>
        <w:t>(</w:t>
      </w:r>
      <w:r w:rsidR="006B4EB3" w:rsidRPr="00653148">
        <w:rPr>
          <w:bCs/>
          <w:color w:val="000000" w:themeColor="text1"/>
        </w:rPr>
        <w:t xml:space="preserve">95% </w:t>
      </w:r>
      <w:r w:rsidR="006B4EB3" w:rsidRPr="00BA7D60">
        <w:rPr>
          <w:bCs/>
          <w:color w:val="000000" w:themeColor="text1"/>
        </w:rPr>
        <w:t>CI</w:t>
      </w:r>
      <w:r w:rsidR="00653148" w:rsidRPr="00BA7D60">
        <w:rPr>
          <w:bCs/>
          <w:color w:val="000000" w:themeColor="text1"/>
        </w:rPr>
        <w:t xml:space="preserve"> </w:t>
      </w:r>
      <w:r w:rsidR="00653148">
        <w:rPr>
          <w:bCs/>
          <w:color w:val="000000" w:themeColor="text1"/>
        </w:rPr>
        <w:t>= .91-.95</w:t>
      </w:r>
      <w:r w:rsidR="006B4EB3" w:rsidRPr="00653148">
        <w:rPr>
          <w:bCs/>
          <w:color w:val="000000" w:themeColor="text1"/>
        </w:rPr>
        <w:t>)</w:t>
      </w:r>
      <w:r w:rsidR="006D0757">
        <w:rPr>
          <w:bCs/>
          <w:color w:val="000000" w:themeColor="text1"/>
        </w:rPr>
        <w:t>, providing evidence of internal consistency</w:t>
      </w:r>
      <w:r w:rsidR="00653148">
        <w:rPr>
          <w:bCs/>
          <w:color w:val="000000" w:themeColor="text1"/>
        </w:rPr>
        <w:t>.</w:t>
      </w:r>
    </w:p>
    <w:p w14:paraId="065E6E9F" w14:textId="2CFD770E" w:rsidR="005541B8" w:rsidRPr="00EC0DDC" w:rsidRDefault="00E35BBF" w:rsidP="00EC0DDC">
      <w:pPr>
        <w:spacing w:line="480" w:lineRule="auto"/>
        <w:ind w:firstLine="720"/>
        <w:rPr>
          <w:bCs/>
          <w:color w:val="000000" w:themeColor="text1"/>
        </w:rPr>
      </w:pPr>
      <w:r w:rsidRPr="00647F31">
        <w:rPr>
          <w:b/>
          <w:bCs/>
          <w:color w:val="000000" w:themeColor="text1"/>
        </w:rPr>
        <w:t xml:space="preserve">Male </w:t>
      </w:r>
      <w:r w:rsidR="006B4EB3" w:rsidRPr="00647F31">
        <w:rPr>
          <w:b/>
          <w:bCs/>
          <w:color w:val="000000" w:themeColor="text1"/>
        </w:rPr>
        <w:t>sub</w:t>
      </w:r>
      <w:r w:rsidRPr="00647F31">
        <w:rPr>
          <w:b/>
          <w:bCs/>
          <w:color w:val="000000" w:themeColor="text1"/>
        </w:rPr>
        <w:t>sample</w:t>
      </w:r>
      <w:r w:rsidR="006B4EB3" w:rsidRPr="00647F31">
        <w:rPr>
          <w:b/>
          <w:bCs/>
          <w:color w:val="000000" w:themeColor="text1"/>
        </w:rPr>
        <w:t xml:space="preserve">. </w:t>
      </w:r>
      <w:r w:rsidRPr="00647F31">
        <w:rPr>
          <w:bCs/>
          <w:color w:val="000000" w:themeColor="text1"/>
        </w:rPr>
        <w:t>Descriptive statistics for all 10 items for men</w:t>
      </w:r>
      <w:r w:rsidR="00B26E43" w:rsidRPr="00647F31">
        <w:rPr>
          <w:bCs/>
          <w:color w:val="000000" w:themeColor="text1"/>
        </w:rPr>
        <w:t xml:space="preserve"> (</w:t>
      </w:r>
      <w:r w:rsidR="00B26E43" w:rsidRPr="00647F31">
        <w:rPr>
          <w:bCs/>
          <w:i/>
          <w:color w:val="000000" w:themeColor="text1"/>
        </w:rPr>
        <w:t>n</w:t>
      </w:r>
      <w:r w:rsidR="00647F31">
        <w:rPr>
          <w:bCs/>
          <w:color w:val="000000" w:themeColor="text1"/>
        </w:rPr>
        <w:t xml:space="preserve"> = 100</w:t>
      </w:r>
      <w:r w:rsidR="00B26E43" w:rsidRPr="00647F31">
        <w:rPr>
          <w:bCs/>
          <w:color w:val="000000" w:themeColor="text1"/>
        </w:rPr>
        <w:t>)</w:t>
      </w:r>
      <w:r w:rsidRPr="00647F31">
        <w:rPr>
          <w:bCs/>
          <w:color w:val="000000" w:themeColor="text1"/>
        </w:rPr>
        <w:t xml:space="preserve"> are reported Table 1. These data </w:t>
      </w:r>
      <w:r w:rsidR="00265B25" w:rsidRPr="00647F31">
        <w:rPr>
          <w:bCs/>
          <w:color w:val="000000" w:themeColor="text1"/>
        </w:rPr>
        <w:t>passed standard criteria for factor analysis</w:t>
      </w:r>
      <w:r w:rsidRPr="00647F31">
        <w:rPr>
          <w:bCs/>
          <w:color w:val="000000" w:themeColor="text1"/>
        </w:rPr>
        <w:t xml:space="preserve"> (Clark &amp; Watson, 1995). The KMO measure of sampling adequacy was </w:t>
      </w:r>
      <w:r w:rsidR="001E2B04">
        <w:rPr>
          <w:bCs/>
          <w:color w:val="000000" w:themeColor="text1"/>
        </w:rPr>
        <w:t>.</w:t>
      </w:r>
      <w:r w:rsidR="00EC0DDC">
        <w:rPr>
          <w:bCs/>
          <w:color w:val="000000" w:themeColor="text1"/>
        </w:rPr>
        <w:t xml:space="preserve">88 </w:t>
      </w:r>
      <w:r w:rsidRPr="00647F31">
        <w:rPr>
          <w:bCs/>
          <w:color w:val="000000" w:themeColor="text1"/>
        </w:rPr>
        <w:t xml:space="preserve">and Bartlett’s test of sphericity was significant, </w:t>
      </w:r>
      <w:r w:rsidRPr="00647F31">
        <w:rPr>
          <w:bCs/>
          <w:i/>
          <w:color w:val="000000" w:themeColor="text1"/>
        </w:rPr>
        <w:t>χ</w:t>
      </w:r>
      <w:r w:rsidRPr="00647F31">
        <w:rPr>
          <w:rStyle w:val="texhtml"/>
          <w:color w:val="000000" w:themeColor="text1"/>
          <w:sz w:val="20"/>
          <w:szCs w:val="20"/>
          <w:shd w:val="clear" w:color="auto" w:fill="FFFFFF"/>
        </w:rPr>
        <w:t>2</w:t>
      </w:r>
      <w:r w:rsidRPr="00647F31">
        <w:rPr>
          <w:bCs/>
          <w:color w:val="000000" w:themeColor="text1"/>
        </w:rPr>
        <w:t xml:space="preserve">(45) = </w:t>
      </w:r>
      <w:r w:rsidR="00EC0DDC">
        <w:rPr>
          <w:bCs/>
          <w:color w:val="000000" w:themeColor="text1"/>
        </w:rPr>
        <w:t>368.06</w:t>
      </w:r>
      <w:r w:rsidRPr="00647F31">
        <w:rPr>
          <w:bCs/>
          <w:color w:val="000000" w:themeColor="text1"/>
        </w:rPr>
        <w:t xml:space="preserve">, </w:t>
      </w:r>
      <w:r w:rsidRPr="00647F31">
        <w:rPr>
          <w:bCs/>
          <w:i/>
          <w:iCs/>
          <w:color w:val="000000" w:themeColor="text1"/>
        </w:rPr>
        <w:t xml:space="preserve">p </w:t>
      </w:r>
      <w:r w:rsidRPr="00647F31">
        <w:rPr>
          <w:bCs/>
          <w:color w:val="000000" w:themeColor="text1"/>
        </w:rPr>
        <w:t xml:space="preserve">&lt; .001, indicative of adequate factorability. </w:t>
      </w:r>
      <w:r w:rsidR="005541B8" w:rsidRPr="00647F31">
        <w:rPr>
          <w:bCs/>
          <w:color w:val="000000" w:themeColor="text1"/>
        </w:rPr>
        <w:t>Unlike the female sample,</w:t>
      </w:r>
      <w:r w:rsidR="00265B25" w:rsidRPr="00647F31">
        <w:rPr>
          <w:bCs/>
          <w:color w:val="000000" w:themeColor="text1"/>
        </w:rPr>
        <w:t xml:space="preserve"> however, the results of the factor analysis</w:t>
      </w:r>
      <w:r w:rsidR="005541B8" w:rsidRPr="00647F31">
        <w:rPr>
          <w:bCs/>
          <w:color w:val="000000" w:themeColor="text1"/>
        </w:rPr>
        <w:t xml:space="preserve"> for men</w:t>
      </w:r>
      <w:r w:rsidR="00873BFB" w:rsidRPr="00647F31">
        <w:rPr>
          <w:bCs/>
          <w:color w:val="000000" w:themeColor="text1"/>
        </w:rPr>
        <w:t xml:space="preserve"> pointed to the existence of two</w:t>
      </w:r>
      <w:r w:rsidR="005541B8" w:rsidRPr="00647F31">
        <w:rPr>
          <w:bCs/>
          <w:color w:val="000000" w:themeColor="text1"/>
        </w:rPr>
        <w:t xml:space="preserve"> factors with </w:t>
      </w:r>
      <w:r w:rsidR="005541B8" w:rsidRPr="00647F31">
        <w:rPr>
          <w:color w:val="000000" w:themeColor="text1"/>
        </w:rPr>
        <w:t xml:space="preserve">λ &gt; 1.0. </w:t>
      </w:r>
      <w:r w:rsidR="00265B25" w:rsidRPr="00647F31">
        <w:rPr>
          <w:color w:val="000000" w:themeColor="text1"/>
        </w:rPr>
        <w:t>In this case, we</w:t>
      </w:r>
      <w:r w:rsidR="005541B8" w:rsidRPr="00647F31">
        <w:rPr>
          <w:color w:val="000000" w:themeColor="text1"/>
        </w:rPr>
        <w:t xml:space="preserve"> applied parallel analysis (Hayton, Allen, &amp; Scarpello, 2004) to determine the number of factors that should be extracted. Parallel analysis reduces the likelihood of factor over-retention, which is known to affect other factor extraction criteria (Patil, McPherson, &amp; Friesner, 2010), and works by creating random datasets with the same number of cases and variables as the actual dataset. Factors in the actual data are only retained if their eigenvalues are greater than the eigenvalues from the random data (Hayton et al., 2004). The results of parallel analysis in the present study suggested that only a single </w:t>
      </w:r>
      <w:r w:rsidR="005541B8" w:rsidRPr="00647F31">
        <w:rPr>
          <w:color w:val="000000" w:themeColor="text1"/>
        </w:rPr>
        <w:lastRenderedPageBreak/>
        <w:t>factor should be extracted</w:t>
      </w:r>
      <w:r w:rsidR="007F571D" w:rsidRPr="00647F31">
        <w:rPr>
          <w:color w:val="000000" w:themeColor="text1"/>
        </w:rPr>
        <w:t xml:space="preserve">: only the first factor from the actual data had </w:t>
      </w:r>
      <w:r w:rsidR="005541B8" w:rsidRPr="00647F31">
        <w:rPr>
          <w:color w:val="000000" w:themeColor="text1"/>
        </w:rPr>
        <w:t>λ greater than the criterion λ generate</w:t>
      </w:r>
      <w:r w:rsidR="00873BFB" w:rsidRPr="00647F31">
        <w:rPr>
          <w:color w:val="000000" w:themeColor="text1"/>
        </w:rPr>
        <w:t>d</w:t>
      </w:r>
      <w:r w:rsidR="00EF6AB5" w:rsidRPr="00647F31">
        <w:rPr>
          <w:color w:val="000000" w:themeColor="text1"/>
        </w:rPr>
        <w:t xml:space="preserve"> </w:t>
      </w:r>
      <w:r w:rsidR="00EC0DDC">
        <w:rPr>
          <w:color w:val="000000" w:themeColor="text1"/>
        </w:rPr>
        <w:t>from the random data (i.e., 4.18</w:t>
      </w:r>
      <w:r w:rsidR="005541B8" w:rsidRPr="00647F31">
        <w:rPr>
          <w:color w:val="000000" w:themeColor="text1"/>
        </w:rPr>
        <w:t xml:space="preserve"> [actual data] compared to </w:t>
      </w:r>
      <w:r w:rsidR="00EC0DDC">
        <w:rPr>
          <w:color w:val="000000" w:themeColor="text1"/>
        </w:rPr>
        <w:t>2.99</w:t>
      </w:r>
      <w:r w:rsidR="005541B8" w:rsidRPr="00647F31">
        <w:rPr>
          <w:color w:val="000000" w:themeColor="text1"/>
        </w:rPr>
        <w:t xml:space="preserve"> [random data] for the first factor, and </w:t>
      </w:r>
      <w:r w:rsidR="00EC0DDC">
        <w:rPr>
          <w:color w:val="000000" w:themeColor="text1"/>
        </w:rPr>
        <w:t>1.46 [actual data] compared to 2.17</w:t>
      </w:r>
      <w:r w:rsidR="005541B8" w:rsidRPr="00647F31">
        <w:rPr>
          <w:color w:val="000000" w:themeColor="text1"/>
        </w:rPr>
        <w:t xml:space="preserve"> [random data] for the second factor). As such, we retained </w:t>
      </w:r>
      <w:r w:rsidR="007F571D" w:rsidRPr="00647F31">
        <w:rPr>
          <w:color w:val="000000" w:themeColor="text1"/>
        </w:rPr>
        <w:t xml:space="preserve">only the first factor, which </w:t>
      </w:r>
      <w:r w:rsidR="005541B8" w:rsidRPr="00647F31">
        <w:rPr>
          <w:color w:val="000000" w:themeColor="text1"/>
        </w:rPr>
        <w:t xml:space="preserve">explained </w:t>
      </w:r>
      <w:r w:rsidR="00EC0DDC">
        <w:rPr>
          <w:color w:val="000000" w:themeColor="text1"/>
        </w:rPr>
        <w:t>41.8</w:t>
      </w:r>
      <w:r w:rsidR="007F571D" w:rsidRPr="00647F31">
        <w:rPr>
          <w:color w:val="000000" w:themeColor="text1"/>
        </w:rPr>
        <w:t>%</w:t>
      </w:r>
      <w:r w:rsidR="005541B8" w:rsidRPr="00647F31">
        <w:rPr>
          <w:color w:val="000000" w:themeColor="text1"/>
        </w:rPr>
        <w:t xml:space="preserve"> of the common variance.</w:t>
      </w:r>
      <w:r w:rsidR="00BA7D60">
        <w:rPr>
          <w:color w:val="000000" w:themeColor="text1"/>
        </w:rPr>
        <w:t xml:space="preserve"> It is important to note that although all items loaded on to the primary factor, loadings were more variable than in the female subsample, with half the items only reaching “fair” loadings (see Table 1). </w:t>
      </w:r>
      <w:r w:rsidR="006D0757">
        <w:rPr>
          <w:color w:val="000000" w:themeColor="text1"/>
        </w:rPr>
        <w:t>Cronbach’s alpha was .84</w:t>
      </w:r>
      <w:r w:rsidR="006D0757">
        <w:rPr>
          <w:bCs/>
          <w:color w:val="000000" w:themeColor="text1"/>
        </w:rPr>
        <w:t xml:space="preserve"> </w:t>
      </w:r>
      <w:r w:rsidR="006D0757">
        <w:rPr>
          <w:color w:val="000000" w:themeColor="text1"/>
        </w:rPr>
        <w:t>(</w:t>
      </w:r>
      <w:r w:rsidR="006B4EB3" w:rsidRPr="00647F31">
        <w:rPr>
          <w:bCs/>
          <w:color w:val="000000" w:themeColor="text1"/>
        </w:rPr>
        <w:t xml:space="preserve">95% </w:t>
      </w:r>
      <w:r w:rsidR="006B4EB3" w:rsidRPr="00BA7D60">
        <w:rPr>
          <w:bCs/>
          <w:color w:val="000000" w:themeColor="text1"/>
        </w:rPr>
        <w:t>CI</w:t>
      </w:r>
      <w:r w:rsidR="00EC0DDC">
        <w:rPr>
          <w:bCs/>
          <w:color w:val="000000" w:themeColor="text1"/>
        </w:rPr>
        <w:t xml:space="preserve"> = .78-.88</w:t>
      </w:r>
      <w:r w:rsidR="006B4EB3" w:rsidRPr="00647F31">
        <w:rPr>
          <w:bCs/>
          <w:color w:val="000000" w:themeColor="text1"/>
        </w:rPr>
        <w:t>)</w:t>
      </w:r>
      <w:r w:rsidR="006D0757">
        <w:rPr>
          <w:bCs/>
          <w:color w:val="000000" w:themeColor="text1"/>
        </w:rPr>
        <w:t>, demonstrating internal consistency</w:t>
      </w:r>
      <w:r w:rsidR="00EC0DDC">
        <w:rPr>
          <w:bCs/>
          <w:color w:val="000000" w:themeColor="text1"/>
        </w:rPr>
        <w:t>.</w:t>
      </w:r>
    </w:p>
    <w:p w14:paraId="1EBC1B01" w14:textId="763B723F" w:rsidR="006B4EB3" w:rsidRPr="00EC0DDC" w:rsidRDefault="006B4EB3" w:rsidP="006B4EB3">
      <w:pPr>
        <w:spacing w:line="480" w:lineRule="auto"/>
        <w:rPr>
          <w:b/>
          <w:color w:val="000000" w:themeColor="text1"/>
        </w:rPr>
      </w:pPr>
      <w:r w:rsidRPr="00EC0DDC">
        <w:rPr>
          <w:b/>
          <w:color w:val="000000" w:themeColor="text1"/>
        </w:rPr>
        <w:t>Confirmatory Factor Analysis</w:t>
      </w:r>
    </w:p>
    <w:p w14:paraId="3BCF03B9" w14:textId="3A54A436" w:rsidR="006B4EB3" w:rsidRPr="00EC0DDC" w:rsidRDefault="006B4EB3" w:rsidP="00883E09">
      <w:pPr>
        <w:spacing w:line="480" w:lineRule="auto"/>
        <w:ind w:firstLine="720"/>
        <w:rPr>
          <w:color w:val="000000" w:themeColor="text1"/>
        </w:rPr>
      </w:pPr>
      <w:r w:rsidRPr="00EC0DDC">
        <w:rPr>
          <w:b/>
          <w:color w:val="000000" w:themeColor="text1"/>
        </w:rPr>
        <w:t xml:space="preserve">Hypothesized model fit. </w:t>
      </w:r>
      <w:r w:rsidR="0031583E">
        <w:rPr>
          <w:color w:val="000000" w:themeColor="text1"/>
        </w:rPr>
        <w:t>The results of the principal-axis factor analyses</w:t>
      </w:r>
      <w:r w:rsidR="00BA7D60">
        <w:rPr>
          <w:color w:val="000000" w:themeColor="text1"/>
        </w:rPr>
        <w:t xml:space="preserve"> with the above </w:t>
      </w:r>
      <w:r w:rsidR="0031583E">
        <w:rPr>
          <w:color w:val="000000" w:themeColor="text1"/>
        </w:rPr>
        <w:t>subsample</w:t>
      </w:r>
      <w:r w:rsidR="00BA7D60">
        <w:rPr>
          <w:color w:val="000000" w:themeColor="text1"/>
        </w:rPr>
        <w:t>s point</w:t>
      </w:r>
      <w:r w:rsidRPr="00EC0DDC">
        <w:rPr>
          <w:color w:val="000000" w:themeColor="text1"/>
        </w:rPr>
        <w:t xml:space="preserve"> to a one-dimensio</w:t>
      </w:r>
      <w:r w:rsidR="0031583E">
        <w:rPr>
          <w:color w:val="000000" w:themeColor="text1"/>
        </w:rPr>
        <w:t>nal factor structure for Romanian</w:t>
      </w:r>
      <w:r w:rsidRPr="00EC0DDC">
        <w:rPr>
          <w:color w:val="000000" w:themeColor="text1"/>
        </w:rPr>
        <w:t xml:space="preserve"> BAS-2 scores, with all 10 items loading onto this dimension. We, therefore, examined the fit of this hypothesised one-factor solution usin</w:t>
      </w:r>
      <w:r w:rsidR="00BA7D60">
        <w:rPr>
          <w:color w:val="000000" w:themeColor="text1"/>
        </w:rPr>
        <w:t>g CFA with the second sub</w:t>
      </w:r>
      <w:r w:rsidRPr="00EC0DDC">
        <w:rPr>
          <w:color w:val="000000" w:themeColor="text1"/>
        </w:rPr>
        <w:t>sample</w:t>
      </w:r>
      <w:r w:rsidR="0031583E">
        <w:rPr>
          <w:color w:val="000000" w:themeColor="text1"/>
        </w:rPr>
        <w:t xml:space="preserve"> (</w:t>
      </w:r>
      <w:r w:rsidR="0031583E">
        <w:rPr>
          <w:i/>
          <w:color w:val="000000" w:themeColor="text1"/>
        </w:rPr>
        <w:t>n</w:t>
      </w:r>
      <w:r w:rsidR="0031583E">
        <w:rPr>
          <w:color w:val="000000" w:themeColor="text1"/>
        </w:rPr>
        <w:t xml:space="preserve"> = 243)</w:t>
      </w:r>
      <w:r w:rsidRPr="00EC0DDC">
        <w:rPr>
          <w:color w:val="000000" w:themeColor="text1"/>
        </w:rPr>
        <w:t>.</w:t>
      </w:r>
      <w:r w:rsidR="00822628" w:rsidRPr="00EC0DDC">
        <w:rPr>
          <w:color w:val="000000" w:themeColor="text1"/>
        </w:rPr>
        <w:t xml:space="preserve"> </w:t>
      </w:r>
      <w:r w:rsidR="0031583E">
        <w:rPr>
          <w:color w:val="000000" w:themeColor="text1"/>
        </w:rPr>
        <w:t xml:space="preserve">Skewness and kurtosis were below critical limits for CFA (Kline, 2005), so no data were transformed prior to analysis. </w:t>
      </w:r>
      <w:r w:rsidRPr="00EC0DDC">
        <w:rPr>
          <w:rFonts w:eastAsia="Arial Unicode MS"/>
          <w:color w:val="000000" w:themeColor="text1"/>
        </w:rPr>
        <w:t>T</w:t>
      </w:r>
      <w:r w:rsidRPr="00EC0DDC">
        <w:rPr>
          <w:color w:val="000000" w:themeColor="text1"/>
        </w:rPr>
        <w:t>he standardised estimates of factor loadings for the best-fitting model were all very good-to-excellent (see Figure 1).</w:t>
      </w:r>
      <w:r w:rsidRPr="00EC0DDC">
        <w:rPr>
          <w:rFonts w:eastAsia="Arial Unicode MS"/>
          <w:color w:val="000000" w:themeColor="text1"/>
        </w:rPr>
        <w:t xml:space="preserve"> </w:t>
      </w:r>
      <w:r w:rsidRPr="00EC0DDC">
        <w:rPr>
          <w:color w:val="000000" w:themeColor="text1"/>
        </w:rPr>
        <w:t>Fit indices values were found to be: χ²</w:t>
      </w:r>
      <w:proofErr w:type="gramStart"/>
      <w:r w:rsidR="0066550C" w:rsidRPr="00EC0DDC">
        <w:rPr>
          <w:color w:val="000000" w:themeColor="text1"/>
          <w:vertAlign w:val="subscript"/>
        </w:rPr>
        <w:t>M</w:t>
      </w:r>
      <w:r w:rsidRPr="00EC0DDC">
        <w:rPr>
          <w:color w:val="000000" w:themeColor="text1"/>
        </w:rPr>
        <w:t>(</w:t>
      </w:r>
      <w:proofErr w:type="gramEnd"/>
      <w:r w:rsidRPr="00EC0DDC">
        <w:rPr>
          <w:color w:val="000000" w:themeColor="text1"/>
        </w:rPr>
        <w:t>35</w:t>
      </w:r>
      <w:r w:rsidR="0031583E">
        <w:rPr>
          <w:color w:val="000000" w:themeColor="text1"/>
        </w:rPr>
        <w:t>) = 213.719</w:t>
      </w:r>
      <w:r w:rsidRPr="00EC0DDC">
        <w:rPr>
          <w:color w:val="000000" w:themeColor="text1"/>
        </w:rPr>
        <w:t>,</w:t>
      </w:r>
      <w:r w:rsidR="00F64646">
        <w:rPr>
          <w:color w:val="000000" w:themeColor="text1"/>
        </w:rPr>
        <w:t xml:space="preserve"> </w:t>
      </w:r>
      <w:r w:rsidR="00F64646">
        <w:rPr>
          <w:i/>
          <w:color w:val="000000" w:themeColor="text1"/>
        </w:rPr>
        <w:t>p</w:t>
      </w:r>
      <w:r w:rsidR="00F64646">
        <w:rPr>
          <w:color w:val="000000" w:themeColor="text1"/>
        </w:rPr>
        <w:t xml:space="preserve"> &lt; .001,</w:t>
      </w:r>
      <w:r w:rsidRPr="00EC0DDC">
        <w:rPr>
          <w:color w:val="000000" w:themeColor="text1"/>
        </w:rPr>
        <w:t xml:space="preserve"> χ²</w:t>
      </w:r>
      <w:r w:rsidRPr="00EC0DDC">
        <w:rPr>
          <w:color w:val="000000" w:themeColor="text1"/>
          <w:vertAlign w:val="subscript"/>
        </w:rPr>
        <w:t>normed</w:t>
      </w:r>
      <w:r w:rsidR="0031583E">
        <w:rPr>
          <w:color w:val="000000" w:themeColor="text1"/>
        </w:rPr>
        <w:t xml:space="preserve"> = 6.106,</w:t>
      </w:r>
      <w:r w:rsidR="00F64646">
        <w:rPr>
          <w:color w:val="000000" w:themeColor="text1"/>
        </w:rPr>
        <w:t xml:space="preserve"> </w:t>
      </w:r>
      <w:r w:rsidR="00F64646">
        <w:rPr>
          <w:i/>
          <w:color w:val="000000" w:themeColor="text1"/>
        </w:rPr>
        <w:t>p</w:t>
      </w:r>
      <w:r w:rsidR="00F64646">
        <w:rPr>
          <w:color w:val="000000" w:themeColor="text1"/>
        </w:rPr>
        <w:t xml:space="preserve"> &lt; .001,</w:t>
      </w:r>
      <w:r w:rsidR="0031583E">
        <w:rPr>
          <w:color w:val="000000" w:themeColor="text1"/>
        </w:rPr>
        <w:t xml:space="preserve"> CFI = .848, RMSEA = .142</w:t>
      </w:r>
      <w:r w:rsidRPr="00EC0DDC">
        <w:rPr>
          <w:color w:val="000000" w:themeColor="text1"/>
        </w:rPr>
        <w:t xml:space="preserve"> with 90% </w:t>
      </w:r>
      <w:r w:rsidRPr="00EC0DDC">
        <w:rPr>
          <w:i/>
          <w:color w:val="000000" w:themeColor="text1"/>
        </w:rPr>
        <w:t>CI</w:t>
      </w:r>
      <w:r w:rsidR="0031583E">
        <w:rPr>
          <w:color w:val="000000" w:themeColor="text1"/>
        </w:rPr>
        <w:t xml:space="preserve"> = .124</w:t>
      </w:r>
      <w:r w:rsidRPr="00EC0DDC">
        <w:rPr>
          <w:color w:val="000000" w:themeColor="text1"/>
        </w:rPr>
        <w:t>-</w:t>
      </w:r>
      <w:r w:rsidR="0031583E">
        <w:rPr>
          <w:color w:val="000000" w:themeColor="text1"/>
        </w:rPr>
        <w:t>.161, SRMR = .068</w:t>
      </w:r>
      <w:r w:rsidRPr="00EC0DDC">
        <w:rPr>
          <w:color w:val="000000" w:themeColor="text1"/>
        </w:rPr>
        <w:t>.</w:t>
      </w:r>
      <w:r w:rsidR="00883E09">
        <w:rPr>
          <w:color w:val="000000" w:themeColor="text1"/>
        </w:rPr>
        <w:t xml:space="preserve"> These results indicate that fit indices values were not found to be at acceptable intervals. Brown (2014) recommends that error covariances should be freed if there is a theoretical or measurement rationale for doing so. We, therefore, consulted modification indices to free error covariances between Items #2 and #9 due to the similar wording between these items, and between Items #4 and #7 (both items reflect positive and unique body characteristics) and Items #1 and #5 (both items represent attentiveness to the body). </w:t>
      </w:r>
      <w:r w:rsidRPr="00EC0DDC">
        <w:rPr>
          <w:rFonts w:eastAsia="Arial Unicode MS"/>
          <w:color w:val="000000" w:themeColor="text1"/>
        </w:rPr>
        <w:t xml:space="preserve">This one-dimensional structure provided an acceptable fit to the data: </w:t>
      </w:r>
      <w:r w:rsidRPr="00EC0DDC">
        <w:rPr>
          <w:bCs/>
          <w:i/>
          <w:iCs/>
          <w:color w:val="000000" w:themeColor="text1"/>
          <w:shd w:val="clear" w:color="auto" w:fill="FFFFFF"/>
        </w:rPr>
        <w:t>χ</w:t>
      </w:r>
      <w:r w:rsidRPr="00EC0DDC">
        <w:rPr>
          <w:bCs/>
          <w:color w:val="000000" w:themeColor="text1"/>
          <w:shd w:val="clear" w:color="auto" w:fill="FFFFFF"/>
        </w:rPr>
        <w:t>²</w:t>
      </w:r>
      <w:proofErr w:type="gramStart"/>
      <w:r w:rsidR="0066550C" w:rsidRPr="00EC0DDC">
        <w:rPr>
          <w:color w:val="000000" w:themeColor="text1"/>
          <w:vertAlign w:val="subscript"/>
        </w:rPr>
        <w:t>M</w:t>
      </w:r>
      <w:r w:rsidRPr="00EC0DDC">
        <w:rPr>
          <w:bCs/>
          <w:color w:val="000000" w:themeColor="text1"/>
          <w:shd w:val="clear" w:color="auto" w:fill="FFFFFF"/>
        </w:rPr>
        <w:t>(</w:t>
      </w:r>
      <w:proofErr w:type="gramEnd"/>
      <w:r w:rsidRPr="00EC0DDC">
        <w:rPr>
          <w:bCs/>
          <w:color w:val="000000" w:themeColor="text1"/>
          <w:shd w:val="clear" w:color="auto" w:fill="FFFFFF"/>
        </w:rPr>
        <w:t>3</w:t>
      </w:r>
      <w:r w:rsidR="00EC33C6">
        <w:rPr>
          <w:bCs/>
          <w:color w:val="000000" w:themeColor="text1"/>
          <w:shd w:val="clear" w:color="auto" w:fill="FFFFFF"/>
        </w:rPr>
        <w:t>2) = 98</w:t>
      </w:r>
      <w:r w:rsidRPr="00EC0DDC">
        <w:rPr>
          <w:bCs/>
          <w:color w:val="000000" w:themeColor="text1"/>
          <w:shd w:val="clear" w:color="auto" w:fill="FFFFFF"/>
        </w:rPr>
        <w:t>.</w:t>
      </w:r>
      <w:r w:rsidR="00EC33C6">
        <w:rPr>
          <w:bCs/>
          <w:color w:val="000000" w:themeColor="text1"/>
          <w:shd w:val="clear" w:color="auto" w:fill="FFFFFF"/>
        </w:rPr>
        <w:t>029</w:t>
      </w:r>
      <w:r w:rsidRPr="00EC0DDC">
        <w:rPr>
          <w:color w:val="000000" w:themeColor="text1"/>
        </w:rPr>
        <w:t>,</w:t>
      </w:r>
      <w:r w:rsidR="00F64646">
        <w:rPr>
          <w:color w:val="000000" w:themeColor="text1"/>
        </w:rPr>
        <w:t xml:space="preserve"> </w:t>
      </w:r>
      <w:r w:rsidR="00F64646">
        <w:rPr>
          <w:i/>
          <w:color w:val="000000" w:themeColor="text1"/>
        </w:rPr>
        <w:t>p</w:t>
      </w:r>
      <w:r w:rsidR="00F64646">
        <w:rPr>
          <w:color w:val="000000" w:themeColor="text1"/>
        </w:rPr>
        <w:t xml:space="preserve"> &lt; .001,</w:t>
      </w:r>
      <w:r w:rsidRPr="00EC0DDC">
        <w:rPr>
          <w:color w:val="000000" w:themeColor="text1"/>
        </w:rPr>
        <w:t xml:space="preserve"> </w:t>
      </w:r>
      <w:r w:rsidRPr="00EC0DDC">
        <w:rPr>
          <w:bCs/>
          <w:i/>
          <w:iCs/>
          <w:color w:val="000000" w:themeColor="text1"/>
          <w:shd w:val="clear" w:color="auto" w:fill="FFFFFF"/>
        </w:rPr>
        <w:t>χ</w:t>
      </w:r>
      <w:r w:rsidRPr="00EC0DDC">
        <w:rPr>
          <w:bCs/>
          <w:color w:val="000000" w:themeColor="text1"/>
          <w:shd w:val="clear" w:color="auto" w:fill="FFFFFF"/>
        </w:rPr>
        <w:t>²</w:t>
      </w:r>
      <w:r w:rsidRPr="00EC0DDC">
        <w:rPr>
          <w:color w:val="000000" w:themeColor="text1"/>
          <w:vertAlign w:val="subscript"/>
        </w:rPr>
        <w:t xml:space="preserve">normed </w:t>
      </w:r>
      <w:r w:rsidR="00EC33C6">
        <w:rPr>
          <w:color w:val="000000" w:themeColor="text1"/>
        </w:rPr>
        <w:t>= 3.063,</w:t>
      </w:r>
      <w:r w:rsidR="00F64646">
        <w:rPr>
          <w:color w:val="000000" w:themeColor="text1"/>
        </w:rPr>
        <w:t xml:space="preserve"> </w:t>
      </w:r>
      <w:r w:rsidR="00F64646">
        <w:rPr>
          <w:i/>
          <w:color w:val="000000" w:themeColor="text1"/>
        </w:rPr>
        <w:t>p</w:t>
      </w:r>
      <w:r w:rsidR="00F64646">
        <w:rPr>
          <w:color w:val="000000" w:themeColor="text1"/>
        </w:rPr>
        <w:t xml:space="preserve"> &lt; .001,</w:t>
      </w:r>
      <w:r w:rsidR="00EC33C6">
        <w:rPr>
          <w:color w:val="000000" w:themeColor="text1"/>
        </w:rPr>
        <w:t xml:space="preserve"> CFI = .950, RMSEA = .090 (low = .070, high = </w:t>
      </w:r>
      <w:r w:rsidR="00EC33C6">
        <w:rPr>
          <w:color w:val="000000" w:themeColor="text1"/>
        </w:rPr>
        <w:lastRenderedPageBreak/>
        <w:t>.111), SRMR = .049</w:t>
      </w:r>
      <w:r w:rsidR="00D43A86">
        <w:rPr>
          <w:color w:val="000000" w:themeColor="text1"/>
        </w:rPr>
        <w:t xml:space="preserve"> (see Figure 1)</w:t>
      </w:r>
      <w:r w:rsidRPr="00EC0DDC">
        <w:rPr>
          <w:color w:val="000000" w:themeColor="text1"/>
        </w:rPr>
        <w:t>.</w:t>
      </w:r>
      <w:r w:rsidR="00D43A86">
        <w:rPr>
          <w:color w:val="000000" w:themeColor="text1"/>
        </w:rPr>
        <w:t xml:space="preserve"> </w:t>
      </w:r>
      <w:r w:rsidR="00F3015E">
        <w:rPr>
          <w:color w:val="000000" w:themeColor="text1"/>
        </w:rPr>
        <w:t>Cronbach’s alpha was .89</w:t>
      </w:r>
      <w:r w:rsidR="00F3015E">
        <w:rPr>
          <w:bCs/>
          <w:color w:val="000000" w:themeColor="text1"/>
        </w:rPr>
        <w:t xml:space="preserve"> </w:t>
      </w:r>
      <w:r w:rsidR="00F3015E">
        <w:rPr>
          <w:color w:val="000000" w:themeColor="text1"/>
        </w:rPr>
        <w:t>(</w:t>
      </w:r>
      <w:r w:rsidR="00D43A86" w:rsidRPr="00653148">
        <w:rPr>
          <w:bCs/>
          <w:color w:val="000000" w:themeColor="text1"/>
        </w:rPr>
        <w:t xml:space="preserve">95% </w:t>
      </w:r>
      <w:r w:rsidR="00D43A86" w:rsidRPr="00BA7D60">
        <w:rPr>
          <w:bCs/>
          <w:color w:val="000000" w:themeColor="text1"/>
        </w:rPr>
        <w:t xml:space="preserve">CI </w:t>
      </w:r>
      <w:r w:rsidR="00D43A86">
        <w:rPr>
          <w:bCs/>
          <w:color w:val="000000" w:themeColor="text1"/>
        </w:rPr>
        <w:t>= .87-.91</w:t>
      </w:r>
      <w:r w:rsidR="00D43A86" w:rsidRPr="00653148">
        <w:rPr>
          <w:bCs/>
          <w:color w:val="000000" w:themeColor="text1"/>
        </w:rPr>
        <w:t>)</w:t>
      </w:r>
      <w:r w:rsidR="00F3015E">
        <w:rPr>
          <w:bCs/>
          <w:color w:val="000000" w:themeColor="text1"/>
        </w:rPr>
        <w:t xml:space="preserve"> for this subsample</w:t>
      </w:r>
      <w:r w:rsidR="00D43A86">
        <w:rPr>
          <w:bCs/>
          <w:color w:val="000000" w:themeColor="text1"/>
        </w:rPr>
        <w:t>.</w:t>
      </w:r>
    </w:p>
    <w:p w14:paraId="07FA84EE" w14:textId="6E6A6A27" w:rsidR="00387F03" w:rsidRPr="00387F03" w:rsidRDefault="006B4EB3" w:rsidP="006B4EB3">
      <w:pPr>
        <w:spacing w:line="480" w:lineRule="auto"/>
        <w:rPr>
          <w:rFonts w:eastAsia="Arial Unicode MS"/>
          <w:color w:val="000000" w:themeColor="text1"/>
          <w:shd w:val="clear" w:color="auto" w:fill="FFFFFF"/>
        </w:rPr>
      </w:pPr>
      <w:r w:rsidRPr="00EC0DDC">
        <w:rPr>
          <w:rFonts w:asciiTheme="majorBidi" w:hAnsiTheme="majorBidi" w:cstheme="majorBidi"/>
          <w:bCs/>
          <w:color w:val="000000" w:themeColor="text1"/>
        </w:rPr>
        <w:tab/>
      </w:r>
      <w:r w:rsidRPr="00EC0DDC">
        <w:rPr>
          <w:rFonts w:asciiTheme="majorBidi" w:hAnsiTheme="majorBidi" w:cstheme="majorBidi"/>
          <w:b/>
          <w:bCs/>
          <w:color w:val="000000" w:themeColor="text1"/>
        </w:rPr>
        <w:t>Sex invariance</w:t>
      </w:r>
      <w:r w:rsidRPr="00EC0DDC">
        <w:rPr>
          <w:rFonts w:asciiTheme="majorBidi" w:hAnsiTheme="majorBidi" w:cstheme="majorBidi"/>
          <w:bCs/>
          <w:color w:val="000000" w:themeColor="text1"/>
        </w:rPr>
        <w:t xml:space="preserve">. </w:t>
      </w:r>
      <w:r w:rsidRPr="00EC0DDC">
        <w:rPr>
          <w:rFonts w:eastAsia="Arial Unicode MS"/>
          <w:color w:val="000000" w:themeColor="text1"/>
          <w:shd w:val="clear" w:color="auto" w:fill="FFFFFF"/>
        </w:rPr>
        <w:t>The unconstrained model had adequate fit in the female</w:t>
      </w:r>
      <w:r w:rsidR="005359EE">
        <w:rPr>
          <w:rFonts w:eastAsia="Arial Unicode MS"/>
          <w:color w:val="000000" w:themeColor="text1"/>
          <w:shd w:val="clear" w:color="auto" w:fill="FFFFFF"/>
        </w:rPr>
        <w:t xml:space="preserve"> subsample</w:t>
      </w:r>
      <w:r w:rsidRPr="00EC0DDC">
        <w:rPr>
          <w:rFonts w:eastAsia="Arial Unicode MS"/>
          <w:color w:val="000000" w:themeColor="text1"/>
          <w:shd w:val="clear" w:color="auto" w:fill="FFFFFF"/>
        </w:rPr>
        <w:t xml:space="preserve"> (</w:t>
      </w:r>
      <w:r w:rsidRPr="00EC0DDC">
        <w:rPr>
          <w:rFonts w:eastAsia="Arial Unicode MS"/>
          <w:i/>
          <w:color w:val="000000" w:themeColor="text1"/>
          <w:shd w:val="clear" w:color="auto" w:fill="FFFFFF"/>
        </w:rPr>
        <w:t>n</w:t>
      </w:r>
      <w:r w:rsidR="004842DE">
        <w:rPr>
          <w:rFonts w:eastAsia="Arial Unicode MS"/>
          <w:color w:val="000000" w:themeColor="text1"/>
          <w:shd w:val="clear" w:color="auto" w:fill="FFFFFF"/>
        </w:rPr>
        <w:t xml:space="preserve"> =</w:t>
      </w:r>
      <w:r w:rsidR="005359EE">
        <w:rPr>
          <w:rFonts w:eastAsia="Arial Unicode MS"/>
          <w:color w:val="000000" w:themeColor="text1"/>
          <w:shd w:val="clear" w:color="auto" w:fill="FFFFFF"/>
        </w:rPr>
        <w:t xml:space="preserve"> 112</w:t>
      </w:r>
      <w:r w:rsidRPr="00EC0DDC">
        <w:rPr>
          <w:rFonts w:eastAsia="Arial Unicode MS"/>
          <w:color w:val="000000" w:themeColor="text1"/>
          <w:shd w:val="clear" w:color="auto" w:fill="FFFFFF"/>
        </w:rPr>
        <w:t>)</w:t>
      </w:r>
      <w:r w:rsidR="005359EE">
        <w:rPr>
          <w:rFonts w:eastAsia="Arial Unicode MS"/>
          <w:color w:val="000000" w:themeColor="text1"/>
          <w:shd w:val="clear" w:color="auto" w:fill="FFFFFF"/>
        </w:rPr>
        <w:t xml:space="preserve">: </w:t>
      </w:r>
      <w:r w:rsidR="005359EE" w:rsidRPr="00EC0DDC">
        <w:rPr>
          <w:color w:val="000000" w:themeColor="text1"/>
        </w:rPr>
        <w:t>χ²</w:t>
      </w:r>
      <w:proofErr w:type="gramStart"/>
      <w:r w:rsidR="005359EE" w:rsidRPr="00EC0DDC">
        <w:rPr>
          <w:color w:val="000000" w:themeColor="text1"/>
          <w:vertAlign w:val="subscript"/>
        </w:rPr>
        <w:t>M</w:t>
      </w:r>
      <w:r w:rsidR="005359EE">
        <w:rPr>
          <w:color w:val="000000" w:themeColor="text1"/>
        </w:rPr>
        <w:t>(</w:t>
      </w:r>
      <w:proofErr w:type="gramEnd"/>
      <w:r w:rsidR="005359EE">
        <w:rPr>
          <w:color w:val="000000" w:themeColor="text1"/>
        </w:rPr>
        <w:t>32) = 59.937</w:t>
      </w:r>
      <w:r w:rsidR="005359EE" w:rsidRPr="00EC0DDC">
        <w:rPr>
          <w:color w:val="000000" w:themeColor="text1"/>
        </w:rPr>
        <w:t>,</w:t>
      </w:r>
      <w:r w:rsidR="00F64646">
        <w:rPr>
          <w:color w:val="000000" w:themeColor="text1"/>
        </w:rPr>
        <w:t xml:space="preserve"> </w:t>
      </w:r>
      <w:r w:rsidR="00F64646">
        <w:rPr>
          <w:i/>
          <w:color w:val="000000" w:themeColor="text1"/>
        </w:rPr>
        <w:t>p</w:t>
      </w:r>
      <w:r w:rsidR="00F64646">
        <w:rPr>
          <w:color w:val="000000" w:themeColor="text1"/>
        </w:rPr>
        <w:t xml:space="preserve"> &lt; .001,</w:t>
      </w:r>
      <w:r w:rsidR="005359EE" w:rsidRPr="00EC0DDC">
        <w:rPr>
          <w:color w:val="000000" w:themeColor="text1"/>
        </w:rPr>
        <w:t xml:space="preserve"> χ²</w:t>
      </w:r>
      <w:r w:rsidR="005359EE" w:rsidRPr="00EC0DDC">
        <w:rPr>
          <w:color w:val="000000" w:themeColor="text1"/>
          <w:vertAlign w:val="subscript"/>
        </w:rPr>
        <w:t>normed</w:t>
      </w:r>
      <w:r w:rsidR="005359EE">
        <w:rPr>
          <w:color w:val="000000" w:themeColor="text1"/>
        </w:rPr>
        <w:t xml:space="preserve"> = 1.873,</w:t>
      </w:r>
      <w:r w:rsidR="00F64646">
        <w:rPr>
          <w:color w:val="000000" w:themeColor="text1"/>
        </w:rPr>
        <w:t xml:space="preserve"> </w:t>
      </w:r>
      <w:r w:rsidR="00F64646">
        <w:rPr>
          <w:i/>
          <w:color w:val="000000" w:themeColor="text1"/>
        </w:rPr>
        <w:t>p</w:t>
      </w:r>
      <w:r w:rsidR="00F64646">
        <w:rPr>
          <w:color w:val="000000" w:themeColor="text1"/>
        </w:rPr>
        <w:t xml:space="preserve"> &lt; .001,</w:t>
      </w:r>
      <w:r w:rsidR="005359EE">
        <w:rPr>
          <w:color w:val="000000" w:themeColor="text1"/>
        </w:rPr>
        <w:t xml:space="preserve"> CFI = .957, RMSEA = .089</w:t>
      </w:r>
      <w:r w:rsidR="005359EE" w:rsidRPr="00EC0DDC">
        <w:rPr>
          <w:color w:val="000000" w:themeColor="text1"/>
        </w:rPr>
        <w:t xml:space="preserve"> with 90% </w:t>
      </w:r>
      <w:r w:rsidR="005359EE" w:rsidRPr="00EC0DDC">
        <w:rPr>
          <w:i/>
          <w:color w:val="000000" w:themeColor="text1"/>
        </w:rPr>
        <w:t>CI</w:t>
      </w:r>
      <w:r w:rsidR="005359EE">
        <w:rPr>
          <w:color w:val="000000" w:themeColor="text1"/>
        </w:rPr>
        <w:t xml:space="preserve"> = .053</w:t>
      </w:r>
      <w:r w:rsidR="005359EE" w:rsidRPr="00EC0DDC">
        <w:rPr>
          <w:color w:val="000000" w:themeColor="text1"/>
        </w:rPr>
        <w:t>-</w:t>
      </w:r>
      <w:r w:rsidR="005359EE">
        <w:rPr>
          <w:color w:val="000000" w:themeColor="text1"/>
        </w:rPr>
        <w:t>.123, SRMR = .050</w:t>
      </w:r>
      <w:r w:rsidR="005359EE" w:rsidRPr="00EC0DDC">
        <w:rPr>
          <w:color w:val="000000" w:themeColor="text1"/>
        </w:rPr>
        <w:t>.</w:t>
      </w:r>
      <w:r w:rsidR="005359EE">
        <w:rPr>
          <w:color w:val="000000" w:themeColor="text1"/>
        </w:rPr>
        <w:t xml:space="preserve"> However, the unconstrained model had poor</w:t>
      </w:r>
      <w:r w:rsidR="00F64646">
        <w:rPr>
          <w:color w:val="000000" w:themeColor="text1"/>
        </w:rPr>
        <w:t>-to-</w:t>
      </w:r>
      <w:r w:rsidR="00F3015E">
        <w:rPr>
          <w:color w:val="000000" w:themeColor="text1"/>
        </w:rPr>
        <w:t>adequate</w:t>
      </w:r>
      <w:r w:rsidR="005359EE">
        <w:rPr>
          <w:color w:val="000000" w:themeColor="text1"/>
        </w:rPr>
        <w:t xml:space="preserve"> fit in the male subsample (</w:t>
      </w:r>
      <w:r w:rsidR="005359EE">
        <w:rPr>
          <w:i/>
          <w:color w:val="000000" w:themeColor="text1"/>
        </w:rPr>
        <w:t>n</w:t>
      </w:r>
      <w:r w:rsidR="005359EE">
        <w:rPr>
          <w:color w:val="000000" w:themeColor="text1"/>
        </w:rPr>
        <w:t xml:space="preserve"> = 141): </w:t>
      </w:r>
      <w:r w:rsidR="005359EE" w:rsidRPr="00EC0DDC">
        <w:rPr>
          <w:color w:val="000000" w:themeColor="text1"/>
        </w:rPr>
        <w:t>χ²</w:t>
      </w:r>
      <w:proofErr w:type="gramStart"/>
      <w:r w:rsidR="005359EE" w:rsidRPr="00EC0DDC">
        <w:rPr>
          <w:color w:val="000000" w:themeColor="text1"/>
          <w:vertAlign w:val="subscript"/>
        </w:rPr>
        <w:t>M</w:t>
      </w:r>
      <w:r w:rsidR="005359EE">
        <w:rPr>
          <w:color w:val="000000" w:themeColor="text1"/>
        </w:rPr>
        <w:t>(</w:t>
      </w:r>
      <w:proofErr w:type="gramEnd"/>
      <w:r w:rsidR="005359EE">
        <w:rPr>
          <w:color w:val="000000" w:themeColor="text1"/>
        </w:rPr>
        <w:t>32) = 77.505</w:t>
      </w:r>
      <w:r w:rsidR="005359EE" w:rsidRPr="00EC0DDC">
        <w:rPr>
          <w:color w:val="000000" w:themeColor="text1"/>
        </w:rPr>
        <w:t>, χ²</w:t>
      </w:r>
      <w:r w:rsidR="005359EE" w:rsidRPr="00EC0DDC">
        <w:rPr>
          <w:color w:val="000000" w:themeColor="text1"/>
          <w:vertAlign w:val="subscript"/>
        </w:rPr>
        <w:t>normed</w:t>
      </w:r>
      <w:r w:rsidR="005359EE">
        <w:rPr>
          <w:color w:val="000000" w:themeColor="text1"/>
        </w:rPr>
        <w:t xml:space="preserve"> = 2.422, CFI = .921, RMSEA = .101</w:t>
      </w:r>
      <w:r w:rsidR="005359EE" w:rsidRPr="00EC0DDC">
        <w:rPr>
          <w:color w:val="000000" w:themeColor="text1"/>
        </w:rPr>
        <w:t xml:space="preserve"> with 90% </w:t>
      </w:r>
      <w:r w:rsidR="005359EE" w:rsidRPr="00EC0DDC">
        <w:rPr>
          <w:i/>
          <w:color w:val="000000" w:themeColor="text1"/>
        </w:rPr>
        <w:t>CI</w:t>
      </w:r>
      <w:r w:rsidR="005359EE">
        <w:rPr>
          <w:color w:val="000000" w:themeColor="text1"/>
        </w:rPr>
        <w:t xml:space="preserve"> = .072</w:t>
      </w:r>
      <w:r w:rsidR="005359EE" w:rsidRPr="00EC0DDC">
        <w:rPr>
          <w:color w:val="000000" w:themeColor="text1"/>
        </w:rPr>
        <w:t>-</w:t>
      </w:r>
      <w:r w:rsidR="005359EE">
        <w:rPr>
          <w:color w:val="000000" w:themeColor="text1"/>
        </w:rPr>
        <w:t xml:space="preserve">.130, SRMR = .062. </w:t>
      </w:r>
      <w:r w:rsidR="0032194B">
        <w:rPr>
          <w:color w:val="000000" w:themeColor="text1"/>
        </w:rPr>
        <w:t>Further subsample metrics are reported in Table 2.</w:t>
      </w:r>
      <w:r w:rsidR="00387F03">
        <w:rPr>
          <w:color w:val="000000" w:themeColor="text1"/>
        </w:rPr>
        <w:t xml:space="preserve"> </w:t>
      </w:r>
      <w:r w:rsidR="00A1576D">
        <w:rPr>
          <w:rFonts w:eastAsia="Arial Unicode MS"/>
          <w:color w:val="000000" w:themeColor="text1"/>
          <w:shd w:val="clear" w:color="auto" w:fill="FFFFFF"/>
        </w:rPr>
        <w:t>D</w:t>
      </w:r>
      <w:r w:rsidR="00A1576D" w:rsidRPr="00EC0DDC">
        <w:rPr>
          <w:rFonts w:eastAsia="Arial Unicode MS"/>
          <w:color w:val="000000" w:themeColor="text1"/>
          <w:shd w:val="clear" w:color="auto" w:fill="FFFFFF"/>
        </w:rPr>
        <w:t>ifferences between the unconstrained and fully constrained model were not significant, indicating that the structure of the model achieved factor loading invariance across sex, Δ</w:t>
      </w:r>
      <w:r w:rsidR="00A1576D" w:rsidRPr="00EC0DDC">
        <w:rPr>
          <w:bCs/>
          <w:i/>
          <w:iCs/>
          <w:color w:val="000000" w:themeColor="text1"/>
          <w:shd w:val="clear" w:color="auto" w:fill="FFFFFF"/>
        </w:rPr>
        <w:t>χ</w:t>
      </w:r>
      <w:proofErr w:type="gramStart"/>
      <w:r w:rsidR="00A1576D">
        <w:rPr>
          <w:bCs/>
          <w:color w:val="000000" w:themeColor="text1"/>
          <w:shd w:val="clear" w:color="auto" w:fill="FFFFFF"/>
        </w:rPr>
        <w:t>²(</w:t>
      </w:r>
      <w:proofErr w:type="gramEnd"/>
      <w:r w:rsidR="00A1576D">
        <w:rPr>
          <w:bCs/>
          <w:color w:val="000000" w:themeColor="text1"/>
          <w:shd w:val="clear" w:color="auto" w:fill="FFFFFF"/>
        </w:rPr>
        <w:t>9) = 9.986</w:t>
      </w:r>
      <w:r w:rsidR="00A1576D" w:rsidRPr="00EC0DDC">
        <w:rPr>
          <w:bCs/>
          <w:color w:val="000000" w:themeColor="text1"/>
          <w:shd w:val="clear" w:color="auto" w:fill="FFFFFF"/>
        </w:rPr>
        <w:t xml:space="preserve">, </w:t>
      </w:r>
      <w:r w:rsidR="00A1576D" w:rsidRPr="00EC0DDC">
        <w:rPr>
          <w:bCs/>
          <w:i/>
          <w:color w:val="000000" w:themeColor="text1"/>
          <w:shd w:val="clear" w:color="auto" w:fill="FFFFFF"/>
        </w:rPr>
        <w:t xml:space="preserve">p = </w:t>
      </w:r>
      <w:r w:rsidR="00A1576D">
        <w:rPr>
          <w:bCs/>
          <w:color w:val="000000" w:themeColor="text1"/>
          <w:shd w:val="clear" w:color="auto" w:fill="FFFFFF"/>
        </w:rPr>
        <w:t>.352</w:t>
      </w:r>
      <w:r w:rsidR="00A1576D">
        <w:rPr>
          <w:rFonts w:eastAsia="Arial Unicode MS"/>
          <w:color w:val="000000" w:themeColor="text1"/>
          <w:shd w:val="clear" w:color="auto" w:fill="FFFFFF"/>
        </w:rPr>
        <w:t xml:space="preserve">. </w:t>
      </w:r>
      <w:r w:rsidR="00387F03">
        <w:rPr>
          <w:color w:val="000000" w:themeColor="text1"/>
        </w:rPr>
        <w:t>In addition</w:t>
      </w:r>
      <w:r w:rsidR="00387F03" w:rsidRPr="00EC0DDC">
        <w:rPr>
          <w:rFonts w:eastAsia="Arial Unicode MS"/>
          <w:color w:val="000000" w:themeColor="text1"/>
          <w:shd w:val="clear" w:color="auto" w:fill="FFFFFF"/>
        </w:rPr>
        <w:t xml:space="preserve">, intercept invariance was evaluated, where all item-factor intercepts were constrained equally across participant sex and evaluated against the factor loading invariance model. </w:t>
      </w:r>
      <w:r w:rsidR="00A1576D" w:rsidRPr="00EC0DDC">
        <w:rPr>
          <w:rFonts w:eastAsia="Arial Unicode MS"/>
          <w:color w:val="000000" w:themeColor="text1"/>
          <w:shd w:val="clear" w:color="auto" w:fill="FFFFFF"/>
        </w:rPr>
        <w:t>According to the Δ</w:t>
      </w:r>
      <w:r w:rsidR="00A1576D" w:rsidRPr="00EC0DDC">
        <w:rPr>
          <w:bCs/>
          <w:i/>
          <w:iCs/>
          <w:color w:val="000000" w:themeColor="text1"/>
          <w:shd w:val="clear" w:color="auto" w:fill="FFFFFF"/>
        </w:rPr>
        <w:t>χ</w:t>
      </w:r>
      <w:r w:rsidR="00A1576D" w:rsidRPr="00EC0DDC">
        <w:rPr>
          <w:bCs/>
          <w:color w:val="000000" w:themeColor="text1"/>
          <w:shd w:val="clear" w:color="auto" w:fill="FFFFFF"/>
        </w:rPr>
        <w:t>²</w:t>
      </w:r>
      <w:r w:rsidR="00A1576D" w:rsidRPr="00EC0DDC">
        <w:rPr>
          <w:rFonts w:eastAsia="Arial Unicode MS"/>
          <w:color w:val="000000" w:themeColor="text1"/>
          <w:shd w:val="clear" w:color="auto" w:fill="FFFFFF"/>
        </w:rPr>
        <w:t xml:space="preserve">, intercept invariance was </w:t>
      </w:r>
      <w:r w:rsidR="00A1576D">
        <w:rPr>
          <w:rFonts w:eastAsia="Arial Unicode MS"/>
          <w:color w:val="000000" w:themeColor="text1"/>
          <w:shd w:val="clear" w:color="auto" w:fill="FFFFFF"/>
        </w:rPr>
        <w:t>not supported</w:t>
      </w:r>
      <w:r w:rsidR="00A1576D" w:rsidRPr="00EC0DDC">
        <w:rPr>
          <w:rFonts w:eastAsia="Arial Unicode MS"/>
          <w:color w:val="000000" w:themeColor="text1"/>
          <w:shd w:val="clear" w:color="auto" w:fill="FFFFFF"/>
        </w:rPr>
        <w:t>, Δ</w:t>
      </w:r>
      <w:r w:rsidR="00A1576D" w:rsidRPr="00EC0DDC">
        <w:rPr>
          <w:bCs/>
          <w:i/>
          <w:iCs/>
          <w:color w:val="000000" w:themeColor="text1"/>
          <w:shd w:val="clear" w:color="auto" w:fill="FFFFFF"/>
        </w:rPr>
        <w:t>χ</w:t>
      </w:r>
      <w:proofErr w:type="gramStart"/>
      <w:r w:rsidR="00A1576D" w:rsidRPr="00EC0DDC">
        <w:rPr>
          <w:bCs/>
          <w:color w:val="000000" w:themeColor="text1"/>
          <w:shd w:val="clear" w:color="auto" w:fill="FFFFFF"/>
        </w:rPr>
        <w:t>²</w:t>
      </w:r>
      <w:r w:rsidR="00A1576D">
        <w:rPr>
          <w:rFonts w:eastAsia="Arial Unicode MS"/>
          <w:color w:val="000000" w:themeColor="text1"/>
          <w:shd w:val="clear" w:color="auto" w:fill="FFFFFF"/>
        </w:rPr>
        <w:t>(</w:t>
      </w:r>
      <w:proofErr w:type="gramEnd"/>
      <w:r w:rsidR="00A1576D">
        <w:rPr>
          <w:rFonts w:eastAsia="Arial Unicode MS"/>
          <w:color w:val="000000" w:themeColor="text1"/>
          <w:shd w:val="clear" w:color="auto" w:fill="FFFFFF"/>
        </w:rPr>
        <w:t>10) = 38.389</w:t>
      </w:r>
      <w:r w:rsidR="00A1576D" w:rsidRPr="00EC0DDC">
        <w:rPr>
          <w:rFonts w:eastAsia="Arial Unicode MS"/>
          <w:color w:val="000000" w:themeColor="text1"/>
          <w:shd w:val="clear" w:color="auto" w:fill="FFFFFF"/>
        </w:rPr>
        <w:t xml:space="preserve">, </w:t>
      </w:r>
      <w:r w:rsidR="00A1576D" w:rsidRPr="00EC0DDC">
        <w:rPr>
          <w:rFonts w:eastAsia="Arial Unicode MS"/>
          <w:i/>
          <w:color w:val="000000" w:themeColor="text1"/>
          <w:shd w:val="clear" w:color="auto" w:fill="FFFFFF"/>
        </w:rPr>
        <w:t>p</w:t>
      </w:r>
      <w:r w:rsidR="00A1576D">
        <w:rPr>
          <w:rFonts w:eastAsia="Arial Unicode MS"/>
          <w:color w:val="000000" w:themeColor="text1"/>
          <w:shd w:val="clear" w:color="auto" w:fill="FFFFFF"/>
        </w:rPr>
        <w:t xml:space="preserve"> &lt; .001</w:t>
      </w:r>
      <w:r w:rsidR="00A1576D" w:rsidRPr="00EC0DDC">
        <w:rPr>
          <w:rFonts w:eastAsia="Arial Unicode MS"/>
          <w:color w:val="000000" w:themeColor="text1"/>
          <w:shd w:val="clear" w:color="auto" w:fill="FFFFFF"/>
        </w:rPr>
        <w:t xml:space="preserve">. </w:t>
      </w:r>
      <w:r w:rsidR="00A1576D">
        <w:rPr>
          <w:rFonts w:eastAsia="Arial Unicode MS"/>
          <w:color w:val="000000" w:themeColor="text1"/>
          <w:shd w:val="clear" w:color="auto" w:fill="FFFFFF"/>
        </w:rPr>
        <w:t xml:space="preserve">However, it has been suggested that </w:t>
      </w:r>
      <w:r w:rsidR="00A1576D" w:rsidRPr="00EC0DDC">
        <w:rPr>
          <w:rFonts w:eastAsia="Arial Unicode MS"/>
          <w:color w:val="000000" w:themeColor="text1"/>
          <w:shd w:val="clear" w:color="auto" w:fill="FFFFFF"/>
        </w:rPr>
        <w:t>Δ</w:t>
      </w:r>
      <w:r w:rsidR="00A1576D" w:rsidRPr="00EC0DDC">
        <w:rPr>
          <w:bCs/>
          <w:i/>
          <w:iCs/>
          <w:color w:val="000000" w:themeColor="text1"/>
          <w:shd w:val="clear" w:color="auto" w:fill="FFFFFF"/>
        </w:rPr>
        <w:t>χ</w:t>
      </w:r>
      <w:r w:rsidR="00A1576D">
        <w:rPr>
          <w:bCs/>
          <w:color w:val="000000" w:themeColor="text1"/>
          <w:shd w:val="clear" w:color="auto" w:fill="FFFFFF"/>
        </w:rPr>
        <w:t xml:space="preserve">² alone may be an overly stringent criterion of intercept invariance (Chen, Sousa, &amp; West, 2005); Chen (2007) also recommends exploring practical model fit changes between intercept and factorial models, where invariance is demonstrated if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CFI </w:t>
      </w:r>
      <w:r w:rsidR="00BE4781">
        <w:rPr>
          <w:rFonts w:eastAsia="Arial Unicode MS"/>
          <w:color w:val="000000" w:themeColor="text1"/>
          <w:shd w:val="clear" w:color="auto" w:fill="FFFFFF"/>
        </w:rPr>
        <w:t>&lt;</w:t>
      </w:r>
      <w:r w:rsidR="00A1576D">
        <w:rPr>
          <w:rFonts w:eastAsia="Arial Unicode MS"/>
          <w:color w:val="000000" w:themeColor="text1"/>
          <w:shd w:val="clear" w:color="auto" w:fill="FFFFFF"/>
        </w:rPr>
        <w:t xml:space="preserve"> -.010 </w:t>
      </w:r>
      <w:r w:rsidR="00A1576D" w:rsidRPr="00124171">
        <w:rPr>
          <w:rFonts w:eastAsia="Arial Unicode MS"/>
          <w:i/>
          <w:color w:val="000000" w:themeColor="text1"/>
          <w:shd w:val="clear" w:color="auto" w:fill="FFFFFF"/>
        </w:rPr>
        <w:t>and</w:t>
      </w:r>
      <w:r w:rsidR="00A1576D">
        <w:rPr>
          <w:rFonts w:eastAsia="Arial Unicode MS"/>
          <w:color w:val="000000" w:themeColor="text1"/>
          <w:shd w:val="clear" w:color="auto" w:fill="FFFFFF"/>
        </w:rPr>
        <w:t xml:space="preserve">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RMSEA </w:t>
      </w:r>
      <w:r w:rsidR="00BE4781">
        <w:rPr>
          <w:rFonts w:eastAsia="Arial Unicode MS"/>
          <w:color w:val="000000" w:themeColor="text1"/>
          <w:shd w:val="clear" w:color="auto" w:fill="FFFFFF"/>
        </w:rPr>
        <w:t>&lt;</w:t>
      </w:r>
      <w:r w:rsidR="00A1576D">
        <w:rPr>
          <w:rFonts w:eastAsia="Arial Unicode MS"/>
          <w:color w:val="000000" w:themeColor="text1"/>
          <w:shd w:val="clear" w:color="auto" w:fill="FFFFFF"/>
        </w:rPr>
        <w:t xml:space="preserve"> .015 </w:t>
      </w:r>
      <w:r w:rsidR="00A1576D" w:rsidRPr="00124171">
        <w:rPr>
          <w:rFonts w:eastAsia="Arial Unicode MS"/>
          <w:i/>
          <w:color w:val="000000" w:themeColor="text1"/>
          <w:shd w:val="clear" w:color="auto" w:fill="FFFFFF"/>
        </w:rPr>
        <w:t>or</w:t>
      </w:r>
      <w:r w:rsidR="00A1576D">
        <w:rPr>
          <w:rFonts w:eastAsia="Arial Unicode MS"/>
          <w:color w:val="000000" w:themeColor="text1"/>
          <w:shd w:val="clear" w:color="auto" w:fill="FFFFFF"/>
        </w:rPr>
        <w:t xml:space="preserve">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SRMR </w:t>
      </w:r>
      <w:r w:rsidR="00BE4781">
        <w:rPr>
          <w:rFonts w:eastAsia="Arial Unicode MS"/>
          <w:color w:val="000000" w:themeColor="text1"/>
          <w:shd w:val="clear" w:color="auto" w:fill="FFFFFF"/>
        </w:rPr>
        <w:t>&lt;</w:t>
      </w:r>
      <w:r w:rsidR="00A1576D">
        <w:rPr>
          <w:rFonts w:eastAsia="Arial Unicode MS"/>
          <w:color w:val="000000" w:themeColor="text1"/>
          <w:shd w:val="clear" w:color="auto" w:fill="FFFFFF"/>
        </w:rPr>
        <w:t xml:space="preserve"> .030. Values in the present study were: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CFI = </w:t>
      </w:r>
      <w:r w:rsidR="00BE4781">
        <w:rPr>
          <w:rFonts w:eastAsia="Arial Unicode MS"/>
          <w:color w:val="000000" w:themeColor="text1"/>
          <w:shd w:val="clear" w:color="auto" w:fill="FFFFFF"/>
        </w:rPr>
        <w:t>-</w:t>
      </w:r>
      <w:r w:rsidR="00A1576D">
        <w:rPr>
          <w:rFonts w:eastAsia="Arial Unicode MS"/>
          <w:color w:val="000000" w:themeColor="text1"/>
          <w:shd w:val="clear" w:color="auto" w:fill="FFFFFF"/>
        </w:rPr>
        <w:t xml:space="preserve">.023,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RMSEA = .050, and </w:t>
      </w:r>
      <w:r w:rsidR="00A1576D" w:rsidRPr="00EC0DDC">
        <w:rPr>
          <w:rFonts w:eastAsia="Arial Unicode MS"/>
          <w:color w:val="000000" w:themeColor="text1"/>
          <w:shd w:val="clear" w:color="auto" w:fill="FFFFFF"/>
        </w:rPr>
        <w:t>Δ</w:t>
      </w:r>
      <w:r w:rsidR="00A1576D">
        <w:rPr>
          <w:rFonts w:eastAsia="Arial Unicode MS"/>
          <w:color w:val="000000" w:themeColor="text1"/>
          <w:shd w:val="clear" w:color="auto" w:fill="FFFFFF"/>
        </w:rPr>
        <w:t xml:space="preserve">SRMR </w:t>
      </w:r>
      <w:r w:rsidR="0038586D">
        <w:rPr>
          <w:rFonts w:eastAsia="Arial Unicode MS"/>
          <w:color w:val="000000" w:themeColor="text1"/>
          <w:shd w:val="clear" w:color="auto" w:fill="FFFFFF"/>
        </w:rPr>
        <w:t>&lt;</w:t>
      </w:r>
      <w:r w:rsidR="00A1576D">
        <w:rPr>
          <w:rFonts w:eastAsia="Arial Unicode MS"/>
          <w:color w:val="000000" w:themeColor="text1"/>
          <w:shd w:val="clear" w:color="auto" w:fill="FFFFFF"/>
        </w:rPr>
        <w:t xml:space="preserve"> .00</w:t>
      </w:r>
      <w:r w:rsidR="0038586D">
        <w:rPr>
          <w:rFonts w:eastAsia="Arial Unicode MS"/>
          <w:color w:val="000000" w:themeColor="text1"/>
          <w:shd w:val="clear" w:color="auto" w:fill="FFFFFF"/>
        </w:rPr>
        <w:t>1</w:t>
      </w:r>
      <w:r w:rsidR="00A1576D">
        <w:rPr>
          <w:rFonts w:eastAsia="Arial Unicode MS"/>
          <w:color w:val="000000" w:themeColor="text1"/>
          <w:shd w:val="clear" w:color="auto" w:fill="FFFFFF"/>
        </w:rPr>
        <w:t xml:space="preserve">, suggestive of intercept non-invariance. </w:t>
      </w:r>
      <w:r w:rsidR="00BA7D60">
        <w:rPr>
          <w:rFonts w:eastAsia="Arial Unicode MS"/>
          <w:color w:val="000000" w:themeColor="text1"/>
          <w:shd w:val="clear" w:color="auto" w:fill="FFFFFF"/>
        </w:rPr>
        <w:t xml:space="preserve">Overall, these data </w:t>
      </w:r>
      <w:r w:rsidR="00387F03">
        <w:rPr>
          <w:rFonts w:eastAsia="Arial Unicode MS"/>
          <w:color w:val="000000" w:themeColor="text1"/>
          <w:shd w:val="clear" w:color="auto" w:fill="FFFFFF"/>
        </w:rPr>
        <w:t>suggest that measurement invariance was</w:t>
      </w:r>
      <w:r w:rsidR="00BA7D60">
        <w:rPr>
          <w:rFonts w:eastAsia="Arial Unicode MS"/>
          <w:color w:val="000000" w:themeColor="text1"/>
          <w:shd w:val="clear" w:color="auto" w:fill="FFFFFF"/>
        </w:rPr>
        <w:t xml:space="preserve"> not</w:t>
      </w:r>
      <w:r w:rsidR="00387F03">
        <w:rPr>
          <w:rFonts w:eastAsia="Arial Unicode MS"/>
          <w:color w:val="000000" w:themeColor="text1"/>
          <w:shd w:val="clear" w:color="auto" w:fill="FFFFFF"/>
        </w:rPr>
        <w:t xml:space="preserve"> fully achieved, so sex differences in mean scores were not evaluated. </w:t>
      </w:r>
    </w:p>
    <w:p w14:paraId="0DEE3F59" w14:textId="27B1084F" w:rsidR="006B4EB3" w:rsidRDefault="006B4EB3" w:rsidP="00BE4781">
      <w:pPr>
        <w:tabs>
          <w:tab w:val="left" w:pos="7018"/>
        </w:tabs>
        <w:spacing w:line="480" w:lineRule="auto"/>
        <w:rPr>
          <w:b/>
        </w:rPr>
      </w:pPr>
      <w:r>
        <w:rPr>
          <w:b/>
        </w:rPr>
        <w:t>Convergent Validity</w:t>
      </w:r>
      <w:r w:rsidR="00A1576D">
        <w:rPr>
          <w:b/>
        </w:rPr>
        <w:tab/>
      </w:r>
    </w:p>
    <w:p w14:paraId="6267A534" w14:textId="63939D82" w:rsidR="00D2270B" w:rsidRDefault="006B4EB3" w:rsidP="006B4EB3">
      <w:pPr>
        <w:spacing w:line="480" w:lineRule="auto"/>
        <w:rPr>
          <w:bCs/>
        </w:rPr>
      </w:pPr>
      <w:r>
        <w:rPr>
          <w:b/>
        </w:rPr>
        <w:tab/>
      </w:r>
      <w:r w:rsidR="0032194B">
        <w:t xml:space="preserve">Using the </w:t>
      </w:r>
      <w:r w:rsidR="00BA7D60">
        <w:t>main</w:t>
      </w:r>
      <w:r w:rsidR="00272203">
        <w:t xml:space="preserve"> </w:t>
      </w:r>
      <w:r>
        <w:t>sample (</w:t>
      </w:r>
      <w:r w:rsidR="00242E5C">
        <w:rPr>
          <w:i/>
        </w:rPr>
        <w:t>n</w:t>
      </w:r>
      <w:r w:rsidR="00387F03">
        <w:t xml:space="preserve"> = 453</w:t>
      </w:r>
      <w:r>
        <w:t xml:space="preserve">), we examined convergent validity by </w:t>
      </w:r>
      <w:r>
        <w:rPr>
          <w:bCs/>
        </w:rPr>
        <w:t>examining</w:t>
      </w:r>
      <w:r w:rsidR="00D2270B" w:rsidRPr="007A49E1">
        <w:rPr>
          <w:bCs/>
        </w:rPr>
        <w:t xml:space="preserve"> bivariate correlations between BAS-2 scores and </w:t>
      </w:r>
      <w:r w:rsidR="00CA1E6C">
        <w:rPr>
          <w:bCs/>
        </w:rPr>
        <w:t>scores on all other measures</w:t>
      </w:r>
      <w:r w:rsidR="00822628">
        <w:rPr>
          <w:bCs/>
        </w:rPr>
        <w:t>.</w:t>
      </w:r>
      <w:r w:rsidR="00D2270B" w:rsidRPr="007A49E1">
        <w:rPr>
          <w:bCs/>
        </w:rPr>
        <w:t xml:space="preserve"> As reported in Table</w:t>
      </w:r>
      <w:r w:rsidR="00B14B4A">
        <w:rPr>
          <w:bCs/>
        </w:rPr>
        <w:t xml:space="preserve"> 3</w:t>
      </w:r>
      <w:r w:rsidR="00D2270B" w:rsidRPr="007A49E1">
        <w:rPr>
          <w:bCs/>
        </w:rPr>
        <w:t xml:space="preserve">, </w:t>
      </w:r>
      <w:r w:rsidR="0082384E" w:rsidRPr="007A49E1">
        <w:rPr>
          <w:bCs/>
        </w:rPr>
        <w:t>higher body appreciation was significant</w:t>
      </w:r>
      <w:r w:rsidR="00A73B58" w:rsidRPr="007A49E1">
        <w:rPr>
          <w:bCs/>
        </w:rPr>
        <w:t>ly</w:t>
      </w:r>
      <w:r w:rsidR="0082384E" w:rsidRPr="007A49E1">
        <w:rPr>
          <w:bCs/>
        </w:rPr>
        <w:t xml:space="preserve"> and negatively correlated with symptoms </w:t>
      </w:r>
      <w:r w:rsidR="0082384E" w:rsidRPr="007A49E1">
        <w:rPr>
          <w:bCs/>
        </w:rPr>
        <w:lastRenderedPageBreak/>
        <w:t>of disordered eating</w:t>
      </w:r>
      <w:r w:rsidR="00242E5C">
        <w:rPr>
          <w:bCs/>
        </w:rPr>
        <w:t xml:space="preserve"> and BMI</w:t>
      </w:r>
      <w:r w:rsidR="0082384E" w:rsidRPr="007A49E1">
        <w:rPr>
          <w:bCs/>
        </w:rPr>
        <w:t>, and po</w:t>
      </w:r>
      <w:r w:rsidR="00A73B58" w:rsidRPr="007A49E1">
        <w:rPr>
          <w:bCs/>
        </w:rPr>
        <w:t>sitively correlated with self-esteem, satisfaction with</w:t>
      </w:r>
      <w:r w:rsidR="00272203">
        <w:rPr>
          <w:bCs/>
        </w:rPr>
        <w:t xml:space="preserve"> life, and subjective happiness in both women and men. </w:t>
      </w:r>
    </w:p>
    <w:p w14:paraId="119D9E5E" w14:textId="77777777" w:rsidR="0032194B" w:rsidRPr="00672D8D" w:rsidRDefault="0032194B" w:rsidP="0032194B">
      <w:pPr>
        <w:spacing w:line="480" w:lineRule="auto"/>
        <w:rPr>
          <w:rFonts w:eastAsia="Arial Unicode MS"/>
          <w:b/>
          <w:color w:val="000000" w:themeColor="text1"/>
          <w:shd w:val="clear" w:color="auto" w:fill="FFFFFF"/>
        </w:rPr>
      </w:pPr>
      <w:r w:rsidRPr="00672D8D">
        <w:rPr>
          <w:rFonts w:eastAsia="Arial Unicode MS"/>
          <w:b/>
          <w:color w:val="000000" w:themeColor="text1"/>
          <w:shd w:val="clear" w:color="auto" w:fill="FFFFFF"/>
        </w:rPr>
        <w:t>Test-Retest Reliability</w:t>
      </w:r>
    </w:p>
    <w:p w14:paraId="6FA586C1" w14:textId="15C19F3F" w:rsidR="00D263D5" w:rsidRPr="00272203" w:rsidRDefault="0032194B" w:rsidP="00272203">
      <w:pPr>
        <w:spacing w:line="480" w:lineRule="auto"/>
        <w:ind w:firstLine="720"/>
        <w:rPr>
          <w:color w:val="000000" w:themeColor="text1"/>
        </w:rPr>
      </w:pPr>
      <w:r w:rsidRPr="00672D8D">
        <w:rPr>
          <w:color w:val="000000" w:themeColor="text1"/>
        </w:rPr>
        <w:t xml:space="preserve">For the test-retest </w:t>
      </w:r>
      <w:r w:rsidR="00272203">
        <w:rPr>
          <w:color w:val="000000" w:themeColor="text1"/>
        </w:rPr>
        <w:t xml:space="preserve">female </w:t>
      </w:r>
      <w:r>
        <w:rPr>
          <w:color w:val="000000" w:themeColor="text1"/>
        </w:rPr>
        <w:t>sample</w:t>
      </w:r>
      <w:r w:rsidR="00D263D5">
        <w:rPr>
          <w:color w:val="000000" w:themeColor="text1"/>
        </w:rPr>
        <w:t xml:space="preserve"> (</w:t>
      </w:r>
      <w:r w:rsidR="00D263D5">
        <w:rPr>
          <w:i/>
          <w:color w:val="000000" w:themeColor="text1"/>
        </w:rPr>
        <w:t>n</w:t>
      </w:r>
      <w:r w:rsidR="00D263D5">
        <w:rPr>
          <w:color w:val="000000" w:themeColor="text1"/>
        </w:rPr>
        <w:t xml:space="preserve"> = 57)</w:t>
      </w:r>
      <w:r w:rsidRPr="00672D8D">
        <w:rPr>
          <w:color w:val="000000" w:themeColor="text1"/>
        </w:rPr>
        <w:t>, the int</w:t>
      </w:r>
      <w:r w:rsidR="00D263D5">
        <w:rPr>
          <w:color w:val="000000" w:themeColor="text1"/>
        </w:rPr>
        <w:t>raclass correlation coefficient</w:t>
      </w:r>
      <w:r w:rsidRPr="00672D8D">
        <w:rPr>
          <w:color w:val="000000" w:themeColor="text1"/>
        </w:rPr>
        <w:t xml:space="preserve"> between the BAS-2 scores at the first and second </w:t>
      </w:r>
      <w:r w:rsidR="00D263D5">
        <w:rPr>
          <w:color w:val="000000" w:themeColor="text1"/>
        </w:rPr>
        <w:t>testing sessions three weeks apart was</w:t>
      </w:r>
      <w:r w:rsidRPr="00672D8D">
        <w:rPr>
          <w:color w:val="000000" w:themeColor="text1"/>
        </w:rPr>
        <w:t xml:space="preserve"> .</w:t>
      </w:r>
      <w:r w:rsidR="00BA7D60">
        <w:rPr>
          <w:color w:val="000000" w:themeColor="text1"/>
        </w:rPr>
        <w:t>82</w:t>
      </w:r>
      <w:r w:rsidR="00D263D5">
        <w:rPr>
          <w:color w:val="000000" w:themeColor="text1"/>
        </w:rPr>
        <w:t xml:space="preserve"> (</w:t>
      </w:r>
      <w:r w:rsidR="00D263D5" w:rsidRPr="00D263D5">
        <w:rPr>
          <w:color w:val="000000" w:themeColor="text1"/>
        </w:rPr>
        <w:t xml:space="preserve">CI </w:t>
      </w:r>
      <w:r w:rsidR="00D263D5">
        <w:rPr>
          <w:color w:val="000000" w:themeColor="text1"/>
        </w:rPr>
        <w:t xml:space="preserve">= .59-.86). </w:t>
      </w:r>
      <w:r w:rsidR="0031392E">
        <w:rPr>
          <w:color w:val="000000" w:themeColor="text1"/>
        </w:rPr>
        <w:t>Mean scores were not significantly different across the first (</w:t>
      </w:r>
      <w:r w:rsidR="0031392E">
        <w:rPr>
          <w:i/>
          <w:color w:val="000000" w:themeColor="text1"/>
        </w:rPr>
        <w:t>M</w:t>
      </w:r>
      <w:r w:rsidR="0031392E">
        <w:rPr>
          <w:color w:val="000000" w:themeColor="text1"/>
        </w:rPr>
        <w:t xml:space="preserve"> = </w:t>
      </w:r>
      <w:r w:rsidR="00FC3E22">
        <w:rPr>
          <w:color w:val="000000" w:themeColor="text1"/>
        </w:rPr>
        <w:t xml:space="preserve">3.90, </w:t>
      </w:r>
      <w:r w:rsidR="00FC3E22">
        <w:rPr>
          <w:i/>
          <w:color w:val="000000" w:themeColor="text1"/>
        </w:rPr>
        <w:t>SD</w:t>
      </w:r>
      <w:r w:rsidR="00FC3E22">
        <w:rPr>
          <w:color w:val="000000" w:themeColor="text1"/>
        </w:rPr>
        <w:t xml:space="preserve"> = 0.71) and second testing sessions (</w:t>
      </w:r>
      <w:r w:rsidR="00FC3E22">
        <w:rPr>
          <w:i/>
          <w:color w:val="000000" w:themeColor="text1"/>
        </w:rPr>
        <w:t>M</w:t>
      </w:r>
      <w:r w:rsidR="00FC3E22">
        <w:rPr>
          <w:color w:val="000000" w:themeColor="text1"/>
        </w:rPr>
        <w:t xml:space="preserve"> = 4.02, </w:t>
      </w:r>
      <w:r w:rsidR="00FC3E22">
        <w:rPr>
          <w:i/>
          <w:color w:val="000000" w:themeColor="text1"/>
        </w:rPr>
        <w:t>SD</w:t>
      </w:r>
      <w:r w:rsidR="00FC3E22">
        <w:rPr>
          <w:color w:val="000000" w:themeColor="text1"/>
        </w:rPr>
        <w:t xml:space="preserve"> = 0.81), </w:t>
      </w:r>
      <w:proofErr w:type="gramStart"/>
      <w:r w:rsidR="00FC3E22">
        <w:rPr>
          <w:i/>
          <w:color w:val="000000" w:themeColor="text1"/>
        </w:rPr>
        <w:t>t</w:t>
      </w:r>
      <w:r w:rsidR="00FC3E22">
        <w:rPr>
          <w:color w:val="000000" w:themeColor="text1"/>
        </w:rPr>
        <w:t>(</w:t>
      </w:r>
      <w:proofErr w:type="gramEnd"/>
      <w:r w:rsidR="00FC3E22">
        <w:rPr>
          <w:color w:val="000000" w:themeColor="text1"/>
        </w:rPr>
        <w:t xml:space="preserve">56) = 1.33, </w:t>
      </w:r>
      <w:r w:rsidR="00FC3E22">
        <w:rPr>
          <w:i/>
          <w:color w:val="000000" w:themeColor="text1"/>
        </w:rPr>
        <w:t>p</w:t>
      </w:r>
      <w:r w:rsidR="00FC3E22">
        <w:rPr>
          <w:color w:val="000000" w:themeColor="text1"/>
        </w:rPr>
        <w:t xml:space="preserve"> = </w:t>
      </w:r>
      <w:r w:rsidR="00FE6E96">
        <w:rPr>
          <w:color w:val="000000" w:themeColor="text1"/>
        </w:rPr>
        <w:t>.</w:t>
      </w:r>
      <w:r w:rsidR="00FC3E22">
        <w:rPr>
          <w:color w:val="000000" w:themeColor="text1"/>
        </w:rPr>
        <w:t xml:space="preserve">188. </w:t>
      </w:r>
      <w:r w:rsidR="00272203">
        <w:rPr>
          <w:color w:val="000000" w:themeColor="text1"/>
        </w:rPr>
        <w:t>In men (</w:t>
      </w:r>
      <w:r w:rsidR="00272203">
        <w:rPr>
          <w:i/>
          <w:color w:val="000000" w:themeColor="text1"/>
        </w:rPr>
        <w:t>n</w:t>
      </w:r>
      <w:r w:rsidR="00272203">
        <w:rPr>
          <w:color w:val="000000" w:themeColor="text1"/>
        </w:rPr>
        <w:t xml:space="preserve"> = 52), </w:t>
      </w:r>
      <w:r w:rsidR="00272203" w:rsidRPr="00672D8D">
        <w:rPr>
          <w:color w:val="000000" w:themeColor="text1"/>
        </w:rPr>
        <w:t>the int</w:t>
      </w:r>
      <w:r w:rsidR="00272203">
        <w:rPr>
          <w:color w:val="000000" w:themeColor="text1"/>
        </w:rPr>
        <w:t>raclass correlation coefficient</w:t>
      </w:r>
      <w:r w:rsidR="00272203" w:rsidRPr="00672D8D">
        <w:rPr>
          <w:color w:val="000000" w:themeColor="text1"/>
        </w:rPr>
        <w:t xml:space="preserve"> </w:t>
      </w:r>
      <w:r w:rsidR="00272203">
        <w:rPr>
          <w:color w:val="000000" w:themeColor="text1"/>
        </w:rPr>
        <w:t>between the BAS-2 scores at the two</w:t>
      </w:r>
      <w:r w:rsidR="00272203" w:rsidRPr="00672D8D">
        <w:rPr>
          <w:color w:val="000000" w:themeColor="text1"/>
        </w:rPr>
        <w:t xml:space="preserve"> </w:t>
      </w:r>
      <w:r w:rsidR="00272203">
        <w:rPr>
          <w:color w:val="000000" w:themeColor="text1"/>
        </w:rPr>
        <w:t>testing sessions was</w:t>
      </w:r>
      <w:r w:rsidR="00272203" w:rsidRPr="00672D8D">
        <w:rPr>
          <w:color w:val="000000" w:themeColor="text1"/>
        </w:rPr>
        <w:t xml:space="preserve"> .</w:t>
      </w:r>
      <w:r w:rsidR="00272203">
        <w:rPr>
          <w:color w:val="000000" w:themeColor="text1"/>
        </w:rPr>
        <w:t>87 (</w:t>
      </w:r>
      <w:r w:rsidR="00272203" w:rsidRPr="00D263D5">
        <w:rPr>
          <w:color w:val="000000" w:themeColor="text1"/>
        </w:rPr>
        <w:t xml:space="preserve">CI </w:t>
      </w:r>
      <w:r w:rsidR="00272203">
        <w:rPr>
          <w:color w:val="000000" w:themeColor="text1"/>
        </w:rPr>
        <w:t>= .78-.93). Mean scores were not significantly different across the first (</w:t>
      </w:r>
      <w:r w:rsidR="00272203">
        <w:rPr>
          <w:i/>
          <w:color w:val="000000" w:themeColor="text1"/>
        </w:rPr>
        <w:t>M</w:t>
      </w:r>
      <w:r w:rsidR="00272203">
        <w:rPr>
          <w:color w:val="000000" w:themeColor="text1"/>
        </w:rPr>
        <w:t xml:space="preserve"> = 3.78, </w:t>
      </w:r>
      <w:r w:rsidR="00272203">
        <w:rPr>
          <w:i/>
          <w:color w:val="000000" w:themeColor="text1"/>
        </w:rPr>
        <w:t>SD</w:t>
      </w:r>
      <w:r w:rsidR="00272203">
        <w:rPr>
          <w:color w:val="000000" w:themeColor="text1"/>
        </w:rPr>
        <w:t xml:space="preserve"> = 0.76) and second testing sessions (</w:t>
      </w:r>
      <w:r w:rsidR="00272203">
        <w:rPr>
          <w:i/>
          <w:color w:val="000000" w:themeColor="text1"/>
        </w:rPr>
        <w:t>M</w:t>
      </w:r>
      <w:r w:rsidR="00272203">
        <w:rPr>
          <w:color w:val="000000" w:themeColor="text1"/>
        </w:rPr>
        <w:t xml:space="preserve"> = 3.74, </w:t>
      </w:r>
      <w:r w:rsidR="00272203">
        <w:rPr>
          <w:i/>
          <w:color w:val="000000" w:themeColor="text1"/>
        </w:rPr>
        <w:t>SD</w:t>
      </w:r>
      <w:r w:rsidR="00272203">
        <w:rPr>
          <w:color w:val="000000" w:themeColor="text1"/>
        </w:rPr>
        <w:t xml:space="preserve"> = 0.81), </w:t>
      </w:r>
      <w:proofErr w:type="gramStart"/>
      <w:r w:rsidR="00272203">
        <w:rPr>
          <w:i/>
          <w:color w:val="000000" w:themeColor="text1"/>
        </w:rPr>
        <w:t>t</w:t>
      </w:r>
      <w:r w:rsidR="00272203">
        <w:rPr>
          <w:color w:val="000000" w:themeColor="text1"/>
        </w:rPr>
        <w:t>(</w:t>
      </w:r>
      <w:proofErr w:type="gramEnd"/>
      <w:r w:rsidR="00272203">
        <w:rPr>
          <w:color w:val="000000" w:themeColor="text1"/>
        </w:rPr>
        <w:t xml:space="preserve">51) = 0.45, </w:t>
      </w:r>
      <w:r w:rsidR="00272203">
        <w:rPr>
          <w:i/>
          <w:color w:val="000000" w:themeColor="text1"/>
        </w:rPr>
        <w:t>p</w:t>
      </w:r>
      <w:r w:rsidR="00272203">
        <w:rPr>
          <w:color w:val="000000" w:themeColor="text1"/>
        </w:rPr>
        <w:t xml:space="preserve"> = </w:t>
      </w:r>
      <w:r w:rsidR="00FE6E96">
        <w:rPr>
          <w:color w:val="000000" w:themeColor="text1"/>
        </w:rPr>
        <w:t>.</w:t>
      </w:r>
      <w:r w:rsidR="00272203">
        <w:rPr>
          <w:color w:val="000000" w:themeColor="text1"/>
        </w:rPr>
        <w:t xml:space="preserve">654. </w:t>
      </w:r>
    </w:p>
    <w:p w14:paraId="48CEB50D" w14:textId="750D8415" w:rsidR="008D58D5" w:rsidRPr="007A49E1" w:rsidRDefault="008D58D5" w:rsidP="008D58D5">
      <w:pPr>
        <w:spacing w:line="480" w:lineRule="auto"/>
        <w:jc w:val="center"/>
        <w:rPr>
          <w:b/>
          <w:bCs/>
        </w:rPr>
      </w:pPr>
      <w:r w:rsidRPr="007A49E1">
        <w:rPr>
          <w:b/>
          <w:bCs/>
        </w:rPr>
        <w:t>Discussion</w:t>
      </w:r>
    </w:p>
    <w:p w14:paraId="2387998A" w14:textId="56656EFF" w:rsidR="00475A9D" w:rsidRDefault="000B3B8C" w:rsidP="000B3B8C">
      <w:pPr>
        <w:spacing w:line="480" w:lineRule="auto"/>
        <w:rPr>
          <w:bCs/>
        </w:rPr>
      </w:pPr>
      <w:r w:rsidRPr="007A49E1">
        <w:rPr>
          <w:b/>
          <w:bCs/>
        </w:rPr>
        <w:tab/>
      </w:r>
      <w:r w:rsidRPr="007A49E1">
        <w:rPr>
          <w:bCs/>
        </w:rPr>
        <w:t>The primary aim of the present study was to examine the factor structure of a Romanian translation of the B</w:t>
      </w:r>
      <w:r w:rsidR="00D75A93">
        <w:rPr>
          <w:bCs/>
        </w:rPr>
        <w:t>AS-2. Using principal-axis</w:t>
      </w:r>
      <w:r w:rsidRPr="007A49E1">
        <w:rPr>
          <w:bCs/>
        </w:rPr>
        <w:t xml:space="preserve"> factors analysis</w:t>
      </w:r>
      <w:r w:rsidR="00475A9D">
        <w:rPr>
          <w:bCs/>
        </w:rPr>
        <w:t xml:space="preserve"> with part of our sample</w:t>
      </w:r>
      <w:r w:rsidRPr="007A49E1">
        <w:rPr>
          <w:bCs/>
        </w:rPr>
        <w:t>, we found that Romanian BAS-2 scores had a one-dimensional factor structure with all 10 items in bo</w:t>
      </w:r>
      <w:r w:rsidR="00475A9D">
        <w:rPr>
          <w:bCs/>
        </w:rPr>
        <w:t>th women and men (although it should be noted that factor loadings for half the items for men were fair</w:t>
      </w:r>
      <w:r w:rsidR="00422147">
        <w:rPr>
          <w:bCs/>
        </w:rPr>
        <w:t xml:space="preserve">, whereas they were </w:t>
      </w:r>
      <w:r w:rsidR="00FE6E96">
        <w:rPr>
          <w:bCs/>
        </w:rPr>
        <w:t>good-to-</w:t>
      </w:r>
      <w:r w:rsidR="00422147">
        <w:rPr>
          <w:bCs/>
        </w:rPr>
        <w:t>excellent for women</w:t>
      </w:r>
      <w:r w:rsidR="00475A9D">
        <w:rPr>
          <w:bCs/>
        </w:rPr>
        <w:t xml:space="preserve">). In addition, using CFA, we found that the one-factor structure had adequate fit to the data from part of the total sample, albeit after </w:t>
      </w:r>
      <w:r w:rsidR="00422147">
        <w:rPr>
          <w:bCs/>
        </w:rPr>
        <w:t>freeing error covariances due to similar item wording and content between three item pairs</w:t>
      </w:r>
      <w:r w:rsidR="00475A9D">
        <w:rPr>
          <w:bCs/>
        </w:rPr>
        <w:t>. In broad outline, the</w:t>
      </w:r>
      <w:r w:rsidRPr="007A49E1">
        <w:rPr>
          <w:bCs/>
        </w:rPr>
        <w:t>s</w:t>
      </w:r>
      <w:r w:rsidR="00475A9D">
        <w:rPr>
          <w:bCs/>
        </w:rPr>
        <w:t>e findings are</w:t>
      </w:r>
      <w:r w:rsidRPr="007A49E1">
        <w:rPr>
          <w:bCs/>
        </w:rPr>
        <w:t xml:space="preserve"> consistent with previous studies that have examined the factor structure of BAS-2 scores across different linguistic groups (Alleva et al., 2016; Atari, 2016; Jovic et al., 2016; Kertechian &amp; Swami, 2017; </w:t>
      </w:r>
      <w:r w:rsidR="00B20BBC">
        <w:rPr>
          <w:bCs/>
        </w:rPr>
        <w:t xml:space="preserve">Razmus &amp; Razmus, 2017; </w:t>
      </w:r>
      <w:r w:rsidRPr="007A49E1">
        <w:rPr>
          <w:bCs/>
        </w:rPr>
        <w:t>Swami &amp; Ng, 2015; Swami et al., 2016</w:t>
      </w:r>
      <w:r w:rsidR="00265B25" w:rsidRPr="007A49E1">
        <w:rPr>
          <w:bCs/>
        </w:rPr>
        <w:t>, 2017</w:t>
      </w:r>
      <w:r w:rsidR="00422147">
        <w:rPr>
          <w:bCs/>
        </w:rPr>
        <w:t xml:space="preserve">; </w:t>
      </w:r>
      <w:r w:rsidR="00422147" w:rsidRPr="007A49E1">
        <w:rPr>
          <w:bCs/>
        </w:rPr>
        <w:t>Tylka &amp; Wood-Barcalow, 2015</w:t>
      </w:r>
      <w:r w:rsidRPr="007A49E1">
        <w:rPr>
          <w:bCs/>
        </w:rPr>
        <w:t xml:space="preserve">). </w:t>
      </w:r>
    </w:p>
    <w:p w14:paraId="38D5C0F6" w14:textId="3ECC7ACB" w:rsidR="00475A9D" w:rsidRDefault="00475A9D" w:rsidP="000B3B8C">
      <w:pPr>
        <w:spacing w:line="480" w:lineRule="auto"/>
        <w:rPr>
          <w:bCs/>
        </w:rPr>
      </w:pPr>
      <w:r>
        <w:rPr>
          <w:bCs/>
        </w:rPr>
        <w:lastRenderedPageBreak/>
        <w:tab/>
        <w:t xml:space="preserve">However, we also found that BAS-2 scores did not evidence configural and intercept invariance across women and men (although factor loading invariance was supported). This is an </w:t>
      </w:r>
      <w:r w:rsidR="00A2508C">
        <w:rPr>
          <w:bCs/>
        </w:rPr>
        <w:t>important finding for several</w:t>
      </w:r>
      <w:r>
        <w:rPr>
          <w:bCs/>
        </w:rPr>
        <w:t xml:space="preserve"> reasons. First, we believe this is the first instance where the sex invariance of BAS-2 scores has not been fully supported: previous CFA-based studies have all reported full sex invariance (Swami et al., 2016, 2017; Tylka &amp; Wood-Barcalow, 2015b). Second, the lack of sex invariance may indicate that the same latent construct (i.e., “body appreciation</w:t>
      </w:r>
      <w:r w:rsidR="00D43A86">
        <w:rPr>
          <w:bCs/>
        </w:rPr>
        <w:t>”</w:t>
      </w:r>
      <w:r>
        <w:rPr>
          <w:bCs/>
        </w:rPr>
        <w:t xml:space="preserve">) is not being measured by the BAS-2 in women and men. </w:t>
      </w:r>
      <w:r w:rsidR="00A2508C">
        <w:rPr>
          <w:bCs/>
        </w:rPr>
        <w:t xml:space="preserve">More specifically, it may be that some items on the BAS-2 (Items #3, 5-7, and 10) are less pertinent or central to the meaning of body appreciation in Romanian men. </w:t>
      </w:r>
      <w:r w:rsidR="001B0999">
        <w:rPr>
          <w:bCs/>
        </w:rPr>
        <w:t xml:space="preserve">Although the reasons for this may be difficult to ascertain without further research (particularly of a qualitative nature), it is possible that Romanian men hold different attitudes toward the body (Cornelia, 2012), which in turn shape their experiences of body appreciation. A third reason why this finding is important is because the lack of invariance of sex invariance means that a direct comparison of latent </w:t>
      </w:r>
      <w:r w:rsidR="007030E5">
        <w:rPr>
          <w:bCs/>
        </w:rPr>
        <w:t xml:space="preserve">BAS-2 </w:t>
      </w:r>
      <w:r w:rsidR="001B0999">
        <w:rPr>
          <w:bCs/>
        </w:rPr>
        <w:t xml:space="preserve">scores cannot be </w:t>
      </w:r>
      <w:r w:rsidR="007030E5">
        <w:rPr>
          <w:bCs/>
        </w:rPr>
        <w:t xml:space="preserve">conducted. </w:t>
      </w:r>
    </w:p>
    <w:p w14:paraId="1A3214F9" w14:textId="537D8BB9" w:rsidR="00067BC7" w:rsidRPr="00A92B31" w:rsidRDefault="00622486" w:rsidP="003B429B">
      <w:pPr>
        <w:spacing w:line="480" w:lineRule="auto"/>
      </w:pPr>
      <w:r w:rsidRPr="007A49E1">
        <w:rPr>
          <w:bCs/>
        </w:rPr>
        <w:tab/>
      </w:r>
      <w:r w:rsidR="000B3B8C" w:rsidRPr="007A49E1">
        <w:t xml:space="preserve">Our results also indicated that </w:t>
      </w:r>
      <w:r w:rsidR="00422147">
        <w:t>BAS-2</w:t>
      </w:r>
      <w:r w:rsidR="000B3B8C" w:rsidRPr="007A49E1">
        <w:t xml:space="preserve"> scores </w:t>
      </w:r>
      <w:r w:rsidR="00422147">
        <w:t>yielded evidence of</w:t>
      </w:r>
      <w:r w:rsidR="000B3B8C" w:rsidRPr="007A49E1">
        <w:t xml:space="preserve"> internal consistency in women and men.</w:t>
      </w:r>
      <w:r w:rsidR="00A92B31">
        <w:t xml:space="preserve"> </w:t>
      </w:r>
      <w:r w:rsidR="00D43A86">
        <w:t>In addition</w:t>
      </w:r>
      <w:r w:rsidR="00067BC7" w:rsidRPr="007A49E1">
        <w:t>, and as hypothesised, we found that BAS-2 scores were significant</w:t>
      </w:r>
      <w:r w:rsidR="00A92B31">
        <w:t>ly</w:t>
      </w:r>
      <w:r w:rsidR="00067BC7" w:rsidRPr="007A49E1">
        <w:t xml:space="preserve"> and negatively correlated with symptoms of disordered eating</w:t>
      </w:r>
      <w:r w:rsidR="00A92B31">
        <w:t xml:space="preserve"> and BMI</w:t>
      </w:r>
      <w:r w:rsidR="00067BC7" w:rsidRPr="007A49E1">
        <w:t xml:space="preserve">, and positively correlated with self-esteem, satisfaction with life, and subjective happiness. </w:t>
      </w:r>
      <w:r w:rsidR="00C06E9B" w:rsidRPr="007A49E1">
        <w:t xml:space="preserve">Importantly, the strengths of these correlations were generally moderate, although the association between body appreciation and self-esteem in women was large. </w:t>
      </w:r>
      <w:r w:rsidR="00A92B31">
        <w:t>Finally, our analyses also indicated that BAS-2 scores had adequate test-retest reliability in both women and men after three weeks. Taken together, these</w:t>
      </w:r>
      <w:r w:rsidR="00C06E9B" w:rsidRPr="007A49E1">
        <w:t xml:space="preserve"> results provide evidence that the BAS-2 is a valid and reliable tool for the assessment body appreciation in Romanian-speaking populations. This is important </w:t>
      </w:r>
      <w:r w:rsidR="00C8612B">
        <w:t xml:space="preserve">as </w:t>
      </w:r>
      <w:r w:rsidR="00C06E9B" w:rsidRPr="007A49E1">
        <w:t>there are current</w:t>
      </w:r>
      <w:r w:rsidR="00C8612B">
        <w:t>ly</w:t>
      </w:r>
      <w:r w:rsidR="00C06E9B" w:rsidRPr="007A49E1">
        <w:t xml:space="preserve"> few of such tools available for this </w:t>
      </w:r>
      <w:r w:rsidR="00C06E9B" w:rsidRPr="007A49E1">
        <w:lastRenderedPageBreak/>
        <w:t xml:space="preserve">linguistic group. The availability of a Romanian translation of the BAS-2 should, therefore, facilitate research in a previously neglected population. </w:t>
      </w:r>
    </w:p>
    <w:p w14:paraId="0CB1D9DD" w14:textId="271A11D8" w:rsidR="00C06E9B" w:rsidRPr="007A49E1" w:rsidRDefault="00C06E9B" w:rsidP="00C06E9B">
      <w:pPr>
        <w:spacing w:line="480" w:lineRule="auto"/>
        <w:ind w:firstLine="720"/>
      </w:pPr>
      <w:r w:rsidRPr="007A49E1">
        <w:t>The present results also make contribution to two further aspects of note. First, we found that that a Romanian translation of the SHS had a one-dimensional factor structure. Additionally, the pattern of correlations between SHS scores and scores on measures of self-esteem and satisfaction with life supports the convergent validity of the former. On the other hand, we advise some caution when using the BISQ. Although this scale was developed to measure aspects of disordered eating (Jenaro et al., 2011), evidence of adequate psychometric properties for this scale is l</w:t>
      </w:r>
      <w:r w:rsidR="004D5C74">
        <w:t>ess than optimal. BISQ subscale scores</w:t>
      </w:r>
      <w:r w:rsidRPr="007A49E1">
        <w:t xml:space="preserve"> appear to have less-than-adequate internal consistency coefficients and, although our use of overall scores may be a better alternative, it is vital that future research fully interrogates the construct validity of this measure. In the present work, we were hampered by the lack of translated and validated measures of body image and disordered eating for Romanian populations, and we suggest that associations with BISQ scores be treated with caution until this scale had received full psychometric evaluation. </w:t>
      </w:r>
    </w:p>
    <w:p w14:paraId="117D48DD" w14:textId="34FBD84E" w:rsidR="00C06E9B" w:rsidRPr="007A49E1" w:rsidRDefault="00C06E9B" w:rsidP="00C06E9B">
      <w:pPr>
        <w:spacing w:line="480" w:lineRule="auto"/>
        <w:ind w:firstLine="720"/>
      </w:pPr>
      <w:r w:rsidRPr="007A49E1">
        <w:t>Our study is also limited in a num</w:t>
      </w:r>
      <w:r w:rsidR="004D5C74">
        <w:t xml:space="preserve">ber of additional ways. First, </w:t>
      </w:r>
      <w:r w:rsidR="00E3667C" w:rsidRPr="007A49E1">
        <w:t>our reliance on a student sample means that our findings cannot be generalized to the wider Romanian population</w:t>
      </w:r>
      <w:r w:rsidR="00085A0C" w:rsidRPr="007A49E1">
        <w:t xml:space="preserve">, where </w:t>
      </w:r>
      <w:r w:rsidR="00A97F80" w:rsidRPr="007A49E1">
        <w:t>the percentage of the population in higher education is proportionately small (Eurostat, 2015). It would also be useful to extend the present study to include other Romanian-speaking populations, such as those in Moldova or among the large Romanian migrant diaspora elsewhere in Europe (as well as by several million more as a second language (European Commission, 2012). Finally, future work could</w:t>
      </w:r>
      <w:r w:rsidR="00C8612B">
        <w:t xml:space="preserve"> extend</w:t>
      </w:r>
      <w:r w:rsidR="00A97F80" w:rsidRPr="007A49E1">
        <w:t xml:space="preserve"> the present results by examining associations between body appreciation and other factors, to establish the divergent and incremental validity of the Romanian BAS-2. </w:t>
      </w:r>
    </w:p>
    <w:p w14:paraId="51C0E817" w14:textId="12661D37" w:rsidR="00D263D5" w:rsidRPr="00EE5DA2" w:rsidRDefault="00A97F80" w:rsidP="00EE5DA2">
      <w:pPr>
        <w:spacing w:line="480" w:lineRule="auto"/>
        <w:ind w:firstLine="720"/>
      </w:pPr>
      <w:r w:rsidRPr="007A49E1">
        <w:lastRenderedPageBreak/>
        <w:t>These limitations notwithstanding, the present study provides preliminary evidence to support the factorial and convergent validity, as well as the internal consistency</w:t>
      </w:r>
      <w:r w:rsidR="00612DF8">
        <w:t xml:space="preserve"> and test-retest reliability</w:t>
      </w:r>
      <w:r w:rsidRPr="007A49E1">
        <w:t xml:space="preserve">, of a Romanian translation of the BAS-2. </w:t>
      </w:r>
      <w:r w:rsidR="00612DF8">
        <w:t xml:space="preserve">However, the lack of sex invariance throws up practical concerns for scholars intending to use this measure. Our recommendation is that scholars and practitioners using the Romanian BAS-2 conduct tests sex invariance in their own datasets to help them determine whether comparisons of latent scores between women and men will be permissible. </w:t>
      </w:r>
      <w:r w:rsidR="00D34C40">
        <w:t xml:space="preserve">More broadly, </w:t>
      </w:r>
      <w:r w:rsidR="00EE5DA2">
        <w:t>it is notable that the BAS-2 has</w:t>
      </w:r>
      <w:r w:rsidRPr="007A49E1">
        <w:t xml:space="preserve"> been translated into a number of different languages (</w:t>
      </w:r>
      <w:r w:rsidRPr="007A49E1">
        <w:rPr>
          <w:color w:val="000000" w:themeColor="text1"/>
        </w:rPr>
        <w:t xml:space="preserve">Swami, </w:t>
      </w:r>
      <w:r w:rsidR="00EE5DA2">
        <w:rPr>
          <w:color w:val="000000" w:themeColor="text1"/>
        </w:rPr>
        <w:t>2017; Webb et al., 2015) and that</w:t>
      </w:r>
      <w:r w:rsidRPr="007A49E1">
        <w:rPr>
          <w:color w:val="000000" w:themeColor="text1"/>
        </w:rPr>
        <w:t xml:space="preserve"> </w:t>
      </w:r>
      <w:r w:rsidR="00EE5DA2">
        <w:rPr>
          <w:color w:val="000000" w:themeColor="text1"/>
        </w:rPr>
        <w:t>scores on the measure retain a</w:t>
      </w:r>
      <w:r w:rsidRPr="007A49E1">
        <w:rPr>
          <w:color w:val="000000" w:themeColor="text1"/>
        </w:rPr>
        <w:t xml:space="preserve"> one-factor structure across all linguistic groups that have been investigated thus f</w:t>
      </w:r>
      <w:r w:rsidR="00EE5DA2">
        <w:rPr>
          <w:color w:val="000000" w:themeColor="text1"/>
        </w:rPr>
        <w:t>ar. This is important as it may</w:t>
      </w:r>
      <w:r w:rsidRPr="007A49E1">
        <w:rPr>
          <w:color w:val="000000" w:themeColor="text1"/>
        </w:rPr>
        <w:t xml:space="preserve"> facilitate cross-cultural comparisons of </w:t>
      </w:r>
      <w:r w:rsidR="00841124">
        <w:rPr>
          <w:color w:val="000000" w:themeColor="text1"/>
        </w:rPr>
        <w:t>BAS-2</w:t>
      </w:r>
      <w:r w:rsidRPr="007A49E1">
        <w:rPr>
          <w:color w:val="000000" w:themeColor="text1"/>
        </w:rPr>
        <w:t xml:space="preserve"> scores, which requires that the latent dimensionality of those scores is the same across group. </w:t>
      </w:r>
      <w:r w:rsidR="00EE5DA2">
        <w:rPr>
          <w:color w:val="000000" w:themeColor="text1"/>
        </w:rPr>
        <w:t>In addition</w:t>
      </w:r>
      <w:r w:rsidRPr="007A49E1">
        <w:rPr>
          <w:color w:val="000000" w:themeColor="text1"/>
        </w:rPr>
        <w:t xml:space="preserve">, the availability of a Romanian translation of the BAS-2 provides a vital tool for the assessment of body image in a hitherto neglected linguistic group. We are hopeful that the availability of this measure will stimulate further research into body image in Romanian-speaking populations. </w:t>
      </w:r>
    </w:p>
    <w:p w14:paraId="3FD69858" w14:textId="6FB86E40" w:rsidR="00F367DA" w:rsidRPr="00272203" w:rsidRDefault="00F367DA" w:rsidP="00272203">
      <w:pPr>
        <w:spacing w:line="480" w:lineRule="auto"/>
        <w:rPr>
          <w:color w:val="000000" w:themeColor="text1"/>
        </w:rPr>
      </w:pPr>
      <w:r w:rsidRPr="007A49E1">
        <w:rPr>
          <w:color w:val="000000" w:themeColor="text1"/>
        </w:rPr>
        <w:br w:type="page"/>
      </w:r>
    </w:p>
    <w:p w14:paraId="168E885A" w14:textId="4827E2CD" w:rsidR="003D4B8E" w:rsidRPr="007A49E1" w:rsidRDefault="00F367DA" w:rsidP="00F367DA">
      <w:pPr>
        <w:spacing w:line="480" w:lineRule="auto"/>
        <w:jc w:val="center"/>
        <w:rPr>
          <w:b/>
          <w:color w:val="000000" w:themeColor="text1"/>
        </w:rPr>
      </w:pPr>
      <w:r w:rsidRPr="007A49E1">
        <w:rPr>
          <w:b/>
          <w:color w:val="000000" w:themeColor="text1"/>
        </w:rPr>
        <w:lastRenderedPageBreak/>
        <w:t>References</w:t>
      </w:r>
    </w:p>
    <w:p w14:paraId="3BBE4417" w14:textId="78AB66A7" w:rsidR="0088554F" w:rsidRPr="007A49E1" w:rsidRDefault="0088554F" w:rsidP="0088554F">
      <w:pPr>
        <w:spacing w:line="480" w:lineRule="auto"/>
        <w:ind w:left="567" w:hanging="567"/>
        <w:rPr>
          <w:color w:val="000000" w:themeColor="text1"/>
        </w:rPr>
      </w:pPr>
      <w:r w:rsidRPr="007A49E1">
        <w:rPr>
          <w:color w:val="000000" w:themeColor="text1"/>
        </w:rPr>
        <w:t xml:space="preserve">Alleva, J. M., Martijn, C., Veldhuis, J., &amp; Tylka, T. L. (2016). A Dutch translation and validation of the Body Appreciation Scale-2: An investigation with female university students in the Netherlands. </w:t>
      </w:r>
      <w:r w:rsidRPr="007A49E1">
        <w:rPr>
          <w:i/>
          <w:color w:val="000000" w:themeColor="text1"/>
        </w:rPr>
        <w:t>Body Image</w:t>
      </w:r>
      <w:r w:rsidRPr="007A49E1">
        <w:rPr>
          <w:color w:val="000000" w:themeColor="text1"/>
        </w:rPr>
        <w:t xml:space="preserve">, </w:t>
      </w:r>
      <w:r w:rsidRPr="007A49E1">
        <w:rPr>
          <w:i/>
          <w:color w:val="000000" w:themeColor="text1"/>
        </w:rPr>
        <w:t>19</w:t>
      </w:r>
      <w:r w:rsidRPr="007A49E1">
        <w:rPr>
          <w:color w:val="000000" w:themeColor="text1"/>
        </w:rPr>
        <w:t>, 44-48. doi:10.1016/j.bodyim.2016.08.008</w:t>
      </w:r>
    </w:p>
    <w:p w14:paraId="7C178AF8" w14:textId="349469CD" w:rsidR="0088554F" w:rsidRPr="007A49E1" w:rsidRDefault="0088554F" w:rsidP="0088554F">
      <w:pPr>
        <w:spacing w:line="480" w:lineRule="auto"/>
        <w:ind w:left="567" w:hanging="567"/>
        <w:rPr>
          <w:color w:val="000000" w:themeColor="text1"/>
        </w:rPr>
      </w:pPr>
      <w:r w:rsidRPr="007A49E1">
        <w:rPr>
          <w:color w:val="000000" w:themeColor="text1"/>
        </w:rPr>
        <w:t xml:space="preserve">Atari, M. (2016). Factor structure and psychometric properties of the Body Appreciation Scale-2 in Iran. </w:t>
      </w:r>
      <w:r w:rsidRPr="007A49E1">
        <w:rPr>
          <w:i/>
          <w:color w:val="000000" w:themeColor="text1"/>
        </w:rPr>
        <w:t>Body Image</w:t>
      </w:r>
      <w:r w:rsidRPr="007A49E1">
        <w:rPr>
          <w:color w:val="000000" w:themeColor="text1"/>
        </w:rPr>
        <w:t xml:space="preserve">, </w:t>
      </w:r>
      <w:r w:rsidRPr="007A49E1">
        <w:rPr>
          <w:i/>
          <w:color w:val="000000" w:themeColor="text1"/>
        </w:rPr>
        <w:t>18</w:t>
      </w:r>
      <w:r w:rsidRPr="007A49E1">
        <w:rPr>
          <w:color w:val="000000" w:themeColor="text1"/>
        </w:rPr>
        <w:t>, 1-4. doi:10.1016/j.bodyim.2016.04.006</w:t>
      </w:r>
    </w:p>
    <w:p w14:paraId="1DC902DE" w14:textId="22691A90" w:rsidR="00A7419C" w:rsidRPr="007A49E1" w:rsidRDefault="00A7419C" w:rsidP="00A7419C">
      <w:pPr>
        <w:spacing w:line="480" w:lineRule="auto"/>
        <w:ind w:left="567" w:hanging="567"/>
        <w:rPr>
          <w:color w:val="000000" w:themeColor="text1"/>
        </w:rPr>
      </w:pPr>
      <w:r w:rsidRPr="007A49E1">
        <w:rPr>
          <w:color w:val="000000" w:themeColor="text1"/>
        </w:rPr>
        <w:t>Atari, M., Akbari-Zardkhaneh, S., Mohammadi, L.,</w:t>
      </w:r>
      <w:r w:rsidR="00237E33" w:rsidRPr="007A49E1">
        <w:rPr>
          <w:color w:val="000000" w:themeColor="text1"/>
        </w:rPr>
        <w:t xml:space="preserve"> &amp;</w:t>
      </w:r>
      <w:r w:rsidRPr="007A49E1">
        <w:rPr>
          <w:color w:val="000000" w:themeColor="text1"/>
        </w:rPr>
        <w:t xml:space="preserve"> Soufiabadi, M. (2015). The factor structure and psychometric properties of the Persian version of Body Appreciation Scale. </w:t>
      </w:r>
      <w:r w:rsidRPr="007A49E1">
        <w:rPr>
          <w:i/>
          <w:color w:val="000000" w:themeColor="text1"/>
        </w:rPr>
        <w:t>American Journal of Applied Psychology</w:t>
      </w:r>
      <w:r w:rsidRPr="007A49E1">
        <w:rPr>
          <w:color w:val="000000" w:themeColor="text1"/>
        </w:rPr>
        <w:t xml:space="preserve">, </w:t>
      </w:r>
      <w:r w:rsidRPr="007A49E1">
        <w:rPr>
          <w:i/>
          <w:color w:val="000000" w:themeColor="text1"/>
        </w:rPr>
        <w:t>3</w:t>
      </w:r>
      <w:r w:rsidRPr="007A49E1">
        <w:rPr>
          <w:color w:val="000000" w:themeColor="text1"/>
        </w:rPr>
        <w:t>, 62-66. doi:10.12691/ajap-3-3-3</w:t>
      </w:r>
    </w:p>
    <w:p w14:paraId="7AFDACE2" w14:textId="1C411F43" w:rsidR="009A6894" w:rsidRPr="007A49E1" w:rsidRDefault="009A6894" w:rsidP="009A6894">
      <w:pPr>
        <w:spacing w:line="480" w:lineRule="auto"/>
        <w:ind w:left="567" w:hanging="567"/>
        <w:rPr>
          <w:color w:val="000000" w:themeColor="text1"/>
        </w:rPr>
      </w:pPr>
      <w:r w:rsidRPr="007A49E1">
        <w:rPr>
          <w:color w:val="000000" w:themeColor="text1"/>
        </w:rPr>
        <w:t xml:space="preserve">Avalos, L. C., Tylka, T. L., &amp; Wood-Barcalow, N. (2005). The Body Appreciation Scale: Development and psychometric evaluation. </w:t>
      </w:r>
      <w:r w:rsidRPr="007A49E1">
        <w:rPr>
          <w:i/>
          <w:color w:val="000000" w:themeColor="text1"/>
        </w:rPr>
        <w:t>Body Image</w:t>
      </w:r>
      <w:r w:rsidRPr="007A49E1">
        <w:rPr>
          <w:color w:val="000000" w:themeColor="text1"/>
        </w:rPr>
        <w:t xml:space="preserve">, </w:t>
      </w:r>
      <w:r w:rsidRPr="007A49E1">
        <w:rPr>
          <w:i/>
          <w:color w:val="000000" w:themeColor="text1"/>
        </w:rPr>
        <w:t>2</w:t>
      </w:r>
      <w:r w:rsidRPr="007A49E1">
        <w:rPr>
          <w:color w:val="000000" w:themeColor="text1"/>
        </w:rPr>
        <w:t>, 285-297. doi:10.1016/j.bodyim.2005.06.002</w:t>
      </w:r>
    </w:p>
    <w:p w14:paraId="7549B435" w14:textId="77777777" w:rsidR="00585DAC" w:rsidRPr="007A49E1" w:rsidRDefault="00670A18" w:rsidP="00585DAC">
      <w:pPr>
        <w:spacing w:line="480" w:lineRule="auto"/>
        <w:ind w:left="567" w:hanging="567"/>
        <w:rPr>
          <w:color w:val="000000" w:themeColor="text1"/>
        </w:rPr>
      </w:pPr>
      <w:r w:rsidRPr="007A49E1">
        <w:rPr>
          <w:color w:val="000000" w:themeColor="text1"/>
        </w:rPr>
        <w:t xml:space="preserve">Bakalim, O., &amp; Tasleden-Karçkay, A. (2016). Body Appreciation Scale: Evaluation of the factor structure and psychometric properties among male and female Turkish university students. </w:t>
      </w:r>
      <w:r w:rsidRPr="007A49E1">
        <w:rPr>
          <w:i/>
          <w:color w:val="000000" w:themeColor="text1"/>
        </w:rPr>
        <w:t>Mersin Üniversitesi Egitim Fakültesi Dergisi</w:t>
      </w:r>
      <w:r w:rsidRPr="007A49E1">
        <w:rPr>
          <w:color w:val="000000" w:themeColor="text1"/>
        </w:rPr>
        <w:t xml:space="preserve">, </w:t>
      </w:r>
      <w:r w:rsidRPr="007A49E1">
        <w:rPr>
          <w:i/>
          <w:color w:val="000000" w:themeColor="text1"/>
        </w:rPr>
        <w:t>12</w:t>
      </w:r>
      <w:r w:rsidRPr="007A49E1">
        <w:rPr>
          <w:color w:val="000000" w:themeColor="text1"/>
        </w:rPr>
        <w:t>, 410-422. doi:10.17860/efd.38032</w:t>
      </w:r>
    </w:p>
    <w:p w14:paraId="6D1A1089" w14:textId="77777777" w:rsidR="003F02EA" w:rsidRDefault="003F02EA" w:rsidP="003F02EA">
      <w:pPr>
        <w:spacing w:line="480" w:lineRule="auto"/>
        <w:ind w:left="567" w:hanging="567"/>
        <w:rPr>
          <w:lang w:eastAsia="en-US"/>
        </w:rPr>
      </w:pPr>
      <w:r w:rsidRPr="007A49E1">
        <w:rPr>
          <w:lang w:eastAsia="en-US"/>
        </w:rPr>
        <w:t xml:space="preserve">Brislin, R.W. (1986). The wording and translation of research instruments. In W. Lonner &amp; J. Berry (Eds.), </w:t>
      </w:r>
      <w:r w:rsidRPr="007A49E1">
        <w:rPr>
          <w:i/>
          <w:iCs/>
          <w:lang w:eastAsia="en-US"/>
        </w:rPr>
        <w:t xml:space="preserve">Field methods in cross-cultural research </w:t>
      </w:r>
      <w:r w:rsidRPr="007A49E1">
        <w:rPr>
          <w:lang w:eastAsia="en-US"/>
        </w:rPr>
        <w:t>(pp. 137-164). Beverly Hills, CA: Sage.</w:t>
      </w:r>
    </w:p>
    <w:p w14:paraId="4B35F67E" w14:textId="5ABAC7ED" w:rsidR="00883E09" w:rsidRPr="00883E09" w:rsidRDefault="00883E09" w:rsidP="003F02EA">
      <w:pPr>
        <w:spacing w:line="480" w:lineRule="auto"/>
        <w:ind w:left="567" w:hanging="567"/>
        <w:rPr>
          <w:lang w:eastAsia="en-US"/>
        </w:rPr>
      </w:pPr>
      <w:r>
        <w:rPr>
          <w:lang w:eastAsia="en-US"/>
        </w:rPr>
        <w:t xml:space="preserve">Brown, T. A. (2014). </w:t>
      </w:r>
      <w:r>
        <w:rPr>
          <w:i/>
          <w:lang w:eastAsia="en-US"/>
        </w:rPr>
        <w:t>Confirmatory factor analysis for applied research</w:t>
      </w:r>
      <w:r>
        <w:rPr>
          <w:lang w:eastAsia="en-US"/>
        </w:rPr>
        <w:t xml:space="preserve"> (2nd ed.). London: Guilford Press. </w:t>
      </w:r>
    </w:p>
    <w:p w14:paraId="5E7035BB" w14:textId="77777777" w:rsidR="00585DAC" w:rsidRPr="007A49E1" w:rsidRDefault="00585DAC" w:rsidP="00585DAC">
      <w:pPr>
        <w:spacing w:line="480" w:lineRule="auto"/>
        <w:ind w:left="567" w:hanging="567"/>
        <w:rPr>
          <w:color w:val="000000"/>
          <w:lang w:eastAsia="en-US"/>
        </w:rPr>
      </w:pPr>
      <w:r w:rsidRPr="007A49E1">
        <w:rPr>
          <w:color w:val="000000"/>
          <w:lang w:eastAsia="en-US"/>
        </w:rPr>
        <w:t xml:space="preserve">Catina, A., &amp; Joja, O. (2001). Emerging markets: Submerging women. In M. Nasser, M. A. Katzman &amp; R. A. Gordon (Eds.), </w:t>
      </w:r>
      <w:r w:rsidRPr="007A49E1">
        <w:rPr>
          <w:i/>
          <w:color w:val="000000"/>
          <w:lang w:eastAsia="en-US"/>
        </w:rPr>
        <w:t>Eating disorders and cultures in transition</w:t>
      </w:r>
      <w:r w:rsidRPr="007A49E1">
        <w:rPr>
          <w:color w:val="000000"/>
          <w:lang w:eastAsia="en-US"/>
        </w:rPr>
        <w:t xml:space="preserve"> (pp. 111-119). New York, NY: Taylor &amp; Francis. </w:t>
      </w:r>
    </w:p>
    <w:p w14:paraId="67D51C90" w14:textId="77777777" w:rsidR="00E35BBF" w:rsidRDefault="00E35BBF" w:rsidP="00E35BBF">
      <w:pPr>
        <w:spacing w:line="480" w:lineRule="auto"/>
        <w:ind w:left="567" w:hanging="567"/>
        <w:rPr>
          <w:shd w:val="clear" w:color="auto" w:fill="FFFFFF"/>
        </w:rPr>
      </w:pPr>
      <w:r w:rsidRPr="007A49E1">
        <w:rPr>
          <w:shd w:val="clear" w:color="auto" w:fill="FFFFFF"/>
        </w:rPr>
        <w:lastRenderedPageBreak/>
        <w:t xml:space="preserve">Chen, F. F. (2007). Sensitivity of goodness of fit indices to lack of measurement invariance. </w:t>
      </w:r>
      <w:r w:rsidRPr="007A49E1">
        <w:rPr>
          <w:i/>
          <w:shd w:val="clear" w:color="auto" w:fill="FFFFFF"/>
        </w:rPr>
        <w:t>Structural Equation Modeling</w:t>
      </w:r>
      <w:r w:rsidRPr="007A49E1">
        <w:rPr>
          <w:shd w:val="clear" w:color="auto" w:fill="FFFFFF"/>
        </w:rPr>
        <w:t xml:space="preserve">, </w:t>
      </w:r>
      <w:r w:rsidRPr="007A49E1">
        <w:rPr>
          <w:i/>
          <w:shd w:val="clear" w:color="auto" w:fill="FFFFFF"/>
        </w:rPr>
        <w:t>14</w:t>
      </w:r>
      <w:r w:rsidRPr="007A49E1">
        <w:rPr>
          <w:shd w:val="clear" w:color="auto" w:fill="FFFFFF"/>
        </w:rPr>
        <w:t>, 464-504. doi:10.1207/s15328007sem1203_7</w:t>
      </w:r>
    </w:p>
    <w:p w14:paraId="5ACB1BBA" w14:textId="0A934AD9" w:rsidR="00FE6E96" w:rsidRPr="00FE6E96" w:rsidRDefault="00FE6E96" w:rsidP="00E35BBF">
      <w:pPr>
        <w:spacing w:line="480" w:lineRule="auto"/>
        <w:ind w:left="567" w:hanging="567"/>
        <w:rPr>
          <w:shd w:val="clear" w:color="auto" w:fill="FFFFFF"/>
        </w:rPr>
      </w:pPr>
      <w:r>
        <w:rPr>
          <w:shd w:val="clear" w:color="auto" w:fill="FFFFFF"/>
        </w:rPr>
        <w:t xml:space="preserve">Chen, F. F., Sousa, K. H., &amp; West, S. G. (2005). Testing measurement invariance of second-order factor models. </w:t>
      </w:r>
      <w:r>
        <w:rPr>
          <w:i/>
          <w:shd w:val="clear" w:color="auto" w:fill="FFFFFF"/>
        </w:rPr>
        <w:t>Structural Equation Modeling</w:t>
      </w:r>
      <w:r>
        <w:rPr>
          <w:shd w:val="clear" w:color="auto" w:fill="FFFFFF"/>
        </w:rPr>
        <w:t xml:space="preserve">, </w:t>
      </w:r>
      <w:r>
        <w:rPr>
          <w:i/>
          <w:shd w:val="clear" w:color="auto" w:fill="FFFFFF"/>
        </w:rPr>
        <w:t>12</w:t>
      </w:r>
      <w:r>
        <w:rPr>
          <w:shd w:val="clear" w:color="auto" w:fill="FFFFFF"/>
        </w:rPr>
        <w:t>, 471-492. doi:10.1207/s15328007sem1203_7</w:t>
      </w:r>
    </w:p>
    <w:p w14:paraId="43496B4D" w14:textId="77777777" w:rsidR="0091616D" w:rsidRPr="007A49E1" w:rsidRDefault="0091616D" w:rsidP="0091616D">
      <w:pPr>
        <w:tabs>
          <w:tab w:val="left" w:pos="284"/>
        </w:tabs>
        <w:spacing w:line="480" w:lineRule="auto"/>
        <w:ind w:left="567" w:hanging="567"/>
      </w:pPr>
      <w:r w:rsidRPr="007A49E1">
        <w:t xml:space="preserve">Clark, L. A., &amp; Watson, D. (1995). Constructing validity: Basic issues in objective scale development. </w:t>
      </w:r>
      <w:r w:rsidRPr="007A49E1">
        <w:rPr>
          <w:i/>
        </w:rPr>
        <w:t>Psychological Assessment</w:t>
      </w:r>
      <w:r w:rsidRPr="007A49E1">
        <w:t xml:space="preserve">, </w:t>
      </w:r>
      <w:r w:rsidRPr="007A49E1">
        <w:rPr>
          <w:i/>
        </w:rPr>
        <w:t>7</w:t>
      </w:r>
      <w:r w:rsidRPr="007A49E1">
        <w:t>, 309-319. doi:10.1037/1040-3590.7.3.309</w:t>
      </w:r>
    </w:p>
    <w:p w14:paraId="2A47F933" w14:textId="18B4ED88" w:rsidR="006325F8" w:rsidRDefault="006325F8" w:rsidP="006325F8">
      <w:pPr>
        <w:spacing w:line="480" w:lineRule="auto"/>
        <w:ind w:left="567" w:hanging="567"/>
        <w:rPr>
          <w:color w:val="000000" w:themeColor="text1"/>
          <w:lang w:eastAsia="en-US"/>
        </w:rPr>
      </w:pPr>
      <w:r w:rsidRPr="007A49E1">
        <w:rPr>
          <w:color w:val="000000" w:themeColor="text1"/>
          <w:lang w:eastAsia="en-US"/>
        </w:rPr>
        <w:t xml:space="preserve">Coppola, A. M., Dimler, A. J., Letendre, T. S., &amp; McHugh, T.-L. F. (2017). “We are given a body to walk this earth”: The body pride experience of young Aboriginal men and women. </w:t>
      </w:r>
      <w:r w:rsidRPr="007A49E1">
        <w:rPr>
          <w:i/>
          <w:color w:val="000000" w:themeColor="text1"/>
          <w:lang w:eastAsia="en-US"/>
        </w:rPr>
        <w:t>Qualitative Research in Sport, Exercise, and Health</w:t>
      </w:r>
      <w:r w:rsidRPr="007A49E1">
        <w:rPr>
          <w:color w:val="000000" w:themeColor="text1"/>
          <w:lang w:eastAsia="en-US"/>
        </w:rPr>
        <w:t xml:space="preserve">, </w:t>
      </w:r>
      <w:r w:rsidRPr="007A49E1">
        <w:rPr>
          <w:i/>
          <w:color w:val="000000" w:themeColor="text1"/>
          <w:lang w:eastAsia="en-US"/>
        </w:rPr>
        <w:t>9</w:t>
      </w:r>
      <w:r w:rsidRPr="007A49E1">
        <w:rPr>
          <w:color w:val="000000" w:themeColor="text1"/>
          <w:lang w:eastAsia="en-US"/>
        </w:rPr>
        <w:t>, 4-17. doi:10.1080/2159676X.2016.1174727</w:t>
      </w:r>
    </w:p>
    <w:p w14:paraId="21E197FC" w14:textId="12359F71" w:rsidR="001B0999" w:rsidRPr="001B0999" w:rsidRDefault="001B0999" w:rsidP="006325F8">
      <w:pPr>
        <w:spacing w:line="480" w:lineRule="auto"/>
        <w:ind w:left="567" w:hanging="567"/>
        <w:rPr>
          <w:color w:val="000000" w:themeColor="text1"/>
          <w:lang w:eastAsia="en-US"/>
        </w:rPr>
      </w:pPr>
      <w:r>
        <w:rPr>
          <w:color w:val="000000" w:themeColor="text1"/>
          <w:lang w:eastAsia="en-US"/>
        </w:rPr>
        <w:t xml:space="preserve">Cornelia, R. (2012). Body mass index: Knowledge, practice, and health evaluation. </w:t>
      </w:r>
      <w:r>
        <w:rPr>
          <w:i/>
          <w:color w:val="000000" w:themeColor="text1"/>
          <w:lang w:eastAsia="en-US"/>
        </w:rPr>
        <w:t>International Journal of Collaborative Research on Internal Medicine and Public Health</w:t>
      </w:r>
      <w:r>
        <w:rPr>
          <w:color w:val="000000" w:themeColor="text1"/>
          <w:lang w:eastAsia="en-US"/>
        </w:rPr>
        <w:t xml:space="preserve">, </w:t>
      </w:r>
      <w:r>
        <w:rPr>
          <w:i/>
          <w:color w:val="000000" w:themeColor="text1"/>
          <w:lang w:eastAsia="en-US"/>
        </w:rPr>
        <w:t>4</w:t>
      </w:r>
      <w:r>
        <w:rPr>
          <w:color w:val="000000" w:themeColor="text1"/>
          <w:lang w:eastAsia="en-US"/>
        </w:rPr>
        <w:t xml:space="preserve">, 1276-1284. </w:t>
      </w:r>
    </w:p>
    <w:p w14:paraId="7EA16E80" w14:textId="68826C11" w:rsidR="008F6A2A" w:rsidRPr="007A49E1" w:rsidRDefault="008F6A2A" w:rsidP="008F6A2A">
      <w:pPr>
        <w:spacing w:line="480" w:lineRule="auto"/>
        <w:ind w:left="567" w:hanging="567"/>
        <w:rPr>
          <w:color w:val="000000" w:themeColor="text1"/>
          <w:lang w:eastAsia="en-US"/>
        </w:rPr>
      </w:pPr>
      <w:r w:rsidRPr="007A49E1">
        <w:rPr>
          <w:color w:val="000000" w:themeColor="text1"/>
          <w:lang w:eastAsia="en-US"/>
        </w:rPr>
        <w:t xml:space="preserve">Diener, E., Emmons, R. A., Larsen, R. J., &amp; Griffin, S. (1985). The Satisfaction with Life Scale. </w:t>
      </w:r>
      <w:r w:rsidRPr="007A49E1">
        <w:rPr>
          <w:i/>
          <w:color w:val="000000" w:themeColor="text1"/>
          <w:lang w:eastAsia="en-US"/>
        </w:rPr>
        <w:t>Journal of Personality Assessment</w:t>
      </w:r>
      <w:r w:rsidRPr="007A49E1">
        <w:rPr>
          <w:color w:val="000000" w:themeColor="text1"/>
          <w:lang w:eastAsia="en-US"/>
        </w:rPr>
        <w:t xml:space="preserve">, </w:t>
      </w:r>
      <w:r w:rsidRPr="007A49E1">
        <w:rPr>
          <w:i/>
          <w:color w:val="000000" w:themeColor="text1"/>
          <w:lang w:eastAsia="en-US"/>
        </w:rPr>
        <w:t>49</w:t>
      </w:r>
      <w:r w:rsidRPr="007A49E1">
        <w:rPr>
          <w:color w:val="000000" w:themeColor="text1"/>
          <w:lang w:eastAsia="en-US"/>
        </w:rPr>
        <w:t xml:space="preserve">, 71-75. doi:10.1207/ s15327752jpa4901_13 </w:t>
      </w:r>
    </w:p>
    <w:p w14:paraId="429DBD26" w14:textId="77777777" w:rsidR="005B49F9" w:rsidRPr="007A49E1" w:rsidRDefault="005B49F9" w:rsidP="005B49F9">
      <w:pPr>
        <w:spacing w:line="480" w:lineRule="auto"/>
        <w:ind w:left="567" w:hanging="567"/>
        <w:rPr>
          <w:color w:val="000000" w:themeColor="text1"/>
          <w:shd w:val="clear" w:color="auto" w:fill="FFFFFF"/>
        </w:rPr>
      </w:pPr>
      <w:r w:rsidRPr="007A49E1">
        <w:rPr>
          <w:color w:val="000000" w:themeColor="text1"/>
          <w:shd w:val="clear" w:color="auto" w:fill="FFFFFF"/>
        </w:rPr>
        <w:t xml:space="preserve">Dumitrescu, A. L., Zetu, L., Teslaru, S., Dogaru, B. C., &amp; Dogaru, C. D. (2008). Is it an association between body appreciation, self-criticism, oral health status, and oral health-related behaviors? </w:t>
      </w:r>
      <w:r w:rsidRPr="007A49E1">
        <w:rPr>
          <w:i/>
          <w:color w:val="000000" w:themeColor="text1"/>
          <w:shd w:val="clear" w:color="auto" w:fill="FFFFFF"/>
        </w:rPr>
        <w:t>Romanian Journal of Internal Medicine</w:t>
      </w:r>
      <w:r w:rsidRPr="007A49E1">
        <w:rPr>
          <w:color w:val="000000" w:themeColor="text1"/>
          <w:shd w:val="clear" w:color="auto" w:fill="FFFFFF"/>
        </w:rPr>
        <w:t xml:space="preserve">, </w:t>
      </w:r>
      <w:r w:rsidRPr="007A49E1">
        <w:rPr>
          <w:i/>
          <w:color w:val="000000" w:themeColor="text1"/>
          <w:shd w:val="clear" w:color="auto" w:fill="FFFFFF"/>
        </w:rPr>
        <w:t>46</w:t>
      </w:r>
      <w:r w:rsidRPr="007A49E1">
        <w:rPr>
          <w:color w:val="000000" w:themeColor="text1"/>
          <w:shd w:val="clear" w:color="auto" w:fill="FFFFFF"/>
        </w:rPr>
        <w:t xml:space="preserve">, 343-350. </w:t>
      </w:r>
    </w:p>
    <w:p w14:paraId="67D1D574" w14:textId="5F3496C9" w:rsidR="00585DAC" w:rsidRPr="007A49E1" w:rsidRDefault="00585DAC" w:rsidP="00585DAC">
      <w:pPr>
        <w:spacing w:line="480" w:lineRule="auto"/>
        <w:ind w:left="567" w:hanging="567"/>
        <w:rPr>
          <w:color w:val="000000"/>
          <w:lang w:eastAsia="en-US"/>
        </w:rPr>
      </w:pPr>
      <w:r w:rsidRPr="007A49E1">
        <w:rPr>
          <w:color w:val="000000"/>
          <w:lang w:eastAsia="en-US"/>
        </w:rPr>
        <w:t xml:space="preserve">Eisler, I. (2001). Commentary 1. In M. Nasser, M. A. Katzman &amp; R. A. Gordon (Eds.), Eating disorders and cultures in transition (pp. 120-123). New York, NY: Taylor &amp; Francis. </w:t>
      </w:r>
    </w:p>
    <w:p w14:paraId="79D90C23" w14:textId="4E35C8DB" w:rsidR="002A2325" w:rsidRPr="007A49E1" w:rsidRDefault="002A2325" w:rsidP="00670A18">
      <w:pPr>
        <w:spacing w:line="480" w:lineRule="auto"/>
        <w:ind w:left="567" w:hanging="567"/>
        <w:rPr>
          <w:color w:val="000000" w:themeColor="text1"/>
        </w:rPr>
      </w:pPr>
      <w:r w:rsidRPr="007A49E1">
        <w:rPr>
          <w:color w:val="000000" w:themeColor="text1"/>
        </w:rPr>
        <w:t xml:space="preserve">European Commission. (2012). </w:t>
      </w:r>
      <w:r w:rsidRPr="007A49E1">
        <w:rPr>
          <w:i/>
          <w:color w:val="000000" w:themeColor="text1"/>
        </w:rPr>
        <w:t>Europeans and their languages</w:t>
      </w:r>
      <w:r w:rsidR="00650F96" w:rsidRPr="007A49E1">
        <w:rPr>
          <w:i/>
          <w:color w:val="000000" w:themeColor="text1"/>
        </w:rPr>
        <w:t xml:space="preserve"> (Special Eurobarometer 386</w:t>
      </w:r>
      <w:r w:rsidR="00650F96" w:rsidRPr="007A49E1">
        <w:rPr>
          <w:color w:val="000000" w:themeColor="text1"/>
        </w:rPr>
        <w:t xml:space="preserve">). Brussels: European Commission. </w:t>
      </w:r>
    </w:p>
    <w:p w14:paraId="0043F702" w14:textId="5E4AE9D7" w:rsidR="00A97F80" w:rsidRPr="007A49E1" w:rsidRDefault="00A97F80" w:rsidP="00670A18">
      <w:pPr>
        <w:spacing w:line="480" w:lineRule="auto"/>
        <w:ind w:left="567" w:hanging="567"/>
        <w:rPr>
          <w:color w:val="000000" w:themeColor="text1"/>
        </w:rPr>
      </w:pPr>
      <w:r w:rsidRPr="007A49E1">
        <w:rPr>
          <w:color w:val="000000" w:themeColor="text1"/>
        </w:rPr>
        <w:lastRenderedPageBreak/>
        <w:t xml:space="preserve">Eurostat. (2015). </w:t>
      </w:r>
      <w:r w:rsidRPr="007A49E1">
        <w:rPr>
          <w:i/>
          <w:color w:val="000000" w:themeColor="text1"/>
        </w:rPr>
        <w:t>Tertiary education statistics</w:t>
      </w:r>
      <w:r w:rsidRPr="007A49E1">
        <w:rPr>
          <w:color w:val="000000" w:themeColor="text1"/>
        </w:rPr>
        <w:t>. Available online at: http://ec.europa.eu/eurostat/statistics-explained/index.php/Tertiary_education_statistics</w:t>
      </w:r>
    </w:p>
    <w:p w14:paraId="1351103C" w14:textId="4FF8D9C8" w:rsidR="00585DAC" w:rsidRPr="007A49E1" w:rsidRDefault="00670A18" w:rsidP="00585DAC">
      <w:pPr>
        <w:spacing w:line="480" w:lineRule="auto"/>
        <w:ind w:left="567" w:hanging="567"/>
        <w:rPr>
          <w:color w:val="000000" w:themeColor="text1"/>
          <w:shd w:val="clear" w:color="auto" w:fill="FFFFFF"/>
        </w:rPr>
      </w:pPr>
      <w:r w:rsidRPr="007A49E1">
        <w:rPr>
          <w:color w:val="000000" w:themeColor="text1"/>
          <w:shd w:val="clear" w:color="auto" w:fill="FFFFFF"/>
        </w:rPr>
        <w:t xml:space="preserve">Ferreira, L., Neves, A. N., &amp; Tavares, M. C. G. C. F. (2014). Validity of body image scales for Brazilian older adults. </w:t>
      </w:r>
      <w:r w:rsidRPr="007A49E1">
        <w:rPr>
          <w:i/>
          <w:color w:val="000000" w:themeColor="text1"/>
          <w:shd w:val="clear" w:color="auto" w:fill="FFFFFF"/>
        </w:rPr>
        <w:t>Motriz: Revista de Educação Física</w:t>
      </w:r>
      <w:r w:rsidR="00C8612B">
        <w:rPr>
          <w:color w:val="000000" w:themeColor="text1"/>
          <w:shd w:val="clear" w:color="auto" w:fill="FFFFFF"/>
        </w:rPr>
        <w:t>, 20, 359-373</w:t>
      </w:r>
      <w:r w:rsidRPr="007A49E1">
        <w:rPr>
          <w:color w:val="000000" w:themeColor="text1"/>
          <w:shd w:val="clear" w:color="auto" w:fill="FFFFFF"/>
        </w:rPr>
        <w:t>. doi:10.1590/S1980-65742014000400002</w:t>
      </w:r>
    </w:p>
    <w:p w14:paraId="7F8979C7" w14:textId="2F953054" w:rsidR="00585DAC" w:rsidRPr="007A49E1" w:rsidRDefault="00585DAC" w:rsidP="00585DAC">
      <w:pPr>
        <w:spacing w:line="480" w:lineRule="auto"/>
        <w:ind w:left="567" w:hanging="567"/>
        <w:rPr>
          <w:color w:val="000000"/>
          <w:lang w:eastAsia="en-US"/>
        </w:rPr>
      </w:pPr>
      <w:r w:rsidRPr="007A49E1">
        <w:rPr>
          <w:color w:val="000000"/>
          <w:lang w:eastAsia="en-US"/>
        </w:rPr>
        <w:t xml:space="preserve">Frederick, D. A., Forbes, G. B., &amp; Berezovskaya, A. (2008). Female body dissatisfaction and the perceptions of the attractive female body in Ghana, the Ukraine, and the United States. </w:t>
      </w:r>
      <w:r w:rsidRPr="007A49E1">
        <w:rPr>
          <w:i/>
          <w:color w:val="000000"/>
          <w:lang w:eastAsia="en-US"/>
        </w:rPr>
        <w:t>Psychological Topics</w:t>
      </w:r>
      <w:r w:rsidRPr="007A49E1">
        <w:rPr>
          <w:color w:val="000000"/>
          <w:lang w:eastAsia="en-US"/>
        </w:rPr>
        <w:t xml:space="preserve">, </w:t>
      </w:r>
      <w:r w:rsidRPr="007A49E1">
        <w:rPr>
          <w:i/>
          <w:color w:val="000000"/>
          <w:lang w:eastAsia="en-US"/>
        </w:rPr>
        <w:t>17</w:t>
      </w:r>
      <w:r w:rsidRPr="007A49E1">
        <w:rPr>
          <w:color w:val="000000"/>
          <w:lang w:eastAsia="en-US"/>
        </w:rPr>
        <w:t xml:space="preserve">, 203-219. </w:t>
      </w:r>
    </w:p>
    <w:p w14:paraId="26045AEA" w14:textId="77777777" w:rsidR="005541B8" w:rsidRPr="007A49E1" w:rsidRDefault="005541B8" w:rsidP="005541B8">
      <w:pPr>
        <w:autoSpaceDE w:val="0"/>
        <w:autoSpaceDN w:val="0"/>
        <w:adjustRightInd w:val="0"/>
        <w:spacing w:line="480" w:lineRule="auto"/>
        <w:ind w:left="567" w:hanging="567"/>
        <w:rPr>
          <w:bCs/>
          <w:shd w:val="clear" w:color="auto" w:fill="FFFFFF"/>
        </w:rPr>
      </w:pPr>
      <w:r w:rsidRPr="007A49E1">
        <w:t xml:space="preserve">Hayton, J. C., Allen, D. G., &amp; Scarpello, V. (2004). Factor retention decisions in exploratory factor analysis: A tutorial on parallel analysis. </w:t>
      </w:r>
      <w:r w:rsidRPr="007A49E1">
        <w:rPr>
          <w:i/>
        </w:rPr>
        <w:t>Organization Research Methods</w:t>
      </w:r>
      <w:r w:rsidRPr="007A49E1">
        <w:t xml:space="preserve">, </w:t>
      </w:r>
      <w:r w:rsidRPr="007A49E1">
        <w:rPr>
          <w:i/>
        </w:rPr>
        <w:t>7</w:t>
      </w:r>
      <w:r w:rsidRPr="007A49E1">
        <w:t xml:space="preserve">, 191-205. doi: </w:t>
      </w:r>
      <w:r w:rsidRPr="007A49E1">
        <w:rPr>
          <w:bCs/>
          <w:shd w:val="clear" w:color="auto" w:fill="FFFFFF"/>
        </w:rPr>
        <w:t>10.1177/1094428104263675</w:t>
      </w:r>
    </w:p>
    <w:p w14:paraId="2AB38E77" w14:textId="0A61A7D6" w:rsidR="006325F8" w:rsidRDefault="006325F8" w:rsidP="006325F8">
      <w:pPr>
        <w:spacing w:line="480" w:lineRule="auto"/>
        <w:ind w:left="567" w:hanging="567"/>
        <w:rPr>
          <w:color w:val="000000" w:themeColor="text1"/>
          <w:lang w:eastAsia="en-US"/>
        </w:rPr>
      </w:pPr>
      <w:r w:rsidRPr="007A49E1">
        <w:rPr>
          <w:color w:val="000000" w:themeColor="text1"/>
          <w:lang w:eastAsia="en-US"/>
        </w:rPr>
        <w:t xml:space="preserve">Holmqvist, K., &amp; Frisén, A. (2012). “I bet they aren’t that perfect in reality”: Appearance ideals viewed from the perspective of adolescents with a positive body image. </w:t>
      </w:r>
      <w:r w:rsidRPr="007A49E1">
        <w:rPr>
          <w:i/>
          <w:color w:val="000000" w:themeColor="text1"/>
          <w:lang w:eastAsia="en-US"/>
        </w:rPr>
        <w:t>Body Image</w:t>
      </w:r>
      <w:r w:rsidRPr="007A49E1">
        <w:rPr>
          <w:color w:val="000000" w:themeColor="text1"/>
          <w:lang w:eastAsia="en-US"/>
        </w:rPr>
        <w:t>,</w:t>
      </w:r>
      <w:r w:rsidRPr="007A49E1">
        <w:rPr>
          <w:i/>
          <w:color w:val="000000" w:themeColor="text1"/>
          <w:lang w:eastAsia="en-US"/>
        </w:rPr>
        <w:t xml:space="preserve"> 9</w:t>
      </w:r>
      <w:r w:rsidRPr="007A49E1">
        <w:rPr>
          <w:color w:val="000000" w:themeColor="text1"/>
          <w:lang w:eastAsia="en-US"/>
        </w:rPr>
        <w:t xml:space="preserve">, 388-395. doi:10.1016/j.bodyim.2012.03.007 </w:t>
      </w:r>
    </w:p>
    <w:p w14:paraId="2BA3FDE0" w14:textId="77953131" w:rsidR="00E57DAA" w:rsidRPr="00E57DAA" w:rsidRDefault="00E57DAA" w:rsidP="00E57DAA">
      <w:pPr>
        <w:spacing w:line="480" w:lineRule="auto"/>
        <w:ind w:left="567" w:hanging="567"/>
        <w:rPr>
          <w:shd w:val="clear" w:color="auto" w:fill="FFFFFF"/>
        </w:rPr>
      </w:pPr>
      <w:r w:rsidRPr="00CF60FF">
        <w:rPr>
          <w:shd w:val="clear" w:color="auto" w:fill="FFFFFF"/>
        </w:rPr>
        <w:t xml:space="preserve">Hu, L. T., &amp; Bentler, P. M. (1999). Cutoff criteria for fit indexes in covariance structure analysis: Conventional criteria versus new alternatives. </w:t>
      </w:r>
      <w:r w:rsidRPr="00CF60FF">
        <w:rPr>
          <w:i/>
          <w:shd w:val="clear" w:color="auto" w:fill="FFFFFF"/>
        </w:rPr>
        <w:t>Structural Equation Modeling</w:t>
      </w:r>
      <w:r w:rsidRPr="00CF60FF">
        <w:rPr>
          <w:shd w:val="clear" w:color="auto" w:fill="FFFFFF"/>
        </w:rPr>
        <w:t xml:space="preserve">, </w:t>
      </w:r>
      <w:r w:rsidRPr="00CF60FF">
        <w:rPr>
          <w:i/>
          <w:shd w:val="clear" w:color="auto" w:fill="FFFFFF"/>
        </w:rPr>
        <w:t>6</w:t>
      </w:r>
      <w:r>
        <w:rPr>
          <w:shd w:val="clear" w:color="auto" w:fill="FFFFFF"/>
        </w:rPr>
        <w:t>, 1-55. doi:</w:t>
      </w:r>
      <w:r w:rsidRPr="00CF60FF">
        <w:rPr>
          <w:shd w:val="clear" w:color="auto" w:fill="FFFFFF"/>
        </w:rPr>
        <w:t>10.1080/10705519909540118</w:t>
      </w:r>
    </w:p>
    <w:p w14:paraId="5FEBCD16" w14:textId="75D92D93" w:rsidR="00C17170" w:rsidRPr="007A49E1" w:rsidRDefault="00C17170" w:rsidP="00C17170">
      <w:pPr>
        <w:spacing w:line="480" w:lineRule="auto"/>
        <w:ind w:left="567" w:hanging="567"/>
        <w:rPr>
          <w:iCs/>
        </w:rPr>
      </w:pPr>
      <w:r w:rsidRPr="007A49E1">
        <w:t xml:space="preserve">Jenaro, C., Flores, N., Tomsa, R., &amp; Bermejo, M. B. (2011). Body Image Screening Questionnaire for Eating Disorder Early Detection. </w:t>
      </w:r>
      <w:r w:rsidRPr="007A49E1">
        <w:rPr>
          <w:i/>
        </w:rPr>
        <w:t>Journal of Experiential Psychotherapy</w:t>
      </w:r>
      <w:r w:rsidRPr="007A49E1">
        <w:t xml:space="preserve">, </w:t>
      </w:r>
      <w:r w:rsidRPr="007A49E1">
        <w:rPr>
          <w:i/>
        </w:rPr>
        <w:t>14</w:t>
      </w:r>
      <w:r w:rsidRPr="007A49E1">
        <w:t>, 3-11.</w:t>
      </w:r>
    </w:p>
    <w:p w14:paraId="18EA6DBA" w14:textId="77777777" w:rsidR="00AC6E92" w:rsidRPr="007A49E1" w:rsidRDefault="0088554F" w:rsidP="00AC6E92">
      <w:pPr>
        <w:spacing w:line="480" w:lineRule="auto"/>
        <w:ind w:left="567" w:hanging="567"/>
        <w:rPr>
          <w:color w:val="000000" w:themeColor="text1"/>
        </w:rPr>
      </w:pPr>
      <w:r w:rsidRPr="007A49E1">
        <w:rPr>
          <w:color w:val="000000" w:themeColor="text1"/>
        </w:rPr>
        <w:t xml:space="preserve">Jovic, M., Sforza, M., Jovanovic, M., &amp; Jovic, M. (2016). The Acceptance of Cosmetic Surgery Scale: Confirmatory factor analyses and validation among Serbian adults. </w:t>
      </w:r>
      <w:r w:rsidRPr="007A49E1">
        <w:rPr>
          <w:i/>
          <w:color w:val="000000" w:themeColor="text1"/>
        </w:rPr>
        <w:t>Current Psychology</w:t>
      </w:r>
      <w:r w:rsidRPr="007A49E1">
        <w:rPr>
          <w:color w:val="000000" w:themeColor="text1"/>
        </w:rPr>
        <w:t>, in press. doi:10.1007/s12144-016-9458-7</w:t>
      </w:r>
    </w:p>
    <w:p w14:paraId="0ED66DBD" w14:textId="39E30570" w:rsidR="00AC6E92" w:rsidRDefault="00AC6E92" w:rsidP="00AC6E92">
      <w:pPr>
        <w:spacing w:line="480" w:lineRule="auto"/>
        <w:ind w:left="567" w:hanging="567"/>
      </w:pPr>
      <w:r w:rsidRPr="007A49E1">
        <w:lastRenderedPageBreak/>
        <w:t xml:space="preserve">Kertechian, S., &amp; Swami, V. (2017). An examination of the factor structure and sex invariance of a French translation of the Body Appreciation Scale-2 in university students. </w:t>
      </w:r>
      <w:r w:rsidRPr="007A49E1">
        <w:rPr>
          <w:i/>
        </w:rPr>
        <w:t>Body Image</w:t>
      </w:r>
      <w:r w:rsidRPr="007A49E1">
        <w:t xml:space="preserve">, </w:t>
      </w:r>
      <w:r w:rsidRPr="007A49E1">
        <w:rPr>
          <w:i/>
        </w:rPr>
        <w:t>21</w:t>
      </w:r>
      <w:r w:rsidRPr="007A49E1">
        <w:t>, 26-29. doi:10.1016/j.bodyim.2017.02.005</w:t>
      </w:r>
    </w:p>
    <w:p w14:paraId="1D9566DD" w14:textId="6C865E6F" w:rsidR="002B2CC1" w:rsidRPr="002B2CC1" w:rsidRDefault="002B2CC1" w:rsidP="002B2CC1">
      <w:pPr>
        <w:spacing w:line="480" w:lineRule="auto"/>
        <w:ind w:left="567" w:hanging="567"/>
        <w:rPr>
          <w:color w:val="000000" w:themeColor="text1"/>
          <w:shd w:val="clear" w:color="auto" w:fill="FFFFFF"/>
        </w:rPr>
      </w:pPr>
      <w:r w:rsidRPr="00911751">
        <w:t xml:space="preserve">Kline, R. B. (2005). </w:t>
      </w:r>
      <w:r w:rsidRPr="00911751">
        <w:rPr>
          <w:i/>
          <w:color w:val="000000" w:themeColor="text1"/>
        </w:rPr>
        <w:t>Principles and practices of structural equation modeling</w:t>
      </w:r>
      <w:r w:rsidRPr="00911751">
        <w:rPr>
          <w:color w:val="000000" w:themeColor="text1"/>
        </w:rPr>
        <w:t xml:space="preserve"> (2nd ed.). New York</w:t>
      </w:r>
      <w:r>
        <w:rPr>
          <w:color w:val="000000" w:themeColor="text1"/>
        </w:rPr>
        <w:t>, NY</w:t>
      </w:r>
      <w:r w:rsidRPr="00911751">
        <w:rPr>
          <w:color w:val="000000" w:themeColor="text1"/>
        </w:rPr>
        <w:t xml:space="preserve">: Guilford Press. </w:t>
      </w:r>
    </w:p>
    <w:p w14:paraId="248091B8" w14:textId="51715680" w:rsidR="008D58D5" w:rsidRPr="007A49E1" w:rsidRDefault="008D58D5" w:rsidP="008D58D5">
      <w:pPr>
        <w:spacing w:line="480" w:lineRule="auto"/>
        <w:ind w:left="567" w:hanging="567"/>
      </w:pPr>
      <w:r w:rsidRPr="007A49E1">
        <w:t xml:space="preserve">Lambru, I., Butucescu, A., Uscātescu, L., Constantinescu, P.-M., Sandu, G., &amp; Stevens, M. J. (2012). Romanian adaptation of the Satisfaction </w:t>
      </w:r>
      <w:proofErr w:type="gramStart"/>
      <w:r w:rsidRPr="007A49E1">
        <w:t>With</w:t>
      </w:r>
      <w:proofErr w:type="gramEnd"/>
      <w:r w:rsidRPr="007A49E1">
        <w:t xml:space="preserve"> Life Scale. </w:t>
      </w:r>
      <w:r w:rsidRPr="007A49E1">
        <w:rPr>
          <w:i/>
        </w:rPr>
        <w:t>Journal of Psychological and Educational Research</w:t>
      </w:r>
      <w:r w:rsidRPr="007A49E1">
        <w:t xml:space="preserve">, </w:t>
      </w:r>
      <w:r w:rsidRPr="007A49E1">
        <w:rPr>
          <w:i/>
        </w:rPr>
        <w:t>1</w:t>
      </w:r>
      <w:r w:rsidRPr="007A49E1">
        <w:t xml:space="preserve">, 17-33. </w:t>
      </w:r>
    </w:p>
    <w:p w14:paraId="6DEE6FF5" w14:textId="77777777" w:rsidR="008D58D5" w:rsidRPr="007A49E1" w:rsidRDefault="000F5AFC" w:rsidP="008D58D5">
      <w:pPr>
        <w:spacing w:line="480" w:lineRule="auto"/>
        <w:ind w:left="567" w:hanging="567"/>
        <w:rPr>
          <w:color w:val="000000" w:themeColor="text1"/>
          <w:shd w:val="clear" w:color="auto" w:fill="FFFFFF"/>
        </w:rPr>
      </w:pPr>
      <w:r w:rsidRPr="007A49E1">
        <w:rPr>
          <w:color w:val="000000" w:themeColor="text1"/>
          <w:shd w:val="clear" w:color="auto" w:fill="FFFFFF"/>
        </w:rPr>
        <w:t xml:space="preserve">Lobera, I. J., &amp; Ríos, P. B. (2011). Spanish version of the Body Appreciation Scale (BAS) for adolescents. </w:t>
      </w:r>
      <w:r w:rsidRPr="007A49E1">
        <w:rPr>
          <w:i/>
          <w:color w:val="000000" w:themeColor="text1"/>
          <w:shd w:val="clear" w:color="auto" w:fill="FFFFFF"/>
        </w:rPr>
        <w:t>Spanish Journal of Psychology</w:t>
      </w:r>
      <w:r w:rsidRPr="007A49E1">
        <w:rPr>
          <w:color w:val="000000" w:themeColor="text1"/>
          <w:shd w:val="clear" w:color="auto" w:fill="FFFFFF"/>
        </w:rPr>
        <w:t xml:space="preserve">, </w:t>
      </w:r>
      <w:r w:rsidRPr="007A49E1">
        <w:rPr>
          <w:i/>
          <w:color w:val="000000" w:themeColor="text1"/>
          <w:shd w:val="clear" w:color="auto" w:fill="FFFFFF"/>
        </w:rPr>
        <w:t>14</w:t>
      </w:r>
      <w:r w:rsidRPr="007A49E1">
        <w:rPr>
          <w:color w:val="000000" w:themeColor="text1"/>
          <w:shd w:val="clear" w:color="auto" w:fill="FFFFFF"/>
        </w:rPr>
        <w:t>, 411-420. doi:10.5209/rev_SJOP.2011.v14.ni.37</w:t>
      </w:r>
    </w:p>
    <w:p w14:paraId="12CC5281" w14:textId="643F00C8" w:rsidR="008D58D5" w:rsidRPr="007A49E1" w:rsidRDefault="008D58D5" w:rsidP="008D58D5">
      <w:pPr>
        <w:spacing w:line="480" w:lineRule="auto"/>
        <w:ind w:left="567" w:hanging="567"/>
        <w:rPr>
          <w:rFonts w:eastAsia="Times New Roman"/>
          <w:color w:val="333333"/>
          <w:spacing w:val="4"/>
          <w:shd w:val="clear" w:color="auto" w:fill="FCFCFC"/>
        </w:rPr>
      </w:pPr>
      <w:r w:rsidRPr="007A49E1">
        <w:rPr>
          <w:color w:val="000000" w:themeColor="text1"/>
        </w:rPr>
        <w:t xml:space="preserve">Lyubomirsky, S., &amp; Lepper, H. S. (1999). A measure of subjective happiness: Preliminary reliability and construct validation. </w:t>
      </w:r>
      <w:r w:rsidRPr="007A49E1">
        <w:rPr>
          <w:i/>
          <w:color w:val="000000" w:themeColor="text1"/>
        </w:rPr>
        <w:t>Social Indicators Research</w:t>
      </w:r>
      <w:r w:rsidRPr="007A49E1">
        <w:rPr>
          <w:color w:val="000000" w:themeColor="text1"/>
        </w:rPr>
        <w:t xml:space="preserve">, </w:t>
      </w:r>
      <w:r w:rsidRPr="007A49E1">
        <w:rPr>
          <w:i/>
          <w:color w:val="000000" w:themeColor="text1"/>
        </w:rPr>
        <w:t>46</w:t>
      </w:r>
      <w:r w:rsidRPr="007A49E1">
        <w:rPr>
          <w:color w:val="000000" w:themeColor="text1"/>
        </w:rPr>
        <w:t>, 137-155. doi:</w:t>
      </w:r>
      <w:r w:rsidRPr="007A49E1">
        <w:rPr>
          <w:rFonts w:eastAsia="Times New Roman"/>
          <w:color w:val="333333"/>
          <w:spacing w:val="4"/>
          <w:shd w:val="clear" w:color="auto" w:fill="FCFCFC"/>
        </w:rPr>
        <w:t>10.1023/A:1006824100041</w:t>
      </w:r>
    </w:p>
    <w:p w14:paraId="7A2E87C0" w14:textId="2CF47C38" w:rsidR="006325F8" w:rsidRPr="007A49E1" w:rsidRDefault="006325F8" w:rsidP="006325F8">
      <w:pPr>
        <w:spacing w:line="480" w:lineRule="auto"/>
        <w:ind w:left="567" w:hanging="567"/>
        <w:rPr>
          <w:color w:val="000000" w:themeColor="text1"/>
        </w:rPr>
      </w:pPr>
      <w:r w:rsidRPr="007A49E1">
        <w:rPr>
          <w:color w:val="000000" w:themeColor="text1"/>
          <w:lang w:eastAsia="en-US"/>
        </w:rPr>
        <w:t xml:space="preserve">McHugh, T.-L., Coppola, A. M., &amp; Sabiston, C. M. (2014). “I’m thankful for being Native and my body is part of that”: The body pride experiences of young Aboriginal women in Canada. </w:t>
      </w:r>
      <w:r w:rsidRPr="007A49E1">
        <w:rPr>
          <w:i/>
          <w:color w:val="000000" w:themeColor="text1"/>
          <w:lang w:eastAsia="en-US"/>
        </w:rPr>
        <w:t>Body Image</w:t>
      </w:r>
      <w:r w:rsidRPr="007A49E1">
        <w:rPr>
          <w:color w:val="000000" w:themeColor="text1"/>
          <w:lang w:eastAsia="en-US"/>
        </w:rPr>
        <w:t xml:space="preserve">, </w:t>
      </w:r>
      <w:r w:rsidRPr="007A49E1">
        <w:rPr>
          <w:i/>
          <w:color w:val="000000" w:themeColor="text1"/>
          <w:lang w:eastAsia="en-US"/>
        </w:rPr>
        <w:t>11</w:t>
      </w:r>
      <w:r w:rsidRPr="007A49E1">
        <w:rPr>
          <w:color w:val="000000" w:themeColor="text1"/>
          <w:lang w:eastAsia="en-US"/>
        </w:rPr>
        <w:t xml:space="preserve">, 318-327. doi:10.1016/j.bodyim.2014.05.004 </w:t>
      </w:r>
    </w:p>
    <w:p w14:paraId="00BDCD0A" w14:textId="02C9EF97" w:rsidR="008D5542" w:rsidRPr="007A49E1" w:rsidRDefault="008D5542" w:rsidP="00A7419C">
      <w:pPr>
        <w:spacing w:line="480" w:lineRule="auto"/>
        <w:ind w:left="567" w:hanging="567"/>
        <w:rPr>
          <w:color w:val="000000" w:themeColor="text1"/>
          <w:shd w:val="clear" w:color="auto" w:fill="FFFFFF"/>
        </w:rPr>
      </w:pPr>
      <w:r w:rsidRPr="007A49E1">
        <w:rPr>
          <w:color w:val="000000" w:themeColor="text1"/>
          <w:shd w:val="clear" w:color="auto" w:fill="FFFFFF"/>
        </w:rPr>
        <w:t xml:space="preserve">Mocanu, V. (2013). Prevalence of overweight and obesity in urban elementary school children in northeastern Romania: Its relationship with socioeconomic status and associated dietary and lifestyle factors. </w:t>
      </w:r>
      <w:r w:rsidRPr="007A49E1">
        <w:rPr>
          <w:i/>
          <w:color w:val="000000" w:themeColor="text1"/>
          <w:shd w:val="clear" w:color="auto" w:fill="FFFFFF"/>
        </w:rPr>
        <w:t>BioMed Research</w:t>
      </w:r>
      <w:r w:rsidRPr="007A49E1">
        <w:rPr>
          <w:color w:val="000000" w:themeColor="text1"/>
          <w:shd w:val="clear" w:color="auto" w:fill="FFFFFF"/>
        </w:rPr>
        <w:t xml:space="preserve">, </w:t>
      </w:r>
      <w:r w:rsidRPr="007A49E1">
        <w:rPr>
          <w:i/>
          <w:color w:val="000000" w:themeColor="text1"/>
          <w:shd w:val="clear" w:color="auto" w:fill="FFFFFF"/>
        </w:rPr>
        <w:t>2013</w:t>
      </w:r>
      <w:r w:rsidRPr="007A49E1">
        <w:rPr>
          <w:color w:val="000000" w:themeColor="text1"/>
          <w:shd w:val="clear" w:color="auto" w:fill="FFFFFF"/>
        </w:rPr>
        <w:t>, article 537451. doi:10.1155/2013/537451</w:t>
      </w:r>
    </w:p>
    <w:p w14:paraId="0B40E726" w14:textId="5E1E683B" w:rsidR="00A7419C" w:rsidRPr="007A49E1" w:rsidRDefault="00A7419C" w:rsidP="00A7419C">
      <w:pPr>
        <w:spacing w:line="480" w:lineRule="auto"/>
        <w:ind w:left="567" w:hanging="567"/>
      </w:pPr>
      <w:r w:rsidRPr="007A49E1">
        <w:t xml:space="preserve">Ng, S.-K., Barron, D., &amp; Swami, V. (2015). Factor structure and psychometric properties of the Body Appreciation Scale among adults in Hong Kong. </w:t>
      </w:r>
      <w:r w:rsidRPr="007A49E1">
        <w:rPr>
          <w:i/>
        </w:rPr>
        <w:t>Body Image</w:t>
      </w:r>
      <w:r w:rsidRPr="007A49E1">
        <w:t xml:space="preserve">, </w:t>
      </w:r>
      <w:r w:rsidRPr="007A49E1">
        <w:rPr>
          <w:i/>
        </w:rPr>
        <w:t>13</w:t>
      </w:r>
      <w:r w:rsidRPr="007A49E1">
        <w:t>, 1-8. doi:10.1016/j.bodyim.2014.10.009</w:t>
      </w:r>
    </w:p>
    <w:p w14:paraId="12528D60" w14:textId="77777777" w:rsidR="005541B8" w:rsidRPr="007A49E1" w:rsidRDefault="005541B8" w:rsidP="005541B8">
      <w:pPr>
        <w:autoSpaceDE w:val="0"/>
        <w:autoSpaceDN w:val="0"/>
        <w:adjustRightInd w:val="0"/>
        <w:spacing w:line="480" w:lineRule="auto"/>
        <w:ind w:left="567" w:hanging="567"/>
      </w:pPr>
      <w:r w:rsidRPr="007A49E1">
        <w:lastRenderedPageBreak/>
        <w:t xml:space="preserve">Patil, V. H., McPherson, M. Q., &amp; Friesner, D. (2010). The use of exploratory factor analysis in public health: A note on parallel analysis as a factor retention criterion. </w:t>
      </w:r>
      <w:r w:rsidRPr="007A49E1">
        <w:rPr>
          <w:i/>
        </w:rPr>
        <w:t>American Journal of Health Promotion</w:t>
      </w:r>
      <w:r w:rsidRPr="007A49E1">
        <w:t xml:space="preserve">, </w:t>
      </w:r>
      <w:r w:rsidRPr="007A49E1">
        <w:rPr>
          <w:i/>
        </w:rPr>
        <w:t>24</w:t>
      </w:r>
      <w:r w:rsidRPr="007A49E1">
        <w:t xml:space="preserve">, 178-181. doi: </w:t>
      </w:r>
      <w:r w:rsidRPr="007A49E1">
        <w:rPr>
          <w:shd w:val="clear" w:color="auto" w:fill="FFFFFF"/>
        </w:rPr>
        <w:t>10.4278/ajhp.08033131</w:t>
      </w:r>
    </w:p>
    <w:p w14:paraId="251419EC" w14:textId="77777777" w:rsidR="005B49F9" w:rsidRDefault="005B49F9" w:rsidP="005B49F9">
      <w:pPr>
        <w:spacing w:line="480" w:lineRule="auto"/>
        <w:ind w:left="567" w:hanging="567"/>
        <w:rPr>
          <w:rFonts w:eastAsia="Times New Roman"/>
          <w:color w:val="000000" w:themeColor="text1"/>
        </w:rPr>
      </w:pPr>
      <w:r w:rsidRPr="007A49E1">
        <w:rPr>
          <w:rFonts w:eastAsia="Times New Roman"/>
          <w:color w:val="000000" w:themeColor="text1"/>
        </w:rPr>
        <w:t xml:space="preserve">Pedhazur, E. J., &amp; Schmelkin, L. P. (1991). </w:t>
      </w:r>
      <w:r w:rsidRPr="007A49E1">
        <w:rPr>
          <w:rFonts w:eastAsia="Times New Roman"/>
          <w:i/>
          <w:color w:val="000000" w:themeColor="text1"/>
        </w:rPr>
        <w:t>Measurement, design, and analysis: An integrated approach</w:t>
      </w:r>
      <w:r w:rsidRPr="007A49E1">
        <w:rPr>
          <w:rFonts w:eastAsia="Times New Roman"/>
          <w:color w:val="000000" w:themeColor="text1"/>
        </w:rPr>
        <w:t xml:space="preserve">. Hillsdale, NJ: Lawrence Erlbaum. </w:t>
      </w:r>
    </w:p>
    <w:p w14:paraId="0C602281" w14:textId="6C2655DB" w:rsidR="00B20BBC" w:rsidRPr="00B20BBC" w:rsidRDefault="00B20BBC" w:rsidP="005B49F9">
      <w:pPr>
        <w:spacing w:line="480" w:lineRule="auto"/>
        <w:ind w:left="567" w:hanging="567"/>
        <w:rPr>
          <w:rFonts w:eastAsia="Times New Roman"/>
          <w:color w:val="000000" w:themeColor="text1"/>
        </w:rPr>
      </w:pPr>
      <w:r>
        <w:rPr>
          <w:rFonts w:eastAsia="Times New Roman"/>
          <w:color w:val="000000" w:themeColor="text1"/>
        </w:rPr>
        <w:t xml:space="preserve">Razmus, M., &amp; Razmus, W. (2017). Evaluting the psychometric properties of the Polish version of the Body Appreciation Scale-2. </w:t>
      </w:r>
      <w:r>
        <w:rPr>
          <w:rFonts w:eastAsia="Times New Roman"/>
          <w:i/>
          <w:color w:val="000000" w:themeColor="text1"/>
        </w:rPr>
        <w:t>Body Image</w:t>
      </w:r>
      <w:r>
        <w:rPr>
          <w:rFonts w:eastAsia="Times New Roman"/>
          <w:color w:val="000000" w:themeColor="text1"/>
        </w:rPr>
        <w:t xml:space="preserve">, in press. </w:t>
      </w:r>
    </w:p>
    <w:p w14:paraId="31160312" w14:textId="46396FB6" w:rsidR="0093381C" w:rsidRPr="007A49E1" w:rsidRDefault="0093381C" w:rsidP="0093381C">
      <w:pPr>
        <w:spacing w:line="480" w:lineRule="auto"/>
        <w:ind w:left="567" w:hanging="567"/>
      </w:pPr>
      <w:r w:rsidRPr="007A49E1">
        <w:t xml:space="preserve">Rosenberg, M. (1965). </w:t>
      </w:r>
      <w:r w:rsidRPr="007A49E1">
        <w:rPr>
          <w:i/>
        </w:rPr>
        <w:t>Society and the adolescent self-image</w:t>
      </w:r>
      <w:r w:rsidRPr="007A49E1">
        <w:t xml:space="preserve">. Princeton, NJ: Princeton University Press. </w:t>
      </w:r>
    </w:p>
    <w:p w14:paraId="71D9B1B6" w14:textId="5F30E809" w:rsidR="008F6A2A" w:rsidRPr="007A49E1" w:rsidRDefault="008F6A2A" w:rsidP="0093381C">
      <w:pPr>
        <w:spacing w:line="480" w:lineRule="auto"/>
        <w:ind w:left="567" w:hanging="567"/>
        <w:rPr>
          <w:rStyle w:val="Emphasis"/>
          <w:rFonts w:eastAsia="Times New Roman"/>
          <w:bCs/>
          <w:i w:val="0"/>
          <w:iCs w:val="0"/>
          <w:color w:val="000000" w:themeColor="text1"/>
        </w:rPr>
      </w:pPr>
      <w:r w:rsidRPr="007A49E1">
        <w:rPr>
          <w:bCs/>
          <w:color w:val="000000" w:themeColor="text1"/>
        </w:rPr>
        <w:t>Sava, F. A., Maricu</w:t>
      </w:r>
      <w:r w:rsidRPr="007A49E1">
        <w:rPr>
          <w:rStyle w:val="Emphasis"/>
          <w:rFonts w:eastAsia="Times New Roman"/>
          <w:bCs/>
          <w:i w:val="0"/>
          <w:iCs w:val="0"/>
          <w:color w:val="000000" w:themeColor="text1"/>
        </w:rPr>
        <w:t xml:space="preserve">țoiu, L. P., Rusu, S., Macsinga, I., &amp; Vîrgā, D. (2011). Implicit and explicit self-esteem and irrational beliefs. </w:t>
      </w:r>
      <w:r w:rsidRPr="007A49E1">
        <w:rPr>
          <w:rStyle w:val="Emphasis"/>
          <w:rFonts w:eastAsia="Times New Roman"/>
          <w:bCs/>
          <w:iCs w:val="0"/>
          <w:color w:val="000000" w:themeColor="text1"/>
        </w:rPr>
        <w:t>Journal of Cognitive and Behavioral Psychotherapies</w:t>
      </w:r>
      <w:r w:rsidRPr="007A49E1">
        <w:rPr>
          <w:rStyle w:val="Emphasis"/>
          <w:rFonts w:eastAsia="Times New Roman"/>
          <w:bCs/>
          <w:i w:val="0"/>
          <w:iCs w:val="0"/>
          <w:color w:val="000000" w:themeColor="text1"/>
        </w:rPr>
        <w:t xml:space="preserve">, </w:t>
      </w:r>
      <w:r w:rsidRPr="007A49E1">
        <w:rPr>
          <w:rStyle w:val="Emphasis"/>
          <w:rFonts w:eastAsia="Times New Roman"/>
          <w:bCs/>
          <w:iCs w:val="0"/>
          <w:color w:val="000000" w:themeColor="text1"/>
        </w:rPr>
        <w:t>11</w:t>
      </w:r>
      <w:r w:rsidRPr="007A49E1">
        <w:rPr>
          <w:rStyle w:val="Emphasis"/>
          <w:rFonts w:eastAsia="Times New Roman"/>
          <w:bCs/>
          <w:i w:val="0"/>
          <w:iCs w:val="0"/>
          <w:color w:val="000000" w:themeColor="text1"/>
        </w:rPr>
        <w:t xml:space="preserve">, 97-111. </w:t>
      </w:r>
    </w:p>
    <w:p w14:paraId="06630A22" w14:textId="5CBDBA16" w:rsidR="008F6A2A" w:rsidRPr="007A49E1" w:rsidRDefault="008F6A2A" w:rsidP="0093381C">
      <w:pPr>
        <w:spacing w:line="480" w:lineRule="auto"/>
        <w:ind w:left="567" w:hanging="567"/>
      </w:pPr>
      <w:r w:rsidRPr="007A49E1">
        <w:t xml:space="preserve">Schmitt, D. P., &amp; Allik, J. (2005). Simultaneous administration of the Rosenberg Self-Esteem Scale in 53 nations: Exploring the universal and culture-specific features of global self-esteem. </w:t>
      </w:r>
      <w:r w:rsidRPr="007A49E1">
        <w:rPr>
          <w:i/>
        </w:rPr>
        <w:t>Journal of Personality and Social Psychology</w:t>
      </w:r>
      <w:r w:rsidRPr="007A49E1">
        <w:t xml:space="preserve">, </w:t>
      </w:r>
      <w:r w:rsidRPr="007A49E1">
        <w:rPr>
          <w:i/>
        </w:rPr>
        <w:t>89</w:t>
      </w:r>
      <w:r w:rsidRPr="007A49E1">
        <w:t>, 623-642. doi:10.1037/0022-3514.89.3.623</w:t>
      </w:r>
    </w:p>
    <w:p w14:paraId="23F6DD45" w14:textId="41C76CD6" w:rsidR="00F367DA" w:rsidRPr="007A49E1" w:rsidRDefault="00F367DA" w:rsidP="00F367DA">
      <w:pPr>
        <w:spacing w:line="480" w:lineRule="auto"/>
        <w:ind w:left="567" w:hanging="567"/>
        <w:rPr>
          <w:color w:val="000000" w:themeColor="text1"/>
        </w:rPr>
      </w:pPr>
      <w:r w:rsidRPr="007A49E1">
        <w:rPr>
          <w:color w:val="000000" w:themeColor="text1"/>
        </w:rPr>
        <w:t xml:space="preserve">Smolak, L., &amp; Cash, T. F. (2011). Future challenges for body image science, practice, and prevention. In T. F. Cash, &amp; L. Smolak (Eds.), </w:t>
      </w:r>
      <w:r w:rsidRPr="007A49E1">
        <w:rPr>
          <w:i/>
          <w:color w:val="000000" w:themeColor="text1"/>
        </w:rPr>
        <w:t>Body image: A handbook of science, practice, and prevention</w:t>
      </w:r>
      <w:r w:rsidRPr="007A49E1">
        <w:rPr>
          <w:color w:val="000000" w:themeColor="text1"/>
        </w:rPr>
        <w:t xml:space="preserve"> (2</w:t>
      </w:r>
      <w:r w:rsidRPr="007A49E1">
        <w:rPr>
          <w:color w:val="000000" w:themeColor="text1"/>
          <w:vertAlign w:val="superscript"/>
        </w:rPr>
        <w:t>nd</w:t>
      </w:r>
      <w:r w:rsidRPr="007A49E1">
        <w:rPr>
          <w:color w:val="000000" w:themeColor="text1"/>
        </w:rPr>
        <w:t xml:space="preserve"> ed., pp. 471-478). New York, NY: Guilford Press. </w:t>
      </w:r>
    </w:p>
    <w:p w14:paraId="600DD4AB" w14:textId="665CDAFA" w:rsidR="008D58D5" w:rsidRPr="007A49E1" w:rsidRDefault="008D58D5" w:rsidP="00F367DA">
      <w:pPr>
        <w:spacing w:line="480" w:lineRule="auto"/>
        <w:ind w:left="567" w:hanging="567"/>
        <w:rPr>
          <w:color w:val="000000" w:themeColor="text1"/>
        </w:rPr>
      </w:pPr>
      <w:r w:rsidRPr="007A49E1">
        <w:rPr>
          <w:color w:val="000000" w:themeColor="text1"/>
        </w:rPr>
        <w:t xml:space="preserve">Swami, V. (2008). Translation and validation of the Malay Subjective Happiness Scale. </w:t>
      </w:r>
      <w:r w:rsidRPr="007A49E1">
        <w:rPr>
          <w:i/>
          <w:color w:val="000000" w:themeColor="text1"/>
        </w:rPr>
        <w:t>Social Indicators Research</w:t>
      </w:r>
      <w:r w:rsidRPr="007A49E1">
        <w:rPr>
          <w:color w:val="000000" w:themeColor="text1"/>
        </w:rPr>
        <w:t xml:space="preserve">, </w:t>
      </w:r>
      <w:r w:rsidRPr="007A49E1">
        <w:rPr>
          <w:i/>
          <w:color w:val="000000" w:themeColor="text1"/>
        </w:rPr>
        <w:t>88</w:t>
      </w:r>
      <w:r w:rsidRPr="007A49E1">
        <w:rPr>
          <w:color w:val="000000" w:themeColor="text1"/>
        </w:rPr>
        <w:t>, 347-353. doi:10.1007/s11205-007-9195-2</w:t>
      </w:r>
    </w:p>
    <w:p w14:paraId="2383F201" w14:textId="3472DCB2" w:rsidR="000F5AFC" w:rsidRPr="007A49E1" w:rsidRDefault="000F5AFC" w:rsidP="000F5AFC">
      <w:pPr>
        <w:spacing w:line="480" w:lineRule="auto"/>
        <w:ind w:left="567" w:hanging="567"/>
      </w:pPr>
      <w:r w:rsidRPr="007A49E1">
        <w:t xml:space="preserve">Swami, V. (2017, forthcoming). Considering positive body image through the lens of culture and minority social identities. In C. Markey, E. Daniels, &amp; M. Gillen (Eds.), </w:t>
      </w:r>
      <w:r w:rsidRPr="007A49E1">
        <w:rPr>
          <w:i/>
        </w:rPr>
        <w:t>The body positive: Understanding and improving body image in science and practice</w:t>
      </w:r>
      <w:r w:rsidRPr="007A49E1">
        <w:t xml:space="preserve">. Cambridge: Cambridge University Press. </w:t>
      </w:r>
    </w:p>
    <w:p w14:paraId="0AEF2307" w14:textId="373762BC" w:rsidR="004F70C0" w:rsidRPr="007A49E1" w:rsidRDefault="004F70C0" w:rsidP="004F70C0">
      <w:pPr>
        <w:spacing w:line="480" w:lineRule="auto"/>
        <w:ind w:left="567" w:hanging="567"/>
        <w:rPr>
          <w:color w:val="000000" w:themeColor="text1"/>
          <w:shd w:val="clear" w:color="auto" w:fill="FFFFFF"/>
        </w:rPr>
      </w:pPr>
      <w:r w:rsidRPr="007A49E1">
        <w:rPr>
          <w:color w:val="000000" w:themeColor="text1"/>
          <w:shd w:val="clear" w:color="auto" w:fill="FFFFFF"/>
        </w:rPr>
        <w:lastRenderedPageBreak/>
        <w:t xml:space="preserve">Swami, V., Campana, A. N. N. B. C., Ferreira, L., Barrett, S., Harris, A. S., &amp; Tavares, M. C. G. C. F. (2011). The Acceptance of Cosmetic Surgery Scale: Initial examination of its factor structure and correlates among Brazilian adults.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8</w:t>
      </w:r>
      <w:r w:rsidRPr="007A49E1">
        <w:rPr>
          <w:color w:val="000000" w:themeColor="text1"/>
          <w:shd w:val="clear" w:color="auto" w:fill="FFFFFF"/>
        </w:rPr>
        <w:t>, 179-185. doi:10.1016/j.bodyim.2011.01.001</w:t>
      </w:r>
    </w:p>
    <w:p w14:paraId="6A300C34" w14:textId="4F1A11A8" w:rsidR="000F5AFC" w:rsidRPr="007A49E1" w:rsidRDefault="000F5AFC" w:rsidP="000F5AFC">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&amp; Chamorro-Premuzic, T. (2008). Factor structure of the Body Appreciation Scale among Malaysian women.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5</w:t>
      </w:r>
      <w:r w:rsidRPr="007A49E1">
        <w:rPr>
          <w:color w:val="000000" w:themeColor="text1"/>
          <w:shd w:val="clear" w:color="auto" w:fill="FFFFFF"/>
        </w:rPr>
        <w:t>, 409-413. doi:10.1016/j.bodyim.2008.004.005</w:t>
      </w:r>
    </w:p>
    <w:p w14:paraId="6D8D3E44" w14:textId="2444C789" w:rsidR="0088554F" w:rsidRPr="00FE6E96" w:rsidRDefault="0088554F" w:rsidP="0088554F">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García, A. A., &amp; Barron, D. (2017). </w:t>
      </w:r>
      <w:r w:rsidR="00FE6E96">
        <w:rPr>
          <w:color w:val="000000" w:themeColor="text1"/>
          <w:shd w:val="clear" w:color="auto" w:fill="FFFFFF"/>
        </w:rPr>
        <w:t>Factor structure</w:t>
      </w:r>
      <w:r w:rsidRPr="007A49E1">
        <w:rPr>
          <w:color w:val="000000" w:themeColor="text1"/>
          <w:shd w:val="clear" w:color="auto" w:fill="FFFFFF"/>
        </w:rPr>
        <w:t xml:space="preserve"> and psychometric properties</w:t>
      </w:r>
      <w:r w:rsidR="00FE6E96">
        <w:rPr>
          <w:color w:val="000000" w:themeColor="text1"/>
          <w:shd w:val="clear" w:color="auto" w:fill="FFFFFF"/>
        </w:rPr>
        <w:t xml:space="preserve"> of a Spanish translation</w:t>
      </w:r>
      <w:r w:rsidRPr="007A49E1">
        <w:rPr>
          <w:color w:val="000000" w:themeColor="text1"/>
          <w:shd w:val="clear" w:color="auto" w:fill="FFFFFF"/>
        </w:rPr>
        <w:t xml:space="preserve"> of the Body Appreciation Scale-2 (BAS-2). </w:t>
      </w:r>
      <w:r w:rsidR="00FE6E96">
        <w:rPr>
          <w:i/>
          <w:color w:val="000000" w:themeColor="text1"/>
          <w:shd w:val="clear" w:color="auto" w:fill="FFFFFF"/>
        </w:rPr>
        <w:t>Body Image</w:t>
      </w:r>
      <w:r w:rsidR="00FE6E96">
        <w:rPr>
          <w:color w:val="000000" w:themeColor="text1"/>
          <w:shd w:val="clear" w:color="auto" w:fill="FFFFFF"/>
        </w:rPr>
        <w:t xml:space="preserve">, </w:t>
      </w:r>
      <w:r w:rsidR="00FE6E96">
        <w:rPr>
          <w:i/>
          <w:color w:val="000000" w:themeColor="text1"/>
          <w:shd w:val="clear" w:color="auto" w:fill="FFFFFF"/>
        </w:rPr>
        <w:t>22</w:t>
      </w:r>
      <w:r w:rsidR="00FE6E96">
        <w:rPr>
          <w:color w:val="000000" w:themeColor="text1"/>
          <w:shd w:val="clear" w:color="auto" w:fill="FFFFFF"/>
        </w:rPr>
        <w:t>, 13-17.</w:t>
      </w:r>
    </w:p>
    <w:p w14:paraId="02374D0C" w14:textId="1970085A" w:rsidR="004F70C0" w:rsidRPr="007A49E1" w:rsidRDefault="004F70C0" w:rsidP="004F70C0">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Hwang, C.-S., &amp; Jung, J. (2012). Factor structure and correlates of the Acceptance of Cosmetic Surgery Scale among South Korean university students. </w:t>
      </w:r>
      <w:r w:rsidRPr="007A49E1">
        <w:rPr>
          <w:i/>
          <w:color w:val="000000" w:themeColor="text1"/>
          <w:shd w:val="clear" w:color="auto" w:fill="FFFFFF"/>
        </w:rPr>
        <w:t>Aesthetic Surgery Journal</w:t>
      </w:r>
      <w:r w:rsidRPr="007A49E1">
        <w:rPr>
          <w:color w:val="000000" w:themeColor="text1"/>
          <w:shd w:val="clear" w:color="auto" w:fill="FFFFFF"/>
        </w:rPr>
        <w:t xml:space="preserve">, </w:t>
      </w:r>
      <w:r w:rsidRPr="007A49E1">
        <w:rPr>
          <w:i/>
          <w:color w:val="000000" w:themeColor="text1"/>
          <w:shd w:val="clear" w:color="auto" w:fill="FFFFFF"/>
        </w:rPr>
        <w:t>32</w:t>
      </w:r>
      <w:r w:rsidRPr="007A49E1">
        <w:rPr>
          <w:color w:val="000000" w:themeColor="text1"/>
          <w:shd w:val="clear" w:color="auto" w:fill="FFFFFF"/>
        </w:rPr>
        <w:t>, 220-229. doi:10.1177/1090820X11431577</w:t>
      </w:r>
    </w:p>
    <w:p w14:paraId="689F93D2" w14:textId="3295DCBA" w:rsidR="004F70C0" w:rsidRPr="007A49E1" w:rsidRDefault="004F70C0" w:rsidP="004F70C0">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&amp; Jaafar. J. L. (2012). Factor structure of the Body Appreciation Scale among Indonesian women and men: Further evidence of a two-factor solution in a non-Western population.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9</w:t>
      </w:r>
      <w:r w:rsidRPr="007A49E1">
        <w:rPr>
          <w:color w:val="000000" w:themeColor="text1"/>
          <w:shd w:val="clear" w:color="auto" w:fill="FFFFFF"/>
        </w:rPr>
        <w:t>, 539-542. doi:10.1016/j.bodyim.2012.06.002</w:t>
      </w:r>
    </w:p>
    <w:p w14:paraId="7F7AEBCC" w14:textId="1CA8E6AD" w:rsidR="004F70C0" w:rsidRPr="007A49E1" w:rsidRDefault="004F70C0" w:rsidP="004F70C0">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Mada, R., &amp; Tovée, M. J. (2012). Weight discrepancy and body appreciation of Zimbabwean women in Zimbabwe and Britain.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9</w:t>
      </w:r>
      <w:r w:rsidRPr="007A49E1">
        <w:rPr>
          <w:color w:val="000000" w:themeColor="text1"/>
          <w:shd w:val="clear" w:color="auto" w:fill="FFFFFF"/>
        </w:rPr>
        <w:t>, 559-562. doi:10.1016/j.bodyim.2012.05.006</w:t>
      </w:r>
    </w:p>
    <w:p w14:paraId="35DDC807" w14:textId="3FB71008" w:rsidR="0088554F" w:rsidRPr="007A49E1" w:rsidRDefault="0088554F" w:rsidP="0088554F">
      <w:pPr>
        <w:tabs>
          <w:tab w:val="left" w:pos="284"/>
        </w:tabs>
        <w:spacing w:line="480" w:lineRule="auto"/>
        <w:ind w:left="567" w:hanging="567"/>
        <w:rPr>
          <w:color w:val="000000" w:themeColor="text1"/>
          <w:szCs w:val="26"/>
        </w:rPr>
      </w:pPr>
      <w:r w:rsidRPr="007A49E1">
        <w:rPr>
          <w:color w:val="000000" w:themeColor="text1"/>
          <w:szCs w:val="21"/>
        </w:rPr>
        <w:t xml:space="preserve">Swami, V., &amp; Ng, S.-K. (2015). Factor structure and psychometric properties of the Body Appreciation Scale-2 among adults in Hong Kong. </w:t>
      </w:r>
      <w:r w:rsidRPr="007A49E1">
        <w:rPr>
          <w:i/>
          <w:color w:val="000000" w:themeColor="text1"/>
          <w:szCs w:val="21"/>
        </w:rPr>
        <w:t>Body Image</w:t>
      </w:r>
      <w:r w:rsidRPr="007A49E1">
        <w:rPr>
          <w:color w:val="000000" w:themeColor="text1"/>
          <w:szCs w:val="21"/>
        </w:rPr>
        <w:t xml:space="preserve">, </w:t>
      </w:r>
      <w:r w:rsidRPr="007A49E1">
        <w:rPr>
          <w:i/>
          <w:color w:val="000000" w:themeColor="text1"/>
          <w:szCs w:val="21"/>
        </w:rPr>
        <w:t>15</w:t>
      </w:r>
      <w:r w:rsidRPr="007A49E1">
        <w:rPr>
          <w:color w:val="000000" w:themeColor="text1"/>
          <w:szCs w:val="21"/>
        </w:rPr>
        <w:t>, 68-71. doi:</w:t>
      </w:r>
      <w:r w:rsidRPr="007A49E1">
        <w:rPr>
          <w:color w:val="000000" w:themeColor="text1"/>
          <w:szCs w:val="26"/>
        </w:rPr>
        <w:t>10.1016/j.bodyim.2014.10.009</w:t>
      </w:r>
    </w:p>
    <w:p w14:paraId="061F3E6B" w14:textId="5708814D" w:rsidR="0088554F" w:rsidRPr="007A49E1" w:rsidRDefault="0088554F" w:rsidP="0088554F">
      <w:pPr>
        <w:tabs>
          <w:tab w:val="left" w:pos="284"/>
        </w:tabs>
        <w:spacing w:line="480" w:lineRule="auto"/>
        <w:ind w:left="567" w:hanging="567"/>
        <w:rPr>
          <w:color w:val="000000" w:themeColor="text1"/>
        </w:rPr>
      </w:pPr>
      <w:r w:rsidRPr="007A49E1">
        <w:rPr>
          <w:color w:val="000000" w:themeColor="text1"/>
          <w:szCs w:val="21"/>
        </w:rPr>
        <w:t xml:space="preserve">Swami, V., Ng, S.-K., &amp; Barron, D. (2016). Translation and psychometric evaluation of a </w:t>
      </w:r>
      <w:r w:rsidRPr="007A49E1">
        <w:rPr>
          <w:color w:val="000000" w:themeColor="text1"/>
        </w:rPr>
        <w:t xml:space="preserve">Standard Chinese version of the Body Appreciation Scale-2. </w:t>
      </w:r>
      <w:r w:rsidRPr="007A49E1">
        <w:rPr>
          <w:i/>
          <w:color w:val="000000" w:themeColor="text1"/>
        </w:rPr>
        <w:t>Body Image, 18</w:t>
      </w:r>
      <w:r w:rsidRPr="007A49E1">
        <w:rPr>
          <w:color w:val="000000" w:themeColor="text1"/>
        </w:rPr>
        <w:t>, 23-26. doi:10.1016/j.bodyim.2016.04.005</w:t>
      </w:r>
    </w:p>
    <w:p w14:paraId="11CAA248" w14:textId="77777777" w:rsidR="000F5AFC" w:rsidRPr="007A49E1" w:rsidRDefault="000F5AFC" w:rsidP="000F5AFC">
      <w:pPr>
        <w:spacing w:line="480" w:lineRule="auto"/>
        <w:ind w:left="567" w:hanging="567"/>
        <w:rPr>
          <w:color w:val="000000" w:themeColor="text1"/>
          <w:shd w:val="clear" w:color="auto" w:fill="FFFFFF"/>
        </w:rPr>
      </w:pPr>
      <w:r w:rsidRPr="007A49E1">
        <w:rPr>
          <w:color w:val="000000" w:themeColor="text1"/>
          <w:shd w:val="clear" w:color="auto" w:fill="FFFFFF"/>
        </w:rPr>
        <w:lastRenderedPageBreak/>
        <w:t xml:space="preserve">Swami, V., Özgen, L., Gökçen, E., &amp; Petrides, K. V. (2015). Body image among female university students in Turkey: Concurrent translation and validation of three body image measures. </w:t>
      </w:r>
      <w:r w:rsidRPr="007A49E1">
        <w:rPr>
          <w:i/>
          <w:color w:val="000000" w:themeColor="text1"/>
          <w:shd w:val="clear" w:color="auto" w:fill="FFFFFF"/>
        </w:rPr>
        <w:t>International Journal of Culture and Mental Health</w:t>
      </w:r>
      <w:r w:rsidRPr="007A49E1">
        <w:rPr>
          <w:color w:val="000000" w:themeColor="text1"/>
          <w:shd w:val="clear" w:color="auto" w:fill="FFFFFF"/>
        </w:rPr>
        <w:t xml:space="preserve">, </w:t>
      </w:r>
      <w:r w:rsidRPr="007A49E1">
        <w:rPr>
          <w:i/>
          <w:color w:val="000000" w:themeColor="text1"/>
          <w:shd w:val="clear" w:color="auto" w:fill="FFFFFF"/>
        </w:rPr>
        <w:t>8</w:t>
      </w:r>
      <w:r w:rsidRPr="007A49E1">
        <w:rPr>
          <w:color w:val="000000" w:themeColor="text1"/>
          <w:shd w:val="clear" w:color="auto" w:fill="FFFFFF"/>
        </w:rPr>
        <w:t>, 176-191. doi:10.1080/17542863.2014.917117</w:t>
      </w:r>
    </w:p>
    <w:p w14:paraId="08B9C5DD" w14:textId="77777777" w:rsidR="004F70C0" w:rsidRPr="007A49E1" w:rsidRDefault="000F5AFC" w:rsidP="004F70C0">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Stieger, S., Haubner, T., &amp; Voracek, M. (2008). German translation and psychometric evaluation of the Body Appreciation Scale.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5</w:t>
      </w:r>
      <w:r w:rsidRPr="007A49E1">
        <w:rPr>
          <w:color w:val="000000" w:themeColor="text1"/>
          <w:shd w:val="clear" w:color="auto" w:fill="FFFFFF"/>
        </w:rPr>
        <w:t>, 122-127. doi:10.1016/j.bodyim.2007.10.002</w:t>
      </w:r>
    </w:p>
    <w:p w14:paraId="13499ACA" w14:textId="5C29C09A" w:rsidR="008D58D5" w:rsidRPr="007A49E1" w:rsidRDefault="008D58D5" w:rsidP="004F70C0">
      <w:pPr>
        <w:spacing w:line="480" w:lineRule="auto"/>
        <w:ind w:left="567" w:hanging="567"/>
        <w:rPr>
          <w:color w:val="000000" w:themeColor="text1"/>
          <w:shd w:val="clear" w:color="auto" w:fill="FFFFFF"/>
        </w:rPr>
      </w:pPr>
      <w:r w:rsidRPr="007A49E1">
        <w:rPr>
          <w:color w:val="000000" w:themeColor="text1"/>
          <w:shd w:val="clear" w:color="auto" w:fill="FFFFFF"/>
        </w:rPr>
        <w:t xml:space="preserve">Swami, V., Stieger, S., Voracek, M., Dressler, S. G., Eisma, L., &amp; Furnham, A. (2009). Psychometric evaluation of the Tagalog and German Subjective Happiness Scales and a cross-cultural comparison. </w:t>
      </w:r>
      <w:r w:rsidRPr="007A49E1">
        <w:rPr>
          <w:i/>
          <w:color w:val="000000" w:themeColor="text1"/>
          <w:shd w:val="clear" w:color="auto" w:fill="FFFFFF"/>
        </w:rPr>
        <w:t>Social Indicators Research</w:t>
      </w:r>
      <w:r w:rsidRPr="007A49E1">
        <w:rPr>
          <w:color w:val="000000" w:themeColor="text1"/>
          <w:shd w:val="clear" w:color="auto" w:fill="FFFFFF"/>
        </w:rPr>
        <w:t xml:space="preserve">, </w:t>
      </w:r>
      <w:r w:rsidRPr="007A49E1">
        <w:rPr>
          <w:i/>
          <w:color w:val="000000" w:themeColor="text1"/>
          <w:shd w:val="clear" w:color="auto" w:fill="FFFFFF"/>
        </w:rPr>
        <w:t>93</w:t>
      </w:r>
      <w:r w:rsidRPr="007A49E1">
        <w:rPr>
          <w:color w:val="000000" w:themeColor="text1"/>
          <w:shd w:val="clear" w:color="auto" w:fill="FFFFFF"/>
        </w:rPr>
        <w:t>, 393-406. doi:10.1007/s11205-008-9331-7</w:t>
      </w:r>
    </w:p>
    <w:p w14:paraId="0F21644D" w14:textId="77777777" w:rsidR="005B49F9" w:rsidRPr="007A49E1" w:rsidRDefault="005B49F9" w:rsidP="005B49F9">
      <w:pPr>
        <w:spacing w:line="480" w:lineRule="auto"/>
        <w:ind w:left="567" w:hanging="567"/>
        <w:rPr>
          <w:color w:val="000000"/>
          <w:shd w:val="clear" w:color="auto" w:fill="FFFFFF"/>
        </w:rPr>
      </w:pPr>
      <w:r w:rsidRPr="007A49E1">
        <w:rPr>
          <w:color w:val="000000"/>
          <w:shd w:val="clear" w:color="auto" w:fill="FFFFFF"/>
        </w:rPr>
        <w:t xml:space="preserve">Tabachnick, B. G., &amp; Fidell, L. S. (2013). </w:t>
      </w:r>
      <w:r w:rsidRPr="007A49E1">
        <w:rPr>
          <w:i/>
          <w:color w:val="000000"/>
          <w:shd w:val="clear" w:color="auto" w:fill="FFFFFF"/>
        </w:rPr>
        <w:t>Using multivariate statistics</w:t>
      </w:r>
      <w:r w:rsidRPr="007A49E1">
        <w:rPr>
          <w:color w:val="000000"/>
          <w:shd w:val="clear" w:color="auto" w:fill="FFFFFF"/>
        </w:rPr>
        <w:t xml:space="preserve"> (6</w:t>
      </w:r>
      <w:r w:rsidRPr="007A49E1">
        <w:rPr>
          <w:color w:val="000000"/>
          <w:shd w:val="clear" w:color="auto" w:fill="FFFFFF"/>
          <w:vertAlign w:val="superscript"/>
        </w:rPr>
        <w:t>th</w:t>
      </w:r>
      <w:r w:rsidRPr="007A49E1">
        <w:rPr>
          <w:color w:val="000000"/>
          <w:shd w:val="clear" w:color="auto" w:fill="FFFFFF"/>
        </w:rPr>
        <w:t xml:space="preserve"> ed.). New York, NY: Pearson.</w:t>
      </w:r>
    </w:p>
    <w:p w14:paraId="6646E222" w14:textId="77777777" w:rsidR="00C17170" w:rsidRPr="007A49E1" w:rsidRDefault="004F70C0" w:rsidP="00C17170">
      <w:pPr>
        <w:spacing w:line="480" w:lineRule="auto"/>
        <w:ind w:left="567" w:hanging="567"/>
        <w:rPr>
          <w:iCs/>
        </w:rPr>
      </w:pPr>
      <w:r w:rsidRPr="007A49E1">
        <w:rPr>
          <w:iCs/>
        </w:rPr>
        <w:t xml:space="preserve">Taylor, D., Szpakowska, I., &amp; Swami, V. (2013). Weight discrepancy and body appreciation among women in Poland and Britain. </w:t>
      </w:r>
      <w:r w:rsidRPr="007A49E1">
        <w:rPr>
          <w:i/>
          <w:iCs/>
        </w:rPr>
        <w:t>Body Image</w:t>
      </w:r>
      <w:r w:rsidRPr="007A49E1">
        <w:rPr>
          <w:iCs/>
        </w:rPr>
        <w:t xml:space="preserve">, </w:t>
      </w:r>
      <w:r w:rsidRPr="007A49E1">
        <w:rPr>
          <w:i/>
          <w:iCs/>
        </w:rPr>
        <w:t>10</w:t>
      </w:r>
      <w:r w:rsidRPr="007A49E1">
        <w:rPr>
          <w:iCs/>
        </w:rPr>
        <w:t>, 628-631.</w:t>
      </w:r>
      <w:r w:rsidR="00A7419C" w:rsidRPr="007A49E1">
        <w:rPr>
          <w:iCs/>
        </w:rPr>
        <w:t xml:space="preserve"> doi:10.1016/j.bodyim.2013.07.008</w:t>
      </w:r>
    </w:p>
    <w:p w14:paraId="1288390E" w14:textId="485EB119" w:rsidR="0093381C" w:rsidRPr="007A49E1" w:rsidRDefault="00C17170" w:rsidP="0093381C">
      <w:pPr>
        <w:spacing w:line="480" w:lineRule="auto"/>
        <w:ind w:left="567" w:hanging="567"/>
        <w:rPr>
          <w:rFonts w:eastAsia="Times New Roman"/>
        </w:rPr>
      </w:pPr>
      <w:r w:rsidRPr="007A49E1">
        <w:rPr>
          <w:iCs/>
        </w:rPr>
        <w:t xml:space="preserve">Tomsa, R., Istfan, N., Jenaro C., Flores, N., &amp; Bermejo, M. B. (2012). </w:t>
      </w:r>
      <w:r w:rsidRPr="007A49E1">
        <w:t xml:space="preserve">Body Image Screening Questionnaire for eating disorder early detection: A Romanian replication. </w:t>
      </w:r>
      <w:r w:rsidRPr="007A49E1">
        <w:rPr>
          <w:i/>
        </w:rPr>
        <w:t>Procedia</w:t>
      </w:r>
      <w:r w:rsidR="00C8612B">
        <w:rPr>
          <w:i/>
        </w:rPr>
        <w:t xml:space="preserve"> – Social and Behavioral Sciences</w:t>
      </w:r>
      <w:r w:rsidRPr="007A49E1">
        <w:t xml:space="preserve">, </w:t>
      </w:r>
      <w:r w:rsidRPr="007A49E1">
        <w:rPr>
          <w:i/>
        </w:rPr>
        <w:t>33</w:t>
      </w:r>
      <w:r w:rsidRPr="007A49E1">
        <w:t>, 423-427.</w:t>
      </w:r>
      <w:r w:rsidR="0093381C" w:rsidRPr="007A49E1">
        <w:t xml:space="preserve"> doi:10.1016/j.sbspro.2012.01.156</w:t>
      </w:r>
    </w:p>
    <w:p w14:paraId="0B816150" w14:textId="485E2CDC" w:rsidR="00F367DA" w:rsidRPr="007A49E1" w:rsidRDefault="00F367DA" w:rsidP="00C17170">
      <w:pPr>
        <w:spacing w:line="480" w:lineRule="auto"/>
        <w:ind w:left="567" w:hanging="567"/>
        <w:rPr>
          <w:iCs/>
        </w:rPr>
      </w:pPr>
      <w:r w:rsidRPr="007A49E1">
        <w:rPr>
          <w:rFonts w:eastAsia="Times New Roman"/>
          <w:color w:val="000000"/>
          <w:shd w:val="clear" w:color="auto" w:fill="FFFFFF"/>
        </w:rPr>
        <w:t xml:space="preserve">Tylka, T. L. (2012). Positive psychology perspectives on body image. In T. F. Cash (Ed.), </w:t>
      </w:r>
      <w:r w:rsidRPr="007A49E1">
        <w:rPr>
          <w:rFonts w:eastAsia="Times New Roman"/>
          <w:i/>
          <w:color w:val="000000"/>
          <w:shd w:val="clear" w:color="auto" w:fill="FFFFFF"/>
        </w:rPr>
        <w:t xml:space="preserve">Encyclopedia of body image and human appearance, Volume 2 </w:t>
      </w:r>
      <w:r w:rsidRPr="007A49E1">
        <w:rPr>
          <w:rFonts w:eastAsia="Times New Roman"/>
          <w:color w:val="000000"/>
          <w:shd w:val="clear" w:color="auto" w:fill="FFFFFF"/>
        </w:rPr>
        <w:t>(pp. 657-663). London: Elsevier. doi:10.1016/B978-0-12-384826-7.001040-3</w:t>
      </w:r>
    </w:p>
    <w:p w14:paraId="6451D15A" w14:textId="7928979C" w:rsidR="007560D7" w:rsidRPr="007A49E1" w:rsidRDefault="007560D7" w:rsidP="007560D7">
      <w:pPr>
        <w:spacing w:line="480" w:lineRule="auto"/>
        <w:ind w:left="567" w:hanging="567"/>
        <w:rPr>
          <w:color w:val="000000" w:themeColor="text1"/>
          <w:shd w:val="clear" w:color="auto" w:fill="FFFFFF"/>
        </w:rPr>
      </w:pPr>
      <w:r w:rsidRPr="007A49E1">
        <w:rPr>
          <w:color w:val="000000" w:themeColor="text1"/>
          <w:shd w:val="clear" w:color="auto" w:fill="FFFFFF"/>
        </w:rPr>
        <w:t xml:space="preserve">Tylka, T. L. (2013). Evidence for the Body Appreciation Scale’s measurement equivalence/invariance between U.S. college women and men.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10</w:t>
      </w:r>
      <w:r w:rsidRPr="007A49E1">
        <w:rPr>
          <w:color w:val="000000" w:themeColor="text1"/>
          <w:shd w:val="clear" w:color="auto" w:fill="FFFFFF"/>
        </w:rPr>
        <w:t>, 415-418. doi:10.1016/j.bodyim.2013.02.006</w:t>
      </w:r>
    </w:p>
    <w:p w14:paraId="17531C15" w14:textId="77777777" w:rsidR="00F367DA" w:rsidRPr="007A49E1" w:rsidRDefault="00F367DA" w:rsidP="00F367DA">
      <w:pPr>
        <w:spacing w:line="480" w:lineRule="auto"/>
        <w:ind w:left="567" w:hanging="567"/>
        <w:rPr>
          <w:color w:val="000000" w:themeColor="text1"/>
        </w:rPr>
      </w:pPr>
      <w:r w:rsidRPr="007A49E1">
        <w:rPr>
          <w:color w:val="000000" w:themeColor="text1"/>
          <w:shd w:val="clear" w:color="auto" w:fill="FFFFFF"/>
        </w:rPr>
        <w:lastRenderedPageBreak/>
        <w:t xml:space="preserve">Tylka, T. L., &amp; Wood-Barcalow, N. L. (2015a). What is and what is not positive body image? Conceptual foundations and construct definition. </w:t>
      </w:r>
      <w:r w:rsidRPr="007A49E1">
        <w:rPr>
          <w:i/>
          <w:color w:val="000000" w:themeColor="text1"/>
          <w:shd w:val="clear" w:color="auto" w:fill="FFFFFF"/>
        </w:rPr>
        <w:t>Body Image</w:t>
      </w:r>
      <w:r w:rsidRPr="007A49E1">
        <w:rPr>
          <w:color w:val="000000" w:themeColor="text1"/>
          <w:shd w:val="clear" w:color="auto" w:fill="FFFFFF"/>
        </w:rPr>
        <w:t xml:space="preserve">, </w:t>
      </w:r>
      <w:r w:rsidRPr="007A49E1">
        <w:rPr>
          <w:i/>
          <w:color w:val="000000" w:themeColor="text1"/>
          <w:shd w:val="clear" w:color="auto" w:fill="FFFFFF"/>
        </w:rPr>
        <w:t>14</w:t>
      </w:r>
      <w:r w:rsidRPr="007A49E1">
        <w:rPr>
          <w:color w:val="000000" w:themeColor="text1"/>
          <w:shd w:val="clear" w:color="auto" w:fill="FFFFFF"/>
        </w:rPr>
        <w:t>, 118-129. doi:</w:t>
      </w:r>
      <w:r w:rsidRPr="007A49E1">
        <w:rPr>
          <w:color w:val="000000" w:themeColor="text1"/>
        </w:rPr>
        <w:t xml:space="preserve">10.1016/j.bodyim.2015.04.001 </w:t>
      </w:r>
    </w:p>
    <w:p w14:paraId="6A68FD9C" w14:textId="77777777" w:rsidR="00F367DA" w:rsidRPr="007A49E1" w:rsidRDefault="00F367DA" w:rsidP="00F367DA">
      <w:pPr>
        <w:spacing w:line="480" w:lineRule="auto"/>
        <w:ind w:left="567" w:hanging="567"/>
        <w:rPr>
          <w:color w:val="000000" w:themeColor="text1"/>
        </w:rPr>
      </w:pPr>
      <w:r w:rsidRPr="007A49E1">
        <w:rPr>
          <w:color w:val="000000" w:themeColor="text1"/>
        </w:rPr>
        <w:t xml:space="preserve">Tylka, T. L., &amp; Wood-Barcalow, N. L. (2015b). The Body Appreciation Scale-2: Item refinement and psychometric evaluation. </w:t>
      </w:r>
      <w:r w:rsidRPr="007A49E1">
        <w:rPr>
          <w:i/>
          <w:color w:val="000000" w:themeColor="text1"/>
        </w:rPr>
        <w:t>Body Image</w:t>
      </w:r>
      <w:r w:rsidRPr="007A49E1">
        <w:rPr>
          <w:color w:val="000000" w:themeColor="text1"/>
        </w:rPr>
        <w:t xml:space="preserve">, </w:t>
      </w:r>
      <w:r w:rsidRPr="007A49E1">
        <w:rPr>
          <w:i/>
          <w:color w:val="000000" w:themeColor="text1"/>
        </w:rPr>
        <w:t>12</w:t>
      </w:r>
      <w:r w:rsidRPr="007A49E1">
        <w:rPr>
          <w:color w:val="000000" w:themeColor="text1"/>
        </w:rPr>
        <w:t>, 53-67. doi:10.1016/j.bodyim.2014.09.006</w:t>
      </w:r>
    </w:p>
    <w:p w14:paraId="423C11BF" w14:textId="510F9D75" w:rsidR="008D5542" w:rsidRPr="007A49E1" w:rsidRDefault="008D5542" w:rsidP="00F367DA">
      <w:pPr>
        <w:spacing w:line="480" w:lineRule="auto"/>
        <w:ind w:left="567" w:hanging="567"/>
        <w:rPr>
          <w:color w:val="000000" w:themeColor="text1"/>
        </w:rPr>
      </w:pPr>
      <w:r w:rsidRPr="007A49E1">
        <w:rPr>
          <w:color w:val="000000" w:themeColor="text1"/>
        </w:rPr>
        <w:t xml:space="preserve">Ulijaszek, S. J., &amp; Koziel, S. (2007). Nutrition transition and dietary energy availability in Eastern Europe after the collapse of communism. </w:t>
      </w:r>
      <w:r w:rsidRPr="007A49E1">
        <w:rPr>
          <w:i/>
          <w:color w:val="000000" w:themeColor="text1"/>
        </w:rPr>
        <w:t>Economics and Human Biology</w:t>
      </w:r>
      <w:r w:rsidRPr="007A49E1">
        <w:rPr>
          <w:color w:val="000000" w:themeColor="text1"/>
        </w:rPr>
        <w:t xml:space="preserve">, </w:t>
      </w:r>
      <w:r w:rsidRPr="007A49E1">
        <w:rPr>
          <w:i/>
          <w:color w:val="000000" w:themeColor="text1"/>
        </w:rPr>
        <w:t>5</w:t>
      </w:r>
      <w:r w:rsidRPr="007A49E1">
        <w:rPr>
          <w:color w:val="000000" w:themeColor="text1"/>
        </w:rPr>
        <w:t>, 359-369. doi:10.1016/j.ehb.2007.08.007</w:t>
      </w:r>
    </w:p>
    <w:p w14:paraId="75146F5E" w14:textId="75DE55C4" w:rsidR="00E35BBF" w:rsidRPr="007A49E1" w:rsidRDefault="000F5AFC" w:rsidP="00F367DA">
      <w:pPr>
        <w:spacing w:line="480" w:lineRule="auto"/>
        <w:ind w:left="567" w:hanging="567"/>
        <w:rPr>
          <w:shd w:val="clear" w:color="auto" w:fill="FFFFFF"/>
        </w:rPr>
      </w:pPr>
      <w:r w:rsidRPr="007A49E1">
        <w:rPr>
          <w:shd w:val="clear" w:color="auto" w:fill="FFFFFF"/>
        </w:rPr>
        <w:t xml:space="preserve">Webb, J. B., Wood-Barcalow, N. L., &amp; Tylka, T. L. (2015). Assessing positive body image: Contemporary approaches and future directions. </w:t>
      </w:r>
      <w:r w:rsidRPr="007A49E1">
        <w:rPr>
          <w:i/>
          <w:shd w:val="clear" w:color="auto" w:fill="FFFFFF"/>
        </w:rPr>
        <w:t>Body Image</w:t>
      </w:r>
      <w:r w:rsidRPr="007A49E1">
        <w:rPr>
          <w:shd w:val="clear" w:color="auto" w:fill="FFFFFF"/>
        </w:rPr>
        <w:t xml:space="preserve">, </w:t>
      </w:r>
      <w:r w:rsidRPr="007A49E1">
        <w:rPr>
          <w:i/>
          <w:shd w:val="clear" w:color="auto" w:fill="FFFFFF"/>
        </w:rPr>
        <w:t>14</w:t>
      </w:r>
      <w:r w:rsidRPr="007A49E1">
        <w:rPr>
          <w:shd w:val="clear" w:color="auto" w:fill="FFFFFF"/>
        </w:rPr>
        <w:t>, 130-145. doi:10.1016/j.bodyim.2015.03.010</w:t>
      </w:r>
    </w:p>
    <w:p w14:paraId="4A57720F" w14:textId="77777777" w:rsidR="006325F8" w:rsidRPr="007A49E1" w:rsidRDefault="006325F8" w:rsidP="006325F8">
      <w:pPr>
        <w:spacing w:line="480" w:lineRule="auto"/>
        <w:ind w:left="567" w:hanging="567"/>
        <w:rPr>
          <w:color w:val="000000" w:themeColor="text1"/>
        </w:rPr>
      </w:pPr>
      <w:r w:rsidRPr="007A49E1">
        <w:rPr>
          <w:color w:val="000000" w:themeColor="text1"/>
        </w:rPr>
        <w:t xml:space="preserve">Wood-Barcalow, N. L., Tylka, T. L., &amp; Augustus-Horvath, C. L. (2010). “But I like my body”: Positive body image characteristics and a holistic model for young-adult women. </w:t>
      </w:r>
      <w:r w:rsidRPr="007A49E1">
        <w:rPr>
          <w:i/>
          <w:color w:val="000000" w:themeColor="text1"/>
        </w:rPr>
        <w:t>Body Image</w:t>
      </w:r>
      <w:r w:rsidRPr="007A49E1">
        <w:rPr>
          <w:color w:val="000000" w:themeColor="text1"/>
        </w:rPr>
        <w:t xml:space="preserve">, </w:t>
      </w:r>
      <w:r w:rsidRPr="007A49E1">
        <w:rPr>
          <w:i/>
          <w:color w:val="000000" w:themeColor="text1"/>
        </w:rPr>
        <w:t>7</w:t>
      </w:r>
      <w:r w:rsidRPr="007A49E1">
        <w:rPr>
          <w:color w:val="000000" w:themeColor="text1"/>
        </w:rPr>
        <w:t>, 106-116. doi:10.1016/j.bodyim.2010.01.001</w:t>
      </w:r>
    </w:p>
    <w:p w14:paraId="64AC8AD8" w14:textId="77777777" w:rsidR="006325F8" w:rsidRPr="007A49E1" w:rsidRDefault="006325F8" w:rsidP="00F367DA">
      <w:pPr>
        <w:spacing w:line="480" w:lineRule="auto"/>
        <w:ind w:left="567" w:hanging="567"/>
        <w:rPr>
          <w:shd w:val="clear" w:color="auto" w:fill="FFFFFF"/>
        </w:rPr>
      </w:pPr>
    </w:p>
    <w:p w14:paraId="6D8D43DA" w14:textId="77777777" w:rsidR="00E35BBF" w:rsidRPr="007A49E1" w:rsidRDefault="00E35BBF">
      <w:pPr>
        <w:rPr>
          <w:shd w:val="clear" w:color="auto" w:fill="FFFFFF"/>
        </w:rPr>
      </w:pPr>
      <w:r w:rsidRPr="007A49E1">
        <w:rPr>
          <w:shd w:val="clear" w:color="auto" w:fill="FFFFFF"/>
        </w:rPr>
        <w:br w:type="page"/>
      </w:r>
    </w:p>
    <w:p w14:paraId="3F6A228E" w14:textId="77777777" w:rsidR="00E35BBF" w:rsidRPr="007A49E1" w:rsidRDefault="00E35BBF" w:rsidP="00E35BBF">
      <w:pPr>
        <w:spacing w:line="480" w:lineRule="auto"/>
        <w:rPr>
          <w:bCs/>
        </w:rPr>
        <w:sectPr w:rsidR="00E35BBF" w:rsidRPr="007A49E1" w:rsidSect="004B300D">
          <w:headerReference w:type="even" r:id="rId7"/>
          <w:headerReference w:type="default" r:id="rId8"/>
          <w:pgSz w:w="11900" w:h="16840"/>
          <w:pgMar w:top="1440" w:right="1440" w:bottom="1440" w:left="1440" w:header="720" w:footer="720" w:gutter="0"/>
          <w:cols w:space="720"/>
          <w:titlePg/>
          <w:docGrid w:linePitch="360"/>
        </w:sectPr>
      </w:pPr>
    </w:p>
    <w:p w14:paraId="088ACD73" w14:textId="429801AE" w:rsidR="00E35BBF" w:rsidRPr="007A49E1" w:rsidRDefault="00E35BBF" w:rsidP="00E35BBF">
      <w:pPr>
        <w:spacing w:line="480" w:lineRule="auto"/>
      </w:pPr>
      <w:r w:rsidRPr="007A49E1">
        <w:rPr>
          <w:bCs/>
        </w:rPr>
        <w:lastRenderedPageBreak/>
        <w:t xml:space="preserve">Table 1. </w:t>
      </w:r>
      <w:r w:rsidRPr="007A49E1">
        <w:rPr>
          <w:i/>
        </w:rPr>
        <w:t>Items of the Body Appreciation Scales-2 in English and Romanian (Italics), Descriptive Statistics for Women</w:t>
      </w:r>
      <w:r w:rsidR="005A16BC">
        <w:rPr>
          <w:i/>
        </w:rPr>
        <w:t xml:space="preserve"> (n = 100)</w:t>
      </w:r>
      <w:r w:rsidRPr="007A49E1">
        <w:rPr>
          <w:i/>
        </w:rPr>
        <w:t xml:space="preserve"> and Men</w:t>
      </w:r>
      <w:r w:rsidR="005A16BC">
        <w:rPr>
          <w:i/>
        </w:rPr>
        <w:t xml:space="preserve"> (n = 100)</w:t>
      </w:r>
      <w:r w:rsidRPr="007A49E1">
        <w:rPr>
          <w:i/>
        </w:rPr>
        <w:t>, and Item-Factor L</w:t>
      </w:r>
      <w:r w:rsidR="00D43A86">
        <w:rPr>
          <w:i/>
        </w:rPr>
        <w:t xml:space="preserve">oadings in the First </w:t>
      </w:r>
      <w:r w:rsidR="005A16BC">
        <w:rPr>
          <w:i/>
        </w:rPr>
        <w:t>Sub</w:t>
      </w:r>
      <w:r w:rsidR="005A16BC">
        <w:rPr>
          <w:i/>
          <w:color w:val="000000" w:themeColor="text1"/>
        </w:rPr>
        <w:t>s</w:t>
      </w:r>
      <w:r w:rsidRPr="00653148">
        <w:rPr>
          <w:i/>
          <w:color w:val="000000" w:themeColor="text1"/>
        </w:rPr>
        <w:t>ample</w:t>
      </w:r>
      <w:r w:rsidR="005A16BC">
        <w:rPr>
          <w: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469"/>
        <w:gridCol w:w="1276"/>
        <w:gridCol w:w="1276"/>
        <w:gridCol w:w="1233"/>
      </w:tblGrid>
      <w:tr w:rsidR="00E35BBF" w:rsidRPr="007A49E1" w14:paraId="4448E5DD" w14:textId="77777777" w:rsidTr="00F62C62">
        <w:tc>
          <w:tcPr>
            <w:tcW w:w="7740" w:type="dxa"/>
            <w:tcBorders>
              <w:top w:val="single" w:sz="4" w:space="0" w:color="auto"/>
            </w:tcBorders>
          </w:tcPr>
          <w:p w14:paraId="6BE10F7C" w14:textId="77777777" w:rsidR="00E35BBF" w:rsidRPr="007A49E1" w:rsidRDefault="00E35BBF" w:rsidP="005140C1">
            <w:pPr>
              <w:spacing w:line="480" w:lineRule="auto"/>
              <w:rPr>
                <w:sz w:val="24"/>
                <w:szCs w:val="24"/>
                <w:lang w:val="en-GB"/>
              </w:rPr>
            </w:pPr>
            <w:r w:rsidRPr="007A49E1">
              <w:rPr>
                <w:sz w:val="24"/>
                <w:szCs w:val="24"/>
                <w:lang w:val="en-GB"/>
              </w:rPr>
              <w:t>Item</w:t>
            </w:r>
          </w:p>
        </w:tc>
        <w:tc>
          <w:tcPr>
            <w:tcW w:w="2745" w:type="dxa"/>
            <w:gridSpan w:val="2"/>
            <w:tcBorders>
              <w:top w:val="single" w:sz="4" w:space="0" w:color="auto"/>
              <w:bottom w:val="single" w:sz="4" w:space="0" w:color="auto"/>
            </w:tcBorders>
          </w:tcPr>
          <w:p w14:paraId="341BFE0F" w14:textId="77F1EC83" w:rsidR="00E35BBF" w:rsidRPr="007A49E1" w:rsidRDefault="00E35BBF" w:rsidP="00653148">
            <w:pPr>
              <w:spacing w:line="480" w:lineRule="auto"/>
              <w:rPr>
                <w:i/>
                <w:sz w:val="24"/>
                <w:szCs w:val="24"/>
                <w:lang w:val="en-GB"/>
              </w:rPr>
            </w:pPr>
            <w:r w:rsidRPr="007A49E1">
              <w:rPr>
                <w:sz w:val="24"/>
                <w:szCs w:val="24"/>
                <w:lang w:val="en-GB"/>
              </w:rPr>
              <w:t xml:space="preserve">Female </w:t>
            </w:r>
            <w:r w:rsidR="005A16BC">
              <w:rPr>
                <w:sz w:val="24"/>
                <w:szCs w:val="24"/>
                <w:lang w:val="en-GB"/>
              </w:rPr>
              <w:t>sub</w:t>
            </w:r>
            <w:r w:rsidRPr="007A49E1">
              <w:rPr>
                <w:sz w:val="24"/>
                <w:szCs w:val="24"/>
                <w:lang w:val="en-GB"/>
              </w:rPr>
              <w:t>sample</w:t>
            </w:r>
          </w:p>
        </w:tc>
        <w:tc>
          <w:tcPr>
            <w:tcW w:w="2509" w:type="dxa"/>
            <w:gridSpan w:val="2"/>
            <w:tcBorders>
              <w:top w:val="single" w:sz="4" w:space="0" w:color="auto"/>
              <w:bottom w:val="single" w:sz="4" w:space="0" w:color="auto"/>
            </w:tcBorders>
          </w:tcPr>
          <w:p w14:paraId="30EE6296" w14:textId="2730DDA5" w:rsidR="00E35BBF" w:rsidRPr="007A49E1" w:rsidRDefault="00E35BBF" w:rsidP="00E35BBF">
            <w:pPr>
              <w:spacing w:line="480" w:lineRule="auto"/>
              <w:rPr>
                <w:sz w:val="24"/>
                <w:szCs w:val="24"/>
                <w:lang w:val="en-GB"/>
              </w:rPr>
            </w:pPr>
            <w:r w:rsidRPr="007A49E1">
              <w:rPr>
                <w:sz w:val="24"/>
                <w:szCs w:val="24"/>
                <w:lang w:val="en-GB"/>
              </w:rPr>
              <w:t xml:space="preserve">Male </w:t>
            </w:r>
            <w:r w:rsidR="005A16BC">
              <w:rPr>
                <w:sz w:val="24"/>
                <w:szCs w:val="24"/>
                <w:lang w:val="en-GB"/>
              </w:rPr>
              <w:t>sub</w:t>
            </w:r>
            <w:r w:rsidRPr="007A49E1">
              <w:rPr>
                <w:sz w:val="24"/>
                <w:szCs w:val="24"/>
                <w:lang w:val="en-GB"/>
              </w:rPr>
              <w:t>sample</w:t>
            </w:r>
          </w:p>
        </w:tc>
      </w:tr>
      <w:tr w:rsidR="00E35BBF" w:rsidRPr="007A49E1" w14:paraId="52978D18" w14:textId="77777777" w:rsidTr="00F62C62">
        <w:tc>
          <w:tcPr>
            <w:tcW w:w="7740" w:type="dxa"/>
            <w:tcBorders>
              <w:bottom w:val="single" w:sz="4" w:space="0" w:color="auto"/>
            </w:tcBorders>
          </w:tcPr>
          <w:p w14:paraId="3BA7332A" w14:textId="77777777" w:rsidR="00E35BBF" w:rsidRPr="007A49E1" w:rsidRDefault="00E35BBF" w:rsidP="005140C1">
            <w:pPr>
              <w:spacing w:line="480" w:lineRule="auto"/>
              <w:rPr>
                <w:sz w:val="24"/>
                <w:szCs w:val="24"/>
                <w:lang w:val="en-GB"/>
              </w:rPr>
            </w:pPr>
          </w:p>
        </w:tc>
        <w:tc>
          <w:tcPr>
            <w:tcW w:w="1469" w:type="dxa"/>
            <w:tcBorders>
              <w:top w:val="single" w:sz="4" w:space="0" w:color="auto"/>
              <w:bottom w:val="single" w:sz="4" w:space="0" w:color="auto"/>
            </w:tcBorders>
          </w:tcPr>
          <w:p w14:paraId="1862B0F8" w14:textId="77777777" w:rsidR="00E35BBF" w:rsidRPr="007A49E1" w:rsidRDefault="00E35BBF" w:rsidP="005140C1">
            <w:pPr>
              <w:spacing w:line="480" w:lineRule="auto"/>
              <w:rPr>
                <w:sz w:val="24"/>
                <w:szCs w:val="24"/>
                <w:lang w:val="en-GB"/>
              </w:rPr>
            </w:pPr>
            <w:r w:rsidRPr="007A49E1">
              <w:rPr>
                <w:i/>
                <w:sz w:val="24"/>
                <w:szCs w:val="24"/>
                <w:lang w:val="en-GB"/>
              </w:rPr>
              <w:t>M</w:t>
            </w:r>
            <w:r w:rsidRPr="007A49E1">
              <w:rPr>
                <w:sz w:val="24"/>
                <w:szCs w:val="24"/>
                <w:lang w:val="en-GB"/>
              </w:rPr>
              <w:t xml:space="preserve"> (</w:t>
            </w:r>
            <w:r w:rsidRPr="007A49E1">
              <w:rPr>
                <w:i/>
                <w:sz w:val="24"/>
                <w:szCs w:val="24"/>
                <w:lang w:val="en-GB"/>
              </w:rPr>
              <w:t>SD</w:t>
            </w:r>
            <w:r w:rsidRPr="007A49E1">
              <w:rPr>
                <w:sz w:val="24"/>
                <w:szCs w:val="24"/>
                <w:lang w:val="en-GB"/>
              </w:rPr>
              <w:t>)</w:t>
            </w:r>
          </w:p>
        </w:tc>
        <w:tc>
          <w:tcPr>
            <w:tcW w:w="1276" w:type="dxa"/>
            <w:tcBorders>
              <w:top w:val="single" w:sz="4" w:space="0" w:color="auto"/>
              <w:bottom w:val="single" w:sz="4" w:space="0" w:color="auto"/>
            </w:tcBorders>
          </w:tcPr>
          <w:p w14:paraId="1D2BE45A" w14:textId="77777777" w:rsidR="00E35BBF" w:rsidRPr="007A49E1" w:rsidRDefault="00E35BBF" w:rsidP="005140C1">
            <w:pPr>
              <w:spacing w:line="480" w:lineRule="auto"/>
              <w:rPr>
                <w:sz w:val="24"/>
                <w:szCs w:val="24"/>
                <w:lang w:val="en-GB"/>
              </w:rPr>
            </w:pPr>
            <w:r w:rsidRPr="007A49E1">
              <w:rPr>
                <w:sz w:val="24"/>
                <w:szCs w:val="24"/>
                <w:lang w:val="en-GB"/>
              </w:rPr>
              <w:t>Loading</w:t>
            </w:r>
          </w:p>
        </w:tc>
        <w:tc>
          <w:tcPr>
            <w:tcW w:w="1276" w:type="dxa"/>
            <w:tcBorders>
              <w:top w:val="single" w:sz="4" w:space="0" w:color="auto"/>
              <w:bottom w:val="single" w:sz="4" w:space="0" w:color="auto"/>
            </w:tcBorders>
          </w:tcPr>
          <w:p w14:paraId="37E40466" w14:textId="77777777" w:rsidR="00E35BBF" w:rsidRPr="007A49E1" w:rsidRDefault="00E35BBF" w:rsidP="005140C1">
            <w:pPr>
              <w:spacing w:line="480" w:lineRule="auto"/>
              <w:rPr>
                <w:i/>
                <w:sz w:val="24"/>
                <w:szCs w:val="24"/>
                <w:lang w:val="en-GB"/>
              </w:rPr>
            </w:pPr>
            <w:r w:rsidRPr="007A49E1">
              <w:rPr>
                <w:i/>
                <w:sz w:val="24"/>
                <w:szCs w:val="24"/>
                <w:lang w:val="en-GB"/>
              </w:rPr>
              <w:t>M</w:t>
            </w:r>
            <w:r w:rsidRPr="007A49E1">
              <w:rPr>
                <w:sz w:val="24"/>
                <w:szCs w:val="24"/>
                <w:lang w:val="en-GB"/>
              </w:rPr>
              <w:t xml:space="preserve"> (</w:t>
            </w:r>
            <w:r w:rsidRPr="007A49E1">
              <w:rPr>
                <w:i/>
                <w:sz w:val="24"/>
                <w:szCs w:val="24"/>
                <w:lang w:val="en-GB"/>
              </w:rPr>
              <w:t>SD</w:t>
            </w:r>
            <w:r w:rsidRPr="007A49E1">
              <w:rPr>
                <w:sz w:val="24"/>
                <w:szCs w:val="24"/>
                <w:lang w:val="en-GB"/>
              </w:rPr>
              <w:t>)</w:t>
            </w:r>
          </w:p>
        </w:tc>
        <w:tc>
          <w:tcPr>
            <w:tcW w:w="1233" w:type="dxa"/>
            <w:tcBorders>
              <w:top w:val="single" w:sz="4" w:space="0" w:color="auto"/>
              <w:bottom w:val="single" w:sz="4" w:space="0" w:color="auto"/>
            </w:tcBorders>
          </w:tcPr>
          <w:p w14:paraId="41897D45" w14:textId="77777777" w:rsidR="00E35BBF" w:rsidRPr="007A49E1" w:rsidRDefault="00E35BBF" w:rsidP="005140C1">
            <w:pPr>
              <w:spacing w:line="480" w:lineRule="auto"/>
              <w:rPr>
                <w:i/>
                <w:sz w:val="24"/>
                <w:szCs w:val="24"/>
                <w:lang w:val="en-GB"/>
              </w:rPr>
            </w:pPr>
            <w:r w:rsidRPr="007A49E1">
              <w:rPr>
                <w:sz w:val="24"/>
                <w:szCs w:val="24"/>
                <w:lang w:val="en-GB"/>
              </w:rPr>
              <w:t>Loading</w:t>
            </w:r>
          </w:p>
        </w:tc>
      </w:tr>
      <w:tr w:rsidR="00E35BBF" w:rsidRPr="007A49E1" w14:paraId="0859357E" w14:textId="77777777" w:rsidTr="00F62C62">
        <w:trPr>
          <w:trHeight w:val="593"/>
        </w:trPr>
        <w:tc>
          <w:tcPr>
            <w:tcW w:w="7740" w:type="dxa"/>
            <w:tcBorders>
              <w:top w:val="single" w:sz="4" w:space="0" w:color="auto"/>
            </w:tcBorders>
          </w:tcPr>
          <w:p w14:paraId="1B0CA112" w14:textId="18D3F5AA" w:rsidR="00E35BBF" w:rsidRPr="007A49E1" w:rsidRDefault="00E35BBF" w:rsidP="005140C1">
            <w:pPr>
              <w:spacing w:line="480" w:lineRule="auto"/>
              <w:rPr>
                <w:sz w:val="24"/>
                <w:szCs w:val="24"/>
                <w:lang w:val="en-GB"/>
              </w:rPr>
            </w:pPr>
            <w:r w:rsidRPr="007A49E1">
              <w:rPr>
                <w:sz w:val="24"/>
                <w:szCs w:val="24"/>
                <w:lang w:val="en-GB"/>
              </w:rPr>
              <w:t>1. I respect my body/</w:t>
            </w:r>
            <w:r w:rsidR="0091616D" w:rsidRPr="007A49E1">
              <w:rPr>
                <w:i/>
                <w:noProof/>
                <w:sz w:val="24"/>
                <w:szCs w:val="24"/>
                <w:lang w:val="en-GB"/>
              </w:rPr>
              <w:t>Îmi respect corpul</w:t>
            </w:r>
          </w:p>
        </w:tc>
        <w:tc>
          <w:tcPr>
            <w:tcW w:w="1469" w:type="dxa"/>
            <w:tcBorders>
              <w:top w:val="single" w:sz="4" w:space="0" w:color="auto"/>
            </w:tcBorders>
          </w:tcPr>
          <w:p w14:paraId="4E8BF0BA" w14:textId="665E1640" w:rsidR="00E35BBF" w:rsidRPr="007A49E1" w:rsidRDefault="00653148" w:rsidP="005140C1">
            <w:pPr>
              <w:spacing w:line="480" w:lineRule="auto"/>
              <w:rPr>
                <w:sz w:val="24"/>
                <w:szCs w:val="24"/>
                <w:lang w:val="en-GB"/>
              </w:rPr>
            </w:pPr>
            <w:r>
              <w:rPr>
                <w:sz w:val="24"/>
                <w:szCs w:val="24"/>
                <w:lang w:val="en-GB"/>
              </w:rPr>
              <w:t>4.24 (0.73</w:t>
            </w:r>
            <w:r w:rsidR="009E545E" w:rsidRPr="007A49E1">
              <w:rPr>
                <w:sz w:val="24"/>
                <w:szCs w:val="24"/>
                <w:lang w:val="en-GB"/>
              </w:rPr>
              <w:t>)</w:t>
            </w:r>
          </w:p>
        </w:tc>
        <w:tc>
          <w:tcPr>
            <w:tcW w:w="1276" w:type="dxa"/>
            <w:tcBorders>
              <w:top w:val="single" w:sz="4" w:space="0" w:color="auto"/>
            </w:tcBorders>
          </w:tcPr>
          <w:p w14:paraId="699EEA75" w14:textId="20BA1556" w:rsidR="00E35BBF" w:rsidRPr="007A49E1" w:rsidRDefault="00653148" w:rsidP="005140C1">
            <w:pPr>
              <w:spacing w:line="480" w:lineRule="auto"/>
              <w:rPr>
                <w:sz w:val="24"/>
                <w:szCs w:val="24"/>
                <w:lang w:val="en-GB"/>
              </w:rPr>
            </w:pPr>
            <w:r>
              <w:rPr>
                <w:sz w:val="24"/>
                <w:szCs w:val="24"/>
                <w:lang w:val="en-GB"/>
              </w:rPr>
              <w:t>.64</w:t>
            </w:r>
          </w:p>
        </w:tc>
        <w:tc>
          <w:tcPr>
            <w:tcW w:w="1276" w:type="dxa"/>
            <w:tcBorders>
              <w:top w:val="single" w:sz="4" w:space="0" w:color="auto"/>
            </w:tcBorders>
          </w:tcPr>
          <w:p w14:paraId="10957102" w14:textId="37A7CDC7" w:rsidR="00E35BBF" w:rsidRPr="007A49E1" w:rsidRDefault="00EC0DDC" w:rsidP="005140C1">
            <w:pPr>
              <w:spacing w:line="480" w:lineRule="auto"/>
              <w:rPr>
                <w:sz w:val="24"/>
                <w:szCs w:val="24"/>
                <w:lang w:val="en-GB"/>
              </w:rPr>
            </w:pPr>
            <w:r>
              <w:rPr>
                <w:sz w:val="24"/>
                <w:szCs w:val="24"/>
                <w:lang w:val="en-GB"/>
              </w:rPr>
              <w:t>4.10 (0.81</w:t>
            </w:r>
            <w:r w:rsidR="009E545E" w:rsidRPr="007A49E1">
              <w:rPr>
                <w:sz w:val="24"/>
                <w:szCs w:val="24"/>
                <w:lang w:val="en-GB"/>
              </w:rPr>
              <w:t>)</w:t>
            </w:r>
          </w:p>
        </w:tc>
        <w:tc>
          <w:tcPr>
            <w:tcW w:w="1233" w:type="dxa"/>
            <w:tcBorders>
              <w:top w:val="single" w:sz="4" w:space="0" w:color="auto"/>
            </w:tcBorders>
          </w:tcPr>
          <w:p w14:paraId="501D1FC9" w14:textId="1CE0D759" w:rsidR="00EC0DDC" w:rsidRPr="007A49E1" w:rsidRDefault="00EC0DDC" w:rsidP="005140C1">
            <w:pPr>
              <w:spacing w:line="480" w:lineRule="auto"/>
              <w:rPr>
                <w:sz w:val="24"/>
                <w:szCs w:val="24"/>
                <w:lang w:val="en-GB"/>
              </w:rPr>
            </w:pPr>
            <w:r>
              <w:rPr>
                <w:sz w:val="24"/>
                <w:szCs w:val="24"/>
                <w:lang w:val="en-GB"/>
              </w:rPr>
              <w:t>.74</w:t>
            </w:r>
          </w:p>
        </w:tc>
      </w:tr>
      <w:tr w:rsidR="00E35BBF" w:rsidRPr="007A49E1" w14:paraId="0894D39B" w14:textId="77777777" w:rsidTr="00F62C62">
        <w:tc>
          <w:tcPr>
            <w:tcW w:w="7740" w:type="dxa"/>
          </w:tcPr>
          <w:p w14:paraId="6165E396" w14:textId="16842DDD" w:rsidR="00E35BBF" w:rsidRPr="007A49E1" w:rsidRDefault="00E35BBF" w:rsidP="005140C1">
            <w:pPr>
              <w:spacing w:line="480" w:lineRule="auto"/>
              <w:rPr>
                <w:sz w:val="24"/>
                <w:szCs w:val="24"/>
                <w:lang w:val="en-GB"/>
              </w:rPr>
            </w:pPr>
            <w:r w:rsidRPr="007A49E1">
              <w:rPr>
                <w:sz w:val="24"/>
                <w:szCs w:val="24"/>
                <w:lang w:val="en-GB"/>
              </w:rPr>
              <w:t>2. I feel good about my body/</w:t>
            </w:r>
            <w:r w:rsidR="0091616D" w:rsidRPr="007A49E1">
              <w:rPr>
                <w:i/>
                <w:noProof/>
                <w:sz w:val="24"/>
                <w:szCs w:val="24"/>
                <w:lang w:val="en-GB"/>
              </w:rPr>
              <w:t>Mă simt bine cu corpul meu</w:t>
            </w:r>
          </w:p>
        </w:tc>
        <w:tc>
          <w:tcPr>
            <w:tcW w:w="1469" w:type="dxa"/>
          </w:tcPr>
          <w:p w14:paraId="1CD8CFE8" w14:textId="5A93D56D" w:rsidR="00E35BBF" w:rsidRPr="007A49E1" w:rsidRDefault="00653148" w:rsidP="005140C1">
            <w:pPr>
              <w:spacing w:line="480" w:lineRule="auto"/>
              <w:rPr>
                <w:sz w:val="24"/>
                <w:szCs w:val="24"/>
                <w:lang w:val="en-GB"/>
              </w:rPr>
            </w:pPr>
            <w:r>
              <w:rPr>
                <w:sz w:val="24"/>
                <w:szCs w:val="24"/>
                <w:lang w:val="en-GB"/>
              </w:rPr>
              <w:t>3.80 (0.95</w:t>
            </w:r>
            <w:r w:rsidR="009E545E" w:rsidRPr="007A49E1">
              <w:rPr>
                <w:sz w:val="24"/>
                <w:szCs w:val="24"/>
                <w:lang w:val="en-GB"/>
              </w:rPr>
              <w:t>)</w:t>
            </w:r>
          </w:p>
        </w:tc>
        <w:tc>
          <w:tcPr>
            <w:tcW w:w="1276" w:type="dxa"/>
          </w:tcPr>
          <w:p w14:paraId="44ACA5A9" w14:textId="513AFF0A" w:rsidR="00E35BBF" w:rsidRPr="007A49E1" w:rsidRDefault="008C5D47" w:rsidP="005140C1">
            <w:pPr>
              <w:spacing w:line="480" w:lineRule="auto"/>
              <w:rPr>
                <w:sz w:val="24"/>
                <w:szCs w:val="24"/>
                <w:lang w:val="en-GB"/>
              </w:rPr>
            </w:pPr>
            <w:r w:rsidRPr="007A49E1">
              <w:rPr>
                <w:sz w:val="24"/>
                <w:szCs w:val="24"/>
                <w:lang w:val="en-GB"/>
              </w:rPr>
              <w:t>.</w:t>
            </w:r>
            <w:r w:rsidR="00653148">
              <w:rPr>
                <w:sz w:val="24"/>
                <w:szCs w:val="24"/>
                <w:lang w:val="en-GB"/>
              </w:rPr>
              <w:t>88</w:t>
            </w:r>
          </w:p>
        </w:tc>
        <w:tc>
          <w:tcPr>
            <w:tcW w:w="1276" w:type="dxa"/>
          </w:tcPr>
          <w:p w14:paraId="2E5C2EF2" w14:textId="790481F1" w:rsidR="00E35BBF" w:rsidRPr="007A49E1" w:rsidRDefault="00EC0DDC" w:rsidP="005140C1">
            <w:pPr>
              <w:spacing w:line="480" w:lineRule="auto"/>
              <w:rPr>
                <w:sz w:val="24"/>
                <w:szCs w:val="24"/>
                <w:lang w:val="en-GB"/>
              </w:rPr>
            </w:pPr>
            <w:r>
              <w:rPr>
                <w:sz w:val="24"/>
                <w:szCs w:val="24"/>
                <w:lang w:val="en-GB"/>
              </w:rPr>
              <w:t>4.29 (0.83</w:t>
            </w:r>
            <w:r w:rsidR="009E545E" w:rsidRPr="007A49E1">
              <w:rPr>
                <w:sz w:val="24"/>
                <w:szCs w:val="24"/>
                <w:lang w:val="en-GB"/>
              </w:rPr>
              <w:t>)</w:t>
            </w:r>
          </w:p>
        </w:tc>
        <w:tc>
          <w:tcPr>
            <w:tcW w:w="1233" w:type="dxa"/>
          </w:tcPr>
          <w:p w14:paraId="2181B8A2" w14:textId="3A03C43D" w:rsidR="00E35BBF" w:rsidRPr="007A49E1" w:rsidRDefault="00873BFB" w:rsidP="005140C1">
            <w:pPr>
              <w:spacing w:line="480" w:lineRule="auto"/>
              <w:rPr>
                <w:sz w:val="24"/>
                <w:szCs w:val="24"/>
                <w:lang w:val="en-GB"/>
              </w:rPr>
            </w:pPr>
            <w:r w:rsidRPr="007A49E1">
              <w:rPr>
                <w:sz w:val="24"/>
                <w:szCs w:val="24"/>
                <w:lang w:val="en-GB"/>
              </w:rPr>
              <w:t>.</w:t>
            </w:r>
            <w:r w:rsidR="00EC0DDC">
              <w:rPr>
                <w:sz w:val="24"/>
                <w:szCs w:val="24"/>
                <w:lang w:val="en-GB"/>
              </w:rPr>
              <w:t>85</w:t>
            </w:r>
          </w:p>
        </w:tc>
      </w:tr>
      <w:tr w:rsidR="00E35BBF" w:rsidRPr="007A49E1" w14:paraId="4F449513" w14:textId="77777777" w:rsidTr="00F62C62">
        <w:trPr>
          <w:trHeight w:val="1200"/>
        </w:trPr>
        <w:tc>
          <w:tcPr>
            <w:tcW w:w="7740" w:type="dxa"/>
          </w:tcPr>
          <w:p w14:paraId="50868FFD" w14:textId="67E0261D" w:rsidR="00E35BBF" w:rsidRPr="007A49E1" w:rsidRDefault="00E35BBF" w:rsidP="005140C1">
            <w:pPr>
              <w:spacing w:line="480" w:lineRule="auto"/>
              <w:rPr>
                <w:sz w:val="24"/>
                <w:szCs w:val="24"/>
                <w:lang w:val="en-GB"/>
              </w:rPr>
            </w:pPr>
            <w:r w:rsidRPr="007A49E1">
              <w:rPr>
                <w:sz w:val="24"/>
                <w:szCs w:val="24"/>
                <w:lang w:val="en-GB"/>
              </w:rPr>
              <w:t>3. I feel that my body has at least some good qualities/</w:t>
            </w:r>
            <w:r w:rsidR="0091616D" w:rsidRPr="007A49E1">
              <w:rPr>
                <w:i/>
                <w:noProof/>
                <w:sz w:val="24"/>
                <w:szCs w:val="24"/>
                <w:lang w:val="en-GB"/>
              </w:rPr>
              <w:t>Simt ca acest corp are cel puțin câteva calități</w:t>
            </w:r>
          </w:p>
        </w:tc>
        <w:tc>
          <w:tcPr>
            <w:tcW w:w="1469" w:type="dxa"/>
          </w:tcPr>
          <w:p w14:paraId="554EBCF8" w14:textId="0BFF249D" w:rsidR="00E35BBF" w:rsidRPr="007A49E1" w:rsidRDefault="009E545E" w:rsidP="005140C1">
            <w:pPr>
              <w:spacing w:line="480" w:lineRule="auto"/>
              <w:rPr>
                <w:sz w:val="24"/>
                <w:szCs w:val="24"/>
                <w:lang w:val="en-GB"/>
              </w:rPr>
            </w:pPr>
            <w:r w:rsidRPr="007A49E1">
              <w:rPr>
                <w:sz w:val="24"/>
                <w:szCs w:val="24"/>
                <w:lang w:val="en-GB"/>
              </w:rPr>
              <w:t>4</w:t>
            </w:r>
            <w:r w:rsidR="00653148">
              <w:rPr>
                <w:sz w:val="24"/>
                <w:szCs w:val="24"/>
                <w:lang w:val="en-GB"/>
              </w:rPr>
              <w:t>.13 (0.91</w:t>
            </w:r>
            <w:r w:rsidRPr="007A49E1">
              <w:rPr>
                <w:sz w:val="24"/>
                <w:szCs w:val="24"/>
                <w:lang w:val="en-GB"/>
              </w:rPr>
              <w:t>)</w:t>
            </w:r>
          </w:p>
        </w:tc>
        <w:tc>
          <w:tcPr>
            <w:tcW w:w="1276" w:type="dxa"/>
          </w:tcPr>
          <w:p w14:paraId="48B44AB0" w14:textId="00CD817E" w:rsidR="00E35BBF" w:rsidRPr="007A49E1" w:rsidRDefault="008C5D47" w:rsidP="005140C1">
            <w:pPr>
              <w:spacing w:line="480" w:lineRule="auto"/>
              <w:rPr>
                <w:sz w:val="24"/>
                <w:szCs w:val="24"/>
                <w:lang w:val="en-GB"/>
              </w:rPr>
            </w:pPr>
            <w:r w:rsidRPr="007A49E1">
              <w:rPr>
                <w:sz w:val="24"/>
                <w:szCs w:val="24"/>
                <w:lang w:val="en-GB"/>
              </w:rPr>
              <w:t>.</w:t>
            </w:r>
            <w:r w:rsidR="00653148">
              <w:rPr>
                <w:sz w:val="24"/>
                <w:szCs w:val="24"/>
                <w:lang w:val="en-GB"/>
              </w:rPr>
              <w:t>75</w:t>
            </w:r>
          </w:p>
        </w:tc>
        <w:tc>
          <w:tcPr>
            <w:tcW w:w="1276" w:type="dxa"/>
          </w:tcPr>
          <w:p w14:paraId="47A21E8C" w14:textId="5DB6889E" w:rsidR="00E35BBF" w:rsidRPr="007A49E1" w:rsidRDefault="00EC0DDC" w:rsidP="005140C1">
            <w:pPr>
              <w:spacing w:line="480" w:lineRule="auto"/>
              <w:rPr>
                <w:sz w:val="24"/>
                <w:szCs w:val="24"/>
                <w:lang w:val="en-GB"/>
              </w:rPr>
            </w:pPr>
            <w:r>
              <w:rPr>
                <w:sz w:val="24"/>
                <w:szCs w:val="24"/>
                <w:lang w:val="en-GB"/>
              </w:rPr>
              <w:t>4.24 (0.75</w:t>
            </w:r>
            <w:r w:rsidR="009E545E" w:rsidRPr="007A49E1">
              <w:rPr>
                <w:sz w:val="24"/>
                <w:szCs w:val="24"/>
                <w:lang w:val="en-GB"/>
              </w:rPr>
              <w:t>)</w:t>
            </w:r>
          </w:p>
        </w:tc>
        <w:tc>
          <w:tcPr>
            <w:tcW w:w="1233" w:type="dxa"/>
          </w:tcPr>
          <w:p w14:paraId="317ACE2E" w14:textId="52D515E9" w:rsidR="00E35BBF" w:rsidRPr="007A49E1" w:rsidRDefault="00873BFB" w:rsidP="005140C1">
            <w:pPr>
              <w:spacing w:line="480" w:lineRule="auto"/>
              <w:rPr>
                <w:sz w:val="24"/>
                <w:szCs w:val="24"/>
                <w:lang w:val="en-GB"/>
              </w:rPr>
            </w:pPr>
            <w:r w:rsidRPr="007A49E1">
              <w:rPr>
                <w:sz w:val="24"/>
                <w:szCs w:val="24"/>
                <w:lang w:val="en-GB"/>
              </w:rPr>
              <w:t>.</w:t>
            </w:r>
            <w:r w:rsidR="00EC0DDC">
              <w:rPr>
                <w:sz w:val="24"/>
                <w:szCs w:val="24"/>
                <w:lang w:val="en-GB"/>
              </w:rPr>
              <w:t>35</w:t>
            </w:r>
          </w:p>
        </w:tc>
      </w:tr>
      <w:tr w:rsidR="00E35BBF" w:rsidRPr="007A49E1" w14:paraId="090A5B1A" w14:textId="77777777" w:rsidTr="00F62C62">
        <w:tc>
          <w:tcPr>
            <w:tcW w:w="7740" w:type="dxa"/>
          </w:tcPr>
          <w:p w14:paraId="1517D5FE" w14:textId="1D231488" w:rsidR="00E35BBF" w:rsidRPr="007A49E1" w:rsidRDefault="00E35BBF" w:rsidP="005140C1">
            <w:pPr>
              <w:spacing w:line="480" w:lineRule="auto"/>
              <w:rPr>
                <w:sz w:val="24"/>
                <w:szCs w:val="24"/>
                <w:lang w:val="en-GB"/>
              </w:rPr>
            </w:pPr>
            <w:r w:rsidRPr="007A49E1">
              <w:rPr>
                <w:sz w:val="24"/>
                <w:szCs w:val="24"/>
                <w:lang w:val="en-GB"/>
              </w:rPr>
              <w:t>4. I take a positive attitude towards my body/</w:t>
            </w:r>
            <w:r w:rsidR="0091616D" w:rsidRPr="007A49E1">
              <w:rPr>
                <w:i/>
                <w:noProof/>
                <w:sz w:val="24"/>
                <w:szCs w:val="24"/>
                <w:lang w:val="en-GB"/>
              </w:rPr>
              <w:t>Am o atitudine pozitivă față de corpul meu</w:t>
            </w:r>
          </w:p>
        </w:tc>
        <w:tc>
          <w:tcPr>
            <w:tcW w:w="1469" w:type="dxa"/>
          </w:tcPr>
          <w:p w14:paraId="4E792DD1" w14:textId="2DD2CF34" w:rsidR="00E35BBF" w:rsidRPr="007A49E1" w:rsidRDefault="00653148" w:rsidP="005140C1">
            <w:pPr>
              <w:spacing w:line="480" w:lineRule="auto"/>
              <w:rPr>
                <w:sz w:val="24"/>
                <w:szCs w:val="24"/>
                <w:lang w:val="en-GB"/>
              </w:rPr>
            </w:pPr>
            <w:r>
              <w:rPr>
                <w:sz w:val="24"/>
                <w:szCs w:val="24"/>
                <w:lang w:val="en-GB"/>
              </w:rPr>
              <w:t>3.82 (1.01</w:t>
            </w:r>
            <w:r w:rsidR="009E545E" w:rsidRPr="007A49E1">
              <w:rPr>
                <w:sz w:val="24"/>
                <w:szCs w:val="24"/>
                <w:lang w:val="en-GB"/>
              </w:rPr>
              <w:t>)</w:t>
            </w:r>
          </w:p>
        </w:tc>
        <w:tc>
          <w:tcPr>
            <w:tcW w:w="1276" w:type="dxa"/>
          </w:tcPr>
          <w:p w14:paraId="19DF7BC7" w14:textId="53FB63E1" w:rsidR="00E35BBF" w:rsidRPr="007A49E1" w:rsidRDefault="008C5D47" w:rsidP="005140C1">
            <w:pPr>
              <w:spacing w:line="480" w:lineRule="auto"/>
              <w:rPr>
                <w:sz w:val="24"/>
                <w:szCs w:val="24"/>
                <w:lang w:val="en-GB"/>
              </w:rPr>
            </w:pPr>
            <w:r w:rsidRPr="007A49E1">
              <w:rPr>
                <w:sz w:val="24"/>
                <w:szCs w:val="24"/>
                <w:lang w:val="en-GB"/>
              </w:rPr>
              <w:t>.</w:t>
            </w:r>
            <w:r w:rsidR="00653148">
              <w:rPr>
                <w:sz w:val="24"/>
                <w:szCs w:val="24"/>
                <w:lang w:val="en-GB"/>
              </w:rPr>
              <w:t>85</w:t>
            </w:r>
          </w:p>
        </w:tc>
        <w:tc>
          <w:tcPr>
            <w:tcW w:w="1276" w:type="dxa"/>
          </w:tcPr>
          <w:p w14:paraId="2D9C3465" w14:textId="321C4FD0" w:rsidR="00E35BBF" w:rsidRPr="007A49E1" w:rsidRDefault="00EC0DDC" w:rsidP="005140C1">
            <w:pPr>
              <w:spacing w:line="480" w:lineRule="auto"/>
              <w:rPr>
                <w:sz w:val="24"/>
                <w:szCs w:val="24"/>
                <w:lang w:val="en-GB"/>
              </w:rPr>
            </w:pPr>
            <w:r>
              <w:rPr>
                <w:sz w:val="24"/>
                <w:szCs w:val="24"/>
                <w:lang w:val="en-GB"/>
              </w:rPr>
              <w:t>4.20 (0.83</w:t>
            </w:r>
            <w:r w:rsidR="009E545E" w:rsidRPr="007A49E1">
              <w:rPr>
                <w:sz w:val="24"/>
                <w:szCs w:val="24"/>
                <w:lang w:val="en-GB"/>
              </w:rPr>
              <w:t>)</w:t>
            </w:r>
          </w:p>
        </w:tc>
        <w:tc>
          <w:tcPr>
            <w:tcW w:w="1233" w:type="dxa"/>
          </w:tcPr>
          <w:p w14:paraId="5C92DBE2" w14:textId="0564656F" w:rsidR="00E35BBF" w:rsidRPr="007A49E1" w:rsidRDefault="0020616F" w:rsidP="005140C1">
            <w:pPr>
              <w:spacing w:line="480" w:lineRule="auto"/>
              <w:rPr>
                <w:sz w:val="24"/>
                <w:szCs w:val="24"/>
                <w:lang w:val="en-GB"/>
              </w:rPr>
            </w:pPr>
            <w:r w:rsidRPr="007A49E1">
              <w:rPr>
                <w:sz w:val="24"/>
                <w:szCs w:val="24"/>
                <w:lang w:val="en-GB"/>
              </w:rPr>
              <w:t>.</w:t>
            </w:r>
            <w:r w:rsidR="00EC0DDC">
              <w:rPr>
                <w:sz w:val="24"/>
                <w:szCs w:val="24"/>
                <w:lang w:val="en-GB"/>
              </w:rPr>
              <w:t>76</w:t>
            </w:r>
          </w:p>
        </w:tc>
      </w:tr>
      <w:tr w:rsidR="00E35BBF" w:rsidRPr="007A49E1" w14:paraId="2A134FBD" w14:textId="77777777" w:rsidTr="00F62C62">
        <w:tc>
          <w:tcPr>
            <w:tcW w:w="7740" w:type="dxa"/>
          </w:tcPr>
          <w:p w14:paraId="6D559A6E" w14:textId="65D771C2" w:rsidR="00E35BBF" w:rsidRPr="007A49E1" w:rsidRDefault="00E35BBF" w:rsidP="005140C1">
            <w:pPr>
              <w:spacing w:line="480" w:lineRule="auto"/>
              <w:rPr>
                <w:sz w:val="24"/>
                <w:szCs w:val="24"/>
                <w:lang w:val="en-GB"/>
              </w:rPr>
            </w:pPr>
            <w:r w:rsidRPr="007A49E1">
              <w:rPr>
                <w:sz w:val="24"/>
                <w:szCs w:val="24"/>
                <w:lang w:val="en-GB"/>
              </w:rPr>
              <w:t>5. I am attentive to my body’s needs/</w:t>
            </w:r>
            <w:r w:rsidR="0091616D" w:rsidRPr="007A49E1">
              <w:rPr>
                <w:i/>
                <w:noProof/>
                <w:sz w:val="24"/>
                <w:szCs w:val="24"/>
                <w:lang w:val="en-GB"/>
              </w:rPr>
              <w:t>Sunt atent la nevoile corpului meu</w:t>
            </w:r>
          </w:p>
        </w:tc>
        <w:tc>
          <w:tcPr>
            <w:tcW w:w="1469" w:type="dxa"/>
          </w:tcPr>
          <w:p w14:paraId="081271B0" w14:textId="3A382D00" w:rsidR="00E35BBF" w:rsidRPr="007A49E1" w:rsidRDefault="00653148" w:rsidP="005140C1">
            <w:pPr>
              <w:spacing w:line="480" w:lineRule="auto"/>
              <w:rPr>
                <w:sz w:val="24"/>
                <w:szCs w:val="24"/>
                <w:lang w:val="en-GB"/>
              </w:rPr>
            </w:pPr>
            <w:r>
              <w:rPr>
                <w:sz w:val="24"/>
                <w:szCs w:val="24"/>
                <w:lang w:val="en-GB"/>
              </w:rPr>
              <w:t>3.82 (0.86</w:t>
            </w:r>
            <w:r w:rsidR="009E545E" w:rsidRPr="007A49E1">
              <w:rPr>
                <w:sz w:val="24"/>
                <w:szCs w:val="24"/>
                <w:lang w:val="en-GB"/>
              </w:rPr>
              <w:t>)</w:t>
            </w:r>
          </w:p>
        </w:tc>
        <w:tc>
          <w:tcPr>
            <w:tcW w:w="1276" w:type="dxa"/>
          </w:tcPr>
          <w:p w14:paraId="46A02D00" w14:textId="5D3D724E" w:rsidR="00E35BBF" w:rsidRPr="007A49E1" w:rsidRDefault="00DC0123" w:rsidP="005140C1">
            <w:pPr>
              <w:spacing w:line="480" w:lineRule="auto"/>
              <w:rPr>
                <w:sz w:val="24"/>
                <w:szCs w:val="24"/>
                <w:lang w:val="en-GB"/>
              </w:rPr>
            </w:pPr>
            <w:r w:rsidRPr="007A49E1">
              <w:rPr>
                <w:sz w:val="24"/>
                <w:szCs w:val="24"/>
                <w:lang w:val="en-GB"/>
              </w:rPr>
              <w:t>.</w:t>
            </w:r>
            <w:r w:rsidR="00653148">
              <w:rPr>
                <w:sz w:val="24"/>
                <w:szCs w:val="24"/>
                <w:lang w:val="en-GB"/>
              </w:rPr>
              <w:t>67</w:t>
            </w:r>
          </w:p>
        </w:tc>
        <w:tc>
          <w:tcPr>
            <w:tcW w:w="1276" w:type="dxa"/>
          </w:tcPr>
          <w:p w14:paraId="09EB3E75" w14:textId="218D1457" w:rsidR="00E35BBF" w:rsidRPr="007A49E1" w:rsidRDefault="00EC0DDC" w:rsidP="005140C1">
            <w:pPr>
              <w:spacing w:line="480" w:lineRule="auto"/>
              <w:rPr>
                <w:sz w:val="24"/>
                <w:szCs w:val="24"/>
                <w:lang w:val="en-GB"/>
              </w:rPr>
            </w:pPr>
            <w:r>
              <w:rPr>
                <w:sz w:val="24"/>
                <w:szCs w:val="24"/>
                <w:lang w:val="en-GB"/>
              </w:rPr>
              <w:t>3.92 (0.92</w:t>
            </w:r>
            <w:r w:rsidR="009E545E" w:rsidRPr="007A49E1">
              <w:rPr>
                <w:sz w:val="24"/>
                <w:szCs w:val="24"/>
                <w:lang w:val="en-GB"/>
              </w:rPr>
              <w:t>)</w:t>
            </w:r>
          </w:p>
        </w:tc>
        <w:tc>
          <w:tcPr>
            <w:tcW w:w="1233" w:type="dxa"/>
          </w:tcPr>
          <w:p w14:paraId="20C7BFBC" w14:textId="044CA6CD" w:rsidR="00E35BBF" w:rsidRPr="007A49E1" w:rsidRDefault="0020616F" w:rsidP="005140C1">
            <w:pPr>
              <w:spacing w:line="480" w:lineRule="auto"/>
              <w:rPr>
                <w:sz w:val="24"/>
                <w:szCs w:val="24"/>
                <w:lang w:val="en-GB"/>
              </w:rPr>
            </w:pPr>
            <w:r w:rsidRPr="007A49E1">
              <w:rPr>
                <w:sz w:val="24"/>
                <w:szCs w:val="24"/>
                <w:lang w:val="en-GB"/>
              </w:rPr>
              <w:t>.</w:t>
            </w:r>
            <w:r w:rsidR="00EC0DDC">
              <w:rPr>
                <w:sz w:val="24"/>
                <w:szCs w:val="24"/>
                <w:lang w:val="en-GB"/>
              </w:rPr>
              <w:t>47</w:t>
            </w:r>
          </w:p>
        </w:tc>
      </w:tr>
      <w:tr w:rsidR="00E35BBF" w:rsidRPr="007A49E1" w14:paraId="13D9484F" w14:textId="77777777" w:rsidTr="00F62C62">
        <w:tc>
          <w:tcPr>
            <w:tcW w:w="7740" w:type="dxa"/>
          </w:tcPr>
          <w:p w14:paraId="41E6C13A" w14:textId="1533FCD7" w:rsidR="00E35BBF" w:rsidRPr="007A49E1" w:rsidRDefault="00E35BBF" w:rsidP="005140C1">
            <w:pPr>
              <w:spacing w:line="480" w:lineRule="auto"/>
              <w:rPr>
                <w:sz w:val="24"/>
                <w:szCs w:val="24"/>
                <w:lang w:val="en-GB"/>
              </w:rPr>
            </w:pPr>
            <w:r w:rsidRPr="007A49E1">
              <w:rPr>
                <w:sz w:val="24"/>
                <w:szCs w:val="24"/>
                <w:lang w:val="en-GB"/>
              </w:rPr>
              <w:t>6. I feel love for my body/</w:t>
            </w:r>
            <w:r w:rsidR="0091616D" w:rsidRPr="007A49E1">
              <w:rPr>
                <w:i/>
                <w:noProof/>
                <w:sz w:val="24"/>
                <w:szCs w:val="24"/>
                <w:lang w:val="en-GB"/>
              </w:rPr>
              <w:t>Simt dragoste față de corpul meu</w:t>
            </w:r>
          </w:p>
        </w:tc>
        <w:tc>
          <w:tcPr>
            <w:tcW w:w="1469" w:type="dxa"/>
          </w:tcPr>
          <w:p w14:paraId="4C8FB76B" w14:textId="362B893F" w:rsidR="00E35BBF" w:rsidRPr="007A49E1" w:rsidRDefault="00653148" w:rsidP="005140C1">
            <w:pPr>
              <w:spacing w:line="480" w:lineRule="auto"/>
              <w:rPr>
                <w:sz w:val="24"/>
                <w:szCs w:val="24"/>
                <w:lang w:val="en-GB"/>
              </w:rPr>
            </w:pPr>
            <w:r>
              <w:rPr>
                <w:sz w:val="24"/>
                <w:szCs w:val="24"/>
                <w:lang w:val="en-GB"/>
              </w:rPr>
              <w:t>3.34 (1.16</w:t>
            </w:r>
            <w:r w:rsidR="009E545E" w:rsidRPr="007A49E1">
              <w:rPr>
                <w:sz w:val="24"/>
                <w:szCs w:val="24"/>
                <w:lang w:val="en-GB"/>
              </w:rPr>
              <w:t>)</w:t>
            </w:r>
          </w:p>
        </w:tc>
        <w:tc>
          <w:tcPr>
            <w:tcW w:w="1276" w:type="dxa"/>
          </w:tcPr>
          <w:p w14:paraId="407C6C8C" w14:textId="75E079B1" w:rsidR="00E35BBF" w:rsidRPr="007A49E1" w:rsidRDefault="008C5D47" w:rsidP="005140C1">
            <w:pPr>
              <w:spacing w:line="480" w:lineRule="auto"/>
              <w:rPr>
                <w:sz w:val="24"/>
                <w:szCs w:val="24"/>
                <w:lang w:val="en-GB"/>
              </w:rPr>
            </w:pPr>
            <w:r w:rsidRPr="007A49E1">
              <w:rPr>
                <w:sz w:val="24"/>
                <w:szCs w:val="24"/>
                <w:lang w:val="en-GB"/>
              </w:rPr>
              <w:t>.</w:t>
            </w:r>
            <w:r w:rsidR="00653148">
              <w:rPr>
                <w:sz w:val="24"/>
                <w:szCs w:val="24"/>
                <w:lang w:val="en-GB"/>
              </w:rPr>
              <w:t>77</w:t>
            </w:r>
          </w:p>
        </w:tc>
        <w:tc>
          <w:tcPr>
            <w:tcW w:w="1276" w:type="dxa"/>
          </w:tcPr>
          <w:p w14:paraId="005D0730" w14:textId="3AA63C83" w:rsidR="00E35BBF" w:rsidRPr="007A49E1" w:rsidRDefault="00EC0DDC" w:rsidP="005140C1">
            <w:pPr>
              <w:spacing w:line="480" w:lineRule="auto"/>
              <w:rPr>
                <w:sz w:val="24"/>
                <w:szCs w:val="24"/>
                <w:lang w:val="en-GB"/>
              </w:rPr>
            </w:pPr>
            <w:r>
              <w:rPr>
                <w:sz w:val="24"/>
                <w:szCs w:val="24"/>
                <w:lang w:val="en-GB"/>
              </w:rPr>
              <w:t>3.46 (1.15</w:t>
            </w:r>
            <w:r w:rsidR="009E545E" w:rsidRPr="007A49E1">
              <w:rPr>
                <w:sz w:val="24"/>
                <w:szCs w:val="24"/>
                <w:lang w:val="en-GB"/>
              </w:rPr>
              <w:t>)</w:t>
            </w:r>
          </w:p>
        </w:tc>
        <w:tc>
          <w:tcPr>
            <w:tcW w:w="1233" w:type="dxa"/>
          </w:tcPr>
          <w:p w14:paraId="0BE96521" w14:textId="3E6D5FE6" w:rsidR="00E35BBF" w:rsidRPr="007A49E1" w:rsidRDefault="0020616F" w:rsidP="005140C1">
            <w:pPr>
              <w:spacing w:line="480" w:lineRule="auto"/>
              <w:rPr>
                <w:sz w:val="24"/>
                <w:szCs w:val="24"/>
                <w:lang w:val="en-GB"/>
              </w:rPr>
            </w:pPr>
            <w:r w:rsidRPr="007A49E1">
              <w:rPr>
                <w:sz w:val="24"/>
                <w:szCs w:val="24"/>
                <w:lang w:val="en-GB"/>
              </w:rPr>
              <w:t>.</w:t>
            </w:r>
            <w:r w:rsidR="00EC0DDC">
              <w:rPr>
                <w:sz w:val="24"/>
                <w:szCs w:val="24"/>
                <w:lang w:val="en-GB"/>
              </w:rPr>
              <w:t>34</w:t>
            </w:r>
          </w:p>
        </w:tc>
      </w:tr>
      <w:tr w:rsidR="00E35BBF" w:rsidRPr="007A49E1" w14:paraId="61249852" w14:textId="77777777" w:rsidTr="00F62C62">
        <w:tc>
          <w:tcPr>
            <w:tcW w:w="7740" w:type="dxa"/>
          </w:tcPr>
          <w:p w14:paraId="11B7ABBA" w14:textId="06778406" w:rsidR="00E35BBF" w:rsidRPr="007A49E1" w:rsidRDefault="00E35BBF" w:rsidP="005140C1">
            <w:pPr>
              <w:spacing w:line="480" w:lineRule="auto"/>
              <w:rPr>
                <w:sz w:val="24"/>
                <w:szCs w:val="24"/>
                <w:lang w:val="en-GB"/>
              </w:rPr>
            </w:pPr>
            <w:r w:rsidRPr="007A49E1">
              <w:rPr>
                <w:sz w:val="24"/>
                <w:szCs w:val="24"/>
                <w:lang w:val="en-GB"/>
              </w:rPr>
              <w:t>7. I appreciate the different and unique characteristics of my body/</w:t>
            </w:r>
            <w:r w:rsidR="0091616D" w:rsidRPr="007A49E1">
              <w:rPr>
                <w:i/>
                <w:noProof/>
                <w:sz w:val="24"/>
                <w:szCs w:val="24"/>
                <w:lang w:val="en-GB"/>
              </w:rPr>
              <w:t>Apreciez caracteristicile diferite și unice ale corpului meu</w:t>
            </w:r>
          </w:p>
        </w:tc>
        <w:tc>
          <w:tcPr>
            <w:tcW w:w="1469" w:type="dxa"/>
          </w:tcPr>
          <w:p w14:paraId="4E43A92B" w14:textId="67C4996B" w:rsidR="00E35BBF" w:rsidRPr="007A49E1" w:rsidRDefault="00653148" w:rsidP="005140C1">
            <w:pPr>
              <w:spacing w:line="480" w:lineRule="auto"/>
              <w:rPr>
                <w:sz w:val="24"/>
                <w:szCs w:val="24"/>
                <w:lang w:val="en-GB"/>
              </w:rPr>
            </w:pPr>
            <w:r>
              <w:rPr>
                <w:sz w:val="24"/>
                <w:szCs w:val="24"/>
                <w:lang w:val="en-GB"/>
              </w:rPr>
              <w:t>3.83 (1.01</w:t>
            </w:r>
            <w:r w:rsidR="009E545E" w:rsidRPr="007A49E1">
              <w:rPr>
                <w:sz w:val="24"/>
                <w:szCs w:val="24"/>
                <w:lang w:val="en-GB"/>
              </w:rPr>
              <w:t>)</w:t>
            </w:r>
          </w:p>
        </w:tc>
        <w:tc>
          <w:tcPr>
            <w:tcW w:w="1276" w:type="dxa"/>
          </w:tcPr>
          <w:p w14:paraId="14BDA75C" w14:textId="2C86AB66" w:rsidR="00E35BBF" w:rsidRPr="007A49E1" w:rsidRDefault="00B26E43" w:rsidP="005140C1">
            <w:pPr>
              <w:spacing w:line="480" w:lineRule="auto"/>
              <w:rPr>
                <w:sz w:val="24"/>
                <w:szCs w:val="24"/>
                <w:lang w:val="en-GB"/>
              </w:rPr>
            </w:pPr>
            <w:r w:rsidRPr="007A49E1">
              <w:rPr>
                <w:sz w:val="24"/>
                <w:szCs w:val="24"/>
                <w:lang w:val="en-GB"/>
              </w:rPr>
              <w:t>.</w:t>
            </w:r>
            <w:r w:rsidR="00653148">
              <w:rPr>
                <w:sz w:val="24"/>
                <w:szCs w:val="24"/>
                <w:lang w:val="en-GB"/>
              </w:rPr>
              <w:t>79</w:t>
            </w:r>
          </w:p>
        </w:tc>
        <w:tc>
          <w:tcPr>
            <w:tcW w:w="1276" w:type="dxa"/>
          </w:tcPr>
          <w:p w14:paraId="4ACA3037" w14:textId="6F8934C2" w:rsidR="00E35BBF" w:rsidRPr="007A49E1" w:rsidRDefault="00EC0DDC" w:rsidP="005140C1">
            <w:pPr>
              <w:spacing w:line="480" w:lineRule="auto"/>
              <w:rPr>
                <w:sz w:val="24"/>
                <w:szCs w:val="24"/>
                <w:lang w:val="en-GB"/>
              </w:rPr>
            </w:pPr>
            <w:r>
              <w:rPr>
                <w:sz w:val="24"/>
                <w:szCs w:val="24"/>
                <w:lang w:val="en-GB"/>
              </w:rPr>
              <w:t>3.74 (1.07</w:t>
            </w:r>
            <w:r w:rsidR="009E545E" w:rsidRPr="007A49E1">
              <w:rPr>
                <w:sz w:val="24"/>
                <w:szCs w:val="24"/>
                <w:lang w:val="en-GB"/>
              </w:rPr>
              <w:t>)</w:t>
            </w:r>
          </w:p>
        </w:tc>
        <w:tc>
          <w:tcPr>
            <w:tcW w:w="1233" w:type="dxa"/>
          </w:tcPr>
          <w:p w14:paraId="49A885DF" w14:textId="4B96A94D" w:rsidR="00E35BBF" w:rsidRPr="007A49E1" w:rsidRDefault="0020616F" w:rsidP="005140C1">
            <w:pPr>
              <w:spacing w:line="480" w:lineRule="auto"/>
              <w:rPr>
                <w:sz w:val="24"/>
                <w:szCs w:val="24"/>
                <w:lang w:val="en-GB"/>
              </w:rPr>
            </w:pPr>
            <w:r w:rsidRPr="007A49E1">
              <w:rPr>
                <w:sz w:val="24"/>
                <w:szCs w:val="24"/>
                <w:lang w:val="en-GB"/>
              </w:rPr>
              <w:t>.</w:t>
            </w:r>
            <w:r w:rsidR="00EC0DDC">
              <w:rPr>
                <w:sz w:val="24"/>
                <w:szCs w:val="24"/>
                <w:lang w:val="en-GB"/>
              </w:rPr>
              <w:t>42</w:t>
            </w:r>
          </w:p>
        </w:tc>
      </w:tr>
      <w:tr w:rsidR="00E35BBF" w:rsidRPr="007A49E1" w14:paraId="52158FA2" w14:textId="77777777" w:rsidTr="00F62C62">
        <w:tc>
          <w:tcPr>
            <w:tcW w:w="7740" w:type="dxa"/>
          </w:tcPr>
          <w:p w14:paraId="53F47999" w14:textId="32108B55" w:rsidR="00E35BBF" w:rsidRPr="007A49E1" w:rsidRDefault="00E35BBF" w:rsidP="005140C1">
            <w:pPr>
              <w:spacing w:line="480" w:lineRule="auto"/>
              <w:rPr>
                <w:sz w:val="24"/>
                <w:szCs w:val="24"/>
                <w:lang w:val="en-GB"/>
              </w:rPr>
            </w:pPr>
            <w:r w:rsidRPr="007A49E1">
              <w:rPr>
                <w:sz w:val="24"/>
                <w:szCs w:val="24"/>
                <w:lang w:val="en-GB"/>
              </w:rPr>
              <w:t>8. My behaviour reveals my positive attitude toward my body; for example, I hold my head high and smile/</w:t>
            </w:r>
            <w:r w:rsidR="0091616D" w:rsidRPr="007A49E1">
              <w:rPr>
                <w:i/>
                <w:noProof/>
                <w:sz w:val="24"/>
                <w:szCs w:val="24"/>
                <w:lang w:val="en-GB"/>
              </w:rPr>
              <w:t xml:space="preserve">Comportamentul meu arată atitudinea mea </w:t>
            </w:r>
            <w:r w:rsidR="0091616D" w:rsidRPr="007A49E1">
              <w:rPr>
                <w:i/>
                <w:noProof/>
                <w:sz w:val="24"/>
                <w:szCs w:val="24"/>
                <w:lang w:val="en-GB"/>
              </w:rPr>
              <w:lastRenderedPageBreak/>
              <w:t>pozitivă față de corpul meu</w:t>
            </w:r>
          </w:p>
        </w:tc>
        <w:tc>
          <w:tcPr>
            <w:tcW w:w="1469" w:type="dxa"/>
          </w:tcPr>
          <w:p w14:paraId="64E9CD6E" w14:textId="5C93E9B6" w:rsidR="00E35BBF" w:rsidRPr="007A49E1" w:rsidRDefault="00653148" w:rsidP="005140C1">
            <w:pPr>
              <w:spacing w:line="480" w:lineRule="auto"/>
              <w:rPr>
                <w:sz w:val="24"/>
                <w:szCs w:val="24"/>
                <w:lang w:val="en-GB"/>
              </w:rPr>
            </w:pPr>
            <w:r>
              <w:rPr>
                <w:sz w:val="24"/>
                <w:szCs w:val="24"/>
                <w:lang w:val="en-GB"/>
              </w:rPr>
              <w:lastRenderedPageBreak/>
              <w:t>3.52 (1.01</w:t>
            </w:r>
            <w:r w:rsidR="009E545E" w:rsidRPr="007A49E1">
              <w:rPr>
                <w:sz w:val="24"/>
                <w:szCs w:val="24"/>
                <w:lang w:val="en-GB"/>
              </w:rPr>
              <w:t>)</w:t>
            </w:r>
          </w:p>
        </w:tc>
        <w:tc>
          <w:tcPr>
            <w:tcW w:w="1276" w:type="dxa"/>
          </w:tcPr>
          <w:p w14:paraId="787ACF8C" w14:textId="60983C81" w:rsidR="00E35BBF" w:rsidRPr="007A49E1" w:rsidRDefault="008C5D47" w:rsidP="005140C1">
            <w:pPr>
              <w:spacing w:line="480" w:lineRule="auto"/>
              <w:rPr>
                <w:sz w:val="24"/>
                <w:szCs w:val="24"/>
                <w:lang w:val="en-GB"/>
              </w:rPr>
            </w:pPr>
            <w:r w:rsidRPr="007A49E1">
              <w:rPr>
                <w:sz w:val="24"/>
                <w:szCs w:val="24"/>
                <w:lang w:val="en-GB"/>
              </w:rPr>
              <w:t>.</w:t>
            </w:r>
            <w:r w:rsidR="00653148">
              <w:rPr>
                <w:sz w:val="24"/>
                <w:szCs w:val="24"/>
                <w:lang w:val="en-GB"/>
              </w:rPr>
              <w:t>80</w:t>
            </w:r>
          </w:p>
        </w:tc>
        <w:tc>
          <w:tcPr>
            <w:tcW w:w="1276" w:type="dxa"/>
          </w:tcPr>
          <w:p w14:paraId="1A791EDB" w14:textId="455BA1A5" w:rsidR="00E35BBF" w:rsidRPr="007A49E1" w:rsidRDefault="00EC0DDC" w:rsidP="005140C1">
            <w:pPr>
              <w:spacing w:line="480" w:lineRule="auto"/>
              <w:rPr>
                <w:sz w:val="24"/>
                <w:szCs w:val="24"/>
                <w:lang w:val="en-GB"/>
              </w:rPr>
            </w:pPr>
            <w:r>
              <w:rPr>
                <w:sz w:val="24"/>
                <w:szCs w:val="24"/>
                <w:lang w:val="en-GB"/>
              </w:rPr>
              <w:t>3.73 (0.94</w:t>
            </w:r>
            <w:r w:rsidR="009E545E" w:rsidRPr="007A49E1">
              <w:rPr>
                <w:sz w:val="24"/>
                <w:szCs w:val="24"/>
                <w:lang w:val="en-GB"/>
              </w:rPr>
              <w:t>)</w:t>
            </w:r>
          </w:p>
        </w:tc>
        <w:tc>
          <w:tcPr>
            <w:tcW w:w="1233" w:type="dxa"/>
          </w:tcPr>
          <w:p w14:paraId="33A167BD" w14:textId="6D3793D8" w:rsidR="00E35BBF" w:rsidRPr="007A49E1" w:rsidRDefault="0020616F" w:rsidP="005140C1">
            <w:pPr>
              <w:spacing w:line="480" w:lineRule="auto"/>
              <w:rPr>
                <w:sz w:val="24"/>
                <w:szCs w:val="24"/>
                <w:lang w:val="en-GB"/>
              </w:rPr>
            </w:pPr>
            <w:r w:rsidRPr="007A49E1">
              <w:rPr>
                <w:sz w:val="24"/>
                <w:szCs w:val="24"/>
                <w:lang w:val="en-GB"/>
              </w:rPr>
              <w:t>.</w:t>
            </w:r>
            <w:r w:rsidR="00EC0DDC">
              <w:rPr>
                <w:sz w:val="24"/>
                <w:szCs w:val="24"/>
                <w:lang w:val="en-GB"/>
              </w:rPr>
              <w:t>63</w:t>
            </w:r>
          </w:p>
        </w:tc>
      </w:tr>
      <w:tr w:rsidR="00E35BBF" w:rsidRPr="007A49E1" w14:paraId="75040386" w14:textId="77777777" w:rsidTr="00F62C62">
        <w:tc>
          <w:tcPr>
            <w:tcW w:w="7740" w:type="dxa"/>
          </w:tcPr>
          <w:p w14:paraId="203408C1" w14:textId="198DFD30" w:rsidR="00E35BBF" w:rsidRPr="007A49E1" w:rsidRDefault="00E35BBF" w:rsidP="005140C1">
            <w:pPr>
              <w:spacing w:line="480" w:lineRule="auto"/>
              <w:rPr>
                <w:sz w:val="24"/>
                <w:szCs w:val="24"/>
                <w:lang w:val="en-GB"/>
              </w:rPr>
            </w:pPr>
            <w:r w:rsidRPr="007A49E1">
              <w:rPr>
                <w:sz w:val="24"/>
                <w:szCs w:val="24"/>
                <w:lang w:val="en-GB"/>
              </w:rPr>
              <w:lastRenderedPageBreak/>
              <w:t>9. I am co</w:t>
            </w:r>
            <w:r w:rsidR="00860051">
              <w:rPr>
                <w:sz w:val="24"/>
                <w:szCs w:val="24"/>
                <w:lang w:val="en-GB"/>
              </w:rPr>
              <w:t>m</w:t>
            </w:r>
            <w:r w:rsidRPr="007A49E1">
              <w:rPr>
                <w:sz w:val="24"/>
                <w:szCs w:val="24"/>
                <w:lang w:val="en-GB"/>
              </w:rPr>
              <w:t>fortable in my body/</w:t>
            </w:r>
            <w:r w:rsidR="0091616D" w:rsidRPr="007A49E1">
              <w:rPr>
                <w:i/>
                <w:noProof/>
                <w:sz w:val="24"/>
                <w:szCs w:val="24"/>
                <w:lang w:val="en-GB"/>
              </w:rPr>
              <w:t>Mă simt bine în corpul meu</w:t>
            </w:r>
          </w:p>
        </w:tc>
        <w:tc>
          <w:tcPr>
            <w:tcW w:w="1469" w:type="dxa"/>
          </w:tcPr>
          <w:p w14:paraId="074091DC" w14:textId="31D0692A" w:rsidR="00E35BBF" w:rsidRPr="007A49E1" w:rsidRDefault="00647F31" w:rsidP="005140C1">
            <w:pPr>
              <w:spacing w:line="480" w:lineRule="auto"/>
              <w:rPr>
                <w:sz w:val="24"/>
                <w:szCs w:val="24"/>
                <w:lang w:val="en-GB"/>
              </w:rPr>
            </w:pPr>
            <w:r>
              <w:rPr>
                <w:sz w:val="24"/>
                <w:szCs w:val="24"/>
                <w:lang w:val="en-GB"/>
              </w:rPr>
              <w:t>3.86 (1.04</w:t>
            </w:r>
            <w:r w:rsidR="009E545E" w:rsidRPr="007A49E1">
              <w:rPr>
                <w:sz w:val="24"/>
                <w:szCs w:val="24"/>
                <w:lang w:val="en-GB"/>
              </w:rPr>
              <w:t>)</w:t>
            </w:r>
          </w:p>
        </w:tc>
        <w:tc>
          <w:tcPr>
            <w:tcW w:w="1276" w:type="dxa"/>
          </w:tcPr>
          <w:p w14:paraId="53284BCF" w14:textId="3D8EB461" w:rsidR="00E35BBF" w:rsidRPr="007A49E1" w:rsidRDefault="00B26E43" w:rsidP="005140C1">
            <w:pPr>
              <w:spacing w:line="480" w:lineRule="auto"/>
              <w:rPr>
                <w:sz w:val="24"/>
                <w:szCs w:val="24"/>
                <w:lang w:val="en-GB"/>
              </w:rPr>
            </w:pPr>
            <w:r w:rsidRPr="007A49E1">
              <w:rPr>
                <w:sz w:val="24"/>
                <w:szCs w:val="24"/>
                <w:lang w:val="en-GB"/>
              </w:rPr>
              <w:t>.</w:t>
            </w:r>
            <w:r w:rsidR="00653148">
              <w:rPr>
                <w:sz w:val="24"/>
                <w:szCs w:val="24"/>
                <w:lang w:val="en-GB"/>
              </w:rPr>
              <w:t>89</w:t>
            </w:r>
          </w:p>
        </w:tc>
        <w:tc>
          <w:tcPr>
            <w:tcW w:w="1276" w:type="dxa"/>
          </w:tcPr>
          <w:p w14:paraId="4BF12874" w14:textId="49986485" w:rsidR="00E35BBF" w:rsidRPr="007A49E1" w:rsidRDefault="00EC0DDC" w:rsidP="005140C1">
            <w:pPr>
              <w:spacing w:line="480" w:lineRule="auto"/>
              <w:rPr>
                <w:sz w:val="24"/>
                <w:szCs w:val="24"/>
                <w:lang w:val="en-GB"/>
              </w:rPr>
            </w:pPr>
            <w:r>
              <w:rPr>
                <w:sz w:val="24"/>
                <w:szCs w:val="24"/>
                <w:lang w:val="en-GB"/>
              </w:rPr>
              <w:t>4.38 (0.80</w:t>
            </w:r>
            <w:r w:rsidR="009E545E" w:rsidRPr="007A49E1">
              <w:rPr>
                <w:sz w:val="24"/>
                <w:szCs w:val="24"/>
                <w:lang w:val="en-GB"/>
              </w:rPr>
              <w:t>)</w:t>
            </w:r>
          </w:p>
        </w:tc>
        <w:tc>
          <w:tcPr>
            <w:tcW w:w="1233" w:type="dxa"/>
          </w:tcPr>
          <w:p w14:paraId="7DA9C553" w14:textId="2B0FD132" w:rsidR="00E35BBF" w:rsidRPr="007A49E1" w:rsidRDefault="0020616F" w:rsidP="005140C1">
            <w:pPr>
              <w:spacing w:line="480" w:lineRule="auto"/>
              <w:rPr>
                <w:sz w:val="24"/>
                <w:szCs w:val="24"/>
                <w:lang w:val="en-GB"/>
              </w:rPr>
            </w:pPr>
            <w:r w:rsidRPr="007A49E1">
              <w:rPr>
                <w:sz w:val="24"/>
                <w:szCs w:val="24"/>
                <w:lang w:val="en-GB"/>
              </w:rPr>
              <w:t>.8</w:t>
            </w:r>
            <w:r w:rsidR="00EC0DDC">
              <w:rPr>
                <w:sz w:val="24"/>
                <w:szCs w:val="24"/>
                <w:lang w:val="en-GB"/>
              </w:rPr>
              <w:t>3</w:t>
            </w:r>
          </w:p>
        </w:tc>
      </w:tr>
      <w:tr w:rsidR="00E35BBF" w:rsidRPr="007A49E1" w14:paraId="671FA0C3" w14:textId="77777777" w:rsidTr="00F62C62">
        <w:tc>
          <w:tcPr>
            <w:tcW w:w="7740" w:type="dxa"/>
            <w:tcBorders>
              <w:bottom w:val="single" w:sz="4" w:space="0" w:color="auto"/>
            </w:tcBorders>
          </w:tcPr>
          <w:p w14:paraId="36082DFB" w14:textId="107954D6" w:rsidR="00E35BBF" w:rsidRPr="007A49E1" w:rsidRDefault="00E35BBF" w:rsidP="005140C1">
            <w:pPr>
              <w:spacing w:line="480" w:lineRule="auto"/>
              <w:rPr>
                <w:sz w:val="24"/>
                <w:szCs w:val="24"/>
                <w:lang w:val="en-GB"/>
              </w:rPr>
            </w:pPr>
            <w:r w:rsidRPr="007A49E1">
              <w:rPr>
                <w:sz w:val="24"/>
                <w:szCs w:val="24"/>
                <w:lang w:val="en-GB"/>
              </w:rPr>
              <w:t>10. I feel like I am beautiful even if I am diffe</w:t>
            </w:r>
            <w:r w:rsidR="007D67CA">
              <w:rPr>
                <w:sz w:val="24"/>
                <w:szCs w:val="24"/>
                <w:lang w:val="en-GB"/>
              </w:rPr>
              <w:t>r</w:t>
            </w:r>
            <w:r w:rsidRPr="007A49E1">
              <w:rPr>
                <w:sz w:val="24"/>
                <w:szCs w:val="24"/>
                <w:lang w:val="en-GB"/>
              </w:rPr>
              <w:t>ent from media images of attractive people (e.g., models, actresses/actors)/</w:t>
            </w:r>
            <w:r w:rsidR="0091616D" w:rsidRPr="007A49E1">
              <w:rPr>
                <w:i/>
                <w:noProof/>
                <w:sz w:val="24"/>
                <w:szCs w:val="24"/>
                <w:lang w:val="en-GB"/>
              </w:rPr>
              <w:t>Mă simt frumos/frumoasă chiar dacă sunt diferit/ă față de imaginile din media a persoanelor atrăgătoare (ex. modele, actrițe, actori)</w:t>
            </w:r>
          </w:p>
        </w:tc>
        <w:tc>
          <w:tcPr>
            <w:tcW w:w="1469" w:type="dxa"/>
            <w:tcBorders>
              <w:bottom w:val="single" w:sz="4" w:space="0" w:color="auto"/>
            </w:tcBorders>
          </w:tcPr>
          <w:p w14:paraId="72D8CB39" w14:textId="46F08FF3" w:rsidR="00E35BBF" w:rsidRPr="007A49E1" w:rsidRDefault="00647F31" w:rsidP="005140C1">
            <w:pPr>
              <w:spacing w:line="480" w:lineRule="auto"/>
              <w:rPr>
                <w:sz w:val="24"/>
                <w:szCs w:val="24"/>
                <w:lang w:val="en-GB"/>
              </w:rPr>
            </w:pPr>
            <w:r>
              <w:rPr>
                <w:sz w:val="24"/>
                <w:szCs w:val="24"/>
                <w:lang w:val="en-GB"/>
              </w:rPr>
              <w:t>3.98 (0.97</w:t>
            </w:r>
            <w:r w:rsidR="009E545E" w:rsidRPr="007A49E1">
              <w:rPr>
                <w:sz w:val="24"/>
                <w:szCs w:val="24"/>
                <w:lang w:val="en-GB"/>
              </w:rPr>
              <w:t>)</w:t>
            </w:r>
          </w:p>
        </w:tc>
        <w:tc>
          <w:tcPr>
            <w:tcW w:w="1276" w:type="dxa"/>
            <w:tcBorders>
              <w:bottom w:val="single" w:sz="4" w:space="0" w:color="auto"/>
            </w:tcBorders>
          </w:tcPr>
          <w:p w14:paraId="01F95022" w14:textId="7385D764" w:rsidR="00E35BBF" w:rsidRPr="007A49E1" w:rsidRDefault="00B26E43" w:rsidP="005140C1">
            <w:pPr>
              <w:spacing w:line="480" w:lineRule="auto"/>
              <w:rPr>
                <w:sz w:val="24"/>
                <w:szCs w:val="24"/>
                <w:lang w:val="en-GB"/>
              </w:rPr>
            </w:pPr>
            <w:r w:rsidRPr="007A49E1">
              <w:rPr>
                <w:sz w:val="24"/>
                <w:szCs w:val="24"/>
                <w:lang w:val="en-GB"/>
              </w:rPr>
              <w:t>.</w:t>
            </w:r>
            <w:r w:rsidR="00653148">
              <w:rPr>
                <w:sz w:val="24"/>
                <w:szCs w:val="24"/>
                <w:lang w:val="en-GB"/>
              </w:rPr>
              <w:t>77</w:t>
            </w:r>
          </w:p>
        </w:tc>
        <w:tc>
          <w:tcPr>
            <w:tcW w:w="1276" w:type="dxa"/>
            <w:tcBorders>
              <w:bottom w:val="single" w:sz="4" w:space="0" w:color="auto"/>
            </w:tcBorders>
          </w:tcPr>
          <w:p w14:paraId="5483D6BB" w14:textId="5722D1DB" w:rsidR="00E35BBF" w:rsidRPr="007A49E1" w:rsidRDefault="00EC0DDC" w:rsidP="005140C1">
            <w:pPr>
              <w:spacing w:line="480" w:lineRule="auto"/>
              <w:rPr>
                <w:sz w:val="24"/>
                <w:szCs w:val="24"/>
                <w:lang w:val="en-GB"/>
              </w:rPr>
            </w:pPr>
            <w:r>
              <w:rPr>
                <w:sz w:val="24"/>
                <w:szCs w:val="24"/>
                <w:lang w:val="en-GB"/>
              </w:rPr>
              <w:t>4.05 (1.00</w:t>
            </w:r>
            <w:r w:rsidR="009E545E" w:rsidRPr="007A49E1">
              <w:rPr>
                <w:sz w:val="24"/>
                <w:szCs w:val="24"/>
                <w:lang w:val="en-GB"/>
              </w:rPr>
              <w:t>)</w:t>
            </w:r>
          </w:p>
        </w:tc>
        <w:tc>
          <w:tcPr>
            <w:tcW w:w="1233" w:type="dxa"/>
            <w:tcBorders>
              <w:bottom w:val="single" w:sz="4" w:space="0" w:color="auto"/>
            </w:tcBorders>
          </w:tcPr>
          <w:p w14:paraId="60D1AE7B" w14:textId="25A23305" w:rsidR="00E35BBF" w:rsidRPr="007A49E1" w:rsidRDefault="00873BFB" w:rsidP="005140C1">
            <w:pPr>
              <w:spacing w:line="480" w:lineRule="auto"/>
              <w:rPr>
                <w:sz w:val="24"/>
                <w:szCs w:val="24"/>
                <w:lang w:val="en-GB"/>
              </w:rPr>
            </w:pPr>
            <w:r w:rsidRPr="007A49E1">
              <w:rPr>
                <w:sz w:val="24"/>
                <w:szCs w:val="24"/>
                <w:lang w:val="en-GB"/>
              </w:rPr>
              <w:t>.</w:t>
            </w:r>
            <w:r w:rsidR="00EC0DDC">
              <w:rPr>
                <w:sz w:val="24"/>
                <w:szCs w:val="24"/>
                <w:lang w:val="en-GB"/>
              </w:rPr>
              <w:t>42</w:t>
            </w:r>
          </w:p>
        </w:tc>
      </w:tr>
    </w:tbl>
    <w:p w14:paraId="12A7F7FC" w14:textId="77777777" w:rsidR="00E35BBF" w:rsidRPr="007A49E1" w:rsidRDefault="00E35BBF" w:rsidP="00F367DA">
      <w:pPr>
        <w:spacing w:line="480" w:lineRule="auto"/>
        <w:ind w:left="567" w:hanging="567"/>
        <w:rPr>
          <w:color w:val="000000" w:themeColor="text1"/>
        </w:rPr>
        <w:sectPr w:rsidR="00E35BBF" w:rsidRPr="007A49E1" w:rsidSect="00E35BBF">
          <w:pgSz w:w="16840" w:h="11900" w:orient="landscape"/>
          <w:pgMar w:top="1440" w:right="1440" w:bottom="1440" w:left="1440" w:header="720" w:footer="720" w:gutter="0"/>
          <w:cols w:space="720"/>
          <w:titlePg/>
          <w:docGrid w:linePitch="360"/>
        </w:sectPr>
      </w:pPr>
    </w:p>
    <w:p w14:paraId="382B5764" w14:textId="00E1019D" w:rsidR="005359EE" w:rsidRPr="000C4E02" w:rsidRDefault="00E35BBF" w:rsidP="005359EE">
      <w:pPr>
        <w:spacing w:line="480" w:lineRule="auto"/>
      </w:pPr>
      <w:r w:rsidRPr="007A49E1">
        <w:lastRenderedPageBreak/>
        <w:t xml:space="preserve">Table 2. </w:t>
      </w:r>
      <w:r w:rsidR="005359EE" w:rsidRPr="000C4E02">
        <w:rPr>
          <w:i/>
        </w:rPr>
        <w:t>Model Fit Indices and Tests of Measurement Invariance</w:t>
      </w:r>
      <w:r w:rsidR="005359EE">
        <w:rPr>
          <w:i/>
        </w:rPr>
        <w:t xml:space="preserve"> for the One-Factor Body Appreci</w:t>
      </w:r>
      <w:r w:rsidR="005359EE" w:rsidRPr="000C4E02">
        <w:rPr>
          <w:i/>
        </w:rPr>
        <w:t>ation Scale-2 Model Across Participant Sex</w:t>
      </w:r>
      <w:r w:rsidR="00D43A86">
        <w:rPr>
          <w:i/>
        </w:rPr>
        <w:t xml:space="preserve"> in the Second</w:t>
      </w:r>
      <w:r w:rsidR="001F2D57">
        <w:rPr>
          <w:i/>
        </w:rPr>
        <w:t xml:space="preserve"> Subsample.</w:t>
      </w:r>
    </w:p>
    <w:tbl>
      <w:tblPr>
        <w:tblpPr w:leftFromText="180" w:rightFromText="180" w:vertAnchor="text" w:horzAnchor="page" w:tblpX="1450" w:tblpY="185"/>
        <w:tblW w:w="0" w:type="auto"/>
        <w:tblLook w:val="04A0" w:firstRow="1" w:lastRow="0" w:firstColumn="1" w:lastColumn="0" w:noHBand="0" w:noVBand="1"/>
      </w:tblPr>
      <w:tblGrid>
        <w:gridCol w:w="2762"/>
        <w:gridCol w:w="996"/>
        <w:gridCol w:w="456"/>
        <w:gridCol w:w="883"/>
        <w:gridCol w:w="1816"/>
        <w:gridCol w:w="884"/>
        <w:gridCol w:w="1214"/>
      </w:tblGrid>
      <w:tr w:rsidR="005359EE" w:rsidRPr="000C4E02" w14:paraId="645662BB" w14:textId="77777777" w:rsidTr="00B20BBC">
        <w:trPr>
          <w:trHeight w:val="1070"/>
        </w:trPr>
        <w:tc>
          <w:tcPr>
            <w:tcW w:w="0" w:type="auto"/>
            <w:tcBorders>
              <w:top w:val="single" w:sz="4" w:space="0" w:color="auto"/>
              <w:left w:val="nil"/>
              <w:bottom w:val="single" w:sz="4" w:space="0" w:color="auto"/>
              <w:right w:val="nil"/>
            </w:tcBorders>
          </w:tcPr>
          <w:p w14:paraId="71C46AA5" w14:textId="77777777" w:rsidR="005359EE" w:rsidRPr="000C4E02" w:rsidRDefault="005359EE" w:rsidP="00F3015E">
            <w:pPr>
              <w:spacing w:line="480" w:lineRule="auto"/>
            </w:pPr>
          </w:p>
        </w:tc>
        <w:tc>
          <w:tcPr>
            <w:tcW w:w="0" w:type="auto"/>
            <w:tcBorders>
              <w:top w:val="single" w:sz="4" w:space="0" w:color="auto"/>
              <w:left w:val="nil"/>
              <w:bottom w:val="single" w:sz="4" w:space="0" w:color="auto"/>
              <w:right w:val="nil"/>
            </w:tcBorders>
          </w:tcPr>
          <w:p w14:paraId="173C3B8C" w14:textId="7AEF1622" w:rsidR="005359EE" w:rsidRPr="000C4E02" w:rsidRDefault="005359EE" w:rsidP="00F3015E">
            <w:pPr>
              <w:spacing w:line="480" w:lineRule="auto"/>
            </w:pPr>
            <w:r w:rsidRPr="000C4E02">
              <w:rPr>
                <w:bCs/>
                <w:i/>
                <w:iCs/>
                <w:shd w:val="clear" w:color="auto" w:fill="FFFFFF"/>
              </w:rPr>
              <w:t>χ</w:t>
            </w:r>
            <w:r w:rsidRPr="000C4E02">
              <w:rPr>
                <w:bCs/>
                <w:shd w:val="clear" w:color="auto" w:fill="FFFFFF"/>
              </w:rPr>
              <w:t>²</w:t>
            </w:r>
            <w:r w:rsidRPr="000C4E02">
              <w:rPr>
                <w:vertAlign w:val="subscript"/>
              </w:rPr>
              <w:t>M</w:t>
            </w:r>
          </w:p>
        </w:tc>
        <w:tc>
          <w:tcPr>
            <w:tcW w:w="0" w:type="auto"/>
            <w:tcBorders>
              <w:top w:val="single" w:sz="4" w:space="0" w:color="auto"/>
              <w:left w:val="nil"/>
              <w:bottom w:val="single" w:sz="4" w:space="0" w:color="auto"/>
              <w:right w:val="nil"/>
            </w:tcBorders>
          </w:tcPr>
          <w:p w14:paraId="7CC52A38" w14:textId="0FC2DF5F" w:rsidR="005359EE" w:rsidRPr="000C4E02" w:rsidRDefault="005359EE" w:rsidP="00F3015E">
            <w:pPr>
              <w:spacing w:line="480" w:lineRule="auto"/>
            </w:pPr>
            <w:r w:rsidRPr="0073343B">
              <w:rPr>
                <w:i/>
              </w:rPr>
              <w:t>df</w:t>
            </w:r>
          </w:p>
        </w:tc>
        <w:tc>
          <w:tcPr>
            <w:tcW w:w="0" w:type="auto"/>
            <w:tcBorders>
              <w:top w:val="single" w:sz="4" w:space="0" w:color="auto"/>
              <w:left w:val="nil"/>
              <w:bottom w:val="single" w:sz="4" w:space="0" w:color="auto"/>
              <w:right w:val="nil"/>
            </w:tcBorders>
          </w:tcPr>
          <w:p w14:paraId="32F1A7AC" w14:textId="420007E5" w:rsidR="005359EE" w:rsidRPr="000C4E02" w:rsidRDefault="005359EE" w:rsidP="00F3015E">
            <w:pPr>
              <w:spacing w:line="480" w:lineRule="auto"/>
            </w:pPr>
            <w:r w:rsidRPr="000C4E02">
              <w:rPr>
                <w:bCs/>
                <w:i/>
                <w:iCs/>
                <w:shd w:val="clear" w:color="auto" w:fill="FFFFFF"/>
              </w:rPr>
              <w:t>χ</w:t>
            </w:r>
            <w:r w:rsidRPr="000C4E02">
              <w:rPr>
                <w:bCs/>
                <w:shd w:val="clear" w:color="auto" w:fill="FFFFFF"/>
              </w:rPr>
              <w:t>²</w:t>
            </w:r>
            <w:r w:rsidRPr="000C4E02">
              <w:rPr>
                <w:vertAlign w:val="subscript"/>
              </w:rPr>
              <w:t>normed</w:t>
            </w:r>
          </w:p>
        </w:tc>
        <w:tc>
          <w:tcPr>
            <w:tcW w:w="0" w:type="auto"/>
            <w:tcBorders>
              <w:top w:val="single" w:sz="4" w:space="0" w:color="auto"/>
              <w:left w:val="nil"/>
              <w:bottom w:val="single" w:sz="4" w:space="0" w:color="auto"/>
              <w:right w:val="nil"/>
            </w:tcBorders>
          </w:tcPr>
          <w:p w14:paraId="7BBA38BD" w14:textId="77777777" w:rsidR="005359EE" w:rsidRPr="000C4E02" w:rsidRDefault="005359EE" w:rsidP="00F3015E">
            <w:pPr>
              <w:spacing w:line="480" w:lineRule="auto"/>
            </w:pPr>
            <w:r w:rsidRPr="000C4E02">
              <w:t xml:space="preserve">RMSEA </w:t>
            </w:r>
          </w:p>
          <w:p w14:paraId="321FA0E6" w14:textId="77777777" w:rsidR="005359EE" w:rsidRPr="000C4E02" w:rsidRDefault="005359EE" w:rsidP="00F3015E">
            <w:pPr>
              <w:spacing w:line="480" w:lineRule="auto"/>
            </w:pPr>
            <w:r w:rsidRPr="000C4E02">
              <w:t xml:space="preserve">(90% </w:t>
            </w:r>
            <w:r w:rsidRPr="0073343B">
              <w:t>CI</w:t>
            </w:r>
            <w:r w:rsidRPr="000C4E02">
              <w:t>)</w:t>
            </w:r>
          </w:p>
        </w:tc>
        <w:tc>
          <w:tcPr>
            <w:tcW w:w="0" w:type="auto"/>
            <w:tcBorders>
              <w:top w:val="single" w:sz="4" w:space="0" w:color="auto"/>
              <w:left w:val="nil"/>
              <w:bottom w:val="single" w:sz="4" w:space="0" w:color="auto"/>
              <w:right w:val="nil"/>
            </w:tcBorders>
          </w:tcPr>
          <w:p w14:paraId="026C6350" w14:textId="77777777" w:rsidR="005359EE" w:rsidRPr="000C4E02" w:rsidRDefault="005359EE" w:rsidP="00F3015E">
            <w:pPr>
              <w:spacing w:line="480" w:lineRule="auto"/>
            </w:pPr>
            <w:r w:rsidRPr="000C4E02">
              <w:t>SRMR</w:t>
            </w:r>
          </w:p>
        </w:tc>
        <w:tc>
          <w:tcPr>
            <w:tcW w:w="1214" w:type="dxa"/>
            <w:tcBorders>
              <w:top w:val="single" w:sz="4" w:space="0" w:color="auto"/>
              <w:left w:val="nil"/>
              <w:bottom w:val="single" w:sz="4" w:space="0" w:color="auto"/>
              <w:right w:val="nil"/>
            </w:tcBorders>
          </w:tcPr>
          <w:p w14:paraId="132A99AE" w14:textId="77777777" w:rsidR="005359EE" w:rsidRPr="000C4E02" w:rsidRDefault="005359EE" w:rsidP="00F3015E">
            <w:pPr>
              <w:spacing w:line="480" w:lineRule="auto"/>
            </w:pPr>
            <w:r w:rsidRPr="000C4E02">
              <w:t>CFI</w:t>
            </w:r>
          </w:p>
        </w:tc>
      </w:tr>
      <w:tr w:rsidR="005359EE" w:rsidRPr="000C4E02" w14:paraId="644FEFC4" w14:textId="77777777" w:rsidTr="00B20BBC">
        <w:trPr>
          <w:trHeight w:val="407"/>
        </w:trPr>
        <w:tc>
          <w:tcPr>
            <w:tcW w:w="0" w:type="auto"/>
          </w:tcPr>
          <w:p w14:paraId="229F9C8F" w14:textId="77777777" w:rsidR="005359EE" w:rsidRPr="000C4E02" w:rsidRDefault="005359EE" w:rsidP="00F3015E">
            <w:pPr>
              <w:spacing w:line="480" w:lineRule="auto"/>
            </w:pPr>
            <w:r w:rsidRPr="000C4E02">
              <w:t>Configural Invariance</w:t>
            </w:r>
          </w:p>
        </w:tc>
        <w:tc>
          <w:tcPr>
            <w:tcW w:w="0" w:type="auto"/>
          </w:tcPr>
          <w:p w14:paraId="6045D13F" w14:textId="30F89551" w:rsidR="005359EE" w:rsidRPr="000C4E02" w:rsidRDefault="001F2D57" w:rsidP="00F3015E">
            <w:pPr>
              <w:spacing w:line="480" w:lineRule="auto"/>
            </w:pPr>
            <w:r>
              <w:t>150.040</w:t>
            </w:r>
          </w:p>
        </w:tc>
        <w:tc>
          <w:tcPr>
            <w:tcW w:w="0" w:type="auto"/>
          </w:tcPr>
          <w:p w14:paraId="717939AC" w14:textId="753591F2" w:rsidR="005359EE" w:rsidRPr="000C4E02" w:rsidRDefault="005359EE" w:rsidP="00F3015E">
            <w:pPr>
              <w:spacing w:line="480" w:lineRule="auto"/>
            </w:pPr>
            <w:r>
              <w:t>6</w:t>
            </w:r>
            <w:r w:rsidR="001F2D57">
              <w:t>4</w:t>
            </w:r>
          </w:p>
        </w:tc>
        <w:tc>
          <w:tcPr>
            <w:tcW w:w="0" w:type="auto"/>
          </w:tcPr>
          <w:p w14:paraId="52A668E1" w14:textId="49C7CC54" w:rsidR="005359EE" w:rsidRPr="000C4E02" w:rsidRDefault="001F2D57" w:rsidP="00F3015E">
            <w:pPr>
              <w:spacing w:line="480" w:lineRule="auto"/>
            </w:pPr>
            <w:r>
              <w:t>2.344</w:t>
            </w:r>
          </w:p>
        </w:tc>
        <w:tc>
          <w:tcPr>
            <w:tcW w:w="0" w:type="auto"/>
          </w:tcPr>
          <w:p w14:paraId="55126112" w14:textId="26087F6F" w:rsidR="005359EE" w:rsidRPr="000C4E02" w:rsidRDefault="001F2D57" w:rsidP="00F3015E">
            <w:pPr>
              <w:spacing w:line="480" w:lineRule="auto"/>
            </w:pPr>
            <w:r>
              <w:t>.073</w:t>
            </w:r>
            <w:r w:rsidR="005359EE">
              <w:t xml:space="preserve"> </w:t>
            </w:r>
            <w:r>
              <w:t>(.058, .088</w:t>
            </w:r>
            <w:r w:rsidR="005359EE">
              <w:t>)</w:t>
            </w:r>
          </w:p>
        </w:tc>
        <w:tc>
          <w:tcPr>
            <w:tcW w:w="0" w:type="auto"/>
          </w:tcPr>
          <w:p w14:paraId="3D22C781" w14:textId="3A8786F9" w:rsidR="005359EE" w:rsidRPr="000C4E02" w:rsidRDefault="001F2D57" w:rsidP="00F3015E">
            <w:pPr>
              <w:spacing w:line="480" w:lineRule="auto"/>
            </w:pPr>
            <w:r>
              <w:t>.064</w:t>
            </w:r>
          </w:p>
        </w:tc>
        <w:tc>
          <w:tcPr>
            <w:tcW w:w="1214" w:type="dxa"/>
          </w:tcPr>
          <w:p w14:paraId="7A4C8324" w14:textId="6F057FA1" w:rsidR="005359EE" w:rsidRPr="000C4E02" w:rsidRDefault="005359EE" w:rsidP="00F3015E">
            <w:pPr>
              <w:spacing w:line="480" w:lineRule="auto"/>
            </w:pPr>
            <w:r>
              <w:t>.9</w:t>
            </w:r>
            <w:r w:rsidR="001F2D57">
              <w:t>30</w:t>
            </w:r>
          </w:p>
        </w:tc>
      </w:tr>
      <w:tr w:rsidR="005359EE" w:rsidRPr="000C4E02" w14:paraId="09A90537" w14:textId="77777777" w:rsidTr="00B20BBC">
        <w:trPr>
          <w:trHeight w:val="398"/>
        </w:trPr>
        <w:tc>
          <w:tcPr>
            <w:tcW w:w="0" w:type="auto"/>
          </w:tcPr>
          <w:p w14:paraId="69AE1D6C" w14:textId="77777777" w:rsidR="005359EE" w:rsidRPr="000C4E02" w:rsidRDefault="005359EE" w:rsidP="00F3015E">
            <w:pPr>
              <w:spacing w:line="480" w:lineRule="auto"/>
            </w:pPr>
            <w:r w:rsidRPr="000C4E02">
              <w:t>Factor Loading Invariance</w:t>
            </w:r>
          </w:p>
        </w:tc>
        <w:tc>
          <w:tcPr>
            <w:tcW w:w="0" w:type="auto"/>
          </w:tcPr>
          <w:p w14:paraId="57ABB5AA" w14:textId="363B9B7A" w:rsidR="005359EE" w:rsidRPr="000C4E02" w:rsidRDefault="001F2D57" w:rsidP="00F3015E">
            <w:pPr>
              <w:spacing w:line="480" w:lineRule="auto"/>
            </w:pPr>
            <w:r>
              <w:t>160.026</w:t>
            </w:r>
          </w:p>
        </w:tc>
        <w:tc>
          <w:tcPr>
            <w:tcW w:w="0" w:type="auto"/>
          </w:tcPr>
          <w:p w14:paraId="71651724" w14:textId="09517BD2" w:rsidR="005359EE" w:rsidRPr="000C4E02" w:rsidRDefault="005359EE" w:rsidP="00F3015E">
            <w:pPr>
              <w:spacing w:line="480" w:lineRule="auto"/>
            </w:pPr>
            <w:r>
              <w:t>7</w:t>
            </w:r>
            <w:r w:rsidR="001F2D57">
              <w:t>3</w:t>
            </w:r>
          </w:p>
        </w:tc>
        <w:tc>
          <w:tcPr>
            <w:tcW w:w="0" w:type="auto"/>
          </w:tcPr>
          <w:p w14:paraId="4E35BEDB" w14:textId="4EE96C3B" w:rsidR="005359EE" w:rsidRPr="000C4E02" w:rsidRDefault="001F2D57" w:rsidP="00F3015E">
            <w:pPr>
              <w:spacing w:line="480" w:lineRule="auto"/>
            </w:pPr>
            <w:r>
              <w:t>2.192</w:t>
            </w:r>
          </w:p>
        </w:tc>
        <w:tc>
          <w:tcPr>
            <w:tcW w:w="0" w:type="auto"/>
          </w:tcPr>
          <w:p w14:paraId="7EE7BE48" w14:textId="08A1B7D6" w:rsidR="005359EE" w:rsidRPr="000C4E02" w:rsidRDefault="001F2D57" w:rsidP="00F3015E">
            <w:pPr>
              <w:spacing w:line="480" w:lineRule="auto"/>
            </w:pPr>
            <w:r>
              <w:t>.069 (.054</w:t>
            </w:r>
            <w:r w:rsidR="005359EE">
              <w:t>,</w:t>
            </w:r>
            <w:r>
              <w:t xml:space="preserve"> .083</w:t>
            </w:r>
            <w:r w:rsidR="005359EE">
              <w:t>)</w:t>
            </w:r>
          </w:p>
        </w:tc>
        <w:tc>
          <w:tcPr>
            <w:tcW w:w="0" w:type="auto"/>
          </w:tcPr>
          <w:p w14:paraId="1B7BD17C" w14:textId="106CC013" w:rsidR="005359EE" w:rsidRPr="000C4E02" w:rsidRDefault="005359EE" w:rsidP="00F3015E">
            <w:pPr>
              <w:spacing w:line="480" w:lineRule="auto"/>
            </w:pPr>
            <w:r>
              <w:t>.0</w:t>
            </w:r>
            <w:r w:rsidR="001F2D57">
              <w:t>69</w:t>
            </w:r>
          </w:p>
        </w:tc>
        <w:tc>
          <w:tcPr>
            <w:tcW w:w="1214" w:type="dxa"/>
          </w:tcPr>
          <w:p w14:paraId="7820494D" w14:textId="4524311A" w:rsidR="005359EE" w:rsidRPr="000C4E02" w:rsidRDefault="001F2D57" w:rsidP="00F3015E">
            <w:pPr>
              <w:spacing w:line="480" w:lineRule="auto"/>
            </w:pPr>
            <w:r>
              <w:t>.929</w:t>
            </w:r>
          </w:p>
        </w:tc>
      </w:tr>
      <w:tr w:rsidR="005359EE" w:rsidRPr="000C4E02" w14:paraId="4DAC3E76" w14:textId="77777777" w:rsidTr="00B20BBC">
        <w:trPr>
          <w:trHeight w:val="128"/>
        </w:trPr>
        <w:tc>
          <w:tcPr>
            <w:tcW w:w="0" w:type="auto"/>
            <w:tcBorders>
              <w:bottom w:val="single" w:sz="4" w:space="0" w:color="auto"/>
            </w:tcBorders>
          </w:tcPr>
          <w:p w14:paraId="3439B45F" w14:textId="77777777" w:rsidR="005359EE" w:rsidRPr="000C4E02" w:rsidRDefault="005359EE" w:rsidP="00F3015E">
            <w:pPr>
              <w:spacing w:line="480" w:lineRule="auto"/>
            </w:pPr>
            <w:r w:rsidRPr="000C4E02">
              <w:t>Intercept Invariance</w:t>
            </w:r>
          </w:p>
        </w:tc>
        <w:tc>
          <w:tcPr>
            <w:tcW w:w="0" w:type="auto"/>
            <w:tcBorders>
              <w:bottom w:val="single" w:sz="4" w:space="0" w:color="auto"/>
            </w:tcBorders>
          </w:tcPr>
          <w:p w14:paraId="24C96C7E" w14:textId="55738174" w:rsidR="005359EE" w:rsidRPr="000C4E02" w:rsidRDefault="001F2D57" w:rsidP="00F3015E">
            <w:pPr>
              <w:spacing w:line="480" w:lineRule="auto"/>
            </w:pPr>
            <w:r>
              <w:t>198.415</w:t>
            </w:r>
          </w:p>
        </w:tc>
        <w:tc>
          <w:tcPr>
            <w:tcW w:w="0" w:type="auto"/>
            <w:tcBorders>
              <w:bottom w:val="single" w:sz="4" w:space="0" w:color="auto"/>
            </w:tcBorders>
          </w:tcPr>
          <w:p w14:paraId="5E53D84A" w14:textId="58282646" w:rsidR="005359EE" w:rsidRPr="000C4E02" w:rsidRDefault="001F2D57" w:rsidP="00F3015E">
            <w:pPr>
              <w:spacing w:line="480" w:lineRule="auto"/>
            </w:pPr>
            <w:r>
              <w:t>83</w:t>
            </w:r>
          </w:p>
        </w:tc>
        <w:tc>
          <w:tcPr>
            <w:tcW w:w="0" w:type="auto"/>
            <w:tcBorders>
              <w:bottom w:val="single" w:sz="4" w:space="0" w:color="auto"/>
            </w:tcBorders>
          </w:tcPr>
          <w:p w14:paraId="519D89C4" w14:textId="0E560CF0" w:rsidR="005359EE" w:rsidRPr="000C4E02" w:rsidRDefault="001F2D57" w:rsidP="00F3015E">
            <w:pPr>
              <w:spacing w:line="480" w:lineRule="auto"/>
            </w:pPr>
            <w:r>
              <w:t>2.391</w:t>
            </w:r>
          </w:p>
        </w:tc>
        <w:tc>
          <w:tcPr>
            <w:tcW w:w="0" w:type="auto"/>
            <w:tcBorders>
              <w:bottom w:val="single" w:sz="4" w:space="0" w:color="auto"/>
            </w:tcBorders>
          </w:tcPr>
          <w:p w14:paraId="23BAF9D9" w14:textId="65EBFFC1" w:rsidR="005359EE" w:rsidRPr="000C4E02" w:rsidRDefault="001F2D57" w:rsidP="00F3015E">
            <w:pPr>
              <w:spacing w:line="480" w:lineRule="auto"/>
            </w:pPr>
            <w:r>
              <w:t>.074 (.061, .088</w:t>
            </w:r>
            <w:r w:rsidR="005359EE">
              <w:t>)</w:t>
            </w:r>
          </w:p>
        </w:tc>
        <w:tc>
          <w:tcPr>
            <w:tcW w:w="0" w:type="auto"/>
            <w:tcBorders>
              <w:bottom w:val="single" w:sz="4" w:space="0" w:color="auto"/>
            </w:tcBorders>
          </w:tcPr>
          <w:p w14:paraId="570FC4E9" w14:textId="36E7E6A6" w:rsidR="005359EE" w:rsidRPr="000C4E02" w:rsidRDefault="005359EE" w:rsidP="00F3015E">
            <w:pPr>
              <w:spacing w:line="480" w:lineRule="auto"/>
            </w:pPr>
            <w:r>
              <w:t>.0</w:t>
            </w:r>
            <w:r w:rsidR="001F2D57">
              <w:t>69</w:t>
            </w:r>
          </w:p>
        </w:tc>
        <w:tc>
          <w:tcPr>
            <w:tcW w:w="1214" w:type="dxa"/>
            <w:tcBorders>
              <w:bottom w:val="single" w:sz="4" w:space="0" w:color="auto"/>
            </w:tcBorders>
          </w:tcPr>
          <w:p w14:paraId="1301F8A3" w14:textId="1E632180" w:rsidR="005359EE" w:rsidRPr="000C4E02" w:rsidRDefault="001F2D57" w:rsidP="00F3015E">
            <w:pPr>
              <w:spacing w:line="480" w:lineRule="auto"/>
            </w:pPr>
            <w:r>
              <w:t>.906</w:t>
            </w:r>
          </w:p>
        </w:tc>
      </w:tr>
    </w:tbl>
    <w:p w14:paraId="6AA64560" w14:textId="77777777" w:rsidR="005359EE" w:rsidRDefault="005359EE" w:rsidP="00B20BBC"/>
    <w:p w14:paraId="7736D64E" w14:textId="1C009C51" w:rsidR="00B20BBC" w:rsidRPr="00B20BBC" w:rsidRDefault="00B20BBC" w:rsidP="00B20BBC">
      <w:pPr>
        <w:spacing w:line="480" w:lineRule="auto"/>
      </w:pPr>
      <w:r>
        <w:rPr>
          <w:i/>
        </w:rPr>
        <w:t xml:space="preserve">Note. </w:t>
      </w:r>
      <w:r w:rsidRPr="000C4E02">
        <w:rPr>
          <w:bCs/>
          <w:i/>
          <w:iCs/>
          <w:shd w:val="clear" w:color="auto" w:fill="FFFFFF"/>
        </w:rPr>
        <w:t>χ</w:t>
      </w:r>
      <w:r w:rsidRPr="000C4E02">
        <w:rPr>
          <w:bCs/>
          <w:shd w:val="clear" w:color="auto" w:fill="FFFFFF"/>
        </w:rPr>
        <w:t>²</w:t>
      </w:r>
      <w:r w:rsidRPr="000C4E02">
        <w:rPr>
          <w:vertAlign w:val="subscript"/>
        </w:rPr>
        <w:t>M</w:t>
      </w:r>
      <w:r>
        <w:t xml:space="preserve"> = mean chi-square; </w:t>
      </w:r>
      <w:r w:rsidRPr="000C4E02">
        <w:rPr>
          <w:bCs/>
          <w:i/>
          <w:iCs/>
          <w:shd w:val="clear" w:color="auto" w:fill="FFFFFF"/>
        </w:rPr>
        <w:t>χ</w:t>
      </w:r>
      <w:r w:rsidRPr="000C4E02">
        <w:rPr>
          <w:bCs/>
          <w:shd w:val="clear" w:color="auto" w:fill="FFFFFF"/>
        </w:rPr>
        <w:t>²</w:t>
      </w:r>
      <w:r w:rsidRPr="000C4E02">
        <w:rPr>
          <w:vertAlign w:val="subscript"/>
        </w:rPr>
        <w:t>normed</w:t>
      </w:r>
      <w:r>
        <w:t xml:space="preserve"> = normed chi-square; </w:t>
      </w:r>
      <w:r w:rsidRPr="000C4E02">
        <w:t>RMSEA</w:t>
      </w:r>
      <w:r>
        <w:t xml:space="preserve"> = </w:t>
      </w:r>
      <w:r w:rsidRPr="00CF60FF">
        <w:rPr>
          <w:rFonts w:eastAsia="Arial Unicode MS"/>
        </w:rPr>
        <w:t>root mean square error of approximation</w:t>
      </w:r>
      <w:r>
        <w:rPr>
          <w:rFonts w:eastAsia="Arial Unicode MS"/>
        </w:rPr>
        <w:t xml:space="preserve">; </w:t>
      </w:r>
      <w:r w:rsidRPr="000C4E02">
        <w:t>SRMR</w:t>
      </w:r>
      <w:r>
        <w:t xml:space="preserve"> = </w:t>
      </w:r>
      <w:r>
        <w:rPr>
          <w:rFonts w:eastAsia="Arial Unicode MS"/>
        </w:rPr>
        <w:t>standardiz</w:t>
      </w:r>
      <w:r w:rsidRPr="00CF60FF">
        <w:rPr>
          <w:rFonts w:eastAsia="Arial Unicode MS"/>
        </w:rPr>
        <w:t>ed root mean square residual</w:t>
      </w:r>
      <w:r>
        <w:rPr>
          <w:rFonts w:eastAsia="Arial Unicode MS"/>
        </w:rPr>
        <w:t xml:space="preserve">; CFI = comparative fit index; CI = confidence interval. </w:t>
      </w:r>
    </w:p>
    <w:p w14:paraId="7D2C3531" w14:textId="77777777" w:rsidR="005359EE" w:rsidRDefault="005359EE">
      <w:r>
        <w:br w:type="page"/>
      </w:r>
    </w:p>
    <w:p w14:paraId="61019E7C" w14:textId="291706DB" w:rsidR="00E35BBF" w:rsidRPr="00387F03" w:rsidRDefault="00B14B4A" w:rsidP="00E35BBF">
      <w:pPr>
        <w:spacing w:line="480" w:lineRule="auto"/>
        <w:rPr>
          <w:rFonts w:asciiTheme="majorBidi" w:hAnsiTheme="majorBidi" w:cstheme="majorBidi"/>
        </w:rPr>
      </w:pPr>
      <w:r>
        <w:rPr>
          <w:rFonts w:asciiTheme="majorBidi" w:hAnsiTheme="majorBidi" w:cstheme="majorBidi"/>
        </w:rPr>
        <w:lastRenderedPageBreak/>
        <w:t xml:space="preserve">Table 3. </w:t>
      </w:r>
      <w:r w:rsidR="00E35BBF" w:rsidRPr="007A49E1">
        <w:rPr>
          <w:rFonts w:asciiTheme="majorBidi" w:hAnsiTheme="majorBidi" w:cstheme="majorBidi"/>
          <w:i/>
        </w:rPr>
        <w:t xml:space="preserve">Correlation Matrix </w:t>
      </w:r>
      <w:r w:rsidR="00B20BBC">
        <w:rPr>
          <w:rFonts w:asciiTheme="majorBidi" w:hAnsiTheme="majorBidi" w:cstheme="majorBidi"/>
          <w:i/>
        </w:rPr>
        <w:t xml:space="preserve">with Associations </w:t>
      </w:r>
      <w:r w:rsidR="00E35BBF" w:rsidRPr="007A49E1">
        <w:rPr>
          <w:rFonts w:asciiTheme="majorBidi" w:hAnsiTheme="majorBidi" w:cstheme="majorBidi"/>
          <w:i/>
        </w:rPr>
        <w:t>for Women</w:t>
      </w:r>
      <w:r w:rsidR="00D2270B" w:rsidRPr="007A49E1">
        <w:rPr>
          <w:rFonts w:asciiTheme="majorBidi" w:hAnsiTheme="majorBidi" w:cstheme="majorBidi"/>
          <w:i/>
        </w:rPr>
        <w:t xml:space="preserve"> (n = 212</w:t>
      </w:r>
      <w:r w:rsidR="00387F03">
        <w:rPr>
          <w:rFonts w:asciiTheme="majorBidi" w:hAnsiTheme="majorBidi" w:cstheme="majorBidi"/>
        </w:rPr>
        <w:t xml:space="preserve">) </w:t>
      </w:r>
      <w:r w:rsidR="00B20BBC">
        <w:rPr>
          <w:rFonts w:asciiTheme="majorBidi" w:hAnsiTheme="majorBidi" w:cstheme="majorBidi"/>
          <w:i/>
        </w:rPr>
        <w:t xml:space="preserve">Reported in the Top Diagonal </w:t>
      </w:r>
      <w:r w:rsidR="00387F03">
        <w:rPr>
          <w:rFonts w:asciiTheme="majorBidi" w:hAnsiTheme="majorBidi" w:cstheme="majorBidi"/>
          <w:i/>
        </w:rPr>
        <w:t>and Men</w:t>
      </w:r>
      <w:r w:rsidR="00387F03">
        <w:rPr>
          <w:rFonts w:asciiTheme="majorBidi" w:hAnsiTheme="majorBidi" w:cstheme="majorBidi"/>
        </w:rPr>
        <w:t xml:space="preserve"> </w:t>
      </w:r>
      <w:r w:rsidR="00387F03">
        <w:rPr>
          <w:rFonts w:asciiTheme="majorBidi" w:hAnsiTheme="majorBidi" w:cstheme="majorBidi"/>
          <w:i/>
        </w:rPr>
        <w:t>(n = 241)</w:t>
      </w:r>
      <w:r w:rsidR="00B20BBC">
        <w:rPr>
          <w:rFonts w:asciiTheme="majorBidi" w:hAnsiTheme="majorBidi" w:cstheme="majorBidi"/>
          <w:i/>
        </w:rPr>
        <w:t xml:space="preserve"> Reported in the Bottom Diagonal</w:t>
      </w:r>
      <w:r w:rsidR="00387F03">
        <w:rPr>
          <w:rFonts w:asciiTheme="majorBidi" w:hAnsiTheme="majorBidi" w:cstheme="majorBid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386"/>
        <w:gridCol w:w="963"/>
        <w:gridCol w:w="959"/>
        <w:gridCol w:w="1083"/>
        <w:gridCol w:w="1083"/>
        <w:gridCol w:w="1081"/>
        <w:gridCol w:w="1080"/>
      </w:tblGrid>
      <w:tr w:rsidR="00C24E9A" w:rsidRPr="007A49E1" w14:paraId="7E9B137C" w14:textId="77FFE69F" w:rsidTr="00C24E9A">
        <w:tc>
          <w:tcPr>
            <w:tcW w:w="2771" w:type="dxa"/>
            <w:gridSpan w:val="2"/>
            <w:tcBorders>
              <w:top w:val="single" w:sz="4" w:space="0" w:color="auto"/>
              <w:bottom w:val="single" w:sz="4" w:space="0" w:color="auto"/>
            </w:tcBorders>
          </w:tcPr>
          <w:p w14:paraId="1629D27E" w14:textId="77777777" w:rsidR="00C24E9A" w:rsidRPr="007A49E1" w:rsidRDefault="00C24E9A" w:rsidP="005140C1">
            <w:pPr>
              <w:spacing w:line="480" w:lineRule="auto"/>
              <w:rPr>
                <w:rFonts w:asciiTheme="majorBidi" w:hAnsiTheme="majorBidi" w:cstheme="majorBidi"/>
                <w:sz w:val="24"/>
                <w:szCs w:val="24"/>
                <w:lang w:val="en-GB"/>
              </w:rPr>
            </w:pPr>
          </w:p>
        </w:tc>
        <w:tc>
          <w:tcPr>
            <w:tcW w:w="963" w:type="dxa"/>
            <w:tcBorders>
              <w:top w:val="single" w:sz="4" w:space="0" w:color="auto"/>
              <w:bottom w:val="single" w:sz="4" w:space="0" w:color="auto"/>
            </w:tcBorders>
          </w:tcPr>
          <w:p w14:paraId="5D7CDE46" w14:textId="77777777"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(1)</w:t>
            </w:r>
          </w:p>
        </w:tc>
        <w:tc>
          <w:tcPr>
            <w:tcW w:w="959" w:type="dxa"/>
            <w:tcBorders>
              <w:top w:val="single" w:sz="4" w:space="0" w:color="auto"/>
              <w:bottom w:val="single" w:sz="4" w:space="0" w:color="auto"/>
            </w:tcBorders>
          </w:tcPr>
          <w:p w14:paraId="1A680D9B" w14:textId="77777777"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(2)</w:t>
            </w:r>
          </w:p>
        </w:tc>
        <w:tc>
          <w:tcPr>
            <w:tcW w:w="1083" w:type="dxa"/>
            <w:tcBorders>
              <w:top w:val="single" w:sz="4" w:space="0" w:color="auto"/>
              <w:bottom w:val="single" w:sz="4" w:space="0" w:color="auto"/>
            </w:tcBorders>
          </w:tcPr>
          <w:p w14:paraId="24DEB58C" w14:textId="77777777"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(3)</w:t>
            </w:r>
          </w:p>
        </w:tc>
        <w:tc>
          <w:tcPr>
            <w:tcW w:w="1083" w:type="dxa"/>
            <w:tcBorders>
              <w:top w:val="single" w:sz="4" w:space="0" w:color="auto"/>
              <w:bottom w:val="single" w:sz="4" w:space="0" w:color="auto"/>
            </w:tcBorders>
          </w:tcPr>
          <w:p w14:paraId="0EE78538" w14:textId="77777777"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(4)</w:t>
            </w:r>
          </w:p>
        </w:tc>
        <w:tc>
          <w:tcPr>
            <w:tcW w:w="1081" w:type="dxa"/>
            <w:tcBorders>
              <w:top w:val="single" w:sz="4" w:space="0" w:color="auto"/>
              <w:bottom w:val="single" w:sz="4" w:space="0" w:color="auto"/>
            </w:tcBorders>
          </w:tcPr>
          <w:p w14:paraId="62EE6226" w14:textId="77777777" w:rsidR="00C24E9A" w:rsidRPr="00C24E9A" w:rsidRDefault="00C24E9A" w:rsidP="005140C1">
            <w:pPr>
              <w:spacing w:line="480" w:lineRule="auto"/>
              <w:rPr>
                <w:rFonts w:asciiTheme="majorBidi" w:hAnsiTheme="majorBidi" w:cstheme="majorBidi"/>
                <w:sz w:val="24"/>
                <w:szCs w:val="24"/>
                <w:lang w:val="en-GB"/>
              </w:rPr>
            </w:pPr>
            <w:r w:rsidRPr="00C24E9A">
              <w:rPr>
                <w:rFonts w:asciiTheme="majorBidi" w:hAnsiTheme="majorBidi" w:cstheme="majorBidi"/>
                <w:sz w:val="24"/>
                <w:szCs w:val="24"/>
                <w:lang w:val="en-GB"/>
              </w:rPr>
              <w:t>(5)</w:t>
            </w:r>
          </w:p>
        </w:tc>
        <w:tc>
          <w:tcPr>
            <w:tcW w:w="1080" w:type="dxa"/>
            <w:tcBorders>
              <w:top w:val="single" w:sz="4" w:space="0" w:color="auto"/>
              <w:bottom w:val="single" w:sz="4" w:space="0" w:color="auto"/>
            </w:tcBorders>
          </w:tcPr>
          <w:p w14:paraId="2F3F5BF9" w14:textId="3B7DD0D3" w:rsidR="00C24E9A" w:rsidRPr="00C24E9A" w:rsidRDefault="00C24E9A" w:rsidP="005140C1">
            <w:pPr>
              <w:spacing w:line="480" w:lineRule="auto"/>
              <w:rPr>
                <w:rFonts w:asciiTheme="majorBidi" w:hAnsiTheme="majorBidi" w:cstheme="majorBidi"/>
                <w:sz w:val="24"/>
                <w:szCs w:val="24"/>
              </w:rPr>
            </w:pPr>
            <w:r w:rsidRPr="00C24E9A">
              <w:rPr>
                <w:rFonts w:asciiTheme="majorBidi" w:hAnsiTheme="majorBidi" w:cstheme="majorBidi"/>
                <w:sz w:val="24"/>
                <w:szCs w:val="24"/>
              </w:rPr>
              <w:t>(6)</w:t>
            </w:r>
          </w:p>
        </w:tc>
      </w:tr>
      <w:tr w:rsidR="00C24E9A" w:rsidRPr="007A49E1" w14:paraId="646C078A" w14:textId="2CB81CD3" w:rsidTr="00C24E9A">
        <w:tc>
          <w:tcPr>
            <w:tcW w:w="2771" w:type="dxa"/>
            <w:gridSpan w:val="2"/>
            <w:tcBorders>
              <w:top w:val="single" w:sz="4" w:space="0" w:color="auto"/>
            </w:tcBorders>
          </w:tcPr>
          <w:p w14:paraId="1E4775A8" w14:textId="77777777"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(1) Body appreciation</w:t>
            </w:r>
          </w:p>
        </w:tc>
        <w:tc>
          <w:tcPr>
            <w:tcW w:w="963" w:type="dxa"/>
            <w:tcBorders>
              <w:top w:val="single" w:sz="4" w:space="0" w:color="auto"/>
            </w:tcBorders>
          </w:tcPr>
          <w:p w14:paraId="36798061" w14:textId="77777777" w:rsidR="00C24E9A" w:rsidRPr="007A49E1" w:rsidRDefault="00C24E9A" w:rsidP="005140C1">
            <w:pPr>
              <w:spacing w:line="480" w:lineRule="auto"/>
              <w:rPr>
                <w:rFonts w:asciiTheme="majorBidi" w:hAnsiTheme="majorBidi" w:cstheme="majorBidi"/>
                <w:sz w:val="24"/>
                <w:szCs w:val="24"/>
                <w:lang w:val="en-GB"/>
              </w:rPr>
            </w:pPr>
          </w:p>
        </w:tc>
        <w:tc>
          <w:tcPr>
            <w:tcW w:w="959" w:type="dxa"/>
            <w:tcBorders>
              <w:top w:val="single" w:sz="4" w:space="0" w:color="auto"/>
            </w:tcBorders>
          </w:tcPr>
          <w:p w14:paraId="6E3ED49D" w14:textId="17E13774"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-.54**</w:t>
            </w:r>
          </w:p>
        </w:tc>
        <w:tc>
          <w:tcPr>
            <w:tcW w:w="1083" w:type="dxa"/>
            <w:tcBorders>
              <w:top w:val="single" w:sz="4" w:space="0" w:color="auto"/>
            </w:tcBorders>
          </w:tcPr>
          <w:p w14:paraId="7B6F80E5" w14:textId="30AF0035"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.71**</w:t>
            </w:r>
          </w:p>
        </w:tc>
        <w:tc>
          <w:tcPr>
            <w:tcW w:w="1083" w:type="dxa"/>
            <w:tcBorders>
              <w:top w:val="single" w:sz="4" w:space="0" w:color="auto"/>
            </w:tcBorders>
          </w:tcPr>
          <w:p w14:paraId="7FB0C6C0" w14:textId="34F91A20"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.52**</w:t>
            </w:r>
          </w:p>
        </w:tc>
        <w:tc>
          <w:tcPr>
            <w:tcW w:w="1081" w:type="dxa"/>
            <w:tcBorders>
              <w:top w:val="single" w:sz="4" w:space="0" w:color="auto"/>
            </w:tcBorders>
          </w:tcPr>
          <w:p w14:paraId="3BC5B3CE" w14:textId="1735FE30"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.44**</w:t>
            </w:r>
          </w:p>
        </w:tc>
        <w:tc>
          <w:tcPr>
            <w:tcW w:w="1080" w:type="dxa"/>
            <w:tcBorders>
              <w:top w:val="single" w:sz="4" w:space="0" w:color="auto"/>
            </w:tcBorders>
          </w:tcPr>
          <w:p w14:paraId="2E369B6D" w14:textId="6A5AB04A" w:rsidR="00C24E9A" w:rsidRPr="00242E5C" w:rsidRDefault="00242E5C" w:rsidP="005140C1">
            <w:pPr>
              <w:spacing w:line="480" w:lineRule="auto"/>
              <w:rPr>
                <w:rFonts w:asciiTheme="majorBidi" w:hAnsiTheme="majorBidi" w:cstheme="majorBidi"/>
                <w:sz w:val="24"/>
                <w:szCs w:val="24"/>
              </w:rPr>
            </w:pPr>
            <w:r w:rsidRPr="00242E5C">
              <w:rPr>
                <w:rFonts w:asciiTheme="majorBidi" w:hAnsiTheme="majorBidi" w:cstheme="majorBidi"/>
                <w:sz w:val="24"/>
                <w:szCs w:val="24"/>
              </w:rPr>
              <w:t>-.30**</w:t>
            </w:r>
          </w:p>
        </w:tc>
      </w:tr>
      <w:tr w:rsidR="00C24E9A" w:rsidRPr="007A49E1" w14:paraId="24DFD061" w14:textId="7FF57717" w:rsidTr="00C24E9A">
        <w:tc>
          <w:tcPr>
            <w:tcW w:w="2771" w:type="dxa"/>
            <w:gridSpan w:val="2"/>
          </w:tcPr>
          <w:p w14:paraId="1F6A28DA" w14:textId="0A0E3223" w:rsidR="00C24E9A" w:rsidRPr="007A49E1" w:rsidRDefault="00C24E9A" w:rsidP="00D2270B">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(2) Disordered eating</w:t>
            </w:r>
          </w:p>
        </w:tc>
        <w:tc>
          <w:tcPr>
            <w:tcW w:w="963" w:type="dxa"/>
          </w:tcPr>
          <w:p w14:paraId="46AE065E" w14:textId="09FD4EFB"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-.45**</w:t>
            </w:r>
          </w:p>
        </w:tc>
        <w:tc>
          <w:tcPr>
            <w:tcW w:w="959" w:type="dxa"/>
          </w:tcPr>
          <w:p w14:paraId="1D370F74" w14:textId="77777777" w:rsidR="00C24E9A" w:rsidRPr="007A49E1" w:rsidRDefault="00C24E9A" w:rsidP="005140C1">
            <w:pPr>
              <w:spacing w:line="480" w:lineRule="auto"/>
              <w:rPr>
                <w:rFonts w:asciiTheme="majorBidi" w:hAnsiTheme="majorBidi" w:cstheme="majorBidi"/>
                <w:sz w:val="24"/>
                <w:szCs w:val="24"/>
                <w:lang w:val="en-GB"/>
              </w:rPr>
            </w:pPr>
          </w:p>
        </w:tc>
        <w:tc>
          <w:tcPr>
            <w:tcW w:w="1083" w:type="dxa"/>
          </w:tcPr>
          <w:p w14:paraId="64589DAB" w14:textId="68301ED2"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-.45**</w:t>
            </w:r>
          </w:p>
        </w:tc>
        <w:tc>
          <w:tcPr>
            <w:tcW w:w="1083" w:type="dxa"/>
          </w:tcPr>
          <w:p w14:paraId="36A5A2BB" w14:textId="352FDFBE"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-.31**</w:t>
            </w:r>
          </w:p>
        </w:tc>
        <w:tc>
          <w:tcPr>
            <w:tcW w:w="1081" w:type="dxa"/>
          </w:tcPr>
          <w:p w14:paraId="0B60B235" w14:textId="3E598F06"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-.13</w:t>
            </w:r>
          </w:p>
        </w:tc>
        <w:tc>
          <w:tcPr>
            <w:tcW w:w="1080" w:type="dxa"/>
          </w:tcPr>
          <w:p w14:paraId="06E6AD09" w14:textId="3429FDDF" w:rsidR="00C24E9A" w:rsidRPr="00242E5C" w:rsidRDefault="00242E5C" w:rsidP="005140C1">
            <w:pPr>
              <w:spacing w:line="480" w:lineRule="auto"/>
              <w:rPr>
                <w:rFonts w:asciiTheme="majorBidi" w:hAnsiTheme="majorBidi" w:cstheme="majorBidi"/>
                <w:sz w:val="24"/>
                <w:szCs w:val="24"/>
              </w:rPr>
            </w:pPr>
            <w:r>
              <w:rPr>
                <w:rFonts w:asciiTheme="majorBidi" w:hAnsiTheme="majorBidi" w:cstheme="majorBidi"/>
                <w:sz w:val="24"/>
                <w:szCs w:val="24"/>
              </w:rPr>
              <w:t>.43**</w:t>
            </w:r>
          </w:p>
        </w:tc>
      </w:tr>
      <w:tr w:rsidR="00C24E9A" w:rsidRPr="007A49E1" w14:paraId="37F4516E" w14:textId="5A88F986" w:rsidTr="00C24E9A">
        <w:tc>
          <w:tcPr>
            <w:tcW w:w="2771" w:type="dxa"/>
            <w:gridSpan w:val="2"/>
          </w:tcPr>
          <w:p w14:paraId="3949E7FD" w14:textId="7D428506" w:rsidR="00C24E9A" w:rsidRPr="007A49E1" w:rsidRDefault="00C24E9A" w:rsidP="00D2270B">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(3) Self-esteem</w:t>
            </w:r>
          </w:p>
        </w:tc>
        <w:tc>
          <w:tcPr>
            <w:tcW w:w="963" w:type="dxa"/>
          </w:tcPr>
          <w:p w14:paraId="6355AB13" w14:textId="55CB9EF1"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.52**</w:t>
            </w:r>
          </w:p>
        </w:tc>
        <w:tc>
          <w:tcPr>
            <w:tcW w:w="959" w:type="dxa"/>
          </w:tcPr>
          <w:p w14:paraId="6890F3C2" w14:textId="72947667"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-.32**</w:t>
            </w:r>
          </w:p>
        </w:tc>
        <w:tc>
          <w:tcPr>
            <w:tcW w:w="1083" w:type="dxa"/>
          </w:tcPr>
          <w:p w14:paraId="1BE43CFC" w14:textId="77777777" w:rsidR="00C24E9A" w:rsidRPr="007A49E1" w:rsidRDefault="00C24E9A" w:rsidP="005140C1">
            <w:pPr>
              <w:spacing w:line="480" w:lineRule="auto"/>
              <w:rPr>
                <w:rFonts w:asciiTheme="majorBidi" w:hAnsiTheme="majorBidi" w:cstheme="majorBidi"/>
                <w:sz w:val="24"/>
                <w:szCs w:val="24"/>
                <w:lang w:val="en-GB"/>
              </w:rPr>
            </w:pPr>
          </w:p>
        </w:tc>
        <w:tc>
          <w:tcPr>
            <w:tcW w:w="1083" w:type="dxa"/>
          </w:tcPr>
          <w:p w14:paraId="1E044B6B" w14:textId="0DA47A99" w:rsidR="00C24E9A" w:rsidRPr="007A49E1" w:rsidRDefault="00242E5C"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.53</w:t>
            </w:r>
            <w:r w:rsidR="00C24E9A" w:rsidRPr="007A49E1">
              <w:rPr>
                <w:rFonts w:asciiTheme="majorBidi" w:hAnsiTheme="majorBidi" w:cstheme="majorBidi"/>
                <w:sz w:val="24"/>
                <w:szCs w:val="24"/>
                <w:lang w:val="en-GB"/>
              </w:rPr>
              <w:t>**</w:t>
            </w:r>
          </w:p>
        </w:tc>
        <w:tc>
          <w:tcPr>
            <w:tcW w:w="1081" w:type="dxa"/>
          </w:tcPr>
          <w:p w14:paraId="25CE005E" w14:textId="4B0445E2"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.41**</w:t>
            </w:r>
          </w:p>
        </w:tc>
        <w:tc>
          <w:tcPr>
            <w:tcW w:w="1080" w:type="dxa"/>
          </w:tcPr>
          <w:p w14:paraId="53D97FEA" w14:textId="7A000616" w:rsidR="00C24E9A" w:rsidRPr="00242E5C" w:rsidRDefault="00242E5C" w:rsidP="005140C1">
            <w:pPr>
              <w:spacing w:line="480" w:lineRule="auto"/>
              <w:rPr>
                <w:rFonts w:asciiTheme="majorBidi" w:hAnsiTheme="majorBidi" w:cstheme="majorBidi"/>
                <w:sz w:val="24"/>
                <w:szCs w:val="24"/>
              </w:rPr>
            </w:pPr>
            <w:r>
              <w:rPr>
                <w:rFonts w:asciiTheme="majorBidi" w:hAnsiTheme="majorBidi" w:cstheme="majorBidi"/>
                <w:sz w:val="24"/>
                <w:szCs w:val="24"/>
              </w:rPr>
              <w:t>-.14*</w:t>
            </w:r>
          </w:p>
        </w:tc>
      </w:tr>
      <w:tr w:rsidR="00C24E9A" w:rsidRPr="007A49E1" w14:paraId="704392A4" w14:textId="5A0D25F9" w:rsidTr="00C24E9A">
        <w:tc>
          <w:tcPr>
            <w:tcW w:w="2771" w:type="dxa"/>
            <w:gridSpan w:val="2"/>
          </w:tcPr>
          <w:p w14:paraId="32E4A9ED" w14:textId="4D0DE112" w:rsidR="00C24E9A" w:rsidRPr="00C24E9A" w:rsidRDefault="00C24E9A" w:rsidP="00D2270B">
            <w:pPr>
              <w:spacing w:line="480" w:lineRule="auto"/>
              <w:rPr>
                <w:rFonts w:asciiTheme="majorBidi" w:hAnsiTheme="majorBidi" w:cstheme="majorBidi"/>
                <w:sz w:val="24"/>
                <w:szCs w:val="24"/>
                <w:lang w:val="en-GB"/>
              </w:rPr>
            </w:pPr>
            <w:r w:rsidRPr="00C24E9A">
              <w:rPr>
                <w:rFonts w:asciiTheme="majorBidi" w:hAnsiTheme="majorBidi" w:cstheme="majorBidi"/>
                <w:sz w:val="24"/>
                <w:szCs w:val="24"/>
                <w:lang w:val="en-GB"/>
              </w:rPr>
              <w:t>(4) Satisfaction with life</w:t>
            </w:r>
          </w:p>
        </w:tc>
        <w:tc>
          <w:tcPr>
            <w:tcW w:w="963" w:type="dxa"/>
          </w:tcPr>
          <w:p w14:paraId="0957AF16" w14:textId="7F9D6062"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.51**</w:t>
            </w:r>
          </w:p>
        </w:tc>
        <w:tc>
          <w:tcPr>
            <w:tcW w:w="959" w:type="dxa"/>
          </w:tcPr>
          <w:p w14:paraId="03E48522" w14:textId="448F43E1"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-.27**</w:t>
            </w:r>
          </w:p>
        </w:tc>
        <w:tc>
          <w:tcPr>
            <w:tcW w:w="1083" w:type="dxa"/>
          </w:tcPr>
          <w:p w14:paraId="70D42E48" w14:textId="5130A73C" w:rsidR="00C24E9A" w:rsidRPr="007A49E1"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.58**</w:t>
            </w:r>
          </w:p>
        </w:tc>
        <w:tc>
          <w:tcPr>
            <w:tcW w:w="1083" w:type="dxa"/>
          </w:tcPr>
          <w:p w14:paraId="1700848F" w14:textId="77777777" w:rsidR="00C24E9A" w:rsidRPr="007A49E1" w:rsidRDefault="00C24E9A" w:rsidP="005140C1">
            <w:pPr>
              <w:spacing w:line="480" w:lineRule="auto"/>
              <w:rPr>
                <w:rFonts w:asciiTheme="majorBidi" w:hAnsiTheme="majorBidi" w:cstheme="majorBidi"/>
                <w:sz w:val="24"/>
                <w:szCs w:val="24"/>
                <w:lang w:val="en-GB"/>
              </w:rPr>
            </w:pPr>
          </w:p>
        </w:tc>
        <w:tc>
          <w:tcPr>
            <w:tcW w:w="1081" w:type="dxa"/>
          </w:tcPr>
          <w:p w14:paraId="09EA13EE" w14:textId="212B8268" w:rsidR="00C24E9A" w:rsidRPr="007A49E1" w:rsidRDefault="00C24E9A" w:rsidP="005140C1">
            <w:pPr>
              <w:spacing w:line="480" w:lineRule="auto"/>
              <w:rPr>
                <w:rFonts w:asciiTheme="majorBidi" w:hAnsiTheme="majorBidi" w:cstheme="majorBidi"/>
                <w:sz w:val="24"/>
                <w:szCs w:val="24"/>
                <w:lang w:val="en-GB"/>
              </w:rPr>
            </w:pPr>
            <w:r w:rsidRPr="007A49E1">
              <w:rPr>
                <w:rFonts w:asciiTheme="majorBidi" w:hAnsiTheme="majorBidi" w:cstheme="majorBidi"/>
                <w:sz w:val="24"/>
                <w:szCs w:val="24"/>
                <w:lang w:val="en-GB"/>
              </w:rPr>
              <w:t>.57**</w:t>
            </w:r>
          </w:p>
        </w:tc>
        <w:tc>
          <w:tcPr>
            <w:tcW w:w="1080" w:type="dxa"/>
          </w:tcPr>
          <w:p w14:paraId="4576A5DC" w14:textId="6DF67745" w:rsidR="00C24E9A" w:rsidRPr="00242E5C" w:rsidRDefault="00242E5C" w:rsidP="005140C1">
            <w:pPr>
              <w:spacing w:line="480" w:lineRule="auto"/>
              <w:rPr>
                <w:rFonts w:asciiTheme="majorBidi" w:hAnsiTheme="majorBidi" w:cstheme="majorBidi"/>
                <w:sz w:val="24"/>
                <w:szCs w:val="24"/>
              </w:rPr>
            </w:pPr>
            <w:r>
              <w:rPr>
                <w:rFonts w:asciiTheme="majorBidi" w:hAnsiTheme="majorBidi" w:cstheme="majorBidi"/>
                <w:sz w:val="24"/>
                <w:szCs w:val="24"/>
              </w:rPr>
              <w:t>-.04</w:t>
            </w:r>
          </w:p>
        </w:tc>
      </w:tr>
      <w:tr w:rsidR="00C24E9A" w:rsidRPr="007A49E1" w14:paraId="4C296EFA" w14:textId="73C5D20B" w:rsidTr="00D263D5">
        <w:tc>
          <w:tcPr>
            <w:tcW w:w="2771" w:type="dxa"/>
            <w:gridSpan w:val="2"/>
          </w:tcPr>
          <w:p w14:paraId="6B5D8ABF" w14:textId="6F959ED3" w:rsidR="00C24E9A" w:rsidRPr="00387F03" w:rsidRDefault="00C24E9A" w:rsidP="0082384E">
            <w:pPr>
              <w:spacing w:line="480" w:lineRule="auto"/>
              <w:rPr>
                <w:rFonts w:asciiTheme="majorBidi" w:hAnsiTheme="majorBidi" w:cstheme="majorBidi"/>
                <w:sz w:val="24"/>
                <w:szCs w:val="24"/>
                <w:lang w:val="en-GB"/>
              </w:rPr>
            </w:pPr>
            <w:r w:rsidRPr="00387F03">
              <w:rPr>
                <w:rFonts w:asciiTheme="majorBidi" w:hAnsiTheme="majorBidi" w:cstheme="majorBidi"/>
                <w:sz w:val="24"/>
                <w:szCs w:val="24"/>
                <w:lang w:val="en-GB"/>
              </w:rPr>
              <w:t>(5) Subjective happiness</w:t>
            </w:r>
          </w:p>
        </w:tc>
        <w:tc>
          <w:tcPr>
            <w:tcW w:w="963" w:type="dxa"/>
          </w:tcPr>
          <w:p w14:paraId="7EA0B440" w14:textId="538791D3" w:rsidR="00C24E9A" w:rsidRPr="00387F03" w:rsidRDefault="00387F03" w:rsidP="005140C1">
            <w:pPr>
              <w:spacing w:line="480" w:lineRule="auto"/>
              <w:rPr>
                <w:rFonts w:asciiTheme="majorBidi" w:hAnsiTheme="majorBidi" w:cstheme="majorBidi"/>
                <w:sz w:val="24"/>
                <w:szCs w:val="24"/>
                <w:lang w:val="en-GB"/>
              </w:rPr>
            </w:pPr>
            <w:r w:rsidRPr="00387F03">
              <w:rPr>
                <w:rFonts w:asciiTheme="majorBidi" w:hAnsiTheme="majorBidi" w:cstheme="majorBidi"/>
                <w:sz w:val="24"/>
                <w:szCs w:val="24"/>
                <w:lang w:val="en-GB"/>
              </w:rPr>
              <w:t>.41**</w:t>
            </w:r>
          </w:p>
        </w:tc>
        <w:tc>
          <w:tcPr>
            <w:tcW w:w="959" w:type="dxa"/>
          </w:tcPr>
          <w:p w14:paraId="762FE69F" w14:textId="472BEF52" w:rsidR="00C24E9A" w:rsidRPr="00387F03"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-.12</w:t>
            </w:r>
          </w:p>
        </w:tc>
        <w:tc>
          <w:tcPr>
            <w:tcW w:w="1083" w:type="dxa"/>
          </w:tcPr>
          <w:p w14:paraId="26AF46D8" w14:textId="528C98D0" w:rsidR="00C24E9A" w:rsidRPr="00387F03"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.46**</w:t>
            </w:r>
          </w:p>
        </w:tc>
        <w:tc>
          <w:tcPr>
            <w:tcW w:w="1083" w:type="dxa"/>
          </w:tcPr>
          <w:p w14:paraId="2D3D814B" w14:textId="0AA0E57F" w:rsidR="00C24E9A" w:rsidRPr="00387F03" w:rsidRDefault="00387F03" w:rsidP="005140C1">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.56**</w:t>
            </w:r>
          </w:p>
        </w:tc>
        <w:tc>
          <w:tcPr>
            <w:tcW w:w="1081" w:type="dxa"/>
          </w:tcPr>
          <w:p w14:paraId="2B95F642" w14:textId="77777777" w:rsidR="00C24E9A" w:rsidRPr="00387F03" w:rsidRDefault="00C24E9A" w:rsidP="005140C1">
            <w:pPr>
              <w:spacing w:line="480" w:lineRule="auto"/>
              <w:rPr>
                <w:rFonts w:asciiTheme="majorBidi" w:hAnsiTheme="majorBidi" w:cstheme="majorBidi"/>
                <w:sz w:val="24"/>
                <w:szCs w:val="24"/>
                <w:lang w:val="en-GB"/>
              </w:rPr>
            </w:pPr>
          </w:p>
        </w:tc>
        <w:tc>
          <w:tcPr>
            <w:tcW w:w="1080" w:type="dxa"/>
          </w:tcPr>
          <w:p w14:paraId="0717EA22" w14:textId="234A86E2" w:rsidR="00C24E9A" w:rsidRPr="00387F03" w:rsidRDefault="00242E5C"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-.04</w:t>
            </w:r>
          </w:p>
        </w:tc>
      </w:tr>
      <w:tr w:rsidR="00C24E9A" w:rsidRPr="007A49E1" w14:paraId="564D7EA9" w14:textId="77777777" w:rsidTr="00D263D5">
        <w:tc>
          <w:tcPr>
            <w:tcW w:w="2771" w:type="dxa"/>
            <w:gridSpan w:val="2"/>
            <w:tcBorders>
              <w:bottom w:val="single" w:sz="4" w:space="0" w:color="auto"/>
            </w:tcBorders>
          </w:tcPr>
          <w:p w14:paraId="3E4C9A03" w14:textId="1D0FFB84" w:rsidR="00C24E9A" w:rsidRPr="00387F03" w:rsidRDefault="00C24E9A" w:rsidP="0082384E">
            <w:pPr>
              <w:spacing w:line="480" w:lineRule="auto"/>
              <w:rPr>
                <w:rFonts w:asciiTheme="majorBidi" w:hAnsiTheme="majorBidi" w:cstheme="majorBidi"/>
                <w:sz w:val="24"/>
                <w:szCs w:val="24"/>
              </w:rPr>
            </w:pPr>
            <w:r w:rsidRPr="00387F03">
              <w:rPr>
                <w:rFonts w:asciiTheme="majorBidi" w:hAnsiTheme="majorBidi" w:cstheme="majorBidi"/>
                <w:sz w:val="24"/>
                <w:szCs w:val="24"/>
              </w:rPr>
              <w:t>(6) Body mass index</w:t>
            </w:r>
          </w:p>
        </w:tc>
        <w:tc>
          <w:tcPr>
            <w:tcW w:w="963" w:type="dxa"/>
            <w:tcBorders>
              <w:bottom w:val="single" w:sz="4" w:space="0" w:color="auto"/>
            </w:tcBorders>
          </w:tcPr>
          <w:p w14:paraId="1BBD37BD" w14:textId="12F2402B" w:rsidR="00C24E9A"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-.28**</w:t>
            </w:r>
          </w:p>
        </w:tc>
        <w:tc>
          <w:tcPr>
            <w:tcW w:w="959" w:type="dxa"/>
            <w:tcBorders>
              <w:bottom w:val="single" w:sz="4" w:space="0" w:color="auto"/>
            </w:tcBorders>
          </w:tcPr>
          <w:p w14:paraId="45100E8C" w14:textId="7B88FBCB" w:rsidR="00C24E9A"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.21**</w:t>
            </w:r>
          </w:p>
        </w:tc>
        <w:tc>
          <w:tcPr>
            <w:tcW w:w="1083" w:type="dxa"/>
            <w:tcBorders>
              <w:bottom w:val="single" w:sz="4" w:space="0" w:color="auto"/>
            </w:tcBorders>
          </w:tcPr>
          <w:p w14:paraId="140AF63E" w14:textId="76CF529A" w:rsidR="00C24E9A"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.15*</w:t>
            </w:r>
          </w:p>
        </w:tc>
        <w:tc>
          <w:tcPr>
            <w:tcW w:w="1083" w:type="dxa"/>
            <w:tcBorders>
              <w:bottom w:val="single" w:sz="4" w:space="0" w:color="auto"/>
            </w:tcBorders>
          </w:tcPr>
          <w:p w14:paraId="039552C9" w14:textId="5990DCE0" w:rsidR="00C24E9A"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.10</w:t>
            </w:r>
          </w:p>
        </w:tc>
        <w:tc>
          <w:tcPr>
            <w:tcW w:w="1081" w:type="dxa"/>
            <w:tcBorders>
              <w:bottom w:val="single" w:sz="4" w:space="0" w:color="auto"/>
            </w:tcBorders>
          </w:tcPr>
          <w:p w14:paraId="1295AD95" w14:textId="25766FDE" w:rsidR="00C24E9A"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.07</w:t>
            </w:r>
          </w:p>
        </w:tc>
        <w:tc>
          <w:tcPr>
            <w:tcW w:w="1080" w:type="dxa"/>
            <w:tcBorders>
              <w:bottom w:val="single" w:sz="4" w:space="0" w:color="auto"/>
            </w:tcBorders>
          </w:tcPr>
          <w:p w14:paraId="1330E853" w14:textId="77777777" w:rsidR="00C24E9A" w:rsidRPr="00387F03" w:rsidRDefault="00C24E9A" w:rsidP="005140C1">
            <w:pPr>
              <w:spacing w:line="480" w:lineRule="auto"/>
              <w:rPr>
                <w:rFonts w:asciiTheme="majorBidi" w:hAnsiTheme="majorBidi" w:cstheme="majorBidi"/>
                <w:sz w:val="24"/>
                <w:szCs w:val="24"/>
              </w:rPr>
            </w:pPr>
          </w:p>
        </w:tc>
      </w:tr>
      <w:tr w:rsidR="00387F03" w:rsidRPr="00D263D5" w14:paraId="108FD9BF" w14:textId="77777777" w:rsidTr="00F3015E">
        <w:tc>
          <w:tcPr>
            <w:tcW w:w="1385" w:type="dxa"/>
            <w:tcBorders>
              <w:top w:val="single" w:sz="4" w:space="0" w:color="auto"/>
            </w:tcBorders>
          </w:tcPr>
          <w:p w14:paraId="14D329FB" w14:textId="03FE49F8" w:rsidR="00387F03" w:rsidRPr="00387F03" w:rsidRDefault="00387F03" w:rsidP="0082384E">
            <w:pPr>
              <w:spacing w:line="480" w:lineRule="auto"/>
              <w:rPr>
                <w:rFonts w:asciiTheme="majorBidi" w:hAnsiTheme="majorBidi" w:cstheme="majorBidi"/>
                <w:sz w:val="24"/>
                <w:szCs w:val="24"/>
              </w:rPr>
            </w:pPr>
            <w:r w:rsidRPr="00387F03">
              <w:rPr>
                <w:rFonts w:asciiTheme="majorBidi" w:hAnsiTheme="majorBidi" w:cstheme="majorBidi"/>
                <w:sz w:val="24"/>
                <w:szCs w:val="24"/>
              </w:rPr>
              <w:t>Women</w:t>
            </w:r>
          </w:p>
        </w:tc>
        <w:tc>
          <w:tcPr>
            <w:tcW w:w="1386" w:type="dxa"/>
            <w:tcBorders>
              <w:top w:val="single" w:sz="4" w:space="0" w:color="auto"/>
            </w:tcBorders>
          </w:tcPr>
          <w:p w14:paraId="4C93A7DC" w14:textId="4D686305" w:rsidR="00387F03" w:rsidRPr="00387F03" w:rsidRDefault="00387F03" w:rsidP="0082384E">
            <w:pPr>
              <w:spacing w:line="480" w:lineRule="auto"/>
              <w:rPr>
                <w:rFonts w:asciiTheme="majorBidi" w:hAnsiTheme="majorBidi" w:cstheme="majorBidi"/>
                <w:i/>
                <w:sz w:val="24"/>
                <w:szCs w:val="24"/>
              </w:rPr>
            </w:pPr>
            <w:r w:rsidRPr="00387F03">
              <w:rPr>
                <w:rFonts w:asciiTheme="majorBidi" w:hAnsiTheme="majorBidi" w:cstheme="majorBidi"/>
                <w:i/>
                <w:sz w:val="24"/>
                <w:szCs w:val="24"/>
              </w:rPr>
              <w:t>M</w:t>
            </w:r>
          </w:p>
        </w:tc>
        <w:tc>
          <w:tcPr>
            <w:tcW w:w="963" w:type="dxa"/>
            <w:tcBorders>
              <w:top w:val="single" w:sz="4" w:space="0" w:color="auto"/>
            </w:tcBorders>
          </w:tcPr>
          <w:p w14:paraId="579B7139" w14:textId="7ED67916"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3.89</w:t>
            </w:r>
          </w:p>
        </w:tc>
        <w:tc>
          <w:tcPr>
            <w:tcW w:w="959" w:type="dxa"/>
            <w:tcBorders>
              <w:top w:val="single" w:sz="4" w:space="0" w:color="auto"/>
            </w:tcBorders>
          </w:tcPr>
          <w:p w14:paraId="01536A6F" w14:textId="11078138"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3.31</w:t>
            </w:r>
          </w:p>
        </w:tc>
        <w:tc>
          <w:tcPr>
            <w:tcW w:w="1083" w:type="dxa"/>
            <w:tcBorders>
              <w:top w:val="single" w:sz="4" w:space="0" w:color="auto"/>
            </w:tcBorders>
          </w:tcPr>
          <w:p w14:paraId="7826C5D0" w14:textId="257FECD2"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3.23</w:t>
            </w:r>
          </w:p>
        </w:tc>
        <w:tc>
          <w:tcPr>
            <w:tcW w:w="1083" w:type="dxa"/>
            <w:tcBorders>
              <w:top w:val="single" w:sz="4" w:space="0" w:color="auto"/>
            </w:tcBorders>
          </w:tcPr>
          <w:p w14:paraId="027FC430" w14:textId="2B407F85"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5.08</w:t>
            </w:r>
          </w:p>
        </w:tc>
        <w:tc>
          <w:tcPr>
            <w:tcW w:w="1081" w:type="dxa"/>
            <w:tcBorders>
              <w:top w:val="single" w:sz="4" w:space="0" w:color="auto"/>
            </w:tcBorders>
          </w:tcPr>
          <w:p w14:paraId="7A961B9B" w14:textId="3EB0E7CF"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4.63</w:t>
            </w:r>
          </w:p>
        </w:tc>
        <w:tc>
          <w:tcPr>
            <w:tcW w:w="1080" w:type="dxa"/>
            <w:tcBorders>
              <w:top w:val="single" w:sz="4" w:space="0" w:color="auto"/>
            </w:tcBorders>
          </w:tcPr>
          <w:p w14:paraId="6BAE1606" w14:textId="02A554F4"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21.30</w:t>
            </w:r>
          </w:p>
        </w:tc>
      </w:tr>
      <w:tr w:rsidR="00387F03" w:rsidRPr="00D263D5" w14:paraId="55EB499D" w14:textId="77777777" w:rsidTr="00387F03">
        <w:tc>
          <w:tcPr>
            <w:tcW w:w="1385" w:type="dxa"/>
          </w:tcPr>
          <w:p w14:paraId="7925BE2C" w14:textId="77777777" w:rsidR="00387F03" w:rsidRPr="00387F03" w:rsidRDefault="00387F03" w:rsidP="0082384E">
            <w:pPr>
              <w:spacing w:line="480" w:lineRule="auto"/>
              <w:rPr>
                <w:rFonts w:asciiTheme="majorBidi" w:hAnsiTheme="majorBidi" w:cstheme="majorBidi"/>
                <w:i/>
                <w:sz w:val="24"/>
                <w:szCs w:val="24"/>
              </w:rPr>
            </w:pPr>
          </w:p>
        </w:tc>
        <w:tc>
          <w:tcPr>
            <w:tcW w:w="1386" w:type="dxa"/>
          </w:tcPr>
          <w:p w14:paraId="699F9626" w14:textId="38AB8BF0" w:rsidR="00387F03" w:rsidRPr="00387F03" w:rsidRDefault="00387F03" w:rsidP="0082384E">
            <w:pPr>
              <w:spacing w:line="480" w:lineRule="auto"/>
              <w:rPr>
                <w:rFonts w:asciiTheme="majorBidi" w:hAnsiTheme="majorBidi" w:cstheme="majorBidi"/>
                <w:i/>
                <w:sz w:val="24"/>
                <w:szCs w:val="24"/>
              </w:rPr>
            </w:pPr>
            <w:r w:rsidRPr="00387F03">
              <w:rPr>
                <w:rFonts w:asciiTheme="majorBidi" w:hAnsiTheme="majorBidi" w:cstheme="majorBidi"/>
                <w:i/>
                <w:sz w:val="24"/>
                <w:szCs w:val="24"/>
              </w:rPr>
              <w:t>SD</w:t>
            </w:r>
          </w:p>
        </w:tc>
        <w:tc>
          <w:tcPr>
            <w:tcW w:w="963" w:type="dxa"/>
          </w:tcPr>
          <w:p w14:paraId="2A5028D1" w14:textId="04F04804"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0.72</w:t>
            </w:r>
          </w:p>
        </w:tc>
        <w:tc>
          <w:tcPr>
            <w:tcW w:w="959" w:type="dxa"/>
          </w:tcPr>
          <w:p w14:paraId="603A9AD0" w14:textId="67F50AEC"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0.59</w:t>
            </w:r>
          </w:p>
        </w:tc>
        <w:tc>
          <w:tcPr>
            <w:tcW w:w="1083" w:type="dxa"/>
          </w:tcPr>
          <w:p w14:paraId="435202F1" w14:textId="37ACFE52"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0.52</w:t>
            </w:r>
          </w:p>
        </w:tc>
        <w:tc>
          <w:tcPr>
            <w:tcW w:w="1083" w:type="dxa"/>
          </w:tcPr>
          <w:p w14:paraId="3C47A82D" w14:textId="6468D9FF"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1.16</w:t>
            </w:r>
          </w:p>
        </w:tc>
        <w:tc>
          <w:tcPr>
            <w:tcW w:w="1081" w:type="dxa"/>
          </w:tcPr>
          <w:p w14:paraId="240B8AE9" w14:textId="23B9D581"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0.80</w:t>
            </w:r>
          </w:p>
        </w:tc>
        <w:tc>
          <w:tcPr>
            <w:tcW w:w="1080" w:type="dxa"/>
          </w:tcPr>
          <w:p w14:paraId="69DCC7D6" w14:textId="1BB8BADB" w:rsidR="00387F03" w:rsidRPr="00387F03" w:rsidRDefault="00387F03" w:rsidP="005140C1">
            <w:pPr>
              <w:spacing w:line="480" w:lineRule="auto"/>
              <w:rPr>
                <w:rFonts w:asciiTheme="majorBidi" w:hAnsiTheme="majorBidi" w:cstheme="majorBidi"/>
                <w:sz w:val="24"/>
                <w:szCs w:val="24"/>
              </w:rPr>
            </w:pPr>
            <w:r w:rsidRPr="00387F03">
              <w:rPr>
                <w:rFonts w:asciiTheme="majorBidi" w:hAnsiTheme="majorBidi" w:cstheme="majorBidi"/>
                <w:sz w:val="24"/>
                <w:szCs w:val="24"/>
              </w:rPr>
              <w:t>3.65</w:t>
            </w:r>
          </w:p>
        </w:tc>
      </w:tr>
      <w:tr w:rsidR="00387F03" w:rsidRPr="00D263D5" w14:paraId="415A7CE7" w14:textId="77777777" w:rsidTr="00387F03">
        <w:tc>
          <w:tcPr>
            <w:tcW w:w="1385" w:type="dxa"/>
          </w:tcPr>
          <w:p w14:paraId="737B1ED9" w14:textId="47768674" w:rsidR="00387F03" w:rsidRPr="00387F03" w:rsidRDefault="00387F03" w:rsidP="0082384E">
            <w:pPr>
              <w:spacing w:line="480" w:lineRule="auto"/>
              <w:rPr>
                <w:rFonts w:asciiTheme="majorBidi" w:hAnsiTheme="majorBidi" w:cstheme="majorBidi"/>
                <w:sz w:val="24"/>
                <w:szCs w:val="24"/>
              </w:rPr>
            </w:pPr>
            <w:r w:rsidRPr="00387F03">
              <w:rPr>
                <w:rFonts w:asciiTheme="majorBidi" w:hAnsiTheme="majorBidi" w:cstheme="majorBidi"/>
                <w:sz w:val="24"/>
                <w:szCs w:val="24"/>
              </w:rPr>
              <w:t>Men</w:t>
            </w:r>
          </w:p>
        </w:tc>
        <w:tc>
          <w:tcPr>
            <w:tcW w:w="1386" w:type="dxa"/>
          </w:tcPr>
          <w:p w14:paraId="555B57ED" w14:textId="2910F67F" w:rsidR="00387F03" w:rsidRPr="00387F03" w:rsidRDefault="00387F03" w:rsidP="0082384E">
            <w:pPr>
              <w:spacing w:line="480" w:lineRule="auto"/>
              <w:rPr>
                <w:rFonts w:asciiTheme="majorBidi" w:hAnsiTheme="majorBidi" w:cstheme="majorBidi"/>
                <w:i/>
                <w:sz w:val="24"/>
                <w:szCs w:val="24"/>
              </w:rPr>
            </w:pPr>
            <w:r w:rsidRPr="00387F03">
              <w:rPr>
                <w:rFonts w:asciiTheme="majorBidi" w:hAnsiTheme="majorBidi" w:cstheme="majorBidi"/>
                <w:i/>
                <w:sz w:val="24"/>
                <w:szCs w:val="24"/>
              </w:rPr>
              <w:t>M</w:t>
            </w:r>
          </w:p>
        </w:tc>
        <w:tc>
          <w:tcPr>
            <w:tcW w:w="963" w:type="dxa"/>
          </w:tcPr>
          <w:p w14:paraId="2C490AEC" w14:textId="4BAE601B"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3.99</w:t>
            </w:r>
          </w:p>
        </w:tc>
        <w:tc>
          <w:tcPr>
            <w:tcW w:w="959" w:type="dxa"/>
          </w:tcPr>
          <w:p w14:paraId="0934C1D3" w14:textId="3907FA63"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2.15</w:t>
            </w:r>
          </w:p>
        </w:tc>
        <w:tc>
          <w:tcPr>
            <w:tcW w:w="1083" w:type="dxa"/>
          </w:tcPr>
          <w:p w14:paraId="47FC7712" w14:textId="718AC7E2"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3.22</w:t>
            </w:r>
          </w:p>
        </w:tc>
        <w:tc>
          <w:tcPr>
            <w:tcW w:w="1083" w:type="dxa"/>
          </w:tcPr>
          <w:p w14:paraId="3B70C8F4" w14:textId="409D9A48"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5.08</w:t>
            </w:r>
          </w:p>
        </w:tc>
        <w:tc>
          <w:tcPr>
            <w:tcW w:w="1081" w:type="dxa"/>
          </w:tcPr>
          <w:p w14:paraId="70DA0331" w14:textId="3DC7F303"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4.85</w:t>
            </w:r>
          </w:p>
        </w:tc>
        <w:tc>
          <w:tcPr>
            <w:tcW w:w="1080" w:type="dxa"/>
          </w:tcPr>
          <w:p w14:paraId="76B964BC" w14:textId="02DAB3C3"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22.95</w:t>
            </w:r>
          </w:p>
        </w:tc>
      </w:tr>
      <w:tr w:rsidR="00387F03" w:rsidRPr="00D263D5" w14:paraId="07E5EF0D" w14:textId="77777777" w:rsidTr="00F3015E">
        <w:tc>
          <w:tcPr>
            <w:tcW w:w="1385" w:type="dxa"/>
            <w:tcBorders>
              <w:bottom w:val="single" w:sz="4" w:space="0" w:color="auto"/>
            </w:tcBorders>
          </w:tcPr>
          <w:p w14:paraId="601F4288" w14:textId="77777777" w:rsidR="00387F03" w:rsidRPr="00387F03" w:rsidRDefault="00387F03" w:rsidP="0082384E">
            <w:pPr>
              <w:spacing w:line="480" w:lineRule="auto"/>
              <w:rPr>
                <w:rFonts w:asciiTheme="majorBidi" w:hAnsiTheme="majorBidi" w:cstheme="majorBidi"/>
                <w:sz w:val="24"/>
                <w:szCs w:val="24"/>
              </w:rPr>
            </w:pPr>
          </w:p>
        </w:tc>
        <w:tc>
          <w:tcPr>
            <w:tcW w:w="1386" w:type="dxa"/>
            <w:tcBorders>
              <w:bottom w:val="single" w:sz="4" w:space="0" w:color="auto"/>
            </w:tcBorders>
          </w:tcPr>
          <w:p w14:paraId="2A4853F8" w14:textId="1B10724F" w:rsidR="00387F03" w:rsidRPr="00387F03" w:rsidRDefault="00387F03" w:rsidP="0082384E">
            <w:pPr>
              <w:spacing w:line="480" w:lineRule="auto"/>
              <w:rPr>
                <w:rFonts w:asciiTheme="majorBidi" w:hAnsiTheme="majorBidi" w:cstheme="majorBidi"/>
                <w:i/>
                <w:sz w:val="24"/>
                <w:szCs w:val="24"/>
              </w:rPr>
            </w:pPr>
            <w:r w:rsidRPr="00387F03">
              <w:rPr>
                <w:rFonts w:asciiTheme="majorBidi" w:hAnsiTheme="majorBidi" w:cstheme="majorBidi"/>
                <w:i/>
                <w:sz w:val="24"/>
                <w:szCs w:val="24"/>
              </w:rPr>
              <w:t>SD</w:t>
            </w:r>
          </w:p>
        </w:tc>
        <w:tc>
          <w:tcPr>
            <w:tcW w:w="963" w:type="dxa"/>
            <w:tcBorders>
              <w:bottom w:val="single" w:sz="4" w:space="0" w:color="auto"/>
            </w:tcBorders>
          </w:tcPr>
          <w:p w14:paraId="33CA0E89" w14:textId="7BA9B815"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0.62</w:t>
            </w:r>
          </w:p>
        </w:tc>
        <w:tc>
          <w:tcPr>
            <w:tcW w:w="959" w:type="dxa"/>
            <w:tcBorders>
              <w:bottom w:val="single" w:sz="4" w:space="0" w:color="auto"/>
            </w:tcBorders>
          </w:tcPr>
          <w:p w14:paraId="699C7582" w14:textId="021D6C14"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0.54</w:t>
            </w:r>
          </w:p>
        </w:tc>
        <w:tc>
          <w:tcPr>
            <w:tcW w:w="1083" w:type="dxa"/>
            <w:tcBorders>
              <w:bottom w:val="single" w:sz="4" w:space="0" w:color="auto"/>
            </w:tcBorders>
          </w:tcPr>
          <w:p w14:paraId="3254F0F7" w14:textId="742321F5"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0.50</w:t>
            </w:r>
          </w:p>
        </w:tc>
        <w:tc>
          <w:tcPr>
            <w:tcW w:w="1083" w:type="dxa"/>
            <w:tcBorders>
              <w:bottom w:val="single" w:sz="4" w:space="0" w:color="auto"/>
            </w:tcBorders>
          </w:tcPr>
          <w:p w14:paraId="7FAD0D6B" w14:textId="793496D1"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1.14</w:t>
            </w:r>
          </w:p>
        </w:tc>
        <w:tc>
          <w:tcPr>
            <w:tcW w:w="1081" w:type="dxa"/>
            <w:tcBorders>
              <w:bottom w:val="single" w:sz="4" w:space="0" w:color="auto"/>
            </w:tcBorders>
          </w:tcPr>
          <w:p w14:paraId="2CE8ABF9" w14:textId="2BA3A92B"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0.82</w:t>
            </w:r>
          </w:p>
        </w:tc>
        <w:tc>
          <w:tcPr>
            <w:tcW w:w="1080" w:type="dxa"/>
            <w:tcBorders>
              <w:bottom w:val="single" w:sz="4" w:space="0" w:color="auto"/>
            </w:tcBorders>
          </w:tcPr>
          <w:p w14:paraId="751A2AB9" w14:textId="1B2EE7C7" w:rsidR="00387F03" w:rsidRPr="00387F03" w:rsidRDefault="00387F03" w:rsidP="005140C1">
            <w:pPr>
              <w:spacing w:line="480" w:lineRule="auto"/>
              <w:rPr>
                <w:rFonts w:asciiTheme="majorBidi" w:hAnsiTheme="majorBidi" w:cstheme="majorBidi"/>
                <w:sz w:val="24"/>
                <w:szCs w:val="24"/>
              </w:rPr>
            </w:pPr>
            <w:r>
              <w:rPr>
                <w:rFonts w:asciiTheme="majorBidi" w:hAnsiTheme="majorBidi" w:cstheme="majorBidi"/>
                <w:sz w:val="24"/>
                <w:szCs w:val="24"/>
              </w:rPr>
              <w:t>3.09</w:t>
            </w:r>
          </w:p>
        </w:tc>
      </w:tr>
    </w:tbl>
    <w:p w14:paraId="0E68D2BD" w14:textId="77777777" w:rsidR="00E35BBF" w:rsidRPr="007A49E1" w:rsidRDefault="00E35BBF" w:rsidP="00E35BBF">
      <w:pPr>
        <w:rPr>
          <w:rFonts w:asciiTheme="majorBidi" w:hAnsiTheme="majorBidi" w:cstheme="majorBidi"/>
        </w:rPr>
      </w:pPr>
    </w:p>
    <w:p w14:paraId="66694771" w14:textId="6124420B" w:rsidR="00EC33C6" w:rsidRDefault="00E35BBF" w:rsidP="00E35BBF">
      <w:pPr>
        <w:spacing w:after="160" w:line="259" w:lineRule="auto"/>
        <w:rPr>
          <w:rFonts w:asciiTheme="majorBidi" w:hAnsiTheme="majorBidi" w:cstheme="majorBidi"/>
        </w:rPr>
      </w:pPr>
      <w:r w:rsidRPr="007A49E1">
        <w:rPr>
          <w:rFonts w:asciiTheme="majorBidi" w:hAnsiTheme="majorBidi" w:cstheme="majorBidi"/>
          <w:i/>
        </w:rPr>
        <w:t>Note</w:t>
      </w:r>
      <w:r w:rsidRPr="007A49E1">
        <w:rPr>
          <w:rFonts w:asciiTheme="majorBidi" w:hAnsiTheme="majorBidi" w:cstheme="majorBidi"/>
        </w:rPr>
        <w:t>. *</w:t>
      </w:r>
      <w:r w:rsidR="0082384E" w:rsidRPr="007A49E1">
        <w:rPr>
          <w:rFonts w:asciiTheme="majorBidi" w:hAnsiTheme="majorBidi" w:cstheme="majorBidi"/>
        </w:rPr>
        <w:t xml:space="preserve"> </w:t>
      </w:r>
      <w:r w:rsidRPr="007A49E1">
        <w:rPr>
          <w:rFonts w:asciiTheme="majorBidi" w:hAnsiTheme="majorBidi" w:cstheme="majorBidi"/>
          <w:i/>
        </w:rPr>
        <w:t>p</w:t>
      </w:r>
      <w:r w:rsidR="0082384E" w:rsidRPr="007A49E1">
        <w:rPr>
          <w:rFonts w:asciiTheme="majorBidi" w:hAnsiTheme="majorBidi" w:cstheme="majorBidi"/>
        </w:rPr>
        <w:t xml:space="preserve"> &lt; .05, ** </w:t>
      </w:r>
      <w:r w:rsidR="0082384E" w:rsidRPr="007A49E1">
        <w:rPr>
          <w:rFonts w:asciiTheme="majorBidi" w:hAnsiTheme="majorBidi" w:cstheme="majorBidi"/>
          <w:i/>
        </w:rPr>
        <w:t>p</w:t>
      </w:r>
      <w:r w:rsidR="0082384E" w:rsidRPr="007A49E1">
        <w:rPr>
          <w:rFonts w:asciiTheme="majorBidi" w:hAnsiTheme="majorBidi" w:cstheme="majorBidi"/>
        </w:rPr>
        <w:t xml:space="preserve"> &lt; .001. </w:t>
      </w:r>
      <w:r w:rsidRPr="007A49E1">
        <w:rPr>
          <w:rFonts w:asciiTheme="majorBidi" w:hAnsiTheme="majorBidi" w:cstheme="majorBidi"/>
        </w:rPr>
        <w:t xml:space="preserve"> </w:t>
      </w:r>
    </w:p>
    <w:p w14:paraId="0C3B7C82" w14:textId="27624840" w:rsidR="00E35BBF" w:rsidRPr="007A49E1" w:rsidRDefault="00EC33C6" w:rsidP="004D04C7">
      <w:pPr>
        <w:rPr>
          <w:rFonts w:asciiTheme="majorBidi" w:hAnsiTheme="majorBidi" w:cstheme="majorBidi"/>
        </w:rPr>
      </w:pPr>
      <w:r>
        <w:rPr>
          <w:rFonts w:asciiTheme="majorBidi" w:hAnsiTheme="majorBidi" w:cstheme="majorBidi"/>
        </w:rPr>
        <w:br w:type="page"/>
      </w:r>
    </w:p>
    <w:p w14:paraId="4CF1838D" w14:textId="45F1B62C" w:rsidR="004B300D" w:rsidRDefault="004B300D" w:rsidP="00F62C62">
      <w:pPr>
        <w:spacing w:after="160" w:line="259" w:lineRule="auto"/>
      </w:pPr>
      <w:r w:rsidRPr="007A49E1">
        <w:lastRenderedPageBreak/>
        <w:t xml:space="preserve"> </w:t>
      </w:r>
    </w:p>
    <w:p w14:paraId="796A5113" w14:textId="37284444" w:rsidR="00E94229" w:rsidRDefault="004D04C7" w:rsidP="00F62C62">
      <w:pPr>
        <w:spacing w:after="160" w:line="259" w:lineRule="auto"/>
      </w:pPr>
      <w:r w:rsidRPr="004D04C7">
        <w:rPr>
          <w:noProof/>
        </w:rPr>
        <w:drawing>
          <wp:inline distT="0" distB="0" distL="0" distR="0" wp14:anchorId="1ECFB9D3" wp14:editId="5AE3CAEE">
            <wp:extent cx="5727700" cy="34505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450590"/>
                    </a:xfrm>
                    <a:prstGeom prst="rect">
                      <a:avLst/>
                    </a:prstGeom>
                  </pic:spPr>
                </pic:pic>
              </a:graphicData>
            </a:graphic>
          </wp:inline>
        </w:drawing>
      </w:r>
    </w:p>
    <w:p w14:paraId="09C29D68" w14:textId="22DE3EBC" w:rsidR="00E94229" w:rsidRPr="00C522CA" w:rsidRDefault="00E94229" w:rsidP="00E94229">
      <w:pPr>
        <w:spacing w:line="480" w:lineRule="auto"/>
        <w:rPr>
          <w:bCs/>
          <w:i/>
        </w:rPr>
      </w:pPr>
      <w:r w:rsidRPr="00FE1FD3">
        <w:rPr>
          <w:bCs/>
          <w:i/>
        </w:rPr>
        <w:t>Figure 1</w:t>
      </w:r>
      <w:r>
        <w:rPr>
          <w:bCs/>
          <w:i/>
        </w:rPr>
        <w:t xml:space="preserve">. </w:t>
      </w:r>
      <w:r w:rsidRPr="00B31D98">
        <w:t xml:space="preserve">Path diagram and estimates for the </w:t>
      </w:r>
      <w:r w:rsidRPr="00AB1528">
        <w:t>one-dimensional model of the Body Appreciation Scale-2</w:t>
      </w:r>
      <w:r>
        <w:t>. The large oval</w:t>
      </w:r>
      <w:r w:rsidRPr="005055F7">
        <w:t xml:space="preserve"> is the latent construct, with the rectangles</w:t>
      </w:r>
      <w:r>
        <w:t xml:space="preserve"> representing measured variables</w:t>
      </w:r>
      <w:r w:rsidRPr="005055F7">
        <w:t xml:space="preserve">, and the small circles with numbers </w:t>
      </w:r>
      <w:r>
        <w:t>representing the</w:t>
      </w:r>
      <w:r w:rsidRPr="005055F7">
        <w:t xml:space="preserve"> </w:t>
      </w:r>
      <w:r w:rsidR="007A5C29">
        <w:t xml:space="preserve">unstandardized </w:t>
      </w:r>
      <w:r w:rsidRPr="005055F7">
        <w:t>residual</w:t>
      </w:r>
      <w:r>
        <w:t xml:space="preserve"> variables</w:t>
      </w:r>
      <w:r w:rsidRPr="005055F7">
        <w:t xml:space="preserve"> </w:t>
      </w:r>
      <w:r>
        <w:t>(variances)</w:t>
      </w:r>
      <w:r w:rsidRPr="005055F7">
        <w:t>.</w:t>
      </w:r>
      <w:r w:rsidR="00865E65">
        <w:t xml:space="preserve"> </w:t>
      </w:r>
      <w:r w:rsidR="00865E65">
        <w:rPr>
          <w:color w:val="000000" w:themeColor="text1"/>
        </w:rPr>
        <w:t>E</w:t>
      </w:r>
      <w:r w:rsidR="00865E65" w:rsidRPr="00EC0DDC">
        <w:rPr>
          <w:color w:val="000000" w:themeColor="text1"/>
        </w:rPr>
        <w:t xml:space="preserve">rror covariances </w:t>
      </w:r>
      <w:r w:rsidR="00865E65">
        <w:rPr>
          <w:color w:val="000000" w:themeColor="text1"/>
        </w:rPr>
        <w:t xml:space="preserve">were .14 for </w:t>
      </w:r>
      <w:r w:rsidR="00865E65" w:rsidRPr="00EC0DDC">
        <w:rPr>
          <w:color w:val="000000" w:themeColor="text1"/>
        </w:rPr>
        <w:t>It</w:t>
      </w:r>
      <w:r w:rsidR="00865E65">
        <w:rPr>
          <w:color w:val="000000" w:themeColor="text1"/>
        </w:rPr>
        <w:t>ems #2 and #9, .21 for Items #1 and #5, and -.16 for Items #4 and #7</w:t>
      </w:r>
      <w:r w:rsidR="00865E65" w:rsidRPr="00EC0DDC">
        <w:rPr>
          <w:color w:val="000000" w:themeColor="text1"/>
        </w:rPr>
        <w:t xml:space="preserve">. </w:t>
      </w:r>
      <w:r>
        <w:t>The path</w:t>
      </w:r>
      <w:r w:rsidRPr="005055F7">
        <w:t xml:space="preserve"> factor loadings are </w:t>
      </w:r>
      <w:r w:rsidR="007A5C29">
        <w:t>un</w:t>
      </w:r>
      <w:r w:rsidRPr="005055F7">
        <w:t>standardised</w:t>
      </w:r>
      <w:r>
        <w:t xml:space="preserve"> with s</w:t>
      </w:r>
      <w:r w:rsidRPr="005055F7">
        <w:t>ignificance levels determined by critical ratios (all</w:t>
      </w:r>
      <w:r w:rsidRPr="00FE75E4">
        <w:rPr>
          <w:i/>
        </w:rPr>
        <w:t xml:space="preserve"> </w:t>
      </w:r>
      <w:r w:rsidRPr="005055F7">
        <w:rPr>
          <w:i/>
          <w:iCs/>
        </w:rPr>
        <w:t>p</w:t>
      </w:r>
      <w:r>
        <w:t xml:space="preserve"> &lt; .001)</w:t>
      </w:r>
      <w:r w:rsidR="002C0C35">
        <w:t>.</w:t>
      </w:r>
    </w:p>
    <w:p w14:paraId="7EB53BC3" w14:textId="77777777" w:rsidR="00E94229" w:rsidRPr="007A49E1" w:rsidRDefault="00E94229" w:rsidP="00F62C62">
      <w:pPr>
        <w:spacing w:after="160" w:line="259" w:lineRule="auto"/>
      </w:pPr>
    </w:p>
    <w:sectPr w:rsidR="00E94229" w:rsidRPr="007A49E1" w:rsidSect="004B300D">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ECCE" w14:textId="77777777" w:rsidR="0066087F" w:rsidRDefault="0066087F" w:rsidP="004B300D">
      <w:r>
        <w:separator/>
      </w:r>
    </w:p>
  </w:endnote>
  <w:endnote w:type="continuationSeparator" w:id="0">
    <w:p w14:paraId="58BA44EB" w14:textId="77777777" w:rsidR="0066087F" w:rsidRDefault="0066087F" w:rsidP="004B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2ACE7" w14:textId="77777777" w:rsidR="0066087F" w:rsidRDefault="0066087F" w:rsidP="004B300D">
      <w:r>
        <w:separator/>
      </w:r>
    </w:p>
  </w:footnote>
  <w:footnote w:type="continuationSeparator" w:id="0">
    <w:p w14:paraId="2283693A" w14:textId="77777777" w:rsidR="0066087F" w:rsidRDefault="0066087F" w:rsidP="004B3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97F4" w14:textId="77777777" w:rsidR="00F3015E" w:rsidRDefault="00F3015E" w:rsidP="005140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05CDB" w14:textId="77777777" w:rsidR="00F3015E" w:rsidRDefault="00F3015E" w:rsidP="004B30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D734" w14:textId="77777777" w:rsidR="00F3015E" w:rsidRPr="004B300D" w:rsidRDefault="00F3015E" w:rsidP="005140C1">
    <w:pPr>
      <w:pStyle w:val="Header"/>
      <w:framePr w:wrap="none" w:vAnchor="text" w:hAnchor="margin" w:xAlign="right" w:y="1"/>
      <w:rPr>
        <w:rStyle w:val="PageNumber"/>
      </w:rPr>
    </w:pPr>
    <w:r w:rsidRPr="004B300D">
      <w:rPr>
        <w:rStyle w:val="PageNumber"/>
      </w:rPr>
      <w:fldChar w:fldCharType="begin"/>
    </w:r>
    <w:r w:rsidRPr="004B300D">
      <w:rPr>
        <w:rStyle w:val="PageNumber"/>
      </w:rPr>
      <w:instrText xml:space="preserve">PAGE  </w:instrText>
    </w:r>
    <w:r w:rsidRPr="004B300D">
      <w:rPr>
        <w:rStyle w:val="PageNumber"/>
      </w:rPr>
      <w:fldChar w:fldCharType="separate"/>
    </w:r>
    <w:r w:rsidR="008D3D1F">
      <w:rPr>
        <w:rStyle w:val="PageNumber"/>
        <w:noProof/>
      </w:rPr>
      <w:t>29</w:t>
    </w:r>
    <w:r w:rsidRPr="004B300D">
      <w:rPr>
        <w:rStyle w:val="PageNumber"/>
      </w:rPr>
      <w:fldChar w:fldCharType="end"/>
    </w:r>
  </w:p>
  <w:p w14:paraId="5E1FD828" w14:textId="77777777" w:rsidR="00F3015E" w:rsidRPr="004B300D" w:rsidRDefault="00F3015E" w:rsidP="004B300D">
    <w:pPr>
      <w:pStyle w:val="Header"/>
      <w:ind w:right="360"/>
    </w:pPr>
    <w:r>
      <w:t>Body Appreciation Scale-2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ED42D6"/>
    <w:multiLevelType w:val="multilevel"/>
    <w:tmpl w:val="BDB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F0703"/>
    <w:multiLevelType w:val="multilevel"/>
    <w:tmpl w:val="3D1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31997"/>
    <w:multiLevelType w:val="multilevel"/>
    <w:tmpl w:val="B8D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29"/>
    <w:rsid w:val="00014FA0"/>
    <w:rsid w:val="00060AF5"/>
    <w:rsid w:val="00067BC7"/>
    <w:rsid w:val="00085A0C"/>
    <w:rsid w:val="00094DE9"/>
    <w:rsid w:val="000B3B8C"/>
    <w:rsid w:val="000B7F9A"/>
    <w:rsid w:val="000C7C22"/>
    <w:rsid w:val="000D5A72"/>
    <w:rsid w:val="000E4584"/>
    <w:rsid w:val="000F5AFC"/>
    <w:rsid w:val="001102DF"/>
    <w:rsid w:val="00114F0B"/>
    <w:rsid w:val="00124171"/>
    <w:rsid w:val="00131BEC"/>
    <w:rsid w:val="0014379C"/>
    <w:rsid w:val="00143AD4"/>
    <w:rsid w:val="001675CE"/>
    <w:rsid w:val="00176E36"/>
    <w:rsid w:val="00194F51"/>
    <w:rsid w:val="001B0999"/>
    <w:rsid w:val="001B4094"/>
    <w:rsid w:val="001B7E48"/>
    <w:rsid w:val="001E0C49"/>
    <w:rsid w:val="001E2B04"/>
    <w:rsid w:val="001F2D57"/>
    <w:rsid w:val="001F3F90"/>
    <w:rsid w:val="00204BED"/>
    <w:rsid w:val="0020616F"/>
    <w:rsid w:val="00225F13"/>
    <w:rsid w:val="00237E33"/>
    <w:rsid w:val="00242E5C"/>
    <w:rsid w:val="0026537D"/>
    <w:rsid w:val="00265B25"/>
    <w:rsid w:val="00272203"/>
    <w:rsid w:val="0028309B"/>
    <w:rsid w:val="002A2325"/>
    <w:rsid w:val="002B2CC1"/>
    <w:rsid w:val="002B72DE"/>
    <w:rsid w:val="002C0C35"/>
    <w:rsid w:val="003129BE"/>
    <w:rsid w:val="0031392E"/>
    <w:rsid w:val="0031583E"/>
    <w:rsid w:val="0032194B"/>
    <w:rsid w:val="00357A34"/>
    <w:rsid w:val="0038586D"/>
    <w:rsid w:val="00387F03"/>
    <w:rsid w:val="00393DEE"/>
    <w:rsid w:val="003A129F"/>
    <w:rsid w:val="003B429B"/>
    <w:rsid w:val="003B54EE"/>
    <w:rsid w:val="003D4B8E"/>
    <w:rsid w:val="003F02EA"/>
    <w:rsid w:val="00422147"/>
    <w:rsid w:val="0042510D"/>
    <w:rsid w:val="0043418D"/>
    <w:rsid w:val="004351FF"/>
    <w:rsid w:val="00447175"/>
    <w:rsid w:val="00455756"/>
    <w:rsid w:val="00475A9D"/>
    <w:rsid w:val="004842DE"/>
    <w:rsid w:val="004B1E8D"/>
    <w:rsid w:val="004B300D"/>
    <w:rsid w:val="004D04C7"/>
    <w:rsid w:val="004D5C74"/>
    <w:rsid w:val="004E7F3D"/>
    <w:rsid w:val="004F70C0"/>
    <w:rsid w:val="0050032E"/>
    <w:rsid w:val="005122FF"/>
    <w:rsid w:val="005140C1"/>
    <w:rsid w:val="00531DDA"/>
    <w:rsid w:val="005359EE"/>
    <w:rsid w:val="005372B0"/>
    <w:rsid w:val="005541B8"/>
    <w:rsid w:val="00585DAC"/>
    <w:rsid w:val="0059077A"/>
    <w:rsid w:val="00591EDF"/>
    <w:rsid w:val="0059583F"/>
    <w:rsid w:val="005A16BC"/>
    <w:rsid w:val="005A275F"/>
    <w:rsid w:val="005B21F0"/>
    <w:rsid w:val="005B49F9"/>
    <w:rsid w:val="005D02D6"/>
    <w:rsid w:val="005D138E"/>
    <w:rsid w:val="005D1BBA"/>
    <w:rsid w:val="005D7929"/>
    <w:rsid w:val="005F55F5"/>
    <w:rsid w:val="00612DF8"/>
    <w:rsid w:val="00622486"/>
    <w:rsid w:val="00622871"/>
    <w:rsid w:val="006325F8"/>
    <w:rsid w:val="00647F31"/>
    <w:rsid w:val="00650F96"/>
    <w:rsid w:val="00653148"/>
    <w:rsid w:val="0066087F"/>
    <w:rsid w:val="00664458"/>
    <w:rsid w:val="0066539F"/>
    <w:rsid w:val="0066550C"/>
    <w:rsid w:val="00670A18"/>
    <w:rsid w:val="00672D8D"/>
    <w:rsid w:val="00685746"/>
    <w:rsid w:val="006B03F5"/>
    <w:rsid w:val="006B4EB3"/>
    <w:rsid w:val="006B74D1"/>
    <w:rsid w:val="006C252C"/>
    <w:rsid w:val="006D0757"/>
    <w:rsid w:val="006E73B5"/>
    <w:rsid w:val="007030E5"/>
    <w:rsid w:val="00705304"/>
    <w:rsid w:val="00721F70"/>
    <w:rsid w:val="00730DBB"/>
    <w:rsid w:val="007438F5"/>
    <w:rsid w:val="0074551C"/>
    <w:rsid w:val="00750EF4"/>
    <w:rsid w:val="007560D7"/>
    <w:rsid w:val="0076252A"/>
    <w:rsid w:val="00772AAB"/>
    <w:rsid w:val="00775D92"/>
    <w:rsid w:val="007A49E1"/>
    <w:rsid w:val="007A5C29"/>
    <w:rsid w:val="007D67CA"/>
    <w:rsid w:val="007F571D"/>
    <w:rsid w:val="0081134A"/>
    <w:rsid w:val="00822628"/>
    <w:rsid w:val="0082384E"/>
    <w:rsid w:val="00841124"/>
    <w:rsid w:val="008541AC"/>
    <w:rsid w:val="00860051"/>
    <w:rsid w:val="00865E65"/>
    <w:rsid w:val="00873BFB"/>
    <w:rsid w:val="00883E09"/>
    <w:rsid w:val="0088554F"/>
    <w:rsid w:val="00891043"/>
    <w:rsid w:val="0089481B"/>
    <w:rsid w:val="008A3F7A"/>
    <w:rsid w:val="008B0FEE"/>
    <w:rsid w:val="008C5D47"/>
    <w:rsid w:val="008D3D1F"/>
    <w:rsid w:val="008D507E"/>
    <w:rsid w:val="008D5542"/>
    <w:rsid w:val="008D58D5"/>
    <w:rsid w:val="008F6A2A"/>
    <w:rsid w:val="009022CC"/>
    <w:rsid w:val="0091616D"/>
    <w:rsid w:val="009324FF"/>
    <w:rsid w:val="0093381C"/>
    <w:rsid w:val="00981FEA"/>
    <w:rsid w:val="009A6894"/>
    <w:rsid w:val="009B36A6"/>
    <w:rsid w:val="009E545E"/>
    <w:rsid w:val="00A1576D"/>
    <w:rsid w:val="00A2508C"/>
    <w:rsid w:val="00A31021"/>
    <w:rsid w:val="00A33564"/>
    <w:rsid w:val="00A51304"/>
    <w:rsid w:val="00A5280F"/>
    <w:rsid w:val="00A65493"/>
    <w:rsid w:val="00A73B58"/>
    <w:rsid w:val="00A7419C"/>
    <w:rsid w:val="00A76DAA"/>
    <w:rsid w:val="00A92B31"/>
    <w:rsid w:val="00A97F80"/>
    <w:rsid w:val="00AB758E"/>
    <w:rsid w:val="00AC6E92"/>
    <w:rsid w:val="00AD68E6"/>
    <w:rsid w:val="00AE48A6"/>
    <w:rsid w:val="00B01F09"/>
    <w:rsid w:val="00B14B4A"/>
    <w:rsid w:val="00B15674"/>
    <w:rsid w:val="00B20BBC"/>
    <w:rsid w:val="00B26E43"/>
    <w:rsid w:val="00B80A13"/>
    <w:rsid w:val="00B83235"/>
    <w:rsid w:val="00BA7D60"/>
    <w:rsid w:val="00BE4781"/>
    <w:rsid w:val="00C06E9B"/>
    <w:rsid w:val="00C17170"/>
    <w:rsid w:val="00C24E9A"/>
    <w:rsid w:val="00C35CC4"/>
    <w:rsid w:val="00C36099"/>
    <w:rsid w:val="00C54E6A"/>
    <w:rsid w:val="00C5667D"/>
    <w:rsid w:val="00C822F3"/>
    <w:rsid w:val="00C8612B"/>
    <w:rsid w:val="00CA1E6C"/>
    <w:rsid w:val="00CE25FB"/>
    <w:rsid w:val="00CF1D8F"/>
    <w:rsid w:val="00D12260"/>
    <w:rsid w:val="00D13A28"/>
    <w:rsid w:val="00D2270B"/>
    <w:rsid w:val="00D263D5"/>
    <w:rsid w:val="00D34C40"/>
    <w:rsid w:val="00D43A86"/>
    <w:rsid w:val="00D67B6C"/>
    <w:rsid w:val="00D741A7"/>
    <w:rsid w:val="00D7484C"/>
    <w:rsid w:val="00D75A93"/>
    <w:rsid w:val="00D83829"/>
    <w:rsid w:val="00D976B0"/>
    <w:rsid w:val="00DC0123"/>
    <w:rsid w:val="00DD1867"/>
    <w:rsid w:val="00DF1F46"/>
    <w:rsid w:val="00DF421E"/>
    <w:rsid w:val="00E17C2C"/>
    <w:rsid w:val="00E35BBF"/>
    <w:rsid w:val="00E3667C"/>
    <w:rsid w:val="00E42491"/>
    <w:rsid w:val="00E427CE"/>
    <w:rsid w:val="00E43076"/>
    <w:rsid w:val="00E57DAA"/>
    <w:rsid w:val="00E723E8"/>
    <w:rsid w:val="00E94229"/>
    <w:rsid w:val="00EA2926"/>
    <w:rsid w:val="00EB22C6"/>
    <w:rsid w:val="00EC0DDC"/>
    <w:rsid w:val="00EC33C6"/>
    <w:rsid w:val="00EE5DA2"/>
    <w:rsid w:val="00EF6AB5"/>
    <w:rsid w:val="00F13A41"/>
    <w:rsid w:val="00F14970"/>
    <w:rsid w:val="00F3015E"/>
    <w:rsid w:val="00F367DA"/>
    <w:rsid w:val="00F455FF"/>
    <w:rsid w:val="00F62C62"/>
    <w:rsid w:val="00F64646"/>
    <w:rsid w:val="00FB515D"/>
    <w:rsid w:val="00FC3E22"/>
    <w:rsid w:val="00FC58DB"/>
    <w:rsid w:val="00FC767A"/>
    <w:rsid w:val="00FD27B4"/>
    <w:rsid w:val="00FE6E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D3F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DBB"/>
    <w:rPr>
      <w:rFonts w:ascii="Times New Roman" w:hAnsi="Times New Roman" w:cs="Times New Roman"/>
      <w:lang w:eastAsia="en-GB"/>
    </w:rPr>
  </w:style>
  <w:style w:type="paragraph" w:styleId="Heading1">
    <w:name w:val="heading 1"/>
    <w:basedOn w:val="Normal"/>
    <w:next w:val="Normal"/>
    <w:link w:val="Heading1Char"/>
    <w:uiPriority w:val="9"/>
    <w:qFormat/>
    <w:rsid w:val="008D58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55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300D"/>
    <w:rPr>
      <w:i/>
      <w:iCs/>
    </w:rPr>
  </w:style>
  <w:style w:type="character" w:customStyle="1" w:styleId="apple-converted-space">
    <w:name w:val="apple-converted-space"/>
    <w:basedOn w:val="DefaultParagraphFont"/>
    <w:rsid w:val="004B300D"/>
  </w:style>
  <w:style w:type="character" w:styleId="Hyperlink">
    <w:name w:val="Hyperlink"/>
    <w:basedOn w:val="DefaultParagraphFont"/>
    <w:uiPriority w:val="99"/>
    <w:unhideWhenUsed/>
    <w:rsid w:val="004B300D"/>
    <w:rPr>
      <w:color w:val="0563C1" w:themeColor="hyperlink"/>
      <w:u w:val="single"/>
    </w:rPr>
  </w:style>
  <w:style w:type="paragraph" w:styleId="Header">
    <w:name w:val="header"/>
    <w:basedOn w:val="Normal"/>
    <w:link w:val="HeaderChar"/>
    <w:uiPriority w:val="99"/>
    <w:unhideWhenUsed/>
    <w:rsid w:val="004B300D"/>
    <w:pPr>
      <w:tabs>
        <w:tab w:val="center" w:pos="4513"/>
        <w:tab w:val="right" w:pos="9026"/>
      </w:tabs>
    </w:pPr>
  </w:style>
  <w:style w:type="character" w:customStyle="1" w:styleId="HeaderChar">
    <w:name w:val="Header Char"/>
    <w:basedOn w:val="DefaultParagraphFont"/>
    <w:link w:val="Header"/>
    <w:uiPriority w:val="99"/>
    <w:rsid w:val="004B300D"/>
  </w:style>
  <w:style w:type="character" w:styleId="PageNumber">
    <w:name w:val="page number"/>
    <w:basedOn w:val="DefaultParagraphFont"/>
    <w:uiPriority w:val="99"/>
    <w:semiHidden/>
    <w:unhideWhenUsed/>
    <w:rsid w:val="004B300D"/>
  </w:style>
  <w:style w:type="paragraph" w:styleId="Footer">
    <w:name w:val="footer"/>
    <w:basedOn w:val="Normal"/>
    <w:link w:val="FooterChar"/>
    <w:uiPriority w:val="99"/>
    <w:unhideWhenUsed/>
    <w:rsid w:val="004B300D"/>
    <w:pPr>
      <w:tabs>
        <w:tab w:val="center" w:pos="4513"/>
        <w:tab w:val="right" w:pos="9026"/>
      </w:tabs>
    </w:pPr>
  </w:style>
  <w:style w:type="character" w:customStyle="1" w:styleId="FooterChar">
    <w:name w:val="Footer Char"/>
    <w:basedOn w:val="DefaultParagraphFont"/>
    <w:link w:val="Footer"/>
    <w:uiPriority w:val="99"/>
    <w:rsid w:val="004B300D"/>
  </w:style>
  <w:style w:type="paragraph" w:styleId="FootnoteText">
    <w:name w:val="footnote text"/>
    <w:basedOn w:val="Normal"/>
    <w:link w:val="FootnoteTextChar"/>
    <w:uiPriority w:val="99"/>
    <w:unhideWhenUsed/>
    <w:rsid w:val="003D4B8E"/>
  </w:style>
  <w:style w:type="character" w:customStyle="1" w:styleId="FootnoteTextChar">
    <w:name w:val="Footnote Text Char"/>
    <w:basedOn w:val="DefaultParagraphFont"/>
    <w:link w:val="FootnoteText"/>
    <w:uiPriority w:val="99"/>
    <w:rsid w:val="003D4B8E"/>
    <w:rPr>
      <w:rFonts w:ascii="Times New Roman" w:hAnsi="Times New Roman" w:cs="Times New Roman"/>
      <w:lang w:eastAsia="en-GB"/>
    </w:rPr>
  </w:style>
  <w:style w:type="character" w:styleId="FootnoteReference">
    <w:name w:val="footnote reference"/>
    <w:basedOn w:val="DefaultParagraphFont"/>
    <w:uiPriority w:val="99"/>
    <w:unhideWhenUsed/>
    <w:rsid w:val="003D4B8E"/>
    <w:rPr>
      <w:vertAlign w:val="superscript"/>
    </w:rPr>
  </w:style>
  <w:style w:type="paragraph" w:styleId="NormalWeb">
    <w:name w:val="Normal (Web)"/>
    <w:basedOn w:val="Normal"/>
    <w:uiPriority w:val="99"/>
    <w:semiHidden/>
    <w:unhideWhenUsed/>
    <w:rsid w:val="00F367DA"/>
    <w:pPr>
      <w:spacing w:before="100" w:beforeAutospacing="1" w:after="100" w:afterAutospacing="1"/>
    </w:pPr>
  </w:style>
  <w:style w:type="character" w:customStyle="1" w:styleId="Heading2Char">
    <w:name w:val="Heading 2 Char"/>
    <w:basedOn w:val="DefaultParagraphFont"/>
    <w:link w:val="Heading2"/>
    <w:uiPriority w:val="9"/>
    <w:rsid w:val="008D5542"/>
    <w:rPr>
      <w:rFonts w:ascii="Times New Roman"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8D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5542"/>
    <w:rPr>
      <w:rFonts w:ascii="Courier New" w:hAnsi="Courier New" w:cs="Courier New"/>
      <w:sz w:val="20"/>
      <w:szCs w:val="20"/>
      <w:lang w:eastAsia="en-GB"/>
    </w:rPr>
  </w:style>
  <w:style w:type="character" w:customStyle="1" w:styleId="texhtml">
    <w:name w:val="texhtml"/>
    <w:basedOn w:val="DefaultParagraphFont"/>
    <w:rsid w:val="00E35BBF"/>
  </w:style>
  <w:style w:type="table" w:styleId="TableGrid">
    <w:name w:val="Table Grid"/>
    <w:basedOn w:val="TableNormal"/>
    <w:uiPriority w:val="39"/>
    <w:rsid w:val="00E35BBF"/>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8D5"/>
    <w:rPr>
      <w:rFonts w:asciiTheme="majorHAnsi" w:eastAsiaTheme="majorEastAsia" w:hAnsiTheme="majorHAnsi" w:cstheme="majorBidi"/>
      <w:color w:val="2F5496" w:themeColor="accent1" w:themeShade="BF"/>
      <w:sz w:val="32"/>
      <w:szCs w:val="32"/>
      <w:lang w:eastAsia="en-GB"/>
    </w:rPr>
  </w:style>
  <w:style w:type="character" w:styleId="Strong">
    <w:name w:val="Strong"/>
    <w:basedOn w:val="DefaultParagraphFont"/>
    <w:uiPriority w:val="22"/>
    <w:qFormat/>
    <w:rsid w:val="008D58D5"/>
    <w:rPr>
      <w:b/>
      <w:bCs/>
    </w:rPr>
  </w:style>
  <w:style w:type="paragraph" w:customStyle="1" w:styleId="p1">
    <w:name w:val="p1"/>
    <w:basedOn w:val="Normal"/>
    <w:rsid w:val="008D58D5"/>
    <w:rPr>
      <w:rFonts w:ascii="Times" w:hAnsi="Times"/>
      <w:sz w:val="12"/>
      <w:szCs w:val="12"/>
    </w:rPr>
  </w:style>
  <w:style w:type="character" w:customStyle="1" w:styleId="journaltitle">
    <w:name w:val="journaltitle"/>
    <w:basedOn w:val="DefaultParagraphFont"/>
    <w:rsid w:val="008D58D5"/>
  </w:style>
  <w:style w:type="paragraph" w:customStyle="1" w:styleId="icon--meta-keyline-before">
    <w:name w:val="icon--meta-keyline-before"/>
    <w:basedOn w:val="Normal"/>
    <w:rsid w:val="008D58D5"/>
    <w:pPr>
      <w:spacing w:before="100" w:beforeAutospacing="1" w:after="100" w:afterAutospacing="1"/>
    </w:pPr>
  </w:style>
  <w:style w:type="character" w:customStyle="1" w:styleId="articlecitationyear">
    <w:name w:val="articlecitation_year"/>
    <w:basedOn w:val="DefaultParagraphFont"/>
    <w:rsid w:val="008D58D5"/>
  </w:style>
  <w:style w:type="character" w:customStyle="1" w:styleId="articlecitationvolume">
    <w:name w:val="articlecitation_volume"/>
    <w:basedOn w:val="DefaultParagraphFont"/>
    <w:rsid w:val="008D58D5"/>
  </w:style>
  <w:style w:type="character" w:customStyle="1" w:styleId="articlecitationpages">
    <w:name w:val="articlecitation_pages"/>
    <w:basedOn w:val="DefaultParagraphFont"/>
    <w:rsid w:val="008D58D5"/>
  </w:style>
  <w:style w:type="character" w:customStyle="1" w:styleId="authorsname">
    <w:name w:val="authors__name"/>
    <w:basedOn w:val="DefaultParagraphFont"/>
    <w:rsid w:val="008D58D5"/>
  </w:style>
  <w:style w:type="character" w:customStyle="1" w:styleId="authorscontact">
    <w:name w:val="authors__contact"/>
    <w:basedOn w:val="DefaultParagraphFont"/>
    <w:rsid w:val="008D58D5"/>
  </w:style>
  <w:style w:type="character" w:styleId="CommentReference">
    <w:name w:val="annotation reference"/>
    <w:basedOn w:val="DefaultParagraphFont"/>
    <w:uiPriority w:val="99"/>
    <w:semiHidden/>
    <w:unhideWhenUsed/>
    <w:rsid w:val="003B54EE"/>
    <w:rPr>
      <w:sz w:val="16"/>
      <w:szCs w:val="16"/>
    </w:rPr>
  </w:style>
  <w:style w:type="paragraph" w:styleId="CommentText">
    <w:name w:val="annotation text"/>
    <w:basedOn w:val="Normal"/>
    <w:link w:val="CommentTextChar"/>
    <w:uiPriority w:val="99"/>
    <w:semiHidden/>
    <w:unhideWhenUsed/>
    <w:rsid w:val="003B54EE"/>
    <w:rPr>
      <w:sz w:val="20"/>
      <w:szCs w:val="20"/>
    </w:rPr>
  </w:style>
  <w:style w:type="character" w:customStyle="1" w:styleId="CommentTextChar">
    <w:name w:val="Comment Text Char"/>
    <w:basedOn w:val="DefaultParagraphFont"/>
    <w:link w:val="CommentText"/>
    <w:uiPriority w:val="99"/>
    <w:semiHidden/>
    <w:rsid w:val="003B54E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54EE"/>
    <w:rPr>
      <w:b/>
      <w:bCs/>
    </w:rPr>
  </w:style>
  <w:style w:type="character" w:customStyle="1" w:styleId="CommentSubjectChar">
    <w:name w:val="Comment Subject Char"/>
    <w:basedOn w:val="CommentTextChar"/>
    <w:link w:val="CommentSubject"/>
    <w:uiPriority w:val="99"/>
    <w:semiHidden/>
    <w:rsid w:val="003B54E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B54EE"/>
    <w:rPr>
      <w:rFonts w:ascii="Tahoma" w:hAnsi="Tahoma" w:cs="Tahoma"/>
      <w:sz w:val="16"/>
      <w:szCs w:val="16"/>
    </w:rPr>
  </w:style>
  <w:style w:type="character" w:customStyle="1" w:styleId="BalloonTextChar">
    <w:name w:val="Balloon Text Char"/>
    <w:basedOn w:val="DefaultParagraphFont"/>
    <w:link w:val="BalloonText"/>
    <w:uiPriority w:val="99"/>
    <w:semiHidden/>
    <w:rsid w:val="003B54E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785">
      <w:bodyDiv w:val="1"/>
      <w:marLeft w:val="0"/>
      <w:marRight w:val="0"/>
      <w:marTop w:val="0"/>
      <w:marBottom w:val="0"/>
      <w:divBdr>
        <w:top w:val="none" w:sz="0" w:space="0" w:color="auto"/>
        <w:left w:val="none" w:sz="0" w:space="0" w:color="auto"/>
        <w:bottom w:val="none" w:sz="0" w:space="0" w:color="auto"/>
        <w:right w:val="none" w:sz="0" w:space="0" w:color="auto"/>
      </w:divBdr>
      <w:divsChild>
        <w:div w:id="922569113">
          <w:marLeft w:val="0"/>
          <w:marRight w:val="0"/>
          <w:marTop w:val="0"/>
          <w:marBottom w:val="0"/>
          <w:divBdr>
            <w:top w:val="none" w:sz="0" w:space="0" w:color="auto"/>
            <w:left w:val="none" w:sz="0" w:space="0" w:color="auto"/>
            <w:bottom w:val="none" w:sz="0" w:space="0" w:color="auto"/>
            <w:right w:val="none" w:sz="0" w:space="0" w:color="auto"/>
          </w:divBdr>
          <w:divsChild>
            <w:div w:id="1376196090">
              <w:marLeft w:val="0"/>
              <w:marRight w:val="0"/>
              <w:marTop w:val="0"/>
              <w:marBottom w:val="0"/>
              <w:divBdr>
                <w:top w:val="none" w:sz="0" w:space="0" w:color="auto"/>
                <w:left w:val="none" w:sz="0" w:space="0" w:color="auto"/>
                <w:bottom w:val="none" w:sz="0" w:space="0" w:color="auto"/>
                <w:right w:val="none" w:sz="0" w:space="0" w:color="auto"/>
              </w:divBdr>
              <w:divsChild>
                <w:div w:id="14959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9800">
      <w:bodyDiv w:val="1"/>
      <w:marLeft w:val="0"/>
      <w:marRight w:val="0"/>
      <w:marTop w:val="0"/>
      <w:marBottom w:val="0"/>
      <w:divBdr>
        <w:top w:val="none" w:sz="0" w:space="0" w:color="auto"/>
        <w:left w:val="none" w:sz="0" w:space="0" w:color="auto"/>
        <w:bottom w:val="none" w:sz="0" w:space="0" w:color="auto"/>
        <w:right w:val="none" w:sz="0" w:space="0" w:color="auto"/>
      </w:divBdr>
    </w:div>
    <w:div w:id="121464534">
      <w:bodyDiv w:val="1"/>
      <w:marLeft w:val="0"/>
      <w:marRight w:val="0"/>
      <w:marTop w:val="0"/>
      <w:marBottom w:val="0"/>
      <w:divBdr>
        <w:top w:val="none" w:sz="0" w:space="0" w:color="auto"/>
        <w:left w:val="none" w:sz="0" w:space="0" w:color="auto"/>
        <w:bottom w:val="none" w:sz="0" w:space="0" w:color="auto"/>
        <w:right w:val="none" w:sz="0" w:space="0" w:color="auto"/>
      </w:divBdr>
      <w:divsChild>
        <w:div w:id="1069184171">
          <w:marLeft w:val="0"/>
          <w:marRight w:val="0"/>
          <w:marTop w:val="0"/>
          <w:marBottom w:val="0"/>
          <w:divBdr>
            <w:top w:val="none" w:sz="0" w:space="0" w:color="auto"/>
            <w:left w:val="none" w:sz="0" w:space="0" w:color="auto"/>
            <w:bottom w:val="none" w:sz="0" w:space="0" w:color="auto"/>
            <w:right w:val="none" w:sz="0" w:space="0" w:color="auto"/>
          </w:divBdr>
        </w:div>
        <w:div w:id="1798525281">
          <w:marLeft w:val="0"/>
          <w:marRight w:val="0"/>
          <w:marTop w:val="0"/>
          <w:marBottom w:val="0"/>
          <w:divBdr>
            <w:top w:val="none" w:sz="0" w:space="0" w:color="auto"/>
            <w:left w:val="none" w:sz="0" w:space="0" w:color="auto"/>
            <w:bottom w:val="none" w:sz="0" w:space="0" w:color="auto"/>
            <w:right w:val="none" w:sz="0" w:space="0" w:color="auto"/>
          </w:divBdr>
        </w:div>
      </w:divsChild>
    </w:div>
    <w:div w:id="146867365">
      <w:bodyDiv w:val="1"/>
      <w:marLeft w:val="0"/>
      <w:marRight w:val="0"/>
      <w:marTop w:val="0"/>
      <w:marBottom w:val="0"/>
      <w:divBdr>
        <w:top w:val="none" w:sz="0" w:space="0" w:color="auto"/>
        <w:left w:val="none" w:sz="0" w:space="0" w:color="auto"/>
        <w:bottom w:val="none" w:sz="0" w:space="0" w:color="auto"/>
        <w:right w:val="none" w:sz="0" w:space="0" w:color="auto"/>
      </w:divBdr>
      <w:divsChild>
        <w:div w:id="1224605759">
          <w:marLeft w:val="0"/>
          <w:marRight w:val="0"/>
          <w:marTop w:val="0"/>
          <w:marBottom w:val="0"/>
          <w:divBdr>
            <w:top w:val="none" w:sz="0" w:space="0" w:color="auto"/>
            <w:left w:val="none" w:sz="0" w:space="0" w:color="auto"/>
            <w:bottom w:val="none" w:sz="0" w:space="0" w:color="auto"/>
            <w:right w:val="none" w:sz="0" w:space="0" w:color="auto"/>
          </w:divBdr>
          <w:divsChild>
            <w:div w:id="776294848">
              <w:marLeft w:val="0"/>
              <w:marRight w:val="0"/>
              <w:marTop w:val="0"/>
              <w:marBottom w:val="0"/>
              <w:divBdr>
                <w:top w:val="none" w:sz="0" w:space="0" w:color="auto"/>
                <w:left w:val="none" w:sz="0" w:space="0" w:color="auto"/>
                <w:bottom w:val="none" w:sz="0" w:space="0" w:color="auto"/>
                <w:right w:val="none" w:sz="0" w:space="0" w:color="auto"/>
              </w:divBdr>
              <w:divsChild>
                <w:div w:id="15973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8876">
      <w:bodyDiv w:val="1"/>
      <w:marLeft w:val="0"/>
      <w:marRight w:val="0"/>
      <w:marTop w:val="0"/>
      <w:marBottom w:val="0"/>
      <w:divBdr>
        <w:top w:val="none" w:sz="0" w:space="0" w:color="auto"/>
        <w:left w:val="none" w:sz="0" w:space="0" w:color="auto"/>
        <w:bottom w:val="none" w:sz="0" w:space="0" w:color="auto"/>
        <w:right w:val="none" w:sz="0" w:space="0" w:color="auto"/>
      </w:divBdr>
    </w:div>
    <w:div w:id="170336210">
      <w:bodyDiv w:val="1"/>
      <w:marLeft w:val="0"/>
      <w:marRight w:val="0"/>
      <w:marTop w:val="0"/>
      <w:marBottom w:val="0"/>
      <w:divBdr>
        <w:top w:val="none" w:sz="0" w:space="0" w:color="auto"/>
        <w:left w:val="none" w:sz="0" w:space="0" w:color="auto"/>
        <w:bottom w:val="none" w:sz="0" w:space="0" w:color="auto"/>
        <w:right w:val="none" w:sz="0" w:space="0" w:color="auto"/>
      </w:divBdr>
      <w:divsChild>
        <w:div w:id="549807738">
          <w:marLeft w:val="0"/>
          <w:marRight w:val="0"/>
          <w:marTop w:val="0"/>
          <w:marBottom w:val="0"/>
          <w:divBdr>
            <w:top w:val="none" w:sz="0" w:space="0" w:color="auto"/>
            <w:left w:val="none" w:sz="0" w:space="0" w:color="auto"/>
            <w:bottom w:val="none" w:sz="0" w:space="0" w:color="auto"/>
            <w:right w:val="none" w:sz="0" w:space="0" w:color="auto"/>
          </w:divBdr>
          <w:divsChild>
            <w:div w:id="2057506881">
              <w:marLeft w:val="0"/>
              <w:marRight w:val="0"/>
              <w:marTop w:val="0"/>
              <w:marBottom w:val="0"/>
              <w:divBdr>
                <w:top w:val="none" w:sz="0" w:space="0" w:color="auto"/>
                <w:left w:val="none" w:sz="0" w:space="0" w:color="auto"/>
                <w:bottom w:val="none" w:sz="0" w:space="0" w:color="auto"/>
                <w:right w:val="none" w:sz="0" w:space="0" w:color="auto"/>
              </w:divBdr>
              <w:divsChild>
                <w:div w:id="6642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249">
      <w:bodyDiv w:val="1"/>
      <w:marLeft w:val="0"/>
      <w:marRight w:val="0"/>
      <w:marTop w:val="0"/>
      <w:marBottom w:val="0"/>
      <w:divBdr>
        <w:top w:val="none" w:sz="0" w:space="0" w:color="auto"/>
        <w:left w:val="none" w:sz="0" w:space="0" w:color="auto"/>
        <w:bottom w:val="none" w:sz="0" w:space="0" w:color="auto"/>
        <w:right w:val="none" w:sz="0" w:space="0" w:color="auto"/>
      </w:divBdr>
    </w:div>
    <w:div w:id="344982911">
      <w:bodyDiv w:val="1"/>
      <w:marLeft w:val="0"/>
      <w:marRight w:val="0"/>
      <w:marTop w:val="0"/>
      <w:marBottom w:val="0"/>
      <w:divBdr>
        <w:top w:val="none" w:sz="0" w:space="0" w:color="auto"/>
        <w:left w:val="none" w:sz="0" w:space="0" w:color="auto"/>
        <w:bottom w:val="none" w:sz="0" w:space="0" w:color="auto"/>
        <w:right w:val="none" w:sz="0" w:space="0" w:color="auto"/>
      </w:divBdr>
    </w:div>
    <w:div w:id="405499962">
      <w:bodyDiv w:val="1"/>
      <w:marLeft w:val="0"/>
      <w:marRight w:val="0"/>
      <w:marTop w:val="0"/>
      <w:marBottom w:val="0"/>
      <w:divBdr>
        <w:top w:val="none" w:sz="0" w:space="0" w:color="auto"/>
        <w:left w:val="none" w:sz="0" w:space="0" w:color="auto"/>
        <w:bottom w:val="none" w:sz="0" w:space="0" w:color="auto"/>
        <w:right w:val="none" w:sz="0" w:space="0" w:color="auto"/>
      </w:divBdr>
    </w:div>
    <w:div w:id="433481338">
      <w:bodyDiv w:val="1"/>
      <w:marLeft w:val="0"/>
      <w:marRight w:val="0"/>
      <w:marTop w:val="0"/>
      <w:marBottom w:val="0"/>
      <w:divBdr>
        <w:top w:val="none" w:sz="0" w:space="0" w:color="auto"/>
        <w:left w:val="none" w:sz="0" w:space="0" w:color="auto"/>
        <w:bottom w:val="none" w:sz="0" w:space="0" w:color="auto"/>
        <w:right w:val="none" w:sz="0" w:space="0" w:color="auto"/>
      </w:divBdr>
      <w:divsChild>
        <w:div w:id="580799037">
          <w:marLeft w:val="0"/>
          <w:marRight w:val="0"/>
          <w:marTop w:val="0"/>
          <w:marBottom w:val="90"/>
          <w:divBdr>
            <w:top w:val="none" w:sz="0" w:space="0" w:color="auto"/>
            <w:left w:val="none" w:sz="0" w:space="0" w:color="auto"/>
            <w:bottom w:val="none" w:sz="0" w:space="0" w:color="auto"/>
            <w:right w:val="none" w:sz="0" w:space="0" w:color="auto"/>
          </w:divBdr>
        </w:div>
      </w:divsChild>
    </w:div>
    <w:div w:id="452984949">
      <w:bodyDiv w:val="1"/>
      <w:marLeft w:val="0"/>
      <w:marRight w:val="0"/>
      <w:marTop w:val="0"/>
      <w:marBottom w:val="0"/>
      <w:divBdr>
        <w:top w:val="none" w:sz="0" w:space="0" w:color="auto"/>
        <w:left w:val="none" w:sz="0" w:space="0" w:color="auto"/>
        <w:bottom w:val="none" w:sz="0" w:space="0" w:color="auto"/>
        <w:right w:val="none" w:sz="0" w:space="0" w:color="auto"/>
      </w:divBdr>
      <w:divsChild>
        <w:div w:id="194848344">
          <w:marLeft w:val="0"/>
          <w:marRight w:val="0"/>
          <w:marTop w:val="0"/>
          <w:marBottom w:val="0"/>
          <w:divBdr>
            <w:top w:val="none" w:sz="0" w:space="0" w:color="auto"/>
            <w:left w:val="none" w:sz="0" w:space="0" w:color="auto"/>
            <w:bottom w:val="none" w:sz="0" w:space="0" w:color="auto"/>
            <w:right w:val="none" w:sz="0" w:space="0" w:color="auto"/>
          </w:divBdr>
          <w:divsChild>
            <w:div w:id="1631669090">
              <w:marLeft w:val="0"/>
              <w:marRight w:val="0"/>
              <w:marTop w:val="0"/>
              <w:marBottom w:val="0"/>
              <w:divBdr>
                <w:top w:val="none" w:sz="0" w:space="0" w:color="auto"/>
                <w:left w:val="none" w:sz="0" w:space="0" w:color="auto"/>
                <w:bottom w:val="none" w:sz="0" w:space="0" w:color="auto"/>
                <w:right w:val="none" w:sz="0" w:space="0" w:color="auto"/>
              </w:divBdr>
              <w:divsChild>
                <w:div w:id="695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69557">
      <w:bodyDiv w:val="1"/>
      <w:marLeft w:val="0"/>
      <w:marRight w:val="0"/>
      <w:marTop w:val="0"/>
      <w:marBottom w:val="0"/>
      <w:divBdr>
        <w:top w:val="none" w:sz="0" w:space="0" w:color="auto"/>
        <w:left w:val="none" w:sz="0" w:space="0" w:color="auto"/>
        <w:bottom w:val="none" w:sz="0" w:space="0" w:color="auto"/>
        <w:right w:val="none" w:sz="0" w:space="0" w:color="auto"/>
      </w:divBdr>
    </w:div>
    <w:div w:id="542327650">
      <w:bodyDiv w:val="1"/>
      <w:marLeft w:val="0"/>
      <w:marRight w:val="0"/>
      <w:marTop w:val="0"/>
      <w:marBottom w:val="0"/>
      <w:divBdr>
        <w:top w:val="none" w:sz="0" w:space="0" w:color="auto"/>
        <w:left w:val="none" w:sz="0" w:space="0" w:color="auto"/>
        <w:bottom w:val="none" w:sz="0" w:space="0" w:color="auto"/>
        <w:right w:val="none" w:sz="0" w:space="0" w:color="auto"/>
      </w:divBdr>
      <w:divsChild>
        <w:div w:id="1069965933">
          <w:marLeft w:val="0"/>
          <w:marRight w:val="0"/>
          <w:marTop w:val="0"/>
          <w:marBottom w:val="0"/>
          <w:divBdr>
            <w:top w:val="none" w:sz="0" w:space="0" w:color="auto"/>
            <w:left w:val="none" w:sz="0" w:space="0" w:color="auto"/>
            <w:bottom w:val="none" w:sz="0" w:space="0" w:color="auto"/>
            <w:right w:val="none" w:sz="0" w:space="0" w:color="auto"/>
          </w:divBdr>
          <w:divsChild>
            <w:div w:id="2139182321">
              <w:marLeft w:val="0"/>
              <w:marRight w:val="0"/>
              <w:marTop w:val="0"/>
              <w:marBottom w:val="0"/>
              <w:divBdr>
                <w:top w:val="none" w:sz="0" w:space="0" w:color="auto"/>
                <w:left w:val="none" w:sz="0" w:space="0" w:color="auto"/>
                <w:bottom w:val="none" w:sz="0" w:space="0" w:color="auto"/>
                <w:right w:val="none" w:sz="0" w:space="0" w:color="auto"/>
              </w:divBdr>
              <w:divsChild>
                <w:div w:id="1847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8225">
      <w:bodyDiv w:val="1"/>
      <w:marLeft w:val="0"/>
      <w:marRight w:val="0"/>
      <w:marTop w:val="0"/>
      <w:marBottom w:val="0"/>
      <w:divBdr>
        <w:top w:val="none" w:sz="0" w:space="0" w:color="auto"/>
        <w:left w:val="none" w:sz="0" w:space="0" w:color="auto"/>
        <w:bottom w:val="none" w:sz="0" w:space="0" w:color="auto"/>
        <w:right w:val="none" w:sz="0" w:space="0" w:color="auto"/>
      </w:divBdr>
    </w:div>
    <w:div w:id="1077629582">
      <w:bodyDiv w:val="1"/>
      <w:marLeft w:val="0"/>
      <w:marRight w:val="0"/>
      <w:marTop w:val="0"/>
      <w:marBottom w:val="0"/>
      <w:divBdr>
        <w:top w:val="none" w:sz="0" w:space="0" w:color="auto"/>
        <w:left w:val="none" w:sz="0" w:space="0" w:color="auto"/>
        <w:bottom w:val="none" w:sz="0" w:space="0" w:color="auto"/>
        <w:right w:val="none" w:sz="0" w:space="0" w:color="auto"/>
      </w:divBdr>
    </w:div>
    <w:div w:id="1108887150">
      <w:bodyDiv w:val="1"/>
      <w:marLeft w:val="0"/>
      <w:marRight w:val="0"/>
      <w:marTop w:val="0"/>
      <w:marBottom w:val="0"/>
      <w:divBdr>
        <w:top w:val="none" w:sz="0" w:space="0" w:color="auto"/>
        <w:left w:val="none" w:sz="0" w:space="0" w:color="auto"/>
        <w:bottom w:val="none" w:sz="0" w:space="0" w:color="auto"/>
        <w:right w:val="none" w:sz="0" w:space="0" w:color="auto"/>
      </w:divBdr>
    </w:div>
    <w:div w:id="1196116667">
      <w:bodyDiv w:val="1"/>
      <w:marLeft w:val="0"/>
      <w:marRight w:val="0"/>
      <w:marTop w:val="0"/>
      <w:marBottom w:val="0"/>
      <w:divBdr>
        <w:top w:val="none" w:sz="0" w:space="0" w:color="auto"/>
        <w:left w:val="none" w:sz="0" w:space="0" w:color="auto"/>
        <w:bottom w:val="none" w:sz="0" w:space="0" w:color="auto"/>
        <w:right w:val="none" w:sz="0" w:space="0" w:color="auto"/>
      </w:divBdr>
      <w:divsChild>
        <w:div w:id="118032520">
          <w:marLeft w:val="0"/>
          <w:marRight w:val="0"/>
          <w:marTop w:val="0"/>
          <w:marBottom w:val="0"/>
          <w:divBdr>
            <w:top w:val="none" w:sz="0" w:space="0" w:color="auto"/>
            <w:left w:val="none" w:sz="0" w:space="0" w:color="auto"/>
            <w:bottom w:val="none" w:sz="0" w:space="0" w:color="auto"/>
            <w:right w:val="none" w:sz="0" w:space="0" w:color="auto"/>
          </w:divBdr>
          <w:divsChild>
            <w:div w:id="776371639">
              <w:marLeft w:val="0"/>
              <w:marRight w:val="0"/>
              <w:marTop w:val="0"/>
              <w:marBottom w:val="0"/>
              <w:divBdr>
                <w:top w:val="none" w:sz="0" w:space="0" w:color="auto"/>
                <w:left w:val="none" w:sz="0" w:space="0" w:color="auto"/>
                <w:bottom w:val="none" w:sz="0" w:space="0" w:color="auto"/>
                <w:right w:val="none" w:sz="0" w:space="0" w:color="auto"/>
              </w:divBdr>
              <w:divsChild>
                <w:div w:id="6837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111">
      <w:bodyDiv w:val="1"/>
      <w:marLeft w:val="0"/>
      <w:marRight w:val="0"/>
      <w:marTop w:val="0"/>
      <w:marBottom w:val="0"/>
      <w:divBdr>
        <w:top w:val="none" w:sz="0" w:space="0" w:color="auto"/>
        <w:left w:val="none" w:sz="0" w:space="0" w:color="auto"/>
        <w:bottom w:val="none" w:sz="0" w:space="0" w:color="auto"/>
        <w:right w:val="none" w:sz="0" w:space="0" w:color="auto"/>
      </w:divBdr>
    </w:div>
    <w:div w:id="1429109344">
      <w:bodyDiv w:val="1"/>
      <w:marLeft w:val="0"/>
      <w:marRight w:val="0"/>
      <w:marTop w:val="0"/>
      <w:marBottom w:val="0"/>
      <w:divBdr>
        <w:top w:val="none" w:sz="0" w:space="0" w:color="auto"/>
        <w:left w:val="none" w:sz="0" w:space="0" w:color="auto"/>
        <w:bottom w:val="none" w:sz="0" w:space="0" w:color="auto"/>
        <w:right w:val="none" w:sz="0" w:space="0" w:color="auto"/>
      </w:divBdr>
    </w:div>
    <w:div w:id="1501118263">
      <w:bodyDiv w:val="1"/>
      <w:marLeft w:val="0"/>
      <w:marRight w:val="0"/>
      <w:marTop w:val="0"/>
      <w:marBottom w:val="0"/>
      <w:divBdr>
        <w:top w:val="none" w:sz="0" w:space="0" w:color="auto"/>
        <w:left w:val="none" w:sz="0" w:space="0" w:color="auto"/>
        <w:bottom w:val="none" w:sz="0" w:space="0" w:color="auto"/>
        <w:right w:val="none" w:sz="0" w:space="0" w:color="auto"/>
      </w:divBdr>
      <w:divsChild>
        <w:div w:id="897475206">
          <w:marLeft w:val="0"/>
          <w:marRight w:val="0"/>
          <w:marTop w:val="0"/>
          <w:marBottom w:val="0"/>
          <w:divBdr>
            <w:top w:val="none" w:sz="0" w:space="0" w:color="auto"/>
            <w:left w:val="none" w:sz="0" w:space="0" w:color="auto"/>
            <w:bottom w:val="none" w:sz="0" w:space="0" w:color="auto"/>
            <w:right w:val="none" w:sz="0" w:space="0" w:color="auto"/>
          </w:divBdr>
          <w:divsChild>
            <w:div w:id="997458832">
              <w:marLeft w:val="0"/>
              <w:marRight w:val="0"/>
              <w:marTop w:val="0"/>
              <w:marBottom w:val="0"/>
              <w:divBdr>
                <w:top w:val="none" w:sz="0" w:space="0" w:color="auto"/>
                <w:left w:val="none" w:sz="0" w:space="0" w:color="auto"/>
                <w:bottom w:val="none" w:sz="0" w:space="0" w:color="auto"/>
                <w:right w:val="none" w:sz="0" w:space="0" w:color="auto"/>
              </w:divBdr>
              <w:divsChild>
                <w:div w:id="20920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4037">
      <w:bodyDiv w:val="1"/>
      <w:marLeft w:val="0"/>
      <w:marRight w:val="0"/>
      <w:marTop w:val="0"/>
      <w:marBottom w:val="0"/>
      <w:divBdr>
        <w:top w:val="none" w:sz="0" w:space="0" w:color="auto"/>
        <w:left w:val="none" w:sz="0" w:space="0" w:color="auto"/>
        <w:bottom w:val="none" w:sz="0" w:space="0" w:color="auto"/>
        <w:right w:val="none" w:sz="0" w:space="0" w:color="auto"/>
      </w:divBdr>
      <w:divsChild>
        <w:div w:id="638610817">
          <w:marLeft w:val="0"/>
          <w:marRight w:val="0"/>
          <w:marTop w:val="0"/>
          <w:marBottom w:val="120"/>
          <w:divBdr>
            <w:top w:val="none" w:sz="0" w:space="0" w:color="auto"/>
            <w:left w:val="none" w:sz="0" w:space="0" w:color="auto"/>
            <w:bottom w:val="none" w:sz="0" w:space="0" w:color="auto"/>
            <w:right w:val="none" w:sz="0" w:space="0" w:color="auto"/>
          </w:divBdr>
        </w:div>
        <w:div w:id="505480281">
          <w:marLeft w:val="0"/>
          <w:marRight w:val="0"/>
          <w:marTop w:val="0"/>
          <w:marBottom w:val="540"/>
          <w:divBdr>
            <w:top w:val="none" w:sz="0" w:space="0" w:color="auto"/>
            <w:left w:val="none" w:sz="0" w:space="0" w:color="auto"/>
            <w:bottom w:val="none" w:sz="0" w:space="0" w:color="auto"/>
            <w:right w:val="none" w:sz="0" w:space="0" w:color="auto"/>
          </w:divBdr>
        </w:div>
        <w:div w:id="250822783">
          <w:marLeft w:val="0"/>
          <w:marRight w:val="0"/>
          <w:marTop w:val="0"/>
          <w:marBottom w:val="0"/>
          <w:divBdr>
            <w:top w:val="none" w:sz="0" w:space="0" w:color="auto"/>
            <w:left w:val="none" w:sz="0" w:space="0" w:color="auto"/>
            <w:bottom w:val="none" w:sz="0" w:space="0" w:color="auto"/>
            <w:right w:val="none" w:sz="0" w:space="0" w:color="auto"/>
          </w:divBdr>
          <w:divsChild>
            <w:div w:id="8479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608">
      <w:bodyDiv w:val="1"/>
      <w:marLeft w:val="0"/>
      <w:marRight w:val="0"/>
      <w:marTop w:val="0"/>
      <w:marBottom w:val="0"/>
      <w:divBdr>
        <w:top w:val="none" w:sz="0" w:space="0" w:color="auto"/>
        <w:left w:val="none" w:sz="0" w:space="0" w:color="auto"/>
        <w:bottom w:val="none" w:sz="0" w:space="0" w:color="auto"/>
        <w:right w:val="none" w:sz="0" w:space="0" w:color="auto"/>
      </w:divBdr>
    </w:div>
    <w:div w:id="1673753204">
      <w:bodyDiv w:val="1"/>
      <w:marLeft w:val="0"/>
      <w:marRight w:val="0"/>
      <w:marTop w:val="0"/>
      <w:marBottom w:val="0"/>
      <w:divBdr>
        <w:top w:val="none" w:sz="0" w:space="0" w:color="auto"/>
        <w:left w:val="none" w:sz="0" w:space="0" w:color="auto"/>
        <w:bottom w:val="none" w:sz="0" w:space="0" w:color="auto"/>
        <w:right w:val="none" w:sz="0" w:space="0" w:color="auto"/>
      </w:divBdr>
    </w:div>
    <w:div w:id="1689217866">
      <w:bodyDiv w:val="1"/>
      <w:marLeft w:val="0"/>
      <w:marRight w:val="0"/>
      <w:marTop w:val="0"/>
      <w:marBottom w:val="0"/>
      <w:divBdr>
        <w:top w:val="none" w:sz="0" w:space="0" w:color="auto"/>
        <w:left w:val="none" w:sz="0" w:space="0" w:color="auto"/>
        <w:bottom w:val="none" w:sz="0" w:space="0" w:color="auto"/>
        <w:right w:val="none" w:sz="0" w:space="0" w:color="auto"/>
      </w:divBdr>
      <w:divsChild>
        <w:div w:id="1602491970">
          <w:marLeft w:val="0"/>
          <w:marRight w:val="0"/>
          <w:marTop w:val="0"/>
          <w:marBottom w:val="0"/>
          <w:divBdr>
            <w:top w:val="none" w:sz="0" w:space="0" w:color="auto"/>
            <w:left w:val="none" w:sz="0" w:space="0" w:color="auto"/>
            <w:bottom w:val="none" w:sz="0" w:space="0" w:color="auto"/>
            <w:right w:val="none" w:sz="0" w:space="0" w:color="auto"/>
          </w:divBdr>
          <w:divsChild>
            <w:div w:id="794757253">
              <w:marLeft w:val="0"/>
              <w:marRight w:val="0"/>
              <w:marTop w:val="0"/>
              <w:marBottom w:val="0"/>
              <w:divBdr>
                <w:top w:val="none" w:sz="0" w:space="0" w:color="auto"/>
                <w:left w:val="none" w:sz="0" w:space="0" w:color="auto"/>
                <w:bottom w:val="none" w:sz="0" w:space="0" w:color="auto"/>
                <w:right w:val="none" w:sz="0" w:space="0" w:color="auto"/>
              </w:divBdr>
              <w:divsChild>
                <w:div w:id="1425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436">
      <w:bodyDiv w:val="1"/>
      <w:marLeft w:val="0"/>
      <w:marRight w:val="0"/>
      <w:marTop w:val="0"/>
      <w:marBottom w:val="0"/>
      <w:divBdr>
        <w:top w:val="none" w:sz="0" w:space="0" w:color="auto"/>
        <w:left w:val="none" w:sz="0" w:space="0" w:color="auto"/>
        <w:bottom w:val="none" w:sz="0" w:space="0" w:color="auto"/>
        <w:right w:val="none" w:sz="0" w:space="0" w:color="auto"/>
      </w:divBdr>
      <w:divsChild>
        <w:div w:id="1452282697">
          <w:marLeft w:val="0"/>
          <w:marRight w:val="0"/>
          <w:marTop w:val="0"/>
          <w:marBottom w:val="0"/>
          <w:divBdr>
            <w:top w:val="none" w:sz="0" w:space="0" w:color="auto"/>
            <w:left w:val="none" w:sz="0" w:space="0" w:color="auto"/>
            <w:bottom w:val="none" w:sz="0" w:space="0" w:color="auto"/>
            <w:right w:val="none" w:sz="0" w:space="0" w:color="auto"/>
          </w:divBdr>
        </w:div>
      </w:divsChild>
    </w:div>
    <w:div w:id="1753811678">
      <w:bodyDiv w:val="1"/>
      <w:marLeft w:val="0"/>
      <w:marRight w:val="0"/>
      <w:marTop w:val="0"/>
      <w:marBottom w:val="0"/>
      <w:divBdr>
        <w:top w:val="none" w:sz="0" w:space="0" w:color="auto"/>
        <w:left w:val="none" w:sz="0" w:space="0" w:color="auto"/>
        <w:bottom w:val="none" w:sz="0" w:space="0" w:color="auto"/>
        <w:right w:val="none" w:sz="0" w:space="0" w:color="auto"/>
      </w:divBdr>
      <w:divsChild>
        <w:div w:id="144855602">
          <w:marLeft w:val="0"/>
          <w:marRight w:val="0"/>
          <w:marTop w:val="0"/>
          <w:marBottom w:val="0"/>
          <w:divBdr>
            <w:top w:val="none" w:sz="0" w:space="0" w:color="auto"/>
            <w:left w:val="none" w:sz="0" w:space="0" w:color="auto"/>
            <w:bottom w:val="none" w:sz="0" w:space="0" w:color="auto"/>
            <w:right w:val="none" w:sz="0" w:space="0" w:color="auto"/>
          </w:divBdr>
          <w:divsChild>
            <w:div w:id="138616084">
              <w:marLeft w:val="0"/>
              <w:marRight w:val="0"/>
              <w:marTop w:val="0"/>
              <w:marBottom w:val="0"/>
              <w:divBdr>
                <w:top w:val="none" w:sz="0" w:space="0" w:color="auto"/>
                <w:left w:val="none" w:sz="0" w:space="0" w:color="auto"/>
                <w:bottom w:val="none" w:sz="0" w:space="0" w:color="auto"/>
                <w:right w:val="none" w:sz="0" w:space="0" w:color="auto"/>
              </w:divBdr>
              <w:divsChild>
                <w:div w:id="7236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4324">
      <w:bodyDiv w:val="1"/>
      <w:marLeft w:val="0"/>
      <w:marRight w:val="0"/>
      <w:marTop w:val="0"/>
      <w:marBottom w:val="0"/>
      <w:divBdr>
        <w:top w:val="none" w:sz="0" w:space="0" w:color="auto"/>
        <w:left w:val="none" w:sz="0" w:space="0" w:color="auto"/>
        <w:bottom w:val="none" w:sz="0" w:space="0" w:color="auto"/>
        <w:right w:val="none" w:sz="0" w:space="0" w:color="auto"/>
      </w:divBdr>
    </w:div>
    <w:div w:id="1820540192">
      <w:bodyDiv w:val="1"/>
      <w:marLeft w:val="0"/>
      <w:marRight w:val="0"/>
      <w:marTop w:val="0"/>
      <w:marBottom w:val="0"/>
      <w:divBdr>
        <w:top w:val="none" w:sz="0" w:space="0" w:color="auto"/>
        <w:left w:val="none" w:sz="0" w:space="0" w:color="auto"/>
        <w:bottom w:val="none" w:sz="0" w:space="0" w:color="auto"/>
        <w:right w:val="none" w:sz="0" w:space="0" w:color="auto"/>
      </w:divBdr>
      <w:divsChild>
        <w:div w:id="395592998">
          <w:marLeft w:val="0"/>
          <w:marRight w:val="0"/>
          <w:marTop w:val="0"/>
          <w:marBottom w:val="0"/>
          <w:divBdr>
            <w:top w:val="none" w:sz="0" w:space="0" w:color="auto"/>
            <w:left w:val="none" w:sz="0" w:space="0" w:color="auto"/>
            <w:bottom w:val="none" w:sz="0" w:space="0" w:color="auto"/>
            <w:right w:val="none" w:sz="0" w:space="0" w:color="auto"/>
          </w:divBdr>
          <w:divsChild>
            <w:div w:id="258876889">
              <w:marLeft w:val="0"/>
              <w:marRight w:val="0"/>
              <w:marTop w:val="0"/>
              <w:marBottom w:val="0"/>
              <w:divBdr>
                <w:top w:val="none" w:sz="0" w:space="0" w:color="auto"/>
                <w:left w:val="none" w:sz="0" w:space="0" w:color="auto"/>
                <w:bottom w:val="none" w:sz="0" w:space="0" w:color="auto"/>
                <w:right w:val="none" w:sz="0" w:space="0" w:color="auto"/>
              </w:divBdr>
              <w:divsChild>
                <w:div w:id="1469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7566">
      <w:bodyDiv w:val="1"/>
      <w:marLeft w:val="0"/>
      <w:marRight w:val="0"/>
      <w:marTop w:val="0"/>
      <w:marBottom w:val="0"/>
      <w:divBdr>
        <w:top w:val="none" w:sz="0" w:space="0" w:color="auto"/>
        <w:left w:val="none" w:sz="0" w:space="0" w:color="auto"/>
        <w:bottom w:val="none" w:sz="0" w:space="0" w:color="auto"/>
        <w:right w:val="none" w:sz="0" w:space="0" w:color="auto"/>
      </w:divBdr>
    </w:div>
    <w:div w:id="2014214381">
      <w:bodyDiv w:val="1"/>
      <w:marLeft w:val="0"/>
      <w:marRight w:val="0"/>
      <w:marTop w:val="0"/>
      <w:marBottom w:val="0"/>
      <w:divBdr>
        <w:top w:val="none" w:sz="0" w:space="0" w:color="auto"/>
        <w:left w:val="none" w:sz="0" w:space="0" w:color="auto"/>
        <w:bottom w:val="none" w:sz="0" w:space="0" w:color="auto"/>
        <w:right w:val="none" w:sz="0" w:space="0" w:color="auto"/>
      </w:divBdr>
    </w:div>
    <w:div w:id="2027100197">
      <w:bodyDiv w:val="1"/>
      <w:marLeft w:val="0"/>
      <w:marRight w:val="0"/>
      <w:marTop w:val="0"/>
      <w:marBottom w:val="0"/>
      <w:divBdr>
        <w:top w:val="none" w:sz="0" w:space="0" w:color="auto"/>
        <w:left w:val="none" w:sz="0" w:space="0" w:color="auto"/>
        <w:bottom w:val="none" w:sz="0" w:space="0" w:color="auto"/>
        <w:right w:val="none" w:sz="0" w:space="0" w:color="auto"/>
      </w:divBdr>
    </w:div>
    <w:div w:id="2060743825">
      <w:bodyDiv w:val="1"/>
      <w:marLeft w:val="0"/>
      <w:marRight w:val="0"/>
      <w:marTop w:val="0"/>
      <w:marBottom w:val="0"/>
      <w:divBdr>
        <w:top w:val="none" w:sz="0" w:space="0" w:color="auto"/>
        <w:left w:val="none" w:sz="0" w:space="0" w:color="auto"/>
        <w:bottom w:val="none" w:sz="0" w:space="0" w:color="auto"/>
        <w:right w:val="none" w:sz="0" w:space="0" w:color="auto"/>
      </w:divBdr>
    </w:div>
    <w:div w:id="2096126490">
      <w:bodyDiv w:val="1"/>
      <w:marLeft w:val="0"/>
      <w:marRight w:val="0"/>
      <w:marTop w:val="0"/>
      <w:marBottom w:val="0"/>
      <w:divBdr>
        <w:top w:val="none" w:sz="0" w:space="0" w:color="auto"/>
        <w:left w:val="none" w:sz="0" w:space="0" w:color="auto"/>
        <w:bottom w:val="none" w:sz="0" w:space="0" w:color="auto"/>
        <w:right w:val="none" w:sz="0" w:space="0" w:color="auto"/>
      </w:divBdr>
      <w:divsChild>
        <w:div w:id="839200010">
          <w:marLeft w:val="0"/>
          <w:marRight w:val="0"/>
          <w:marTop w:val="0"/>
          <w:marBottom w:val="0"/>
          <w:divBdr>
            <w:top w:val="none" w:sz="0" w:space="0" w:color="auto"/>
            <w:left w:val="none" w:sz="0" w:space="0" w:color="auto"/>
            <w:bottom w:val="none" w:sz="0" w:space="0" w:color="auto"/>
            <w:right w:val="none" w:sz="0" w:space="0" w:color="auto"/>
          </w:divBdr>
          <w:divsChild>
            <w:div w:id="1565750101">
              <w:marLeft w:val="0"/>
              <w:marRight w:val="0"/>
              <w:marTop w:val="0"/>
              <w:marBottom w:val="0"/>
              <w:divBdr>
                <w:top w:val="none" w:sz="0" w:space="0" w:color="auto"/>
                <w:left w:val="none" w:sz="0" w:space="0" w:color="auto"/>
                <w:bottom w:val="none" w:sz="0" w:space="0" w:color="auto"/>
                <w:right w:val="none" w:sz="0" w:space="0" w:color="auto"/>
              </w:divBdr>
              <w:divsChild>
                <w:div w:id="12779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3010">
      <w:bodyDiv w:val="1"/>
      <w:marLeft w:val="0"/>
      <w:marRight w:val="0"/>
      <w:marTop w:val="0"/>
      <w:marBottom w:val="0"/>
      <w:divBdr>
        <w:top w:val="none" w:sz="0" w:space="0" w:color="auto"/>
        <w:left w:val="none" w:sz="0" w:space="0" w:color="auto"/>
        <w:bottom w:val="none" w:sz="0" w:space="0" w:color="auto"/>
        <w:right w:val="none" w:sz="0" w:space="0" w:color="auto"/>
      </w:divBdr>
    </w:div>
    <w:div w:id="2134011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7792</Words>
  <Characters>44420</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3</cp:revision>
  <dcterms:created xsi:type="dcterms:W3CDTF">2017-08-02T13:47:00Z</dcterms:created>
  <dcterms:modified xsi:type="dcterms:W3CDTF">2017-08-02T13:53:00Z</dcterms:modified>
</cp:coreProperties>
</file>