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714A2" w14:textId="560F7805" w:rsidR="00A96BFC" w:rsidRDefault="004213E2" w:rsidP="00FB2AD2">
      <w:pPr>
        <w:widowControl w:val="0"/>
        <w:autoSpaceDE w:val="0"/>
        <w:autoSpaceDN w:val="0"/>
        <w:adjustRightInd w:val="0"/>
        <w:spacing w:line="360" w:lineRule="auto"/>
        <w:jc w:val="both"/>
        <w:rPr>
          <w:rFonts w:ascii="Times New Roman" w:hAnsi="Times New Roman" w:cs="Times New Roman"/>
        </w:rPr>
      </w:pPr>
      <w:bookmarkStart w:id="0" w:name="_GoBack"/>
      <w:bookmarkEnd w:id="0"/>
      <w:r w:rsidRPr="001F2086">
        <w:rPr>
          <w:rFonts w:ascii="Times New Roman" w:hAnsi="Times New Roman" w:cs="Times New Roman"/>
        </w:rPr>
        <w:t>Responsible Capitalism: Labour’s Industrial Policy and the</w:t>
      </w:r>
      <w:r w:rsidR="00391098" w:rsidRPr="001F2086">
        <w:rPr>
          <w:rFonts w:ascii="Times New Roman" w:hAnsi="Times New Roman" w:cs="Times New Roman"/>
        </w:rPr>
        <w:t xml:space="preserve"> idea of</w:t>
      </w:r>
      <w:r w:rsidR="002D1E3D" w:rsidRPr="001F2086">
        <w:rPr>
          <w:rFonts w:ascii="Times New Roman" w:hAnsi="Times New Roman" w:cs="Times New Roman"/>
        </w:rPr>
        <w:t xml:space="preserve"> </w:t>
      </w:r>
      <w:r w:rsidR="00F151E3" w:rsidRPr="001F2086">
        <w:rPr>
          <w:rFonts w:ascii="Times New Roman" w:hAnsi="Times New Roman" w:cs="Times New Roman"/>
        </w:rPr>
        <w:t xml:space="preserve">a </w:t>
      </w:r>
      <w:r w:rsidRPr="001F2086">
        <w:rPr>
          <w:rFonts w:ascii="Times New Roman" w:hAnsi="Times New Roman" w:cs="Times New Roman"/>
        </w:rPr>
        <w:t>National Investment Bank</w:t>
      </w:r>
      <w:r w:rsidR="002D1E3D" w:rsidRPr="001F2086">
        <w:rPr>
          <w:rFonts w:ascii="Times New Roman" w:hAnsi="Times New Roman" w:cs="Times New Roman"/>
        </w:rPr>
        <w:t xml:space="preserve"> </w:t>
      </w:r>
      <w:r w:rsidR="006D480B" w:rsidRPr="001F2086">
        <w:rPr>
          <w:rFonts w:ascii="Times New Roman" w:hAnsi="Times New Roman" w:cs="Times New Roman"/>
        </w:rPr>
        <w:t>during the long 1980s</w:t>
      </w:r>
    </w:p>
    <w:p w14:paraId="478F867D" w14:textId="77777777" w:rsidR="00123D08" w:rsidRPr="001F2086" w:rsidRDefault="00123D08" w:rsidP="00FB2AD2">
      <w:pPr>
        <w:widowControl w:val="0"/>
        <w:autoSpaceDE w:val="0"/>
        <w:autoSpaceDN w:val="0"/>
        <w:adjustRightInd w:val="0"/>
        <w:spacing w:line="360" w:lineRule="auto"/>
        <w:jc w:val="both"/>
        <w:rPr>
          <w:rFonts w:ascii="Times New Roman" w:hAnsi="Times New Roman" w:cs="Times New Roman"/>
        </w:rPr>
      </w:pPr>
    </w:p>
    <w:p w14:paraId="6E2D2B27" w14:textId="45ECAB46" w:rsidR="003A67E8" w:rsidRPr="00123D08" w:rsidRDefault="00123D08" w:rsidP="00FB2AD2">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Richard Carr</w:t>
      </w:r>
    </w:p>
    <w:p w14:paraId="4839E5FB" w14:textId="77777777" w:rsidR="002D1E3D" w:rsidRDefault="002D1E3D" w:rsidP="00FB2AD2">
      <w:pPr>
        <w:widowControl w:val="0"/>
        <w:autoSpaceDE w:val="0"/>
        <w:autoSpaceDN w:val="0"/>
        <w:adjustRightInd w:val="0"/>
        <w:spacing w:line="360" w:lineRule="auto"/>
        <w:jc w:val="both"/>
        <w:rPr>
          <w:rFonts w:ascii="Times New Roman" w:hAnsi="Times New Roman" w:cs="Times New Roman"/>
        </w:rPr>
      </w:pPr>
    </w:p>
    <w:p w14:paraId="1434C5A8" w14:textId="77777777" w:rsidR="00123D08" w:rsidRPr="00626A7E" w:rsidRDefault="00123D08" w:rsidP="00FB2AD2">
      <w:pPr>
        <w:widowControl w:val="0"/>
        <w:autoSpaceDE w:val="0"/>
        <w:autoSpaceDN w:val="0"/>
        <w:adjustRightInd w:val="0"/>
        <w:spacing w:line="360" w:lineRule="auto"/>
        <w:jc w:val="both"/>
        <w:rPr>
          <w:rFonts w:ascii="Times New Roman" w:hAnsi="Times New Roman" w:cs="Times New Roman"/>
        </w:rPr>
      </w:pPr>
    </w:p>
    <w:p w14:paraId="18DF04AA" w14:textId="6BE1629A" w:rsidR="002F525C" w:rsidRPr="00626A7E" w:rsidRDefault="00EE62A6" w:rsidP="00FB2AD2">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T</w:t>
      </w:r>
      <w:r w:rsidR="004A11AD" w:rsidRPr="00626A7E">
        <w:rPr>
          <w:rFonts w:ascii="Times New Roman" w:hAnsi="Times New Roman" w:cs="Times New Roman"/>
        </w:rPr>
        <w:t xml:space="preserve">his article </w:t>
      </w:r>
      <w:r w:rsidRPr="00626A7E">
        <w:rPr>
          <w:rFonts w:ascii="Times New Roman" w:hAnsi="Times New Roman" w:cs="Times New Roman"/>
        </w:rPr>
        <w:t>considers</w:t>
      </w:r>
      <w:r w:rsidR="004A11AD" w:rsidRPr="00626A7E">
        <w:rPr>
          <w:rFonts w:ascii="Times New Roman" w:hAnsi="Times New Roman" w:cs="Times New Roman"/>
        </w:rPr>
        <w:t xml:space="preserve"> two </w:t>
      </w:r>
      <w:r w:rsidR="005D7144" w:rsidRPr="00626A7E">
        <w:rPr>
          <w:rFonts w:ascii="Times New Roman" w:hAnsi="Times New Roman" w:cs="Times New Roman"/>
        </w:rPr>
        <w:t>over</w:t>
      </w:r>
      <w:r w:rsidR="005D7144">
        <w:rPr>
          <w:rFonts w:ascii="Times New Roman" w:hAnsi="Times New Roman" w:cs="Times New Roman"/>
        </w:rPr>
        <w:t>lapping</w:t>
      </w:r>
      <w:r w:rsidR="005D7144" w:rsidRPr="00626A7E">
        <w:rPr>
          <w:rFonts w:ascii="Times New Roman" w:hAnsi="Times New Roman" w:cs="Times New Roman"/>
        </w:rPr>
        <w:t xml:space="preserve"> </w:t>
      </w:r>
      <w:r w:rsidR="004A11AD" w:rsidRPr="00626A7E">
        <w:rPr>
          <w:rFonts w:ascii="Times New Roman" w:hAnsi="Times New Roman" w:cs="Times New Roman"/>
        </w:rPr>
        <w:t>issues: Labour’s conception of the economy, and its overall electability. As to the first, i</w:t>
      </w:r>
      <w:r w:rsidR="002A5240" w:rsidRPr="00626A7E">
        <w:rPr>
          <w:rFonts w:ascii="Times New Roman" w:hAnsi="Times New Roman" w:cs="Times New Roman"/>
        </w:rPr>
        <w:t xml:space="preserve">t is widely asserted </w:t>
      </w:r>
      <w:r w:rsidR="00E4321B" w:rsidRPr="00626A7E">
        <w:rPr>
          <w:rFonts w:ascii="Times New Roman" w:hAnsi="Times New Roman" w:cs="Times New Roman"/>
        </w:rPr>
        <w:t xml:space="preserve">in both academic and political circles </w:t>
      </w:r>
      <w:r w:rsidR="002A5240" w:rsidRPr="00626A7E">
        <w:rPr>
          <w:rFonts w:ascii="Times New Roman" w:hAnsi="Times New Roman" w:cs="Times New Roman"/>
        </w:rPr>
        <w:t>that</w:t>
      </w:r>
      <w:r w:rsidR="007B3D13" w:rsidRPr="00626A7E">
        <w:rPr>
          <w:rFonts w:ascii="Times New Roman" w:hAnsi="Times New Roman" w:cs="Times New Roman"/>
        </w:rPr>
        <w:t xml:space="preserve"> ‘the absence of economic policy credibility was absolutely central to Labour’s failure to regain office until 1997.’</w:t>
      </w:r>
      <w:r w:rsidR="007B3D13" w:rsidRPr="00626A7E">
        <w:rPr>
          <w:rStyle w:val="FootnoteReference"/>
          <w:rFonts w:ascii="Times New Roman" w:hAnsi="Times New Roman" w:cs="Times New Roman"/>
        </w:rPr>
        <w:footnoteReference w:id="1"/>
      </w:r>
      <w:r w:rsidR="00693074" w:rsidRPr="00626A7E">
        <w:rPr>
          <w:rFonts w:ascii="Times New Roman" w:hAnsi="Times New Roman" w:cs="Times New Roman"/>
        </w:rPr>
        <w:t xml:space="preserve"> </w:t>
      </w:r>
      <w:r w:rsidR="00831EC3" w:rsidRPr="00626A7E">
        <w:rPr>
          <w:rFonts w:ascii="Times New Roman" w:hAnsi="Times New Roman" w:cs="Times New Roman"/>
        </w:rPr>
        <w:t>This was</w:t>
      </w:r>
      <w:r w:rsidR="00561D6A" w:rsidRPr="00626A7E">
        <w:rPr>
          <w:rFonts w:ascii="Times New Roman" w:hAnsi="Times New Roman" w:cs="Times New Roman"/>
        </w:rPr>
        <w:t xml:space="preserve"> </w:t>
      </w:r>
      <w:r w:rsidR="00CC0AFF" w:rsidRPr="00626A7E">
        <w:rPr>
          <w:rFonts w:ascii="Times New Roman" w:hAnsi="Times New Roman" w:cs="Times New Roman"/>
        </w:rPr>
        <w:t>certainly</w:t>
      </w:r>
      <w:r w:rsidR="00E67C99" w:rsidRPr="00626A7E">
        <w:rPr>
          <w:rFonts w:ascii="Times New Roman" w:hAnsi="Times New Roman" w:cs="Times New Roman"/>
        </w:rPr>
        <w:t xml:space="preserve"> </w:t>
      </w:r>
      <w:r w:rsidR="00831EC3" w:rsidRPr="00626A7E">
        <w:rPr>
          <w:rFonts w:ascii="Times New Roman" w:hAnsi="Times New Roman" w:cs="Times New Roman"/>
        </w:rPr>
        <w:t xml:space="preserve">true of </w:t>
      </w:r>
      <w:r w:rsidR="00561D6A" w:rsidRPr="00626A7E">
        <w:rPr>
          <w:rFonts w:ascii="Times New Roman" w:hAnsi="Times New Roman" w:cs="Times New Roman"/>
        </w:rPr>
        <w:t xml:space="preserve">the </w:t>
      </w:r>
      <w:r w:rsidR="00831EC3" w:rsidRPr="00626A7E">
        <w:rPr>
          <w:rFonts w:ascii="Times New Roman" w:hAnsi="Times New Roman" w:cs="Times New Roman"/>
        </w:rPr>
        <w:t>1983</w:t>
      </w:r>
      <w:r w:rsidR="00561D6A" w:rsidRPr="00626A7E">
        <w:rPr>
          <w:rFonts w:ascii="Times New Roman" w:hAnsi="Times New Roman" w:cs="Times New Roman"/>
        </w:rPr>
        <w:t xml:space="preserve"> General Election</w:t>
      </w:r>
      <w:r w:rsidR="00EC5ACD" w:rsidRPr="00626A7E">
        <w:rPr>
          <w:rFonts w:ascii="Times New Roman" w:hAnsi="Times New Roman" w:cs="Times New Roman"/>
        </w:rPr>
        <w:t xml:space="preserve"> when</w:t>
      </w:r>
      <w:r w:rsidR="00831EC3" w:rsidRPr="00626A7E">
        <w:rPr>
          <w:rFonts w:ascii="Times New Roman" w:hAnsi="Times New Roman" w:cs="Times New Roman"/>
        </w:rPr>
        <w:t xml:space="preserve">, </w:t>
      </w:r>
      <w:r w:rsidR="00561D6A" w:rsidRPr="00626A7E">
        <w:rPr>
          <w:rFonts w:ascii="Times New Roman" w:hAnsi="Times New Roman" w:cs="Times New Roman"/>
        </w:rPr>
        <w:t xml:space="preserve">as </w:t>
      </w:r>
      <w:r w:rsidR="0073296E" w:rsidRPr="00626A7E">
        <w:rPr>
          <w:rFonts w:ascii="Times New Roman" w:hAnsi="Times New Roman" w:cs="Times New Roman"/>
        </w:rPr>
        <w:t xml:space="preserve">Colin Hughes and Patrick Wintour remarked, </w:t>
      </w:r>
      <w:r w:rsidR="00693074" w:rsidRPr="00626A7E">
        <w:rPr>
          <w:rFonts w:ascii="Times New Roman" w:hAnsi="Times New Roman" w:cs="Times New Roman"/>
        </w:rPr>
        <w:t>‘even 28 per cent</w:t>
      </w:r>
      <w:r w:rsidR="0073296E" w:rsidRPr="00626A7E">
        <w:rPr>
          <w:rFonts w:ascii="Times New Roman" w:hAnsi="Times New Roman" w:cs="Times New Roman"/>
        </w:rPr>
        <w:t xml:space="preserve"> [of the vote]</w:t>
      </w:r>
      <w:r w:rsidR="00693074" w:rsidRPr="00626A7E">
        <w:rPr>
          <w:rFonts w:ascii="Times New Roman" w:hAnsi="Times New Roman" w:cs="Times New Roman"/>
        </w:rPr>
        <w:t>, the party’s lowest since 1918, seemed more than the party deserved</w:t>
      </w:r>
      <w:r w:rsidR="0073296E" w:rsidRPr="00626A7E">
        <w:rPr>
          <w:rFonts w:ascii="Times New Roman" w:hAnsi="Times New Roman" w:cs="Times New Roman"/>
        </w:rPr>
        <w:t>.</w:t>
      </w:r>
      <w:r w:rsidR="00693074" w:rsidRPr="00626A7E">
        <w:rPr>
          <w:rFonts w:ascii="Times New Roman" w:hAnsi="Times New Roman" w:cs="Times New Roman"/>
        </w:rPr>
        <w:t>’</w:t>
      </w:r>
      <w:r w:rsidR="0073296E" w:rsidRPr="00626A7E">
        <w:rPr>
          <w:rStyle w:val="FootnoteReference"/>
          <w:rFonts w:ascii="Times New Roman" w:hAnsi="Times New Roman" w:cs="Times New Roman"/>
        </w:rPr>
        <w:footnoteReference w:id="2"/>
      </w:r>
      <w:r w:rsidR="00334F2E" w:rsidRPr="00626A7E">
        <w:rPr>
          <w:rFonts w:ascii="Times New Roman" w:hAnsi="Times New Roman" w:cs="Times New Roman"/>
        </w:rPr>
        <w:t xml:space="preserve"> </w:t>
      </w:r>
      <w:r w:rsidR="00C56814" w:rsidRPr="00626A7E">
        <w:rPr>
          <w:rFonts w:ascii="Times New Roman" w:hAnsi="Times New Roman" w:cs="Times New Roman"/>
        </w:rPr>
        <w:t>By 1987 Giles Radice believed ‘Labour had ‘</w:t>
      </w:r>
      <w:r w:rsidR="008272BB" w:rsidRPr="00626A7E">
        <w:rPr>
          <w:rFonts w:ascii="Times New Roman" w:hAnsi="Times New Roman" w:cs="Times New Roman"/>
        </w:rPr>
        <w:t>managed to convince the electorate that its heart was in the right place…[but they] still doubted whether it had the vision, capacity and competence to shape the future.’</w:t>
      </w:r>
      <w:r w:rsidR="008272BB" w:rsidRPr="00626A7E">
        <w:rPr>
          <w:rStyle w:val="FootnoteReference"/>
          <w:rFonts w:ascii="Times New Roman" w:hAnsi="Times New Roman" w:cs="Times New Roman"/>
        </w:rPr>
        <w:footnoteReference w:id="3"/>
      </w:r>
      <w:r w:rsidR="00C56814" w:rsidRPr="00626A7E">
        <w:rPr>
          <w:rFonts w:ascii="Times New Roman" w:hAnsi="Times New Roman" w:cs="Times New Roman"/>
        </w:rPr>
        <w:t xml:space="preserve"> </w:t>
      </w:r>
      <w:r w:rsidR="00406CA4" w:rsidRPr="00626A7E">
        <w:rPr>
          <w:rFonts w:ascii="Times New Roman" w:hAnsi="Times New Roman" w:cs="Times New Roman"/>
        </w:rPr>
        <w:t>Indeed, t</w:t>
      </w:r>
      <w:r w:rsidR="00FD5EE9" w:rsidRPr="00626A7E">
        <w:rPr>
          <w:rFonts w:ascii="Times New Roman" w:hAnsi="Times New Roman" w:cs="Times New Roman"/>
        </w:rPr>
        <w:t>hroughout the 1980s the B</w:t>
      </w:r>
      <w:r w:rsidR="00C56814" w:rsidRPr="00626A7E">
        <w:rPr>
          <w:rFonts w:ascii="Times New Roman" w:hAnsi="Times New Roman" w:cs="Times New Roman"/>
        </w:rPr>
        <w:t xml:space="preserve">ritish people consistently told </w:t>
      </w:r>
      <w:r w:rsidR="00FD5EE9" w:rsidRPr="00626A7E">
        <w:rPr>
          <w:rFonts w:ascii="Times New Roman" w:hAnsi="Times New Roman" w:cs="Times New Roman"/>
        </w:rPr>
        <w:t>pollsters</w:t>
      </w:r>
      <w:r w:rsidR="00C56814" w:rsidRPr="00626A7E">
        <w:rPr>
          <w:rFonts w:ascii="Times New Roman" w:hAnsi="Times New Roman" w:cs="Times New Roman"/>
        </w:rPr>
        <w:t xml:space="preserve"> both</w:t>
      </w:r>
      <w:r w:rsidR="00FD5EE9" w:rsidRPr="00626A7E">
        <w:rPr>
          <w:rFonts w:ascii="Times New Roman" w:hAnsi="Times New Roman" w:cs="Times New Roman"/>
        </w:rPr>
        <w:t xml:space="preserve"> that they expected the economy </w:t>
      </w:r>
      <w:r w:rsidR="00FD5EE9" w:rsidRPr="00626A7E">
        <w:rPr>
          <w:rFonts w:ascii="Times New Roman" w:hAnsi="Times New Roman" w:cs="Times New Roman"/>
          <w:i/>
        </w:rPr>
        <w:t>to get worse</w:t>
      </w:r>
      <w:r w:rsidR="00FD5EE9" w:rsidRPr="00626A7E">
        <w:rPr>
          <w:rFonts w:ascii="Times New Roman" w:hAnsi="Times New Roman" w:cs="Times New Roman"/>
        </w:rPr>
        <w:t xml:space="preserve"> over the next 12 months </w:t>
      </w:r>
      <w:r w:rsidR="004B7FA1" w:rsidRPr="00626A7E">
        <w:rPr>
          <w:rFonts w:ascii="Times New Roman" w:hAnsi="Times New Roman" w:cs="Times New Roman"/>
        </w:rPr>
        <w:t>and</w:t>
      </w:r>
      <w:r w:rsidR="004B0BFE" w:rsidRPr="00626A7E">
        <w:rPr>
          <w:rFonts w:ascii="Times New Roman" w:hAnsi="Times New Roman" w:cs="Times New Roman"/>
        </w:rPr>
        <w:t xml:space="preserve"> that the</w:t>
      </w:r>
      <w:r w:rsidR="00FD5EE9" w:rsidRPr="00626A7E">
        <w:rPr>
          <w:rFonts w:ascii="Times New Roman" w:hAnsi="Times New Roman" w:cs="Times New Roman"/>
        </w:rPr>
        <w:t xml:space="preserve"> policies </w:t>
      </w:r>
      <w:r w:rsidR="004B0BFE" w:rsidRPr="00626A7E">
        <w:rPr>
          <w:rFonts w:ascii="Times New Roman" w:hAnsi="Times New Roman" w:cs="Times New Roman"/>
        </w:rPr>
        <w:t xml:space="preserve">of Margaret Thatcher </w:t>
      </w:r>
      <w:r w:rsidR="00FD5EE9" w:rsidRPr="00626A7E">
        <w:rPr>
          <w:rFonts w:ascii="Times New Roman" w:hAnsi="Times New Roman" w:cs="Times New Roman"/>
        </w:rPr>
        <w:t xml:space="preserve">would have a positive effect </w:t>
      </w:r>
      <w:r w:rsidR="00BE6216" w:rsidRPr="00626A7E">
        <w:rPr>
          <w:rFonts w:ascii="Times New Roman" w:hAnsi="Times New Roman" w:cs="Times New Roman"/>
        </w:rPr>
        <w:t>eventually</w:t>
      </w:r>
      <w:r w:rsidR="00FD5EE9" w:rsidRPr="00626A7E">
        <w:rPr>
          <w:rFonts w:ascii="Times New Roman" w:hAnsi="Times New Roman" w:cs="Times New Roman"/>
        </w:rPr>
        <w:t>.</w:t>
      </w:r>
      <w:r w:rsidR="00F06141" w:rsidRPr="00626A7E">
        <w:rPr>
          <w:rStyle w:val="FootnoteReference"/>
          <w:rFonts w:ascii="Times New Roman" w:hAnsi="Times New Roman" w:cs="Times New Roman"/>
        </w:rPr>
        <w:footnoteReference w:id="4"/>
      </w:r>
      <w:r w:rsidR="00751DB4" w:rsidRPr="00626A7E">
        <w:rPr>
          <w:rFonts w:ascii="Times New Roman" w:hAnsi="Times New Roman" w:cs="Times New Roman"/>
        </w:rPr>
        <w:t xml:space="preserve"> </w:t>
      </w:r>
      <w:r w:rsidR="002B5C72" w:rsidRPr="00626A7E">
        <w:rPr>
          <w:rFonts w:ascii="Times New Roman" w:hAnsi="Times New Roman" w:cs="Times New Roman"/>
        </w:rPr>
        <w:t>All t</w:t>
      </w:r>
      <w:r w:rsidR="00F32B96" w:rsidRPr="00626A7E">
        <w:rPr>
          <w:rFonts w:ascii="Times New Roman" w:hAnsi="Times New Roman" w:cs="Times New Roman"/>
        </w:rPr>
        <w:t xml:space="preserve">his </w:t>
      </w:r>
      <w:r w:rsidR="003E5984" w:rsidRPr="00626A7E">
        <w:rPr>
          <w:rFonts w:ascii="Times New Roman" w:hAnsi="Times New Roman" w:cs="Times New Roman"/>
        </w:rPr>
        <w:t xml:space="preserve">was not merely </w:t>
      </w:r>
      <w:r w:rsidR="00822CD9" w:rsidRPr="00626A7E">
        <w:rPr>
          <w:rFonts w:ascii="Times New Roman" w:hAnsi="Times New Roman" w:cs="Times New Roman"/>
        </w:rPr>
        <w:t>‘</w:t>
      </w:r>
      <w:r w:rsidR="003E5984" w:rsidRPr="00626A7E">
        <w:rPr>
          <w:rFonts w:ascii="Times New Roman" w:hAnsi="Times New Roman" w:cs="Times New Roman"/>
        </w:rPr>
        <w:t>declinism</w:t>
      </w:r>
      <w:r w:rsidR="00822CD9" w:rsidRPr="00626A7E">
        <w:rPr>
          <w:rFonts w:ascii="Times New Roman" w:hAnsi="Times New Roman" w:cs="Times New Roman"/>
        </w:rPr>
        <w:t>’</w:t>
      </w:r>
      <w:r w:rsidR="003E5984" w:rsidRPr="00626A7E">
        <w:rPr>
          <w:rFonts w:ascii="Times New Roman" w:hAnsi="Times New Roman" w:cs="Times New Roman"/>
        </w:rPr>
        <w:t xml:space="preserve"> writ large.</w:t>
      </w:r>
      <w:r w:rsidR="00060868" w:rsidRPr="00626A7E">
        <w:rPr>
          <w:rFonts w:ascii="Times New Roman" w:hAnsi="Times New Roman" w:cs="Times New Roman"/>
        </w:rPr>
        <w:t xml:space="preserve"> </w:t>
      </w:r>
      <w:r w:rsidR="003E5984" w:rsidRPr="00626A7E">
        <w:rPr>
          <w:rFonts w:ascii="Times New Roman" w:hAnsi="Times New Roman" w:cs="Times New Roman"/>
        </w:rPr>
        <w:t xml:space="preserve">Once unemployment began to recede (and </w:t>
      </w:r>
      <w:r w:rsidRPr="00626A7E">
        <w:rPr>
          <w:rFonts w:ascii="Times New Roman" w:hAnsi="Times New Roman" w:cs="Times New Roman"/>
        </w:rPr>
        <w:t xml:space="preserve">indeed </w:t>
      </w:r>
      <w:r w:rsidR="003E5984" w:rsidRPr="00626A7E">
        <w:rPr>
          <w:rFonts w:ascii="Times New Roman" w:hAnsi="Times New Roman" w:cs="Times New Roman"/>
        </w:rPr>
        <w:t>to motor down from 1987) the Conservatives had a powerful top-line argument that unleashing the market had helped ‘clear up Labour’s mess’, whilst at the same time the opposition was unable to rebut charges that they would take Britain back to the ‘dark days’ of the 1970s.</w:t>
      </w:r>
      <w:r w:rsidR="00822CD9" w:rsidRPr="00626A7E">
        <w:rPr>
          <w:rFonts w:ascii="Times New Roman" w:hAnsi="Times New Roman" w:cs="Times New Roman"/>
        </w:rPr>
        <w:t xml:space="preserve"> </w:t>
      </w:r>
    </w:p>
    <w:p w14:paraId="4DEF499B" w14:textId="77777777" w:rsidR="002F525C" w:rsidRPr="00626A7E" w:rsidRDefault="002F525C" w:rsidP="00FB2AD2">
      <w:pPr>
        <w:widowControl w:val="0"/>
        <w:autoSpaceDE w:val="0"/>
        <w:autoSpaceDN w:val="0"/>
        <w:adjustRightInd w:val="0"/>
        <w:spacing w:line="360" w:lineRule="auto"/>
        <w:jc w:val="both"/>
        <w:rPr>
          <w:rFonts w:ascii="Times New Roman" w:hAnsi="Times New Roman" w:cs="Times New Roman"/>
        </w:rPr>
      </w:pPr>
    </w:p>
    <w:p w14:paraId="163B9ACB" w14:textId="57B87ACC" w:rsidR="005C4304" w:rsidRPr="00626A7E" w:rsidRDefault="003E5984"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Even worse, the economy was </w:t>
      </w:r>
      <w:r w:rsidR="008F3105" w:rsidRPr="00626A7E">
        <w:rPr>
          <w:rFonts w:ascii="Times New Roman" w:hAnsi="Times New Roman" w:cs="Times New Roman"/>
        </w:rPr>
        <w:t>not the only area</w:t>
      </w:r>
      <w:r w:rsidRPr="00626A7E">
        <w:rPr>
          <w:rFonts w:ascii="Times New Roman" w:hAnsi="Times New Roman" w:cs="Times New Roman"/>
        </w:rPr>
        <w:t xml:space="preserve"> Labour lacked credibility</w:t>
      </w:r>
      <w:r w:rsidR="00A3756D" w:rsidRPr="00626A7E">
        <w:rPr>
          <w:rFonts w:ascii="Times New Roman" w:hAnsi="Times New Roman" w:cs="Times New Roman"/>
        </w:rPr>
        <w:t xml:space="preserve">. As </w:t>
      </w:r>
      <w:r w:rsidR="006271B3" w:rsidRPr="00626A7E">
        <w:rPr>
          <w:rFonts w:ascii="Times New Roman" w:hAnsi="Times New Roman" w:cs="Times New Roman"/>
        </w:rPr>
        <w:t>Andrew Rawnsley</w:t>
      </w:r>
      <w:r w:rsidR="00A3756D" w:rsidRPr="00626A7E">
        <w:rPr>
          <w:rFonts w:ascii="Times New Roman" w:hAnsi="Times New Roman" w:cs="Times New Roman"/>
        </w:rPr>
        <w:t xml:space="preserve"> summarises, </w:t>
      </w:r>
      <w:r w:rsidR="00217E42" w:rsidRPr="00626A7E">
        <w:rPr>
          <w:rFonts w:ascii="Times New Roman" w:hAnsi="Times New Roman" w:cs="Times New Roman"/>
        </w:rPr>
        <w:t>‘</w:t>
      </w:r>
      <w:r w:rsidR="00A3756D" w:rsidRPr="00626A7E">
        <w:rPr>
          <w:rFonts w:ascii="Times New Roman" w:hAnsi="Times New Roman" w:cs="Times New Roman"/>
        </w:rPr>
        <w:t xml:space="preserve">the </w:t>
      </w:r>
      <w:r w:rsidR="006271B3" w:rsidRPr="00626A7E">
        <w:rPr>
          <w:rFonts w:ascii="Times New Roman" w:hAnsi="Times New Roman" w:cs="Times New Roman"/>
        </w:rPr>
        <w:t>Labour church has a history of doing the splits. It did so in the 1930s. Again in the 1950s. And again in the 1980s.’</w:t>
      </w:r>
      <w:r w:rsidR="006271B3" w:rsidRPr="00626A7E">
        <w:rPr>
          <w:rStyle w:val="FootnoteReference"/>
          <w:rFonts w:ascii="Times New Roman" w:hAnsi="Times New Roman" w:cs="Times New Roman"/>
        </w:rPr>
        <w:footnoteReference w:id="5"/>
      </w:r>
      <w:r w:rsidR="00A3756D" w:rsidRPr="00626A7E">
        <w:rPr>
          <w:rFonts w:ascii="Times New Roman" w:hAnsi="Times New Roman" w:cs="Times New Roman"/>
        </w:rPr>
        <w:t xml:space="preserve"> </w:t>
      </w:r>
      <w:r w:rsidR="00C41DA2" w:rsidRPr="00626A7E">
        <w:rPr>
          <w:rFonts w:ascii="Times New Roman" w:hAnsi="Times New Roman" w:cs="Times New Roman"/>
        </w:rPr>
        <w:t>After 1979 t</w:t>
      </w:r>
      <w:r w:rsidR="00A3756D" w:rsidRPr="00626A7E">
        <w:rPr>
          <w:rFonts w:ascii="Times New Roman" w:hAnsi="Times New Roman" w:cs="Times New Roman"/>
        </w:rPr>
        <w:t xml:space="preserve">he Bennite left </w:t>
      </w:r>
      <w:r w:rsidR="00B04711">
        <w:rPr>
          <w:rFonts w:ascii="Times New Roman" w:hAnsi="Times New Roman" w:cs="Times New Roman"/>
        </w:rPr>
        <w:t>–</w:t>
      </w:r>
      <w:r w:rsidR="00A3756D" w:rsidRPr="00626A7E">
        <w:rPr>
          <w:rFonts w:ascii="Times New Roman" w:hAnsi="Times New Roman" w:cs="Times New Roman"/>
        </w:rPr>
        <w:t xml:space="preserve"> anti-Common Market, anti-nuclear weapons, and pro-nationalisation – grappled for power with the social democratic centre, a split </w:t>
      </w:r>
      <w:r w:rsidR="0063053C" w:rsidRPr="00626A7E">
        <w:rPr>
          <w:rFonts w:ascii="Times New Roman" w:hAnsi="Times New Roman" w:cs="Times New Roman"/>
        </w:rPr>
        <w:t>which ran through the Limehouse Declaration and beyond</w:t>
      </w:r>
      <w:r w:rsidR="00A3756D" w:rsidRPr="00626A7E">
        <w:rPr>
          <w:rFonts w:ascii="Times New Roman" w:hAnsi="Times New Roman" w:cs="Times New Roman"/>
        </w:rPr>
        <w:t xml:space="preserve">, </w:t>
      </w:r>
      <w:r w:rsidR="0063053C" w:rsidRPr="00626A7E">
        <w:rPr>
          <w:rFonts w:ascii="Times New Roman" w:hAnsi="Times New Roman" w:cs="Times New Roman"/>
        </w:rPr>
        <w:t>reaching something of a nadir</w:t>
      </w:r>
      <w:r w:rsidR="00A3756D" w:rsidRPr="00626A7E">
        <w:rPr>
          <w:rFonts w:ascii="Times New Roman" w:hAnsi="Times New Roman" w:cs="Times New Roman"/>
        </w:rPr>
        <w:t xml:space="preserve"> by the time of Neil Kinnock’s anti-Militant speech at the 1985 </w:t>
      </w:r>
      <w:r w:rsidR="00A3756D" w:rsidRPr="00626A7E">
        <w:rPr>
          <w:rFonts w:ascii="Times New Roman" w:hAnsi="Times New Roman" w:cs="Times New Roman"/>
        </w:rPr>
        <w:lastRenderedPageBreak/>
        <w:t>Party Conference.</w:t>
      </w:r>
      <w:r w:rsidR="00624479" w:rsidRPr="00626A7E">
        <w:rPr>
          <w:rFonts w:ascii="Times New Roman" w:hAnsi="Times New Roman" w:cs="Times New Roman"/>
        </w:rPr>
        <w:t xml:space="preserve"> Though all </w:t>
      </w:r>
      <w:r w:rsidR="00AB0E4B" w:rsidRPr="00626A7E">
        <w:rPr>
          <w:rFonts w:ascii="Times New Roman" w:hAnsi="Times New Roman" w:cs="Times New Roman"/>
        </w:rPr>
        <w:t xml:space="preserve">within Labour and </w:t>
      </w:r>
      <w:r w:rsidR="00EF5B97" w:rsidRPr="00626A7E">
        <w:rPr>
          <w:rFonts w:ascii="Times New Roman" w:hAnsi="Times New Roman" w:cs="Times New Roman"/>
        </w:rPr>
        <w:t xml:space="preserve">the </w:t>
      </w:r>
      <w:r w:rsidR="00AB0E4B" w:rsidRPr="00626A7E">
        <w:rPr>
          <w:rFonts w:ascii="Times New Roman" w:hAnsi="Times New Roman" w:cs="Times New Roman"/>
        </w:rPr>
        <w:t xml:space="preserve">broader British left </w:t>
      </w:r>
      <w:r w:rsidR="00624479" w:rsidRPr="00626A7E">
        <w:rPr>
          <w:rFonts w:ascii="Times New Roman" w:hAnsi="Times New Roman" w:cs="Times New Roman"/>
        </w:rPr>
        <w:t>could to some degree unite on being anti-Thatcher, what Labour</w:t>
      </w:r>
      <w:r w:rsidR="00EF5B97" w:rsidRPr="00626A7E">
        <w:rPr>
          <w:rFonts w:ascii="Times New Roman" w:hAnsi="Times New Roman" w:cs="Times New Roman"/>
        </w:rPr>
        <w:t xml:space="preserve"> was a vehicle ‘for’ remained </w:t>
      </w:r>
      <w:r w:rsidR="00B85150" w:rsidRPr="00626A7E">
        <w:rPr>
          <w:rFonts w:ascii="Times New Roman" w:hAnsi="Times New Roman" w:cs="Times New Roman"/>
        </w:rPr>
        <w:t xml:space="preserve">more </w:t>
      </w:r>
      <w:r w:rsidR="00624479" w:rsidRPr="00626A7E">
        <w:rPr>
          <w:rFonts w:ascii="Times New Roman" w:hAnsi="Times New Roman" w:cs="Times New Roman"/>
        </w:rPr>
        <w:t>difficult to re</w:t>
      </w:r>
      <w:r w:rsidR="00BC0545" w:rsidRPr="00626A7E">
        <w:rPr>
          <w:rFonts w:ascii="Times New Roman" w:hAnsi="Times New Roman" w:cs="Times New Roman"/>
        </w:rPr>
        <w:t xml:space="preserve">solve. </w:t>
      </w:r>
      <w:r w:rsidR="00CC0AFF" w:rsidRPr="00626A7E">
        <w:rPr>
          <w:rFonts w:ascii="Times New Roman" w:hAnsi="Times New Roman" w:cs="Times New Roman"/>
        </w:rPr>
        <w:t>Naviga</w:t>
      </w:r>
      <w:r w:rsidR="00EF5B97" w:rsidRPr="00626A7E">
        <w:rPr>
          <w:rFonts w:ascii="Times New Roman" w:hAnsi="Times New Roman" w:cs="Times New Roman"/>
        </w:rPr>
        <w:t>ting the path between principle</w:t>
      </w:r>
      <w:r w:rsidR="00CC0AFF" w:rsidRPr="00626A7E">
        <w:rPr>
          <w:rFonts w:ascii="Times New Roman" w:hAnsi="Times New Roman" w:cs="Times New Roman"/>
        </w:rPr>
        <w:t xml:space="preserve"> and the pursuit of power was not easy. As such, </w:t>
      </w:r>
      <w:r w:rsidR="00BC0545" w:rsidRPr="00626A7E">
        <w:rPr>
          <w:rFonts w:ascii="Times New Roman" w:hAnsi="Times New Roman" w:cs="Times New Roman"/>
        </w:rPr>
        <w:t>Kinnock’s</w:t>
      </w:r>
      <w:r w:rsidR="003A7FB7" w:rsidRPr="00626A7E">
        <w:rPr>
          <w:rFonts w:ascii="Times New Roman" w:hAnsi="Times New Roman" w:cs="Times New Roman"/>
        </w:rPr>
        <w:t xml:space="preserve"> </w:t>
      </w:r>
      <w:r w:rsidR="00E27C5E" w:rsidRPr="00626A7E">
        <w:rPr>
          <w:rFonts w:ascii="Times New Roman" w:hAnsi="Times New Roman" w:cs="Times New Roman"/>
        </w:rPr>
        <w:t xml:space="preserve">ultimate </w:t>
      </w:r>
      <w:r w:rsidR="003A7FB7" w:rsidRPr="00626A7E">
        <w:rPr>
          <w:rFonts w:ascii="Times New Roman" w:hAnsi="Times New Roman" w:cs="Times New Roman"/>
        </w:rPr>
        <w:t>legacy would in many ways be</w:t>
      </w:r>
      <w:r w:rsidR="00BC0545" w:rsidRPr="00626A7E">
        <w:rPr>
          <w:rFonts w:ascii="Times New Roman" w:hAnsi="Times New Roman" w:cs="Times New Roman"/>
        </w:rPr>
        <w:t xml:space="preserve"> taking a Labour Party where, in June 1983, 63% of the British public </w:t>
      </w:r>
      <w:r w:rsidR="004C3054" w:rsidRPr="00626A7E">
        <w:rPr>
          <w:rFonts w:ascii="Times New Roman" w:hAnsi="Times New Roman" w:cs="Times New Roman"/>
        </w:rPr>
        <w:t>believed it to be</w:t>
      </w:r>
      <w:r w:rsidR="00BC0545" w:rsidRPr="00626A7E">
        <w:rPr>
          <w:rFonts w:ascii="Times New Roman" w:hAnsi="Times New Roman" w:cs="Times New Roman"/>
        </w:rPr>
        <w:t xml:space="preserve"> ‘divided’ to one where only 24% said similar</w:t>
      </w:r>
      <w:r w:rsidR="008F3105" w:rsidRPr="00626A7E">
        <w:rPr>
          <w:rFonts w:ascii="Times New Roman" w:hAnsi="Times New Roman" w:cs="Times New Roman"/>
        </w:rPr>
        <w:t xml:space="preserve"> in March 1992</w:t>
      </w:r>
      <w:r w:rsidR="00BC0545" w:rsidRPr="00626A7E">
        <w:rPr>
          <w:rFonts w:ascii="Times New Roman" w:hAnsi="Times New Roman" w:cs="Times New Roman"/>
        </w:rPr>
        <w:t>.</w:t>
      </w:r>
      <w:r w:rsidR="00BC0545" w:rsidRPr="00626A7E">
        <w:rPr>
          <w:rStyle w:val="FootnoteReference"/>
          <w:rFonts w:ascii="Times New Roman" w:hAnsi="Times New Roman" w:cs="Times New Roman"/>
        </w:rPr>
        <w:footnoteReference w:id="6"/>
      </w:r>
      <w:r w:rsidR="00EC5ACD" w:rsidRPr="00626A7E">
        <w:rPr>
          <w:rFonts w:ascii="Times New Roman" w:hAnsi="Times New Roman" w:cs="Times New Roman"/>
        </w:rPr>
        <w:t xml:space="preserve"> Labour’s path from Foot to </w:t>
      </w:r>
      <w:r w:rsidR="00D3487A" w:rsidRPr="00626A7E">
        <w:rPr>
          <w:rFonts w:ascii="Times New Roman" w:hAnsi="Times New Roman" w:cs="Times New Roman"/>
        </w:rPr>
        <w:t>Blair</w:t>
      </w:r>
      <w:r w:rsidR="00EC5ACD" w:rsidRPr="00626A7E">
        <w:rPr>
          <w:rFonts w:ascii="Times New Roman" w:hAnsi="Times New Roman" w:cs="Times New Roman"/>
        </w:rPr>
        <w:t xml:space="preserve"> was not just about two further </w:t>
      </w:r>
      <w:r w:rsidR="00C76B49" w:rsidRPr="00626A7E">
        <w:rPr>
          <w:rFonts w:ascii="Times New Roman" w:hAnsi="Times New Roman" w:cs="Times New Roman"/>
        </w:rPr>
        <w:t xml:space="preserve">election </w:t>
      </w:r>
      <w:r w:rsidR="00EC5ACD" w:rsidRPr="00626A7E">
        <w:rPr>
          <w:rFonts w:ascii="Times New Roman" w:hAnsi="Times New Roman" w:cs="Times New Roman"/>
        </w:rPr>
        <w:t>defeats, but a gradual realignment of party values, and, in short, something of a recovery</w:t>
      </w:r>
      <w:r w:rsidR="00CF4777" w:rsidRPr="00626A7E">
        <w:rPr>
          <w:rFonts w:ascii="Times New Roman" w:hAnsi="Times New Roman" w:cs="Times New Roman"/>
        </w:rPr>
        <w:t>.</w:t>
      </w:r>
      <w:r w:rsidR="00CF4777" w:rsidRPr="00626A7E">
        <w:rPr>
          <w:rStyle w:val="FootnoteReference"/>
          <w:rFonts w:ascii="Times New Roman" w:hAnsi="Times New Roman" w:cs="Times New Roman"/>
        </w:rPr>
        <w:footnoteReference w:id="7"/>
      </w:r>
    </w:p>
    <w:p w14:paraId="3AA3F738" w14:textId="77777777" w:rsidR="005C4304" w:rsidRPr="00626A7E" w:rsidRDefault="005C4304" w:rsidP="00FB2AD2">
      <w:pPr>
        <w:widowControl w:val="0"/>
        <w:autoSpaceDE w:val="0"/>
        <w:autoSpaceDN w:val="0"/>
        <w:adjustRightInd w:val="0"/>
        <w:spacing w:line="360" w:lineRule="auto"/>
        <w:jc w:val="both"/>
        <w:rPr>
          <w:rFonts w:ascii="Times New Roman" w:hAnsi="Times New Roman" w:cs="Times New Roman"/>
        </w:rPr>
      </w:pPr>
    </w:p>
    <w:p w14:paraId="5E766F45" w14:textId="5CB811D0" w:rsidR="00217E42" w:rsidRPr="00626A7E" w:rsidRDefault="00E65296"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Given such </w:t>
      </w:r>
      <w:r w:rsidR="008E432F" w:rsidRPr="00626A7E">
        <w:rPr>
          <w:rFonts w:ascii="Times New Roman" w:hAnsi="Times New Roman" w:cs="Times New Roman"/>
        </w:rPr>
        <w:t>patterns</w:t>
      </w:r>
      <w:r w:rsidRPr="00626A7E">
        <w:rPr>
          <w:rFonts w:ascii="Times New Roman" w:hAnsi="Times New Roman" w:cs="Times New Roman"/>
        </w:rPr>
        <w:t>, t</w:t>
      </w:r>
      <w:r w:rsidR="004213E2" w:rsidRPr="00626A7E">
        <w:rPr>
          <w:rFonts w:ascii="Times New Roman" w:hAnsi="Times New Roman" w:cs="Times New Roman"/>
        </w:rPr>
        <w:t xml:space="preserve">his article attempts to marry both </w:t>
      </w:r>
      <w:r w:rsidR="004B0BFE" w:rsidRPr="00626A7E">
        <w:rPr>
          <w:rFonts w:ascii="Times New Roman" w:hAnsi="Times New Roman" w:cs="Times New Roman"/>
        </w:rPr>
        <w:t>e</w:t>
      </w:r>
      <w:r w:rsidR="00687C8E" w:rsidRPr="00626A7E">
        <w:rPr>
          <w:rFonts w:ascii="Times New Roman" w:hAnsi="Times New Roman" w:cs="Times New Roman"/>
        </w:rPr>
        <w:t>conomic and intra-party analysis</w:t>
      </w:r>
      <w:r w:rsidR="004213E2" w:rsidRPr="00626A7E">
        <w:rPr>
          <w:rFonts w:ascii="Times New Roman" w:hAnsi="Times New Roman" w:cs="Times New Roman"/>
        </w:rPr>
        <w:t xml:space="preserve"> through the prism of the pledge to introduce</w:t>
      </w:r>
      <w:r w:rsidR="004F1064" w:rsidRPr="00626A7E">
        <w:rPr>
          <w:rFonts w:ascii="Times New Roman" w:hAnsi="Times New Roman" w:cs="Times New Roman"/>
        </w:rPr>
        <w:t xml:space="preserve"> a National Investment Bank</w:t>
      </w:r>
      <w:r w:rsidR="00930F4D" w:rsidRPr="00626A7E">
        <w:rPr>
          <w:rFonts w:ascii="Times New Roman" w:hAnsi="Times New Roman" w:cs="Times New Roman"/>
        </w:rPr>
        <w:t xml:space="preserve"> (NIB)</w:t>
      </w:r>
      <w:r w:rsidR="004F1064" w:rsidRPr="00626A7E">
        <w:rPr>
          <w:rFonts w:ascii="Times New Roman" w:hAnsi="Times New Roman" w:cs="Times New Roman"/>
        </w:rPr>
        <w:t xml:space="preserve"> </w:t>
      </w:r>
      <w:r w:rsidR="002577C9" w:rsidRPr="00626A7E">
        <w:rPr>
          <w:rFonts w:ascii="Times New Roman" w:hAnsi="Times New Roman" w:cs="Times New Roman"/>
        </w:rPr>
        <w:t>–</w:t>
      </w:r>
      <w:r w:rsidR="004F1064" w:rsidRPr="00626A7E">
        <w:rPr>
          <w:rFonts w:ascii="Times New Roman" w:hAnsi="Times New Roman" w:cs="Times New Roman"/>
        </w:rPr>
        <w:t xml:space="preserve"> </w:t>
      </w:r>
      <w:r w:rsidR="002577C9" w:rsidRPr="00626A7E">
        <w:rPr>
          <w:rFonts w:ascii="Times New Roman" w:hAnsi="Times New Roman" w:cs="Times New Roman"/>
        </w:rPr>
        <w:t xml:space="preserve">included </w:t>
      </w:r>
      <w:r w:rsidR="00BC0545" w:rsidRPr="00626A7E">
        <w:rPr>
          <w:rFonts w:ascii="Times New Roman" w:hAnsi="Times New Roman" w:cs="Times New Roman"/>
        </w:rPr>
        <w:t xml:space="preserve">in </w:t>
      </w:r>
      <w:r w:rsidR="002577C9" w:rsidRPr="00626A7E">
        <w:rPr>
          <w:rFonts w:ascii="Times New Roman" w:hAnsi="Times New Roman" w:cs="Times New Roman"/>
        </w:rPr>
        <w:t>the General Election manifestoes</w:t>
      </w:r>
      <w:r w:rsidR="004213E2" w:rsidRPr="00626A7E">
        <w:rPr>
          <w:rFonts w:ascii="Times New Roman" w:hAnsi="Times New Roman" w:cs="Times New Roman"/>
        </w:rPr>
        <w:t xml:space="preserve"> of 1983, 1987, and 1992.</w:t>
      </w:r>
      <w:r w:rsidR="004213E2" w:rsidRPr="00626A7E">
        <w:rPr>
          <w:rStyle w:val="FootnoteReference"/>
          <w:rFonts w:ascii="Times New Roman" w:hAnsi="Times New Roman" w:cs="Times New Roman"/>
        </w:rPr>
        <w:footnoteReference w:id="8"/>
      </w:r>
      <w:r w:rsidR="000815B9" w:rsidRPr="00626A7E">
        <w:rPr>
          <w:rFonts w:ascii="Times New Roman" w:hAnsi="Times New Roman" w:cs="Times New Roman"/>
        </w:rPr>
        <w:t xml:space="preserve"> </w:t>
      </w:r>
      <w:r w:rsidR="008A2D76" w:rsidRPr="00626A7E">
        <w:rPr>
          <w:rFonts w:ascii="Times New Roman" w:hAnsi="Times New Roman" w:cs="Times New Roman"/>
        </w:rPr>
        <w:t>It</w:t>
      </w:r>
      <w:r w:rsidR="00283EDC" w:rsidRPr="00626A7E">
        <w:rPr>
          <w:rFonts w:ascii="Times New Roman" w:hAnsi="Times New Roman" w:cs="Times New Roman"/>
        </w:rPr>
        <w:t xml:space="preserve"> consider</w:t>
      </w:r>
      <w:r w:rsidR="008A2D76" w:rsidRPr="00626A7E">
        <w:rPr>
          <w:rFonts w:ascii="Times New Roman" w:hAnsi="Times New Roman" w:cs="Times New Roman"/>
        </w:rPr>
        <w:t>s</w:t>
      </w:r>
      <w:r w:rsidR="000815B9" w:rsidRPr="00626A7E">
        <w:rPr>
          <w:rFonts w:ascii="Times New Roman" w:hAnsi="Times New Roman" w:cs="Times New Roman"/>
        </w:rPr>
        <w:t xml:space="preserve"> </w:t>
      </w:r>
      <w:r w:rsidR="00415F56" w:rsidRPr="00626A7E">
        <w:rPr>
          <w:rFonts w:ascii="Times New Roman" w:hAnsi="Times New Roman" w:cs="Times New Roman"/>
        </w:rPr>
        <w:t>the intellectual</w:t>
      </w:r>
      <w:r w:rsidR="000815B9" w:rsidRPr="00626A7E">
        <w:rPr>
          <w:rFonts w:ascii="Times New Roman" w:hAnsi="Times New Roman" w:cs="Times New Roman"/>
        </w:rPr>
        <w:t xml:space="preserve"> </w:t>
      </w:r>
      <w:r w:rsidR="009A2CEC" w:rsidRPr="00626A7E">
        <w:rPr>
          <w:rFonts w:ascii="Times New Roman" w:hAnsi="Times New Roman" w:cs="Times New Roman"/>
        </w:rPr>
        <w:t>history of this idea</w:t>
      </w:r>
      <w:r w:rsidR="000815B9" w:rsidRPr="00626A7E">
        <w:rPr>
          <w:rFonts w:ascii="Times New Roman" w:hAnsi="Times New Roman" w:cs="Times New Roman"/>
        </w:rPr>
        <w:t xml:space="preserve">, the various machinations regarding the similarly corporatist National Enterprise Board of the 1970s, and how the </w:t>
      </w:r>
      <w:r w:rsidR="00930F4D" w:rsidRPr="00626A7E">
        <w:rPr>
          <w:rFonts w:ascii="Times New Roman" w:hAnsi="Times New Roman" w:cs="Times New Roman"/>
        </w:rPr>
        <w:t xml:space="preserve">NIB </w:t>
      </w:r>
      <w:r w:rsidR="000815B9" w:rsidRPr="00626A7E">
        <w:rPr>
          <w:rFonts w:ascii="Times New Roman" w:hAnsi="Times New Roman" w:cs="Times New Roman"/>
        </w:rPr>
        <w:t xml:space="preserve">policy not only survived the fiasco of 1983 but remained a key part of Labour’s agenda </w:t>
      </w:r>
      <w:r w:rsidR="00F151E3" w:rsidRPr="00626A7E">
        <w:rPr>
          <w:rFonts w:ascii="Times New Roman" w:hAnsi="Times New Roman" w:cs="Times New Roman"/>
        </w:rPr>
        <w:t>until</w:t>
      </w:r>
      <w:r w:rsidR="009C70A6" w:rsidRPr="00626A7E">
        <w:rPr>
          <w:rFonts w:ascii="Times New Roman" w:hAnsi="Times New Roman" w:cs="Times New Roman"/>
        </w:rPr>
        <w:t xml:space="preserve"> 1992.</w:t>
      </w:r>
      <w:r w:rsidR="00B82771" w:rsidRPr="00626A7E">
        <w:rPr>
          <w:rFonts w:ascii="Times New Roman" w:hAnsi="Times New Roman" w:cs="Times New Roman"/>
        </w:rPr>
        <w:t xml:space="preserve"> As we will see,</w:t>
      </w:r>
      <w:r w:rsidR="00BC08FF" w:rsidRPr="00626A7E">
        <w:rPr>
          <w:rFonts w:ascii="Times New Roman" w:hAnsi="Times New Roman" w:cs="Times New Roman"/>
        </w:rPr>
        <w:t xml:space="preserve"> </w:t>
      </w:r>
      <w:r w:rsidR="00AA7521" w:rsidRPr="00626A7E">
        <w:rPr>
          <w:rFonts w:ascii="Times New Roman" w:hAnsi="Times New Roman" w:cs="Times New Roman"/>
        </w:rPr>
        <w:t>this policy</w:t>
      </w:r>
      <w:r w:rsidR="00B82771" w:rsidRPr="00626A7E">
        <w:rPr>
          <w:rFonts w:ascii="Times New Roman" w:hAnsi="Times New Roman" w:cs="Times New Roman"/>
        </w:rPr>
        <w:t xml:space="preserve"> serves as an exemplar of the way Kinnock managed the Labour Party – providing just enough meat to left and right, and allowing both to read into</w:t>
      </w:r>
      <w:r w:rsidR="003334C9" w:rsidRPr="00626A7E">
        <w:rPr>
          <w:rFonts w:ascii="Times New Roman" w:hAnsi="Times New Roman" w:cs="Times New Roman"/>
        </w:rPr>
        <w:t xml:space="preserve"> </w:t>
      </w:r>
      <w:r w:rsidR="00AA7521" w:rsidRPr="00626A7E">
        <w:rPr>
          <w:rFonts w:ascii="Times New Roman" w:hAnsi="Times New Roman" w:cs="Times New Roman"/>
        </w:rPr>
        <w:t>the NIB</w:t>
      </w:r>
      <w:r w:rsidR="003334C9" w:rsidRPr="00626A7E">
        <w:rPr>
          <w:rFonts w:ascii="Times New Roman" w:hAnsi="Times New Roman" w:cs="Times New Roman"/>
        </w:rPr>
        <w:t xml:space="preserve"> what they wished it to be. </w:t>
      </w:r>
      <w:r w:rsidR="00AA7521" w:rsidRPr="00626A7E">
        <w:rPr>
          <w:rFonts w:ascii="Times New Roman" w:hAnsi="Times New Roman" w:cs="Times New Roman"/>
        </w:rPr>
        <w:t xml:space="preserve">Here the NIB forms a mirror image of Jim Tomlinson’s </w:t>
      </w:r>
      <w:r w:rsidR="00B34BAF" w:rsidRPr="00626A7E">
        <w:rPr>
          <w:rFonts w:ascii="Times New Roman" w:hAnsi="Times New Roman" w:cs="Times New Roman"/>
        </w:rPr>
        <w:t xml:space="preserve">recent </w:t>
      </w:r>
      <w:r w:rsidR="002F76AF" w:rsidRPr="00626A7E">
        <w:rPr>
          <w:rFonts w:ascii="Times New Roman" w:hAnsi="Times New Roman" w:cs="Times New Roman"/>
        </w:rPr>
        <w:t>analysis of</w:t>
      </w:r>
      <w:r w:rsidR="00AA7521" w:rsidRPr="00626A7E">
        <w:rPr>
          <w:rFonts w:ascii="Times New Roman" w:hAnsi="Times New Roman" w:cs="Times New Roman"/>
        </w:rPr>
        <w:t xml:space="preserve"> </w:t>
      </w:r>
      <w:r w:rsidR="002F76AF" w:rsidRPr="00626A7E">
        <w:rPr>
          <w:rFonts w:ascii="Times New Roman" w:hAnsi="Times New Roman" w:cs="Times New Roman"/>
        </w:rPr>
        <w:t xml:space="preserve">so-called </w:t>
      </w:r>
      <w:r w:rsidR="00AA7521" w:rsidRPr="00626A7E">
        <w:rPr>
          <w:rFonts w:ascii="Times New Roman" w:hAnsi="Times New Roman" w:cs="Times New Roman"/>
        </w:rPr>
        <w:t>‘declinism’ in</w:t>
      </w:r>
      <w:r w:rsidR="006D0B77" w:rsidRPr="00626A7E">
        <w:rPr>
          <w:rFonts w:ascii="Times New Roman" w:hAnsi="Times New Roman" w:cs="Times New Roman"/>
        </w:rPr>
        <w:t xml:space="preserve"> 1970s Conservative thought</w:t>
      </w:r>
      <w:r w:rsidR="002F76AF" w:rsidRPr="00626A7E">
        <w:rPr>
          <w:rFonts w:ascii="Times New Roman" w:hAnsi="Times New Roman" w:cs="Times New Roman"/>
        </w:rPr>
        <w:t xml:space="preserve"> </w:t>
      </w:r>
      <w:r w:rsidR="00AA7521" w:rsidRPr="00626A7E">
        <w:rPr>
          <w:rFonts w:ascii="Times New Roman" w:hAnsi="Times New Roman" w:cs="Times New Roman"/>
        </w:rPr>
        <w:t xml:space="preserve">– a term </w:t>
      </w:r>
      <w:r w:rsidR="00942E77" w:rsidRPr="00626A7E">
        <w:rPr>
          <w:rFonts w:ascii="Times New Roman" w:hAnsi="Times New Roman" w:cs="Times New Roman"/>
        </w:rPr>
        <w:t>that had been so</w:t>
      </w:r>
      <w:r w:rsidR="00AA7521" w:rsidRPr="00626A7E">
        <w:rPr>
          <w:rFonts w:ascii="Times New Roman" w:hAnsi="Times New Roman" w:cs="Times New Roman"/>
        </w:rPr>
        <w:t xml:space="preserve"> ambiguous it allowed ‘every political tendency to blame their favourite </w:t>
      </w:r>
      <w:r w:rsidR="00AA7521" w:rsidRPr="00626A7E">
        <w:rPr>
          <w:rFonts w:ascii="Times New Roman" w:hAnsi="Times New Roman" w:cs="Times New Roman"/>
          <w:i/>
        </w:rPr>
        <w:t>b</w:t>
      </w:r>
      <w:r w:rsidR="002F76AF" w:rsidRPr="00626A7E">
        <w:rPr>
          <w:rFonts w:ascii="Times New Roman" w:hAnsi="Times New Roman" w:cs="Times New Roman"/>
          <w:i/>
        </w:rPr>
        <w:t>ê</w:t>
      </w:r>
      <w:r w:rsidR="00AA7521" w:rsidRPr="00626A7E">
        <w:rPr>
          <w:rFonts w:ascii="Times New Roman" w:hAnsi="Times New Roman" w:cs="Times New Roman"/>
          <w:i/>
        </w:rPr>
        <w:t>te noire</w:t>
      </w:r>
      <w:r w:rsidR="00AA7521" w:rsidRPr="00626A7E">
        <w:rPr>
          <w:rFonts w:ascii="Times New Roman" w:hAnsi="Times New Roman" w:cs="Times New Roman"/>
        </w:rPr>
        <w:t xml:space="preserve">’ for Britain’s </w:t>
      </w:r>
      <w:r w:rsidR="00E50C3C" w:rsidRPr="00626A7E">
        <w:rPr>
          <w:rFonts w:ascii="Times New Roman" w:hAnsi="Times New Roman" w:cs="Times New Roman"/>
        </w:rPr>
        <w:t>then</w:t>
      </w:r>
      <w:r w:rsidR="00AA7521" w:rsidRPr="00626A7E">
        <w:rPr>
          <w:rFonts w:ascii="Times New Roman" w:hAnsi="Times New Roman" w:cs="Times New Roman"/>
        </w:rPr>
        <w:t xml:space="preserve"> malaise.</w:t>
      </w:r>
      <w:r w:rsidR="00063717" w:rsidRPr="00626A7E">
        <w:rPr>
          <w:rStyle w:val="FootnoteReference"/>
          <w:rFonts w:ascii="Times New Roman" w:hAnsi="Times New Roman" w:cs="Times New Roman"/>
        </w:rPr>
        <w:footnoteReference w:id="9"/>
      </w:r>
      <w:r w:rsidR="00AA7521" w:rsidRPr="00626A7E">
        <w:rPr>
          <w:rFonts w:ascii="Times New Roman" w:hAnsi="Times New Roman" w:cs="Times New Roman"/>
        </w:rPr>
        <w:t xml:space="preserve">  </w:t>
      </w:r>
      <w:r w:rsidR="00FC491C" w:rsidRPr="00626A7E">
        <w:rPr>
          <w:rFonts w:ascii="Times New Roman" w:hAnsi="Times New Roman" w:cs="Times New Roman"/>
        </w:rPr>
        <w:t>Such l</w:t>
      </w:r>
      <w:r w:rsidR="000874EB" w:rsidRPr="00626A7E">
        <w:rPr>
          <w:rFonts w:ascii="Times New Roman" w:hAnsi="Times New Roman" w:cs="Times New Roman"/>
        </w:rPr>
        <w:t>inguistic dexterity apart</w:t>
      </w:r>
      <w:r w:rsidR="00AA7521" w:rsidRPr="00626A7E">
        <w:rPr>
          <w:rFonts w:ascii="Times New Roman" w:hAnsi="Times New Roman" w:cs="Times New Roman"/>
        </w:rPr>
        <w:t xml:space="preserve">, </w:t>
      </w:r>
      <w:r w:rsidR="00942E77" w:rsidRPr="00626A7E">
        <w:rPr>
          <w:rFonts w:ascii="Times New Roman" w:hAnsi="Times New Roman" w:cs="Times New Roman"/>
        </w:rPr>
        <w:t xml:space="preserve">the fact that the NIB was </w:t>
      </w:r>
      <w:r w:rsidR="00AA7521" w:rsidRPr="00626A7E">
        <w:rPr>
          <w:rFonts w:ascii="Times New Roman" w:hAnsi="Times New Roman" w:cs="Times New Roman"/>
        </w:rPr>
        <w:t>a</w:t>
      </w:r>
      <w:r w:rsidR="003334C9" w:rsidRPr="00626A7E">
        <w:rPr>
          <w:rFonts w:ascii="Times New Roman" w:hAnsi="Times New Roman" w:cs="Times New Roman"/>
        </w:rPr>
        <w:t>dopted by Foot, nuanced by Kinnock and summarily d</w:t>
      </w:r>
      <w:r w:rsidR="001B4A30" w:rsidRPr="00626A7E">
        <w:rPr>
          <w:rFonts w:ascii="Times New Roman" w:hAnsi="Times New Roman" w:cs="Times New Roman"/>
        </w:rPr>
        <w:t>itched</w:t>
      </w:r>
      <w:r w:rsidR="00942E77" w:rsidRPr="00626A7E">
        <w:rPr>
          <w:rFonts w:ascii="Times New Roman" w:hAnsi="Times New Roman" w:cs="Times New Roman"/>
        </w:rPr>
        <w:t xml:space="preserve"> by Blair</w:t>
      </w:r>
      <w:r w:rsidR="003334C9" w:rsidRPr="00626A7E">
        <w:rPr>
          <w:rFonts w:ascii="Times New Roman" w:hAnsi="Times New Roman" w:cs="Times New Roman"/>
        </w:rPr>
        <w:t xml:space="preserve"> helps us </w:t>
      </w:r>
      <w:r w:rsidR="00E2071E" w:rsidRPr="00626A7E">
        <w:rPr>
          <w:rFonts w:ascii="Times New Roman" w:hAnsi="Times New Roman" w:cs="Times New Roman"/>
        </w:rPr>
        <w:t>map</w:t>
      </w:r>
      <w:r w:rsidR="003334C9" w:rsidRPr="00626A7E">
        <w:rPr>
          <w:rFonts w:ascii="Times New Roman" w:hAnsi="Times New Roman" w:cs="Times New Roman"/>
        </w:rPr>
        <w:t xml:space="preserve"> Labour as it</w:t>
      </w:r>
      <w:r w:rsidR="00AF31E0" w:rsidRPr="00626A7E">
        <w:rPr>
          <w:rFonts w:ascii="Times New Roman" w:hAnsi="Times New Roman" w:cs="Times New Roman"/>
        </w:rPr>
        <w:t xml:space="preserve"> moved from self-satisfied opposition to the co</w:t>
      </w:r>
      <w:r w:rsidR="00DE10F5" w:rsidRPr="00626A7E">
        <w:rPr>
          <w:rFonts w:ascii="Times New Roman" w:hAnsi="Times New Roman" w:cs="Times New Roman"/>
        </w:rPr>
        <w:t>mpromises inherent in making</w:t>
      </w:r>
      <w:r w:rsidR="00AF31E0" w:rsidRPr="00626A7E">
        <w:rPr>
          <w:rFonts w:ascii="Times New Roman" w:hAnsi="Times New Roman" w:cs="Times New Roman"/>
        </w:rPr>
        <w:t xml:space="preserve"> a serious play for office.</w:t>
      </w:r>
      <w:r w:rsidR="005604EF" w:rsidRPr="00626A7E">
        <w:rPr>
          <w:rFonts w:ascii="Times New Roman" w:hAnsi="Times New Roman" w:cs="Times New Roman"/>
        </w:rPr>
        <w:t xml:space="preserve"> </w:t>
      </w:r>
      <w:r w:rsidR="00E875AD" w:rsidRPr="00626A7E">
        <w:rPr>
          <w:rFonts w:ascii="Times New Roman" w:hAnsi="Times New Roman" w:cs="Times New Roman"/>
        </w:rPr>
        <w:t xml:space="preserve">At this </w:t>
      </w:r>
      <w:r w:rsidR="00B04711" w:rsidRPr="00626A7E">
        <w:rPr>
          <w:rFonts w:ascii="Times New Roman" w:hAnsi="Times New Roman" w:cs="Times New Roman"/>
        </w:rPr>
        <w:t>point,</w:t>
      </w:r>
      <w:r w:rsidR="00E875AD" w:rsidRPr="00626A7E">
        <w:rPr>
          <w:rFonts w:ascii="Times New Roman" w:hAnsi="Times New Roman" w:cs="Times New Roman"/>
        </w:rPr>
        <w:t xml:space="preserve"> i</w:t>
      </w:r>
      <w:r w:rsidR="004A1469" w:rsidRPr="00626A7E">
        <w:rPr>
          <w:rFonts w:ascii="Times New Roman" w:hAnsi="Times New Roman" w:cs="Times New Roman"/>
        </w:rPr>
        <w:t>t is worth declaring an interest: prior to the resurrection of the policy in Labour’s 2015 manifesto, the present author consistently argued for the creation of such an institution – including in a March 2012 report for the think tank Localis.</w:t>
      </w:r>
      <w:r w:rsidR="004A1469" w:rsidRPr="00626A7E">
        <w:rPr>
          <w:rStyle w:val="FootnoteReference"/>
          <w:rFonts w:ascii="Times New Roman" w:hAnsi="Times New Roman" w:cs="Times New Roman"/>
        </w:rPr>
        <w:footnoteReference w:id="10"/>
      </w:r>
      <w:r w:rsidR="00B82F63" w:rsidRPr="00626A7E">
        <w:rPr>
          <w:rFonts w:ascii="Times New Roman" w:hAnsi="Times New Roman" w:cs="Times New Roman"/>
        </w:rPr>
        <w:t xml:space="preserve"> What follows is not particularly about the merits or de-merits of </w:t>
      </w:r>
      <w:r w:rsidR="00B82F63" w:rsidRPr="00626A7E">
        <w:rPr>
          <w:rFonts w:ascii="Times New Roman" w:hAnsi="Times New Roman" w:cs="Times New Roman"/>
        </w:rPr>
        <w:lastRenderedPageBreak/>
        <w:t xml:space="preserve">the policy however, but </w:t>
      </w:r>
      <w:r w:rsidR="00F97BB9" w:rsidRPr="00626A7E">
        <w:rPr>
          <w:rFonts w:ascii="Times New Roman" w:hAnsi="Times New Roman" w:cs="Times New Roman"/>
        </w:rPr>
        <w:t>what such dialogue said about the party and its electoral fortunes.</w:t>
      </w:r>
    </w:p>
    <w:p w14:paraId="472C3AAB" w14:textId="44ED6C8B" w:rsidR="00593487" w:rsidRPr="00626A7E" w:rsidRDefault="009B3225"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In terms of political theory the case for </w:t>
      </w:r>
      <w:r w:rsidR="00F151E3" w:rsidRPr="00626A7E">
        <w:rPr>
          <w:rFonts w:ascii="Times New Roman" w:hAnsi="Times New Roman" w:cs="Times New Roman"/>
        </w:rPr>
        <w:t>the NIB</w:t>
      </w:r>
      <w:r w:rsidRPr="00626A7E">
        <w:rPr>
          <w:rFonts w:ascii="Times New Roman" w:hAnsi="Times New Roman" w:cs="Times New Roman"/>
        </w:rPr>
        <w:t xml:space="preserve"> fell somewhere between the ‘valence’ and ‘position’ designations for </w:t>
      </w:r>
      <w:r w:rsidR="00F538A6" w:rsidRPr="00626A7E">
        <w:rPr>
          <w:rFonts w:ascii="Times New Roman" w:hAnsi="Times New Roman" w:cs="Times New Roman"/>
        </w:rPr>
        <w:t>voter prefer</w:t>
      </w:r>
      <w:r w:rsidR="00074F0A" w:rsidRPr="00626A7E">
        <w:rPr>
          <w:rFonts w:ascii="Times New Roman" w:hAnsi="Times New Roman" w:cs="Times New Roman"/>
        </w:rPr>
        <w:t>e</w:t>
      </w:r>
      <w:r w:rsidR="00F538A6" w:rsidRPr="00626A7E">
        <w:rPr>
          <w:rFonts w:ascii="Times New Roman" w:hAnsi="Times New Roman" w:cs="Times New Roman"/>
        </w:rPr>
        <w:t>n</w:t>
      </w:r>
      <w:r w:rsidR="00074F0A" w:rsidRPr="00626A7E">
        <w:rPr>
          <w:rFonts w:ascii="Times New Roman" w:hAnsi="Times New Roman" w:cs="Times New Roman"/>
        </w:rPr>
        <w:t>ce</w:t>
      </w:r>
      <w:r w:rsidRPr="00626A7E">
        <w:rPr>
          <w:rFonts w:ascii="Times New Roman" w:hAnsi="Times New Roman" w:cs="Times New Roman"/>
        </w:rPr>
        <w:t xml:space="preserve"> that Donald Stokes articulated in the early 1960s.</w:t>
      </w:r>
      <w:r w:rsidR="00024D34" w:rsidRPr="00626A7E">
        <w:rPr>
          <w:rStyle w:val="FootnoteReference"/>
          <w:rFonts w:ascii="Times New Roman" w:hAnsi="Times New Roman" w:cs="Times New Roman"/>
        </w:rPr>
        <w:footnoteReference w:id="11"/>
      </w:r>
      <w:r w:rsidRPr="00626A7E">
        <w:rPr>
          <w:rFonts w:ascii="Times New Roman" w:hAnsi="Times New Roman" w:cs="Times New Roman"/>
        </w:rPr>
        <w:t xml:space="preserve"> </w:t>
      </w:r>
      <w:r w:rsidR="00E65296" w:rsidRPr="00626A7E">
        <w:rPr>
          <w:rFonts w:ascii="Times New Roman" w:hAnsi="Times New Roman" w:cs="Times New Roman"/>
        </w:rPr>
        <w:t>For clarity, ‘v</w:t>
      </w:r>
      <w:r w:rsidRPr="00626A7E">
        <w:rPr>
          <w:rFonts w:ascii="Times New Roman" w:hAnsi="Times New Roman" w:cs="Times New Roman"/>
        </w:rPr>
        <w:t>alence</w:t>
      </w:r>
      <w:r w:rsidR="00E65296" w:rsidRPr="00626A7E">
        <w:rPr>
          <w:rFonts w:ascii="Times New Roman" w:hAnsi="Times New Roman" w:cs="Times New Roman"/>
        </w:rPr>
        <w:t>’</w:t>
      </w:r>
      <w:r w:rsidRPr="00626A7E">
        <w:rPr>
          <w:rFonts w:ascii="Times New Roman" w:hAnsi="Times New Roman" w:cs="Times New Roman"/>
        </w:rPr>
        <w:t xml:space="preserve"> issues denote those where there is broad agreement between </w:t>
      </w:r>
      <w:r w:rsidR="00D616B1" w:rsidRPr="00626A7E">
        <w:rPr>
          <w:rFonts w:ascii="Times New Roman" w:hAnsi="Times New Roman" w:cs="Times New Roman"/>
        </w:rPr>
        <w:t xml:space="preserve">parties over the </w:t>
      </w:r>
      <w:r w:rsidR="00BA0BBC" w:rsidRPr="00626A7E">
        <w:rPr>
          <w:rFonts w:ascii="Times New Roman" w:hAnsi="Times New Roman" w:cs="Times New Roman"/>
        </w:rPr>
        <w:t>end goal. I</w:t>
      </w:r>
      <w:r w:rsidRPr="00626A7E">
        <w:rPr>
          <w:rFonts w:ascii="Times New Roman" w:hAnsi="Times New Roman" w:cs="Times New Roman"/>
        </w:rPr>
        <w:t xml:space="preserve">n this case, though their methods </w:t>
      </w:r>
      <w:r w:rsidR="00BA0BBC" w:rsidRPr="00626A7E">
        <w:rPr>
          <w:rFonts w:ascii="Times New Roman" w:hAnsi="Times New Roman" w:cs="Times New Roman"/>
        </w:rPr>
        <w:t xml:space="preserve">clearly </w:t>
      </w:r>
      <w:r w:rsidRPr="00626A7E">
        <w:rPr>
          <w:rFonts w:ascii="Times New Roman" w:hAnsi="Times New Roman" w:cs="Times New Roman"/>
        </w:rPr>
        <w:t>differed, both Labour and Conservative parties</w:t>
      </w:r>
      <w:r w:rsidR="00F538A6" w:rsidRPr="00626A7E">
        <w:rPr>
          <w:rFonts w:ascii="Times New Roman" w:hAnsi="Times New Roman" w:cs="Times New Roman"/>
        </w:rPr>
        <w:t xml:space="preserve"> at least</w:t>
      </w:r>
      <w:r w:rsidRPr="00626A7E">
        <w:rPr>
          <w:rFonts w:ascii="Times New Roman" w:hAnsi="Times New Roman" w:cs="Times New Roman"/>
        </w:rPr>
        <w:t xml:space="preserve"> </w:t>
      </w:r>
      <w:r w:rsidRPr="00626A7E">
        <w:rPr>
          <w:rFonts w:ascii="Times New Roman" w:hAnsi="Times New Roman" w:cs="Times New Roman"/>
          <w:i/>
        </w:rPr>
        <w:t>claimed</w:t>
      </w:r>
      <w:r w:rsidRPr="00626A7E">
        <w:rPr>
          <w:rFonts w:ascii="Times New Roman" w:hAnsi="Times New Roman" w:cs="Times New Roman"/>
        </w:rPr>
        <w:t xml:space="preserve"> to be </w:t>
      </w:r>
      <w:r w:rsidR="00024D34" w:rsidRPr="00626A7E">
        <w:rPr>
          <w:rFonts w:ascii="Times New Roman" w:hAnsi="Times New Roman" w:cs="Times New Roman"/>
        </w:rPr>
        <w:t xml:space="preserve">about </w:t>
      </w:r>
      <w:r w:rsidRPr="00626A7E">
        <w:rPr>
          <w:rFonts w:ascii="Times New Roman" w:hAnsi="Times New Roman" w:cs="Times New Roman"/>
        </w:rPr>
        <w:t>delivering a b</w:t>
      </w:r>
      <w:r w:rsidR="00D616B1" w:rsidRPr="00626A7E">
        <w:rPr>
          <w:rFonts w:ascii="Times New Roman" w:hAnsi="Times New Roman" w:cs="Times New Roman"/>
        </w:rPr>
        <w:t>etter capitalism which gave more</w:t>
      </w:r>
      <w:r w:rsidRPr="00626A7E">
        <w:rPr>
          <w:rFonts w:ascii="Times New Roman" w:hAnsi="Times New Roman" w:cs="Times New Roman"/>
        </w:rPr>
        <w:t xml:space="preserve"> people the opportunity to better their lot. </w:t>
      </w:r>
      <w:r w:rsidR="001952CB" w:rsidRPr="00626A7E">
        <w:rPr>
          <w:rFonts w:ascii="Times New Roman" w:hAnsi="Times New Roman" w:cs="Times New Roman"/>
        </w:rPr>
        <w:t>Valence politics</w:t>
      </w:r>
      <w:r w:rsidR="00E50C3C" w:rsidRPr="00626A7E">
        <w:rPr>
          <w:rFonts w:ascii="Times New Roman" w:hAnsi="Times New Roman" w:cs="Times New Roman"/>
        </w:rPr>
        <w:t>, in short,</w:t>
      </w:r>
      <w:r w:rsidR="001952CB" w:rsidRPr="00626A7E">
        <w:rPr>
          <w:rFonts w:ascii="Times New Roman" w:hAnsi="Times New Roman" w:cs="Times New Roman"/>
        </w:rPr>
        <w:t xml:space="preserve"> is therefore not about </w:t>
      </w:r>
      <w:r w:rsidR="002347D1" w:rsidRPr="00626A7E">
        <w:rPr>
          <w:rFonts w:ascii="Times New Roman" w:hAnsi="Times New Roman" w:cs="Times New Roman"/>
        </w:rPr>
        <w:t>wonkish details</w:t>
      </w:r>
      <w:r w:rsidR="00D82B3B" w:rsidRPr="00626A7E">
        <w:rPr>
          <w:rFonts w:ascii="Times New Roman" w:hAnsi="Times New Roman" w:cs="Times New Roman"/>
        </w:rPr>
        <w:t xml:space="preserve">, but </w:t>
      </w:r>
      <w:r w:rsidR="001952CB" w:rsidRPr="00626A7E">
        <w:rPr>
          <w:rFonts w:ascii="Times New Roman" w:hAnsi="Times New Roman" w:cs="Times New Roman"/>
        </w:rPr>
        <w:t>which pa</w:t>
      </w:r>
      <w:r w:rsidR="00F151E3" w:rsidRPr="00626A7E">
        <w:rPr>
          <w:rFonts w:ascii="Times New Roman" w:hAnsi="Times New Roman" w:cs="Times New Roman"/>
        </w:rPr>
        <w:t xml:space="preserve">rty the voters </w:t>
      </w:r>
      <w:r w:rsidR="003669B7" w:rsidRPr="00626A7E">
        <w:rPr>
          <w:rFonts w:ascii="Times New Roman" w:hAnsi="Times New Roman" w:cs="Times New Roman"/>
        </w:rPr>
        <w:t>believe has the credibility to</w:t>
      </w:r>
      <w:r w:rsidR="00F151E3" w:rsidRPr="00626A7E">
        <w:rPr>
          <w:rFonts w:ascii="Times New Roman" w:hAnsi="Times New Roman" w:cs="Times New Roman"/>
        </w:rPr>
        <w:t xml:space="preserve"> broadly</w:t>
      </w:r>
      <w:r w:rsidR="001952CB" w:rsidRPr="00626A7E">
        <w:rPr>
          <w:rFonts w:ascii="Times New Roman" w:hAnsi="Times New Roman" w:cs="Times New Roman"/>
        </w:rPr>
        <w:t xml:space="preserve"> </w:t>
      </w:r>
      <w:r w:rsidR="001952CB" w:rsidRPr="00626A7E">
        <w:rPr>
          <w:rFonts w:ascii="Times New Roman" w:hAnsi="Times New Roman" w:cs="Times New Roman"/>
          <w:i/>
        </w:rPr>
        <w:t>deliver</w:t>
      </w:r>
      <w:r w:rsidR="001952CB" w:rsidRPr="00626A7E">
        <w:rPr>
          <w:rFonts w:ascii="Times New Roman" w:hAnsi="Times New Roman" w:cs="Times New Roman"/>
        </w:rPr>
        <w:t xml:space="preserve">. </w:t>
      </w:r>
      <w:r w:rsidR="00E65296" w:rsidRPr="00626A7E">
        <w:rPr>
          <w:rFonts w:ascii="Times New Roman" w:hAnsi="Times New Roman" w:cs="Times New Roman"/>
        </w:rPr>
        <w:t xml:space="preserve">Equally however, </w:t>
      </w:r>
      <w:r w:rsidRPr="00626A7E">
        <w:rPr>
          <w:rFonts w:ascii="Times New Roman" w:hAnsi="Times New Roman" w:cs="Times New Roman"/>
        </w:rPr>
        <w:t xml:space="preserve">the National Investment Bank was a clear instance of </w:t>
      </w:r>
      <w:r w:rsidR="00E65296" w:rsidRPr="00626A7E">
        <w:rPr>
          <w:rFonts w:ascii="Times New Roman" w:hAnsi="Times New Roman" w:cs="Times New Roman"/>
        </w:rPr>
        <w:t xml:space="preserve">Stokes’ </w:t>
      </w:r>
      <w:r w:rsidR="00D82B3B" w:rsidRPr="00626A7E">
        <w:rPr>
          <w:rFonts w:ascii="Times New Roman" w:hAnsi="Times New Roman" w:cs="Times New Roman"/>
        </w:rPr>
        <w:t>‘</w:t>
      </w:r>
      <w:r w:rsidRPr="00626A7E">
        <w:rPr>
          <w:rFonts w:ascii="Times New Roman" w:hAnsi="Times New Roman" w:cs="Times New Roman"/>
        </w:rPr>
        <w:t>position</w:t>
      </w:r>
      <w:r w:rsidR="00D82B3B" w:rsidRPr="00626A7E">
        <w:rPr>
          <w:rFonts w:ascii="Times New Roman" w:hAnsi="Times New Roman" w:cs="Times New Roman"/>
        </w:rPr>
        <w:t>’</w:t>
      </w:r>
      <w:r w:rsidRPr="00626A7E">
        <w:rPr>
          <w:rFonts w:ascii="Times New Roman" w:hAnsi="Times New Roman" w:cs="Times New Roman"/>
        </w:rPr>
        <w:t xml:space="preserve"> politics:</w:t>
      </w:r>
      <w:r w:rsidR="008B375C" w:rsidRPr="00626A7E">
        <w:rPr>
          <w:rFonts w:ascii="Times New Roman" w:hAnsi="Times New Roman" w:cs="Times New Roman"/>
        </w:rPr>
        <w:t xml:space="preserve"> unlike, say, vague calls for ‘a more progressive economy</w:t>
      </w:r>
      <w:r w:rsidR="00BE7D9A" w:rsidRPr="00626A7E">
        <w:rPr>
          <w:rFonts w:ascii="Times New Roman" w:hAnsi="Times New Roman" w:cs="Times New Roman"/>
        </w:rPr>
        <w:t>,’ the NIB</w:t>
      </w:r>
      <w:r w:rsidR="002347D1" w:rsidRPr="00626A7E">
        <w:rPr>
          <w:rFonts w:ascii="Times New Roman" w:hAnsi="Times New Roman" w:cs="Times New Roman"/>
        </w:rPr>
        <w:t xml:space="preserve"> policy</w:t>
      </w:r>
      <w:r w:rsidR="00BE7D9A" w:rsidRPr="00626A7E">
        <w:rPr>
          <w:rFonts w:ascii="Times New Roman" w:hAnsi="Times New Roman" w:cs="Times New Roman"/>
        </w:rPr>
        <w:t xml:space="preserve"> had a certain set of precise consequences</w:t>
      </w:r>
      <w:r w:rsidR="006904BA" w:rsidRPr="00626A7E">
        <w:rPr>
          <w:rFonts w:ascii="Times New Roman" w:hAnsi="Times New Roman" w:cs="Times New Roman"/>
        </w:rPr>
        <w:t xml:space="preserve"> where voters could make a rational choice</w:t>
      </w:r>
      <w:r w:rsidR="00F057FA" w:rsidRPr="00626A7E">
        <w:rPr>
          <w:rFonts w:ascii="Times New Roman" w:hAnsi="Times New Roman" w:cs="Times New Roman"/>
        </w:rPr>
        <w:t xml:space="preserve"> for or against</w:t>
      </w:r>
      <w:r w:rsidR="00BE7D9A" w:rsidRPr="00626A7E">
        <w:rPr>
          <w:rFonts w:ascii="Times New Roman" w:hAnsi="Times New Roman" w:cs="Times New Roman"/>
        </w:rPr>
        <w:t xml:space="preserve">. </w:t>
      </w:r>
      <w:r w:rsidR="003669B7" w:rsidRPr="00626A7E">
        <w:rPr>
          <w:rFonts w:ascii="Times New Roman" w:hAnsi="Times New Roman" w:cs="Times New Roman"/>
        </w:rPr>
        <w:t xml:space="preserve">The story of this article, </w:t>
      </w:r>
      <w:r w:rsidR="00697579" w:rsidRPr="00626A7E">
        <w:rPr>
          <w:rFonts w:ascii="Times New Roman" w:hAnsi="Times New Roman" w:cs="Times New Roman"/>
        </w:rPr>
        <w:t xml:space="preserve">the NIB </w:t>
      </w:r>
      <w:r w:rsidR="00697579" w:rsidRPr="00B04711">
        <w:rPr>
          <w:rFonts w:ascii="Times New Roman" w:hAnsi="Times New Roman" w:cs="Times New Roman"/>
        </w:rPr>
        <w:t>per se</w:t>
      </w:r>
      <w:r w:rsidR="00697579" w:rsidRPr="00626A7E">
        <w:rPr>
          <w:rFonts w:ascii="Times New Roman" w:hAnsi="Times New Roman" w:cs="Times New Roman"/>
        </w:rPr>
        <w:t>,</w:t>
      </w:r>
      <w:r w:rsidR="003669B7" w:rsidRPr="00626A7E">
        <w:rPr>
          <w:rFonts w:ascii="Times New Roman" w:hAnsi="Times New Roman" w:cs="Times New Roman"/>
        </w:rPr>
        <w:t xml:space="preserve"> and argu</w:t>
      </w:r>
      <w:r w:rsidR="002347D1" w:rsidRPr="00626A7E">
        <w:rPr>
          <w:rFonts w:ascii="Times New Roman" w:hAnsi="Times New Roman" w:cs="Times New Roman"/>
        </w:rPr>
        <w:t>ably of Labour itself</w:t>
      </w:r>
      <w:r w:rsidR="007873BA" w:rsidRPr="00626A7E">
        <w:rPr>
          <w:rFonts w:ascii="Times New Roman" w:hAnsi="Times New Roman" w:cs="Times New Roman"/>
        </w:rPr>
        <w:t xml:space="preserve"> in the 1980s</w:t>
      </w:r>
      <w:r w:rsidR="003669B7" w:rsidRPr="00626A7E">
        <w:rPr>
          <w:rFonts w:ascii="Times New Roman" w:hAnsi="Times New Roman" w:cs="Times New Roman"/>
        </w:rPr>
        <w:t xml:space="preserve">, </w:t>
      </w:r>
      <w:r w:rsidR="00697579" w:rsidRPr="00626A7E">
        <w:rPr>
          <w:rFonts w:ascii="Times New Roman" w:hAnsi="Times New Roman" w:cs="Times New Roman"/>
        </w:rPr>
        <w:t>is of ‘valence’ politics trumping those of ‘position.’ The rational argument for a NIB was relatively clear</w:t>
      </w:r>
      <w:r w:rsidR="00AC425C" w:rsidRPr="00626A7E">
        <w:rPr>
          <w:rFonts w:ascii="Times New Roman" w:hAnsi="Times New Roman" w:cs="Times New Roman"/>
        </w:rPr>
        <w:t xml:space="preserve"> (if not, as we will see, uncontested)</w:t>
      </w:r>
      <w:r w:rsidR="00697579" w:rsidRPr="00626A7E">
        <w:rPr>
          <w:rFonts w:ascii="Times New Roman" w:hAnsi="Times New Roman" w:cs="Times New Roman"/>
        </w:rPr>
        <w:t>, the electorate just did not trust Labour</w:t>
      </w:r>
      <w:r w:rsidR="001057B2" w:rsidRPr="00626A7E">
        <w:rPr>
          <w:rFonts w:ascii="Times New Roman" w:hAnsi="Times New Roman" w:cs="Times New Roman"/>
        </w:rPr>
        <w:t xml:space="preserve"> </w:t>
      </w:r>
      <w:r w:rsidR="004F5095" w:rsidRPr="00626A7E">
        <w:rPr>
          <w:rFonts w:ascii="Times New Roman" w:hAnsi="Times New Roman" w:cs="Times New Roman"/>
        </w:rPr>
        <w:t>to manage the economy</w:t>
      </w:r>
      <w:r w:rsidR="00F151E3" w:rsidRPr="00626A7E">
        <w:rPr>
          <w:rFonts w:ascii="Times New Roman" w:hAnsi="Times New Roman" w:cs="Times New Roman"/>
        </w:rPr>
        <w:t>.</w:t>
      </w:r>
      <w:r w:rsidR="00010660" w:rsidRPr="00626A7E">
        <w:rPr>
          <w:rFonts w:ascii="Times New Roman" w:hAnsi="Times New Roman" w:cs="Times New Roman"/>
        </w:rPr>
        <w:t xml:space="preserve"> </w:t>
      </w:r>
      <w:r w:rsidR="003669B7" w:rsidRPr="00626A7E">
        <w:rPr>
          <w:rFonts w:ascii="Times New Roman" w:hAnsi="Times New Roman" w:cs="Times New Roman"/>
        </w:rPr>
        <w:t>At the same time</w:t>
      </w:r>
      <w:r w:rsidR="00341072" w:rsidRPr="00626A7E">
        <w:rPr>
          <w:rFonts w:ascii="Times New Roman" w:hAnsi="Times New Roman" w:cs="Times New Roman"/>
        </w:rPr>
        <w:t xml:space="preserve"> however</w:t>
      </w:r>
      <w:r w:rsidR="003669B7" w:rsidRPr="00626A7E">
        <w:rPr>
          <w:rFonts w:ascii="Times New Roman" w:hAnsi="Times New Roman" w:cs="Times New Roman"/>
        </w:rPr>
        <w:t xml:space="preserve">, in </w:t>
      </w:r>
      <w:r w:rsidR="002775CA" w:rsidRPr="00626A7E">
        <w:rPr>
          <w:rFonts w:ascii="Times New Roman" w:hAnsi="Times New Roman" w:cs="Times New Roman"/>
        </w:rPr>
        <w:t>helping reorient</w:t>
      </w:r>
      <w:r w:rsidR="003669B7" w:rsidRPr="00626A7E">
        <w:rPr>
          <w:rFonts w:ascii="Times New Roman" w:hAnsi="Times New Roman" w:cs="Times New Roman"/>
        </w:rPr>
        <w:t xml:space="preserve"> Labour this article also records the NIB </w:t>
      </w:r>
      <w:r w:rsidR="00E36D27" w:rsidRPr="00626A7E">
        <w:rPr>
          <w:rFonts w:ascii="Times New Roman" w:hAnsi="Times New Roman" w:cs="Times New Roman"/>
        </w:rPr>
        <w:t xml:space="preserve">as </w:t>
      </w:r>
      <w:r w:rsidR="003669B7" w:rsidRPr="00626A7E">
        <w:rPr>
          <w:rFonts w:ascii="Times New Roman" w:hAnsi="Times New Roman" w:cs="Times New Roman"/>
        </w:rPr>
        <w:t xml:space="preserve">having positive </w:t>
      </w:r>
      <w:r w:rsidR="002347D1" w:rsidRPr="00626A7E">
        <w:rPr>
          <w:rFonts w:ascii="Times New Roman" w:hAnsi="Times New Roman" w:cs="Times New Roman"/>
        </w:rPr>
        <w:t>effects over the long run</w:t>
      </w:r>
      <w:r w:rsidR="003669B7" w:rsidRPr="00626A7E">
        <w:rPr>
          <w:rFonts w:ascii="Times New Roman" w:hAnsi="Times New Roman" w:cs="Times New Roman"/>
        </w:rPr>
        <w:t>.</w:t>
      </w:r>
    </w:p>
    <w:p w14:paraId="47E9C144" w14:textId="77777777" w:rsidR="00354C37" w:rsidRPr="00626A7E" w:rsidRDefault="00354C37" w:rsidP="00FB2AD2">
      <w:pPr>
        <w:widowControl w:val="0"/>
        <w:autoSpaceDE w:val="0"/>
        <w:autoSpaceDN w:val="0"/>
        <w:adjustRightInd w:val="0"/>
        <w:spacing w:line="360" w:lineRule="auto"/>
        <w:jc w:val="both"/>
        <w:rPr>
          <w:rFonts w:ascii="Times New Roman" w:hAnsi="Times New Roman" w:cs="Times New Roman"/>
        </w:rPr>
      </w:pPr>
    </w:p>
    <w:p w14:paraId="73648AE3" w14:textId="77777777" w:rsidR="00851293" w:rsidRPr="00626A7E" w:rsidRDefault="002029E2"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This brief study add</w:t>
      </w:r>
      <w:r w:rsidR="00672CD9" w:rsidRPr="00626A7E">
        <w:rPr>
          <w:rFonts w:ascii="Times New Roman" w:hAnsi="Times New Roman" w:cs="Times New Roman"/>
        </w:rPr>
        <w:t>s</w:t>
      </w:r>
      <w:r w:rsidRPr="00626A7E">
        <w:rPr>
          <w:rFonts w:ascii="Times New Roman" w:hAnsi="Times New Roman" w:cs="Times New Roman"/>
        </w:rPr>
        <w:t xml:space="preserve"> to a</w:t>
      </w:r>
      <w:r w:rsidR="006F119C" w:rsidRPr="00626A7E">
        <w:rPr>
          <w:rFonts w:ascii="Times New Roman" w:hAnsi="Times New Roman" w:cs="Times New Roman"/>
        </w:rPr>
        <w:t xml:space="preserve"> still</w:t>
      </w:r>
      <w:r w:rsidRPr="00626A7E">
        <w:rPr>
          <w:rFonts w:ascii="Times New Roman" w:hAnsi="Times New Roman" w:cs="Times New Roman"/>
        </w:rPr>
        <w:t xml:space="preserve"> developing historiographical picture.</w:t>
      </w:r>
      <w:r w:rsidR="004746A5" w:rsidRPr="00626A7E">
        <w:rPr>
          <w:rFonts w:ascii="Times New Roman" w:hAnsi="Times New Roman" w:cs="Times New Roman"/>
        </w:rPr>
        <w:t xml:space="preserve"> </w:t>
      </w:r>
      <w:r w:rsidR="000326B0" w:rsidRPr="00626A7E">
        <w:rPr>
          <w:rFonts w:ascii="Times New Roman" w:hAnsi="Times New Roman" w:cs="Times New Roman"/>
        </w:rPr>
        <w:t xml:space="preserve">For one, </w:t>
      </w:r>
      <w:r w:rsidR="004746A5" w:rsidRPr="00626A7E">
        <w:rPr>
          <w:rFonts w:ascii="Times New Roman" w:hAnsi="Times New Roman" w:cs="Times New Roman"/>
        </w:rPr>
        <w:t xml:space="preserve">Richard Hill’s </w:t>
      </w:r>
      <w:r w:rsidR="004746A5" w:rsidRPr="00626A7E">
        <w:rPr>
          <w:rFonts w:ascii="Times New Roman" w:hAnsi="Times New Roman" w:cs="Times New Roman"/>
          <w:i/>
        </w:rPr>
        <w:t>Long Road Back</w:t>
      </w:r>
      <w:r w:rsidR="00BB1EBD" w:rsidRPr="00626A7E">
        <w:rPr>
          <w:rFonts w:ascii="Times New Roman" w:hAnsi="Times New Roman" w:cs="Times New Roman"/>
        </w:rPr>
        <w:t xml:space="preserve"> ably chronicles </w:t>
      </w:r>
      <w:r w:rsidR="004746A5" w:rsidRPr="00626A7E">
        <w:rPr>
          <w:rFonts w:ascii="Times New Roman" w:hAnsi="Times New Roman" w:cs="Times New Roman"/>
        </w:rPr>
        <w:t>the path Labour took from the conception of an economy ruled from the commanding heights to the accept</w:t>
      </w:r>
      <w:r w:rsidR="00F9787C" w:rsidRPr="00626A7E">
        <w:rPr>
          <w:rFonts w:ascii="Times New Roman" w:hAnsi="Times New Roman" w:cs="Times New Roman"/>
        </w:rPr>
        <w:t>ance</w:t>
      </w:r>
      <w:r w:rsidR="004746A5" w:rsidRPr="00626A7E">
        <w:rPr>
          <w:rFonts w:ascii="Times New Roman" w:hAnsi="Times New Roman" w:cs="Times New Roman"/>
        </w:rPr>
        <w:t xml:space="preserve"> of a more Rhenish, social market </w:t>
      </w:r>
      <w:r w:rsidR="00413480" w:rsidRPr="00626A7E">
        <w:rPr>
          <w:rFonts w:ascii="Times New Roman" w:hAnsi="Times New Roman" w:cs="Times New Roman"/>
        </w:rPr>
        <w:t>form of capitalism –</w:t>
      </w:r>
      <w:r w:rsidR="00C97BB9" w:rsidRPr="00626A7E">
        <w:rPr>
          <w:rFonts w:ascii="Times New Roman" w:hAnsi="Times New Roman" w:cs="Times New Roman"/>
        </w:rPr>
        <w:t xml:space="preserve"> </w:t>
      </w:r>
      <w:r w:rsidR="00413480" w:rsidRPr="00626A7E">
        <w:rPr>
          <w:rFonts w:ascii="Times New Roman" w:hAnsi="Times New Roman" w:cs="Times New Roman"/>
        </w:rPr>
        <w:t xml:space="preserve">shifting </w:t>
      </w:r>
      <w:r w:rsidR="000853CC" w:rsidRPr="00626A7E">
        <w:rPr>
          <w:rFonts w:ascii="Times New Roman" w:hAnsi="Times New Roman" w:cs="Times New Roman"/>
        </w:rPr>
        <w:t xml:space="preserve">the party </w:t>
      </w:r>
      <w:r w:rsidR="00413480" w:rsidRPr="00626A7E">
        <w:rPr>
          <w:rFonts w:ascii="Times New Roman" w:hAnsi="Times New Roman" w:cs="Times New Roman"/>
        </w:rPr>
        <w:t xml:space="preserve">away from William Beveridge and towards Will Hutton. </w:t>
      </w:r>
      <w:r w:rsidR="004746A5" w:rsidRPr="00626A7E">
        <w:rPr>
          <w:rFonts w:ascii="Times New Roman" w:hAnsi="Times New Roman" w:cs="Times New Roman"/>
        </w:rPr>
        <w:t>Colin Hays and Dianne Hayter have likewise extended our understanding of the structural shifts in Labour’s economic message and the left-right context in which they were conducted.</w:t>
      </w:r>
      <w:r w:rsidR="004746A5" w:rsidRPr="00626A7E">
        <w:rPr>
          <w:rStyle w:val="FootnoteReference"/>
          <w:rFonts w:ascii="Times New Roman" w:hAnsi="Times New Roman" w:cs="Times New Roman"/>
        </w:rPr>
        <w:footnoteReference w:id="12"/>
      </w:r>
      <w:r w:rsidR="004746A5" w:rsidRPr="00626A7E">
        <w:rPr>
          <w:rFonts w:ascii="Times New Roman" w:hAnsi="Times New Roman" w:cs="Times New Roman"/>
        </w:rPr>
        <w:t xml:space="preserve"> </w:t>
      </w:r>
      <w:r w:rsidR="00922C07" w:rsidRPr="00626A7E">
        <w:rPr>
          <w:rFonts w:ascii="Times New Roman" w:hAnsi="Times New Roman" w:cs="Times New Roman"/>
        </w:rPr>
        <w:t>But w</w:t>
      </w:r>
      <w:r w:rsidR="00E94D9F" w:rsidRPr="00626A7E">
        <w:rPr>
          <w:rFonts w:ascii="Times New Roman" w:hAnsi="Times New Roman" w:cs="Times New Roman"/>
        </w:rPr>
        <w:t xml:space="preserve">hilst economics and business studies </w:t>
      </w:r>
      <w:r w:rsidR="00D538E1" w:rsidRPr="00626A7E">
        <w:rPr>
          <w:rFonts w:ascii="Times New Roman" w:hAnsi="Times New Roman" w:cs="Times New Roman"/>
        </w:rPr>
        <w:t>academics</w:t>
      </w:r>
      <w:r w:rsidR="00E94D9F" w:rsidRPr="00626A7E">
        <w:rPr>
          <w:rFonts w:ascii="Times New Roman" w:hAnsi="Times New Roman" w:cs="Times New Roman"/>
        </w:rPr>
        <w:t xml:space="preserve"> have </w:t>
      </w:r>
      <w:r w:rsidR="00C369EC" w:rsidRPr="00626A7E">
        <w:rPr>
          <w:rFonts w:ascii="Times New Roman" w:hAnsi="Times New Roman" w:cs="Times New Roman"/>
        </w:rPr>
        <w:t>analysed</w:t>
      </w:r>
      <w:r w:rsidR="00E94D9F" w:rsidRPr="00626A7E">
        <w:rPr>
          <w:rFonts w:ascii="Times New Roman" w:hAnsi="Times New Roman" w:cs="Times New Roman"/>
        </w:rPr>
        <w:t xml:space="preserve"> the failure of British banks to provide long run capita</w:t>
      </w:r>
      <w:r w:rsidR="00BB1EBD" w:rsidRPr="00626A7E">
        <w:rPr>
          <w:rFonts w:ascii="Times New Roman" w:hAnsi="Times New Roman" w:cs="Times New Roman"/>
        </w:rPr>
        <w:t xml:space="preserve">l to small business, and </w:t>
      </w:r>
      <w:r w:rsidR="00E94D9F" w:rsidRPr="00626A7E">
        <w:rPr>
          <w:rFonts w:ascii="Times New Roman" w:hAnsi="Times New Roman" w:cs="Times New Roman"/>
        </w:rPr>
        <w:t xml:space="preserve">the forerunner institutions which attempted to address this in the post-war period, few </w:t>
      </w:r>
      <w:r w:rsidR="00306324" w:rsidRPr="00626A7E">
        <w:rPr>
          <w:rFonts w:ascii="Times New Roman" w:hAnsi="Times New Roman" w:cs="Times New Roman"/>
        </w:rPr>
        <w:t xml:space="preserve">historical </w:t>
      </w:r>
      <w:r w:rsidR="00E94D9F" w:rsidRPr="00626A7E">
        <w:rPr>
          <w:rFonts w:ascii="Times New Roman" w:hAnsi="Times New Roman" w:cs="Times New Roman"/>
        </w:rPr>
        <w:t xml:space="preserve">studies </w:t>
      </w:r>
      <w:r w:rsidR="00D538E1" w:rsidRPr="00626A7E">
        <w:rPr>
          <w:rFonts w:ascii="Times New Roman" w:hAnsi="Times New Roman" w:cs="Times New Roman"/>
        </w:rPr>
        <w:t xml:space="preserve">have </w:t>
      </w:r>
      <w:r w:rsidR="00922C07" w:rsidRPr="00626A7E">
        <w:rPr>
          <w:rFonts w:ascii="Times New Roman" w:hAnsi="Times New Roman" w:cs="Times New Roman"/>
        </w:rPr>
        <w:t>provided much specific comment on</w:t>
      </w:r>
      <w:r w:rsidR="00A87891" w:rsidRPr="00626A7E">
        <w:rPr>
          <w:rFonts w:ascii="Times New Roman" w:hAnsi="Times New Roman" w:cs="Times New Roman"/>
        </w:rPr>
        <w:t xml:space="preserve"> Labour’s </w:t>
      </w:r>
      <w:r w:rsidR="00BB1EBD" w:rsidRPr="00626A7E">
        <w:rPr>
          <w:rFonts w:ascii="Times New Roman" w:hAnsi="Times New Roman" w:cs="Times New Roman"/>
        </w:rPr>
        <w:t>NIB idea of</w:t>
      </w:r>
      <w:r w:rsidR="00E94D9F" w:rsidRPr="00626A7E">
        <w:rPr>
          <w:rFonts w:ascii="Times New Roman" w:hAnsi="Times New Roman" w:cs="Times New Roman"/>
        </w:rPr>
        <w:t xml:space="preserve"> the 1980s.</w:t>
      </w:r>
      <w:r w:rsidR="00EF6781" w:rsidRPr="00626A7E">
        <w:rPr>
          <w:rStyle w:val="FootnoteReference"/>
          <w:rFonts w:ascii="Times New Roman" w:hAnsi="Times New Roman" w:cs="Times New Roman"/>
        </w:rPr>
        <w:footnoteReference w:id="13"/>
      </w:r>
      <w:r w:rsidR="00F26776" w:rsidRPr="00626A7E">
        <w:rPr>
          <w:rFonts w:ascii="Times New Roman" w:hAnsi="Times New Roman" w:cs="Times New Roman"/>
        </w:rPr>
        <w:t xml:space="preserve"> </w:t>
      </w:r>
      <w:r w:rsidR="0075334D" w:rsidRPr="00626A7E">
        <w:rPr>
          <w:rFonts w:ascii="Times New Roman" w:hAnsi="Times New Roman" w:cs="Times New Roman"/>
        </w:rPr>
        <w:t xml:space="preserve">Drawing on both archive material and interviews </w:t>
      </w:r>
      <w:r w:rsidR="00B905B5" w:rsidRPr="00626A7E">
        <w:rPr>
          <w:rFonts w:ascii="Times New Roman" w:hAnsi="Times New Roman" w:cs="Times New Roman"/>
        </w:rPr>
        <w:t xml:space="preserve">with </w:t>
      </w:r>
      <w:r w:rsidR="00922C07" w:rsidRPr="00626A7E">
        <w:rPr>
          <w:rFonts w:ascii="Times New Roman" w:hAnsi="Times New Roman" w:cs="Times New Roman"/>
        </w:rPr>
        <w:t xml:space="preserve">key </w:t>
      </w:r>
      <w:r w:rsidR="00B905B5" w:rsidRPr="00626A7E">
        <w:rPr>
          <w:rFonts w:ascii="Times New Roman" w:hAnsi="Times New Roman" w:cs="Times New Roman"/>
        </w:rPr>
        <w:t>shapers of the policy</w:t>
      </w:r>
      <w:r w:rsidR="00807382" w:rsidRPr="00626A7E">
        <w:rPr>
          <w:rFonts w:ascii="Times New Roman" w:hAnsi="Times New Roman" w:cs="Times New Roman"/>
        </w:rPr>
        <w:t>,</w:t>
      </w:r>
      <w:r w:rsidR="00D538E1" w:rsidRPr="00626A7E">
        <w:rPr>
          <w:rFonts w:ascii="Times New Roman" w:hAnsi="Times New Roman" w:cs="Times New Roman"/>
        </w:rPr>
        <w:t xml:space="preserve"> this summary </w:t>
      </w:r>
      <w:r w:rsidR="00057D83" w:rsidRPr="00626A7E">
        <w:rPr>
          <w:rFonts w:ascii="Times New Roman" w:hAnsi="Times New Roman" w:cs="Times New Roman"/>
        </w:rPr>
        <w:t>intends</w:t>
      </w:r>
      <w:r w:rsidR="001D015D" w:rsidRPr="00626A7E">
        <w:rPr>
          <w:rFonts w:ascii="Times New Roman" w:hAnsi="Times New Roman" w:cs="Times New Roman"/>
        </w:rPr>
        <w:t xml:space="preserve"> to </w:t>
      </w:r>
      <w:r w:rsidR="00D538E1" w:rsidRPr="00626A7E">
        <w:rPr>
          <w:rFonts w:ascii="Times New Roman" w:hAnsi="Times New Roman" w:cs="Times New Roman"/>
        </w:rPr>
        <w:t>redress the balance.</w:t>
      </w:r>
      <w:r w:rsidR="00DC2CB4" w:rsidRPr="00626A7E">
        <w:rPr>
          <w:rStyle w:val="FootnoteReference"/>
          <w:rFonts w:ascii="Times New Roman" w:hAnsi="Times New Roman" w:cs="Times New Roman"/>
        </w:rPr>
        <w:footnoteReference w:id="14"/>
      </w:r>
      <w:r w:rsidR="00851293" w:rsidRPr="00626A7E">
        <w:rPr>
          <w:rFonts w:ascii="Times New Roman" w:hAnsi="Times New Roman" w:cs="Times New Roman"/>
        </w:rPr>
        <w:t xml:space="preserve"> </w:t>
      </w:r>
    </w:p>
    <w:p w14:paraId="3FB39F26" w14:textId="77777777" w:rsidR="00851293" w:rsidRPr="00626A7E" w:rsidRDefault="00851293" w:rsidP="00FB2AD2">
      <w:pPr>
        <w:widowControl w:val="0"/>
        <w:autoSpaceDE w:val="0"/>
        <w:autoSpaceDN w:val="0"/>
        <w:adjustRightInd w:val="0"/>
        <w:spacing w:line="360" w:lineRule="auto"/>
        <w:jc w:val="both"/>
        <w:rPr>
          <w:rFonts w:ascii="Times New Roman" w:hAnsi="Times New Roman" w:cs="Times New Roman"/>
        </w:rPr>
      </w:pPr>
    </w:p>
    <w:p w14:paraId="6B38EC8C" w14:textId="6369E670" w:rsidR="00851293" w:rsidRPr="00F555B9" w:rsidRDefault="00851293" w:rsidP="00811002">
      <w:pPr>
        <w:widowControl w:val="0"/>
        <w:autoSpaceDE w:val="0"/>
        <w:autoSpaceDN w:val="0"/>
        <w:adjustRightInd w:val="0"/>
        <w:spacing w:line="360" w:lineRule="auto"/>
        <w:ind w:firstLine="720"/>
        <w:jc w:val="both"/>
        <w:rPr>
          <w:rFonts w:ascii="Times New Roman" w:hAnsi="Times New Roman" w:cs="Times New Roman"/>
          <w:lang w:val="en-US"/>
        </w:rPr>
      </w:pPr>
      <w:r w:rsidRPr="00626A7E">
        <w:rPr>
          <w:rFonts w:ascii="Times New Roman" w:hAnsi="Times New Roman" w:cs="Times New Roman"/>
        </w:rPr>
        <w:t>Importantly, such debates are not the sole preserve of history. The balance between state and private sector has long plagued the British left. Whilst New Labour was criticised for being too cosy with multinational corporations, under Jeremy Corbyn the party would struggle to gain any toehold with business whatsoever.</w:t>
      </w:r>
      <w:r w:rsidRPr="00626A7E">
        <w:rPr>
          <w:rStyle w:val="FootnoteReference"/>
          <w:rFonts w:ascii="Times New Roman" w:hAnsi="Times New Roman" w:cs="Times New Roman"/>
        </w:rPr>
        <w:footnoteReference w:id="15"/>
      </w:r>
      <w:r w:rsidRPr="00626A7E">
        <w:rPr>
          <w:rFonts w:ascii="Times New Roman" w:hAnsi="Times New Roman" w:cs="Times New Roman"/>
        </w:rPr>
        <w:t xml:space="preserve"> The </w:t>
      </w:r>
      <w:r w:rsidR="00F325D3" w:rsidRPr="00626A7E">
        <w:rPr>
          <w:rFonts w:ascii="Times New Roman" w:hAnsi="Times New Roman" w:cs="Times New Roman"/>
        </w:rPr>
        <w:t xml:space="preserve">2010-2015 </w:t>
      </w:r>
      <w:r w:rsidRPr="00626A7E">
        <w:rPr>
          <w:rFonts w:ascii="Times New Roman" w:hAnsi="Times New Roman" w:cs="Times New Roman"/>
        </w:rPr>
        <w:t xml:space="preserve">Miliband experiment with European social democracy attempted to strike a balance between these two extremes, with Lord Glasman backing a series of regional investment banks along the </w:t>
      </w:r>
      <w:r w:rsidR="00006C37" w:rsidRPr="00626A7E">
        <w:rPr>
          <w:rFonts w:ascii="Times New Roman" w:hAnsi="Times New Roman" w:cs="Times New Roman"/>
        </w:rPr>
        <w:t>lines</w:t>
      </w:r>
      <w:r w:rsidRPr="00626A7E">
        <w:rPr>
          <w:rFonts w:ascii="Times New Roman" w:hAnsi="Times New Roman" w:cs="Times New Roman"/>
        </w:rPr>
        <w:t xml:space="preserve"> of the German Sparkassen and Chuka Umunna believing there to be ‘</w:t>
      </w:r>
      <w:r w:rsidRPr="008F6004">
        <w:rPr>
          <w:rFonts w:ascii="Times New Roman" w:hAnsi="Times New Roman" w:cs="Times New Roman"/>
          <w:lang w:val="en-US"/>
        </w:rPr>
        <w:t>deeper cultural and institutional lessons from the German experience which we should draw on as we seek to build a New Economy fit for the future.’</w:t>
      </w:r>
      <w:r w:rsidRPr="00626A7E">
        <w:rPr>
          <w:rStyle w:val="FootnoteReference"/>
          <w:rFonts w:ascii="Times New Roman" w:hAnsi="Times New Roman" w:cs="Times New Roman"/>
          <w:lang w:val="en-US"/>
        </w:rPr>
        <w:footnoteReference w:id="16"/>
      </w:r>
      <w:r w:rsidRPr="00626A7E">
        <w:rPr>
          <w:rFonts w:ascii="Times New Roman" w:hAnsi="Times New Roman" w:cs="Times New Roman"/>
          <w:lang w:val="en-US"/>
        </w:rPr>
        <w:t xml:space="preserve"> </w:t>
      </w:r>
      <w:r w:rsidR="00006C37" w:rsidRPr="00626A7E">
        <w:rPr>
          <w:rFonts w:ascii="Times New Roman" w:hAnsi="Times New Roman" w:cs="Times New Roman"/>
          <w:lang w:val="en-US"/>
        </w:rPr>
        <w:t>In terms of trying to generally re-tool British capitalism,</w:t>
      </w:r>
      <w:r w:rsidRPr="00626A7E">
        <w:rPr>
          <w:rFonts w:ascii="Times New Roman" w:hAnsi="Times New Roman" w:cs="Times New Roman"/>
          <w:lang w:val="en-US"/>
        </w:rPr>
        <w:t xml:space="preserve"> the Miliband leadership</w:t>
      </w:r>
      <w:r w:rsidR="00006C37" w:rsidRPr="00626A7E">
        <w:rPr>
          <w:rFonts w:ascii="Times New Roman" w:hAnsi="Times New Roman" w:cs="Times New Roman"/>
          <w:lang w:val="en-US"/>
        </w:rPr>
        <w:t xml:space="preserve"> had significant merit. But it had other problems that went beyond the trivia of ‘bacon sandwiches’ and proved ultimately unelectable. </w:t>
      </w:r>
      <w:r w:rsidRPr="00626A7E">
        <w:rPr>
          <w:rFonts w:ascii="Times New Roman" w:hAnsi="Times New Roman" w:cs="Times New Roman"/>
          <w:lang w:val="en-US"/>
        </w:rPr>
        <w:t xml:space="preserve">Resolving the dilemmas this article outlines </w:t>
      </w:r>
      <w:r w:rsidR="00F325D3" w:rsidRPr="00626A7E">
        <w:rPr>
          <w:rFonts w:ascii="Times New Roman" w:hAnsi="Times New Roman" w:cs="Times New Roman"/>
          <w:lang w:val="en-US"/>
        </w:rPr>
        <w:t xml:space="preserve">therefore </w:t>
      </w:r>
      <w:r w:rsidR="00441633" w:rsidRPr="00626A7E">
        <w:rPr>
          <w:rFonts w:ascii="Times New Roman" w:hAnsi="Times New Roman" w:cs="Times New Roman"/>
          <w:lang w:val="en-US"/>
        </w:rPr>
        <w:t>remains a decisive</w:t>
      </w:r>
      <w:r w:rsidRPr="00626A7E">
        <w:rPr>
          <w:rFonts w:ascii="Times New Roman" w:hAnsi="Times New Roman" w:cs="Times New Roman"/>
          <w:lang w:val="en-US"/>
        </w:rPr>
        <w:t xml:space="preserve"> issue for all considering where Labour goes next.</w:t>
      </w:r>
    </w:p>
    <w:p w14:paraId="0E05411B" w14:textId="77777777" w:rsidR="00E30053" w:rsidRPr="00626A7E" w:rsidRDefault="00E30053" w:rsidP="00FB2AD2">
      <w:pPr>
        <w:widowControl w:val="0"/>
        <w:autoSpaceDE w:val="0"/>
        <w:autoSpaceDN w:val="0"/>
        <w:adjustRightInd w:val="0"/>
        <w:spacing w:line="360" w:lineRule="auto"/>
        <w:jc w:val="both"/>
        <w:rPr>
          <w:rFonts w:ascii="Times New Roman" w:hAnsi="Times New Roman" w:cs="Times New Roman"/>
        </w:rPr>
      </w:pPr>
    </w:p>
    <w:p w14:paraId="411EE20D" w14:textId="3ED6AA6D" w:rsidR="003915B0" w:rsidRPr="00C31042" w:rsidRDefault="003915B0" w:rsidP="00045A6A">
      <w:pPr>
        <w:widowControl w:val="0"/>
        <w:autoSpaceDE w:val="0"/>
        <w:autoSpaceDN w:val="0"/>
        <w:adjustRightInd w:val="0"/>
        <w:spacing w:line="360" w:lineRule="auto"/>
        <w:jc w:val="both"/>
        <w:outlineLvl w:val="0"/>
        <w:rPr>
          <w:rFonts w:ascii="Times New Roman" w:hAnsi="Times New Roman" w:cs="Times New Roman"/>
          <w:b/>
        </w:rPr>
      </w:pPr>
      <w:r w:rsidRPr="00C31042">
        <w:rPr>
          <w:rFonts w:ascii="Times New Roman" w:hAnsi="Times New Roman" w:cs="Times New Roman"/>
          <w:b/>
        </w:rPr>
        <w:t xml:space="preserve">Closing the </w:t>
      </w:r>
      <w:r w:rsidR="00DE03E5" w:rsidRPr="00C31042">
        <w:rPr>
          <w:rFonts w:ascii="Times New Roman" w:hAnsi="Times New Roman" w:cs="Times New Roman"/>
          <w:b/>
        </w:rPr>
        <w:t>Macmillan Gap</w:t>
      </w:r>
    </w:p>
    <w:p w14:paraId="6D6E14A3" w14:textId="103C594F" w:rsidR="003F610D" w:rsidRPr="00626A7E" w:rsidRDefault="003915B0" w:rsidP="00FB2AD2">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 xml:space="preserve">The </w:t>
      </w:r>
      <w:r w:rsidR="00701F92" w:rsidRPr="00626A7E">
        <w:rPr>
          <w:rFonts w:ascii="Times New Roman" w:hAnsi="Times New Roman" w:cs="Times New Roman"/>
        </w:rPr>
        <w:t>concept of a</w:t>
      </w:r>
      <w:r w:rsidR="0036036B" w:rsidRPr="00626A7E">
        <w:rPr>
          <w:rFonts w:ascii="Times New Roman" w:hAnsi="Times New Roman" w:cs="Times New Roman"/>
        </w:rPr>
        <w:t xml:space="preserve"> </w:t>
      </w:r>
      <w:r w:rsidR="00A95C28" w:rsidRPr="00626A7E">
        <w:rPr>
          <w:rFonts w:ascii="Times New Roman" w:hAnsi="Times New Roman" w:cs="Times New Roman"/>
        </w:rPr>
        <w:t>National Investment Bank</w:t>
      </w:r>
      <w:r w:rsidR="0036036B" w:rsidRPr="00626A7E">
        <w:rPr>
          <w:rFonts w:ascii="Times New Roman" w:hAnsi="Times New Roman" w:cs="Times New Roman"/>
        </w:rPr>
        <w:t xml:space="preserve"> </w:t>
      </w:r>
      <w:r w:rsidR="00801337" w:rsidRPr="00626A7E">
        <w:rPr>
          <w:rFonts w:ascii="Times New Roman" w:hAnsi="Times New Roman" w:cs="Times New Roman"/>
        </w:rPr>
        <w:t>ha</w:t>
      </w:r>
      <w:r w:rsidR="009A005E" w:rsidRPr="00626A7E">
        <w:rPr>
          <w:rFonts w:ascii="Times New Roman" w:hAnsi="Times New Roman" w:cs="Times New Roman"/>
        </w:rPr>
        <w:t>s</w:t>
      </w:r>
      <w:r w:rsidR="00801337" w:rsidRPr="00626A7E">
        <w:rPr>
          <w:rFonts w:ascii="Times New Roman" w:hAnsi="Times New Roman" w:cs="Times New Roman"/>
        </w:rPr>
        <w:t xml:space="preserve"> a long</w:t>
      </w:r>
      <w:r w:rsidR="00701F92" w:rsidRPr="00626A7E">
        <w:rPr>
          <w:rFonts w:ascii="Times New Roman" w:hAnsi="Times New Roman" w:cs="Times New Roman"/>
        </w:rPr>
        <w:t xml:space="preserve"> term</w:t>
      </w:r>
      <w:r w:rsidR="00801337" w:rsidRPr="00626A7E">
        <w:rPr>
          <w:rFonts w:ascii="Times New Roman" w:hAnsi="Times New Roman" w:cs="Times New Roman"/>
        </w:rPr>
        <w:t xml:space="preserve"> pedigree</w:t>
      </w:r>
      <w:r w:rsidR="00C60C82" w:rsidRPr="00626A7E">
        <w:rPr>
          <w:rFonts w:ascii="Times New Roman" w:hAnsi="Times New Roman" w:cs="Times New Roman"/>
        </w:rPr>
        <w:t xml:space="preserve"> in </w:t>
      </w:r>
      <w:r w:rsidR="004A75E8" w:rsidRPr="00626A7E">
        <w:rPr>
          <w:rFonts w:ascii="Times New Roman" w:hAnsi="Times New Roman" w:cs="Times New Roman"/>
        </w:rPr>
        <w:t>Westminster</w:t>
      </w:r>
      <w:r w:rsidR="00C60C82" w:rsidRPr="00626A7E">
        <w:rPr>
          <w:rFonts w:ascii="Times New Roman" w:hAnsi="Times New Roman" w:cs="Times New Roman"/>
        </w:rPr>
        <w:t xml:space="preserve"> politics</w:t>
      </w:r>
      <w:r w:rsidR="0036036B" w:rsidRPr="00626A7E">
        <w:rPr>
          <w:rFonts w:ascii="Times New Roman" w:hAnsi="Times New Roman" w:cs="Times New Roman"/>
        </w:rPr>
        <w:t xml:space="preserve">. </w:t>
      </w:r>
      <w:r w:rsidR="000D6168" w:rsidRPr="00626A7E">
        <w:rPr>
          <w:rFonts w:ascii="Times New Roman" w:hAnsi="Times New Roman" w:cs="Times New Roman"/>
        </w:rPr>
        <w:t xml:space="preserve">In June </w:t>
      </w:r>
      <w:r w:rsidR="00F555B9" w:rsidRPr="00626A7E">
        <w:rPr>
          <w:rFonts w:ascii="Times New Roman" w:hAnsi="Times New Roman" w:cs="Times New Roman"/>
        </w:rPr>
        <w:t>1931,</w:t>
      </w:r>
      <w:r w:rsidR="000D6168" w:rsidRPr="00626A7E">
        <w:rPr>
          <w:rFonts w:ascii="Times New Roman" w:hAnsi="Times New Roman" w:cs="Times New Roman"/>
        </w:rPr>
        <w:t xml:space="preserve"> </w:t>
      </w:r>
      <w:r w:rsidR="0019044E" w:rsidRPr="00626A7E">
        <w:rPr>
          <w:rFonts w:ascii="Times New Roman" w:hAnsi="Times New Roman" w:cs="Times New Roman"/>
        </w:rPr>
        <w:t>the Macmillan Committee</w:t>
      </w:r>
      <w:r w:rsidR="000D6168" w:rsidRPr="00626A7E">
        <w:rPr>
          <w:rFonts w:ascii="Times New Roman" w:hAnsi="Times New Roman" w:cs="Times New Roman"/>
        </w:rPr>
        <w:t xml:space="preserve"> </w:t>
      </w:r>
      <w:r w:rsidR="0019044E" w:rsidRPr="00626A7E">
        <w:rPr>
          <w:rFonts w:ascii="Times New Roman" w:hAnsi="Times New Roman" w:cs="Times New Roman"/>
        </w:rPr>
        <w:t xml:space="preserve">proposed a number of interventions </w:t>
      </w:r>
      <w:r w:rsidR="00455658" w:rsidRPr="00626A7E">
        <w:rPr>
          <w:rFonts w:ascii="Times New Roman" w:hAnsi="Times New Roman" w:cs="Times New Roman"/>
        </w:rPr>
        <w:t>to heal British industry still</w:t>
      </w:r>
      <w:r w:rsidR="000D6168" w:rsidRPr="00626A7E">
        <w:rPr>
          <w:rFonts w:ascii="Times New Roman" w:hAnsi="Times New Roman" w:cs="Times New Roman"/>
        </w:rPr>
        <w:t xml:space="preserve"> </w:t>
      </w:r>
      <w:r w:rsidR="003669B7" w:rsidRPr="00626A7E">
        <w:rPr>
          <w:rFonts w:ascii="Times New Roman" w:hAnsi="Times New Roman" w:cs="Times New Roman"/>
        </w:rPr>
        <w:t>dealing with the immediate consequences</w:t>
      </w:r>
      <w:r w:rsidR="0019044E" w:rsidRPr="00626A7E">
        <w:rPr>
          <w:rFonts w:ascii="Times New Roman" w:hAnsi="Times New Roman" w:cs="Times New Roman"/>
        </w:rPr>
        <w:t xml:space="preserve"> of the Wall Street Crash.</w:t>
      </w:r>
      <w:r w:rsidR="00253D2B" w:rsidRPr="00626A7E">
        <w:rPr>
          <w:rFonts w:ascii="Times New Roman" w:hAnsi="Times New Roman" w:cs="Times New Roman"/>
        </w:rPr>
        <w:t xml:space="preserve"> </w:t>
      </w:r>
      <w:r w:rsidR="00455658" w:rsidRPr="00626A7E">
        <w:rPr>
          <w:rFonts w:ascii="Times New Roman" w:hAnsi="Times New Roman" w:cs="Times New Roman"/>
        </w:rPr>
        <w:t>Most famously, it identified</w:t>
      </w:r>
      <w:r w:rsidR="00253D2B" w:rsidRPr="00626A7E">
        <w:rPr>
          <w:rFonts w:ascii="Times New Roman" w:hAnsi="Times New Roman" w:cs="Times New Roman"/>
        </w:rPr>
        <w:t xml:space="preserve"> the so-called ‘</w:t>
      </w:r>
      <w:r w:rsidR="00DE03E5" w:rsidRPr="00626A7E">
        <w:rPr>
          <w:rFonts w:ascii="Times New Roman" w:hAnsi="Times New Roman" w:cs="Times New Roman"/>
        </w:rPr>
        <w:t>Macmillan Gap</w:t>
      </w:r>
      <w:r w:rsidR="00374948" w:rsidRPr="00626A7E">
        <w:rPr>
          <w:rFonts w:ascii="Times New Roman" w:hAnsi="Times New Roman" w:cs="Times New Roman"/>
        </w:rPr>
        <w:t>’</w:t>
      </w:r>
      <w:r w:rsidR="005F3F6E" w:rsidRPr="00626A7E">
        <w:rPr>
          <w:rFonts w:ascii="Times New Roman" w:hAnsi="Times New Roman" w:cs="Times New Roman"/>
        </w:rPr>
        <w:t xml:space="preserve"> – the situation where ‘great difficulty is experienced by the smaller and medium-size</w:t>
      </w:r>
      <w:r w:rsidR="00253D2B" w:rsidRPr="00626A7E">
        <w:rPr>
          <w:rFonts w:ascii="Times New Roman" w:hAnsi="Times New Roman" w:cs="Times New Roman"/>
        </w:rPr>
        <w:t>d businesses in raising capital [</w:t>
      </w:r>
      <w:r w:rsidR="004709A5" w:rsidRPr="00626A7E">
        <w:rPr>
          <w:rFonts w:ascii="Times New Roman" w:hAnsi="Times New Roman" w:cs="Times New Roman"/>
        </w:rPr>
        <w:t>at acceptable rates</w:t>
      </w:r>
      <w:r w:rsidR="00253D2B" w:rsidRPr="00626A7E">
        <w:rPr>
          <w:rFonts w:ascii="Times New Roman" w:hAnsi="Times New Roman" w:cs="Times New Roman"/>
        </w:rPr>
        <w:t>]</w:t>
      </w:r>
      <w:r w:rsidR="00455658" w:rsidRPr="00626A7E">
        <w:rPr>
          <w:rFonts w:ascii="Times New Roman" w:hAnsi="Times New Roman" w:cs="Times New Roman"/>
        </w:rPr>
        <w:t>.</w:t>
      </w:r>
      <w:r w:rsidR="00253D2B" w:rsidRPr="00626A7E">
        <w:rPr>
          <w:rFonts w:ascii="Times New Roman" w:hAnsi="Times New Roman" w:cs="Times New Roman"/>
        </w:rPr>
        <w:t>’</w:t>
      </w:r>
      <w:r w:rsidR="00455658" w:rsidRPr="00626A7E">
        <w:rPr>
          <w:rFonts w:ascii="Times New Roman" w:hAnsi="Times New Roman" w:cs="Times New Roman"/>
        </w:rPr>
        <w:t xml:space="preserve"> To get such credit flowing,</w:t>
      </w:r>
      <w:r w:rsidR="00303109" w:rsidRPr="00626A7E">
        <w:rPr>
          <w:rFonts w:ascii="Times New Roman" w:hAnsi="Times New Roman" w:cs="Times New Roman"/>
        </w:rPr>
        <w:t xml:space="preserve"> </w:t>
      </w:r>
      <w:r w:rsidR="000A4354" w:rsidRPr="00626A7E">
        <w:rPr>
          <w:rFonts w:ascii="Times New Roman" w:hAnsi="Times New Roman" w:cs="Times New Roman"/>
        </w:rPr>
        <w:t xml:space="preserve">the </w:t>
      </w:r>
      <w:r w:rsidR="001D609D" w:rsidRPr="00626A7E">
        <w:rPr>
          <w:rFonts w:ascii="Times New Roman" w:hAnsi="Times New Roman" w:cs="Times New Roman"/>
        </w:rPr>
        <w:t xml:space="preserve">committee proposed </w:t>
      </w:r>
      <w:r w:rsidR="004709A5" w:rsidRPr="00626A7E">
        <w:rPr>
          <w:rFonts w:ascii="Times New Roman" w:hAnsi="Times New Roman" w:cs="Times New Roman"/>
        </w:rPr>
        <w:t xml:space="preserve">the creation of </w:t>
      </w:r>
      <w:r w:rsidR="001D609D" w:rsidRPr="00626A7E">
        <w:rPr>
          <w:rFonts w:ascii="Times New Roman" w:hAnsi="Times New Roman" w:cs="Times New Roman"/>
        </w:rPr>
        <w:t>a new ‘institution acting as an intermediary between industry and investor</w:t>
      </w:r>
      <w:r w:rsidR="004709A5" w:rsidRPr="00626A7E">
        <w:rPr>
          <w:rFonts w:ascii="Times New Roman" w:hAnsi="Times New Roman" w:cs="Times New Roman"/>
        </w:rPr>
        <w:t>…to provide adequate machinery for raising long-dated capital.</w:t>
      </w:r>
      <w:r w:rsidR="001D609D" w:rsidRPr="00626A7E">
        <w:rPr>
          <w:rFonts w:ascii="Times New Roman" w:hAnsi="Times New Roman" w:cs="Times New Roman"/>
        </w:rPr>
        <w:t>’</w:t>
      </w:r>
      <w:r w:rsidR="001D609D" w:rsidRPr="00626A7E">
        <w:rPr>
          <w:rStyle w:val="FootnoteReference"/>
          <w:rFonts w:ascii="Times New Roman" w:hAnsi="Times New Roman" w:cs="Times New Roman"/>
        </w:rPr>
        <w:footnoteReference w:id="17"/>
      </w:r>
      <w:r w:rsidR="004709A5" w:rsidRPr="00626A7E">
        <w:rPr>
          <w:rFonts w:ascii="Times New Roman" w:hAnsi="Times New Roman" w:cs="Times New Roman"/>
        </w:rPr>
        <w:t xml:space="preserve"> </w:t>
      </w:r>
      <w:r w:rsidR="00253D2B" w:rsidRPr="00626A7E">
        <w:rPr>
          <w:rFonts w:ascii="Times New Roman" w:hAnsi="Times New Roman" w:cs="Times New Roman"/>
        </w:rPr>
        <w:t xml:space="preserve"> </w:t>
      </w:r>
      <w:r w:rsidR="004709A5" w:rsidRPr="00626A7E">
        <w:rPr>
          <w:rFonts w:ascii="Times New Roman" w:hAnsi="Times New Roman" w:cs="Times New Roman"/>
        </w:rPr>
        <w:t xml:space="preserve">Members of the committee disagreed as to whether this new institution should be </w:t>
      </w:r>
      <w:r w:rsidR="00A1288E" w:rsidRPr="00626A7E">
        <w:rPr>
          <w:rFonts w:ascii="Times New Roman" w:hAnsi="Times New Roman" w:cs="Times New Roman"/>
        </w:rPr>
        <w:t xml:space="preserve">publically owned </w:t>
      </w:r>
      <w:r w:rsidR="004709A5" w:rsidRPr="00626A7E">
        <w:rPr>
          <w:rFonts w:ascii="Times New Roman" w:hAnsi="Times New Roman" w:cs="Times New Roman"/>
        </w:rPr>
        <w:t xml:space="preserve">(Ernest Bevin </w:t>
      </w:r>
      <w:r w:rsidR="00253D2B" w:rsidRPr="00626A7E">
        <w:rPr>
          <w:rFonts w:ascii="Times New Roman" w:hAnsi="Times New Roman" w:cs="Times New Roman"/>
        </w:rPr>
        <w:t xml:space="preserve">was </w:t>
      </w:r>
      <w:r w:rsidR="004709A5" w:rsidRPr="00626A7E">
        <w:rPr>
          <w:rFonts w:ascii="Times New Roman" w:hAnsi="Times New Roman" w:cs="Times New Roman"/>
        </w:rPr>
        <w:t xml:space="preserve">very much in favour), but </w:t>
      </w:r>
      <w:r w:rsidR="003669B7" w:rsidRPr="00626A7E">
        <w:rPr>
          <w:rFonts w:ascii="Times New Roman" w:hAnsi="Times New Roman" w:cs="Times New Roman"/>
        </w:rPr>
        <w:t xml:space="preserve">the need for </w:t>
      </w:r>
      <w:r w:rsidR="004709A5" w:rsidRPr="00626A7E">
        <w:rPr>
          <w:rFonts w:ascii="Times New Roman" w:hAnsi="Times New Roman" w:cs="Times New Roman"/>
        </w:rPr>
        <w:t xml:space="preserve">some form of de facto bank </w:t>
      </w:r>
      <w:r w:rsidR="00253D2B" w:rsidRPr="00626A7E">
        <w:rPr>
          <w:rFonts w:ascii="Times New Roman" w:hAnsi="Times New Roman" w:cs="Times New Roman"/>
        </w:rPr>
        <w:t>to bridge the gap between businesses which needed to borrow to expand (or even just survive)</w:t>
      </w:r>
      <w:r w:rsidR="00690CB3" w:rsidRPr="00626A7E">
        <w:rPr>
          <w:rFonts w:ascii="Times New Roman" w:hAnsi="Times New Roman" w:cs="Times New Roman"/>
        </w:rPr>
        <w:t>,</w:t>
      </w:r>
      <w:r w:rsidR="00253D2B" w:rsidRPr="00626A7E">
        <w:rPr>
          <w:rFonts w:ascii="Times New Roman" w:hAnsi="Times New Roman" w:cs="Times New Roman"/>
        </w:rPr>
        <w:t xml:space="preserve"> and the </w:t>
      </w:r>
      <w:r w:rsidR="003669B7" w:rsidRPr="00626A7E">
        <w:rPr>
          <w:rFonts w:ascii="Times New Roman" w:hAnsi="Times New Roman" w:cs="Times New Roman"/>
        </w:rPr>
        <w:t>low rates that would encourage them to take on such risk was</w:t>
      </w:r>
      <w:r w:rsidR="00253D2B" w:rsidRPr="00626A7E">
        <w:rPr>
          <w:rFonts w:ascii="Times New Roman" w:hAnsi="Times New Roman" w:cs="Times New Roman"/>
        </w:rPr>
        <w:t xml:space="preserve"> </w:t>
      </w:r>
      <w:r w:rsidR="00690CB3" w:rsidRPr="00626A7E">
        <w:rPr>
          <w:rFonts w:ascii="Times New Roman" w:hAnsi="Times New Roman" w:cs="Times New Roman"/>
        </w:rPr>
        <w:t xml:space="preserve">readily </w:t>
      </w:r>
      <w:r w:rsidR="00253D2B" w:rsidRPr="00626A7E">
        <w:rPr>
          <w:rFonts w:ascii="Times New Roman" w:hAnsi="Times New Roman" w:cs="Times New Roman"/>
        </w:rPr>
        <w:t>acknowledged.</w:t>
      </w:r>
      <w:r w:rsidR="00935411" w:rsidRPr="00626A7E">
        <w:rPr>
          <w:rFonts w:ascii="Times New Roman" w:hAnsi="Times New Roman" w:cs="Times New Roman"/>
        </w:rPr>
        <w:t xml:space="preserve"> The major commercial institutions simply were not doing the job on their own.</w:t>
      </w:r>
    </w:p>
    <w:p w14:paraId="05446CA2" w14:textId="77777777" w:rsidR="00A57EF9" w:rsidRPr="00626A7E" w:rsidRDefault="00A57EF9" w:rsidP="00FB2AD2">
      <w:pPr>
        <w:widowControl w:val="0"/>
        <w:autoSpaceDE w:val="0"/>
        <w:autoSpaceDN w:val="0"/>
        <w:adjustRightInd w:val="0"/>
        <w:spacing w:line="360" w:lineRule="auto"/>
        <w:jc w:val="both"/>
        <w:rPr>
          <w:rFonts w:ascii="Times New Roman" w:hAnsi="Times New Roman" w:cs="Times New Roman"/>
        </w:rPr>
      </w:pPr>
    </w:p>
    <w:p w14:paraId="4061542B" w14:textId="7CBD3266" w:rsidR="00BD4E6E" w:rsidRPr="00626A7E" w:rsidRDefault="00B71613"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A</w:t>
      </w:r>
      <w:r w:rsidR="00D744F2" w:rsidRPr="00626A7E">
        <w:rPr>
          <w:rFonts w:ascii="Times New Roman" w:hAnsi="Times New Roman" w:cs="Times New Roman"/>
        </w:rPr>
        <w:t xml:space="preserve">fter some </w:t>
      </w:r>
      <w:r w:rsidR="00922C07" w:rsidRPr="00626A7E">
        <w:rPr>
          <w:rFonts w:ascii="Times New Roman" w:hAnsi="Times New Roman" w:cs="Times New Roman"/>
        </w:rPr>
        <w:t xml:space="preserve">wartime </w:t>
      </w:r>
      <w:r w:rsidR="00D744F2" w:rsidRPr="00626A7E">
        <w:rPr>
          <w:rFonts w:ascii="Times New Roman" w:hAnsi="Times New Roman" w:cs="Times New Roman"/>
        </w:rPr>
        <w:t xml:space="preserve">back and forth between </w:t>
      </w:r>
      <w:r w:rsidR="003E1308" w:rsidRPr="00626A7E">
        <w:rPr>
          <w:rFonts w:ascii="Times New Roman" w:hAnsi="Times New Roman" w:cs="Times New Roman"/>
        </w:rPr>
        <w:t>T</w:t>
      </w:r>
      <w:r w:rsidR="00D744F2" w:rsidRPr="00626A7E">
        <w:rPr>
          <w:rFonts w:ascii="Times New Roman" w:hAnsi="Times New Roman" w:cs="Times New Roman"/>
        </w:rPr>
        <w:t>reasury and Board of Trade departments,</w:t>
      </w:r>
      <w:r w:rsidR="003E1308" w:rsidRPr="00626A7E">
        <w:rPr>
          <w:rFonts w:ascii="Times New Roman" w:hAnsi="Times New Roman" w:cs="Times New Roman"/>
        </w:rPr>
        <w:t xml:space="preserve"> </w:t>
      </w:r>
      <w:r w:rsidR="00922C07" w:rsidRPr="00626A7E">
        <w:rPr>
          <w:rFonts w:ascii="Times New Roman" w:hAnsi="Times New Roman" w:cs="Times New Roman"/>
        </w:rPr>
        <w:t xml:space="preserve">one of the less high profile achievements of </w:t>
      </w:r>
      <w:r w:rsidR="00BD4E6E" w:rsidRPr="00626A7E">
        <w:rPr>
          <w:rFonts w:ascii="Times New Roman" w:hAnsi="Times New Roman" w:cs="Times New Roman"/>
        </w:rPr>
        <w:t xml:space="preserve">Attlee’s </w:t>
      </w:r>
      <w:r w:rsidR="00922C07" w:rsidRPr="00626A7E">
        <w:rPr>
          <w:rFonts w:ascii="Times New Roman" w:hAnsi="Times New Roman" w:cs="Times New Roman"/>
        </w:rPr>
        <w:t>New Jerusalem was to create</w:t>
      </w:r>
      <w:r w:rsidR="003E1308" w:rsidRPr="00626A7E">
        <w:rPr>
          <w:rFonts w:ascii="Times New Roman" w:hAnsi="Times New Roman" w:cs="Times New Roman"/>
        </w:rPr>
        <w:t xml:space="preserve"> two</w:t>
      </w:r>
      <w:r w:rsidR="00BD4E6E" w:rsidRPr="00626A7E">
        <w:rPr>
          <w:rFonts w:ascii="Times New Roman" w:hAnsi="Times New Roman" w:cs="Times New Roman"/>
        </w:rPr>
        <w:t xml:space="preserve"> institutions designed to </w:t>
      </w:r>
      <w:r w:rsidR="00A2249C" w:rsidRPr="00626A7E">
        <w:rPr>
          <w:rFonts w:ascii="Times New Roman" w:hAnsi="Times New Roman" w:cs="Times New Roman"/>
        </w:rPr>
        <w:t>deliver just this</w:t>
      </w:r>
      <w:r w:rsidR="00BD4E6E" w:rsidRPr="00626A7E">
        <w:rPr>
          <w:rFonts w:ascii="Times New Roman" w:hAnsi="Times New Roman" w:cs="Times New Roman"/>
        </w:rPr>
        <w:t xml:space="preserve">. </w:t>
      </w:r>
      <w:r w:rsidR="002F3C71" w:rsidRPr="00626A7E">
        <w:rPr>
          <w:rFonts w:ascii="Times New Roman" w:hAnsi="Times New Roman" w:cs="Times New Roman"/>
        </w:rPr>
        <w:t xml:space="preserve">This was not a trend unique to the UK – </w:t>
      </w:r>
      <w:r w:rsidR="004C2CBA" w:rsidRPr="00626A7E">
        <w:rPr>
          <w:rFonts w:ascii="Times New Roman" w:hAnsi="Times New Roman" w:cs="Times New Roman"/>
        </w:rPr>
        <w:t>the Dutch</w:t>
      </w:r>
      <w:r w:rsidR="002F3C71" w:rsidRPr="00626A7E">
        <w:rPr>
          <w:rFonts w:ascii="Times New Roman" w:hAnsi="Times New Roman" w:cs="Times New Roman"/>
        </w:rPr>
        <w:t xml:space="preserve"> Nationale Investeringsbank (1945) and </w:t>
      </w:r>
      <w:r w:rsidR="004C2CBA" w:rsidRPr="00626A7E">
        <w:rPr>
          <w:rFonts w:ascii="Times New Roman" w:hAnsi="Times New Roman" w:cs="Times New Roman"/>
        </w:rPr>
        <w:t>German</w:t>
      </w:r>
      <w:r w:rsidR="002F3C71" w:rsidRPr="00626A7E">
        <w:rPr>
          <w:rFonts w:ascii="Times New Roman" w:hAnsi="Times New Roman" w:cs="Times New Roman"/>
        </w:rPr>
        <w:t xml:space="preserve"> Kreditanstalt für Wiederaufbau (KfW, 1948) were amongst several European bodies f</w:t>
      </w:r>
      <w:r w:rsidR="00BD49A1" w:rsidRPr="00626A7E">
        <w:rPr>
          <w:rFonts w:ascii="Times New Roman" w:hAnsi="Times New Roman" w:cs="Times New Roman"/>
        </w:rPr>
        <w:t>ormed to address similar market failures</w:t>
      </w:r>
      <w:r w:rsidR="002F3C71" w:rsidRPr="00626A7E">
        <w:rPr>
          <w:rFonts w:ascii="Times New Roman" w:hAnsi="Times New Roman" w:cs="Times New Roman"/>
        </w:rPr>
        <w:t xml:space="preserve">. </w:t>
      </w:r>
      <w:r w:rsidR="00BC13CE" w:rsidRPr="00626A7E">
        <w:rPr>
          <w:rFonts w:ascii="Times New Roman" w:hAnsi="Times New Roman" w:cs="Times New Roman"/>
        </w:rPr>
        <w:t>As for</w:t>
      </w:r>
      <w:r w:rsidR="002F3C71" w:rsidRPr="00626A7E">
        <w:rPr>
          <w:rFonts w:ascii="Times New Roman" w:hAnsi="Times New Roman" w:cs="Times New Roman"/>
        </w:rPr>
        <w:t xml:space="preserve"> Britain</w:t>
      </w:r>
      <w:r w:rsidR="00AE5D59" w:rsidRPr="00626A7E">
        <w:rPr>
          <w:rFonts w:ascii="Times New Roman" w:hAnsi="Times New Roman" w:cs="Times New Roman"/>
        </w:rPr>
        <w:t>, the</w:t>
      </w:r>
      <w:r w:rsidR="009075EB" w:rsidRPr="00626A7E">
        <w:rPr>
          <w:rFonts w:ascii="Times New Roman" w:hAnsi="Times New Roman" w:cs="Times New Roman"/>
        </w:rPr>
        <w:t xml:space="preserve"> new</w:t>
      </w:r>
      <w:r w:rsidR="00AE5D59" w:rsidRPr="00626A7E">
        <w:rPr>
          <w:rFonts w:ascii="Times New Roman" w:hAnsi="Times New Roman" w:cs="Times New Roman"/>
        </w:rPr>
        <w:t xml:space="preserve"> Finance Corporation for Industry (FCI) </w:t>
      </w:r>
      <w:r w:rsidR="00E2656D" w:rsidRPr="00626A7E">
        <w:rPr>
          <w:rFonts w:ascii="Times New Roman" w:hAnsi="Times New Roman" w:cs="Times New Roman"/>
        </w:rPr>
        <w:t>sought</w:t>
      </w:r>
      <w:r w:rsidR="003E1308" w:rsidRPr="00626A7E">
        <w:rPr>
          <w:rFonts w:ascii="Times New Roman" w:hAnsi="Times New Roman" w:cs="Times New Roman"/>
        </w:rPr>
        <w:t xml:space="preserve"> ‘</w:t>
      </w:r>
      <w:r w:rsidR="00AE5D59" w:rsidRPr="00626A7E">
        <w:rPr>
          <w:rFonts w:ascii="Times New Roman" w:hAnsi="Times New Roman" w:cs="Times New Roman"/>
        </w:rPr>
        <w:t xml:space="preserve">to </w:t>
      </w:r>
      <w:r w:rsidR="003E1308" w:rsidRPr="00626A7E">
        <w:rPr>
          <w:rFonts w:ascii="Times New Roman" w:hAnsi="Times New Roman" w:cs="Times New Roman"/>
        </w:rPr>
        <w:t>provide finance for large scale long-term investments, aimed at industry wide rationalization.’</w:t>
      </w:r>
      <w:r w:rsidR="003E1308" w:rsidRPr="00626A7E">
        <w:rPr>
          <w:rStyle w:val="FootnoteReference"/>
          <w:rFonts w:ascii="Times New Roman" w:hAnsi="Times New Roman" w:cs="Times New Roman"/>
        </w:rPr>
        <w:footnoteReference w:id="18"/>
      </w:r>
      <w:r w:rsidR="00AE5D59" w:rsidRPr="00626A7E">
        <w:rPr>
          <w:rFonts w:ascii="Times New Roman" w:hAnsi="Times New Roman" w:cs="Times New Roman"/>
        </w:rPr>
        <w:t xml:space="preserve"> Medium term loans were provided where ‘finance could not be obtained on reasonable terms elsewhere, and where the ‘national interest’ was served.’</w:t>
      </w:r>
      <w:r w:rsidR="00AE5D59" w:rsidRPr="00626A7E">
        <w:rPr>
          <w:rStyle w:val="FootnoteReference"/>
          <w:rFonts w:ascii="Times New Roman" w:hAnsi="Times New Roman" w:cs="Times New Roman"/>
        </w:rPr>
        <w:footnoteReference w:id="19"/>
      </w:r>
      <w:r w:rsidR="00B326CA" w:rsidRPr="00626A7E">
        <w:rPr>
          <w:rFonts w:ascii="Times New Roman" w:hAnsi="Times New Roman" w:cs="Times New Roman"/>
        </w:rPr>
        <w:t xml:space="preserve"> By the late 1970s </w:t>
      </w:r>
      <w:r w:rsidR="00737519" w:rsidRPr="00626A7E">
        <w:rPr>
          <w:rFonts w:ascii="Times New Roman" w:hAnsi="Times New Roman" w:cs="Times New Roman"/>
        </w:rPr>
        <w:t>over</w:t>
      </w:r>
      <w:r w:rsidR="00AE5D59" w:rsidRPr="00626A7E">
        <w:rPr>
          <w:rFonts w:ascii="Times New Roman" w:hAnsi="Times New Roman" w:cs="Times New Roman"/>
        </w:rPr>
        <w:t xml:space="preserve"> £240m of</w:t>
      </w:r>
      <w:r w:rsidR="00737519" w:rsidRPr="00626A7E">
        <w:rPr>
          <w:rFonts w:ascii="Times New Roman" w:hAnsi="Times New Roman" w:cs="Times New Roman"/>
        </w:rPr>
        <w:t xml:space="preserve"> such</w:t>
      </w:r>
      <w:r w:rsidR="00AE5D59" w:rsidRPr="00626A7E">
        <w:rPr>
          <w:rFonts w:ascii="Times New Roman" w:hAnsi="Times New Roman" w:cs="Times New Roman"/>
        </w:rPr>
        <w:t xml:space="preserve"> </w:t>
      </w:r>
      <w:r w:rsidR="003040CA" w:rsidRPr="00626A7E">
        <w:rPr>
          <w:rFonts w:ascii="Times New Roman" w:hAnsi="Times New Roman" w:cs="Times New Roman"/>
        </w:rPr>
        <w:t>loans</w:t>
      </w:r>
      <w:r w:rsidR="00737519" w:rsidRPr="00626A7E">
        <w:rPr>
          <w:rFonts w:ascii="Times New Roman" w:hAnsi="Times New Roman" w:cs="Times New Roman"/>
        </w:rPr>
        <w:t xml:space="preserve"> were in operation</w:t>
      </w:r>
      <w:r w:rsidR="00AE5D59" w:rsidRPr="00626A7E">
        <w:rPr>
          <w:rFonts w:ascii="Times New Roman" w:hAnsi="Times New Roman" w:cs="Times New Roman"/>
        </w:rPr>
        <w:t>. Alongsi</w:t>
      </w:r>
      <w:r w:rsidR="00EA4B01" w:rsidRPr="00626A7E">
        <w:rPr>
          <w:rFonts w:ascii="Times New Roman" w:hAnsi="Times New Roman" w:cs="Times New Roman"/>
        </w:rPr>
        <w:t xml:space="preserve">de this larger institution, an </w:t>
      </w:r>
      <w:r w:rsidR="00AE5D59" w:rsidRPr="00626A7E">
        <w:rPr>
          <w:rFonts w:ascii="Times New Roman" w:hAnsi="Times New Roman" w:cs="Times New Roman"/>
        </w:rPr>
        <w:t>Industrial and Commercial Finance Corporation</w:t>
      </w:r>
      <w:r w:rsidR="00EA4B01" w:rsidRPr="00626A7E">
        <w:rPr>
          <w:rFonts w:ascii="Times New Roman" w:hAnsi="Times New Roman" w:cs="Times New Roman"/>
        </w:rPr>
        <w:t xml:space="preserve"> (ICFC)</w:t>
      </w:r>
      <w:r w:rsidR="00AE5D59" w:rsidRPr="00626A7E">
        <w:rPr>
          <w:rFonts w:ascii="Times New Roman" w:hAnsi="Times New Roman" w:cs="Times New Roman"/>
        </w:rPr>
        <w:t xml:space="preserve"> was </w:t>
      </w:r>
      <w:r w:rsidR="00EA4B01" w:rsidRPr="00626A7E">
        <w:rPr>
          <w:rFonts w:ascii="Times New Roman" w:hAnsi="Times New Roman" w:cs="Times New Roman"/>
        </w:rPr>
        <w:t xml:space="preserve">also </w:t>
      </w:r>
      <w:r w:rsidR="00AE5D59" w:rsidRPr="00626A7E">
        <w:rPr>
          <w:rFonts w:ascii="Times New Roman" w:hAnsi="Times New Roman" w:cs="Times New Roman"/>
        </w:rPr>
        <w:t>set up</w:t>
      </w:r>
      <w:r w:rsidR="00731F40" w:rsidRPr="00626A7E">
        <w:rPr>
          <w:rFonts w:ascii="Times New Roman" w:hAnsi="Times New Roman" w:cs="Times New Roman"/>
        </w:rPr>
        <w:t xml:space="preserve"> in 1945</w:t>
      </w:r>
      <w:r w:rsidR="00AE5D59" w:rsidRPr="00626A7E">
        <w:rPr>
          <w:rFonts w:ascii="Times New Roman" w:hAnsi="Times New Roman" w:cs="Times New Roman"/>
        </w:rPr>
        <w:t xml:space="preserve"> to provide finance for smaller and medium sized concerns.</w:t>
      </w:r>
      <w:r w:rsidR="000D3154" w:rsidRPr="00626A7E">
        <w:rPr>
          <w:rFonts w:ascii="Times New Roman" w:hAnsi="Times New Roman" w:cs="Times New Roman"/>
        </w:rPr>
        <w:t xml:space="preserve"> This</w:t>
      </w:r>
      <w:r w:rsidR="00B978A5" w:rsidRPr="00626A7E">
        <w:rPr>
          <w:rFonts w:ascii="Times New Roman" w:hAnsi="Times New Roman" w:cs="Times New Roman"/>
        </w:rPr>
        <w:t xml:space="preserve"> latter body</w:t>
      </w:r>
      <w:r w:rsidR="000D3154" w:rsidRPr="00626A7E">
        <w:rPr>
          <w:rFonts w:ascii="Times New Roman" w:hAnsi="Times New Roman" w:cs="Times New Roman"/>
        </w:rPr>
        <w:t xml:space="preserve"> intended to plug a huge gap</w:t>
      </w:r>
      <w:r w:rsidR="00106974" w:rsidRPr="00626A7E">
        <w:rPr>
          <w:rFonts w:ascii="Times New Roman" w:hAnsi="Times New Roman" w:cs="Times New Roman"/>
        </w:rPr>
        <w:t xml:space="preserve"> </w:t>
      </w:r>
      <w:r w:rsidR="000D3154" w:rsidRPr="00626A7E">
        <w:rPr>
          <w:rFonts w:ascii="Times New Roman" w:hAnsi="Times New Roman" w:cs="Times New Roman"/>
        </w:rPr>
        <w:t>between the level at which ordinary co</w:t>
      </w:r>
      <w:r w:rsidR="008B63A5" w:rsidRPr="00626A7E">
        <w:rPr>
          <w:rFonts w:ascii="Times New Roman" w:hAnsi="Times New Roman" w:cs="Times New Roman"/>
        </w:rPr>
        <w:t>mmercial banks stopped lending</w:t>
      </w:r>
      <w:r w:rsidR="00463AD4" w:rsidRPr="00626A7E">
        <w:rPr>
          <w:rFonts w:ascii="Times New Roman" w:hAnsi="Times New Roman" w:cs="Times New Roman"/>
        </w:rPr>
        <w:t xml:space="preserve"> to smaller firms</w:t>
      </w:r>
      <w:r w:rsidR="008B63A5" w:rsidRPr="00626A7E">
        <w:rPr>
          <w:rFonts w:ascii="Times New Roman" w:hAnsi="Times New Roman" w:cs="Times New Roman"/>
        </w:rPr>
        <w:t xml:space="preserve"> </w:t>
      </w:r>
      <w:r w:rsidR="008907EC" w:rsidRPr="00626A7E">
        <w:rPr>
          <w:rFonts w:ascii="Times New Roman" w:hAnsi="Times New Roman" w:cs="Times New Roman"/>
        </w:rPr>
        <w:t xml:space="preserve">and </w:t>
      </w:r>
      <w:r w:rsidR="000D3154" w:rsidRPr="00626A7E">
        <w:rPr>
          <w:rFonts w:ascii="Times New Roman" w:hAnsi="Times New Roman" w:cs="Times New Roman"/>
        </w:rPr>
        <w:t xml:space="preserve">the </w:t>
      </w:r>
      <w:r w:rsidR="00463AD4" w:rsidRPr="00626A7E">
        <w:rPr>
          <w:rFonts w:ascii="Times New Roman" w:hAnsi="Times New Roman" w:cs="Times New Roman"/>
        </w:rPr>
        <w:t xml:space="preserve">point at which the </w:t>
      </w:r>
      <w:r w:rsidR="000D3154" w:rsidRPr="00626A7E">
        <w:rPr>
          <w:rFonts w:ascii="Times New Roman" w:hAnsi="Times New Roman" w:cs="Times New Roman"/>
        </w:rPr>
        <w:t>big capital markets became seriously intereste</w:t>
      </w:r>
      <w:r w:rsidR="008B63A5" w:rsidRPr="00626A7E">
        <w:rPr>
          <w:rFonts w:ascii="Times New Roman" w:hAnsi="Times New Roman" w:cs="Times New Roman"/>
        </w:rPr>
        <w:t>d</w:t>
      </w:r>
      <w:r w:rsidR="008907EC" w:rsidRPr="00626A7E">
        <w:rPr>
          <w:rFonts w:ascii="Times New Roman" w:hAnsi="Times New Roman" w:cs="Times New Roman"/>
        </w:rPr>
        <w:t xml:space="preserve"> in providing finance</w:t>
      </w:r>
      <w:r w:rsidR="000D3154" w:rsidRPr="00626A7E">
        <w:rPr>
          <w:rFonts w:ascii="Times New Roman" w:hAnsi="Times New Roman" w:cs="Times New Roman"/>
        </w:rPr>
        <w:t>.</w:t>
      </w:r>
      <w:r w:rsidR="00106974" w:rsidRPr="00626A7E">
        <w:rPr>
          <w:rFonts w:ascii="Times New Roman" w:hAnsi="Times New Roman" w:cs="Times New Roman"/>
        </w:rPr>
        <w:t xml:space="preserve"> </w:t>
      </w:r>
      <w:r w:rsidR="006F798D" w:rsidRPr="00626A7E">
        <w:rPr>
          <w:rFonts w:ascii="Times New Roman" w:hAnsi="Times New Roman" w:cs="Times New Roman"/>
        </w:rPr>
        <w:t>In the end, t</w:t>
      </w:r>
      <w:r w:rsidR="00106974" w:rsidRPr="00626A7E">
        <w:rPr>
          <w:rFonts w:ascii="Times New Roman" w:hAnsi="Times New Roman" w:cs="Times New Roman"/>
        </w:rPr>
        <w:t>he FCI and the ICFC</w:t>
      </w:r>
      <w:r w:rsidR="003768A3" w:rsidRPr="00626A7E">
        <w:rPr>
          <w:rFonts w:ascii="Times New Roman" w:hAnsi="Times New Roman" w:cs="Times New Roman"/>
        </w:rPr>
        <w:t xml:space="preserve"> would merge in 1973 to form Finance for Industry</w:t>
      </w:r>
      <w:r w:rsidR="002968D3" w:rsidRPr="00626A7E">
        <w:rPr>
          <w:rFonts w:ascii="Times New Roman" w:hAnsi="Times New Roman" w:cs="Times New Roman"/>
        </w:rPr>
        <w:t xml:space="preserve"> (FFI</w:t>
      </w:r>
      <w:r w:rsidR="006E2EE4" w:rsidRPr="00626A7E">
        <w:rPr>
          <w:rFonts w:ascii="Times New Roman" w:hAnsi="Times New Roman" w:cs="Times New Roman"/>
        </w:rPr>
        <w:t xml:space="preserve">, later </w:t>
      </w:r>
      <w:r w:rsidR="0080215B" w:rsidRPr="00626A7E">
        <w:rPr>
          <w:rFonts w:ascii="Times New Roman" w:hAnsi="Times New Roman" w:cs="Times New Roman"/>
        </w:rPr>
        <w:t xml:space="preserve">called </w:t>
      </w:r>
      <w:r w:rsidR="006E2EE4" w:rsidRPr="00626A7E">
        <w:rPr>
          <w:rFonts w:ascii="Times New Roman" w:hAnsi="Times New Roman" w:cs="Times New Roman"/>
        </w:rPr>
        <w:t>3i</w:t>
      </w:r>
      <w:r w:rsidR="002968D3" w:rsidRPr="00626A7E">
        <w:rPr>
          <w:rFonts w:ascii="Times New Roman" w:hAnsi="Times New Roman" w:cs="Times New Roman"/>
        </w:rPr>
        <w:t>)</w:t>
      </w:r>
      <w:r w:rsidR="003768A3" w:rsidRPr="00626A7E">
        <w:rPr>
          <w:rFonts w:ascii="Times New Roman" w:hAnsi="Times New Roman" w:cs="Times New Roman"/>
        </w:rPr>
        <w:t xml:space="preserve">, eventually </w:t>
      </w:r>
      <w:r w:rsidR="00352042" w:rsidRPr="00626A7E">
        <w:rPr>
          <w:rFonts w:ascii="Times New Roman" w:hAnsi="Times New Roman" w:cs="Times New Roman"/>
        </w:rPr>
        <w:t xml:space="preserve">privatised </w:t>
      </w:r>
      <w:r w:rsidR="003768A3" w:rsidRPr="00626A7E">
        <w:rPr>
          <w:rFonts w:ascii="Times New Roman" w:hAnsi="Times New Roman" w:cs="Times New Roman"/>
        </w:rPr>
        <w:t>in the 1990s.</w:t>
      </w:r>
    </w:p>
    <w:p w14:paraId="17B0E057" w14:textId="77777777" w:rsidR="00A57EF9" w:rsidRPr="00626A7E" w:rsidRDefault="00A57EF9" w:rsidP="00BD4E6E">
      <w:pPr>
        <w:widowControl w:val="0"/>
        <w:autoSpaceDE w:val="0"/>
        <w:autoSpaceDN w:val="0"/>
        <w:adjustRightInd w:val="0"/>
        <w:spacing w:line="360" w:lineRule="auto"/>
        <w:jc w:val="both"/>
        <w:rPr>
          <w:rFonts w:ascii="Times New Roman" w:hAnsi="Times New Roman" w:cs="Times New Roman"/>
        </w:rPr>
      </w:pPr>
    </w:p>
    <w:p w14:paraId="5F91EB3F" w14:textId="72814CC4" w:rsidR="00A80C7B" w:rsidRDefault="00672CD9"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These institutions performed useful</w:t>
      </w:r>
      <w:r w:rsidR="0040296B" w:rsidRPr="00626A7E">
        <w:rPr>
          <w:rFonts w:ascii="Times New Roman" w:hAnsi="Times New Roman" w:cs="Times New Roman"/>
        </w:rPr>
        <w:t>ly</w:t>
      </w:r>
      <w:r w:rsidR="00A57EF9" w:rsidRPr="00626A7E">
        <w:rPr>
          <w:rFonts w:ascii="Times New Roman" w:hAnsi="Times New Roman" w:cs="Times New Roman"/>
        </w:rPr>
        <w:t xml:space="preserve"> but</w:t>
      </w:r>
      <w:r w:rsidR="002B204C" w:rsidRPr="00626A7E">
        <w:rPr>
          <w:rFonts w:ascii="Times New Roman" w:hAnsi="Times New Roman" w:cs="Times New Roman"/>
        </w:rPr>
        <w:t xml:space="preserve"> </w:t>
      </w:r>
      <w:r w:rsidR="00C77F13" w:rsidRPr="00626A7E">
        <w:rPr>
          <w:rFonts w:ascii="Times New Roman" w:hAnsi="Times New Roman" w:cs="Times New Roman"/>
        </w:rPr>
        <w:t xml:space="preserve">were always </w:t>
      </w:r>
      <w:r w:rsidR="002B204C" w:rsidRPr="00626A7E">
        <w:rPr>
          <w:rFonts w:ascii="Times New Roman" w:hAnsi="Times New Roman" w:cs="Times New Roman"/>
        </w:rPr>
        <w:t xml:space="preserve">ultimately </w:t>
      </w:r>
      <w:r w:rsidR="00C77F13" w:rsidRPr="00626A7E">
        <w:rPr>
          <w:rFonts w:ascii="Times New Roman" w:hAnsi="Times New Roman" w:cs="Times New Roman"/>
        </w:rPr>
        <w:t>hamstrung</w:t>
      </w:r>
      <w:r w:rsidR="00A57EF9" w:rsidRPr="00626A7E">
        <w:rPr>
          <w:rFonts w:ascii="Times New Roman" w:hAnsi="Times New Roman" w:cs="Times New Roman"/>
        </w:rPr>
        <w:t xml:space="preserve">. Firstly, they were set up as an offshoot of the Bank of England to act as an instrument subordinate to the major </w:t>
      </w:r>
      <w:r w:rsidR="008B63A5" w:rsidRPr="00626A7E">
        <w:rPr>
          <w:rFonts w:ascii="Times New Roman" w:hAnsi="Times New Roman" w:cs="Times New Roman"/>
        </w:rPr>
        <w:t xml:space="preserve">commercial </w:t>
      </w:r>
      <w:r w:rsidR="00A57EF9" w:rsidRPr="00626A7E">
        <w:rPr>
          <w:rFonts w:ascii="Times New Roman" w:hAnsi="Times New Roman" w:cs="Times New Roman"/>
        </w:rPr>
        <w:t xml:space="preserve">clearing banks. Indeed, according to Chris Lonsdale, </w:t>
      </w:r>
      <w:r w:rsidR="0080106F" w:rsidRPr="00626A7E">
        <w:rPr>
          <w:rFonts w:ascii="Times New Roman" w:hAnsi="Times New Roman" w:cs="Times New Roman"/>
        </w:rPr>
        <w:t xml:space="preserve">many in the commercial banking sector saw </w:t>
      </w:r>
      <w:r w:rsidR="00A57EF9" w:rsidRPr="00626A7E">
        <w:rPr>
          <w:rFonts w:ascii="Times New Roman" w:hAnsi="Times New Roman" w:cs="Times New Roman"/>
        </w:rPr>
        <w:t xml:space="preserve">the </w:t>
      </w:r>
      <w:r w:rsidR="00902771" w:rsidRPr="00626A7E">
        <w:rPr>
          <w:rFonts w:ascii="Times New Roman" w:hAnsi="Times New Roman" w:cs="Times New Roman"/>
        </w:rPr>
        <w:t xml:space="preserve">small business focused </w:t>
      </w:r>
      <w:r w:rsidR="0080106F" w:rsidRPr="00626A7E">
        <w:rPr>
          <w:rFonts w:ascii="Times New Roman" w:hAnsi="Times New Roman" w:cs="Times New Roman"/>
        </w:rPr>
        <w:t>ICFC as</w:t>
      </w:r>
      <w:r w:rsidR="00A57EF9" w:rsidRPr="00626A7E">
        <w:rPr>
          <w:rFonts w:ascii="Times New Roman" w:hAnsi="Times New Roman" w:cs="Times New Roman"/>
        </w:rPr>
        <w:t xml:space="preserve"> but ‘a necessary evil to prevent Labour’s original hopes for a </w:t>
      </w:r>
      <w:r w:rsidR="00A605EF" w:rsidRPr="00626A7E">
        <w:rPr>
          <w:rFonts w:ascii="Times New Roman" w:hAnsi="Times New Roman" w:cs="Times New Roman"/>
        </w:rPr>
        <w:t>fully-fledged</w:t>
      </w:r>
      <w:r w:rsidR="00A57EF9" w:rsidRPr="00626A7E">
        <w:rPr>
          <w:rFonts w:ascii="Times New Roman" w:hAnsi="Times New Roman" w:cs="Times New Roman"/>
        </w:rPr>
        <w:t xml:space="preserve"> national investment bank.’</w:t>
      </w:r>
      <w:r w:rsidR="002908E4" w:rsidRPr="00626A7E">
        <w:rPr>
          <w:rStyle w:val="FootnoteReference"/>
          <w:rFonts w:ascii="Times New Roman" w:hAnsi="Times New Roman" w:cs="Times New Roman"/>
        </w:rPr>
        <w:footnoteReference w:id="20"/>
      </w:r>
      <w:r w:rsidR="00A57EF9" w:rsidRPr="00626A7E">
        <w:rPr>
          <w:rFonts w:ascii="Times New Roman" w:hAnsi="Times New Roman" w:cs="Times New Roman"/>
        </w:rPr>
        <w:t xml:space="preserve"> </w:t>
      </w:r>
      <w:r w:rsidR="00154BEC" w:rsidRPr="00626A7E">
        <w:rPr>
          <w:rFonts w:ascii="Times New Roman" w:hAnsi="Times New Roman" w:cs="Times New Roman"/>
        </w:rPr>
        <w:t>Equally, a</w:t>
      </w:r>
      <w:r w:rsidR="002908E4" w:rsidRPr="00626A7E">
        <w:rPr>
          <w:rFonts w:ascii="Times New Roman" w:hAnsi="Times New Roman" w:cs="Times New Roman"/>
        </w:rPr>
        <w:t>s Richard Coopey notes, the major banks were only persuaded to provide funds for the new institution on the grounds that they could then significantly influence its direction.</w:t>
      </w:r>
      <w:r w:rsidR="002908E4" w:rsidRPr="00626A7E">
        <w:rPr>
          <w:rStyle w:val="FootnoteReference"/>
          <w:rFonts w:ascii="Times New Roman" w:hAnsi="Times New Roman" w:cs="Times New Roman"/>
        </w:rPr>
        <w:footnoteReference w:id="21"/>
      </w:r>
      <w:r w:rsidR="002908E4" w:rsidRPr="00626A7E">
        <w:rPr>
          <w:rFonts w:ascii="Times New Roman" w:hAnsi="Times New Roman" w:cs="Times New Roman"/>
        </w:rPr>
        <w:t xml:space="preserve"> </w:t>
      </w:r>
      <w:r w:rsidR="00982C9D" w:rsidRPr="00626A7E">
        <w:rPr>
          <w:rFonts w:ascii="Times New Roman" w:hAnsi="Times New Roman" w:cs="Times New Roman"/>
        </w:rPr>
        <w:t xml:space="preserve">Relations were scarcely better with </w:t>
      </w:r>
      <w:r w:rsidR="00A55B00" w:rsidRPr="00626A7E">
        <w:rPr>
          <w:rFonts w:ascii="Times New Roman" w:hAnsi="Times New Roman" w:cs="Times New Roman"/>
        </w:rPr>
        <w:t>the</w:t>
      </w:r>
      <w:r w:rsidR="00982C9D" w:rsidRPr="00626A7E">
        <w:rPr>
          <w:rFonts w:ascii="Times New Roman" w:hAnsi="Times New Roman" w:cs="Times New Roman"/>
        </w:rPr>
        <w:t xml:space="preserve"> Bank of </w:t>
      </w:r>
      <w:r w:rsidR="00AB6F7E" w:rsidRPr="00626A7E">
        <w:rPr>
          <w:rFonts w:ascii="Times New Roman" w:hAnsi="Times New Roman" w:cs="Times New Roman"/>
        </w:rPr>
        <w:t>England, which</w:t>
      </w:r>
      <w:r w:rsidR="00A55B00" w:rsidRPr="00626A7E">
        <w:rPr>
          <w:rFonts w:ascii="Times New Roman" w:hAnsi="Times New Roman" w:cs="Times New Roman"/>
        </w:rPr>
        <w:t xml:space="preserve"> </w:t>
      </w:r>
      <w:r w:rsidR="00982C9D" w:rsidRPr="00626A7E">
        <w:rPr>
          <w:rFonts w:ascii="Times New Roman" w:hAnsi="Times New Roman" w:cs="Times New Roman"/>
        </w:rPr>
        <w:t xml:space="preserve">explicitly opposed the ICFC and FCI being used for any ‘political’ purposes such as increased investment in the regions. </w:t>
      </w:r>
      <w:r w:rsidR="008B63A5" w:rsidRPr="00626A7E">
        <w:rPr>
          <w:rFonts w:ascii="Times New Roman" w:hAnsi="Times New Roman" w:cs="Times New Roman"/>
        </w:rPr>
        <w:t xml:space="preserve">Advances </w:t>
      </w:r>
      <w:r w:rsidR="00F53F34" w:rsidRPr="00626A7E">
        <w:rPr>
          <w:rFonts w:ascii="Times New Roman" w:hAnsi="Times New Roman" w:cs="Times New Roman"/>
        </w:rPr>
        <w:t xml:space="preserve">of sorts </w:t>
      </w:r>
      <w:r w:rsidR="008B63A5" w:rsidRPr="00626A7E">
        <w:rPr>
          <w:rFonts w:ascii="Times New Roman" w:hAnsi="Times New Roman" w:cs="Times New Roman"/>
        </w:rPr>
        <w:t>did come</w:t>
      </w:r>
      <w:r w:rsidR="00F37609" w:rsidRPr="00626A7E">
        <w:rPr>
          <w:rFonts w:ascii="Times New Roman" w:hAnsi="Times New Roman" w:cs="Times New Roman"/>
        </w:rPr>
        <w:t xml:space="preserve"> over time</w:t>
      </w:r>
      <w:r w:rsidR="008B63A5" w:rsidRPr="00626A7E">
        <w:rPr>
          <w:rFonts w:ascii="Times New Roman" w:hAnsi="Times New Roman" w:cs="Times New Roman"/>
        </w:rPr>
        <w:t xml:space="preserve"> </w:t>
      </w:r>
      <w:r w:rsidR="00AB6F7E">
        <w:rPr>
          <w:rFonts w:ascii="Times New Roman" w:hAnsi="Times New Roman" w:cs="Times New Roman"/>
        </w:rPr>
        <w:t>–</w:t>
      </w:r>
      <w:r w:rsidR="008B63A5" w:rsidRPr="00626A7E">
        <w:rPr>
          <w:rFonts w:ascii="Times New Roman" w:hAnsi="Times New Roman" w:cs="Times New Roman"/>
        </w:rPr>
        <w:t xml:space="preserve"> f</w:t>
      </w:r>
      <w:r w:rsidR="004F2368" w:rsidRPr="00626A7E">
        <w:rPr>
          <w:rFonts w:ascii="Times New Roman" w:hAnsi="Times New Roman" w:cs="Times New Roman"/>
        </w:rPr>
        <w:t>rom 1959 the ICFC</w:t>
      </w:r>
      <w:r w:rsidR="00A57EF9" w:rsidRPr="00626A7E">
        <w:rPr>
          <w:rFonts w:ascii="Times New Roman" w:hAnsi="Times New Roman" w:cs="Times New Roman"/>
        </w:rPr>
        <w:t xml:space="preserve"> was able to raise its own capital throug</w:t>
      </w:r>
      <w:r w:rsidR="001E7DEC" w:rsidRPr="00626A7E">
        <w:rPr>
          <w:rFonts w:ascii="Times New Roman" w:hAnsi="Times New Roman" w:cs="Times New Roman"/>
        </w:rPr>
        <w:t xml:space="preserve">h bond and stock issues </w:t>
      </w:r>
      <w:r w:rsidR="00AB6F7E">
        <w:rPr>
          <w:rFonts w:ascii="Times New Roman" w:hAnsi="Times New Roman" w:cs="Times New Roman"/>
        </w:rPr>
        <w:t>–</w:t>
      </w:r>
      <w:r w:rsidR="00982C9D" w:rsidRPr="00626A7E">
        <w:rPr>
          <w:rFonts w:ascii="Times New Roman" w:hAnsi="Times New Roman" w:cs="Times New Roman"/>
        </w:rPr>
        <w:t xml:space="preserve"> but these </w:t>
      </w:r>
      <w:r w:rsidR="005B1FCD" w:rsidRPr="00626A7E">
        <w:rPr>
          <w:rFonts w:ascii="Times New Roman" w:hAnsi="Times New Roman" w:cs="Times New Roman"/>
        </w:rPr>
        <w:t>served to solidify</w:t>
      </w:r>
      <w:r w:rsidR="00A57EF9" w:rsidRPr="00626A7E">
        <w:rPr>
          <w:rFonts w:ascii="Times New Roman" w:hAnsi="Times New Roman" w:cs="Times New Roman"/>
        </w:rPr>
        <w:t xml:space="preserve"> </w:t>
      </w:r>
      <w:r w:rsidR="004F2368" w:rsidRPr="00626A7E">
        <w:rPr>
          <w:rFonts w:ascii="Times New Roman" w:hAnsi="Times New Roman" w:cs="Times New Roman"/>
        </w:rPr>
        <w:t xml:space="preserve">the already de facto independence from the state. Even before merger and later privatisation, the ICFC was </w:t>
      </w:r>
      <w:r w:rsidR="002E40D7" w:rsidRPr="00626A7E">
        <w:rPr>
          <w:rFonts w:ascii="Times New Roman" w:hAnsi="Times New Roman" w:cs="Times New Roman"/>
        </w:rPr>
        <w:t xml:space="preserve">a </w:t>
      </w:r>
      <w:r w:rsidR="004F2368" w:rsidRPr="00626A7E">
        <w:rPr>
          <w:rFonts w:ascii="Times New Roman" w:hAnsi="Times New Roman" w:cs="Times New Roman"/>
        </w:rPr>
        <w:t xml:space="preserve">more </w:t>
      </w:r>
      <w:r w:rsidR="002E40D7" w:rsidRPr="00626A7E">
        <w:rPr>
          <w:rFonts w:ascii="Times New Roman" w:hAnsi="Times New Roman" w:cs="Times New Roman"/>
        </w:rPr>
        <w:t xml:space="preserve">or less </w:t>
      </w:r>
      <w:r w:rsidR="004F2368" w:rsidRPr="00626A7E">
        <w:rPr>
          <w:rFonts w:ascii="Times New Roman" w:hAnsi="Times New Roman" w:cs="Times New Roman"/>
        </w:rPr>
        <w:t xml:space="preserve">completely </w:t>
      </w:r>
      <w:r w:rsidR="00AB6F7E" w:rsidRPr="00626A7E">
        <w:rPr>
          <w:rFonts w:ascii="Times New Roman" w:hAnsi="Times New Roman" w:cs="Times New Roman"/>
        </w:rPr>
        <w:t>self-directing</w:t>
      </w:r>
      <w:r w:rsidR="004F2368" w:rsidRPr="00626A7E">
        <w:rPr>
          <w:rFonts w:ascii="Times New Roman" w:hAnsi="Times New Roman" w:cs="Times New Roman"/>
        </w:rPr>
        <w:t xml:space="preserve"> institution acting in its own commercial interest – which</w:t>
      </w:r>
      <w:r w:rsidR="00016A09" w:rsidRPr="00626A7E">
        <w:rPr>
          <w:rFonts w:ascii="Times New Roman" w:hAnsi="Times New Roman" w:cs="Times New Roman"/>
        </w:rPr>
        <w:t xml:space="preserve">, with the various economic </w:t>
      </w:r>
      <w:r w:rsidR="00016A09" w:rsidRPr="00626A7E">
        <w:rPr>
          <w:rFonts w:ascii="Times New Roman" w:hAnsi="Times New Roman" w:cs="Times New Roman"/>
        </w:rPr>
        <w:lastRenderedPageBreak/>
        <w:t xml:space="preserve">travails seen in the 1970s, </w:t>
      </w:r>
      <w:r w:rsidR="004F2368" w:rsidRPr="00626A7E">
        <w:rPr>
          <w:rFonts w:ascii="Times New Roman" w:hAnsi="Times New Roman" w:cs="Times New Roman"/>
        </w:rPr>
        <w:t xml:space="preserve">nudged them </w:t>
      </w:r>
      <w:r w:rsidR="00D5310F" w:rsidRPr="00626A7E">
        <w:rPr>
          <w:rFonts w:ascii="Times New Roman" w:hAnsi="Times New Roman" w:cs="Times New Roman"/>
        </w:rPr>
        <w:t xml:space="preserve">further </w:t>
      </w:r>
      <w:r w:rsidR="004F2368" w:rsidRPr="00626A7E">
        <w:rPr>
          <w:rFonts w:ascii="Times New Roman" w:hAnsi="Times New Roman" w:cs="Times New Roman"/>
        </w:rPr>
        <w:t>towards short term ‘wins’ and away fro</w:t>
      </w:r>
      <w:r w:rsidR="008B63A5" w:rsidRPr="00626A7E">
        <w:rPr>
          <w:rFonts w:ascii="Times New Roman" w:hAnsi="Times New Roman" w:cs="Times New Roman"/>
        </w:rPr>
        <w:t xml:space="preserve">m its </w:t>
      </w:r>
      <w:r w:rsidR="009A3AE5" w:rsidRPr="00626A7E">
        <w:rPr>
          <w:rFonts w:ascii="Times New Roman" w:hAnsi="Times New Roman" w:cs="Times New Roman"/>
        </w:rPr>
        <w:t>original</w:t>
      </w:r>
      <w:r w:rsidR="008B63A5" w:rsidRPr="00626A7E">
        <w:rPr>
          <w:rFonts w:ascii="Times New Roman" w:hAnsi="Times New Roman" w:cs="Times New Roman"/>
        </w:rPr>
        <w:t xml:space="preserve"> </w:t>
      </w:r>
      <w:r w:rsidR="00016A09" w:rsidRPr="00626A7E">
        <w:rPr>
          <w:rFonts w:ascii="Times New Roman" w:hAnsi="Times New Roman" w:cs="Times New Roman"/>
        </w:rPr>
        <w:t xml:space="preserve">rationale. </w:t>
      </w:r>
      <w:r w:rsidR="00154C04" w:rsidRPr="00626A7E">
        <w:rPr>
          <w:rFonts w:ascii="Times New Roman" w:hAnsi="Times New Roman" w:cs="Times New Roman"/>
        </w:rPr>
        <w:t xml:space="preserve">By the </w:t>
      </w:r>
      <w:r w:rsidR="00C57661" w:rsidRPr="00626A7E">
        <w:rPr>
          <w:rFonts w:ascii="Times New Roman" w:hAnsi="Times New Roman" w:cs="Times New Roman"/>
        </w:rPr>
        <w:t>mid-1980s</w:t>
      </w:r>
      <w:r w:rsidR="00154C04" w:rsidRPr="00626A7E">
        <w:rPr>
          <w:rFonts w:ascii="Times New Roman" w:hAnsi="Times New Roman" w:cs="Times New Roman"/>
        </w:rPr>
        <w:t xml:space="preserve"> </w:t>
      </w:r>
      <w:r w:rsidR="00413EBE" w:rsidRPr="00626A7E">
        <w:rPr>
          <w:rFonts w:ascii="Times New Roman" w:hAnsi="Times New Roman" w:cs="Times New Roman"/>
        </w:rPr>
        <w:t>the then merged 3i</w:t>
      </w:r>
      <w:r w:rsidR="00A80C7B" w:rsidRPr="00626A7E">
        <w:rPr>
          <w:rFonts w:ascii="Times New Roman" w:hAnsi="Times New Roman" w:cs="Times New Roman"/>
        </w:rPr>
        <w:t xml:space="preserve"> was making less th</w:t>
      </w:r>
      <w:r w:rsidR="002D1E3D" w:rsidRPr="00626A7E">
        <w:rPr>
          <w:rFonts w:ascii="Times New Roman" w:hAnsi="Times New Roman" w:cs="Times New Roman"/>
        </w:rPr>
        <w:t xml:space="preserve">an a thousand new loans a year – </w:t>
      </w:r>
      <w:r w:rsidR="000F203B" w:rsidRPr="00626A7E">
        <w:rPr>
          <w:rFonts w:ascii="Times New Roman" w:hAnsi="Times New Roman" w:cs="Times New Roman"/>
        </w:rPr>
        <w:t xml:space="preserve">dwarfed by the over 20,000 such deals then brokered by </w:t>
      </w:r>
      <w:r w:rsidR="00961B7C" w:rsidRPr="00626A7E">
        <w:rPr>
          <w:rFonts w:ascii="Times New Roman" w:hAnsi="Times New Roman" w:cs="Times New Roman"/>
        </w:rPr>
        <w:t>the</w:t>
      </w:r>
      <w:r w:rsidR="000F203B" w:rsidRPr="00626A7E">
        <w:rPr>
          <w:rFonts w:ascii="Times New Roman" w:hAnsi="Times New Roman" w:cs="Times New Roman"/>
        </w:rPr>
        <w:t xml:space="preserve"> German</w:t>
      </w:r>
      <w:r w:rsidR="00961B7C" w:rsidRPr="00626A7E">
        <w:rPr>
          <w:rFonts w:ascii="Times New Roman" w:hAnsi="Times New Roman" w:cs="Times New Roman"/>
        </w:rPr>
        <w:t xml:space="preserve"> Kf</w:t>
      </w:r>
      <w:r w:rsidR="00C03FDF" w:rsidRPr="00626A7E">
        <w:rPr>
          <w:rFonts w:ascii="Times New Roman" w:hAnsi="Times New Roman" w:cs="Times New Roman"/>
        </w:rPr>
        <w:t>W</w:t>
      </w:r>
      <w:r w:rsidR="00FE37E5" w:rsidRPr="00626A7E">
        <w:rPr>
          <w:rFonts w:ascii="Times New Roman" w:hAnsi="Times New Roman" w:cs="Times New Roman"/>
        </w:rPr>
        <w:t xml:space="preserve"> equivalent</w:t>
      </w:r>
      <w:r w:rsidR="00C03FDF" w:rsidRPr="00626A7E">
        <w:rPr>
          <w:rFonts w:ascii="Times New Roman" w:hAnsi="Times New Roman" w:cs="Times New Roman"/>
        </w:rPr>
        <w:t>.</w:t>
      </w:r>
      <w:r w:rsidR="00B663A7" w:rsidRPr="00626A7E">
        <w:rPr>
          <w:rFonts w:ascii="Times New Roman" w:hAnsi="Times New Roman" w:cs="Times New Roman"/>
        </w:rPr>
        <w:t xml:space="preserve"> In a further twist, </w:t>
      </w:r>
      <w:r w:rsidR="00291ECD" w:rsidRPr="00626A7E">
        <w:rPr>
          <w:rFonts w:ascii="Times New Roman" w:hAnsi="Times New Roman" w:cs="Times New Roman"/>
        </w:rPr>
        <w:t xml:space="preserve">by the 1980s </w:t>
      </w:r>
      <w:r w:rsidR="00B663A7" w:rsidRPr="00626A7E">
        <w:rPr>
          <w:rFonts w:ascii="Times New Roman" w:hAnsi="Times New Roman" w:cs="Times New Roman"/>
        </w:rPr>
        <w:t>3i</w:t>
      </w:r>
      <w:r w:rsidR="00E14824" w:rsidRPr="00626A7E">
        <w:rPr>
          <w:rFonts w:ascii="Times New Roman" w:hAnsi="Times New Roman" w:cs="Times New Roman"/>
        </w:rPr>
        <w:t xml:space="preserve"> would be</w:t>
      </w:r>
      <w:r w:rsidR="00B663A7" w:rsidRPr="00626A7E">
        <w:rPr>
          <w:rFonts w:ascii="Times New Roman" w:hAnsi="Times New Roman" w:cs="Times New Roman"/>
        </w:rPr>
        <w:t xml:space="preserve"> in the bizarre situation of having some of its </w:t>
      </w:r>
      <w:r w:rsidR="00036652" w:rsidRPr="00626A7E">
        <w:rPr>
          <w:rFonts w:ascii="Times New Roman" w:hAnsi="Times New Roman" w:cs="Times New Roman"/>
        </w:rPr>
        <w:t xml:space="preserve">limited </w:t>
      </w:r>
      <w:r w:rsidR="00B663A7" w:rsidRPr="00626A7E">
        <w:rPr>
          <w:rFonts w:ascii="Times New Roman" w:hAnsi="Times New Roman" w:cs="Times New Roman"/>
        </w:rPr>
        <w:t xml:space="preserve">lending guaranteed by a </w:t>
      </w:r>
      <w:r w:rsidR="00B663A7" w:rsidRPr="00626A7E">
        <w:rPr>
          <w:rFonts w:ascii="Times New Roman" w:hAnsi="Times New Roman" w:cs="Times New Roman"/>
          <w:i/>
        </w:rPr>
        <w:t>European</w:t>
      </w:r>
      <w:r w:rsidR="00B663A7" w:rsidRPr="00626A7E">
        <w:rPr>
          <w:rFonts w:ascii="Times New Roman" w:hAnsi="Times New Roman" w:cs="Times New Roman"/>
        </w:rPr>
        <w:t xml:space="preserve"> Investment Bank on whose board sat a </w:t>
      </w:r>
      <w:r w:rsidR="00E14824" w:rsidRPr="00626A7E">
        <w:rPr>
          <w:rFonts w:ascii="Times New Roman" w:hAnsi="Times New Roman" w:cs="Times New Roman"/>
        </w:rPr>
        <w:t xml:space="preserve">British </w:t>
      </w:r>
      <w:r w:rsidR="00B663A7" w:rsidRPr="00626A7E">
        <w:rPr>
          <w:rFonts w:ascii="Times New Roman" w:hAnsi="Times New Roman" w:cs="Times New Roman"/>
        </w:rPr>
        <w:t xml:space="preserve">Chancellor arguing a </w:t>
      </w:r>
      <w:r w:rsidR="00B663A7" w:rsidRPr="00626A7E">
        <w:rPr>
          <w:rFonts w:ascii="Times New Roman" w:hAnsi="Times New Roman" w:cs="Times New Roman"/>
          <w:i/>
        </w:rPr>
        <w:t>National</w:t>
      </w:r>
      <w:r w:rsidR="00B663A7" w:rsidRPr="00626A7E">
        <w:rPr>
          <w:rFonts w:ascii="Times New Roman" w:hAnsi="Times New Roman" w:cs="Times New Roman"/>
        </w:rPr>
        <w:t xml:space="preserve"> Investment Bank was the road to ruin.</w:t>
      </w:r>
    </w:p>
    <w:p w14:paraId="6B58EBC8" w14:textId="77777777" w:rsidR="00C31042" w:rsidRPr="00626A7E" w:rsidRDefault="00C31042" w:rsidP="00BD4E6E">
      <w:pPr>
        <w:widowControl w:val="0"/>
        <w:autoSpaceDE w:val="0"/>
        <w:autoSpaceDN w:val="0"/>
        <w:adjustRightInd w:val="0"/>
        <w:spacing w:line="360" w:lineRule="auto"/>
        <w:jc w:val="both"/>
        <w:rPr>
          <w:rFonts w:ascii="Times New Roman" w:hAnsi="Times New Roman" w:cs="Times New Roman"/>
        </w:rPr>
      </w:pPr>
    </w:p>
    <w:p w14:paraId="00D12222" w14:textId="149CE728" w:rsidR="00BA04C5" w:rsidRPr="00C31042" w:rsidRDefault="00115AB8" w:rsidP="00045A6A">
      <w:pPr>
        <w:widowControl w:val="0"/>
        <w:autoSpaceDE w:val="0"/>
        <w:autoSpaceDN w:val="0"/>
        <w:adjustRightInd w:val="0"/>
        <w:spacing w:line="360" w:lineRule="auto"/>
        <w:jc w:val="both"/>
        <w:outlineLvl w:val="0"/>
        <w:rPr>
          <w:rFonts w:ascii="Times New Roman" w:hAnsi="Times New Roman" w:cs="Times New Roman"/>
          <w:b/>
        </w:rPr>
      </w:pPr>
      <w:r w:rsidRPr="00C31042">
        <w:rPr>
          <w:rFonts w:ascii="Times New Roman" w:hAnsi="Times New Roman" w:cs="Times New Roman"/>
          <w:b/>
        </w:rPr>
        <w:t xml:space="preserve">The impact of </w:t>
      </w:r>
      <w:r w:rsidR="00BA04C5" w:rsidRPr="00C31042">
        <w:rPr>
          <w:rFonts w:ascii="Times New Roman" w:hAnsi="Times New Roman" w:cs="Times New Roman"/>
          <w:b/>
        </w:rPr>
        <w:t xml:space="preserve">Tony Benn </w:t>
      </w:r>
    </w:p>
    <w:p w14:paraId="72172E71" w14:textId="5E2DEAB3" w:rsidR="00BA04C5" w:rsidRPr="00626A7E" w:rsidRDefault="00E522FC" w:rsidP="00BA04C5">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The truncated FFI/3i</w:t>
      </w:r>
      <w:r w:rsidR="00ED78AF" w:rsidRPr="00626A7E">
        <w:rPr>
          <w:rFonts w:ascii="Times New Roman" w:hAnsi="Times New Roman" w:cs="Times New Roman"/>
        </w:rPr>
        <w:t xml:space="preserve"> was not the only institution backers of a NIB had to contend with</w:t>
      </w:r>
      <w:r w:rsidR="006658C2" w:rsidRPr="00626A7E">
        <w:rPr>
          <w:rFonts w:ascii="Times New Roman" w:hAnsi="Times New Roman" w:cs="Times New Roman"/>
        </w:rPr>
        <w:t xml:space="preserve">. </w:t>
      </w:r>
      <w:r w:rsidR="00D12AB4" w:rsidRPr="00626A7E">
        <w:rPr>
          <w:rFonts w:ascii="Times New Roman" w:hAnsi="Times New Roman" w:cs="Times New Roman"/>
        </w:rPr>
        <w:t xml:space="preserve">Despite most commentators acknowledging the presence of a continued </w:t>
      </w:r>
      <w:r w:rsidR="00DE03E5" w:rsidRPr="00626A7E">
        <w:rPr>
          <w:rFonts w:ascii="Times New Roman" w:hAnsi="Times New Roman" w:cs="Times New Roman"/>
        </w:rPr>
        <w:t>Macmillan Gap</w:t>
      </w:r>
      <w:r w:rsidR="00050A6F" w:rsidRPr="00626A7E">
        <w:rPr>
          <w:rFonts w:ascii="Times New Roman" w:hAnsi="Times New Roman" w:cs="Times New Roman"/>
        </w:rPr>
        <w:t xml:space="preserve"> holding back British i</w:t>
      </w:r>
      <w:r w:rsidR="00D12AB4" w:rsidRPr="00626A7E">
        <w:rPr>
          <w:rFonts w:ascii="Times New Roman" w:hAnsi="Times New Roman" w:cs="Times New Roman"/>
        </w:rPr>
        <w:t>ndustry</w:t>
      </w:r>
      <w:r w:rsidR="00050A6F" w:rsidRPr="00626A7E">
        <w:rPr>
          <w:rFonts w:ascii="Times New Roman" w:hAnsi="Times New Roman" w:cs="Times New Roman"/>
        </w:rPr>
        <w:t xml:space="preserve"> (</w:t>
      </w:r>
      <w:r w:rsidR="00EF307A" w:rsidRPr="00626A7E">
        <w:rPr>
          <w:rFonts w:ascii="Times New Roman" w:hAnsi="Times New Roman" w:cs="Times New Roman"/>
        </w:rPr>
        <w:t>blunting</w:t>
      </w:r>
      <w:r w:rsidR="00050A6F" w:rsidRPr="00626A7E">
        <w:rPr>
          <w:rFonts w:ascii="Times New Roman" w:hAnsi="Times New Roman" w:cs="Times New Roman"/>
        </w:rPr>
        <w:t xml:space="preserve"> the </w:t>
      </w:r>
      <w:r w:rsidR="00EF307A" w:rsidRPr="00626A7E">
        <w:rPr>
          <w:rFonts w:ascii="Times New Roman" w:hAnsi="Times New Roman" w:cs="Times New Roman"/>
        </w:rPr>
        <w:t xml:space="preserve">intended </w:t>
      </w:r>
      <w:r w:rsidR="00050A6F" w:rsidRPr="00626A7E">
        <w:rPr>
          <w:rFonts w:ascii="Times New Roman" w:hAnsi="Times New Roman" w:cs="Times New Roman"/>
        </w:rPr>
        <w:t>‘White Heat’</w:t>
      </w:r>
      <w:r w:rsidR="00EF307A" w:rsidRPr="00626A7E">
        <w:rPr>
          <w:rFonts w:ascii="Times New Roman" w:hAnsi="Times New Roman" w:cs="Times New Roman"/>
        </w:rPr>
        <w:t xml:space="preserve"> of t</w:t>
      </w:r>
      <w:r w:rsidR="00050A6F" w:rsidRPr="00626A7E">
        <w:rPr>
          <w:rFonts w:ascii="Times New Roman" w:hAnsi="Times New Roman" w:cs="Times New Roman"/>
        </w:rPr>
        <w:t>echnological revolution</w:t>
      </w:r>
      <w:r w:rsidR="00541C0E" w:rsidRPr="00626A7E">
        <w:rPr>
          <w:rFonts w:ascii="Times New Roman" w:hAnsi="Times New Roman" w:cs="Times New Roman"/>
        </w:rPr>
        <w:t xml:space="preserve"> in the 1960s</w:t>
      </w:r>
      <w:r w:rsidR="00050A6F" w:rsidRPr="00626A7E">
        <w:rPr>
          <w:rFonts w:ascii="Times New Roman" w:hAnsi="Times New Roman" w:cs="Times New Roman"/>
        </w:rPr>
        <w:t>)</w:t>
      </w:r>
      <w:r w:rsidR="00D12AB4" w:rsidRPr="00626A7E">
        <w:rPr>
          <w:rFonts w:ascii="Times New Roman" w:hAnsi="Times New Roman" w:cs="Times New Roman"/>
        </w:rPr>
        <w:t>, the recent experience of government’s launching arms-length schemes to suit pol</w:t>
      </w:r>
      <w:r w:rsidR="00D130EB" w:rsidRPr="00626A7E">
        <w:rPr>
          <w:rFonts w:ascii="Times New Roman" w:hAnsi="Times New Roman" w:cs="Times New Roman"/>
        </w:rPr>
        <w:t xml:space="preserve">itical ends was not without </w:t>
      </w:r>
      <w:r w:rsidR="001114E8" w:rsidRPr="00626A7E">
        <w:rPr>
          <w:rFonts w:ascii="Times New Roman" w:hAnsi="Times New Roman" w:cs="Times New Roman"/>
        </w:rPr>
        <w:t>issue</w:t>
      </w:r>
      <w:r w:rsidR="00D12AB4" w:rsidRPr="00626A7E">
        <w:rPr>
          <w:rFonts w:ascii="Times New Roman" w:hAnsi="Times New Roman" w:cs="Times New Roman"/>
        </w:rPr>
        <w:t xml:space="preserve">. </w:t>
      </w:r>
      <w:r w:rsidR="00FB57C3" w:rsidRPr="00626A7E">
        <w:rPr>
          <w:rFonts w:ascii="Times New Roman" w:hAnsi="Times New Roman" w:cs="Times New Roman"/>
        </w:rPr>
        <w:t>I</w:t>
      </w:r>
      <w:r w:rsidR="00BA04C5" w:rsidRPr="00626A7E">
        <w:rPr>
          <w:rFonts w:ascii="Times New Roman" w:hAnsi="Times New Roman" w:cs="Times New Roman"/>
        </w:rPr>
        <w:t xml:space="preserve">n </w:t>
      </w:r>
      <w:r w:rsidR="00E97CB9" w:rsidRPr="00626A7E">
        <w:rPr>
          <w:rFonts w:ascii="Times New Roman" w:hAnsi="Times New Roman" w:cs="Times New Roman"/>
        </w:rPr>
        <w:t>1975,</w:t>
      </w:r>
      <w:r w:rsidR="00BA04C5" w:rsidRPr="00626A7E">
        <w:rPr>
          <w:rFonts w:ascii="Times New Roman" w:hAnsi="Times New Roman" w:cs="Times New Roman"/>
        </w:rPr>
        <w:t xml:space="preserve"> the Wilson government passed an Industry Act mandating the creation of a new state owned National Enterprise Board (NEB). As envisaged by its architect Tony Benn, the aim of the new NEB was to acquire a stake in major manufacturing firms – enabling the government to exercise influence over said firms’ activities and deliver a return to the exchequer if, as expected, such investments proved profitable. </w:t>
      </w:r>
      <w:r w:rsidR="003669B7" w:rsidRPr="00626A7E">
        <w:rPr>
          <w:rFonts w:ascii="Times New Roman" w:hAnsi="Times New Roman" w:cs="Times New Roman"/>
        </w:rPr>
        <w:t xml:space="preserve">A 1974 </w:t>
      </w:r>
      <w:r w:rsidR="00BA04C5" w:rsidRPr="00626A7E">
        <w:rPr>
          <w:rFonts w:ascii="Times New Roman" w:hAnsi="Times New Roman" w:cs="Times New Roman"/>
        </w:rPr>
        <w:t xml:space="preserve">Cabinet memorandum made clear its interventionist aim to ameliorate the </w:t>
      </w:r>
      <w:r w:rsidR="006921E4" w:rsidRPr="00626A7E">
        <w:rPr>
          <w:rFonts w:ascii="Times New Roman" w:hAnsi="Times New Roman" w:cs="Times New Roman"/>
        </w:rPr>
        <w:t xml:space="preserve">cyclical </w:t>
      </w:r>
      <w:r w:rsidR="00BA04C5" w:rsidRPr="00626A7E">
        <w:rPr>
          <w:rFonts w:ascii="Times New Roman" w:hAnsi="Times New Roman" w:cs="Times New Roman"/>
        </w:rPr>
        <w:t>effects of capitalism: the NEB should ‘secure where necessary large scale sustained investment to offset the effects of the short term pull of market forces…and [provide] an instrument through which the government operate directly to create employment in areas of high unemployment.’</w:t>
      </w:r>
      <w:r w:rsidR="00BA04C5" w:rsidRPr="00626A7E">
        <w:rPr>
          <w:rStyle w:val="FootnoteReference"/>
          <w:rFonts w:ascii="Times New Roman" w:hAnsi="Times New Roman" w:cs="Times New Roman"/>
        </w:rPr>
        <w:footnoteReference w:id="22"/>
      </w:r>
    </w:p>
    <w:p w14:paraId="7E5D98D0" w14:textId="77777777" w:rsidR="00BA04C5" w:rsidRPr="00626A7E" w:rsidRDefault="00BA04C5" w:rsidP="00BA04C5">
      <w:pPr>
        <w:widowControl w:val="0"/>
        <w:autoSpaceDE w:val="0"/>
        <w:autoSpaceDN w:val="0"/>
        <w:adjustRightInd w:val="0"/>
        <w:spacing w:line="360" w:lineRule="auto"/>
        <w:jc w:val="both"/>
        <w:rPr>
          <w:rFonts w:ascii="Times New Roman" w:hAnsi="Times New Roman" w:cs="Times New Roman"/>
        </w:rPr>
      </w:pPr>
    </w:p>
    <w:p w14:paraId="67BC615D" w14:textId="04CF43C9" w:rsidR="00BA04C5" w:rsidRPr="00626A7E" w:rsidRDefault="00BA04C5"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Had the NEB indeed just been about ‘picking winners’ its opponents may have had less opportunity to u</w:t>
      </w:r>
      <w:r w:rsidR="00E522FC" w:rsidRPr="00626A7E">
        <w:rPr>
          <w:rFonts w:ascii="Times New Roman" w:hAnsi="Times New Roman" w:cs="Times New Roman"/>
        </w:rPr>
        <w:t>ndermine its credibility</w:t>
      </w:r>
      <w:r w:rsidRPr="00626A7E">
        <w:rPr>
          <w:rFonts w:ascii="Times New Roman" w:hAnsi="Times New Roman" w:cs="Times New Roman"/>
        </w:rPr>
        <w:t xml:space="preserve">. </w:t>
      </w:r>
      <w:r w:rsidR="00E522FC" w:rsidRPr="00626A7E">
        <w:rPr>
          <w:rFonts w:ascii="Times New Roman" w:hAnsi="Times New Roman" w:cs="Times New Roman"/>
        </w:rPr>
        <w:t>But, a</w:t>
      </w:r>
      <w:r w:rsidRPr="00626A7E">
        <w:rPr>
          <w:rFonts w:ascii="Times New Roman" w:hAnsi="Times New Roman" w:cs="Times New Roman"/>
        </w:rPr>
        <w:t>s Cabinet memoranda spelt out, ‘it may on occasion be called on to take over an ailing company which is in danger of collapse but needs to be maintained and restored to a sound economic basis for reasons of regional employment or industrial policy.’</w:t>
      </w:r>
      <w:r w:rsidRPr="00626A7E">
        <w:rPr>
          <w:rStyle w:val="FootnoteReference"/>
          <w:rFonts w:ascii="Times New Roman" w:hAnsi="Times New Roman" w:cs="Times New Roman"/>
        </w:rPr>
        <w:footnoteReference w:id="23"/>
      </w:r>
      <w:r w:rsidRPr="00626A7E">
        <w:rPr>
          <w:rFonts w:ascii="Times New Roman" w:hAnsi="Times New Roman" w:cs="Times New Roman"/>
        </w:rPr>
        <w:t xml:space="preserve"> In 1975 the Ryder report ‘propose[d] that the Government should be prepared to provide </w:t>
      </w:r>
      <w:r w:rsidRPr="00626A7E">
        <w:rPr>
          <w:rFonts w:ascii="Times New Roman" w:hAnsi="Times New Roman" w:cs="Times New Roman"/>
          <w:iCs/>
        </w:rPr>
        <w:t>£200m in equity capital now and up to £500m in long term loan capital in stages over the period 1976 to 1978’</w:t>
      </w:r>
      <w:r w:rsidR="008073E5" w:rsidRPr="00626A7E">
        <w:rPr>
          <w:rFonts w:ascii="Times New Roman" w:hAnsi="Times New Roman" w:cs="Times New Roman"/>
          <w:iCs/>
        </w:rPr>
        <w:t xml:space="preserve"> to one such</w:t>
      </w:r>
      <w:r w:rsidRPr="00626A7E">
        <w:rPr>
          <w:rFonts w:ascii="Times New Roman" w:hAnsi="Times New Roman" w:cs="Times New Roman"/>
          <w:iCs/>
        </w:rPr>
        <w:t xml:space="preserve"> </w:t>
      </w:r>
      <w:r w:rsidR="0037034B" w:rsidRPr="00626A7E">
        <w:rPr>
          <w:rFonts w:ascii="Times New Roman" w:hAnsi="Times New Roman" w:cs="Times New Roman"/>
          <w:iCs/>
        </w:rPr>
        <w:t>firm</w:t>
      </w:r>
      <w:r w:rsidRPr="00626A7E">
        <w:rPr>
          <w:rFonts w:ascii="Times New Roman" w:hAnsi="Times New Roman" w:cs="Times New Roman"/>
          <w:iCs/>
        </w:rPr>
        <w:t>,</w:t>
      </w:r>
      <w:r w:rsidR="003669B7" w:rsidRPr="00626A7E">
        <w:rPr>
          <w:rFonts w:ascii="Times New Roman" w:hAnsi="Times New Roman" w:cs="Times New Roman"/>
          <w:iCs/>
        </w:rPr>
        <w:t xml:space="preserve"> </w:t>
      </w:r>
      <w:r w:rsidR="00D73D3B" w:rsidRPr="00626A7E">
        <w:rPr>
          <w:rFonts w:ascii="Times New Roman" w:hAnsi="Times New Roman" w:cs="Times New Roman"/>
          <w:iCs/>
        </w:rPr>
        <w:t>the automotive giant</w:t>
      </w:r>
      <w:r w:rsidRPr="00626A7E">
        <w:rPr>
          <w:rFonts w:ascii="Times New Roman" w:hAnsi="Times New Roman" w:cs="Times New Roman"/>
          <w:iCs/>
        </w:rPr>
        <w:t xml:space="preserve"> British Leyland.</w:t>
      </w:r>
      <w:r w:rsidRPr="00626A7E">
        <w:rPr>
          <w:rStyle w:val="FootnoteReference"/>
          <w:rFonts w:ascii="Times New Roman" w:hAnsi="Times New Roman" w:cs="Times New Roman"/>
          <w:iCs/>
        </w:rPr>
        <w:footnoteReference w:id="24"/>
      </w:r>
      <w:r w:rsidRPr="00626A7E">
        <w:rPr>
          <w:rFonts w:ascii="Times New Roman" w:hAnsi="Times New Roman" w:cs="Times New Roman"/>
          <w:iCs/>
        </w:rPr>
        <w:t xml:space="preserve"> In </w:t>
      </w:r>
      <w:r w:rsidR="006D081D" w:rsidRPr="00626A7E">
        <w:rPr>
          <w:rFonts w:ascii="Times New Roman" w:hAnsi="Times New Roman" w:cs="Times New Roman"/>
          <w:iCs/>
        </w:rPr>
        <w:t>bringing</w:t>
      </w:r>
      <w:r w:rsidRPr="00626A7E">
        <w:rPr>
          <w:rFonts w:ascii="Times New Roman" w:hAnsi="Times New Roman" w:cs="Times New Roman"/>
          <w:iCs/>
        </w:rPr>
        <w:t xml:space="preserve"> British Leyland under state ownership – with a pledge to restore the company to profitability by 1981 – the government had taken </w:t>
      </w:r>
      <w:r w:rsidR="003569AA" w:rsidRPr="00626A7E">
        <w:rPr>
          <w:rFonts w:ascii="Times New Roman" w:hAnsi="Times New Roman" w:cs="Times New Roman"/>
          <w:iCs/>
        </w:rPr>
        <w:t>on the</w:t>
      </w:r>
      <w:r w:rsidRPr="00626A7E">
        <w:rPr>
          <w:rFonts w:ascii="Times New Roman" w:hAnsi="Times New Roman" w:cs="Times New Roman"/>
          <w:iCs/>
        </w:rPr>
        <w:t xml:space="preserve"> leading player in an industry, </w:t>
      </w:r>
      <w:r w:rsidRPr="00626A7E">
        <w:rPr>
          <w:rFonts w:ascii="Times New Roman" w:hAnsi="Times New Roman" w:cs="Times New Roman"/>
          <w:iCs/>
        </w:rPr>
        <w:lastRenderedPageBreak/>
        <w:t xml:space="preserve">automobile </w:t>
      </w:r>
      <w:r w:rsidR="00E97CB9" w:rsidRPr="00626A7E">
        <w:rPr>
          <w:rFonts w:ascii="Times New Roman" w:hAnsi="Times New Roman" w:cs="Times New Roman"/>
          <w:iCs/>
        </w:rPr>
        <w:t>manufacturing, which</w:t>
      </w:r>
      <w:r w:rsidRPr="00626A7E">
        <w:rPr>
          <w:rFonts w:ascii="Times New Roman" w:hAnsi="Times New Roman" w:cs="Times New Roman"/>
          <w:iCs/>
        </w:rPr>
        <w:t xml:space="preserve"> would experience mass strikes over the late 1970s. Taxpayer funds had, in short, been used</w:t>
      </w:r>
      <w:r w:rsidR="008073E5" w:rsidRPr="00626A7E">
        <w:rPr>
          <w:rFonts w:ascii="Times New Roman" w:hAnsi="Times New Roman" w:cs="Times New Roman"/>
          <w:iCs/>
        </w:rPr>
        <w:t xml:space="preserve"> (or at least seen)</w:t>
      </w:r>
      <w:r w:rsidRPr="00626A7E">
        <w:rPr>
          <w:rFonts w:ascii="Times New Roman" w:hAnsi="Times New Roman" w:cs="Times New Roman"/>
          <w:iCs/>
        </w:rPr>
        <w:t xml:space="preserve"> to pick a </w:t>
      </w:r>
      <w:r w:rsidRPr="00626A7E">
        <w:rPr>
          <w:rFonts w:ascii="Times New Roman" w:hAnsi="Times New Roman" w:cs="Times New Roman"/>
          <w:i/>
          <w:iCs/>
        </w:rPr>
        <w:t>loser</w:t>
      </w:r>
      <w:r w:rsidRPr="00626A7E">
        <w:rPr>
          <w:rFonts w:ascii="Times New Roman" w:hAnsi="Times New Roman" w:cs="Times New Roman"/>
          <w:iCs/>
        </w:rPr>
        <w:t xml:space="preserve"> </w:t>
      </w:r>
      <w:r w:rsidR="008073E5" w:rsidRPr="00626A7E">
        <w:rPr>
          <w:rFonts w:ascii="Times New Roman" w:hAnsi="Times New Roman" w:cs="Times New Roman"/>
          <w:iCs/>
        </w:rPr>
        <w:t xml:space="preserve">that </w:t>
      </w:r>
      <w:r w:rsidRPr="00626A7E">
        <w:rPr>
          <w:rFonts w:ascii="Times New Roman" w:hAnsi="Times New Roman" w:cs="Times New Roman"/>
          <w:iCs/>
        </w:rPr>
        <w:t>government intervention had been unable to turnaround. In 1986 Margaret Thatcher continued to remind the public that ‘</w:t>
      </w:r>
      <w:r w:rsidRPr="00626A7E">
        <w:rPr>
          <w:rFonts w:ascii="Times New Roman" w:hAnsi="Times New Roman" w:cs="Times New Roman"/>
        </w:rPr>
        <w:t>taxpayers' grants and guarantees amount to every family giving £200 in assistance to British Leyland and, alas, British Leyland is still in a loss-making condition.’</w:t>
      </w:r>
      <w:r w:rsidRPr="00626A7E">
        <w:rPr>
          <w:rStyle w:val="FootnoteReference"/>
          <w:rFonts w:ascii="Times New Roman" w:hAnsi="Times New Roman" w:cs="Times New Roman"/>
        </w:rPr>
        <w:footnoteReference w:id="25"/>
      </w:r>
      <w:r w:rsidRPr="00626A7E">
        <w:rPr>
          <w:rFonts w:ascii="Times New Roman" w:hAnsi="Times New Roman" w:cs="Times New Roman"/>
        </w:rPr>
        <w:t xml:space="preserve"> </w:t>
      </w:r>
      <w:r w:rsidR="00C72038" w:rsidRPr="00626A7E">
        <w:rPr>
          <w:rFonts w:ascii="Times New Roman" w:hAnsi="Times New Roman" w:cs="Times New Roman"/>
        </w:rPr>
        <w:t xml:space="preserve">The </w:t>
      </w:r>
      <w:r w:rsidRPr="00626A7E">
        <w:rPr>
          <w:rFonts w:ascii="Times New Roman" w:hAnsi="Times New Roman" w:cs="Times New Roman"/>
        </w:rPr>
        <w:t xml:space="preserve">Thatcherite </w:t>
      </w:r>
      <w:r w:rsidR="00C72038" w:rsidRPr="00626A7E">
        <w:rPr>
          <w:rFonts w:ascii="Times New Roman" w:hAnsi="Times New Roman" w:cs="Times New Roman"/>
        </w:rPr>
        <w:t xml:space="preserve">notion of </w:t>
      </w:r>
      <w:r w:rsidRPr="00626A7E">
        <w:rPr>
          <w:rFonts w:ascii="Times New Roman" w:hAnsi="Times New Roman" w:cs="Times New Roman"/>
        </w:rPr>
        <w:t xml:space="preserve">sink or swim did not have much </w:t>
      </w:r>
      <w:r w:rsidR="00D9408E" w:rsidRPr="00626A7E">
        <w:rPr>
          <w:rFonts w:ascii="Times New Roman" w:hAnsi="Times New Roman" w:cs="Times New Roman"/>
        </w:rPr>
        <w:t xml:space="preserve">rhetorical </w:t>
      </w:r>
      <w:r w:rsidRPr="00626A7E">
        <w:rPr>
          <w:rFonts w:ascii="Times New Roman" w:hAnsi="Times New Roman" w:cs="Times New Roman"/>
        </w:rPr>
        <w:t>truck for a state owned floatation device.</w:t>
      </w:r>
      <w:r w:rsidR="00E522FC" w:rsidRPr="00626A7E">
        <w:rPr>
          <w:rFonts w:ascii="Times New Roman" w:hAnsi="Times New Roman" w:cs="Times New Roman"/>
        </w:rPr>
        <w:t xml:space="preserve"> </w:t>
      </w:r>
    </w:p>
    <w:p w14:paraId="50D20D30" w14:textId="7D870CBC" w:rsidR="008F0E8C" w:rsidRPr="00626A7E" w:rsidRDefault="001B58CF" w:rsidP="00BA04C5">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This was important because it undermined the case for the mixed-economy</w:t>
      </w:r>
      <w:r w:rsidR="00E92FBC" w:rsidRPr="00626A7E">
        <w:rPr>
          <w:rFonts w:ascii="Times New Roman" w:hAnsi="Times New Roman" w:cs="Times New Roman"/>
        </w:rPr>
        <w:t xml:space="preserve"> and corporatism per se</w:t>
      </w:r>
      <w:r w:rsidRPr="00626A7E">
        <w:rPr>
          <w:rFonts w:ascii="Times New Roman" w:hAnsi="Times New Roman" w:cs="Times New Roman"/>
        </w:rPr>
        <w:t xml:space="preserve">. From the right, Thatcher was able to claim that government getting out of the way was the only </w:t>
      </w:r>
      <w:r w:rsidR="00DE2343" w:rsidRPr="00626A7E">
        <w:rPr>
          <w:rFonts w:ascii="Times New Roman" w:hAnsi="Times New Roman" w:cs="Times New Roman"/>
        </w:rPr>
        <w:t>way to turn around</w:t>
      </w:r>
      <w:r w:rsidRPr="00626A7E">
        <w:rPr>
          <w:rFonts w:ascii="Times New Roman" w:hAnsi="Times New Roman" w:cs="Times New Roman"/>
        </w:rPr>
        <w:t xml:space="preserve"> </w:t>
      </w:r>
      <w:r w:rsidR="008B5B87" w:rsidRPr="00626A7E">
        <w:rPr>
          <w:rFonts w:ascii="Times New Roman" w:hAnsi="Times New Roman" w:cs="Times New Roman"/>
        </w:rPr>
        <w:t>the British</w:t>
      </w:r>
      <w:r w:rsidRPr="00626A7E">
        <w:rPr>
          <w:rFonts w:ascii="Times New Roman" w:hAnsi="Times New Roman" w:cs="Times New Roman"/>
        </w:rPr>
        <w:t xml:space="preserve"> economy.</w:t>
      </w:r>
      <w:r w:rsidR="00A6523C" w:rsidRPr="00626A7E">
        <w:rPr>
          <w:rFonts w:ascii="Times New Roman" w:hAnsi="Times New Roman" w:cs="Times New Roman"/>
          <w:iCs/>
        </w:rPr>
        <w:t xml:space="preserve"> </w:t>
      </w:r>
      <w:r w:rsidR="00F022CA" w:rsidRPr="00626A7E">
        <w:rPr>
          <w:rFonts w:ascii="Times New Roman" w:hAnsi="Times New Roman" w:cs="Times New Roman"/>
          <w:iCs/>
        </w:rPr>
        <w:t>L</w:t>
      </w:r>
      <w:r w:rsidR="00BA04C5" w:rsidRPr="00626A7E">
        <w:rPr>
          <w:rFonts w:ascii="Times New Roman" w:hAnsi="Times New Roman" w:cs="Times New Roman"/>
          <w:iCs/>
        </w:rPr>
        <w:t xml:space="preserve">ooking for </w:t>
      </w:r>
      <w:r w:rsidR="00A112C6" w:rsidRPr="00626A7E">
        <w:rPr>
          <w:rFonts w:ascii="Times New Roman" w:hAnsi="Times New Roman" w:cs="Times New Roman"/>
          <w:iCs/>
        </w:rPr>
        <w:t>cuts</w:t>
      </w:r>
      <w:r w:rsidR="00F022CA" w:rsidRPr="00626A7E">
        <w:rPr>
          <w:rFonts w:ascii="Times New Roman" w:hAnsi="Times New Roman" w:cs="Times New Roman"/>
          <w:iCs/>
        </w:rPr>
        <w:t xml:space="preserve"> going into the 1979 election</w:t>
      </w:r>
      <w:r w:rsidR="00BA04C5" w:rsidRPr="00626A7E">
        <w:rPr>
          <w:rFonts w:ascii="Times New Roman" w:hAnsi="Times New Roman" w:cs="Times New Roman"/>
          <w:iCs/>
        </w:rPr>
        <w:t xml:space="preserve"> the </w:t>
      </w:r>
      <w:r w:rsidR="006F7FF2" w:rsidRPr="00626A7E">
        <w:rPr>
          <w:rFonts w:ascii="Times New Roman" w:hAnsi="Times New Roman" w:cs="Times New Roman"/>
          <w:iCs/>
        </w:rPr>
        <w:t>Conservatives pledged to ‘</w:t>
      </w:r>
      <w:r w:rsidR="00BA04C5" w:rsidRPr="00626A7E">
        <w:rPr>
          <w:rFonts w:ascii="Times New Roman" w:hAnsi="Times New Roman" w:cs="Times New Roman"/>
        </w:rPr>
        <w:t>reduce government intervention in industry and particularly that of the National Enterprise Board, whose borrowing powers are planned to reach £4.5 billion.’</w:t>
      </w:r>
      <w:r w:rsidR="00BA04C5" w:rsidRPr="00626A7E">
        <w:rPr>
          <w:rStyle w:val="FootnoteReference"/>
          <w:rFonts w:ascii="Times New Roman" w:hAnsi="Times New Roman" w:cs="Times New Roman"/>
        </w:rPr>
        <w:footnoteReference w:id="26"/>
      </w:r>
      <w:r w:rsidR="00BA04C5" w:rsidRPr="00626A7E">
        <w:rPr>
          <w:rFonts w:ascii="Times New Roman" w:hAnsi="Times New Roman" w:cs="Times New Roman"/>
        </w:rPr>
        <w:t xml:space="preserve"> Labour’s </w:t>
      </w:r>
      <w:r w:rsidR="006F7FF2" w:rsidRPr="00626A7E">
        <w:rPr>
          <w:rFonts w:ascii="Times New Roman" w:hAnsi="Times New Roman" w:cs="Times New Roman"/>
        </w:rPr>
        <w:t>promise</w:t>
      </w:r>
      <w:r w:rsidR="00BA04C5" w:rsidRPr="00626A7E">
        <w:rPr>
          <w:rFonts w:ascii="Times New Roman" w:hAnsi="Times New Roman" w:cs="Times New Roman"/>
        </w:rPr>
        <w:t xml:space="preserve"> to ‘expand the work and finance of the NEB…and ensure that we get an adequate return</w:t>
      </w:r>
      <w:r w:rsidR="00193CA9" w:rsidRPr="00626A7E">
        <w:rPr>
          <w:rFonts w:ascii="Times New Roman" w:hAnsi="Times New Roman" w:cs="Times New Roman"/>
        </w:rPr>
        <w:t xml:space="preserve"> on our investment’ </w:t>
      </w:r>
      <w:r w:rsidR="006F7FF2" w:rsidRPr="00626A7E">
        <w:rPr>
          <w:rFonts w:ascii="Times New Roman" w:hAnsi="Times New Roman" w:cs="Times New Roman"/>
        </w:rPr>
        <w:t>certainly gave the electorate a choi</w:t>
      </w:r>
      <w:r w:rsidR="00750ECB" w:rsidRPr="00626A7E">
        <w:rPr>
          <w:rFonts w:ascii="Times New Roman" w:hAnsi="Times New Roman" w:cs="Times New Roman"/>
        </w:rPr>
        <w:t>ce, but it was not one about to</w:t>
      </w:r>
      <w:r w:rsidR="006F7FF2" w:rsidRPr="00626A7E">
        <w:rPr>
          <w:rFonts w:ascii="Times New Roman" w:hAnsi="Times New Roman" w:cs="Times New Roman"/>
        </w:rPr>
        <w:t xml:space="preserve"> benefit Prime Minister Callaghan.</w:t>
      </w:r>
    </w:p>
    <w:p w14:paraId="29806732" w14:textId="77777777" w:rsidR="008F0E8C" w:rsidRPr="00626A7E" w:rsidRDefault="008F0E8C" w:rsidP="00BA04C5">
      <w:pPr>
        <w:widowControl w:val="0"/>
        <w:autoSpaceDE w:val="0"/>
        <w:autoSpaceDN w:val="0"/>
        <w:adjustRightInd w:val="0"/>
        <w:spacing w:line="360" w:lineRule="auto"/>
        <w:jc w:val="both"/>
        <w:rPr>
          <w:rFonts w:ascii="Times New Roman" w:hAnsi="Times New Roman" w:cs="Times New Roman"/>
        </w:rPr>
      </w:pPr>
    </w:p>
    <w:p w14:paraId="58D83922" w14:textId="73B2E28B" w:rsidR="00BA04C5" w:rsidRPr="00626A7E" w:rsidRDefault="00143E39" w:rsidP="00811002">
      <w:pPr>
        <w:widowControl w:val="0"/>
        <w:autoSpaceDE w:val="0"/>
        <w:autoSpaceDN w:val="0"/>
        <w:adjustRightInd w:val="0"/>
        <w:spacing w:line="360" w:lineRule="auto"/>
        <w:ind w:firstLine="567"/>
        <w:jc w:val="both"/>
        <w:rPr>
          <w:rFonts w:ascii="Times New Roman" w:hAnsi="Times New Roman" w:cs="Times New Roman"/>
        </w:rPr>
      </w:pPr>
      <w:r w:rsidRPr="00626A7E">
        <w:rPr>
          <w:rFonts w:ascii="Times New Roman" w:hAnsi="Times New Roman" w:cs="Times New Roman"/>
        </w:rPr>
        <w:t>Importantly</w:t>
      </w:r>
      <w:r w:rsidR="006D5C87" w:rsidRPr="00626A7E">
        <w:rPr>
          <w:rFonts w:ascii="Times New Roman" w:hAnsi="Times New Roman" w:cs="Times New Roman"/>
        </w:rPr>
        <w:t xml:space="preserve"> however</w:t>
      </w:r>
      <w:r w:rsidRPr="00626A7E">
        <w:rPr>
          <w:rFonts w:ascii="Times New Roman" w:hAnsi="Times New Roman" w:cs="Times New Roman"/>
        </w:rPr>
        <w:t xml:space="preserve">, </w:t>
      </w:r>
      <w:r w:rsidR="00D73D3B" w:rsidRPr="00626A7E">
        <w:rPr>
          <w:rFonts w:ascii="Times New Roman" w:hAnsi="Times New Roman" w:cs="Times New Roman"/>
        </w:rPr>
        <w:t>f</w:t>
      </w:r>
      <w:r w:rsidR="00E963F8" w:rsidRPr="00626A7E">
        <w:rPr>
          <w:rFonts w:ascii="Times New Roman" w:hAnsi="Times New Roman" w:cs="Times New Roman"/>
        </w:rPr>
        <w:t>ailing to find the answers to British Leyland</w:t>
      </w:r>
      <w:r w:rsidR="006F7FF2" w:rsidRPr="00626A7E">
        <w:rPr>
          <w:rFonts w:ascii="Times New Roman" w:hAnsi="Times New Roman" w:cs="Times New Roman"/>
        </w:rPr>
        <w:t xml:space="preserve"> not only bolstered the right, it</w:t>
      </w:r>
      <w:r w:rsidR="001B58CF" w:rsidRPr="00626A7E">
        <w:rPr>
          <w:rFonts w:ascii="Times New Roman" w:hAnsi="Times New Roman" w:cs="Times New Roman"/>
        </w:rPr>
        <w:t xml:space="preserve"> </w:t>
      </w:r>
      <w:r w:rsidR="00DE3532" w:rsidRPr="00626A7E">
        <w:rPr>
          <w:rFonts w:ascii="Times New Roman" w:hAnsi="Times New Roman" w:cs="Times New Roman"/>
        </w:rPr>
        <w:t>also</w:t>
      </w:r>
      <w:r w:rsidR="006F7FF2" w:rsidRPr="00626A7E">
        <w:rPr>
          <w:rFonts w:ascii="Times New Roman" w:hAnsi="Times New Roman" w:cs="Times New Roman"/>
        </w:rPr>
        <w:t xml:space="preserve"> served to</w:t>
      </w:r>
      <w:r w:rsidR="00DE3532" w:rsidRPr="00626A7E">
        <w:rPr>
          <w:rFonts w:ascii="Times New Roman" w:hAnsi="Times New Roman" w:cs="Times New Roman"/>
        </w:rPr>
        <w:t xml:space="preserve"> </w:t>
      </w:r>
      <w:r w:rsidR="006F7FF2" w:rsidRPr="00626A7E">
        <w:rPr>
          <w:rFonts w:ascii="Times New Roman" w:hAnsi="Times New Roman" w:cs="Times New Roman"/>
        </w:rPr>
        <w:t>blunt</w:t>
      </w:r>
      <w:r w:rsidR="001B58CF" w:rsidRPr="00626A7E">
        <w:rPr>
          <w:rFonts w:ascii="Times New Roman" w:hAnsi="Times New Roman" w:cs="Times New Roman"/>
        </w:rPr>
        <w:t xml:space="preserve"> moderate </w:t>
      </w:r>
      <w:r w:rsidR="00D73D3B" w:rsidRPr="00626A7E">
        <w:rPr>
          <w:rFonts w:ascii="Times New Roman" w:hAnsi="Times New Roman" w:cs="Times New Roman"/>
        </w:rPr>
        <w:t>Labour</w:t>
      </w:r>
      <w:r w:rsidR="001B58CF" w:rsidRPr="00626A7E">
        <w:rPr>
          <w:rFonts w:ascii="Times New Roman" w:hAnsi="Times New Roman" w:cs="Times New Roman"/>
        </w:rPr>
        <w:t>.</w:t>
      </w:r>
      <w:r w:rsidR="006E42BF" w:rsidRPr="00626A7E">
        <w:rPr>
          <w:rFonts w:ascii="Times New Roman" w:hAnsi="Times New Roman" w:cs="Times New Roman"/>
        </w:rPr>
        <w:t xml:space="preserve"> As Tony Blair remembers:</w:t>
      </w:r>
    </w:p>
    <w:p w14:paraId="3E03B0A5" w14:textId="77777777" w:rsidR="008F0E8C" w:rsidRPr="00626A7E" w:rsidRDefault="008F0E8C" w:rsidP="00BA04C5">
      <w:pPr>
        <w:widowControl w:val="0"/>
        <w:autoSpaceDE w:val="0"/>
        <w:autoSpaceDN w:val="0"/>
        <w:adjustRightInd w:val="0"/>
        <w:spacing w:line="360" w:lineRule="auto"/>
        <w:jc w:val="both"/>
        <w:rPr>
          <w:rFonts w:ascii="Times New Roman" w:hAnsi="Times New Roman" w:cs="Times New Roman"/>
        </w:rPr>
      </w:pPr>
    </w:p>
    <w:p w14:paraId="2E9C8EB9" w14:textId="2B2182BB" w:rsidR="008F0E8C" w:rsidRPr="00626A7E" w:rsidRDefault="008F0E8C" w:rsidP="006E42BF">
      <w:pPr>
        <w:widowControl w:val="0"/>
        <w:autoSpaceDE w:val="0"/>
        <w:autoSpaceDN w:val="0"/>
        <w:adjustRightInd w:val="0"/>
        <w:spacing w:line="360" w:lineRule="auto"/>
        <w:ind w:left="567" w:right="567"/>
        <w:jc w:val="both"/>
        <w:rPr>
          <w:rFonts w:ascii="Times New Roman" w:hAnsi="Times New Roman" w:cs="Times New Roman"/>
          <w:iCs/>
        </w:rPr>
      </w:pPr>
      <w:r w:rsidRPr="00626A7E">
        <w:rPr>
          <w:rFonts w:ascii="Times New Roman" w:hAnsi="Times New Roman" w:cs="Times New Roman"/>
        </w:rPr>
        <w:t>Jim Callaghan had been Prime Minister. The Labour Party was [then] put out of power by Margaret Thatcher. And the Labour Party persuaded itself that the reason why the country had voted for Margaret Thatcher was because they wanted a really left wing Labour Party. This is what I call the theor</w:t>
      </w:r>
      <w:r w:rsidR="00BB5ABA" w:rsidRPr="00626A7E">
        <w:rPr>
          <w:rFonts w:ascii="Times New Roman" w:hAnsi="Times New Roman" w:cs="Times New Roman"/>
        </w:rPr>
        <w:t>y that the electorate is stupid</w:t>
      </w:r>
      <w:r w:rsidRPr="00626A7E">
        <w:rPr>
          <w:rFonts w:ascii="Times New Roman" w:hAnsi="Times New Roman" w:cs="Times New Roman"/>
        </w:rPr>
        <w:t>.</w:t>
      </w:r>
      <w:r w:rsidR="006E42BF" w:rsidRPr="00626A7E">
        <w:rPr>
          <w:rStyle w:val="FootnoteReference"/>
          <w:rFonts w:ascii="Times New Roman" w:hAnsi="Times New Roman" w:cs="Times New Roman"/>
        </w:rPr>
        <w:footnoteReference w:id="27"/>
      </w:r>
    </w:p>
    <w:p w14:paraId="7A14B1D4" w14:textId="77777777" w:rsidR="00BA04C5" w:rsidRPr="00626A7E" w:rsidRDefault="00BA04C5" w:rsidP="00BA04C5">
      <w:pPr>
        <w:widowControl w:val="0"/>
        <w:autoSpaceDE w:val="0"/>
        <w:autoSpaceDN w:val="0"/>
        <w:adjustRightInd w:val="0"/>
        <w:spacing w:line="360" w:lineRule="auto"/>
        <w:jc w:val="both"/>
        <w:rPr>
          <w:rFonts w:ascii="Times New Roman" w:hAnsi="Times New Roman" w:cs="Times New Roman"/>
        </w:rPr>
      </w:pPr>
    </w:p>
    <w:p w14:paraId="2B74904D" w14:textId="20DB74D0" w:rsidR="00C33CE5" w:rsidRPr="00626A7E" w:rsidRDefault="006E42BF" w:rsidP="00BA04C5">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Blair is clearly being somewhat playful here, but there is an underlying point. Just as Thatcher pulled the Overton window of political acceptability to the right</w:t>
      </w:r>
      <w:r w:rsidR="007E0678" w:rsidRPr="00626A7E">
        <w:rPr>
          <w:rFonts w:ascii="Times New Roman" w:hAnsi="Times New Roman" w:cs="Times New Roman"/>
        </w:rPr>
        <w:t xml:space="preserve">, </w:t>
      </w:r>
      <w:r w:rsidR="003339D3" w:rsidRPr="00626A7E">
        <w:rPr>
          <w:rFonts w:ascii="Times New Roman" w:hAnsi="Times New Roman" w:cs="Times New Roman"/>
        </w:rPr>
        <w:t xml:space="preserve">many </w:t>
      </w:r>
      <w:r w:rsidR="00E413D6" w:rsidRPr="00626A7E">
        <w:rPr>
          <w:rFonts w:ascii="Times New Roman" w:hAnsi="Times New Roman" w:cs="Times New Roman"/>
        </w:rPr>
        <w:t>were unable to</w:t>
      </w:r>
      <w:r w:rsidR="007E0678" w:rsidRPr="00626A7E">
        <w:rPr>
          <w:rFonts w:ascii="Times New Roman" w:hAnsi="Times New Roman" w:cs="Times New Roman"/>
        </w:rPr>
        <w:t xml:space="preserve"> </w:t>
      </w:r>
      <w:r w:rsidR="00E413D6" w:rsidRPr="00626A7E">
        <w:rPr>
          <w:rFonts w:ascii="Times New Roman" w:hAnsi="Times New Roman" w:cs="Times New Roman"/>
        </w:rPr>
        <w:t>reach a coherent explanation of</w:t>
      </w:r>
      <w:r w:rsidR="007E0678" w:rsidRPr="00626A7E">
        <w:rPr>
          <w:rFonts w:ascii="Times New Roman" w:hAnsi="Times New Roman" w:cs="Times New Roman"/>
        </w:rPr>
        <w:t xml:space="preserve"> why she had </w:t>
      </w:r>
      <w:r w:rsidR="00383A85" w:rsidRPr="00626A7E">
        <w:rPr>
          <w:rFonts w:ascii="Times New Roman" w:hAnsi="Times New Roman" w:cs="Times New Roman"/>
        </w:rPr>
        <w:t xml:space="preserve">been </w:t>
      </w:r>
      <w:r w:rsidR="005B1184" w:rsidRPr="00626A7E">
        <w:rPr>
          <w:rFonts w:ascii="Times New Roman" w:hAnsi="Times New Roman" w:cs="Times New Roman"/>
        </w:rPr>
        <w:t>able to do so</w:t>
      </w:r>
      <w:r w:rsidR="007E0678" w:rsidRPr="00626A7E">
        <w:rPr>
          <w:rFonts w:ascii="Times New Roman" w:hAnsi="Times New Roman" w:cs="Times New Roman"/>
        </w:rPr>
        <w:t>.</w:t>
      </w:r>
      <w:r w:rsidR="000312EF" w:rsidRPr="00626A7E">
        <w:rPr>
          <w:rFonts w:ascii="Times New Roman" w:hAnsi="Times New Roman" w:cs="Times New Roman"/>
        </w:rPr>
        <w:t xml:space="preserve"> </w:t>
      </w:r>
      <w:r w:rsidR="00467193" w:rsidRPr="00626A7E">
        <w:rPr>
          <w:rFonts w:ascii="Times New Roman" w:hAnsi="Times New Roman" w:cs="Times New Roman"/>
        </w:rPr>
        <w:t xml:space="preserve">Before </w:t>
      </w:r>
      <w:r w:rsidR="00FC5FC9" w:rsidRPr="00626A7E">
        <w:rPr>
          <w:rFonts w:ascii="Times New Roman" w:hAnsi="Times New Roman" w:cs="Times New Roman"/>
        </w:rPr>
        <w:t xml:space="preserve">(at least) </w:t>
      </w:r>
      <w:r w:rsidR="00467193" w:rsidRPr="00626A7E">
        <w:rPr>
          <w:rFonts w:ascii="Times New Roman" w:hAnsi="Times New Roman" w:cs="Times New Roman"/>
        </w:rPr>
        <w:t>the mid-1980s t</w:t>
      </w:r>
      <w:r w:rsidR="00FC5FC9" w:rsidRPr="00626A7E">
        <w:rPr>
          <w:rFonts w:ascii="Times New Roman" w:hAnsi="Times New Roman" w:cs="Times New Roman"/>
        </w:rPr>
        <w:t>he moderates</w:t>
      </w:r>
      <w:r w:rsidR="000312EF" w:rsidRPr="00626A7E">
        <w:rPr>
          <w:rFonts w:ascii="Times New Roman" w:hAnsi="Times New Roman" w:cs="Times New Roman"/>
        </w:rPr>
        <w:t xml:space="preserve"> </w:t>
      </w:r>
      <w:r w:rsidR="00D44CDD" w:rsidRPr="00626A7E">
        <w:rPr>
          <w:rFonts w:ascii="Times New Roman" w:hAnsi="Times New Roman" w:cs="Times New Roman"/>
        </w:rPr>
        <w:t xml:space="preserve">had </w:t>
      </w:r>
      <w:r w:rsidR="000312EF" w:rsidRPr="00626A7E">
        <w:rPr>
          <w:rFonts w:ascii="Times New Roman" w:hAnsi="Times New Roman" w:cs="Times New Roman"/>
        </w:rPr>
        <w:t xml:space="preserve">failed </w:t>
      </w:r>
      <w:r w:rsidR="0088562B" w:rsidRPr="00626A7E">
        <w:rPr>
          <w:rFonts w:ascii="Times New Roman" w:hAnsi="Times New Roman" w:cs="Times New Roman"/>
        </w:rPr>
        <w:t xml:space="preserve">to win the </w:t>
      </w:r>
      <w:r w:rsidR="00D44CDD" w:rsidRPr="00626A7E">
        <w:rPr>
          <w:rFonts w:ascii="Times New Roman" w:hAnsi="Times New Roman" w:cs="Times New Roman"/>
        </w:rPr>
        <w:t xml:space="preserve">internal </w:t>
      </w:r>
      <w:r w:rsidR="0088562B" w:rsidRPr="00626A7E">
        <w:rPr>
          <w:rFonts w:ascii="Times New Roman" w:hAnsi="Times New Roman" w:cs="Times New Roman"/>
        </w:rPr>
        <w:t>battle</w:t>
      </w:r>
      <w:r w:rsidR="00D44CDD" w:rsidRPr="00626A7E">
        <w:rPr>
          <w:rFonts w:ascii="Times New Roman" w:hAnsi="Times New Roman" w:cs="Times New Roman"/>
        </w:rPr>
        <w:t xml:space="preserve"> within Labour</w:t>
      </w:r>
      <w:r w:rsidR="0088562B" w:rsidRPr="00626A7E">
        <w:rPr>
          <w:rFonts w:ascii="Times New Roman" w:hAnsi="Times New Roman" w:cs="Times New Roman"/>
        </w:rPr>
        <w:t xml:space="preserve"> over</w:t>
      </w:r>
      <w:r w:rsidR="006A6BA7" w:rsidRPr="00626A7E">
        <w:rPr>
          <w:rFonts w:ascii="Times New Roman" w:hAnsi="Times New Roman" w:cs="Times New Roman"/>
        </w:rPr>
        <w:t xml:space="preserve"> what had gone wrong with Britain in the 1970s,</w:t>
      </w:r>
      <w:r w:rsidR="000312EF" w:rsidRPr="00626A7E">
        <w:rPr>
          <w:rFonts w:ascii="Times New Roman" w:hAnsi="Times New Roman" w:cs="Times New Roman"/>
        </w:rPr>
        <w:t xml:space="preserve"> and into this space came Stuart Holland and the ‘</w:t>
      </w:r>
      <w:r w:rsidR="00EB74A0" w:rsidRPr="00626A7E">
        <w:rPr>
          <w:rFonts w:ascii="Times New Roman" w:hAnsi="Times New Roman" w:cs="Times New Roman"/>
        </w:rPr>
        <w:t>Alternat</w:t>
      </w:r>
      <w:r w:rsidR="00001244" w:rsidRPr="00626A7E">
        <w:rPr>
          <w:rFonts w:ascii="Times New Roman" w:hAnsi="Times New Roman" w:cs="Times New Roman"/>
        </w:rPr>
        <w:t>ive Economic Strategy’ of</w:t>
      </w:r>
      <w:r w:rsidR="00EB74A0" w:rsidRPr="00626A7E">
        <w:rPr>
          <w:rFonts w:ascii="Times New Roman" w:hAnsi="Times New Roman" w:cs="Times New Roman"/>
        </w:rPr>
        <w:t xml:space="preserve"> </w:t>
      </w:r>
      <w:r w:rsidR="000312EF" w:rsidRPr="00626A7E">
        <w:rPr>
          <w:rFonts w:ascii="Times New Roman" w:hAnsi="Times New Roman" w:cs="Times New Roman"/>
        </w:rPr>
        <w:t xml:space="preserve">full employment through </w:t>
      </w:r>
      <w:r w:rsidR="00EB74A0" w:rsidRPr="00626A7E">
        <w:rPr>
          <w:rFonts w:ascii="Times New Roman" w:hAnsi="Times New Roman" w:cs="Times New Roman"/>
        </w:rPr>
        <w:t>borrowing to invest</w:t>
      </w:r>
      <w:r w:rsidR="000312EF" w:rsidRPr="00626A7E">
        <w:rPr>
          <w:rFonts w:ascii="Times New Roman" w:hAnsi="Times New Roman" w:cs="Times New Roman"/>
        </w:rPr>
        <w:t xml:space="preserve">, controls on the international capital market, </w:t>
      </w:r>
      <w:r w:rsidR="00EB74A0" w:rsidRPr="00626A7E">
        <w:rPr>
          <w:rFonts w:ascii="Times New Roman" w:hAnsi="Times New Roman" w:cs="Times New Roman"/>
        </w:rPr>
        <w:t xml:space="preserve">and </w:t>
      </w:r>
      <w:r w:rsidR="00466340" w:rsidRPr="00626A7E">
        <w:rPr>
          <w:rFonts w:ascii="Times New Roman" w:hAnsi="Times New Roman" w:cs="Times New Roman"/>
        </w:rPr>
        <w:t>nationalising</w:t>
      </w:r>
      <w:r w:rsidR="000312EF" w:rsidRPr="00626A7E">
        <w:rPr>
          <w:rFonts w:ascii="Times New Roman" w:hAnsi="Times New Roman" w:cs="Times New Roman"/>
        </w:rPr>
        <w:t xml:space="preserve"> the large banks.</w:t>
      </w:r>
      <w:r w:rsidR="003D0C31" w:rsidRPr="00626A7E">
        <w:rPr>
          <w:rFonts w:ascii="Times New Roman" w:hAnsi="Times New Roman" w:cs="Times New Roman"/>
        </w:rPr>
        <w:t xml:space="preserve"> Not everything about this agenda was wrong</w:t>
      </w:r>
      <w:r w:rsidR="00EB74A0" w:rsidRPr="00626A7E">
        <w:rPr>
          <w:rFonts w:ascii="Times New Roman" w:hAnsi="Times New Roman" w:cs="Times New Roman"/>
        </w:rPr>
        <w:t>headed</w:t>
      </w:r>
      <w:r w:rsidR="003D0C31" w:rsidRPr="00626A7E">
        <w:rPr>
          <w:rFonts w:ascii="Times New Roman" w:hAnsi="Times New Roman" w:cs="Times New Roman"/>
        </w:rPr>
        <w:t xml:space="preserve">, </w:t>
      </w:r>
      <w:r w:rsidR="003D0C31" w:rsidRPr="00626A7E">
        <w:rPr>
          <w:rFonts w:ascii="Times New Roman" w:hAnsi="Times New Roman" w:cs="Times New Roman"/>
        </w:rPr>
        <w:lastRenderedPageBreak/>
        <w:t>but collectively it saw Labour abdicate the centre ground just as much the government they pilloried.</w:t>
      </w:r>
      <w:r w:rsidR="002A39BE" w:rsidRPr="00626A7E">
        <w:rPr>
          <w:rFonts w:ascii="Times New Roman" w:hAnsi="Times New Roman" w:cs="Times New Roman"/>
        </w:rPr>
        <w:t xml:space="preserve"> </w:t>
      </w:r>
      <w:r w:rsidR="001352A5" w:rsidRPr="00626A7E">
        <w:rPr>
          <w:rFonts w:ascii="Times New Roman" w:hAnsi="Times New Roman" w:cs="Times New Roman"/>
        </w:rPr>
        <w:t xml:space="preserve">Some saw no issue with this. </w:t>
      </w:r>
      <w:r w:rsidR="008A53FF" w:rsidRPr="00626A7E">
        <w:rPr>
          <w:rFonts w:ascii="Times New Roman" w:hAnsi="Times New Roman" w:cs="Times New Roman"/>
        </w:rPr>
        <w:t xml:space="preserve">In 1980 Tony Benn consoled himself after the </w:t>
      </w:r>
      <w:r w:rsidR="00774AAD" w:rsidRPr="00626A7E">
        <w:rPr>
          <w:rFonts w:ascii="Times New Roman" w:hAnsi="Times New Roman" w:cs="Times New Roman"/>
        </w:rPr>
        <w:t>1980</w:t>
      </w:r>
      <w:r w:rsidR="008A53FF" w:rsidRPr="00626A7E">
        <w:rPr>
          <w:rFonts w:ascii="Times New Roman" w:hAnsi="Times New Roman" w:cs="Times New Roman"/>
        </w:rPr>
        <w:t xml:space="preserve"> US </w:t>
      </w:r>
      <w:r w:rsidR="00BB18BC" w:rsidRPr="00626A7E">
        <w:rPr>
          <w:rFonts w:ascii="Times New Roman" w:hAnsi="Times New Roman" w:cs="Times New Roman"/>
        </w:rPr>
        <w:t xml:space="preserve">Presidential election </w:t>
      </w:r>
      <w:r w:rsidR="008A53FF" w:rsidRPr="00626A7E">
        <w:rPr>
          <w:rFonts w:ascii="Times New Roman" w:hAnsi="Times New Roman" w:cs="Times New Roman"/>
        </w:rPr>
        <w:t>with the notion that ‘with Thatcher and Reagan in power, the polarisation, and the choice for British electors, will be clearer.’</w:t>
      </w:r>
      <w:r w:rsidR="008A53FF" w:rsidRPr="00626A7E">
        <w:rPr>
          <w:rStyle w:val="FootnoteReference"/>
          <w:rFonts w:ascii="Times New Roman" w:hAnsi="Times New Roman" w:cs="Times New Roman"/>
        </w:rPr>
        <w:footnoteReference w:id="28"/>
      </w:r>
      <w:r w:rsidR="008A53FF" w:rsidRPr="00626A7E">
        <w:rPr>
          <w:rFonts w:ascii="Times New Roman" w:hAnsi="Times New Roman" w:cs="Times New Roman"/>
        </w:rPr>
        <w:t xml:space="preserve"> </w:t>
      </w:r>
      <w:r w:rsidR="00344553" w:rsidRPr="00626A7E">
        <w:rPr>
          <w:rFonts w:ascii="Times New Roman" w:hAnsi="Times New Roman" w:cs="Times New Roman"/>
        </w:rPr>
        <w:t>Even a</w:t>
      </w:r>
      <w:r w:rsidR="008A53FF" w:rsidRPr="00626A7E">
        <w:rPr>
          <w:rFonts w:ascii="Times New Roman" w:hAnsi="Times New Roman" w:cs="Times New Roman"/>
        </w:rPr>
        <w:t xml:space="preserve">fter Labour’s </w:t>
      </w:r>
      <w:r w:rsidR="00E715BF" w:rsidRPr="00626A7E">
        <w:rPr>
          <w:rFonts w:ascii="Times New Roman" w:hAnsi="Times New Roman" w:cs="Times New Roman"/>
        </w:rPr>
        <w:t xml:space="preserve">own </w:t>
      </w:r>
      <w:r w:rsidR="008A53FF" w:rsidRPr="00626A7E">
        <w:rPr>
          <w:rFonts w:ascii="Times New Roman" w:hAnsi="Times New Roman" w:cs="Times New Roman"/>
        </w:rPr>
        <w:t xml:space="preserve">electoral catastrophe three years later, </w:t>
      </w:r>
      <w:r w:rsidR="006921E4" w:rsidRPr="00626A7E">
        <w:rPr>
          <w:rFonts w:ascii="Times New Roman" w:hAnsi="Times New Roman" w:cs="Times New Roman"/>
        </w:rPr>
        <w:t xml:space="preserve">the new MP </w:t>
      </w:r>
      <w:r w:rsidR="008A53FF" w:rsidRPr="00626A7E">
        <w:rPr>
          <w:rFonts w:ascii="Times New Roman" w:hAnsi="Times New Roman" w:cs="Times New Roman"/>
        </w:rPr>
        <w:t>Jeremy Corbyn still ‘didn’t want a binge of recrimination. The campaign had started well and then everything had been fudged.</w:t>
      </w:r>
      <w:r w:rsidR="006921E4" w:rsidRPr="00626A7E">
        <w:rPr>
          <w:rFonts w:ascii="Times New Roman" w:hAnsi="Times New Roman" w:cs="Times New Roman"/>
        </w:rPr>
        <w:t>’</w:t>
      </w:r>
      <w:r w:rsidR="006921E4" w:rsidRPr="00626A7E">
        <w:rPr>
          <w:rStyle w:val="FootnoteReference"/>
          <w:rFonts w:ascii="Times New Roman" w:hAnsi="Times New Roman" w:cs="Times New Roman"/>
        </w:rPr>
        <w:footnoteReference w:id="29"/>
      </w:r>
      <w:r w:rsidR="008A53FF" w:rsidRPr="00626A7E">
        <w:rPr>
          <w:rFonts w:ascii="Times New Roman" w:hAnsi="Times New Roman" w:cs="Times New Roman"/>
        </w:rPr>
        <w:t xml:space="preserve"> Rather than policy errors, there had been ‘great incompetence in the Party machine; the leaflets put out were absolutely bland crap.’</w:t>
      </w:r>
      <w:r w:rsidR="008A53FF" w:rsidRPr="00626A7E">
        <w:rPr>
          <w:rStyle w:val="FootnoteReference"/>
          <w:rFonts w:ascii="Times New Roman" w:hAnsi="Times New Roman" w:cs="Times New Roman"/>
        </w:rPr>
        <w:footnoteReference w:id="30"/>
      </w:r>
      <w:r w:rsidR="008A53FF" w:rsidRPr="00626A7E">
        <w:rPr>
          <w:rFonts w:ascii="Times New Roman" w:hAnsi="Times New Roman" w:cs="Times New Roman"/>
        </w:rPr>
        <w:t xml:space="preserve"> </w:t>
      </w:r>
      <w:r w:rsidR="006D081D" w:rsidRPr="00626A7E">
        <w:rPr>
          <w:rFonts w:ascii="Times New Roman" w:hAnsi="Times New Roman" w:cs="Times New Roman"/>
        </w:rPr>
        <w:t xml:space="preserve">For many on the left, ‘one more push’ remained the only option. </w:t>
      </w:r>
      <w:r w:rsidR="00C33CE5" w:rsidRPr="00626A7E">
        <w:rPr>
          <w:rFonts w:ascii="Times New Roman" w:hAnsi="Times New Roman" w:cs="Times New Roman"/>
        </w:rPr>
        <w:t xml:space="preserve">With Benn </w:t>
      </w:r>
      <w:r w:rsidR="008558D3" w:rsidRPr="00626A7E">
        <w:rPr>
          <w:rFonts w:ascii="Times New Roman" w:hAnsi="Times New Roman" w:cs="Times New Roman"/>
        </w:rPr>
        <w:t xml:space="preserve">later </w:t>
      </w:r>
      <w:r w:rsidR="00C33CE5" w:rsidRPr="00626A7E">
        <w:rPr>
          <w:rFonts w:ascii="Times New Roman" w:hAnsi="Times New Roman" w:cs="Times New Roman"/>
        </w:rPr>
        <w:t xml:space="preserve">believing Kinnock </w:t>
      </w:r>
      <w:r w:rsidR="0077663F" w:rsidRPr="00626A7E">
        <w:rPr>
          <w:rFonts w:ascii="Times New Roman" w:hAnsi="Times New Roman" w:cs="Times New Roman"/>
        </w:rPr>
        <w:t>had</w:t>
      </w:r>
      <w:r w:rsidR="00C33CE5" w:rsidRPr="00626A7E">
        <w:rPr>
          <w:rFonts w:ascii="Times New Roman" w:hAnsi="Times New Roman" w:cs="Times New Roman"/>
        </w:rPr>
        <w:t xml:space="preserve"> ‘reduce</w:t>
      </w:r>
      <w:r w:rsidR="0077663F" w:rsidRPr="00626A7E">
        <w:rPr>
          <w:rFonts w:ascii="Times New Roman" w:hAnsi="Times New Roman" w:cs="Times New Roman"/>
        </w:rPr>
        <w:t>[d]</w:t>
      </w:r>
      <w:r w:rsidR="00C33CE5" w:rsidRPr="00626A7E">
        <w:rPr>
          <w:rFonts w:ascii="Times New Roman" w:hAnsi="Times New Roman" w:cs="Times New Roman"/>
        </w:rPr>
        <w:t xml:space="preserve"> public expectations by narrowing the vision of the Party to the single, simple objective of installing Labour ministers in office’ – suffice it to say, not exactly a trivial goal – projecting competence was far from easy.</w:t>
      </w:r>
    </w:p>
    <w:p w14:paraId="2030D429" w14:textId="77777777" w:rsidR="008A53FF" w:rsidRPr="00626A7E" w:rsidRDefault="008A53FF" w:rsidP="00BA04C5">
      <w:pPr>
        <w:widowControl w:val="0"/>
        <w:autoSpaceDE w:val="0"/>
        <w:autoSpaceDN w:val="0"/>
        <w:adjustRightInd w:val="0"/>
        <w:spacing w:line="360" w:lineRule="auto"/>
        <w:jc w:val="both"/>
      </w:pPr>
    </w:p>
    <w:p w14:paraId="06F7021D" w14:textId="5F292D55" w:rsidR="00BA04C5" w:rsidRPr="00626A7E" w:rsidRDefault="00636730"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With a chasm in the middle of British politics</w:t>
      </w:r>
      <w:r w:rsidR="00786D1D" w:rsidRPr="00626A7E">
        <w:rPr>
          <w:rFonts w:ascii="Times New Roman" w:hAnsi="Times New Roman" w:cs="Times New Roman"/>
        </w:rPr>
        <w:t xml:space="preserve"> (</w:t>
      </w:r>
      <w:r w:rsidR="009F19E9" w:rsidRPr="00626A7E">
        <w:rPr>
          <w:rFonts w:ascii="Times New Roman" w:hAnsi="Times New Roman" w:cs="Times New Roman"/>
        </w:rPr>
        <w:t xml:space="preserve">at least </w:t>
      </w:r>
      <w:r w:rsidR="00786D1D" w:rsidRPr="00626A7E">
        <w:rPr>
          <w:rFonts w:ascii="Times New Roman" w:hAnsi="Times New Roman" w:cs="Times New Roman"/>
        </w:rPr>
        <w:t>pre-the SDP)</w:t>
      </w:r>
      <w:r w:rsidRPr="00626A7E">
        <w:rPr>
          <w:rFonts w:ascii="Times New Roman" w:hAnsi="Times New Roman" w:cs="Times New Roman"/>
        </w:rPr>
        <w:t>, the Tories made much early hay</w:t>
      </w:r>
      <w:r w:rsidR="00C33CE5" w:rsidRPr="00626A7E">
        <w:rPr>
          <w:rFonts w:ascii="Times New Roman" w:hAnsi="Times New Roman" w:cs="Times New Roman"/>
        </w:rPr>
        <w:t xml:space="preserve">. </w:t>
      </w:r>
      <w:r w:rsidR="0053311C" w:rsidRPr="00626A7E">
        <w:rPr>
          <w:rFonts w:ascii="Times New Roman" w:hAnsi="Times New Roman" w:cs="Times New Roman"/>
        </w:rPr>
        <w:t>Indeed, o</w:t>
      </w:r>
      <w:r w:rsidR="00C33CE5" w:rsidRPr="00626A7E">
        <w:rPr>
          <w:rFonts w:ascii="Times New Roman" w:hAnsi="Times New Roman" w:cs="Times New Roman"/>
        </w:rPr>
        <w:t>nce in power some</w:t>
      </w:r>
      <w:r w:rsidR="000915A5" w:rsidRPr="00626A7E">
        <w:rPr>
          <w:rFonts w:ascii="Times New Roman" w:hAnsi="Times New Roman" w:cs="Times New Roman"/>
        </w:rPr>
        <w:t xml:space="preserve"> such as Nigel Lawson and John Redwood were </w:t>
      </w:r>
      <w:r w:rsidR="00C33CE5" w:rsidRPr="00626A7E">
        <w:rPr>
          <w:rFonts w:ascii="Times New Roman" w:hAnsi="Times New Roman" w:cs="Times New Roman"/>
        </w:rPr>
        <w:t>baying for</w:t>
      </w:r>
      <w:r w:rsidR="00703804" w:rsidRPr="00626A7E">
        <w:rPr>
          <w:rFonts w:ascii="Times New Roman" w:hAnsi="Times New Roman" w:cs="Times New Roman"/>
        </w:rPr>
        <w:t xml:space="preserve"> </w:t>
      </w:r>
      <w:r w:rsidR="00213E8A" w:rsidRPr="00626A7E">
        <w:rPr>
          <w:rFonts w:ascii="Times New Roman" w:hAnsi="Times New Roman" w:cs="Times New Roman"/>
        </w:rPr>
        <w:t>the</w:t>
      </w:r>
      <w:r w:rsidR="008B5B87" w:rsidRPr="00626A7E">
        <w:rPr>
          <w:rFonts w:ascii="Times New Roman" w:hAnsi="Times New Roman" w:cs="Times New Roman"/>
        </w:rPr>
        <w:t xml:space="preserve"> ailing</w:t>
      </w:r>
      <w:r w:rsidR="00213E8A" w:rsidRPr="00626A7E">
        <w:rPr>
          <w:rFonts w:ascii="Times New Roman" w:hAnsi="Times New Roman" w:cs="Times New Roman"/>
        </w:rPr>
        <w:t xml:space="preserve"> N</w:t>
      </w:r>
      <w:r w:rsidR="001F32E1" w:rsidRPr="00626A7E">
        <w:rPr>
          <w:rFonts w:ascii="Times New Roman" w:hAnsi="Times New Roman" w:cs="Times New Roman"/>
        </w:rPr>
        <w:t xml:space="preserve">ational </w:t>
      </w:r>
      <w:r w:rsidR="00213E8A" w:rsidRPr="00626A7E">
        <w:rPr>
          <w:rFonts w:ascii="Times New Roman" w:hAnsi="Times New Roman" w:cs="Times New Roman"/>
        </w:rPr>
        <w:t>E</w:t>
      </w:r>
      <w:r w:rsidR="001F32E1" w:rsidRPr="00626A7E">
        <w:rPr>
          <w:rFonts w:ascii="Times New Roman" w:hAnsi="Times New Roman" w:cs="Times New Roman"/>
        </w:rPr>
        <w:t xml:space="preserve">nterprise </w:t>
      </w:r>
      <w:r w:rsidR="00213E8A" w:rsidRPr="00626A7E">
        <w:rPr>
          <w:rFonts w:ascii="Times New Roman" w:hAnsi="Times New Roman" w:cs="Times New Roman"/>
        </w:rPr>
        <w:t>B</w:t>
      </w:r>
      <w:r w:rsidR="001F32E1" w:rsidRPr="00626A7E">
        <w:rPr>
          <w:rFonts w:ascii="Times New Roman" w:hAnsi="Times New Roman" w:cs="Times New Roman"/>
        </w:rPr>
        <w:t>oard</w:t>
      </w:r>
      <w:r w:rsidR="00C33CE5" w:rsidRPr="00626A7E">
        <w:rPr>
          <w:rFonts w:ascii="Times New Roman" w:hAnsi="Times New Roman" w:cs="Times New Roman"/>
        </w:rPr>
        <w:t>’s blood</w:t>
      </w:r>
      <w:r w:rsidR="000915A5" w:rsidRPr="00626A7E">
        <w:rPr>
          <w:rFonts w:ascii="Times New Roman" w:hAnsi="Times New Roman" w:cs="Times New Roman"/>
        </w:rPr>
        <w:t>.</w:t>
      </w:r>
      <w:r w:rsidR="000915A5" w:rsidRPr="00626A7E">
        <w:rPr>
          <w:rStyle w:val="FootnoteReference"/>
          <w:rFonts w:ascii="Times New Roman" w:hAnsi="Times New Roman" w:cs="Times New Roman"/>
        </w:rPr>
        <w:footnoteReference w:id="31"/>
      </w:r>
      <w:r w:rsidR="000915A5" w:rsidRPr="00626A7E">
        <w:rPr>
          <w:rFonts w:ascii="Times New Roman" w:hAnsi="Times New Roman" w:cs="Times New Roman"/>
        </w:rPr>
        <w:t xml:space="preserve"> This did not quite happen</w:t>
      </w:r>
      <w:r w:rsidR="008B08A2" w:rsidRPr="00626A7E">
        <w:rPr>
          <w:rFonts w:ascii="Times New Roman" w:hAnsi="Times New Roman" w:cs="Times New Roman"/>
        </w:rPr>
        <w:t xml:space="preserve"> as quickly</w:t>
      </w:r>
      <w:r w:rsidR="00920E22" w:rsidRPr="00626A7E">
        <w:rPr>
          <w:rFonts w:ascii="Times New Roman" w:hAnsi="Times New Roman" w:cs="Times New Roman"/>
        </w:rPr>
        <w:t xml:space="preserve"> as</w:t>
      </w:r>
      <w:r w:rsidR="00311D94" w:rsidRPr="00626A7E">
        <w:rPr>
          <w:rFonts w:ascii="Times New Roman" w:hAnsi="Times New Roman" w:cs="Times New Roman"/>
        </w:rPr>
        <w:t xml:space="preserve"> they </w:t>
      </w:r>
      <w:r w:rsidR="00AD39BF" w:rsidRPr="00626A7E">
        <w:rPr>
          <w:rFonts w:ascii="Times New Roman" w:hAnsi="Times New Roman" w:cs="Times New Roman"/>
        </w:rPr>
        <w:t>may have liked</w:t>
      </w:r>
      <w:r w:rsidR="000915A5" w:rsidRPr="00626A7E">
        <w:rPr>
          <w:rFonts w:ascii="Times New Roman" w:hAnsi="Times New Roman" w:cs="Times New Roman"/>
        </w:rPr>
        <w:t>, but</w:t>
      </w:r>
      <w:r w:rsidR="00EB74A0" w:rsidRPr="00626A7E">
        <w:rPr>
          <w:rFonts w:ascii="Times New Roman" w:hAnsi="Times New Roman" w:cs="Times New Roman"/>
        </w:rPr>
        <w:t xml:space="preserve"> </w:t>
      </w:r>
      <w:r w:rsidR="00920E22" w:rsidRPr="00626A7E">
        <w:rPr>
          <w:rFonts w:ascii="Times New Roman" w:hAnsi="Times New Roman" w:cs="Times New Roman"/>
        </w:rPr>
        <w:t>all</w:t>
      </w:r>
      <w:r w:rsidR="00EB74A0" w:rsidRPr="00626A7E">
        <w:rPr>
          <w:rFonts w:ascii="Times New Roman" w:hAnsi="Times New Roman" w:cs="Times New Roman"/>
        </w:rPr>
        <w:t xml:space="preserve"> government </w:t>
      </w:r>
      <w:r w:rsidR="00920E22" w:rsidRPr="00626A7E">
        <w:rPr>
          <w:rFonts w:ascii="Times New Roman" w:hAnsi="Times New Roman" w:cs="Times New Roman"/>
        </w:rPr>
        <w:t>supporters were</w:t>
      </w:r>
      <w:r w:rsidR="00BA04C5" w:rsidRPr="00626A7E">
        <w:rPr>
          <w:rFonts w:ascii="Times New Roman" w:hAnsi="Times New Roman" w:cs="Times New Roman"/>
        </w:rPr>
        <w:t xml:space="preserve"> generally</w:t>
      </w:r>
      <w:r w:rsidR="00783DE2" w:rsidRPr="00626A7E">
        <w:rPr>
          <w:rFonts w:ascii="Times New Roman" w:hAnsi="Times New Roman" w:cs="Times New Roman"/>
        </w:rPr>
        <w:t xml:space="preserve"> </w:t>
      </w:r>
      <w:r w:rsidR="00BA04C5" w:rsidRPr="00626A7E">
        <w:rPr>
          <w:rFonts w:ascii="Times New Roman" w:hAnsi="Times New Roman" w:cs="Times New Roman"/>
        </w:rPr>
        <w:t xml:space="preserve">agreed on what any </w:t>
      </w:r>
      <w:r w:rsidR="00783DE2" w:rsidRPr="00626A7E">
        <w:rPr>
          <w:rFonts w:ascii="Times New Roman" w:hAnsi="Times New Roman" w:cs="Times New Roman"/>
        </w:rPr>
        <w:t xml:space="preserve">rump </w:t>
      </w:r>
      <w:r w:rsidR="00BA04C5" w:rsidRPr="00626A7E">
        <w:rPr>
          <w:rFonts w:ascii="Times New Roman" w:hAnsi="Times New Roman" w:cs="Times New Roman"/>
        </w:rPr>
        <w:t xml:space="preserve">NEB should </w:t>
      </w:r>
      <w:r w:rsidR="00BA04C5" w:rsidRPr="00626A7E">
        <w:rPr>
          <w:rFonts w:ascii="Times New Roman" w:hAnsi="Times New Roman" w:cs="Times New Roman"/>
          <w:i/>
        </w:rPr>
        <w:t xml:space="preserve">not </w:t>
      </w:r>
      <w:r w:rsidR="00BA04C5" w:rsidRPr="00626A7E">
        <w:rPr>
          <w:rFonts w:ascii="Times New Roman" w:hAnsi="Times New Roman" w:cs="Times New Roman"/>
        </w:rPr>
        <w:t xml:space="preserve">do in the 1980s. </w:t>
      </w:r>
      <w:r w:rsidR="00901C70" w:rsidRPr="00626A7E">
        <w:rPr>
          <w:rFonts w:ascii="Times New Roman" w:hAnsi="Times New Roman" w:cs="Times New Roman"/>
        </w:rPr>
        <w:t xml:space="preserve">Thatcher’s Industry Secretary </w:t>
      </w:r>
      <w:r w:rsidR="00654CC1" w:rsidRPr="00626A7E">
        <w:rPr>
          <w:rFonts w:ascii="Times New Roman" w:hAnsi="Times New Roman" w:cs="Times New Roman"/>
        </w:rPr>
        <w:t xml:space="preserve">Keith Joseph </w:t>
      </w:r>
      <w:r w:rsidR="00BA04C5" w:rsidRPr="00626A7E">
        <w:rPr>
          <w:rFonts w:ascii="Times New Roman" w:hAnsi="Times New Roman" w:cs="Times New Roman"/>
        </w:rPr>
        <w:t>saw ‘no public benefit in enabling the NEB to act as a general merchant bank, and its powers to promote businesses, or buy shares in them will be restricted within very clearly defined limits.’</w:t>
      </w:r>
      <w:r w:rsidR="00BA04C5" w:rsidRPr="00626A7E">
        <w:rPr>
          <w:rStyle w:val="FootnoteReference"/>
          <w:rFonts w:ascii="Times New Roman" w:hAnsi="Times New Roman" w:cs="Times New Roman"/>
        </w:rPr>
        <w:footnoteReference w:id="32"/>
      </w:r>
      <w:r w:rsidR="00904428" w:rsidRPr="00626A7E">
        <w:rPr>
          <w:rFonts w:ascii="Times New Roman" w:hAnsi="Times New Roman" w:cs="Times New Roman"/>
        </w:rPr>
        <w:t xml:space="preserve"> </w:t>
      </w:r>
      <w:r w:rsidR="007F3884" w:rsidRPr="00626A7E">
        <w:rPr>
          <w:rFonts w:ascii="Times New Roman" w:hAnsi="Times New Roman" w:cs="Times New Roman"/>
        </w:rPr>
        <w:t xml:space="preserve">Strategic intervention was not to be </w:t>
      </w:r>
      <w:r w:rsidR="00E279E6" w:rsidRPr="00626A7E">
        <w:rPr>
          <w:rFonts w:ascii="Times New Roman" w:hAnsi="Times New Roman" w:cs="Times New Roman"/>
        </w:rPr>
        <w:t>Thatcher’s</w:t>
      </w:r>
      <w:r w:rsidR="007F3884" w:rsidRPr="00626A7E">
        <w:rPr>
          <w:rFonts w:ascii="Times New Roman" w:hAnsi="Times New Roman" w:cs="Times New Roman"/>
        </w:rPr>
        <w:t xml:space="preserve"> mission. </w:t>
      </w:r>
      <w:r w:rsidR="00904428" w:rsidRPr="00626A7E">
        <w:rPr>
          <w:rFonts w:ascii="Times New Roman" w:hAnsi="Times New Roman" w:cs="Times New Roman"/>
        </w:rPr>
        <w:t xml:space="preserve">In 1981 the NEB would merge with the National Research Development Corporation to form the British Technology Group, whose aim was to commercialise publically funded developments. </w:t>
      </w:r>
      <w:r w:rsidR="00654CC1" w:rsidRPr="00626A7E">
        <w:rPr>
          <w:rFonts w:ascii="Times New Roman" w:hAnsi="Times New Roman" w:cs="Times New Roman"/>
        </w:rPr>
        <w:t xml:space="preserve">As with 3i, </w:t>
      </w:r>
      <w:r w:rsidR="008B08A2" w:rsidRPr="00626A7E">
        <w:rPr>
          <w:rFonts w:ascii="Times New Roman" w:hAnsi="Times New Roman" w:cs="Times New Roman"/>
        </w:rPr>
        <w:t xml:space="preserve">even </w:t>
      </w:r>
      <w:r w:rsidR="00904428" w:rsidRPr="00626A7E">
        <w:rPr>
          <w:rFonts w:ascii="Times New Roman" w:hAnsi="Times New Roman" w:cs="Times New Roman"/>
        </w:rPr>
        <w:t>this</w:t>
      </w:r>
      <w:r w:rsidR="008B08A2" w:rsidRPr="00626A7E">
        <w:rPr>
          <w:rFonts w:ascii="Times New Roman" w:hAnsi="Times New Roman" w:cs="Times New Roman"/>
        </w:rPr>
        <w:t xml:space="preserve"> truncated body would be</w:t>
      </w:r>
      <w:r w:rsidR="00904428" w:rsidRPr="00626A7E">
        <w:rPr>
          <w:rFonts w:ascii="Times New Roman" w:hAnsi="Times New Roman" w:cs="Times New Roman"/>
        </w:rPr>
        <w:t xml:space="preserve"> </w:t>
      </w:r>
      <w:r w:rsidR="005E14C4" w:rsidRPr="00626A7E">
        <w:rPr>
          <w:rFonts w:ascii="Times New Roman" w:hAnsi="Times New Roman" w:cs="Times New Roman"/>
        </w:rPr>
        <w:t xml:space="preserve">fully </w:t>
      </w:r>
      <w:r w:rsidR="00000346" w:rsidRPr="00626A7E">
        <w:rPr>
          <w:rFonts w:ascii="Times New Roman" w:hAnsi="Times New Roman" w:cs="Times New Roman"/>
        </w:rPr>
        <w:t xml:space="preserve">privatised </w:t>
      </w:r>
      <w:r w:rsidR="009B4830" w:rsidRPr="00626A7E">
        <w:rPr>
          <w:rFonts w:ascii="Times New Roman" w:hAnsi="Times New Roman" w:cs="Times New Roman"/>
        </w:rPr>
        <w:t xml:space="preserve">under Major </w:t>
      </w:r>
      <w:r w:rsidR="00A132A7" w:rsidRPr="00626A7E">
        <w:rPr>
          <w:rFonts w:ascii="Times New Roman" w:hAnsi="Times New Roman" w:cs="Times New Roman"/>
        </w:rPr>
        <w:t>in the 1990s</w:t>
      </w:r>
      <w:r w:rsidR="00904428" w:rsidRPr="00626A7E">
        <w:rPr>
          <w:rFonts w:ascii="Times New Roman" w:hAnsi="Times New Roman" w:cs="Times New Roman"/>
        </w:rPr>
        <w:t>.</w:t>
      </w:r>
      <w:r w:rsidR="00B616F8" w:rsidRPr="00626A7E">
        <w:rPr>
          <w:rFonts w:ascii="Times New Roman" w:hAnsi="Times New Roman" w:cs="Times New Roman"/>
        </w:rPr>
        <w:t xml:space="preserve"> </w:t>
      </w:r>
    </w:p>
    <w:p w14:paraId="1353EDBA" w14:textId="77777777" w:rsidR="00214433" w:rsidRPr="00626A7E" w:rsidRDefault="00214433" w:rsidP="00BA04C5">
      <w:pPr>
        <w:widowControl w:val="0"/>
        <w:autoSpaceDE w:val="0"/>
        <w:autoSpaceDN w:val="0"/>
        <w:adjustRightInd w:val="0"/>
        <w:spacing w:line="360" w:lineRule="auto"/>
        <w:jc w:val="both"/>
        <w:rPr>
          <w:rFonts w:ascii="Times New Roman" w:hAnsi="Times New Roman" w:cs="Times New Roman"/>
        </w:rPr>
      </w:pPr>
    </w:p>
    <w:p w14:paraId="15D3B8A3" w14:textId="1D6CCE5C" w:rsidR="00214433" w:rsidRPr="00C31042" w:rsidRDefault="00214433" w:rsidP="00BA04C5">
      <w:pPr>
        <w:widowControl w:val="0"/>
        <w:autoSpaceDE w:val="0"/>
        <w:autoSpaceDN w:val="0"/>
        <w:adjustRightInd w:val="0"/>
        <w:spacing w:line="360" w:lineRule="auto"/>
        <w:jc w:val="both"/>
        <w:rPr>
          <w:rFonts w:ascii="Times New Roman" w:hAnsi="Times New Roman" w:cs="Times New Roman"/>
          <w:b/>
        </w:rPr>
      </w:pPr>
      <w:r w:rsidRPr="00C31042">
        <w:rPr>
          <w:rFonts w:ascii="Times New Roman" w:hAnsi="Times New Roman" w:cs="Times New Roman"/>
          <w:b/>
        </w:rPr>
        <w:t>Michael Foot’s National Investment Bank</w:t>
      </w:r>
    </w:p>
    <w:p w14:paraId="22B0DA0D" w14:textId="0619C1CE" w:rsidR="002644A5" w:rsidRPr="00626A7E" w:rsidRDefault="0002234F" w:rsidP="002644A5">
      <w:pPr>
        <w:widowControl w:val="0"/>
        <w:autoSpaceDE w:val="0"/>
        <w:autoSpaceDN w:val="0"/>
        <w:adjustRightInd w:val="0"/>
        <w:spacing w:line="360" w:lineRule="auto"/>
        <w:jc w:val="both"/>
        <w:rPr>
          <w:rFonts w:ascii="Times New Roman" w:eastAsia="Times New Roman" w:hAnsi="Times New Roman" w:cs="Times New Roman"/>
          <w:lang w:eastAsia="en-GB"/>
        </w:rPr>
      </w:pPr>
      <w:r w:rsidRPr="00626A7E">
        <w:rPr>
          <w:rFonts w:ascii="Times New Roman" w:hAnsi="Times New Roman" w:cs="Times New Roman"/>
        </w:rPr>
        <w:t xml:space="preserve">Despite a seemingly </w:t>
      </w:r>
      <w:r w:rsidR="00A9341B" w:rsidRPr="00626A7E">
        <w:rPr>
          <w:rFonts w:ascii="Times New Roman" w:hAnsi="Times New Roman" w:cs="Times New Roman"/>
        </w:rPr>
        <w:t>disadvantageous</w:t>
      </w:r>
      <w:r w:rsidRPr="00626A7E">
        <w:rPr>
          <w:rFonts w:ascii="Times New Roman" w:hAnsi="Times New Roman" w:cs="Times New Roman"/>
        </w:rPr>
        <w:t xml:space="preserve"> political climate,</w:t>
      </w:r>
      <w:r w:rsidR="0084493E" w:rsidRPr="00626A7E">
        <w:rPr>
          <w:rFonts w:ascii="Times New Roman" w:hAnsi="Times New Roman" w:cs="Times New Roman"/>
        </w:rPr>
        <w:t xml:space="preserve"> </w:t>
      </w:r>
      <w:r w:rsidR="002644A5" w:rsidRPr="00626A7E">
        <w:rPr>
          <w:rFonts w:ascii="Times New Roman" w:hAnsi="Times New Roman" w:cs="Times New Roman"/>
        </w:rPr>
        <w:t xml:space="preserve">the election of Michael Foot as Labour leader in November 1980 </w:t>
      </w:r>
      <w:r w:rsidR="0084493E" w:rsidRPr="00626A7E">
        <w:rPr>
          <w:rFonts w:ascii="Times New Roman" w:hAnsi="Times New Roman" w:cs="Times New Roman"/>
        </w:rPr>
        <w:t xml:space="preserve">meant </w:t>
      </w:r>
      <w:r w:rsidR="002644A5" w:rsidRPr="00626A7E">
        <w:rPr>
          <w:rFonts w:ascii="Times New Roman" w:hAnsi="Times New Roman" w:cs="Times New Roman"/>
        </w:rPr>
        <w:t>the prospect of a</w:t>
      </w:r>
      <w:r w:rsidR="008814FA" w:rsidRPr="00626A7E">
        <w:rPr>
          <w:rFonts w:ascii="Times New Roman" w:hAnsi="Times New Roman" w:cs="Times New Roman"/>
        </w:rPr>
        <w:t xml:space="preserve"> ‘Macmillan Gap’ solving</w:t>
      </w:r>
      <w:r w:rsidR="002644A5" w:rsidRPr="00626A7E">
        <w:rPr>
          <w:rFonts w:ascii="Times New Roman" w:hAnsi="Times New Roman" w:cs="Times New Roman"/>
        </w:rPr>
        <w:t xml:space="preserve"> National Investment Bank was back on the agenda. </w:t>
      </w:r>
      <w:r w:rsidR="0027024D" w:rsidRPr="00626A7E">
        <w:rPr>
          <w:rFonts w:ascii="Times New Roman" w:hAnsi="Times New Roman" w:cs="Times New Roman"/>
        </w:rPr>
        <w:t>F</w:t>
      </w:r>
      <w:r w:rsidR="00A755E9" w:rsidRPr="00626A7E">
        <w:rPr>
          <w:rFonts w:ascii="Times New Roman" w:hAnsi="Times New Roman" w:cs="Times New Roman"/>
        </w:rPr>
        <w:t>or all the New Right attempt</w:t>
      </w:r>
      <w:r w:rsidR="00050ECF">
        <w:rPr>
          <w:rFonts w:ascii="Times New Roman" w:hAnsi="Times New Roman" w:cs="Times New Roman"/>
        </w:rPr>
        <w:t>s</w:t>
      </w:r>
      <w:r w:rsidR="00A755E9" w:rsidRPr="00626A7E">
        <w:rPr>
          <w:rFonts w:ascii="Times New Roman" w:hAnsi="Times New Roman" w:cs="Times New Roman"/>
        </w:rPr>
        <w:t xml:space="preserve"> to own the economic narrative, t</w:t>
      </w:r>
      <w:r w:rsidR="002644A5" w:rsidRPr="00626A7E">
        <w:rPr>
          <w:rFonts w:ascii="Times New Roman" w:hAnsi="Times New Roman" w:cs="Times New Roman"/>
        </w:rPr>
        <w:t>his was not with</w:t>
      </w:r>
      <w:r w:rsidR="004E4AE2" w:rsidRPr="00626A7E">
        <w:rPr>
          <w:rFonts w:ascii="Times New Roman" w:hAnsi="Times New Roman" w:cs="Times New Roman"/>
        </w:rPr>
        <w:t>out</w:t>
      </w:r>
      <w:r w:rsidR="002644A5" w:rsidRPr="00626A7E">
        <w:rPr>
          <w:rFonts w:ascii="Times New Roman" w:hAnsi="Times New Roman" w:cs="Times New Roman"/>
        </w:rPr>
        <w:t xml:space="preserve"> significant political cover</w:t>
      </w:r>
      <w:r w:rsidR="00141E6B" w:rsidRPr="00626A7E">
        <w:rPr>
          <w:rFonts w:ascii="Times New Roman" w:hAnsi="Times New Roman" w:cs="Times New Roman"/>
        </w:rPr>
        <w:t xml:space="preserve">. </w:t>
      </w:r>
      <w:r w:rsidR="002644A5" w:rsidRPr="00626A7E">
        <w:rPr>
          <w:rFonts w:ascii="Times New Roman" w:hAnsi="Times New Roman" w:cs="Times New Roman"/>
        </w:rPr>
        <w:t xml:space="preserve">As </w:t>
      </w:r>
      <w:r w:rsidR="00BE5C63" w:rsidRPr="00626A7E">
        <w:rPr>
          <w:rFonts w:ascii="Times New Roman" w:hAnsi="Times New Roman" w:cs="Times New Roman"/>
        </w:rPr>
        <w:t xml:space="preserve">James </w:t>
      </w:r>
      <w:r w:rsidR="002644A5" w:rsidRPr="00626A7E">
        <w:rPr>
          <w:rFonts w:ascii="Times New Roman" w:hAnsi="Times New Roman" w:cs="Times New Roman"/>
        </w:rPr>
        <w:t xml:space="preserve">Fulcher notes, ‘the single </w:t>
      </w:r>
      <w:r w:rsidR="002644A5" w:rsidRPr="00626A7E">
        <w:rPr>
          <w:rFonts w:ascii="Times New Roman" w:hAnsi="Times New Roman" w:cs="Times New Roman"/>
        </w:rPr>
        <w:lastRenderedPageBreak/>
        <w:t>most important fact in understanding 1980s Britain is the decline in industrial profitability in the previous two decades. This, as measured by the net profit rate, fell from 17.5 per cent in 1960 to a low of 1.7 per cent in 1981.’</w:t>
      </w:r>
      <w:r w:rsidR="002644A5" w:rsidRPr="00626A7E">
        <w:rPr>
          <w:rStyle w:val="FootnoteReference"/>
          <w:rFonts w:ascii="Times New Roman" w:hAnsi="Times New Roman" w:cs="Times New Roman"/>
        </w:rPr>
        <w:footnoteReference w:id="33"/>
      </w:r>
      <w:r w:rsidR="002644A5" w:rsidRPr="00626A7E">
        <w:rPr>
          <w:rFonts w:ascii="Times New Roman" w:hAnsi="Times New Roman" w:cs="Times New Roman"/>
        </w:rPr>
        <w:t xml:space="preserve"> Something was going disastrously wrong with British capitalism, and </w:t>
      </w:r>
      <w:r w:rsidR="004E4AE2" w:rsidRPr="00626A7E">
        <w:rPr>
          <w:rFonts w:ascii="Times New Roman" w:hAnsi="Times New Roman" w:cs="Times New Roman"/>
        </w:rPr>
        <w:t>a re-calibration was indeed</w:t>
      </w:r>
      <w:r w:rsidR="002644A5" w:rsidRPr="00626A7E">
        <w:rPr>
          <w:rFonts w:ascii="Times New Roman" w:hAnsi="Times New Roman" w:cs="Times New Roman"/>
        </w:rPr>
        <w:t xml:space="preserve"> needed. Likewise, the success of </w:t>
      </w:r>
      <w:r w:rsidR="00141E6B" w:rsidRPr="00626A7E">
        <w:rPr>
          <w:rFonts w:ascii="Times New Roman" w:hAnsi="Times New Roman" w:cs="Times New Roman"/>
        </w:rPr>
        <w:t xml:space="preserve">the aforementioned </w:t>
      </w:r>
      <w:r w:rsidR="002644A5" w:rsidRPr="00626A7E">
        <w:rPr>
          <w:rFonts w:ascii="Times New Roman" w:hAnsi="Times New Roman" w:cs="Times New Roman"/>
        </w:rPr>
        <w:t xml:space="preserve">analogous institutions </w:t>
      </w:r>
      <w:r w:rsidR="008652AE" w:rsidRPr="00626A7E">
        <w:rPr>
          <w:rFonts w:ascii="Times New Roman" w:hAnsi="Times New Roman" w:cs="Times New Roman"/>
        </w:rPr>
        <w:t xml:space="preserve">to the NIB </w:t>
      </w:r>
      <w:r w:rsidR="00141E6B" w:rsidRPr="00626A7E">
        <w:rPr>
          <w:rFonts w:ascii="Times New Roman" w:hAnsi="Times New Roman" w:cs="Times New Roman"/>
        </w:rPr>
        <w:t>on the continent</w:t>
      </w:r>
      <w:r w:rsidR="004B7018" w:rsidRPr="00626A7E">
        <w:rPr>
          <w:rFonts w:ascii="Times New Roman" w:hAnsi="Times New Roman" w:cs="Times New Roman"/>
        </w:rPr>
        <w:t xml:space="preserve"> was not unknown in Westminster</w:t>
      </w:r>
      <w:r w:rsidR="002644A5" w:rsidRPr="00626A7E">
        <w:rPr>
          <w:rFonts w:ascii="Times New Roman" w:hAnsi="Times New Roman" w:cs="Times New Roman"/>
        </w:rPr>
        <w:t xml:space="preserve">. </w:t>
      </w:r>
      <w:r w:rsidR="00EF6BC4" w:rsidRPr="00626A7E">
        <w:rPr>
          <w:rFonts w:ascii="Times New Roman" w:hAnsi="Times New Roman" w:cs="Times New Roman"/>
        </w:rPr>
        <w:t xml:space="preserve">In late </w:t>
      </w:r>
      <w:r w:rsidR="00050ECF" w:rsidRPr="00626A7E">
        <w:rPr>
          <w:rFonts w:ascii="Times New Roman" w:hAnsi="Times New Roman" w:cs="Times New Roman"/>
        </w:rPr>
        <w:t>1980,</w:t>
      </w:r>
      <w:r w:rsidR="002644A5" w:rsidRPr="00626A7E">
        <w:rPr>
          <w:rFonts w:ascii="Times New Roman" w:hAnsi="Times New Roman" w:cs="Times New Roman"/>
        </w:rPr>
        <w:t xml:space="preserve"> Nigel Lawson fielded a parliamentary question on the potential for the government providing preferential interest rates for particular areas of commerce and industry</w:t>
      </w:r>
      <w:r w:rsidR="00E81D11" w:rsidRPr="00626A7E">
        <w:rPr>
          <w:rFonts w:ascii="Times New Roman" w:hAnsi="Times New Roman" w:cs="Times New Roman"/>
        </w:rPr>
        <w:t xml:space="preserve"> – to help close, </w:t>
      </w:r>
      <w:r w:rsidR="004E4AE2" w:rsidRPr="00626A7E">
        <w:rPr>
          <w:rFonts w:ascii="Times New Roman" w:hAnsi="Times New Roman" w:cs="Times New Roman"/>
        </w:rPr>
        <w:t xml:space="preserve">in other words, </w:t>
      </w:r>
      <w:r w:rsidR="00891D80" w:rsidRPr="00626A7E">
        <w:rPr>
          <w:rFonts w:ascii="Times New Roman" w:hAnsi="Times New Roman" w:cs="Times New Roman"/>
        </w:rPr>
        <w:t>various</w:t>
      </w:r>
      <w:r w:rsidR="00E81D11" w:rsidRPr="00626A7E">
        <w:rPr>
          <w:rFonts w:ascii="Times New Roman" w:hAnsi="Times New Roman" w:cs="Times New Roman"/>
        </w:rPr>
        <w:t xml:space="preserve"> sectoral </w:t>
      </w:r>
      <w:r w:rsidR="00DE03E5" w:rsidRPr="00626A7E">
        <w:rPr>
          <w:rFonts w:ascii="Times New Roman" w:hAnsi="Times New Roman" w:cs="Times New Roman"/>
        </w:rPr>
        <w:t>Macmillan Gap</w:t>
      </w:r>
      <w:r w:rsidR="00E81D11" w:rsidRPr="00626A7E">
        <w:rPr>
          <w:rFonts w:ascii="Times New Roman" w:hAnsi="Times New Roman" w:cs="Times New Roman"/>
        </w:rPr>
        <w:t xml:space="preserve">s. In </w:t>
      </w:r>
      <w:r w:rsidR="00BE1E12" w:rsidRPr="00626A7E">
        <w:rPr>
          <w:rFonts w:ascii="Times New Roman" w:hAnsi="Times New Roman" w:cs="Times New Roman"/>
        </w:rPr>
        <w:t>response,</w:t>
      </w:r>
      <w:r w:rsidR="00E81D11" w:rsidRPr="00626A7E">
        <w:rPr>
          <w:rFonts w:ascii="Times New Roman" w:hAnsi="Times New Roman" w:cs="Times New Roman"/>
        </w:rPr>
        <w:t xml:space="preserve"> Lawson </w:t>
      </w:r>
      <w:r w:rsidR="002644A5" w:rsidRPr="00626A7E">
        <w:rPr>
          <w:rFonts w:ascii="Times New Roman" w:hAnsi="Times New Roman" w:cs="Times New Roman"/>
        </w:rPr>
        <w:t>acknowledged that ‘</w:t>
      </w:r>
      <w:r w:rsidR="002644A5" w:rsidRPr="00626A7E">
        <w:rPr>
          <w:rFonts w:ascii="Times New Roman" w:eastAsia="Times New Roman" w:hAnsi="Times New Roman" w:cs="Times New Roman"/>
          <w:lang w:eastAsia="en-GB"/>
        </w:rPr>
        <w:t>there are schemes which apply on a country wide basis in four EEC member States: Germany, France, Italy and Belgium.’ He told the Commons that in the French case total interest rate subsidies for particular indust</w:t>
      </w:r>
      <w:r w:rsidR="00736347" w:rsidRPr="00626A7E">
        <w:rPr>
          <w:rFonts w:ascii="Times New Roman" w:eastAsia="Times New Roman" w:hAnsi="Times New Roman" w:cs="Times New Roman"/>
          <w:lang w:eastAsia="en-GB"/>
        </w:rPr>
        <w:t xml:space="preserve">ries in 1979 had amounted to </w:t>
      </w:r>
      <w:r w:rsidR="002644A5" w:rsidRPr="00626A7E">
        <w:rPr>
          <w:rFonts w:ascii="Times New Roman" w:eastAsia="Times New Roman" w:hAnsi="Times New Roman" w:cs="Times New Roman"/>
          <w:lang w:eastAsia="en-GB"/>
        </w:rPr>
        <w:t xml:space="preserve">about 3.1bn francs (0.6% of total budget expenditure). Rejecting such a course </w:t>
      </w:r>
      <w:r w:rsidR="00640790" w:rsidRPr="00626A7E">
        <w:rPr>
          <w:rFonts w:ascii="Times New Roman" w:eastAsia="Times New Roman" w:hAnsi="Times New Roman" w:cs="Times New Roman"/>
          <w:lang w:eastAsia="en-GB"/>
        </w:rPr>
        <w:t>however</w:t>
      </w:r>
      <w:r w:rsidR="002644A5" w:rsidRPr="00626A7E">
        <w:rPr>
          <w:rFonts w:ascii="Times New Roman" w:eastAsia="Times New Roman" w:hAnsi="Times New Roman" w:cs="Times New Roman"/>
          <w:lang w:eastAsia="en-GB"/>
        </w:rPr>
        <w:t>, he noted that ‘the Government would inevitably have to subsidise, either directly or indirectly, lower interest rates for industry, thus adding to the public sector borrowing requirement.’</w:t>
      </w:r>
      <w:r w:rsidR="00F134E5" w:rsidRPr="00626A7E">
        <w:rPr>
          <w:rStyle w:val="FootnoteReference"/>
          <w:rFonts w:ascii="Times New Roman" w:eastAsia="Times New Roman" w:hAnsi="Times New Roman" w:cs="Times New Roman"/>
          <w:lang w:eastAsia="en-GB"/>
        </w:rPr>
        <w:footnoteReference w:id="34"/>
      </w:r>
      <w:r w:rsidR="002644A5" w:rsidRPr="00626A7E">
        <w:rPr>
          <w:rFonts w:ascii="Times New Roman" w:eastAsia="Times New Roman" w:hAnsi="Times New Roman" w:cs="Times New Roman"/>
          <w:lang w:eastAsia="en-GB"/>
        </w:rPr>
        <w:t xml:space="preserve"> In the wake of Labour goin</w:t>
      </w:r>
      <w:r w:rsidR="00A9341B" w:rsidRPr="00626A7E">
        <w:rPr>
          <w:rFonts w:ascii="Times New Roman" w:eastAsia="Times New Roman" w:hAnsi="Times New Roman" w:cs="Times New Roman"/>
          <w:lang w:eastAsia="en-GB"/>
        </w:rPr>
        <w:t xml:space="preserve">g </w:t>
      </w:r>
      <w:r w:rsidR="00334F45" w:rsidRPr="00626A7E">
        <w:rPr>
          <w:rFonts w:ascii="Times New Roman" w:eastAsia="Times New Roman" w:hAnsi="Times New Roman" w:cs="Times New Roman"/>
          <w:lang w:eastAsia="en-GB"/>
        </w:rPr>
        <w:t>‘</w:t>
      </w:r>
      <w:r w:rsidR="00A9341B" w:rsidRPr="00626A7E">
        <w:rPr>
          <w:rFonts w:ascii="Times New Roman" w:eastAsia="Times New Roman" w:hAnsi="Times New Roman" w:cs="Times New Roman"/>
          <w:lang w:eastAsia="en-GB"/>
        </w:rPr>
        <w:t>cap in hand</w:t>
      </w:r>
      <w:r w:rsidR="00334F45" w:rsidRPr="00626A7E">
        <w:rPr>
          <w:rFonts w:ascii="Times New Roman" w:eastAsia="Times New Roman" w:hAnsi="Times New Roman" w:cs="Times New Roman"/>
          <w:lang w:eastAsia="en-GB"/>
        </w:rPr>
        <w:t>’</w:t>
      </w:r>
      <w:r w:rsidR="00A9341B" w:rsidRPr="00626A7E">
        <w:rPr>
          <w:rFonts w:ascii="Times New Roman" w:eastAsia="Times New Roman" w:hAnsi="Times New Roman" w:cs="Times New Roman"/>
          <w:lang w:eastAsia="en-GB"/>
        </w:rPr>
        <w:t xml:space="preserve"> to the IMF in 1976</w:t>
      </w:r>
      <w:r w:rsidR="002644A5" w:rsidRPr="00626A7E">
        <w:rPr>
          <w:rFonts w:ascii="Times New Roman" w:eastAsia="Times New Roman" w:hAnsi="Times New Roman" w:cs="Times New Roman"/>
          <w:lang w:eastAsia="en-GB"/>
        </w:rPr>
        <w:t xml:space="preserve">, this was no small argument, but the fact was it had once again become </w:t>
      </w:r>
      <w:r w:rsidR="002644A5" w:rsidRPr="00626A7E">
        <w:rPr>
          <w:rFonts w:ascii="Times New Roman" w:eastAsia="Times New Roman" w:hAnsi="Times New Roman" w:cs="Times New Roman"/>
          <w:i/>
          <w:lang w:eastAsia="en-GB"/>
        </w:rPr>
        <w:t xml:space="preserve">an </w:t>
      </w:r>
      <w:r w:rsidR="002644A5" w:rsidRPr="00626A7E">
        <w:rPr>
          <w:rFonts w:ascii="Times New Roman" w:eastAsia="Times New Roman" w:hAnsi="Times New Roman" w:cs="Times New Roman"/>
          <w:lang w:eastAsia="en-GB"/>
        </w:rPr>
        <w:t>argument.</w:t>
      </w:r>
      <w:r w:rsidR="00F80118" w:rsidRPr="00626A7E">
        <w:rPr>
          <w:rFonts w:ascii="Times New Roman" w:eastAsia="Times New Roman" w:hAnsi="Times New Roman" w:cs="Times New Roman"/>
          <w:lang w:eastAsia="en-GB"/>
        </w:rPr>
        <w:t xml:space="preserve"> </w:t>
      </w:r>
    </w:p>
    <w:p w14:paraId="50161C4C" w14:textId="77777777" w:rsidR="002A1D4D" w:rsidRPr="00626A7E" w:rsidRDefault="002A1D4D" w:rsidP="002644A5">
      <w:pPr>
        <w:widowControl w:val="0"/>
        <w:autoSpaceDE w:val="0"/>
        <w:autoSpaceDN w:val="0"/>
        <w:adjustRightInd w:val="0"/>
        <w:spacing w:line="360" w:lineRule="auto"/>
        <w:jc w:val="both"/>
        <w:rPr>
          <w:rFonts w:ascii="Times New Roman" w:eastAsia="Times New Roman" w:hAnsi="Times New Roman" w:cs="Times New Roman"/>
          <w:lang w:eastAsia="en-GB"/>
        </w:rPr>
      </w:pPr>
    </w:p>
    <w:p w14:paraId="7B487E33" w14:textId="55D211C4" w:rsidR="002A1D4D" w:rsidRPr="00626A7E" w:rsidRDefault="009D68B7"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eastAsia="Times New Roman" w:hAnsi="Times New Roman" w:cs="Times New Roman"/>
          <w:lang w:eastAsia="en-GB"/>
        </w:rPr>
        <w:t>Crucially, under Foot</w:t>
      </w:r>
      <w:r w:rsidR="0094400C" w:rsidRPr="00626A7E">
        <w:rPr>
          <w:rFonts w:ascii="Times New Roman" w:eastAsia="Times New Roman" w:hAnsi="Times New Roman" w:cs="Times New Roman"/>
          <w:lang w:eastAsia="en-GB"/>
        </w:rPr>
        <w:t xml:space="preserve"> t</w:t>
      </w:r>
      <w:r w:rsidR="0031091C" w:rsidRPr="00626A7E">
        <w:rPr>
          <w:rFonts w:ascii="Times New Roman" w:eastAsia="Times New Roman" w:hAnsi="Times New Roman" w:cs="Times New Roman"/>
          <w:lang w:eastAsia="en-GB"/>
        </w:rPr>
        <w:t>he</w:t>
      </w:r>
      <w:r w:rsidR="0094400C" w:rsidRPr="00626A7E">
        <w:rPr>
          <w:rFonts w:ascii="Times New Roman" w:eastAsia="Times New Roman" w:hAnsi="Times New Roman" w:cs="Times New Roman"/>
          <w:lang w:eastAsia="en-GB"/>
        </w:rPr>
        <w:t xml:space="preserve"> NIB</w:t>
      </w:r>
      <w:r w:rsidR="0031091C" w:rsidRPr="00626A7E">
        <w:rPr>
          <w:rFonts w:ascii="Times New Roman" w:eastAsia="Times New Roman" w:hAnsi="Times New Roman" w:cs="Times New Roman"/>
          <w:lang w:eastAsia="en-GB"/>
        </w:rPr>
        <w:t xml:space="preserve"> policy</w:t>
      </w:r>
      <w:r w:rsidR="0094400C" w:rsidRPr="00626A7E">
        <w:rPr>
          <w:rFonts w:ascii="Times New Roman" w:eastAsia="Times New Roman" w:hAnsi="Times New Roman" w:cs="Times New Roman"/>
          <w:lang w:eastAsia="en-GB"/>
        </w:rPr>
        <w:t xml:space="preserve"> was </w:t>
      </w:r>
      <w:r w:rsidR="0031091C" w:rsidRPr="00626A7E">
        <w:rPr>
          <w:rFonts w:ascii="Times New Roman" w:eastAsia="Times New Roman" w:hAnsi="Times New Roman" w:cs="Times New Roman"/>
          <w:lang w:eastAsia="en-GB"/>
        </w:rPr>
        <w:t xml:space="preserve">driven by the far left of the labour movement. </w:t>
      </w:r>
      <w:r w:rsidR="002A1D4D" w:rsidRPr="00626A7E">
        <w:rPr>
          <w:rFonts w:ascii="Times New Roman" w:eastAsia="Times New Roman" w:hAnsi="Times New Roman" w:cs="Times New Roman"/>
          <w:lang w:eastAsia="en-GB"/>
        </w:rPr>
        <w:t xml:space="preserve">In September 1981 Les Wood, General Secretary of the UCATT union, stated that pension funds should be </w:t>
      </w:r>
      <w:r w:rsidR="00BE1E12" w:rsidRPr="00626A7E">
        <w:rPr>
          <w:rFonts w:ascii="Times New Roman" w:eastAsia="Times New Roman" w:hAnsi="Times New Roman" w:cs="Times New Roman"/>
          <w:lang w:eastAsia="en-GB"/>
        </w:rPr>
        <w:t xml:space="preserve">nationalised </w:t>
      </w:r>
      <w:r w:rsidR="002A1D4D" w:rsidRPr="00626A7E">
        <w:rPr>
          <w:rFonts w:ascii="Times New Roman" w:eastAsia="Times New Roman" w:hAnsi="Times New Roman" w:cs="Times New Roman"/>
          <w:lang w:eastAsia="en-GB"/>
        </w:rPr>
        <w:t xml:space="preserve">if their trustees refused to use them </w:t>
      </w:r>
      <w:r w:rsidR="00A9341B" w:rsidRPr="00626A7E">
        <w:rPr>
          <w:rFonts w:ascii="Times New Roman" w:eastAsia="Times New Roman" w:hAnsi="Times New Roman" w:cs="Times New Roman"/>
          <w:lang w:eastAsia="en-GB"/>
        </w:rPr>
        <w:t xml:space="preserve">to </w:t>
      </w:r>
      <w:r w:rsidR="002A1D4D" w:rsidRPr="00626A7E">
        <w:rPr>
          <w:rFonts w:ascii="Times New Roman" w:eastAsia="Times New Roman" w:hAnsi="Times New Roman" w:cs="Times New Roman"/>
          <w:lang w:eastAsia="en-GB"/>
        </w:rPr>
        <w:t>aid British industry: ‘we do not want a national investment bank to become a sec</w:t>
      </w:r>
      <w:r w:rsidR="00857F84" w:rsidRPr="00626A7E">
        <w:rPr>
          <w:rFonts w:ascii="Times New Roman" w:eastAsia="Times New Roman" w:hAnsi="Times New Roman" w:cs="Times New Roman"/>
          <w:lang w:eastAsia="en-GB"/>
        </w:rPr>
        <w:t xml:space="preserve">ond cousin of Giro,’ </w:t>
      </w:r>
      <w:r w:rsidR="004C598B" w:rsidRPr="00626A7E">
        <w:rPr>
          <w:rFonts w:ascii="Times New Roman" w:eastAsia="Times New Roman" w:hAnsi="Times New Roman" w:cs="Times New Roman"/>
          <w:lang w:eastAsia="en-GB"/>
        </w:rPr>
        <w:t>instead ‘</w:t>
      </w:r>
      <w:r w:rsidR="002A1D4D" w:rsidRPr="00626A7E">
        <w:rPr>
          <w:rFonts w:ascii="Times New Roman" w:eastAsia="Times New Roman" w:hAnsi="Times New Roman" w:cs="Times New Roman"/>
          <w:lang w:eastAsia="en-GB"/>
        </w:rPr>
        <w:t>we want it to provide jobs for people.’</w:t>
      </w:r>
      <w:r w:rsidR="002A1D4D" w:rsidRPr="00626A7E">
        <w:rPr>
          <w:rStyle w:val="FootnoteReference"/>
          <w:rFonts w:ascii="Times New Roman" w:eastAsia="Times New Roman" w:hAnsi="Times New Roman" w:cs="Times New Roman"/>
          <w:lang w:eastAsia="en-GB"/>
        </w:rPr>
        <w:footnoteReference w:id="35"/>
      </w:r>
      <w:r w:rsidR="00335ACE" w:rsidRPr="00626A7E">
        <w:rPr>
          <w:rFonts w:ascii="Times New Roman" w:eastAsia="Times New Roman" w:hAnsi="Times New Roman" w:cs="Times New Roman"/>
          <w:lang w:eastAsia="en-GB"/>
        </w:rPr>
        <w:t xml:space="preserve"> </w:t>
      </w:r>
      <w:r w:rsidR="006525E3" w:rsidRPr="00626A7E">
        <w:rPr>
          <w:rFonts w:ascii="Times New Roman" w:eastAsia="Times New Roman" w:hAnsi="Times New Roman" w:cs="Times New Roman"/>
          <w:lang w:eastAsia="en-GB"/>
        </w:rPr>
        <w:t xml:space="preserve">Earlier that summer, the </w:t>
      </w:r>
      <w:r w:rsidR="00BE1E12" w:rsidRPr="00626A7E">
        <w:rPr>
          <w:rFonts w:ascii="Times New Roman" w:eastAsia="Times New Roman" w:hAnsi="Times New Roman" w:cs="Times New Roman"/>
          <w:lang w:eastAsia="en-GB"/>
        </w:rPr>
        <w:t>left-winger</w:t>
      </w:r>
      <w:r w:rsidR="006525E3" w:rsidRPr="00626A7E">
        <w:rPr>
          <w:rFonts w:ascii="Times New Roman" w:eastAsia="Times New Roman" w:hAnsi="Times New Roman" w:cs="Times New Roman"/>
          <w:lang w:eastAsia="en-GB"/>
        </w:rPr>
        <w:t xml:space="preserve"> John Silkin had included a proposal for the NIB as a key platform of his (unsuccessful) Deputy Leadership campaign. </w:t>
      </w:r>
      <w:r w:rsidR="00857F84" w:rsidRPr="00626A7E">
        <w:rPr>
          <w:rFonts w:ascii="Times New Roman" w:eastAsia="Times New Roman" w:hAnsi="Times New Roman" w:cs="Times New Roman"/>
          <w:lang w:eastAsia="en-GB"/>
        </w:rPr>
        <w:t>And a</w:t>
      </w:r>
      <w:r w:rsidR="00335ACE" w:rsidRPr="00626A7E">
        <w:rPr>
          <w:rFonts w:ascii="Times New Roman" w:eastAsia="Times New Roman" w:hAnsi="Times New Roman" w:cs="Times New Roman"/>
          <w:lang w:eastAsia="en-GB"/>
        </w:rPr>
        <w:t xml:space="preserve">t the Labour Party Conference of 1982 the Hard Left almost succeeded in gaining support for the entire </w:t>
      </w:r>
      <w:r w:rsidR="00BE1E12" w:rsidRPr="00626A7E">
        <w:rPr>
          <w:rFonts w:ascii="Times New Roman" w:eastAsia="Times New Roman" w:hAnsi="Times New Roman" w:cs="Times New Roman"/>
          <w:lang w:eastAsia="en-GB"/>
        </w:rPr>
        <w:t xml:space="preserve">nationalisation </w:t>
      </w:r>
      <w:r w:rsidR="00335ACE" w:rsidRPr="00626A7E">
        <w:rPr>
          <w:rFonts w:ascii="Times New Roman" w:eastAsia="Times New Roman" w:hAnsi="Times New Roman" w:cs="Times New Roman"/>
          <w:lang w:eastAsia="en-GB"/>
        </w:rPr>
        <w:t>of Britain’s banking industry – with a conference measure only failing by 3,361,000 votes to 3,131,000.</w:t>
      </w:r>
      <w:r w:rsidR="00973CCF" w:rsidRPr="00626A7E">
        <w:rPr>
          <w:rStyle w:val="FootnoteReference"/>
          <w:rFonts w:ascii="Times New Roman" w:eastAsia="Times New Roman" w:hAnsi="Times New Roman" w:cs="Times New Roman"/>
          <w:lang w:eastAsia="en-GB"/>
        </w:rPr>
        <w:footnoteReference w:id="36"/>
      </w:r>
      <w:r w:rsidR="0031091C" w:rsidRPr="00626A7E">
        <w:rPr>
          <w:rFonts w:ascii="Times New Roman" w:eastAsia="Times New Roman" w:hAnsi="Times New Roman" w:cs="Times New Roman"/>
          <w:lang w:eastAsia="en-GB"/>
        </w:rPr>
        <w:t xml:space="preserve"> </w:t>
      </w:r>
      <w:r w:rsidR="00E03E69" w:rsidRPr="00626A7E">
        <w:rPr>
          <w:rFonts w:ascii="Times New Roman" w:eastAsia="Times New Roman" w:hAnsi="Times New Roman" w:cs="Times New Roman"/>
          <w:lang w:eastAsia="en-GB"/>
        </w:rPr>
        <w:t xml:space="preserve">Uncharitably put perhaps, but with friends like </w:t>
      </w:r>
      <w:r w:rsidR="00BE1E12" w:rsidRPr="00626A7E">
        <w:rPr>
          <w:rFonts w:ascii="Times New Roman" w:eastAsia="Times New Roman" w:hAnsi="Times New Roman" w:cs="Times New Roman"/>
          <w:lang w:eastAsia="en-GB"/>
        </w:rPr>
        <w:t>those,</w:t>
      </w:r>
      <w:r w:rsidR="00E03E69" w:rsidRPr="00626A7E">
        <w:rPr>
          <w:rFonts w:ascii="Times New Roman" w:eastAsia="Times New Roman" w:hAnsi="Times New Roman" w:cs="Times New Roman"/>
          <w:lang w:eastAsia="en-GB"/>
        </w:rPr>
        <w:t xml:space="preserve"> the policy did not particularly need </w:t>
      </w:r>
      <w:r w:rsidR="00391C6F" w:rsidRPr="00626A7E">
        <w:rPr>
          <w:rFonts w:ascii="Times New Roman" w:eastAsia="Times New Roman" w:hAnsi="Times New Roman" w:cs="Times New Roman"/>
          <w:lang w:eastAsia="en-GB"/>
        </w:rPr>
        <w:t xml:space="preserve">Conservative </w:t>
      </w:r>
      <w:r w:rsidR="00E03E69" w:rsidRPr="00626A7E">
        <w:rPr>
          <w:rFonts w:ascii="Times New Roman" w:eastAsia="Times New Roman" w:hAnsi="Times New Roman" w:cs="Times New Roman"/>
          <w:lang w:eastAsia="en-GB"/>
        </w:rPr>
        <w:t>enemies</w:t>
      </w:r>
      <w:r w:rsidR="00D83CC7" w:rsidRPr="00626A7E">
        <w:rPr>
          <w:rFonts w:ascii="Times New Roman" w:eastAsia="Times New Roman" w:hAnsi="Times New Roman" w:cs="Times New Roman"/>
          <w:lang w:eastAsia="en-GB"/>
        </w:rPr>
        <w:t>.</w:t>
      </w:r>
    </w:p>
    <w:p w14:paraId="75A9EA7A" w14:textId="77777777" w:rsidR="002644A5" w:rsidRPr="00626A7E" w:rsidRDefault="002644A5" w:rsidP="002644A5">
      <w:pPr>
        <w:spacing w:line="360" w:lineRule="auto"/>
        <w:jc w:val="both"/>
        <w:rPr>
          <w:rFonts w:ascii="Times New Roman" w:eastAsia="Times New Roman" w:hAnsi="Times New Roman" w:cs="Times New Roman"/>
          <w:lang w:eastAsia="en-GB"/>
        </w:rPr>
      </w:pPr>
    </w:p>
    <w:p w14:paraId="12954EA6" w14:textId="1270B494" w:rsidR="002644A5" w:rsidRPr="00626A7E" w:rsidRDefault="00E64745" w:rsidP="00811002">
      <w:pPr>
        <w:spacing w:line="360" w:lineRule="auto"/>
        <w:ind w:firstLine="720"/>
        <w:jc w:val="both"/>
        <w:rPr>
          <w:rFonts w:ascii="Times New Roman" w:hAnsi="Times New Roman" w:cs="Times New Roman"/>
        </w:rPr>
      </w:pPr>
      <w:r w:rsidRPr="00626A7E">
        <w:rPr>
          <w:rFonts w:ascii="Times New Roman" w:eastAsia="Times New Roman" w:hAnsi="Times New Roman" w:cs="Times New Roman"/>
          <w:lang w:eastAsia="en-GB"/>
        </w:rPr>
        <w:t>Wi</w:t>
      </w:r>
      <w:r w:rsidR="00907826" w:rsidRPr="00626A7E">
        <w:rPr>
          <w:rFonts w:ascii="Times New Roman" w:eastAsia="Times New Roman" w:hAnsi="Times New Roman" w:cs="Times New Roman"/>
          <w:lang w:eastAsia="en-GB"/>
        </w:rPr>
        <w:t>th the policy’s inclusion in Labour’s</w:t>
      </w:r>
      <w:r w:rsidRPr="00626A7E">
        <w:rPr>
          <w:rFonts w:ascii="Times New Roman" w:eastAsia="Times New Roman" w:hAnsi="Times New Roman" w:cs="Times New Roman"/>
          <w:lang w:eastAsia="en-GB"/>
        </w:rPr>
        <w:t xml:space="preserve"> 1983 election manifesto</w:t>
      </w:r>
      <w:r w:rsidR="00AA6897" w:rsidRPr="00626A7E">
        <w:rPr>
          <w:rFonts w:ascii="Times New Roman" w:eastAsia="Times New Roman" w:hAnsi="Times New Roman" w:cs="Times New Roman"/>
          <w:lang w:eastAsia="en-GB"/>
        </w:rPr>
        <w:t xml:space="preserve"> however, it soon</w:t>
      </w:r>
      <w:r w:rsidRPr="00626A7E">
        <w:rPr>
          <w:rFonts w:ascii="Times New Roman" w:eastAsia="Times New Roman" w:hAnsi="Times New Roman" w:cs="Times New Roman"/>
          <w:lang w:eastAsia="en-GB"/>
        </w:rPr>
        <w:t xml:space="preserve"> got them. </w:t>
      </w:r>
      <w:r w:rsidR="005B7E5B" w:rsidRPr="00626A7E">
        <w:rPr>
          <w:rFonts w:ascii="Times New Roman" w:eastAsia="Times New Roman" w:hAnsi="Times New Roman" w:cs="Times New Roman"/>
          <w:lang w:eastAsia="en-GB"/>
        </w:rPr>
        <w:t>Since the arguments did not shift much over the decade, it is worth sketching out t</w:t>
      </w:r>
      <w:r w:rsidR="002644A5" w:rsidRPr="00626A7E">
        <w:rPr>
          <w:rFonts w:ascii="Times New Roman" w:eastAsia="Times New Roman" w:hAnsi="Times New Roman" w:cs="Times New Roman"/>
          <w:lang w:eastAsia="en-GB"/>
        </w:rPr>
        <w:t xml:space="preserve">he </w:t>
      </w:r>
      <w:r w:rsidR="002644A5" w:rsidRPr="00626A7E">
        <w:rPr>
          <w:rFonts w:ascii="Times New Roman" w:eastAsia="Times New Roman" w:hAnsi="Times New Roman" w:cs="Times New Roman"/>
          <w:lang w:eastAsia="en-GB"/>
        </w:rPr>
        <w:lastRenderedPageBreak/>
        <w:t xml:space="preserve">Conservative rebuttal. Firstly, </w:t>
      </w:r>
      <w:r w:rsidRPr="00626A7E">
        <w:rPr>
          <w:rFonts w:ascii="Times New Roman" w:eastAsia="Times New Roman" w:hAnsi="Times New Roman" w:cs="Times New Roman"/>
          <w:lang w:eastAsia="en-GB"/>
        </w:rPr>
        <w:t xml:space="preserve">the government </w:t>
      </w:r>
      <w:r w:rsidR="0080140D" w:rsidRPr="00626A7E">
        <w:rPr>
          <w:rFonts w:ascii="Times New Roman" w:eastAsia="Times New Roman" w:hAnsi="Times New Roman" w:cs="Times New Roman"/>
          <w:lang w:eastAsia="en-GB"/>
        </w:rPr>
        <w:t>denied the problem the NIB</w:t>
      </w:r>
      <w:r w:rsidR="002644A5" w:rsidRPr="00626A7E">
        <w:rPr>
          <w:rFonts w:ascii="Times New Roman" w:eastAsia="Times New Roman" w:hAnsi="Times New Roman" w:cs="Times New Roman"/>
          <w:lang w:eastAsia="en-GB"/>
        </w:rPr>
        <w:t xml:space="preserve"> was intended to solve existed at all: ‘</w:t>
      </w:r>
      <w:r w:rsidR="002644A5" w:rsidRPr="00626A7E">
        <w:rPr>
          <w:rFonts w:ascii="Times New Roman" w:hAnsi="Times New Roman" w:cs="Times New Roman"/>
        </w:rPr>
        <w:t xml:space="preserve">there is no shortage of capital for viable investment projects in industry nor of institutions ready to invest it. Therefore the only point of the National Investment Bank would be to </w:t>
      </w:r>
      <w:r w:rsidR="00DB7048" w:rsidRPr="00626A7E">
        <w:rPr>
          <w:rFonts w:ascii="Times New Roman" w:hAnsi="Times New Roman" w:cs="Times New Roman"/>
        </w:rPr>
        <w:t>provide…</w:t>
      </w:r>
      <w:r w:rsidR="002644A5" w:rsidRPr="00626A7E">
        <w:rPr>
          <w:rFonts w:ascii="Times New Roman" w:hAnsi="Times New Roman" w:cs="Times New Roman"/>
        </w:rPr>
        <w:t>help for the undeserving.’</w:t>
      </w:r>
      <w:r w:rsidR="002644A5" w:rsidRPr="00626A7E">
        <w:rPr>
          <w:rStyle w:val="FootnoteReference"/>
          <w:rFonts w:ascii="Times New Roman" w:hAnsi="Times New Roman" w:cs="Times New Roman"/>
        </w:rPr>
        <w:footnoteReference w:id="37"/>
      </w:r>
      <w:r w:rsidR="002644A5" w:rsidRPr="00626A7E">
        <w:rPr>
          <w:rFonts w:ascii="Times New Roman" w:hAnsi="Times New Roman" w:cs="Times New Roman"/>
        </w:rPr>
        <w:t xml:space="preserve"> 1980s Britain had no ‘</w:t>
      </w:r>
      <w:r w:rsidR="00DE03E5" w:rsidRPr="00626A7E">
        <w:rPr>
          <w:rFonts w:ascii="Times New Roman" w:hAnsi="Times New Roman" w:cs="Times New Roman"/>
        </w:rPr>
        <w:t>Macmillan Gap</w:t>
      </w:r>
      <w:r w:rsidR="002644A5" w:rsidRPr="00626A7E">
        <w:rPr>
          <w:rFonts w:ascii="Times New Roman" w:hAnsi="Times New Roman" w:cs="Times New Roman"/>
        </w:rPr>
        <w:t>,’ the capital markets were providing worthwhile funding, and thus the</w:t>
      </w:r>
      <w:r w:rsidR="00F81715" w:rsidRPr="00626A7E">
        <w:rPr>
          <w:rFonts w:ascii="Times New Roman" w:hAnsi="Times New Roman" w:cs="Times New Roman"/>
        </w:rPr>
        <w:t xml:space="preserve"> whole notion was statist tinkering at best, and downright harmful if it crowded out private </w:t>
      </w:r>
      <w:r w:rsidR="00790A93" w:rsidRPr="00626A7E">
        <w:rPr>
          <w:rFonts w:ascii="Times New Roman" w:hAnsi="Times New Roman" w:cs="Times New Roman"/>
        </w:rPr>
        <w:t>lending</w:t>
      </w:r>
      <w:r w:rsidR="00F81715" w:rsidRPr="00626A7E">
        <w:rPr>
          <w:rFonts w:ascii="Times New Roman" w:hAnsi="Times New Roman" w:cs="Times New Roman"/>
        </w:rPr>
        <w:t xml:space="preserve"> at worst</w:t>
      </w:r>
      <w:r w:rsidR="002644A5" w:rsidRPr="00626A7E">
        <w:rPr>
          <w:rFonts w:ascii="Times New Roman" w:hAnsi="Times New Roman" w:cs="Times New Roman"/>
        </w:rPr>
        <w:t xml:space="preserve">. </w:t>
      </w:r>
    </w:p>
    <w:p w14:paraId="0E317DD1" w14:textId="141AF0D7" w:rsidR="002644A5" w:rsidRPr="00626A7E" w:rsidRDefault="00F40B2C" w:rsidP="002644A5">
      <w:pPr>
        <w:spacing w:line="360" w:lineRule="auto"/>
        <w:jc w:val="both"/>
        <w:rPr>
          <w:rFonts w:ascii="Times New Roman" w:hAnsi="Times New Roman" w:cs="Times New Roman"/>
        </w:rPr>
      </w:pPr>
      <w:r w:rsidRPr="00626A7E">
        <w:rPr>
          <w:rFonts w:ascii="Times New Roman" w:hAnsi="Times New Roman" w:cs="Times New Roman"/>
        </w:rPr>
        <w:t>Secondly,</w:t>
      </w:r>
      <w:r w:rsidR="002644A5" w:rsidRPr="00626A7E">
        <w:rPr>
          <w:rFonts w:ascii="Times New Roman" w:hAnsi="Times New Roman" w:cs="Times New Roman"/>
        </w:rPr>
        <w:t xml:space="preserve"> the</w:t>
      </w:r>
      <w:r w:rsidR="00A05A55" w:rsidRPr="00626A7E">
        <w:rPr>
          <w:rFonts w:ascii="Times New Roman" w:hAnsi="Times New Roman" w:cs="Times New Roman"/>
        </w:rPr>
        <w:t xml:space="preserve"> NIB</w:t>
      </w:r>
      <w:r w:rsidR="002644A5" w:rsidRPr="00626A7E">
        <w:rPr>
          <w:rFonts w:ascii="Times New Roman" w:hAnsi="Times New Roman" w:cs="Times New Roman"/>
        </w:rPr>
        <w:t xml:space="preserve"> idea </w:t>
      </w:r>
      <w:r w:rsidR="00E64745" w:rsidRPr="00626A7E">
        <w:rPr>
          <w:rFonts w:ascii="Times New Roman" w:hAnsi="Times New Roman" w:cs="Times New Roman"/>
        </w:rPr>
        <w:t xml:space="preserve">was linked to Labour’s </w:t>
      </w:r>
      <w:r w:rsidR="002644A5" w:rsidRPr="00626A7E">
        <w:rPr>
          <w:rFonts w:ascii="Times New Roman" w:hAnsi="Times New Roman" w:cs="Times New Roman"/>
        </w:rPr>
        <w:t xml:space="preserve">concurrent manifesto threat to </w:t>
      </w:r>
      <w:r w:rsidR="00FA614F" w:rsidRPr="00626A7E">
        <w:rPr>
          <w:rFonts w:ascii="Times New Roman" w:hAnsi="Times New Roman" w:cs="Times New Roman"/>
        </w:rPr>
        <w:t xml:space="preserve">nationalise </w:t>
      </w:r>
      <w:r w:rsidR="002644A5" w:rsidRPr="00626A7E">
        <w:rPr>
          <w:rFonts w:ascii="Times New Roman" w:hAnsi="Times New Roman" w:cs="Times New Roman"/>
        </w:rPr>
        <w:t>one</w:t>
      </w:r>
      <w:r w:rsidR="000D244C" w:rsidRPr="00626A7E">
        <w:rPr>
          <w:rFonts w:ascii="Times New Roman" w:hAnsi="Times New Roman" w:cs="Times New Roman"/>
        </w:rPr>
        <w:t xml:space="preserve"> (or more)</w:t>
      </w:r>
      <w:r w:rsidR="002644A5" w:rsidRPr="00626A7E">
        <w:rPr>
          <w:rFonts w:ascii="Times New Roman" w:hAnsi="Times New Roman" w:cs="Times New Roman"/>
        </w:rPr>
        <w:t xml:space="preserve"> of the ‘big-four’ clearing banks.</w:t>
      </w:r>
      <w:r w:rsidR="00CA67F6" w:rsidRPr="00626A7E">
        <w:rPr>
          <w:rFonts w:ascii="Times New Roman" w:hAnsi="Times New Roman" w:cs="Times New Roman"/>
        </w:rPr>
        <w:t xml:space="preserve"> S</w:t>
      </w:r>
      <w:r w:rsidR="00345E24" w:rsidRPr="00626A7E">
        <w:rPr>
          <w:rFonts w:ascii="Times New Roman" w:hAnsi="Times New Roman" w:cs="Times New Roman"/>
        </w:rPr>
        <w:t xml:space="preserve">uch a </w:t>
      </w:r>
      <w:r w:rsidR="00FA614F" w:rsidRPr="00626A7E">
        <w:rPr>
          <w:rFonts w:ascii="Times New Roman" w:hAnsi="Times New Roman" w:cs="Times New Roman"/>
        </w:rPr>
        <w:t xml:space="preserve">nationalisation </w:t>
      </w:r>
      <w:r w:rsidR="00345E24" w:rsidRPr="00626A7E">
        <w:rPr>
          <w:rFonts w:ascii="Times New Roman" w:hAnsi="Times New Roman" w:cs="Times New Roman"/>
        </w:rPr>
        <w:t>would</w:t>
      </w:r>
      <w:r w:rsidR="002644A5" w:rsidRPr="00626A7E">
        <w:rPr>
          <w:rFonts w:ascii="Times New Roman" w:hAnsi="Times New Roman" w:cs="Times New Roman"/>
        </w:rPr>
        <w:t xml:space="preserve"> have involved a </w:t>
      </w:r>
      <w:r w:rsidR="00002C14" w:rsidRPr="00626A7E">
        <w:rPr>
          <w:rFonts w:ascii="Times New Roman" w:hAnsi="Times New Roman" w:cs="Times New Roman"/>
        </w:rPr>
        <w:t>significant</w:t>
      </w:r>
      <w:r w:rsidR="002644A5" w:rsidRPr="00626A7E">
        <w:rPr>
          <w:rFonts w:ascii="Times New Roman" w:hAnsi="Times New Roman" w:cs="Times New Roman"/>
        </w:rPr>
        <w:t xml:space="preserve"> sum: the then stock exchange value of the Midland exceeded £600m and Barclays over £1.5bn.</w:t>
      </w:r>
      <w:r w:rsidR="002644A5" w:rsidRPr="00626A7E">
        <w:rPr>
          <w:rStyle w:val="FootnoteReference"/>
          <w:rFonts w:ascii="Times New Roman" w:hAnsi="Times New Roman" w:cs="Times New Roman"/>
        </w:rPr>
        <w:footnoteReference w:id="38"/>
      </w:r>
      <w:r w:rsidR="002644A5" w:rsidRPr="00626A7E">
        <w:rPr>
          <w:rFonts w:ascii="Times New Roman" w:hAnsi="Times New Roman" w:cs="Times New Roman"/>
        </w:rPr>
        <w:t xml:space="preserve"> </w:t>
      </w:r>
      <w:r w:rsidRPr="00626A7E">
        <w:rPr>
          <w:rFonts w:ascii="Times New Roman" w:hAnsi="Times New Roman" w:cs="Times New Roman"/>
        </w:rPr>
        <w:t>Though the Tories conceded the costs of setting up a NIB were ‘unquantifiable,’ t</w:t>
      </w:r>
      <w:r w:rsidR="007958CE" w:rsidRPr="00626A7E">
        <w:rPr>
          <w:rFonts w:ascii="Times New Roman" w:hAnsi="Times New Roman" w:cs="Times New Roman"/>
        </w:rPr>
        <w:t xml:space="preserve">he </w:t>
      </w:r>
      <w:r w:rsidRPr="00626A7E">
        <w:rPr>
          <w:rFonts w:ascii="Times New Roman" w:hAnsi="Times New Roman" w:cs="Times New Roman"/>
        </w:rPr>
        <w:t xml:space="preserve">sums involved </w:t>
      </w:r>
      <w:r w:rsidR="007958CE" w:rsidRPr="00626A7E">
        <w:rPr>
          <w:rFonts w:ascii="Times New Roman" w:hAnsi="Times New Roman" w:cs="Times New Roman"/>
        </w:rPr>
        <w:t xml:space="preserve">may </w:t>
      </w:r>
      <w:r w:rsidR="00874CFA" w:rsidRPr="00626A7E">
        <w:rPr>
          <w:rFonts w:ascii="Times New Roman" w:hAnsi="Times New Roman" w:cs="Times New Roman"/>
        </w:rPr>
        <w:t>well have been higher than even these sums.</w:t>
      </w:r>
      <w:r w:rsidR="007958CE" w:rsidRPr="00626A7E">
        <w:rPr>
          <w:rFonts w:ascii="Times New Roman" w:hAnsi="Times New Roman" w:cs="Times New Roman"/>
        </w:rPr>
        <w:t xml:space="preserve"> </w:t>
      </w:r>
      <w:r w:rsidR="001E6546" w:rsidRPr="00626A7E">
        <w:rPr>
          <w:rFonts w:ascii="Times New Roman" w:hAnsi="Times New Roman" w:cs="Times New Roman"/>
        </w:rPr>
        <w:t xml:space="preserve">People may have been growing </w:t>
      </w:r>
      <w:r w:rsidR="00CA67F6" w:rsidRPr="00626A7E">
        <w:rPr>
          <w:rFonts w:ascii="Times New Roman" w:hAnsi="Times New Roman" w:cs="Times New Roman"/>
        </w:rPr>
        <w:t xml:space="preserve">gradually more </w:t>
      </w:r>
      <w:r w:rsidR="00C422E3" w:rsidRPr="00626A7E">
        <w:rPr>
          <w:rFonts w:ascii="Times New Roman" w:hAnsi="Times New Roman" w:cs="Times New Roman"/>
        </w:rPr>
        <w:t>sceptical</w:t>
      </w:r>
      <w:r w:rsidR="001E6546" w:rsidRPr="00626A7E">
        <w:rPr>
          <w:rFonts w:ascii="Times New Roman" w:hAnsi="Times New Roman" w:cs="Times New Roman"/>
        </w:rPr>
        <w:t xml:space="preserve"> of bankers, but entrusting their money to Michael Foot instead was a leap too far.</w:t>
      </w:r>
      <w:r w:rsidR="000D244C" w:rsidRPr="00626A7E">
        <w:rPr>
          <w:rFonts w:ascii="Times New Roman" w:hAnsi="Times New Roman" w:cs="Times New Roman"/>
        </w:rPr>
        <w:t xml:space="preserve"> By threatening to </w:t>
      </w:r>
      <w:r w:rsidR="00FA614F" w:rsidRPr="00626A7E">
        <w:rPr>
          <w:rFonts w:ascii="Times New Roman" w:hAnsi="Times New Roman" w:cs="Times New Roman"/>
        </w:rPr>
        <w:t xml:space="preserve">nationalise </w:t>
      </w:r>
      <w:r w:rsidR="000D244C" w:rsidRPr="00626A7E">
        <w:rPr>
          <w:rFonts w:ascii="Times New Roman" w:hAnsi="Times New Roman" w:cs="Times New Roman"/>
        </w:rPr>
        <w:t>a major bank to make way for the NIB, the NIB became less about facilitating productive capitalism and more about the state encroaching onto the private sphere.</w:t>
      </w:r>
      <w:r w:rsidR="005511AC" w:rsidRPr="00626A7E">
        <w:rPr>
          <w:rFonts w:ascii="Times New Roman" w:hAnsi="Times New Roman" w:cs="Times New Roman"/>
        </w:rPr>
        <w:t xml:space="preserve"> After the experience of the 1970s this was a </w:t>
      </w:r>
      <w:r w:rsidR="00A47B01" w:rsidRPr="00626A7E">
        <w:rPr>
          <w:rFonts w:ascii="Times New Roman" w:hAnsi="Times New Roman" w:cs="Times New Roman"/>
        </w:rPr>
        <w:t>big leap of faith for some sections of the electorate to take.</w:t>
      </w:r>
      <w:r w:rsidR="000D244C" w:rsidRPr="00626A7E">
        <w:rPr>
          <w:rFonts w:ascii="Times New Roman" w:hAnsi="Times New Roman" w:cs="Times New Roman"/>
        </w:rPr>
        <w:t xml:space="preserve"> </w:t>
      </w:r>
    </w:p>
    <w:p w14:paraId="1BB46F27" w14:textId="77777777" w:rsidR="002644A5" w:rsidRPr="00626A7E" w:rsidRDefault="002644A5" w:rsidP="002644A5">
      <w:pPr>
        <w:spacing w:line="360" w:lineRule="auto"/>
        <w:jc w:val="both"/>
        <w:rPr>
          <w:rFonts w:ascii="Times New Roman" w:hAnsi="Times New Roman" w:cs="Times New Roman"/>
        </w:rPr>
      </w:pPr>
    </w:p>
    <w:p w14:paraId="7418F5CB" w14:textId="62706C01" w:rsidR="002644A5" w:rsidRPr="00626A7E" w:rsidRDefault="002644A5" w:rsidP="00811002">
      <w:pPr>
        <w:spacing w:line="360" w:lineRule="auto"/>
        <w:ind w:firstLine="720"/>
        <w:jc w:val="both"/>
        <w:rPr>
          <w:rFonts w:ascii="Times New Roman" w:eastAsia="Times New Roman" w:hAnsi="Times New Roman" w:cs="Times New Roman"/>
          <w:lang w:eastAsia="en-GB"/>
        </w:rPr>
      </w:pPr>
      <w:r w:rsidRPr="00626A7E">
        <w:rPr>
          <w:rFonts w:ascii="Times New Roman" w:hAnsi="Times New Roman" w:cs="Times New Roman"/>
        </w:rPr>
        <w:t xml:space="preserve">And thirdly, </w:t>
      </w:r>
      <w:r w:rsidR="00A47B01" w:rsidRPr="00626A7E">
        <w:rPr>
          <w:rFonts w:ascii="Times New Roman" w:hAnsi="Times New Roman" w:cs="Times New Roman"/>
        </w:rPr>
        <w:t xml:space="preserve">as </w:t>
      </w:r>
      <w:r w:rsidRPr="00626A7E">
        <w:rPr>
          <w:rFonts w:ascii="Times New Roman" w:hAnsi="Times New Roman" w:cs="Times New Roman"/>
        </w:rPr>
        <w:t xml:space="preserve">Conservative literature noted, </w:t>
      </w:r>
      <w:r w:rsidR="006502B3" w:rsidRPr="00626A7E">
        <w:rPr>
          <w:rFonts w:ascii="Times New Roman" w:hAnsi="Times New Roman" w:cs="Times New Roman"/>
        </w:rPr>
        <w:t xml:space="preserve">whilst </w:t>
      </w:r>
      <w:r w:rsidRPr="00626A7E">
        <w:rPr>
          <w:rFonts w:ascii="Times New Roman" w:hAnsi="Times New Roman" w:cs="Times New Roman"/>
        </w:rPr>
        <w:t xml:space="preserve">‘the market value of [UK] pension funds is about £70 billion – a proportion of this money has been ‘targeted’ by the Labour Party for directed investment through the National Investment Bank.’ With ‘11.6 million employees…members of occupational pension schemes – over half the working population’ – the implication was that </w:t>
      </w:r>
      <w:r w:rsidR="00A94293" w:rsidRPr="00626A7E">
        <w:rPr>
          <w:rFonts w:ascii="Times New Roman" w:hAnsi="Times New Roman" w:cs="Times New Roman"/>
        </w:rPr>
        <w:t>Labour</w:t>
      </w:r>
      <w:r w:rsidRPr="00626A7E">
        <w:rPr>
          <w:rFonts w:ascii="Times New Roman" w:hAnsi="Times New Roman" w:cs="Times New Roman"/>
        </w:rPr>
        <w:t xml:space="preserve"> was about to raid people’s hard earned pension pots to subsidise another </w:t>
      </w:r>
      <w:r w:rsidR="00762ABF" w:rsidRPr="00626A7E">
        <w:rPr>
          <w:rFonts w:ascii="Times New Roman" w:hAnsi="Times New Roman" w:cs="Times New Roman"/>
        </w:rPr>
        <w:t xml:space="preserve">failing </w:t>
      </w:r>
      <w:r w:rsidRPr="00626A7E">
        <w:rPr>
          <w:rFonts w:ascii="Times New Roman" w:hAnsi="Times New Roman" w:cs="Times New Roman"/>
        </w:rPr>
        <w:t>British Leyland.</w:t>
      </w:r>
      <w:r w:rsidRPr="00626A7E">
        <w:rPr>
          <w:rStyle w:val="FootnoteReference"/>
          <w:rFonts w:ascii="Times New Roman" w:hAnsi="Times New Roman" w:cs="Times New Roman"/>
        </w:rPr>
        <w:footnoteReference w:id="39"/>
      </w:r>
      <w:r w:rsidRPr="00626A7E">
        <w:rPr>
          <w:rFonts w:ascii="Times New Roman" w:hAnsi="Times New Roman" w:cs="Times New Roman"/>
        </w:rPr>
        <w:t xml:space="preserve"> And as the Tories hammered home,</w:t>
      </w:r>
      <w:r w:rsidRPr="00626A7E">
        <w:rPr>
          <w:rFonts w:ascii="Times New Roman" w:eastAsia="Times New Roman" w:hAnsi="Times New Roman" w:cs="Times New Roman"/>
          <w:lang w:eastAsia="en-GB"/>
        </w:rPr>
        <w:t xml:space="preserve"> ‘</w:t>
      </w:r>
      <w:r w:rsidRPr="00626A7E">
        <w:rPr>
          <w:rFonts w:ascii="Times New Roman" w:hAnsi="Times New Roman" w:cs="Times New Roman"/>
        </w:rPr>
        <w:t xml:space="preserve">industrialists, not bureaucrats or committees of </w:t>
      </w:r>
      <w:r w:rsidR="00BE1E12" w:rsidRPr="00626A7E">
        <w:rPr>
          <w:rFonts w:ascii="Times New Roman" w:hAnsi="Times New Roman" w:cs="Times New Roman"/>
        </w:rPr>
        <w:t>“</w:t>
      </w:r>
      <w:r w:rsidRPr="00626A7E">
        <w:rPr>
          <w:rFonts w:ascii="Times New Roman" w:hAnsi="Times New Roman" w:cs="Times New Roman"/>
        </w:rPr>
        <w:t>wise men</w:t>
      </w:r>
      <w:r w:rsidR="00BE1E12" w:rsidRPr="00626A7E">
        <w:rPr>
          <w:rFonts w:ascii="Times New Roman" w:hAnsi="Times New Roman" w:cs="Times New Roman"/>
        </w:rPr>
        <w:t xml:space="preserve">”, </w:t>
      </w:r>
      <w:r w:rsidRPr="00626A7E">
        <w:rPr>
          <w:rFonts w:ascii="Times New Roman" w:hAnsi="Times New Roman" w:cs="Times New Roman"/>
        </w:rPr>
        <w:t>are best placed to determine which investment opportunities are profitable and will create jobs.’</w:t>
      </w:r>
      <w:r w:rsidRPr="00626A7E">
        <w:rPr>
          <w:rStyle w:val="FootnoteReference"/>
          <w:rFonts w:ascii="Times New Roman" w:hAnsi="Times New Roman" w:cs="Times New Roman"/>
        </w:rPr>
        <w:footnoteReference w:id="40"/>
      </w:r>
      <w:r w:rsidR="005D5418" w:rsidRPr="00626A7E">
        <w:rPr>
          <w:rFonts w:ascii="Times New Roman" w:hAnsi="Times New Roman" w:cs="Times New Roman"/>
        </w:rPr>
        <w:t xml:space="preserve"> The NIB was an example of Labour not only about to hit high earners through potentially punitive upper rates of income tax,</w:t>
      </w:r>
      <w:r w:rsidR="00C27A66" w:rsidRPr="00626A7E">
        <w:rPr>
          <w:rFonts w:ascii="Times New Roman" w:hAnsi="Times New Roman" w:cs="Times New Roman"/>
        </w:rPr>
        <w:t xml:space="preserve"> but</w:t>
      </w:r>
      <w:r w:rsidR="009D5191" w:rsidRPr="00626A7E">
        <w:rPr>
          <w:rFonts w:ascii="Times New Roman" w:hAnsi="Times New Roman" w:cs="Times New Roman"/>
        </w:rPr>
        <w:t xml:space="preserve"> </w:t>
      </w:r>
      <w:r w:rsidR="003A39E9" w:rsidRPr="00626A7E">
        <w:rPr>
          <w:rFonts w:ascii="Times New Roman" w:hAnsi="Times New Roman" w:cs="Times New Roman"/>
        </w:rPr>
        <w:t>getting their myopic cronies to mismanage</w:t>
      </w:r>
      <w:r w:rsidR="00C6075F" w:rsidRPr="00626A7E">
        <w:rPr>
          <w:rFonts w:ascii="Times New Roman" w:hAnsi="Times New Roman" w:cs="Times New Roman"/>
        </w:rPr>
        <w:t xml:space="preserve"> worker</w:t>
      </w:r>
      <w:r w:rsidR="009D5191" w:rsidRPr="00626A7E">
        <w:rPr>
          <w:rFonts w:ascii="Times New Roman" w:hAnsi="Times New Roman" w:cs="Times New Roman"/>
        </w:rPr>
        <w:t>s</w:t>
      </w:r>
      <w:r w:rsidR="00C6075F" w:rsidRPr="00626A7E">
        <w:rPr>
          <w:rFonts w:ascii="Times New Roman" w:hAnsi="Times New Roman" w:cs="Times New Roman"/>
        </w:rPr>
        <w:t>’</w:t>
      </w:r>
      <w:r w:rsidR="009D5191" w:rsidRPr="00626A7E">
        <w:rPr>
          <w:rFonts w:ascii="Times New Roman" w:hAnsi="Times New Roman" w:cs="Times New Roman"/>
        </w:rPr>
        <w:t xml:space="preserve"> pensions too.</w:t>
      </w:r>
      <w:r w:rsidR="00454386" w:rsidRPr="00626A7E">
        <w:rPr>
          <w:rFonts w:ascii="Times New Roman" w:hAnsi="Times New Roman" w:cs="Times New Roman"/>
        </w:rPr>
        <w:t xml:space="preserve"> </w:t>
      </w:r>
    </w:p>
    <w:p w14:paraId="66901FC2" w14:textId="77777777" w:rsidR="00116D9D" w:rsidRPr="00626A7E" w:rsidRDefault="00116D9D" w:rsidP="002644A5">
      <w:pPr>
        <w:spacing w:line="360" w:lineRule="auto"/>
        <w:jc w:val="both"/>
        <w:rPr>
          <w:rFonts w:ascii="Times New Roman" w:eastAsia="Times New Roman" w:hAnsi="Times New Roman" w:cs="Times New Roman"/>
          <w:lang w:eastAsia="en-GB"/>
        </w:rPr>
      </w:pPr>
    </w:p>
    <w:p w14:paraId="421F3250" w14:textId="5B952D96" w:rsidR="00116D9D" w:rsidRPr="00C31042" w:rsidRDefault="00116D9D" w:rsidP="002644A5">
      <w:pPr>
        <w:spacing w:line="360" w:lineRule="auto"/>
        <w:jc w:val="both"/>
        <w:rPr>
          <w:rFonts w:ascii="Times New Roman" w:eastAsia="Times New Roman" w:hAnsi="Times New Roman" w:cs="Times New Roman"/>
          <w:b/>
          <w:lang w:eastAsia="en-GB"/>
        </w:rPr>
      </w:pPr>
      <w:r w:rsidRPr="00C31042">
        <w:rPr>
          <w:rFonts w:ascii="Times New Roman" w:eastAsia="Times New Roman" w:hAnsi="Times New Roman" w:cs="Times New Roman"/>
          <w:b/>
          <w:lang w:eastAsia="en-GB"/>
        </w:rPr>
        <w:t>Kinnock’s moderate course</w:t>
      </w:r>
    </w:p>
    <w:p w14:paraId="25A53EE8" w14:textId="3C04AF96" w:rsidR="00907D11" w:rsidRPr="00626A7E" w:rsidRDefault="00787011" w:rsidP="002644A5">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 xml:space="preserve">So how did </w:t>
      </w:r>
      <w:r w:rsidR="00A47B01" w:rsidRPr="00626A7E">
        <w:rPr>
          <w:rFonts w:ascii="Times New Roman" w:hAnsi="Times New Roman" w:cs="Times New Roman"/>
        </w:rPr>
        <w:t xml:space="preserve">the idea </w:t>
      </w:r>
      <w:r w:rsidRPr="00626A7E">
        <w:rPr>
          <w:rFonts w:ascii="Times New Roman" w:hAnsi="Times New Roman" w:cs="Times New Roman"/>
        </w:rPr>
        <w:t xml:space="preserve">survive the debacle of 1983? </w:t>
      </w:r>
      <w:r w:rsidR="0030742A" w:rsidRPr="00626A7E">
        <w:rPr>
          <w:rFonts w:ascii="Times New Roman" w:hAnsi="Times New Roman" w:cs="Times New Roman"/>
        </w:rPr>
        <w:t xml:space="preserve">Aside from similar admiration held for the </w:t>
      </w:r>
      <w:r w:rsidR="0030742A" w:rsidRPr="00626A7E">
        <w:rPr>
          <w:rFonts w:ascii="Times New Roman" w:hAnsi="Times New Roman" w:cs="Times New Roman"/>
        </w:rPr>
        <w:lastRenderedPageBreak/>
        <w:t>Japanese MITI, p</w:t>
      </w:r>
      <w:r w:rsidR="00D20E06" w:rsidRPr="00626A7E">
        <w:rPr>
          <w:rFonts w:ascii="Times New Roman" w:hAnsi="Times New Roman" w:cs="Times New Roman"/>
        </w:rPr>
        <w:t>art of the answer</w:t>
      </w:r>
      <w:r w:rsidR="002644A5" w:rsidRPr="00626A7E">
        <w:rPr>
          <w:rFonts w:ascii="Times New Roman" w:hAnsi="Times New Roman" w:cs="Times New Roman"/>
        </w:rPr>
        <w:t xml:space="preserve"> </w:t>
      </w:r>
      <w:r w:rsidR="004B163B" w:rsidRPr="00626A7E">
        <w:rPr>
          <w:rFonts w:ascii="Times New Roman" w:hAnsi="Times New Roman" w:cs="Times New Roman"/>
        </w:rPr>
        <w:t>lies in</w:t>
      </w:r>
      <w:r w:rsidR="002644A5" w:rsidRPr="00626A7E">
        <w:rPr>
          <w:rFonts w:ascii="Times New Roman" w:hAnsi="Times New Roman" w:cs="Times New Roman"/>
        </w:rPr>
        <w:t xml:space="preserve"> the pro-European direction</w:t>
      </w:r>
      <w:r w:rsidR="005A685F" w:rsidRPr="00626A7E">
        <w:rPr>
          <w:rFonts w:ascii="Times New Roman" w:hAnsi="Times New Roman" w:cs="Times New Roman"/>
        </w:rPr>
        <w:t xml:space="preserve"> Kinnock would take the party</w:t>
      </w:r>
      <w:r w:rsidR="002644A5" w:rsidRPr="00626A7E">
        <w:rPr>
          <w:rFonts w:ascii="Times New Roman" w:hAnsi="Times New Roman" w:cs="Times New Roman"/>
        </w:rPr>
        <w:t>. Today, Lord Charles Williams remembers that ‘some of us Europhiles were admiring (envious) of the German model, particularly the Landesbanks, and thought we could do the same here. The argument was not to find a way of being nice to capitalists but to show that within the boundaries of Clause IV we could do what the capitalists could not because of ‘short termism’ in the capital markets.’</w:t>
      </w:r>
      <w:r w:rsidR="002644A5" w:rsidRPr="00626A7E">
        <w:rPr>
          <w:rStyle w:val="FootnoteReference"/>
          <w:rFonts w:ascii="Times New Roman" w:hAnsi="Times New Roman" w:cs="Times New Roman"/>
        </w:rPr>
        <w:footnoteReference w:id="41"/>
      </w:r>
      <w:r w:rsidR="002644A5" w:rsidRPr="00626A7E">
        <w:rPr>
          <w:rFonts w:ascii="Times New Roman" w:hAnsi="Times New Roman" w:cs="Times New Roman"/>
        </w:rPr>
        <w:t xml:space="preserve"> In December </w:t>
      </w:r>
      <w:r w:rsidR="00855556" w:rsidRPr="00626A7E">
        <w:rPr>
          <w:rFonts w:ascii="Times New Roman" w:hAnsi="Times New Roman" w:cs="Times New Roman"/>
        </w:rPr>
        <w:t>1985,</w:t>
      </w:r>
      <w:r w:rsidR="002644A5" w:rsidRPr="00626A7E">
        <w:rPr>
          <w:rFonts w:ascii="Times New Roman" w:hAnsi="Times New Roman" w:cs="Times New Roman"/>
        </w:rPr>
        <w:t xml:space="preserve"> Shadow Chancellor</w:t>
      </w:r>
      <w:r w:rsidR="005A685F" w:rsidRPr="00626A7E">
        <w:rPr>
          <w:rFonts w:ascii="Times New Roman" w:hAnsi="Times New Roman" w:cs="Times New Roman"/>
        </w:rPr>
        <w:t xml:space="preserve"> Roy Hattersley noted</w:t>
      </w:r>
      <w:r w:rsidR="002644A5" w:rsidRPr="00626A7E">
        <w:rPr>
          <w:rFonts w:ascii="Times New Roman" w:hAnsi="Times New Roman" w:cs="Times New Roman"/>
        </w:rPr>
        <w:t xml:space="preserve"> ‘it is Labour Party policy to create an industrial bank of the sort that has been successful in Germany, Japan, Sweden, and other Scandinavian countries.’</w:t>
      </w:r>
      <w:r w:rsidR="002644A5" w:rsidRPr="00626A7E">
        <w:rPr>
          <w:rStyle w:val="FootnoteReference"/>
          <w:rFonts w:ascii="Times New Roman" w:hAnsi="Times New Roman" w:cs="Times New Roman"/>
        </w:rPr>
        <w:footnoteReference w:id="42"/>
      </w:r>
      <w:r w:rsidR="00907D11" w:rsidRPr="00626A7E">
        <w:rPr>
          <w:rFonts w:ascii="Times New Roman" w:hAnsi="Times New Roman" w:cs="Times New Roman"/>
        </w:rPr>
        <w:t xml:space="preserve"> Hattersley was a consistent voice for internationalism, and urged Kinnock not to </w:t>
      </w:r>
      <w:r w:rsidR="00FA72D2" w:rsidRPr="00626A7E">
        <w:rPr>
          <w:rFonts w:ascii="Times New Roman" w:hAnsi="Times New Roman" w:cs="Times New Roman"/>
        </w:rPr>
        <w:t>seem to advocate</w:t>
      </w:r>
      <w:r w:rsidR="00907D11" w:rsidRPr="00626A7E">
        <w:rPr>
          <w:rFonts w:ascii="Times New Roman" w:hAnsi="Times New Roman" w:cs="Times New Roman"/>
        </w:rPr>
        <w:t xml:space="preserve"> a ‘siege economy’</w:t>
      </w:r>
      <w:r w:rsidR="00AB17E9" w:rsidRPr="00626A7E">
        <w:rPr>
          <w:rFonts w:ascii="Times New Roman" w:hAnsi="Times New Roman" w:cs="Times New Roman"/>
        </w:rPr>
        <w:t xml:space="preserve"> like</w:t>
      </w:r>
      <w:r w:rsidR="00907D11" w:rsidRPr="00626A7E">
        <w:rPr>
          <w:rFonts w:ascii="Times New Roman" w:hAnsi="Times New Roman" w:cs="Times New Roman"/>
        </w:rPr>
        <w:t xml:space="preserve"> Foot. As the Shadow Chancellor admitted however, the difficulty with ‘organis[ing] a new </w:t>
      </w:r>
      <w:r w:rsidR="00FA72D2" w:rsidRPr="00626A7E">
        <w:rPr>
          <w:rFonts w:ascii="Times New Roman" w:hAnsi="Times New Roman" w:cs="Times New Roman"/>
        </w:rPr>
        <w:t xml:space="preserve">[global] </w:t>
      </w:r>
      <w:r w:rsidR="00907D11" w:rsidRPr="00626A7E">
        <w:rPr>
          <w:rFonts w:ascii="Times New Roman" w:hAnsi="Times New Roman" w:cs="Times New Roman"/>
        </w:rPr>
        <w:t>economic order’</w:t>
      </w:r>
      <w:r w:rsidR="00A86546" w:rsidRPr="00626A7E">
        <w:rPr>
          <w:rFonts w:ascii="Times New Roman" w:hAnsi="Times New Roman" w:cs="Times New Roman"/>
        </w:rPr>
        <w:t xml:space="preserve"> was </w:t>
      </w:r>
      <w:r w:rsidR="00907D11" w:rsidRPr="00626A7E">
        <w:rPr>
          <w:rFonts w:ascii="Times New Roman" w:hAnsi="Times New Roman" w:cs="Times New Roman"/>
        </w:rPr>
        <w:t>that ‘Reagan will still be President.’</w:t>
      </w:r>
      <w:r w:rsidR="00907D11" w:rsidRPr="00626A7E">
        <w:rPr>
          <w:rStyle w:val="FootnoteReference"/>
          <w:rFonts w:ascii="Times New Roman" w:hAnsi="Times New Roman" w:cs="Times New Roman"/>
        </w:rPr>
        <w:footnoteReference w:id="43"/>
      </w:r>
    </w:p>
    <w:p w14:paraId="6B7A7A67" w14:textId="77777777" w:rsidR="00907D11" w:rsidRPr="00626A7E" w:rsidRDefault="00907D11" w:rsidP="002644A5">
      <w:pPr>
        <w:widowControl w:val="0"/>
        <w:autoSpaceDE w:val="0"/>
        <w:autoSpaceDN w:val="0"/>
        <w:adjustRightInd w:val="0"/>
        <w:spacing w:line="360" w:lineRule="auto"/>
        <w:jc w:val="both"/>
        <w:rPr>
          <w:rFonts w:ascii="Times New Roman" w:hAnsi="Times New Roman" w:cs="Times New Roman"/>
        </w:rPr>
      </w:pPr>
    </w:p>
    <w:p w14:paraId="78D8EDBB" w14:textId="1AD0D44D" w:rsidR="002644A5" w:rsidRPr="00626A7E" w:rsidRDefault="00A53656"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Yet </w:t>
      </w:r>
      <w:r w:rsidR="00D53065" w:rsidRPr="00626A7E">
        <w:rPr>
          <w:rFonts w:ascii="Times New Roman" w:hAnsi="Times New Roman" w:cs="Times New Roman"/>
        </w:rPr>
        <w:t>Europe remained a beacon of possibilities</w:t>
      </w:r>
      <w:r w:rsidRPr="00626A7E">
        <w:rPr>
          <w:rFonts w:ascii="Times New Roman" w:hAnsi="Times New Roman" w:cs="Times New Roman"/>
        </w:rPr>
        <w:t xml:space="preserve">, and not just in terms of individual member states. </w:t>
      </w:r>
      <w:r w:rsidR="002644A5" w:rsidRPr="00626A7E">
        <w:rPr>
          <w:rFonts w:ascii="Times New Roman" w:hAnsi="Times New Roman" w:cs="Times New Roman"/>
        </w:rPr>
        <w:t xml:space="preserve">Between 1980 and 1990 the </w:t>
      </w:r>
      <w:r w:rsidR="00E14BBE" w:rsidRPr="00626A7E">
        <w:rPr>
          <w:rFonts w:ascii="Times New Roman" w:hAnsi="Times New Roman" w:cs="Times New Roman"/>
        </w:rPr>
        <w:t xml:space="preserve">total </w:t>
      </w:r>
      <w:r w:rsidR="002644A5" w:rsidRPr="00626A7E">
        <w:rPr>
          <w:rFonts w:ascii="Times New Roman" w:hAnsi="Times New Roman" w:cs="Times New Roman"/>
        </w:rPr>
        <w:t>level of new financing provided by the European Investment Bank in Luxembourg increased from 3.5bn ECU to 13.4bn ECU.</w:t>
      </w:r>
      <w:r w:rsidR="002644A5" w:rsidRPr="00626A7E">
        <w:rPr>
          <w:rStyle w:val="FootnoteReference"/>
          <w:rFonts w:ascii="Times New Roman" w:hAnsi="Times New Roman" w:cs="Times New Roman"/>
        </w:rPr>
        <w:footnoteReference w:id="44"/>
      </w:r>
      <w:r w:rsidR="002644A5" w:rsidRPr="00626A7E">
        <w:rPr>
          <w:rFonts w:ascii="Times New Roman" w:hAnsi="Times New Roman" w:cs="Times New Roman"/>
        </w:rPr>
        <w:t xml:space="preserve"> This had clear ramifications in the UK – from £417m worth of loans being issued to UK projects in 1980, by 1989 the amount was approaching £1.1bn</w:t>
      </w:r>
      <w:r w:rsidR="009D757E" w:rsidRPr="00626A7E">
        <w:rPr>
          <w:rFonts w:ascii="Times New Roman" w:hAnsi="Times New Roman" w:cs="Times New Roman"/>
        </w:rPr>
        <w:t xml:space="preserve"> (the UK was </w:t>
      </w:r>
      <w:r w:rsidR="0039601F" w:rsidRPr="00626A7E">
        <w:rPr>
          <w:rFonts w:ascii="Times New Roman" w:hAnsi="Times New Roman" w:cs="Times New Roman"/>
        </w:rPr>
        <w:t xml:space="preserve">only </w:t>
      </w:r>
      <w:r w:rsidR="009D757E" w:rsidRPr="00626A7E">
        <w:rPr>
          <w:rFonts w:ascii="Times New Roman" w:hAnsi="Times New Roman" w:cs="Times New Roman"/>
        </w:rPr>
        <w:t>second behind Italy in terms of investment received)</w:t>
      </w:r>
      <w:r w:rsidR="002644A5" w:rsidRPr="00626A7E">
        <w:rPr>
          <w:rFonts w:ascii="Times New Roman" w:hAnsi="Times New Roman" w:cs="Times New Roman"/>
        </w:rPr>
        <w:t>.</w:t>
      </w:r>
      <w:r w:rsidR="002644A5" w:rsidRPr="00626A7E">
        <w:rPr>
          <w:rStyle w:val="FootnoteReference"/>
          <w:rFonts w:ascii="Times New Roman" w:hAnsi="Times New Roman" w:cs="Times New Roman"/>
        </w:rPr>
        <w:footnoteReference w:id="45"/>
      </w:r>
      <w:r w:rsidR="002644A5" w:rsidRPr="00626A7E">
        <w:rPr>
          <w:rFonts w:ascii="Times New Roman" w:hAnsi="Times New Roman" w:cs="Times New Roman"/>
        </w:rPr>
        <w:t xml:space="preserve"> Big ticket items in the late 1980s included £190m towards the nuclear fuel processing plant in Sellafield, £50m for the development of the Airbus A-320 aeroplane, £100m for British aerospace, and £200m </w:t>
      </w:r>
      <w:r w:rsidR="0011718F" w:rsidRPr="00626A7E">
        <w:rPr>
          <w:rFonts w:ascii="Times New Roman" w:hAnsi="Times New Roman" w:cs="Times New Roman"/>
        </w:rPr>
        <w:t xml:space="preserve">for Scottish communications. </w:t>
      </w:r>
      <w:r w:rsidR="009B412B" w:rsidRPr="00626A7E">
        <w:rPr>
          <w:rFonts w:ascii="Times New Roman" w:hAnsi="Times New Roman" w:cs="Times New Roman"/>
        </w:rPr>
        <w:t>Significant EIB money also went towards</w:t>
      </w:r>
      <w:r w:rsidR="002644A5" w:rsidRPr="00626A7E">
        <w:rPr>
          <w:rFonts w:ascii="Times New Roman" w:hAnsi="Times New Roman" w:cs="Times New Roman"/>
        </w:rPr>
        <w:t xml:space="preserve"> the Channel Tunnel and </w:t>
      </w:r>
      <w:r w:rsidR="002E19A1" w:rsidRPr="00626A7E">
        <w:rPr>
          <w:rFonts w:ascii="Times New Roman" w:hAnsi="Times New Roman" w:cs="Times New Roman"/>
        </w:rPr>
        <w:t xml:space="preserve">the </w:t>
      </w:r>
      <w:r w:rsidR="002644A5" w:rsidRPr="00626A7E">
        <w:rPr>
          <w:rFonts w:ascii="Times New Roman" w:hAnsi="Times New Roman" w:cs="Times New Roman"/>
        </w:rPr>
        <w:t>development of Stansted Airport.</w:t>
      </w:r>
      <w:r w:rsidR="002644A5" w:rsidRPr="00626A7E">
        <w:rPr>
          <w:rStyle w:val="FootnoteReference"/>
          <w:rFonts w:ascii="Times New Roman" w:hAnsi="Times New Roman" w:cs="Times New Roman"/>
        </w:rPr>
        <w:footnoteReference w:id="46"/>
      </w:r>
      <w:r w:rsidR="002644A5" w:rsidRPr="00626A7E">
        <w:rPr>
          <w:rFonts w:ascii="Times New Roman" w:hAnsi="Times New Roman" w:cs="Times New Roman"/>
        </w:rPr>
        <w:t xml:space="preserve"> </w:t>
      </w:r>
      <w:r w:rsidR="002B5707" w:rsidRPr="00626A7E">
        <w:rPr>
          <w:rFonts w:ascii="Times New Roman" w:hAnsi="Times New Roman" w:cs="Times New Roman"/>
        </w:rPr>
        <w:t xml:space="preserve">The EIB was </w:t>
      </w:r>
      <w:r w:rsidR="00712B05" w:rsidRPr="00626A7E">
        <w:rPr>
          <w:rFonts w:ascii="Times New Roman" w:hAnsi="Times New Roman" w:cs="Times New Roman"/>
        </w:rPr>
        <w:t xml:space="preserve">certainly </w:t>
      </w:r>
      <w:r w:rsidR="002B5707" w:rsidRPr="00626A7E">
        <w:rPr>
          <w:rFonts w:ascii="Times New Roman" w:hAnsi="Times New Roman" w:cs="Times New Roman"/>
        </w:rPr>
        <w:t>not without critics, and as Thatcher attempted to negotiate Britain’s rebate from the EC any financial loss Britain made to Europe was</w:t>
      </w:r>
      <w:r w:rsidR="00805428" w:rsidRPr="00626A7E">
        <w:rPr>
          <w:rFonts w:ascii="Times New Roman" w:hAnsi="Times New Roman" w:cs="Times New Roman"/>
        </w:rPr>
        <w:t xml:space="preserve"> heavily</w:t>
      </w:r>
      <w:r w:rsidR="002B5707" w:rsidRPr="00626A7E">
        <w:rPr>
          <w:rFonts w:ascii="Times New Roman" w:hAnsi="Times New Roman" w:cs="Times New Roman"/>
        </w:rPr>
        <w:t xml:space="preserve"> </w:t>
      </w:r>
      <w:r w:rsidR="00B07F8A" w:rsidRPr="00626A7E">
        <w:rPr>
          <w:rFonts w:ascii="Times New Roman" w:hAnsi="Times New Roman" w:cs="Times New Roman"/>
        </w:rPr>
        <w:t>scrutinised</w:t>
      </w:r>
      <w:r w:rsidR="002B5707" w:rsidRPr="00626A7E">
        <w:rPr>
          <w:rFonts w:ascii="Times New Roman" w:hAnsi="Times New Roman" w:cs="Times New Roman"/>
        </w:rPr>
        <w:t>.</w:t>
      </w:r>
      <w:r w:rsidR="009D757E" w:rsidRPr="00626A7E">
        <w:rPr>
          <w:rFonts w:ascii="Times New Roman" w:hAnsi="Times New Roman" w:cs="Times New Roman"/>
        </w:rPr>
        <w:t xml:space="preserve"> </w:t>
      </w:r>
      <w:r w:rsidR="00765E85" w:rsidRPr="00626A7E">
        <w:rPr>
          <w:rFonts w:ascii="Times New Roman" w:hAnsi="Times New Roman" w:cs="Times New Roman"/>
        </w:rPr>
        <w:t>Indeed, b</w:t>
      </w:r>
      <w:r w:rsidR="002644A5" w:rsidRPr="00626A7E">
        <w:rPr>
          <w:rFonts w:ascii="Times New Roman" w:hAnsi="Times New Roman" w:cs="Times New Roman"/>
        </w:rPr>
        <w:t>etween 1988 and 1991 the UK’s total subscription</w:t>
      </w:r>
      <w:r w:rsidR="002B5707" w:rsidRPr="00626A7E">
        <w:rPr>
          <w:rFonts w:ascii="Times New Roman" w:hAnsi="Times New Roman" w:cs="Times New Roman"/>
        </w:rPr>
        <w:t xml:space="preserve"> to the EIB was </w:t>
      </w:r>
      <w:r w:rsidR="009D757E" w:rsidRPr="00626A7E">
        <w:rPr>
          <w:rFonts w:ascii="Times New Roman" w:hAnsi="Times New Roman" w:cs="Times New Roman"/>
        </w:rPr>
        <w:t>a sizeable</w:t>
      </w:r>
      <w:r w:rsidR="002B5707" w:rsidRPr="00626A7E">
        <w:rPr>
          <w:rFonts w:ascii="Times New Roman" w:hAnsi="Times New Roman" w:cs="Times New Roman"/>
        </w:rPr>
        <w:t xml:space="preserve"> 5.5bn ECU.</w:t>
      </w:r>
      <w:r w:rsidR="009D757E" w:rsidRPr="00626A7E">
        <w:rPr>
          <w:rFonts w:ascii="Times New Roman" w:hAnsi="Times New Roman" w:cs="Times New Roman"/>
        </w:rPr>
        <w:t xml:space="preserve"> But </w:t>
      </w:r>
      <w:r w:rsidR="00F81946" w:rsidRPr="00626A7E">
        <w:rPr>
          <w:rFonts w:ascii="Times New Roman" w:hAnsi="Times New Roman" w:cs="Times New Roman"/>
        </w:rPr>
        <w:t xml:space="preserve">with the collapse of communism </w:t>
      </w:r>
      <w:r w:rsidR="009D757E" w:rsidRPr="00626A7E">
        <w:rPr>
          <w:rFonts w:ascii="Times New Roman" w:hAnsi="Times New Roman" w:cs="Times New Roman"/>
        </w:rPr>
        <w:t>thi</w:t>
      </w:r>
      <w:r w:rsidR="00A0223A" w:rsidRPr="00626A7E">
        <w:rPr>
          <w:rFonts w:ascii="Times New Roman" w:hAnsi="Times New Roman" w:cs="Times New Roman"/>
        </w:rPr>
        <w:t>s money soon assumed a</w:t>
      </w:r>
      <w:r w:rsidR="009D757E" w:rsidRPr="00626A7E">
        <w:rPr>
          <w:rFonts w:ascii="Times New Roman" w:hAnsi="Times New Roman" w:cs="Times New Roman"/>
        </w:rPr>
        <w:t xml:space="preserve"> geopolitical importance - even the Conservative manifesto of 1992 spoke of being ‘at the forefront of investing in the markets of Central and Eastern Europe</w:t>
      </w:r>
      <w:r w:rsidR="001554CD" w:rsidRPr="00626A7E">
        <w:rPr>
          <w:rFonts w:ascii="Times New Roman" w:hAnsi="Times New Roman" w:cs="Times New Roman"/>
        </w:rPr>
        <w:t>.</w:t>
      </w:r>
      <w:r w:rsidR="009D757E" w:rsidRPr="00626A7E">
        <w:rPr>
          <w:rFonts w:ascii="Times New Roman" w:hAnsi="Times New Roman" w:cs="Times New Roman"/>
        </w:rPr>
        <w:t>’</w:t>
      </w:r>
      <w:r w:rsidR="009D757E" w:rsidRPr="00626A7E">
        <w:rPr>
          <w:rStyle w:val="FootnoteReference"/>
          <w:rFonts w:ascii="Times New Roman" w:hAnsi="Times New Roman" w:cs="Times New Roman"/>
        </w:rPr>
        <w:footnoteReference w:id="47"/>
      </w:r>
      <w:r w:rsidR="002644A5" w:rsidRPr="00626A7E">
        <w:rPr>
          <w:rFonts w:ascii="Times New Roman" w:hAnsi="Times New Roman" w:cs="Times New Roman"/>
        </w:rPr>
        <w:t xml:space="preserve"> </w:t>
      </w:r>
      <w:r w:rsidR="001554CD" w:rsidRPr="00626A7E">
        <w:rPr>
          <w:rFonts w:ascii="Times New Roman" w:hAnsi="Times New Roman" w:cs="Times New Roman"/>
        </w:rPr>
        <w:t xml:space="preserve">Regardless, throughout the 1980s </w:t>
      </w:r>
      <w:r w:rsidR="002644A5" w:rsidRPr="00626A7E">
        <w:rPr>
          <w:rFonts w:ascii="Times New Roman" w:hAnsi="Times New Roman" w:cs="Times New Roman"/>
        </w:rPr>
        <w:t>the UK was increasingly part of a scheme to repatriate taxpayers</w:t>
      </w:r>
      <w:r w:rsidR="00FA614F" w:rsidRPr="00626A7E">
        <w:rPr>
          <w:rFonts w:ascii="Times New Roman" w:hAnsi="Times New Roman" w:cs="Times New Roman"/>
        </w:rPr>
        <w:t>’</w:t>
      </w:r>
      <w:r w:rsidR="002644A5" w:rsidRPr="00626A7E">
        <w:rPr>
          <w:rFonts w:ascii="Times New Roman" w:hAnsi="Times New Roman" w:cs="Times New Roman"/>
        </w:rPr>
        <w:t xml:space="preserve"> money to fund</w:t>
      </w:r>
      <w:r w:rsidR="006E6DFE" w:rsidRPr="00626A7E">
        <w:rPr>
          <w:rFonts w:ascii="Times New Roman" w:hAnsi="Times New Roman" w:cs="Times New Roman"/>
        </w:rPr>
        <w:t xml:space="preserve"> and guarantee</w:t>
      </w:r>
      <w:r w:rsidR="002644A5" w:rsidRPr="00626A7E">
        <w:rPr>
          <w:rFonts w:ascii="Times New Roman" w:hAnsi="Times New Roman" w:cs="Times New Roman"/>
        </w:rPr>
        <w:t xml:space="preserve"> lending to small, medium </w:t>
      </w:r>
      <w:r w:rsidR="002644A5" w:rsidRPr="00626A7E">
        <w:rPr>
          <w:rFonts w:ascii="Times New Roman" w:hAnsi="Times New Roman" w:cs="Times New Roman"/>
        </w:rPr>
        <w:lastRenderedPageBreak/>
        <w:t>and larger businesses</w:t>
      </w:r>
      <w:r w:rsidR="004A03B3" w:rsidRPr="00626A7E">
        <w:rPr>
          <w:rFonts w:ascii="Times New Roman" w:hAnsi="Times New Roman" w:cs="Times New Roman"/>
        </w:rPr>
        <w:t xml:space="preserve"> across the European continent</w:t>
      </w:r>
      <w:r w:rsidR="00597CCC" w:rsidRPr="00626A7E">
        <w:rPr>
          <w:rFonts w:ascii="Times New Roman" w:hAnsi="Times New Roman" w:cs="Times New Roman"/>
        </w:rPr>
        <w:t xml:space="preserve"> (and beyond)</w:t>
      </w:r>
      <w:r w:rsidR="002644A5" w:rsidRPr="00626A7E">
        <w:rPr>
          <w:rFonts w:ascii="Times New Roman" w:hAnsi="Times New Roman" w:cs="Times New Roman"/>
        </w:rPr>
        <w:t xml:space="preserve">. This did not stop </w:t>
      </w:r>
      <w:r w:rsidR="006779BB" w:rsidRPr="00626A7E">
        <w:rPr>
          <w:rFonts w:ascii="Times New Roman" w:hAnsi="Times New Roman" w:cs="Times New Roman"/>
        </w:rPr>
        <w:t xml:space="preserve">Tory </w:t>
      </w:r>
      <w:r w:rsidR="002644A5" w:rsidRPr="00626A7E">
        <w:rPr>
          <w:rFonts w:ascii="Times New Roman" w:hAnsi="Times New Roman" w:cs="Times New Roman"/>
        </w:rPr>
        <w:t>attacks on Labour’s attempts to implement a British version of the EIB, but it</w:t>
      </w:r>
      <w:r w:rsidR="003C2AA6" w:rsidRPr="00626A7E">
        <w:rPr>
          <w:rFonts w:ascii="Times New Roman" w:hAnsi="Times New Roman" w:cs="Times New Roman"/>
        </w:rPr>
        <w:t xml:space="preserve"> </w:t>
      </w:r>
      <w:r w:rsidR="002644A5" w:rsidRPr="00626A7E">
        <w:rPr>
          <w:rFonts w:ascii="Times New Roman" w:hAnsi="Times New Roman" w:cs="Times New Roman"/>
        </w:rPr>
        <w:t>blunted them.</w:t>
      </w:r>
      <w:r w:rsidR="009D757E" w:rsidRPr="00626A7E">
        <w:rPr>
          <w:rFonts w:ascii="Times New Roman" w:hAnsi="Times New Roman" w:cs="Times New Roman"/>
        </w:rPr>
        <w:t xml:space="preserve"> </w:t>
      </w:r>
      <w:r w:rsidR="009F0AD7" w:rsidRPr="00626A7E">
        <w:rPr>
          <w:rFonts w:ascii="Times New Roman" w:hAnsi="Times New Roman" w:cs="Times New Roman"/>
        </w:rPr>
        <w:t>Subsidised lending was happening, and British businesses and infrastructure projects alike were benefiting from it.</w:t>
      </w:r>
      <w:r w:rsidR="008230EC" w:rsidRPr="00626A7E">
        <w:rPr>
          <w:rFonts w:ascii="Times New Roman" w:hAnsi="Times New Roman" w:cs="Times New Roman"/>
        </w:rPr>
        <w:t xml:space="preserve"> </w:t>
      </w:r>
    </w:p>
    <w:p w14:paraId="3465E5C4" w14:textId="77777777" w:rsidR="00A04F05" w:rsidRPr="00626A7E" w:rsidRDefault="00A04F05" w:rsidP="001A45AF">
      <w:pPr>
        <w:widowControl w:val="0"/>
        <w:autoSpaceDE w:val="0"/>
        <w:autoSpaceDN w:val="0"/>
        <w:adjustRightInd w:val="0"/>
        <w:spacing w:line="360" w:lineRule="auto"/>
        <w:jc w:val="both"/>
        <w:rPr>
          <w:rFonts w:ascii="Times New Roman" w:hAnsi="Times New Roman" w:cs="Times New Roman"/>
        </w:rPr>
      </w:pPr>
    </w:p>
    <w:p w14:paraId="6823E9DA" w14:textId="0B7EAE85" w:rsidR="001A45AF" w:rsidRPr="00626A7E" w:rsidRDefault="00201A40"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Policy precedent apart, o</w:t>
      </w:r>
      <w:r w:rsidR="000C288D" w:rsidRPr="00626A7E">
        <w:rPr>
          <w:rFonts w:ascii="Times New Roman" w:hAnsi="Times New Roman" w:cs="Times New Roman"/>
        </w:rPr>
        <w:t>ne cannot ign</w:t>
      </w:r>
      <w:r w:rsidR="00277B1A" w:rsidRPr="00626A7E">
        <w:rPr>
          <w:rFonts w:ascii="Times New Roman" w:hAnsi="Times New Roman" w:cs="Times New Roman"/>
        </w:rPr>
        <w:t>ore the internal and very personal dimension for Neil</w:t>
      </w:r>
      <w:r w:rsidR="000C288D" w:rsidRPr="00626A7E">
        <w:rPr>
          <w:rFonts w:ascii="Times New Roman" w:hAnsi="Times New Roman" w:cs="Times New Roman"/>
        </w:rPr>
        <w:t xml:space="preserve"> Kinnock. As </w:t>
      </w:r>
      <w:r w:rsidR="001D7AAE" w:rsidRPr="00626A7E">
        <w:rPr>
          <w:rFonts w:ascii="Times New Roman" w:hAnsi="Times New Roman" w:cs="Times New Roman"/>
        </w:rPr>
        <w:t xml:space="preserve">Richard </w:t>
      </w:r>
      <w:r w:rsidR="000C288D" w:rsidRPr="00626A7E">
        <w:rPr>
          <w:rFonts w:ascii="Times New Roman" w:hAnsi="Times New Roman" w:cs="Times New Roman"/>
        </w:rPr>
        <w:t>Hill notes, between his election as leader in 1983 and the conference speech of 1985 where he lambas</w:t>
      </w:r>
      <w:r w:rsidR="001334AB" w:rsidRPr="00626A7E">
        <w:rPr>
          <w:rFonts w:ascii="Times New Roman" w:hAnsi="Times New Roman" w:cs="Times New Roman"/>
        </w:rPr>
        <w:t xml:space="preserve">ted the Militant tendency, </w:t>
      </w:r>
      <w:r w:rsidR="000C288D" w:rsidRPr="00626A7E">
        <w:rPr>
          <w:rFonts w:ascii="Times New Roman" w:hAnsi="Times New Roman" w:cs="Times New Roman"/>
        </w:rPr>
        <w:t xml:space="preserve">Kinnock’s room for </w:t>
      </w:r>
      <w:r w:rsidR="008E6D28" w:rsidRPr="00626A7E">
        <w:rPr>
          <w:rFonts w:ascii="Times New Roman" w:hAnsi="Times New Roman" w:cs="Times New Roman"/>
        </w:rPr>
        <w:t>manoeuvre</w:t>
      </w:r>
      <w:r w:rsidR="000C288D" w:rsidRPr="00626A7E">
        <w:rPr>
          <w:rFonts w:ascii="Times New Roman" w:hAnsi="Times New Roman" w:cs="Times New Roman"/>
        </w:rPr>
        <w:t xml:space="preserve"> was </w:t>
      </w:r>
      <w:r w:rsidR="001A45AF" w:rsidRPr="00626A7E">
        <w:rPr>
          <w:rFonts w:ascii="Times New Roman" w:hAnsi="Times New Roman" w:cs="Times New Roman"/>
        </w:rPr>
        <w:t>limited indeed.</w:t>
      </w:r>
      <w:r w:rsidR="00325AFA" w:rsidRPr="00626A7E">
        <w:rPr>
          <w:rStyle w:val="FootnoteReference"/>
          <w:rFonts w:ascii="Times New Roman" w:hAnsi="Times New Roman" w:cs="Times New Roman"/>
        </w:rPr>
        <w:footnoteReference w:id="48"/>
      </w:r>
      <w:r w:rsidR="001A45AF" w:rsidRPr="00626A7E">
        <w:rPr>
          <w:rFonts w:ascii="Times New Roman" w:hAnsi="Times New Roman" w:cs="Times New Roman"/>
        </w:rPr>
        <w:t xml:space="preserve"> His loss at the 1984 Conference over ‘One Member One Vote’</w:t>
      </w:r>
      <w:r w:rsidR="00277B1A" w:rsidRPr="00626A7E">
        <w:rPr>
          <w:rFonts w:ascii="Times New Roman" w:hAnsi="Times New Roman" w:cs="Times New Roman"/>
        </w:rPr>
        <w:t xml:space="preserve"> was particularly salutary</w:t>
      </w:r>
      <w:r w:rsidRPr="00626A7E">
        <w:rPr>
          <w:rFonts w:ascii="Times New Roman" w:hAnsi="Times New Roman" w:cs="Times New Roman"/>
        </w:rPr>
        <w:t xml:space="preserve">, and </w:t>
      </w:r>
      <w:r w:rsidR="001A45AF" w:rsidRPr="00626A7E">
        <w:rPr>
          <w:rFonts w:ascii="Times New Roman" w:hAnsi="Times New Roman" w:cs="Times New Roman"/>
        </w:rPr>
        <w:t>policies which advanced his own views but could be cloaked in the language of the left were vital</w:t>
      </w:r>
      <w:r w:rsidR="00A43AF5" w:rsidRPr="00626A7E">
        <w:rPr>
          <w:rFonts w:ascii="Times New Roman" w:hAnsi="Times New Roman" w:cs="Times New Roman"/>
        </w:rPr>
        <w:t xml:space="preserve"> during this period</w:t>
      </w:r>
      <w:r w:rsidR="001A45AF" w:rsidRPr="00626A7E">
        <w:rPr>
          <w:rFonts w:ascii="Times New Roman" w:hAnsi="Times New Roman" w:cs="Times New Roman"/>
        </w:rPr>
        <w:t xml:space="preserve">. </w:t>
      </w:r>
      <w:r w:rsidR="00A43AF5" w:rsidRPr="00626A7E">
        <w:rPr>
          <w:rFonts w:ascii="Times New Roman" w:hAnsi="Times New Roman" w:cs="Times New Roman"/>
        </w:rPr>
        <w:t>Crucially, t</w:t>
      </w:r>
      <w:r w:rsidR="001A45AF" w:rsidRPr="00626A7E">
        <w:rPr>
          <w:rFonts w:ascii="Times New Roman" w:hAnsi="Times New Roman" w:cs="Times New Roman"/>
        </w:rPr>
        <w:t xml:space="preserve">he idea of some form of government directed (or at least influenced) investment bank could mean different things to different people. For </w:t>
      </w:r>
      <w:r w:rsidR="00F134E5" w:rsidRPr="00626A7E">
        <w:rPr>
          <w:rFonts w:ascii="Times New Roman" w:hAnsi="Times New Roman" w:cs="Times New Roman"/>
        </w:rPr>
        <w:t xml:space="preserve">some </w:t>
      </w:r>
      <w:r w:rsidR="001A45AF" w:rsidRPr="00626A7E">
        <w:rPr>
          <w:rFonts w:ascii="Times New Roman" w:hAnsi="Times New Roman" w:cs="Times New Roman"/>
        </w:rPr>
        <w:t>on the left,</w:t>
      </w:r>
      <w:r w:rsidRPr="00626A7E">
        <w:rPr>
          <w:rFonts w:ascii="Times New Roman" w:hAnsi="Times New Roman" w:cs="Times New Roman"/>
        </w:rPr>
        <w:t xml:space="preserve"> after 1983</w:t>
      </w:r>
      <w:r w:rsidR="001A45AF" w:rsidRPr="00626A7E">
        <w:rPr>
          <w:rFonts w:ascii="Times New Roman" w:hAnsi="Times New Roman" w:cs="Times New Roman"/>
        </w:rPr>
        <w:t xml:space="preserve"> the major problem with the NIB was that the policy did not go far enough. Presenting a 1985 paper to the broadly leftist Campaign for Labour Democracy faction, the </w:t>
      </w:r>
      <w:r w:rsidR="003669B7" w:rsidRPr="00626A7E">
        <w:rPr>
          <w:rFonts w:ascii="Times New Roman" w:hAnsi="Times New Roman" w:cs="Times New Roman"/>
        </w:rPr>
        <w:t>Oxford economist (and Trotskyi</w:t>
      </w:r>
      <w:r w:rsidR="00A47B01" w:rsidRPr="00626A7E">
        <w:rPr>
          <w:rFonts w:ascii="Times New Roman" w:hAnsi="Times New Roman" w:cs="Times New Roman"/>
        </w:rPr>
        <w:t>st)</w:t>
      </w:r>
      <w:r w:rsidR="001A45AF" w:rsidRPr="00626A7E">
        <w:rPr>
          <w:rFonts w:ascii="Times New Roman" w:hAnsi="Times New Roman" w:cs="Times New Roman"/>
        </w:rPr>
        <w:t xml:space="preserve"> Andrew Glyn argued that ‘the National Investment Bank, currently proposed by Labour to be funded from repatriated overseas investments and directed towards small and medium firms could make a contribution, but in no way would it guarantee a major expansion of investment.’</w:t>
      </w:r>
      <w:r w:rsidR="00E04682" w:rsidRPr="00626A7E">
        <w:rPr>
          <w:rStyle w:val="FootnoteReference"/>
          <w:rFonts w:ascii="Times New Roman" w:hAnsi="Times New Roman" w:cs="Times New Roman"/>
        </w:rPr>
        <w:footnoteReference w:id="49"/>
      </w:r>
      <w:r w:rsidR="001A45AF" w:rsidRPr="00626A7E">
        <w:rPr>
          <w:rFonts w:ascii="Times New Roman" w:hAnsi="Times New Roman" w:cs="Times New Roman"/>
        </w:rPr>
        <w:t xml:space="preserve"> This was symbolic, he continued, of ‘Labour’s leaders hav[ing] retreated from the ideas of planning and controlling investment, towards attempting to encourage it by reassuring the private sector.’</w:t>
      </w:r>
      <w:r w:rsidR="00092516" w:rsidRPr="00626A7E">
        <w:rPr>
          <w:rFonts w:ascii="Times New Roman" w:hAnsi="Times New Roman" w:cs="Times New Roman"/>
        </w:rPr>
        <w:t xml:space="preserve"> Paul Flynn</w:t>
      </w:r>
      <w:r w:rsidR="00A43AF5" w:rsidRPr="00626A7E">
        <w:rPr>
          <w:rFonts w:ascii="Times New Roman" w:hAnsi="Times New Roman" w:cs="Times New Roman"/>
        </w:rPr>
        <w:t xml:space="preserve"> MP</w:t>
      </w:r>
      <w:r w:rsidR="00051CCA" w:rsidRPr="00626A7E">
        <w:rPr>
          <w:rFonts w:ascii="Times New Roman" w:hAnsi="Times New Roman" w:cs="Times New Roman"/>
        </w:rPr>
        <w:t xml:space="preserve"> (first elected in 1987)</w:t>
      </w:r>
      <w:r w:rsidR="00254543" w:rsidRPr="00626A7E">
        <w:rPr>
          <w:rFonts w:ascii="Times New Roman" w:hAnsi="Times New Roman" w:cs="Times New Roman"/>
        </w:rPr>
        <w:t xml:space="preserve"> </w:t>
      </w:r>
      <w:r w:rsidR="00B70CE8" w:rsidRPr="00626A7E">
        <w:rPr>
          <w:rFonts w:ascii="Times New Roman" w:hAnsi="Times New Roman" w:cs="Times New Roman"/>
        </w:rPr>
        <w:t xml:space="preserve">recalls </w:t>
      </w:r>
      <w:r w:rsidR="00092516" w:rsidRPr="00626A7E">
        <w:rPr>
          <w:rFonts w:ascii="Times New Roman" w:hAnsi="Times New Roman" w:cs="Times New Roman"/>
        </w:rPr>
        <w:t xml:space="preserve">that the ‘left wing were </w:t>
      </w:r>
      <w:r w:rsidR="00254543" w:rsidRPr="00626A7E">
        <w:rPr>
          <w:rFonts w:ascii="Times New Roman" w:hAnsi="Times New Roman" w:cs="Times New Roman"/>
        </w:rPr>
        <w:t>friendly towards the [NIB] idea more so than the right wing.’</w:t>
      </w:r>
      <w:r w:rsidR="00254543" w:rsidRPr="00626A7E">
        <w:rPr>
          <w:rStyle w:val="FootnoteReference"/>
          <w:rFonts w:ascii="Times New Roman" w:hAnsi="Times New Roman" w:cs="Times New Roman"/>
        </w:rPr>
        <w:footnoteReference w:id="50"/>
      </w:r>
      <w:r w:rsidR="00325AFA" w:rsidRPr="00626A7E">
        <w:rPr>
          <w:rFonts w:ascii="Times New Roman" w:hAnsi="Times New Roman" w:cs="Times New Roman"/>
        </w:rPr>
        <w:t xml:space="preserve"> </w:t>
      </w:r>
      <w:r w:rsidR="00254543" w:rsidRPr="00626A7E">
        <w:rPr>
          <w:rFonts w:ascii="Times New Roman" w:hAnsi="Times New Roman" w:cs="Times New Roman"/>
        </w:rPr>
        <w:t xml:space="preserve">Either way, the policy’s malleability was one of its chief assets. </w:t>
      </w:r>
      <w:r w:rsidR="00325AFA" w:rsidRPr="00626A7E">
        <w:rPr>
          <w:rFonts w:ascii="Times New Roman" w:hAnsi="Times New Roman" w:cs="Times New Roman"/>
        </w:rPr>
        <w:t>For those on the right, the bank was about encouraging capital flows to productive capitalism</w:t>
      </w:r>
      <w:r w:rsidR="00107A52" w:rsidRPr="00626A7E">
        <w:rPr>
          <w:rFonts w:ascii="Times New Roman" w:hAnsi="Times New Roman" w:cs="Times New Roman"/>
        </w:rPr>
        <w:t xml:space="preserve"> – </w:t>
      </w:r>
      <w:r w:rsidR="00382341" w:rsidRPr="00626A7E">
        <w:rPr>
          <w:rFonts w:ascii="Times New Roman" w:hAnsi="Times New Roman" w:cs="Times New Roman"/>
        </w:rPr>
        <w:t>providing succour</w:t>
      </w:r>
      <w:r w:rsidR="00107A52" w:rsidRPr="00626A7E">
        <w:rPr>
          <w:rFonts w:ascii="Times New Roman" w:hAnsi="Times New Roman" w:cs="Times New Roman"/>
        </w:rPr>
        <w:t xml:space="preserve">, as Flynn </w:t>
      </w:r>
      <w:r w:rsidR="004E3B9B" w:rsidRPr="00626A7E">
        <w:rPr>
          <w:rFonts w:ascii="Times New Roman" w:hAnsi="Times New Roman" w:cs="Times New Roman"/>
        </w:rPr>
        <w:t>states</w:t>
      </w:r>
      <w:r w:rsidR="00107A52" w:rsidRPr="00626A7E">
        <w:rPr>
          <w:rFonts w:ascii="Times New Roman" w:hAnsi="Times New Roman" w:cs="Times New Roman"/>
        </w:rPr>
        <w:t>, to the ‘give greed a chance’ brigade</w:t>
      </w:r>
      <w:r w:rsidR="00325AFA" w:rsidRPr="00626A7E">
        <w:rPr>
          <w:rFonts w:ascii="Times New Roman" w:hAnsi="Times New Roman" w:cs="Times New Roman"/>
        </w:rPr>
        <w:t>.</w:t>
      </w:r>
      <w:r w:rsidR="00107A52" w:rsidRPr="00626A7E">
        <w:rPr>
          <w:rStyle w:val="FootnoteReference"/>
          <w:rFonts w:ascii="Times New Roman" w:hAnsi="Times New Roman" w:cs="Times New Roman"/>
        </w:rPr>
        <w:footnoteReference w:id="51"/>
      </w:r>
      <w:r w:rsidR="006E116D" w:rsidRPr="00626A7E">
        <w:rPr>
          <w:rFonts w:ascii="Times New Roman" w:hAnsi="Times New Roman" w:cs="Times New Roman"/>
        </w:rPr>
        <w:t xml:space="preserve"> </w:t>
      </w:r>
      <w:r w:rsidR="00666590" w:rsidRPr="00626A7E">
        <w:rPr>
          <w:rFonts w:ascii="Times New Roman" w:hAnsi="Times New Roman" w:cs="Times New Roman"/>
        </w:rPr>
        <w:t>Concurrently t</w:t>
      </w:r>
      <w:r w:rsidR="006E116D" w:rsidRPr="00626A7E">
        <w:rPr>
          <w:rFonts w:ascii="Times New Roman" w:hAnsi="Times New Roman" w:cs="Times New Roman"/>
        </w:rPr>
        <w:t>o those on the left, it</w:t>
      </w:r>
      <w:r w:rsidR="00325AFA" w:rsidRPr="00626A7E">
        <w:rPr>
          <w:rFonts w:ascii="Times New Roman" w:hAnsi="Times New Roman" w:cs="Times New Roman"/>
        </w:rPr>
        <w:t xml:space="preserve"> was abou</w:t>
      </w:r>
      <w:r w:rsidR="008230EC" w:rsidRPr="00626A7E">
        <w:rPr>
          <w:rFonts w:ascii="Times New Roman" w:hAnsi="Times New Roman" w:cs="Times New Roman"/>
        </w:rPr>
        <w:t xml:space="preserve">t bringing the City to heel, </w:t>
      </w:r>
      <w:r w:rsidR="00325AFA" w:rsidRPr="00626A7E">
        <w:rPr>
          <w:rFonts w:ascii="Times New Roman" w:hAnsi="Times New Roman" w:cs="Times New Roman"/>
        </w:rPr>
        <w:t>plugging the gaps the bi</w:t>
      </w:r>
      <w:r w:rsidR="008230EC" w:rsidRPr="00626A7E">
        <w:rPr>
          <w:rFonts w:ascii="Times New Roman" w:hAnsi="Times New Roman" w:cs="Times New Roman"/>
        </w:rPr>
        <w:t>g banks were refusing to act on, and bringing industry back under state control.</w:t>
      </w:r>
    </w:p>
    <w:p w14:paraId="442C726F" w14:textId="77777777" w:rsidR="00A04F05" w:rsidRPr="00626A7E" w:rsidRDefault="00A04F05" w:rsidP="001A45AF">
      <w:pPr>
        <w:widowControl w:val="0"/>
        <w:autoSpaceDE w:val="0"/>
        <w:autoSpaceDN w:val="0"/>
        <w:adjustRightInd w:val="0"/>
        <w:spacing w:line="360" w:lineRule="auto"/>
        <w:jc w:val="both"/>
        <w:rPr>
          <w:rFonts w:ascii="Times New Roman" w:hAnsi="Times New Roman" w:cs="Times New Roman"/>
        </w:rPr>
      </w:pPr>
    </w:p>
    <w:p w14:paraId="0A04E792" w14:textId="5D711B8A" w:rsidR="008427AE" w:rsidRPr="00626A7E" w:rsidRDefault="008230EC"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A</w:t>
      </w:r>
      <w:r w:rsidR="00AE131F" w:rsidRPr="00626A7E">
        <w:rPr>
          <w:rFonts w:ascii="Times New Roman" w:hAnsi="Times New Roman" w:cs="Times New Roman"/>
        </w:rPr>
        <w:t>s Bryan Gould notes to the present author, the NIB question was very much tied up to ‘the issue as to what to commit a new Labour government to do in respect of the formerly nationalised industries, such as BT, that the Tories had in various ways privatised.</w:t>
      </w:r>
      <w:r w:rsidR="00586E3F" w:rsidRPr="00626A7E">
        <w:rPr>
          <w:rFonts w:ascii="Times New Roman" w:hAnsi="Times New Roman" w:cs="Times New Roman"/>
        </w:rPr>
        <w:t xml:space="preserve"> The </w:t>
      </w:r>
      <w:r w:rsidR="00586E3F" w:rsidRPr="00626A7E">
        <w:rPr>
          <w:rFonts w:ascii="Times New Roman" w:hAnsi="Times New Roman" w:cs="Times New Roman"/>
        </w:rPr>
        <w:lastRenderedPageBreak/>
        <w:t>unions…were keen to push for a commitment to re-nationalise, but the PLP members wanted to avoid that commitment.’ Much of Gould’</w:t>
      </w:r>
      <w:r w:rsidR="003229E6" w:rsidRPr="00626A7E">
        <w:rPr>
          <w:rFonts w:ascii="Times New Roman" w:hAnsi="Times New Roman" w:cs="Times New Roman"/>
        </w:rPr>
        <w:t>s time in his Shadow Economic portfolios</w:t>
      </w:r>
      <w:r w:rsidR="00EF2574" w:rsidRPr="00626A7E">
        <w:rPr>
          <w:rFonts w:ascii="Times New Roman" w:hAnsi="Times New Roman" w:cs="Times New Roman"/>
        </w:rPr>
        <w:t xml:space="preserve"> in the late 1980s</w:t>
      </w:r>
      <w:r w:rsidR="003229E6" w:rsidRPr="00626A7E">
        <w:rPr>
          <w:rFonts w:ascii="Times New Roman" w:hAnsi="Times New Roman" w:cs="Times New Roman"/>
        </w:rPr>
        <w:t xml:space="preserve"> was spent ‘persuading the unions to accept a form of partial public ownership, such as – in the case of BT for example – obtaining a majority shareholding. It </w:t>
      </w:r>
      <w:r w:rsidR="00A2453B" w:rsidRPr="00626A7E">
        <w:rPr>
          <w:rFonts w:ascii="Times New Roman" w:hAnsi="Times New Roman" w:cs="Times New Roman"/>
        </w:rPr>
        <w:t xml:space="preserve">was in the context of </w:t>
      </w:r>
      <w:r w:rsidR="00A41A54" w:rsidRPr="00626A7E">
        <w:rPr>
          <w:rFonts w:ascii="Times New Roman" w:hAnsi="Times New Roman" w:cs="Times New Roman"/>
        </w:rPr>
        <w:t>that kind of discussion that the concept of a publicly owned investment bank was developed.’</w:t>
      </w:r>
      <w:r w:rsidR="00A41A54" w:rsidRPr="00626A7E">
        <w:rPr>
          <w:rStyle w:val="FootnoteReference"/>
          <w:rFonts w:ascii="Times New Roman" w:hAnsi="Times New Roman" w:cs="Times New Roman"/>
        </w:rPr>
        <w:footnoteReference w:id="52"/>
      </w:r>
      <w:r w:rsidR="00A60BFD" w:rsidRPr="00626A7E">
        <w:rPr>
          <w:rFonts w:ascii="Times New Roman" w:hAnsi="Times New Roman" w:cs="Times New Roman"/>
        </w:rPr>
        <w:t xml:space="preserve"> Shifting the Labour Party on industrial policy and nationalisation was about restoring </w:t>
      </w:r>
      <w:r w:rsidR="00154B42" w:rsidRPr="00626A7E">
        <w:rPr>
          <w:rFonts w:ascii="Times New Roman" w:hAnsi="Times New Roman" w:cs="Times New Roman"/>
        </w:rPr>
        <w:t xml:space="preserve">Labour’s </w:t>
      </w:r>
      <w:r w:rsidR="00E70284" w:rsidRPr="00626A7E">
        <w:rPr>
          <w:rFonts w:ascii="Times New Roman" w:hAnsi="Times New Roman" w:cs="Times New Roman"/>
        </w:rPr>
        <w:t>‘</w:t>
      </w:r>
      <w:r w:rsidR="00154B42" w:rsidRPr="00626A7E">
        <w:rPr>
          <w:rFonts w:ascii="Times New Roman" w:hAnsi="Times New Roman" w:cs="Times New Roman"/>
        </w:rPr>
        <w:t>valence</w:t>
      </w:r>
      <w:r w:rsidR="00E70284" w:rsidRPr="00626A7E">
        <w:rPr>
          <w:rFonts w:ascii="Times New Roman" w:hAnsi="Times New Roman" w:cs="Times New Roman"/>
        </w:rPr>
        <w:t>’</w:t>
      </w:r>
      <w:r w:rsidR="00154B42" w:rsidRPr="00626A7E">
        <w:rPr>
          <w:rFonts w:ascii="Times New Roman" w:hAnsi="Times New Roman" w:cs="Times New Roman"/>
        </w:rPr>
        <w:t xml:space="preserve"> to the electorate – here the NIB formed part of the retail offer as such, but it was also not a policy that existed in a vacuum. Just as the Tories had tied up th</w:t>
      </w:r>
      <w:r w:rsidR="00220771" w:rsidRPr="00626A7E">
        <w:rPr>
          <w:rFonts w:ascii="Times New Roman" w:hAnsi="Times New Roman" w:cs="Times New Roman"/>
        </w:rPr>
        <w:t>e NIB to nationalising</w:t>
      </w:r>
      <w:r w:rsidR="00154B42" w:rsidRPr="00626A7E">
        <w:rPr>
          <w:rFonts w:ascii="Times New Roman" w:hAnsi="Times New Roman" w:cs="Times New Roman"/>
        </w:rPr>
        <w:t xml:space="preserve"> the major banks in 1983, so too did it not remain divorced from the remainder of Labour economic policy throughout the 1980s.</w:t>
      </w:r>
      <w:r w:rsidR="00666590" w:rsidRPr="00626A7E">
        <w:rPr>
          <w:rFonts w:ascii="Times New Roman" w:hAnsi="Times New Roman" w:cs="Times New Roman"/>
        </w:rPr>
        <w:t xml:space="preserve"> </w:t>
      </w:r>
      <w:r w:rsidR="00436628" w:rsidRPr="00626A7E">
        <w:rPr>
          <w:rFonts w:ascii="Times New Roman" w:hAnsi="Times New Roman" w:cs="Times New Roman"/>
        </w:rPr>
        <w:t>Indeed, t</w:t>
      </w:r>
      <w:r w:rsidR="006779BB" w:rsidRPr="00626A7E">
        <w:rPr>
          <w:rFonts w:ascii="Times New Roman" w:hAnsi="Times New Roman" w:cs="Times New Roman"/>
        </w:rPr>
        <w:t xml:space="preserve">he </w:t>
      </w:r>
      <w:r w:rsidR="007B28F0" w:rsidRPr="00626A7E">
        <w:rPr>
          <w:rFonts w:ascii="Times New Roman" w:hAnsi="Times New Roman" w:cs="Times New Roman"/>
        </w:rPr>
        <w:t xml:space="preserve">sheer </w:t>
      </w:r>
      <w:r w:rsidR="006779BB" w:rsidRPr="00626A7E">
        <w:rPr>
          <w:rFonts w:ascii="Times New Roman" w:hAnsi="Times New Roman" w:cs="Times New Roman"/>
        </w:rPr>
        <w:t xml:space="preserve">plethora of promised new institutions in areas from pricing to the regions </w:t>
      </w:r>
      <w:r w:rsidR="007B28F0" w:rsidRPr="00626A7E">
        <w:rPr>
          <w:rFonts w:ascii="Times New Roman" w:hAnsi="Times New Roman" w:cs="Times New Roman"/>
        </w:rPr>
        <w:t xml:space="preserve">was not always helpful </w:t>
      </w:r>
      <w:r w:rsidR="003C2123" w:rsidRPr="00626A7E">
        <w:rPr>
          <w:rFonts w:ascii="Times New Roman" w:hAnsi="Times New Roman" w:cs="Times New Roman"/>
        </w:rPr>
        <w:t>(</w:t>
      </w:r>
      <w:r w:rsidR="00436628" w:rsidRPr="00626A7E">
        <w:rPr>
          <w:rFonts w:ascii="Times New Roman" w:hAnsi="Times New Roman" w:cs="Times New Roman"/>
        </w:rPr>
        <w:t>particularly a</w:t>
      </w:r>
      <w:r w:rsidR="00C86AF7" w:rsidRPr="00626A7E">
        <w:rPr>
          <w:rFonts w:ascii="Times New Roman" w:hAnsi="Times New Roman" w:cs="Times New Roman"/>
        </w:rPr>
        <w:t xml:space="preserve"> new</w:t>
      </w:r>
      <w:r w:rsidR="000F3F14" w:rsidRPr="00626A7E">
        <w:rPr>
          <w:rFonts w:ascii="Times New Roman" w:hAnsi="Times New Roman" w:cs="Times New Roman"/>
        </w:rPr>
        <w:t xml:space="preserve"> </w:t>
      </w:r>
      <w:r w:rsidR="003C2123" w:rsidRPr="00626A7E">
        <w:rPr>
          <w:rFonts w:ascii="Times New Roman" w:hAnsi="Times New Roman" w:cs="Times New Roman"/>
        </w:rPr>
        <w:t>‘British Enterprise’</w:t>
      </w:r>
      <w:r w:rsidR="00DD564B" w:rsidRPr="00626A7E">
        <w:rPr>
          <w:rFonts w:ascii="Times New Roman" w:hAnsi="Times New Roman" w:cs="Times New Roman"/>
        </w:rPr>
        <w:t xml:space="preserve"> </w:t>
      </w:r>
      <w:r w:rsidR="00C86AF7" w:rsidRPr="00626A7E">
        <w:rPr>
          <w:rFonts w:ascii="Times New Roman" w:hAnsi="Times New Roman" w:cs="Times New Roman"/>
        </w:rPr>
        <w:t xml:space="preserve">intended </w:t>
      </w:r>
      <w:r w:rsidR="00DD564B" w:rsidRPr="00626A7E">
        <w:rPr>
          <w:rFonts w:ascii="Times New Roman" w:hAnsi="Times New Roman" w:cs="Times New Roman"/>
        </w:rPr>
        <w:t>as a de facto resurrection of the</w:t>
      </w:r>
      <w:r w:rsidR="003C2123" w:rsidRPr="00626A7E">
        <w:rPr>
          <w:rFonts w:ascii="Times New Roman" w:hAnsi="Times New Roman" w:cs="Times New Roman"/>
        </w:rPr>
        <w:t xml:space="preserve"> </w:t>
      </w:r>
      <w:r w:rsidR="00AA7880" w:rsidRPr="00626A7E">
        <w:rPr>
          <w:rFonts w:ascii="Times New Roman" w:hAnsi="Times New Roman" w:cs="Times New Roman"/>
        </w:rPr>
        <w:t xml:space="preserve">1970s </w:t>
      </w:r>
      <w:r w:rsidR="003C2123" w:rsidRPr="00626A7E">
        <w:rPr>
          <w:rFonts w:ascii="Times New Roman" w:hAnsi="Times New Roman" w:cs="Times New Roman"/>
        </w:rPr>
        <w:t>NEB)</w:t>
      </w:r>
      <w:r w:rsidR="006779BB" w:rsidRPr="00626A7E">
        <w:rPr>
          <w:rFonts w:ascii="Times New Roman" w:hAnsi="Times New Roman" w:cs="Times New Roman"/>
        </w:rPr>
        <w:t>, but within the labour movement they could serve useful purposes with different stakeholders.</w:t>
      </w:r>
      <w:r w:rsidRPr="00626A7E">
        <w:rPr>
          <w:rFonts w:ascii="Times New Roman" w:hAnsi="Times New Roman" w:cs="Times New Roman"/>
        </w:rPr>
        <w:t xml:space="preserve"> Gradually </w:t>
      </w:r>
      <w:r w:rsidR="00730E97" w:rsidRPr="00626A7E">
        <w:rPr>
          <w:rFonts w:ascii="Times New Roman" w:hAnsi="Times New Roman" w:cs="Times New Roman"/>
        </w:rPr>
        <w:t>moving</w:t>
      </w:r>
      <w:r w:rsidRPr="00626A7E">
        <w:rPr>
          <w:rFonts w:ascii="Times New Roman" w:hAnsi="Times New Roman" w:cs="Times New Roman"/>
        </w:rPr>
        <w:t xml:space="preserve"> Labour thought from owning the means of production to facilita</w:t>
      </w:r>
      <w:r w:rsidR="00E34BCB" w:rsidRPr="00626A7E">
        <w:rPr>
          <w:rFonts w:ascii="Times New Roman" w:hAnsi="Times New Roman" w:cs="Times New Roman"/>
        </w:rPr>
        <w:t>ting responsible capitalism was a process that took time.</w:t>
      </w:r>
    </w:p>
    <w:p w14:paraId="701AC4F5" w14:textId="77777777" w:rsidR="008427AE" w:rsidRPr="00626A7E" w:rsidRDefault="008427AE" w:rsidP="001A45AF">
      <w:pPr>
        <w:widowControl w:val="0"/>
        <w:autoSpaceDE w:val="0"/>
        <w:autoSpaceDN w:val="0"/>
        <w:adjustRightInd w:val="0"/>
        <w:spacing w:line="360" w:lineRule="auto"/>
        <w:jc w:val="both"/>
        <w:rPr>
          <w:rFonts w:ascii="Times New Roman" w:hAnsi="Times New Roman" w:cs="Times New Roman"/>
        </w:rPr>
      </w:pPr>
    </w:p>
    <w:p w14:paraId="18652DB8" w14:textId="1BD16414" w:rsidR="004A4BD9" w:rsidRPr="00626A7E" w:rsidRDefault="00666590"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As the party became </w:t>
      </w:r>
      <w:r w:rsidR="007B28F0" w:rsidRPr="00626A7E">
        <w:rPr>
          <w:rFonts w:ascii="Times New Roman" w:hAnsi="Times New Roman" w:cs="Times New Roman"/>
        </w:rPr>
        <w:t xml:space="preserve">generally </w:t>
      </w:r>
      <w:r w:rsidR="008427AE" w:rsidRPr="00626A7E">
        <w:rPr>
          <w:rFonts w:ascii="Times New Roman" w:hAnsi="Times New Roman" w:cs="Times New Roman"/>
        </w:rPr>
        <w:t xml:space="preserve">more credible </w:t>
      </w:r>
      <w:r w:rsidR="00436628" w:rsidRPr="00626A7E">
        <w:rPr>
          <w:rFonts w:ascii="Times New Roman" w:hAnsi="Times New Roman" w:cs="Times New Roman"/>
        </w:rPr>
        <w:t xml:space="preserve">however </w:t>
      </w:r>
      <w:r w:rsidR="002839E2" w:rsidRPr="00626A7E">
        <w:rPr>
          <w:rFonts w:ascii="Times New Roman" w:hAnsi="Times New Roman" w:cs="Times New Roman"/>
        </w:rPr>
        <w:t>so did Kinnock’s version of the</w:t>
      </w:r>
      <w:r w:rsidR="008427AE" w:rsidRPr="00626A7E">
        <w:rPr>
          <w:rFonts w:ascii="Times New Roman" w:hAnsi="Times New Roman" w:cs="Times New Roman"/>
        </w:rPr>
        <w:t xml:space="preserve"> </w:t>
      </w:r>
      <w:r w:rsidR="00C86AF7" w:rsidRPr="00626A7E">
        <w:rPr>
          <w:rFonts w:ascii="Times New Roman" w:hAnsi="Times New Roman" w:cs="Times New Roman"/>
        </w:rPr>
        <w:t>NIB</w:t>
      </w:r>
      <w:r w:rsidR="002839E2" w:rsidRPr="00626A7E">
        <w:rPr>
          <w:rFonts w:ascii="Times New Roman" w:hAnsi="Times New Roman" w:cs="Times New Roman"/>
        </w:rPr>
        <w:t xml:space="preserve"> </w:t>
      </w:r>
      <w:r w:rsidR="008427AE" w:rsidRPr="00626A7E">
        <w:rPr>
          <w:rFonts w:ascii="Times New Roman" w:hAnsi="Times New Roman" w:cs="Times New Roman"/>
        </w:rPr>
        <w:t xml:space="preserve">– and </w:t>
      </w:r>
      <w:r w:rsidR="002839E2" w:rsidRPr="00626A7E">
        <w:rPr>
          <w:rFonts w:ascii="Times New Roman" w:hAnsi="Times New Roman" w:cs="Times New Roman"/>
        </w:rPr>
        <w:t xml:space="preserve">nuancing </w:t>
      </w:r>
      <w:r w:rsidR="008427AE" w:rsidRPr="00626A7E">
        <w:rPr>
          <w:rFonts w:ascii="Times New Roman" w:hAnsi="Times New Roman" w:cs="Times New Roman"/>
        </w:rPr>
        <w:t xml:space="preserve">the vexed funding issue was </w:t>
      </w:r>
      <w:r w:rsidR="002839E2" w:rsidRPr="00626A7E">
        <w:rPr>
          <w:rFonts w:ascii="Times New Roman" w:hAnsi="Times New Roman" w:cs="Times New Roman"/>
        </w:rPr>
        <w:t>key here</w:t>
      </w:r>
      <w:r w:rsidR="008427AE" w:rsidRPr="00626A7E">
        <w:rPr>
          <w:rFonts w:ascii="Times New Roman" w:hAnsi="Times New Roman" w:cs="Times New Roman"/>
        </w:rPr>
        <w:t>.</w:t>
      </w:r>
      <w:r w:rsidR="006C3B00" w:rsidRPr="00626A7E">
        <w:rPr>
          <w:rFonts w:ascii="Times New Roman" w:hAnsi="Times New Roman" w:cs="Times New Roman"/>
        </w:rPr>
        <w:t xml:space="preserve"> </w:t>
      </w:r>
      <w:r w:rsidR="00F274FB" w:rsidRPr="00626A7E">
        <w:rPr>
          <w:rFonts w:ascii="Times New Roman" w:hAnsi="Times New Roman" w:cs="Times New Roman"/>
        </w:rPr>
        <w:t xml:space="preserve"> In 1986 Ki</w:t>
      </w:r>
      <w:r w:rsidR="00DF5A18" w:rsidRPr="00626A7E">
        <w:rPr>
          <w:rFonts w:ascii="Times New Roman" w:hAnsi="Times New Roman" w:cs="Times New Roman"/>
        </w:rPr>
        <w:t xml:space="preserve">nnock explicitly </w:t>
      </w:r>
      <w:r w:rsidR="001E076D" w:rsidRPr="00626A7E">
        <w:rPr>
          <w:rFonts w:ascii="Times New Roman" w:hAnsi="Times New Roman" w:cs="Times New Roman"/>
        </w:rPr>
        <w:t>sent out the signal</w:t>
      </w:r>
      <w:r w:rsidR="0095166A" w:rsidRPr="00626A7E">
        <w:rPr>
          <w:rFonts w:ascii="Times New Roman" w:hAnsi="Times New Roman" w:cs="Times New Roman"/>
        </w:rPr>
        <w:t xml:space="preserve"> </w:t>
      </w:r>
      <w:r w:rsidR="00EB10AB" w:rsidRPr="00626A7E">
        <w:rPr>
          <w:rFonts w:ascii="Times New Roman" w:hAnsi="Times New Roman" w:cs="Times New Roman"/>
        </w:rPr>
        <w:t xml:space="preserve">that </w:t>
      </w:r>
      <w:r w:rsidR="00DF5A18" w:rsidRPr="00626A7E">
        <w:rPr>
          <w:rFonts w:ascii="Times New Roman" w:hAnsi="Times New Roman" w:cs="Times New Roman"/>
        </w:rPr>
        <w:t>his</w:t>
      </w:r>
      <w:r w:rsidR="00235431" w:rsidRPr="00626A7E">
        <w:rPr>
          <w:rFonts w:ascii="Times New Roman" w:hAnsi="Times New Roman" w:cs="Times New Roman"/>
        </w:rPr>
        <w:t xml:space="preserve"> NIB was ‘not…</w:t>
      </w:r>
      <w:r w:rsidR="00F274FB" w:rsidRPr="00626A7E">
        <w:rPr>
          <w:rFonts w:ascii="Times New Roman" w:hAnsi="Times New Roman" w:cs="Times New Roman"/>
        </w:rPr>
        <w:t xml:space="preserve">an agency for </w:t>
      </w:r>
      <w:r w:rsidR="00F274FB" w:rsidRPr="00626A7E">
        <w:rPr>
          <w:rFonts w:ascii="Times New Roman" w:hAnsi="Times New Roman" w:cs="Times New Roman"/>
          <w:i/>
        </w:rPr>
        <w:t>channelling all national savings</w:t>
      </w:r>
      <w:r w:rsidR="00F274FB" w:rsidRPr="00626A7E">
        <w:rPr>
          <w:rFonts w:ascii="Times New Roman" w:hAnsi="Times New Roman" w:cs="Times New Roman"/>
        </w:rPr>
        <w:t>.’</w:t>
      </w:r>
      <w:r w:rsidR="00F274FB" w:rsidRPr="00626A7E">
        <w:rPr>
          <w:rStyle w:val="FootnoteReference"/>
          <w:rFonts w:ascii="Times New Roman" w:hAnsi="Times New Roman" w:cs="Times New Roman"/>
        </w:rPr>
        <w:footnoteReference w:id="53"/>
      </w:r>
      <w:r w:rsidR="008427AE" w:rsidRPr="00626A7E">
        <w:rPr>
          <w:rFonts w:ascii="Times New Roman" w:hAnsi="Times New Roman" w:cs="Times New Roman"/>
        </w:rPr>
        <w:t xml:space="preserve"> </w:t>
      </w:r>
      <w:r w:rsidR="000B4F47" w:rsidRPr="00626A7E">
        <w:rPr>
          <w:rFonts w:ascii="Times New Roman" w:hAnsi="Times New Roman" w:cs="Times New Roman"/>
        </w:rPr>
        <w:t xml:space="preserve">To fund a bank capitalised to the tune of a potential £12bn, </w:t>
      </w:r>
      <w:r w:rsidR="00235431" w:rsidRPr="00626A7E">
        <w:rPr>
          <w:rFonts w:ascii="Times New Roman" w:hAnsi="Times New Roman" w:cs="Times New Roman"/>
        </w:rPr>
        <w:t>he</w:t>
      </w:r>
      <w:r w:rsidR="008427AE" w:rsidRPr="00626A7E">
        <w:rPr>
          <w:rFonts w:ascii="Times New Roman" w:hAnsi="Times New Roman" w:cs="Times New Roman"/>
        </w:rPr>
        <w:t xml:space="preserve"> retained the general principle from 1983 of withdrawing tax privileges from pooled investment schemes which did not limit their overseas portfolio to a given percentage, and from those managed funds which did not allocate a stated proportion of their portfolio to loan stock of the NIB.</w:t>
      </w:r>
      <w:r w:rsidR="00CE672A" w:rsidRPr="00626A7E">
        <w:rPr>
          <w:rFonts w:ascii="Times New Roman" w:hAnsi="Times New Roman" w:cs="Times New Roman"/>
        </w:rPr>
        <w:t xml:space="preserve"> All questions of </w:t>
      </w:r>
      <w:r w:rsidR="008E6D28" w:rsidRPr="00626A7E">
        <w:rPr>
          <w:rFonts w:ascii="Times New Roman" w:hAnsi="Times New Roman" w:cs="Times New Roman"/>
        </w:rPr>
        <w:t xml:space="preserve">nationalisation </w:t>
      </w:r>
      <w:r w:rsidR="00CE672A" w:rsidRPr="00626A7E">
        <w:rPr>
          <w:rFonts w:ascii="Times New Roman" w:hAnsi="Times New Roman" w:cs="Times New Roman"/>
        </w:rPr>
        <w:t>of pension funds, uncooperative banks and so forth were however dropped – the policy would rely on incentives</w:t>
      </w:r>
      <w:r w:rsidR="0095166A" w:rsidRPr="00626A7E">
        <w:rPr>
          <w:rFonts w:ascii="Times New Roman" w:hAnsi="Times New Roman" w:cs="Times New Roman"/>
        </w:rPr>
        <w:t xml:space="preserve"> and providing </w:t>
      </w:r>
      <w:r w:rsidR="00235431" w:rsidRPr="00626A7E">
        <w:rPr>
          <w:rFonts w:ascii="Times New Roman" w:hAnsi="Times New Roman" w:cs="Times New Roman"/>
        </w:rPr>
        <w:t>nudges</w:t>
      </w:r>
      <w:r w:rsidR="0095166A" w:rsidRPr="00626A7E">
        <w:rPr>
          <w:rFonts w:ascii="Times New Roman" w:hAnsi="Times New Roman" w:cs="Times New Roman"/>
        </w:rPr>
        <w:t xml:space="preserve"> for market participants to act in the national interest</w:t>
      </w:r>
      <w:r w:rsidR="00CE672A" w:rsidRPr="00626A7E">
        <w:rPr>
          <w:rFonts w:ascii="Times New Roman" w:hAnsi="Times New Roman" w:cs="Times New Roman"/>
        </w:rPr>
        <w:t>.</w:t>
      </w:r>
      <w:r w:rsidR="008427AE" w:rsidRPr="00626A7E">
        <w:rPr>
          <w:rFonts w:ascii="Times New Roman" w:hAnsi="Times New Roman" w:cs="Times New Roman"/>
        </w:rPr>
        <w:t xml:space="preserve"> </w:t>
      </w:r>
      <w:r w:rsidR="00CE672A" w:rsidRPr="00626A7E">
        <w:rPr>
          <w:rFonts w:ascii="Times New Roman" w:hAnsi="Times New Roman" w:cs="Times New Roman"/>
        </w:rPr>
        <w:t>And</w:t>
      </w:r>
      <w:r w:rsidR="003829DB" w:rsidRPr="00626A7E">
        <w:rPr>
          <w:rFonts w:ascii="Times New Roman" w:hAnsi="Times New Roman" w:cs="Times New Roman"/>
        </w:rPr>
        <w:t>,</w:t>
      </w:r>
      <w:r w:rsidR="00CE672A" w:rsidRPr="00626A7E">
        <w:rPr>
          <w:rFonts w:ascii="Times New Roman" w:hAnsi="Times New Roman" w:cs="Times New Roman"/>
        </w:rPr>
        <w:t xml:space="preserve"> as a </w:t>
      </w:r>
      <w:r w:rsidR="00C743C0" w:rsidRPr="00626A7E">
        <w:rPr>
          <w:rFonts w:ascii="Times New Roman" w:hAnsi="Times New Roman" w:cs="Times New Roman"/>
        </w:rPr>
        <w:t xml:space="preserve">further </w:t>
      </w:r>
      <w:r w:rsidR="00CE672A" w:rsidRPr="00626A7E">
        <w:rPr>
          <w:rFonts w:ascii="Times New Roman" w:hAnsi="Times New Roman" w:cs="Times New Roman"/>
        </w:rPr>
        <w:t xml:space="preserve">fudge, </w:t>
      </w:r>
      <w:r w:rsidR="008427AE" w:rsidRPr="00626A7E">
        <w:rPr>
          <w:rFonts w:ascii="Times New Roman" w:hAnsi="Times New Roman" w:cs="Times New Roman"/>
        </w:rPr>
        <w:t xml:space="preserve">the party’s commitment to raise additional income tax from those earning </w:t>
      </w:r>
      <w:r w:rsidR="00921F02" w:rsidRPr="00626A7E">
        <w:rPr>
          <w:rFonts w:ascii="Times New Roman" w:hAnsi="Times New Roman" w:cs="Times New Roman"/>
        </w:rPr>
        <w:t>over</w:t>
      </w:r>
      <w:r w:rsidR="008427AE" w:rsidRPr="00626A7E">
        <w:rPr>
          <w:rFonts w:ascii="Times New Roman" w:hAnsi="Times New Roman" w:cs="Times New Roman"/>
        </w:rPr>
        <w:t xml:space="preserve"> £20,000 was also </w:t>
      </w:r>
      <w:r w:rsidR="003A4E27" w:rsidRPr="00626A7E">
        <w:rPr>
          <w:rFonts w:ascii="Times New Roman" w:hAnsi="Times New Roman" w:cs="Times New Roman"/>
        </w:rPr>
        <w:t xml:space="preserve">occasionally </w:t>
      </w:r>
      <w:r w:rsidR="008427AE" w:rsidRPr="00626A7E">
        <w:rPr>
          <w:rFonts w:ascii="Times New Roman" w:hAnsi="Times New Roman" w:cs="Times New Roman"/>
        </w:rPr>
        <w:t xml:space="preserve">dangled in the </w:t>
      </w:r>
      <w:r w:rsidR="00114E03" w:rsidRPr="00626A7E">
        <w:rPr>
          <w:rFonts w:ascii="Times New Roman" w:hAnsi="Times New Roman" w:cs="Times New Roman"/>
        </w:rPr>
        <w:t>NIB’s</w:t>
      </w:r>
      <w:r w:rsidR="008427AE" w:rsidRPr="00626A7E">
        <w:rPr>
          <w:rFonts w:ascii="Times New Roman" w:hAnsi="Times New Roman" w:cs="Times New Roman"/>
        </w:rPr>
        <w:t xml:space="preserve"> direction</w:t>
      </w:r>
      <w:r w:rsidR="00114E03" w:rsidRPr="00626A7E">
        <w:rPr>
          <w:rFonts w:ascii="Times New Roman" w:hAnsi="Times New Roman" w:cs="Times New Roman"/>
        </w:rPr>
        <w:t xml:space="preserve"> as</w:t>
      </w:r>
      <w:r w:rsidR="004A4BD9" w:rsidRPr="00626A7E">
        <w:rPr>
          <w:rFonts w:ascii="Times New Roman" w:hAnsi="Times New Roman" w:cs="Times New Roman"/>
        </w:rPr>
        <w:t xml:space="preserve"> a source of funding</w:t>
      </w:r>
      <w:r w:rsidR="005D188F" w:rsidRPr="00626A7E">
        <w:rPr>
          <w:rFonts w:ascii="Times New Roman" w:hAnsi="Times New Roman" w:cs="Times New Roman"/>
        </w:rPr>
        <w:t xml:space="preserve"> – particularly </w:t>
      </w:r>
      <w:r w:rsidR="003F5AF0" w:rsidRPr="00626A7E">
        <w:rPr>
          <w:rFonts w:ascii="Times New Roman" w:hAnsi="Times New Roman" w:cs="Times New Roman"/>
        </w:rPr>
        <w:t>as revenue from</w:t>
      </w:r>
      <w:r w:rsidR="00BB3B61" w:rsidRPr="00626A7E">
        <w:rPr>
          <w:rFonts w:ascii="Times New Roman" w:hAnsi="Times New Roman" w:cs="Times New Roman"/>
        </w:rPr>
        <w:t xml:space="preserve"> another </w:t>
      </w:r>
      <w:r w:rsidR="005C36DF" w:rsidRPr="00626A7E">
        <w:rPr>
          <w:rFonts w:ascii="Times New Roman" w:hAnsi="Times New Roman" w:cs="Times New Roman"/>
        </w:rPr>
        <w:t xml:space="preserve">potential </w:t>
      </w:r>
      <w:r w:rsidR="00FE41B8" w:rsidRPr="00626A7E">
        <w:rPr>
          <w:rFonts w:ascii="Times New Roman" w:hAnsi="Times New Roman" w:cs="Times New Roman"/>
        </w:rPr>
        <w:t>avenue</w:t>
      </w:r>
      <w:r w:rsidR="005C36DF" w:rsidRPr="00626A7E">
        <w:rPr>
          <w:rFonts w:ascii="Times New Roman" w:hAnsi="Times New Roman" w:cs="Times New Roman"/>
        </w:rPr>
        <w:t>,</w:t>
      </w:r>
      <w:r w:rsidR="003F5AF0" w:rsidRPr="00626A7E">
        <w:rPr>
          <w:rFonts w:ascii="Times New Roman" w:hAnsi="Times New Roman" w:cs="Times New Roman"/>
        </w:rPr>
        <w:t xml:space="preserve"> North Sea o</w:t>
      </w:r>
      <w:r w:rsidR="005D188F" w:rsidRPr="00626A7E">
        <w:rPr>
          <w:rFonts w:ascii="Times New Roman" w:hAnsi="Times New Roman" w:cs="Times New Roman"/>
        </w:rPr>
        <w:t>il</w:t>
      </w:r>
      <w:r w:rsidR="00BB3B61" w:rsidRPr="00626A7E">
        <w:rPr>
          <w:rFonts w:ascii="Times New Roman" w:hAnsi="Times New Roman" w:cs="Times New Roman"/>
        </w:rPr>
        <w:t>,</w:t>
      </w:r>
      <w:r w:rsidR="005D188F" w:rsidRPr="00626A7E">
        <w:rPr>
          <w:rFonts w:ascii="Times New Roman" w:hAnsi="Times New Roman" w:cs="Times New Roman"/>
        </w:rPr>
        <w:t xml:space="preserve"> dried up </w:t>
      </w:r>
      <w:r w:rsidR="00D6183B" w:rsidRPr="00626A7E">
        <w:rPr>
          <w:rFonts w:ascii="Times New Roman" w:hAnsi="Times New Roman" w:cs="Times New Roman"/>
        </w:rPr>
        <w:t>from the mid-</w:t>
      </w:r>
      <w:r w:rsidR="0072224F" w:rsidRPr="00626A7E">
        <w:rPr>
          <w:rFonts w:ascii="Times New Roman" w:hAnsi="Times New Roman" w:cs="Times New Roman"/>
        </w:rPr>
        <w:t>1980s.</w:t>
      </w:r>
    </w:p>
    <w:p w14:paraId="641D6C8A" w14:textId="77777777" w:rsidR="004A4BD9" w:rsidRPr="00626A7E" w:rsidRDefault="004A4BD9" w:rsidP="001A45AF">
      <w:pPr>
        <w:widowControl w:val="0"/>
        <w:autoSpaceDE w:val="0"/>
        <w:autoSpaceDN w:val="0"/>
        <w:adjustRightInd w:val="0"/>
        <w:spacing w:line="360" w:lineRule="auto"/>
        <w:jc w:val="both"/>
        <w:rPr>
          <w:rFonts w:ascii="Times New Roman" w:hAnsi="Times New Roman" w:cs="Times New Roman"/>
        </w:rPr>
      </w:pPr>
    </w:p>
    <w:p w14:paraId="7479BCDD" w14:textId="55AD467D" w:rsidR="00114E03" w:rsidRPr="00626A7E" w:rsidRDefault="001308CC"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The </w:t>
      </w:r>
      <w:r w:rsidR="008A3038" w:rsidRPr="00626A7E">
        <w:rPr>
          <w:rFonts w:ascii="Times New Roman" w:hAnsi="Times New Roman" w:cs="Times New Roman"/>
        </w:rPr>
        <w:t>trade-off</w:t>
      </w:r>
      <w:r w:rsidRPr="00626A7E">
        <w:rPr>
          <w:rFonts w:ascii="Times New Roman" w:hAnsi="Times New Roman" w:cs="Times New Roman"/>
        </w:rPr>
        <w:t xml:space="preserve"> here was again between valence and positional politics. If, as they indeed </w:t>
      </w:r>
      <w:r w:rsidRPr="00626A7E">
        <w:rPr>
          <w:rFonts w:ascii="Times New Roman" w:hAnsi="Times New Roman" w:cs="Times New Roman"/>
        </w:rPr>
        <w:lastRenderedPageBreak/>
        <w:t>did, Labour highlighted parti</w:t>
      </w:r>
      <w:r w:rsidR="00815C21" w:rsidRPr="00626A7E">
        <w:rPr>
          <w:rFonts w:ascii="Times New Roman" w:hAnsi="Times New Roman" w:cs="Times New Roman"/>
        </w:rPr>
        <w:t>cular ways to pay for the NIB</w:t>
      </w:r>
      <w:r w:rsidR="00A47B01" w:rsidRPr="00626A7E">
        <w:rPr>
          <w:rFonts w:ascii="Times New Roman" w:hAnsi="Times New Roman" w:cs="Times New Roman"/>
        </w:rPr>
        <w:t>, this</w:t>
      </w:r>
      <w:r w:rsidR="00035FE1" w:rsidRPr="00626A7E">
        <w:rPr>
          <w:rFonts w:ascii="Times New Roman" w:hAnsi="Times New Roman" w:cs="Times New Roman"/>
        </w:rPr>
        <w:t xml:space="preserve"> </w:t>
      </w:r>
      <w:r w:rsidRPr="00626A7E">
        <w:rPr>
          <w:rFonts w:ascii="Times New Roman" w:hAnsi="Times New Roman" w:cs="Times New Roman"/>
        </w:rPr>
        <w:t xml:space="preserve">meant highlighting groups who might </w:t>
      </w:r>
      <w:r w:rsidR="00746314" w:rsidRPr="00626A7E">
        <w:rPr>
          <w:rFonts w:ascii="Times New Roman" w:hAnsi="Times New Roman" w:cs="Times New Roman"/>
        </w:rPr>
        <w:t>fear losing</w:t>
      </w:r>
      <w:r w:rsidRPr="00626A7E">
        <w:rPr>
          <w:rFonts w:ascii="Times New Roman" w:hAnsi="Times New Roman" w:cs="Times New Roman"/>
        </w:rPr>
        <w:t xml:space="preserve"> out (i.e. pension</w:t>
      </w:r>
      <w:r w:rsidR="00746314" w:rsidRPr="00626A7E">
        <w:rPr>
          <w:rFonts w:ascii="Times New Roman" w:hAnsi="Times New Roman" w:cs="Times New Roman"/>
        </w:rPr>
        <w:t>ers</w:t>
      </w:r>
      <w:r w:rsidRPr="00626A7E">
        <w:rPr>
          <w:rFonts w:ascii="Times New Roman" w:hAnsi="Times New Roman" w:cs="Times New Roman"/>
        </w:rPr>
        <w:t xml:space="preserve">) and </w:t>
      </w:r>
      <w:r w:rsidR="00C7355E" w:rsidRPr="00626A7E">
        <w:rPr>
          <w:rFonts w:ascii="Times New Roman" w:hAnsi="Times New Roman" w:cs="Times New Roman"/>
        </w:rPr>
        <w:t>thereby gain</w:t>
      </w:r>
      <w:r w:rsidRPr="00626A7E">
        <w:rPr>
          <w:rFonts w:ascii="Times New Roman" w:hAnsi="Times New Roman" w:cs="Times New Roman"/>
        </w:rPr>
        <w:t xml:space="preserve"> new ‘positional’ enemies.</w:t>
      </w:r>
      <w:r w:rsidR="0039328B" w:rsidRPr="00626A7E">
        <w:rPr>
          <w:rStyle w:val="FootnoteReference"/>
          <w:rFonts w:ascii="Times New Roman" w:hAnsi="Times New Roman" w:cs="Times New Roman"/>
        </w:rPr>
        <w:footnoteReference w:id="54"/>
      </w:r>
      <w:r w:rsidR="00815C21" w:rsidRPr="00626A7E">
        <w:rPr>
          <w:rFonts w:ascii="Times New Roman" w:hAnsi="Times New Roman" w:cs="Times New Roman"/>
        </w:rPr>
        <w:t xml:space="preserve"> </w:t>
      </w:r>
      <w:r w:rsidR="003C1C1E" w:rsidRPr="00626A7E">
        <w:rPr>
          <w:rFonts w:ascii="Times New Roman" w:hAnsi="Times New Roman" w:cs="Times New Roman"/>
        </w:rPr>
        <w:t>Equally however</w:t>
      </w:r>
      <w:r w:rsidRPr="00626A7E">
        <w:rPr>
          <w:rFonts w:ascii="Times New Roman" w:hAnsi="Times New Roman" w:cs="Times New Roman"/>
        </w:rPr>
        <w:t>, if no source of funds was identified</w:t>
      </w:r>
      <w:r w:rsidR="00815C21" w:rsidRPr="00626A7E">
        <w:rPr>
          <w:rFonts w:ascii="Times New Roman" w:hAnsi="Times New Roman" w:cs="Times New Roman"/>
        </w:rPr>
        <w:t xml:space="preserve"> for the NIB</w:t>
      </w:r>
      <w:r w:rsidRPr="00626A7E">
        <w:rPr>
          <w:rFonts w:ascii="Times New Roman" w:hAnsi="Times New Roman" w:cs="Times New Roman"/>
        </w:rPr>
        <w:t>,</w:t>
      </w:r>
      <w:r w:rsidR="009132C2" w:rsidRPr="00626A7E">
        <w:rPr>
          <w:rFonts w:ascii="Times New Roman" w:hAnsi="Times New Roman" w:cs="Times New Roman"/>
        </w:rPr>
        <w:t xml:space="preserve"> this meant undermining the party’s valence with the electorate</w:t>
      </w:r>
      <w:r w:rsidR="003D57A2" w:rsidRPr="00626A7E">
        <w:rPr>
          <w:rFonts w:ascii="Times New Roman" w:hAnsi="Times New Roman" w:cs="Times New Roman"/>
        </w:rPr>
        <w:t xml:space="preserve"> per se</w:t>
      </w:r>
      <w:r w:rsidR="009132C2" w:rsidRPr="00626A7E">
        <w:rPr>
          <w:rFonts w:ascii="Times New Roman" w:hAnsi="Times New Roman" w:cs="Times New Roman"/>
        </w:rPr>
        <w:t>.</w:t>
      </w:r>
      <w:r w:rsidR="00282E95" w:rsidRPr="00626A7E">
        <w:rPr>
          <w:rFonts w:ascii="Times New Roman" w:hAnsi="Times New Roman" w:cs="Times New Roman"/>
        </w:rPr>
        <w:t xml:space="preserve"> </w:t>
      </w:r>
      <w:r w:rsidR="007B7519" w:rsidRPr="00626A7E">
        <w:rPr>
          <w:rFonts w:ascii="Times New Roman" w:hAnsi="Times New Roman" w:cs="Times New Roman"/>
        </w:rPr>
        <w:t>Th</w:t>
      </w:r>
      <w:r w:rsidR="007632C6" w:rsidRPr="00626A7E">
        <w:rPr>
          <w:rFonts w:ascii="Times New Roman" w:hAnsi="Times New Roman" w:cs="Times New Roman"/>
        </w:rPr>
        <w:t>ough we will never know the outcome of a NIBless 1987, the actual</w:t>
      </w:r>
      <w:r w:rsidR="007B7519" w:rsidRPr="00626A7E">
        <w:rPr>
          <w:rFonts w:ascii="Times New Roman" w:hAnsi="Times New Roman" w:cs="Times New Roman"/>
        </w:rPr>
        <w:t xml:space="preserve"> resu</w:t>
      </w:r>
      <w:r w:rsidR="009626C3" w:rsidRPr="00626A7E">
        <w:rPr>
          <w:rFonts w:ascii="Times New Roman" w:hAnsi="Times New Roman" w:cs="Times New Roman"/>
        </w:rPr>
        <w:t xml:space="preserve">lt perhaps vindicates taking what </w:t>
      </w:r>
      <w:r w:rsidR="007B7519" w:rsidRPr="00626A7E">
        <w:rPr>
          <w:rFonts w:ascii="Times New Roman" w:hAnsi="Times New Roman" w:cs="Times New Roman"/>
        </w:rPr>
        <w:t>positional hit</w:t>
      </w:r>
      <w:r w:rsidR="009626C3" w:rsidRPr="00626A7E">
        <w:rPr>
          <w:rFonts w:ascii="Times New Roman" w:hAnsi="Times New Roman" w:cs="Times New Roman"/>
        </w:rPr>
        <w:t xml:space="preserve"> there was</w:t>
      </w:r>
      <w:r w:rsidR="007B7519" w:rsidRPr="00626A7E">
        <w:rPr>
          <w:rFonts w:ascii="Times New Roman" w:hAnsi="Times New Roman" w:cs="Times New Roman"/>
        </w:rPr>
        <w:t xml:space="preserve">. </w:t>
      </w:r>
      <w:r w:rsidR="00282E95" w:rsidRPr="00626A7E">
        <w:rPr>
          <w:rFonts w:ascii="Times New Roman" w:hAnsi="Times New Roman" w:cs="Times New Roman"/>
        </w:rPr>
        <w:t xml:space="preserve">In the end, in 1987 Labour gained around 4% additional </w:t>
      </w:r>
      <w:r w:rsidR="003669B7" w:rsidRPr="00626A7E">
        <w:rPr>
          <w:rFonts w:ascii="Times New Roman" w:hAnsi="Times New Roman" w:cs="Times New Roman"/>
        </w:rPr>
        <w:t xml:space="preserve">voters </w:t>
      </w:r>
      <w:r w:rsidR="00282E95" w:rsidRPr="00626A7E">
        <w:rPr>
          <w:rFonts w:ascii="Times New Roman" w:hAnsi="Times New Roman" w:cs="Times New Roman"/>
        </w:rPr>
        <w:t xml:space="preserve">over </w:t>
      </w:r>
      <w:r w:rsidR="003669B7" w:rsidRPr="00626A7E">
        <w:rPr>
          <w:rFonts w:ascii="Times New Roman" w:hAnsi="Times New Roman" w:cs="Times New Roman"/>
        </w:rPr>
        <w:t xml:space="preserve">the age of </w:t>
      </w:r>
      <w:r w:rsidR="00282E95" w:rsidRPr="00626A7E">
        <w:rPr>
          <w:rFonts w:ascii="Times New Roman" w:hAnsi="Times New Roman" w:cs="Times New Roman"/>
        </w:rPr>
        <w:t xml:space="preserve">fifty-five (those of pensionable </w:t>
      </w:r>
      <w:r w:rsidR="00640BD2" w:rsidRPr="00626A7E">
        <w:rPr>
          <w:rFonts w:ascii="Times New Roman" w:hAnsi="Times New Roman" w:cs="Times New Roman"/>
        </w:rPr>
        <w:t>or approaching pensionable age) on</w:t>
      </w:r>
      <w:r w:rsidR="00282E95" w:rsidRPr="00626A7E">
        <w:rPr>
          <w:rFonts w:ascii="Times New Roman" w:hAnsi="Times New Roman" w:cs="Times New Roman"/>
        </w:rPr>
        <w:t xml:space="preserve"> their 1983 performance </w:t>
      </w:r>
      <w:r w:rsidR="00640BD2" w:rsidRPr="00626A7E">
        <w:rPr>
          <w:rFonts w:ascii="Times New Roman" w:hAnsi="Times New Roman" w:cs="Times New Roman"/>
        </w:rPr>
        <w:t xml:space="preserve">- </w:t>
      </w:r>
      <w:r w:rsidR="00282E95" w:rsidRPr="00626A7E">
        <w:rPr>
          <w:rFonts w:ascii="Times New Roman" w:hAnsi="Times New Roman" w:cs="Times New Roman"/>
        </w:rPr>
        <w:t>compared to an overall swing of ju</w:t>
      </w:r>
      <w:r w:rsidR="00640BD2" w:rsidRPr="00626A7E">
        <w:rPr>
          <w:rFonts w:ascii="Times New Roman" w:hAnsi="Times New Roman" w:cs="Times New Roman"/>
        </w:rPr>
        <w:t>st over 3% between the two elections</w:t>
      </w:r>
      <w:r w:rsidR="00282E95" w:rsidRPr="00626A7E">
        <w:rPr>
          <w:rFonts w:ascii="Times New Roman" w:hAnsi="Times New Roman" w:cs="Times New Roman"/>
        </w:rPr>
        <w:t>.</w:t>
      </w:r>
      <w:r w:rsidR="0097486B" w:rsidRPr="00626A7E">
        <w:rPr>
          <w:rStyle w:val="FootnoteReference"/>
          <w:rFonts w:ascii="Times New Roman" w:hAnsi="Times New Roman" w:cs="Times New Roman"/>
        </w:rPr>
        <w:footnoteReference w:id="55"/>
      </w:r>
      <w:r w:rsidR="00282E95" w:rsidRPr="00626A7E">
        <w:rPr>
          <w:rFonts w:ascii="Times New Roman" w:hAnsi="Times New Roman" w:cs="Times New Roman"/>
        </w:rPr>
        <w:t xml:space="preserve"> </w:t>
      </w:r>
      <w:r w:rsidR="007C111A" w:rsidRPr="00626A7E">
        <w:rPr>
          <w:rFonts w:ascii="Times New Roman" w:hAnsi="Times New Roman" w:cs="Times New Roman"/>
        </w:rPr>
        <w:t>Conservative a</w:t>
      </w:r>
      <w:r w:rsidR="00114E03" w:rsidRPr="00626A7E">
        <w:rPr>
          <w:rFonts w:ascii="Times New Roman" w:hAnsi="Times New Roman" w:cs="Times New Roman"/>
        </w:rPr>
        <w:t>ttack dogs such as Norman Tebbit, sent out to claim that Labour intended to ‘rob t</w:t>
      </w:r>
      <w:r w:rsidR="00CF42BD" w:rsidRPr="00626A7E">
        <w:rPr>
          <w:rFonts w:ascii="Times New Roman" w:hAnsi="Times New Roman" w:cs="Times New Roman"/>
        </w:rPr>
        <w:t>he pensioners,’</w:t>
      </w:r>
      <w:r w:rsidR="00114E03" w:rsidRPr="00626A7E">
        <w:rPr>
          <w:rFonts w:ascii="Times New Roman" w:hAnsi="Times New Roman" w:cs="Times New Roman"/>
        </w:rPr>
        <w:t xml:space="preserve"> had</w:t>
      </w:r>
      <w:r w:rsidR="00F56CAA" w:rsidRPr="00626A7E">
        <w:rPr>
          <w:rFonts w:ascii="Times New Roman" w:hAnsi="Times New Roman" w:cs="Times New Roman"/>
        </w:rPr>
        <w:t xml:space="preserve"> limited success</w:t>
      </w:r>
      <w:r w:rsidR="00114E03" w:rsidRPr="00626A7E">
        <w:rPr>
          <w:rFonts w:ascii="Times New Roman" w:hAnsi="Times New Roman" w:cs="Times New Roman"/>
        </w:rPr>
        <w:t>.</w:t>
      </w:r>
      <w:r w:rsidR="00114E03" w:rsidRPr="00626A7E">
        <w:rPr>
          <w:rStyle w:val="FootnoteReference"/>
          <w:rFonts w:ascii="Times New Roman" w:hAnsi="Times New Roman" w:cs="Times New Roman"/>
        </w:rPr>
        <w:footnoteReference w:id="56"/>
      </w:r>
      <w:r w:rsidR="00FC6824" w:rsidRPr="00626A7E">
        <w:rPr>
          <w:rFonts w:ascii="Times New Roman" w:hAnsi="Times New Roman" w:cs="Times New Roman"/>
        </w:rPr>
        <w:t xml:space="preserve"> </w:t>
      </w:r>
      <w:r w:rsidR="007C111A" w:rsidRPr="00626A7E">
        <w:rPr>
          <w:rFonts w:ascii="Times New Roman" w:hAnsi="Times New Roman" w:cs="Times New Roman"/>
        </w:rPr>
        <w:t xml:space="preserve">Given such pension funds would be buying bonds </w:t>
      </w:r>
      <w:r w:rsidR="00A47B01" w:rsidRPr="00626A7E">
        <w:rPr>
          <w:rFonts w:ascii="Times New Roman" w:hAnsi="Times New Roman" w:cs="Times New Roman"/>
        </w:rPr>
        <w:t xml:space="preserve">in any NIB </w:t>
      </w:r>
      <w:r w:rsidR="007C111A" w:rsidRPr="00626A7E">
        <w:rPr>
          <w:rFonts w:ascii="Times New Roman" w:hAnsi="Times New Roman" w:cs="Times New Roman"/>
        </w:rPr>
        <w:t>(likely p</w:t>
      </w:r>
      <w:r w:rsidR="00A47B01" w:rsidRPr="00626A7E">
        <w:rPr>
          <w:rFonts w:ascii="Times New Roman" w:hAnsi="Times New Roman" w:cs="Times New Roman"/>
        </w:rPr>
        <w:t>roviding</w:t>
      </w:r>
      <w:r w:rsidR="007C111A" w:rsidRPr="00626A7E">
        <w:rPr>
          <w:rFonts w:ascii="Times New Roman" w:hAnsi="Times New Roman" w:cs="Times New Roman"/>
        </w:rPr>
        <w:t xml:space="preserve"> a higher rate than gilts</w:t>
      </w:r>
      <w:r w:rsidR="00A47B01" w:rsidRPr="00626A7E">
        <w:rPr>
          <w:rFonts w:ascii="Times New Roman" w:hAnsi="Times New Roman" w:cs="Times New Roman"/>
        </w:rPr>
        <w:t xml:space="preserve"> too</w:t>
      </w:r>
      <w:r w:rsidR="007C111A" w:rsidRPr="00626A7E">
        <w:rPr>
          <w:rFonts w:ascii="Times New Roman" w:hAnsi="Times New Roman" w:cs="Times New Roman"/>
        </w:rPr>
        <w:t xml:space="preserve">) and not </w:t>
      </w:r>
      <w:r w:rsidR="00033CF3" w:rsidRPr="00626A7E">
        <w:rPr>
          <w:rFonts w:ascii="Times New Roman" w:hAnsi="Times New Roman" w:cs="Times New Roman"/>
        </w:rPr>
        <w:t xml:space="preserve">taking an </w:t>
      </w:r>
      <w:r w:rsidR="007C111A" w:rsidRPr="00626A7E">
        <w:rPr>
          <w:rFonts w:ascii="Times New Roman" w:hAnsi="Times New Roman" w:cs="Times New Roman"/>
        </w:rPr>
        <w:t>equity</w:t>
      </w:r>
      <w:r w:rsidR="00033CF3" w:rsidRPr="00626A7E">
        <w:rPr>
          <w:rFonts w:ascii="Times New Roman" w:hAnsi="Times New Roman" w:cs="Times New Roman"/>
        </w:rPr>
        <w:t xml:space="preserve"> stake</w:t>
      </w:r>
      <w:r w:rsidR="007C111A" w:rsidRPr="00626A7E">
        <w:rPr>
          <w:rFonts w:ascii="Times New Roman" w:hAnsi="Times New Roman" w:cs="Times New Roman"/>
        </w:rPr>
        <w:t>,</w:t>
      </w:r>
      <w:r w:rsidR="002A09E3" w:rsidRPr="00626A7E">
        <w:rPr>
          <w:rFonts w:ascii="Times New Roman" w:hAnsi="Times New Roman" w:cs="Times New Roman"/>
        </w:rPr>
        <w:t xml:space="preserve"> the Conservative rebuttal in this regard </w:t>
      </w:r>
      <w:r w:rsidR="00033CF3" w:rsidRPr="00626A7E">
        <w:rPr>
          <w:rFonts w:ascii="Times New Roman" w:hAnsi="Times New Roman" w:cs="Times New Roman"/>
        </w:rPr>
        <w:t xml:space="preserve">was always </w:t>
      </w:r>
      <w:r w:rsidR="0052393F" w:rsidRPr="00626A7E">
        <w:rPr>
          <w:rFonts w:ascii="Times New Roman" w:hAnsi="Times New Roman" w:cs="Times New Roman"/>
        </w:rPr>
        <w:t>half-baked</w:t>
      </w:r>
      <w:r w:rsidR="00033CF3" w:rsidRPr="00626A7E">
        <w:rPr>
          <w:rFonts w:ascii="Times New Roman" w:hAnsi="Times New Roman" w:cs="Times New Roman"/>
        </w:rPr>
        <w:t xml:space="preserve"> at best.</w:t>
      </w:r>
    </w:p>
    <w:p w14:paraId="6A421454" w14:textId="77777777" w:rsidR="00114E03" w:rsidRPr="00626A7E" w:rsidRDefault="00114E03" w:rsidP="002644A5">
      <w:pPr>
        <w:widowControl w:val="0"/>
        <w:autoSpaceDE w:val="0"/>
        <w:autoSpaceDN w:val="0"/>
        <w:adjustRightInd w:val="0"/>
        <w:spacing w:line="360" w:lineRule="auto"/>
        <w:jc w:val="both"/>
        <w:rPr>
          <w:rFonts w:ascii="Times New Roman" w:hAnsi="Times New Roman" w:cs="Times New Roman"/>
        </w:rPr>
      </w:pPr>
    </w:p>
    <w:p w14:paraId="46A1137F" w14:textId="1FAB3599" w:rsidR="00762ABF" w:rsidRPr="00626A7E" w:rsidRDefault="00A36367"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Funding remained a key question however and, i</w:t>
      </w:r>
      <w:r w:rsidR="001308CC" w:rsidRPr="00626A7E">
        <w:rPr>
          <w:rFonts w:ascii="Times New Roman" w:hAnsi="Times New Roman" w:cs="Times New Roman"/>
        </w:rPr>
        <w:t>nterestingly, one advocate of di</w:t>
      </w:r>
      <w:r w:rsidR="0004254C" w:rsidRPr="00626A7E">
        <w:rPr>
          <w:rFonts w:ascii="Times New Roman" w:hAnsi="Times New Roman" w:cs="Times New Roman"/>
        </w:rPr>
        <w:t xml:space="preserve">rectly hypothecating </w:t>
      </w:r>
      <w:r w:rsidR="001308CC" w:rsidRPr="00626A7E">
        <w:rPr>
          <w:rFonts w:ascii="Times New Roman" w:hAnsi="Times New Roman" w:cs="Times New Roman"/>
        </w:rPr>
        <w:t>taxes was Tony Blair. In a private paper, he pointed to the success</w:t>
      </w:r>
      <w:r w:rsidR="002C28AF" w:rsidRPr="00626A7E">
        <w:rPr>
          <w:rFonts w:ascii="Times New Roman" w:hAnsi="Times New Roman" w:cs="Times New Roman"/>
        </w:rPr>
        <w:t xml:space="preserve"> of Walter Mondale in</w:t>
      </w:r>
      <w:r w:rsidR="001308CC" w:rsidRPr="00626A7E">
        <w:rPr>
          <w:rFonts w:ascii="Times New Roman" w:hAnsi="Times New Roman" w:cs="Times New Roman"/>
        </w:rPr>
        <w:t xml:space="preserve"> win</w:t>
      </w:r>
      <w:r w:rsidR="002C28AF" w:rsidRPr="00626A7E">
        <w:rPr>
          <w:rFonts w:ascii="Times New Roman" w:hAnsi="Times New Roman" w:cs="Times New Roman"/>
        </w:rPr>
        <w:t>ning</w:t>
      </w:r>
      <w:r w:rsidR="001308CC" w:rsidRPr="00626A7E">
        <w:rPr>
          <w:rFonts w:ascii="Times New Roman" w:hAnsi="Times New Roman" w:cs="Times New Roman"/>
        </w:rPr>
        <w:t xml:space="preserve"> the Democratic nomination for President in 1984</w:t>
      </w:r>
      <w:r w:rsidR="00F5124F" w:rsidRPr="00626A7E">
        <w:rPr>
          <w:rFonts w:ascii="Times New Roman" w:hAnsi="Times New Roman" w:cs="Times New Roman"/>
        </w:rPr>
        <w:t xml:space="preserve">. </w:t>
      </w:r>
      <w:r w:rsidR="001308CC" w:rsidRPr="00626A7E">
        <w:rPr>
          <w:rFonts w:ascii="Times New Roman" w:hAnsi="Times New Roman" w:cs="Times New Roman"/>
        </w:rPr>
        <w:t>One of the b</w:t>
      </w:r>
      <w:r w:rsidR="002C28AF" w:rsidRPr="00626A7E">
        <w:rPr>
          <w:rFonts w:ascii="Times New Roman" w:hAnsi="Times New Roman" w:cs="Times New Roman"/>
        </w:rPr>
        <w:t>iggest charges facing Labour, Blair</w:t>
      </w:r>
      <w:r w:rsidR="001308CC" w:rsidRPr="00626A7E">
        <w:rPr>
          <w:rFonts w:ascii="Times New Roman" w:hAnsi="Times New Roman" w:cs="Times New Roman"/>
        </w:rPr>
        <w:t xml:space="preserve"> contended, was</w:t>
      </w:r>
      <w:r w:rsidR="007111C0" w:rsidRPr="00626A7E">
        <w:rPr>
          <w:rFonts w:ascii="Times New Roman" w:hAnsi="Times New Roman" w:cs="Times New Roman"/>
        </w:rPr>
        <w:t xml:space="preserve"> Mondale’s question to </w:t>
      </w:r>
      <w:r w:rsidR="003669B7" w:rsidRPr="00626A7E">
        <w:rPr>
          <w:rFonts w:ascii="Times New Roman" w:hAnsi="Times New Roman" w:cs="Times New Roman"/>
        </w:rPr>
        <w:t xml:space="preserve">his then rival </w:t>
      </w:r>
      <w:r w:rsidR="007111C0" w:rsidRPr="00626A7E">
        <w:rPr>
          <w:rFonts w:ascii="Times New Roman" w:hAnsi="Times New Roman" w:cs="Times New Roman"/>
        </w:rPr>
        <w:t>Gary Hart:</w:t>
      </w:r>
      <w:r w:rsidR="001308CC" w:rsidRPr="00626A7E">
        <w:rPr>
          <w:rFonts w:ascii="Times New Roman" w:hAnsi="Times New Roman" w:cs="Times New Roman"/>
        </w:rPr>
        <w:t xml:space="preserve"> ‘where’s the beef?’ Though he argued that ‘the scope from taking from “the wealthy” and giving to “the poor” is n</w:t>
      </w:r>
      <w:r w:rsidR="00CE5483" w:rsidRPr="00626A7E">
        <w:rPr>
          <w:rFonts w:ascii="Times New Roman" w:hAnsi="Times New Roman" w:cs="Times New Roman"/>
        </w:rPr>
        <w:t xml:space="preserve">ot unlimited’ hypothecating taxes </w:t>
      </w:r>
      <w:r w:rsidR="001308CC" w:rsidRPr="00626A7E">
        <w:rPr>
          <w:rFonts w:ascii="Times New Roman" w:hAnsi="Times New Roman" w:cs="Times New Roman"/>
        </w:rPr>
        <w:t xml:space="preserve">was </w:t>
      </w:r>
      <w:r w:rsidR="00746314" w:rsidRPr="00626A7E">
        <w:rPr>
          <w:rFonts w:ascii="Times New Roman" w:hAnsi="Times New Roman" w:cs="Times New Roman"/>
        </w:rPr>
        <w:t>certainly an option</w:t>
      </w:r>
      <w:r w:rsidR="001308CC" w:rsidRPr="00626A7E">
        <w:rPr>
          <w:rFonts w:ascii="Times New Roman" w:hAnsi="Times New Roman" w:cs="Times New Roman"/>
        </w:rPr>
        <w:t>. Blair wrote that ‘spending on industry, through grants, subsidies, training for industry etc. should again come, as far as is feasible, from raising corporate taxes on industry…</w:t>
      </w:r>
      <w:r w:rsidR="002B250F" w:rsidRPr="00626A7E">
        <w:rPr>
          <w:rFonts w:ascii="Times New Roman" w:hAnsi="Times New Roman" w:cs="Times New Roman"/>
        </w:rPr>
        <w:t>[which]</w:t>
      </w:r>
      <w:r w:rsidR="001308CC" w:rsidRPr="00626A7E">
        <w:rPr>
          <w:rFonts w:ascii="Times New Roman" w:hAnsi="Times New Roman" w:cs="Times New Roman"/>
        </w:rPr>
        <w:t xml:space="preserve"> are actually low compared with our competitors.’</w:t>
      </w:r>
      <w:r w:rsidR="001308CC" w:rsidRPr="00626A7E">
        <w:rPr>
          <w:rStyle w:val="FootnoteReference"/>
          <w:rFonts w:ascii="Times New Roman" w:hAnsi="Times New Roman" w:cs="Times New Roman"/>
        </w:rPr>
        <w:footnoteReference w:id="57"/>
      </w:r>
      <w:r w:rsidR="00F5124F" w:rsidRPr="00626A7E">
        <w:rPr>
          <w:rFonts w:ascii="Times New Roman" w:hAnsi="Times New Roman" w:cs="Times New Roman"/>
        </w:rPr>
        <w:t xml:space="preserve"> Whether Labour’s ambitions were big or small, the important thing was</w:t>
      </w:r>
      <w:r w:rsidR="00210C04" w:rsidRPr="00626A7E">
        <w:rPr>
          <w:rFonts w:ascii="Times New Roman" w:hAnsi="Times New Roman" w:cs="Times New Roman"/>
        </w:rPr>
        <w:t xml:space="preserve"> to be seen </w:t>
      </w:r>
      <w:r w:rsidR="000C6F6A" w:rsidRPr="00626A7E">
        <w:rPr>
          <w:rFonts w:ascii="Times New Roman" w:hAnsi="Times New Roman" w:cs="Times New Roman"/>
        </w:rPr>
        <w:t>to be realistically able to pay for</w:t>
      </w:r>
      <w:r w:rsidR="00210C04" w:rsidRPr="00626A7E">
        <w:rPr>
          <w:rFonts w:ascii="Times New Roman" w:hAnsi="Times New Roman" w:cs="Times New Roman"/>
        </w:rPr>
        <w:t xml:space="preserve"> them.</w:t>
      </w:r>
      <w:r w:rsidR="0004254C" w:rsidRPr="00626A7E">
        <w:rPr>
          <w:rFonts w:ascii="Times New Roman" w:hAnsi="Times New Roman" w:cs="Times New Roman"/>
        </w:rPr>
        <w:t xml:space="preserve"> In 1983 Labour, </w:t>
      </w:r>
      <w:r w:rsidR="00C31743" w:rsidRPr="00626A7E">
        <w:rPr>
          <w:rFonts w:ascii="Times New Roman" w:hAnsi="Times New Roman" w:cs="Times New Roman"/>
        </w:rPr>
        <w:t xml:space="preserve">rather </w:t>
      </w:r>
      <w:r w:rsidR="0004254C" w:rsidRPr="00626A7E">
        <w:rPr>
          <w:rFonts w:ascii="Times New Roman" w:hAnsi="Times New Roman" w:cs="Times New Roman"/>
        </w:rPr>
        <w:t xml:space="preserve">foreshadowing 1992, had been accused of more than £26.5bn of additional spending </w:t>
      </w:r>
      <w:r w:rsidR="00C31743" w:rsidRPr="00626A7E">
        <w:rPr>
          <w:rFonts w:ascii="Times New Roman" w:hAnsi="Times New Roman" w:cs="Times New Roman"/>
        </w:rPr>
        <w:t xml:space="preserve">commitments </w:t>
      </w:r>
      <w:r w:rsidR="0004254C" w:rsidRPr="00626A7E">
        <w:rPr>
          <w:rFonts w:ascii="Times New Roman" w:hAnsi="Times New Roman" w:cs="Times New Roman"/>
        </w:rPr>
        <w:t>where the sums did not yet add up.</w:t>
      </w:r>
      <w:r w:rsidR="0004254C" w:rsidRPr="00626A7E">
        <w:rPr>
          <w:rStyle w:val="FootnoteReference"/>
          <w:rFonts w:ascii="Times New Roman" w:hAnsi="Times New Roman" w:cs="Times New Roman"/>
        </w:rPr>
        <w:footnoteReference w:id="58"/>
      </w:r>
      <w:r w:rsidR="00E209E1" w:rsidRPr="00626A7E">
        <w:rPr>
          <w:rFonts w:ascii="Times New Roman" w:hAnsi="Times New Roman" w:cs="Times New Roman"/>
        </w:rPr>
        <w:t xml:space="preserve"> As Peter Mandelson noted, Labour should be careful that ‘when talking of our programme we don’t promise more than we can deliver or can afford, distinguish between immediate priorities and longer-term goals, aspire to a 10-15 year horizon, and we declare all this openly.’</w:t>
      </w:r>
      <w:r w:rsidR="00E209E1" w:rsidRPr="00626A7E">
        <w:rPr>
          <w:rStyle w:val="FootnoteReference"/>
          <w:rFonts w:ascii="Times New Roman" w:hAnsi="Times New Roman" w:cs="Times New Roman"/>
        </w:rPr>
        <w:footnoteReference w:id="59"/>
      </w:r>
      <w:r w:rsidR="0004254C" w:rsidRPr="00626A7E">
        <w:rPr>
          <w:rFonts w:ascii="Times New Roman" w:hAnsi="Times New Roman" w:cs="Times New Roman"/>
        </w:rPr>
        <w:t xml:space="preserve"> The NIB fit into such long-term horizons.</w:t>
      </w:r>
    </w:p>
    <w:p w14:paraId="754FF0F7" w14:textId="77777777" w:rsidR="00F5124F" w:rsidRPr="00626A7E" w:rsidRDefault="00F5124F" w:rsidP="002644A5">
      <w:pPr>
        <w:widowControl w:val="0"/>
        <w:autoSpaceDE w:val="0"/>
        <w:autoSpaceDN w:val="0"/>
        <w:adjustRightInd w:val="0"/>
        <w:spacing w:line="360" w:lineRule="auto"/>
        <w:jc w:val="both"/>
        <w:rPr>
          <w:rFonts w:ascii="Times New Roman" w:hAnsi="Times New Roman" w:cs="Times New Roman"/>
        </w:rPr>
      </w:pPr>
    </w:p>
    <w:p w14:paraId="0CFC9453" w14:textId="5A85C86F" w:rsidR="00CB3939" w:rsidRPr="00626A7E" w:rsidRDefault="00BB6934" w:rsidP="00811002">
      <w:pPr>
        <w:spacing w:line="360" w:lineRule="auto"/>
        <w:ind w:firstLine="720"/>
        <w:jc w:val="both"/>
        <w:rPr>
          <w:rFonts w:ascii="Times New Roman" w:hAnsi="Times New Roman" w:cs="Times New Roman"/>
        </w:rPr>
      </w:pPr>
      <w:r w:rsidRPr="00626A7E">
        <w:rPr>
          <w:rFonts w:ascii="Times New Roman" w:hAnsi="Times New Roman" w:cs="Times New Roman"/>
        </w:rPr>
        <w:lastRenderedPageBreak/>
        <w:t>But if tax might be needed to fund it</w:t>
      </w:r>
      <w:r w:rsidR="00386E75" w:rsidRPr="00626A7E">
        <w:rPr>
          <w:rFonts w:ascii="Times New Roman" w:hAnsi="Times New Roman" w:cs="Times New Roman"/>
        </w:rPr>
        <w:t>s upfront costs</w:t>
      </w:r>
      <w:r w:rsidRPr="00626A7E">
        <w:rPr>
          <w:rFonts w:ascii="Times New Roman" w:hAnsi="Times New Roman" w:cs="Times New Roman"/>
        </w:rPr>
        <w:t xml:space="preserve">, </w:t>
      </w:r>
      <w:r w:rsidR="00E70284" w:rsidRPr="00626A7E">
        <w:rPr>
          <w:rFonts w:ascii="Times New Roman" w:hAnsi="Times New Roman" w:cs="Times New Roman"/>
        </w:rPr>
        <w:t>t</w:t>
      </w:r>
      <w:r w:rsidR="00762ABF" w:rsidRPr="00626A7E">
        <w:rPr>
          <w:rFonts w:ascii="Times New Roman" w:hAnsi="Times New Roman" w:cs="Times New Roman"/>
        </w:rPr>
        <w:t xml:space="preserve">he National Investment Bank was a part of </w:t>
      </w:r>
      <w:r w:rsidR="001143D6" w:rsidRPr="00626A7E">
        <w:rPr>
          <w:rFonts w:ascii="Times New Roman" w:hAnsi="Times New Roman" w:cs="Times New Roman"/>
        </w:rPr>
        <w:t>a</w:t>
      </w:r>
      <w:r w:rsidR="002A6AE5" w:rsidRPr="00626A7E">
        <w:rPr>
          <w:rFonts w:ascii="Times New Roman" w:hAnsi="Times New Roman" w:cs="Times New Roman"/>
        </w:rPr>
        <w:t xml:space="preserve"> </w:t>
      </w:r>
      <w:r w:rsidR="008D6428" w:rsidRPr="00626A7E">
        <w:rPr>
          <w:rFonts w:ascii="Times New Roman" w:hAnsi="Times New Roman" w:cs="Times New Roman"/>
        </w:rPr>
        <w:t>more significant</w:t>
      </w:r>
      <w:r w:rsidR="00762ABF" w:rsidRPr="00626A7E">
        <w:rPr>
          <w:rFonts w:ascii="Times New Roman" w:hAnsi="Times New Roman" w:cs="Times New Roman"/>
        </w:rPr>
        <w:t xml:space="preserve"> transition towards</w:t>
      </w:r>
      <w:r w:rsidR="00BA2F9C" w:rsidRPr="00626A7E">
        <w:rPr>
          <w:rFonts w:ascii="Times New Roman" w:hAnsi="Times New Roman" w:cs="Times New Roman"/>
        </w:rPr>
        <w:t xml:space="preserve"> the</w:t>
      </w:r>
      <w:r w:rsidR="00762ABF" w:rsidRPr="00626A7E">
        <w:rPr>
          <w:rFonts w:ascii="Times New Roman" w:hAnsi="Times New Roman" w:cs="Times New Roman"/>
        </w:rPr>
        <w:t xml:space="preserve"> ‘</w:t>
      </w:r>
      <w:r w:rsidR="00BA2F9C" w:rsidRPr="00626A7E">
        <w:rPr>
          <w:rFonts w:ascii="Times New Roman" w:hAnsi="Times New Roman" w:cs="Times New Roman"/>
        </w:rPr>
        <w:t>supply side socialism</w:t>
      </w:r>
      <w:r w:rsidR="00762ABF" w:rsidRPr="00626A7E">
        <w:rPr>
          <w:rFonts w:ascii="Times New Roman" w:hAnsi="Times New Roman" w:cs="Times New Roman"/>
        </w:rPr>
        <w:t>’</w:t>
      </w:r>
      <w:r w:rsidR="00BA2F9C" w:rsidRPr="00626A7E">
        <w:rPr>
          <w:rFonts w:ascii="Times New Roman" w:hAnsi="Times New Roman" w:cs="Times New Roman"/>
        </w:rPr>
        <w:t xml:space="preserve"> </w:t>
      </w:r>
      <w:r w:rsidR="00213175" w:rsidRPr="00626A7E">
        <w:rPr>
          <w:rFonts w:ascii="Times New Roman" w:hAnsi="Times New Roman" w:cs="Times New Roman"/>
        </w:rPr>
        <w:t>advocated</w:t>
      </w:r>
      <w:r w:rsidR="00BA2F9C" w:rsidRPr="00626A7E">
        <w:rPr>
          <w:rFonts w:ascii="Times New Roman" w:hAnsi="Times New Roman" w:cs="Times New Roman"/>
        </w:rPr>
        <w:t xml:space="preserve"> by</w:t>
      </w:r>
      <w:r w:rsidR="00476B8D" w:rsidRPr="00626A7E">
        <w:rPr>
          <w:rFonts w:ascii="Times New Roman" w:hAnsi="Times New Roman" w:cs="Times New Roman"/>
        </w:rPr>
        <w:t xml:space="preserve"> John Eatwell, </w:t>
      </w:r>
      <w:r w:rsidR="00762ABF" w:rsidRPr="00626A7E">
        <w:rPr>
          <w:rFonts w:ascii="Times New Roman" w:hAnsi="Times New Roman" w:cs="Times New Roman"/>
        </w:rPr>
        <w:t xml:space="preserve">Kinnock’s </w:t>
      </w:r>
      <w:r w:rsidR="00BA2F9C" w:rsidRPr="00626A7E">
        <w:rPr>
          <w:rFonts w:ascii="Times New Roman" w:hAnsi="Times New Roman" w:cs="Times New Roman"/>
        </w:rPr>
        <w:t xml:space="preserve">Chief </w:t>
      </w:r>
      <w:r w:rsidR="00762ABF" w:rsidRPr="00626A7E">
        <w:rPr>
          <w:rFonts w:ascii="Times New Roman" w:hAnsi="Times New Roman" w:cs="Times New Roman"/>
        </w:rPr>
        <w:t>Economic Advisor. According to Martin Westlake, ‘for Eatwell, Britain’s key economic problem was the weakness of its productive sector. This imposed long-term constraints on possible rates of growth since, when consumption spending rose, imports inevitably increased and pushed the economy into a Balance of Payments deficit.’</w:t>
      </w:r>
      <w:r w:rsidR="00762ABF" w:rsidRPr="00626A7E">
        <w:rPr>
          <w:rStyle w:val="FootnoteReference"/>
          <w:rFonts w:ascii="Times New Roman" w:hAnsi="Times New Roman" w:cs="Times New Roman"/>
        </w:rPr>
        <w:footnoteReference w:id="60"/>
      </w:r>
      <w:r w:rsidR="00762ABF" w:rsidRPr="00626A7E">
        <w:rPr>
          <w:rFonts w:ascii="Times New Roman" w:hAnsi="Times New Roman" w:cs="Times New Roman"/>
        </w:rPr>
        <w:t xml:space="preserve"> As a Labour press briefing put it in 1989, ‘we have now moved decisively away from a policy of short-term management of the economy through demand management.’</w:t>
      </w:r>
      <w:r w:rsidR="008B1CE4" w:rsidRPr="00626A7E">
        <w:rPr>
          <w:rStyle w:val="FootnoteReference"/>
          <w:rFonts w:ascii="Times New Roman" w:hAnsi="Times New Roman" w:cs="Times New Roman"/>
        </w:rPr>
        <w:footnoteReference w:id="61"/>
      </w:r>
      <w:r w:rsidR="00762ABF" w:rsidRPr="00626A7E">
        <w:rPr>
          <w:rFonts w:ascii="Times New Roman" w:hAnsi="Times New Roman" w:cs="Times New Roman"/>
        </w:rPr>
        <w:t xml:space="preserve"> Instead of manipulations of exchange or interest rates, or standard </w:t>
      </w:r>
      <w:r w:rsidR="00C62D85" w:rsidRPr="00626A7E">
        <w:rPr>
          <w:rFonts w:ascii="Times New Roman" w:hAnsi="Times New Roman" w:cs="Times New Roman"/>
        </w:rPr>
        <w:t xml:space="preserve">leftist </w:t>
      </w:r>
      <w:r w:rsidR="00762ABF" w:rsidRPr="00626A7E">
        <w:rPr>
          <w:rFonts w:ascii="Times New Roman" w:hAnsi="Times New Roman" w:cs="Times New Roman"/>
        </w:rPr>
        <w:t>fiscal measures on tax and spend, ‘supply side socialism’ would seek to fix the</w:t>
      </w:r>
      <w:r w:rsidR="00D87211" w:rsidRPr="00626A7E">
        <w:rPr>
          <w:rFonts w:ascii="Times New Roman" w:hAnsi="Times New Roman" w:cs="Times New Roman"/>
        </w:rPr>
        <w:t xml:space="preserve"> structural flaws in the</w:t>
      </w:r>
      <w:r w:rsidR="00762ABF" w:rsidRPr="00626A7E">
        <w:rPr>
          <w:rFonts w:ascii="Times New Roman" w:hAnsi="Times New Roman" w:cs="Times New Roman"/>
        </w:rPr>
        <w:t xml:space="preserve"> British econo</w:t>
      </w:r>
      <w:r w:rsidR="008B1CE4" w:rsidRPr="00626A7E">
        <w:rPr>
          <w:rFonts w:ascii="Times New Roman" w:hAnsi="Times New Roman" w:cs="Times New Roman"/>
        </w:rPr>
        <w:t>my over the medium to long term and grow Britain’s way to prosperity.</w:t>
      </w:r>
      <w:r w:rsidR="00762ABF" w:rsidRPr="00626A7E">
        <w:rPr>
          <w:rFonts w:ascii="Times New Roman" w:hAnsi="Times New Roman" w:cs="Times New Roman"/>
        </w:rPr>
        <w:t xml:space="preserve"> </w:t>
      </w:r>
      <w:r w:rsidR="00B66487" w:rsidRPr="00626A7E">
        <w:rPr>
          <w:rFonts w:ascii="Times New Roman" w:hAnsi="Times New Roman" w:cs="Times New Roman"/>
        </w:rPr>
        <w:t xml:space="preserve">As </w:t>
      </w:r>
      <w:r w:rsidR="00A4181F" w:rsidRPr="00626A7E">
        <w:rPr>
          <w:rFonts w:ascii="Times New Roman" w:hAnsi="Times New Roman" w:cs="Times New Roman"/>
        </w:rPr>
        <w:t>party</w:t>
      </w:r>
      <w:r w:rsidR="00B66487" w:rsidRPr="00626A7E">
        <w:rPr>
          <w:rFonts w:ascii="Times New Roman" w:hAnsi="Times New Roman" w:cs="Times New Roman"/>
        </w:rPr>
        <w:t xml:space="preserve"> advisors</w:t>
      </w:r>
      <w:r w:rsidR="00A4181F" w:rsidRPr="00626A7E">
        <w:rPr>
          <w:rFonts w:ascii="Times New Roman" w:hAnsi="Times New Roman" w:cs="Times New Roman"/>
        </w:rPr>
        <w:t xml:space="preserve"> told journalists, </w:t>
      </w:r>
      <w:r w:rsidR="00284214" w:rsidRPr="00626A7E">
        <w:rPr>
          <w:rFonts w:ascii="Times New Roman" w:hAnsi="Times New Roman" w:cs="Times New Roman"/>
        </w:rPr>
        <w:t>Labour was now about</w:t>
      </w:r>
      <w:r w:rsidR="00A4181F" w:rsidRPr="00626A7E">
        <w:rPr>
          <w:rFonts w:ascii="Times New Roman" w:hAnsi="Times New Roman" w:cs="Times New Roman"/>
        </w:rPr>
        <w:t xml:space="preserve"> ‘the enabling state…[where] the aim is not to pick winners but to create the conditions in which winners can come through.’</w:t>
      </w:r>
      <w:r w:rsidR="00A4181F" w:rsidRPr="00626A7E">
        <w:rPr>
          <w:rStyle w:val="FootnoteReference"/>
          <w:rFonts w:ascii="Times New Roman" w:hAnsi="Times New Roman" w:cs="Times New Roman"/>
        </w:rPr>
        <w:footnoteReference w:id="62"/>
      </w:r>
    </w:p>
    <w:p w14:paraId="481245E2" w14:textId="77777777" w:rsidR="00CB3939" w:rsidRPr="00626A7E" w:rsidRDefault="00CB3939" w:rsidP="00762ABF">
      <w:pPr>
        <w:spacing w:line="360" w:lineRule="auto"/>
        <w:jc w:val="both"/>
        <w:rPr>
          <w:rFonts w:ascii="Times New Roman" w:hAnsi="Times New Roman" w:cs="Times New Roman"/>
        </w:rPr>
      </w:pPr>
    </w:p>
    <w:p w14:paraId="3BD485B4" w14:textId="74E53A76" w:rsidR="00762ABF" w:rsidRPr="00626A7E" w:rsidRDefault="00F21EDF" w:rsidP="00811002">
      <w:pPr>
        <w:spacing w:line="360" w:lineRule="auto"/>
        <w:ind w:firstLine="567"/>
        <w:jc w:val="both"/>
        <w:rPr>
          <w:rFonts w:ascii="Times New Roman" w:hAnsi="Times New Roman" w:cs="Times New Roman"/>
        </w:rPr>
      </w:pPr>
      <w:r w:rsidRPr="00626A7E">
        <w:rPr>
          <w:rFonts w:ascii="Times New Roman" w:hAnsi="Times New Roman" w:cs="Times New Roman"/>
        </w:rPr>
        <w:t xml:space="preserve">Further intellectual </w:t>
      </w:r>
      <w:r w:rsidR="008A3129" w:rsidRPr="00626A7E">
        <w:rPr>
          <w:rFonts w:ascii="Times New Roman" w:hAnsi="Times New Roman" w:cs="Times New Roman"/>
        </w:rPr>
        <w:t>ballast</w:t>
      </w:r>
      <w:r w:rsidR="00C747D8" w:rsidRPr="00626A7E">
        <w:rPr>
          <w:rFonts w:ascii="Times New Roman" w:hAnsi="Times New Roman" w:cs="Times New Roman"/>
        </w:rPr>
        <w:t xml:space="preserve"> came from t</w:t>
      </w:r>
      <w:r w:rsidR="00CB3939" w:rsidRPr="00626A7E">
        <w:rPr>
          <w:rFonts w:ascii="Times New Roman" w:hAnsi="Times New Roman" w:cs="Times New Roman"/>
        </w:rPr>
        <w:t xml:space="preserve">he Kaldor Group </w:t>
      </w:r>
      <w:r w:rsidR="00221441" w:rsidRPr="00626A7E">
        <w:rPr>
          <w:rFonts w:ascii="Times New Roman" w:hAnsi="Times New Roman" w:cs="Times New Roman"/>
        </w:rPr>
        <w:t>–</w:t>
      </w:r>
      <w:r w:rsidR="00543B52" w:rsidRPr="00626A7E">
        <w:rPr>
          <w:rFonts w:ascii="Times New Roman" w:hAnsi="Times New Roman" w:cs="Times New Roman"/>
        </w:rPr>
        <w:t xml:space="preserve"> </w:t>
      </w:r>
      <w:r w:rsidR="00221441" w:rsidRPr="00626A7E">
        <w:rPr>
          <w:rFonts w:ascii="Times New Roman" w:hAnsi="Times New Roman" w:cs="Times New Roman"/>
        </w:rPr>
        <w:t xml:space="preserve">a group of academics </w:t>
      </w:r>
      <w:r w:rsidR="00CB3939" w:rsidRPr="00626A7E">
        <w:rPr>
          <w:rFonts w:ascii="Times New Roman" w:hAnsi="Times New Roman" w:cs="Times New Roman"/>
        </w:rPr>
        <w:t>commissioned by Kinnock to re-think Labour’</w:t>
      </w:r>
      <w:r w:rsidR="00C747D8" w:rsidRPr="00626A7E">
        <w:rPr>
          <w:rFonts w:ascii="Times New Roman" w:hAnsi="Times New Roman" w:cs="Times New Roman"/>
        </w:rPr>
        <w:t>s economic priorities</w:t>
      </w:r>
      <w:r w:rsidR="000F0D7C" w:rsidRPr="00626A7E">
        <w:rPr>
          <w:rFonts w:ascii="Times New Roman" w:hAnsi="Times New Roman" w:cs="Times New Roman"/>
        </w:rPr>
        <w:t>.</w:t>
      </w:r>
      <w:r w:rsidR="00462E71" w:rsidRPr="00626A7E">
        <w:rPr>
          <w:rFonts w:ascii="Times New Roman" w:hAnsi="Times New Roman" w:cs="Times New Roman"/>
        </w:rPr>
        <w:t xml:space="preserve"> Headed by Nicholas Kaldor </w:t>
      </w:r>
      <w:r w:rsidR="001143D6" w:rsidRPr="00626A7E">
        <w:rPr>
          <w:rFonts w:ascii="Times New Roman" w:hAnsi="Times New Roman" w:cs="Times New Roman"/>
        </w:rPr>
        <w:t>and attended by</w:t>
      </w:r>
      <w:r w:rsidR="00462E71" w:rsidRPr="00626A7E">
        <w:rPr>
          <w:rFonts w:ascii="Times New Roman" w:hAnsi="Times New Roman" w:cs="Times New Roman"/>
        </w:rPr>
        <w:t xml:space="preserve"> </w:t>
      </w:r>
      <w:r w:rsidR="00FD234E" w:rsidRPr="00626A7E">
        <w:rPr>
          <w:rFonts w:ascii="Times New Roman" w:hAnsi="Times New Roman" w:cs="Times New Roman"/>
        </w:rPr>
        <w:t xml:space="preserve">Meghnad Desai, </w:t>
      </w:r>
      <w:r w:rsidR="00DA5D35" w:rsidRPr="00626A7E">
        <w:rPr>
          <w:rFonts w:ascii="Times New Roman" w:hAnsi="Times New Roman" w:cs="Times New Roman"/>
        </w:rPr>
        <w:t xml:space="preserve">John </w:t>
      </w:r>
      <w:r w:rsidR="00462E71" w:rsidRPr="00626A7E">
        <w:rPr>
          <w:rFonts w:ascii="Times New Roman" w:hAnsi="Times New Roman" w:cs="Times New Roman"/>
        </w:rPr>
        <w:t xml:space="preserve">Eatwell, </w:t>
      </w:r>
      <w:r w:rsidR="00AA7462" w:rsidRPr="00626A7E">
        <w:rPr>
          <w:rFonts w:ascii="Times New Roman" w:hAnsi="Times New Roman" w:cs="Times New Roman"/>
        </w:rPr>
        <w:t xml:space="preserve">Andrew Graham </w:t>
      </w:r>
      <w:r w:rsidR="00A97D19" w:rsidRPr="00626A7E">
        <w:rPr>
          <w:rFonts w:ascii="Times New Roman" w:hAnsi="Times New Roman" w:cs="Times New Roman"/>
        </w:rPr>
        <w:t>and others</w:t>
      </w:r>
      <w:r w:rsidR="00C25E58" w:rsidRPr="00626A7E">
        <w:rPr>
          <w:rFonts w:ascii="Times New Roman" w:hAnsi="Times New Roman" w:cs="Times New Roman"/>
        </w:rPr>
        <w:t>, the g</w:t>
      </w:r>
      <w:r w:rsidR="00462E71" w:rsidRPr="00626A7E">
        <w:rPr>
          <w:rFonts w:ascii="Times New Roman" w:hAnsi="Times New Roman" w:cs="Times New Roman"/>
        </w:rPr>
        <w:t xml:space="preserve">roup was convinced of the pressing </w:t>
      </w:r>
      <w:r w:rsidR="00DE03E5" w:rsidRPr="00626A7E">
        <w:rPr>
          <w:rFonts w:ascii="Times New Roman" w:hAnsi="Times New Roman" w:cs="Times New Roman"/>
        </w:rPr>
        <w:t>Macmillan Gap</w:t>
      </w:r>
      <w:r w:rsidR="00462E71" w:rsidRPr="00626A7E">
        <w:rPr>
          <w:rFonts w:ascii="Times New Roman" w:hAnsi="Times New Roman" w:cs="Times New Roman"/>
        </w:rPr>
        <w:t xml:space="preserve"> going into the mid-1980s</w:t>
      </w:r>
      <w:r w:rsidR="002C2D03" w:rsidRPr="00626A7E">
        <w:rPr>
          <w:rFonts w:ascii="Times New Roman" w:hAnsi="Times New Roman" w:cs="Times New Roman"/>
        </w:rPr>
        <w:t xml:space="preserve">. </w:t>
      </w:r>
      <w:r w:rsidR="0004078B" w:rsidRPr="00626A7E">
        <w:rPr>
          <w:rFonts w:ascii="Times New Roman" w:hAnsi="Times New Roman" w:cs="Times New Roman"/>
        </w:rPr>
        <w:t>Although mostly macro focussed, they noted that</w:t>
      </w:r>
    </w:p>
    <w:p w14:paraId="468B34B4" w14:textId="77777777" w:rsidR="00462E71" w:rsidRPr="00626A7E" w:rsidRDefault="00462E71" w:rsidP="00BC77DB">
      <w:pPr>
        <w:spacing w:line="360" w:lineRule="auto"/>
        <w:jc w:val="both"/>
        <w:rPr>
          <w:rFonts w:ascii="Times New Roman" w:hAnsi="Times New Roman" w:cs="Times New Roman"/>
        </w:rPr>
      </w:pPr>
    </w:p>
    <w:p w14:paraId="4B0BB9ED" w14:textId="771DFA49" w:rsidR="00CB3939" w:rsidRPr="00626A7E" w:rsidRDefault="00CB3939" w:rsidP="00BC77DB">
      <w:pPr>
        <w:spacing w:line="360" w:lineRule="auto"/>
        <w:ind w:left="567" w:right="567"/>
        <w:jc w:val="both"/>
        <w:rPr>
          <w:rFonts w:ascii="Times New Roman" w:hAnsi="Times New Roman" w:cs="Times New Roman"/>
        </w:rPr>
      </w:pPr>
      <w:r w:rsidRPr="00626A7E">
        <w:rPr>
          <w:rFonts w:ascii="Times New Roman" w:hAnsi="Times New Roman" w:cs="Times New Roman"/>
        </w:rPr>
        <w:t>‘[the] characteristics of the UK capital market militate against</w:t>
      </w:r>
      <w:r w:rsidR="00582547" w:rsidRPr="00626A7E">
        <w:rPr>
          <w:rFonts w:ascii="Times New Roman" w:hAnsi="Times New Roman" w:cs="Times New Roman"/>
        </w:rPr>
        <w:t>…</w:t>
      </w:r>
      <w:r w:rsidRPr="00626A7E">
        <w:rPr>
          <w:rFonts w:ascii="Times New Roman" w:hAnsi="Times New Roman" w:cs="Times New Roman"/>
        </w:rPr>
        <w:t>two situations in particular. One is the small/medium size firm needing external finance to grow rapidly. During rapid expansion the investment needs are often equal to, or greater than profits. There is therefore no chance during this period of paying high nominal interest rates or high dividends. The other is the medium/large firm with outdated capital and low profitability, but with good plans for substantial modernisation on a scale that again requires additional external finance. We envisage cases of these two kinds as being especially suitable for support by the proposed National Investment Bank’</w:t>
      </w:r>
      <w:r w:rsidR="00462E71" w:rsidRPr="00626A7E">
        <w:rPr>
          <w:rStyle w:val="FootnoteReference"/>
          <w:rFonts w:ascii="Times New Roman" w:hAnsi="Times New Roman" w:cs="Times New Roman"/>
        </w:rPr>
        <w:footnoteReference w:id="63"/>
      </w:r>
    </w:p>
    <w:p w14:paraId="7D6C9E8E" w14:textId="77777777" w:rsidR="00CB3939" w:rsidRPr="00626A7E" w:rsidRDefault="00CB3939" w:rsidP="00BC77DB">
      <w:pPr>
        <w:spacing w:line="360" w:lineRule="auto"/>
        <w:jc w:val="both"/>
        <w:rPr>
          <w:rFonts w:ascii="Times New Roman" w:hAnsi="Times New Roman" w:cs="Times New Roman"/>
        </w:rPr>
      </w:pPr>
    </w:p>
    <w:p w14:paraId="4E428A8A" w14:textId="3A12E21E" w:rsidR="008F6FAC" w:rsidRPr="00626A7E" w:rsidRDefault="006B4EFF" w:rsidP="008F6FAC">
      <w:pPr>
        <w:spacing w:line="360" w:lineRule="auto"/>
        <w:jc w:val="both"/>
        <w:rPr>
          <w:rFonts w:ascii="Times New Roman" w:hAnsi="Times New Roman" w:cs="Times New Roman"/>
        </w:rPr>
      </w:pPr>
      <w:r w:rsidRPr="00626A7E">
        <w:rPr>
          <w:rFonts w:ascii="Times New Roman" w:hAnsi="Times New Roman" w:cs="Times New Roman"/>
        </w:rPr>
        <w:lastRenderedPageBreak/>
        <w:t>The enemy here was predatory</w:t>
      </w:r>
      <w:r w:rsidR="009408BA" w:rsidRPr="00626A7E">
        <w:rPr>
          <w:rFonts w:ascii="Times New Roman" w:hAnsi="Times New Roman" w:cs="Times New Roman"/>
        </w:rPr>
        <w:t>, short term</w:t>
      </w:r>
      <w:r w:rsidRPr="00626A7E">
        <w:rPr>
          <w:rFonts w:ascii="Times New Roman" w:hAnsi="Times New Roman" w:cs="Times New Roman"/>
        </w:rPr>
        <w:t xml:space="preserve"> capitalism. As Bryan </w:t>
      </w:r>
      <w:r w:rsidR="00CA3C01" w:rsidRPr="00626A7E">
        <w:rPr>
          <w:rFonts w:ascii="Times New Roman" w:hAnsi="Times New Roman" w:cs="Times New Roman"/>
        </w:rPr>
        <w:t xml:space="preserve">Gould told a Cambridge audience, </w:t>
      </w:r>
      <w:r w:rsidRPr="00626A7E">
        <w:rPr>
          <w:rFonts w:ascii="Times New Roman" w:hAnsi="Times New Roman" w:cs="Times New Roman"/>
        </w:rPr>
        <w:t>‘as long as economic policy making is dominated by the interests of those who hold assets rather than create wealth we shall continue to suffer from chronic short termism and the high interest rates and uncompetitive currency that reflect and accompany it.’</w:t>
      </w:r>
      <w:r w:rsidRPr="00626A7E">
        <w:rPr>
          <w:rStyle w:val="FootnoteReference"/>
          <w:rFonts w:ascii="Times New Roman" w:hAnsi="Times New Roman" w:cs="Times New Roman"/>
        </w:rPr>
        <w:footnoteReference w:id="64"/>
      </w:r>
      <w:r w:rsidR="006874F5" w:rsidRPr="00626A7E">
        <w:rPr>
          <w:rFonts w:ascii="Times New Roman" w:hAnsi="Times New Roman" w:cs="Times New Roman"/>
        </w:rPr>
        <w:t xml:space="preserve"> </w:t>
      </w:r>
      <w:r w:rsidR="002D148B" w:rsidRPr="00626A7E">
        <w:rPr>
          <w:rFonts w:ascii="Times New Roman" w:hAnsi="Times New Roman" w:cs="Times New Roman"/>
        </w:rPr>
        <w:t xml:space="preserve">This meant a realignment of capitalism, </w:t>
      </w:r>
      <w:r w:rsidR="00AC7F05" w:rsidRPr="00626A7E">
        <w:rPr>
          <w:rFonts w:ascii="Times New Roman" w:hAnsi="Times New Roman" w:cs="Times New Roman"/>
        </w:rPr>
        <w:t>but</w:t>
      </w:r>
      <w:r w:rsidR="002D148B" w:rsidRPr="00626A7E">
        <w:rPr>
          <w:rFonts w:ascii="Times New Roman" w:hAnsi="Times New Roman" w:cs="Times New Roman"/>
        </w:rPr>
        <w:t xml:space="preserve"> not its fundamental replacement. </w:t>
      </w:r>
      <w:r w:rsidR="00CC2B30" w:rsidRPr="00626A7E">
        <w:rPr>
          <w:rFonts w:ascii="Times New Roman" w:hAnsi="Times New Roman" w:cs="Times New Roman"/>
        </w:rPr>
        <w:t>As</w:t>
      </w:r>
      <w:r w:rsidR="006874F5" w:rsidRPr="00626A7E">
        <w:rPr>
          <w:rFonts w:ascii="Times New Roman" w:hAnsi="Times New Roman" w:cs="Times New Roman"/>
        </w:rPr>
        <w:t xml:space="preserve"> Kinnock put it, ‘we have a particular financial system which in its own terms is successful. And we have an unsuccessful industrial sector. Given the role which finance has in a capitalist economy of mobilizing resources – and must have in any economy fuelling production – there must be some causal relationship between the relative success of one and the relative failure of the other.’</w:t>
      </w:r>
      <w:r w:rsidR="005303E7" w:rsidRPr="00626A7E">
        <w:rPr>
          <w:rStyle w:val="FootnoteReference"/>
          <w:rFonts w:ascii="Times New Roman" w:hAnsi="Times New Roman" w:cs="Times New Roman"/>
        </w:rPr>
        <w:footnoteReference w:id="65"/>
      </w:r>
      <w:r w:rsidR="005303E7" w:rsidRPr="00626A7E">
        <w:rPr>
          <w:rFonts w:ascii="Times New Roman" w:hAnsi="Times New Roman" w:cs="Times New Roman"/>
        </w:rPr>
        <w:t xml:space="preserve"> </w:t>
      </w:r>
      <w:r w:rsidR="002D148B" w:rsidRPr="00626A7E">
        <w:rPr>
          <w:rFonts w:ascii="Times New Roman" w:hAnsi="Times New Roman" w:cs="Times New Roman"/>
        </w:rPr>
        <w:t>Expressed more</w:t>
      </w:r>
      <w:r w:rsidR="005303E7" w:rsidRPr="00626A7E">
        <w:rPr>
          <w:rFonts w:ascii="Times New Roman" w:hAnsi="Times New Roman" w:cs="Times New Roman"/>
        </w:rPr>
        <w:t xml:space="preserve"> concisely,</w:t>
      </w:r>
      <w:r w:rsidR="002D148B" w:rsidRPr="00626A7E">
        <w:rPr>
          <w:rFonts w:ascii="Times New Roman" w:hAnsi="Times New Roman" w:cs="Times New Roman"/>
        </w:rPr>
        <w:t xml:space="preserve"> Kinnock believed</w:t>
      </w:r>
      <w:r w:rsidR="005303E7" w:rsidRPr="00626A7E">
        <w:rPr>
          <w:rFonts w:ascii="Times New Roman" w:hAnsi="Times New Roman" w:cs="Times New Roman"/>
        </w:rPr>
        <w:t xml:space="preserve"> ‘British financial institutions…should be midwives, instead they are undertakers.’</w:t>
      </w:r>
      <w:r w:rsidR="005303E7" w:rsidRPr="00626A7E">
        <w:rPr>
          <w:rStyle w:val="FootnoteReference"/>
          <w:rFonts w:ascii="Times New Roman" w:hAnsi="Times New Roman" w:cs="Times New Roman"/>
        </w:rPr>
        <w:footnoteReference w:id="66"/>
      </w:r>
      <w:r w:rsidR="00BA64BD" w:rsidRPr="00626A7E">
        <w:rPr>
          <w:rFonts w:ascii="Times New Roman" w:hAnsi="Times New Roman" w:cs="Times New Roman"/>
        </w:rPr>
        <w:t xml:space="preserve"> Tactics aside therefore, getting credit flowing was not merely about internal party management.</w:t>
      </w:r>
      <w:r w:rsidR="009E7C65" w:rsidRPr="00626A7E">
        <w:rPr>
          <w:rFonts w:ascii="Times New Roman" w:hAnsi="Times New Roman" w:cs="Times New Roman"/>
        </w:rPr>
        <w:t xml:space="preserve"> As John Smith</w:t>
      </w:r>
      <w:r w:rsidR="00AA7462" w:rsidRPr="00626A7E">
        <w:rPr>
          <w:rFonts w:ascii="Times New Roman" w:hAnsi="Times New Roman" w:cs="Times New Roman"/>
        </w:rPr>
        <w:t xml:space="preserve"> argued</w:t>
      </w:r>
      <w:r w:rsidR="009E7C65" w:rsidRPr="00626A7E">
        <w:rPr>
          <w:rFonts w:ascii="Times New Roman" w:hAnsi="Times New Roman" w:cs="Times New Roman"/>
        </w:rPr>
        <w:t xml:space="preserve"> </w:t>
      </w:r>
      <w:r w:rsidR="00AA7462" w:rsidRPr="00626A7E">
        <w:rPr>
          <w:rFonts w:ascii="Times New Roman" w:hAnsi="Times New Roman" w:cs="Times New Roman"/>
        </w:rPr>
        <w:t>in his response</w:t>
      </w:r>
      <w:r w:rsidR="009E7C65" w:rsidRPr="00626A7E">
        <w:rPr>
          <w:rFonts w:ascii="Times New Roman" w:hAnsi="Times New Roman" w:cs="Times New Roman"/>
        </w:rPr>
        <w:t xml:space="preserve"> to the 1985 budget, ‘the Tory party has become the anti-industry party. It is the party of fast f</w:t>
      </w:r>
      <w:r w:rsidR="004923EA" w:rsidRPr="00626A7E">
        <w:rPr>
          <w:rFonts w:ascii="Times New Roman" w:hAnsi="Times New Roman" w:cs="Times New Roman"/>
        </w:rPr>
        <w:t>ood</w:t>
      </w:r>
      <w:r w:rsidR="009E7C65" w:rsidRPr="00626A7E">
        <w:rPr>
          <w:rFonts w:ascii="Times New Roman" w:hAnsi="Times New Roman" w:cs="Times New Roman"/>
        </w:rPr>
        <w:t xml:space="preserve"> services and of financial services…[and] the jobs of the future [under a Conservative government] will be not so much low-tech as no-tech.</w:t>
      </w:r>
      <w:r w:rsidR="00974E1D" w:rsidRPr="00626A7E">
        <w:rPr>
          <w:rFonts w:ascii="Times New Roman" w:hAnsi="Times New Roman" w:cs="Times New Roman"/>
        </w:rPr>
        <w:t>’</w:t>
      </w:r>
      <w:r w:rsidR="00974E1D" w:rsidRPr="00626A7E">
        <w:rPr>
          <w:rStyle w:val="FootnoteReference"/>
          <w:rFonts w:ascii="Times New Roman" w:hAnsi="Times New Roman" w:cs="Times New Roman"/>
        </w:rPr>
        <w:footnoteReference w:id="67"/>
      </w:r>
    </w:p>
    <w:p w14:paraId="76909DE3" w14:textId="77777777" w:rsidR="008F6FAC" w:rsidRPr="00626A7E" w:rsidRDefault="008F6FAC" w:rsidP="008F6FAC">
      <w:pPr>
        <w:spacing w:line="360" w:lineRule="auto"/>
        <w:jc w:val="both"/>
        <w:rPr>
          <w:rFonts w:ascii="Times New Roman" w:hAnsi="Times New Roman" w:cs="Times New Roman"/>
        </w:rPr>
      </w:pPr>
    </w:p>
    <w:p w14:paraId="513CCC1E" w14:textId="66A570D4" w:rsidR="001D7AAE" w:rsidRDefault="008F6FAC" w:rsidP="00811002">
      <w:pPr>
        <w:spacing w:line="360" w:lineRule="auto"/>
        <w:ind w:firstLine="720"/>
        <w:jc w:val="both"/>
        <w:rPr>
          <w:rFonts w:ascii="Times New Roman" w:hAnsi="Times New Roman" w:cs="Times New Roman"/>
        </w:rPr>
      </w:pPr>
      <w:r w:rsidRPr="00626A7E">
        <w:rPr>
          <w:rFonts w:ascii="Times New Roman" w:hAnsi="Times New Roman" w:cs="Times New Roman"/>
        </w:rPr>
        <w:t>John Eatwell concurs with this point.</w:t>
      </w:r>
      <w:r w:rsidR="00452241" w:rsidRPr="00626A7E">
        <w:rPr>
          <w:rFonts w:ascii="Times New Roman" w:hAnsi="Times New Roman" w:cs="Times New Roman"/>
        </w:rPr>
        <w:t xml:space="preserve"> </w:t>
      </w:r>
      <w:r w:rsidRPr="00626A7E">
        <w:rPr>
          <w:rFonts w:ascii="Times New Roman" w:hAnsi="Times New Roman" w:cs="Times New Roman"/>
        </w:rPr>
        <w:t xml:space="preserve">Above and beyond </w:t>
      </w:r>
      <w:r w:rsidR="00F65299" w:rsidRPr="00626A7E">
        <w:rPr>
          <w:rFonts w:ascii="Times New Roman" w:hAnsi="Times New Roman" w:cs="Times New Roman"/>
        </w:rPr>
        <w:t xml:space="preserve">plugging </w:t>
      </w:r>
      <w:r w:rsidRPr="00626A7E">
        <w:rPr>
          <w:rFonts w:ascii="Times New Roman" w:hAnsi="Times New Roman" w:cs="Times New Roman"/>
        </w:rPr>
        <w:t xml:space="preserve">the Macmillan Gap, </w:t>
      </w:r>
      <w:r w:rsidR="00452241" w:rsidRPr="00626A7E">
        <w:rPr>
          <w:rFonts w:ascii="Times New Roman" w:hAnsi="Times New Roman" w:cs="Times New Roman"/>
        </w:rPr>
        <w:t xml:space="preserve">the </w:t>
      </w:r>
      <w:r w:rsidR="00F65299" w:rsidRPr="00626A7E">
        <w:rPr>
          <w:rFonts w:ascii="Times New Roman" w:hAnsi="Times New Roman" w:cs="Times New Roman"/>
        </w:rPr>
        <w:t xml:space="preserve">NIB </w:t>
      </w:r>
      <w:r w:rsidR="00452241" w:rsidRPr="00626A7E">
        <w:rPr>
          <w:rFonts w:ascii="Times New Roman" w:hAnsi="Times New Roman" w:cs="Times New Roman"/>
        </w:rPr>
        <w:t xml:space="preserve">was an asset because it could </w:t>
      </w:r>
      <w:r w:rsidR="0077200B" w:rsidRPr="00626A7E">
        <w:rPr>
          <w:rFonts w:ascii="Times New Roman" w:hAnsi="Times New Roman" w:cs="Times New Roman"/>
        </w:rPr>
        <w:t xml:space="preserve">help </w:t>
      </w:r>
      <w:r w:rsidR="00452241" w:rsidRPr="00626A7E">
        <w:rPr>
          <w:rFonts w:ascii="Times New Roman" w:hAnsi="Times New Roman" w:cs="Times New Roman"/>
        </w:rPr>
        <w:t xml:space="preserve">address the </w:t>
      </w:r>
      <w:r w:rsidRPr="00626A7E">
        <w:rPr>
          <w:rFonts w:ascii="Times New Roman" w:hAnsi="Times New Roman" w:cs="Times New Roman"/>
        </w:rPr>
        <w:t xml:space="preserve">crucial question of </w:t>
      </w:r>
      <w:r w:rsidR="00452241" w:rsidRPr="00626A7E">
        <w:rPr>
          <w:rFonts w:ascii="Times New Roman" w:hAnsi="Times New Roman" w:cs="Times New Roman"/>
        </w:rPr>
        <w:t>technological development whilst, at the same time, there was the financial expertise around</w:t>
      </w:r>
      <w:r w:rsidRPr="00626A7E">
        <w:rPr>
          <w:rFonts w:ascii="Times New Roman" w:hAnsi="Times New Roman" w:cs="Times New Roman"/>
        </w:rPr>
        <w:t xml:space="preserve"> to </w:t>
      </w:r>
      <w:r w:rsidR="00FD234E" w:rsidRPr="00626A7E">
        <w:rPr>
          <w:rFonts w:ascii="Times New Roman" w:hAnsi="Times New Roman" w:cs="Times New Roman"/>
        </w:rPr>
        <w:t>staff the operation effectively</w:t>
      </w:r>
      <w:r w:rsidR="00452241" w:rsidRPr="00626A7E">
        <w:rPr>
          <w:rFonts w:ascii="Times New Roman" w:hAnsi="Times New Roman" w:cs="Times New Roman"/>
        </w:rPr>
        <w:t xml:space="preserve">. </w:t>
      </w:r>
      <w:r w:rsidRPr="00626A7E">
        <w:rPr>
          <w:rFonts w:ascii="Times New Roman" w:hAnsi="Times New Roman" w:cs="Times New Roman"/>
        </w:rPr>
        <w:t>As to the first, a</w:t>
      </w:r>
      <w:r w:rsidR="00A4025D" w:rsidRPr="00626A7E">
        <w:rPr>
          <w:rFonts w:ascii="Times New Roman" w:hAnsi="Times New Roman" w:cs="Times New Roman"/>
        </w:rPr>
        <w:t xml:space="preserve">lthough British Leyland had </w:t>
      </w:r>
      <w:r w:rsidR="00114447" w:rsidRPr="00626A7E">
        <w:rPr>
          <w:rFonts w:ascii="Times New Roman" w:hAnsi="Times New Roman" w:cs="Times New Roman"/>
        </w:rPr>
        <w:t xml:space="preserve">previously </w:t>
      </w:r>
      <w:r w:rsidR="00A4025D" w:rsidRPr="00626A7E">
        <w:rPr>
          <w:rFonts w:ascii="Times New Roman" w:hAnsi="Times New Roman" w:cs="Times New Roman"/>
        </w:rPr>
        <w:t>been</w:t>
      </w:r>
      <w:r w:rsidR="00452241" w:rsidRPr="00626A7E">
        <w:rPr>
          <w:rFonts w:ascii="Times New Roman" w:hAnsi="Times New Roman" w:cs="Times New Roman"/>
        </w:rPr>
        <w:t xml:space="preserve"> something of an albatross around Labour’s neck, the innovation seen in </w:t>
      </w:r>
      <w:r w:rsidRPr="00626A7E">
        <w:rPr>
          <w:rFonts w:ascii="Times New Roman" w:hAnsi="Times New Roman" w:cs="Times New Roman"/>
        </w:rPr>
        <w:t xml:space="preserve">car manufacturing </w:t>
      </w:r>
      <w:r w:rsidR="00452241" w:rsidRPr="00626A7E">
        <w:rPr>
          <w:rFonts w:ascii="Times New Roman" w:hAnsi="Times New Roman" w:cs="Times New Roman"/>
        </w:rPr>
        <w:t xml:space="preserve">throughout the 1980s was evidence to </w:t>
      </w:r>
      <w:r w:rsidRPr="00626A7E">
        <w:rPr>
          <w:rFonts w:ascii="Times New Roman" w:hAnsi="Times New Roman" w:cs="Times New Roman"/>
        </w:rPr>
        <w:t>many</w:t>
      </w:r>
      <w:r w:rsidR="00FD234E" w:rsidRPr="00626A7E">
        <w:rPr>
          <w:rFonts w:ascii="Times New Roman" w:hAnsi="Times New Roman" w:cs="Times New Roman"/>
        </w:rPr>
        <w:t xml:space="preserve"> within</w:t>
      </w:r>
      <w:r w:rsidR="00452241" w:rsidRPr="00626A7E">
        <w:rPr>
          <w:rFonts w:ascii="Times New Roman" w:hAnsi="Times New Roman" w:cs="Times New Roman"/>
        </w:rPr>
        <w:t xml:space="preserve"> </w:t>
      </w:r>
      <w:r w:rsidRPr="00626A7E">
        <w:rPr>
          <w:rFonts w:ascii="Times New Roman" w:hAnsi="Times New Roman" w:cs="Times New Roman"/>
        </w:rPr>
        <w:t>Kinnock</w:t>
      </w:r>
      <w:r w:rsidR="00FD234E" w:rsidRPr="00626A7E">
        <w:rPr>
          <w:rFonts w:ascii="Times New Roman" w:hAnsi="Times New Roman" w:cs="Times New Roman"/>
        </w:rPr>
        <w:t>’s office</w:t>
      </w:r>
      <w:r w:rsidR="00452241" w:rsidRPr="00626A7E">
        <w:rPr>
          <w:rFonts w:ascii="Times New Roman" w:hAnsi="Times New Roman" w:cs="Times New Roman"/>
        </w:rPr>
        <w:t xml:space="preserve"> that they ‘had to back </w:t>
      </w:r>
      <w:r w:rsidRPr="00626A7E">
        <w:rPr>
          <w:rFonts w:ascii="Times New Roman" w:hAnsi="Times New Roman" w:cs="Times New Roman"/>
        </w:rPr>
        <w:t xml:space="preserve">such </w:t>
      </w:r>
      <w:r w:rsidR="00452241" w:rsidRPr="00626A7E">
        <w:rPr>
          <w:rFonts w:ascii="Times New Roman" w:hAnsi="Times New Roman" w:cs="Times New Roman"/>
        </w:rPr>
        <w:t xml:space="preserve">highly skilled </w:t>
      </w:r>
      <w:r w:rsidR="00F325D3" w:rsidRPr="00626A7E">
        <w:rPr>
          <w:rFonts w:ascii="Times New Roman" w:hAnsi="Times New Roman" w:cs="Times New Roman"/>
        </w:rPr>
        <w:t>consultative</w:t>
      </w:r>
      <w:r w:rsidR="00452241" w:rsidRPr="00626A7E">
        <w:rPr>
          <w:rFonts w:ascii="Times New Roman" w:hAnsi="Times New Roman" w:cs="Times New Roman"/>
        </w:rPr>
        <w:t xml:space="preserve"> expertise</w:t>
      </w:r>
      <w:r w:rsidR="00F325D3" w:rsidRPr="00626A7E">
        <w:rPr>
          <w:rFonts w:ascii="Times New Roman" w:hAnsi="Times New Roman" w:cs="Times New Roman"/>
        </w:rPr>
        <w:t xml:space="preserve"> in the automotive sector</w:t>
      </w:r>
      <w:r w:rsidR="00452241" w:rsidRPr="00626A7E">
        <w:rPr>
          <w:rFonts w:ascii="Times New Roman" w:hAnsi="Times New Roman" w:cs="Times New Roman"/>
        </w:rPr>
        <w:t>.’</w:t>
      </w:r>
      <w:r w:rsidR="00942891" w:rsidRPr="00626A7E">
        <w:rPr>
          <w:rStyle w:val="FootnoteReference"/>
          <w:rFonts w:ascii="Times New Roman" w:hAnsi="Times New Roman" w:cs="Times New Roman"/>
        </w:rPr>
        <w:footnoteReference w:id="68"/>
      </w:r>
      <w:r w:rsidRPr="00626A7E">
        <w:rPr>
          <w:rFonts w:ascii="Times New Roman" w:hAnsi="Times New Roman" w:cs="Times New Roman"/>
        </w:rPr>
        <w:t xml:space="preserve"> This was also true of aerospace where, as Kaveh Pourvand notes, ‘various government interventions have been crucial to [its] present day success.’</w:t>
      </w:r>
      <w:r w:rsidRPr="00626A7E">
        <w:rPr>
          <w:rStyle w:val="FootnoteReference"/>
          <w:rFonts w:ascii="Times New Roman" w:hAnsi="Times New Roman" w:cs="Times New Roman"/>
        </w:rPr>
        <w:footnoteReference w:id="69"/>
      </w:r>
      <w:r w:rsidRPr="00626A7E">
        <w:rPr>
          <w:rFonts w:ascii="Times New Roman" w:hAnsi="Times New Roman" w:cs="Times New Roman"/>
        </w:rPr>
        <w:t xml:space="preserve"> Selling </w:t>
      </w:r>
      <w:r w:rsidR="00FD234E" w:rsidRPr="00626A7E">
        <w:rPr>
          <w:rFonts w:ascii="Times New Roman" w:hAnsi="Times New Roman" w:cs="Times New Roman"/>
        </w:rPr>
        <w:t xml:space="preserve">such </w:t>
      </w:r>
      <w:r w:rsidRPr="00626A7E">
        <w:rPr>
          <w:rFonts w:ascii="Times New Roman" w:hAnsi="Times New Roman" w:cs="Times New Roman"/>
        </w:rPr>
        <w:t xml:space="preserve">British expertise to the world </w:t>
      </w:r>
      <w:r w:rsidR="00FD234E" w:rsidRPr="00626A7E">
        <w:rPr>
          <w:rFonts w:ascii="Times New Roman" w:hAnsi="Times New Roman" w:cs="Times New Roman"/>
        </w:rPr>
        <w:t>was something to be encouraged and, whilst t</w:t>
      </w:r>
      <w:r w:rsidR="009C5A42" w:rsidRPr="00626A7E">
        <w:rPr>
          <w:rFonts w:ascii="Times New Roman" w:hAnsi="Times New Roman" w:cs="Times New Roman"/>
        </w:rPr>
        <w:t>he Thatcher government had utilised tax incentives to bring in foreign investment (</w:t>
      </w:r>
      <w:r w:rsidR="00073E75" w:rsidRPr="00626A7E">
        <w:rPr>
          <w:rFonts w:ascii="Times New Roman" w:hAnsi="Times New Roman" w:cs="Times New Roman"/>
        </w:rPr>
        <w:t>including</w:t>
      </w:r>
      <w:r w:rsidR="009C5A42" w:rsidRPr="00626A7E">
        <w:rPr>
          <w:rFonts w:ascii="Times New Roman" w:hAnsi="Times New Roman" w:cs="Times New Roman"/>
        </w:rPr>
        <w:t xml:space="preserve"> Nissan in Sunderland)</w:t>
      </w:r>
      <w:r w:rsidR="00FD234E" w:rsidRPr="00626A7E">
        <w:rPr>
          <w:rFonts w:ascii="Times New Roman" w:hAnsi="Times New Roman" w:cs="Times New Roman"/>
        </w:rPr>
        <w:t xml:space="preserve">, </w:t>
      </w:r>
      <w:r w:rsidR="00F65299" w:rsidRPr="00626A7E">
        <w:rPr>
          <w:rFonts w:ascii="Times New Roman" w:hAnsi="Times New Roman" w:cs="Times New Roman"/>
        </w:rPr>
        <w:t>it was felt far more could be done to capitalise on Britain’</w:t>
      </w:r>
      <w:r w:rsidR="00FD234E" w:rsidRPr="00626A7E">
        <w:rPr>
          <w:rFonts w:ascii="Times New Roman" w:hAnsi="Times New Roman" w:cs="Times New Roman"/>
        </w:rPr>
        <w:t xml:space="preserve">s competitive advantage in such </w:t>
      </w:r>
      <w:r w:rsidR="00F65299" w:rsidRPr="00626A7E">
        <w:rPr>
          <w:rFonts w:ascii="Times New Roman" w:hAnsi="Times New Roman" w:cs="Times New Roman"/>
        </w:rPr>
        <w:t>market</w:t>
      </w:r>
      <w:r w:rsidR="00FD234E" w:rsidRPr="00626A7E">
        <w:rPr>
          <w:rFonts w:ascii="Times New Roman" w:hAnsi="Times New Roman" w:cs="Times New Roman"/>
        </w:rPr>
        <w:t>s</w:t>
      </w:r>
      <w:r w:rsidR="00F65299" w:rsidRPr="00626A7E">
        <w:rPr>
          <w:rFonts w:ascii="Times New Roman" w:hAnsi="Times New Roman" w:cs="Times New Roman"/>
        </w:rPr>
        <w:t>.</w:t>
      </w:r>
      <w:r w:rsidR="00E3144B" w:rsidRPr="00626A7E">
        <w:rPr>
          <w:rFonts w:ascii="Times New Roman" w:hAnsi="Times New Roman" w:cs="Times New Roman"/>
        </w:rPr>
        <w:t xml:space="preserve"> </w:t>
      </w:r>
      <w:r w:rsidR="0073204B" w:rsidRPr="00626A7E">
        <w:rPr>
          <w:rFonts w:ascii="Times New Roman" w:hAnsi="Times New Roman" w:cs="Times New Roman"/>
        </w:rPr>
        <w:t>Equally</w:t>
      </w:r>
      <w:r w:rsidR="00FD234E" w:rsidRPr="00626A7E">
        <w:rPr>
          <w:rFonts w:ascii="Times New Roman" w:hAnsi="Times New Roman" w:cs="Times New Roman"/>
        </w:rPr>
        <w:t xml:space="preserve"> t</w:t>
      </w:r>
      <w:r w:rsidR="00E3144B" w:rsidRPr="00626A7E">
        <w:rPr>
          <w:rFonts w:ascii="Times New Roman" w:hAnsi="Times New Roman" w:cs="Times New Roman"/>
        </w:rPr>
        <w:t xml:space="preserve">he NIB could </w:t>
      </w:r>
      <w:r w:rsidR="00215006" w:rsidRPr="00626A7E">
        <w:rPr>
          <w:rFonts w:ascii="Times New Roman" w:hAnsi="Times New Roman" w:cs="Times New Roman"/>
        </w:rPr>
        <w:t>contribute to</w:t>
      </w:r>
      <w:r w:rsidR="00E3144B" w:rsidRPr="00626A7E">
        <w:rPr>
          <w:rFonts w:ascii="Times New Roman" w:hAnsi="Times New Roman" w:cs="Times New Roman"/>
        </w:rPr>
        <w:t xml:space="preserve"> this, Eatwell remembers, because of the presence of many</w:t>
      </w:r>
      <w:r w:rsidR="00452241" w:rsidRPr="00626A7E">
        <w:rPr>
          <w:rFonts w:ascii="Times New Roman" w:hAnsi="Times New Roman" w:cs="Times New Roman"/>
        </w:rPr>
        <w:t xml:space="preserve"> ‘really talented investment bankers who had often </w:t>
      </w:r>
      <w:r w:rsidR="00452241" w:rsidRPr="00626A7E">
        <w:rPr>
          <w:rFonts w:ascii="Times New Roman" w:hAnsi="Times New Roman" w:cs="Times New Roman"/>
        </w:rPr>
        <w:lastRenderedPageBreak/>
        <w:t>been trained, as younger men,</w:t>
      </w:r>
      <w:r w:rsidR="003445B5" w:rsidRPr="00626A7E">
        <w:rPr>
          <w:rFonts w:ascii="Times New Roman" w:hAnsi="Times New Roman" w:cs="Times New Roman"/>
        </w:rPr>
        <w:t xml:space="preserve"> at</w:t>
      </w:r>
      <w:r w:rsidR="00452241" w:rsidRPr="00626A7E">
        <w:rPr>
          <w:rFonts w:ascii="Times New Roman" w:hAnsi="Times New Roman" w:cs="Times New Roman"/>
        </w:rPr>
        <w:t xml:space="preserve"> the Wilson era Industrial Reorganisation Committee</w:t>
      </w:r>
      <w:r w:rsidR="00FD234E" w:rsidRPr="00626A7E">
        <w:rPr>
          <w:rFonts w:ascii="Times New Roman" w:hAnsi="Times New Roman" w:cs="Times New Roman"/>
        </w:rPr>
        <w:t xml:space="preserve"> [which had encouraged mergers to produce a more efficient industrial base]</w:t>
      </w:r>
      <w:r w:rsidR="00452241" w:rsidRPr="00626A7E">
        <w:rPr>
          <w:rFonts w:ascii="Times New Roman" w:hAnsi="Times New Roman" w:cs="Times New Roman"/>
        </w:rPr>
        <w:t>.’</w:t>
      </w:r>
      <w:r w:rsidR="00942891" w:rsidRPr="00626A7E">
        <w:rPr>
          <w:rStyle w:val="FootnoteReference"/>
          <w:rFonts w:ascii="Times New Roman" w:hAnsi="Times New Roman" w:cs="Times New Roman"/>
        </w:rPr>
        <w:footnoteReference w:id="70"/>
      </w:r>
      <w:r w:rsidR="00E3144B" w:rsidRPr="00626A7E">
        <w:rPr>
          <w:rFonts w:ascii="Times New Roman" w:hAnsi="Times New Roman" w:cs="Times New Roman"/>
        </w:rPr>
        <w:t xml:space="preserve"> These were ‘often quite conservative people, who had been given responsibility at a young age and had a real practical expertise that could have been brought in [to the NIB].’</w:t>
      </w:r>
      <w:r w:rsidR="00942891" w:rsidRPr="00626A7E">
        <w:rPr>
          <w:rStyle w:val="FootnoteReference"/>
          <w:rFonts w:ascii="Times New Roman" w:hAnsi="Times New Roman" w:cs="Times New Roman"/>
        </w:rPr>
        <w:footnoteReference w:id="71"/>
      </w:r>
      <w:r w:rsidR="00FD234E" w:rsidRPr="00626A7E">
        <w:rPr>
          <w:rFonts w:ascii="Times New Roman" w:hAnsi="Times New Roman" w:cs="Times New Roman"/>
        </w:rPr>
        <w:t xml:space="preserve"> </w:t>
      </w:r>
      <w:r w:rsidR="0073204B" w:rsidRPr="00626A7E">
        <w:rPr>
          <w:rFonts w:ascii="Times New Roman" w:hAnsi="Times New Roman" w:cs="Times New Roman"/>
        </w:rPr>
        <w:t xml:space="preserve">Socialising the </w:t>
      </w:r>
      <w:r w:rsidR="00C166FD" w:rsidRPr="00626A7E">
        <w:rPr>
          <w:rFonts w:ascii="Times New Roman" w:hAnsi="Times New Roman" w:cs="Times New Roman"/>
        </w:rPr>
        <w:t xml:space="preserve">financial </w:t>
      </w:r>
      <w:r w:rsidR="0073204B" w:rsidRPr="00626A7E">
        <w:rPr>
          <w:rFonts w:ascii="Times New Roman" w:hAnsi="Times New Roman" w:cs="Times New Roman"/>
        </w:rPr>
        <w:t>expertise held within the City</w:t>
      </w:r>
      <w:r w:rsidR="00215006" w:rsidRPr="00626A7E">
        <w:rPr>
          <w:rFonts w:ascii="Times New Roman" w:hAnsi="Times New Roman" w:cs="Times New Roman"/>
        </w:rPr>
        <w:t xml:space="preserve"> was held to be </w:t>
      </w:r>
      <w:r w:rsidR="001B00B2" w:rsidRPr="00626A7E">
        <w:rPr>
          <w:rFonts w:ascii="Times New Roman" w:hAnsi="Times New Roman" w:cs="Times New Roman"/>
        </w:rPr>
        <w:t xml:space="preserve">both </w:t>
      </w:r>
      <w:r w:rsidR="00215006" w:rsidRPr="00626A7E">
        <w:rPr>
          <w:rFonts w:ascii="Times New Roman" w:hAnsi="Times New Roman" w:cs="Times New Roman"/>
        </w:rPr>
        <w:t>practical and deliverable.</w:t>
      </w:r>
    </w:p>
    <w:p w14:paraId="6D9C96D6" w14:textId="77777777" w:rsidR="00B62F4E" w:rsidRPr="00626A7E" w:rsidRDefault="00B62F4E" w:rsidP="00BC77DB">
      <w:pPr>
        <w:spacing w:line="360" w:lineRule="auto"/>
        <w:jc w:val="both"/>
        <w:rPr>
          <w:rFonts w:ascii="Times New Roman" w:hAnsi="Times New Roman" w:cs="Times New Roman"/>
        </w:rPr>
      </w:pPr>
    </w:p>
    <w:p w14:paraId="234618AC" w14:textId="1B9333EB" w:rsidR="002C5B2A" w:rsidRPr="00626A7E" w:rsidRDefault="00E3144B" w:rsidP="00811002">
      <w:pPr>
        <w:spacing w:line="360" w:lineRule="auto"/>
        <w:ind w:firstLine="720"/>
        <w:jc w:val="both"/>
        <w:rPr>
          <w:rFonts w:ascii="Times New Roman" w:hAnsi="Times New Roman" w:cs="Times New Roman"/>
        </w:rPr>
      </w:pPr>
      <w:r w:rsidRPr="00626A7E">
        <w:rPr>
          <w:rFonts w:ascii="Times New Roman" w:hAnsi="Times New Roman" w:cs="Times New Roman"/>
        </w:rPr>
        <w:t>As such, t</w:t>
      </w:r>
      <w:r w:rsidR="00452020" w:rsidRPr="00626A7E">
        <w:rPr>
          <w:rFonts w:ascii="Times New Roman" w:hAnsi="Times New Roman" w:cs="Times New Roman"/>
        </w:rPr>
        <w:t xml:space="preserve">here were clear wins </w:t>
      </w:r>
      <w:r w:rsidR="00DA183B" w:rsidRPr="00626A7E">
        <w:rPr>
          <w:rFonts w:ascii="Times New Roman" w:hAnsi="Times New Roman" w:cs="Times New Roman"/>
        </w:rPr>
        <w:t>during this period</w:t>
      </w:r>
      <w:r w:rsidR="00452020" w:rsidRPr="00626A7E">
        <w:rPr>
          <w:rFonts w:ascii="Times New Roman" w:hAnsi="Times New Roman" w:cs="Times New Roman"/>
        </w:rPr>
        <w:t xml:space="preserve">. </w:t>
      </w:r>
      <w:r w:rsidR="00EC4978" w:rsidRPr="00626A7E">
        <w:rPr>
          <w:rFonts w:ascii="Times New Roman" w:hAnsi="Times New Roman" w:cs="Times New Roman"/>
        </w:rPr>
        <w:t xml:space="preserve">In May </w:t>
      </w:r>
      <w:r w:rsidR="00B56AAB" w:rsidRPr="00626A7E">
        <w:rPr>
          <w:rFonts w:ascii="Times New Roman" w:hAnsi="Times New Roman" w:cs="Times New Roman"/>
        </w:rPr>
        <w:t>1985,</w:t>
      </w:r>
      <w:r w:rsidR="00C30463" w:rsidRPr="00626A7E">
        <w:rPr>
          <w:rFonts w:ascii="Times New Roman" w:hAnsi="Times New Roman" w:cs="Times New Roman"/>
        </w:rPr>
        <w:t xml:space="preserve"> Smith was able to seize on a recent</w:t>
      </w:r>
      <w:r w:rsidR="000D4022" w:rsidRPr="00626A7E">
        <w:rPr>
          <w:rFonts w:ascii="Times New Roman" w:hAnsi="Times New Roman" w:cs="Times New Roman"/>
        </w:rPr>
        <w:t xml:space="preserve"> speech of Nicholas Edwards, then Welsh Secretary, to Cardiff Business Club. Edwards</w:t>
      </w:r>
      <w:r w:rsidR="008C551C" w:rsidRPr="00626A7E">
        <w:rPr>
          <w:rFonts w:ascii="Times New Roman" w:hAnsi="Times New Roman" w:cs="Times New Roman"/>
        </w:rPr>
        <w:t>, no paid-up Wet, had argued that there was a ‘physical chasm’ between th</w:t>
      </w:r>
      <w:r w:rsidR="003669B7" w:rsidRPr="00626A7E">
        <w:rPr>
          <w:rFonts w:ascii="Times New Roman" w:hAnsi="Times New Roman" w:cs="Times New Roman"/>
        </w:rPr>
        <w:t>e City of London and Britain’s i</w:t>
      </w:r>
      <w:r w:rsidR="008C551C" w:rsidRPr="00626A7E">
        <w:rPr>
          <w:rFonts w:ascii="Times New Roman" w:hAnsi="Times New Roman" w:cs="Times New Roman"/>
        </w:rPr>
        <w:t xml:space="preserve">ndustrial areas. Edwards had also </w:t>
      </w:r>
      <w:r w:rsidR="0070742A" w:rsidRPr="00626A7E">
        <w:rPr>
          <w:rFonts w:ascii="Times New Roman" w:hAnsi="Times New Roman" w:cs="Times New Roman"/>
        </w:rPr>
        <w:t>stated</w:t>
      </w:r>
      <w:r w:rsidR="008C551C" w:rsidRPr="00626A7E">
        <w:rPr>
          <w:rFonts w:ascii="Times New Roman" w:hAnsi="Times New Roman" w:cs="Times New Roman"/>
        </w:rPr>
        <w:t xml:space="preserve"> that ‘among many household names in the financial world, there is at best a failure to comprehend the problem…and at worst a startling arrogance that leads them to conclude that all is well, that nothing calls for reform, and that anyone with a good project can always find backing for it.’</w:t>
      </w:r>
      <w:r w:rsidR="008C551C" w:rsidRPr="00626A7E">
        <w:rPr>
          <w:rStyle w:val="FootnoteReference"/>
          <w:rFonts w:ascii="Times New Roman" w:hAnsi="Times New Roman" w:cs="Times New Roman"/>
        </w:rPr>
        <w:footnoteReference w:id="72"/>
      </w:r>
      <w:r w:rsidR="008C551C" w:rsidRPr="00626A7E">
        <w:rPr>
          <w:rFonts w:ascii="Times New Roman" w:hAnsi="Times New Roman" w:cs="Times New Roman"/>
        </w:rPr>
        <w:t xml:space="preserve"> Pouring praise on Edwards, Smith contrasted it with ‘the objections of some Conservative Members [which] arise from the fact that they think the City already provides adequately for the needs of British industry.’</w:t>
      </w:r>
      <w:r w:rsidR="002D148B" w:rsidRPr="00626A7E">
        <w:rPr>
          <w:rFonts w:ascii="Times New Roman" w:hAnsi="Times New Roman" w:cs="Times New Roman"/>
        </w:rPr>
        <w:t xml:space="preserve"> </w:t>
      </w:r>
      <w:r w:rsidR="000471E4" w:rsidRPr="00626A7E">
        <w:rPr>
          <w:rFonts w:ascii="Times New Roman" w:hAnsi="Times New Roman" w:cs="Times New Roman"/>
        </w:rPr>
        <w:t xml:space="preserve">Labour’s </w:t>
      </w:r>
      <w:r w:rsidR="0070742A" w:rsidRPr="00626A7E">
        <w:rPr>
          <w:rFonts w:ascii="Times New Roman" w:hAnsi="Times New Roman" w:cs="Times New Roman"/>
        </w:rPr>
        <w:t xml:space="preserve">broad </w:t>
      </w:r>
      <w:r w:rsidR="000471E4" w:rsidRPr="00626A7E">
        <w:rPr>
          <w:rFonts w:ascii="Times New Roman" w:hAnsi="Times New Roman" w:cs="Times New Roman"/>
        </w:rPr>
        <w:t xml:space="preserve">diagnosis was not without prominent </w:t>
      </w:r>
      <w:r w:rsidR="0070742A" w:rsidRPr="00626A7E">
        <w:rPr>
          <w:rFonts w:ascii="Times New Roman" w:hAnsi="Times New Roman" w:cs="Times New Roman"/>
        </w:rPr>
        <w:t xml:space="preserve">third-party </w:t>
      </w:r>
      <w:r w:rsidR="000471E4" w:rsidRPr="00626A7E">
        <w:rPr>
          <w:rFonts w:ascii="Times New Roman" w:hAnsi="Times New Roman" w:cs="Times New Roman"/>
        </w:rPr>
        <w:t xml:space="preserve">backing either. </w:t>
      </w:r>
      <w:r w:rsidR="002C5B2A" w:rsidRPr="00626A7E">
        <w:rPr>
          <w:rFonts w:ascii="Times New Roman" w:hAnsi="Times New Roman" w:cs="Times New Roman"/>
        </w:rPr>
        <w:t xml:space="preserve">In October 1986 the CBI called for £1bn of new infrastructure investment, and criticised the halving of capital expenditure as a percentage of overall government </w:t>
      </w:r>
      <w:r w:rsidR="00E321FF" w:rsidRPr="00626A7E">
        <w:rPr>
          <w:rFonts w:ascii="Times New Roman" w:hAnsi="Times New Roman" w:cs="Times New Roman"/>
        </w:rPr>
        <w:t>investment</w:t>
      </w:r>
      <w:r w:rsidR="002C5B2A" w:rsidRPr="00626A7E">
        <w:rPr>
          <w:rFonts w:ascii="Times New Roman" w:hAnsi="Times New Roman" w:cs="Times New Roman"/>
        </w:rPr>
        <w:t xml:space="preserve"> between 1980/1 and 1985/6. As the CBI noted, ‘unless the government takes the initiative now on certain capital projects we shall have lost our chance and slip further behind in the [global] competitiveness league.’</w:t>
      </w:r>
      <w:r w:rsidR="002C5B2A" w:rsidRPr="00626A7E">
        <w:rPr>
          <w:rStyle w:val="FootnoteReference"/>
          <w:rFonts w:ascii="Times New Roman" w:hAnsi="Times New Roman" w:cs="Times New Roman"/>
        </w:rPr>
        <w:footnoteReference w:id="73"/>
      </w:r>
      <w:r w:rsidR="00A97D19" w:rsidRPr="00626A7E">
        <w:rPr>
          <w:rFonts w:ascii="Times New Roman" w:hAnsi="Times New Roman" w:cs="Times New Roman"/>
        </w:rPr>
        <w:t xml:space="preserve"> The narrative was not wholly</w:t>
      </w:r>
      <w:r w:rsidR="0070742A" w:rsidRPr="00626A7E">
        <w:rPr>
          <w:rFonts w:ascii="Times New Roman" w:hAnsi="Times New Roman" w:cs="Times New Roman"/>
        </w:rPr>
        <w:t xml:space="preserve"> slavishly</w:t>
      </w:r>
      <w:r w:rsidR="00A97D19" w:rsidRPr="00626A7E">
        <w:rPr>
          <w:rFonts w:ascii="Times New Roman" w:hAnsi="Times New Roman" w:cs="Times New Roman"/>
        </w:rPr>
        <w:t xml:space="preserve"> Thatcherite.</w:t>
      </w:r>
    </w:p>
    <w:p w14:paraId="2BB54D61" w14:textId="77777777" w:rsidR="002C5B2A" w:rsidRPr="00626A7E" w:rsidRDefault="002C5B2A" w:rsidP="002D148B">
      <w:pPr>
        <w:spacing w:line="360" w:lineRule="auto"/>
        <w:jc w:val="both"/>
        <w:rPr>
          <w:rFonts w:ascii="Times New Roman" w:hAnsi="Times New Roman" w:cs="Times New Roman"/>
        </w:rPr>
      </w:pPr>
    </w:p>
    <w:p w14:paraId="5D442170" w14:textId="67243D81" w:rsidR="000C79B1" w:rsidRPr="00626A7E" w:rsidRDefault="007E5768" w:rsidP="00811002">
      <w:pPr>
        <w:spacing w:line="360" w:lineRule="auto"/>
        <w:ind w:firstLine="720"/>
        <w:jc w:val="both"/>
        <w:rPr>
          <w:rFonts w:ascii="Times New Roman" w:hAnsi="Times New Roman" w:cs="Times New Roman"/>
        </w:rPr>
      </w:pPr>
      <w:r w:rsidRPr="00626A7E">
        <w:rPr>
          <w:rFonts w:ascii="Times New Roman" w:hAnsi="Times New Roman" w:cs="Times New Roman"/>
        </w:rPr>
        <w:t>In this light, and w</w:t>
      </w:r>
      <w:r w:rsidR="00C14B56" w:rsidRPr="00626A7E">
        <w:rPr>
          <w:rFonts w:ascii="Times New Roman" w:hAnsi="Times New Roman" w:cs="Times New Roman"/>
        </w:rPr>
        <w:t>ith Reagano</w:t>
      </w:r>
      <w:r w:rsidR="006D528F" w:rsidRPr="00626A7E">
        <w:rPr>
          <w:rFonts w:ascii="Times New Roman" w:hAnsi="Times New Roman" w:cs="Times New Roman"/>
        </w:rPr>
        <w:t xml:space="preserve">mics then </w:t>
      </w:r>
      <w:r w:rsidR="000D3225" w:rsidRPr="00626A7E">
        <w:rPr>
          <w:rFonts w:ascii="Times New Roman" w:hAnsi="Times New Roman" w:cs="Times New Roman"/>
        </w:rPr>
        <w:t xml:space="preserve">clearly </w:t>
      </w:r>
      <w:r w:rsidR="006D528F" w:rsidRPr="00626A7E">
        <w:rPr>
          <w:rFonts w:ascii="Times New Roman" w:hAnsi="Times New Roman" w:cs="Times New Roman"/>
        </w:rPr>
        <w:t>in the ascendency, i</w:t>
      </w:r>
      <w:r w:rsidR="000C79B1" w:rsidRPr="00626A7E">
        <w:rPr>
          <w:rFonts w:ascii="Times New Roman" w:hAnsi="Times New Roman" w:cs="Times New Roman"/>
        </w:rPr>
        <w:t xml:space="preserve">t is </w:t>
      </w:r>
      <w:r w:rsidR="00DC2B4D" w:rsidRPr="00626A7E">
        <w:rPr>
          <w:rFonts w:ascii="Times New Roman" w:hAnsi="Times New Roman" w:cs="Times New Roman"/>
        </w:rPr>
        <w:t xml:space="preserve">also </w:t>
      </w:r>
      <w:r w:rsidR="000C79B1" w:rsidRPr="00626A7E">
        <w:rPr>
          <w:rFonts w:ascii="Times New Roman" w:hAnsi="Times New Roman" w:cs="Times New Roman"/>
        </w:rPr>
        <w:t xml:space="preserve">worth revisiting the coverage </w:t>
      </w:r>
      <w:r w:rsidR="002C5B2A" w:rsidRPr="00626A7E">
        <w:rPr>
          <w:rFonts w:ascii="Times New Roman" w:hAnsi="Times New Roman" w:cs="Times New Roman"/>
        </w:rPr>
        <w:t>for</w:t>
      </w:r>
      <w:r w:rsidR="009C6DF8" w:rsidRPr="00626A7E">
        <w:rPr>
          <w:rFonts w:ascii="Times New Roman" w:hAnsi="Times New Roman" w:cs="Times New Roman"/>
        </w:rPr>
        <w:t xml:space="preserve"> the N</w:t>
      </w:r>
      <w:r w:rsidR="002C5B2A" w:rsidRPr="00626A7E">
        <w:rPr>
          <w:rFonts w:ascii="Times New Roman" w:hAnsi="Times New Roman" w:cs="Times New Roman"/>
        </w:rPr>
        <w:t xml:space="preserve">IB </w:t>
      </w:r>
      <w:r w:rsidR="000C79B1" w:rsidRPr="00626A7E">
        <w:rPr>
          <w:rFonts w:ascii="Times New Roman" w:hAnsi="Times New Roman" w:cs="Times New Roman"/>
        </w:rPr>
        <w:t>in North American newspapers.</w:t>
      </w:r>
      <w:r w:rsidR="009E2F23" w:rsidRPr="00626A7E">
        <w:rPr>
          <w:rFonts w:ascii="Times New Roman" w:hAnsi="Times New Roman" w:cs="Times New Roman"/>
        </w:rPr>
        <w:t xml:space="preserve"> </w:t>
      </w:r>
      <w:r w:rsidR="000C79B1" w:rsidRPr="00626A7E">
        <w:rPr>
          <w:rFonts w:ascii="Times New Roman" w:hAnsi="Times New Roman" w:cs="Times New Roman"/>
        </w:rPr>
        <w:t xml:space="preserve">In February 1986 </w:t>
      </w:r>
      <w:r w:rsidR="003669B7" w:rsidRPr="00626A7E">
        <w:rPr>
          <w:rFonts w:ascii="Times New Roman" w:hAnsi="Times New Roman" w:cs="Times New Roman"/>
          <w:i/>
        </w:rPr>
        <w:t>The</w:t>
      </w:r>
      <w:r w:rsidR="000C79B1" w:rsidRPr="00626A7E">
        <w:rPr>
          <w:rFonts w:ascii="Times New Roman" w:hAnsi="Times New Roman" w:cs="Times New Roman"/>
        </w:rPr>
        <w:t xml:space="preserve"> </w:t>
      </w:r>
      <w:r w:rsidR="000C79B1" w:rsidRPr="00626A7E">
        <w:rPr>
          <w:rFonts w:ascii="Times New Roman" w:hAnsi="Times New Roman" w:cs="Times New Roman"/>
          <w:i/>
        </w:rPr>
        <w:t>New York Times</w:t>
      </w:r>
      <w:r w:rsidR="000C79B1" w:rsidRPr="00626A7E">
        <w:rPr>
          <w:rFonts w:ascii="Times New Roman" w:hAnsi="Times New Roman" w:cs="Times New Roman"/>
        </w:rPr>
        <w:t xml:space="preserve">, referencing the British press, noted that ‘the new Labor remedies </w:t>
      </w:r>
      <w:r w:rsidR="00B56AAB">
        <w:rPr>
          <w:rFonts w:ascii="Times New Roman" w:hAnsi="Times New Roman" w:cs="Times New Roman"/>
        </w:rPr>
        <w:t>–</w:t>
      </w:r>
      <w:r w:rsidR="000C79B1" w:rsidRPr="00626A7E">
        <w:rPr>
          <w:rFonts w:ascii="Times New Roman" w:hAnsi="Times New Roman" w:cs="Times New Roman"/>
        </w:rPr>
        <w:t xml:space="preserve"> lower interest rates, competitive exchange rates, a national investment bank, sponsoring technology </w:t>
      </w:r>
      <w:r w:rsidR="00B56AAB">
        <w:rPr>
          <w:rFonts w:ascii="Times New Roman" w:hAnsi="Times New Roman" w:cs="Times New Roman"/>
        </w:rPr>
        <w:t>–</w:t>
      </w:r>
      <w:r w:rsidR="000C79B1" w:rsidRPr="00626A7E">
        <w:rPr>
          <w:rFonts w:ascii="Times New Roman" w:hAnsi="Times New Roman" w:cs="Times New Roman"/>
        </w:rPr>
        <w:t xml:space="preserve"> sound so prudent and uncontroversial that </w:t>
      </w:r>
      <w:r w:rsidR="000C79B1" w:rsidRPr="00626A7E">
        <w:rPr>
          <w:rFonts w:ascii="Times New Roman" w:hAnsi="Times New Roman" w:cs="Times New Roman"/>
          <w:i/>
        </w:rPr>
        <w:t>The Daily Telegraph</w:t>
      </w:r>
      <w:r w:rsidR="000C79B1" w:rsidRPr="00626A7E">
        <w:rPr>
          <w:rFonts w:ascii="Times New Roman" w:hAnsi="Times New Roman" w:cs="Times New Roman"/>
        </w:rPr>
        <w:t>, a Tory paper, asked ironically whether there was a ''convergence'' between Labor and Conservative policies.’</w:t>
      </w:r>
      <w:r w:rsidR="000C79B1" w:rsidRPr="00626A7E">
        <w:rPr>
          <w:rStyle w:val="FootnoteReference"/>
          <w:rFonts w:ascii="Times New Roman" w:hAnsi="Times New Roman" w:cs="Times New Roman"/>
        </w:rPr>
        <w:footnoteReference w:id="74"/>
      </w:r>
      <w:r w:rsidR="000C79B1" w:rsidRPr="00626A7E">
        <w:rPr>
          <w:rFonts w:ascii="Times New Roman" w:hAnsi="Times New Roman" w:cs="Times New Roman"/>
        </w:rPr>
        <w:t xml:space="preserve"> In the immediate run up to the 1987 election, </w:t>
      </w:r>
      <w:r w:rsidR="003669B7" w:rsidRPr="00626A7E">
        <w:rPr>
          <w:rFonts w:ascii="Times New Roman" w:hAnsi="Times New Roman" w:cs="Times New Roman"/>
          <w:i/>
        </w:rPr>
        <w:t>The</w:t>
      </w:r>
      <w:r w:rsidR="000C79B1" w:rsidRPr="00626A7E">
        <w:rPr>
          <w:rFonts w:ascii="Times New Roman" w:hAnsi="Times New Roman" w:cs="Times New Roman"/>
        </w:rPr>
        <w:t xml:space="preserve"> </w:t>
      </w:r>
      <w:r w:rsidR="000C79B1" w:rsidRPr="00626A7E">
        <w:rPr>
          <w:rFonts w:ascii="Times New Roman" w:hAnsi="Times New Roman" w:cs="Times New Roman"/>
          <w:i/>
        </w:rPr>
        <w:t>Boston Globe</w:t>
      </w:r>
      <w:r w:rsidR="000C79B1" w:rsidRPr="00626A7E">
        <w:rPr>
          <w:rFonts w:ascii="Times New Roman" w:hAnsi="Times New Roman" w:cs="Times New Roman"/>
        </w:rPr>
        <w:t xml:space="preserve"> noted that ‘Labor also </w:t>
      </w:r>
      <w:r w:rsidR="000C79B1" w:rsidRPr="00626A7E">
        <w:rPr>
          <w:rFonts w:ascii="Times New Roman" w:hAnsi="Times New Roman" w:cs="Times New Roman"/>
        </w:rPr>
        <w:lastRenderedPageBreak/>
        <w:t>would…impose a "capital repatriation" program to keep savings and investment from going abroad, coupling that with an industrial investment bank for low-cost business loans. But the party promises to renationalize only the gas and telephone companies in its first parliament of five years. That represents a Kinnock victory over the left in his party.’</w:t>
      </w:r>
      <w:r w:rsidR="000C79B1" w:rsidRPr="00626A7E">
        <w:rPr>
          <w:rStyle w:val="FootnoteReference"/>
          <w:rFonts w:ascii="Times New Roman" w:hAnsi="Times New Roman" w:cs="Times New Roman"/>
        </w:rPr>
        <w:footnoteReference w:id="75"/>
      </w:r>
      <w:r w:rsidR="000C79B1" w:rsidRPr="00626A7E">
        <w:rPr>
          <w:rFonts w:ascii="Times New Roman" w:hAnsi="Times New Roman" w:cs="Times New Roman"/>
        </w:rPr>
        <w:t xml:space="preserve"> After the defeat, Toronto readers of </w:t>
      </w:r>
      <w:r w:rsidR="000C79B1" w:rsidRPr="00626A7E">
        <w:rPr>
          <w:rFonts w:ascii="Times New Roman" w:hAnsi="Times New Roman" w:cs="Times New Roman"/>
          <w:i/>
        </w:rPr>
        <w:t>The Globe and Mail</w:t>
      </w:r>
      <w:r w:rsidR="000C79B1" w:rsidRPr="00626A7E">
        <w:rPr>
          <w:rFonts w:ascii="Times New Roman" w:hAnsi="Times New Roman" w:cs="Times New Roman"/>
        </w:rPr>
        <w:t xml:space="preserve"> could read of the policy review then underway which had ‘several proposals including an industrial investment bank, a more effective science policy and better retraining programs. But [Labour] resolutely reject heavy intervention in the economy and protectionism.’</w:t>
      </w:r>
      <w:r w:rsidR="000C79B1" w:rsidRPr="00626A7E">
        <w:rPr>
          <w:rStyle w:val="FootnoteReference"/>
          <w:rFonts w:ascii="Times New Roman" w:hAnsi="Times New Roman" w:cs="Times New Roman"/>
        </w:rPr>
        <w:footnoteReference w:id="76"/>
      </w:r>
      <w:r w:rsidR="0087393E" w:rsidRPr="00626A7E">
        <w:rPr>
          <w:rFonts w:ascii="Times New Roman" w:hAnsi="Times New Roman" w:cs="Times New Roman"/>
        </w:rPr>
        <w:t xml:space="preserve"> These are </w:t>
      </w:r>
      <w:r w:rsidR="006D528F" w:rsidRPr="00626A7E">
        <w:rPr>
          <w:rFonts w:ascii="Times New Roman" w:hAnsi="Times New Roman" w:cs="Times New Roman"/>
        </w:rPr>
        <w:t xml:space="preserve">only </w:t>
      </w:r>
      <w:r w:rsidR="0087393E" w:rsidRPr="00626A7E">
        <w:rPr>
          <w:rFonts w:ascii="Times New Roman" w:hAnsi="Times New Roman" w:cs="Times New Roman"/>
        </w:rPr>
        <w:t>snapshots, but the threefold picture of a moderate policy, bolstering a centrist leader</w:t>
      </w:r>
      <w:r w:rsidR="00460DD8" w:rsidRPr="00626A7E">
        <w:rPr>
          <w:rFonts w:ascii="Times New Roman" w:hAnsi="Times New Roman" w:cs="Times New Roman"/>
        </w:rPr>
        <w:t xml:space="preserve"> who </w:t>
      </w:r>
      <w:r w:rsidR="00AD7461" w:rsidRPr="00626A7E">
        <w:rPr>
          <w:rFonts w:ascii="Times New Roman" w:hAnsi="Times New Roman" w:cs="Times New Roman"/>
        </w:rPr>
        <w:t xml:space="preserve">was about strategic rather than blanket intervention </w:t>
      </w:r>
      <w:r w:rsidR="00F26F57" w:rsidRPr="00626A7E">
        <w:rPr>
          <w:rFonts w:ascii="Times New Roman" w:hAnsi="Times New Roman" w:cs="Times New Roman"/>
        </w:rPr>
        <w:t>was broadly accurate.</w:t>
      </w:r>
      <w:r w:rsidR="00A47B01" w:rsidRPr="00626A7E">
        <w:rPr>
          <w:rFonts w:ascii="Times New Roman" w:hAnsi="Times New Roman" w:cs="Times New Roman"/>
        </w:rPr>
        <w:t xml:space="preserve"> In this </w:t>
      </w:r>
      <w:r w:rsidR="00B56AAB" w:rsidRPr="00626A7E">
        <w:rPr>
          <w:rFonts w:ascii="Times New Roman" w:hAnsi="Times New Roman" w:cs="Times New Roman"/>
        </w:rPr>
        <w:t>regard,</w:t>
      </w:r>
      <w:r w:rsidR="00A47B01" w:rsidRPr="00626A7E">
        <w:rPr>
          <w:rFonts w:ascii="Times New Roman" w:hAnsi="Times New Roman" w:cs="Times New Roman"/>
        </w:rPr>
        <w:t xml:space="preserve"> Labour was making some of </w:t>
      </w:r>
      <w:r w:rsidR="000F1BFC" w:rsidRPr="00626A7E">
        <w:rPr>
          <w:rFonts w:ascii="Times New Roman" w:hAnsi="Times New Roman" w:cs="Times New Roman"/>
        </w:rPr>
        <w:t xml:space="preserve">the </w:t>
      </w:r>
      <w:r w:rsidR="00A47B01" w:rsidRPr="00626A7E">
        <w:rPr>
          <w:rFonts w:ascii="Times New Roman" w:hAnsi="Times New Roman" w:cs="Times New Roman"/>
        </w:rPr>
        <w:t>progress envisioned by the Democratic Leadership Council in America - which would eventually deliver the election of President Bill Clinton in 1992.</w:t>
      </w:r>
      <w:r w:rsidR="00A47B01" w:rsidRPr="00626A7E">
        <w:rPr>
          <w:rStyle w:val="FootnoteReference"/>
          <w:rFonts w:ascii="Times New Roman" w:hAnsi="Times New Roman" w:cs="Times New Roman"/>
        </w:rPr>
        <w:footnoteReference w:id="77"/>
      </w:r>
    </w:p>
    <w:p w14:paraId="6CF9B6B5" w14:textId="77777777" w:rsidR="00CA645C" w:rsidRPr="00626A7E" w:rsidRDefault="00CA645C" w:rsidP="002D148B">
      <w:pPr>
        <w:spacing w:line="360" w:lineRule="auto"/>
        <w:jc w:val="both"/>
        <w:rPr>
          <w:rFonts w:ascii="Times New Roman" w:hAnsi="Times New Roman" w:cs="Times New Roman"/>
          <w:i/>
        </w:rPr>
      </w:pPr>
    </w:p>
    <w:p w14:paraId="7C5B9CC6" w14:textId="4B2BE0C3" w:rsidR="00E73E15" w:rsidRPr="00B62F4E" w:rsidRDefault="006173D4" w:rsidP="002D148B">
      <w:pPr>
        <w:spacing w:line="360" w:lineRule="auto"/>
        <w:jc w:val="both"/>
        <w:rPr>
          <w:rFonts w:ascii="Times New Roman" w:hAnsi="Times New Roman" w:cs="Times New Roman"/>
          <w:b/>
        </w:rPr>
      </w:pPr>
      <w:r w:rsidRPr="00B62F4E">
        <w:rPr>
          <w:rFonts w:ascii="Times New Roman" w:hAnsi="Times New Roman" w:cs="Times New Roman"/>
          <w:b/>
        </w:rPr>
        <w:t>The road to</w:t>
      </w:r>
      <w:r w:rsidR="00CA645C" w:rsidRPr="00B62F4E">
        <w:rPr>
          <w:rFonts w:ascii="Times New Roman" w:hAnsi="Times New Roman" w:cs="Times New Roman"/>
          <w:b/>
        </w:rPr>
        <w:t xml:space="preserve"> 1992</w:t>
      </w:r>
    </w:p>
    <w:p w14:paraId="0F9B72A6" w14:textId="42AC691F" w:rsidR="00E30AB9" w:rsidRPr="00626A7E" w:rsidRDefault="001D2076" w:rsidP="00B22957">
      <w:pPr>
        <w:spacing w:line="360" w:lineRule="auto"/>
        <w:jc w:val="both"/>
        <w:rPr>
          <w:rFonts w:ascii="Times New Roman" w:hAnsi="Times New Roman" w:cs="Times New Roman"/>
        </w:rPr>
      </w:pPr>
      <w:r w:rsidRPr="00626A7E">
        <w:rPr>
          <w:rFonts w:ascii="Times New Roman" w:hAnsi="Times New Roman" w:cs="Times New Roman"/>
        </w:rPr>
        <w:t>If 1983-1985 saw Kinnock bob and weave</w:t>
      </w:r>
      <w:r w:rsidR="00B739E4" w:rsidRPr="00626A7E">
        <w:rPr>
          <w:rFonts w:ascii="Times New Roman" w:hAnsi="Times New Roman" w:cs="Times New Roman"/>
        </w:rPr>
        <w:t xml:space="preserve"> within the party</w:t>
      </w:r>
      <w:r w:rsidRPr="00626A7E">
        <w:rPr>
          <w:rFonts w:ascii="Times New Roman" w:hAnsi="Times New Roman" w:cs="Times New Roman"/>
        </w:rPr>
        <w:t xml:space="preserve">, and 1985-1987 witness a gradual centrist drift, the </w:t>
      </w:r>
      <w:proofErr w:type="gramStart"/>
      <w:r w:rsidRPr="00626A7E">
        <w:rPr>
          <w:rFonts w:ascii="Times New Roman" w:hAnsi="Times New Roman" w:cs="Times New Roman"/>
        </w:rPr>
        <w:t>two year</w:t>
      </w:r>
      <w:proofErr w:type="gramEnd"/>
      <w:r w:rsidRPr="00626A7E">
        <w:rPr>
          <w:rFonts w:ascii="Times New Roman" w:hAnsi="Times New Roman" w:cs="Times New Roman"/>
        </w:rPr>
        <w:t xml:space="preserve"> period after </w:t>
      </w:r>
      <w:r w:rsidR="00DD7516" w:rsidRPr="00626A7E">
        <w:rPr>
          <w:rFonts w:ascii="Times New Roman" w:hAnsi="Times New Roman" w:cs="Times New Roman"/>
        </w:rPr>
        <w:t xml:space="preserve">the loss in </w:t>
      </w:r>
      <w:r w:rsidRPr="00626A7E">
        <w:rPr>
          <w:rFonts w:ascii="Times New Roman" w:hAnsi="Times New Roman" w:cs="Times New Roman"/>
        </w:rPr>
        <w:t>1987 cemented the victory of the moderate tendency.</w:t>
      </w:r>
      <w:r w:rsidR="006611B1" w:rsidRPr="00626A7E">
        <w:rPr>
          <w:rFonts w:ascii="Times New Roman" w:hAnsi="Times New Roman" w:cs="Times New Roman"/>
        </w:rPr>
        <w:t xml:space="preserve"> </w:t>
      </w:r>
      <w:r w:rsidR="00B22957" w:rsidRPr="00626A7E">
        <w:rPr>
          <w:rFonts w:ascii="Times New Roman" w:hAnsi="Times New Roman" w:cs="Times New Roman"/>
        </w:rPr>
        <w:t xml:space="preserve">According to Labour’s communications team considering </w:t>
      </w:r>
      <w:r w:rsidR="005C2951" w:rsidRPr="00626A7E">
        <w:rPr>
          <w:rFonts w:ascii="Times New Roman" w:hAnsi="Times New Roman" w:cs="Times New Roman"/>
        </w:rPr>
        <w:t>the latest defeat</w:t>
      </w:r>
      <w:r w:rsidR="00B22957" w:rsidRPr="00626A7E">
        <w:rPr>
          <w:rFonts w:ascii="Times New Roman" w:hAnsi="Times New Roman" w:cs="Times New Roman"/>
        </w:rPr>
        <w:t>, it was clear that ‘the Conservatives won the election on economic grounds’ and there were continuing ‘perceptions of Labour’s lack of economic competence.’ There was a need, these documents continue</w:t>
      </w:r>
      <w:r w:rsidR="00D11DF0" w:rsidRPr="00626A7E">
        <w:rPr>
          <w:rFonts w:ascii="Times New Roman" w:hAnsi="Times New Roman" w:cs="Times New Roman"/>
        </w:rPr>
        <w:t>d</w:t>
      </w:r>
      <w:r w:rsidR="0084004C" w:rsidRPr="00626A7E">
        <w:rPr>
          <w:rFonts w:ascii="Times New Roman" w:hAnsi="Times New Roman" w:cs="Times New Roman"/>
        </w:rPr>
        <w:t xml:space="preserve">, </w:t>
      </w:r>
      <w:r w:rsidR="00B22957" w:rsidRPr="00626A7E">
        <w:rPr>
          <w:rFonts w:ascii="Times New Roman" w:hAnsi="Times New Roman" w:cs="Times New Roman"/>
        </w:rPr>
        <w:t xml:space="preserve">not </w:t>
      </w:r>
      <w:r w:rsidR="0084004C" w:rsidRPr="00626A7E">
        <w:rPr>
          <w:rFonts w:ascii="Times New Roman" w:hAnsi="Times New Roman" w:cs="Times New Roman"/>
        </w:rPr>
        <w:t xml:space="preserve">to </w:t>
      </w:r>
      <w:r w:rsidR="00B22957" w:rsidRPr="00626A7E">
        <w:rPr>
          <w:rFonts w:ascii="Times New Roman" w:hAnsi="Times New Roman" w:cs="Times New Roman"/>
        </w:rPr>
        <w:t>make the message ‘too abstract’ and ‘engage the interest of both politicians and the general public.’</w:t>
      </w:r>
      <w:r w:rsidR="00B22957" w:rsidRPr="00626A7E">
        <w:rPr>
          <w:rStyle w:val="FootnoteReference"/>
          <w:rFonts w:ascii="Times New Roman" w:hAnsi="Times New Roman" w:cs="Times New Roman"/>
        </w:rPr>
        <w:footnoteReference w:id="78"/>
      </w:r>
      <w:r w:rsidR="00B22957" w:rsidRPr="00626A7E">
        <w:rPr>
          <w:rFonts w:ascii="Times New Roman" w:hAnsi="Times New Roman" w:cs="Times New Roman"/>
        </w:rPr>
        <w:t xml:space="preserve"> Slightly ironically, this process began with the </w:t>
      </w:r>
      <w:r w:rsidR="00851293" w:rsidRPr="00626A7E">
        <w:rPr>
          <w:rFonts w:ascii="Times New Roman" w:hAnsi="Times New Roman" w:cs="Times New Roman"/>
        </w:rPr>
        <w:t>ultra-</w:t>
      </w:r>
      <w:r w:rsidR="00B22957" w:rsidRPr="00626A7E">
        <w:rPr>
          <w:rFonts w:ascii="Times New Roman" w:hAnsi="Times New Roman" w:cs="Times New Roman"/>
        </w:rPr>
        <w:t xml:space="preserve">wonkish process of a party policy review. </w:t>
      </w:r>
      <w:r w:rsidR="006611B1" w:rsidRPr="00626A7E">
        <w:rPr>
          <w:rFonts w:ascii="Times New Roman" w:hAnsi="Times New Roman" w:cs="Times New Roman"/>
        </w:rPr>
        <w:t>For Westlake</w:t>
      </w:r>
      <w:r w:rsidR="00031C52" w:rsidRPr="00626A7E">
        <w:rPr>
          <w:rFonts w:ascii="Times New Roman" w:hAnsi="Times New Roman" w:cs="Times New Roman"/>
        </w:rPr>
        <w:t>,</w:t>
      </w:r>
      <w:r w:rsidR="00045A6A" w:rsidRPr="00626A7E">
        <w:rPr>
          <w:rFonts w:ascii="Times New Roman" w:hAnsi="Times New Roman" w:cs="Times New Roman"/>
        </w:rPr>
        <w:t xml:space="preserve"> ‘the Labour’s Party 1987-9 policy review was the most comprehensive and systematic attempt ever undertaken by a political party to reformulate its policies…in theory, each of the policy review groups operated from a blank sheet – in effect a moderniser’s charter – but in reality the reforms that emerged were less radical and more cautious than Kinnock.’</w:t>
      </w:r>
      <w:r w:rsidR="00045A6A" w:rsidRPr="00626A7E">
        <w:rPr>
          <w:rStyle w:val="FootnoteReference"/>
          <w:rFonts w:ascii="Times New Roman" w:hAnsi="Times New Roman" w:cs="Times New Roman"/>
        </w:rPr>
        <w:footnoteReference w:id="79"/>
      </w:r>
      <w:r w:rsidR="00C30F29" w:rsidRPr="00626A7E">
        <w:rPr>
          <w:rFonts w:ascii="Times New Roman" w:hAnsi="Times New Roman" w:cs="Times New Roman"/>
        </w:rPr>
        <w:t xml:space="preserve"> </w:t>
      </w:r>
      <w:r w:rsidR="00B22957" w:rsidRPr="00626A7E">
        <w:rPr>
          <w:rFonts w:ascii="Times New Roman" w:hAnsi="Times New Roman" w:cs="Times New Roman"/>
        </w:rPr>
        <w:t xml:space="preserve"> </w:t>
      </w:r>
      <w:r w:rsidR="00C30F29" w:rsidRPr="00626A7E">
        <w:rPr>
          <w:rFonts w:ascii="Times New Roman" w:hAnsi="Times New Roman" w:cs="Times New Roman"/>
        </w:rPr>
        <w:t xml:space="preserve">This review involved shifting the NIB subtly again. </w:t>
      </w:r>
    </w:p>
    <w:p w14:paraId="1D77F7BA" w14:textId="77777777" w:rsidR="00E30AB9" w:rsidRPr="00626A7E" w:rsidRDefault="00E30AB9" w:rsidP="00B22957">
      <w:pPr>
        <w:spacing w:line="360" w:lineRule="auto"/>
        <w:jc w:val="both"/>
        <w:rPr>
          <w:rFonts w:ascii="Times New Roman" w:hAnsi="Times New Roman" w:cs="Times New Roman"/>
        </w:rPr>
      </w:pPr>
    </w:p>
    <w:p w14:paraId="22D98B13" w14:textId="519ABAE8" w:rsidR="00E16FC2" w:rsidRPr="00626A7E" w:rsidRDefault="00C30F29" w:rsidP="00811002">
      <w:pPr>
        <w:spacing w:line="360" w:lineRule="auto"/>
        <w:ind w:firstLine="720"/>
        <w:jc w:val="both"/>
      </w:pPr>
      <w:r w:rsidRPr="00626A7E">
        <w:rPr>
          <w:rFonts w:ascii="Times New Roman" w:hAnsi="Times New Roman" w:cs="Times New Roman"/>
        </w:rPr>
        <w:t>Prior to 1987 one important change had already been made – Labour had dropped the</w:t>
      </w:r>
      <w:r w:rsidR="008474BA" w:rsidRPr="00626A7E">
        <w:rPr>
          <w:rFonts w:ascii="Times New Roman" w:hAnsi="Times New Roman" w:cs="Times New Roman"/>
        </w:rPr>
        <w:t xml:space="preserve"> previous</w:t>
      </w:r>
      <w:r w:rsidRPr="00626A7E">
        <w:rPr>
          <w:rFonts w:ascii="Times New Roman" w:hAnsi="Times New Roman" w:cs="Times New Roman"/>
        </w:rPr>
        <w:t xml:space="preserve"> requirement for all lending from the NIB to be subject to firms providing a ‘business plan agreed between Government, management, and work-force.’ This had helped blunt </w:t>
      </w:r>
      <w:r w:rsidRPr="00626A7E">
        <w:rPr>
          <w:rFonts w:ascii="Times New Roman" w:hAnsi="Times New Roman" w:cs="Times New Roman"/>
        </w:rPr>
        <w:lastRenderedPageBreak/>
        <w:t>charges that ‘what [Hattersley] wants to do is bully financial institutions.’</w:t>
      </w:r>
      <w:r w:rsidRPr="00626A7E">
        <w:rPr>
          <w:rStyle w:val="FootnoteReference"/>
          <w:rFonts w:ascii="Times New Roman" w:hAnsi="Times New Roman" w:cs="Times New Roman"/>
        </w:rPr>
        <w:footnoteReference w:id="80"/>
      </w:r>
      <w:r w:rsidRPr="00626A7E">
        <w:rPr>
          <w:rFonts w:ascii="Times New Roman" w:hAnsi="Times New Roman" w:cs="Times New Roman"/>
        </w:rPr>
        <w:t xml:space="preserve"> But in the wake of 1987 the bank’s remit was again changed. By March 1989 Kinnock was able to state that the NIB would ‘back investment that captures markets…it will be a creative force that invests, builds, and then moves on.’</w:t>
      </w:r>
      <w:r w:rsidRPr="00626A7E">
        <w:rPr>
          <w:rStyle w:val="FootnoteReference"/>
          <w:rFonts w:ascii="Times New Roman" w:hAnsi="Times New Roman" w:cs="Times New Roman"/>
        </w:rPr>
        <w:footnoteReference w:id="81"/>
      </w:r>
      <w:r w:rsidR="00CC0E6C" w:rsidRPr="00626A7E">
        <w:rPr>
          <w:rFonts w:ascii="Times New Roman" w:hAnsi="Times New Roman" w:cs="Times New Roman"/>
        </w:rPr>
        <w:t xml:space="preserve"> Ken Livingstone</w:t>
      </w:r>
      <w:r w:rsidR="00994854" w:rsidRPr="00626A7E">
        <w:rPr>
          <w:rFonts w:ascii="Times New Roman" w:hAnsi="Times New Roman" w:cs="Times New Roman"/>
        </w:rPr>
        <w:t xml:space="preserve"> and others on the left were opposed to this recalibration of aims.</w:t>
      </w:r>
      <w:r w:rsidR="00F15ED9" w:rsidRPr="00626A7E">
        <w:rPr>
          <w:rStyle w:val="FootnoteReference"/>
          <w:rFonts w:ascii="Times New Roman" w:hAnsi="Times New Roman" w:cs="Times New Roman"/>
        </w:rPr>
        <w:footnoteReference w:id="82"/>
      </w:r>
      <w:r w:rsidR="00994854" w:rsidRPr="00626A7E">
        <w:rPr>
          <w:rFonts w:ascii="Times New Roman" w:hAnsi="Times New Roman" w:cs="Times New Roman"/>
        </w:rPr>
        <w:t xml:space="preserve"> </w:t>
      </w:r>
      <w:r w:rsidR="00EB2A28" w:rsidRPr="00626A7E">
        <w:rPr>
          <w:rFonts w:ascii="Times New Roman" w:hAnsi="Times New Roman" w:cs="Times New Roman"/>
        </w:rPr>
        <w:t>Yet for revisionists like</w:t>
      </w:r>
      <w:r w:rsidR="004D17CB" w:rsidRPr="00626A7E">
        <w:rPr>
          <w:rFonts w:ascii="Times New Roman" w:hAnsi="Times New Roman" w:cs="Times New Roman"/>
        </w:rPr>
        <w:t xml:space="preserve"> Giles Radice</w:t>
      </w:r>
      <w:r w:rsidR="00EB2A28" w:rsidRPr="00626A7E">
        <w:rPr>
          <w:rFonts w:ascii="Times New Roman" w:hAnsi="Times New Roman" w:cs="Times New Roman"/>
        </w:rPr>
        <w:t xml:space="preserve">, </w:t>
      </w:r>
      <w:r w:rsidR="004D17CB" w:rsidRPr="00626A7E">
        <w:rPr>
          <w:rFonts w:ascii="Times New Roman" w:hAnsi="Times New Roman" w:cs="Times New Roman"/>
        </w:rPr>
        <w:t>‘</w:t>
      </w:r>
      <w:r w:rsidR="004D17CB" w:rsidRPr="00B56AAB">
        <w:rPr>
          <w:rFonts w:ascii="Times New Roman" w:hAnsi="Times New Roman" w:cs="Times New Roman"/>
        </w:rPr>
        <w:t>if it</w:t>
      </w:r>
      <w:r w:rsidR="00AD3A85" w:rsidRPr="00B56AAB">
        <w:rPr>
          <w:rFonts w:ascii="Times New Roman" w:hAnsi="Times New Roman" w:cs="Times New Roman"/>
        </w:rPr>
        <w:t xml:space="preserve"> is to be serious about winning…[Labour]</w:t>
      </w:r>
      <w:r w:rsidR="004D17CB" w:rsidRPr="00B56AAB">
        <w:rPr>
          <w:rFonts w:ascii="Times New Roman" w:hAnsi="Times New Roman" w:cs="Times New Roman"/>
        </w:rPr>
        <w:t xml:space="preserve"> cannot afford to be primarily a class party…Labour should be, and be seen to be, a broad based national party, concerned with national solutions for national problems.’</w:t>
      </w:r>
      <w:r w:rsidR="004D17CB" w:rsidRPr="00B56AAB">
        <w:rPr>
          <w:rStyle w:val="FootnoteReference"/>
          <w:rFonts w:ascii="Times New Roman" w:hAnsi="Times New Roman" w:cs="Times New Roman"/>
        </w:rPr>
        <w:footnoteReference w:id="83"/>
      </w:r>
      <w:r w:rsidR="00AD3A85" w:rsidRPr="00B56AAB">
        <w:rPr>
          <w:rFonts w:ascii="Times New Roman" w:hAnsi="Times New Roman" w:cs="Times New Roman"/>
        </w:rPr>
        <w:t xml:space="preserve"> </w:t>
      </w:r>
      <w:r w:rsidR="005C6DFC" w:rsidRPr="00626A7E">
        <w:rPr>
          <w:rFonts w:ascii="Times New Roman" w:hAnsi="Times New Roman" w:cs="Times New Roman"/>
        </w:rPr>
        <w:t xml:space="preserve">The evolving NIB was </w:t>
      </w:r>
      <w:r w:rsidR="00E948B7" w:rsidRPr="00626A7E">
        <w:rPr>
          <w:rFonts w:ascii="Times New Roman" w:hAnsi="Times New Roman" w:cs="Times New Roman"/>
        </w:rPr>
        <w:t xml:space="preserve">a significant </w:t>
      </w:r>
      <w:r w:rsidR="005C6DFC" w:rsidRPr="00626A7E">
        <w:rPr>
          <w:rFonts w:ascii="Times New Roman" w:hAnsi="Times New Roman" w:cs="Times New Roman"/>
        </w:rPr>
        <w:t>part of this.</w:t>
      </w:r>
    </w:p>
    <w:p w14:paraId="6D5AC9DF" w14:textId="77777777" w:rsidR="00E16FC2" w:rsidRPr="00626A7E" w:rsidRDefault="00E16FC2" w:rsidP="00045A6A">
      <w:pPr>
        <w:spacing w:line="360" w:lineRule="auto"/>
        <w:jc w:val="both"/>
        <w:rPr>
          <w:rFonts w:ascii="Times New Roman" w:hAnsi="Times New Roman" w:cs="Times New Roman"/>
        </w:rPr>
      </w:pPr>
    </w:p>
    <w:p w14:paraId="616B3BA9" w14:textId="5E59787F" w:rsidR="00C30F29" w:rsidRPr="00626A7E" w:rsidRDefault="008C3926" w:rsidP="00811002">
      <w:pPr>
        <w:spacing w:line="360" w:lineRule="auto"/>
        <w:ind w:firstLine="720"/>
        <w:jc w:val="both"/>
        <w:rPr>
          <w:rFonts w:ascii="Times New Roman" w:hAnsi="Times New Roman" w:cs="Times New Roman"/>
        </w:rPr>
      </w:pPr>
      <w:r w:rsidRPr="00626A7E">
        <w:rPr>
          <w:rFonts w:ascii="Times New Roman" w:hAnsi="Times New Roman" w:cs="Times New Roman"/>
        </w:rPr>
        <w:t xml:space="preserve">By placing the NIB on a more strategic footing, Labour </w:t>
      </w:r>
      <w:r w:rsidR="00413CCF" w:rsidRPr="00626A7E">
        <w:rPr>
          <w:rFonts w:ascii="Times New Roman" w:hAnsi="Times New Roman" w:cs="Times New Roman"/>
        </w:rPr>
        <w:t>could be</w:t>
      </w:r>
      <w:r w:rsidRPr="00626A7E">
        <w:rPr>
          <w:rFonts w:ascii="Times New Roman" w:hAnsi="Times New Roman" w:cs="Times New Roman"/>
        </w:rPr>
        <w:t xml:space="preserve"> more confident going into 1992.</w:t>
      </w:r>
      <w:r w:rsidR="00656E26" w:rsidRPr="00626A7E">
        <w:rPr>
          <w:rFonts w:ascii="Times New Roman" w:hAnsi="Times New Roman" w:cs="Times New Roman"/>
        </w:rPr>
        <w:t xml:space="preserve"> Taking two sometimes </w:t>
      </w:r>
      <w:r w:rsidR="00C422E3" w:rsidRPr="00626A7E">
        <w:rPr>
          <w:rFonts w:ascii="Times New Roman" w:hAnsi="Times New Roman" w:cs="Times New Roman"/>
        </w:rPr>
        <w:t>sceptical</w:t>
      </w:r>
      <w:r w:rsidR="007C6D80" w:rsidRPr="00626A7E">
        <w:rPr>
          <w:rFonts w:ascii="Times New Roman" w:hAnsi="Times New Roman" w:cs="Times New Roman"/>
        </w:rPr>
        <w:t xml:space="preserve"> newspapers as indicative,</w:t>
      </w:r>
      <w:r w:rsidR="00656E26" w:rsidRPr="00626A7E">
        <w:rPr>
          <w:rFonts w:ascii="Times New Roman" w:hAnsi="Times New Roman" w:cs="Times New Roman"/>
        </w:rPr>
        <w:t xml:space="preserve"> </w:t>
      </w:r>
      <w:r w:rsidR="00656E26" w:rsidRPr="00626A7E">
        <w:rPr>
          <w:rFonts w:ascii="Times New Roman" w:hAnsi="Times New Roman" w:cs="Times New Roman"/>
          <w:i/>
        </w:rPr>
        <w:t>The Times</w:t>
      </w:r>
      <w:r w:rsidR="00656E26" w:rsidRPr="00626A7E">
        <w:rPr>
          <w:rFonts w:ascii="Times New Roman" w:hAnsi="Times New Roman" w:cs="Times New Roman"/>
        </w:rPr>
        <w:t xml:space="preserve"> (1983-1987 – three critical headlines; 1987-1992 - zero) and </w:t>
      </w:r>
      <w:r w:rsidR="00656E26" w:rsidRPr="00626A7E">
        <w:rPr>
          <w:rFonts w:ascii="Times New Roman" w:hAnsi="Times New Roman" w:cs="Times New Roman"/>
          <w:i/>
        </w:rPr>
        <w:t>Glasgow Herald</w:t>
      </w:r>
      <w:r w:rsidR="00656E26" w:rsidRPr="00626A7E">
        <w:rPr>
          <w:rFonts w:ascii="Times New Roman" w:hAnsi="Times New Roman" w:cs="Times New Roman"/>
        </w:rPr>
        <w:t xml:space="preserve"> (1983-1987 – six critical headlines; 1987-1992 – zero) both calmed their ire with regard to Labour’</w:t>
      </w:r>
      <w:r w:rsidR="005E26DD" w:rsidRPr="00626A7E">
        <w:rPr>
          <w:rFonts w:ascii="Times New Roman" w:hAnsi="Times New Roman" w:cs="Times New Roman"/>
        </w:rPr>
        <w:t>s NIB proposal.</w:t>
      </w:r>
      <w:r w:rsidR="00AD3A85" w:rsidRPr="00626A7E">
        <w:rPr>
          <w:rFonts w:ascii="Times New Roman" w:hAnsi="Times New Roman" w:cs="Times New Roman"/>
        </w:rPr>
        <w:t xml:space="preserve"> </w:t>
      </w:r>
      <w:r w:rsidR="00337508" w:rsidRPr="00626A7E">
        <w:rPr>
          <w:rFonts w:ascii="Times New Roman" w:hAnsi="Times New Roman" w:cs="Times New Roman"/>
        </w:rPr>
        <w:t>By</w:t>
      </w:r>
      <w:r w:rsidR="00AD3A85" w:rsidRPr="00626A7E">
        <w:rPr>
          <w:rFonts w:ascii="Times New Roman" w:hAnsi="Times New Roman" w:cs="Times New Roman"/>
        </w:rPr>
        <w:t xml:space="preserve"> 1991 Shadow Chancellor </w:t>
      </w:r>
      <w:r w:rsidR="00395D83" w:rsidRPr="00626A7E">
        <w:rPr>
          <w:rFonts w:ascii="Times New Roman" w:hAnsi="Times New Roman" w:cs="Times New Roman"/>
        </w:rPr>
        <w:t xml:space="preserve">John Smith </w:t>
      </w:r>
      <w:r w:rsidR="00AD3A85" w:rsidRPr="00626A7E">
        <w:rPr>
          <w:rFonts w:ascii="Times New Roman" w:hAnsi="Times New Roman" w:cs="Times New Roman"/>
        </w:rPr>
        <w:t xml:space="preserve">was </w:t>
      </w:r>
      <w:r w:rsidR="002725A0" w:rsidRPr="00626A7E">
        <w:rPr>
          <w:rFonts w:ascii="Times New Roman" w:hAnsi="Times New Roman" w:cs="Times New Roman"/>
        </w:rPr>
        <w:t xml:space="preserve">even </w:t>
      </w:r>
      <w:r w:rsidR="00AD3A85" w:rsidRPr="00626A7E">
        <w:rPr>
          <w:rFonts w:ascii="Times New Roman" w:hAnsi="Times New Roman" w:cs="Times New Roman"/>
        </w:rPr>
        <w:t>taking criticisms head on. When speaking in the City, he was asked</w:t>
      </w:r>
      <w:r w:rsidR="00DD5271" w:rsidRPr="00626A7E">
        <w:rPr>
          <w:rFonts w:ascii="Times New Roman" w:hAnsi="Times New Roman" w:cs="Times New Roman"/>
        </w:rPr>
        <w:t xml:space="preserve"> by a representative of the then ailing Prudential insurance fund whether it was wise to create a NIB since ‘governments have a rather poor track record in selecting profitable areas for investment.’ Smith jovially countered that ‘the private sector has made its share of dodgy decisions, too. D’you know, hard though this is to believe, I understand that a substantial British insurance company went headlong into the property market not so long ago.’ </w:t>
      </w:r>
      <w:r w:rsidR="00DD5271" w:rsidRPr="00626A7E">
        <w:rPr>
          <w:rFonts w:ascii="Times New Roman" w:hAnsi="Times New Roman" w:cs="Times New Roman"/>
          <w:i/>
        </w:rPr>
        <w:t>The Times</w:t>
      </w:r>
      <w:r w:rsidR="00DD5271" w:rsidRPr="00626A7E">
        <w:rPr>
          <w:rFonts w:ascii="Times New Roman" w:hAnsi="Times New Roman" w:cs="Times New Roman"/>
        </w:rPr>
        <w:t xml:space="preserve"> even </w:t>
      </w:r>
      <w:r w:rsidR="00E16FC2" w:rsidRPr="00626A7E">
        <w:rPr>
          <w:rFonts w:ascii="Times New Roman" w:hAnsi="Times New Roman" w:cs="Times New Roman"/>
        </w:rPr>
        <w:t xml:space="preserve">drily </w:t>
      </w:r>
      <w:r w:rsidR="00DD5271" w:rsidRPr="00626A7E">
        <w:rPr>
          <w:rFonts w:ascii="Times New Roman" w:hAnsi="Times New Roman" w:cs="Times New Roman"/>
        </w:rPr>
        <w:t>headlined</w:t>
      </w:r>
      <w:r w:rsidR="00E16FC2" w:rsidRPr="00626A7E">
        <w:rPr>
          <w:rFonts w:ascii="Times New Roman" w:hAnsi="Times New Roman" w:cs="Times New Roman"/>
        </w:rPr>
        <w:t xml:space="preserve"> the account of</w:t>
      </w:r>
      <w:r w:rsidR="00DD5271" w:rsidRPr="00626A7E">
        <w:rPr>
          <w:rFonts w:ascii="Times New Roman" w:hAnsi="Times New Roman" w:cs="Times New Roman"/>
        </w:rPr>
        <w:t xml:space="preserve"> this incident, ‘Pru-dent silence.’</w:t>
      </w:r>
      <w:r w:rsidR="007026E5" w:rsidRPr="00626A7E">
        <w:rPr>
          <w:rStyle w:val="FootnoteReference"/>
          <w:rFonts w:ascii="Times New Roman" w:hAnsi="Times New Roman" w:cs="Times New Roman"/>
        </w:rPr>
        <w:footnoteReference w:id="84"/>
      </w:r>
      <w:r w:rsidR="00C7445F" w:rsidRPr="00626A7E">
        <w:rPr>
          <w:rFonts w:ascii="Times New Roman" w:hAnsi="Times New Roman" w:cs="Times New Roman"/>
        </w:rPr>
        <w:t xml:space="preserve"> Smith</w:t>
      </w:r>
      <w:r w:rsidR="00337508" w:rsidRPr="00626A7E">
        <w:rPr>
          <w:rFonts w:ascii="Times New Roman" w:hAnsi="Times New Roman" w:cs="Times New Roman"/>
        </w:rPr>
        <w:t xml:space="preserve"> had good reason to be bullish. </w:t>
      </w:r>
      <w:r w:rsidR="00905F39" w:rsidRPr="00626A7E">
        <w:rPr>
          <w:rFonts w:ascii="Times New Roman" w:hAnsi="Times New Roman" w:cs="Times New Roman"/>
        </w:rPr>
        <w:t>Earlier that year the in</w:t>
      </w:r>
      <w:r w:rsidR="00337508" w:rsidRPr="00626A7E">
        <w:rPr>
          <w:rFonts w:ascii="Times New Roman" w:hAnsi="Times New Roman" w:cs="Times New Roman"/>
        </w:rPr>
        <w:t>fluential National Institute of</w:t>
      </w:r>
      <w:r w:rsidR="00905F39" w:rsidRPr="00626A7E">
        <w:rPr>
          <w:rFonts w:ascii="Times New Roman" w:hAnsi="Times New Roman" w:cs="Times New Roman"/>
        </w:rPr>
        <w:t xml:space="preserve"> Economic </w:t>
      </w:r>
      <w:r w:rsidR="00337508" w:rsidRPr="00626A7E">
        <w:rPr>
          <w:rFonts w:ascii="Times New Roman" w:hAnsi="Times New Roman" w:cs="Times New Roman"/>
        </w:rPr>
        <w:t xml:space="preserve">and Social </w:t>
      </w:r>
      <w:r w:rsidR="00905F39" w:rsidRPr="00626A7E">
        <w:rPr>
          <w:rFonts w:ascii="Times New Roman" w:hAnsi="Times New Roman" w:cs="Times New Roman"/>
        </w:rPr>
        <w:t>Research</w:t>
      </w:r>
      <w:r w:rsidR="00337508" w:rsidRPr="00626A7E">
        <w:rPr>
          <w:rFonts w:ascii="Times New Roman" w:hAnsi="Times New Roman" w:cs="Times New Roman"/>
        </w:rPr>
        <w:t xml:space="preserve"> (NIESR) had argued that ‘the provision of long time finance through a national investment bank’ within Labour’s programme could</w:t>
      </w:r>
      <w:r w:rsidR="00F64355" w:rsidRPr="00626A7E">
        <w:rPr>
          <w:rFonts w:ascii="Times New Roman" w:hAnsi="Times New Roman" w:cs="Times New Roman"/>
        </w:rPr>
        <w:t>, alongside</w:t>
      </w:r>
      <w:r w:rsidR="00BF21F6" w:rsidRPr="00626A7E">
        <w:rPr>
          <w:rFonts w:ascii="Times New Roman" w:hAnsi="Times New Roman" w:cs="Times New Roman"/>
        </w:rPr>
        <w:t xml:space="preserve"> other measures,</w:t>
      </w:r>
      <w:r w:rsidR="00337508" w:rsidRPr="00626A7E">
        <w:rPr>
          <w:rFonts w:ascii="Times New Roman" w:hAnsi="Times New Roman" w:cs="Times New Roman"/>
        </w:rPr>
        <w:t xml:space="preserve"> help bring growth of over 3% and </w:t>
      </w:r>
      <w:r w:rsidR="0020631D" w:rsidRPr="00626A7E">
        <w:rPr>
          <w:rFonts w:ascii="Times New Roman" w:hAnsi="Times New Roman" w:cs="Times New Roman"/>
        </w:rPr>
        <w:t xml:space="preserve">maintain </w:t>
      </w:r>
      <w:r w:rsidR="00337508" w:rsidRPr="00626A7E">
        <w:rPr>
          <w:rFonts w:ascii="Times New Roman" w:hAnsi="Times New Roman" w:cs="Times New Roman"/>
        </w:rPr>
        <w:t>inflation at a stable 2%.</w:t>
      </w:r>
      <w:r w:rsidR="00337508" w:rsidRPr="00626A7E">
        <w:rPr>
          <w:rStyle w:val="FootnoteReference"/>
          <w:rFonts w:ascii="Times New Roman" w:hAnsi="Times New Roman" w:cs="Times New Roman"/>
        </w:rPr>
        <w:footnoteReference w:id="85"/>
      </w:r>
      <w:r w:rsidR="00C7445F" w:rsidRPr="00626A7E">
        <w:rPr>
          <w:rFonts w:ascii="Times New Roman" w:hAnsi="Times New Roman" w:cs="Times New Roman"/>
        </w:rPr>
        <w:t xml:space="preserve"> And the global picture was also moving to the policy’s advantage.</w:t>
      </w:r>
      <w:r w:rsidR="00337508" w:rsidRPr="00626A7E">
        <w:rPr>
          <w:rFonts w:ascii="Times New Roman" w:hAnsi="Times New Roman" w:cs="Times New Roman"/>
        </w:rPr>
        <w:t xml:space="preserve"> </w:t>
      </w:r>
      <w:r w:rsidR="00727D3F" w:rsidRPr="00626A7E">
        <w:rPr>
          <w:rFonts w:ascii="Times New Roman" w:hAnsi="Times New Roman" w:cs="Times New Roman"/>
        </w:rPr>
        <w:t>By</w:t>
      </w:r>
      <w:r w:rsidR="00E16FC2" w:rsidRPr="00626A7E">
        <w:rPr>
          <w:rFonts w:ascii="Times New Roman" w:hAnsi="Times New Roman" w:cs="Times New Roman"/>
        </w:rPr>
        <w:t xml:space="preserve"> January 1992 the unemployment rates of European states operating institutions most close to the proposed NIB were 6% in Germany, 5.6% in the Netherlands, and 4.3% in Sweden.</w:t>
      </w:r>
      <w:r w:rsidR="00302458" w:rsidRPr="00626A7E">
        <w:rPr>
          <w:rStyle w:val="FootnoteReference"/>
          <w:rFonts w:ascii="Times New Roman" w:hAnsi="Times New Roman" w:cs="Times New Roman"/>
        </w:rPr>
        <w:footnoteReference w:id="86"/>
      </w:r>
      <w:r w:rsidR="00E16FC2" w:rsidRPr="00626A7E">
        <w:rPr>
          <w:rFonts w:ascii="Times New Roman" w:hAnsi="Times New Roman" w:cs="Times New Roman"/>
        </w:rPr>
        <w:t xml:space="preserve"> These </w:t>
      </w:r>
      <w:r w:rsidR="00AD2C1D" w:rsidRPr="00626A7E">
        <w:rPr>
          <w:rFonts w:ascii="Times New Roman" w:hAnsi="Times New Roman" w:cs="Times New Roman"/>
        </w:rPr>
        <w:t xml:space="preserve">low </w:t>
      </w:r>
      <w:r w:rsidR="00BC0914" w:rsidRPr="00626A7E">
        <w:rPr>
          <w:rFonts w:ascii="Times New Roman" w:hAnsi="Times New Roman" w:cs="Times New Roman"/>
        </w:rPr>
        <w:t xml:space="preserve">figures </w:t>
      </w:r>
      <w:r w:rsidR="00E16FC2" w:rsidRPr="00626A7E">
        <w:rPr>
          <w:rFonts w:ascii="Times New Roman" w:hAnsi="Times New Roman" w:cs="Times New Roman"/>
        </w:rPr>
        <w:t xml:space="preserve">were no doubt </w:t>
      </w:r>
      <w:r w:rsidR="002862FD" w:rsidRPr="00626A7E">
        <w:rPr>
          <w:rFonts w:ascii="Times New Roman" w:hAnsi="Times New Roman" w:cs="Times New Roman"/>
        </w:rPr>
        <w:t xml:space="preserve">largely </w:t>
      </w:r>
      <w:r w:rsidR="00E16FC2" w:rsidRPr="00626A7E">
        <w:rPr>
          <w:rFonts w:ascii="Times New Roman" w:hAnsi="Times New Roman" w:cs="Times New Roman"/>
        </w:rPr>
        <w:t>due to macroeconomic factors above and beyond</w:t>
      </w:r>
      <w:r w:rsidR="00BC0914" w:rsidRPr="00626A7E">
        <w:rPr>
          <w:rFonts w:ascii="Times New Roman" w:hAnsi="Times New Roman" w:cs="Times New Roman"/>
        </w:rPr>
        <w:t xml:space="preserve"> any domestic NIBs, but with a UK </w:t>
      </w:r>
      <w:r w:rsidR="00E16FC2" w:rsidRPr="00626A7E">
        <w:rPr>
          <w:rFonts w:ascii="Times New Roman" w:hAnsi="Times New Roman" w:cs="Times New Roman"/>
        </w:rPr>
        <w:t xml:space="preserve">rate of 9.3% (and climbing) </w:t>
      </w:r>
      <w:r w:rsidR="00BC0914" w:rsidRPr="00626A7E">
        <w:rPr>
          <w:rFonts w:ascii="Times New Roman" w:hAnsi="Times New Roman" w:cs="Times New Roman"/>
        </w:rPr>
        <w:t xml:space="preserve">Tory </w:t>
      </w:r>
      <w:r w:rsidR="00E16FC2" w:rsidRPr="00626A7E">
        <w:rPr>
          <w:rFonts w:ascii="Times New Roman" w:hAnsi="Times New Roman" w:cs="Times New Roman"/>
        </w:rPr>
        <w:t xml:space="preserve">charges about the evils of </w:t>
      </w:r>
      <w:r w:rsidR="00BC0914" w:rsidRPr="00626A7E">
        <w:rPr>
          <w:rFonts w:ascii="Times New Roman" w:hAnsi="Times New Roman" w:cs="Times New Roman"/>
        </w:rPr>
        <w:t xml:space="preserve">Rhenish capitalism </w:t>
      </w:r>
      <w:r w:rsidR="000A1655" w:rsidRPr="00626A7E">
        <w:rPr>
          <w:rFonts w:ascii="Times New Roman" w:hAnsi="Times New Roman" w:cs="Times New Roman"/>
        </w:rPr>
        <w:t>could be batted off.</w:t>
      </w:r>
    </w:p>
    <w:p w14:paraId="4DB8914F" w14:textId="6F9EA135" w:rsidR="00BB48A0" w:rsidRPr="00626A7E" w:rsidRDefault="00B21A86" w:rsidP="00045A6A">
      <w:pPr>
        <w:spacing w:line="360" w:lineRule="auto"/>
        <w:jc w:val="both"/>
        <w:rPr>
          <w:rFonts w:ascii="Times New Roman" w:hAnsi="Times New Roman" w:cs="Times New Roman"/>
        </w:rPr>
      </w:pPr>
      <w:r w:rsidRPr="00626A7E">
        <w:rPr>
          <w:rFonts w:ascii="Times New Roman" w:hAnsi="Times New Roman" w:cs="Times New Roman"/>
        </w:rPr>
        <w:lastRenderedPageBreak/>
        <w:t xml:space="preserve">By February </w:t>
      </w:r>
      <w:r w:rsidR="001A5083" w:rsidRPr="00626A7E">
        <w:rPr>
          <w:rFonts w:ascii="Times New Roman" w:hAnsi="Times New Roman" w:cs="Times New Roman"/>
        </w:rPr>
        <w:t>1992,</w:t>
      </w:r>
      <w:r w:rsidR="00BB48A0" w:rsidRPr="00626A7E">
        <w:rPr>
          <w:rFonts w:ascii="Times New Roman" w:hAnsi="Times New Roman" w:cs="Times New Roman"/>
        </w:rPr>
        <w:t xml:space="preserve"> NOP polling showed that </w:t>
      </w:r>
      <w:r w:rsidR="00563FDF" w:rsidRPr="00626A7E">
        <w:rPr>
          <w:rFonts w:ascii="Times New Roman" w:hAnsi="Times New Roman" w:cs="Times New Roman"/>
        </w:rPr>
        <w:t xml:space="preserve">Labour’s </w:t>
      </w:r>
      <w:r w:rsidR="00937F30" w:rsidRPr="00626A7E">
        <w:rPr>
          <w:rFonts w:ascii="Times New Roman" w:hAnsi="Times New Roman" w:cs="Times New Roman"/>
        </w:rPr>
        <w:t>broad suite of industrial policies</w:t>
      </w:r>
      <w:r w:rsidR="00BB48A0" w:rsidRPr="00626A7E">
        <w:rPr>
          <w:rFonts w:ascii="Times New Roman" w:hAnsi="Times New Roman" w:cs="Times New Roman"/>
        </w:rPr>
        <w:t xml:space="preserve">, of which the NIB was a big part, had been effectively drawn. Labour </w:t>
      </w:r>
      <w:r w:rsidR="00937F30" w:rsidRPr="00626A7E">
        <w:rPr>
          <w:rFonts w:ascii="Times New Roman" w:hAnsi="Times New Roman" w:cs="Times New Roman"/>
        </w:rPr>
        <w:t>was viewed as</w:t>
      </w:r>
      <w:r w:rsidR="00BB48A0" w:rsidRPr="00626A7E">
        <w:rPr>
          <w:rFonts w:ascii="Times New Roman" w:hAnsi="Times New Roman" w:cs="Times New Roman"/>
        </w:rPr>
        <w:t xml:space="preserve"> the party best at ‘getting the economy out of recession’ (29% to 24%), reducing unemployment (37% to 11%), helping the manufacturing industry (49% to 21%) and was neck and neck as to ‘which party will run the economy well’ (45%-45%).</w:t>
      </w:r>
      <w:r w:rsidR="003103C1" w:rsidRPr="00626A7E">
        <w:rPr>
          <w:rStyle w:val="FootnoteReference"/>
          <w:rFonts w:ascii="Times New Roman" w:hAnsi="Times New Roman" w:cs="Times New Roman"/>
        </w:rPr>
        <w:footnoteReference w:id="87"/>
      </w:r>
      <w:r w:rsidR="00B627A5" w:rsidRPr="00626A7E">
        <w:rPr>
          <w:rFonts w:ascii="Times New Roman" w:hAnsi="Times New Roman" w:cs="Times New Roman"/>
        </w:rPr>
        <w:t xml:space="preserve"> </w:t>
      </w:r>
      <w:r w:rsidR="00937F30" w:rsidRPr="00626A7E">
        <w:rPr>
          <w:rFonts w:ascii="Times New Roman" w:hAnsi="Times New Roman" w:cs="Times New Roman"/>
        </w:rPr>
        <w:t>Yet</w:t>
      </w:r>
      <w:r w:rsidR="00D7729B" w:rsidRPr="00626A7E">
        <w:rPr>
          <w:rFonts w:ascii="Times New Roman" w:hAnsi="Times New Roman" w:cs="Times New Roman"/>
        </w:rPr>
        <w:t xml:space="preserve"> ‘supply side socialism’ was not everything, and</w:t>
      </w:r>
      <w:r w:rsidR="00937F30" w:rsidRPr="00626A7E">
        <w:rPr>
          <w:rFonts w:ascii="Times New Roman" w:hAnsi="Times New Roman" w:cs="Times New Roman"/>
        </w:rPr>
        <w:t xml:space="preserve"> i</w:t>
      </w:r>
      <w:r w:rsidR="00204DAC" w:rsidRPr="00626A7E">
        <w:rPr>
          <w:rFonts w:ascii="Times New Roman" w:hAnsi="Times New Roman" w:cs="Times New Roman"/>
        </w:rPr>
        <w:t>t was</w:t>
      </w:r>
      <w:r w:rsidR="00B627A5" w:rsidRPr="00626A7E">
        <w:rPr>
          <w:rFonts w:ascii="Times New Roman" w:hAnsi="Times New Roman" w:cs="Times New Roman"/>
        </w:rPr>
        <w:t xml:space="preserve"> roughly at this point</w:t>
      </w:r>
      <w:r w:rsidR="000F09EC" w:rsidRPr="00626A7E">
        <w:rPr>
          <w:rFonts w:ascii="Times New Roman" w:hAnsi="Times New Roman" w:cs="Times New Roman"/>
        </w:rPr>
        <w:t xml:space="preserve"> </w:t>
      </w:r>
      <w:r w:rsidR="00B627A5" w:rsidRPr="00626A7E">
        <w:rPr>
          <w:rFonts w:ascii="Times New Roman" w:hAnsi="Times New Roman" w:cs="Times New Roman"/>
        </w:rPr>
        <w:t xml:space="preserve">that </w:t>
      </w:r>
      <w:r w:rsidR="000F09EC" w:rsidRPr="00626A7E">
        <w:rPr>
          <w:rFonts w:ascii="Times New Roman" w:hAnsi="Times New Roman" w:cs="Times New Roman"/>
        </w:rPr>
        <w:t xml:space="preserve">the </w:t>
      </w:r>
      <w:r w:rsidR="00B627A5" w:rsidRPr="00626A7E">
        <w:rPr>
          <w:rFonts w:ascii="Times New Roman" w:hAnsi="Times New Roman" w:cs="Times New Roman"/>
        </w:rPr>
        <w:t xml:space="preserve">Conservative </w:t>
      </w:r>
      <w:r w:rsidR="00E3016B" w:rsidRPr="00626A7E">
        <w:rPr>
          <w:rFonts w:ascii="Times New Roman" w:hAnsi="Times New Roman" w:cs="Times New Roman"/>
        </w:rPr>
        <w:t>message</w:t>
      </w:r>
      <w:r w:rsidR="00B627A5" w:rsidRPr="00626A7E">
        <w:rPr>
          <w:rFonts w:ascii="Times New Roman" w:hAnsi="Times New Roman" w:cs="Times New Roman"/>
        </w:rPr>
        <w:t xml:space="preserve"> regarding ‘Labour’s tax bombshell’ began to filter through.</w:t>
      </w:r>
      <w:r w:rsidR="00243D56" w:rsidRPr="00626A7E">
        <w:rPr>
          <w:rFonts w:ascii="Times New Roman" w:hAnsi="Times New Roman" w:cs="Times New Roman"/>
        </w:rPr>
        <w:t xml:space="preserve"> </w:t>
      </w:r>
      <w:r w:rsidR="005303C9" w:rsidRPr="00626A7E">
        <w:rPr>
          <w:rFonts w:ascii="Times New Roman" w:hAnsi="Times New Roman" w:cs="Times New Roman"/>
        </w:rPr>
        <w:t>With</w:t>
      </w:r>
      <w:r w:rsidR="00E3016B" w:rsidRPr="00626A7E">
        <w:rPr>
          <w:rFonts w:ascii="Times New Roman" w:hAnsi="Times New Roman" w:cs="Times New Roman"/>
        </w:rPr>
        <w:t xml:space="preserve"> </w:t>
      </w:r>
      <w:r w:rsidR="002A7D21" w:rsidRPr="00626A7E">
        <w:rPr>
          <w:rFonts w:ascii="Times New Roman" w:hAnsi="Times New Roman" w:cs="Times New Roman"/>
        </w:rPr>
        <w:t>Tory</w:t>
      </w:r>
      <w:r w:rsidR="00E3016B" w:rsidRPr="00626A7E">
        <w:rPr>
          <w:rFonts w:ascii="Times New Roman" w:hAnsi="Times New Roman" w:cs="Times New Roman"/>
        </w:rPr>
        <w:t xml:space="preserve"> posters proclaiming an</w:t>
      </w:r>
      <w:r w:rsidR="005303C9" w:rsidRPr="00626A7E">
        <w:rPr>
          <w:rFonts w:ascii="Times New Roman" w:hAnsi="Times New Roman" w:cs="Times New Roman"/>
        </w:rPr>
        <w:t xml:space="preserve"> additional</w:t>
      </w:r>
      <w:r w:rsidR="00E3016B" w:rsidRPr="00626A7E">
        <w:rPr>
          <w:rFonts w:ascii="Times New Roman" w:hAnsi="Times New Roman" w:cs="Times New Roman"/>
        </w:rPr>
        <w:t xml:space="preserve"> £1,250 </w:t>
      </w:r>
      <w:r w:rsidR="00511C57" w:rsidRPr="00626A7E">
        <w:rPr>
          <w:rFonts w:ascii="Times New Roman" w:hAnsi="Times New Roman" w:cs="Times New Roman"/>
        </w:rPr>
        <w:t>on</w:t>
      </w:r>
      <w:r w:rsidR="005303C9" w:rsidRPr="00626A7E">
        <w:rPr>
          <w:rFonts w:ascii="Times New Roman" w:hAnsi="Times New Roman" w:cs="Times New Roman"/>
        </w:rPr>
        <w:t xml:space="preserve"> </w:t>
      </w:r>
      <w:r w:rsidR="00FD7DF2" w:rsidRPr="00626A7E">
        <w:rPr>
          <w:rFonts w:ascii="Times New Roman" w:hAnsi="Times New Roman" w:cs="Times New Roman"/>
        </w:rPr>
        <w:t xml:space="preserve">the </w:t>
      </w:r>
      <w:r w:rsidR="005303C9" w:rsidRPr="00626A7E">
        <w:rPr>
          <w:rFonts w:ascii="Times New Roman" w:hAnsi="Times New Roman" w:cs="Times New Roman"/>
        </w:rPr>
        <w:t>tax</w:t>
      </w:r>
      <w:r w:rsidR="00511C57" w:rsidRPr="00626A7E">
        <w:rPr>
          <w:rFonts w:ascii="Times New Roman" w:hAnsi="Times New Roman" w:cs="Times New Roman"/>
        </w:rPr>
        <w:t xml:space="preserve"> bill of</w:t>
      </w:r>
      <w:r w:rsidR="005303C9" w:rsidRPr="00626A7E">
        <w:rPr>
          <w:rFonts w:ascii="Times New Roman" w:hAnsi="Times New Roman" w:cs="Times New Roman"/>
        </w:rPr>
        <w:t xml:space="preserve"> every British taxpayer</w:t>
      </w:r>
      <w:r w:rsidR="00E3016B" w:rsidRPr="00626A7E">
        <w:rPr>
          <w:rFonts w:ascii="Times New Roman" w:hAnsi="Times New Roman" w:cs="Times New Roman"/>
        </w:rPr>
        <w:t xml:space="preserve"> in the wake of a Labour victory, the subtleties of retooling British capitalism</w:t>
      </w:r>
      <w:r w:rsidR="002953DF" w:rsidRPr="00626A7E">
        <w:rPr>
          <w:rFonts w:ascii="Times New Roman" w:hAnsi="Times New Roman" w:cs="Times New Roman"/>
        </w:rPr>
        <w:t xml:space="preserve"> through a NIB</w:t>
      </w:r>
      <w:r w:rsidR="00E3016B" w:rsidRPr="00626A7E">
        <w:rPr>
          <w:rFonts w:ascii="Times New Roman" w:hAnsi="Times New Roman" w:cs="Times New Roman"/>
        </w:rPr>
        <w:t xml:space="preserve"> were not able to push Kinnock </w:t>
      </w:r>
      <w:r w:rsidR="001D04F2" w:rsidRPr="00626A7E">
        <w:rPr>
          <w:rFonts w:ascii="Times New Roman" w:hAnsi="Times New Roman" w:cs="Times New Roman"/>
        </w:rPr>
        <w:t>to victory</w:t>
      </w:r>
      <w:r w:rsidR="00E3016B" w:rsidRPr="00626A7E">
        <w:rPr>
          <w:rFonts w:ascii="Times New Roman" w:hAnsi="Times New Roman" w:cs="Times New Roman"/>
        </w:rPr>
        <w:t>. A</w:t>
      </w:r>
      <w:r w:rsidR="00865345" w:rsidRPr="00626A7E">
        <w:rPr>
          <w:rFonts w:ascii="Times New Roman" w:hAnsi="Times New Roman" w:cs="Times New Roman"/>
        </w:rPr>
        <w:t xml:space="preserve"> fourth election on the bounce (the third with a pledge to i</w:t>
      </w:r>
      <w:r w:rsidR="00EE558C" w:rsidRPr="00626A7E">
        <w:rPr>
          <w:rFonts w:ascii="Times New Roman" w:hAnsi="Times New Roman" w:cs="Times New Roman"/>
        </w:rPr>
        <w:t>ntroduce a NIB) was duly lost.</w:t>
      </w:r>
    </w:p>
    <w:p w14:paraId="47D371DA" w14:textId="77777777" w:rsidR="003669B7" w:rsidRPr="00626A7E" w:rsidRDefault="003669B7" w:rsidP="00045A6A">
      <w:pPr>
        <w:spacing w:line="360" w:lineRule="auto"/>
        <w:jc w:val="both"/>
        <w:rPr>
          <w:rFonts w:ascii="Times New Roman" w:hAnsi="Times New Roman" w:cs="Times New Roman"/>
        </w:rPr>
      </w:pPr>
    </w:p>
    <w:p w14:paraId="24925104" w14:textId="35A87DB2" w:rsidR="00865345" w:rsidRPr="00B62F4E" w:rsidRDefault="003669B7" w:rsidP="00045A6A">
      <w:pPr>
        <w:spacing w:line="360" w:lineRule="auto"/>
        <w:jc w:val="both"/>
        <w:rPr>
          <w:rFonts w:ascii="Times New Roman" w:hAnsi="Times New Roman" w:cs="Times New Roman"/>
          <w:b/>
        </w:rPr>
      </w:pPr>
      <w:r w:rsidRPr="00B62F4E">
        <w:rPr>
          <w:rFonts w:ascii="Times New Roman" w:hAnsi="Times New Roman" w:cs="Times New Roman"/>
          <w:b/>
        </w:rPr>
        <w:t>Conclusion</w:t>
      </w:r>
    </w:p>
    <w:p w14:paraId="7879B36C" w14:textId="339B6697" w:rsidR="00151F64" w:rsidRPr="00626A7E" w:rsidRDefault="00D11CE7" w:rsidP="0083251B">
      <w:pPr>
        <w:widowControl w:val="0"/>
        <w:autoSpaceDE w:val="0"/>
        <w:autoSpaceDN w:val="0"/>
        <w:adjustRightInd w:val="0"/>
        <w:spacing w:line="360" w:lineRule="auto"/>
        <w:jc w:val="both"/>
        <w:rPr>
          <w:rFonts w:ascii="Times New Roman" w:hAnsi="Times New Roman" w:cs="Times New Roman"/>
        </w:rPr>
      </w:pPr>
      <w:r w:rsidRPr="00626A7E">
        <w:rPr>
          <w:rFonts w:ascii="Times New Roman" w:hAnsi="Times New Roman" w:cs="Times New Roman"/>
        </w:rPr>
        <w:t>T</w:t>
      </w:r>
      <w:r w:rsidR="00865345" w:rsidRPr="00626A7E">
        <w:rPr>
          <w:rFonts w:ascii="Times New Roman" w:hAnsi="Times New Roman" w:cs="Times New Roman"/>
        </w:rPr>
        <w:t xml:space="preserve">he </w:t>
      </w:r>
      <w:r w:rsidR="00FD553C" w:rsidRPr="00626A7E">
        <w:rPr>
          <w:rFonts w:ascii="Times New Roman" w:hAnsi="Times New Roman" w:cs="Times New Roman"/>
        </w:rPr>
        <w:t xml:space="preserve">case of the </w:t>
      </w:r>
      <w:r w:rsidR="00865345" w:rsidRPr="00626A7E">
        <w:rPr>
          <w:rFonts w:ascii="Times New Roman" w:hAnsi="Times New Roman" w:cs="Times New Roman"/>
        </w:rPr>
        <w:t>Na</w:t>
      </w:r>
      <w:r w:rsidR="00FD553C" w:rsidRPr="00626A7E">
        <w:rPr>
          <w:rFonts w:ascii="Times New Roman" w:hAnsi="Times New Roman" w:cs="Times New Roman"/>
        </w:rPr>
        <w:t>tional Investme</w:t>
      </w:r>
      <w:r w:rsidR="001330D3" w:rsidRPr="00626A7E">
        <w:rPr>
          <w:rFonts w:ascii="Times New Roman" w:hAnsi="Times New Roman" w:cs="Times New Roman"/>
        </w:rPr>
        <w:t>nt Bank is in</w:t>
      </w:r>
      <w:r w:rsidRPr="00626A7E">
        <w:rPr>
          <w:rFonts w:ascii="Times New Roman" w:hAnsi="Times New Roman" w:cs="Times New Roman"/>
        </w:rPr>
        <w:t>formative</w:t>
      </w:r>
      <w:r w:rsidR="001330D3" w:rsidRPr="00626A7E">
        <w:rPr>
          <w:rFonts w:ascii="Times New Roman" w:hAnsi="Times New Roman" w:cs="Times New Roman"/>
        </w:rPr>
        <w:t xml:space="preserve"> in three</w:t>
      </w:r>
      <w:r w:rsidR="00C512A1" w:rsidRPr="00626A7E">
        <w:rPr>
          <w:rFonts w:ascii="Times New Roman" w:hAnsi="Times New Roman" w:cs="Times New Roman"/>
        </w:rPr>
        <w:t xml:space="preserve"> </w:t>
      </w:r>
      <w:r w:rsidR="00DA2648" w:rsidRPr="00626A7E">
        <w:rPr>
          <w:rFonts w:ascii="Times New Roman" w:hAnsi="Times New Roman" w:cs="Times New Roman"/>
        </w:rPr>
        <w:t xml:space="preserve">overlapping </w:t>
      </w:r>
      <w:r w:rsidR="00FD553C" w:rsidRPr="00626A7E">
        <w:rPr>
          <w:rFonts w:ascii="Times New Roman" w:hAnsi="Times New Roman" w:cs="Times New Roman"/>
        </w:rPr>
        <w:t>regards</w:t>
      </w:r>
      <w:r w:rsidR="00DA2648" w:rsidRPr="00626A7E">
        <w:rPr>
          <w:rFonts w:ascii="Times New Roman" w:hAnsi="Times New Roman" w:cs="Times New Roman"/>
        </w:rPr>
        <w:t xml:space="preserve">. </w:t>
      </w:r>
      <w:r w:rsidR="00FD553C" w:rsidRPr="00626A7E">
        <w:rPr>
          <w:rFonts w:ascii="Times New Roman" w:hAnsi="Times New Roman" w:cs="Times New Roman"/>
        </w:rPr>
        <w:t>Firstly, it help</w:t>
      </w:r>
      <w:r w:rsidR="00AE35D9" w:rsidRPr="00626A7E">
        <w:rPr>
          <w:rFonts w:ascii="Times New Roman" w:hAnsi="Times New Roman" w:cs="Times New Roman"/>
        </w:rPr>
        <w:t>s us understand how Labour talked</w:t>
      </w:r>
      <w:r w:rsidR="00FD553C" w:rsidRPr="00626A7E">
        <w:rPr>
          <w:rFonts w:ascii="Times New Roman" w:hAnsi="Times New Roman" w:cs="Times New Roman"/>
        </w:rPr>
        <w:t xml:space="preserve"> to itself. The NIB’s </w:t>
      </w:r>
      <w:r w:rsidR="000F1BFC" w:rsidRPr="00626A7E">
        <w:rPr>
          <w:rFonts w:ascii="Times New Roman" w:hAnsi="Times New Roman" w:cs="Times New Roman"/>
        </w:rPr>
        <w:t>long-term</w:t>
      </w:r>
      <w:r w:rsidR="00AE35D9" w:rsidRPr="00626A7E">
        <w:rPr>
          <w:rFonts w:ascii="Times New Roman" w:hAnsi="Times New Roman" w:cs="Times New Roman"/>
        </w:rPr>
        <w:t xml:space="preserve"> rationale</w:t>
      </w:r>
      <w:r w:rsidR="00FD553C" w:rsidRPr="00626A7E">
        <w:rPr>
          <w:rFonts w:ascii="Times New Roman" w:hAnsi="Times New Roman" w:cs="Times New Roman"/>
        </w:rPr>
        <w:t>, after all, was to fix a particular flaw in capita</w:t>
      </w:r>
      <w:r w:rsidR="00BA6F81" w:rsidRPr="00626A7E">
        <w:rPr>
          <w:rFonts w:ascii="Times New Roman" w:hAnsi="Times New Roman" w:cs="Times New Roman"/>
        </w:rPr>
        <w:t xml:space="preserve">list systems: the </w:t>
      </w:r>
      <w:r w:rsidR="00DE03E5" w:rsidRPr="00626A7E">
        <w:rPr>
          <w:rFonts w:ascii="Times New Roman" w:hAnsi="Times New Roman" w:cs="Times New Roman"/>
        </w:rPr>
        <w:t>Macmillan Gap</w:t>
      </w:r>
      <w:r w:rsidR="00BA6F81" w:rsidRPr="00626A7E">
        <w:rPr>
          <w:rFonts w:ascii="Times New Roman" w:hAnsi="Times New Roman" w:cs="Times New Roman"/>
        </w:rPr>
        <w:t xml:space="preserve"> of banks not lending to the right places. To fund such </w:t>
      </w:r>
      <w:r w:rsidR="004707AA" w:rsidRPr="00626A7E">
        <w:rPr>
          <w:rFonts w:ascii="Times New Roman" w:hAnsi="Times New Roman" w:cs="Times New Roman"/>
        </w:rPr>
        <w:t>beneficial activity</w:t>
      </w:r>
      <w:r w:rsidR="00BA6F81" w:rsidRPr="00626A7E">
        <w:rPr>
          <w:rFonts w:ascii="Times New Roman" w:hAnsi="Times New Roman" w:cs="Times New Roman"/>
        </w:rPr>
        <w:t xml:space="preserve"> one could either take a confiscatory approach – raid major investment funds for the </w:t>
      </w:r>
      <w:r w:rsidR="00216ECF" w:rsidRPr="00626A7E">
        <w:rPr>
          <w:rFonts w:ascii="Times New Roman" w:hAnsi="Times New Roman" w:cs="Times New Roman"/>
        </w:rPr>
        <w:t>capital</w:t>
      </w:r>
      <w:r w:rsidR="005B12F9" w:rsidRPr="00626A7E">
        <w:rPr>
          <w:rFonts w:ascii="Times New Roman" w:hAnsi="Times New Roman" w:cs="Times New Roman"/>
        </w:rPr>
        <w:t xml:space="preserve"> necessary to fund this </w:t>
      </w:r>
      <w:r w:rsidR="00BA6F81" w:rsidRPr="00626A7E">
        <w:rPr>
          <w:rFonts w:ascii="Times New Roman" w:hAnsi="Times New Roman" w:cs="Times New Roman"/>
        </w:rPr>
        <w:t xml:space="preserve">greater good </w:t>
      </w:r>
      <w:r w:rsidR="000B5939" w:rsidRPr="00626A7E">
        <w:rPr>
          <w:rFonts w:ascii="Times New Roman" w:hAnsi="Times New Roman" w:cs="Times New Roman"/>
        </w:rPr>
        <w:t>–</w:t>
      </w:r>
      <w:r w:rsidR="00BA6F81" w:rsidRPr="00626A7E">
        <w:rPr>
          <w:rFonts w:ascii="Times New Roman" w:hAnsi="Times New Roman" w:cs="Times New Roman"/>
        </w:rPr>
        <w:t xml:space="preserve"> or</w:t>
      </w:r>
      <w:r w:rsidR="000B5939" w:rsidRPr="00626A7E">
        <w:rPr>
          <w:rFonts w:ascii="Times New Roman" w:hAnsi="Times New Roman" w:cs="Times New Roman"/>
        </w:rPr>
        <w:t xml:space="preserve"> incentivise such funds to act in a more responsible manner. Until 1983</w:t>
      </w:r>
      <w:r w:rsidR="00A80B1F" w:rsidRPr="00626A7E">
        <w:rPr>
          <w:rFonts w:ascii="Times New Roman" w:hAnsi="Times New Roman" w:cs="Times New Roman"/>
        </w:rPr>
        <w:t xml:space="preserve"> the unions</w:t>
      </w:r>
      <w:r w:rsidR="003E6E35" w:rsidRPr="00626A7E">
        <w:rPr>
          <w:rFonts w:ascii="Times New Roman" w:hAnsi="Times New Roman" w:cs="Times New Roman"/>
        </w:rPr>
        <w:t>’</w:t>
      </w:r>
      <w:r w:rsidR="00A80B1F" w:rsidRPr="00626A7E">
        <w:rPr>
          <w:rFonts w:ascii="Times New Roman" w:hAnsi="Times New Roman" w:cs="Times New Roman"/>
        </w:rPr>
        <w:t xml:space="preserve"> advocacy and a leftist leadership collectively ensured</w:t>
      </w:r>
      <w:r w:rsidR="00B56B39" w:rsidRPr="00626A7E">
        <w:rPr>
          <w:rFonts w:ascii="Times New Roman" w:hAnsi="Times New Roman" w:cs="Times New Roman"/>
        </w:rPr>
        <w:t xml:space="preserve"> Labour took</w:t>
      </w:r>
      <w:r w:rsidR="000B5939" w:rsidRPr="00626A7E">
        <w:rPr>
          <w:rFonts w:ascii="Times New Roman" w:hAnsi="Times New Roman" w:cs="Times New Roman"/>
        </w:rPr>
        <w:t xml:space="preserve"> the former approach, whilst</w:t>
      </w:r>
      <w:r w:rsidR="00A80B1F" w:rsidRPr="00626A7E">
        <w:rPr>
          <w:rFonts w:ascii="Times New Roman" w:hAnsi="Times New Roman" w:cs="Times New Roman"/>
        </w:rPr>
        <w:t xml:space="preserve"> after that election</w:t>
      </w:r>
      <w:r w:rsidR="000B5939" w:rsidRPr="00626A7E">
        <w:rPr>
          <w:rFonts w:ascii="Times New Roman" w:hAnsi="Times New Roman" w:cs="Times New Roman"/>
        </w:rPr>
        <w:t xml:space="preserve"> Hattersley, Gould, Eatwell and others nudged the party towards the latter.</w:t>
      </w:r>
      <w:r w:rsidR="00D51709" w:rsidRPr="00626A7E">
        <w:rPr>
          <w:rFonts w:ascii="Times New Roman" w:hAnsi="Times New Roman" w:cs="Times New Roman"/>
        </w:rPr>
        <w:t xml:space="preserve"> </w:t>
      </w:r>
      <w:r w:rsidR="00C40F2C" w:rsidRPr="00626A7E">
        <w:rPr>
          <w:rFonts w:ascii="Times New Roman" w:hAnsi="Times New Roman" w:cs="Times New Roman"/>
        </w:rPr>
        <w:t xml:space="preserve">Even if it would not figure in the New Labour platform, the NIB’s role in the transition of the party – away from ‘National’ solutions and towards ones where they were prepared to talk to ‘Investment Banks’ – renders it as a significant juncture in the party’s history. </w:t>
      </w:r>
    </w:p>
    <w:p w14:paraId="474F3978" w14:textId="77777777" w:rsidR="00151F64" w:rsidRPr="00626A7E" w:rsidRDefault="00151F64" w:rsidP="0083251B">
      <w:pPr>
        <w:widowControl w:val="0"/>
        <w:autoSpaceDE w:val="0"/>
        <w:autoSpaceDN w:val="0"/>
        <w:adjustRightInd w:val="0"/>
        <w:spacing w:line="360" w:lineRule="auto"/>
        <w:jc w:val="both"/>
        <w:rPr>
          <w:rFonts w:ascii="Times New Roman" w:hAnsi="Times New Roman" w:cs="Times New Roman"/>
        </w:rPr>
      </w:pPr>
    </w:p>
    <w:p w14:paraId="455C8BA2" w14:textId="0CFB9FBC" w:rsidR="00151F64" w:rsidRPr="00626A7E" w:rsidRDefault="00D51709"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 xml:space="preserve">Secondly, the NIB tells us much about Labour’s </w:t>
      </w:r>
      <w:r w:rsidR="003E6E35" w:rsidRPr="00626A7E">
        <w:rPr>
          <w:rFonts w:ascii="Times New Roman" w:hAnsi="Times New Roman" w:cs="Times New Roman"/>
        </w:rPr>
        <w:t xml:space="preserve">outward </w:t>
      </w:r>
      <w:r w:rsidRPr="00626A7E">
        <w:rPr>
          <w:rFonts w:ascii="Times New Roman" w:hAnsi="Times New Roman" w:cs="Times New Roman"/>
        </w:rPr>
        <w:t>electabi</w:t>
      </w:r>
      <w:r w:rsidR="00530CAB" w:rsidRPr="00626A7E">
        <w:rPr>
          <w:rFonts w:ascii="Times New Roman" w:hAnsi="Times New Roman" w:cs="Times New Roman"/>
        </w:rPr>
        <w:t>lity.</w:t>
      </w:r>
      <w:r w:rsidR="00D1673B" w:rsidRPr="00626A7E">
        <w:rPr>
          <w:rFonts w:ascii="Times New Roman" w:hAnsi="Times New Roman" w:cs="Times New Roman"/>
        </w:rPr>
        <w:t xml:space="preserve"> The 1980s </w:t>
      </w:r>
      <w:r w:rsidR="00E74AFC" w:rsidRPr="00626A7E">
        <w:rPr>
          <w:rFonts w:ascii="Times New Roman" w:hAnsi="Times New Roman" w:cs="Times New Roman"/>
        </w:rPr>
        <w:t xml:space="preserve">saw Labour </w:t>
      </w:r>
      <w:r w:rsidR="00DE03E5" w:rsidRPr="00626A7E">
        <w:rPr>
          <w:rFonts w:ascii="Times New Roman" w:hAnsi="Times New Roman" w:cs="Times New Roman"/>
        </w:rPr>
        <w:t xml:space="preserve">gradually </w:t>
      </w:r>
      <w:r w:rsidR="00E74AFC" w:rsidRPr="00626A7E">
        <w:rPr>
          <w:rFonts w:ascii="Times New Roman" w:hAnsi="Times New Roman" w:cs="Times New Roman"/>
        </w:rPr>
        <w:t>shift</w:t>
      </w:r>
      <w:r w:rsidR="00F55E12" w:rsidRPr="00626A7E">
        <w:rPr>
          <w:rFonts w:ascii="Times New Roman" w:hAnsi="Times New Roman" w:cs="Times New Roman"/>
        </w:rPr>
        <w:t xml:space="preserve"> from the perception that they were blinkered statist blunderers to one where people could see them as </w:t>
      </w:r>
      <w:r w:rsidR="00A32C58" w:rsidRPr="00626A7E">
        <w:rPr>
          <w:rFonts w:ascii="Times New Roman" w:hAnsi="Times New Roman" w:cs="Times New Roman"/>
        </w:rPr>
        <w:t>semi-</w:t>
      </w:r>
      <w:r w:rsidR="00F55E12" w:rsidRPr="00626A7E">
        <w:rPr>
          <w:rFonts w:ascii="Times New Roman" w:hAnsi="Times New Roman" w:cs="Times New Roman"/>
        </w:rPr>
        <w:t>credible managers of the public purse.</w:t>
      </w:r>
      <w:r w:rsidR="002131C9" w:rsidRPr="00626A7E">
        <w:rPr>
          <w:rFonts w:ascii="Times New Roman" w:hAnsi="Times New Roman" w:cs="Times New Roman"/>
        </w:rPr>
        <w:t xml:space="preserve"> To return to Stokes, in 1983 Labour’s advocacy of the NIB suffered both a ‘valence’ and a ‘positional’ problem: few thought they could govern effectively, and there was the direct</w:t>
      </w:r>
      <w:r w:rsidR="00CE062D" w:rsidRPr="00626A7E">
        <w:rPr>
          <w:rFonts w:ascii="Times New Roman" w:hAnsi="Times New Roman" w:cs="Times New Roman"/>
        </w:rPr>
        <w:t xml:space="preserve"> (if exaggerated)</w:t>
      </w:r>
      <w:r w:rsidR="002131C9" w:rsidRPr="00626A7E">
        <w:rPr>
          <w:rFonts w:ascii="Times New Roman" w:hAnsi="Times New Roman" w:cs="Times New Roman"/>
        </w:rPr>
        <w:t xml:space="preserve"> prospect for some pensi</w:t>
      </w:r>
      <w:r w:rsidR="00DA2648" w:rsidRPr="00626A7E">
        <w:rPr>
          <w:rFonts w:ascii="Times New Roman" w:hAnsi="Times New Roman" w:cs="Times New Roman"/>
        </w:rPr>
        <w:t>oners to see their future returns</w:t>
      </w:r>
      <w:r w:rsidR="002131C9" w:rsidRPr="00626A7E">
        <w:rPr>
          <w:rFonts w:ascii="Times New Roman" w:hAnsi="Times New Roman" w:cs="Times New Roman"/>
        </w:rPr>
        <w:t xml:space="preserve"> hit</w:t>
      </w:r>
      <w:r w:rsidR="004150E1" w:rsidRPr="00626A7E">
        <w:rPr>
          <w:rFonts w:ascii="Times New Roman" w:hAnsi="Times New Roman" w:cs="Times New Roman"/>
        </w:rPr>
        <w:t xml:space="preserve">. Kinnock gradually restored a semblance of ‘valence’ to Labour on the economy and thus its ability to deliver an effective </w:t>
      </w:r>
      <w:r w:rsidR="004150E1" w:rsidRPr="00626A7E">
        <w:rPr>
          <w:rFonts w:ascii="Times New Roman" w:hAnsi="Times New Roman" w:cs="Times New Roman"/>
        </w:rPr>
        <w:lastRenderedPageBreak/>
        <w:t>NIB. Positional attacks from the Conservatives and their sympathetic allies in</w:t>
      </w:r>
      <w:r w:rsidR="00DE03E5" w:rsidRPr="00626A7E">
        <w:rPr>
          <w:rFonts w:ascii="Times New Roman" w:hAnsi="Times New Roman" w:cs="Times New Roman"/>
        </w:rPr>
        <w:t xml:space="preserve"> the press cut through somewhat </w:t>
      </w:r>
      <w:r w:rsidR="004150E1" w:rsidRPr="00626A7E">
        <w:rPr>
          <w:rFonts w:ascii="Times New Roman" w:hAnsi="Times New Roman" w:cs="Times New Roman"/>
        </w:rPr>
        <w:t xml:space="preserve">between 1985-1987, but thereafter, partially due to Labour’s shift towards supply side socialism and the strategic state </w:t>
      </w:r>
      <w:r w:rsidR="00DA2648" w:rsidRPr="00626A7E">
        <w:rPr>
          <w:rFonts w:ascii="Times New Roman" w:hAnsi="Times New Roman" w:cs="Times New Roman"/>
        </w:rPr>
        <w:t xml:space="preserve">generally </w:t>
      </w:r>
      <w:r w:rsidR="004150E1" w:rsidRPr="00626A7E">
        <w:rPr>
          <w:rFonts w:ascii="Times New Roman" w:hAnsi="Times New Roman" w:cs="Times New Roman"/>
        </w:rPr>
        <w:t>(</w:t>
      </w:r>
      <w:r w:rsidR="00DA2648" w:rsidRPr="00626A7E">
        <w:rPr>
          <w:rFonts w:ascii="Times New Roman" w:hAnsi="Times New Roman" w:cs="Times New Roman"/>
        </w:rPr>
        <w:t>allied to</w:t>
      </w:r>
      <w:r w:rsidR="004150E1" w:rsidRPr="00626A7E">
        <w:rPr>
          <w:rFonts w:ascii="Times New Roman" w:hAnsi="Times New Roman" w:cs="Times New Roman"/>
        </w:rPr>
        <w:t xml:space="preserve"> the declining fortunes of the government itself)</w:t>
      </w:r>
      <w:r w:rsidR="000F3D57" w:rsidRPr="00626A7E">
        <w:rPr>
          <w:rFonts w:ascii="Times New Roman" w:hAnsi="Times New Roman" w:cs="Times New Roman"/>
        </w:rPr>
        <w:t>, the NIB</w:t>
      </w:r>
      <w:r w:rsidR="006B1966" w:rsidRPr="00626A7E">
        <w:rPr>
          <w:rFonts w:ascii="Times New Roman" w:hAnsi="Times New Roman" w:cs="Times New Roman"/>
        </w:rPr>
        <w:t xml:space="preserve"> </w:t>
      </w:r>
      <w:r w:rsidR="000E3777" w:rsidRPr="00626A7E">
        <w:rPr>
          <w:rFonts w:ascii="Times New Roman" w:hAnsi="Times New Roman" w:cs="Times New Roman"/>
        </w:rPr>
        <w:t>was both a viable and beneficial</w:t>
      </w:r>
      <w:r w:rsidR="00C40F2C" w:rsidRPr="00626A7E">
        <w:rPr>
          <w:rFonts w:ascii="Times New Roman" w:hAnsi="Times New Roman" w:cs="Times New Roman"/>
        </w:rPr>
        <w:t xml:space="preserve"> part</w:t>
      </w:r>
      <w:r w:rsidR="000F3D57" w:rsidRPr="00626A7E">
        <w:rPr>
          <w:rFonts w:ascii="Times New Roman" w:hAnsi="Times New Roman" w:cs="Times New Roman"/>
        </w:rPr>
        <w:t xml:space="preserve"> of the Kinnock platform.</w:t>
      </w:r>
      <w:r w:rsidR="00C40F2C" w:rsidRPr="00626A7E">
        <w:rPr>
          <w:rFonts w:ascii="Times New Roman" w:hAnsi="Times New Roman" w:cs="Times New Roman"/>
        </w:rPr>
        <w:t xml:space="preserve"> The </w:t>
      </w:r>
      <w:r w:rsidR="00DA2648" w:rsidRPr="00626A7E">
        <w:rPr>
          <w:rFonts w:ascii="Times New Roman" w:hAnsi="Times New Roman" w:cs="Times New Roman"/>
        </w:rPr>
        <w:t xml:space="preserve">shifting </w:t>
      </w:r>
      <w:r w:rsidR="00C40F2C" w:rsidRPr="00626A7E">
        <w:rPr>
          <w:rFonts w:ascii="Times New Roman" w:hAnsi="Times New Roman" w:cs="Times New Roman"/>
        </w:rPr>
        <w:t>nuan</w:t>
      </w:r>
      <w:r w:rsidR="00616DB0" w:rsidRPr="00626A7E">
        <w:rPr>
          <w:rFonts w:ascii="Times New Roman" w:hAnsi="Times New Roman" w:cs="Times New Roman"/>
        </w:rPr>
        <w:t xml:space="preserve">ces in the policy </w:t>
      </w:r>
      <w:r w:rsidR="005A0813" w:rsidRPr="00626A7E">
        <w:rPr>
          <w:rFonts w:ascii="Times New Roman" w:hAnsi="Times New Roman" w:cs="Times New Roman"/>
        </w:rPr>
        <w:t>also</w:t>
      </w:r>
      <w:r w:rsidR="00616DB0" w:rsidRPr="00626A7E">
        <w:rPr>
          <w:rFonts w:ascii="Times New Roman" w:hAnsi="Times New Roman" w:cs="Times New Roman"/>
        </w:rPr>
        <w:t xml:space="preserve"> provided a dog-whistle of sorts for the fact the party </w:t>
      </w:r>
      <w:r w:rsidR="00F15D7E" w:rsidRPr="00626A7E">
        <w:rPr>
          <w:rFonts w:ascii="Times New Roman" w:hAnsi="Times New Roman" w:cs="Times New Roman"/>
        </w:rPr>
        <w:t>had changed from</w:t>
      </w:r>
      <w:r w:rsidR="00A47B82" w:rsidRPr="00626A7E">
        <w:rPr>
          <w:rFonts w:ascii="Times New Roman" w:hAnsi="Times New Roman" w:cs="Times New Roman"/>
        </w:rPr>
        <w:t xml:space="preserve"> 1983</w:t>
      </w:r>
      <w:r w:rsidR="005A0813" w:rsidRPr="00626A7E">
        <w:rPr>
          <w:rFonts w:ascii="Times New Roman" w:hAnsi="Times New Roman" w:cs="Times New Roman"/>
        </w:rPr>
        <w:t>: no bad thing</w:t>
      </w:r>
      <w:r w:rsidR="004369DB" w:rsidRPr="00626A7E">
        <w:rPr>
          <w:rFonts w:ascii="Times New Roman" w:hAnsi="Times New Roman" w:cs="Times New Roman"/>
        </w:rPr>
        <w:t xml:space="preserve">, and </w:t>
      </w:r>
      <w:r w:rsidR="00A5026F" w:rsidRPr="00626A7E">
        <w:rPr>
          <w:rFonts w:ascii="Times New Roman" w:hAnsi="Times New Roman" w:cs="Times New Roman"/>
        </w:rPr>
        <w:t xml:space="preserve">certainly </w:t>
      </w:r>
      <w:r w:rsidR="007A15D5" w:rsidRPr="00626A7E">
        <w:rPr>
          <w:rFonts w:ascii="Times New Roman" w:hAnsi="Times New Roman" w:cs="Times New Roman"/>
        </w:rPr>
        <w:t>something</w:t>
      </w:r>
      <w:r w:rsidR="004369DB" w:rsidRPr="00626A7E">
        <w:rPr>
          <w:rFonts w:ascii="Times New Roman" w:hAnsi="Times New Roman" w:cs="Times New Roman"/>
        </w:rPr>
        <w:t xml:space="preserve"> not </w:t>
      </w:r>
      <w:r w:rsidR="00263A48" w:rsidRPr="00626A7E">
        <w:rPr>
          <w:rFonts w:ascii="Times New Roman" w:hAnsi="Times New Roman" w:cs="Times New Roman"/>
        </w:rPr>
        <w:t xml:space="preserve">universally </w:t>
      </w:r>
      <w:r w:rsidR="004369DB" w:rsidRPr="00626A7E">
        <w:rPr>
          <w:rFonts w:ascii="Times New Roman" w:hAnsi="Times New Roman" w:cs="Times New Roman"/>
        </w:rPr>
        <w:t xml:space="preserve">achieved with regard to </w:t>
      </w:r>
      <w:r w:rsidR="002F5703" w:rsidRPr="00626A7E">
        <w:rPr>
          <w:rFonts w:ascii="Times New Roman" w:hAnsi="Times New Roman" w:cs="Times New Roman"/>
        </w:rPr>
        <w:t>tax</w:t>
      </w:r>
      <w:r w:rsidR="004742C9" w:rsidRPr="00626A7E">
        <w:rPr>
          <w:rFonts w:ascii="Times New Roman" w:hAnsi="Times New Roman" w:cs="Times New Roman"/>
        </w:rPr>
        <w:t xml:space="preserve"> and spend</w:t>
      </w:r>
      <w:r w:rsidR="004369DB" w:rsidRPr="00626A7E">
        <w:rPr>
          <w:rFonts w:ascii="Times New Roman" w:hAnsi="Times New Roman" w:cs="Times New Roman"/>
        </w:rPr>
        <w:t>.</w:t>
      </w:r>
      <w:r w:rsidR="009B786A" w:rsidRPr="00626A7E">
        <w:rPr>
          <w:rFonts w:ascii="Times New Roman" w:hAnsi="Times New Roman" w:cs="Times New Roman"/>
        </w:rPr>
        <w:t xml:space="preserve"> </w:t>
      </w:r>
      <w:r w:rsidR="00F53A7A" w:rsidRPr="00626A7E">
        <w:rPr>
          <w:rFonts w:ascii="Times New Roman" w:hAnsi="Times New Roman" w:cs="Times New Roman"/>
        </w:rPr>
        <w:t xml:space="preserve">Had the party won </w:t>
      </w:r>
      <w:r w:rsidR="00DA5F68" w:rsidRPr="00626A7E">
        <w:rPr>
          <w:rFonts w:ascii="Times New Roman" w:hAnsi="Times New Roman" w:cs="Times New Roman"/>
        </w:rPr>
        <w:t xml:space="preserve">in 1992 </w:t>
      </w:r>
      <w:r w:rsidR="00F53A7A" w:rsidRPr="00626A7E">
        <w:rPr>
          <w:rFonts w:ascii="Times New Roman" w:hAnsi="Times New Roman" w:cs="Times New Roman"/>
        </w:rPr>
        <w:t xml:space="preserve">the trick would have been for the NIB to avoid the fate of 3i, and to keep an independent NIB focused on national priorities rather than its own bottom-line. But with </w:t>
      </w:r>
      <w:r w:rsidR="00760820" w:rsidRPr="00626A7E">
        <w:rPr>
          <w:rFonts w:ascii="Times New Roman" w:hAnsi="Times New Roman" w:cs="Times New Roman"/>
        </w:rPr>
        <w:t>the appointment</w:t>
      </w:r>
      <w:r w:rsidR="00F53A7A" w:rsidRPr="00626A7E">
        <w:rPr>
          <w:rFonts w:ascii="Times New Roman" w:hAnsi="Times New Roman" w:cs="Times New Roman"/>
        </w:rPr>
        <w:t xml:space="preserve"> of a sympathetic top team (</w:t>
      </w:r>
      <w:r w:rsidR="00F53A7A" w:rsidRPr="00626A7E">
        <w:rPr>
          <w:rFonts w:ascii="Times New Roman" w:hAnsi="Times New Roman" w:cs="Times New Roman"/>
          <w:i/>
        </w:rPr>
        <w:t>The Spectator</w:t>
      </w:r>
      <w:r w:rsidR="00F53A7A" w:rsidRPr="00626A7E">
        <w:rPr>
          <w:rFonts w:ascii="Times New Roman" w:hAnsi="Times New Roman" w:cs="Times New Roman"/>
        </w:rPr>
        <w:t xml:space="preserve"> speculated that Charles Williams might be in line to lead the NIB), </w:t>
      </w:r>
      <w:r w:rsidR="006D2E88" w:rsidRPr="00626A7E">
        <w:rPr>
          <w:rFonts w:ascii="Times New Roman" w:hAnsi="Times New Roman" w:cs="Times New Roman"/>
        </w:rPr>
        <w:t xml:space="preserve">day-to-day independence whilst </w:t>
      </w:r>
      <w:r w:rsidR="002D3E22" w:rsidRPr="00626A7E">
        <w:rPr>
          <w:rFonts w:ascii="Times New Roman" w:hAnsi="Times New Roman" w:cs="Times New Roman"/>
        </w:rPr>
        <w:t xml:space="preserve">keeping an eye on overarching </w:t>
      </w:r>
      <w:r w:rsidR="004D188A" w:rsidRPr="00626A7E">
        <w:rPr>
          <w:rFonts w:ascii="Times New Roman" w:hAnsi="Times New Roman" w:cs="Times New Roman"/>
        </w:rPr>
        <w:t>national</w:t>
      </w:r>
      <w:r w:rsidR="006D2E88" w:rsidRPr="00626A7E">
        <w:rPr>
          <w:rFonts w:ascii="Times New Roman" w:hAnsi="Times New Roman" w:cs="Times New Roman"/>
        </w:rPr>
        <w:t xml:space="preserve"> priorities was not beyond the wit of man</w:t>
      </w:r>
      <w:r w:rsidR="00F53A7A" w:rsidRPr="00626A7E">
        <w:rPr>
          <w:rFonts w:ascii="Times New Roman" w:hAnsi="Times New Roman" w:cs="Times New Roman"/>
        </w:rPr>
        <w:t>.</w:t>
      </w:r>
      <w:r w:rsidR="009D6B30" w:rsidRPr="00626A7E">
        <w:rPr>
          <w:rStyle w:val="FootnoteReference"/>
          <w:rFonts w:ascii="Times New Roman" w:hAnsi="Times New Roman" w:cs="Times New Roman"/>
        </w:rPr>
        <w:footnoteReference w:id="88"/>
      </w:r>
      <w:r w:rsidR="009D6B30" w:rsidRPr="00626A7E">
        <w:rPr>
          <w:rFonts w:ascii="Times New Roman" w:hAnsi="Times New Roman" w:cs="Times New Roman"/>
        </w:rPr>
        <w:t xml:space="preserve"> </w:t>
      </w:r>
      <w:r w:rsidR="00151F64" w:rsidRPr="00626A7E">
        <w:rPr>
          <w:rFonts w:ascii="Times New Roman" w:hAnsi="Times New Roman" w:cs="Times New Roman"/>
        </w:rPr>
        <w:t>The Bank of England essentially walks such a line today.</w:t>
      </w:r>
    </w:p>
    <w:p w14:paraId="75E8CF46" w14:textId="77777777" w:rsidR="00151F64" w:rsidRPr="00626A7E" w:rsidRDefault="00151F64" w:rsidP="0083251B">
      <w:pPr>
        <w:widowControl w:val="0"/>
        <w:autoSpaceDE w:val="0"/>
        <w:autoSpaceDN w:val="0"/>
        <w:adjustRightInd w:val="0"/>
        <w:spacing w:line="360" w:lineRule="auto"/>
        <w:jc w:val="both"/>
        <w:rPr>
          <w:rFonts w:ascii="Times New Roman" w:hAnsi="Times New Roman" w:cs="Times New Roman"/>
        </w:rPr>
      </w:pPr>
    </w:p>
    <w:p w14:paraId="7389D36D" w14:textId="50B9F838" w:rsidR="00BC1E15" w:rsidRPr="00626A7E" w:rsidRDefault="002A3015" w:rsidP="00811002">
      <w:pPr>
        <w:widowControl w:val="0"/>
        <w:autoSpaceDE w:val="0"/>
        <w:autoSpaceDN w:val="0"/>
        <w:adjustRightInd w:val="0"/>
        <w:spacing w:line="360" w:lineRule="auto"/>
        <w:ind w:firstLine="720"/>
        <w:jc w:val="both"/>
        <w:rPr>
          <w:rFonts w:ascii="Times New Roman" w:hAnsi="Times New Roman" w:cs="Times New Roman"/>
        </w:rPr>
      </w:pPr>
      <w:r w:rsidRPr="00626A7E">
        <w:rPr>
          <w:rFonts w:ascii="Times New Roman" w:hAnsi="Times New Roman" w:cs="Times New Roman"/>
        </w:rPr>
        <w:t>Lastly</w:t>
      </w:r>
      <w:r w:rsidR="007828D8" w:rsidRPr="00626A7E">
        <w:rPr>
          <w:rFonts w:ascii="Times New Roman" w:hAnsi="Times New Roman" w:cs="Times New Roman"/>
        </w:rPr>
        <w:t>, the NIB</w:t>
      </w:r>
      <w:r w:rsidR="00BD4B08" w:rsidRPr="00626A7E">
        <w:rPr>
          <w:rFonts w:ascii="Times New Roman" w:hAnsi="Times New Roman" w:cs="Times New Roman"/>
        </w:rPr>
        <w:t xml:space="preserve"> is also instructive regarding</w:t>
      </w:r>
      <w:r w:rsidR="00091496" w:rsidRPr="00626A7E">
        <w:rPr>
          <w:rFonts w:ascii="Times New Roman" w:hAnsi="Times New Roman" w:cs="Times New Roman"/>
        </w:rPr>
        <w:t xml:space="preserve"> </w:t>
      </w:r>
      <w:r w:rsidR="00877A9B" w:rsidRPr="00626A7E">
        <w:rPr>
          <w:rFonts w:ascii="Times New Roman" w:hAnsi="Times New Roman" w:cs="Times New Roman"/>
        </w:rPr>
        <w:t xml:space="preserve">the birth of </w:t>
      </w:r>
      <w:r w:rsidR="00091496" w:rsidRPr="00626A7E">
        <w:rPr>
          <w:rFonts w:ascii="Times New Roman" w:hAnsi="Times New Roman" w:cs="Times New Roman"/>
        </w:rPr>
        <w:t xml:space="preserve">New Labour. </w:t>
      </w:r>
      <w:r w:rsidR="00095E64" w:rsidRPr="00626A7E">
        <w:rPr>
          <w:rFonts w:ascii="Times New Roman" w:hAnsi="Times New Roman" w:cs="Times New Roman"/>
        </w:rPr>
        <w:t>As noted, t</w:t>
      </w:r>
      <w:r w:rsidR="009D7053" w:rsidRPr="00626A7E">
        <w:rPr>
          <w:rFonts w:ascii="Times New Roman" w:hAnsi="Times New Roman" w:cs="Times New Roman"/>
        </w:rPr>
        <w:t>hrough its intellectual roots in 1970s</w:t>
      </w:r>
      <w:r w:rsidR="0083251B" w:rsidRPr="00626A7E">
        <w:rPr>
          <w:rFonts w:ascii="Times New Roman" w:hAnsi="Times New Roman" w:cs="Times New Roman"/>
        </w:rPr>
        <w:t xml:space="preserve"> Tony Benn and </w:t>
      </w:r>
      <w:r w:rsidR="009D7053" w:rsidRPr="00626A7E">
        <w:rPr>
          <w:rFonts w:ascii="Times New Roman" w:hAnsi="Times New Roman" w:cs="Times New Roman"/>
        </w:rPr>
        <w:t>the</w:t>
      </w:r>
      <w:r w:rsidR="0083251B" w:rsidRPr="00626A7E">
        <w:rPr>
          <w:rFonts w:ascii="Times New Roman" w:hAnsi="Times New Roman" w:cs="Times New Roman"/>
        </w:rPr>
        <w:t xml:space="preserve"> Foot </w:t>
      </w:r>
      <w:r w:rsidR="009D7053" w:rsidRPr="00626A7E">
        <w:rPr>
          <w:rFonts w:ascii="Times New Roman" w:hAnsi="Times New Roman" w:cs="Times New Roman"/>
        </w:rPr>
        <w:t>leadership, back</w:t>
      </w:r>
      <w:r w:rsidR="00903788" w:rsidRPr="00626A7E">
        <w:rPr>
          <w:rFonts w:ascii="Times New Roman" w:hAnsi="Times New Roman" w:cs="Times New Roman"/>
        </w:rPr>
        <w:t>ing</w:t>
      </w:r>
      <w:r w:rsidR="009D7053" w:rsidRPr="00626A7E">
        <w:rPr>
          <w:rFonts w:ascii="Times New Roman" w:hAnsi="Times New Roman" w:cs="Times New Roman"/>
        </w:rPr>
        <w:t xml:space="preserve"> </w:t>
      </w:r>
      <w:r w:rsidR="0083251B" w:rsidRPr="00626A7E">
        <w:rPr>
          <w:rFonts w:ascii="Times New Roman" w:hAnsi="Times New Roman" w:cs="Times New Roman"/>
        </w:rPr>
        <w:t>the NIB</w:t>
      </w:r>
      <w:r w:rsidR="009D7053" w:rsidRPr="00626A7E">
        <w:rPr>
          <w:rFonts w:ascii="Times New Roman" w:hAnsi="Times New Roman" w:cs="Times New Roman"/>
        </w:rPr>
        <w:t xml:space="preserve"> after 1983</w:t>
      </w:r>
      <w:r w:rsidR="00E40995" w:rsidRPr="00626A7E">
        <w:rPr>
          <w:rFonts w:ascii="Times New Roman" w:hAnsi="Times New Roman" w:cs="Times New Roman"/>
        </w:rPr>
        <w:t xml:space="preserve"> helped</w:t>
      </w:r>
      <w:r w:rsidR="0083251B" w:rsidRPr="00626A7E">
        <w:rPr>
          <w:rFonts w:ascii="Times New Roman" w:hAnsi="Times New Roman" w:cs="Times New Roman"/>
        </w:rPr>
        <w:t xml:space="preserve"> Kinnock to </w:t>
      </w:r>
      <w:r w:rsidR="000C32D8" w:rsidRPr="00626A7E">
        <w:rPr>
          <w:rFonts w:ascii="Times New Roman" w:hAnsi="Times New Roman" w:cs="Times New Roman"/>
        </w:rPr>
        <w:t>move</w:t>
      </w:r>
      <w:r w:rsidR="0083251B" w:rsidRPr="00626A7E">
        <w:rPr>
          <w:rFonts w:ascii="Times New Roman" w:hAnsi="Times New Roman" w:cs="Times New Roman"/>
        </w:rPr>
        <w:t xml:space="preserve"> Labour towards</w:t>
      </w:r>
      <w:r w:rsidR="00903788" w:rsidRPr="00626A7E">
        <w:rPr>
          <w:rFonts w:ascii="Times New Roman" w:hAnsi="Times New Roman" w:cs="Times New Roman"/>
        </w:rPr>
        <w:t xml:space="preserve"> the centre</w:t>
      </w:r>
      <w:r w:rsidR="0083251B" w:rsidRPr="00626A7E">
        <w:rPr>
          <w:rFonts w:ascii="Times New Roman" w:hAnsi="Times New Roman" w:cs="Times New Roman"/>
        </w:rPr>
        <w:t xml:space="preserve">. </w:t>
      </w:r>
      <w:r w:rsidR="00DC73F3" w:rsidRPr="00626A7E">
        <w:rPr>
          <w:rFonts w:ascii="Times New Roman" w:hAnsi="Times New Roman" w:cs="Times New Roman"/>
        </w:rPr>
        <w:t>And, importantly,</w:t>
      </w:r>
      <w:r w:rsidR="009D7053" w:rsidRPr="00626A7E">
        <w:rPr>
          <w:rFonts w:ascii="Times New Roman" w:hAnsi="Times New Roman" w:cs="Times New Roman"/>
        </w:rPr>
        <w:t xml:space="preserve"> t</w:t>
      </w:r>
      <w:r w:rsidR="001C3335" w:rsidRPr="00626A7E">
        <w:rPr>
          <w:rFonts w:ascii="Times New Roman" w:hAnsi="Times New Roman" w:cs="Times New Roman"/>
        </w:rPr>
        <w:t xml:space="preserve">he </w:t>
      </w:r>
      <w:r w:rsidR="00FF01B9" w:rsidRPr="00626A7E">
        <w:rPr>
          <w:rFonts w:ascii="Times New Roman" w:hAnsi="Times New Roman" w:cs="Times New Roman"/>
        </w:rPr>
        <w:t>modernisers were watching intently</w:t>
      </w:r>
      <w:r w:rsidR="003532A0" w:rsidRPr="00626A7E">
        <w:rPr>
          <w:rFonts w:ascii="Times New Roman" w:hAnsi="Times New Roman" w:cs="Times New Roman"/>
        </w:rPr>
        <w:t xml:space="preserve"> for opportunities to shift the discourse further</w:t>
      </w:r>
      <w:r w:rsidR="00A47B82" w:rsidRPr="00626A7E">
        <w:rPr>
          <w:rFonts w:ascii="Times New Roman" w:hAnsi="Times New Roman" w:cs="Times New Roman"/>
        </w:rPr>
        <w:t xml:space="preserve">. </w:t>
      </w:r>
      <w:r w:rsidR="00B320AA" w:rsidRPr="00626A7E">
        <w:rPr>
          <w:rFonts w:ascii="Times New Roman" w:hAnsi="Times New Roman" w:cs="Times New Roman"/>
        </w:rPr>
        <w:t>They may not all have bought the NIB wholesale</w:t>
      </w:r>
      <w:r w:rsidR="0046115E" w:rsidRPr="00626A7E">
        <w:rPr>
          <w:rFonts w:ascii="Times New Roman" w:hAnsi="Times New Roman" w:cs="Times New Roman"/>
        </w:rPr>
        <w:t xml:space="preserve"> (though Blair</w:t>
      </w:r>
      <w:r w:rsidR="003163AB" w:rsidRPr="00626A7E">
        <w:rPr>
          <w:rFonts w:ascii="Times New Roman" w:hAnsi="Times New Roman" w:cs="Times New Roman"/>
        </w:rPr>
        <w:t xml:space="preserve"> and</w:t>
      </w:r>
      <w:r w:rsidR="007E0FC3" w:rsidRPr="00626A7E">
        <w:rPr>
          <w:rFonts w:ascii="Times New Roman" w:hAnsi="Times New Roman" w:cs="Times New Roman"/>
        </w:rPr>
        <w:t xml:space="preserve"> Prescott</w:t>
      </w:r>
      <w:r w:rsidR="0046115E" w:rsidRPr="00626A7E">
        <w:rPr>
          <w:rFonts w:ascii="Times New Roman" w:hAnsi="Times New Roman" w:cs="Times New Roman"/>
        </w:rPr>
        <w:t xml:space="preserve"> backed it publicly)</w:t>
      </w:r>
      <w:r w:rsidR="00B320AA" w:rsidRPr="00626A7E">
        <w:rPr>
          <w:rFonts w:ascii="Times New Roman" w:hAnsi="Times New Roman" w:cs="Times New Roman"/>
        </w:rPr>
        <w:t>, but they benefitted from its shifting the political terrain in their favour.</w:t>
      </w:r>
      <w:r w:rsidR="007943FE" w:rsidRPr="00626A7E">
        <w:rPr>
          <w:rStyle w:val="FootnoteReference"/>
          <w:rFonts w:ascii="Times New Roman" w:hAnsi="Times New Roman" w:cs="Times New Roman"/>
        </w:rPr>
        <w:footnoteReference w:id="89"/>
      </w:r>
      <w:r w:rsidR="00B320AA" w:rsidRPr="00626A7E">
        <w:rPr>
          <w:rFonts w:ascii="Times New Roman" w:hAnsi="Times New Roman" w:cs="Times New Roman"/>
        </w:rPr>
        <w:t xml:space="preserve"> By 1994 </w:t>
      </w:r>
      <w:r w:rsidR="00D90035" w:rsidRPr="00626A7E">
        <w:rPr>
          <w:rFonts w:ascii="Times New Roman" w:hAnsi="Times New Roman" w:cs="Times New Roman"/>
        </w:rPr>
        <w:t xml:space="preserve">Labour </w:t>
      </w:r>
      <w:r w:rsidR="00B320AA" w:rsidRPr="00626A7E">
        <w:rPr>
          <w:rFonts w:ascii="Times New Roman" w:hAnsi="Times New Roman" w:cs="Times New Roman"/>
        </w:rPr>
        <w:t xml:space="preserve">had </w:t>
      </w:r>
      <w:r w:rsidR="0083251B" w:rsidRPr="00626A7E">
        <w:rPr>
          <w:rFonts w:ascii="Times New Roman" w:hAnsi="Times New Roman" w:cs="Times New Roman"/>
        </w:rPr>
        <w:t>found the revisionist leader Giles Radice demanded, one willing to ‘accept</w:t>
      </w:r>
      <w:r w:rsidR="007472A6" w:rsidRPr="00626A7E">
        <w:rPr>
          <w:rFonts w:ascii="Times New Roman" w:hAnsi="Times New Roman" w:cs="Times New Roman"/>
        </w:rPr>
        <w:t xml:space="preserve"> the market but uphold</w:t>
      </w:r>
      <w:r w:rsidR="0083251B" w:rsidRPr="00626A7E">
        <w:rPr>
          <w:rFonts w:ascii="Times New Roman" w:hAnsi="Times New Roman" w:cs="Times New Roman"/>
        </w:rPr>
        <w:t xml:space="preserve"> the case for selective state intervention.’</w:t>
      </w:r>
      <w:r w:rsidR="0083251B" w:rsidRPr="00626A7E">
        <w:rPr>
          <w:rStyle w:val="FootnoteReference"/>
          <w:rFonts w:ascii="Times New Roman" w:hAnsi="Times New Roman" w:cs="Times New Roman"/>
        </w:rPr>
        <w:footnoteReference w:id="90"/>
      </w:r>
      <w:r w:rsidR="007472A6" w:rsidRPr="00626A7E">
        <w:rPr>
          <w:rFonts w:ascii="Times New Roman" w:hAnsi="Times New Roman" w:cs="Times New Roman"/>
        </w:rPr>
        <w:t xml:space="preserve"> </w:t>
      </w:r>
      <w:r w:rsidR="008F0792" w:rsidRPr="00626A7E">
        <w:rPr>
          <w:rFonts w:ascii="Times New Roman" w:hAnsi="Times New Roman" w:cs="Times New Roman"/>
        </w:rPr>
        <w:t xml:space="preserve">In pledging that ‘the war on inflation is a Labour war’ and </w:t>
      </w:r>
      <w:r w:rsidR="00AD7BDD" w:rsidRPr="00626A7E">
        <w:rPr>
          <w:rFonts w:ascii="Times New Roman" w:hAnsi="Times New Roman" w:cs="Times New Roman"/>
        </w:rPr>
        <w:t>later</w:t>
      </w:r>
      <w:r w:rsidR="000F26A2" w:rsidRPr="00626A7E">
        <w:rPr>
          <w:rFonts w:ascii="Times New Roman" w:hAnsi="Times New Roman" w:cs="Times New Roman"/>
        </w:rPr>
        <w:t xml:space="preserve"> not to</w:t>
      </w:r>
      <w:r w:rsidR="008F0792" w:rsidRPr="00626A7E">
        <w:rPr>
          <w:rFonts w:ascii="Times New Roman" w:hAnsi="Times New Roman" w:cs="Times New Roman"/>
        </w:rPr>
        <w:t xml:space="preserve"> raise the top ra</w:t>
      </w:r>
      <w:r w:rsidR="00773A14" w:rsidRPr="00626A7E">
        <w:rPr>
          <w:rFonts w:ascii="Times New Roman" w:hAnsi="Times New Roman" w:cs="Times New Roman"/>
        </w:rPr>
        <w:t>te of income tax, New Labour</w:t>
      </w:r>
      <w:r w:rsidR="008F0792" w:rsidRPr="00626A7E">
        <w:rPr>
          <w:rFonts w:ascii="Times New Roman" w:hAnsi="Times New Roman" w:cs="Times New Roman"/>
        </w:rPr>
        <w:t xml:space="preserve"> </w:t>
      </w:r>
      <w:r w:rsidR="001C3335" w:rsidRPr="00626A7E">
        <w:rPr>
          <w:rFonts w:ascii="Times New Roman" w:hAnsi="Times New Roman" w:cs="Times New Roman"/>
        </w:rPr>
        <w:t>broad</w:t>
      </w:r>
      <w:r w:rsidR="00773A14" w:rsidRPr="00626A7E">
        <w:rPr>
          <w:rFonts w:ascii="Times New Roman" w:hAnsi="Times New Roman" w:cs="Times New Roman"/>
        </w:rPr>
        <w:t>ly got the</w:t>
      </w:r>
      <w:r w:rsidR="001C3335" w:rsidRPr="00626A7E">
        <w:rPr>
          <w:rFonts w:ascii="Times New Roman" w:hAnsi="Times New Roman" w:cs="Times New Roman"/>
        </w:rPr>
        <w:t xml:space="preserve"> economic </w:t>
      </w:r>
      <w:r w:rsidR="008F0792" w:rsidRPr="00626A7E">
        <w:rPr>
          <w:rFonts w:ascii="Times New Roman" w:hAnsi="Times New Roman" w:cs="Times New Roman"/>
        </w:rPr>
        <w:t>mood music right</w:t>
      </w:r>
      <w:r w:rsidR="00744C76" w:rsidRPr="00626A7E">
        <w:rPr>
          <w:rFonts w:ascii="Times New Roman" w:hAnsi="Times New Roman" w:cs="Times New Roman"/>
        </w:rPr>
        <w:t xml:space="preserve"> in opposition</w:t>
      </w:r>
      <w:r w:rsidR="008F0792" w:rsidRPr="00626A7E">
        <w:rPr>
          <w:rFonts w:ascii="Times New Roman" w:hAnsi="Times New Roman" w:cs="Times New Roman"/>
        </w:rPr>
        <w:t>.</w:t>
      </w:r>
      <w:r w:rsidR="001C3335" w:rsidRPr="00626A7E">
        <w:rPr>
          <w:rStyle w:val="FootnoteReference"/>
          <w:rFonts w:ascii="Times New Roman" w:hAnsi="Times New Roman" w:cs="Times New Roman"/>
        </w:rPr>
        <w:footnoteReference w:id="91"/>
      </w:r>
      <w:r w:rsidR="001C3335" w:rsidRPr="00626A7E">
        <w:rPr>
          <w:rFonts w:ascii="Times New Roman" w:hAnsi="Times New Roman" w:cs="Times New Roman"/>
        </w:rPr>
        <w:t xml:space="preserve"> But one unfortunate casualty of the </w:t>
      </w:r>
      <w:r w:rsidR="005F5FEF" w:rsidRPr="00626A7E">
        <w:rPr>
          <w:rFonts w:ascii="Times New Roman" w:hAnsi="Times New Roman" w:cs="Times New Roman"/>
        </w:rPr>
        <w:t>belief</w:t>
      </w:r>
      <w:r w:rsidR="001C3335" w:rsidRPr="00626A7E">
        <w:rPr>
          <w:rFonts w:ascii="Times New Roman" w:hAnsi="Times New Roman" w:cs="Times New Roman"/>
        </w:rPr>
        <w:t xml:space="preserve"> that ‘the era of the corporatist state intervention is over’ was the relatively moderate NIB.</w:t>
      </w:r>
      <w:r w:rsidR="001C3335" w:rsidRPr="00626A7E">
        <w:rPr>
          <w:rStyle w:val="FootnoteReference"/>
          <w:rFonts w:ascii="Times New Roman" w:hAnsi="Times New Roman" w:cs="Times New Roman"/>
        </w:rPr>
        <w:footnoteReference w:id="92"/>
      </w:r>
      <w:r w:rsidR="001C3335" w:rsidRPr="00626A7E">
        <w:rPr>
          <w:rFonts w:ascii="Times New Roman" w:hAnsi="Times New Roman" w:cs="Times New Roman"/>
        </w:rPr>
        <w:t xml:space="preserve"> I</w:t>
      </w:r>
      <w:r w:rsidR="005228C0" w:rsidRPr="00626A7E">
        <w:rPr>
          <w:rFonts w:ascii="Times New Roman" w:hAnsi="Times New Roman" w:cs="Times New Roman"/>
        </w:rPr>
        <w:t xml:space="preserve">n a sense, for </w:t>
      </w:r>
      <w:r w:rsidR="001C3335" w:rsidRPr="00626A7E">
        <w:rPr>
          <w:rFonts w:ascii="Times New Roman" w:hAnsi="Times New Roman" w:cs="Times New Roman"/>
        </w:rPr>
        <w:t xml:space="preserve">Tony </w:t>
      </w:r>
      <w:r w:rsidR="005228C0" w:rsidRPr="00626A7E">
        <w:rPr>
          <w:rFonts w:ascii="Times New Roman" w:hAnsi="Times New Roman" w:cs="Times New Roman"/>
        </w:rPr>
        <w:t xml:space="preserve">Blair, </w:t>
      </w:r>
      <w:r w:rsidR="00825894" w:rsidRPr="00626A7E">
        <w:rPr>
          <w:rFonts w:ascii="Times New Roman" w:hAnsi="Times New Roman" w:cs="Times New Roman"/>
        </w:rPr>
        <w:t xml:space="preserve">in </w:t>
      </w:r>
      <w:r w:rsidR="00331936" w:rsidRPr="00626A7E">
        <w:rPr>
          <w:rFonts w:ascii="Times New Roman" w:hAnsi="Times New Roman" w:cs="Times New Roman"/>
        </w:rPr>
        <w:t>changing</w:t>
      </w:r>
      <w:r w:rsidR="00825894" w:rsidRPr="00626A7E">
        <w:rPr>
          <w:rFonts w:ascii="Times New Roman" w:hAnsi="Times New Roman" w:cs="Times New Roman"/>
        </w:rPr>
        <w:t xml:space="preserve"> the party</w:t>
      </w:r>
      <w:r w:rsidR="00F96153" w:rsidRPr="00626A7E">
        <w:rPr>
          <w:rFonts w:ascii="Times New Roman" w:hAnsi="Times New Roman" w:cs="Times New Roman"/>
        </w:rPr>
        <w:t xml:space="preserve"> </w:t>
      </w:r>
      <w:r w:rsidR="005228C0" w:rsidRPr="00626A7E">
        <w:rPr>
          <w:rFonts w:ascii="Times New Roman" w:hAnsi="Times New Roman" w:cs="Times New Roman"/>
        </w:rPr>
        <w:t xml:space="preserve">the </w:t>
      </w:r>
      <w:r w:rsidR="00960B1C" w:rsidRPr="00626A7E">
        <w:rPr>
          <w:rFonts w:ascii="Times New Roman" w:hAnsi="Times New Roman" w:cs="Times New Roman"/>
        </w:rPr>
        <w:t xml:space="preserve">NIB </w:t>
      </w:r>
      <w:r w:rsidR="00A51CE1" w:rsidRPr="00626A7E">
        <w:rPr>
          <w:rFonts w:ascii="Times New Roman" w:hAnsi="Times New Roman" w:cs="Times New Roman"/>
        </w:rPr>
        <w:t>idea</w:t>
      </w:r>
      <w:r w:rsidR="000C1753" w:rsidRPr="00626A7E">
        <w:rPr>
          <w:rFonts w:ascii="Times New Roman" w:hAnsi="Times New Roman" w:cs="Times New Roman"/>
        </w:rPr>
        <w:t xml:space="preserve"> had</w:t>
      </w:r>
      <w:r w:rsidR="004C5FA3" w:rsidRPr="00626A7E">
        <w:rPr>
          <w:rFonts w:ascii="Times New Roman" w:hAnsi="Times New Roman" w:cs="Times New Roman"/>
        </w:rPr>
        <w:t xml:space="preserve"> </w:t>
      </w:r>
      <w:r w:rsidR="005228C0" w:rsidRPr="00626A7E">
        <w:rPr>
          <w:rFonts w:ascii="Times New Roman" w:hAnsi="Times New Roman" w:cs="Times New Roman"/>
        </w:rPr>
        <w:t>served its purpose.</w:t>
      </w:r>
      <w:r w:rsidR="00825894" w:rsidRPr="00626A7E">
        <w:rPr>
          <w:rFonts w:ascii="Times New Roman" w:hAnsi="Times New Roman" w:cs="Times New Roman"/>
        </w:rPr>
        <w:t xml:space="preserve"> </w:t>
      </w:r>
      <w:r w:rsidR="00D90035" w:rsidRPr="00626A7E">
        <w:rPr>
          <w:rFonts w:ascii="Times New Roman" w:hAnsi="Times New Roman" w:cs="Times New Roman"/>
        </w:rPr>
        <w:t>And as a man about ends rather than means, h</w:t>
      </w:r>
      <w:r w:rsidR="00825894" w:rsidRPr="00626A7E">
        <w:rPr>
          <w:rFonts w:ascii="Times New Roman" w:hAnsi="Times New Roman" w:cs="Times New Roman"/>
        </w:rPr>
        <w:t xml:space="preserve">e </w:t>
      </w:r>
      <w:r w:rsidR="00D90035" w:rsidRPr="00626A7E">
        <w:rPr>
          <w:rFonts w:ascii="Times New Roman" w:hAnsi="Times New Roman" w:cs="Times New Roman"/>
        </w:rPr>
        <w:t>chose</w:t>
      </w:r>
      <w:r w:rsidR="00825894" w:rsidRPr="00626A7E">
        <w:rPr>
          <w:rFonts w:ascii="Times New Roman" w:hAnsi="Times New Roman" w:cs="Times New Roman"/>
        </w:rPr>
        <w:t xml:space="preserve"> other means to </w:t>
      </w:r>
      <w:r w:rsidR="00D124A9" w:rsidRPr="00626A7E">
        <w:rPr>
          <w:rFonts w:ascii="Times New Roman" w:hAnsi="Times New Roman" w:cs="Times New Roman"/>
        </w:rPr>
        <w:t>change</w:t>
      </w:r>
      <w:r w:rsidR="00825894" w:rsidRPr="00626A7E">
        <w:rPr>
          <w:rFonts w:ascii="Times New Roman" w:hAnsi="Times New Roman" w:cs="Times New Roman"/>
        </w:rPr>
        <w:t xml:space="preserve"> the country.</w:t>
      </w:r>
    </w:p>
    <w:p w14:paraId="0DCFE8C7" w14:textId="77777777" w:rsidR="00EF6781" w:rsidRPr="00626A7E" w:rsidRDefault="00EF6781" w:rsidP="00EF6781">
      <w:pPr>
        <w:widowControl w:val="0"/>
        <w:autoSpaceDE w:val="0"/>
        <w:autoSpaceDN w:val="0"/>
        <w:adjustRightInd w:val="0"/>
        <w:spacing w:line="360" w:lineRule="auto"/>
        <w:jc w:val="both"/>
        <w:rPr>
          <w:rFonts w:ascii="Times New Roman" w:hAnsi="Times New Roman" w:cs="Times New Roman"/>
        </w:rPr>
      </w:pPr>
    </w:p>
    <w:p w14:paraId="38A34772" w14:textId="77777777" w:rsidR="00EF6781" w:rsidRPr="00626A7E" w:rsidRDefault="00EF6781" w:rsidP="00EF6781">
      <w:pPr>
        <w:widowControl w:val="0"/>
        <w:autoSpaceDE w:val="0"/>
        <w:autoSpaceDN w:val="0"/>
        <w:adjustRightInd w:val="0"/>
        <w:spacing w:line="360" w:lineRule="auto"/>
        <w:jc w:val="both"/>
        <w:rPr>
          <w:rFonts w:ascii="Times New Roman" w:hAnsi="Times New Roman" w:cs="Times New Roman"/>
        </w:rPr>
      </w:pPr>
    </w:p>
    <w:p w14:paraId="614235FA" w14:textId="77777777" w:rsidR="00EF6781" w:rsidRPr="00626A7E" w:rsidRDefault="00EF6781" w:rsidP="00EF6781">
      <w:pPr>
        <w:widowControl w:val="0"/>
        <w:autoSpaceDE w:val="0"/>
        <w:autoSpaceDN w:val="0"/>
        <w:adjustRightInd w:val="0"/>
        <w:spacing w:line="360" w:lineRule="auto"/>
        <w:jc w:val="both"/>
        <w:rPr>
          <w:rFonts w:ascii="Times New Roman" w:hAnsi="Times New Roman" w:cs="Times New Roman"/>
        </w:rPr>
      </w:pPr>
    </w:p>
    <w:p w14:paraId="441D988E" w14:textId="77777777" w:rsidR="00EF6781" w:rsidRPr="00626A7E" w:rsidRDefault="00EF6781" w:rsidP="00EF6781">
      <w:pPr>
        <w:widowControl w:val="0"/>
        <w:autoSpaceDE w:val="0"/>
        <w:autoSpaceDN w:val="0"/>
        <w:adjustRightInd w:val="0"/>
        <w:spacing w:line="360" w:lineRule="auto"/>
        <w:jc w:val="both"/>
        <w:rPr>
          <w:rFonts w:ascii="Times New Roman" w:hAnsi="Times New Roman" w:cs="Times New Roman"/>
        </w:rPr>
      </w:pPr>
    </w:p>
    <w:p w14:paraId="3E72462B" w14:textId="77777777" w:rsidR="00EF6781" w:rsidRPr="00626A7E" w:rsidRDefault="00EF6781" w:rsidP="00EF6781">
      <w:pPr>
        <w:widowControl w:val="0"/>
        <w:autoSpaceDE w:val="0"/>
        <w:autoSpaceDN w:val="0"/>
        <w:adjustRightInd w:val="0"/>
        <w:spacing w:line="360" w:lineRule="auto"/>
        <w:jc w:val="both"/>
        <w:rPr>
          <w:rFonts w:ascii="Times New Roman" w:hAnsi="Times New Roman" w:cs="Times New Roman"/>
        </w:rPr>
      </w:pPr>
    </w:p>
    <w:p w14:paraId="4EE022A7" w14:textId="09745909" w:rsidR="00C47B84" w:rsidRPr="00626A7E" w:rsidRDefault="00C47B84" w:rsidP="00FB2AD2">
      <w:pPr>
        <w:spacing w:line="360" w:lineRule="auto"/>
        <w:jc w:val="both"/>
        <w:rPr>
          <w:rFonts w:ascii="Times New Roman" w:hAnsi="Times New Roman" w:cs="Times New Roman"/>
        </w:rPr>
      </w:pPr>
    </w:p>
    <w:sectPr w:rsidR="00C47B84" w:rsidRPr="00626A7E" w:rsidSect="00F10EB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1693" w14:textId="77777777" w:rsidR="0084779C" w:rsidRDefault="0084779C" w:rsidP="00F86CCC">
      <w:r>
        <w:separator/>
      </w:r>
    </w:p>
  </w:endnote>
  <w:endnote w:type="continuationSeparator" w:id="0">
    <w:p w14:paraId="7D2734FA" w14:textId="77777777" w:rsidR="0084779C" w:rsidRDefault="0084779C" w:rsidP="00F8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5691" w14:textId="77777777" w:rsidR="00FB57C3" w:rsidRDefault="00FB57C3" w:rsidP="00FB57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68710" w14:textId="77777777" w:rsidR="00FB57C3" w:rsidRDefault="00FB57C3" w:rsidP="00567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F91A" w14:textId="77777777" w:rsidR="00FB57C3" w:rsidRDefault="00FB57C3" w:rsidP="00FB57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826">
      <w:rPr>
        <w:rStyle w:val="PageNumber"/>
        <w:noProof/>
      </w:rPr>
      <w:t>1</w:t>
    </w:r>
    <w:r>
      <w:rPr>
        <w:rStyle w:val="PageNumber"/>
      </w:rPr>
      <w:fldChar w:fldCharType="end"/>
    </w:r>
  </w:p>
  <w:p w14:paraId="7B99399B" w14:textId="77777777" w:rsidR="00FB57C3" w:rsidRDefault="00FB57C3" w:rsidP="00567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683C" w14:textId="77777777" w:rsidR="0084779C" w:rsidRDefault="0084779C" w:rsidP="00F86CCC">
      <w:r>
        <w:separator/>
      </w:r>
    </w:p>
  </w:footnote>
  <w:footnote w:type="continuationSeparator" w:id="0">
    <w:p w14:paraId="23A37918" w14:textId="77777777" w:rsidR="0084779C" w:rsidRDefault="0084779C" w:rsidP="00F86CCC">
      <w:r>
        <w:continuationSeparator/>
      </w:r>
    </w:p>
  </w:footnote>
  <w:footnote w:id="1">
    <w:p w14:paraId="129098E1" w14:textId="40908BDC" w:rsidR="00123D08" w:rsidRDefault="00FB57C3" w:rsidP="0058027C">
      <w:pPr>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R</w:t>
      </w:r>
      <w:r w:rsidR="00B37D94">
        <w:rPr>
          <w:rFonts w:ascii="Times New Roman" w:hAnsi="Times New Roman" w:cs="Times New Roman"/>
          <w:sz w:val="20"/>
          <w:szCs w:val="20"/>
        </w:rPr>
        <w:t>ichard</w:t>
      </w:r>
      <w:r w:rsidRPr="00F134E5">
        <w:rPr>
          <w:rFonts w:ascii="Times New Roman" w:hAnsi="Times New Roman" w:cs="Times New Roman"/>
          <w:sz w:val="20"/>
          <w:szCs w:val="20"/>
        </w:rPr>
        <w:t xml:space="preserve"> Hill, </w:t>
      </w:r>
      <w:r w:rsidRPr="00F134E5">
        <w:rPr>
          <w:rFonts w:ascii="Times New Roman" w:hAnsi="Times New Roman" w:cs="Times New Roman"/>
          <w:i/>
          <w:sz w:val="20"/>
          <w:szCs w:val="20"/>
        </w:rPr>
        <w:t>The Labour Party and Economic Strategy 1979-97: The Long Road Back</w:t>
      </w:r>
      <w:r w:rsidRPr="00F134E5">
        <w:rPr>
          <w:rFonts w:ascii="Times New Roman" w:hAnsi="Times New Roman" w:cs="Times New Roman"/>
          <w:sz w:val="20"/>
          <w:szCs w:val="20"/>
        </w:rPr>
        <w:t>, (London</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Palgrave, 2001), </w:t>
      </w:r>
    </w:p>
    <w:p w14:paraId="0A82A3D9" w14:textId="5045B20D" w:rsidR="00FB57C3" w:rsidRPr="00F134E5" w:rsidRDefault="00123D08" w:rsidP="0058027C">
      <w:pPr>
        <w:jc w:val="both"/>
        <w:rPr>
          <w:rFonts w:ascii="Times New Roman" w:hAnsi="Times New Roman" w:cs="Times New Roman"/>
          <w:sz w:val="20"/>
          <w:szCs w:val="20"/>
        </w:rPr>
      </w:pPr>
      <w:r>
        <w:rPr>
          <w:rFonts w:ascii="Times New Roman" w:hAnsi="Times New Roman" w:cs="Times New Roman"/>
          <w:sz w:val="20"/>
          <w:szCs w:val="20"/>
        </w:rPr>
        <w:t xml:space="preserve">p. </w:t>
      </w:r>
      <w:r w:rsidR="00FB57C3" w:rsidRPr="00F134E5">
        <w:rPr>
          <w:rFonts w:ascii="Times New Roman" w:hAnsi="Times New Roman" w:cs="Times New Roman"/>
          <w:sz w:val="20"/>
          <w:szCs w:val="20"/>
        </w:rPr>
        <w:t>4.</w:t>
      </w:r>
    </w:p>
  </w:footnote>
  <w:footnote w:id="2">
    <w:p w14:paraId="226F3312" w14:textId="045248AC"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w:t>
      </w:r>
      <w:r w:rsidR="00822509">
        <w:rPr>
          <w:rFonts w:ascii="Times New Roman" w:hAnsi="Times New Roman" w:cs="Times New Roman"/>
          <w:sz w:val="20"/>
          <w:szCs w:val="20"/>
        </w:rPr>
        <w:t>olin</w:t>
      </w:r>
      <w:r w:rsidRPr="00F134E5">
        <w:rPr>
          <w:rFonts w:ascii="Times New Roman" w:hAnsi="Times New Roman" w:cs="Times New Roman"/>
          <w:sz w:val="20"/>
          <w:szCs w:val="20"/>
        </w:rPr>
        <w:t xml:space="preserve"> Hughes and P</w:t>
      </w:r>
      <w:r w:rsidR="00822509">
        <w:rPr>
          <w:rFonts w:ascii="Times New Roman" w:hAnsi="Times New Roman" w:cs="Times New Roman"/>
          <w:sz w:val="20"/>
          <w:szCs w:val="20"/>
        </w:rPr>
        <w:t>atrick</w:t>
      </w:r>
      <w:r w:rsidRPr="00F134E5">
        <w:rPr>
          <w:rFonts w:ascii="Times New Roman" w:hAnsi="Times New Roman" w:cs="Times New Roman"/>
          <w:sz w:val="20"/>
          <w:szCs w:val="20"/>
        </w:rPr>
        <w:t xml:space="preserve"> Wintour, </w:t>
      </w:r>
      <w:r w:rsidRPr="00F134E5">
        <w:rPr>
          <w:rFonts w:ascii="Times New Roman" w:hAnsi="Times New Roman" w:cs="Times New Roman"/>
          <w:i/>
          <w:sz w:val="20"/>
          <w:szCs w:val="20"/>
        </w:rPr>
        <w:t xml:space="preserve">Labour Rebuilt: The New Model Party, </w:t>
      </w:r>
      <w:r w:rsidRPr="00F134E5">
        <w:rPr>
          <w:rFonts w:ascii="Times New Roman" w:hAnsi="Times New Roman" w:cs="Times New Roman"/>
          <w:sz w:val="20"/>
          <w:szCs w:val="20"/>
        </w:rPr>
        <w:t>(London</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Fourth Estate, 1990), </w:t>
      </w:r>
      <w:r w:rsidR="00123D08">
        <w:rPr>
          <w:rFonts w:ascii="Times New Roman" w:hAnsi="Times New Roman" w:cs="Times New Roman"/>
          <w:sz w:val="20"/>
          <w:szCs w:val="20"/>
        </w:rPr>
        <w:t xml:space="preserve">p. </w:t>
      </w:r>
      <w:r w:rsidRPr="00F134E5">
        <w:rPr>
          <w:rFonts w:ascii="Times New Roman" w:hAnsi="Times New Roman" w:cs="Times New Roman"/>
          <w:sz w:val="20"/>
          <w:szCs w:val="20"/>
        </w:rPr>
        <w:t>6</w:t>
      </w:r>
      <w:r w:rsidR="00123D08">
        <w:rPr>
          <w:rFonts w:ascii="Times New Roman" w:hAnsi="Times New Roman" w:cs="Times New Roman"/>
          <w:sz w:val="20"/>
          <w:szCs w:val="20"/>
        </w:rPr>
        <w:t>.</w:t>
      </w:r>
    </w:p>
  </w:footnote>
  <w:footnote w:id="3">
    <w:p w14:paraId="0EEBB182" w14:textId="63BAA87A"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G</w:t>
      </w:r>
      <w:r w:rsidR="00822509">
        <w:rPr>
          <w:rFonts w:ascii="Times New Roman" w:hAnsi="Times New Roman" w:cs="Times New Roman"/>
          <w:sz w:val="20"/>
          <w:szCs w:val="20"/>
        </w:rPr>
        <w:t>iles</w:t>
      </w:r>
      <w:r w:rsidRPr="00F134E5">
        <w:rPr>
          <w:rFonts w:ascii="Times New Roman" w:hAnsi="Times New Roman" w:cs="Times New Roman"/>
          <w:sz w:val="20"/>
          <w:szCs w:val="20"/>
        </w:rPr>
        <w:t xml:space="preserve"> Radice, </w:t>
      </w:r>
      <w:r w:rsidRPr="00F134E5">
        <w:rPr>
          <w:rFonts w:ascii="Times New Roman" w:hAnsi="Times New Roman" w:cs="Times New Roman"/>
          <w:i/>
          <w:sz w:val="20"/>
          <w:szCs w:val="20"/>
        </w:rPr>
        <w:t>Labour’s Path to Power: The New Revisionism</w:t>
      </w:r>
      <w:r w:rsidRPr="00F134E5">
        <w:rPr>
          <w:rFonts w:ascii="Times New Roman" w:hAnsi="Times New Roman" w:cs="Times New Roman"/>
          <w:sz w:val="20"/>
          <w:szCs w:val="20"/>
        </w:rPr>
        <w:t>, Basingstoke</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Macmillan, 1989), </w:t>
      </w:r>
      <w:r w:rsidR="00123D08">
        <w:rPr>
          <w:rFonts w:ascii="Times New Roman" w:hAnsi="Times New Roman" w:cs="Times New Roman"/>
          <w:sz w:val="20"/>
          <w:szCs w:val="20"/>
        </w:rPr>
        <w:t xml:space="preserve">p. </w:t>
      </w:r>
      <w:r w:rsidRPr="00F134E5">
        <w:rPr>
          <w:rFonts w:ascii="Times New Roman" w:hAnsi="Times New Roman" w:cs="Times New Roman"/>
          <w:sz w:val="20"/>
          <w:szCs w:val="20"/>
        </w:rPr>
        <w:t>57.</w:t>
      </w:r>
    </w:p>
  </w:footnote>
  <w:footnote w:id="4">
    <w:p w14:paraId="4A9B3822" w14:textId="55DD9ACE"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See, e.g. IPSOS-MORI’s ‘Economic Optimism Index’</w:t>
      </w:r>
      <w:r w:rsidR="00123D08">
        <w:rPr>
          <w:rFonts w:ascii="Times New Roman" w:hAnsi="Times New Roman" w:cs="Times New Roman"/>
          <w:sz w:val="20"/>
          <w:szCs w:val="20"/>
        </w:rPr>
        <w:t>.</w:t>
      </w:r>
    </w:p>
  </w:footnote>
  <w:footnote w:id="5">
    <w:p w14:paraId="7A4FC946" w14:textId="1AF59B17"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The Guardian</w:t>
      </w:r>
      <w:r w:rsidR="00B37D94">
        <w:rPr>
          <w:rFonts w:ascii="Times New Roman" w:hAnsi="Times New Roman" w:cs="Times New Roman"/>
          <w:sz w:val="20"/>
          <w:szCs w:val="20"/>
        </w:rPr>
        <w:t xml:space="preserve">, 2 August 2015 via </w:t>
      </w:r>
      <w:hyperlink r:id="rId1" w:history="1">
        <w:r w:rsidR="00B37D94" w:rsidRPr="00C9433E">
          <w:rPr>
            <w:rStyle w:val="Hyperlink"/>
            <w:rFonts w:ascii="Times New Roman" w:hAnsi="Times New Roman" w:cs="Times New Roman"/>
            <w:sz w:val="20"/>
            <w:szCs w:val="20"/>
          </w:rPr>
          <w:t>https://www.theguardian.com/commentisfree/2015/aug/02/labour-split-corbyn-blairites</w:t>
        </w:r>
      </w:hyperlink>
      <w:r w:rsidR="00B37D94">
        <w:rPr>
          <w:rFonts w:ascii="Times New Roman" w:hAnsi="Times New Roman" w:cs="Times New Roman"/>
          <w:sz w:val="20"/>
          <w:szCs w:val="20"/>
        </w:rPr>
        <w:t xml:space="preserve"> [accessed 14 January 2017].</w:t>
      </w:r>
    </w:p>
  </w:footnote>
  <w:footnote w:id="6">
    <w:p w14:paraId="2BDE8EB6" w14:textId="40E96AB1"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IPSOS-MORI, ‘Polls on Labour Party’s Image,’ 1983-1992. </w:t>
      </w:r>
    </w:p>
  </w:footnote>
  <w:footnote w:id="7">
    <w:p w14:paraId="4BEEFDC0" w14:textId="3C0BD70C"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To contextualize the success of Kinnock, see C</w:t>
      </w:r>
      <w:r w:rsidR="00822509">
        <w:rPr>
          <w:rFonts w:ascii="Times New Roman" w:hAnsi="Times New Roman" w:cs="Times New Roman"/>
          <w:sz w:val="20"/>
          <w:szCs w:val="20"/>
        </w:rPr>
        <w:t>harles</w:t>
      </w:r>
      <w:r w:rsidRPr="00F134E5">
        <w:rPr>
          <w:rFonts w:ascii="Times New Roman" w:hAnsi="Times New Roman" w:cs="Times New Roman"/>
          <w:sz w:val="20"/>
          <w:szCs w:val="20"/>
        </w:rPr>
        <w:t xml:space="preserve"> Clarke, ‘Measuring the Success or Failure of Labour Leaders: The General Election Test,’ in C</w:t>
      </w:r>
      <w:r w:rsidR="00822509">
        <w:rPr>
          <w:rFonts w:ascii="Times New Roman" w:hAnsi="Times New Roman" w:cs="Times New Roman"/>
          <w:sz w:val="20"/>
          <w:szCs w:val="20"/>
        </w:rPr>
        <w:t>harles</w:t>
      </w:r>
      <w:r w:rsidRPr="00F134E5">
        <w:rPr>
          <w:rFonts w:ascii="Times New Roman" w:hAnsi="Times New Roman" w:cs="Times New Roman"/>
          <w:sz w:val="20"/>
          <w:szCs w:val="20"/>
        </w:rPr>
        <w:t xml:space="preserve"> Clarke and </w:t>
      </w:r>
      <w:r w:rsidR="00822509">
        <w:rPr>
          <w:rFonts w:ascii="Times New Roman" w:hAnsi="Times New Roman" w:cs="Times New Roman"/>
          <w:sz w:val="20"/>
          <w:szCs w:val="20"/>
        </w:rPr>
        <w:t xml:space="preserve">Toby </w:t>
      </w:r>
      <w:r w:rsidRPr="00F134E5">
        <w:rPr>
          <w:rFonts w:ascii="Times New Roman" w:hAnsi="Times New Roman" w:cs="Times New Roman"/>
          <w:sz w:val="20"/>
          <w:szCs w:val="20"/>
        </w:rPr>
        <w:t xml:space="preserve">S. James (eds), </w:t>
      </w:r>
      <w:r w:rsidRPr="00F134E5">
        <w:rPr>
          <w:rFonts w:ascii="Times New Roman" w:hAnsi="Times New Roman" w:cs="Times New Roman"/>
          <w:i/>
          <w:sz w:val="20"/>
          <w:szCs w:val="20"/>
        </w:rPr>
        <w:t>British Labour Leaders</w:t>
      </w:r>
      <w:r w:rsidRPr="00F134E5">
        <w:rPr>
          <w:rFonts w:ascii="Times New Roman" w:hAnsi="Times New Roman" w:cs="Times New Roman"/>
          <w:sz w:val="20"/>
          <w:szCs w:val="20"/>
        </w:rPr>
        <w:t>, (London</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Palgrave, 2015), </w:t>
      </w:r>
      <w:r w:rsidR="00123D08">
        <w:rPr>
          <w:rFonts w:ascii="Times New Roman" w:hAnsi="Times New Roman" w:cs="Times New Roman"/>
          <w:sz w:val="20"/>
          <w:szCs w:val="20"/>
        </w:rPr>
        <w:t xml:space="preserve">pp. </w:t>
      </w:r>
      <w:r w:rsidRPr="00F134E5">
        <w:rPr>
          <w:rFonts w:ascii="Times New Roman" w:hAnsi="Times New Roman" w:cs="Times New Roman"/>
          <w:sz w:val="20"/>
          <w:szCs w:val="20"/>
        </w:rPr>
        <w:t>33-52</w:t>
      </w:r>
      <w:r w:rsidR="00123D08">
        <w:rPr>
          <w:rFonts w:ascii="Times New Roman" w:hAnsi="Times New Roman" w:cs="Times New Roman"/>
          <w:sz w:val="20"/>
          <w:szCs w:val="20"/>
        </w:rPr>
        <w:t>.</w:t>
      </w:r>
    </w:p>
  </w:footnote>
  <w:footnote w:id="8">
    <w:p w14:paraId="7F20B602" w14:textId="52EC71C5"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A note is necessary on the </w:t>
      </w:r>
      <w:proofErr w:type="gramStart"/>
      <w:r w:rsidRPr="00F134E5">
        <w:rPr>
          <w:rFonts w:ascii="Times New Roman" w:hAnsi="Times New Roman" w:cs="Times New Roman"/>
          <w:sz w:val="20"/>
          <w:szCs w:val="20"/>
        </w:rPr>
        <w:t>nomenclature,</w:t>
      </w:r>
      <w:proofErr w:type="gramEnd"/>
      <w:r w:rsidRPr="00F134E5">
        <w:rPr>
          <w:rFonts w:ascii="Times New Roman" w:hAnsi="Times New Roman" w:cs="Times New Roman"/>
          <w:sz w:val="20"/>
          <w:szCs w:val="20"/>
        </w:rPr>
        <w:t xml:space="preserve"> in the 1987 manifesto this institution was called a ‘British Industrial Investment Bank.’ To further complicate matters, in his 1986 </w:t>
      </w:r>
      <w:r w:rsidRPr="00F134E5">
        <w:rPr>
          <w:rFonts w:ascii="Times New Roman" w:hAnsi="Times New Roman" w:cs="Times New Roman"/>
          <w:i/>
          <w:sz w:val="20"/>
          <w:szCs w:val="20"/>
        </w:rPr>
        <w:t>Making Our Way</w:t>
      </w:r>
      <w:r w:rsidR="00623935" w:rsidRPr="00F134E5">
        <w:rPr>
          <w:rFonts w:ascii="Times New Roman" w:hAnsi="Times New Roman" w:cs="Times New Roman"/>
          <w:i/>
          <w:sz w:val="20"/>
          <w:szCs w:val="20"/>
        </w:rPr>
        <w:t>: Investing in Britain’s Future</w:t>
      </w:r>
      <w:r w:rsidR="00623935" w:rsidRPr="00F134E5">
        <w:rPr>
          <w:rFonts w:ascii="Times New Roman" w:hAnsi="Times New Roman" w:cs="Times New Roman"/>
          <w:sz w:val="20"/>
          <w:szCs w:val="20"/>
        </w:rPr>
        <w:t xml:space="preserve"> (London: Basil Blackwell)</w:t>
      </w:r>
      <w:r w:rsidR="002E2CA4" w:rsidRPr="00F134E5">
        <w:rPr>
          <w:rFonts w:ascii="Times New Roman" w:hAnsi="Times New Roman" w:cs="Times New Roman"/>
          <w:sz w:val="20"/>
          <w:szCs w:val="20"/>
        </w:rPr>
        <w:t xml:space="preserve">, Kinnock </w:t>
      </w:r>
      <w:r w:rsidRPr="00F134E5">
        <w:rPr>
          <w:rFonts w:ascii="Times New Roman" w:hAnsi="Times New Roman" w:cs="Times New Roman"/>
          <w:sz w:val="20"/>
          <w:szCs w:val="20"/>
        </w:rPr>
        <w:t>referred to it as the ‘British Investment Bank.’</w:t>
      </w:r>
    </w:p>
  </w:footnote>
  <w:footnote w:id="9">
    <w:p w14:paraId="7946F048" w14:textId="46D7D12C" w:rsidR="00063717" w:rsidRPr="00F134E5" w:rsidRDefault="00063717">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B37D94">
        <w:rPr>
          <w:rFonts w:ascii="Times New Roman" w:hAnsi="Times New Roman" w:cs="Times New Roman"/>
          <w:sz w:val="20"/>
          <w:szCs w:val="20"/>
        </w:rPr>
        <w:t xml:space="preserve"> Jim</w:t>
      </w:r>
      <w:r w:rsidRPr="00F134E5">
        <w:rPr>
          <w:rFonts w:ascii="Times New Roman" w:hAnsi="Times New Roman" w:cs="Times New Roman"/>
          <w:sz w:val="20"/>
          <w:szCs w:val="20"/>
        </w:rPr>
        <w:t xml:space="preserve"> Tomlinson, ‘Thatcherism, monetarism and the politics of inflation,’ in B</w:t>
      </w:r>
      <w:r w:rsidR="00822509">
        <w:rPr>
          <w:rFonts w:ascii="Times New Roman" w:hAnsi="Times New Roman" w:cs="Times New Roman"/>
          <w:sz w:val="20"/>
          <w:szCs w:val="20"/>
        </w:rPr>
        <w:t>en</w:t>
      </w:r>
      <w:r w:rsidRPr="00F134E5">
        <w:rPr>
          <w:rFonts w:ascii="Times New Roman" w:hAnsi="Times New Roman" w:cs="Times New Roman"/>
          <w:sz w:val="20"/>
          <w:szCs w:val="20"/>
        </w:rPr>
        <w:t xml:space="preserve"> Jackson and R</w:t>
      </w:r>
      <w:r w:rsidR="00822509">
        <w:rPr>
          <w:rFonts w:ascii="Times New Roman" w:hAnsi="Times New Roman" w:cs="Times New Roman"/>
          <w:sz w:val="20"/>
          <w:szCs w:val="20"/>
        </w:rPr>
        <w:t>obert</w:t>
      </w:r>
      <w:r w:rsidRPr="00F134E5">
        <w:rPr>
          <w:rFonts w:ascii="Times New Roman" w:hAnsi="Times New Roman" w:cs="Times New Roman"/>
          <w:sz w:val="20"/>
          <w:szCs w:val="20"/>
        </w:rPr>
        <w:t xml:space="preserve"> Saunders, </w:t>
      </w:r>
      <w:r w:rsidRPr="00F134E5">
        <w:rPr>
          <w:rFonts w:ascii="Times New Roman" w:hAnsi="Times New Roman" w:cs="Times New Roman"/>
          <w:i/>
          <w:sz w:val="20"/>
          <w:szCs w:val="20"/>
        </w:rPr>
        <w:t>Making Thatcher’s Britain</w:t>
      </w:r>
      <w:r w:rsidR="009E0592" w:rsidRPr="00F134E5">
        <w:rPr>
          <w:rFonts w:ascii="Times New Roman" w:hAnsi="Times New Roman" w:cs="Times New Roman"/>
          <w:i/>
          <w:sz w:val="20"/>
          <w:szCs w:val="20"/>
        </w:rPr>
        <w:t xml:space="preserve">, </w:t>
      </w:r>
      <w:r w:rsidR="009E0592" w:rsidRPr="00F134E5">
        <w:rPr>
          <w:rFonts w:ascii="Times New Roman" w:hAnsi="Times New Roman" w:cs="Times New Roman"/>
          <w:sz w:val="20"/>
          <w:szCs w:val="20"/>
        </w:rPr>
        <w:t xml:space="preserve">(Cambridge: CUP, 2012), </w:t>
      </w:r>
      <w:r w:rsidR="00123D08">
        <w:rPr>
          <w:rFonts w:ascii="Times New Roman" w:hAnsi="Times New Roman" w:cs="Times New Roman"/>
          <w:sz w:val="20"/>
          <w:szCs w:val="20"/>
        </w:rPr>
        <w:t xml:space="preserve">pp. </w:t>
      </w:r>
      <w:r w:rsidR="009E0592" w:rsidRPr="00F134E5">
        <w:rPr>
          <w:rFonts w:ascii="Times New Roman" w:hAnsi="Times New Roman" w:cs="Times New Roman"/>
          <w:sz w:val="20"/>
          <w:szCs w:val="20"/>
        </w:rPr>
        <w:t xml:space="preserve">62-77, </w:t>
      </w:r>
      <w:r w:rsidR="00123D08">
        <w:rPr>
          <w:rFonts w:ascii="Times New Roman" w:hAnsi="Times New Roman" w:cs="Times New Roman"/>
          <w:sz w:val="20"/>
          <w:szCs w:val="20"/>
        </w:rPr>
        <w:t xml:space="preserve">p. </w:t>
      </w:r>
      <w:r w:rsidR="009E0592" w:rsidRPr="00F134E5">
        <w:rPr>
          <w:rFonts w:ascii="Times New Roman" w:hAnsi="Times New Roman" w:cs="Times New Roman"/>
          <w:sz w:val="20"/>
          <w:szCs w:val="20"/>
        </w:rPr>
        <w:t>70</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w:t>
      </w:r>
    </w:p>
  </w:footnote>
  <w:footnote w:id="10">
    <w:p w14:paraId="22DC3C81" w14:textId="37F09441"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R</w:t>
      </w:r>
      <w:r w:rsidR="00822509">
        <w:rPr>
          <w:rFonts w:ascii="Times New Roman" w:hAnsi="Times New Roman" w:cs="Times New Roman"/>
          <w:sz w:val="20"/>
          <w:szCs w:val="20"/>
        </w:rPr>
        <w:t>ichard</w:t>
      </w:r>
      <w:r w:rsidRPr="00F134E5">
        <w:rPr>
          <w:rFonts w:ascii="Times New Roman" w:hAnsi="Times New Roman" w:cs="Times New Roman"/>
          <w:sz w:val="20"/>
          <w:szCs w:val="20"/>
        </w:rPr>
        <w:t xml:space="preserve"> Carr, </w:t>
      </w:r>
      <w:r w:rsidRPr="00F134E5">
        <w:rPr>
          <w:rFonts w:ascii="Times New Roman" w:hAnsi="Times New Roman" w:cs="Times New Roman"/>
          <w:i/>
          <w:sz w:val="20"/>
          <w:szCs w:val="20"/>
        </w:rPr>
        <w:t>Credit Where Credit’s Due: Investing in local infrastructure to get Britain growing</w:t>
      </w:r>
      <w:r w:rsidRPr="00F134E5">
        <w:rPr>
          <w:rFonts w:ascii="Times New Roman" w:hAnsi="Times New Roman" w:cs="Times New Roman"/>
          <w:sz w:val="20"/>
          <w:szCs w:val="20"/>
        </w:rPr>
        <w:t>, (London</w:t>
      </w:r>
      <w:r w:rsidR="00123D08">
        <w:rPr>
          <w:rFonts w:ascii="Times New Roman" w:hAnsi="Times New Roman" w:cs="Times New Roman"/>
          <w:sz w:val="20"/>
          <w:szCs w:val="20"/>
        </w:rPr>
        <w:t>:</w:t>
      </w:r>
      <w:r w:rsidR="00B37D94">
        <w:rPr>
          <w:rFonts w:ascii="Times New Roman" w:hAnsi="Times New Roman" w:cs="Times New Roman"/>
          <w:sz w:val="20"/>
          <w:szCs w:val="20"/>
        </w:rPr>
        <w:t xml:space="preserve"> Localis, 2012). See also Nick</w:t>
      </w:r>
      <w:r w:rsidRPr="00F134E5">
        <w:rPr>
          <w:rFonts w:ascii="Times New Roman" w:hAnsi="Times New Roman" w:cs="Times New Roman"/>
          <w:sz w:val="20"/>
          <w:szCs w:val="20"/>
        </w:rPr>
        <w:t xml:space="preserve"> Tott, </w:t>
      </w:r>
      <w:r w:rsidRPr="00F134E5">
        <w:rPr>
          <w:rFonts w:ascii="Times New Roman" w:hAnsi="Times New Roman" w:cs="Times New Roman"/>
          <w:i/>
          <w:sz w:val="20"/>
          <w:szCs w:val="20"/>
        </w:rPr>
        <w:t xml:space="preserve">The Case for a British Investment Bank: A Report of Labour’s Policy </w:t>
      </w:r>
      <w:r w:rsidRPr="00F134E5">
        <w:rPr>
          <w:rFonts w:ascii="Times New Roman" w:hAnsi="Times New Roman" w:cs="Times New Roman"/>
          <w:sz w:val="20"/>
          <w:szCs w:val="20"/>
        </w:rPr>
        <w:t>Review, (London</w:t>
      </w:r>
      <w:r w:rsidR="00123D08">
        <w:rPr>
          <w:rFonts w:ascii="Times New Roman" w:hAnsi="Times New Roman" w:cs="Times New Roman"/>
          <w:sz w:val="20"/>
          <w:szCs w:val="20"/>
        </w:rPr>
        <w:t>:</w:t>
      </w:r>
      <w:r w:rsidRPr="00F134E5">
        <w:rPr>
          <w:rFonts w:ascii="Times New Roman" w:hAnsi="Times New Roman" w:cs="Times New Roman"/>
          <w:sz w:val="20"/>
          <w:szCs w:val="20"/>
        </w:rPr>
        <w:t xml:space="preserve"> Labour Party, 2012), and, utilising a different funding model, R</w:t>
      </w:r>
      <w:r w:rsidR="00822509">
        <w:rPr>
          <w:rFonts w:ascii="Times New Roman" w:hAnsi="Times New Roman" w:cs="Times New Roman"/>
          <w:sz w:val="20"/>
          <w:szCs w:val="20"/>
        </w:rPr>
        <w:t>ichard</w:t>
      </w:r>
      <w:r w:rsidRPr="00F134E5">
        <w:rPr>
          <w:rFonts w:ascii="Times New Roman" w:hAnsi="Times New Roman" w:cs="Times New Roman"/>
          <w:sz w:val="20"/>
          <w:szCs w:val="20"/>
        </w:rPr>
        <w:t xml:space="preserve"> Carr, ‘Tackling the ‘money octopus’: the financial sector and the One Nation tradition,’ </w:t>
      </w:r>
      <w:r w:rsidRPr="00F134E5">
        <w:rPr>
          <w:rFonts w:ascii="Times New Roman" w:hAnsi="Times New Roman" w:cs="Times New Roman"/>
          <w:i/>
          <w:sz w:val="20"/>
          <w:szCs w:val="20"/>
        </w:rPr>
        <w:t>Renewal</w:t>
      </w:r>
      <w:r w:rsidRPr="00F134E5">
        <w:rPr>
          <w:rFonts w:ascii="Times New Roman" w:hAnsi="Times New Roman" w:cs="Times New Roman"/>
          <w:sz w:val="20"/>
          <w:szCs w:val="20"/>
        </w:rPr>
        <w:t xml:space="preserve"> 23/1-2 (2015), 30-43.</w:t>
      </w:r>
    </w:p>
  </w:footnote>
  <w:footnote w:id="11">
    <w:p w14:paraId="31E78907" w14:textId="7F2A488B" w:rsidR="00FB57C3" w:rsidRPr="00F134E5" w:rsidRDefault="00FB57C3" w:rsidP="0058027C">
      <w:pPr>
        <w:pStyle w:val="NormalWeb"/>
        <w:spacing w:before="0" w:beforeAutospacing="0" w:after="0" w:afterAutospacing="0"/>
        <w:jc w:val="both"/>
        <w:rPr>
          <w:sz w:val="20"/>
          <w:szCs w:val="20"/>
        </w:rPr>
      </w:pPr>
      <w:r w:rsidRPr="00F134E5">
        <w:rPr>
          <w:rStyle w:val="FootnoteReference"/>
          <w:sz w:val="20"/>
          <w:szCs w:val="20"/>
        </w:rPr>
        <w:footnoteRef/>
      </w:r>
      <w:r w:rsidRPr="00F134E5">
        <w:rPr>
          <w:sz w:val="20"/>
          <w:szCs w:val="20"/>
        </w:rPr>
        <w:t xml:space="preserve"> D</w:t>
      </w:r>
      <w:r w:rsidR="005D7144">
        <w:rPr>
          <w:sz w:val="20"/>
          <w:szCs w:val="20"/>
        </w:rPr>
        <w:t>onald</w:t>
      </w:r>
      <w:r w:rsidRPr="00F134E5">
        <w:rPr>
          <w:sz w:val="20"/>
          <w:szCs w:val="20"/>
        </w:rPr>
        <w:t xml:space="preserve"> E. Stokes, 'Spatial Models of Party Competition', </w:t>
      </w:r>
      <w:r w:rsidRPr="00F134E5">
        <w:rPr>
          <w:i/>
          <w:iCs/>
          <w:sz w:val="20"/>
          <w:szCs w:val="20"/>
        </w:rPr>
        <w:t>American Political Science Review</w:t>
      </w:r>
      <w:r w:rsidRPr="00F134E5">
        <w:rPr>
          <w:sz w:val="20"/>
          <w:szCs w:val="20"/>
        </w:rPr>
        <w:t xml:space="preserve">, 57 (1963), </w:t>
      </w:r>
      <w:r w:rsidR="00123D08">
        <w:rPr>
          <w:sz w:val="20"/>
          <w:szCs w:val="20"/>
        </w:rPr>
        <w:t xml:space="preserve">pp. </w:t>
      </w:r>
      <w:r w:rsidRPr="00F134E5">
        <w:rPr>
          <w:sz w:val="20"/>
          <w:szCs w:val="20"/>
        </w:rPr>
        <w:t>368-77.</w:t>
      </w:r>
    </w:p>
  </w:footnote>
  <w:footnote w:id="12">
    <w:p w14:paraId="5B192A5F" w14:textId="426F7A58"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w:t>
      </w:r>
      <w:r w:rsidR="005D7144">
        <w:rPr>
          <w:rFonts w:ascii="Times New Roman" w:hAnsi="Times New Roman" w:cs="Times New Roman"/>
          <w:sz w:val="20"/>
          <w:szCs w:val="20"/>
        </w:rPr>
        <w:t>olin</w:t>
      </w:r>
      <w:r w:rsidRPr="00F134E5">
        <w:rPr>
          <w:rFonts w:ascii="Times New Roman" w:hAnsi="Times New Roman" w:cs="Times New Roman"/>
          <w:sz w:val="20"/>
          <w:szCs w:val="20"/>
        </w:rPr>
        <w:t xml:space="preserve"> Hays, </w:t>
      </w:r>
      <w:r w:rsidRPr="00F134E5">
        <w:rPr>
          <w:rFonts w:ascii="Times New Roman" w:hAnsi="Times New Roman" w:cs="Times New Roman"/>
          <w:i/>
          <w:sz w:val="20"/>
          <w:szCs w:val="20"/>
        </w:rPr>
        <w:t xml:space="preserve">The political economy of New Labour: Labouring under false </w:t>
      </w:r>
      <w:proofErr w:type="gramStart"/>
      <w:r w:rsidRPr="00F134E5">
        <w:rPr>
          <w:rFonts w:ascii="Times New Roman" w:hAnsi="Times New Roman" w:cs="Times New Roman"/>
          <w:i/>
          <w:sz w:val="20"/>
          <w:szCs w:val="20"/>
        </w:rPr>
        <w:t>pretences?</w:t>
      </w:r>
      <w:r w:rsidRPr="00F134E5">
        <w:rPr>
          <w:rFonts w:ascii="Times New Roman" w:hAnsi="Times New Roman" w:cs="Times New Roman"/>
          <w:sz w:val="20"/>
          <w:szCs w:val="20"/>
        </w:rPr>
        <w:t>,</w:t>
      </w:r>
      <w:proofErr w:type="gramEnd"/>
      <w:r w:rsidRPr="00F134E5">
        <w:rPr>
          <w:rFonts w:ascii="Times New Roman" w:hAnsi="Times New Roman" w:cs="Times New Roman"/>
          <w:sz w:val="20"/>
          <w:szCs w:val="20"/>
        </w:rPr>
        <w:t xml:space="preserve"> (Manchester</w:t>
      </w:r>
      <w:r w:rsidR="00C31042">
        <w:rPr>
          <w:rFonts w:ascii="Times New Roman" w:hAnsi="Times New Roman" w:cs="Times New Roman"/>
          <w:sz w:val="20"/>
          <w:szCs w:val="20"/>
        </w:rPr>
        <w:t>:</w:t>
      </w:r>
      <w:r w:rsidRPr="00F134E5">
        <w:rPr>
          <w:rFonts w:ascii="Times New Roman" w:hAnsi="Times New Roman" w:cs="Times New Roman"/>
          <w:sz w:val="20"/>
          <w:szCs w:val="20"/>
        </w:rPr>
        <w:t xml:space="preserve"> MUP, 1999); D</w:t>
      </w:r>
      <w:r w:rsidR="005D7144">
        <w:rPr>
          <w:rFonts w:ascii="Times New Roman" w:hAnsi="Times New Roman" w:cs="Times New Roman"/>
          <w:sz w:val="20"/>
          <w:szCs w:val="20"/>
        </w:rPr>
        <w:t>ianne</w:t>
      </w:r>
      <w:r w:rsidRPr="00F134E5">
        <w:rPr>
          <w:rFonts w:ascii="Times New Roman" w:hAnsi="Times New Roman" w:cs="Times New Roman"/>
          <w:sz w:val="20"/>
          <w:szCs w:val="20"/>
        </w:rPr>
        <w:t xml:space="preserve"> Hayter, </w:t>
      </w:r>
      <w:r w:rsidRPr="00F134E5">
        <w:rPr>
          <w:rFonts w:ascii="Times New Roman" w:hAnsi="Times New Roman" w:cs="Times New Roman"/>
          <w:i/>
          <w:sz w:val="20"/>
          <w:szCs w:val="20"/>
        </w:rPr>
        <w:t>Fightback! Labour’s Traditional Right in the 1970s and 1980s</w:t>
      </w:r>
      <w:r w:rsidRPr="00F134E5">
        <w:rPr>
          <w:rFonts w:ascii="Times New Roman" w:hAnsi="Times New Roman" w:cs="Times New Roman"/>
          <w:sz w:val="20"/>
          <w:szCs w:val="20"/>
        </w:rPr>
        <w:t>, (Manchester</w:t>
      </w:r>
      <w:r w:rsidR="00C31042">
        <w:rPr>
          <w:rFonts w:ascii="Times New Roman" w:hAnsi="Times New Roman" w:cs="Times New Roman"/>
          <w:sz w:val="20"/>
          <w:szCs w:val="20"/>
        </w:rPr>
        <w:t xml:space="preserve">: </w:t>
      </w:r>
      <w:r w:rsidRPr="00F134E5">
        <w:rPr>
          <w:rFonts w:ascii="Times New Roman" w:hAnsi="Times New Roman" w:cs="Times New Roman"/>
          <w:sz w:val="20"/>
          <w:szCs w:val="20"/>
        </w:rPr>
        <w:t>MUP, 2005)</w:t>
      </w:r>
      <w:r w:rsidR="00123D08">
        <w:rPr>
          <w:rFonts w:ascii="Times New Roman" w:hAnsi="Times New Roman" w:cs="Times New Roman"/>
          <w:sz w:val="20"/>
          <w:szCs w:val="20"/>
        </w:rPr>
        <w:t>.</w:t>
      </w:r>
    </w:p>
  </w:footnote>
  <w:footnote w:id="13">
    <w:p w14:paraId="5CA92BCE" w14:textId="49B56061"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004A7A64" w:rsidRPr="00F134E5">
        <w:rPr>
          <w:rFonts w:ascii="Times New Roman" w:hAnsi="Times New Roman" w:cs="Times New Roman"/>
          <w:sz w:val="20"/>
          <w:szCs w:val="20"/>
        </w:rPr>
        <w:t>From an economic standpoint, see R</w:t>
      </w:r>
      <w:r w:rsidR="005D7144">
        <w:rPr>
          <w:rFonts w:ascii="Times New Roman" w:hAnsi="Times New Roman" w:cs="Times New Roman"/>
          <w:sz w:val="20"/>
          <w:szCs w:val="20"/>
        </w:rPr>
        <w:t>ichard</w:t>
      </w:r>
      <w:r w:rsidRPr="00F134E5">
        <w:rPr>
          <w:rFonts w:ascii="Times New Roman" w:hAnsi="Times New Roman" w:cs="Times New Roman"/>
          <w:sz w:val="20"/>
          <w:szCs w:val="20"/>
        </w:rPr>
        <w:t xml:space="preserve"> Coopey, ‘The First Venture Capitalist: Financing Development in Britain After 1945: The Case of ICFC/3i,’ </w:t>
      </w:r>
      <w:r w:rsidRPr="00F134E5">
        <w:rPr>
          <w:rFonts w:ascii="Times New Roman" w:hAnsi="Times New Roman" w:cs="Times New Roman"/>
          <w:i/>
          <w:sz w:val="20"/>
          <w:szCs w:val="20"/>
        </w:rPr>
        <w:t>Business and Economic History</w:t>
      </w:r>
      <w:r w:rsidRPr="00F134E5">
        <w:rPr>
          <w:rFonts w:ascii="Times New Roman" w:hAnsi="Times New Roman" w:cs="Times New Roman"/>
          <w:sz w:val="20"/>
          <w:szCs w:val="20"/>
        </w:rPr>
        <w:t>, 23/1 (1994), 262-271</w:t>
      </w:r>
      <w:r w:rsidR="004A7A64" w:rsidRPr="00F134E5">
        <w:rPr>
          <w:rFonts w:ascii="Times New Roman" w:hAnsi="Times New Roman" w:cs="Times New Roman"/>
          <w:sz w:val="20"/>
          <w:szCs w:val="20"/>
        </w:rPr>
        <w:t>.</w:t>
      </w:r>
    </w:p>
  </w:footnote>
  <w:footnote w:id="14">
    <w:p w14:paraId="57B5F422" w14:textId="545456DB" w:rsidR="00DC2CB4" w:rsidRPr="00F134E5" w:rsidRDefault="00DC2CB4">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002B34A6" w:rsidRPr="00F134E5">
        <w:rPr>
          <w:rFonts w:ascii="Times New Roman" w:hAnsi="Times New Roman" w:cs="Times New Roman"/>
          <w:sz w:val="20"/>
          <w:szCs w:val="20"/>
        </w:rPr>
        <w:t>Thanks are due to Lords John Eatwell and Charles Williams, Paul Flynn MP and Bryan Gould for their comments.</w:t>
      </w:r>
    </w:p>
  </w:footnote>
  <w:footnote w:id="15">
    <w:p w14:paraId="37BD1825" w14:textId="4B0D1E6E" w:rsidR="00851293" w:rsidRPr="00F555B9" w:rsidRDefault="00851293" w:rsidP="00F555B9">
      <w:pPr>
        <w:pStyle w:val="FootnoteText"/>
        <w:jc w:val="both"/>
        <w:rPr>
          <w:rFonts w:ascii="Times New Roman" w:hAnsi="Times New Roman" w:cs="Times New Roman"/>
          <w:sz w:val="20"/>
          <w:szCs w:val="20"/>
        </w:rPr>
      </w:pPr>
      <w:r w:rsidRPr="00AB6F7E">
        <w:rPr>
          <w:rStyle w:val="FootnoteReference"/>
          <w:rFonts w:ascii="Times New Roman" w:hAnsi="Times New Roman" w:cs="Times New Roman"/>
          <w:sz w:val="20"/>
          <w:szCs w:val="20"/>
        </w:rPr>
        <w:footnoteRef/>
      </w:r>
      <w:r w:rsidRPr="00F555B9">
        <w:rPr>
          <w:rFonts w:ascii="Times New Roman" w:hAnsi="Times New Roman" w:cs="Times New Roman"/>
          <w:sz w:val="20"/>
          <w:szCs w:val="20"/>
        </w:rPr>
        <w:t xml:space="preserve"> Given the extent to which it is repeated, it is worth laying out in full Peter Mandelson’s famous quote. New Labour was indeed ‘inten</w:t>
      </w:r>
      <w:r w:rsidRPr="00F325D3">
        <w:rPr>
          <w:rFonts w:ascii="Times New Roman" w:hAnsi="Times New Roman" w:cs="Times New Roman"/>
          <w:sz w:val="20"/>
          <w:szCs w:val="20"/>
        </w:rPr>
        <w:t>sely relaxed about people gettin</w:t>
      </w:r>
      <w:r w:rsidRPr="00F555B9">
        <w:rPr>
          <w:rFonts w:ascii="Times New Roman" w:hAnsi="Times New Roman" w:cs="Times New Roman"/>
          <w:sz w:val="20"/>
          <w:szCs w:val="20"/>
        </w:rPr>
        <w:t xml:space="preserve">g filthy rich.’ </w:t>
      </w:r>
      <w:r w:rsidR="00F555B9" w:rsidRPr="00F555B9">
        <w:rPr>
          <w:rFonts w:ascii="Times New Roman" w:hAnsi="Times New Roman" w:cs="Times New Roman"/>
          <w:sz w:val="20"/>
          <w:szCs w:val="20"/>
        </w:rPr>
        <w:t>However,</w:t>
      </w:r>
      <w:r w:rsidRPr="00F555B9">
        <w:rPr>
          <w:rFonts w:ascii="Times New Roman" w:hAnsi="Times New Roman" w:cs="Times New Roman"/>
          <w:sz w:val="20"/>
          <w:szCs w:val="20"/>
        </w:rPr>
        <w:t xml:space="preserve"> this was always ‘as long as they pay their taxes.’</w:t>
      </w:r>
    </w:p>
  </w:footnote>
  <w:footnote w:id="16">
    <w:p w14:paraId="79F871C7" w14:textId="17C556A2" w:rsidR="00851293" w:rsidRPr="00F555B9" w:rsidRDefault="00851293">
      <w:pPr>
        <w:pStyle w:val="FootnoteText"/>
        <w:rPr>
          <w:rFonts w:ascii="Times New Roman" w:hAnsi="Times New Roman" w:cs="Times New Roman"/>
          <w:sz w:val="20"/>
          <w:szCs w:val="20"/>
        </w:rPr>
      </w:pPr>
      <w:r w:rsidRPr="00F555B9">
        <w:rPr>
          <w:rStyle w:val="FootnoteReference"/>
          <w:rFonts w:ascii="Times New Roman" w:hAnsi="Times New Roman" w:cs="Times New Roman"/>
          <w:sz w:val="20"/>
          <w:szCs w:val="20"/>
        </w:rPr>
        <w:footnoteRef/>
      </w:r>
      <w:r w:rsidRPr="00F555B9">
        <w:rPr>
          <w:rFonts w:ascii="Times New Roman" w:hAnsi="Times New Roman" w:cs="Times New Roman"/>
          <w:sz w:val="20"/>
          <w:szCs w:val="20"/>
        </w:rPr>
        <w:t xml:space="preserve"> See </w:t>
      </w:r>
      <w:r w:rsidR="00FD13B4">
        <w:rPr>
          <w:rFonts w:ascii="Times New Roman" w:hAnsi="Times New Roman" w:cs="Times New Roman"/>
          <w:i/>
          <w:sz w:val="20"/>
          <w:szCs w:val="20"/>
        </w:rPr>
        <w:t>the Guardian</w:t>
      </w:r>
      <w:r w:rsidRPr="00F555B9">
        <w:rPr>
          <w:rFonts w:ascii="Times New Roman" w:hAnsi="Times New Roman" w:cs="Times New Roman"/>
          <w:sz w:val="20"/>
          <w:szCs w:val="20"/>
        </w:rPr>
        <w:t xml:space="preserve">, </w:t>
      </w:r>
      <w:r w:rsidR="00FD13B4">
        <w:rPr>
          <w:rFonts w:ascii="Times New Roman" w:hAnsi="Times New Roman" w:cs="Times New Roman"/>
          <w:sz w:val="20"/>
          <w:szCs w:val="20"/>
        </w:rPr>
        <w:t>14 March 2013</w:t>
      </w:r>
      <w:r w:rsidR="00B37D94">
        <w:rPr>
          <w:rFonts w:ascii="Times New Roman" w:hAnsi="Times New Roman" w:cs="Times New Roman"/>
          <w:sz w:val="20"/>
          <w:szCs w:val="20"/>
        </w:rPr>
        <w:t xml:space="preserve"> via</w:t>
      </w:r>
      <w:r w:rsidR="00FD13B4">
        <w:rPr>
          <w:rFonts w:ascii="Times New Roman" w:hAnsi="Times New Roman" w:cs="Times New Roman"/>
          <w:sz w:val="20"/>
          <w:szCs w:val="20"/>
        </w:rPr>
        <w:t xml:space="preserve"> </w:t>
      </w:r>
      <w:r w:rsidR="00FD13B4" w:rsidRPr="00FD13B4">
        <w:rPr>
          <w:rFonts w:ascii="Times New Roman" w:hAnsi="Times New Roman" w:cs="Times New Roman"/>
          <w:sz w:val="20"/>
          <w:szCs w:val="20"/>
        </w:rPr>
        <w:t>https://www.theguardian.com/politics/2013/mar/14/ed-miliband-network-local-banks</w:t>
      </w:r>
      <w:r w:rsidR="00B37D94">
        <w:rPr>
          <w:rFonts w:ascii="Times New Roman" w:hAnsi="Times New Roman" w:cs="Times New Roman"/>
          <w:sz w:val="20"/>
          <w:szCs w:val="20"/>
        </w:rPr>
        <w:t xml:space="preserve"> </w:t>
      </w:r>
      <w:r w:rsidRPr="00F555B9">
        <w:rPr>
          <w:rFonts w:ascii="Times New Roman" w:hAnsi="Times New Roman" w:cs="Times New Roman"/>
          <w:sz w:val="20"/>
          <w:szCs w:val="20"/>
        </w:rPr>
        <w:t xml:space="preserve"> and Daily</w:t>
      </w:r>
      <w:r w:rsidRPr="00F555B9">
        <w:rPr>
          <w:rFonts w:ascii="Times New Roman" w:hAnsi="Times New Roman" w:cs="Times New Roman"/>
          <w:i/>
          <w:sz w:val="20"/>
          <w:szCs w:val="20"/>
        </w:rPr>
        <w:t xml:space="preserve"> Telegraph</w:t>
      </w:r>
      <w:r w:rsidR="00B37D94">
        <w:rPr>
          <w:rFonts w:ascii="Times New Roman" w:hAnsi="Times New Roman" w:cs="Times New Roman"/>
          <w:sz w:val="20"/>
          <w:szCs w:val="20"/>
        </w:rPr>
        <w:t xml:space="preserve">, 23 February 2012 via </w:t>
      </w:r>
      <w:hyperlink r:id="rId2" w:history="1">
        <w:r w:rsidR="00FD13B4" w:rsidRPr="00C9433E">
          <w:rPr>
            <w:rStyle w:val="Hyperlink"/>
            <w:rFonts w:ascii="Times New Roman" w:hAnsi="Times New Roman" w:cs="Times New Roman"/>
            <w:sz w:val="20"/>
            <w:szCs w:val="20"/>
          </w:rPr>
          <w:t>http://www.telegraph.co.uk/finance/comment/9101672/If-we-want-the-UK-to-grow-we-should-take-lessons-from-Germany.html</w:t>
        </w:r>
      </w:hyperlink>
      <w:r w:rsidR="00FD13B4">
        <w:rPr>
          <w:rFonts w:ascii="Times New Roman" w:hAnsi="Times New Roman" w:cs="Times New Roman"/>
          <w:sz w:val="20"/>
          <w:szCs w:val="20"/>
        </w:rPr>
        <w:t xml:space="preserve"> [both accessed 14 January 2017].</w:t>
      </w:r>
    </w:p>
  </w:footnote>
  <w:footnote w:id="17">
    <w:p w14:paraId="1B1F0EFB" w14:textId="656CC4F9" w:rsidR="00FB57C3" w:rsidRPr="00F134E5" w:rsidRDefault="00FB57C3" w:rsidP="0058027C">
      <w:pPr>
        <w:widowControl w:val="0"/>
        <w:autoSpaceDE w:val="0"/>
        <w:autoSpaceDN w:val="0"/>
        <w:adjustRightInd w:val="0"/>
        <w:jc w:val="both"/>
        <w:rPr>
          <w:rFonts w:ascii="Times New Roman" w:hAnsi="Times New Roman" w:cs="Times New Roman"/>
          <w:sz w:val="20"/>
          <w:szCs w:val="20"/>
        </w:rPr>
      </w:pPr>
      <w:r w:rsidRPr="00851293">
        <w:rPr>
          <w:rStyle w:val="FootnoteReference"/>
          <w:rFonts w:ascii="Times New Roman" w:hAnsi="Times New Roman" w:cs="Times New Roman"/>
          <w:sz w:val="20"/>
          <w:szCs w:val="20"/>
        </w:rPr>
        <w:footnoteRef/>
      </w:r>
      <w:r w:rsidRPr="00851293">
        <w:rPr>
          <w:rFonts w:ascii="Times New Roman" w:hAnsi="Times New Roman" w:cs="Times New Roman"/>
          <w:sz w:val="20"/>
          <w:szCs w:val="20"/>
        </w:rPr>
        <w:t xml:space="preserve"> Committee on Finance and Industry Report, June 1931, The National Archives (TNA), London, T/200/7</w:t>
      </w:r>
      <w:r w:rsidR="00123D08">
        <w:rPr>
          <w:rFonts w:ascii="Times New Roman" w:hAnsi="Times New Roman" w:cs="Times New Roman"/>
          <w:sz w:val="20"/>
          <w:szCs w:val="20"/>
        </w:rPr>
        <w:t>.</w:t>
      </w:r>
      <w:r w:rsidRPr="00851293">
        <w:rPr>
          <w:rFonts w:ascii="Times New Roman" w:hAnsi="Times New Roman" w:cs="Times New Roman"/>
          <w:sz w:val="20"/>
          <w:szCs w:val="20"/>
        </w:rPr>
        <w:t xml:space="preserve"> </w:t>
      </w:r>
    </w:p>
  </w:footnote>
  <w:footnote w:id="18">
    <w:p w14:paraId="2FAE0E7F" w14:textId="4C803A30"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Coopey, </w:t>
      </w:r>
      <w:r w:rsidR="00C31042">
        <w:rPr>
          <w:rFonts w:ascii="Times New Roman" w:hAnsi="Times New Roman" w:cs="Times New Roman"/>
          <w:sz w:val="20"/>
          <w:szCs w:val="20"/>
        </w:rPr>
        <w:t>p</w:t>
      </w:r>
      <w:r w:rsidR="00123D08">
        <w:rPr>
          <w:rFonts w:ascii="Times New Roman" w:hAnsi="Times New Roman" w:cs="Times New Roman"/>
          <w:sz w:val="20"/>
          <w:szCs w:val="20"/>
        </w:rPr>
        <w:t>.</w:t>
      </w:r>
      <w:r w:rsidRPr="00F134E5">
        <w:rPr>
          <w:rFonts w:ascii="Times New Roman" w:hAnsi="Times New Roman" w:cs="Times New Roman"/>
          <w:sz w:val="20"/>
          <w:szCs w:val="20"/>
        </w:rPr>
        <w:t>264.</w:t>
      </w:r>
    </w:p>
  </w:footnote>
  <w:footnote w:id="19">
    <w:p w14:paraId="16B672B2" w14:textId="496E94C5"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FD13B4">
        <w:rPr>
          <w:rFonts w:ascii="Times New Roman" w:hAnsi="Times New Roman" w:cs="Times New Roman"/>
          <w:sz w:val="20"/>
          <w:szCs w:val="20"/>
        </w:rPr>
        <w:t xml:space="preserve"> William </w:t>
      </w:r>
      <w:r w:rsidRPr="00F134E5">
        <w:rPr>
          <w:rFonts w:ascii="Times New Roman" w:hAnsi="Times New Roman" w:cs="Times New Roman"/>
          <w:sz w:val="20"/>
          <w:szCs w:val="20"/>
        </w:rPr>
        <w:t xml:space="preserve">A. Thomas, </w:t>
      </w:r>
      <w:r w:rsidRPr="00F134E5">
        <w:rPr>
          <w:rFonts w:ascii="Times New Roman" w:hAnsi="Times New Roman" w:cs="Times New Roman"/>
          <w:i/>
          <w:sz w:val="20"/>
          <w:szCs w:val="20"/>
        </w:rPr>
        <w:t>The Finance of British Industry, 1918-1976</w:t>
      </w:r>
      <w:r w:rsidRPr="00F134E5">
        <w:rPr>
          <w:rFonts w:ascii="Times New Roman" w:hAnsi="Times New Roman" w:cs="Times New Roman"/>
          <w:sz w:val="20"/>
          <w:szCs w:val="20"/>
        </w:rPr>
        <w:t>, (London</w:t>
      </w:r>
      <w:r w:rsidR="00C31042">
        <w:rPr>
          <w:rFonts w:ascii="Times New Roman" w:hAnsi="Times New Roman" w:cs="Times New Roman"/>
          <w:sz w:val="20"/>
          <w:szCs w:val="20"/>
        </w:rPr>
        <w:t>:</w:t>
      </w:r>
      <w:r w:rsidR="00FD13B4">
        <w:rPr>
          <w:rFonts w:ascii="Times New Roman" w:hAnsi="Times New Roman" w:cs="Times New Roman"/>
          <w:sz w:val="20"/>
          <w:szCs w:val="20"/>
        </w:rPr>
        <w:t xml:space="preserve"> Methuen,</w:t>
      </w:r>
      <w:r w:rsidRPr="00F134E5">
        <w:rPr>
          <w:rFonts w:ascii="Times New Roman" w:hAnsi="Times New Roman" w:cs="Times New Roman"/>
          <w:sz w:val="20"/>
          <w:szCs w:val="20"/>
        </w:rPr>
        <w:t xml:space="preserve"> 1979), </w:t>
      </w:r>
      <w:r w:rsidR="00123D08">
        <w:rPr>
          <w:rFonts w:ascii="Times New Roman" w:hAnsi="Times New Roman" w:cs="Times New Roman"/>
          <w:sz w:val="20"/>
          <w:szCs w:val="20"/>
        </w:rPr>
        <w:t xml:space="preserve">p. </w:t>
      </w:r>
      <w:r w:rsidRPr="00F134E5">
        <w:rPr>
          <w:rFonts w:ascii="Times New Roman" w:hAnsi="Times New Roman" w:cs="Times New Roman"/>
          <w:sz w:val="20"/>
          <w:szCs w:val="20"/>
        </w:rPr>
        <w:t>334.</w:t>
      </w:r>
    </w:p>
  </w:footnote>
  <w:footnote w:id="20">
    <w:p w14:paraId="675D80B1" w14:textId="59400126" w:rsidR="00C31042"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FD13B4">
        <w:rPr>
          <w:rFonts w:ascii="Times New Roman" w:hAnsi="Times New Roman" w:cs="Times New Roman"/>
          <w:sz w:val="20"/>
          <w:szCs w:val="20"/>
        </w:rPr>
        <w:t xml:space="preserve"> Chris</w:t>
      </w:r>
      <w:r w:rsidRPr="00F134E5">
        <w:rPr>
          <w:rFonts w:ascii="Times New Roman" w:hAnsi="Times New Roman" w:cs="Times New Roman"/>
          <w:sz w:val="20"/>
          <w:szCs w:val="20"/>
        </w:rPr>
        <w:t xml:space="preserve"> Lonsdale, </w:t>
      </w:r>
      <w:r w:rsidRPr="00F134E5">
        <w:rPr>
          <w:rFonts w:ascii="Times New Roman" w:hAnsi="Times New Roman" w:cs="Times New Roman"/>
          <w:i/>
          <w:sz w:val="20"/>
          <w:szCs w:val="20"/>
        </w:rPr>
        <w:t>The UK Equity Gap: the failure of government policy since 1945</w:t>
      </w:r>
      <w:r w:rsidRPr="00F134E5">
        <w:rPr>
          <w:rFonts w:ascii="Times New Roman" w:hAnsi="Times New Roman" w:cs="Times New Roman"/>
          <w:sz w:val="20"/>
          <w:szCs w:val="20"/>
        </w:rPr>
        <w:t>, (Farnham</w:t>
      </w:r>
      <w:r w:rsidR="00C31042">
        <w:rPr>
          <w:rFonts w:ascii="Times New Roman" w:hAnsi="Times New Roman" w:cs="Times New Roman"/>
          <w:sz w:val="20"/>
          <w:szCs w:val="20"/>
        </w:rPr>
        <w:t>:</w:t>
      </w:r>
      <w:r w:rsidRPr="00F134E5">
        <w:rPr>
          <w:rFonts w:ascii="Times New Roman" w:hAnsi="Times New Roman" w:cs="Times New Roman"/>
          <w:sz w:val="20"/>
          <w:szCs w:val="20"/>
        </w:rPr>
        <w:t xml:space="preserve"> Ashgate, 1997), </w:t>
      </w:r>
    </w:p>
    <w:p w14:paraId="2AAFB422" w14:textId="091EE8D6" w:rsidR="00FB57C3" w:rsidRPr="00F134E5" w:rsidRDefault="00C31042" w:rsidP="0058027C">
      <w:pPr>
        <w:pStyle w:val="FootnoteText"/>
        <w:jc w:val="both"/>
        <w:rPr>
          <w:rFonts w:ascii="Times New Roman" w:hAnsi="Times New Roman" w:cs="Times New Roman"/>
          <w:sz w:val="20"/>
          <w:szCs w:val="20"/>
        </w:rPr>
      </w:pPr>
      <w:r>
        <w:rPr>
          <w:rFonts w:ascii="Times New Roman" w:hAnsi="Times New Roman" w:cs="Times New Roman"/>
          <w:sz w:val="20"/>
          <w:szCs w:val="20"/>
        </w:rPr>
        <w:t xml:space="preserve">p. </w:t>
      </w:r>
      <w:r w:rsidR="00FB57C3" w:rsidRPr="00F134E5">
        <w:rPr>
          <w:rFonts w:ascii="Times New Roman" w:hAnsi="Times New Roman" w:cs="Times New Roman"/>
          <w:sz w:val="20"/>
          <w:szCs w:val="20"/>
        </w:rPr>
        <w:t>40.</w:t>
      </w:r>
    </w:p>
  </w:footnote>
  <w:footnote w:id="21">
    <w:p w14:paraId="6B820864" w14:textId="31511875"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Coopey, </w:t>
      </w:r>
      <w:r w:rsidR="00C31042">
        <w:rPr>
          <w:rFonts w:ascii="Times New Roman" w:hAnsi="Times New Roman" w:cs="Times New Roman"/>
          <w:sz w:val="20"/>
          <w:szCs w:val="20"/>
        </w:rPr>
        <w:t xml:space="preserve">p. </w:t>
      </w:r>
      <w:r w:rsidRPr="00F134E5">
        <w:rPr>
          <w:rFonts w:ascii="Times New Roman" w:hAnsi="Times New Roman" w:cs="Times New Roman"/>
          <w:sz w:val="20"/>
          <w:szCs w:val="20"/>
        </w:rPr>
        <w:t>264</w:t>
      </w:r>
      <w:r w:rsidR="00C31042">
        <w:rPr>
          <w:rFonts w:ascii="Times New Roman" w:hAnsi="Times New Roman" w:cs="Times New Roman"/>
          <w:sz w:val="20"/>
          <w:szCs w:val="20"/>
        </w:rPr>
        <w:t>.</w:t>
      </w:r>
    </w:p>
  </w:footnote>
  <w:footnote w:id="22">
    <w:p w14:paraId="4D18BBD2" w14:textId="768E94A2"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Planning Agreement and the National Enterprise Board, 1 August 1974, TNA, CAB/129/178/13</w:t>
      </w:r>
      <w:r w:rsidR="00C31042">
        <w:rPr>
          <w:rFonts w:ascii="Times New Roman" w:hAnsi="Times New Roman" w:cs="Times New Roman"/>
          <w:sz w:val="20"/>
          <w:szCs w:val="20"/>
        </w:rPr>
        <w:t>.</w:t>
      </w:r>
    </w:p>
  </w:footnote>
  <w:footnote w:id="23">
    <w:p w14:paraId="48EA445A" w14:textId="56E90E93"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C31042">
        <w:rPr>
          <w:rFonts w:ascii="Times New Roman" w:hAnsi="Times New Roman" w:cs="Times New Roman"/>
          <w:sz w:val="20"/>
          <w:szCs w:val="20"/>
        </w:rPr>
        <w:t>.</w:t>
      </w:r>
    </w:p>
  </w:footnote>
  <w:footnote w:id="24">
    <w:p w14:paraId="5E4CFB19" w14:textId="45E103D4" w:rsidR="00FB57C3" w:rsidRPr="00F134E5" w:rsidRDefault="00FB57C3" w:rsidP="0058027C">
      <w:pPr>
        <w:pStyle w:val="NormalWeb"/>
        <w:spacing w:before="0" w:beforeAutospacing="0" w:after="0" w:afterAutospacing="0"/>
        <w:jc w:val="both"/>
        <w:rPr>
          <w:sz w:val="20"/>
          <w:szCs w:val="20"/>
        </w:rPr>
      </w:pPr>
      <w:r w:rsidRPr="00F134E5">
        <w:rPr>
          <w:rStyle w:val="FootnoteReference"/>
          <w:sz w:val="20"/>
          <w:szCs w:val="20"/>
        </w:rPr>
        <w:footnoteRef/>
      </w:r>
      <w:r w:rsidRPr="00F134E5">
        <w:rPr>
          <w:sz w:val="20"/>
          <w:szCs w:val="20"/>
        </w:rPr>
        <w:t xml:space="preserve"> ‘British Leyland: The Ryder Report,’ 23 April 1975, TNA, CAB/129/183/3</w:t>
      </w:r>
      <w:r w:rsidR="00C31042">
        <w:rPr>
          <w:sz w:val="20"/>
          <w:szCs w:val="20"/>
        </w:rPr>
        <w:t>.</w:t>
      </w:r>
      <w:r w:rsidRPr="00F134E5">
        <w:rPr>
          <w:sz w:val="20"/>
          <w:szCs w:val="20"/>
        </w:rPr>
        <w:t xml:space="preserve"> </w:t>
      </w:r>
    </w:p>
  </w:footnote>
  <w:footnote w:id="25">
    <w:p w14:paraId="4A49D615" w14:textId="0472729F"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Deb</w:t>
      </w:r>
      <w:r w:rsidR="00F134E5">
        <w:rPr>
          <w:rFonts w:ascii="Times New Roman" w:hAnsi="Times New Roman" w:cs="Times New Roman"/>
          <w:sz w:val="20"/>
          <w:szCs w:val="20"/>
        </w:rPr>
        <w:t>s,</w:t>
      </w:r>
      <w:r w:rsidR="00C31042">
        <w:rPr>
          <w:rFonts w:ascii="Times New Roman" w:hAnsi="Times New Roman" w:cs="Times New Roman"/>
          <w:sz w:val="20"/>
          <w:szCs w:val="20"/>
        </w:rPr>
        <w:t xml:space="preserve"> 20 February 1986, </w:t>
      </w:r>
      <w:r w:rsidRPr="00F134E5">
        <w:rPr>
          <w:rFonts w:ascii="Times New Roman" w:hAnsi="Times New Roman" w:cs="Times New Roman"/>
          <w:sz w:val="20"/>
          <w:szCs w:val="20"/>
        </w:rPr>
        <w:t>92</w:t>
      </w:r>
      <w:r w:rsidR="00C31042">
        <w:rPr>
          <w:rFonts w:ascii="Times New Roman" w:hAnsi="Times New Roman" w:cs="Times New Roman"/>
          <w:sz w:val="20"/>
          <w:szCs w:val="20"/>
        </w:rPr>
        <w:t>, col</w:t>
      </w:r>
      <w:r w:rsidRPr="00F134E5">
        <w:rPr>
          <w:rFonts w:ascii="Times New Roman" w:hAnsi="Times New Roman" w:cs="Times New Roman"/>
          <w:sz w:val="20"/>
          <w:szCs w:val="20"/>
        </w:rPr>
        <w:t xml:space="preserve"> 477</w:t>
      </w:r>
      <w:r w:rsidR="00C31042">
        <w:rPr>
          <w:rFonts w:ascii="Times New Roman" w:hAnsi="Times New Roman" w:cs="Times New Roman"/>
          <w:sz w:val="20"/>
          <w:szCs w:val="20"/>
        </w:rPr>
        <w:t>.</w:t>
      </w:r>
    </w:p>
  </w:footnote>
  <w:footnote w:id="26">
    <w:p w14:paraId="0DA6C1F8" w14:textId="77777777" w:rsidR="00FB57C3" w:rsidRPr="00050ECF" w:rsidRDefault="00FB57C3" w:rsidP="0058027C">
      <w:pPr>
        <w:pStyle w:val="FootnoteText"/>
        <w:jc w:val="both"/>
        <w:rPr>
          <w:rFonts w:ascii="Times New Roman" w:hAnsi="Times New Roman" w:cs="Times New Roman"/>
          <w:sz w:val="20"/>
          <w:szCs w:val="20"/>
        </w:rPr>
      </w:pPr>
      <w:r w:rsidRPr="00050ECF">
        <w:rPr>
          <w:rStyle w:val="FootnoteReference"/>
          <w:rFonts w:ascii="Times New Roman" w:hAnsi="Times New Roman" w:cs="Times New Roman"/>
          <w:sz w:val="20"/>
          <w:szCs w:val="20"/>
        </w:rPr>
        <w:footnoteRef/>
      </w:r>
      <w:r w:rsidRPr="00050ECF">
        <w:rPr>
          <w:rFonts w:ascii="Times New Roman" w:hAnsi="Times New Roman" w:cs="Times New Roman"/>
          <w:sz w:val="20"/>
          <w:szCs w:val="20"/>
        </w:rPr>
        <w:t xml:space="preserve"> 1979 Conservative Party manifesto.</w:t>
      </w:r>
    </w:p>
  </w:footnote>
  <w:footnote w:id="27">
    <w:p w14:paraId="0FEE1195" w14:textId="738CBBE9" w:rsidR="00331C60" w:rsidRPr="00331C60" w:rsidRDefault="00FB57C3">
      <w:pPr>
        <w:pStyle w:val="FootnoteText"/>
        <w:rPr>
          <w:rFonts w:ascii="Times New Roman" w:hAnsi="Times New Roman" w:cs="Times New Roman"/>
          <w:color w:val="0563C1" w:themeColor="hyperlink"/>
          <w:sz w:val="20"/>
          <w:szCs w:val="20"/>
          <w:u w:val="single"/>
        </w:rPr>
      </w:pPr>
      <w:r w:rsidRPr="00050ECF">
        <w:rPr>
          <w:rStyle w:val="FootnoteReference"/>
          <w:rFonts w:ascii="Times New Roman" w:hAnsi="Times New Roman" w:cs="Times New Roman"/>
          <w:sz w:val="20"/>
          <w:szCs w:val="20"/>
        </w:rPr>
        <w:footnoteRef/>
      </w:r>
      <w:r w:rsidRPr="00050ECF">
        <w:rPr>
          <w:rFonts w:ascii="Times New Roman" w:hAnsi="Times New Roman" w:cs="Times New Roman"/>
          <w:sz w:val="20"/>
          <w:szCs w:val="20"/>
        </w:rPr>
        <w:t xml:space="preserve"> Tony Blair in conversation with Matt Forde</w:t>
      </w:r>
      <w:r w:rsidR="00331C60">
        <w:rPr>
          <w:rFonts w:ascii="Times New Roman" w:hAnsi="Times New Roman" w:cs="Times New Roman"/>
          <w:sz w:val="20"/>
          <w:szCs w:val="20"/>
        </w:rPr>
        <w:t xml:space="preserve">, </w:t>
      </w:r>
      <w:r w:rsidRPr="00050ECF">
        <w:rPr>
          <w:rFonts w:ascii="Times New Roman" w:hAnsi="Times New Roman" w:cs="Times New Roman"/>
          <w:sz w:val="20"/>
          <w:szCs w:val="20"/>
        </w:rPr>
        <w:t xml:space="preserve">22 July 2015, available via </w:t>
      </w:r>
      <w:hyperlink r:id="rId3" w:history="1">
        <w:r w:rsidRPr="00050ECF">
          <w:rPr>
            <w:rStyle w:val="Hyperlink"/>
            <w:rFonts w:ascii="Times New Roman" w:hAnsi="Times New Roman" w:cs="Times New Roman"/>
            <w:sz w:val="20"/>
            <w:szCs w:val="20"/>
          </w:rPr>
          <w:t>www.progressonline.org.uk</w:t>
        </w:r>
      </w:hyperlink>
      <w:r w:rsidR="00331C60">
        <w:rPr>
          <w:rStyle w:val="Hyperlink"/>
          <w:rFonts w:ascii="Times New Roman" w:hAnsi="Times New Roman" w:cs="Times New Roman"/>
          <w:sz w:val="20"/>
          <w:szCs w:val="20"/>
        </w:rPr>
        <w:t xml:space="preserve"> </w:t>
      </w:r>
      <w:r w:rsidR="00331C60">
        <w:rPr>
          <w:rFonts w:ascii="Times New Roman" w:hAnsi="Times New Roman" w:cs="Times New Roman"/>
          <w:sz w:val="20"/>
          <w:szCs w:val="20"/>
        </w:rPr>
        <w:t>[Accessed 14 January 2017].</w:t>
      </w:r>
    </w:p>
  </w:footnote>
  <w:footnote w:id="28">
    <w:p w14:paraId="1E626ECE" w14:textId="7911C0BE" w:rsidR="008A53FF" w:rsidRPr="00050ECF" w:rsidRDefault="008A53FF" w:rsidP="008A53FF">
      <w:pPr>
        <w:rPr>
          <w:rFonts w:ascii="Times New Roman" w:hAnsi="Times New Roman" w:cs="Times New Roman"/>
          <w:sz w:val="20"/>
          <w:szCs w:val="20"/>
        </w:rPr>
      </w:pPr>
      <w:r w:rsidRPr="00050ECF">
        <w:rPr>
          <w:rStyle w:val="FootnoteReference"/>
          <w:rFonts w:ascii="Times New Roman" w:hAnsi="Times New Roman" w:cs="Times New Roman"/>
          <w:sz w:val="20"/>
          <w:szCs w:val="20"/>
        </w:rPr>
        <w:footnoteRef/>
      </w:r>
      <w:r w:rsidRPr="00050ECF">
        <w:rPr>
          <w:rFonts w:ascii="Times New Roman" w:hAnsi="Times New Roman" w:cs="Times New Roman"/>
          <w:sz w:val="20"/>
          <w:szCs w:val="20"/>
        </w:rPr>
        <w:t xml:space="preserve"> T</w:t>
      </w:r>
      <w:r w:rsidR="005D7144">
        <w:rPr>
          <w:rFonts w:ascii="Times New Roman" w:hAnsi="Times New Roman" w:cs="Times New Roman"/>
          <w:sz w:val="20"/>
          <w:szCs w:val="20"/>
        </w:rPr>
        <w:t>ony</w:t>
      </w:r>
      <w:r w:rsidRPr="00050ECF">
        <w:rPr>
          <w:rFonts w:ascii="Times New Roman" w:hAnsi="Times New Roman" w:cs="Times New Roman"/>
          <w:sz w:val="20"/>
          <w:szCs w:val="20"/>
        </w:rPr>
        <w:t xml:space="preserve"> Benn, </w:t>
      </w:r>
      <w:r w:rsidRPr="00050ECF">
        <w:rPr>
          <w:rFonts w:ascii="Times New Roman" w:hAnsi="Times New Roman" w:cs="Times New Roman"/>
          <w:i/>
          <w:sz w:val="20"/>
          <w:szCs w:val="20"/>
        </w:rPr>
        <w:t xml:space="preserve">The End of </w:t>
      </w:r>
      <w:proofErr w:type="gramStart"/>
      <w:r w:rsidRPr="00050ECF">
        <w:rPr>
          <w:rFonts w:ascii="Times New Roman" w:hAnsi="Times New Roman" w:cs="Times New Roman"/>
          <w:i/>
          <w:sz w:val="20"/>
          <w:szCs w:val="20"/>
        </w:rPr>
        <w:t>An</w:t>
      </w:r>
      <w:proofErr w:type="gramEnd"/>
      <w:r w:rsidRPr="00050ECF">
        <w:rPr>
          <w:rFonts w:ascii="Times New Roman" w:hAnsi="Times New Roman" w:cs="Times New Roman"/>
          <w:i/>
          <w:sz w:val="20"/>
          <w:szCs w:val="20"/>
        </w:rPr>
        <w:t xml:space="preserve"> Era: Diaries 1980-90</w:t>
      </w:r>
      <w:r w:rsidR="00C31042">
        <w:rPr>
          <w:rFonts w:ascii="Times New Roman" w:hAnsi="Times New Roman" w:cs="Times New Roman"/>
          <w:sz w:val="20"/>
          <w:szCs w:val="20"/>
        </w:rPr>
        <w:t>, (London:</w:t>
      </w:r>
      <w:r w:rsidR="00FD13B4">
        <w:rPr>
          <w:rFonts w:ascii="Times New Roman" w:hAnsi="Times New Roman" w:cs="Times New Roman"/>
          <w:sz w:val="20"/>
          <w:szCs w:val="20"/>
        </w:rPr>
        <w:t xml:space="preserve"> Hutchinson,</w:t>
      </w:r>
      <w:r w:rsidRPr="00050ECF">
        <w:rPr>
          <w:rFonts w:ascii="Times New Roman" w:hAnsi="Times New Roman" w:cs="Times New Roman"/>
          <w:sz w:val="20"/>
          <w:szCs w:val="20"/>
        </w:rPr>
        <w:t xml:space="preserve"> 1992), </w:t>
      </w:r>
      <w:r w:rsidR="00331C60">
        <w:rPr>
          <w:rFonts w:ascii="Times New Roman" w:hAnsi="Times New Roman" w:cs="Times New Roman"/>
          <w:sz w:val="20"/>
          <w:szCs w:val="20"/>
        </w:rPr>
        <w:t xml:space="preserve">p. </w:t>
      </w:r>
      <w:r w:rsidRPr="00050ECF">
        <w:rPr>
          <w:rFonts w:ascii="Times New Roman" w:hAnsi="Times New Roman" w:cs="Times New Roman"/>
          <w:sz w:val="20"/>
          <w:szCs w:val="20"/>
        </w:rPr>
        <w:t>44 [5 November 1980].</w:t>
      </w:r>
    </w:p>
  </w:footnote>
  <w:footnote w:id="29">
    <w:p w14:paraId="5BCECB07" w14:textId="03C24E9F" w:rsidR="006921E4" w:rsidRDefault="006921E4">
      <w:pPr>
        <w:pStyle w:val="FootnoteText"/>
      </w:pPr>
      <w:r w:rsidRPr="00050ECF">
        <w:rPr>
          <w:rStyle w:val="FootnoteReference"/>
          <w:rFonts w:ascii="Times New Roman" w:hAnsi="Times New Roman" w:cs="Times New Roman"/>
          <w:sz w:val="20"/>
          <w:szCs w:val="20"/>
        </w:rPr>
        <w:footnoteRef/>
      </w:r>
      <w:r w:rsidRPr="00050ECF">
        <w:rPr>
          <w:rFonts w:ascii="Times New Roman" w:hAnsi="Times New Roman" w:cs="Times New Roman"/>
          <w:sz w:val="20"/>
          <w:szCs w:val="20"/>
        </w:rPr>
        <w:t xml:space="preserve"> Ibid, </w:t>
      </w:r>
      <w:r w:rsidR="00422578">
        <w:rPr>
          <w:rFonts w:ascii="Times New Roman" w:hAnsi="Times New Roman" w:cs="Times New Roman"/>
          <w:sz w:val="20"/>
          <w:szCs w:val="20"/>
        </w:rPr>
        <w:t xml:space="preserve">p. </w:t>
      </w:r>
      <w:r w:rsidRPr="00050ECF">
        <w:rPr>
          <w:rFonts w:ascii="Times New Roman" w:hAnsi="Times New Roman" w:cs="Times New Roman"/>
          <w:sz w:val="20"/>
          <w:szCs w:val="20"/>
        </w:rPr>
        <w:t>296 [12 June 1983].</w:t>
      </w:r>
    </w:p>
  </w:footnote>
  <w:footnote w:id="30">
    <w:p w14:paraId="3C47719D" w14:textId="49BCEFDE" w:rsidR="008A53FF" w:rsidRPr="00F134E5" w:rsidRDefault="008A53FF">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6921E4">
        <w:rPr>
          <w:rFonts w:ascii="Times New Roman" w:hAnsi="Times New Roman" w:cs="Times New Roman"/>
          <w:sz w:val="20"/>
          <w:szCs w:val="20"/>
        </w:rPr>
        <w:t>.</w:t>
      </w:r>
    </w:p>
  </w:footnote>
  <w:footnote w:id="31">
    <w:p w14:paraId="076822D6" w14:textId="1F3DDB04" w:rsidR="000915A5" w:rsidRPr="00F134E5" w:rsidRDefault="000915A5" w:rsidP="000915A5">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N</w:t>
      </w:r>
      <w:r w:rsidR="005D7144">
        <w:rPr>
          <w:rFonts w:ascii="Times New Roman" w:hAnsi="Times New Roman" w:cs="Times New Roman"/>
          <w:sz w:val="20"/>
          <w:szCs w:val="20"/>
        </w:rPr>
        <w:t>igel</w:t>
      </w:r>
      <w:r w:rsidRPr="00F134E5">
        <w:rPr>
          <w:rFonts w:ascii="Times New Roman" w:hAnsi="Times New Roman" w:cs="Times New Roman"/>
          <w:sz w:val="20"/>
          <w:szCs w:val="20"/>
        </w:rPr>
        <w:t xml:space="preserve"> Lawson, </w:t>
      </w:r>
      <w:r w:rsidRPr="00F134E5">
        <w:rPr>
          <w:rFonts w:ascii="Times New Roman" w:hAnsi="Times New Roman" w:cs="Times New Roman"/>
          <w:i/>
          <w:sz w:val="20"/>
          <w:szCs w:val="20"/>
        </w:rPr>
        <w:t>The View from No. 11: Memoirs of a Tory Radical</w:t>
      </w:r>
      <w:r w:rsidR="008A53FF" w:rsidRPr="00F134E5">
        <w:rPr>
          <w:rFonts w:ascii="Times New Roman" w:hAnsi="Times New Roman" w:cs="Times New Roman"/>
          <w:sz w:val="20"/>
          <w:szCs w:val="20"/>
        </w:rPr>
        <w:t>, (London:</w:t>
      </w:r>
      <w:r w:rsidRPr="00F134E5">
        <w:rPr>
          <w:rFonts w:ascii="Times New Roman" w:hAnsi="Times New Roman" w:cs="Times New Roman"/>
          <w:sz w:val="20"/>
          <w:szCs w:val="20"/>
        </w:rPr>
        <w:t xml:space="preserve"> Bantam, 1992), </w:t>
      </w:r>
      <w:r w:rsidR="00422578">
        <w:rPr>
          <w:rFonts w:ascii="Times New Roman" w:hAnsi="Times New Roman" w:cs="Times New Roman"/>
          <w:sz w:val="20"/>
          <w:szCs w:val="20"/>
        </w:rPr>
        <w:t xml:space="preserve">p. </w:t>
      </w:r>
      <w:r w:rsidRPr="00F134E5">
        <w:rPr>
          <w:rFonts w:ascii="Times New Roman" w:hAnsi="Times New Roman" w:cs="Times New Roman"/>
          <w:sz w:val="20"/>
          <w:szCs w:val="20"/>
        </w:rPr>
        <w:t>90; M. Grylls and J</w:t>
      </w:r>
      <w:r w:rsidR="005D7144">
        <w:rPr>
          <w:rFonts w:ascii="Times New Roman" w:hAnsi="Times New Roman" w:cs="Times New Roman"/>
          <w:sz w:val="20"/>
          <w:szCs w:val="20"/>
        </w:rPr>
        <w:t>ohn</w:t>
      </w:r>
      <w:r w:rsidRPr="00F134E5">
        <w:rPr>
          <w:rFonts w:ascii="Times New Roman" w:hAnsi="Times New Roman" w:cs="Times New Roman"/>
          <w:sz w:val="20"/>
          <w:szCs w:val="20"/>
        </w:rPr>
        <w:t xml:space="preserve"> Redwood, </w:t>
      </w:r>
      <w:r w:rsidRPr="00F134E5">
        <w:rPr>
          <w:rFonts w:ascii="Times New Roman" w:hAnsi="Times New Roman" w:cs="Times New Roman"/>
          <w:i/>
          <w:sz w:val="20"/>
          <w:szCs w:val="20"/>
        </w:rPr>
        <w:t>National Enterprise Board: A Case for Euthanasia</w:t>
      </w:r>
      <w:r w:rsidRPr="00F134E5">
        <w:rPr>
          <w:rFonts w:ascii="Times New Roman" w:hAnsi="Times New Roman" w:cs="Times New Roman"/>
          <w:sz w:val="20"/>
          <w:szCs w:val="20"/>
        </w:rPr>
        <w:t>, (London: CPS, 1980).</w:t>
      </w:r>
    </w:p>
  </w:footnote>
  <w:footnote w:id="32">
    <w:p w14:paraId="516BEE81" w14:textId="7D92B2EE"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Keith Joseph statement draft, 18 July 1979, TNA, </w:t>
      </w:r>
      <w:r w:rsidRPr="00F134E5">
        <w:rPr>
          <w:rFonts w:ascii="Times New Roman" w:hAnsi="Times New Roman" w:cs="Times New Roman"/>
          <w:color w:val="262626"/>
          <w:sz w:val="20"/>
          <w:szCs w:val="20"/>
        </w:rPr>
        <w:t>PREM</w:t>
      </w:r>
      <w:r w:rsidR="002A7D21" w:rsidRPr="00F134E5">
        <w:rPr>
          <w:rFonts w:ascii="Times New Roman" w:hAnsi="Times New Roman" w:cs="Times New Roman"/>
          <w:color w:val="262626"/>
          <w:sz w:val="20"/>
          <w:szCs w:val="20"/>
        </w:rPr>
        <w:t>/</w:t>
      </w:r>
      <w:r w:rsidRPr="00F134E5">
        <w:rPr>
          <w:rFonts w:ascii="Times New Roman" w:hAnsi="Times New Roman" w:cs="Times New Roman"/>
          <w:color w:val="262626"/>
          <w:sz w:val="20"/>
          <w:szCs w:val="20"/>
        </w:rPr>
        <w:t>19/260 f114</w:t>
      </w:r>
      <w:r w:rsidR="00422578">
        <w:rPr>
          <w:rFonts w:ascii="Times New Roman" w:hAnsi="Times New Roman" w:cs="Times New Roman"/>
          <w:color w:val="262626"/>
          <w:sz w:val="20"/>
          <w:szCs w:val="20"/>
        </w:rPr>
        <w:t>.</w:t>
      </w:r>
    </w:p>
  </w:footnote>
  <w:footnote w:id="33">
    <w:p w14:paraId="69430885" w14:textId="522EB9E8" w:rsidR="00422578"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FD13B4">
        <w:rPr>
          <w:rFonts w:ascii="Times New Roman" w:hAnsi="Times New Roman" w:cs="Times New Roman"/>
          <w:sz w:val="20"/>
          <w:szCs w:val="20"/>
        </w:rPr>
        <w:t xml:space="preserve"> James </w:t>
      </w:r>
      <w:r w:rsidRPr="00F134E5">
        <w:rPr>
          <w:rFonts w:ascii="Times New Roman" w:hAnsi="Times New Roman" w:cs="Times New Roman"/>
          <w:sz w:val="20"/>
          <w:szCs w:val="20"/>
        </w:rPr>
        <w:t>Fulcher, ‘British Capitalism in the 1980s: Old Times or N</w:t>
      </w:r>
      <w:r w:rsidR="00F62477" w:rsidRPr="00F134E5">
        <w:rPr>
          <w:rFonts w:ascii="Times New Roman" w:hAnsi="Times New Roman" w:cs="Times New Roman"/>
          <w:sz w:val="20"/>
          <w:szCs w:val="20"/>
        </w:rPr>
        <w:t>ew Times?</w:t>
      </w:r>
      <w:r w:rsidRPr="00F134E5">
        <w:rPr>
          <w:rFonts w:ascii="Times New Roman" w:hAnsi="Times New Roman" w:cs="Times New Roman"/>
          <w:sz w:val="20"/>
          <w:szCs w:val="20"/>
        </w:rPr>
        <w:t>’</w:t>
      </w:r>
      <w:r w:rsidR="00F62477" w:rsidRPr="00F134E5">
        <w:rPr>
          <w:rFonts w:ascii="Times New Roman" w:hAnsi="Times New Roman" w:cs="Times New Roman"/>
          <w:sz w:val="20"/>
          <w:szCs w:val="20"/>
        </w:rPr>
        <w:t xml:space="preserve">, </w:t>
      </w:r>
      <w:r w:rsidRPr="00F134E5">
        <w:rPr>
          <w:rFonts w:ascii="Times New Roman" w:hAnsi="Times New Roman" w:cs="Times New Roman"/>
          <w:i/>
          <w:sz w:val="20"/>
          <w:szCs w:val="20"/>
        </w:rPr>
        <w:t>British Journal of Sociology</w:t>
      </w:r>
      <w:r w:rsidR="00C31042">
        <w:rPr>
          <w:rFonts w:ascii="Times New Roman" w:hAnsi="Times New Roman" w:cs="Times New Roman"/>
          <w:sz w:val="20"/>
          <w:szCs w:val="20"/>
        </w:rPr>
        <w:t xml:space="preserve">, 46/2, </w:t>
      </w:r>
    </w:p>
    <w:p w14:paraId="641118E6" w14:textId="4BAABE64" w:rsidR="00FB57C3" w:rsidRPr="00F134E5" w:rsidRDefault="00C31042" w:rsidP="0058027C">
      <w:pPr>
        <w:pStyle w:val="FootnoteText"/>
        <w:jc w:val="both"/>
        <w:rPr>
          <w:rFonts w:ascii="Times New Roman" w:hAnsi="Times New Roman" w:cs="Times New Roman"/>
          <w:sz w:val="20"/>
          <w:szCs w:val="20"/>
        </w:rPr>
      </w:pPr>
      <w:r>
        <w:rPr>
          <w:rFonts w:ascii="Times New Roman" w:hAnsi="Times New Roman" w:cs="Times New Roman"/>
          <w:sz w:val="20"/>
          <w:szCs w:val="20"/>
        </w:rPr>
        <w:t>pp. 326-</w:t>
      </w:r>
      <w:r w:rsidR="00FB57C3" w:rsidRPr="00F134E5">
        <w:rPr>
          <w:rFonts w:ascii="Times New Roman" w:hAnsi="Times New Roman" w:cs="Times New Roman"/>
          <w:sz w:val="20"/>
          <w:szCs w:val="20"/>
        </w:rPr>
        <w:t>338</w:t>
      </w:r>
      <w:r>
        <w:rPr>
          <w:rFonts w:ascii="Times New Roman" w:hAnsi="Times New Roman" w:cs="Times New Roman"/>
          <w:sz w:val="20"/>
          <w:szCs w:val="20"/>
        </w:rPr>
        <w:t>.</w:t>
      </w:r>
    </w:p>
  </w:footnote>
  <w:footnote w:id="34">
    <w:p w14:paraId="1645A9B1" w14:textId="1B515EAD" w:rsidR="00F134E5" w:rsidRPr="00F134E5" w:rsidRDefault="00F134E5">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Debs</w:t>
      </w:r>
      <w:r>
        <w:rPr>
          <w:rFonts w:ascii="Times New Roman" w:hAnsi="Times New Roman" w:cs="Times New Roman"/>
          <w:sz w:val="20"/>
          <w:szCs w:val="20"/>
        </w:rPr>
        <w:t>, 13 November 1980, 992</w:t>
      </w:r>
      <w:r w:rsidR="00C31042">
        <w:rPr>
          <w:rFonts w:ascii="Times New Roman" w:hAnsi="Times New Roman" w:cs="Times New Roman"/>
          <w:sz w:val="20"/>
          <w:szCs w:val="20"/>
        </w:rPr>
        <w:t>,</w:t>
      </w:r>
      <w:r>
        <w:rPr>
          <w:rFonts w:ascii="Times New Roman" w:hAnsi="Times New Roman" w:cs="Times New Roman"/>
          <w:sz w:val="20"/>
          <w:szCs w:val="20"/>
        </w:rPr>
        <w:t xml:space="preserve"> cols.</w:t>
      </w:r>
      <w:r w:rsidRPr="00F134E5">
        <w:rPr>
          <w:rFonts w:ascii="Times New Roman" w:hAnsi="Times New Roman" w:cs="Times New Roman"/>
          <w:sz w:val="20"/>
          <w:szCs w:val="20"/>
        </w:rPr>
        <w:t>445-7.</w:t>
      </w:r>
    </w:p>
  </w:footnote>
  <w:footnote w:id="35">
    <w:p w14:paraId="6C5D82C4" w14:textId="391C36D4"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Glasgow Herald</w:t>
      </w:r>
      <w:r w:rsidRPr="00F134E5">
        <w:rPr>
          <w:rFonts w:ascii="Times New Roman" w:hAnsi="Times New Roman" w:cs="Times New Roman"/>
          <w:sz w:val="20"/>
          <w:szCs w:val="20"/>
        </w:rPr>
        <w:t>, 11 September 1981</w:t>
      </w:r>
      <w:r w:rsidR="003E3992">
        <w:rPr>
          <w:rFonts w:ascii="Times New Roman" w:hAnsi="Times New Roman" w:cs="Times New Roman"/>
          <w:sz w:val="20"/>
          <w:szCs w:val="20"/>
        </w:rPr>
        <w:t>, p</w:t>
      </w:r>
      <w:r w:rsidR="00331C60">
        <w:rPr>
          <w:rFonts w:ascii="Times New Roman" w:hAnsi="Times New Roman" w:cs="Times New Roman"/>
          <w:sz w:val="20"/>
          <w:szCs w:val="20"/>
        </w:rPr>
        <w:t xml:space="preserve">. </w:t>
      </w:r>
      <w:r w:rsidR="003E3992">
        <w:rPr>
          <w:rFonts w:ascii="Times New Roman" w:hAnsi="Times New Roman" w:cs="Times New Roman"/>
          <w:sz w:val="20"/>
          <w:szCs w:val="20"/>
        </w:rPr>
        <w:t>9.</w:t>
      </w:r>
    </w:p>
  </w:footnote>
  <w:footnote w:id="36">
    <w:p w14:paraId="08977E92" w14:textId="0A703BF6"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Glasgow Herald</w:t>
      </w:r>
      <w:r w:rsidRPr="00F134E5">
        <w:rPr>
          <w:rFonts w:ascii="Times New Roman" w:hAnsi="Times New Roman" w:cs="Times New Roman"/>
          <w:sz w:val="20"/>
          <w:szCs w:val="20"/>
        </w:rPr>
        <w:t>, 29 September 1982</w:t>
      </w:r>
      <w:r w:rsidR="003E3992">
        <w:rPr>
          <w:rFonts w:ascii="Times New Roman" w:hAnsi="Times New Roman" w:cs="Times New Roman"/>
          <w:sz w:val="20"/>
          <w:szCs w:val="20"/>
        </w:rPr>
        <w:t>, p</w:t>
      </w:r>
      <w:r w:rsidR="00331C60">
        <w:rPr>
          <w:rFonts w:ascii="Times New Roman" w:hAnsi="Times New Roman" w:cs="Times New Roman"/>
          <w:sz w:val="20"/>
          <w:szCs w:val="20"/>
        </w:rPr>
        <w:t xml:space="preserve">. </w:t>
      </w:r>
      <w:r w:rsidR="003E3992">
        <w:rPr>
          <w:rFonts w:ascii="Times New Roman" w:hAnsi="Times New Roman" w:cs="Times New Roman"/>
          <w:sz w:val="20"/>
          <w:szCs w:val="20"/>
        </w:rPr>
        <w:t>6.</w:t>
      </w:r>
    </w:p>
  </w:footnote>
  <w:footnote w:id="37">
    <w:p w14:paraId="762D147F" w14:textId="28117D7E"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Conservative Research Department Confidential Note, 16 May 1983, Churchill Archives Centre (CAC), </w:t>
      </w:r>
      <w:r w:rsidRPr="00F134E5">
        <w:rPr>
          <w:rFonts w:ascii="Times New Roman" w:hAnsi="Times New Roman" w:cs="Times New Roman"/>
          <w:color w:val="262626"/>
          <w:sz w:val="20"/>
          <w:szCs w:val="20"/>
        </w:rPr>
        <w:t>THCR 2/7/3/10 f5</w:t>
      </w:r>
      <w:r w:rsidR="00C31042">
        <w:rPr>
          <w:rFonts w:ascii="Times New Roman" w:hAnsi="Times New Roman" w:cs="Times New Roman"/>
          <w:color w:val="262626"/>
          <w:sz w:val="20"/>
          <w:szCs w:val="20"/>
        </w:rPr>
        <w:t>.</w:t>
      </w:r>
    </w:p>
  </w:footnote>
  <w:footnote w:id="38">
    <w:p w14:paraId="3A784C7D" w14:textId="42081062" w:rsidR="00FB57C3" w:rsidRPr="00F134E5" w:rsidRDefault="00FB57C3" w:rsidP="0058027C">
      <w:pPr>
        <w:jc w:val="both"/>
        <w:rPr>
          <w:rFonts w:ascii="Times New Roman" w:eastAsia="Times New Roman" w:hAnsi="Times New Roman" w:cs="Times New Roman"/>
          <w:sz w:val="20"/>
          <w:szCs w:val="20"/>
          <w:lang w:eastAsia="en-GB"/>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‘Costing Labour’s Manifesto Promises,’ 25 May 1983, CAC, THCR 2/7/3/15 f9</w:t>
      </w:r>
      <w:r w:rsidR="00C31042">
        <w:rPr>
          <w:rFonts w:ascii="Times New Roman" w:hAnsi="Times New Roman" w:cs="Times New Roman"/>
          <w:sz w:val="20"/>
          <w:szCs w:val="20"/>
        </w:rPr>
        <w:t>.</w:t>
      </w:r>
      <w:r w:rsidRPr="00F134E5">
        <w:rPr>
          <w:rFonts w:ascii="Times New Roman" w:hAnsi="Times New Roman" w:cs="Times New Roman"/>
          <w:sz w:val="20"/>
          <w:szCs w:val="20"/>
        </w:rPr>
        <w:t xml:space="preserve"> </w:t>
      </w:r>
    </w:p>
  </w:footnote>
  <w:footnote w:id="39">
    <w:p w14:paraId="131D6BD6" w14:textId="4A694FA0" w:rsidR="00FB57C3" w:rsidRPr="00F134E5" w:rsidRDefault="00FB57C3" w:rsidP="0058027C">
      <w:pPr>
        <w:pStyle w:val="NormalWeb"/>
        <w:spacing w:before="0" w:beforeAutospacing="0" w:after="0" w:afterAutospacing="0"/>
        <w:jc w:val="both"/>
        <w:rPr>
          <w:sz w:val="20"/>
          <w:szCs w:val="20"/>
        </w:rPr>
      </w:pPr>
      <w:r w:rsidRPr="00F134E5">
        <w:rPr>
          <w:rStyle w:val="FootnoteReference"/>
          <w:sz w:val="20"/>
          <w:szCs w:val="20"/>
        </w:rPr>
        <w:footnoteRef/>
      </w:r>
      <w:r w:rsidRPr="00F134E5">
        <w:rPr>
          <w:sz w:val="20"/>
          <w:szCs w:val="20"/>
        </w:rPr>
        <w:t xml:space="preserve"> Conservative Research Department Confidential Note, 16 May 1983, </w:t>
      </w:r>
      <w:r w:rsidR="00774C91" w:rsidRPr="00F134E5">
        <w:rPr>
          <w:sz w:val="20"/>
          <w:szCs w:val="20"/>
        </w:rPr>
        <w:t xml:space="preserve">CAC, </w:t>
      </w:r>
      <w:r w:rsidRPr="00F134E5">
        <w:rPr>
          <w:color w:val="262626"/>
          <w:sz w:val="20"/>
          <w:szCs w:val="20"/>
        </w:rPr>
        <w:t>THCR 2/7/3/10 f5</w:t>
      </w:r>
      <w:r w:rsidR="00C31042">
        <w:rPr>
          <w:color w:val="262626"/>
          <w:sz w:val="20"/>
          <w:szCs w:val="20"/>
        </w:rPr>
        <w:t>.</w:t>
      </w:r>
    </w:p>
  </w:footnote>
  <w:footnote w:id="40">
    <w:p w14:paraId="322FA1AB" w14:textId="452086AA" w:rsidR="00FB57C3" w:rsidRPr="00F134E5" w:rsidRDefault="00FB57C3" w:rsidP="0058027C">
      <w:pPr>
        <w:pStyle w:val="FootnoteText"/>
        <w:jc w:val="both"/>
        <w:rPr>
          <w:rFonts w:ascii="Times New Roman" w:hAnsi="Times New Roman" w:cs="Times New Roman"/>
          <w:color w:val="262626"/>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C31042">
        <w:rPr>
          <w:rFonts w:ascii="Times New Roman" w:hAnsi="Times New Roman" w:cs="Times New Roman"/>
          <w:sz w:val="20"/>
          <w:szCs w:val="20"/>
        </w:rPr>
        <w:t>.</w:t>
      </w:r>
    </w:p>
  </w:footnote>
  <w:footnote w:id="41">
    <w:p w14:paraId="6859E2BA" w14:textId="5DA4959D" w:rsidR="00FB57C3" w:rsidRPr="00CD5D99"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Charles Williams to the author, 11 December 2015.</w:t>
      </w:r>
      <w:r w:rsidR="00CD5D99">
        <w:rPr>
          <w:rFonts w:ascii="Times New Roman" w:hAnsi="Times New Roman" w:cs="Times New Roman"/>
          <w:sz w:val="20"/>
          <w:szCs w:val="20"/>
        </w:rPr>
        <w:t xml:space="preserve"> In </w:t>
      </w:r>
      <w:r w:rsidR="00C31042">
        <w:rPr>
          <w:rFonts w:ascii="Times New Roman" w:hAnsi="Times New Roman" w:cs="Times New Roman"/>
          <w:sz w:val="20"/>
          <w:szCs w:val="20"/>
        </w:rPr>
        <w:t>1987,</w:t>
      </w:r>
      <w:r w:rsidR="00CD5D99">
        <w:rPr>
          <w:rFonts w:ascii="Times New Roman" w:hAnsi="Times New Roman" w:cs="Times New Roman"/>
          <w:sz w:val="20"/>
          <w:szCs w:val="20"/>
        </w:rPr>
        <w:t xml:space="preserve"> Lord Williams authored the influential Fabian Society pamphlet, </w:t>
      </w:r>
      <w:r w:rsidR="00CD5D99">
        <w:rPr>
          <w:rFonts w:ascii="Times New Roman" w:hAnsi="Times New Roman" w:cs="Times New Roman"/>
          <w:i/>
          <w:sz w:val="20"/>
          <w:szCs w:val="20"/>
        </w:rPr>
        <w:t>An Investment Bank for the UK</w:t>
      </w:r>
      <w:r w:rsidR="00CD5D99">
        <w:rPr>
          <w:rFonts w:ascii="Times New Roman" w:hAnsi="Times New Roman" w:cs="Times New Roman"/>
          <w:sz w:val="20"/>
          <w:szCs w:val="20"/>
        </w:rPr>
        <w:t>.</w:t>
      </w:r>
    </w:p>
  </w:footnote>
  <w:footnote w:id="42">
    <w:p w14:paraId="5B5BEFF5" w14:textId="2DF496FE"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De</w:t>
      </w:r>
      <w:r w:rsidR="00C31042">
        <w:rPr>
          <w:rFonts w:ascii="Times New Roman" w:hAnsi="Times New Roman" w:cs="Times New Roman"/>
          <w:sz w:val="20"/>
          <w:szCs w:val="20"/>
        </w:rPr>
        <w:t>bs, 12 December 1985,</w:t>
      </w:r>
      <w:r w:rsidR="00F134E5">
        <w:rPr>
          <w:rFonts w:ascii="Times New Roman" w:hAnsi="Times New Roman" w:cs="Times New Roman"/>
          <w:sz w:val="20"/>
          <w:szCs w:val="20"/>
        </w:rPr>
        <w:t xml:space="preserve"> 88 col.</w:t>
      </w:r>
      <w:r w:rsidRPr="00F134E5">
        <w:rPr>
          <w:rFonts w:ascii="Times New Roman" w:hAnsi="Times New Roman" w:cs="Times New Roman"/>
          <w:sz w:val="20"/>
          <w:szCs w:val="20"/>
        </w:rPr>
        <w:t xml:space="preserve"> 1093</w:t>
      </w:r>
      <w:r w:rsidR="00C31042">
        <w:rPr>
          <w:rFonts w:ascii="Times New Roman" w:hAnsi="Times New Roman" w:cs="Times New Roman"/>
          <w:sz w:val="20"/>
          <w:szCs w:val="20"/>
        </w:rPr>
        <w:t>.</w:t>
      </w:r>
    </w:p>
  </w:footnote>
  <w:footnote w:id="43">
    <w:p w14:paraId="4BE01FF6" w14:textId="511A7C26" w:rsidR="00907D11" w:rsidRPr="00F134E5" w:rsidRDefault="00907D11">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Hattersley to Kinnock, 24 October 1985, CAC, KNNK/6/1/7</w:t>
      </w:r>
      <w:r w:rsidR="00422578">
        <w:rPr>
          <w:rFonts w:ascii="Times New Roman" w:hAnsi="Times New Roman" w:cs="Times New Roman"/>
          <w:sz w:val="20"/>
          <w:szCs w:val="20"/>
        </w:rPr>
        <w:t>.</w:t>
      </w:r>
    </w:p>
  </w:footnote>
  <w:footnote w:id="44">
    <w:p w14:paraId="7111638A" w14:textId="77777777"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European Investment Bank Annual Reports, 1980 and 1990.</w:t>
      </w:r>
    </w:p>
  </w:footnote>
  <w:footnote w:id="45">
    <w:p w14:paraId="4324A7A8" w14:textId="7C461E13"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w:t>
      </w:r>
      <w:r w:rsidR="00F134E5">
        <w:rPr>
          <w:rFonts w:ascii="Times New Roman" w:hAnsi="Times New Roman" w:cs="Times New Roman"/>
          <w:sz w:val="20"/>
          <w:szCs w:val="20"/>
        </w:rPr>
        <w:t>Debs, 13 March 1990, 169</w:t>
      </w:r>
      <w:r w:rsidR="00422578">
        <w:rPr>
          <w:rFonts w:ascii="Times New Roman" w:hAnsi="Times New Roman" w:cs="Times New Roman"/>
          <w:sz w:val="20"/>
          <w:szCs w:val="20"/>
        </w:rPr>
        <w:t>,</w:t>
      </w:r>
      <w:r w:rsidR="00F134E5">
        <w:rPr>
          <w:rFonts w:ascii="Times New Roman" w:hAnsi="Times New Roman" w:cs="Times New Roman"/>
          <w:sz w:val="20"/>
          <w:szCs w:val="20"/>
        </w:rPr>
        <w:t xml:space="preserve"> cols. </w:t>
      </w:r>
      <w:r w:rsidRPr="00F134E5">
        <w:rPr>
          <w:rFonts w:ascii="Times New Roman" w:hAnsi="Times New Roman" w:cs="Times New Roman"/>
          <w:sz w:val="20"/>
          <w:szCs w:val="20"/>
        </w:rPr>
        <w:t>160-1</w:t>
      </w:r>
      <w:r w:rsidR="00422578">
        <w:rPr>
          <w:rFonts w:ascii="Times New Roman" w:hAnsi="Times New Roman" w:cs="Times New Roman"/>
          <w:sz w:val="20"/>
          <w:szCs w:val="20"/>
        </w:rPr>
        <w:t>.</w:t>
      </w:r>
    </w:p>
  </w:footnote>
  <w:footnote w:id="46">
    <w:p w14:paraId="7040C20D" w14:textId="69EADBC8"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w:t>
      </w:r>
      <w:r w:rsidR="00F134E5">
        <w:rPr>
          <w:rFonts w:ascii="Times New Roman" w:hAnsi="Times New Roman" w:cs="Times New Roman"/>
          <w:sz w:val="20"/>
          <w:szCs w:val="20"/>
        </w:rPr>
        <w:t>ebs, 20 April 1990,</w:t>
      </w:r>
      <w:r w:rsidR="00422578">
        <w:rPr>
          <w:rFonts w:ascii="Times New Roman" w:hAnsi="Times New Roman" w:cs="Times New Roman"/>
          <w:sz w:val="20"/>
          <w:szCs w:val="20"/>
        </w:rPr>
        <w:t xml:space="preserve"> </w:t>
      </w:r>
      <w:r w:rsidR="00F134E5">
        <w:rPr>
          <w:rFonts w:ascii="Times New Roman" w:hAnsi="Times New Roman" w:cs="Times New Roman"/>
          <w:sz w:val="20"/>
          <w:szCs w:val="20"/>
        </w:rPr>
        <w:t>170, cols.</w:t>
      </w:r>
      <w:r w:rsidRPr="00F134E5">
        <w:rPr>
          <w:rFonts w:ascii="Times New Roman" w:hAnsi="Times New Roman" w:cs="Times New Roman"/>
          <w:sz w:val="20"/>
          <w:szCs w:val="20"/>
        </w:rPr>
        <w:t xml:space="preserve"> 1047-50</w:t>
      </w:r>
      <w:r w:rsidR="00422578">
        <w:rPr>
          <w:rFonts w:ascii="Times New Roman" w:hAnsi="Times New Roman" w:cs="Times New Roman"/>
          <w:sz w:val="20"/>
          <w:szCs w:val="20"/>
        </w:rPr>
        <w:t>.</w:t>
      </w:r>
    </w:p>
  </w:footnote>
  <w:footnote w:id="47">
    <w:p w14:paraId="36512A04" w14:textId="52E9D1BA"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1992 Conservative Manifesto</w:t>
      </w:r>
    </w:p>
  </w:footnote>
  <w:footnote w:id="48">
    <w:p w14:paraId="695F12EF" w14:textId="49089EA0"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Hill, </w:t>
      </w:r>
      <w:r w:rsidR="00422578">
        <w:rPr>
          <w:rFonts w:ascii="Times New Roman" w:hAnsi="Times New Roman" w:cs="Times New Roman"/>
          <w:sz w:val="20"/>
          <w:szCs w:val="20"/>
        </w:rPr>
        <w:t xml:space="preserve">p. </w:t>
      </w:r>
      <w:r w:rsidRPr="00F134E5">
        <w:rPr>
          <w:rFonts w:ascii="Times New Roman" w:hAnsi="Times New Roman" w:cs="Times New Roman"/>
          <w:sz w:val="20"/>
          <w:szCs w:val="20"/>
        </w:rPr>
        <w:t>28</w:t>
      </w:r>
      <w:r w:rsidR="00422578">
        <w:rPr>
          <w:rFonts w:ascii="Times New Roman" w:hAnsi="Times New Roman" w:cs="Times New Roman"/>
          <w:sz w:val="20"/>
          <w:szCs w:val="20"/>
        </w:rPr>
        <w:t>.</w:t>
      </w:r>
    </w:p>
  </w:footnote>
  <w:footnote w:id="49">
    <w:p w14:paraId="3525F373" w14:textId="6ABA3637" w:rsidR="00FB57C3" w:rsidRPr="00F134E5" w:rsidRDefault="00FB57C3" w:rsidP="0058027C">
      <w:pPr>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‘A Million Jobs for a Year: The Case</w:t>
      </w:r>
      <w:r w:rsidR="00F134E5">
        <w:rPr>
          <w:rFonts w:ascii="Times New Roman" w:hAnsi="Times New Roman" w:cs="Times New Roman"/>
          <w:sz w:val="20"/>
          <w:szCs w:val="20"/>
        </w:rPr>
        <w:t xml:space="preserve"> for Planning Full Employment’ by Andrew Glyn, </w:t>
      </w:r>
      <w:r w:rsidRPr="00F134E5">
        <w:rPr>
          <w:rFonts w:ascii="Times New Roman" w:hAnsi="Times New Roman" w:cs="Times New Roman"/>
          <w:sz w:val="20"/>
          <w:szCs w:val="20"/>
        </w:rPr>
        <w:t>3 Sept</w:t>
      </w:r>
      <w:r w:rsidR="00F134E5">
        <w:rPr>
          <w:rFonts w:ascii="Times New Roman" w:hAnsi="Times New Roman" w:cs="Times New Roman"/>
          <w:sz w:val="20"/>
          <w:szCs w:val="20"/>
        </w:rPr>
        <w:t>ember</w:t>
      </w:r>
      <w:r w:rsidRPr="00F134E5">
        <w:rPr>
          <w:rFonts w:ascii="Times New Roman" w:hAnsi="Times New Roman" w:cs="Times New Roman"/>
          <w:sz w:val="20"/>
          <w:szCs w:val="20"/>
        </w:rPr>
        <w:t xml:space="preserve"> 1985 draft, CAC, TADA 4/10/1</w:t>
      </w:r>
      <w:r w:rsidR="00422578">
        <w:rPr>
          <w:rFonts w:ascii="Times New Roman" w:hAnsi="Times New Roman" w:cs="Times New Roman"/>
          <w:sz w:val="20"/>
          <w:szCs w:val="20"/>
        </w:rPr>
        <w:t>.</w:t>
      </w:r>
    </w:p>
  </w:footnote>
  <w:footnote w:id="50">
    <w:p w14:paraId="1A5073F9" w14:textId="04BED0DF"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Paul Flynn to the author, 9 December 2015</w:t>
      </w:r>
      <w:r w:rsidR="00422578">
        <w:rPr>
          <w:rFonts w:ascii="Times New Roman" w:hAnsi="Times New Roman" w:cs="Times New Roman"/>
          <w:sz w:val="20"/>
          <w:szCs w:val="20"/>
        </w:rPr>
        <w:t>.</w:t>
      </w:r>
    </w:p>
  </w:footnote>
  <w:footnote w:id="51">
    <w:p w14:paraId="46440F71" w14:textId="5E133F61"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p>
  </w:footnote>
  <w:footnote w:id="52">
    <w:p w14:paraId="6A1F2AC5" w14:textId="275FBC47"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Bryan Gould to the author, 6 December 2015</w:t>
      </w:r>
      <w:r w:rsidR="00422578">
        <w:rPr>
          <w:rFonts w:ascii="Times New Roman" w:hAnsi="Times New Roman" w:cs="Times New Roman"/>
          <w:sz w:val="20"/>
          <w:szCs w:val="20"/>
        </w:rPr>
        <w:t>.</w:t>
      </w:r>
    </w:p>
  </w:footnote>
  <w:footnote w:id="53">
    <w:p w14:paraId="0FBA9606" w14:textId="1EC6AB4A"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Kinnock, </w:t>
      </w:r>
      <w:r w:rsidRPr="00F134E5">
        <w:rPr>
          <w:rFonts w:ascii="Times New Roman" w:hAnsi="Times New Roman" w:cs="Times New Roman"/>
          <w:i/>
          <w:sz w:val="20"/>
          <w:szCs w:val="20"/>
        </w:rPr>
        <w:t>Making Our Way</w:t>
      </w:r>
      <w:r w:rsidRPr="00F134E5">
        <w:rPr>
          <w:rFonts w:ascii="Times New Roman" w:hAnsi="Times New Roman" w:cs="Times New Roman"/>
          <w:sz w:val="20"/>
          <w:szCs w:val="20"/>
        </w:rPr>
        <w:t xml:space="preserve">, </w:t>
      </w:r>
      <w:r w:rsidR="00422578">
        <w:rPr>
          <w:rFonts w:ascii="Times New Roman" w:hAnsi="Times New Roman" w:cs="Times New Roman"/>
          <w:sz w:val="20"/>
          <w:szCs w:val="20"/>
        </w:rPr>
        <w:t xml:space="preserve">p. </w:t>
      </w:r>
      <w:r w:rsidRPr="00F134E5">
        <w:rPr>
          <w:rFonts w:ascii="Times New Roman" w:hAnsi="Times New Roman" w:cs="Times New Roman"/>
          <w:sz w:val="20"/>
          <w:szCs w:val="20"/>
        </w:rPr>
        <w:t>186. My italics.</w:t>
      </w:r>
    </w:p>
  </w:footnote>
  <w:footnote w:id="54">
    <w:p w14:paraId="35E3031B" w14:textId="07094EB2" w:rsidR="0039328B" w:rsidRPr="00F134E5" w:rsidRDefault="0039328B">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Albeit balanced against positional friends such as small business and, potentially, the unemployed.</w:t>
      </w:r>
    </w:p>
  </w:footnote>
  <w:footnote w:id="55">
    <w:p w14:paraId="352B7F4F" w14:textId="673DF159"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IPSOS-MORI, ‘How Britain Voted Since October 1974’</w:t>
      </w:r>
      <w:r w:rsidR="00422578">
        <w:rPr>
          <w:rFonts w:ascii="Times New Roman" w:hAnsi="Times New Roman" w:cs="Times New Roman"/>
          <w:sz w:val="20"/>
          <w:szCs w:val="20"/>
        </w:rPr>
        <w:t>.</w:t>
      </w:r>
    </w:p>
  </w:footnote>
  <w:footnote w:id="56">
    <w:p w14:paraId="19DA0250" w14:textId="0EB8F0C9"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Glasgow Herald</w:t>
      </w:r>
      <w:r w:rsidR="000E383A">
        <w:rPr>
          <w:rFonts w:ascii="Times New Roman" w:hAnsi="Times New Roman" w:cs="Times New Roman"/>
          <w:sz w:val="20"/>
          <w:szCs w:val="20"/>
        </w:rPr>
        <w:t>, 17 September 1985, p</w:t>
      </w:r>
      <w:r w:rsidR="00331C60">
        <w:rPr>
          <w:rFonts w:ascii="Times New Roman" w:hAnsi="Times New Roman" w:cs="Times New Roman"/>
          <w:sz w:val="20"/>
          <w:szCs w:val="20"/>
        </w:rPr>
        <w:t xml:space="preserve">. </w:t>
      </w:r>
      <w:r w:rsidR="000E383A">
        <w:rPr>
          <w:rFonts w:ascii="Times New Roman" w:hAnsi="Times New Roman" w:cs="Times New Roman"/>
          <w:sz w:val="20"/>
          <w:szCs w:val="20"/>
        </w:rPr>
        <w:t>7.</w:t>
      </w:r>
    </w:p>
  </w:footnote>
  <w:footnote w:id="57">
    <w:p w14:paraId="0115DE32" w14:textId="64E9689E" w:rsidR="00FB57C3" w:rsidRPr="00F134E5" w:rsidRDefault="00FB57C3" w:rsidP="001308CC">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Tony Blair note on ‘Public Expenditure,’ CAC, KNNK/6/1/17</w:t>
      </w:r>
    </w:p>
  </w:footnote>
  <w:footnote w:id="58">
    <w:p w14:paraId="27579194" w14:textId="4E60D9A5"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‘Costing Labour’s Manifesto Promises,’ 25 May 1983, CAC, THCR 2/7/3/15 f9</w:t>
      </w:r>
      <w:r w:rsidR="00422578">
        <w:rPr>
          <w:rFonts w:ascii="Times New Roman" w:hAnsi="Times New Roman" w:cs="Times New Roman"/>
          <w:sz w:val="20"/>
          <w:szCs w:val="20"/>
        </w:rPr>
        <w:t>.</w:t>
      </w:r>
    </w:p>
  </w:footnote>
  <w:footnote w:id="59">
    <w:p w14:paraId="697C9CF6" w14:textId="748A6182" w:rsidR="00FB57C3" w:rsidRPr="00F134E5" w:rsidRDefault="00FB57C3" w:rsidP="00E209E1">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Mandelson memorandum on General Election Strategy, 27 October 1986, CAC, KNNK/3/2/4</w:t>
      </w:r>
      <w:r w:rsidR="00422578">
        <w:rPr>
          <w:rFonts w:ascii="Times New Roman" w:hAnsi="Times New Roman" w:cs="Times New Roman"/>
          <w:sz w:val="20"/>
          <w:szCs w:val="20"/>
        </w:rPr>
        <w:t>.</w:t>
      </w:r>
    </w:p>
  </w:footnote>
  <w:footnote w:id="60">
    <w:p w14:paraId="631A1518" w14:textId="2307DD48"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M</w:t>
      </w:r>
      <w:r w:rsidR="005D7144">
        <w:rPr>
          <w:rFonts w:ascii="Times New Roman" w:hAnsi="Times New Roman" w:cs="Times New Roman"/>
          <w:sz w:val="20"/>
          <w:szCs w:val="20"/>
        </w:rPr>
        <w:t>artin</w:t>
      </w:r>
      <w:r w:rsidRPr="00F134E5">
        <w:rPr>
          <w:rFonts w:ascii="Times New Roman" w:hAnsi="Times New Roman" w:cs="Times New Roman"/>
          <w:sz w:val="20"/>
          <w:szCs w:val="20"/>
        </w:rPr>
        <w:t xml:space="preserve"> Westlake, </w:t>
      </w:r>
      <w:r w:rsidRPr="00F134E5">
        <w:rPr>
          <w:rFonts w:ascii="Times New Roman" w:hAnsi="Times New Roman" w:cs="Times New Roman"/>
          <w:i/>
          <w:sz w:val="20"/>
          <w:szCs w:val="20"/>
        </w:rPr>
        <w:t xml:space="preserve">Kinnock: The Authorised </w:t>
      </w:r>
      <w:r w:rsidRPr="00F134E5">
        <w:rPr>
          <w:rFonts w:ascii="Times New Roman" w:hAnsi="Times New Roman" w:cs="Times New Roman"/>
          <w:sz w:val="20"/>
          <w:szCs w:val="20"/>
        </w:rPr>
        <w:t>Biography, (London</w:t>
      </w:r>
      <w:r w:rsidR="00811002">
        <w:rPr>
          <w:rFonts w:ascii="Times New Roman" w:hAnsi="Times New Roman" w:cs="Times New Roman"/>
          <w:sz w:val="20"/>
          <w:szCs w:val="20"/>
        </w:rPr>
        <w:t>:</w:t>
      </w:r>
      <w:r w:rsidRPr="00F134E5">
        <w:rPr>
          <w:rFonts w:ascii="Times New Roman" w:hAnsi="Times New Roman" w:cs="Times New Roman"/>
          <w:sz w:val="20"/>
          <w:szCs w:val="20"/>
        </w:rPr>
        <w:t xml:space="preserve"> </w:t>
      </w:r>
      <w:r w:rsidR="00B62F4E" w:rsidRPr="00B62F4E">
        <w:rPr>
          <w:rFonts w:ascii="Times New Roman" w:hAnsi="Times New Roman" w:cs="Times New Roman"/>
          <w:sz w:val="20"/>
          <w:szCs w:val="20"/>
        </w:rPr>
        <w:t>Little, Brown</w:t>
      </w:r>
      <w:r w:rsidR="00B62F4E">
        <w:rPr>
          <w:rFonts w:ascii="Times New Roman" w:hAnsi="Times New Roman" w:cs="Times New Roman"/>
          <w:sz w:val="20"/>
          <w:szCs w:val="20"/>
        </w:rPr>
        <w:t xml:space="preserve">: </w:t>
      </w:r>
      <w:r w:rsidRPr="00F134E5">
        <w:rPr>
          <w:rFonts w:ascii="Times New Roman" w:hAnsi="Times New Roman" w:cs="Times New Roman"/>
          <w:sz w:val="20"/>
          <w:szCs w:val="20"/>
        </w:rPr>
        <w:t xml:space="preserve">2001), </w:t>
      </w:r>
      <w:r w:rsidR="00422578">
        <w:rPr>
          <w:rFonts w:ascii="Times New Roman" w:hAnsi="Times New Roman" w:cs="Times New Roman"/>
          <w:sz w:val="20"/>
          <w:szCs w:val="20"/>
        </w:rPr>
        <w:t xml:space="preserve">p. </w:t>
      </w:r>
      <w:r w:rsidRPr="00F134E5">
        <w:rPr>
          <w:rFonts w:ascii="Times New Roman" w:hAnsi="Times New Roman" w:cs="Times New Roman"/>
          <w:sz w:val="20"/>
          <w:szCs w:val="20"/>
        </w:rPr>
        <w:t>434.</w:t>
      </w:r>
    </w:p>
  </w:footnote>
  <w:footnote w:id="61">
    <w:p w14:paraId="71A0BB4B" w14:textId="52665A96" w:rsidR="00FB57C3" w:rsidRPr="00A47B01" w:rsidRDefault="00FB57C3" w:rsidP="00B56AAB">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A47B01">
        <w:rPr>
          <w:rFonts w:ascii="Times New Roman" w:hAnsi="Times New Roman" w:cs="Times New Roman"/>
          <w:sz w:val="20"/>
          <w:szCs w:val="20"/>
        </w:rPr>
        <w:t>Economic Policy After the Review,’ 22 June 1989, CAC, KNNK/6/2/13</w:t>
      </w:r>
      <w:r w:rsidR="00422578">
        <w:rPr>
          <w:rFonts w:ascii="Times New Roman" w:hAnsi="Times New Roman" w:cs="Times New Roman"/>
          <w:sz w:val="20"/>
          <w:szCs w:val="20"/>
        </w:rPr>
        <w:t>.</w:t>
      </w:r>
    </w:p>
  </w:footnote>
  <w:footnote w:id="62">
    <w:p w14:paraId="27D48E54" w14:textId="1DD400F3" w:rsidR="00FB57C3" w:rsidRPr="00851293" w:rsidRDefault="00FB57C3">
      <w:pPr>
        <w:pStyle w:val="FootnoteText"/>
        <w:rPr>
          <w:rFonts w:ascii="Times New Roman" w:hAnsi="Times New Roman" w:cs="Times New Roman"/>
          <w:sz w:val="20"/>
          <w:szCs w:val="20"/>
        </w:rPr>
      </w:pPr>
      <w:r w:rsidRPr="00A47B01">
        <w:rPr>
          <w:rStyle w:val="FootnoteReference"/>
          <w:rFonts w:ascii="Times New Roman" w:hAnsi="Times New Roman" w:cs="Times New Roman"/>
          <w:sz w:val="20"/>
          <w:szCs w:val="20"/>
        </w:rPr>
        <w:footnoteRef/>
      </w:r>
      <w:r w:rsidRPr="00851293">
        <w:rPr>
          <w:rFonts w:ascii="Times New Roman" w:hAnsi="Times New Roman" w:cs="Times New Roman"/>
          <w:sz w:val="20"/>
          <w:szCs w:val="20"/>
        </w:rPr>
        <w:t xml:space="preserve"> Ibid</w:t>
      </w:r>
      <w:r w:rsidR="00422578">
        <w:rPr>
          <w:rFonts w:ascii="Times New Roman" w:hAnsi="Times New Roman" w:cs="Times New Roman"/>
          <w:sz w:val="20"/>
          <w:szCs w:val="20"/>
        </w:rPr>
        <w:t>.</w:t>
      </w:r>
    </w:p>
  </w:footnote>
  <w:footnote w:id="63">
    <w:p w14:paraId="57983FDF" w14:textId="3BAE03C9" w:rsidR="00FB57C3" w:rsidRPr="00F134E5" w:rsidRDefault="00FB57C3" w:rsidP="006B4EFF">
      <w:pPr>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First Report of a Labour Party Economic Policy, July 1986, King’s College, Cambridge, NK/11/10</w:t>
      </w:r>
      <w:r w:rsidR="00422578">
        <w:rPr>
          <w:rFonts w:ascii="Times New Roman" w:hAnsi="Times New Roman" w:cs="Times New Roman"/>
          <w:sz w:val="20"/>
          <w:szCs w:val="20"/>
        </w:rPr>
        <w:t>.</w:t>
      </w:r>
    </w:p>
  </w:footnote>
  <w:footnote w:id="64">
    <w:p w14:paraId="568C9D0C" w14:textId="4CB74D5B" w:rsidR="00FB57C3" w:rsidRPr="00F134E5" w:rsidRDefault="00FB57C3" w:rsidP="000D4022">
      <w:pPr>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Bryan Gould speech in Cambridge, 17 May 1987, CAC, BRAY Acc. 870, Box 10.</w:t>
      </w:r>
    </w:p>
  </w:footnote>
  <w:footnote w:id="65">
    <w:p w14:paraId="19B5C32A" w14:textId="4295F5FE"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Kinnock, </w:t>
      </w:r>
      <w:r w:rsidRPr="00F134E5">
        <w:rPr>
          <w:rFonts w:ascii="Times New Roman" w:hAnsi="Times New Roman" w:cs="Times New Roman"/>
          <w:i/>
          <w:sz w:val="20"/>
          <w:szCs w:val="20"/>
        </w:rPr>
        <w:t>Making Our Way</w:t>
      </w:r>
      <w:r w:rsidRPr="00F134E5">
        <w:rPr>
          <w:rFonts w:ascii="Times New Roman" w:hAnsi="Times New Roman" w:cs="Times New Roman"/>
          <w:sz w:val="20"/>
          <w:szCs w:val="20"/>
        </w:rPr>
        <w:t xml:space="preserve">, </w:t>
      </w:r>
      <w:r w:rsidR="00B62F4E">
        <w:rPr>
          <w:rFonts w:ascii="Times New Roman" w:hAnsi="Times New Roman" w:cs="Times New Roman"/>
          <w:sz w:val="20"/>
          <w:szCs w:val="20"/>
        </w:rPr>
        <w:t xml:space="preserve">p. </w:t>
      </w:r>
      <w:r w:rsidRPr="00F134E5">
        <w:rPr>
          <w:rFonts w:ascii="Times New Roman" w:hAnsi="Times New Roman" w:cs="Times New Roman"/>
          <w:sz w:val="20"/>
          <w:szCs w:val="20"/>
        </w:rPr>
        <w:t>111</w:t>
      </w:r>
      <w:r w:rsidR="00B62F4E">
        <w:rPr>
          <w:rFonts w:ascii="Times New Roman" w:hAnsi="Times New Roman" w:cs="Times New Roman"/>
          <w:sz w:val="20"/>
          <w:szCs w:val="20"/>
        </w:rPr>
        <w:t>.</w:t>
      </w:r>
    </w:p>
  </w:footnote>
  <w:footnote w:id="66">
    <w:p w14:paraId="4DC6E9BC" w14:textId="0E0AF2C2"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B62F4E">
        <w:rPr>
          <w:rFonts w:ascii="Times New Roman" w:hAnsi="Times New Roman" w:cs="Times New Roman"/>
          <w:sz w:val="20"/>
          <w:szCs w:val="20"/>
        </w:rPr>
        <w:t>.</w:t>
      </w:r>
    </w:p>
  </w:footnote>
  <w:footnote w:id="67">
    <w:p w14:paraId="1C185337" w14:textId="36411DD5"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Debs, 11 March 1985, 75, c</w:t>
      </w:r>
      <w:r w:rsidR="00B62F4E">
        <w:rPr>
          <w:rFonts w:ascii="Times New Roman" w:hAnsi="Times New Roman" w:cs="Times New Roman"/>
          <w:sz w:val="20"/>
          <w:szCs w:val="20"/>
        </w:rPr>
        <w:t xml:space="preserve">ols </w:t>
      </w:r>
      <w:r w:rsidRPr="00F134E5">
        <w:rPr>
          <w:rFonts w:ascii="Times New Roman" w:hAnsi="Times New Roman" w:cs="Times New Roman"/>
          <w:sz w:val="20"/>
          <w:szCs w:val="20"/>
        </w:rPr>
        <w:t>105-6</w:t>
      </w:r>
      <w:r w:rsidR="00B62F4E">
        <w:rPr>
          <w:rFonts w:ascii="Times New Roman" w:hAnsi="Times New Roman" w:cs="Times New Roman"/>
          <w:sz w:val="20"/>
          <w:szCs w:val="20"/>
        </w:rPr>
        <w:t>.</w:t>
      </w:r>
    </w:p>
  </w:footnote>
  <w:footnote w:id="68">
    <w:p w14:paraId="5591099A" w14:textId="7B224FF0" w:rsidR="00942891" w:rsidRPr="00F134E5" w:rsidRDefault="00942891">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Lord Eatwell to the author, 8 January 2016</w:t>
      </w:r>
      <w:r w:rsidR="00B62F4E">
        <w:rPr>
          <w:rFonts w:ascii="Times New Roman" w:hAnsi="Times New Roman" w:cs="Times New Roman"/>
          <w:sz w:val="20"/>
          <w:szCs w:val="20"/>
        </w:rPr>
        <w:t>.</w:t>
      </w:r>
    </w:p>
  </w:footnote>
  <w:footnote w:id="69">
    <w:p w14:paraId="7F289E14" w14:textId="7FC0C8CD" w:rsidR="008F6FAC" w:rsidRPr="00F134E5" w:rsidRDefault="008F6FAC" w:rsidP="00B56AAB">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K</w:t>
      </w:r>
      <w:r w:rsidR="005D7144">
        <w:rPr>
          <w:rFonts w:ascii="Times New Roman" w:hAnsi="Times New Roman" w:cs="Times New Roman"/>
          <w:sz w:val="20"/>
          <w:szCs w:val="20"/>
        </w:rPr>
        <w:t>aveh</w:t>
      </w:r>
      <w:r w:rsidRPr="00F134E5">
        <w:rPr>
          <w:rFonts w:ascii="Times New Roman" w:hAnsi="Times New Roman" w:cs="Times New Roman"/>
          <w:sz w:val="20"/>
          <w:szCs w:val="20"/>
        </w:rPr>
        <w:t xml:space="preserve"> Pourvand, </w:t>
      </w:r>
      <w:r w:rsidRPr="00F134E5">
        <w:rPr>
          <w:rFonts w:ascii="Times New Roman" w:hAnsi="Times New Roman" w:cs="Times New Roman"/>
          <w:i/>
          <w:sz w:val="20"/>
          <w:szCs w:val="20"/>
        </w:rPr>
        <w:t xml:space="preserve">Picking Winners: How UK industrial policy ensured the success of the </w:t>
      </w:r>
      <w:r w:rsidR="00B62F4E" w:rsidRPr="00F134E5">
        <w:rPr>
          <w:rFonts w:ascii="Times New Roman" w:hAnsi="Times New Roman" w:cs="Times New Roman"/>
          <w:i/>
          <w:sz w:val="20"/>
          <w:szCs w:val="20"/>
        </w:rPr>
        <w:t>aerospace</w:t>
      </w:r>
      <w:r w:rsidRPr="00F134E5">
        <w:rPr>
          <w:rFonts w:ascii="Times New Roman" w:hAnsi="Times New Roman" w:cs="Times New Roman"/>
          <w:i/>
          <w:sz w:val="20"/>
          <w:szCs w:val="20"/>
        </w:rPr>
        <w:t xml:space="preserve"> and automobile industries</w:t>
      </w:r>
      <w:r w:rsidRPr="00F134E5">
        <w:rPr>
          <w:rFonts w:ascii="Times New Roman" w:hAnsi="Times New Roman" w:cs="Times New Roman"/>
          <w:sz w:val="20"/>
          <w:szCs w:val="20"/>
        </w:rPr>
        <w:t xml:space="preserve">, (London: Civitas, 2013), </w:t>
      </w:r>
      <w:r w:rsidR="00B62F4E">
        <w:rPr>
          <w:rFonts w:ascii="Times New Roman" w:hAnsi="Times New Roman" w:cs="Times New Roman"/>
          <w:sz w:val="20"/>
          <w:szCs w:val="20"/>
        </w:rPr>
        <w:t xml:space="preserve">p. </w:t>
      </w:r>
      <w:r w:rsidRPr="00F134E5">
        <w:rPr>
          <w:rFonts w:ascii="Times New Roman" w:hAnsi="Times New Roman" w:cs="Times New Roman"/>
          <w:sz w:val="20"/>
          <w:szCs w:val="20"/>
        </w:rPr>
        <w:t>33</w:t>
      </w:r>
      <w:r w:rsidR="00B62F4E">
        <w:rPr>
          <w:rFonts w:ascii="Times New Roman" w:hAnsi="Times New Roman" w:cs="Times New Roman"/>
          <w:color w:val="16355B"/>
          <w:sz w:val="20"/>
          <w:szCs w:val="20"/>
        </w:rPr>
        <w:t>.</w:t>
      </w:r>
    </w:p>
  </w:footnote>
  <w:footnote w:id="70">
    <w:p w14:paraId="0D96A825" w14:textId="2B538382" w:rsidR="00942891" w:rsidRPr="00F134E5" w:rsidRDefault="00942891">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Lord Eatwell to the author, 8 January 2016</w:t>
      </w:r>
      <w:r w:rsidR="00B62F4E">
        <w:rPr>
          <w:rFonts w:ascii="Times New Roman" w:hAnsi="Times New Roman" w:cs="Times New Roman"/>
          <w:sz w:val="20"/>
          <w:szCs w:val="20"/>
        </w:rPr>
        <w:t>.</w:t>
      </w:r>
    </w:p>
  </w:footnote>
  <w:footnote w:id="71">
    <w:p w14:paraId="4310D4EC" w14:textId="3DE8DE21" w:rsidR="00942891" w:rsidRPr="00F134E5" w:rsidRDefault="00942891">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B62F4E">
        <w:rPr>
          <w:rFonts w:ascii="Times New Roman" w:hAnsi="Times New Roman" w:cs="Times New Roman"/>
          <w:sz w:val="20"/>
          <w:szCs w:val="20"/>
        </w:rPr>
        <w:t>.</w:t>
      </w:r>
    </w:p>
  </w:footnote>
  <w:footnote w:id="72">
    <w:p w14:paraId="0125E433" w14:textId="659C6038"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HC Debs, 15 May 1985, 79, c</w:t>
      </w:r>
      <w:r w:rsidR="00B62F4E">
        <w:rPr>
          <w:rFonts w:ascii="Times New Roman" w:hAnsi="Times New Roman" w:cs="Times New Roman"/>
          <w:sz w:val="20"/>
          <w:szCs w:val="20"/>
        </w:rPr>
        <w:t xml:space="preserve">ol </w:t>
      </w:r>
      <w:r w:rsidRPr="00F134E5">
        <w:rPr>
          <w:rFonts w:ascii="Times New Roman" w:hAnsi="Times New Roman" w:cs="Times New Roman"/>
          <w:sz w:val="20"/>
          <w:szCs w:val="20"/>
        </w:rPr>
        <w:t>334</w:t>
      </w:r>
      <w:r w:rsidR="00B62F4E">
        <w:rPr>
          <w:rFonts w:ascii="Times New Roman" w:hAnsi="Times New Roman" w:cs="Times New Roman"/>
          <w:sz w:val="20"/>
          <w:szCs w:val="20"/>
        </w:rPr>
        <w:t>.</w:t>
      </w:r>
    </w:p>
  </w:footnote>
  <w:footnote w:id="73">
    <w:p w14:paraId="261CC8ED" w14:textId="3B24290C"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See press cuttings in CAC, KNNK/6/2/1</w:t>
      </w:r>
      <w:r w:rsidR="00B62F4E">
        <w:rPr>
          <w:rFonts w:ascii="Times New Roman" w:hAnsi="Times New Roman" w:cs="Times New Roman"/>
          <w:sz w:val="20"/>
          <w:szCs w:val="20"/>
        </w:rPr>
        <w:t>.</w:t>
      </w:r>
    </w:p>
  </w:footnote>
  <w:footnote w:id="74">
    <w:p w14:paraId="27FEF43F" w14:textId="5F746B02"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New York Times</w:t>
      </w:r>
      <w:r w:rsidRPr="00F134E5">
        <w:rPr>
          <w:rFonts w:ascii="Times New Roman" w:hAnsi="Times New Roman" w:cs="Times New Roman"/>
          <w:sz w:val="20"/>
          <w:szCs w:val="20"/>
        </w:rPr>
        <w:t>, 18 February 1986</w:t>
      </w:r>
      <w:r w:rsidR="00920126">
        <w:rPr>
          <w:rFonts w:ascii="Times New Roman" w:hAnsi="Times New Roman" w:cs="Times New Roman"/>
          <w:sz w:val="20"/>
          <w:szCs w:val="20"/>
        </w:rPr>
        <w:t xml:space="preserve"> via </w:t>
      </w:r>
      <w:hyperlink r:id="rId4" w:history="1">
        <w:r w:rsidR="00920126" w:rsidRPr="00C9433E">
          <w:rPr>
            <w:rStyle w:val="Hyperlink"/>
            <w:rFonts w:ascii="Times New Roman" w:hAnsi="Times New Roman" w:cs="Times New Roman"/>
            <w:sz w:val="20"/>
            <w:szCs w:val="20"/>
          </w:rPr>
          <w:t>http://www.nytimes.com/1986/02/18/world/after-thatcher-kinnock-doesn-t-spring-to-mind.html?pagewanted=1</w:t>
        </w:r>
      </w:hyperlink>
      <w:r w:rsidR="00920126">
        <w:rPr>
          <w:rFonts w:ascii="Times New Roman" w:hAnsi="Times New Roman" w:cs="Times New Roman"/>
          <w:sz w:val="20"/>
          <w:szCs w:val="20"/>
        </w:rPr>
        <w:t xml:space="preserve"> [accessed 14 January 2017].</w:t>
      </w:r>
    </w:p>
  </w:footnote>
  <w:footnote w:id="75">
    <w:p w14:paraId="7B8510F4" w14:textId="1DBD8028"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Boston Globe</w:t>
      </w:r>
      <w:r w:rsidRPr="00F134E5">
        <w:rPr>
          <w:rFonts w:ascii="Times New Roman" w:hAnsi="Times New Roman" w:cs="Times New Roman"/>
          <w:sz w:val="20"/>
          <w:szCs w:val="20"/>
        </w:rPr>
        <w:t>, 20 May 1987</w:t>
      </w:r>
      <w:r w:rsidR="00007DA0">
        <w:rPr>
          <w:rFonts w:ascii="Times New Roman" w:hAnsi="Times New Roman" w:cs="Times New Roman"/>
          <w:sz w:val="20"/>
          <w:szCs w:val="20"/>
        </w:rPr>
        <w:t>, p.5.</w:t>
      </w:r>
    </w:p>
  </w:footnote>
  <w:footnote w:id="76">
    <w:p w14:paraId="00E090C3" w14:textId="7CD756FE" w:rsidR="00FB57C3" w:rsidRPr="00F134E5" w:rsidRDefault="00FB57C3" w:rsidP="0058027C">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Toronto Globe and Mail</w:t>
      </w:r>
      <w:r w:rsidRPr="00F134E5">
        <w:rPr>
          <w:rFonts w:ascii="Times New Roman" w:hAnsi="Times New Roman" w:cs="Times New Roman"/>
          <w:sz w:val="20"/>
          <w:szCs w:val="20"/>
        </w:rPr>
        <w:t>, 12 May 1988</w:t>
      </w:r>
      <w:r w:rsidR="00007DA0">
        <w:rPr>
          <w:rFonts w:ascii="Times New Roman" w:hAnsi="Times New Roman" w:cs="Times New Roman"/>
          <w:sz w:val="20"/>
          <w:szCs w:val="20"/>
        </w:rPr>
        <w:t>, p.8.</w:t>
      </w:r>
    </w:p>
  </w:footnote>
  <w:footnote w:id="77">
    <w:p w14:paraId="667DCB09" w14:textId="255C5559" w:rsidR="00A47B01" w:rsidRPr="00B56AAB" w:rsidRDefault="00A47B01" w:rsidP="00A47B01">
      <w:pPr>
        <w:pStyle w:val="FootnoteText"/>
        <w:rPr>
          <w:rFonts w:ascii="Times New Roman" w:hAnsi="Times New Roman" w:cs="Times New Roman"/>
        </w:rPr>
      </w:pPr>
      <w:r w:rsidRPr="00B56AAB">
        <w:rPr>
          <w:rStyle w:val="FootnoteReference"/>
          <w:rFonts w:ascii="Times New Roman" w:hAnsi="Times New Roman" w:cs="Times New Roman"/>
          <w:sz w:val="20"/>
          <w:szCs w:val="20"/>
        </w:rPr>
        <w:footnoteRef/>
      </w:r>
      <w:r w:rsidRPr="00B56AAB">
        <w:rPr>
          <w:rFonts w:ascii="Times New Roman" w:hAnsi="Times New Roman" w:cs="Times New Roman"/>
          <w:sz w:val="20"/>
          <w:szCs w:val="20"/>
        </w:rPr>
        <w:t xml:space="preserve"> See A</w:t>
      </w:r>
      <w:r w:rsidR="005D7144">
        <w:rPr>
          <w:rFonts w:ascii="Times New Roman" w:hAnsi="Times New Roman" w:cs="Times New Roman"/>
          <w:sz w:val="20"/>
          <w:szCs w:val="20"/>
        </w:rPr>
        <w:t>l</w:t>
      </w:r>
      <w:r w:rsidRPr="00B56AAB">
        <w:rPr>
          <w:rFonts w:ascii="Times New Roman" w:hAnsi="Times New Roman" w:cs="Times New Roman"/>
          <w:sz w:val="20"/>
          <w:szCs w:val="20"/>
        </w:rPr>
        <w:t xml:space="preserve"> </w:t>
      </w:r>
      <w:proofErr w:type="gramStart"/>
      <w:r w:rsidRPr="00B56AAB">
        <w:rPr>
          <w:rFonts w:ascii="Times New Roman" w:hAnsi="Times New Roman" w:cs="Times New Roman"/>
          <w:sz w:val="20"/>
          <w:szCs w:val="20"/>
        </w:rPr>
        <w:t>From</w:t>
      </w:r>
      <w:proofErr w:type="gramEnd"/>
      <w:r w:rsidRPr="00B56AAB">
        <w:rPr>
          <w:rFonts w:ascii="Times New Roman" w:hAnsi="Times New Roman" w:cs="Times New Roman"/>
          <w:sz w:val="20"/>
          <w:szCs w:val="20"/>
        </w:rPr>
        <w:t xml:space="preserve">, </w:t>
      </w:r>
      <w:r w:rsidRPr="00B56AAB">
        <w:rPr>
          <w:rFonts w:ascii="Times New Roman" w:hAnsi="Times New Roman" w:cs="Times New Roman"/>
          <w:i/>
          <w:sz w:val="20"/>
          <w:szCs w:val="20"/>
        </w:rPr>
        <w:t>The New Democrats and the Return to Power</w:t>
      </w:r>
      <w:r w:rsidRPr="00B56AAB">
        <w:rPr>
          <w:rFonts w:ascii="Times New Roman" w:hAnsi="Times New Roman" w:cs="Times New Roman"/>
          <w:sz w:val="20"/>
          <w:szCs w:val="20"/>
        </w:rPr>
        <w:t>, (London</w:t>
      </w:r>
      <w:r w:rsidR="00B62F4E">
        <w:rPr>
          <w:rFonts w:ascii="Times New Roman" w:hAnsi="Times New Roman" w:cs="Times New Roman"/>
          <w:sz w:val="20"/>
          <w:szCs w:val="20"/>
        </w:rPr>
        <w:t>:</w:t>
      </w:r>
      <w:r w:rsidR="00FD13B4">
        <w:rPr>
          <w:rFonts w:ascii="Times New Roman" w:hAnsi="Times New Roman" w:cs="Times New Roman"/>
          <w:sz w:val="20"/>
          <w:szCs w:val="20"/>
        </w:rPr>
        <w:t xml:space="preserve"> Palgrave Macmillan,</w:t>
      </w:r>
      <w:r w:rsidRPr="00B56AAB">
        <w:rPr>
          <w:rFonts w:ascii="Times New Roman" w:hAnsi="Times New Roman" w:cs="Times New Roman"/>
          <w:sz w:val="20"/>
          <w:szCs w:val="20"/>
        </w:rPr>
        <w:t xml:space="preserve"> 2013), passim.</w:t>
      </w:r>
    </w:p>
  </w:footnote>
  <w:footnote w:id="78">
    <w:p w14:paraId="4DD1724E" w14:textId="77759850" w:rsidR="00FB57C3" w:rsidRPr="00F134E5" w:rsidRDefault="00FB57C3" w:rsidP="005C6DFC">
      <w:pPr>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‘Developing a Communication Strategy,’ June 1988, CAC, KNNK/6/2/1</w:t>
      </w:r>
      <w:r w:rsidR="00B62F4E">
        <w:rPr>
          <w:rFonts w:ascii="Times New Roman" w:hAnsi="Times New Roman" w:cs="Times New Roman"/>
          <w:sz w:val="20"/>
          <w:szCs w:val="20"/>
        </w:rPr>
        <w:t>.</w:t>
      </w:r>
    </w:p>
  </w:footnote>
  <w:footnote w:id="79">
    <w:p w14:paraId="75D8B69F" w14:textId="08DCA8CC"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Westlake, </w:t>
      </w:r>
      <w:r w:rsidR="00B62F4E">
        <w:rPr>
          <w:rFonts w:ascii="Times New Roman" w:hAnsi="Times New Roman" w:cs="Times New Roman"/>
          <w:sz w:val="20"/>
          <w:szCs w:val="20"/>
        </w:rPr>
        <w:t xml:space="preserve">p. </w:t>
      </w:r>
      <w:r w:rsidRPr="00F134E5">
        <w:rPr>
          <w:rFonts w:ascii="Times New Roman" w:hAnsi="Times New Roman" w:cs="Times New Roman"/>
          <w:sz w:val="20"/>
          <w:szCs w:val="20"/>
        </w:rPr>
        <w:t xml:space="preserve">425, </w:t>
      </w:r>
      <w:r w:rsidR="00B62F4E">
        <w:rPr>
          <w:rFonts w:ascii="Times New Roman" w:hAnsi="Times New Roman" w:cs="Times New Roman"/>
          <w:sz w:val="20"/>
          <w:szCs w:val="20"/>
        </w:rPr>
        <w:t xml:space="preserve">p. </w:t>
      </w:r>
      <w:r w:rsidRPr="00F134E5">
        <w:rPr>
          <w:rFonts w:ascii="Times New Roman" w:hAnsi="Times New Roman" w:cs="Times New Roman"/>
          <w:sz w:val="20"/>
          <w:szCs w:val="20"/>
        </w:rPr>
        <w:t>427</w:t>
      </w:r>
      <w:r w:rsidR="00B62F4E">
        <w:rPr>
          <w:rFonts w:ascii="Times New Roman" w:hAnsi="Times New Roman" w:cs="Times New Roman"/>
          <w:sz w:val="20"/>
          <w:szCs w:val="20"/>
        </w:rPr>
        <w:t>.</w:t>
      </w:r>
    </w:p>
  </w:footnote>
  <w:footnote w:id="80">
    <w:p w14:paraId="5C24F045" w14:textId="67FA0D22" w:rsidR="00FB57C3" w:rsidRPr="00F134E5" w:rsidRDefault="00FB57C3" w:rsidP="00C30F29">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Glasgow Herald</w:t>
      </w:r>
      <w:r w:rsidRPr="00F134E5">
        <w:rPr>
          <w:rFonts w:ascii="Times New Roman" w:hAnsi="Times New Roman" w:cs="Times New Roman"/>
          <w:sz w:val="20"/>
          <w:szCs w:val="20"/>
        </w:rPr>
        <w:t>, 20 September 1985</w:t>
      </w:r>
      <w:r w:rsidR="00007DA0">
        <w:rPr>
          <w:rFonts w:ascii="Times New Roman" w:hAnsi="Times New Roman" w:cs="Times New Roman"/>
          <w:sz w:val="20"/>
          <w:szCs w:val="20"/>
        </w:rPr>
        <w:t>, p</w:t>
      </w:r>
      <w:r w:rsidR="00331C60">
        <w:rPr>
          <w:rFonts w:ascii="Times New Roman" w:hAnsi="Times New Roman" w:cs="Times New Roman"/>
          <w:sz w:val="20"/>
          <w:szCs w:val="20"/>
        </w:rPr>
        <w:t xml:space="preserve">. </w:t>
      </w:r>
      <w:r w:rsidR="00007DA0">
        <w:rPr>
          <w:rFonts w:ascii="Times New Roman" w:hAnsi="Times New Roman" w:cs="Times New Roman"/>
          <w:sz w:val="20"/>
          <w:szCs w:val="20"/>
        </w:rPr>
        <w:t>6.</w:t>
      </w:r>
    </w:p>
  </w:footnote>
  <w:footnote w:id="81">
    <w:p w14:paraId="48BDBE51" w14:textId="7ED6C171"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Glasgow Herald</w:t>
      </w:r>
      <w:r w:rsidR="00007DA0">
        <w:rPr>
          <w:rFonts w:ascii="Times New Roman" w:hAnsi="Times New Roman" w:cs="Times New Roman"/>
          <w:sz w:val="20"/>
          <w:szCs w:val="20"/>
        </w:rPr>
        <w:t>, 20 March 1989, p</w:t>
      </w:r>
      <w:r w:rsidR="00331C60">
        <w:rPr>
          <w:rFonts w:ascii="Times New Roman" w:hAnsi="Times New Roman" w:cs="Times New Roman"/>
          <w:sz w:val="20"/>
          <w:szCs w:val="20"/>
        </w:rPr>
        <w:t xml:space="preserve">. </w:t>
      </w:r>
      <w:r w:rsidR="00007DA0">
        <w:rPr>
          <w:rFonts w:ascii="Times New Roman" w:hAnsi="Times New Roman" w:cs="Times New Roman"/>
          <w:sz w:val="20"/>
          <w:szCs w:val="20"/>
        </w:rPr>
        <w:t>4.</w:t>
      </w:r>
    </w:p>
  </w:footnote>
  <w:footnote w:id="82">
    <w:p w14:paraId="597C6F97" w14:textId="1E2D04F7"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Ibid</w:t>
      </w:r>
      <w:r w:rsidR="00B62F4E">
        <w:rPr>
          <w:rFonts w:ascii="Times New Roman" w:hAnsi="Times New Roman" w:cs="Times New Roman"/>
          <w:sz w:val="20"/>
          <w:szCs w:val="20"/>
        </w:rPr>
        <w:t>.</w:t>
      </w:r>
    </w:p>
  </w:footnote>
  <w:footnote w:id="83">
    <w:p w14:paraId="4589A650" w14:textId="47FBF205"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Radice, </w:t>
      </w:r>
      <w:r w:rsidR="00B62F4E">
        <w:rPr>
          <w:rFonts w:ascii="Times New Roman" w:hAnsi="Times New Roman" w:cs="Times New Roman"/>
          <w:sz w:val="20"/>
          <w:szCs w:val="20"/>
        </w:rPr>
        <w:t xml:space="preserve">pp. </w:t>
      </w:r>
      <w:r w:rsidRPr="00F134E5">
        <w:rPr>
          <w:rFonts w:ascii="Times New Roman" w:hAnsi="Times New Roman" w:cs="Times New Roman"/>
          <w:sz w:val="20"/>
          <w:szCs w:val="20"/>
        </w:rPr>
        <w:t>200-201</w:t>
      </w:r>
      <w:r w:rsidR="00B62F4E">
        <w:rPr>
          <w:rFonts w:ascii="Times New Roman" w:hAnsi="Times New Roman" w:cs="Times New Roman"/>
          <w:sz w:val="20"/>
          <w:szCs w:val="20"/>
        </w:rPr>
        <w:t>.</w:t>
      </w:r>
    </w:p>
  </w:footnote>
  <w:footnote w:id="84">
    <w:p w14:paraId="1580060B" w14:textId="27807B0A"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The Times</w:t>
      </w:r>
      <w:r w:rsidRPr="00F134E5">
        <w:rPr>
          <w:rFonts w:ascii="Times New Roman" w:hAnsi="Times New Roman" w:cs="Times New Roman"/>
          <w:sz w:val="20"/>
          <w:szCs w:val="20"/>
        </w:rPr>
        <w:t>, 18 July 1991</w:t>
      </w:r>
      <w:r w:rsidR="00B62F4E">
        <w:rPr>
          <w:rFonts w:ascii="Times New Roman" w:hAnsi="Times New Roman" w:cs="Times New Roman"/>
          <w:sz w:val="20"/>
          <w:szCs w:val="20"/>
        </w:rPr>
        <w:t>.</w:t>
      </w:r>
    </w:p>
  </w:footnote>
  <w:footnote w:id="85">
    <w:p w14:paraId="36C2B9F1" w14:textId="06FD0494" w:rsidR="00337508" w:rsidRPr="00F134E5" w:rsidRDefault="00337508">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1C3335" w:rsidRPr="00F134E5">
        <w:rPr>
          <w:rFonts w:ascii="Times New Roman" w:hAnsi="Times New Roman" w:cs="Times New Roman"/>
          <w:sz w:val="20"/>
          <w:szCs w:val="20"/>
        </w:rPr>
        <w:t xml:space="preserve"> </w:t>
      </w:r>
      <w:r w:rsidRPr="00F134E5">
        <w:rPr>
          <w:rFonts w:ascii="Times New Roman" w:hAnsi="Times New Roman" w:cs="Times New Roman"/>
          <w:sz w:val="20"/>
          <w:szCs w:val="20"/>
        </w:rPr>
        <w:t>Economic briefing, 14 January 1991, CAC, KNNK/6/2/15</w:t>
      </w:r>
      <w:r w:rsidR="00B62F4E">
        <w:rPr>
          <w:rFonts w:ascii="Times New Roman" w:hAnsi="Times New Roman" w:cs="Times New Roman"/>
          <w:sz w:val="20"/>
          <w:szCs w:val="20"/>
        </w:rPr>
        <w:t>.</w:t>
      </w:r>
    </w:p>
  </w:footnote>
  <w:footnote w:id="86">
    <w:p w14:paraId="160A4264" w14:textId="33A5625B"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Via Eurostat</w:t>
      </w:r>
      <w:r w:rsidR="00B62F4E">
        <w:rPr>
          <w:rFonts w:ascii="Times New Roman" w:hAnsi="Times New Roman" w:cs="Times New Roman"/>
          <w:sz w:val="20"/>
          <w:szCs w:val="20"/>
        </w:rPr>
        <w:t>.</w:t>
      </w:r>
    </w:p>
  </w:footnote>
  <w:footnote w:id="87">
    <w:p w14:paraId="04FB36D1" w14:textId="615F58B6" w:rsidR="00FB57C3" w:rsidRPr="00F134E5" w:rsidRDefault="00FB57C3">
      <w:pPr>
        <w:pStyle w:val="FootnoteText"/>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00A26C04">
        <w:rPr>
          <w:rFonts w:ascii="Times New Roman" w:hAnsi="Times New Roman" w:cs="Times New Roman"/>
          <w:sz w:val="20"/>
          <w:szCs w:val="20"/>
        </w:rPr>
        <w:t xml:space="preserve"> David Butler and Dennis</w:t>
      </w:r>
      <w:r w:rsidRPr="00F134E5">
        <w:rPr>
          <w:rFonts w:ascii="Times New Roman" w:hAnsi="Times New Roman" w:cs="Times New Roman"/>
          <w:sz w:val="20"/>
          <w:szCs w:val="20"/>
        </w:rPr>
        <w:t xml:space="preserve"> Kavanagh, </w:t>
      </w:r>
      <w:r w:rsidRPr="00F134E5">
        <w:rPr>
          <w:rFonts w:ascii="Times New Roman" w:hAnsi="Times New Roman" w:cs="Times New Roman"/>
          <w:i/>
          <w:sz w:val="20"/>
          <w:szCs w:val="20"/>
        </w:rPr>
        <w:t>The British General Election of 1992</w:t>
      </w:r>
      <w:r w:rsidRPr="00F134E5">
        <w:rPr>
          <w:rFonts w:ascii="Times New Roman" w:hAnsi="Times New Roman" w:cs="Times New Roman"/>
          <w:sz w:val="20"/>
          <w:szCs w:val="20"/>
        </w:rPr>
        <w:t>, (Basingstoke</w:t>
      </w:r>
      <w:r w:rsidR="00B62F4E">
        <w:rPr>
          <w:rFonts w:ascii="Times New Roman" w:hAnsi="Times New Roman" w:cs="Times New Roman"/>
          <w:sz w:val="20"/>
          <w:szCs w:val="20"/>
        </w:rPr>
        <w:t>:</w:t>
      </w:r>
      <w:r w:rsidRPr="00F134E5">
        <w:rPr>
          <w:rFonts w:ascii="Times New Roman" w:hAnsi="Times New Roman" w:cs="Times New Roman"/>
          <w:sz w:val="20"/>
          <w:szCs w:val="20"/>
        </w:rPr>
        <w:t xml:space="preserve"> Macmillan, 1992), </w:t>
      </w:r>
      <w:r w:rsidR="00B62F4E">
        <w:rPr>
          <w:rFonts w:ascii="Times New Roman" w:hAnsi="Times New Roman" w:cs="Times New Roman"/>
          <w:sz w:val="20"/>
          <w:szCs w:val="20"/>
        </w:rPr>
        <w:t xml:space="preserve">p. </w:t>
      </w:r>
      <w:r w:rsidRPr="00F134E5">
        <w:rPr>
          <w:rFonts w:ascii="Times New Roman" w:hAnsi="Times New Roman" w:cs="Times New Roman"/>
          <w:sz w:val="20"/>
          <w:szCs w:val="20"/>
        </w:rPr>
        <w:t>98</w:t>
      </w:r>
      <w:r w:rsidR="00B62F4E">
        <w:rPr>
          <w:rFonts w:ascii="Times New Roman" w:hAnsi="Times New Roman" w:cs="Times New Roman"/>
          <w:sz w:val="20"/>
          <w:szCs w:val="20"/>
        </w:rPr>
        <w:t>.</w:t>
      </w:r>
    </w:p>
  </w:footnote>
  <w:footnote w:id="88">
    <w:p w14:paraId="76CEEB8B" w14:textId="2B1EFEE6" w:rsidR="00FB57C3" w:rsidRPr="00F134E5" w:rsidRDefault="00FB57C3" w:rsidP="001A5083">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i/>
          <w:sz w:val="20"/>
          <w:szCs w:val="20"/>
        </w:rPr>
        <w:t>The Spectator</w:t>
      </w:r>
      <w:r w:rsidRPr="00F134E5">
        <w:rPr>
          <w:rFonts w:ascii="Times New Roman" w:hAnsi="Times New Roman" w:cs="Times New Roman"/>
          <w:sz w:val="20"/>
          <w:szCs w:val="20"/>
        </w:rPr>
        <w:t>, 14 December 1991</w:t>
      </w:r>
      <w:r w:rsidR="001B12CC">
        <w:rPr>
          <w:rFonts w:ascii="Times New Roman" w:hAnsi="Times New Roman" w:cs="Times New Roman"/>
          <w:sz w:val="20"/>
          <w:szCs w:val="20"/>
        </w:rPr>
        <w:t>, p. 18.</w:t>
      </w:r>
    </w:p>
  </w:footnote>
  <w:footnote w:id="89">
    <w:p w14:paraId="649A9B1A" w14:textId="42D15E65" w:rsidR="007E0FC3" w:rsidRPr="00F134E5" w:rsidRDefault="007943FE" w:rsidP="001A5083">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Such as HC Debs</w:t>
      </w:r>
      <w:r w:rsidR="00956141" w:rsidRPr="00F134E5">
        <w:rPr>
          <w:rFonts w:ascii="Times New Roman" w:hAnsi="Times New Roman" w:cs="Times New Roman"/>
          <w:sz w:val="20"/>
          <w:szCs w:val="20"/>
        </w:rPr>
        <w:t>, 9 July 1985, 82, c</w:t>
      </w:r>
      <w:r w:rsidR="00811002">
        <w:rPr>
          <w:rFonts w:ascii="Times New Roman" w:hAnsi="Times New Roman" w:cs="Times New Roman"/>
          <w:sz w:val="20"/>
          <w:szCs w:val="20"/>
        </w:rPr>
        <w:t xml:space="preserve">ol </w:t>
      </w:r>
      <w:r w:rsidR="00956141" w:rsidRPr="00F134E5">
        <w:rPr>
          <w:rFonts w:ascii="Times New Roman" w:hAnsi="Times New Roman" w:cs="Times New Roman"/>
          <w:sz w:val="20"/>
          <w:szCs w:val="20"/>
        </w:rPr>
        <w:t xml:space="preserve">1043 and </w:t>
      </w:r>
      <w:r w:rsidR="007E0FC3" w:rsidRPr="00F134E5">
        <w:rPr>
          <w:rFonts w:ascii="Times New Roman" w:hAnsi="Times New Roman" w:cs="Times New Roman"/>
          <w:sz w:val="20"/>
          <w:szCs w:val="20"/>
        </w:rPr>
        <w:t>20 March 1986, 94, c</w:t>
      </w:r>
      <w:r w:rsidR="00811002">
        <w:rPr>
          <w:rFonts w:ascii="Times New Roman" w:hAnsi="Times New Roman" w:cs="Times New Roman"/>
          <w:sz w:val="20"/>
          <w:szCs w:val="20"/>
        </w:rPr>
        <w:t xml:space="preserve">ol </w:t>
      </w:r>
      <w:r w:rsidR="007E0FC3" w:rsidRPr="00F134E5">
        <w:rPr>
          <w:rFonts w:ascii="Times New Roman" w:hAnsi="Times New Roman" w:cs="Times New Roman"/>
          <w:sz w:val="20"/>
          <w:szCs w:val="20"/>
        </w:rPr>
        <w:t>445</w:t>
      </w:r>
      <w:r w:rsidR="00C942AE" w:rsidRPr="00F134E5">
        <w:rPr>
          <w:rFonts w:ascii="Times New Roman" w:hAnsi="Times New Roman" w:cs="Times New Roman"/>
          <w:sz w:val="20"/>
          <w:szCs w:val="20"/>
        </w:rPr>
        <w:t xml:space="preserve">. Prescott as something of a more </w:t>
      </w:r>
      <w:r w:rsidR="00BB1533" w:rsidRPr="00F134E5">
        <w:rPr>
          <w:rFonts w:ascii="Times New Roman" w:hAnsi="Times New Roman" w:cs="Times New Roman"/>
          <w:sz w:val="20"/>
          <w:szCs w:val="20"/>
        </w:rPr>
        <w:t>‘traditional’</w:t>
      </w:r>
      <w:r w:rsidR="00C942AE" w:rsidRPr="00F134E5">
        <w:rPr>
          <w:rFonts w:ascii="Times New Roman" w:hAnsi="Times New Roman" w:cs="Times New Roman"/>
          <w:sz w:val="20"/>
          <w:szCs w:val="20"/>
        </w:rPr>
        <w:t xml:space="preserve"> moderniser, admittedly.</w:t>
      </w:r>
    </w:p>
  </w:footnote>
  <w:footnote w:id="90">
    <w:p w14:paraId="5FAF61DD" w14:textId="476282BB" w:rsidR="00FB57C3" w:rsidRPr="00F134E5" w:rsidRDefault="00FB57C3" w:rsidP="001A5083">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Radice, </w:t>
      </w:r>
      <w:r w:rsidR="00811002">
        <w:rPr>
          <w:rFonts w:ascii="Times New Roman" w:hAnsi="Times New Roman" w:cs="Times New Roman"/>
          <w:sz w:val="20"/>
          <w:szCs w:val="20"/>
        </w:rPr>
        <w:t xml:space="preserve">p. </w:t>
      </w:r>
      <w:r w:rsidRPr="00F134E5">
        <w:rPr>
          <w:rFonts w:ascii="Times New Roman" w:hAnsi="Times New Roman" w:cs="Times New Roman"/>
          <w:sz w:val="20"/>
          <w:szCs w:val="20"/>
        </w:rPr>
        <w:t>209</w:t>
      </w:r>
      <w:r w:rsidR="00811002">
        <w:rPr>
          <w:rFonts w:ascii="Times New Roman" w:hAnsi="Times New Roman" w:cs="Times New Roman"/>
          <w:sz w:val="20"/>
          <w:szCs w:val="20"/>
        </w:rPr>
        <w:t>.</w:t>
      </w:r>
    </w:p>
  </w:footnote>
  <w:footnote w:id="91">
    <w:p w14:paraId="085F7A1E" w14:textId="6E61BB78" w:rsidR="001C3335" w:rsidRPr="00F134E5" w:rsidRDefault="001C3335" w:rsidP="001A5083">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color w:val="000000" w:themeColor="text1"/>
          <w:sz w:val="20"/>
          <w:szCs w:val="20"/>
        </w:rPr>
        <w:t>Gordon</w:t>
      </w:r>
      <w:r w:rsidR="004A3A52" w:rsidRPr="00F134E5">
        <w:rPr>
          <w:rFonts w:ascii="Times New Roman" w:hAnsi="Times New Roman" w:cs="Times New Roman"/>
          <w:color w:val="000000" w:themeColor="text1"/>
          <w:sz w:val="20"/>
          <w:szCs w:val="20"/>
        </w:rPr>
        <w:t xml:space="preserve"> Brown </w:t>
      </w:r>
      <w:r w:rsidRPr="00F134E5">
        <w:rPr>
          <w:rFonts w:ascii="Times New Roman" w:hAnsi="Times New Roman" w:cs="Times New Roman"/>
          <w:color w:val="000000" w:themeColor="text1"/>
          <w:sz w:val="20"/>
          <w:szCs w:val="20"/>
        </w:rPr>
        <w:t>lecture,</w:t>
      </w:r>
      <w:r w:rsidR="004A3A52" w:rsidRPr="00F134E5">
        <w:rPr>
          <w:rFonts w:ascii="Times New Roman" w:hAnsi="Times New Roman" w:cs="Times New Roman"/>
          <w:color w:val="000000" w:themeColor="text1"/>
          <w:sz w:val="20"/>
          <w:szCs w:val="20"/>
        </w:rPr>
        <w:t xml:space="preserve"> 17 May 1995,</w:t>
      </w:r>
      <w:r w:rsidRPr="00F134E5">
        <w:rPr>
          <w:rFonts w:ascii="Times New Roman" w:hAnsi="Times New Roman" w:cs="Times New Roman"/>
          <w:color w:val="000000" w:themeColor="text1"/>
          <w:sz w:val="20"/>
          <w:szCs w:val="20"/>
        </w:rPr>
        <w:t xml:space="preserve"> CAC, BRAY 97/097.</w:t>
      </w:r>
    </w:p>
  </w:footnote>
  <w:footnote w:id="92">
    <w:p w14:paraId="0BBA25C9" w14:textId="4220C02C" w:rsidR="001C3335" w:rsidRPr="00F134E5" w:rsidRDefault="001C3335" w:rsidP="001A5083">
      <w:pPr>
        <w:pStyle w:val="FootnoteText"/>
        <w:jc w:val="both"/>
        <w:rPr>
          <w:rFonts w:ascii="Times New Roman" w:hAnsi="Times New Roman" w:cs="Times New Roman"/>
          <w:sz w:val="20"/>
          <w:szCs w:val="20"/>
        </w:rPr>
      </w:pPr>
      <w:r w:rsidRPr="00F134E5">
        <w:rPr>
          <w:rStyle w:val="FootnoteReference"/>
          <w:rFonts w:ascii="Times New Roman" w:hAnsi="Times New Roman" w:cs="Times New Roman"/>
          <w:sz w:val="20"/>
          <w:szCs w:val="20"/>
        </w:rPr>
        <w:footnoteRef/>
      </w:r>
      <w:r w:rsidRPr="00F134E5">
        <w:rPr>
          <w:rFonts w:ascii="Times New Roman" w:hAnsi="Times New Roman" w:cs="Times New Roman"/>
          <w:sz w:val="20"/>
          <w:szCs w:val="20"/>
        </w:rPr>
        <w:t xml:space="preserve"> </w:t>
      </w:r>
      <w:r w:rsidRPr="00F134E5">
        <w:rPr>
          <w:rFonts w:ascii="Times New Roman" w:hAnsi="Times New Roman" w:cs="Times New Roman"/>
          <w:color w:val="000000" w:themeColor="text1"/>
          <w:sz w:val="20"/>
          <w:szCs w:val="20"/>
        </w:rPr>
        <w:t>Bray to Blair, July 1994, CAC, BRAY 97/097.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22C"/>
    <w:multiLevelType w:val="hybridMultilevel"/>
    <w:tmpl w:val="86A87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E41A7"/>
    <w:multiLevelType w:val="hybridMultilevel"/>
    <w:tmpl w:val="C664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D2"/>
    <w:rsid w:val="00000346"/>
    <w:rsid w:val="00001244"/>
    <w:rsid w:val="0000242F"/>
    <w:rsid w:val="00002C14"/>
    <w:rsid w:val="00006C37"/>
    <w:rsid w:val="00007DA0"/>
    <w:rsid w:val="00010660"/>
    <w:rsid w:val="00010978"/>
    <w:rsid w:val="00012A9E"/>
    <w:rsid w:val="00016A09"/>
    <w:rsid w:val="00017CAE"/>
    <w:rsid w:val="0002234F"/>
    <w:rsid w:val="00022B78"/>
    <w:rsid w:val="00023C46"/>
    <w:rsid w:val="0002436C"/>
    <w:rsid w:val="0002482F"/>
    <w:rsid w:val="00024AA0"/>
    <w:rsid w:val="00024D34"/>
    <w:rsid w:val="00030E10"/>
    <w:rsid w:val="000312EF"/>
    <w:rsid w:val="00031C52"/>
    <w:rsid w:val="000326B0"/>
    <w:rsid w:val="00032A37"/>
    <w:rsid w:val="00033941"/>
    <w:rsid w:val="00033CF3"/>
    <w:rsid w:val="00035CAA"/>
    <w:rsid w:val="00035FE1"/>
    <w:rsid w:val="00036652"/>
    <w:rsid w:val="000405D8"/>
    <w:rsid w:val="0004078B"/>
    <w:rsid w:val="00040AED"/>
    <w:rsid w:val="0004160C"/>
    <w:rsid w:val="0004254C"/>
    <w:rsid w:val="00042F78"/>
    <w:rsid w:val="00045A63"/>
    <w:rsid w:val="00045A6A"/>
    <w:rsid w:val="00045CA4"/>
    <w:rsid w:val="000471E4"/>
    <w:rsid w:val="00050A6F"/>
    <w:rsid w:val="00050ECF"/>
    <w:rsid w:val="00051CCA"/>
    <w:rsid w:val="00057D83"/>
    <w:rsid w:val="00060868"/>
    <w:rsid w:val="0006156B"/>
    <w:rsid w:val="0006158A"/>
    <w:rsid w:val="00061D0A"/>
    <w:rsid w:val="00062356"/>
    <w:rsid w:val="00063692"/>
    <w:rsid w:val="00063717"/>
    <w:rsid w:val="000712C0"/>
    <w:rsid w:val="00072478"/>
    <w:rsid w:val="00073805"/>
    <w:rsid w:val="00073E75"/>
    <w:rsid w:val="00074F0A"/>
    <w:rsid w:val="000815B9"/>
    <w:rsid w:val="00082189"/>
    <w:rsid w:val="000832A7"/>
    <w:rsid w:val="000853CC"/>
    <w:rsid w:val="00085E06"/>
    <w:rsid w:val="000874EB"/>
    <w:rsid w:val="00087F23"/>
    <w:rsid w:val="00091496"/>
    <w:rsid w:val="000915A5"/>
    <w:rsid w:val="00091EBD"/>
    <w:rsid w:val="00092516"/>
    <w:rsid w:val="00095E64"/>
    <w:rsid w:val="00096893"/>
    <w:rsid w:val="000A1655"/>
    <w:rsid w:val="000A4354"/>
    <w:rsid w:val="000A50E8"/>
    <w:rsid w:val="000A61DB"/>
    <w:rsid w:val="000A65D1"/>
    <w:rsid w:val="000B3037"/>
    <w:rsid w:val="000B365E"/>
    <w:rsid w:val="000B4F47"/>
    <w:rsid w:val="000B5939"/>
    <w:rsid w:val="000B643F"/>
    <w:rsid w:val="000C0708"/>
    <w:rsid w:val="000C1753"/>
    <w:rsid w:val="000C288D"/>
    <w:rsid w:val="000C32D8"/>
    <w:rsid w:val="000C3B4E"/>
    <w:rsid w:val="000C50B6"/>
    <w:rsid w:val="000C6F6A"/>
    <w:rsid w:val="000C71CF"/>
    <w:rsid w:val="000C79B1"/>
    <w:rsid w:val="000C7AC5"/>
    <w:rsid w:val="000D1EB7"/>
    <w:rsid w:val="000D244C"/>
    <w:rsid w:val="000D30CB"/>
    <w:rsid w:val="000D3135"/>
    <w:rsid w:val="000D3154"/>
    <w:rsid w:val="000D3225"/>
    <w:rsid w:val="000D3E5A"/>
    <w:rsid w:val="000D4022"/>
    <w:rsid w:val="000D5C0F"/>
    <w:rsid w:val="000D6168"/>
    <w:rsid w:val="000E3777"/>
    <w:rsid w:val="000E37A5"/>
    <w:rsid w:val="000E383A"/>
    <w:rsid w:val="000E4319"/>
    <w:rsid w:val="000E58D8"/>
    <w:rsid w:val="000E6AAB"/>
    <w:rsid w:val="000E7661"/>
    <w:rsid w:val="000F09EC"/>
    <w:rsid w:val="000F0D7C"/>
    <w:rsid w:val="000F1BFC"/>
    <w:rsid w:val="000F203B"/>
    <w:rsid w:val="000F26A2"/>
    <w:rsid w:val="000F3D57"/>
    <w:rsid w:val="000F3F14"/>
    <w:rsid w:val="000F4E75"/>
    <w:rsid w:val="001001D8"/>
    <w:rsid w:val="0010138F"/>
    <w:rsid w:val="00101525"/>
    <w:rsid w:val="001057B2"/>
    <w:rsid w:val="001058BF"/>
    <w:rsid w:val="00106457"/>
    <w:rsid w:val="00106974"/>
    <w:rsid w:val="00107A52"/>
    <w:rsid w:val="001114E8"/>
    <w:rsid w:val="0011165B"/>
    <w:rsid w:val="00112FDB"/>
    <w:rsid w:val="001143D6"/>
    <w:rsid w:val="00114447"/>
    <w:rsid w:val="00114E03"/>
    <w:rsid w:val="00115AB8"/>
    <w:rsid w:val="00116D9D"/>
    <w:rsid w:val="0011718F"/>
    <w:rsid w:val="001214C8"/>
    <w:rsid w:val="001217D6"/>
    <w:rsid w:val="001232F4"/>
    <w:rsid w:val="00123D08"/>
    <w:rsid w:val="001308CC"/>
    <w:rsid w:val="001330D3"/>
    <w:rsid w:val="001334AB"/>
    <w:rsid w:val="0013388A"/>
    <w:rsid w:val="001352A5"/>
    <w:rsid w:val="00141E6B"/>
    <w:rsid w:val="00143917"/>
    <w:rsid w:val="00143E39"/>
    <w:rsid w:val="001449B9"/>
    <w:rsid w:val="00144BC4"/>
    <w:rsid w:val="00145BFA"/>
    <w:rsid w:val="00151ED5"/>
    <w:rsid w:val="00151F64"/>
    <w:rsid w:val="001527F1"/>
    <w:rsid w:val="00152CAD"/>
    <w:rsid w:val="0015381B"/>
    <w:rsid w:val="00154B42"/>
    <w:rsid w:val="00154BEC"/>
    <w:rsid w:val="00154C04"/>
    <w:rsid w:val="001554CD"/>
    <w:rsid w:val="00162D03"/>
    <w:rsid w:val="00163360"/>
    <w:rsid w:val="00165E59"/>
    <w:rsid w:val="00170499"/>
    <w:rsid w:val="001724CF"/>
    <w:rsid w:val="00175A70"/>
    <w:rsid w:val="0017616C"/>
    <w:rsid w:val="00180E65"/>
    <w:rsid w:val="001815E3"/>
    <w:rsid w:val="001818C3"/>
    <w:rsid w:val="001820C4"/>
    <w:rsid w:val="00184618"/>
    <w:rsid w:val="001874DF"/>
    <w:rsid w:val="0019044E"/>
    <w:rsid w:val="00190E6D"/>
    <w:rsid w:val="00192CA2"/>
    <w:rsid w:val="0019301B"/>
    <w:rsid w:val="001936AB"/>
    <w:rsid w:val="00193CA9"/>
    <w:rsid w:val="001952CB"/>
    <w:rsid w:val="001A0F00"/>
    <w:rsid w:val="001A3888"/>
    <w:rsid w:val="001A45AF"/>
    <w:rsid w:val="001A4802"/>
    <w:rsid w:val="001A5083"/>
    <w:rsid w:val="001A5231"/>
    <w:rsid w:val="001B00B2"/>
    <w:rsid w:val="001B02B2"/>
    <w:rsid w:val="001B12CC"/>
    <w:rsid w:val="001B1330"/>
    <w:rsid w:val="001B3378"/>
    <w:rsid w:val="001B3B2B"/>
    <w:rsid w:val="001B4A30"/>
    <w:rsid w:val="001B58CF"/>
    <w:rsid w:val="001C13C6"/>
    <w:rsid w:val="001C18CC"/>
    <w:rsid w:val="001C3335"/>
    <w:rsid w:val="001D015D"/>
    <w:rsid w:val="001D01DB"/>
    <w:rsid w:val="001D04F2"/>
    <w:rsid w:val="001D0BF8"/>
    <w:rsid w:val="001D18D6"/>
    <w:rsid w:val="001D2076"/>
    <w:rsid w:val="001D583B"/>
    <w:rsid w:val="001D609D"/>
    <w:rsid w:val="001D7AAE"/>
    <w:rsid w:val="001D7FE1"/>
    <w:rsid w:val="001E033C"/>
    <w:rsid w:val="001E076D"/>
    <w:rsid w:val="001E54F1"/>
    <w:rsid w:val="001E6546"/>
    <w:rsid w:val="001E7DEC"/>
    <w:rsid w:val="001F1A35"/>
    <w:rsid w:val="001F2086"/>
    <w:rsid w:val="001F32E1"/>
    <w:rsid w:val="001F4DDC"/>
    <w:rsid w:val="001F52C2"/>
    <w:rsid w:val="002013BC"/>
    <w:rsid w:val="00201A40"/>
    <w:rsid w:val="002029E2"/>
    <w:rsid w:val="00204DAC"/>
    <w:rsid w:val="00205416"/>
    <w:rsid w:val="0020631D"/>
    <w:rsid w:val="00210032"/>
    <w:rsid w:val="002100FE"/>
    <w:rsid w:val="00210C04"/>
    <w:rsid w:val="0021116F"/>
    <w:rsid w:val="00212FF4"/>
    <w:rsid w:val="00213175"/>
    <w:rsid w:val="002131C9"/>
    <w:rsid w:val="00213E8A"/>
    <w:rsid w:val="00214433"/>
    <w:rsid w:val="00214E96"/>
    <w:rsid w:val="00215006"/>
    <w:rsid w:val="00216EBB"/>
    <w:rsid w:val="00216ECF"/>
    <w:rsid w:val="00217E42"/>
    <w:rsid w:val="00220771"/>
    <w:rsid w:val="00221441"/>
    <w:rsid w:val="00221BF3"/>
    <w:rsid w:val="0022281F"/>
    <w:rsid w:val="0022710A"/>
    <w:rsid w:val="0022755F"/>
    <w:rsid w:val="002327E4"/>
    <w:rsid w:val="00232AF0"/>
    <w:rsid w:val="002336E9"/>
    <w:rsid w:val="00233CF7"/>
    <w:rsid w:val="002347D1"/>
    <w:rsid w:val="00235431"/>
    <w:rsid w:val="0023746C"/>
    <w:rsid w:val="002426C5"/>
    <w:rsid w:val="00243D56"/>
    <w:rsid w:val="00247292"/>
    <w:rsid w:val="00250CD2"/>
    <w:rsid w:val="00250FF8"/>
    <w:rsid w:val="002514CF"/>
    <w:rsid w:val="00253D2B"/>
    <w:rsid w:val="00254543"/>
    <w:rsid w:val="002577C9"/>
    <w:rsid w:val="00260289"/>
    <w:rsid w:val="00263923"/>
    <w:rsid w:val="00263A48"/>
    <w:rsid w:val="002644A5"/>
    <w:rsid w:val="0027024D"/>
    <w:rsid w:val="002712A1"/>
    <w:rsid w:val="002718C0"/>
    <w:rsid w:val="002725A0"/>
    <w:rsid w:val="00274592"/>
    <w:rsid w:val="00277174"/>
    <w:rsid w:val="002775CA"/>
    <w:rsid w:val="002779E1"/>
    <w:rsid w:val="00277B1A"/>
    <w:rsid w:val="0028155A"/>
    <w:rsid w:val="0028251F"/>
    <w:rsid w:val="00282CE3"/>
    <w:rsid w:val="00282E95"/>
    <w:rsid w:val="00283296"/>
    <w:rsid w:val="002839E2"/>
    <w:rsid w:val="00283A5D"/>
    <w:rsid w:val="00283EDC"/>
    <w:rsid w:val="00283F89"/>
    <w:rsid w:val="00284214"/>
    <w:rsid w:val="00284F3B"/>
    <w:rsid w:val="002862FD"/>
    <w:rsid w:val="002908E4"/>
    <w:rsid w:val="00291E14"/>
    <w:rsid w:val="00291ECD"/>
    <w:rsid w:val="00294A59"/>
    <w:rsid w:val="00294ECC"/>
    <w:rsid w:val="002953DF"/>
    <w:rsid w:val="002968D3"/>
    <w:rsid w:val="00297134"/>
    <w:rsid w:val="002978B6"/>
    <w:rsid w:val="002A02F5"/>
    <w:rsid w:val="002A09E3"/>
    <w:rsid w:val="002A1D4D"/>
    <w:rsid w:val="002A27E0"/>
    <w:rsid w:val="002A2F4E"/>
    <w:rsid w:val="002A3015"/>
    <w:rsid w:val="002A39BE"/>
    <w:rsid w:val="002A5240"/>
    <w:rsid w:val="002A6AE5"/>
    <w:rsid w:val="002A7D21"/>
    <w:rsid w:val="002B0B9B"/>
    <w:rsid w:val="002B16AC"/>
    <w:rsid w:val="002B204C"/>
    <w:rsid w:val="002B250F"/>
    <w:rsid w:val="002B34A6"/>
    <w:rsid w:val="002B5707"/>
    <w:rsid w:val="002B5C72"/>
    <w:rsid w:val="002B738A"/>
    <w:rsid w:val="002C0A05"/>
    <w:rsid w:val="002C0F51"/>
    <w:rsid w:val="002C28AF"/>
    <w:rsid w:val="002C2D03"/>
    <w:rsid w:val="002C50AA"/>
    <w:rsid w:val="002C5B2A"/>
    <w:rsid w:val="002C6507"/>
    <w:rsid w:val="002D148B"/>
    <w:rsid w:val="002D1D7E"/>
    <w:rsid w:val="002D1E3D"/>
    <w:rsid w:val="002D2717"/>
    <w:rsid w:val="002D33D9"/>
    <w:rsid w:val="002D3B34"/>
    <w:rsid w:val="002D3E22"/>
    <w:rsid w:val="002E19A1"/>
    <w:rsid w:val="002E29AC"/>
    <w:rsid w:val="002E2CA4"/>
    <w:rsid w:val="002E40D7"/>
    <w:rsid w:val="002E5DCD"/>
    <w:rsid w:val="002F2BFE"/>
    <w:rsid w:val="002F3C71"/>
    <w:rsid w:val="002F525C"/>
    <w:rsid w:val="002F5703"/>
    <w:rsid w:val="002F76AF"/>
    <w:rsid w:val="003006CE"/>
    <w:rsid w:val="00302458"/>
    <w:rsid w:val="00303109"/>
    <w:rsid w:val="0030387D"/>
    <w:rsid w:val="00303E20"/>
    <w:rsid w:val="003040CA"/>
    <w:rsid w:val="003056A9"/>
    <w:rsid w:val="00306324"/>
    <w:rsid w:val="00306ACD"/>
    <w:rsid w:val="003070D8"/>
    <w:rsid w:val="0030742A"/>
    <w:rsid w:val="00307D73"/>
    <w:rsid w:val="003103C1"/>
    <w:rsid w:val="0031091C"/>
    <w:rsid w:val="00311D94"/>
    <w:rsid w:val="00314CFA"/>
    <w:rsid w:val="003163AB"/>
    <w:rsid w:val="00317EF0"/>
    <w:rsid w:val="0032055B"/>
    <w:rsid w:val="0032155A"/>
    <w:rsid w:val="00321B93"/>
    <w:rsid w:val="003229E6"/>
    <w:rsid w:val="0032339D"/>
    <w:rsid w:val="00325527"/>
    <w:rsid w:val="00325AFA"/>
    <w:rsid w:val="00331936"/>
    <w:rsid w:val="00331C60"/>
    <w:rsid w:val="003334C9"/>
    <w:rsid w:val="003339D3"/>
    <w:rsid w:val="0033438A"/>
    <w:rsid w:val="00334F2E"/>
    <w:rsid w:val="00334F45"/>
    <w:rsid w:val="00335ACE"/>
    <w:rsid w:val="00335BE1"/>
    <w:rsid w:val="00337508"/>
    <w:rsid w:val="0034031F"/>
    <w:rsid w:val="00340D15"/>
    <w:rsid w:val="00341072"/>
    <w:rsid w:val="00344553"/>
    <w:rsid w:val="003445B5"/>
    <w:rsid w:val="00345990"/>
    <w:rsid w:val="00345E24"/>
    <w:rsid w:val="00352042"/>
    <w:rsid w:val="003532A0"/>
    <w:rsid w:val="00354C37"/>
    <w:rsid w:val="003553C8"/>
    <w:rsid w:val="00355C6C"/>
    <w:rsid w:val="003564F4"/>
    <w:rsid w:val="003569AA"/>
    <w:rsid w:val="0036036B"/>
    <w:rsid w:val="00360800"/>
    <w:rsid w:val="00361B18"/>
    <w:rsid w:val="00361FFF"/>
    <w:rsid w:val="0036525F"/>
    <w:rsid w:val="003669B7"/>
    <w:rsid w:val="0037034B"/>
    <w:rsid w:val="00374948"/>
    <w:rsid w:val="003768A3"/>
    <w:rsid w:val="003806BE"/>
    <w:rsid w:val="00382341"/>
    <w:rsid w:val="003829DB"/>
    <w:rsid w:val="00383A85"/>
    <w:rsid w:val="0038683A"/>
    <w:rsid w:val="00386E75"/>
    <w:rsid w:val="0038726A"/>
    <w:rsid w:val="00390C02"/>
    <w:rsid w:val="00390D70"/>
    <w:rsid w:val="00391098"/>
    <w:rsid w:val="003915B0"/>
    <w:rsid w:val="00391C6F"/>
    <w:rsid w:val="0039275F"/>
    <w:rsid w:val="0039328B"/>
    <w:rsid w:val="00394547"/>
    <w:rsid w:val="003956B3"/>
    <w:rsid w:val="00395D83"/>
    <w:rsid w:val="0039601F"/>
    <w:rsid w:val="003A0032"/>
    <w:rsid w:val="003A32EE"/>
    <w:rsid w:val="003A39E9"/>
    <w:rsid w:val="003A4E27"/>
    <w:rsid w:val="003A67E8"/>
    <w:rsid w:val="003A7FB7"/>
    <w:rsid w:val="003B0427"/>
    <w:rsid w:val="003B0774"/>
    <w:rsid w:val="003B3817"/>
    <w:rsid w:val="003C1C1E"/>
    <w:rsid w:val="003C2123"/>
    <w:rsid w:val="003C2845"/>
    <w:rsid w:val="003C2AA6"/>
    <w:rsid w:val="003C2F7E"/>
    <w:rsid w:val="003C4595"/>
    <w:rsid w:val="003C66CC"/>
    <w:rsid w:val="003D0C31"/>
    <w:rsid w:val="003D131E"/>
    <w:rsid w:val="003D132E"/>
    <w:rsid w:val="003D14C3"/>
    <w:rsid w:val="003D57A2"/>
    <w:rsid w:val="003D5E4D"/>
    <w:rsid w:val="003E1308"/>
    <w:rsid w:val="003E2399"/>
    <w:rsid w:val="003E3992"/>
    <w:rsid w:val="003E427E"/>
    <w:rsid w:val="003E4826"/>
    <w:rsid w:val="003E5984"/>
    <w:rsid w:val="003E6E35"/>
    <w:rsid w:val="003E6FA3"/>
    <w:rsid w:val="003F427F"/>
    <w:rsid w:val="003F5AF0"/>
    <w:rsid w:val="003F610D"/>
    <w:rsid w:val="003F70ED"/>
    <w:rsid w:val="003F73CD"/>
    <w:rsid w:val="0040296B"/>
    <w:rsid w:val="00403F70"/>
    <w:rsid w:val="00404028"/>
    <w:rsid w:val="00405241"/>
    <w:rsid w:val="00406CA4"/>
    <w:rsid w:val="004077CD"/>
    <w:rsid w:val="00410BBB"/>
    <w:rsid w:val="0041162D"/>
    <w:rsid w:val="004121C6"/>
    <w:rsid w:val="00413480"/>
    <w:rsid w:val="004139C3"/>
    <w:rsid w:val="004139F1"/>
    <w:rsid w:val="00413CCF"/>
    <w:rsid w:val="00413EBE"/>
    <w:rsid w:val="004150E1"/>
    <w:rsid w:val="00415F56"/>
    <w:rsid w:val="00416A75"/>
    <w:rsid w:val="00420441"/>
    <w:rsid w:val="004213E2"/>
    <w:rsid w:val="00421A19"/>
    <w:rsid w:val="00421C06"/>
    <w:rsid w:val="004222B3"/>
    <w:rsid w:val="00422578"/>
    <w:rsid w:val="004259DD"/>
    <w:rsid w:val="00435CEB"/>
    <w:rsid w:val="00436628"/>
    <w:rsid w:val="004369DB"/>
    <w:rsid w:val="00436C4D"/>
    <w:rsid w:val="00441633"/>
    <w:rsid w:val="00445D48"/>
    <w:rsid w:val="00450A9D"/>
    <w:rsid w:val="00452020"/>
    <w:rsid w:val="00452241"/>
    <w:rsid w:val="00453FC5"/>
    <w:rsid w:val="00454386"/>
    <w:rsid w:val="00454E18"/>
    <w:rsid w:val="004553A8"/>
    <w:rsid w:val="00455658"/>
    <w:rsid w:val="00460DD8"/>
    <w:rsid w:val="0046115E"/>
    <w:rsid w:val="004625FA"/>
    <w:rsid w:val="00462E71"/>
    <w:rsid w:val="00463280"/>
    <w:rsid w:val="00463AD4"/>
    <w:rsid w:val="00464219"/>
    <w:rsid w:val="00466340"/>
    <w:rsid w:val="00467193"/>
    <w:rsid w:val="004707AA"/>
    <w:rsid w:val="004709A5"/>
    <w:rsid w:val="004742C9"/>
    <w:rsid w:val="004746A5"/>
    <w:rsid w:val="00476B8D"/>
    <w:rsid w:val="004834EA"/>
    <w:rsid w:val="00485926"/>
    <w:rsid w:val="00486E60"/>
    <w:rsid w:val="00491B38"/>
    <w:rsid w:val="004923EA"/>
    <w:rsid w:val="004930F6"/>
    <w:rsid w:val="00494F9E"/>
    <w:rsid w:val="004A03B3"/>
    <w:rsid w:val="004A11AD"/>
    <w:rsid w:val="004A1469"/>
    <w:rsid w:val="004A2593"/>
    <w:rsid w:val="004A3A52"/>
    <w:rsid w:val="004A43A1"/>
    <w:rsid w:val="004A4BD9"/>
    <w:rsid w:val="004A5974"/>
    <w:rsid w:val="004A70CF"/>
    <w:rsid w:val="004A75E8"/>
    <w:rsid w:val="004A7A64"/>
    <w:rsid w:val="004B0AC1"/>
    <w:rsid w:val="004B0BFE"/>
    <w:rsid w:val="004B163B"/>
    <w:rsid w:val="004B2BD9"/>
    <w:rsid w:val="004B3DE0"/>
    <w:rsid w:val="004B5785"/>
    <w:rsid w:val="004B7018"/>
    <w:rsid w:val="004B7FA1"/>
    <w:rsid w:val="004C0036"/>
    <w:rsid w:val="004C025A"/>
    <w:rsid w:val="004C2CBA"/>
    <w:rsid w:val="004C3054"/>
    <w:rsid w:val="004C4533"/>
    <w:rsid w:val="004C4CBC"/>
    <w:rsid w:val="004C5152"/>
    <w:rsid w:val="004C598B"/>
    <w:rsid w:val="004C5FA3"/>
    <w:rsid w:val="004C689F"/>
    <w:rsid w:val="004D17CB"/>
    <w:rsid w:val="004D188A"/>
    <w:rsid w:val="004D2E07"/>
    <w:rsid w:val="004D35C2"/>
    <w:rsid w:val="004D5476"/>
    <w:rsid w:val="004D5A92"/>
    <w:rsid w:val="004E3920"/>
    <w:rsid w:val="004E3B9B"/>
    <w:rsid w:val="004E428D"/>
    <w:rsid w:val="004E4AE2"/>
    <w:rsid w:val="004E7D7C"/>
    <w:rsid w:val="004F0497"/>
    <w:rsid w:val="004F1064"/>
    <w:rsid w:val="004F2368"/>
    <w:rsid w:val="004F2D81"/>
    <w:rsid w:val="004F5095"/>
    <w:rsid w:val="004F5CFB"/>
    <w:rsid w:val="004F61E4"/>
    <w:rsid w:val="004F725E"/>
    <w:rsid w:val="004F77B8"/>
    <w:rsid w:val="00500C26"/>
    <w:rsid w:val="0050425A"/>
    <w:rsid w:val="00505357"/>
    <w:rsid w:val="00511C57"/>
    <w:rsid w:val="0051698B"/>
    <w:rsid w:val="005224D3"/>
    <w:rsid w:val="005228C0"/>
    <w:rsid w:val="0052393F"/>
    <w:rsid w:val="00524959"/>
    <w:rsid w:val="0052496B"/>
    <w:rsid w:val="005303C9"/>
    <w:rsid w:val="005303E7"/>
    <w:rsid w:val="00530CAB"/>
    <w:rsid w:val="0053311C"/>
    <w:rsid w:val="00533B3A"/>
    <w:rsid w:val="00541C0E"/>
    <w:rsid w:val="00542C5E"/>
    <w:rsid w:val="00543B52"/>
    <w:rsid w:val="005511AC"/>
    <w:rsid w:val="00553902"/>
    <w:rsid w:val="00556CEE"/>
    <w:rsid w:val="005604EF"/>
    <w:rsid w:val="00561D6A"/>
    <w:rsid w:val="00561FF6"/>
    <w:rsid w:val="00563FDF"/>
    <w:rsid w:val="00567319"/>
    <w:rsid w:val="00571F70"/>
    <w:rsid w:val="00576CD4"/>
    <w:rsid w:val="00577FC9"/>
    <w:rsid w:val="005800E5"/>
    <w:rsid w:val="0058027C"/>
    <w:rsid w:val="005804C3"/>
    <w:rsid w:val="005806CC"/>
    <w:rsid w:val="00582547"/>
    <w:rsid w:val="00584D26"/>
    <w:rsid w:val="00586E3F"/>
    <w:rsid w:val="00590606"/>
    <w:rsid w:val="00593487"/>
    <w:rsid w:val="00594DC8"/>
    <w:rsid w:val="00597501"/>
    <w:rsid w:val="00597CCC"/>
    <w:rsid w:val="005A0813"/>
    <w:rsid w:val="005A217F"/>
    <w:rsid w:val="005A256F"/>
    <w:rsid w:val="005A46FA"/>
    <w:rsid w:val="005A685F"/>
    <w:rsid w:val="005B1184"/>
    <w:rsid w:val="005B12F9"/>
    <w:rsid w:val="005B15F0"/>
    <w:rsid w:val="005B1FCD"/>
    <w:rsid w:val="005B4715"/>
    <w:rsid w:val="005B697D"/>
    <w:rsid w:val="005B7E5B"/>
    <w:rsid w:val="005C2951"/>
    <w:rsid w:val="005C2F24"/>
    <w:rsid w:val="005C36DF"/>
    <w:rsid w:val="005C4304"/>
    <w:rsid w:val="005C4343"/>
    <w:rsid w:val="005C5D37"/>
    <w:rsid w:val="005C6DFC"/>
    <w:rsid w:val="005D188F"/>
    <w:rsid w:val="005D2EF0"/>
    <w:rsid w:val="005D4041"/>
    <w:rsid w:val="005D4CA0"/>
    <w:rsid w:val="005D5418"/>
    <w:rsid w:val="005D66F7"/>
    <w:rsid w:val="005D7144"/>
    <w:rsid w:val="005E0C10"/>
    <w:rsid w:val="005E14C4"/>
    <w:rsid w:val="005E24CD"/>
    <w:rsid w:val="005E26DD"/>
    <w:rsid w:val="005E6B61"/>
    <w:rsid w:val="005F1407"/>
    <w:rsid w:val="005F3F6E"/>
    <w:rsid w:val="005F4488"/>
    <w:rsid w:val="005F5F98"/>
    <w:rsid w:val="005F5FEF"/>
    <w:rsid w:val="00602DD4"/>
    <w:rsid w:val="00613ACC"/>
    <w:rsid w:val="00613D46"/>
    <w:rsid w:val="00615312"/>
    <w:rsid w:val="0061592C"/>
    <w:rsid w:val="00616141"/>
    <w:rsid w:val="00616DB0"/>
    <w:rsid w:val="006173D4"/>
    <w:rsid w:val="00623935"/>
    <w:rsid w:val="00624479"/>
    <w:rsid w:val="006252CE"/>
    <w:rsid w:val="00626A7E"/>
    <w:rsid w:val="006271B3"/>
    <w:rsid w:val="0062722E"/>
    <w:rsid w:val="00627C58"/>
    <w:rsid w:val="0063053C"/>
    <w:rsid w:val="0063370F"/>
    <w:rsid w:val="00633C91"/>
    <w:rsid w:val="00634007"/>
    <w:rsid w:val="006342A7"/>
    <w:rsid w:val="00635844"/>
    <w:rsid w:val="00636730"/>
    <w:rsid w:val="00636781"/>
    <w:rsid w:val="006406CF"/>
    <w:rsid w:val="00640790"/>
    <w:rsid w:val="00640859"/>
    <w:rsid w:val="00640BD2"/>
    <w:rsid w:val="00642070"/>
    <w:rsid w:val="00643CF7"/>
    <w:rsid w:val="00644034"/>
    <w:rsid w:val="00645D95"/>
    <w:rsid w:val="006502B3"/>
    <w:rsid w:val="006525E3"/>
    <w:rsid w:val="006536FF"/>
    <w:rsid w:val="00654CC1"/>
    <w:rsid w:val="00654FAC"/>
    <w:rsid w:val="00656E26"/>
    <w:rsid w:val="006611B1"/>
    <w:rsid w:val="006625A6"/>
    <w:rsid w:val="006637F6"/>
    <w:rsid w:val="006658C2"/>
    <w:rsid w:val="00666212"/>
    <w:rsid w:val="00666590"/>
    <w:rsid w:val="00672CD9"/>
    <w:rsid w:val="006779BB"/>
    <w:rsid w:val="006874F5"/>
    <w:rsid w:val="00687C8E"/>
    <w:rsid w:val="006904BA"/>
    <w:rsid w:val="00690CB3"/>
    <w:rsid w:val="00692107"/>
    <w:rsid w:val="006921E4"/>
    <w:rsid w:val="00693074"/>
    <w:rsid w:val="00694CE9"/>
    <w:rsid w:val="00697579"/>
    <w:rsid w:val="006A28A1"/>
    <w:rsid w:val="006A3195"/>
    <w:rsid w:val="006A6B1D"/>
    <w:rsid w:val="006A6BA7"/>
    <w:rsid w:val="006A6E91"/>
    <w:rsid w:val="006B184A"/>
    <w:rsid w:val="006B1966"/>
    <w:rsid w:val="006B4EFF"/>
    <w:rsid w:val="006B5EDF"/>
    <w:rsid w:val="006B67A4"/>
    <w:rsid w:val="006C1A12"/>
    <w:rsid w:val="006C302D"/>
    <w:rsid w:val="006C30AB"/>
    <w:rsid w:val="006C3B00"/>
    <w:rsid w:val="006C73A5"/>
    <w:rsid w:val="006C7F09"/>
    <w:rsid w:val="006D081D"/>
    <w:rsid w:val="006D0B77"/>
    <w:rsid w:val="006D1578"/>
    <w:rsid w:val="006D1D3C"/>
    <w:rsid w:val="006D22C1"/>
    <w:rsid w:val="006D2E88"/>
    <w:rsid w:val="006D480B"/>
    <w:rsid w:val="006D48F7"/>
    <w:rsid w:val="006D51A7"/>
    <w:rsid w:val="006D528F"/>
    <w:rsid w:val="006D5C87"/>
    <w:rsid w:val="006E113C"/>
    <w:rsid w:val="006E116D"/>
    <w:rsid w:val="006E1EE8"/>
    <w:rsid w:val="006E201B"/>
    <w:rsid w:val="006E2EE4"/>
    <w:rsid w:val="006E42BF"/>
    <w:rsid w:val="006E44C2"/>
    <w:rsid w:val="006E49BC"/>
    <w:rsid w:val="006E6DFE"/>
    <w:rsid w:val="006E7FE3"/>
    <w:rsid w:val="006F119C"/>
    <w:rsid w:val="006F20C9"/>
    <w:rsid w:val="006F2A4E"/>
    <w:rsid w:val="006F48C3"/>
    <w:rsid w:val="006F798D"/>
    <w:rsid w:val="006F7FF2"/>
    <w:rsid w:val="00701F92"/>
    <w:rsid w:val="007026E5"/>
    <w:rsid w:val="007030D7"/>
    <w:rsid w:val="00703804"/>
    <w:rsid w:val="00705205"/>
    <w:rsid w:val="0070622F"/>
    <w:rsid w:val="0070742A"/>
    <w:rsid w:val="007111C0"/>
    <w:rsid w:val="00712B05"/>
    <w:rsid w:val="00721B40"/>
    <w:rsid w:val="0072224F"/>
    <w:rsid w:val="00723864"/>
    <w:rsid w:val="007242FA"/>
    <w:rsid w:val="00727D3F"/>
    <w:rsid w:val="00730E97"/>
    <w:rsid w:val="00731F40"/>
    <w:rsid w:val="0073204B"/>
    <w:rsid w:val="0073296E"/>
    <w:rsid w:val="007336EA"/>
    <w:rsid w:val="007356F7"/>
    <w:rsid w:val="00736347"/>
    <w:rsid w:val="00737519"/>
    <w:rsid w:val="00743327"/>
    <w:rsid w:val="00744488"/>
    <w:rsid w:val="00744C76"/>
    <w:rsid w:val="00745A71"/>
    <w:rsid w:val="00746314"/>
    <w:rsid w:val="007463EA"/>
    <w:rsid w:val="0074647A"/>
    <w:rsid w:val="007472A6"/>
    <w:rsid w:val="00750E90"/>
    <w:rsid w:val="00750ECB"/>
    <w:rsid w:val="00751DB4"/>
    <w:rsid w:val="00752FE5"/>
    <w:rsid w:val="0075334D"/>
    <w:rsid w:val="007555DC"/>
    <w:rsid w:val="00757464"/>
    <w:rsid w:val="00760820"/>
    <w:rsid w:val="007629A5"/>
    <w:rsid w:val="00762ABF"/>
    <w:rsid w:val="007632C6"/>
    <w:rsid w:val="00764D0B"/>
    <w:rsid w:val="00765E85"/>
    <w:rsid w:val="00767E72"/>
    <w:rsid w:val="0077200B"/>
    <w:rsid w:val="00773A14"/>
    <w:rsid w:val="00774AAD"/>
    <w:rsid w:val="00774C91"/>
    <w:rsid w:val="0077532E"/>
    <w:rsid w:val="00775ED2"/>
    <w:rsid w:val="0077663F"/>
    <w:rsid w:val="00781067"/>
    <w:rsid w:val="007828D8"/>
    <w:rsid w:val="00783DE2"/>
    <w:rsid w:val="007846A7"/>
    <w:rsid w:val="00785C89"/>
    <w:rsid w:val="00786D1D"/>
    <w:rsid w:val="00787011"/>
    <w:rsid w:val="007873BA"/>
    <w:rsid w:val="007909DA"/>
    <w:rsid w:val="00790A93"/>
    <w:rsid w:val="00792095"/>
    <w:rsid w:val="007943FE"/>
    <w:rsid w:val="007958CE"/>
    <w:rsid w:val="007A15D5"/>
    <w:rsid w:val="007A4848"/>
    <w:rsid w:val="007A4E5B"/>
    <w:rsid w:val="007B09C7"/>
    <w:rsid w:val="007B28F0"/>
    <w:rsid w:val="007B3D13"/>
    <w:rsid w:val="007B7519"/>
    <w:rsid w:val="007C111A"/>
    <w:rsid w:val="007C3E4D"/>
    <w:rsid w:val="007C6D80"/>
    <w:rsid w:val="007D08CA"/>
    <w:rsid w:val="007D0DD6"/>
    <w:rsid w:val="007D1332"/>
    <w:rsid w:val="007D42B7"/>
    <w:rsid w:val="007D4A8C"/>
    <w:rsid w:val="007D6472"/>
    <w:rsid w:val="007E0678"/>
    <w:rsid w:val="007E0FC3"/>
    <w:rsid w:val="007E5768"/>
    <w:rsid w:val="007E629C"/>
    <w:rsid w:val="007E78DC"/>
    <w:rsid w:val="007F00D2"/>
    <w:rsid w:val="007F16F1"/>
    <w:rsid w:val="007F3884"/>
    <w:rsid w:val="007F634E"/>
    <w:rsid w:val="0080106F"/>
    <w:rsid w:val="00801337"/>
    <w:rsid w:val="0080140D"/>
    <w:rsid w:val="00801821"/>
    <w:rsid w:val="008018B2"/>
    <w:rsid w:val="0080215B"/>
    <w:rsid w:val="00805428"/>
    <w:rsid w:val="00805931"/>
    <w:rsid w:val="00806594"/>
    <w:rsid w:val="00806EF2"/>
    <w:rsid w:val="00807382"/>
    <w:rsid w:val="008073E5"/>
    <w:rsid w:val="0080763E"/>
    <w:rsid w:val="00811002"/>
    <w:rsid w:val="008116A7"/>
    <w:rsid w:val="00811A7F"/>
    <w:rsid w:val="00812571"/>
    <w:rsid w:val="00813516"/>
    <w:rsid w:val="00813588"/>
    <w:rsid w:val="008141C7"/>
    <w:rsid w:val="00815C21"/>
    <w:rsid w:val="00821841"/>
    <w:rsid w:val="00822509"/>
    <w:rsid w:val="00822577"/>
    <w:rsid w:val="00822CD9"/>
    <w:rsid w:val="008230EC"/>
    <w:rsid w:val="00825894"/>
    <w:rsid w:val="00825B3C"/>
    <w:rsid w:val="00826278"/>
    <w:rsid w:val="008272BB"/>
    <w:rsid w:val="008310A5"/>
    <w:rsid w:val="00831966"/>
    <w:rsid w:val="00831EC3"/>
    <w:rsid w:val="0083251B"/>
    <w:rsid w:val="00834318"/>
    <w:rsid w:val="0084004C"/>
    <w:rsid w:val="00840B58"/>
    <w:rsid w:val="008420AE"/>
    <w:rsid w:val="0084233B"/>
    <w:rsid w:val="008427AE"/>
    <w:rsid w:val="0084493E"/>
    <w:rsid w:val="008474BA"/>
    <w:rsid w:val="0084779C"/>
    <w:rsid w:val="008501D4"/>
    <w:rsid w:val="00851293"/>
    <w:rsid w:val="00852B14"/>
    <w:rsid w:val="008545E5"/>
    <w:rsid w:val="008549B0"/>
    <w:rsid w:val="00855556"/>
    <w:rsid w:val="008558D3"/>
    <w:rsid w:val="00857CE2"/>
    <w:rsid w:val="00857F84"/>
    <w:rsid w:val="00863C8D"/>
    <w:rsid w:val="008652AE"/>
    <w:rsid w:val="00865345"/>
    <w:rsid w:val="00866DAB"/>
    <w:rsid w:val="008718FC"/>
    <w:rsid w:val="00872460"/>
    <w:rsid w:val="0087353E"/>
    <w:rsid w:val="0087393E"/>
    <w:rsid w:val="00874699"/>
    <w:rsid w:val="008749D6"/>
    <w:rsid w:val="00874CFA"/>
    <w:rsid w:val="00877A9B"/>
    <w:rsid w:val="008814FA"/>
    <w:rsid w:val="008815EC"/>
    <w:rsid w:val="0088242C"/>
    <w:rsid w:val="0088562B"/>
    <w:rsid w:val="008907EC"/>
    <w:rsid w:val="00891D80"/>
    <w:rsid w:val="00897DB0"/>
    <w:rsid w:val="008A0218"/>
    <w:rsid w:val="008A2D76"/>
    <w:rsid w:val="008A3038"/>
    <w:rsid w:val="008A3129"/>
    <w:rsid w:val="008A43EC"/>
    <w:rsid w:val="008A4BD3"/>
    <w:rsid w:val="008A53FF"/>
    <w:rsid w:val="008B08A2"/>
    <w:rsid w:val="008B1CE4"/>
    <w:rsid w:val="008B375C"/>
    <w:rsid w:val="008B5B87"/>
    <w:rsid w:val="008B63A5"/>
    <w:rsid w:val="008C3926"/>
    <w:rsid w:val="008C4D74"/>
    <w:rsid w:val="008C551C"/>
    <w:rsid w:val="008D0690"/>
    <w:rsid w:val="008D282A"/>
    <w:rsid w:val="008D6428"/>
    <w:rsid w:val="008D7F05"/>
    <w:rsid w:val="008E2304"/>
    <w:rsid w:val="008E432F"/>
    <w:rsid w:val="008E6D28"/>
    <w:rsid w:val="008F0792"/>
    <w:rsid w:val="008F0E8C"/>
    <w:rsid w:val="008F3105"/>
    <w:rsid w:val="008F6004"/>
    <w:rsid w:val="008F6FAC"/>
    <w:rsid w:val="00901C70"/>
    <w:rsid w:val="00902771"/>
    <w:rsid w:val="00903788"/>
    <w:rsid w:val="00904428"/>
    <w:rsid w:val="00904807"/>
    <w:rsid w:val="00905ACC"/>
    <w:rsid w:val="00905F39"/>
    <w:rsid w:val="009075EB"/>
    <w:rsid w:val="00907826"/>
    <w:rsid w:val="00907D11"/>
    <w:rsid w:val="00911F98"/>
    <w:rsid w:val="009132C2"/>
    <w:rsid w:val="00913653"/>
    <w:rsid w:val="00915A78"/>
    <w:rsid w:val="009169AE"/>
    <w:rsid w:val="00920126"/>
    <w:rsid w:val="00920E22"/>
    <w:rsid w:val="00921F02"/>
    <w:rsid w:val="00922C07"/>
    <w:rsid w:val="00923C63"/>
    <w:rsid w:val="00926A6F"/>
    <w:rsid w:val="00930D78"/>
    <w:rsid w:val="00930F4D"/>
    <w:rsid w:val="00931A16"/>
    <w:rsid w:val="00932E09"/>
    <w:rsid w:val="00933800"/>
    <w:rsid w:val="00934A43"/>
    <w:rsid w:val="00935411"/>
    <w:rsid w:val="00935736"/>
    <w:rsid w:val="00937F30"/>
    <w:rsid w:val="009408BA"/>
    <w:rsid w:val="00942891"/>
    <w:rsid w:val="00942E77"/>
    <w:rsid w:val="0094400C"/>
    <w:rsid w:val="00944A99"/>
    <w:rsid w:val="00946CD8"/>
    <w:rsid w:val="009507E7"/>
    <w:rsid w:val="0095166A"/>
    <w:rsid w:val="00951F13"/>
    <w:rsid w:val="0095283E"/>
    <w:rsid w:val="00953B11"/>
    <w:rsid w:val="00955F7D"/>
    <w:rsid w:val="00956141"/>
    <w:rsid w:val="00956A13"/>
    <w:rsid w:val="0096050F"/>
    <w:rsid w:val="00960B1C"/>
    <w:rsid w:val="00960DB2"/>
    <w:rsid w:val="00961B7C"/>
    <w:rsid w:val="009626C3"/>
    <w:rsid w:val="00963FD5"/>
    <w:rsid w:val="009663BF"/>
    <w:rsid w:val="009663F7"/>
    <w:rsid w:val="00973CCF"/>
    <w:rsid w:val="0097486B"/>
    <w:rsid w:val="00974E1D"/>
    <w:rsid w:val="009757E8"/>
    <w:rsid w:val="00975924"/>
    <w:rsid w:val="0097680C"/>
    <w:rsid w:val="00976C91"/>
    <w:rsid w:val="00976ECF"/>
    <w:rsid w:val="00982C9D"/>
    <w:rsid w:val="00984905"/>
    <w:rsid w:val="009864C8"/>
    <w:rsid w:val="0099012D"/>
    <w:rsid w:val="00990409"/>
    <w:rsid w:val="0099094E"/>
    <w:rsid w:val="00994854"/>
    <w:rsid w:val="00995503"/>
    <w:rsid w:val="009A005E"/>
    <w:rsid w:val="009A2A53"/>
    <w:rsid w:val="009A2CEC"/>
    <w:rsid w:val="009A3AE5"/>
    <w:rsid w:val="009A7574"/>
    <w:rsid w:val="009B0E54"/>
    <w:rsid w:val="009B3225"/>
    <w:rsid w:val="009B412B"/>
    <w:rsid w:val="009B4830"/>
    <w:rsid w:val="009B5D8A"/>
    <w:rsid w:val="009B7265"/>
    <w:rsid w:val="009B786A"/>
    <w:rsid w:val="009C0B85"/>
    <w:rsid w:val="009C5594"/>
    <w:rsid w:val="009C5630"/>
    <w:rsid w:val="009C5A42"/>
    <w:rsid w:val="009C6DF8"/>
    <w:rsid w:val="009C70A6"/>
    <w:rsid w:val="009C7235"/>
    <w:rsid w:val="009C7DFB"/>
    <w:rsid w:val="009D0ABC"/>
    <w:rsid w:val="009D206F"/>
    <w:rsid w:val="009D2F94"/>
    <w:rsid w:val="009D5191"/>
    <w:rsid w:val="009D68B7"/>
    <w:rsid w:val="009D6B30"/>
    <w:rsid w:val="009D7053"/>
    <w:rsid w:val="009D757E"/>
    <w:rsid w:val="009E0024"/>
    <w:rsid w:val="009E0592"/>
    <w:rsid w:val="009E2F23"/>
    <w:rsid w:val="009E3A63"/>
    <w:rsid w:val="009E40D8"/>
    <w:rsid w:val="009E4EB6"/>
    <w:rsid w:val="009E7C65"/>
    <w:rsid w:val="009F0AD7"/>
    <w:rsid w:val="009F19E9"/>
    <w:rsid w:val="009F4A2D"/>
    <w:rsid w:val="009F77D3"/>
    <w:rsid w:val="009F7CA0"/>
    <w:rsid w:val="00A0223A"/>
    <w:rsid w:val="00A04DF1"/>
    <w:rsid w:val="00A04F05"/>
    <w:rsid w:val="00A05A55"/>
    <w:rsid w:val="00A06B8A"/>
    <w:rsid w:val="00A102CC"/>
    <w:rsid w:val="00A112C6"/>
    <w:rsid w:val="00A11A46"/>
    <w:rsid w:val="00A11E46"/>
    <w:rsid w:val="00A1288E"/>
    <w:rsid w:val="00A132A7"/>
    <w:rsid w:val="00A140FC"/>
    <w:rsid w:val="00A218A2"/>
    <w:rsid w:val="00A2249C"/>
    <w:rsid w:val="00A24022"/>
    <w:rsid w:val="00A2453B"/>
    <w:rsid w:val="00A25A27"/>
    <w:rsid w:val="00A25A64"/>
    <w:rsid w:val="00A26BBB"/>
    <w:rsid w:val="00A26C04"/>
    <w:rsid w:val="00A32C58"/>
    <w:rsid w:val="00A36367"/>
    <w:rsid w:val="00A367B7"/>
    <w:rsid w:val="00A36A99"/>
    <w:rsid w:val="00A37200"/>
    <w:rsid w:val="00A3756D"/>
    <w:rsid w:val="00A4025D"/>
    <w:rsid w:val="00A4181F"/>
    <w:rsid w:val="00A41A54"/>
    <w:rsid w:val="00A43AF5"/>
    <w:rsid w:val="00A479B9"/>
    <w:rsid w:val="00A47B01"/>
    <w:rsid w:val="00A47B82"/>
    <w:rsid w:val="00A5026F"/>
    <w:rsid w:val="00A51CE1"/>
    <w:rsid w:val="00A522D6"/>
    <w:rsid w:val="00A53656"/>
    <w:rsid w:val="00A55B00"/>
    <w:rsid w:val="00A57EF9"/>
    <w:rsid w:val="00A605EF"/>
    <w:rsid w:val="00A60BFD"/>
    <w:rsid w:val="00A6523C"/>
    <w:rsid w:val="00A74FC7"/>
    <w:rsid w:val="00A755E9"/>
    <w:rsid w:val="00A765B2"/>
    <w:rsid w:val="00A77C4F"/>
    <w:rsid w:val="00A80B1F"/>
    <w:rsid w:val="00A80C7B"/>
    <w:rsid w:val="00A81D16"/>
    <w:rsid w:val="00A83DDE"/>
    <w:rsid w:val="00A849F6"/>
    <w:rsid w:val="00A85509"/>
    <w:rsid w:val="00A85CFA"/>
    <w:rsid w:val="00A86546"/>
    <w:rsid w:val="00A87891"/>
    <w:rsid w:val="00A87CB1"/>
    <w:rsid w:val="00A9341B"/>
    <w:rsid w:val="00A94293"/>
    <w:rsid w:val="00A95C28"/>
    <w:rsid w:val="00A95FEA"/>
    <w:rsid w:val="00A966B4"/>
    <w:rsid w:val="00A96BFC"/>
    <w:rsid w:val="00A9783A"/>
    <w:rsid w:val="00A97D19"/>
    <w:rsid w:val="00AA15E3"/>
    <w:rsid w:val="00AA3C0F"/>
    <w:rsid w:val="00AA42EE"/>
    <w:rsid w:val="00AA6897"/>
    <w:rsid w:val="00AA7462"/>
    <w:rsid w:val="00AA7521"/>
    <w:rsid w:val="00AA7880"/>
    <w:rsid w:val="00AB0E4B"/>
    <w:rsid w:val="00AB17E9"/>
    <w:rsid w:val="00AB4D00"/>
    <w:rsid w:val="00AB4F9E"/>
    <w:rsid w:val="00AB5E51"/>
    <w:rsid w:val="00AB5E6F"/>
    <w:rsid w:val="00AB6F7E"/>
    <w:rsid w:val="00AC0B53"/>
    <w:rsid w:val="00AC1582"/>
    <w:rsid w:val="00AC26A6"/>
    <w:rsid w:val="00AC37C2"/>
    <w:rsid w:val="00AC425C"/>
    <w:rsid w:val="00AC71BA"/>
    <w:rsid w:val="00AC7320"/>
    <w:rsid w:val="00AC7F05"/>
    <w:rsid w:val="00AD218F"/>
    <w:rsid w:val="00AD2C1D"/>
    <w:rsid w:val="00AD2C90"/>
    <w:rsid w:val="00AD36EA"/>
    <w:rsid w:val="00AD39BF"/>
    <w:rsid w:val="00AD3A85"/>
    <w:rsid w:val="00AD61CD"/>
    <w:rsid w:val="00AD7461"/>
    <w:rsid w:val="00AD7BDD"/>
    <w:rsid w:val="00AE069A"/>
    <w:rsid w:val="00AE131F"/>
    <w:rsid w:val="00AE151A"/>
    <w:rsid w:val="00AE171D"/>
    <w:rsid w:val="00AE1F02"/>
    <w:rsid w:val="00AE28FB"/>
    <w:rsid w:val="00AE2B16"/>
    <w:rsid w:val="00AE35D9"/>
    <w:rsid w:val="00AE4AF9"/>
    <w:rsid w:val="00AE5D59"/>
    <w:rsid w:val="00AE78F7"/>
    <w:rsid w:val="00AF31E0"/>
    <w:rsid w:val="00AF423B"/>
    <w:rsid w:val="00AF525D"/>
    <w:rsid w:val="00AF714E"/>
    <w:rsid w:val="00B017D5"/>
    <w:rsid w:val="00B02CD2"/>
    <w:rsid w:val="00B04711"/>
    <w:rsid w:val="00B07F8A"/>
    <w:rsid w:val="00B11BB5"/>
    <w:rsid w:val="00B12FF6"/>
    <w:rsid w:val="00B13583"/>
    <w:rsid w:val="00B21A86"/>
    <w:rsid w:val="00B22957"/>
    <w:rsid w:val="00B23DB4"/>
    <w:rsid w:val="00B260E2"/>
    <w:rsid w:val="00B300EE"/>
    <w:rsid w:val="00B320AA"/>
    <w:rsid w:val="00B326CA"/>
    <w:rsid w:val="00B345BA"/>
    <w:rsid w:val="00B34BAF"/>
    <w:rsid w:val="00B36DD5"/>
    <w:rsid w:val="00B36F8F"/>
    <w:rsid w:val="00B37D94"/>
    <w:rsid w:val="00B43A07"/>
    <w:rsid w:val="00B44E1C"/>
    <w:rsid w:val="00B46F48"/>
    <w:rsid w:val="00B50091"/>
    <w:rsid w:val="00B50924"/>
    <w:rsid w:val="00B56AAB"/>
    <w:rsid w:val="00B56B39"/>
    <w:rsid w:val="00B56EF5"/>
    <w:rsid w:val="00B56F22"/>
    <w:rsid w:val="00B616F8"/>
    <w:rsid w:val="00B627A5"/>
    <w:rsid w:val="00B62F4E"/>
    <w:rsid w:val="00B663A7"/>
    <w:rsid w:val="00B66487"/>
    <w:rsid w:val="00B67F2E"/>
    <w:rsid w:val="00B70761"/>
    <w:rsid w:val="00B70CE8"/>
    <w:rsid w:val="00B71613"/>
    <w:rsid w:val="00B72841"/>
    <w:rsid w:val="00B739E4"/>
    <w:rsid w:val="00B75319"/>
    <w:rsid w:val="00B81587"/>
    <w:rsid w:val="00B824BF"/>
    <w:rsid w:val="00B82771"/>
    <w:rsid w:val="00B82856"/>
    <w:rsid w:val="00B82F63"/>
    <w:rsid w:val="00B84DA6"/>
    <w:rsid w:val="00B85150"/>
    <w:rsid w:val="00B905B5"/>
    <w:rsid w:val="00B938C4"/>
    <w:rsid w:val="00B93F20"/>
    <w:rsid w:val="00B94A5C"/>
    <w:rsid w:val="00B96A91"/>
    <w:rsid w:val="00B978A5"/>
    <w:rsid w:val="00BA04C5"/>
    <w:rsid w:val="00BA0BBC"/>
    <w:rsid w:val="00BA2F9C"/>
    <w:rsid w:val="00BA3B6D"/>
    <w:rsid w:val="00BA64BD"/>
    <w:rsid w:val="00BA66F7"/>
    <w:rsid w:val="00BA6F81"/>
    <w:rsid w:val="00BB1533"/>
    <w:rsid w:val="00BB18BC"/>
    <w:rsid w:val="00BB1EBD"/>
    <w:rsid w:val="00BB23E2"/>
    <w:rsid w:val="00BB3461"/>
    <w:rsid w:val="00BB3B61"/>
    <w:rsid w:val="00BB48A0"/>
    <w:rsid w:val="00BB4E8A"/>
    <w:rsid w:val="00BB4E9B"/>
    <w:rsid w:val="00BB5ABA"/>
    <w:rsid w:val="00BB6934"/>
    <w:rsid w:val="00BC0545"/>
    <w:rsid w:val="00BC08FF"/>
    <w:rsid w:val="00BC0914"/>
    <w:rsid w:val="00BC11BE"/>
    <w:rsid w:val="00BC13CE"/>
    <w:rsid w:val="00BC1E15"/>
    <w:rsid w:val="00BC4CE8"/>
    <w:rsid w:val="00BC77DB"/>
    <w:rsid w:val="00BC7C0C"/>
    <w:rsid w:val="00BD003E"/>
    <w:rsid w:val="00BD0F9C"/>
    <w:rsid w:val="00BD3336"/>
    <w:rsid w:val="00BD36B0"/>
    <w:rsid w:val="00BD3EC3"/>
    <w:rsid w:val="00BD49A1"/>
    <w:rsid w:val="00BD4B08"/>
    <w:rsid w:val="00BD4E6E"/>
    <w:rsid w:val="00BD6CD6"/>
    <w:rsid w:val="00BE1334"/>
    <w:rsid w:val="00BE1E12"/>
    <w:rsid w:val="00BE4561"/>
    <w:rsid w:val="00BE48E3"/>
    <w:rsid w:val="00BE509B"/>
    <w:rsid w:val="00BE52DC"/>
    <w:rsid w:val="00BE5B3C"/>
    <w:rsid w:val="00BE5C63"/>
    <w:rsid w:val="00BE6216"/>
    <w:rsid w:val="00BE7D9A"/>
    <w:rsid w:val="00BF21F6"/>
    <w:rsid w:val="00BF2B67"/>
    <w:rsid w:val="00BF3AF1"/>
    <w:rsid w:val="00BF3E37"/>
    <w:rsid w:val="00BF7E46"/>
    <w:rsid w:val="00C011AF"/>
    <w:rsid w:val="00C03FDF"/>
    <w:rsid w:val="00C07870"/>
    <w:rsid w:val="00C14B56"/>
    <w:rsid w:val="00C166FD"/>
    <w:rsid w:val="00C17EF7"/>
    <w:rsid w:val="00C21BFD"/>
    <w:rsid w:val="00C25E58"/>
    <w:rsid w:val="00C26AD7"/>
    <w:rsid w:val="00C27A66"/>
    <w:rsid w:val="00C30463"/>
    <w:rsid w:val="00C30F29"/>
    <w:rsid w:val="00C31042"/>
    <w:rsid w:val="00C31743"/>
    <w:rsid w:val="00C3181C"/>
    <w:rsid w:val="00C33CE5"/>
    <w:rsid w:val="00C340BE"/>
    <w:rsid w:val="00C35AE2"/>
    <w:rsid w:val="00C369EC"/>
    <w:rsid w:val="00C37943"/>
    <w:rsid w:val="00C40F2C"/>
    <w:rsid w:val="00C41DA2"/>
    <w:rsid w:val="00C422BB"/>
    <w:rsid w:val="00C422E3"/>
    <w:rsid w:val="00C47B84"/>
    <w:rsid w:val="00C50064"/>
    <w:rsid w:val="00C50421"/>
    <w:rsid w:val="00C512A1"/>
    <w:rsid w:val="00C52B6A"/>
    <w:rsid w:val="00C52B93"/>
    <w:rsid w:val="00C555A7"/>
    <w:rsid w:val="00C55E20"/>
    <w:rsid w:val="00C56814"/>
    <w:rsid w:val="00C57661"/>
    <w:rsid w:val="00C6075F"/>
    <w:rsid w:val="00C60C82"/>
    <w:rsid w:val="00C611C9"/>
    <w:rsid w:val="00C621D4"/>
    <w:rsid w:val="00C62D85"/>
    <w:rsid w:val="00C64539"/>
    <w:rsid w:val="00C65998"/>
    <w:rsid w:val="00C72038"/>
    <w:rsid w:val="00C7355E"/>
    <w:rsid w:val="00C743C0"/>
    <w:rsid w:val="00C7445F"/>
    <w:rsid w:val="00C747D8"/>
    <w:rsid w:val="00C76B49"/>
    <w:rsid w:val="00C77870"/>
    <w:rsid w:val="00C77F13"/>
    <w:rsid w:val="00C8223C"/>
    <w:rsid w:val="00C86AF7"/>
    <w:rsid w:val="00C928B6"/>
    <w:rsid w:val="00C92FE7"/>
    <w:rsid w:val="00C9396E"/>
    <w:rsid w:val="00C942AE"/>
    <w:rsid w:val="00C96426"/>
    <w:rsid w:val="00C97BB9"/>
    <w:rsid w:val="00CA2316"/>
    <w:rsid w:val="00CA2CD5"/>
    <w:rsid w:val="00CA3C01"/>
    <w:rsid w:val="00CA3F3B"/>
    <w:rsid w:val="00CA645C"/>
    <w:rsid w:val="00CA67F6"/>
    <w:rsid w:val="00CB045F"/>
    <w:rsid w:val="00CB1047"/>
    <w:rsid w:val="00CB3939"/>
    <w:rsid w:val="00CC0AFF"/>
    <w:rsid w:val="00CC0E6C"/>
    <w:rsid w:val="00CC2B30"/>
    <w:rsid w:val="00CC35F9"/>
    <w:rsid w:val="00CD4296"/>
    <w:rsid w:val="00CD5407"/>
    <w:rsid w:val="00CD5D99"/>
    <w:rsid w:val="00CE062D"/>
    <w:rsid w:val="00CE5483"/>
    <w:rsid w:val="00CE672A"/>
    <w:rsid w:val="00CF2ECD"/>
    <w:rsid w:val="00CF42BD"/>
    <w:rsid w:val="00CF4777"/>
    <w:rsid w:val="00CF5D33"/>
    <w:rsid w:val="00CF6D79"/>
    <w:rsid w:val="00D03AFA"/>
    <w:rsid w:val="00D0615F"/>
    <w:rsid w:val="00D108A2"/>
    <w:rsid w:val="00D11CE7"/>
    <w:rsid w:val="00D11DF0"/>
    <w:rsid w:val="00D124A9"/>
    <w:rsid w:val="00D1251E"/>
    <w:rsid w:val="00D12AB4"/>
    <w:rsid w:val="00D130EB"/>
    <w:rsid w:val="00D13132"/>
    <w:rsid w:val="00D1673B"/>
    <w:rsid w:val="00D1783F"/>
    <w:rsid w:val="00D2070B"/>
    <w:rsid w:val="00D20E06"/>
    <w:rsid w:val="00D22BE4"/>
    <w:rsid w:val="00D23265"/>
    <w:rsid w:val="00D25267"/>
    <w:rsid w:val="00D30B17"/>
    <w:rsid w:val="00D30CD2"/>
    <w:rsid w:val="00D3487A"/>
    <w:rsid w:val="00D34D3E"/>
    <w:rsid w:val="00D3551D"/>
    <w:rsid w:val="00D37649"/>
    <w:rsid w:val="00D4395A"/>
    <w:rsid w:val="00D44167"/>
    <w:rsid w:val="00D44CDD"/>
    <w:rsid w:val="00D461BF"/>
    <w:rsid w:val="00D46D6E"/>
    <w:rsid w:val="00D50135"/>
    <w:rsid w:val="00D5025E"/>
    <w:rsid w:val="00D515FA"/>
    <w:rsid w:val="00D51709"/>
    <w:rsid w:val="00D52CC4"/>
    <w:rsid w:val="00D53065"/>
    <w:rsid w:val="00D5310F"/>
    <w:rsid w:val="00D538E1"/>
    <w:rsid w:val="00D56733"/>
    <w:rsid w:val="00D616B1"/>
    <w:rsid w:val="00D6183B"/>
    <w:rsid w:val="00D62586"/>
    <w:rsid w:val="00D62B41"/>
    <w:rsid w:val="00D63473"/>
    <w:rsid w:val="00D6541E"/>
    <w:rsid w:val="00D71A71"/>
    <w:rsid w:val="00D72715"/>
    <w:rsid w:val="00D73D3B"/>
    <w:rsid w:val="00D744F2"/>
    <w:rsid w:val="00D75521"/>
    <w:rsid w:val="00D75A6B"/>
    <w:rsid w:val="00D76486"/>
    <w:rsid w:val="00D7729B"/>
    <w:rsid w:val="00D77702"/>
    <w:rsid w:val="00D81D5B"/>
    <w:rsid w:val="00D82B3B"/>
    <w:rsid w:val="00D83CC7"/>
    <w:rsid w:val="00D84664"/>
    <w:rsid w:val="00D84ED6"/>
    <w:rsid w:val="00D86768"/>
    <w:rsid w:val="00D87211"/>
    <w:rsid w:val="00D90035"/>
    <w:rsid w:val="00D90EED"/>
    <w:rsid w:val="00D92CC2"/>
    <w:rsid w:val="00D9408E"/>
    <w:rsid w:val="00D9740B"/>
    <w:rsid w:val="00D97418"/>
    <w:rsid w:val="00DA183B"/>
    <w:rsid w:val="00DA2648"/>
    <w:rsid w:val="00DA33F1"/>
    <w:rsid w:val="00DA48E4"/>
    <w:rsid w:val="00DA5D35"/>
    <w:rsid w:val="00DA5F68"/>
    <w:rsid w:val="00DA72BE"/>
    <w:rsid w:val="00DB0C53"/>
    <w:rsid w:val="00DB2286"/>
    <w:rsid w:val="00DB291E"/>
    <w:rsid w:val="00DB7048"/>
    <w:rsid w:val="00DC1D15"/>
    <w:rsid w:val="00DC2B4D"/>
    <w:rsid w:val="00DC2CB4"/>
    <w:rsid w:val="00DC4383"/>
    <w:rsid w:val="00DC618F"/>
    <w:rsid w:val="00DC62E3"/>
    <w:rsid w:val="00DC73F3"/>
    <w:rsid w:val="00DD3FF9"/>
    <w:rsid w:val="00DD51EE"/>
    <w:rsid w:val="00DD5271"/>
    <w:rsid w:val="00DD564B"/>
    <w:rsid w:val="00DD7516"/>
    <w:rsid w:val="00DE03E5"/>
    <w:rsid w:val="00DE10F5"/>
    <w:rsid w:val="00DE2343"/>
    <w:rsid w:val="00DE3532"/>
    <w:rsid w:val="00DE3806"/>
    <w:rsid w:val="00DE5976"/>
    <w:rsid w:val="00DE5E6C"/>
    <w:rsid w:val="00DF4061"/>
    <w:rsid w:val="00DF5A18"/>
    <w:rsid w:val="00DF5F86"/>
    <w:rsid w:val="00DF7A88"/>
    <w:rsid w:val="00DF7E88"/>
    <w:rsid w:val="00DF7ECF"/>
    <w:rsid w:val="00E00B38"/>
    <w:rsid w:val="00E00C2C"/>
    <w:rsid w:val="00E01397"/>
    <w:rsid w:val="00E021A2"/>
    <w:rsid w:val="00E031DA"/>
    <w:rsid w:val="00E03E69"/>
    <w:rsid w:val="00E04682"/>
    <w:rsid w:val="00E050CE"/>
    <w:rsid w:val="00E10855"/>
    <w:rsid w:val="00E14824"/>
    <w:rsid w:val="00E14BBE"/>
    <w:rsid w:val="00E16FC2"/>
    <w:rsid w:val="00E17603"/>
    <w:rsid w:val="00E20135"/>
    <w:rsid w:val="00E2071E"/>
    <w:rsid w:val="00E209E1"/>
    <w:rsid w:val="00E20D72"/>
    <w:rsid w:val="00E23B2B"/>
    <w:rsid w:val="00E2656D"/>
    <w:rsid w:val="00E279E6"/>
    <w:rsid w:val="00E27C5E"/>
    <w:rsid w:val="00E30053"/>
    <w:rsid w:val="00E3016B"/>
    <w:rsid w:val="00E30AB9"/>
    <w:rsid w:val="00E3144B"/>
    <w:rsid w:val="00E321FF"/>
    <w:rsid w:val="00E34BCB"/>
    <w:rsid w:val="00E361FF"/>
    <w:rsid w:val="00E36D27"/>
    <w:rsid w:val="00E40995"/>
    <w:rsid w:val="00E413D6"/>
    <w:rsid w:val="00E4321B"/>
    <w:rsid w:val="00E44B0C"/>
    <w:rsid w:val="00E50385"/>
    <w:rsid w:val="00E50C3C"/>
    <w:rsid w:val="00E514B9"/>
    <w:rsid w:val="00E522FC"/>
    <w:rsid w:val="00E53E4D"/>
    <w:rsid w:val="00E57FDB"/>
    <w:rsid w:val="00E60DC9"/>
    <w:rsid w:val="00E60EF4"/>
    <w:rsid w:val="00E61913"/>
    <w:rsid w:val="00E62FCD"/>
    <w:rsid w:val="00E64745"/>
    <w:rsid w:val="00E648F1"/>
    <w:rsid w:val="00E65296"/>
    <w:rsid w:val="00E665CA"/>
    <w:rsid w:val="00E6713D"/>
    <w:rsid w:val="00E67142"/>
    <w:rsid w:val="00E671B4"/>
    <w:rsid w:val="00E67C99"/>
    <w:rsid w:val="00E70284"/>
    <w:rsid w:val="00E71373"/>
    <w:rsid w:val="00E715BF"/>
    <w:rsid w:val="00E71CCF"/>
    <w:rsid w:val="00E7272A"/>
    <w:rsid w:val="00E73E15"/>
    <w:rsid w:val="00E74AFC"/>
    <w:rsid w:val="00E755DD"/>
    <w:rsid w:val="00E77ADC"/>
    <w:rsid w:val="00E77AFB"/>
    <w:rsid w:val="00E81D11"/>
    <w:rsid w:val="00E8496A"/>
    <w:rsid w:val="00E86B96"/>
    <w:rsid w:val="00E875AD"/>
    <w:rsid w:val="00E877DF"/>
    <w:rsid w:val="00E92160"/>
    <w:rsid w:val="00E924F2"/>
    <w:rsid w:val="00E9299B"/>
    <w:rsid w:val="00E92FBC"/>
    <w:rsid w:val="00E948B7"/>
    <w:rsid w:val="00E94D9F"/>
    <w:rsid w:val="00E95B1C"/>
    <w:rsid w:val="00E963F8"/>
    <w:rsid w:val="00E97CB9"/>
    <w:rsid w:val="00EA36C0"/>
    <w:rsid w:val="00EA4B01"/>
    <w:rsid w:val="00EA752A"/>
    <w:rsid w:val="00EB10AB"/>
    <w:rsid w:val="00EB1ECC"/>
    <w:rsid w:val="00EB2A28"/>
    <w:rsid w:val="00EB50A1"/>
    <w:rsid w:val="00EB74A0"/>
    <w:rsid w:val="00EC256D"/>
    <w:rsid w:val="00EC2DD9"/>
    <w:rsid w:val="00EC3309"/>
    <w:rsid w:val="00EC4978"/>
    <w:rsid w:val="00EC5ACD"/>
    <w:rsid w:val="00ED57F7"/>
    <w:rsid w:val="00ED6B4C"/>
    <w:rsid w:val="00ED78AF"/>
    <w:rsid w:val="00EE2C6F"/>
    <w:rsid w:val="00EE4E58"/>
    <w:rsid w:val="00EE558C"/>
    <w:rsid w:val="00EE62A6"/>
    <w:rsid w:val="00EE6435"/>
    <w:rsid w:val="00EF2574"/>
    <w:rsid w:val="00EF307A"/>
    <w:rsid w:val="00EF456A"/>
    <w:rsid w:val="00EF5B97"/>
    <w:rsid w:val="00EF66CC"/>
    <w:rsid w:val="00EF6781"/>
    <w:rsid w:val="00EF6BC4"/>
    <w:rsid w:val="00F00EBA"/>
    <w:rsid w:val="00F022CA"/>
    <w:rsid w:val="00F057FA"/>
    <w:rsid w:val="00F06141"/>
    <w:rsid w:val="00F06575"/>
    <w:rsid w:val="00F10EBA"/>
    <w:rsid w:val="00F111DA"/>
    <w:rsid w:val="00F1138B"/>
    <w:rsid w:val="00F120B9"/>
    <w:rsid w:val="00F13217"/>
    <w:rsid w:val="00F134E5"/>
    <w:rsid w:val="00F14AE4"/>
    <w:rsid w:val="00F151E3"/>
    <w:rsid w:val="00F15D7E"/>
    <w:rsid w:val="00F15ED9"/>
    <w:rsid w:val="00F20A3D"/>
    <w:rsid w:val="00F21EDF"/>
    <w:rsid w:val="00F242AD"/>
    <w:rsid w:val="00F25B62"/>
    <w:rsid w:val="00F26776"/>
    <w:rsid w:val="00F26C48"/>
    <w:rsid w:val="00F26F57"/>
    <w:rsid w:val="00F274FB"/>
    <w:rsid w:val="00F325D3"/>
    <w:rsid w:val="00F328F9"/>
    <w:rsid w:val="00F32B96"/>
    <w:rsid w:val="00F32E70"/>
    <w:rsid w:val="00F36A7D"/>
    <w:rsid w:val="00F36AE1"/>
    <w:rsid w:val="00F37609"/>
    <w:rsid w:val="00F40010"/>
    <w:rsid w:val="00F40AC4"/>
    <w:rsid w:val="00F40B2C"/>
    <w:rsid w:val="00F428D9"/>
    <w:rsid w:val="00F43A26"/>
    <w:rsid w:val="00F443D5"/>
    <w:rsid w:val="00F47073"/>
    <w:rsid w:val="00F471B7"/>
    <w:rsid w:val="00F473D3"/>
    <w:rsid w:val="00F5124F"/>
    <w:rsid w:val="00F538A6"/>
    <w:rsid w:val="00F53A7A"/>
    <w:rsid w:val="00F53F34"/>
    <w:rsid w:val="00F555B9"/>
    <w:rsid w:val="00F55E12"/>
    <w:rsid w:val="00F56CAA"/>
    <w:rsid w:val="00F57799"/>
    <w:rsid w:val="00F62477"/>
    <w:rsid w:val="00F64355"/>
    <w:rsid w:val="00F65299"/>
    <w:rsid w:val="00F65348"/>
    <w:rsid w:val="00F6698D"/>
    <w:rsid w:val="00F778AC"/>
    <w:rsid w:val="00F80118"/>
    <w:rsid w:val="00F81715"/>
    <w:rsid w:val="00F81946"/>
    <w:rsid w:val="00F821FD"/>
    <w:rsid w:val="00F823A4"/>
    <w:rsid w:val="00F85452"/>
    <w:rsid w:val="00F86CCC"/>
    <w:rsid w:val="00F90845"/>
    <w:rsid w:val="00F94064"/>
    <w:rsid w:val="00F94D99"/>
    <w:rsid w:val="00F96153"/>
    <w:rsid w:val="00F9642C"/>
    <w:rsid w:val="00F96EE0"/>
    <w:rsid w:val="00F970E8"/>
    <w:rsid w:val="00F9787C"/>
    <w:rsid w:val="00F97BB9"/>
    <w:rsid w:val="00FA078A"/>
    <w:rsid w:val="00FA0B31"/>
    <w:rsid w:val="00FA4E11"/>
    <w:rsid w:val="00FA614F"/>
    <w:rsid w:val="00FA72D2"/>
    <w:rsid w:val="00FB1F02"/>
    <w:rsid w:val="00FB2AD2"/>
    <w:rsid w:val="00FB3603"/>
    <w:rsid w:val="00FB48B2"/>
    <w:rsid w:val="00FB57C3"/>
    <w:rsid w:val="00FB5D73"/>
    <w:rsid w:val="00FB7572"/>
    <w:rsid w:val="00FC4188"/>
    <w:rsid w:val="00FC491C"/>
    <w:rsid w:val="00FC5FC9"/>
    <w:rsid w:val="00FC6824"/>
    <w:rsid w:val="00FC71FD"/>
    <w:rsid w:val="00FD13B4"/>
    <w:rsid w:val="00FD1F5F"/>
    <w:rsid w:val="00FD234E"/>
    <w:rsid w:val="00FD30C1"/>
    <w:rsid w:val="00FD4EE7"/>
    <w:rsid w:val="00FD553C"/>
    <w:rsid w:val="00FD5DBE"/>
    <w:rsid w:val="00FD5EE9"/>
    <w:rsid w:val="00FD6F92"/>
    <w:rsid w:val="00FD7DF2"/>
    <w:rsid w:val="00FE16FF"/>
    <w:rsid w:val="00FE37E5"/>
    <w:rsid w:val="00FE41B8"/>
    <w:rsid w:val="00FE5643"/>
    <w:rsid w:val="00FE6F36"/>
    <w:rsid w:val="00FF01B9"/>
    <w:rsid w:val="00FF0609"/>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48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6CCC"/>
  </w:style>
  <w:style w:type="character" w:customStyle="1" w:styleId="FootnoteTextChar">
    <w:name w:val="Footnote Text Char"/>
    <w:basedOn w:val="DefaultParagraphFont"/>
    <w:link w:val="FootnoteText"/>
    <w:uiPriority w:val="99"/>
    <w:rsid w:val="00F86CCC"/>
  </w:style>
  <w:style w:type="character" w:styleId="FootnoteReference">
    <w:name w:val="footnote reference"/>
    <w:basedOn w:val="DefaultParagraphFont"/>
    <w:uiPriority w:val="99"/>
    <w:unhideWhenUsed/>
    <w:rsid w:val="00F86CCC"/>
    <w:rPr>
      <w:vertAlign w:val="superscript"/>
    </w:rPr>
  </w:style>
  <w:style w:type="paragraph" w:styleId="NormalWeb">
    <w:name w:val="Normal (Web)"/>
    <w:basedOn w:val="Normal"/>
    <w:uiPriority w:val="99"/>
    <w:unhideWhenUsed/>
    <w:rsid w:val="004259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C0F51"/>
    <w:rPr>
      <w:color w:val="0563C1" w:themeColor="hyperlink"/>
      <w:u w:val="single"/>
    </w:rPr>
  </w:style>
  <w:style w:type="character" w:styleId="FollowedHyperlink">
    <w:name w:val="FollowedHyperlink"/>
    <w:basedOn w:val="DefaultParagraphFont"/>
    <w:uiPriority w:val="99"/>
    <w:semiHidden/>
    <w:unhideWhenUsed/>
    <w:rsid w:val="000E4319"/>
    <w:rPr>
      <w:color w:val="954F72" w:themeColor="followedHyperlink"/>
      <w:u w:val="single"/>
    </w:rPr>
  </w:style>
  <w:style w:type="paragraph" w:styleId="ListParagraph">
    <w:name w:val="List Paragraph"/>
    <w:basedOn w:val="Normal"/>
    <w:uiPriority w:val="34"/>
    <w:qFormat/>
    <w:rsid w:val="00092516"/>
    <w:pPr>
      <w:spacing w:after="160" w:line="259" w:lineRule="auto"/>
      <w:ind w:left="720"/>
      <w:contextualSpacing/>
    </w:pPr>
    <w:rPr>
      <w:sz w:val="22"/>
      <w:szCs w:val="22"/>
    </w:rPr>
  </w:style>
  <w:style w:type="paragraph" w:styleId="Footer">
    <w:name w:val="footer"/>
    <w:basedOn w:val="Normal"/>
    <w:link w:val="FooterChar"/>
    <w:uiPriority w:val="99"/>
    <w:unhideWhenUsed/>
    <w:rsid w:val="00567319"/>
    <w:pPr>
      <w:tabs>
        <w:tab w:val="center" w:pos="4513"/>
        <w:tab w:val="right" w:pos="9026"/>
      </w:tabs>
    </w:pPr>
  </w:style>
  <w:style w:type="character" w:customStyle="1" w:styleId="FooterChar">
    <w:name w:val="Footer Char"/>
    <w:basedOn w:val="DefaultParagraphFont"/>
    <w:link w:val="Footer"/>
    <w:uiPriority w:val="99"/>
    <w:rsid w:val="00567319"/>
  </w:style>
  <w:style w:type="character" w:styleId="PageNumber">
    <w:name w:val="page number"/>
    <w:basedOn w:val="DefaultParagraphFont"/>
    <w:uiPriority w:val="99"/>
    <w:semiHidden/>
    <w:unhideWhenUsed/>
    <w:rsid w:val="00567319"/>
  </w:style>
  <w:style w:type="paragraph" w:styleId="BalloonText">
    <w:name w:val="Balloon Text"/>
    <w:basedOn w:val="Normal"/>
    <w:link w:val="BalloonTextChar"/>
    <w:uiPriority w:val="99"/>
    <w:semiHidden/>
    <w:unhideWhenUsed/>
    <w:rsid w:val="0033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2E"/>
    <w:rPr>
      <w:rFonts w:ascii="Segoe UI" w:hAnsi="Segoe UI" w:cs="Segoe UI"/>
      <w:sz w:val="18"/>
      <w:szCs w:val="18"/>
    </w:rPr>
  </w:style>
  <w:style w:type="character" w:customStyle="1" w:styleId="c-51">
    <w:name w:val="c-51"/>
    <w:basedOn w:val="DefaultParagraphFont"/>
    <w:rsid w:val="00B627A5"/>
    <w:rPr>
      <w:rFonts w:ascii="Arial" w:hAnsi="Arial" w:cs="Arial" w:hint="default"/>
      <w:b w:val="0"/>
      <w:bCs w:val="0"/>
      <w:i w:val="0"/>
      <w:iCs w:val="0"/>
      <w:smallCaps w:val="0"/>
      <w:strike w:val="0"/>
      <w:dstrike w:val="0"/>
      <w:color w:val="000000"/>
      <w:position w:val="0"/>
      <w:sz w:val="21"/>
      <w:szCs w:val="21"/>
      <w:u w:val="none"/>
      <w:effect w:val="none"/>
      <w:shd w:val="clear" w:color="auto" w:fill="auto"/>
    </w:rPr>
  </w:style>
  <w:style w:type="character" w:styleId="CommentReference">
    <w:name w:val="annotation reference"/>
    <w:basedOn w:val="DefaultParagraphFont"/>
    <w:uiPriority w:val="99"/>
    <w:semiHidden/>
    <w:unhideWhenUsed/>
    <w:rsid w:val="00321B93"/>
    <w:rPr>
      <w:sz w:val="16"/>
      <w:szCs w:val="16"/>
    </w:rPr>
  </w:style>
  <w:style w:type="paragraph" w:styleId="CommentText">
    <w:name w:val="annotation text"/>
    <w:basedOn w:val="Normal"/>
    <w:link w:val="CommentTextChar"/>
    <w:uiPriority w:val="99"/>
    <w:semiHidden/>
    <w:unhideWhenUsed/>
    <w:rsid w:val="00321B93"/>
    <w:rPr>
      <w:sz w:val="20"/>
      <w:szCs w:val="20"/>
    </w:rPr>
  </w:style>
  <w:style w:type="character" w:customStyle="1" w:styleId="CommentTextChar">
    <w:name w:val="Comment Text Char"/>
    <w:basedOn w:val="DefaultParagraphFont"/>
    <w:link w:val="CommentText"/>
    <w:uiPriority w:val="99"/>
    <w:semiHidden/>
    <w:rsid w:val="00321B93"/>
    <w:rPr>
      <w:sz w:val="20"/>
      <w:szCs w:val="20"/>
    </w:rPr>
  </w:style>
  <w:style w:type="paragraph" w:styleId="CommentSubject">
    <w:name w:val="annotation subject"/>
    <w:basedOn w:val="CommentText"/>
    <w:next w:val="CommentText"/>
    <w:link w:val="CommentSubjectChar"/>
    <w:uiPriority w:val="99"/>
    <w:semiHidden/>
    <w:unhideWhenUsed/>
    <w:rsid w:val="00321B93"/>
    <w:rPr>
      <w:b/>
      <w:bCs/>
    </w:rPr>
  </w:style>
  <w:style w:type="character" w:customStyle="1" w:styleId="CommentSubjectChar">
    <w:name w:val="Comment Subject Char"/>
    <w:basedOn w:val="CommentTextChar"/>
    <w:link w:val="CommentSubject"/>
    <w:uiPriority w:val="99"/>
    <w:semiHidden/>
    <w:rsid w:val="00321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086">
      <w:bodyDiv w:val="1"/>
      <w:marLeft w:val="0"/>
      <w:marRight w:val="0"/>
      <w:marTop w:val="0"/>
      <w:marBottom w:val="0"/>
      <w:divBdr>
        <w:top w:val="none" w:sz="0" w:space="0" w:color="auto"/>
        <w:left w:val="none" w:sz="0" w:space="0" w:color="auto"/>
        <w:bottom w:val="none" w:sz="0" w:space="0" w:color="auto"/>
        <w:right w:val="none" w:sz="0" w:space="0" w:color="auto"/>
      </w:divBdr>
      <w:divsChild>
        <w:div w:id="1668560860">
          <w:marLeft w:val="0"/>
          <w:marRight w:val="0"/>
          <w:marTop w:val="0"/>
          <w:marBottom w:val="0"/>
          <w:divBdr>
            <w:top w:val="none" w:sz="0" w:space="0" w:color="auto"/>
            <w:left w:val="none" w:sz="0" w:space="0" w:color="auto"/>
            <w:bottom w:val="none" w:sz="0" w:space="0" w:color="auto"/>
            <w:right w:val="none" w:sz="0" w:space="0" w:color="auto"/>
          </w:divBdr>
          <w:divsChild>
            <w:div w:id="699162206">
              <w:marLeft w:val="0"/>
              <w:marRight w:val="0"/>
              <w:marTop w:val="0"/>
              <w:marBottom w:val="0"/>
              <w:divBdr>
                <w:top w:val="none" w:sz="0" w:space="0" w:color="auto"/>
                <w:left w:val="none" w:sz="0" w:space="0" w:color="auto"/>
                <w:bottom w:val="none" w:sz="0" w:space="0" w:color="auto"/>
                <w:right w:val="none" w:sz="0" w:space="0" w:color="auto"/>
              </w:divBdr>
              <w:divsChild>
                <w:div w:id="17664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8030">
      <w:bodyDiv w:val="1"/>
      <w:marLeft w:val="0"/>
      <w:marRight w:val="0"/>
      <w:marTop w:val="0"/>
      <w:marBottom w:val="0"/>
      <w:divBdr>
        <w:top w:val="none" w:sz="0" w:space="0" w:color="auto"/>
        <w:left w:val="none" w:sz="0" w:space="0" w:color="auto"/>
        <w:bottom w:val="none" w:sz="0" w:space="0" w:color="auto"/>
        <w:right w:val="none" w:sz="0" w:space="0" w:color="auto"/>
      </w:divBdr>
      <w:divsChild>
        <w:div w:id="1814785879">
          <w:marLeft w:val="0"/>
          <w:marRight w:val="0"/>
          <w:marTop w:val="0"/>
          <w:marBottom w:val="0"/>
          <w:divBdr>
            <w:top w:val="none" w:sz="0" w:space="0" w:color="auto"/>
            <w:left w:val="none" w:sz="0" w:space="0" w:color="auto"/>
            <w:bottom w:val="none" w:sz="0" w:space="0" w:color="auto"/>
            <w:right w:val="none" w:sz="0" w:space="0" w:color="auto"/>
          </w:divBdr>
          <w:divsChild>
            <w:div w:id="1107893163">
              <w:marLeft w:val="0"/>
              <w:marRight w:val="0"/>
              <w:marTop w:val="0"/>
              <w:marBottom w:val="0"/>
              <w:divBdr>
                <w:top w:val="none" w:sz="0" w:space="0" w:color="auto"/>
                <w:left w:val="none" w:sz="0" w:space="0" w:color="auto"/>
                <w:bottom w:val="none" w:sz="0" w:space="0" w:color="auto"/>
                <w:right w:val="none" w:sz="0" w:space="0" w:color="auto"/>
              </w:divBdr>
              <w:divsChild>
                <w:div w:id="19137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073">
      <w:bodyDiv w:val="1"/>
      <w:marLeft w:val="0"/>
      <w:marRight w:val="0"/>
      <w:marTop w:val="0"/>
      <w:marBottom w:val="0"/>
      <w:divBdr>
        <w:top w:val="none" w:sz="0" w:space="0" w:color="auto"/>
        <w:left w:val="none" w:sz="0" w:space="0" w:color="auto"/>
        <w:bottom w:val="none" w:sz="0" w:space="0" w:color="auto"/>
        <w:right w:val="none" w:sz="0" w:space="0" w:color="auto"/>
      </w:divBdr>
      <w:divsChild>
        <w:div w:id="613630627">
          <w:marLeft w:val="0"/>
          <w:marRight w:val="0"/>
          <w:marTop w:val="0"/>
          <w:marBottom w:val="0"/>
          <w:divBdr>
            <w:top w:val="none" w:sz="0" w:space="0" w:color="auto"/>
            <w:left w:val="none" w:sz="0" w:space="0" w:color="auto"/>
            <w:bottom w:val="none" w:sz="0" w:space="0" w:color="auto"/>
            <w:right w:val="none" w:sz="0" w:space="0" w:color="auto"/>
          </w:divBdr>
          <w:divsChild>
            <w:div w:id="929584605">
              <w:marLeft w:val="0"/>
              <w:marRight w:val="0"/>
              <w:marTop w:val="0"/>
              <w:marBottom w:val="0"/>
              <w:divBdr>
                <w:top w:val="none" w:sz="0" w:space="0" w:color="auto"/>
                <w:left w:val="none" w:sz="0" w:space="0" w:color="auto"/>
                <w:bottom w:val="none" w:sz="0" w:space="0" w:color="auto"/>
                <w:right w:val="none" w:sz="0" w:space="0" w:color="auto"/>
              </w:divBdr>
              <w:divsChild>
                <w:div w:id="9204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4005">
      <w:bodyDiv w:val="1"/>
      <w:marLeft w:val="0"/>
      <w:marRight w:val="0"/>
      <w:marTop w:val="0"/>
      <w:marBottom w:val="0"/>
      <w:divBdr>
        <w:top w:val="none" w:sz="0" w:space="0" w:color="auto"/>
        <w:left w:val="none" w:sz="0" w:space="0" w:color="auto"/>
        <w:bottom w:val="none" w:sz="0" w:space="0" w:color="auto"/>
        <w:right w:val="none" w:sz="0" w:space="0" w:color="auto"/>
      </w:divBdr>
      <w:divsChild>
        <w:div w:id="1655186011">
          <w:marLeft w:val="0"/>
          <w:marRight w:val="0"/>
          <w:marTop w:val="0"/>
          <w:marBottom w:val="0"/>
          <w:divBdr>
            <w:top w:val="none" w:sz="0" w:space="0" w:color="auto"/>
            <w:left w:val="none" w:sz="0" w:space="0" w:color="auto"/>
            <w:bottom w:val="none" w:sz="0" w:space="0" w:color="auto"/>
            <w:right w:val="none" w:sz="0" w:space="0" w:color="auto"/>
          </w:divBdr>
          <w:divsChild>
            <w:div w:id="1517958781">
              <w:marLeft w:val="0"/>
              <w:marRight w:val="0"/>
              <w:marTop w:val="0"/>
              <w:marBottom w:val="0"/>
              <w:divBdr>
                <w:top w:val="none" w:sz="0" w:space="0" w:color="auto"/>
                <w:left w:val="none" w:sz="0" w:space="0" w:color="auto"/>
                <w:bottom w:val="none" w:sz="0" w:space="0" w:color="auto"/>
                <w:right w:val="none" w:sz="0" w:space="0" w:color="auto"/>
              </w:divBdr>
              <w:divsChild>
                <w:div w:id="17181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9191">
      <w:bodyDiv w:val="1"/>
      <w:marLeft w:val="0"/>
      <w:marRight w:val="0"/>
      <w:marTop w:val="0"/>
      <w:marBottom w:val="0"/>
      <w:divBdr>
        <w:top w:val="none" w:sz="0" w:space="0" w:color="auto"/>
        <w:left w:val="none" w:sz="0" w:space="0" w:color="auto"/>
        <w:bottom w:val="none" w:sz="0" w:space="0" w:color="auto"/>
        <w:right w:val="none" w:sz="0" w:space="0" w:color="auto"/>
      </w:divBdr>
      <w:divsChild>
        <w:div w:id="1883050749">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3667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4858">
      <w:bodyDiv w:val="1"/>
      <w:marLeft w:val="0"/>
      <w:marRight w:val="0"/>
      <w:marTop w:val="0"/>
      <w:marBottom w:val="0"/>
      <w:divBdr>
        <w:top w:val="none" w:sz="0" w:space="0" w:color="auto"/>
        <w:left w:val="none" w:sz="0" w:space="0" w:color="auto"/>
        <w:bottom w:val="none" w:sz="0" w:space="0" w:color="auto"/>
        <w:right w:val="none" w:sz="0" w:space="0" w:color="auto"/>
      </w:divBdr>
      <w:divsChild>
        <w:div w:id="1935823752">
          <w:marLeft w:val="0"/>
          <w:marRight w:val="0"/>
          <w:marTop w:val="0"/>
          <w:marBottom w:val="0"/>
          <w:divBdr>
            <w:top w:val="none" w:sz="0" w:space="0" w:color="auto"/>
            <w:left w:val="none" w:sz="0" w:space="0" w:color="auto"/>
            <w:bottom w:val="none" w:sz="0" w:space="0" w:color="auto"/>
            <w:right w:val="none" w:sz="0" w:space="0" w:color="auto"/>
          </w:divBdr>
          <w:divsChild>
            <w:div w:id="449858728">
              <w:marLeft w:val="0"/>
              <w:marRight w:val="0"/>
              <w:marTop w:val="0"/>
              <w:marBottom w:val="0"/>
              <w:divBdr>
                <w:top w:val="none" w:sz="0" w:space="0" w:color="auto"/>
                <w:left w:val="none" w:sz="0" w:space="0" w:color="auto"/>
                <w:bottom w:val="none" w:sz="0" w:space="0" w:color="auto"/>
                <w:right w:val="none" w:sz="0" w:space="0" w:color="auto"/>
              </w:divBdr>
              <w:divsChild>
                <w:div w:id="1627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2119">
      <w:bodyDiv w:val="1"/>
      <w:marLeft w:val="0"/>
      <w:marRight w:val="0"/>
      <w:marTop w:val="0"/>
      <w:marBottom w:val="0"/>
      <w:divBdr>
        <w:top w:val="none" w:sz="0" w:space="0" w:color="auto"/>
        <w:left w:val="none" w:sz="0" w:space="0" w:color="auto"/>
        <w:bottom w:val="none" w:sz="0" w:space="0" w:color="auto"/>
        <w:right w:val="none" w:sz="0" w:space="0" w:color="auto"/>
      </w:divBdr>
      <w:divsChild>
        <w:div w:id="779298703">
          <w:marLeft w:val="0"/>
          <w:marRight w:val="0"/>
          <w:marTop w:val="0"/>
          <w:marBottom w:val="0"/>
          <w:divBdr>
            <w:top w:val="none" w:sz="0" w:space="0" w:color="auto"/>
            <w:left w:val="none" w:sz="0" w:space="0" w:color="auto"/>
            <w:bottom w:val="none" w:sz="0" w:space="0" w:color="auto"/>
            <w:right w:val="none" w:sz="0" w:space="0" w:color="auto"/>
          </w:divBdr>
          <w:divsChild>
            <w:div w:id="616453274">
              <w:marLeft w:val="0"/>
              <w:marRight w:val="0"/>
              <w:marTop w:val="0"/>
              <w:marBottom w:val="0"/>
              <w:divBdr>
                <w:top w:val="none" w:sz="0" w:space="0" w:color="auto"/>
                <w:left w:val="none" w:sz="0" w:space="0" w:color="auto"/>
                <w:bottom w:val="none" w:sz="0" w:space="0" w:color="auto"/>
                <w:right w:val="none" w:sz="0" w:space="0" w:color="auto"/>
              </w:divBdr>
              <w:divsChild>
                <w:div w:id="1549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3207">
      <w:bodyDiv w:val="1"/>
      <w:marLeft w:val="0"/>
      <w:marRight w:val="0"/>
      <w:marTop w:val="0"/>
      <w:marBottom w:val="0"/>
      <w:divBdr>
        <w:top w:val="none" w:sz="0" w:space="0" w:color="auto"/>
        <w:left w:val="none" w:sz="0" w:space="0" w:color="auto"/>
        <w:bottom w:val="none" w:sz="0" w:space="0" w:color="auto"/>
        <w:right w:val="none" w:sz="0" w:space="0" w:color="auto"/>
      </w:divBdr>
      <w:divsChild>
        <w:div w:id="904293331">
          <w:marLeft w:val="0"/>
          <w:marRight w:val="0"/>
          <w:marTop w:val="0"/>
          <w:marBottom w:val="0"/>
          <w:divBdr>
            <w:top w:val="none" w:sz="0" w:space="0" w:color="auto"/>
            <w:left w:val="none" w:sz="0" w:space="0" w:color="auto"/>
            <w:bottom w:val="none" w:sz="0" w:space="0" w:color="auto"/>
            <w:right w:val="none" w:sz="0" w:space="0" w:color="auto"/>
          </w:divBdr>
          <w:divsChild>
            <w:div w:id="270359800">
              <w:marLeft w:val="0"/>
              <w:marRight w:val="0"/>
              <w:marTop w:val="0"/>
              <w:marBottom w:val="0"/>
              <w:divBdr>
                <w:top w:val="none" w:sz="0" w:space="0" w:color="auto"/>
                <w:left w:val="none" w:sz="0" w:space="0" w:color="auto"/>
                <w:bottom w:val="none" w:sz="0" w:space="0" w:color="auto"/>
                <w:right w:val="none" w:sz="0" w:space="0" w:color="auto"/>
              </w:divBdr>
              <w:divsChild>
                <w:div w:id="1513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6140">
      <w:bodyDiv w:val="1"/>
      <w:marLeft w:val="0"/>
      <w:marRight w:val="0"/>
      <w:marTop w:val="0"/>
      <w:marBottom w:val="0"/>
      <w:divBdr>
        <w:top w:val="none" w:sz="0" w:space="0" w:color="auto"/>
        <w:left w:val="none" w:sz="0" w:space="0" w:color="auto"/>
        <w:bottom w:val="none" w:sz="0" w:space="0" w:color="auto"/>
        <w:right w:val="none" w:sz="0" w:space="0" w:color="auto"/>
      </w:divBdr>
      <w:divsChild>
        <w:div w:id="2022470341">
          <w:marLeft w:val="0"/>
          <w:marRight w:val="0"/>
          <w:marTop w:val="0"/>
          <w:marBottom w:val="0"/>
          <w:divBdr>
            <w:top w:val="none" w:sz="0" w:space="0" w:color="auto"/>
            <w:left w:val="none" w:sz="0" w:space="0" w:color="auto"/>
            <w:bottom w:val="none" w:sz="0" w:space="0" w:color="auto"/>
            <w:right w:val="none" w:sz="0" w:space="0" w:color="auto"/>
          </w:divBdr>
          <w:divsChild>
            <w:div w:id="51121535">
              <w:marLeft w:val="0"/>
              <w:marRight w:val="0"/>
              <w:marTop w:val="0"/>
              <w:marBottom w:val="0"/>
              <w:divBdr>
                <w:top w:val="none" w:sz="0" w:space="0" w:color="auto"/>
                <w:left w:val="none" w:sz="0" w:space="0" w:color="auto"/>
                <w:bottom w:val="none" w:sz="0" w:space="0" w:color="auto"/>
                <w:right w:val="none" w:sz="0" w:space="0" w:color="auto"/>
              </w:divBdr>
              <w:divsChild>
                <w:div w:id="1488396340">
                  <w:marLeft w:val="0"/>
                  <w:marRight w:val="0"/>
                  <w:marTop w:val="0"/>
                  <w:marBottom w:val="0"/>
                  <w:divBdr>
                    <w:top w:val="none" w:sz="0" w:space="0" w:color="auto"/>
                    <w:left w:val="none" w:sz="0" w:space="0" w:color="auto"/>
                    <w:bottom w:val="none" w:sz="0" w:space="0" w:color="auto"/>
                    <w:right w:val="none" w:sz="0" w:space="0" w:color="auto"/>
                  </w:divBdr>
                </w:div>
              </w:divsChild>
            </w:div>
            <w:div w:id="111827410">
              <w:marLeft w:val="0"/>
              <w:marRight w:val="0"/>
              <w:marTop w:val="0"/>
              <w:marBottom w:val="0"/>
              <w:divBdr>
                <w:top w:val="none" w:sz="0" w:space="0" w:color="auto"/>
                <w:left w:val="none" w:sz="0" w:space="0" w:color="auto"/>
                <w:bottom w:val="none" w:sz="0" w:space="0" w:color="auto"/>
                <w:right w:val="none" w:sz="0" w:space="0" w:color="auto"/>
              </w:divBdr>
              <w:divsChild>
                <w:div w:id="1480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6049">
      <w:bodyDiv w:val="1"/>
      <w:marLeft w:val="0"/>
      <w:marRight w:val="0"/>
      <w:marTop w:val="0"/>
      <w:marBottom w:val="0"/>
      <w:divBdr>
        <w:top w:val="none" w:sz="0" w:space="0" w:color="auto"/>
        <w:left w:val="none" w:sz="0" w:space="0" w:color="auto"/>
        <w:bottom w:val="none" w:sz="0" w:space="0" w:color="auto"/>
        <w:right w:val="none" w:sz="0" w:space="0" w:color="auto"/>
      </w:divBdr>
      <w:divsChild>
        <w:div w:id="1538589824">
          <w:marLeft w:val="0"/>
          <w:marRight w:val="0"/>
          <w:marTop w:val="0"/>
          <w:marBottom w:val="0"/>
          <w:divBdr>
            <w:top w:val="none" w:sz="0" w:space="0" w:color="auto"/>
            <w:left w:val="none" w:sz="0" w:space="0" w:color="auto"/>
            <w:bottom w:val="none" w:sz="0" w:space="0" w:color="auto"/>
            <w:right w:val="none" w:sz="0" w:space="0" w:color="auto"/>
          </w:divBdr>
          <w:divsChild>
            <w:div w:id="1917474934">
              <w:marLeft w:val="0"/>
              <w:marRight w:val="0"/>
              <w:marTop w:val="0"/>
              <w:marBottom w:val="0"/>
              <w:divBdr>
                <w:top w:val="none" w:sz="0" w:space="0" w:color="auto"/>
                <w:left w:val="none" w:sz="0" w:space="0" w:color="auto"/>
                <w:bottom w:val="none" w:sz="0" w:space="0" w:color="auto"/>
                <w:right w:val="none" w:sz="0" w:space="0" w:color="auto"/>
              </w:divBdr>
              <w:divsChild>
                <w:div w:id="10172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7604">
      <w:bodyDiv w:val="1"/>
      <w:marLeft w:val="0"/>
      <w:marRight w:val="0"/>
      <w:marTop w:val="0"/>
      <w:marBottom w:val="0"/>
      <w:divBdr>
        <w:top w:val="none" w:sz="0" w:space="0" w:color="auto"/>
        <w:left w:val="none" w:sz="0" w:space="0" w:color="auto"/>
        <w:bottom w:val="none" w:sz="0" w:space="0" w:color="auto"/>
        <w:right w:val="none" w:sz="0" w:space="0" w:color="auto"/>
      </w:divBdr>
      <w:divsChild>
        <w:div w:id="884100106">
          <w:marLeft w:val="0"/>
          <w:marRight w:val="0"/>
          <w:marTop w:val="0"/>
          <w:marBottom w:val="0"/>
          <w:divBdr>
            <w:top w:val="none" w:sz="0" w:space="0" w:color="auto"/>
            <w:left w:val="none" w:sz="0" w:space="0" w:color="auto"/>
            <w:bottom w:val="none" w:sz="0" w:space="0" w:color="auto"/>
            <w:right w:val="none" w:sz="0" w:space="0" w:color="auto"/>
          </w:divBdr>
          <w:divsChild>
            <w:div w:id="1596864978">
              <w:marLeft w:val="0"/>
              <w:marRight w:val="0"/>
              <w:marTop w:val="0"/>
              <w:marBottom w:val="0"/>
              <w:divBdr>
                <w:top w:val="none" w:sz="0" w:space="0" w:color="auto"/>
                <w:left w:val="none" w:sz="0" w:space="0" w:color="auto"/>
                <w:bottom w:val="none" w:sz="0" w:space="0" w:color="auto"/>
                <w:right w:val="none" w:sz="0" w:space="0" w:color="auto"/>
              </w:divBdr>
              <w:divsChild>
                <w:div w:id="42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6046">
      <w:bodyDiv w:val="1"/>
      <w:marLeft w:val="0"/>
      <w:marRight w:val="0"/>
      <w:marTop w:val="0"/>
      <w:marBottom w:val="0"/>
      <w:divBdr>
        <w:top w:val="none" w:sz="0" w:space="0" w:color="auto"/>
        <w:left w:val="none" w:sz="0" w:space="0" w:color="auto"/>
        <w:bottom w:val="none" w:sz="0" w:space="0" w:color="auto"/>
        <w:right w:val="none" w:sz="0" w:space="0" w:color="auto"/>
      </w:divBdr>
      <w:divsChild>
        <w:div w:id="281620895">
          <w:marLeft w:val="0"/>
          <w:marRight w:val="0"/>
          <w:marTop w:val="0"/>
          <w:marBottom w:val="0"/>
          <w:divBdr>
            <w:top w:val="none" w:sz="0" w:space="0" w:color="auto"/>
            <w:left w:val="none" w:sz="0" w:space="0" w:color="auto"/>
            <w:bottom w:val="none" w:sz="0" w:space="0" w:color="auto"/>
            <w:right w:val="none" w:sz="0" w:space="0" w:color="auto"/>
          </w:divBdr>
          <w:divsChild>
            <w:div w:id="1649742032">
              <w:marLeft w:val="0"/>
              <w:marRight w:val="0"/>
              <w:marTop w:val="0"/>
              <w:marBottom w:val="0"/>
              <w:divBdr>
                <w:top w:val="none" w:sz="0" w:space="0" w:color="auto"/>
                <w:left w:val="none" w:sz="0" w:space="0" w:color="auto"/>
                <w:bottom w:val="none" w:sz="0" w:space="0" w:color="auto"/>
                <w:right w:val="none" w:sz="0" w:space="0" w:color="auto"/>
              </w:divBdr>
              <w:divsChild>
                <w:div w:id="13910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4758">
      <w:bodyDiv w:val="1"/>
      <w:marLeft w:val="0"/>
      <w:marRight w:val="0"/>
      <w:marTop w:val="0"/>
      <w:marBottom w:val="0"/>
      <w:divBdr>
        <w:top w:val="none" w:sz="0" w:space="0" w:color="auto"/>
        <w:left w:val="none" w:sz="0" w:space="0" w:color="auto"/>
        <w:bottom w:val="none" w:sz="0" w:space="0" w:color="auto"/>
        <w:right w:val="none" w:sz="0" w:space="0" w:color="auto"/>
      </w:divBdr>
      <w:divsChild>
        <w:div w:id="1996182996">
          <w:marLeft w:val="0"/>
          <w:marRight w:val="0"/>
          <w:marTop w:val="0"/>
          <w:marBottom w:val="0"/>
          <w:divBdr>
            <w:top w:val="none" w:sz="0" w:space="0" w:color="auto"/>
            <w:left w:val="none" w:sz="0" w:space="0" w:color="auto"/>
            <w:bottom w:val="none" w:sz="0" w:space="0" w:color="auto"/>
            <w:right w:val="none" w:sz="0" w:space="0" w:color="auto"/>
          </w:divBdr>
          <w:divsChild>
            <w:div w:id="767698946">
              <w:marLeft w:val="0"/>
              <w:marRight w:val="0"/>
              <w:marTop w:val="0"/>
              <w:marBottom w:val="0"/>
              <w:divBdr>
                <w:top w:val="none" w:sz="0" w:space="0" w:color="auto"/>
                <w:left w:val="none" w:sz="0" w:space="0" w:color="auto"/>
                <w:bottom w:val="none" w:sz="0" w:space="0" w:color="auto"/>
                <w:right w:val="none" w:sz="0" w:space="0" w:color="auto"/>
              </w:divBdr>
              <w:divsChild>
                <w:div w:id="1847479459">
                  <w:marLeft w:val="0"/>
                  <w:marRight w:val="0"/>
                  <w:marTop w:val="0"/>
                  <w:marBottom w:val="0"/>
                  <w:divBdr>
                    <w:top w:val="none" w:sz="0" w:space="0" w:color="auto"/>
                    <w:left w:val="none" w:sz="0" w:space="0" w:color="auto"/>
                    <w:bottom w:val="none" w:sz="0" w:space="0" w:color="auto"/>
                    <w:right w:val="none" w:sz="0" w:space="0" w:color="auto"/>
                  </w:divBdr>
                  <w:divsChild>
                    <w:div w:id="35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7439">
      <w:bodyDiv w:val="1"/>
      <w:marLeft w:val="0"/>
      <w:marRight w:val="0"/>
      <w:marTop w:val="0"/>
      <w:marBottom w:val="0"/>
      <w:divBdr>
        <w:top w:val="none" w:sz="0" w:space="0" w:color="auto"/>
        <w:left w:val="none" w:sz="0" w:space="0" w:color="auto"/>
        <w:bottom w:val="none" w:sz="0" w:space="0" w:color="auto"/>
        <w:right w:val="none" w:sz="0" w:space="0" w:color="auto"/>
      </w:divBdr>
      <w:divsChild>
        <w:div w:id="726076579">
          <w:marLeft w:val="0"/>
          <w:marRight w:val="0"/>
          <w:marTop w:val="0"/>
          <w:marBottom w:val="0"/>
          <w:divBdr>
            <w:top w:val="none" w:sz="0" w:space="0" w:color="auto"/>
            <w:left w:val="none" w:sz="0" w:space="0" w:color="auto"/>
            <w:bottom w:val="none" w:sz="0" w:space="0" w:color="auto"/>
            <w:right w:val="none" w:sz="0" w:space="0" w:color="auto"/>
          </w:divBdr>
          <w:divsChild>
            <w:div w:id="1886064102">
              <w:marLeft w:val="0"/>
              <w:marRight w:val="0"/>
              <w:marTop w:val="0"/>
              <w:marBottom w:val="0"/>
              <w:divBdr>
                <w:top w:val="none" w:sz="0" w:space="0" w:color="auto"/>
                <w:left w:val="none" w:sz="0" w:space="0" w:color="auto"/>
                <w:bottom w:val="none" w:sz="0" w:space="0" w:color="auto"/>
                <w:right w:val="none" w:sz="0" w:space="0" w:color="auto"/>
              </w:divBdr>
              <w:divsChild>
                <w:div w:id="413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356">
      <w:bodyDiv w:val="1"/>
      <w:marLeft w:val="0"/>
      <w:marRight w:val="0"/>
      <w:marTop w:val="0"/>
      <w:marBottom w:val="0"/>
      <w:divBdr>
        <w:top w:val="none" w:sz="0" w:space="0" w:color="auto"/>
        <w:left w:val="none" w:sz="0" w:space="0" w:color="auto"/>
        <w:bottom w:val="none" w:sz="0" w:space="0" w:color="auto"/>
        <w:right w:val="none" w:sz="0" w:space="0" w:color="auto"/>
      </w:divBdr>
      <w:divsChild>
        <w:div w:id="1241407484">
          <w:marLeft w:val="0"/>
          <w:marRight w:val="0"/>
          <w:marTop w:val="0"/>
          <w:marBottom w:val="0"/>
          <w:divBdr>
            <w:top w:val="none" w:sz="0" w:space="0" w:color="auto"/>
            <w:left w:val="none" w:sz="0" w:space="0" w:color="auto"/>
            <w:bottom w:val="none" w:sz="0" w:space="0" w:color="auto"/>
            <w:right w:val="none" w:sz="0" w:space="0" w:color="auto"/>
          </w:divBdr>
          <w:divsChild>
            <w:div w:id="1106190263">
              <w:marLeft w:val="0"/>
              <w:marRight w:val="0"/>
              <w:marTop w:val="0"/>
              <w:marBottom w:val="0"/>
              <w:divBdr>
                <w:top w:val="none" w:sz="0" w:space="0" w:color="auto"/>
                <w:left w:val="none" w:sz="0" w:space="0" w:color="auto"/>
                <w:bottom w:val="none" w:sz="0" w:space="0" w:color="auto"/>
                <w:right w:val="none" w:sz="0" w:space="0" w:color="auto"/>
              </w:divBdr>
              <w:divsChild>
                <w:div w:id="129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0863">
      <w:bodyDiv w:val="1"/>
      <w:marLeft w:val="0"/>
      <w:marRight w:val="0"/>
      <w:marTop w:val="0"/>
      <w:marBottom w:val="0"/>
      <w:divBdr>
        <w:top w:val="none" w:sz="0" w:space="0" w:color="auto"/>
        <w:left w:val="none" w:sz="0" w:space="0" w:color="auto"/>
        <w:bottom w:val="none" w:sz="0" w:space="0" w:color="auto"/>
        <w:right w:val="none" w:sz="0" w:space="0" w:color="auto"/>
      </w:divBdr>
      <w:divsChild>
        <w:div w:id="1198197473">
          <w:marLeft w:val="0"/>
          <w:marRight w:val="0"/>
          <w:marTop w:val="0"/>
          <w:marBottom w:val="0"/>
          <w:divBdr>
            <w:top w:val="none" w:sz="0" w:space="0" w:color="auto"/>
            <w:left w:val="none" w:sz="0" w:space="0" w:color="auto"/>
            <w:bottom w:val="none" w:sz="0" w:space="0" w:color="auto"/>
            <w:right w:val="none" w:sz="0" w:space="0" w:color="auto"/>
          </w:divBdr>
          <w:divsChild>
            <w:div w:id="1785344796">
              <w:marLeft w:val="0"/>
              <w:marRight w:val="0"/>
              <w:marTop w:val="0"/>
              <w:marBottom w:val="0"/>
              <w:divBdr>
                <w:top w:val="none" w:sz="0" w:space="0" w:color="auto"/>
                <w:left w:val="none" w:sz="0" w:space="0" w:color="auto"/>
                <w:bottom w:val="none" w:sz="0" w:space="0" w:color="auto"/>
                <w:right w:val="none" w:sz="0" w:space="0" w:color="auto"/>
              </w:divBdr>
              <w:divsChild>
                <w:div w:id="407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3719">
      <w:bodyDiv w:val="1"/>
      <w:marLeft w:val="0"/>
      <w:marRight w:val="0"/>
      <w:marTop w:val="0"/>
      <w:marBottom w:val="0"/>
      <w:divBdr>
        <w:top w:val="none" w:sz="0" w:space="0" w:color="auto"/>
        <w:left w:val="none" w:sz="0" w:space="0" w:color="auto"/>
        <w:bottom w:val="none" w:sz="0" w:space="0" w:color="auto"/>
        <w:right w:val="none" w:sz="0" w:space="0" w:color="auto"/>
      </w:divBdr>
      <w:divsChild>
        <w:div w:id="161896720">
          <w:marLeft w:val="0"/>
          <w:marRight w:val="0"/>
          <w:marTop w:val="0"/>
          <w:marBottom w:val="0"/>
          <w:divBdr>
            <w:top w:val="none" w:sz="0" w:space="0" w:color="auto"/>
            <w:left w:val="none" w:sz="0" w:space="0" w:color="auto"/>
            <w:bottom w:val="none" w:sz="0" w:space="0" w:color="auto"/>
            <w:right w:val="none" w:sz="0" w:space="0" w:color="auto"/>
          </w:divBdr>
          <w:divsChild>
            <w:div w:id="1017274291">
              <w:marLeft w:val="0"/>
              <w:marRight w:val="0"/>
              <w:marTop w:val="0"/>
              <w:marBottom w:val="0"/>
              <w:divBdr>
                <w:top w:val="none" w:sz="0" w:space="0" w:color="auto"/>
                <w:left w:val="none" w:sz="0" w:space="0" w:color="auto"/>
                <w:bottom w:val="none" w:sz="0" w:space="0" w:color="auto"/>
                <w:right w:val="none" w:sz="0" w:space="0" w:color="auto"/>
              </w:divBdr>
              <w:divsChild>
                <w:div w:id="15529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4319">
      <w:bodyDiv w:val="1"/>
      <w:marLeft w:val="0"/>
      <w:marRight w:val="0"/>
      <w:marTop w:val="0"/>
      <w:marBottom w:val="0"/>
      <w:divBdr>
        <w:top w:val="none" w:sz="0" w:space="0" w:color="auto"/>
        <w:left w:val="none" w:sz="0" w:space="0" w:color="auto"/>
        <w:bottom w:val="none" w:sz="0" w:space="0" w:color="auto"/>
        <w:right w:val="none" w:sz="0" w:space="0" w:color="auto"/>
      </w:divBdr>
      <w:divsChild>
        <w:div w:id="110712651">
          <w:marLeft w:val="0"/>
          <w:marRight w:val="0"/>
          <w:marTop w:val="0"/>
          <w:marBottom w:val="0"/>
          <w:divBdr>
            <w:top w:val="none" w:sz="0" w:space="0" w:color="auto"/>
            <w:left w:val="none" w:sz="0" w:space="0" w:color="auto"/>
            <w:bottom w:val="none" w:sz="0" w:space="0" w:color="auto"/>
            <w:right w:val="none" w:sz="0" w:space="0" w:color="auto"/>
          </w:divBdr>
          <w:divsChild>
            <w:div w:id="1724601393">
              <w:marLeft w:val="0"/>
              <w:marRight w:val="0"/>
              <w:marTop w:val="0"/>
              <w:marBottom w:val="0"/>
              <w:divBdr>
                <w:top w:val="none" w:sz="0" w:space="0" w:color="auto"/>
                <w:left w:val="none" w:sz="0" w:space="0" w:color="auto"/>
                <w:bottom w:val="none" w:sz="0" w:space="0" w:color="auto"/>
                <w:right w:val="none" w:sz="0" w:space="0" w:color="auto"/>
              </w:divBdr>
              <w:divsChild>
                <w:div w:id="2078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8039">
      <w:bodyDiv w:val="1"/>
      <w:marLeft w:val="0"/>
      <w:marRight w:val="0"/>
      <w:marTop w:val="0"/>
      <w:marBottom w:val="0"/>
      <w:divBdr>
        <w:top w:val="none" w:sz="0" w:space="0" w:color="auto"/>
        <w:left w:val="none" w:sz="0" w:space="0" w:color="auto"/>
        <w:bottom w:val="none" w:sz="0" w:space="0" w:color="auto"/>
        <w:right w:val="none" w:sz="0" w:space="0" w:color="auto"/>
      </w:divBdr>
      <w:divsChild>
        <w:div w:id="806701304">
          <w:marLeft w:val="0"/>
          <w:marRight w:val="0"/>
          <w:marTop w:val="0"/>
          <w:marBottom w:val="0"/>
          <w:divBdr>
            <w:top w:val="none" w:sz="0" w:space="0" w:color="auto"/>
            <w:left w:val="none" w:sz="0" w:space="0" w:color="auto"/>
            <w:bottom w:val="none" w:sz="0" w:space="0" w:color="auto"/>
            <w:right w:val="none" w:sz="0" w:space="0" w:color="auto"/>
          </w:divBdr>
          <w:divsChild>
            <w:div w:id="1507210168">
              <w:marLeft w:val="0"/>
              <w:marRight w:val="0"/>
              <w:marTop w:val="0"/>
              <w:marBottom w:val="0"/>
              <w:divBdr>
                <w:top w:val="none" w:sz="0" w:space="0" w:color="auto"/>
                <w:left w:val="none" w:sz="0" w:space="0" w:color="auto"/>
                <w:bottom w:val="none" w:sz="0" w:space="0" w:color="auto"/>
                <w:right w:val="none" w:sz="0" w:space="0" w:color="auto"/>
              </w:divBdr>
              <w:divsChild>
                <w:div w:id="355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6809">
      <w:bodyDiv w:val="1"/>
      <w:marLeft w:val="0"/>
      <w:marRight w:val="0"/>
      <w:marTop w:val="0"/>
      <w:marBottom w:val="0"/>
      <w:divBdr>
        <w:top w:val="none" w:sz="0" w:space="0" w:color="auto"/>
        <w:left w:val="none" w:sz="0" w:space="0" w:color="auto"/>
        <w:bottom w:val="none" w:sz="0" w:space="0" w:color="auto"/>
        <w:right w:val="none" w:sz="0" w:space="0" w:color="auto"/>
      </w:divBdr>
      <w:divsChild>
        <w:div w:id="171838928">
          <w:marLeft w:val="0"/>
          <w:marRight w:val="0"/>
          <w:marTop w:val="0"/>
          <w:marBottom w:val="0"/>
          <w:divBdr>
            <w:top w:val="none" w:sz="0" w:space="0" w:color="auto"/>
            <w:left w:val="none" w:sz="0" w:space="0" w:color="auto"/>
            <w:bottom w:val="none" w:sz="0" w:space="0" w:color="auto"/>
            <w:right w:val="none" w:sz="0" w:space="0" w:color="auto"/>
          </w:divBdr>
          <w:divsChild>
            <w:div w:id="1524054761">
              <w:marLeft w:val="0"/>
              <w:marRight w:val="0"/>
              <w:marTop w:val="0"/>
              <w:marBottom w:val="0"/>
              <w:divBdr>
                <w:top w:val="none" w:sz="0" w:space="0" w:color="auto"/>
                <w:left w:val="none" w:sz="0" w:space="0" w:color="auto"/>
                <w:bottom w:val="none" w:sz="0" w:space="0" w:color="auto"/>
                <w:right w:val="none" w:sz="0" w:space="0" w:color="auto"/>
              </w:divBdr>
              <w:divsChild>
                <w:div w:id="1817409173">
                  <w:marLeft w:val="0"/>
                  <w:marRight w:val="0"/>
                  <w:marTop w:val="0"/>
                  <w:marBottom w:val="0"/>
                  <w:divBdr>
                    <w:top w:val="none" w:sz="0" w:space="0" w:color="auto"/>
                    <w:left w:val="none" w:sz="0" w:space="0" w:color="auto"/>
                    <w:bottom w:val="none" w:sz="0" w:space="0" w:color="auto"/>
                    <w:right w:val="none" w:sz="0" w:space="0" w:color="auto"/>
                  </w:divBdr>
                </w:div>
              </w:divsChild>
            </w:div>
            <w:div w:id="1037700110">
              <w:marLeft w:val="0"/>
              <w:marRight w:val="0"/>
              <w:marTop w:val="0"/>
              <w:marBottom w:val="0"/>
              <w:divBdr>
                <w:top w:val="none" w:sz="0" w:space="0" w:color="auto"/>
                <w:left w:val="none" w:sz="0" w:space="0" w:color="auto"/>
                <w:bottom w:val="none" w:sz="0" w:space="0" w:color="auto"/>
                <w:right w:val="none" w:sz="0" w:space="0" w:color="auto"/>
              </w:divBdr>
              <w:divsChild>
                <w:div w:id="326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progressonline.org.uk" TargetMode="External"/><Relationship Id="rId4" Type="http://schemas.openxmlformats.org/officeDocument/2006/relationships/hyperlink" Target="http://www.nytimes.com/1986/02/18/world/after-thatcher-kinnock-doesn-t-spring-to-mind.html?pagewanted=1" TargetMode="External"/><Relationship Id="rId1" Type="http://schemas.openxmlformats.org/officeDocument/2006/relationships/hyperlink" Target="https://www.theguardian.com/commentisfree/2015/aug/02/labour-split-corbyn-blairites" TargetMode="External"/><Relationship Id="rId2" Type="http://schemas.openxmlformats.org/officeDocument/2006/relationships/hyperlink" Target="http://www.telegraph.co.uk/finance/comment/9101672/If-we-want-the-UK-to-grow-we-should-take-lessons-from-Germ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0AB949-B955-7940-A5B9-D022B61F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7512</Words>
  <Characters>42819</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Carr</dc:creator>
  <cp:keywords/>
  <dc:description/>
  <cp:lastModifiedBy>Microsoft Office User</cp:lastModifiedBy>
  <cp:revision>2</cp:revision>
  <cp:lastPrinted>2015-12-21T15:00:00Z</cp:lastPrinted>
  <dcterms:created xsi:type="dcterms:W3CDTF">2017-03-24T09:12:00Z</dcterms:created>
  <dcterms:modified xsi:type="dcterms:W3CDTF">2017-03-24T09:12:00Z</dcterms:modified>
</cp:coreProperties>
</file>