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623" w:rsidRPr="00C26FAF" w:rsidRDefault="00345623" w:rsidP="00345623">
      <w:pPr>
        <w:rPr>
          <w:rFonts w:cs="Arial"/>
          <w:b/>
          <w:sz w:val="18"/>
          <w:szCs w:val="18"/>
        </w:rPr>
      </w:pPr>
      <w:bookmarkStart w:id="0" w:name="_GoBack"/>
      <w:bookmarkEnd w:id="0"/>
    </w:p>
    <w:p w:rsidR="00345623" w:rsidRPr="00963524" w:rsidRDefault="00617654" w:rsidP="00345623">
      <w:pPr>
        <w:rPr>
          <w:rFonts w:cs="Arial"/>
          <w:b/>
          <w:szCs w:val="22"/>
        </w:rPr>
      </w:pPr>
      <w:r w:rsidRPr="00617654">
        <w:rPr>
          <w:rFonts w:cs="Arial"/>
          <w:b/>
          <w:szCs w:val="22"/>
        </w:rPr>
        <w:t>Article title</w:t>
      </w:r>
      <w:r w:rsidR="00BE3AFD">
        <w:rPr>
          <w:rFonts w:cs="Arial"/>
          <w:b/>
          <w:szCs w:val="22"/>
        </w:rPr>
        <w:t>: Mediation</w:t>
      </w:r>
      <w:r w:rsidRPr="00617654">
        <w:rPr>
          <w:rFonts w:cs="Arial"/>
          <w:b/>
          <w:szCs w:val="22"/>
        </w:rPr>
        <w:t xml:space="preserve"> in construction disputes in England</w:t>
      </w:r>
      <w:r>
        <w:rPr>
          <w:rFonts w:cs="Arial"/>
          <w:b/>
          <w:szCs w:val="22"/>
        </w:rPr>
        <w:t xml:space="preserve"> </w:t>
      </w:r>
    </w:p>
    <w:p w:rsidR="00C26FAF" w:rsidRPr="00963524" w:rsidRDefault="00C26FAF" w:rsidP="00345623">
      <w:pPr>
        <w:rPr>
          <w:rFonts w:cs="Arial"/>
          <w:b/>
          <w:szCs w:val="22"/>
        </w:rPr>
      </w:pPr>
    </w:p>
    <w:p w:rsidR="00345623" w:rsidRPr="00963524" w:rsidRDefault="00246C86" w:rsidP="00345623">
      <w:pPr>
        <w:rPr>
          <w:rFonts w:cs="Arial"/>
          <w:b/>
          <w:szCs w:val="22"/>
        </w:rPr>
      </w:pPr>
      <w:r>
        <w:rPr>
          <w:rFonts w:cs="Arial"/>
          <w:szCs w:val="22"/>
        </w:rPr>
        <w:t>J</w:t>
      </w:r>
      <w:r w:rsidRPr="00963524">
        <w:rPr>
          <w:rFonts w:cs="Arial"/>
          <w:szCs w:val="22"/>
        </w:rPr>
        <w:t>ackie Gregory-Stevens</w:t>
      </w:r>
      <w:r>
        <w:rPr>
          <w:rFonts w:cs="Arial"/>
          <w:szCs w:val="22"/>
        </w:rPr>
        <w:t xml:space="preserve"> </w:t>
      </w:r>
      <w:r w:rsidRPr="0000295B">
        <w:rPr>
          <w:rFonts w:cs="Arial"/>
          <w:szCs w:val="22"/>
          <w:vertAlign w:val="superscript"/>
        </w:rPr>
        <w:t>a</w:t>
      </w:r>
      <w:r>
        <w:rPr>
          <w:rFonts w:cs="Arial"/>
          <w:szCs w:val="22"/>
        </w:rPr>
        <w:t>:</w:t>
      </w:r>
      <w:r w:rsidRPr="00246C86">
        <w:rPr>
          <w:rFonts w:cs="Arial"/>
          <w:szCs w:val="22"/>
        </w:rPr>
        <w:t xml:space="preserve"> </w:t>
      </w:r>
      <w:r w:rsidRPr="00963524">
        <w:rPr>
          <w:rFonts w:cs="Arial"/>
          <w:szCs w:val="22"/>
        </w:rPr>
        <w:t>Ian Frame</w:t>
      </w:r>
      <w:r w:rsidRPr="0000295B">
        <w:rPr>
          <w:rFonts w:cs="Arial"/>
          <w:szCs w:val="22"/>
          <w:vertAlign w:val="superscript"/>
        </w:rPr>
        <w:t>b</w:t>
      </w:r>
      <w:r>
        <w:rPr>
          <w:rFonts w:cs="Arial"/>
          <w:szCs w:val="22"/>
        </w:rPr>
        <w:t xml:space="preserve"> and </w:t>
      </w:r>
      <w:r w:rsidRPr="00963524">
        <w:rPr>
          <w:rFonts w:cs="Arial"/>
          <w:szCs w:val="22"/>
        </w:rPr>
        <w:t>Christian Henjewele</w:t>
      </w:r>
      <w:r w:rsidRPr="0000295B">
        <w:rPr>
          <w:rFonts w:cs="Arial"/>
          <w:szCs w:val="22"/>
          <w:vertAlign w:val="superscript"/>
        </w:rPr>
        <w:t>c</w:t>
      </w:r>
    </w:p>
    <w:p w:rsidR="00246C86" w:rsidRDefault="00246C86" w:rsidP="00273CBA">
      <w:pPr>
        <w:rPr>
          <w:rFonts w:cs="Arial"/>
          <w:b/>
          <w:szCs w:val="22"/>
        </w:rPr>
      </w:pPr>
    </w:p>
    <w:p w:rsidR="00273CBA" w:rsidRPr="00963524" w:rsidRDefault="00345623" w:rsidP="00273CBA">
      <w:pPr>
        <w:rPr>
          <w:rFonts w:cs="Arial"/>
          <w:b/>
          <w:szCs w:val="22"/>
        </w:rPr>
      </w:pPr>
      <w:r w:rsidRPr="00963524">
        <w:rPr>
          <w:rFonts w:cs="Arial"/>
          <w:b/>
          <w:szCs w:val="22"/>
        </w:rPr>
        <w:t>Author Details</w:t>
      </w:r>
      <w:r w:rsidR="000463CA" w:rsidRPr="00963524">
        <w:rPr>
          <w:rFonts w:cs="Arial"/>
          <w:b/>
          <w:szCs w:val="22"/>
        </w:rPr>
        <w:t xml:space="preserve"> </w:t>
      </w:r>
    </w:p>
    <w:p w:rsidR="00345623" w:rsidRPr="00963524" w:rsidRDefault="00345623" w:rsidP="00345623">
      <w:pPr>
        <w:rPr>
          <w:rFonts w:cs="Arial"/>
          <w:szCs w:val="22"/>
        </w:rPr>
      </w:pPr>
    </w:p>
    <w:p w:rsidR="00345623" w:rsidRPr="00963524" w:rsidRDefault="007506DF" w:rsidP="00345623">
      <w:pPr>
        <w:rPr>
          <w:rFonts w:cs="Arial"/>
          <w:szCs w:val="22"/>
        </w:rPr>
      </w:pPr>
      <w:r w:rsidRPr="00963524">
        <w:rPr>
          <w:rFonts w:cs="Arial"/>
          <w:szCs w:val="22"/>
        </w:rPr>
        <w:t xml:space="preserve">Author </w:t>
      </w:r>
      <w:r w:rsidR="00246C86">
        <w:rPr>
          <w:rFonts w:cs="Arial"/>
          <w:szCs w:val="22"/>
        </w:rPr>
        <w:t>a</w:t>
      </w:r>
      <w:r w:rsidR="00246C86" w:rsidRPr="00963524">
        <w:rPr>
          <w:rFonts w:cs="Arial"/>
          <w:szCs w:val="22"/>
        </w:rPr>
        <w:t xml:space="preserve"> </w:t>
      </w:r>
      <w:r w:rsidRPr="00963524">
        <w:rPr>
          <w:rFonts w:cs="Arial"/>
          <w:szCs w:val="22"/>
        </w:rPr>
        <w:t>Name:</w:t>
      </w:r>
      <w:r w:rsidR="006F58AA" w:rsidRPr="00963524">
        <w:rPr>
          <w:rFonts w:cs="Arial"/>
          <w:szCs w:val="22"/>
        </w:rPr>
        <w:t xml:space="preserve"> </w:t>
      </w:r>
      <w:r w:rsidR="006F58AA" w:rsidRPr="00963524">
        <w:rPr>
          <w:rFonts w:cs="Arial"/>
          <w:szCs w:val="22"/>
        </w:rPr>
        <w:tab/>
      </w:r>
      <w:r w:rsidR="00CA5392">
        <w:rPr>
          <w:rFonts w:cs="Arial"/>
          <w:szCs w:val="22"/>
        </w:rPr>
        <w:t>J</w:t>
      </w:r>
      <w:r w:rsidR="006F58AA" w:rsidRPr="00963524">
        <w:rPr>
          <w:rFonts w:cs="Arial"/>
          <w:szCs w:val="22"/>
        </w:rPr>
        <w:t>ackie Gregory-Stevens</w:t>
      </w:r>
      <w:r w:rsidR="000310F5">
        <w:rPr>
          <w:rFonts w:cs="Arial"/>
          <w:szCs w:val="22"/>
        </w:rPr>
        <w:t>;</w:t>
      </w:r>
      <w:r w:rsidR="006F58AA" w:rsidRPr="00963524">
        <w:rPr>
          <w:rFonts w:cs="Arial"/>
          <w:szCs w:val="22"/>
        </w:rPr>
        <w:t xml:space="preserve"> FRICS</w:t>
      </w:r>
      <w:r w:rsidR="000310F5">
        <w:rPr>
          <w:rFonts w:cs="Arial"/>
          <w:szCs w:val="22"/>
        </w:rPr>
        <w:t>,</w:t>
      </w:r>
      <w:r w:rsidR="006F58AA" w:rsidRPr="00963524">
        <w:rPr>
          <w:rFonts w:cs="Arial"/>
          <w:szCs w:val="22"/>
        </w:rPr>
        <w:t xml:space="preserve"> ACIArb</w:t>
      </w:r>
      <w:r w:rsidR="000310F5">
        <w:rPr>
          <w:rFonts w:cs="Arial"/>
          <w:szCs w:val="22"/>
        </w:rPr>
        <w:t>,</w:t>
      </w:r>
      <w:r w:rsidR="006F58AA" w:rsidRPr="00963524">
        <w:rPr>
          <w:rFonts w:cs="Arial"/>
          <w:szCs w:val="22"/>
        </w:rPr>
        <w:t xml:space="preserve"> CEnv</w:t>
      </w:r>
      <w:r w:rsidR="000310F5" w:rsidRPr="000310F5">
        <w:rPr>
          <w:rFonts w:cs="Arial"/>
          <w:szCs w:val="22"/>
        </w:rPr>
        <w:t xml:space="preserve"> </w:t>
      </w:r>
    </w:p>
    <w:p w:rsidR="00901A1E" w:rsidRDefault="007506DF" w:rsidP="00901A1E">
      <w:pPr>
        <w:rPr>
          <w:rFonts w:cs="Arial"/>
          <w:szCs w:val="22"/>
        </w:rPr>
      </w:pPr>
      <w:r w:rsidRPr="00963524">
        <w:rPr>
          <w:rFonts w:cs="Arial"/>
          <w:szCs w:val="22"/>
        </w:rPr>
        <w:t>Department:</w:t>
      </w:r>
      <w:r w:rsidR="006F58AA" w:rsidRPr="00963524">
        <w:rPr>
          <w:rFonts w:cs="Arial"/>
          <w:szCs w:val="22"/>
        </w:rPr>
        <w:tab/>
      </w:r>
      <w:r w:rsidR="006F58AA" w:rsidRPr="00963524">
        <w:rPr>
          <w:rFonts w:cs="Arial"/>
          <w:szCs w:val="22"/>
        </w:rPr>
        <w:tab/>
      </w:r>
      <w:r w:rsidR="00901A1E">
        <w:rPr>
          <w:rFonts w:cs="Arial"/>
          <w:szCs w:val="22"/>
        </w:rPr>
        <w:t>Engineering and the Built Environment</w:t>
      </w:r>
    </w:p>
    <w:p w:rsidR="007506DF" w:rsidRPr="00963524" w:rsidRDefault="007506DF" w:rsidP="00345623">
      <w:pPr>
        <w:rPr>
          <w:rFonts w:cs="Arial"/>
          <w:szCs w:val="22"/>
        </w:rPr>
      </w:pPr>
      <w:r w:rsidRPr="00963524">
        <w:rPr>
          <w:rFonts w:cs="Arial"/>
          <w:szCs w:val="22"/>
        </w:rPr>
        <w:t>University</w:t>
      </w:r>
      <w:r w:rsidR="00FB1EDC" w:rsidRPr="00963524">
        <w:rPr>
          <w:rFonts w:cs="Arial"/>
          <w:szCs w:val="22"/>
        </w:rPr>
        <w:t>/Institution</w:t>
      </w:r>
      <w:r w:rsidRPr="00963524">
        <w:rPr>
          <w:rFonts w:cs="Arial"/>
          <w:szCs w:val="22"/>
        </w:rPr>
        <w:t>:</w:t>
      </w:r>
      <w:r w:rsidR="006F58AA" w:rsidRPr="00963524">
        <w:rPr>
          <w:rFonts w:cs="Arial"/>
          <w:szCs w:val="22"/>
        </w:rPr>
        <w:tab/>
      </w:r>
      <w:r w:rsidR="00901A1E">
        <w:rPr>
          <w:rFonts w:cs="Arial"/>
          <w:szCs w:val="22"/>
        </w:rPr>
        <w:t xml:space="preserve">Faculty of Science and Technology; </w:t>
      </w:r>
      <w:r w:rsidR="006F58AA" w:rsidRPr="00963524">
        <w:rPr>
          <w:rFonts w:cs="Arial"/>
          <w:szCs w:val="22"/>
        </w:rPr>
        <w:t>Anglia Ruskin University</w:t>
      </w:r>
    </w:p>
    <w:p w:rsidR="007506DF" w:rsidRPr="00963524" w:rsidRDefault="007506DF" w:rsidP="00345623">
      <w:pPr>
        <w:rPr>
          <w:rFonts w:cs="Arial"/>
          <w:szCs w:val="22"/>
        </w:rPr>
      </w:pPr>
      <w:r w:rsidRPr="00963524">
        <w:rPr>
          <w:rFonts w:cs="Arial"/>
          <w:szCs w:val="22"/>
        </w:rPr>
        <w:t>Town/City:</w:t>
      </w:r>
      <w:r w:rsidR="006F58AA" w:rsidRPr="00963524">
        <w:rPr>
          <w:rFonts w:cs="Arial"/>
          <w:szCs w:val="22"/>
        </w:rPr>
        <w:tab/>
      </w:r>
      <w:r w:rsidR="006F58AA" w:rsidRPr="00963524">
        <w:rPr>
          <w:rFonts w:cs="Arial"/>
          <w:szCs w:val="22"/>
        </w:rPr>
        <w:tab/>
        <w:t>Chelmsford</w:t>
      </w:r>
    </w:p>
    <w:p w:rsidR="007506DF" w:rsidRPr="00963524" w:rsidRDefault="007506DF" w:rsidP="00345623">
      <w:pPr>
        <w:rPr>
          <w:rFonts w:cs="Arial"/>
          <w:szCs w:val="22"/>
        </w:rPr>
      </w:pPr>
      <w:r w:rsidRPr="00963524">
        <w:rPr>
          <w:rFonts w:cs="Arial"/>
          <w:szCs w:val="22"/>
        </w:rPr>
        <w:t>Country:</w:t>
      </w:r>
      <w:r w:rsidR="006F58AA" w:rsidRPr="00963524">
        <w:rPr>
          <w:rFonts w:cs="Arial"/>
          <w:szCs w:val="22"/>
        </w:rPr>
        <w:tab/>
      </w:r>
      <w:r w:rsidR="006F58AA" w:rsidRPr="00963524">
        <w:rPr>
          <w:rFonts w:cs="Arial"/>
          <w:szCs w:val="22"/>
        </w:rPr>
        <w:tab/>
        <w:t>UK</w:t>
      </w:r>
    </w:p>
    <w:p w:rsidR="00345623" w:rsidRPr="00963524" w:rsidRDefault="00345623" w:rsidP="00345623">
      <w:pPr>
        <w:rPr>
          <w:rFonts w:cs="Arial"/>
          <w:szCs w:val="22"/>
        </w:rPr>
      </w:pPr>
    </w:p>
    <w:p w:rsidR="007506DF" w:rsidRPr="00963524" w:rsidRDefault="007506DF" w:rsidP="00345623">
      <w:pPr>
        <w:rPr>
          <w:rFonts w:cs="Arial"/>
          <w:szCs w:val="22"/>
        </w:rPr>
      </w:pPr>
    </w:p>
    <w:p w:rsidR="007506DF" w:rsidRPr="00963524" w:rsidRDefault="007506DF" w:rsidP="007506DF">
      <w:pPr>
        <w:rPr>
          <w:rFonts w:cs="Arial"/>
          <w:szCs w:val="22"/>
        </w:rPr>
      </w:pPr>
      <w:r w:rsidRPr="00963524">
        <w:rPr>
          <w:rFonts w:cs="Arial"/>
          <w:szCs w:val="22"/>
        </w:rPr>
        <w:t xml:space="preserve">Author </w:t>
      </w:r>
      <w:r w:rsidR="00246C86">
        <w:rPr>
          <w:rFonts w:cs="Arial"/>
          <w:szCs w:val="22"/>
        </w:rPr>
        <w:t>b</w:t>
      </w:r>
      <w:r w:rsidR="00246C86" w:rsidRPr="00963524">
        <w:rPr>
          <w:rFonts w:cs="Arial"/>
          <w:szCs w:val="22"/>
        </w:rPr>
        <w:t xml:space="preserve"> </w:t>
      </w:r>
      <w:r w:rsidRPr="00963524">
        <w:rPr>
          <w:rFonts w:cs="Arial"/>
          <w:szCs w:val="22"/>
        </w:rPr>
        <w:t>Name:</w:t>
      </w:r>
      <w:r w:rsidR="006F58AA" w:rsidRPr="00963524">
        <w:rPr>
          <w:rFonts w:cs="Arial"/>
          <w:szCs w:val="22"/>
        </w:rPr>
        <w:tab/>
        <w:t>Dr Ian Frame</w:t>
      </w:r>
      <w:r w:rsidR="00901A1E">
        <w:rPr>
          <w:rFonts w:cs="Arial"/>
          <w:szCs w:val="22"/>
        </w:rPr>
        <w:t xml:space="preserve">, </w:t>
      </w:r>
      <w:r w:rsidR="000310F5">
        <w:rPr>
          <w:rFonts w:cs="Arial"/>
          <w:szCs w:val="22"/>
        </w:rPr>
        <w:t>ProfDoc</w:t>
      </w:r>
      <w:r w:rsidR="00901A1E">
        <w:rPr>
          <w:rFonts w:cs="Arial"/>
          <w:szCs w:val="22"/>
        </w:rPr>
        <w:t>, PGcert, MSc, BSc</w:t>
      </w:r>
    </w:p>
    <w:p w:rsidR="006F58AA" w:rsidRPr="00963524" w:rsidRDefault="007506DF" w:rsidP="006F58AA">
      <w:pPr>
        <w:rPr>
          <w:rFonts w:cs="Arial"/>
          <w:szCs w:val="22"/>
        </w:rPr>
      </w:pPr>
      <w:r w:rsidRPr="00963524">
        <w:rPr>
          <w:rFonts w:cs="Arial"/>
          <w:szCs w:val="22"/>
        </w:rPr>
        <w:t>Department:</w:t>
      </w:r>
      <w:r w:rsidR="006F58AA" w:rsidRPr="00963524">
        <w:rPr>
          <w:rFonts w:cs="Arial"/>
          <w:szCs w:val="22"/>
        </w:rPr>
        <w:tab/>
      </w:r>
      <w:r w:rsidR="006F58AA" w:rsidRPr="00963524">
        <w:rPr>
          <w:rFonts w:cs="Arial"/>
          <w:szCs w:val="22"/>
        </w:rPr>
        <w:tab/>
      </w:r>
      <w:r w:rsidR="00901A1E">
        <w:rPr>
          <w:rFonts w:cs="Arial"/>
          <w:szCs w:val="22"/>
        </w:rPr>
        <w:t>Engineering and the Built Environment</w:t>
      </w:r>
      <w:r w:rsidR="00901A1E" w:rsidRPr="00963524">
        <w:rPr>
          <w:rFonts w:cs="Arial"/>
          <w:szCs w:val="22"/>
        </w:rPr>
        <w:t xml:space="preserve"> </w:t>
      </w:r>
    </w:p>
    <w:p w:rsidR="006F58AA" w:rsidRPr="00963524" w:rsidRDefault="006F58AA" w:rsidP="006F58AA">
      <w:pPr>
        <w:rPr>
          <w:rFonts w:cs="Arial"/>
          <w:szCs w:val="22"/>
        </w:rPr>
      </w:pPr>
      <w:r w:rsidRPr="00963524">
        <w:rPr>
          <w:rFonts w:cs="Arial"/>
          <w:szCs w:val="22"/>
        </w:rPr>
        <w:t>University/Institution:</w:t>
      </w:r>
      <w:r w:rsidRPr="00963524">
        <w:rPr>
          <w:rFonts w:cs="Arial"/>
          <w:szCs w:val="22"/>
        </w:rPr>
        <w:tab/>
      </w:r>
      <w:r w:rsidR="00901A1E">
        <w:rPr>
          <w:rFonts w:cs="Arial"/>
          <w:szCs w:val="22"/>
        </w:rPr>
        <w:t xml:space="preserve">Faculty of Science and Technology; </w:t>
      </w:r>
      <w:r w:rsidR="00901A1E" w:rsidRPr="00963524">
        <w:rPr>
          <w:rFonts w:cs="Arial"/>
          <w:szCs w:val="22"/>
        </w:rPr>
        <w:t>Anglia Ruskin University</w:t>
      </w:r>
      <w:r w:rsidR="00901A1E" w:rsidRPr="00963524" w:rsidDel="00901A1E">
        <w:rPr>
          <w:rFonts w:cs="Arial"/>
          <w:szCs w:val="22"/>
        </w:rPr>
        <w:t xml:space="preserve"> </w:t>
      </w:r>
    </w:p>
    <w:p w:rsidR="006F58AA" w:rsidRPr="00963524" w:rsidRDefault="006F58AA" w:rsidP="006F58AA">
      <w:pPr>
        <w:rPr>
          <w:rFonts w:cs="Arial"/>
          <w:szCs w:val="22"/>
        </w:rPr>
      </w:pPr>
      <w:r w:rsidRPr="00963524">
        <w:rPr>
          <w:rFonts w:cs="Arial"/>
          <w:szCs w:val="22"/>
        </w:rPr>
        <w:t>Town/City:</w:t>
      </w:r>
      <w:r w:rsidRPr="00963524">
        <w:rPr>
          <w:rFonts w:cs="Arial"/>
          <w:szCs w:val="22"/>
        </w:rPr>
        <w:tab/>
      </w:r>
      <w:r w:rsidRPr="00963524">
        <w:rPr>
          <w:rFonts w:cs="Arial"/>
          <w:szCs w:val="22"/>
        </w:rPr>
        <w:tab/>
        <w:t>Chelmsford</w:t>
      </w:r>
    </w:p>
    <w:p w:rsidR="006F58AA" w:rsidRPr="00963524" w:rsidRDefault="006F58AA" w:rsidP="006F58AA">
      <w:pPr>
        <w:rPr>
          <w:rFonts w:cs="Arial"/>
          <w:szCs w:val="22"/>
        </w:rPr>
      </w:pPr>
      <w:r w:rsidRPr="00963524">
        <w:rPr>
          <w:rFonts w:cs="Arial"/>
          <w:szCs w:val="22"/>
        </w:rPr>
        <w:t>Country:</w:t>
      </w:r>
      <w:r w:rsidRPr="00963524">
        <w:rPr>
          <w:rFonts w:cs="Arial"/>
          <w:szCs w:val="22"/>
        </w:rPr>
        <w:tab/>
      </w:r>
      <w:r w:rsidRPr="00963524">
        <w:rPr>
          <w:rFonts w:cs="Arial"/>
          <w:szCs w:val="22"/>
        </w:rPr>
        <w:tab/>
        <w:t>UK</w:t>
      </w:r>
    </w:p>
    <w:p w:rsidR="007506DF" w:rsidRPr="00963524" w:rsidRDefault="007506DF" w:rsidP="006F58AA">
      <w:pPr>
        <w:rPr>
          <w:rFonts w:cs="Arial"/>
          <w:szCs w:val="22"/>
        </w:rPr>
      </w:pPr>
    </w:p>
    <w:p w:rsidR="007506DF" w:rsidRPr="00963524" w:rsidRDefault="007506DF" w:rsidP="00345623">
      <w:pPr>
        <w:rPr>
          <w:rFonts w:cs="Arial"/>
          <w:szCs w:val="22"/>
        </w:rPr>
      </w:pPr>
    </w:p>
    <w:p w:rsidR="007506DF" w:rsidRPr="00963524" w:rsidRDefault="007506DF" w:rsidP="007506DF">
      <w:pPr>
        <w:rPr>
          <w:rFonts w:cs="Arial"/>
          <w:szCs w:val="22"/>
        </w:rPr>
      </w:pPr>
      <w:r w:rsidRPr="00963524">
        <w:rPr>
          <w:rFonts w:cs="Arial"/>
          <w:szCs w:val="22"/>
        </w:rPr>
        <w:t xml:space="preserve">Author </w:t>
      </w:r>
      <w:r w:rsidR="00246C86">
        <w:rPr>
          <w:rFonts w:cs="Arial"/>
          <w:szCs w:val="22"/>
        </w:rPr>
        <w:t>c</w:t>
      </w:r>
      <w:r w:rsidR="00246C86" w:rsidRPr="00963524">
        <w:rPr>
          <w:rFonts w:cs="Arial"/>
          <w:szCs w:val="22"/>
        </w:rPr>
        <w:t xml:space="preserve"> </w:t>
      </w:r>
      <w:r w:rsidRPr="00963524">
        <w:rPr>
          <w:rFonts w:cs="Arial"/>
          <w:szCs w:val="22"/>
        </w:rPr>
        <w:t>Name:</w:t>
      </w:r>
      <w:r w:rsidR="009C12CA" w:rsidRPr="00963524">
        <w:rPr>
          <w:rFonts w:cs="Arial"/>
          <w:szCs w:val="22"/>
        </w:rPr>
        <w:tab/>
        <w:t>Christian Henjewele</w:t>
      </w:r>
      <w:r w:rsidR="00901A1E">
        <w:rPr>
          <w:rFonts w:cs="Arial"/>
          <w:szCs w:val="22"/>
        </w:rPr>
        <w:t>, PhD, PGcert, MSc, BSc</w:t>
      </w:r>
    </w:p>
    <w:p w:rsidR="009C12CA" w:rsidRPr="00963524" w:rsidRDefault="009C12CA" w:rsidP="009C12CA">
      <w:pPr>
        <w:rPr>
          <w:rFonts w:cs="Arial"/>
          <w:szCs w:val="22"/>
        </w:rPr>
      </w:pPr>
      <w:r w:rsidRPr="00963524">
        <w:rPr>
          <w:rFonts w:cs="Arial"/>
          <w:szCs w:val="22"/>
        </w:rPr>
        <w:t>Department:</w:t>
      </w:r>
      <w:r w:rsidRPr="00963524">
        <w:rPr>
          <w:rFonts w:cs="Arial"/>
          <w:szCs w:val="22"/>
        </w:rPr>
        <w:tab/>
      </w:r>
      <w:r w:rsidRPr="00963524">
        <w:rPr>
          <w:rFonts w:cs="Arial"/>
          <w:szCs w:val="22"/>
        </w:rPr>
        <w:tab/>
      </w:r>
      <w:r w:rsidR="00901A1E">
        <w:rPr>
          <w:rFonts w:cs="Arial"/>
          <w:szCs w:val="22"/>
        </w:rPr>
        <w:t>Engineering and the Built Environment</w:t>
      </w:r>
      <w:r w:rsidR="00901A1E" w:rsidRPr="00963524" w:rsidDel="00901A1E">
        <w:rPr>
          <w:rFonts w:cs="Arial"/>
          <w:szCs w:val="22"/>
        </w:rPr>
        <w:t xml:space="preserve"> </w:t>
      </w:r>
    </w:p>
    <w:p w:rsidR="009C12CA" w:rsidRPr="00963524" w:rsidRDefault="009C12CA" w:rsidP="009C12CA">
      <w:pPr>
        <w:rPr>
          <w:rFonts w:cs="Arial"/>
          <w:szCs w:val="22"/>
        </w:rPr>
      </w:pPr>
      <w:r w:rsidRPr="00963524">
        <w:rPr>
          <w:rFonts w:cs="Arial"/>
          <w:szCs w:val="22"/>
        </w:rPr>
        <w:t>University/Institution:</w:t>
      </w:r>
      <w:r w:rsidRPr="00963524">
        <w:rPr>
          <w:rFonts w:cs="Arial"/>
          <w:szCs w:val="22"/>
        </w:rPr>
        <w:tab/>
      </w:r>
      <w:r w:rsidR="00901A1E">
        <w:rPr>
          <w:rFonts w:cs="Arial"/>
          <w:szCs w:val="22"/>
        </w:rPr>
        <w:t xml:space="preserve">Faculty of Science and Technology; </w:t>
      </w:r>
      <w:r w:rsidR="00901A1E" w:rsidRPr="00963524">
        <w:rPr>
          <w:rFonts w:cs="Arial"/>
          <w:szCs w:val="22"/>
        </w:rPr>
        <w:t>Anglia Ruskin University</w:t>
      </w:r>
      <w:r w:rsidR="00901A1E" w:rsidRPr="00963524" w:rsidDel="00901A1E">
        <w:rPr>
          <w:rFonts w:cs="Arial"/>
          <w:szCs w:val="22"/>
        </w:rPr>
        <w:t xml:space="preserve"> </w:t>
      </w:r>
    </w:p>
    <w:p w:rsidR="009C12CA" w:rsidRPr="00963524" w:rsidRDefault="009C12CA" w:rsidP="009C12CA">
      <w:pPr>
        <w:rPr>
          <w:rFonts w:cs="Arial"/>
          <w:szCs w:val="22"/>
        </w:rPr>
      </w:pPr>
      <w:r w:rsidRPr="00963524">
        <w:rPr>
          <w:rFonts w:cs="Arial"/>
          <w:szCs w:val="22"/>
        </w:rPr>
        <w:t>Town/City:</w:t>
      </w:r>
      <w:r w:rsidRPr="00963524">
        <w:rPr>
          <w:rFonts w:cs="Arial"/>
          <w:szCs w:val="22"/>
        </w:rPr>
        <w:tab/>
      </w:r>
      <w:r w:rsidRPr="00963524">
        <w:rPr>
          <w:rFonts w:cs="Arial"/>
          <w:szCs w:val="22"/>
        </w:rPr>
        <w:tab/>
        <w:t>Chelmsford</w:t>
      </w:r>
    </w:p>
    <w:p w:rsidR="009C12CA" w:rsidRPr="00963524" w:rsidRDefault="009C12CA" w:rsidP="009C12CA">
      <w:pPr>
        <w:rPr>
          <w:rFonts w:cs="Arial"/>
          <w:szCs w:val="22"/>
        </w:rPr>
      </w:pPr>
      <w:r w:rsidRPr="00963524">
        <w:rPr>
          <w:rFonts w:cs="Arial"/>
          <w:szCs w:val="22"/>
        </w:rPr>
        <w:t>Country:</w:t>
      </w:r>
      <w:r w:rsidRPr="00963524">
        <w:rPr>
          <w:rFonts w:cs="Arial"/>
          <w:szCs w:val="22"/>
        </w:rPr>
        <w:tab/>
      </w:r>
      <w:r w:rsidRPr="00963524">
        <w:rPr>
          <w:rFonts w:cs="Arial"/>
          <w:szCs w:val="22"/>
        </w:rPr>
        <w:tab/>
        <w:t>UK</w:t>
      </w:r>
    </w:p>
    <w:p w:rsidR="007506DF" w:rsidRPr="00963524" w:rsidRDefault="007506DF" w:rsidP="00345623">
      <w:pPr>
        <w:rPr>
          <w:rFonts w:cs="Arial"/>
          <w:szCs w:val="22"/>
        </w:rPr>
      </w:pPr>
    </w:p>
    <w:p w:rsidR="007506DF" w:rsidRPr="00963524" w:rsidRDefault="007506DF" w:rsidP="00345623">
      <w:pPr>
        <w:rPr>
          <w:rFonts w:cs="Arial"/>
          <w:szCs w:val="22"/>
        </w:rPr>
      </w:pPr>
    </w:p>
    <w:p w:rsidR="00345623" w:rsidRPr="00963524" w:rsidRDefault="00345623" w:rsidP="00345623">
      <w:pPr>
        <w:rPr>
          <w:rFonts w:cs="Arial"/>
          <w:b/>
          <w:szCs w:val="22"/>
        </w:rPr>
      </w:pPr>
      <w:r w:rsidRPr="00963524">
        <w:rPr>
          <w:rFonts w:cs="Arial"/>
          <w:b/>
          <w:szCs w:val="22"/>
        </w:rPr>
        <w:t>Corresponding author</w:t>
      </w:r>
      <w:r w:rsidR="00273CBA" w:rsidRPr="00963524">
        <w:rPr>
          <w:rFonts w:cs="Arial"/>
          <w:b/>
          <w:szCs w:val="22"/>
        </w:rPr>
        <w:t xml:space="preserve">: </w:t>
      </w:r>
      <w:r w:rsidR="00896899" w:rsidRPr="00963524">
        <w:rPr>
          <w:rFonts w:cs="Arial"/>
          <w:b/>
          <w:szCs w:val="22"/>
        </w:rPr>
        <w:tab/>
      </w:r>
      <w:r w:rsidR="00896899" w:rsidRPr="00963524">
        <w:rPr>
          <w:rFonts w:cs="Arial"/>
          <w:b/>
          <w:szCs w:val="22"/>
        </w:rPr>
        <w:tab/>
      </w:r>
      <w:r w:rsidR="00896899" w:rsidRPr="00963524">
        <w:rPr>
          <w:rFonts w:cs="Arial"/>
          <w:szCs w:val="22"/>
        </w:rPr>
        <w:t>Jackie Gregory-Stevens</w:t>
      </w:r>
    </w:p>
    <w:p w:rsidR="00345623" w:rsidRPr="00963524" w:rsidRDefault="00345623" w:rsidP="00345623">
      <w:pPr>
        <w:rPr>
          <w:rFonts w:cs="Arial"/>
          <w:szCs w:val="22"/>
        </w:rPr>
      </w:pPr>
      <w:r w:rsidRPr="00963524">
        <w:rPr>
          <w:rFonts w:cs="Arial"/>
          <w:b/>
          <w:szCs w:val="22"/>
        </w:rPr>
        <w:t>Corresponding Author’s Email</w:t>
      </w:r>
      <w:r w:rsidR="00273CBA" w:rsidRPr="00963524">
        <w:rPr>
          <w:rFonts w:cs="Arial"/>
          <w:b/>
          <w:szCs w:val="22"/>
        </w:rPr>
        <w:t>:</w:t>
      </w:r>
      <w:r w:rsidR="00896899" w:rsidRPr="00963524">
        <w:rPr>
          <w:rFonts w:cs="Arial"/>
          <w:b/>
          <w:szCs w:val="22"/>
        </w:rPr>
        <w:tab/>
      </w:r>
      <w:r w:rsidR="00896899" w:rsidRPr="00963524">
        <w:rPr>
          <w:rFonts w:cs="Arial"/>
          <w:szCs w:val="22"/>
        </w:rPr>
        <w:t>Jackie.Gregorystevens@googlemail.com</w:t>
      </w:r>
    </w:p>
    <w:p w:rsidR="00012083" w:rsidRPr="00963524" w:rsidRDefault="00012083" w:rsidP="00345623">
      <w:pPr>
        <w:rPr>
          <w:rFonts w:cs="Arial"/>
          <w:szCs w:val="22"/>
        </w:rPr>
      </w:pPr>
    </w:p>
    <w:p w:rsidR="000463CA" w:rsidRPr="00963524" w:rsidRDefault="000463CA" w:rsidP="000463CA">
      <w:pPr>
        <w:rPr>
          <w:rFonts w:cs="Arial"/>
          <w:i/>
          <w:szCs w:val="22"/>
        </w:rPr>
      </w:pPr>
      <w:r w:rsidRPr="00963524">
        <w:rPr>
          <w:rFonts w:cs="Arial"/>
          <w:szCs w:val="22"/>
        </w:rPr>
        <w:fldChar w:fldCharType="begin">
          <w:ffData>
            <w:name w:val="Check1"/>
            <w:enabled/>
            <w:calcOnExit w:val="0"/>
            <w:checkBox>
              <w:sizeAuto/>
              <w:default w:val="0"/>
            </w:checkBox>
          </w:ffData>
        </w:fldChar>
      </w:r>
      <w:bookmarkStart w:id="1" w:name="Check1"/>
      <w:r w:rsidRPr="00963524">
        <w:rPr>
          <w:rFonts w:cs="Arial"/>
          <w:szCs w:val="22"/>
        </w:rPr>
        <w:instrText xml:space="preserve"> FORMCHECKBOX </w:instrText>
      </w:r>
      <w:r w:rsidR="005D04B3">
        <w:rPr>
          <w:rFonts w:cs="Arial"/>
          <w:szCs w:val="22"/>
        </w:rPr>
      </w:r>
      <w:r w:rsidR="005D04B3">
        <w:rPr>
          <w:rFonts w:cs="Arial"/>
          <w:szCs w:val="22"/>
        </w:rPr>
        <w:fldChar w:fldCharType="separate"/>
      </w:r>
      <w:r w:rsidRPr="00963524">
        <w:rPr>
          <w:rFonts w:cs="Arial"/>
          <w:szCs w:val="22"/>
        </w:rPr>
        <w:fldChar w:fldCharType="end"/>
      </w:r>
      <w:bookmarkEnd w:id="1"/>
      <w:r w:rsidRPr="00963524">
        <w:rPr>
          <w:rFonts w:cs="Arial"/>
          <w:szCs w:val="22"/>
        </w:rPr>
        <w:t xml:space="preserve"> </w:t>
      </w:r>
      <w:r w:rsidRPr="00963524">
        <w:rPr>
          <w:rFonts w:cs="Arial"/>
          <w:i/>
          <w:szCs w:val="22"/>
        </w:rPr>
        <w:t>Please check this box if you do not wish your email address to be published</w:t>
      </w:r>
    </w:p>
    <w:p w:rsidR="0073438F" w:rsidRPr="00963524" w:rsidRDefault="0073438F" w:rsidP="00345623">
      <w:pPr>
        <w:rPr>
          <w:rFonts w:cs="Arial"/>
          <w:szCs w:val="22"/>
        </w:rPr>
      </w:pPr>
    </w:p>
    <w:p w:rsidR="00345623" w:rsidRPr="00963524" w:rsidRDefault="00345623" w:rsidP="00345623">
      <w:pPr>
        <w:rPr>
          <w:rFonts w:cs="Arial"/>
          <w:szCs w:val="22"/>
        </w:rPr>
      </w:pPr>
    </w:p>
    <w:p w:rsidR="00103BCA" w:rsidRDefault="00103BCA" w:rsidP="00345623">
      <w:pPr>
        <w:rPr>
          <w:rFonts w:cs="Arial"/>
          <w:b/>
          <w:szCs w:val="22"/>
        </w:rPr>
      </w:pPr>
    </w:p>
    <w:p w:rsidR="00103BCA" w:rsidRDefault="00103BCA" w:rsidP="00345623">
      <w:pPr>
        <w:rPr>
          <w:rFonts w:cs="Arial"/>
          <w:b/>
          <w:szCs w:val="22"/>
        </w:rPr>
      </w:pPr>
    </w:p>
    <w:p w:rsidR="00345623" w:rsidRPr="00963524" w:rsidRDefault="00345623" w:rsidP="00345623">
      <w:pPr>
        <w:rPr>
          <w:rFonts w:cs="Arial"/>
          <w:b/>
          <w:szCs w:val="22"/>
        </w:rPr>
      </w:pPr>
      <w:r w:rsidRPr="00963524">
        <w:rPr>
          <w:rFonts w:cs="Arial"/>
          <w:b/>
          <w:szCs w:val="22"/>
        </w:rPr>
        <w:t>Acknowledgments</w:t>
      </w:r>
      <w:r w:rsidR="00DA6740" w:rsidRPr="00963524">
        <w:rPr>
          <w:rFonts w:cs="Arial"/>
          <w:b/>
          <w:szCs w:val="22"/>
        </w:rPr>
        <w:t xml:space="preserve"> (if applicable)</w:t>
      </w:r>
      <w:r w:rsidRPr="00963524">
        <w:rPr>
          <w:rFonts w:cs="Arial"/>
          <w:b/>
          <w:szCs w:val="22"/>
        </w:rPr>
        <w:t>:</w:t>
      </w:r>
      <w:r w:rsidR="00C02C6C" w:rsidRPr="00963524">
        <w:rPr>
          <w:rFonts w:cs="Arial"/>
          <w:b/>
          <w:szCs w:val="22"/>
        </w:rPr>
        <w:t xml:space="preserve">  </w:t>
      </w:r>
    </w:p>
    <w:p w:rsidR="00345623" w:rsidRPr="00963524" w:rsidRDefault="00345623" w:rsidP="00345623">
      <w:pPr>
        <w:rPr>
          <w:rFonts w:cs="Arial"/>
          <w:szCs w:val="22"/>
        </w:rPr>
      </w:pPr>
    </w:p>
    <w:p w:rsidR="00345623" w:rsidRPr="00963524" w:rsidRDefault="000145AA" w:rsidP="00345623">
      <w:pPr>
        <w:rPr>
          <w:rFonts w:cs="Arial"/>
          <w:szCs w:val="22"/>
        </w:rPr>
      </w:pPr>
      <w:r w:rsidRPr="00520C15">
        <w:rPr>
          <w:b/>
          <w:noProof/>
          <w:sz w:val="21"/>
          <w:szCs w:val="21"/>
        </w:rPr>
        <w:drawing>
          <wp:inline distT="0" distB="0" distL="0" distR="0" wp14:anchorId="26797113" wp14:editId="1BF3B2C8">
            <wp:extent cx="781050" cy="9906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990600"/>
                    </a:xfrm>
                    <a:prstGeom prst="rect">
                      <a:avLst/>
                    </a:prstGeom>
                    <a:noFill/>
                    <a:ln>
                      <a:noFill/>
                    </a:ln>
                  </pic:spPr>
                </pic:pic>
              </a:graphicData>
            </a:graphic>
          </wp:inline>
        </w:drawing>
      </w:r>
      <w:r w:rsidR="00520C15" w:rsidDel="00520C15">
        <w:rPr>
          <w:rFonts w:cs="Arial"/>
          <w:szCs w:val="22"/>
        </w:rPr>
        <w:t xml:space="preserve"> </w:t>
      </w:r>
      <w:r w:rsidR="000310F5">
        <w:rPr>
          <w:rFonts w:cs="Arial"/>
          <w:szCs w:val="22"/>
        </w:rPr>
        <w:t xml:space="preserve"> </w:t>
      </w:r>
      <w:r w:rsidR="00896899" w:rsidRPr="00963524">
        <w:rPr>
          <w:rFonts w:cs="Arial"/>
          <w:szCs w:val="22"/>
        </w:rPr>
        <w:t>Babcock International Group</w:t>
      </w:r>
    </w:p>
    <w:p w:rsidR="00345623" w:rsidRPr="00963524" w:rsidRDefault="00345623" w:rsidP="00345623">
      <w:pPr>
        <w:rPr>
          <w:rFonts w:cs="Arial"/>
          <w:szCs w:val="22"/>
        </w:rPr>
      </w:pPr>
    </w:p>
    <w:p w:rsidR="00345623" w:rsidRPr="00963524" w:rsidRDefault="00345623" w:rsidP="00345623">
      <w:pPr>
        <w:rPr>
          <w:rFonts w:cs="Arial"/>
          <w:b/>
          <w:szCs w:val="22"/>
        </w:rPr>
      </w:pPr>
    </w:p>
    <w:p w:rsidR="00103BCA" w:rsidRDefault="00103BCA" w:rsidP="00724813">
      <w:pPr>
        <w:rPr>
          <w:rFonts w:cs="Arial"/>
          <w:b/>
          <w:szCs w:val="22"/>
        </w:rPr>
      </w:pPr>
    </w:p>
    <w:p w:rsidR="00103BCA" w:rsidRPr="00103BCA" w:rsidRDefault="00103BCA" w:rsidP="00103BCA">
      <w:pPr>
        <w:rPr>
          <w:rFonts w:cs="Arial"/>
          <w:szCs w:val="22"/>
        </w:rPr>
      </w:pPr>
    </w:p>
    <w:p w:rsidR="00103BCA" w:rsidRPr="00103BCA" w:rsidRDefault="00103BCA" w:rsidP="00103BCA">
      <w:pPr>
        <w:rPr>
          <w:rFonts w:cs="Arial"/>
          <w:szCs w:val="22"/>
        </w:rPr>
      </w:pPr>
    </w:p>
    <w:p w:rsidR="00103BCA" w:rsidRDefault="00103BCA" w:rsidP="00724813">
      <w:pPr>
        <w:rPr>
          <w:rFonts w:cs="Arial"/>
          <w:szCs w:val="22"/>
        </w:rPr>
      </w:pPr>
    </w:p>
    <w:p w:rsidR="00103BCA" w:rsidRDefault="00103BCA" w:rsidP="00103BCA">
      <w:pPr>
        <w:tabs>
          <w:tab w:val="left" w:pos="9153"/>
        </w:tabs>
        <w:rPr>
          <w:rFonts w:cs="Arial"/>
          <w:szCs w:val="22"/>
        </w:rPr>
      </w:pPr>
      <w:r>
        <w:rPr>
          <w:rFonts w:cs="Arial"/>
          <w:szCs w:val="22"/>
        </w:rPr>
        <w:tab/>
      </w:r>
    </w:p>
    <w:p w:rsidR="00724813" w:rsidRPr="00963524" w:rsidRDefault="000310F5" w:rsidP="00724813">
      <w:pPr>
        <w:rPr>
          <w:rFonts w:cs="Arial"/>
          <w:b/>
          <w:szCs w:val="22"/>
        </w:rPr>
      </w:pPr>
      <w:r w:rsidRPr="00103BCA">
        <w:rPr>
          <w:rFonts w:cs="Arial"/>
          <w:szCs w:val="22"/>
        </w:rPr>
        <w:br w:type="page"/>
      </w:r>
      <w:r w:rsidR="00724813" w:rsidRPr="00963524">
        <w:rPr>
          <w:rFonts w:cs="Arial"/>
          <w:b/>
          <w:szCs w:val="22"/>
        </w:rPr>
        <w:lastRenderedPageBreak/>
        <w:t xml:space="preserve"> Abstract</w:t>
      </w:r>
    </w:p>
    <w:p w:rsidR="00963524" w:rsidRPr="004A3BDA" w:rsidRDefault="00896899" w:rsidP="00963524">
      <w:pPr>
        <w:spacing w:before="100" w:beforeAutospacing="1" w:after="100" w:afterAutospacing="1"/>
        <w:rPr>
          <w:rFonts w:cs="Arial"/>
          <w:b/>
          <w:szCs w:val="22"/>
        </w:rPr>
      </w:pPr>
      <w:r w:rsidRPr="004A3BDA">
        <w:rPr>
          <w:rFonts w:cs="Arial"/>
          <w:b/>
          <w:szCs w:val="22"/>
        </w:rPr>
        <w:t>Purpose</w:t>
      </w:r>
    </w:p>
    <w:p w:rsidR="00896899" w:rsidRPr="00153C3C" w:rsidRDefault="000310F5" w:rsidP="005215B7">
      <w:pPr>
        <w:spacing w:before="100" w:beforeAutospacing="1" w:after="100" w:afterAutospacing="1"/>
        <w:jc w:val="both"/>
        <w:rPr>
          <w:rFonts w:cs="Arial"/>
          <w:color w:val="000000" w:themeColor="text1"/>
          <w:szCs w:val="22"/>
        </w:rPr>
      </w:pPr>
      <w:r w:rsidRPr="00F47456">
        <w:rPr>
          <w:rFonts w:cs="Arial"/>
          <w:szCs w:val="22"/>
        </w:rPr>
        <w:t xml:space="preserve">Adjudication </w:t>
      </w:r>
      <w:r>
        <w:rPr>
          <w:rFonts w:cs="Arial"/>
          <w:szCs w:val="22"/>
        </w:rPr>
        <w:t xml:space="preserve">was introduced to the </w:t>
      </w:r>
      <w:r w:rsidR="00346812" w:rsidRPr="0007051B">
        <w:rPr>
          <w:rFonts w:cs="Arial"/>
          <w:color w:val="000000" w:themeColor="text1"/>
          <w:szCs w:val="22"/>
        </w:rPr>
        <w:t xml:space="preserve">English </w:t>
      </w:r>
      <w:r w:rsidRPr="0007051B">
        <w:rPr>
          <w:rFonts w:cs="Arial"/>
          <w:color w:val="000000" w:themeColor="text1"/>
          <w:szCs w:val="22"/>
        </w:rPr>
        <w:t>Construction</w:t>
      </w:r>
      <w:r w:rsidR="00237CAD" w:rsidRPr="0007051B">
        <w:rPr>
          <w:rFonts w:cs="Arial"/>
          <w:color w:val="000000" w:themeColor="text1"/>
          <w:szCs w:val="22"/>
        </w:rPr>
        <w:t xml:space="preserve"> </w:t>
      </w:r>
      <w:r w:rsidR="00237CAD">
        <w:rPr>
          <w:rFonts w:cs="Arial"/>
          <w:szCs w:val="22"/>
        </w:rPr>
        <w:t>Industry</w:t>
      </w:r>
      <w:r w:rsidRPr="00F47456">
        <w:rPr>
          <w:rFonts w:cs="Arial"/>
          <w:szCs w:val="22"/>
        </w:rPr>
        <w:t xml:space="preserve"> </w:t>
      </w:r>
      <w:r>
        <w:rPr>
          <w:rFonts w:cs="Arial"/>
          <w:szCs w:val="22"/>
        </w:rPr>
        <w:t xml:space="preserve">in </w:t>
      </w:r>
      <w:r w:rsidRPr="00F47456">
        <w:rPr>
          <w:rFonts w:cs="Arial"/>
          <w:szCs w:val="22"/>
        </w:rPr>
        <w:t>1996</w:t>
      </w:r>
      <w:r>
        <w:rPr>
          <w:rFonts w:cs="Arial"/>
          <w:szCs w:val="22"/>
        </w:rPr>
        <w:t xml:space="preserve"> in response to its</w:t>
      </w:r>
      <w:r w:rsidR="00416110" w:rsidRPr="00F47456">
        <w:rPr>
          <w:rFonts w:cs="Arial"/>
          <w:szCs w:val="22"/>
        </w:rPr>
        <w:t xml:space="preserve"> litigious </w:t>
      </w:r>
      <w:r>
        <w:rPr>
          <w:rFonts w:cs="Arial"/>
          <w:szCs w:val="22"/>
        </w:rPr>
        <w:t>nature. A</w:t>
      </w:r>
      <w:r w:rsidR="00691646">
        <w:rPr>
          <w:rFonts w:cs="Arial"/>
          <w:szCs w:val="22"/>
        </w:rPr>
        <w:t>t the time a</w:t>
      </w:r>
      <w:r>
        <w:rPr>
          <w:rFonts w:cs="Arial"/>
          <w:szCs w:val="22"/>
        </w:rPr>
        <w:t>dju</w:t>
      </w:r>
      <w:r w:rsidR="00691646">
        <w:rPr>
          <w:rFonts w:cs="Arial"/>
          <w:szCs w:val="22"/>
        </w:rPr>
        <w:t>dication</w:t>
      </w:r>
      <w:r w:rsidR="00617654">
        <w:rPr>
          <w:rFonts w:cs="Arial"/>
          <w:szCs w:val="22"/>
        </w:rPr>
        <w:t xml:space="preserve"> </w:t>
      </w:r>
      <w:r w:rsidR="00E71DCC">
        <w:rPr>
          <w:rFonts w:cs="Arial"/>
          <w:szCs w:val="22"/>
        </w:rPr>
        <w:t>aimed to provide</w:t>
      </w:r>
      <w:r w:rsidR="00691646">
        <w:rPr>
          <w:rFonts w:cs="Arial"/>
          <w:szCs w:val="22"/>
        </w:rPr>
        <w:t xml:space="preserve"> a </w:t>
      </w:r>
      <w:r w:rsidR="00416110" w:rsidRPr="00F47456">
        <w:rPr>
          <w:rFonts w:cs="Arial"/>
          <w:szCs w:val="22"/>
        </w:rPr>
        <w:t xml:space="preserve">time-efficient, cost-effective solution </w:t>
      </w:r>
      <w:r w:rsidR="0089129E">
        <w:rPr>
          <w:rFonts w:cs="Arial"/>
          <w:szCs w:val="22"/>
        </w:rPr>
        <w:t>to construction disputes</w:t>
      </w:r>
      <w:r w:rsidR="005215B7">
        <w:rPr>
          <w:rFonts w:cs="Arial"/>
          <w:szCs w:val="22"/>
        </w:rPr>
        <w:t xml:space="preserve">. </w:t>
      </w:r>
      <w:r w:rsidR="00F9130E">
        <w:rPr>
          <w:rFonts w:cs="Arial"/>
          <w:szCs w:val="22"/>
        </w:rPr>
        <w:t xml:space="preserve">The </w:t>
      </w:r>
      <w:r w:rsidR="00691646">
        <w:rPr>
          <w:rFonts w:cs="Arial"/>
          <w:szCs w:val="22"/>
        </w:rPr>
        <w:t xml:space="preserve">industry is </w:t>
      </w:r>
      <w:r w:rsidR="005215B7">
        <w:rPr>
          <w:rFonts w:cs="Arial"/>
          <w:szCs w:val="22"/>
        </w:rPr>
        <w:t>concern</w:t>
      </w:r>
      <w:r w:rsidR="00691646">
        <w:rPr>
          <w:rFonts w:cs="Arial"/>
          <w:szCs w:val="22"/>
        </w:rPr>
        <w:t>ed</w:t>
      </w:r>
      <w:r w:rsidR="005215B7">
        <w:rPr>
          <w:rFonts w:cs="Arial"/>
          <w:szCs w:val="22"/>
        </w:rPr>
        <w:t xml:space="preserve"> that adjudication is not always providing </w:t>
      </w:r>
      <w:r w:rsidR="0089129E">
        <w:rPr>
          <w:rFonts w:cs="Arial"/>
          <w:szCs w:val="22"/>
        </w:rPr>
        <w:t xml:space="preserve">the </w:t>
      </w:r>
      <w:r w:rsidR="00F9130E">
        <w:rPr>
          <w:rFonts w:cs="Arial"/>
          <w:szCs w:val="22"/>
        </w:rPr>
        <w:t>expected benefits</w:t>
      </w:r>
      <w:r w:rsidR="00691646">
        <w:rPr>
          <w:rFonts w:cs="Arial"/>
          <w:szCs w:val="22"/>
        </w:rPr>
        <w:t xml:space="preserve"> due to increasing cost</w:t>
      </w:r>
      <w:r w:rsidR="00F9130E">
        <w:rPr>
          <w:rFonts w:cs="Arial"/>
          <w:szCs w:val="22"/>
        </w:rPr>
        <w:t>,</w:t>
      </w:r>
      <w:r w:rsidR="00691646">
        <w:rPr>
          <w:rFonts w:cs="Arial"/>
          <w:szCs w:val="22"/>
        </w:rPr>
        <w:t xml:space="preserve"> the le</w:t>
      </w:r>
      <w:r w:rsidR="00E8362B">
        <w:rPr>
          <w:rFonts w:cs="Arial"/>
          <w:szCs w:val="22"/>
        </w:rPr>
        <w:t>n</w:t>
      </w:r>
      <w:r w:rsidR="00691646">
        <w:rPr>
          <w:rFonts w:cs="Arial"/>
          <w:szCs w:val="22"/>
        </w:rPr>
        <w:t>gth of time it take</w:t>
      </w:r>
      <w:r w:rsidR="00E01439">
        <w:rPr>
          <w:rFonts w:cs="Arial"/>
          <w:szCs w:val="22"/>
        </w:rPr>
        <w:t>s</w:t>
      </w:r>
      <w:r w:rsidR="00691646">
        <w:rPr>
          <w:rFonts w:cs="Arial"/>
          <w:szCs w:val="22"/>
        </w:rPr>
        <w:t xml:space="preserve"> to resolve disputes</w:t>
      </w:r>
      <w:r w:rsidR="00F9130E">
        <w:rPr>
          <w:rFonts w:cs="Arial"/>
          <w:szCs w:val="22"/>
        </w:rPr>
        <w:t xml:space="preserve"> </w:t>
      </w:r>
      <w:r w:rsidR="00691646">
        <w:rPr>
          <w:rFonts w:cs="Arial"/>
          <w:szCs w:val="22"/>
        </w:rPr>
        <w:t xml:space="preserve">and </w:t>
      </w:r>
      <w:r w:rsidR="00F9130E">
        <w:rPr>
          <w:rFonts w:cs="Arial"/>
          <w:szCs w:val="22"/>
        </w:rPr>
        <w:t xml:space="preserve">the </w:t>
      </w:r>
      <w:r w:rsidR="00F9130E" w:rsidRPr="00153C3C">
        <w:rPr>
          <w:rFonts w:cs="Arial"/>
          <w:color w:val="000000" w:themeColor="text1"/>
          <w:szCs w:val="22"/>
        </w:rPr>
        <w:t>difficulty</w:t>
      </w:r>
      <w:r w:rsidR="00346812" w:rsidRPr="00153C3C">
        <w:rPr>
          <w:rFonts w:cs="Arial"/>
          <w:color w:val="000000" w:themeColor="text1"/>
          <w:szCs w:val="22"/>
        </w:rPr>
        <w:t xml:space="preserve"> in</w:t>
      </w:r>
      <w:r w:rsidR="00691646" w:rsidRPr="00153C3C">
        <w:rPr>
          <w:rFonts w:cs="Arial"/>
          <w:color w:val="000000" w:themeColor="text1"/>
          <w:szCs w:val="22"/>
        </w:rPr>
        <w:t xml:space="preserve"> maintain</w:t>
      </w:r>
      <w:r w:rsidR="00346812" w:rsidRPr="00153C3C">
        <w:rPr>
          <w:rFonts w:cs="Arial"/>
          <w:color w:val="000000" w:themeColor="text1"/>
          <w:szCs w:val="22"/>
        </w:rPr>
        <w:t>ing</w:t>
      </w:r>
      <w:r w:rsidR="00691646" w:rsidRPr="00153C3C">
        <w:rPr>
          <w:rFonts w:cs="Arial"/>
          <w:color w:val="000000" w:themeColor="text1"/>
          <w:szCs w:val="22"/>
        </w:rPr>
        <w:t xml:space="preserve"> </w:t>
      </w:r>
      <w:r w:rsidR="00E71DCC" w:rsidRPr="00153C3C">
        <w:rPr>
          <w:rFonts w:cs="Arial"/>
          <w:color w:val="000000" w:themeColor="text1"/>
          <w:szCs w:val="22"/>
        </w:rPr>
        <w:t>good</w:t>
      </w:r>
      <w:r w:rsidR="00691646" w:rsidRPr="00153C3C">
        <w:rPr>
          <w:rFonts w:cs="Arial"/>
          <w:color w:val="000000" w:themeColor="text1"/>
          <w:szCs w:val="22"/>
        </w:rPr>
        <w:t xml:space="preserve"> relation</w:t>
      </w:r>
      <w:r w:rsidR="00F9130E" w:rsidRPr="00153C3C">
        <w:rPr>
          <w:rFonts w:cs="Arial"/>
          <w:color w:val="000000" w:themeColor="text1"/>
          <w:szCs w:val="22"/>
        </w:rPr>
        <w:t>ship</w:t>
      </w:r>
      <w:r w:rsidR="00346812" w:rsidRPr="00153C3C">
        <w:rPr>
          <w:rFonts w:cs="Arial"/>
          <w:color w:val="000000" w:themeColor="text1"/>
          <w:szCs w:val="22"/>
        </w:rPr>
        <w:t>s</w:t>
      </w:r>
      <w:r w:rsidR="00691646" w:rsidRPr="00153C3C">
        <w:rPr>
          <w:rFonts w:cs="Arial"/>
          <w:color w:val="000000" w:themeColor="text1"/>
          <w:szCs w:val="22"/>
        </w:rPr>
        <w:t xml:space="preserve"> </w:t>
      </w:r>
      <w:r w:rsidR="00691646">
        <w:rPr>
          <w:rFonts w:cs="Arial"/>
          <w:szCs w:val="22"/>
        </w:rPr>
        <w:t>between the parties in dispute</w:t>
      </w:r>
      <w:r w:rsidR="0089129E">
        <w:rPr>
          <w:rFonts w:cs="Arial"/>
          <w:szCs w:val="22"/>
        </w:rPr>
        <w:t xml:space="preserve">. </w:t>
      </w:r>
      <w:r w:rsidR="00E8362B">
        <w:rPr>
          <w:rFonts w:cs="Arial"/>
          <w:szCs w:val="22"/>
        </w:rPr>
        <w:t xml:space="preserve">Mediation </w:t>
      </w:r>
      <w:r w:rsidR="00E71DCC">
        <w:rPr>
          <w:rFonts w:cs="Arial"/>
          <w:szCs w:val="22"/>
        </w:rPr>
        <w:t>is</w:t>
      </w:r>
      <w:r w:rsidR="00E8362B">
        <w:rPr>
          <w:rFonts w:cs="Arial"/>
          <w:szCs w:val="22"/>
        </w:rPr>
        <w:t xml:space="preserve"> </w:t>
      </w:r>
      <w:r w:rsidR="00E8362B" w:rsidRPr="00153C3C">
        <w:rPr>
          <w:rFonts w:cs="Arial"/>
          <w:color w:val="000000" w:themeColor="text1"/>
          <w:szCs w:val="22"/>
        </w:rPr>
        <w:t xml:space="preserve">recommended </w:t>
      </w:r>
      <w:r w:rsidR="00346812" w:rsidRPr="00153C3C">
        <w:rPr>
          <w:rFonts w:cs="Arial"/>
          <w:color w:val="000000" w:themeColor="text1"/>
          <w:szCs w:val="22"/>
        </w:rPr>
        <w:t xml:space="preserve">here </w:t>
      </w:r>
      <w:r w:rsidR="00E8362B" w:rsidRPr="00153C3C">
        <w:rPr>
          <w:rFonts w:cs="Arial"/>
          <w:color w:val="000000" w:themeColor="text1"/>
          <w:szCs w:val="22"/>
        </w:rPr>
        <w:t>as a most desirable approach to resolving</w:t>
      </w:r>
      <w:r w:rsidR="005215B7" w:rsidRPr="00153C3C">
        <w:rPr>
          <w:rFonts w:cs="Arial"/>
          <w:color w:val="000000" w:themeColor="text1"/>
          <w:szCs w:val="22"/>
        </w:rPr>
        <w:t xml:space="preserve"> dispute</w:t>
      </w:r>
      <w:r w:rsidR="00E8362B" w:rsidRPr="00153C3C">
        <w:rPr>
          <w:rFonts w:cs="Arial"/>
          <w:color w:val="000000" w:themeColor="text1"/>
          <w:szCs w:val="22"/>
        </w:rPr>
        <w:t xml:space="preserve">s without affecting the relationship between the parties. However, the benefits of </w:t>
      </w:r>
      <w:r w:rsidR="00E71DCC" w:rsidRPr="00153C3C">
        <w:rPr>
          <w:rFonts w:cs="Arial"/>
          <w:color w:val="000000" w:themeColor="text1"/>
          <w:szCs w:val="22"/>
        </w:rPr>
        <w:t xml:space="preserve">mediation have not been fully appreciated </w:t>
      </w:r>
      <w:r w:rsidR="00346812" w:rsidRPr="00153C3C">
        <w:rPr>
          <w:rFonts w:cs="Arial"/>
          <w:color w:val="000000" w:themeColor="text1"/>
          <w:szCs w:val="22"/>
        </w:rPr>
        <w:t xml:space="preserve">by all </w:t>
      </w:r>
      <w:r w:rsidR="00E71DCC" w:rsidRPr="00153C3C">
        <w:rPr>
          <w:rFonts w:cs="Arial"/>
          <w:color w:val="000000" w:themeColor="text1"/>
          <w:szCs w:val="22"/>
        </w:rPr>
        <w:t>due to slow u</w:t>
      </w:r>
      <w:r w:rsidR="00E8362B" w:rsidRPr="00153C3C">
        <w:rPr>
          <w:rFonts w:cs="Arial"/>
          <w:color w:val="000000" w:themeColor="text1"/>
          <w:szCs w:val="22"/>
        </w:rPr>
        <w:t>ptake</w:t>
      </w:r>
      <w:r w:rsidR="005215B7" w:rsidRPr="00153C3C">
        <w:rPr>
          <w:rFonts w:cs="Arial"/>
          <w:color w:val="000000" w:themeColor="text1"/>
          <w:szCs w:val="22"/>
        </w:rPr>
        <w:t xml:space="preserve">. </w:t>
      </w:r>
    </w:p>
    <w:p w:rsidR="00896899" w:rsidRPr="004A3BDA" w:rsidRDefault="00F9130E" w:rsidP="005215B7">
      <w:pPr>
        <w:spacing w:before="100" w:beforeAutospacing="1" w:after="100" w:afterAutospacing="1"/>
        <w:jc w:val="both"/>
        <w:rPr>
          <w:rFonts w:cs="Arial"/>
          <w:b/>
          <w:szCs w:val="22"/>
        </w:rPr>
      </w:pPr>
      <w:r>
        <w:rPr>
          <w:rFonts w:cs="Arial"/>
          <w:b/>
          <w:szCs w:val="22"/>
        </w:rPr>
        <w:t>Methods</w:t>
      </w:r>
    </w:p>
    <w:p w:rsidR="00EE71D6" w:rsidRDefault="00F9130E" w:rsidP="005215B7">
      <w:pPr>
        <w:spacing w:before="100" w:beforeAutospacing="1" w:after="100" w:afterAutospacing="1"/>
        <w:jc w:val="both"/>
        <w:rPr>
          <w:rFonts w:cs="Arial"/>
          <w:szCs w:val="22"/>
        </w:rPr>
      </w:pPr>
      <w:r>
        <w:rPr>
          <w:rFonts w:cs="Arial"/>
          <w:szCs w:val="22"/>
        </w:rPr>
        <w:t xml:space="preserve">This </w:t>
      </w:r>
      <w:r w:rsidRPr="0099646D">
        <w:rPr>
          <w:rFonts w:cs="Arial"/>
          <w:szCs w:val="22"/>
        </w:rPr>
        <w:t xml:space="preserve">paper </w:t>
      </w:r>
      <w:r>
        <w:rPr>
          <w:rFonts w:cs="Arial"/>
          <w:szCs w:val="22"/>
        </w:rPr>
        <w:t xml:space="preserve">presents results from a study that investigated issues preventing greater use of mediation. </w:t>
      </w:r>
      <w:r w:rsidR="004A3BDA">
        <w:rPr>
          <w:rFonts w:cs="Arial"/>
          <w:szCs w:val="22"/>
        </w:rPr>
        <w:t xml:space="preserve">The </w:t>
      </w:r>
      <w:r w:rsidR="00A4379A">
        <w:rPr>
          <w:rFonts w:cs="Arial"/>
          <w:szCs w:val="22"/>
        </w:rPr>
        <w:t xml:space="preserve">study involved </w:t>
      </w:r>
      <w:r w:rsidR="00BF0CDC">
        <w:rPr>
          <w:rFonts w:cs="Arial"/>
          <w:szCs w:val="22"/>
        </w:rPr>
        <w:t>20</w:t>
      </w:r>
      <w:r w:rsidR="004A3BDA">
        <w:rPr>
          <w:rFonts w:cs="Arial"/>
          <w:szCs w:val="22"/>
        </w:rPr>
        <w:t xml:space="preserve"> case studies</w:t>
      </w:r>
      <w:r w:rsidR="001E6072">
        <w:rPr>
          <w:rFonts w:cs="Arial"/>
          <w:szCs w:val="22"/>
        </w:rPr>
        <w:t xml:space="preserve"> of previous dispute resolutions</w:t>
      </w:r>
      <w:r w:rsidR="00A4379A">
        <w:rPr>
          <w:rFonts w:cs="Arial"/>
          <w:szCs w:val="22"/>
        </w:rPr>
        <w:t>,</w:t>
      </w:r>
      <w:r w:rsidR="004A3BDA">
        <w:rPr>
          <w:rFonts w:cs="Arial"/>
          <w:szCs w:val="22"/>
        </w:rPr>
        <w:t xml:space="preserve"> </w:t>
      </w:r>
      <w:r w:rsidR="00237CAD">
        <w:rPr>
          <w:rFonts w:cs="Arial"/>
          <w:szCs w:val="22"/>
        </w:rPr>
        <w:t>1</w:t>
      </w:r>
      <w:r w:rsidR="00A4379A">
        <w:rPr>
          <w:rFonts w:cs="Arial"/>
          <w:szCs w:val="22"/>
        </w:rPr>
        <w:t xml:space="preserve">0 </w:t>
      </w:r>
      <w:r w:rsidR="001E6072">
        <w:rPr>
          <w:rFonts w:cs="Arial"/>
          <w:szCs w:val="22"/>
        </w:rPr>
        <w:t xml:space="preserve">in-depth </w:t>
      </w:r>
      <w:r w:rsidR="004A3BDA">
        <w:rPr>
          <w:rFonts w:cs="Arial"/>
          <w:szCs w:val="22"/>
        </w:rPr>
        <w:t>intervi</w:t>
      </w:r>
      <w:r w:rsidR="005215B7">
        <w:rPr>
          <w:rFonts w:cs="Arial"/>
          <w:szCs w:val="22"/>
        </w:rPr>
        <w:t>ews</w:t>
      </w:r>
      <w:r w:rsidR="00A4379A">
        <w:rPr>
          <w:rFonts w:cs="Arial"/>
          <w:szCs w:val="22"/>
        </w:rPr>
        <w:t xml:space="preserve"> and </w:t>
      </w:r>
      <w:r w:rsidR="00237CAD">
        <w:rPr>
          <w:rFonts w:cs="Arial"/>
          <w:szCs w:val="22"/>
        </w:rPr>
        <w:t>357</w:t>
      </w:r>
      <w:r w:rsidR="00A4379A">
        <w:rPr>
          <w:rFonts w:cs="Arial"/>
          <w:szCs w:val="22"/>
        </w:rPr>
        <w:t xml:space="preserve"> responses to</w:t>
      </w:r>
      <w:r w:rsidR="005215B7">
        <w:rPr>
          <w:rFonts w:cs="Arial"/>
          <w:szCs w:val="22"/>
        </w:rPr>
        <w:t xml:space="preserve"> </w:t>
      </w:r>
      <w:r w:rsidR="00A4379A">
        <w:rPr>
          <w:rFonts w:cs="Arial"/>
          <w:szCs w:val="22"/>
        </w:rPr>
        <w:t xml:space="preserve">a </w:t>
      </w:r>
      <w:r w:rsidR="005215B7">
        <w:rPr>
          <w:rFonts w:cs="Arial"/>
          <w:szCs w:val="22"/>
        </w:rPr>
        <w:t>structure</w:t>
      </w:r>
      <w:r w:rsidR="001E6072">
        <w:rPr>
          <w:rFonts w:cs="Arial"/>
          <w:szCs w:val="22"/>
        </w:rPr>
        <w:t>d</w:t>
      </w:r>
      <w:r w:rsidR="005215B7">
        <w:rPr>
          <w:rFonts w:cs="Arial"/>
          <w:szCs w:val="22"/>
        </w:rPr>
        <w:t xml:space="preserve"> </w:t>
      </w:r>
      <w:r w:rsidR="004A3BDA">
        <w:rPr>
          <w:rFonts w:cs="Arial"/>
          <w:szCs w:val="22"/>
        </w:rPr>
        <w:t>questionnaire</w:t>
      </w:r>
      <w:r w:rsidR="00A4379A">
        <w:rPr>
          <w:rFonts w:cs="Arial"/>
          <w:szCs w:val="22"/>
        </w:rPr>
        <w:t xml:space="preserve"> survey</w:t>
      </w:r>
      <w:r w:rsidR="001E6072">
        <w:rPr>
          <w:rFonts w:cs="Arial"/>
          <w:szCs w:val="22"/>
        </w:rPr>
        <w:t xml:space="preserve"> involving </w:t>
      </w:r>
      <w:r w:rsidR="005215B7">
        <w:rPr>
          <w:rFonts w:cs="Arial"/>
          <w:szCs w:val="22"/>
        </w:rPr>
        <w:t xml:space="preserve">the English construction industry. </w:t>
      </w:r>
    </w:p>
    <w:p w:rsidR="00896899" w:rsidRPr="0089129E" w:rsidRDefault="00896899" w:rsidP="005215B7">
      <w:pPr>
        <w:spacing w:before="100" w:beforeAutospacing="1" w:after="100" w:afterAutospacing="1"/>
        <w:jc w:val="both"/>
        <w:rPr>
          <w:rFonts w:cs="Arial"/>
          <w:b/>
          <w:szCs w:val="22"/>
        </w:rPr>
      </w:pPr>
      <w:r w:rsidRPr="0089129E">
        <w:rPr>
          <w:rFonts w:cs="Arial"/>
          <w:b/>
          <w:szCs w:val="22"/>
        </w:rPr>
        <w:t xml:space="preserve">Findings </w:t>
      </w:r>
    </w:p>
    <w:p w:rsidR="00617654" w:rsidRPr="00561728" w:rsidRDefault="00617654" w:rsidP="00617654">
      <w:pPr>
        <w:spacing w:before="100" w:beforeAutospacing="1" w:after="100" w:afterAutospacing="1"/>
        <w:jc w:val="both"/>
        <w:rPr>
          <w:rFonts w:cs="Arial"/>
          <w:color w:val="000000" w:themeColor="text1"/>
          <w:szCs w:val="22"/>
        </w:rPr>
      </w:pPr>
      <w:r w:rsidRPr="0089129E">
        <w:rPr>
          <w:rFonts w:cs="Arial"/>
          <w:szCs w:val="22"/>
        </w:rPr>
        <w:t>Th</w:t>
      </w:r>
      <w:r w:rsidR="00E05843">
        <w:rPr>
          <w:rFonts w:cs="Arial"/>
          <w:szCs w:val="22"/>
        </w:rPr>
        <w:t>e</w:t>
      </w:r>
      <w:r w:rsidRPr="0089129E">
        <w:rPr>
          <w:rFonts w:cs="Arial"/>
          <w:szCs w:val="22"/>
        </w:rPr>
        <w:t xml:space="preserve"> </w:t>
      </w:r>
      <w:r w:rsidRPr="00153C3C">
        <w:rPr>
          <w:rFonts w:cs="Arial"/>
          <w:color w:val="000000" w:themeColor="text1"/>
          <w:szCs w:val="22"/>
        </w:rPr>
        <w:t xml:space="preserve">research </w:t>
      </w:r>
      <w:r w:rsidR="00F9130E" w:rsidRPr="00153C3C">
        <w:rPr>
          <w:rFonts w:cs="Arial"/>
          <w:color w:val="000000" w:themeColor="text1"/>
          <w:szCs w:val="22"/>
        </w:rPr>
        <w:t>found</w:t>
      </w:r>
      <w:r w:rsidR="00E05843" w:rsidRPr="00153C3C">
        <w:rPr>
          <w:rFonts w:cs="Arial"/>
          <w:color w:val="000000" w:themeColor="text1"/>
          <w:szCs w:val="22"/>
        </w:rPr>
        <w:t xml:space="preserve"> a limited </w:t>
      </w:r>
      <w:r w:rsidR="00F200D4" w:rsidRPr="00153C3C">
        <w:rPr>
          <w:rFonts w:cs="Arial"/>
          <w:color w:val="000000" w:themeColor="text1"/>
          <w:szCs w:val="22"/>
        </w:rPr>
        <w:t xml:space="preserve">detailed </w:t>
      </w:r>
      <w:r w:rsidRPr="00153C3C">
        <w:rPr>
          <w:rFonts w:cs="Arial"/>
          <w:color w:val="000000" w:themeColor="text1"/>
          <w:szCs w:val="22"/>
        </w:rPr>
        <w:t xml:space="preserve">awareness of mediation within the </w:t>
      </w:r>
      <w:r w:rsidR="00E05843" w:rsidRPr="00153C3C">
        <w:rPr>
          <w:rFonts w:cs="Arial"/>
          <w:color w:val="000000" w:themeColor="text1"/>
          <w:szCs w:val="22"/>
        </w:rPr>
        <w:t xml:space="preserve">English </w:t>
      </w:r>
      <w:r w:rsidRPr="00153C3C">
        <w:rPr>
          <w:rFonts w:cs="Arial"/>
          <w:color w:val="000000" w:themeColor="text1"/>
          <w:szCs w:val="22"/>
        </w:rPr>
        <w:t xml:space="preserve">construction industry </w:t>
      </w:r>
      <w:r w:rsidR="00E05843" w:rsidRPr="00153C3C">
        <w:rPr>
          <w:rFonts w:cs="Arial"/>
          <w:color w:val="000000" w:themeColor="text1"/>
          <w:szCs w:val="22"/>
        </w:rPr>
        <w:t xml:space="preserve">due to </w:t>
      </w:r>
      <w:r w:rsidR="00915355" w:rsidRPr="00153C3C">
        <w:rPr>
          <w:rFonts w:cs="Arial"/>
          <w:color w:val="000000" w:themeColor="text1"/>
          <w:szCs w:val="22"/>
        </w:rPr>
        <w:t xml:space="preserve">a </w:t>
      </w:r>
      <w:r w:rsidR="00E05843" w:rsidRPr="00153C3C">
        <w:rPr>
          <w:rFonts w:cs="Arial"/>
          <w:color w:val="000000" w:themeColor="text1"/>
          <w:szCs w:val="22"/>
        </w:rPr>
        <w:t>lack of</w:t>
      </w:r>
      <w:r w:rsidRPr="00153C3C">
        <w:rPr>
          <w:rFonts w:cs="Arial"/>
          <w:color w:val="000000" w:themeColor="text1"/>
          <w:szCs w:val="22"/>
        </w:rPr>
        <w:t xml:space="preserve"> detailed knowledge </w:t>
      </w:r>
      <w:r w:rsidR="00E05843" w:rsidRPr="00153C3C">
        <w:rPr>
          <w:rFonts w:cs="Arial"/>
          <w:color w:val="000000" w:themeColor="text1"/>
          <w:szCs w:val="22"/>
        </w:rPr>
        <w:t>among</w:t>
      </w:r>
      <w:r w:rsidRPr="00153C3C">
        <w:rPr>
          <w:rFonts w:cs="Arial"/>
          <w:color w:val="000000" w:themeColor="text1"/>
          <w:szCs w:val="22"/>
        </w:rPr>
        <w:t xml:space="preserve"> industr</w:t>
      </w:r>
      <w:r w:rsidR="00E05843" w:rsidRPr="00153C3C">
        <w:rPr>
          <w:rFonts w:cs="Arial"/>
          <w:color w:val="000000" w:themeColor="text1"/>
          <w:szCs w:val="22"/>
        </w:rPr>
        <w:t>ial</w:t>
      </w:r>
      <w:r w:rsidRPr="00153C3C">
        <w:rPr>
          <w:rFonts w:cs="Arial"/>
          <w:color w:val="000000" w:themeColor="text1"/>
          <w:szCs w:val="22"/>
        </w:rPr>
        <w:t xml:space="preserve"> stakeholders</w:t>
      </w:r>
      <w:r w:rsidR="00E05843" w:rsidRPr="00153C3C">
        <w:rPr>
          <w:rFonts w:cs="Arial"/>
          <w:color w:val="000000" w:themeColor="text1"/>
          <w:szCs w:val="22"/>
        </w:rPr>
        <w:t xml:space="preserve"> and </w:t>
      </w:r>
      <w:r w:rsidR="00915355" w:rsidRPr="00153C3C">
        <w:rPr>
          <w:rFonts w:cs="Arial"/>
          <w:color w:val="000000" w:themeColor="text1"/>
          <w:szCs w:val="22"/>
        </w:rPr>
        <w:t xml:space="preserve">a </w:t>
      </w:r>
      <w:r w:rsidR="00E05843" w:rsidRPr="00153C3C">
        <w:rPr>
          <w:rFonts w:cs="Arial"/>
          <w:color w:val="000000" w:themeColor="text1"/>
          <w:szCs w:val="22"/>
        </w:rPr>
        <w:t xml:space="preserve">lack of emphasis </w:t>
      </w:r>
      <w:r w:rsidR="00F9130E" w:rsidRPr="00153C3C">
        <w:rPr>
          <w:rFonts w:cs="Arial"/>
          <w:color w:val="000000" w:themeColor="text1"/>
          <w:szCs w:val="22"/>
        </w:rPr>
        <w:t>from</w:t>
      </w:r>
      <w:r w:rsidR="00E05843" w:rsidRPr="00153C3C">
        <w:rPr>
          <w:rFonts w:cs="Arial"/>
          <w:color w:val="000000" w:themeColor="text1"/>
          <w:szCs w:val="22"/>
        </w:rPr>
        <w:t xml:space="preserve"> construction contracts</w:t>
      </w:r>
      <w:r w:rsidRPr="00153C3C">
        <w:rPr>
          <w:rFonts w:cs="Arial"/>
          <w:color w:val="000000" w:themeColor="text1"/>
          <w:szCs w:val="22"/>
        </w:rPr>
        <w:t xml:space="preserve">. </w:t>
      </w:r>
      <w:r w:rsidR="00E05843" w:rsidRPr="00153C3C">
        <w:rPr>
          <w:rFonts w:cs="Arial"/>
          <w:color w:val="000000" w:themeColor="text1"/>
          <w:szCs w:val="22"/>
        </w:rPr>
        <w:t>The</w:t>
      </w:r>
      <w:r w:rsidR="00915355" w:rsidRPr="00153C3C">
        <w:rPr>
          <w:rFonts w:cs="Arial"/>
          <w:color w:val="000000" w:themeColor="text1"/>
          <w:szCs w:val="22"/>
        </w:rPr>
        <w:t xml:space="preserve"> </w:t>
      </w:r>
      <w:r w:rsidR="007C01A8" w:rsidRPr="00153C3C">
        <w:rPr>
          <w:rFonts w:cs="Arial"/>
          <w:color w:val="000000" w:themeColor="text1"/>
          <w:szCs w:val="22"/>
        </w:rPr>
        <w:t>study</w:t>
      </w:r>
      <w:r w:rsidR="00915355" w:rsidRPr="00153C3C">
        <w:rPr>
          <w:rFonts w:cs="Arial"/>
          <w:color w:val="000000" w:themeColor="text1"/>
          <w:szCs w:val="22"/>
        </w:rPr>
        <w:t xml:space="preserve"> revealed that there </w:t>
      </w:r>
      <w:r w:rsidR="00F9130E" w:rsidRPr="00153C3C">
        <w:rPr>
          <w:rFonts w:cs="Arial"/>
          <w:color w:val="000000" w:themeColor="text1"/>
          <w:szCs w:val="22"/>
        </w:rPr>
        <w:t xml:space="preserve">is </w:t>
      </w:r>
      <w:r w:rsidR="00E05843" w:rsidRPr="00153C3C">
        <w:rPr>
          <w:rFonts w:cs="Arial"/>
          <w:color w:val="000000" w:themeColor="text1"/>
          <w:szCs w:val="22"/>
        </w:rPr>
        <w:t>strong support for a</w:t>
      </w:r>
      <w:r w:rsidRPr="00153C3C">
        <w:rPr>
          <w:rFonts w:cs="Arial"/>
          <w:color w:val="000000" w:themeColor="text1"/>
          <w:szCs w:val="22"/>
        </w:rPr>
        <w:t xml:space="preserve">djudication; however </w:t>
      </w:r>
      <w:r w:rsidR="00915355" w:rsidRPr="00153C3C">
        <w:rPr>
          <w:rFonts w:cs="Arial"/>
          <w:color w:val="000000" w:themeColor="text1"/>
          <w:szCs w:val="22"/>
        </w:rPr>
        <w:t xml:space="preserve">the </w:t>
      </w:r>
      <w:r w:rsidRPr="00153C3C">
        <w:rPr>
          <w:rFonts w:cs="Arial"/>
          <w:color w:val="000000" w:themeColor="text1"/>
          <w:szCs w:val="22"/>
        </w:rPr>
        <w:t xml:space="preserve">majority of those with experience of adjudication would prefer </w:t>
      </w:r>
      <w:r>
        <w:rPr>
          <w:rFonts w:cs="Arial"/>
          <w:szCs w:val="22"/>
        </w:rPr>
        <w:t xml:space="preserve">to use </w:t>
      </w:r>
      <w:r w:rsidRPr="00561728">
        <w:rPr>
          <w:rFonts w:cs="Arial"/>
          <w:color w:val="000000" w:themeColor="text1"/>
          <w:szCs w:val="22"/>
        </w:rPr>
        <w:t xml:space="preserve">mediation as the first step in resolving disputes. </w:t>
      </w:r>
    </w:p>
    <w:p w:rsidR="00896899" w:rsidRPr="00561728" w:rsidRDefault="00896899" w:rsidP="00690AB6">
      <w:pPr>
        <w:spacing w:before="100" w:beforeAutospacing="1" w:after="100" w:afterAutospacing="1"/>
        <w:rPr>
          <w:rFonts w:cs="Arial"/>
          <w:b/>
          <w:color w:val="000000" w:themeColor="text1"/>
          <w:szCs w:val="22"/>
        </w:rPr>
      </w:pPr>
      <w:r w:rsidRPr="00561728">
        <w:rPr>
          <w:rFonts w:cs="Arial"/>
          <w:b/>
          <w:color w:val="000000" w:themeColor="text1"/>
          <w:szCs w:val="22"/>
        </w:rPr>
        <w:t>Originality</w:t>
      </w:r>
    </w:p>
    <w:p w:rsidR="00690AB6" w:rsidRPr="00963524" w:rsidRDefault="00617654" w:rsidP="00617654">
      <w:pPr>
        <w:spacing w:before="100" w:beforeAutospacing="1" w:after="100" w:afterAutospacing="1"/>
        <w:jc w:val="both"/>
        <w:rPr>
          <w:rFonts w:cs="Arial"/>
          <w:szCs w:val="22"/>
        </w:rPr>
      </w:pPr>
      <w:r w:rsidRPr="00561728">
        <w:rPr>
          <w:rFonts w:cs="Arial"/>
          <w:color w:val="000000" w:themeColor="text1"/>
          <w:szCs w:val="22"/>
        </w:rPr>
        <w:t xml:space="preserve">This </w:t>
      </w:r>
      <w:r w:rsidR="00810EE4" w:rsidRPr="00561728">
        <w:rPr>
          <w:rFonts w:cs="Arial"/>
          <w:color w:val="000000" w:themeColor="text1"/>
          <w:szCs w:val="22"/>
        </w:rPr>
        <w:t>research</w:t>
      </w:r>
      <w:r w:rsidR="006A4C7E" w:rsidRPr="00561728">
        <w:rPr>
          <w:rFonts w:cs="Arial"/>
          <w:color w:val="000000" w:themeColor="text1"/>
          <w:szCs w:val="22"/>
        </w:rPr>
        <w:t xml:space="preserve"> </w:t>
      </w:r>
      <w:r w:rsidRPr="00561728">
        <w:rPr>
          <w:rFonts w:cs="Arial"/>
          <w:color w:val="000000" w:themeColor="text1"/>
          <w:szCs w:val="22"/>
        </w:rPr>
        <w:t>identif</w:t>
      </w:r>
      <w:r w:rsidR="00810EE4" w:rsidRPr="00561728">
        <w:rPr>
          <w:rFonts w:cs="Arial"/>
          <w:color w:val="000000" w:themeColor="text1"/>
          <w:szCs w:val="22"/>
        </w:rPr>
        <w:t>ies</w:t>
      </w:r>
      <w:r w:rsidRPr="00561728">
        <w:rPr>
          <w:rFonts w:cs="Arial"/>
          <w:color w:val="000000" w:themeColor="text1"/>
          <w:szCs w:val="22"/>
        </w:rPr>
        <w:t xml:space="preserve"> </w:t>
      </w:r>
      <w:r w:rsidR="006A4C7E" w:rsidRPr="00561728">
        <w:rPr>
          <w:rFonts w:cs="Arial"/>
          <w:color w:val="000000" w:themeColor="text1"/>
          <w:szCs w:val="22"/>
        </w:rPr>
        <w:t>the</w:t>
      </w:r>
      <w:r w:rsidR="0089129E" w:rsidRPr="00561728">
        <w:rPr>
          <w:rFonts w:cs="Arial"/>
          <w:color w:val="000000" w:themeColor="text1"/>
          <w:szCs w:val="22"/>
        </w:rPr>
        <w:t xml:space="preserve"> support </w:t>
      </w:r>
      <w:r w:rsidR="006A4C7E" w:rsidRPr="00561728">
        <w:rPr>
          <w:rFonts w:cs="Arial"/>
          <w:color w:val="000000" w:themeColor="text1"/>
          <w:szCs w:val="22"/>
        </w:rPr>
        <w:t xml:space="preserve">required </w:t>
      </w:r>
      <w:r w:rsidR="0089129E" w:rsidRPr="00561728">
        <w:rPr>
          <w:rFonts w:cs="Arial"/>
          <w:color w:val="000000" w:themeColor="text1"/>
          <w:szCs w:val="22"/>
        </w:rPr>
        <w:t xml:space="preserve">for mediation and </w:t>
      </w:r>
      <w:r w:rsidR="006A4C7E" w:rsidRPr="00561728">
        <w:rPr>
          <w:rFonts w:cs="Arial"/>
          <w:color w:val="000000" w:themeColor="text1"/>
          <w:szCs w:val="22"/>
        </w:rPr>
        <w:t>its</w:t>
      </w:r>
      <w:r w:rsidR="0089129E" w:rsidRPr="00561728">
        <w:rPr>
          <w:rFonts w:cs="Arial"/>
          <w:color w:val="000000" w:themeColor="text1"/>
          <w:szCs w:val="22"/>
        </w:rPr>
        <w:t xml:space="preserve"> preference </w:t>
      </w:r>
      <w:r w:rsidR="006A4C7E" w:rsidRPr="00561728">
        <w:rPr>
          <w:rFonts w:cs="Arial"/>
          <w:color w:val="000000" w:themeColor="text1"/>
          <w:szCs w:val="22"/>
        </w:rPr>
        <w:t>among</w:t>
      </w:r>
      <w:r w:rsidR="0089129E" w:rsidRPr="00561728">
        <w:rPr>
          <w:rFonts w:cs="Arial"/>
          <w:color w:val="000000" w:themeColor="text1"/>
          <w:szCs w:val="22"/>
        </w:rPr>
        <w:t xml:space="preserve"> those with </w:t>
      </w:r>
      <w:r w:rsidR="006A4C7E" w:rsidRPr="00561728">
        <w:rPr>
          <w:rFonts w:cs="Arial"/>
          <w:color w:val="000000" w:themeColor="text1"/>
          <w:szCs w:val="22"/>
        </w:rPr>
        <w:t>and without prior knowledge of both adjudication and mediation</w:t>
      </w:r>
      <w:r w:rsidR="00F9130E" w:rsidRPr="00561728">
        <w:rPr>
          <w:rFonts w:cs="Arial"/>
          <w:color w:val="000000" w:themeColor="text1"/>
          <w:szCs w:val="22"/>
        </w:rPr>
        <w:t xml:space="preserve"> for the English construction</w:t>
      </w:r>
      <w:r w:rsidR="00810EE4" w:rsidRPr="00561728">
        <w:rPr>
          <w:rFonts w:cs="Arial"/>
          <w:color w:val="000000" w:themeColor="text1"/>
          <w:szCs w:val="22"/>
        </w:rPr>
        <w:t xml:space="preserve"> industry</w:t>
      </w:r>
      <w:r w:rsidR="0089129E" w:rsidRPr="00561728">
        <w:rPr>
          <w:rFonts w:cs="Arial"/>
          <w:color w:val="000000" w:themeColor="text1"/>
          <w:szCs w:val="22"/>
        </w:rPr>
        <w:t xml:space="preserve">. </w:t>
      </w:r>
      <w:r w:rsidR="006A4C7E" w:rsidRPr="00561728">
        <w:rPr>
          <w:rFonts w:cs="Arial"/>
          <w:color w:val="000000" w:themeColor="text1"/>
          <w:szCs w:val="22"/>
        </w:rPr>
        <w:t xml:space="preserve">The </w:t>
      </w:r>
      <w:r w:rsidR="006A4C7E">
        <w:rPr>
          <w:rFonts w:cs="Arial"/>
          <w:szCs w:val="22"/>
        </w:rPr>
        <w:t xml:space="preserve">paper provides an insight into </w:t>
      </w:r>
      <w:r w:rsidR="0089129E">
        <w:rPr>
          <w:rFonts w:cs="Arial"/>
          <w:szCs w:val="22"/>
        </w:rPr>
        <w:t xml:space="preserve">barriers </w:t>
      </w:r>
      <w:r w:rsidR="006A4C7E">
        <w:rPr>
          <w:rFonts w:cs="Arial"/>
          <w:szCs w:val="22"/>
        </w:rPr>
        <w:t xml:space="preserve">that need to be addressed </w:t>
      </w:r>
      <w:r w:rsidR="00F200D4">
        <w:rPr>
          <w:rFonts w:cs="Arial"/>
          <w:szCs w:val="22"/>
        </w:rPr>
        <w:t xml:space="preserve">to </w:t>
      </w:r>
      <w:r w:rsidR="006A4C7E">
        <w:rPr>
          <w:rFonts w:cs="Arial"/>
          <w:szCs w:val="22"/>
        </w:rPr>
        <w:t xml:space="preserve">increase </w:t>
      </w:r>
      <w:r w:rsidR="0089129E">
        <w:rPr>
          <w:rFonts w:cs="Arial"/>
          <w:szCs w:val="22"/>
        </w:rPr>
        <w:t xml:space="preserve">use of mediation. </w:t>
      </w:r>
    </w:p>
    <w:p w:rsidR="00D42ECC" w:rsidRPr="00253FE0" w:rsidRDefault="000A732B" w:rsidP="0020458A">
      <w:pPr>
        <w:pStyle w:val="Heading2"/>
        <w:rPr>
          <w:lang w:eastAsia="en-US"/>
        </w:rPr>
      </w:pPr>
      <w:r>
        <w:rPr>
          <w:lang w:eastAsia="en-US"/>
        </w:rPr>
        <w:br w:type="page"/>
      </w:r>
      <w:r w:rsidR="00D42ECC" w:rsidRPr="00253FE0">
        <w:rPr>
          <w:lang w:eastAsia="en-US"/>
        </w:rPr>
        <w:lastRenderedPageBreak/>
        <w:t>Introduction</w:t>
      </w:r>
    </w:p>
    <w:p w:rsidR="0094153A" w:rsidRDefault="00E637DA" w:rsidP="0020458A">
      <w:pPr>
        <w:jc w:val="both"/>
      </w:pPr>
      <w:r>
        <w:t>Disputes in the English c</w:t>
      </w:r>
      <w:r w:rsidR="004A46D6">
        <w:t>onstruction industry</w:t>
      </w:r>
      <w:r w:rsidRPr="00E637DA">
        <w:t xml:space="preserve"> </w:t>
      </w:r>
      <w:r>
        <w:t>have been the subject of a number of Government reviews in an attempt to reduce both the issues that cause the disputes, and offer a cost effective, time efficient solution to resolve these disputes should they arise</w:t>
      </w:r>
      <w:r w:rsidR="004A46D6">
        <w:t xml:space="preserve"> (Richbell, 2008</w:t>
      </w:r>
      <w:r>
        <w:t>:</w:t>
      </w:r>
      <w:r w:rsidR="004A46D6">
        <w:t>1; Latham, 1994</w:t>
      </w:r>
      <w:r>
        <w:t>:</w:t>
      </w:r>
      <w:r w:rsidR="004A46D6">
        <w:t>.87)</w:t>
      </w:r>
      <w:r>
        <w:t>.</w:t>
      </w:r>
      <w:r w:rsidR="004A46D6">
        <w:t xml:space="preserve"> </w:t>
      </w:r>
      <w:r w:rsidR="00460912">
        <w:t xml:space="preserve">It </w:t>
      </w:r>
      <w:r w:rsidR="00A44CA8">
        <w:t xml:space="preserve">is estimated that disputes cost the </w:t>
      </w:r>
      <w:r w:rsidR="00637830">
        <w:t xml:space="preserve">construction </w:t>
      </w:r>
      <w:r w:rsidR="00A44CA8" w:rsidRPr="002026E2">
        <w:rPr>
          <w:color w:val="000000" w:themeColor="text1"/>
        </w:rPr>
        <w:t>industry</w:t>
      </w:r>
      <w:r w:rsidR="00615952" w:rsidRPr="002026E2">
        <w:rPr>
          <w:color w:val="000000" w:themeColor="text1"/>
        </w:rPr>
        <w:t xml:space="preserve"> 2%</w:t>
      </w:r>
      <w:r w:rsidR="00A44CA8" w:rsidRPr="002026E2">
        <w:rPr>
          <w:color w:val="000000" w:themeColor="text1"/>
        </w:rPr>
        <w:t xml:space="preserve"> </w:t>
      </w:r>
      <w:r w:rsidR="0020458A" w:rsidRPr="002026E2">
        <w:rPr>
          <w:color w:val="000000" w:themeColor="text1"/>
        </w:rPr>
        <w:t xml:space="preserve">of the annual turnover </w:t>
      </w:r>
      <w:r w:rsidR="001D0933" w:rsidRPr="002026E2">
        <w:rPr>
          <w:color w:val="000000" w:themeColor="text1"/>
        </w:rPr>
        <w:t>(</w:t>
      </w:r>
      <w:r w:rsidR="002026E2" w:rsidRPr="002026E2">
        <w:rPr>
          <w:color w:val="000000" w:themeColor="text1"/>
        </w:rPr>
        <w:t>Richbell, 2008:1</w:t>
      </w:r>
      <w:r w:rsidR="001D0933" w:rsidRPr="002026E2">
        <w:rPr>
          <w:color w:val="000000" w:themeColor="text1"/>
        </w:rPr>
        <w:t xml:space="preserve">) and this is significant when </w:t>
      </w:r>
      <w:r w:rsidR="0020458A" w:rsidRPr="002026E2">
        <w:rPr>
          <w:color w:val="000000" w:themeColor="text1"/>
        </w:rPr>
        <w:t>compared to a</w:t>
      </w:r>
      <w:r w:rsidR="00820832" w:rsidRPr="002026E2">
        <w:rPr>
          <w:color w:val="000000" w:themeColor="text1"/>
        </w:rPr>
        <w:t xml:space="preserve"> </w:t>
      </w:r>
      <w:r w:rsidR="00A44CA8" w:rsidRPr="002026E2">
        <w:rPr>
          <w:color w:val="000000" w:themeColor="text1"/>
        </w:rPr>
        <w:t xml:space="preserve">profit margin </w:t>
      </w:r>
      <w:r w:rsidR="0020458A" w:rsidRPr="002026E2">
        <w:rPr>
          <w:color w:val="000000" w:themeColor="text1"/>
        </w:rPr>
        <w:t xml:space="preserve">of only </w:t>
      </w:r>
      <w:r w:rsidR="00A44CA8">
        <w:t>3</w:t>
      </w:r>
      <w:r w:rsidR="0020458A">
        <w:t>% per annum.</w:t>
      </w:r>
      <w:r w:rsidR="00A44CA8">
        <w:t xml:space="preserve"> </w:t>
      </w:r>
    </w:p>
    <w:p w:rsidR="0094153A" w:rsidRDefault="0094153A" w:rsidP="00253FE0">
      <w:pPr>
        <w:autoSpaceDE w:val="0"/>
        <w:autoSpaceDN w:val="0"/>
        <w:adjustRightInd w:val="0"/>
        <w:jc w:val="both"/>
        <w:rPr>
          <w:rFonts w:ascii="Times-Roman" w:hAnsi="Times-Roman" w:cs="Times-Roman"/>
          <w:szCs w:val="22"/>
        </w:rPr>
      </w:pPr>
    </w:p>
    <w:p w:rsidR="00542C11" w:rsidRDefault="004A46D6" w:rsidP="00237CAD">
      <w:pPr>
        <w:autoSpaceDE w:val="0"/>
        <w:autoSpaceDN w:val="0"/>
        <w:adjustRightInd w:val="0"/>
        <w:jc w:val="both"/>
        <w:rPr>
          <w:rFonts w:ascii="Times-Roman" w:hAnsi="Times-Roman" w:cs="Times-Roman"/>
          <w:szCs w:val="22"/>
        </w:rPr>
      </w:pPr>
      <w:r w:rsidRPr="004A46D6">
        <w:rPr>
          <w:rFonts w:ascii="Times-Roman" w:hAnsi="Times-Roman" w:cs="Times-Roman"/>
          <w:szCs w:val="22"/>
        </w:rPr>
        <w:t xml:space="preserve">Prior to the </w:t>
      </w:r>
      <w:r w:rsidR="00460912">
        <w:rPr>
          <w:rFonts w:ascii="Times-Roman" w:hAnsi="Times-Roman" w:cs="Times-Roman"/>
          <w:szCs w:val="22"/>
        </w:rPr>
        <w:t>enactment</w:t>
      </w:r>
      <w:r w:rsidR="00460912" w:rsidRPr="004A46D6">
        <w:rPr>
          <w:rFonts w:ascii="Times-Roman" w:hAnsi="Times-Roman" w:cs="Times-Roman"/>
          <w:szCs w:val="22"/>
        </w:rPr>
        <w:t xml:space="preserve"> </w:t>
      </w:r>
      <w:r w:rsidRPr="004A46D6">
        <w:rPr>
          <w:rFonts w:ascii="Times-Roman" w:hAnsi="Times-Roman" w:cs="Times-Roman"/>
          <w:szCs w:val="22"/>
        </w:rPr>
        <w:t>of The Housing Grants (Construction and Regeneration) Act 1996</w:t>
      </w:r>
      <w:r w:rsidR="00542C11">
        <w:rPr>
          <w:rFonts w:ascii="Times-Roman" w:hAnsi="Times-Roman" w:cs="Times-Roman"/>
          <w:szCs w:val="22"/>
        </w:rPr>
        <w:t xml:space="preserve"> (HGCRA)</w:t>
      </w:r>
      <w:r w:rsidRPr="004A46D6">
        <w:rPr>
          <w:rFonts w:ascii="Times-Roman" w:hAnsi="Times-Roman" w:cs="Times-Roman"/>
          <w:szCs w:val="22"/>
        </w:rPr>
        <w:t>, the</w:t>
      </w:r>
      <w:r w:rsidR="0094153A">
        <w:rPr>
          <w:rFonts w:ascii="Times-Roman" w:hAnsi="Times-Roman" w:cs="Times-Roman"/>
          <w:szCs w:val="22"/>
        </w:rPr>
        <w:t xml:space="preserve"> only </w:t>
      </w:r>
      <w:r w:rsidRPr="004A46D6">
        <w:rPr>
          <w:rFonts w:ascii="Times-Roman" w:hAnsi="Times-Roman" w:cs="Times-Roman"/>
          <w:szCs w:val="22"/>
        </w:rPr>
        <w:t xml:space="preserve">options for the resolution of disputes to the industry were arbitration or the courts. </w:t>
      </w:r>
      <w:r w:rsidR="006012A1">
        <w:rPr>
          <w:rFonts w:ascii="Times-Roman" w:hAnsi="Times-Roman" w:cs="Times-Roman"/>
          <w:szCs w:val="22"/>
        </w:rPr>
        <w:t xml:space="preserve">The introduction of adjudication to the construction industry through </w:t>
      </w:r>
      <w:r w:rsidR="008222EF">
        <w:rPr>
          <w:rFonts w:ascii="Times-Roman" w:hAnsi="Times-Roman" w:cs="Times-Roman"/>
          <w:szCs w:val="22"/>
        </w:rPr>
        <w:t xml:space="preserve">the HGCRA </w:t>
      </w:r>
      <w:r w:rsidR="008222EF" w:rsidRPr="00A30131">
        <w:rPr>
          <w:rFonts w:ascii="Times-Roman" w:hAnsi="Times-Roman" w:cs="Times-Roman"/>
          <w:color w:val="000000" w:themeColor="text1"/>
          <w:szCs w:val="22"/>
        </w:rPr>
        <w:t>was of</w:t>
      </w:r>
      <w:r w:rsidR="006012A1" w:rsidRPr="00A30131">
        <w:rPr>
          <w:rFonts w:ascii="Times-Roman" w:hAnsi="Times-Roman" w:cs="Times-Roman"/>
          <w:color w:val="000000" w:themeColor="text1"/>
          <w:szCs w:val="22"/>
        </w:rPr>
        <w:t xml:space="preserve"> significant </w:t>
      </w:r>
      <w:r w:rsidR="006012A1">
        <w:rPr>
          <w:rFonts w:ascii="Times-Roman" w:hAnsi="Times-Roman" w:cs="Times-Roman"/>
          <w:szCs w:val="22"/>
        </w:rPr>
        <w:t>help, enabling disputes to be resolved as the projects progressed without a serious effect on the cash fl</w:t>
      </w:r>
      <w:r w:rsidR="006012A1" w:rsidRPr="0020458A">
        <w:t>o</w:t>
      </w:r>
      <w:r w:rsidR="006012A1">
        <w:rPr>
          <w:rFonts w:ascii="Times-Roman" w:hAnsi="Times-Roman" w:cs="Times-Roman"/>
          <w:szCs w:val="22"/>
        </w:rPr>
        <w:t xml:space="preserve">w. The intention for single issue disputes to be resolved during the contract, thereby releasing monies worked well, allowing the major disputes to be referred to arbitration or </w:t>
      </w:r>
      <w:r w:rsidR="00820832">
        <w:rPr>
          <w:rFonts w:ascii="Times-Roman" w:hAnsi="Times-Roman" w:cs="Times-Roman"/>
          <w:szCs w:val="22"/>
        </w:rPr>
        <w:t>c</w:t>
      </w:r>
      <w:r w:rsidR="006012A1">
        <w:rPr>
          <w:rFonts w:ascii="Times-Roman" w:hAnsi="Times-Roman" w:cs="Times-Roman"/>
          <w:szCs w:val="22"/>
        </w:rPr>
        <w:t xml:space="preserve">ourt after the works were complete. </w:t>
      </w:r>
      <w:r w:rsidR="009C7FC6">
        <w:rPr>
          <w:rFonts w:ascii="Times-Roman" w:hAnsi="Times-Roman" w:cs="Times-Roman"/>
          <w:szCs w:val="22"/>
        </w:rPr>
        <w:t xml:space="preserve">Adjudication was the first step towards a </w:t>
      </w:r>
      <w:r w:rsidR="00682F9C">
        <w:rPr>
          <w:rFonts w:ascii="Times-Roman" w:hAnsi="Times-Roman" w:cs="Times-Roman"/>
          <w:szCs w:val="22"/>
        </w:rPr>
        <w:t xml:space="preserve">cost effective, timely dispute resolution process </w:t>
      </w:r>
      <w:r w:rsidR="00A40B1E">
        <w:rPr>
          <w:rFonts w:ascii="Times-Roman" w:hAnsi="Times-Roman" w:cs="Times-Roman"/>
          <w:szCs w:val="22"/>
        </w:rPr>
        <w:t>as</w:t>
      </w:r>
      <w:r w:rsidR="009C7FC6">
        <w:rPr>
          <w:rFonts w:ascii="Times-Roman" w:hAnsi="Times-Roman" w:cs="Times-Roman"/>
          <w:szCs w:val="22"/>
        </w:rPr>
        <w:t xml:space="preserve"> acknowledged by the latest adjudication research data report by Trushell et al (2012).</w:t>
      </w:r>
      <w:r w:rsidR="00682F9C">
        <w:rPr>
          <w:rFonts w:ascii="Times-Roman" w:hAnsi="Times-Roman" w:cs="Times-Roman"/>
          <w:szCs w:val="22"/>
        </w:rPr>
        <w:t xml:space="preserve"> </w:t>
      </w:r>
    </w:p>
    <w:p w:rsidR="00542C11" w:rsidRDefault="00542C11" w:rsidP="00311BC0">
      <w:pPr>
        <w:jc w:val="both"/>
        <w:rPr>
          <w:rFonts w:ascii="Times-Roman" w:hAnsi="Times-Roman" w:cs="Times-Roman"/>
          <w:szCs w:val="22"/>
        </w:rPr>
      </w:pPr>
    </w:p>
    <w:p w:rsidR="002F5516" w:rsidRDefault="00EC3CDD" w:rsidP="0020458A">
      <w:pPr>
        <w:jc w:val="both"/>
      </w:pPr>
      <w:r>
        <w:t>Adjudication</w:t>
      </w:r>
      <w:r w:rsidR="00522EFD">
        <w:t>,</w:t>
      </w:r>
      <w:r w:rsidR="003479D2">
        <w:t xml:space="preserve"> which is</w:t>
      </w:r>
      <w:r>
        <w:t xml:space="preserve"> prom</w:t>
      </w:r>
      <w:r w:rsidR="003479D2">
        <w:t xml:space="preserve">oted </w:t>
      </w:r>
      <w:r>
        <w:t>by the HGCRA</w:t>
      </w:r>
      <w:r w:rsidR="00522EFD">
        <w:t>,</w:t>
      </w:r>
      <w:r>
        <w:t xml:space="preserve"> d</w:t>
      </w:r>
      <w:r w:rsidR="00522EFD">
        <w:t>oes not</w:t>
      </w:r>
      <w:r>
        <w:t xml:space="preserve"> fully meet the needs </w:t>
      </w:r>
      <w:r w:rsidR="002F5516">
        <w:t xml:space="preserve">and expectations </w:t>
      </w:r>
      <w:r>
        <w:t>of th</w:t>
      </w:r>
      <w:r w:rsidR="002F5516">
        <w:t>is</w:t>
      </w:r>
      <w:r>
        <w:t xml:space="preserve"> </w:t>
      </w:r>
      <w:r w:rsidR="002F5516">
        <w:t>litigious industry</w:t>
      </w:r>
      <w:r>
        <w:t xml:space="preserve"> particularly due to </w:t>
      </w:r>
      <w:r w:rsidR="00311BC0">
        <w:t>the escalating costs of the process</w:t>
      </w:r>
      <w:r w:rsidR="00522EFD">
        <w:t xml:space="preserve"> </w:t>
      </w:r>
      <w:r w:rsidR="003374BB">
        <w:t xml:space="preserve">and </w:t>
      </w:r>
      <w:r w:rsidR="00522EFD">
        <w:t xml:space="preserve">also </w:t>
      </w:r>
      <w:r w:rsidR="003479D2">
        <w:t>result</w:t>
      </w:r>
      <w:r w:rsidR="00522EFD">
        <w:t>s in</w:t>
      </w:r>
      <w:r w:rsidR="003479D2">
        <w:t xml:space="preserve"> </w:t>
      </w:r>
      <w:r w:rsidR="002F5516">
        <w:t>poor relationship</w:t>
      </w:r>
      <w:r w:rsidR="00522EFD">
        <w:t>s</w:t>
      </w:r>
      <w:r w:rsidR="00311BC0">
        <w:t xml:space="preserve"> </w:t>
      </w:r>
      <w:r w:rsidR="003479D2">
        <w:t xml:space="preserve">among </w:t>
      </w:r>
      <w:r w:rsidR="002F5516">
        <w:t>the</w:t>
      </w:r>
      <w:r w:rsidR="003479D2">
        <w:t xml:space="preserve"> </w:t>
      </w:r>
      <w:r w:rsidR="00547F97">
        <w:t>disputing</w:t>
      </w:r>
      <w:r w:rsidR="002F5516">
        <w:t xml:space="preserve"> </w:t>
      </w:r>
      <w:r w:rsidR="00311BC0">
        <w:t>parties</w:t>
      </w:r>
      <w:r w:rsidR="004519E0">
        <w:rPr>
          <w:color w:val="C00000"/>
        </w:rPr>
        <w:t xml:space="preserve"> </w:t>
      </w:r>
      <w:r w:rsidR="00A30131" w:rsidRPr="00A30131">
        <w:rPr>
          <w:color w:val="000000" w:themeColor="text1"/>
        </w:rPr>
        <w:t>(Mason and Sharratt, 2013</w:t>
      </w:r>
      <w:r w:rsidR="004519E0" w:rsidRPr="00A30131">
        <w:rPr>
          <w:color w:val="000000" w:themeColor="text1"/>
        </w:rPr>
        <w:t>)</w:t>
      </w:r>
      <w:r w:rsidRPr="00A30131">
        <w:rPr>
          <w:color w:val="000000" w:themeColor="text1"/>
        </w:rPr>
        <w:t xml:space="preserve">. </w:t>
      </w:r>
      <w:r w:rsidR="003479D2" w:rsidRPr="00A30131">
        <w:rPr>
          <w:color w:val="000000" w:themeColor="text1"/>
        </w:rPr>
        <w:t>On one hand, it precluded</w:t>
      </w:r>
      <w:r w:rsidR="006012A1" w:rsidRPr="00A30131">
        <w:rPr>
          <w:color w:val="000000" w:themeColor="text1"/>
        </w:rPr>
        <w:t xml:space="preserve"> subcontractors from commencing arbitration until the project </w:t>
      </w:r>
      <w:r w:rsidR="00E125D9" w:rsidRPr="00A30131">
        <w:rPr>
          <w:color w:val="000000" w:themeColor="text1"/>
        </w:rPr>
        <w:t>i</w:t>
      </w:r>
      <w:r w:rsidR="006012A1" w:rsidRPr="00A30131">
        <w:rPr>
          <w:color w:val="000000" w:themeColor="text1"/>
        </w:rPr>
        <w:t xml:space="preserve">s complete. </w:t>
      </w:r>
      <w:r w:rsidR="003479D2" w:rsidRPr="00A30131">
        <w:rPr>
          <w:color w:val="000000" w:themeColor="text1"/>
        </w:rPr>
        <w:t xml:space="preserve">Whilst </w:t>
      </w:r>
      <w:r w:rsidR="003479D2">
        <w:t>on the other hand</w:t>
      </w:r>
      <w:r w:rsidR="006012A1">
        <w:t xml:space="preserve"> the process </w:t>
      </w:r>
      <w:r w:rsidR="00E125D9">
        <w:t xml:space="preserve">is </w:t>
      </w:r>
      <w:r w:rsidR="006012A1">
        <w:t>lengthy and often cost prohibitive.</w:t>
      </w:r>
      <w:r w:rsidR="003479D2">
        <w:t xml:space="preserve"> </w:t>
      </w:r>
      <w:r>
        <w:t>The industry and some of</w:t>
      </w:r>
      <w:r w:rsidR="00311BC0" w:rsidRPr="00311BC0">
        <w:t xml:space="preserve"> </w:t>
      </w:r>
      <w:r w:rsidR="00311BC0">
        <w:t xml:space="preserve">those using adjudication and even adjudicators themselves </w:t>
      </w:r>
      <w:r>
        <w:t xml:space="preserve">began </w:t>
      </w:r>
      <w:r w:rsidR="00311BC0">
        <w:t>question</w:t>
      </w:r>
      <w:r>
        <w:t>ing</w:t>
      </w:r>
      <w:r w:rsidR="00311BC0">
        <w:t xml:space="preserve"> the </w:t>
      </w:r>
      <w:r w:rsidR="00111641">
        <w:t xml:space="preserve">effectiveness </w:t>
      </w:r>
      <w:r w:rsidR="00311BC0">
        <w:t xml:space="preserve">of adjudication (Redmond 2005; Bingham 2009; Redmond 2009; Minogue 2010). </w:t>
      </w:r>
      <w:r>
        <w:t xml:space="preserve">For example, </w:t>
      </w:r>
      <w:r w:rsidR="00311BC0">
        <w:t>Minogue (2010) question</w:t>
      </w:r>
      <w:r w:rsidR="003479D2">
        <w:t>ed</w:t>
      </w:r>
      <w:r w:rsidR="00311BC0">
        <w:t xml:space="preserve"> what has happened to adjudication, </w:t>
      </w:r>
      <w:r w:rsidR="002F5516">
        <w:t>arguing that</w:t>
      </w:r>
      <w:r w:rsidR="003E1AB0">
        <w:t>:</w:t>
      </w:r>
      <w:r w:rsidR="002F5516">
        <w:t xml:space="preserve"> </w:t>
      </w:r>
    </w:p>
    <w:p w:rsidR="001F33D0" w:rsidRDefault="001F33D0" w:rsidP="00522EFD">
      <w:pPr>
        <w:autoSpaceDE w:val="0"/>
        <w:autoSpaceDN w:val="0"/>
        <w:adjustRightInd w:val="0"/>
        <w:ind w:left="567"/>
        <w:jc w:val="both"/>
        <w:rPr>
          <w:rFonts w:ascii="Times-Roman" w:hAnsi="Times-Roman" w:cs="Times-Roman"/>
          <w:szCs w:val="22"/>
        </w:rPr>
      </w:pPr>
    </w:p>
    <w:p w:rsidR="003E1AB0" w:rsidRDefault="00311BC0" w:rsidP="0020458A">
      <w:pPr>
        <w:ind w:left="993" w:right="624"/>
      </w:pPr>
      <w:r>
        <w:t>“</w:t>
      </w:r>
      <w:r w:rsidR="003E1AB0" w:rsidRPr="0020458A">
        <w:rPr>
          <w:i/>
        </w:rPr>
        <w:t xml:space="preserve">It has now adopted all of the hallmarks of a “mini litigation”… </w:t>
      </w:r>
      <w:r w:rsidRPr="0020458A">
        <w:rPr>
          <w:i/>
        </w:rPr>
        <w:t>Most adjudications start with rather pointless jurisdictional and procedural wrangling. They continue with lengthy position papers that are pleadings in disguise. Parties then produce reports from independent programmers or cost advisers and even witness statements. Finally, as we have seen, despite the exemplary lead taken by the Technology and Construction Court, there is endless argument about enforcement</w:t>
      </w:r>
      <w:r w:rsidRPr="00522EFD">
        <w:t>”.</w:t>
      </w:r>
    </w:p>
    <w:p w:rsidR="003E1AB0" w:rsidRDefault="00311BC0" w:rsidP="00237CAD">
      <w:pPr>
        <w:autoSpaceDE w:val="0"/>
        <w:autoSpaceDN w:val="0"/>
        <w:adjustRightInd w:val="0"/>
        <w:jc w:val="both"/>
        <w:rPr>
          <w:rFonts w:ascii="Times-Roman" w:hAnsi="Times-Roman" w:cs="Times-Roman"/>
          <w:szCs w:val="22"/>
        </w:rPr>
      </w:pPr>
      <w:r>
        <w:rPr>
          <w:rFonts w:ascii="Times-Roman" w:hAnsi="Times-Roman" w:cs="Times-Roman"/>
          <w:szCs w:val="22"/>
        </w:rPr>
        <w:t xml:space="preserve"> </w:t>
      </w:r>
    </w:p>
    <w:p w:rsidR="00CD468A" w:rsidRDefault="003E1AB0" w:rsidP="0020458A">
      <w:pPr>
        <w:jc w:val="both"/>
      </w:pPr>
      <w:r>
        <w:t xml:space="preserve">With this disappointment, </w:t>
      </w:r>
      <w:r w:rsidR="00311BC0">
        <w:t xml:space="preserve">Minogue (2010) </w:t>
      </w:r>
      <w:r w:rsidR="001F33D0">
        <w:t xml:space="preserve">goes </w:t>
      </w:r>
      <w:r w:rsidR="001F33D0" w:rsidRPr="00A4586E">
        <w:rPr>
          <w:color w:val="000000" w:themeColor="text1"/>
        </w:rPr>
        <w:t>further to</w:t>
      </w:r>
      <w:r w:rsidRPr="00A4586E">
        <w:rPr>
          <w:color w:val="000000" w:themeColor="text1"/>
        </w:rPr>
        <w:t xml:space="preserve"> </w:t>
      </w:r>
      <w:r w:rsidR="00311BC0" w:rsidRPr="00A4586E">
        <w:rPr>
          <w:color w:val="000000" w:themeColor="text1"/>
        </w:rPr>
        <w:t xml:space="preserve">advocate </w:t>
      </w:r>
      <w:r w:rsidR="004519E0" w:rsidRPr="00A4586E">
        <w:rPr>
          <w:color w:val="000000" w:themeColor="text1"/>
        </w:rPr>
        <w:t>the</w:t>
      </w:r>
      <w:r w:rsidRPr="00A4586E">
        <w:rPr>
          <w:color w:val="000000" w:themeColor="text1"/>
        </w:rPr>
        <w:t xml:space="preserve"> banning of</w:t>
      </w:r>
      <w:r w:rsidR="00311BC0" w:rsidRPr="00A4586E">
        <w:rPr>
          <w:color w:val="000000" w:themeColor="text1"/>
        </w:rPr>
        <w:t xml:space="preserve"> lawyers from adjudication, </w:t>
      </w:r>
      <w:r w:rsidR="00820832" w:rsidRPr="00A4586E">
        <w:rPr>
          <w:color w:val="000000" w:themeColor="text1"/>
        </w:rPr>
        <w:t xml:space="preserve">but </w:t>
      </w:r>
      <w:r w:rsidR="001F33D0" w:rsidRPr="00A4586E">
        <w:rPr>
          <w:color w:val="000000" w:themeColor="text1"/>
        </w:rPr>
        <w:t>the</w:t>
      </w:r>
      <w:r w:rsidR="00311BC0" w:rsidRPr="00A4586E">
        <w:rPr>
          <w:color w:val="000000" w:themeColor="text1"/>
        </w:rPr>
        <w:t xml:space="preserve"> opportunity</w:t>
      </w:r>
      <w:r w:rsidR="004E79D3" w:rsidRPr="00A4586E">
        <w:rPr>
          <w:color w:val="000000" w:themeColor="text1"/>
        </w:rPr>
        <w:t xml:space="preserve"> for this</w:t>
      </w:r>
      <w:r w:rsidR="001F33D0" w:rsidRPr="00A4586E">
        <w:rPr>
          <w:color w:val="000000" w:themeColor="text1"/>
        </w:rPr>
        <w:t>,</w:t>
      </w:r>
      <w:r w:rsidR="00311BC0" w:rsidRPr="00A4586E">
        <w:rPr>
          <w:color w:val="000000" w:themeColor="text1"/>
        </w:rPr>
        <w:t xml:space="preserve"> </w:t>
      </w:r>
      <w:r w:rsidR="001F33D0" w:rsidRPr="00A4586E">
        <w:rPr>
          <w:color w:val="000000" w:themeColor="text1"/>
        </w:rPr>
        <w:t>she argue</w:t>
      </w:r>
      <w:r w:rsidR="00820832" w:rsidRPr="00A4586E">
        <w:rPr>
          <w:color w:val="000000" w:themeColor="text1"/>
        </w:rPr>
        <w:t>s</w:t>
      </w:r>
      <w:r w:rsidR="001F33D0" w:rsidRPr="00A4586E">
        <w:rPr>
          <w:color w:val="000000" w:themeColor="text1"/>
        </w:rPr>
        <w:t xml:space="preserve">, </w:t>
      </w:r>
      <w:r w:rsidR="00311BC0" w:rsidRPr="00A4586E">
        <w:rPr>
          <w:color w:val="000000" w:themeColor="text1"/>
        </w:rPr>
        <w:t xml:space="preserve">has long since passed. Redmond (2009) reaffirms the concerns </w:t>
      </w:r>
      <w:r w:rsidR="001F33D0" w:rsidRPr="00A4586E">
        <w:rPr>
          <w:color w:val="000000" w:themeColor="text1"/>
        </w:rPr>
        <w:t xml:space="preserve">claiming </w:t>
      </w:r>
      <w:r w:rsidR="00311BC0" w:rsidRPr="00A4586E">
        <w:rPr>
          <w:color w:val="000000" w:themeColor="text1"/>
        </w:rPr>
        <w:t xml:space="preserve">that “…disputes are taking much more </w:t>
      </w:r>
      <w:r w:rsidR="00311BC0">
        <w:t xml:space="preserve">than the basic 28 days. Some Adjudications last for months, limping in a haphazard way from extension to extension and costing well over £100,000 on each side”. </w:t>
      </w:r>
    </w:p>
    <w:p w:rsidR="00A4586E" w:rsidRDefault="00A4586E" w:rsidP="0020458A">
      <w:pPr>
        <w:jc w:val="both"/>
      </w:pPr>
    </w:p>
    <w:p w:rsidR="00424976" w:rsidRDefault="00CA7167" w:rsidP="0020458A">
      <w:pPr>
        <w:jc w:val="both"/>
      </w:pPr>
      <w:r>
        <w:t>There are concerns that the HGCRA</w:t>
      </w:r>
      <w:r w:rsidR="00522EFD">
        <w:t xml:space="preserve"> </w:t>
      </w:r>
      <w:r w:rsidR="00820832" w:rsidRPr="00A4586E">
        <w:rPr>
          <w:color w:val="000000" w:themeColor="text1"/>
        </w:rPr>
        <w:t>does not</w:t>
      </w:r>
      <w:r w:rsidRPr="00A4586E">
        <w:rPr>
          <w:color w:val="000000" w:themeColor="text1"/>
        </w:rPr>
        <w:t xml:space="preserve"> reduce construction disputes nor significantly lower</w:t>
      </w:r>
      <w:r w:rsidR="00522EFD" w:rsidRPr="00A4586E">
        <w:rPr>
          <w:color w:val="000000" w:themeColor="text1"/>
        </w:rPr>
        <w:t>s</w:t>
      </w:r>
      <w:r w:rsidRPr="00A4586E">
        <w:rPr>
          <w:color w:val="000000" w:themeColor="text1"/>
        </w:rPr>
        <w:t xml:space="preserve"> the cost of dispute resolution </w:t>
      </w:r>
      <w:r w:rsidR="00820832" w:rsidRPr="00A4586E">
        <w:rPr>
          <w:color w:val="000000" w:themeColor="text1"/>
        </w:rPr>
        <w:t xml:space="preserve">any longer </w:t>
      </w:r>
      <w:r w:rsidRPr="00A4586E">
        <w:rPr>
          <w:color w:val="000000" w:themeColor="text1"/>
        </w:rPr>
        <w:t>– instead</w:t>
      </w:r>
      <w:r w:rsidR="00D5139B" w:rsidRPr="00A4586E">
        <w:rPr>
          <w:color w:val="000000" w:themeColor="text1"/>
        </w:rPr>
        <w:t>, it could be argued that,</w:t>
      </w:r>
      <w:r w:rsidRPr="00A4586E">
        <w:rPr>
          <w:color w:val="000000" w:themeColor="text1"/>
        </w:rPr>
        <w:t xml:space="preserve"> it d</w:t>
      </w:r>
      <w:r w:rsidR="000840BF" w:rsidRPr="00A4586E">
        <w:rPr>
          <w:color w:val="000000" w:themeColor="text1"/>
        </w:rPr>
        <w:t>oes</w:t>
      </w:r>
      <w:r w:rsidRPr="00A4586E">
        <w:rPr>
          <w:color w:val="000000" w:themeColor="text1"/>
        </w:rPr>
        <w:t xml:space="preserve"> </w:t>
      </w:r>
      <w:r w:rsidR="00D5139B" w:rsidRPr="00A4586E">
        <w:rPr>
          <w:color w:val="000000" w:themeColor="text1"/>
        </w:rPr>
        <w:t xml:space="preserve">more to </w:t>
      </w:r>
      <w:r w:rsidRPr="00A4586E">
        <w:rPr>
          <w:color w:val="000000" w:themeColor="text1"/>
        </w:rPr>
        <w:t xml:space="preserve">benefit </w:t>
      </w:r>
      <w:r w:rsidR="00D5139B" w:rsidRPr="00A4586E">
        <w:rPr>
          <w:color w:val="000000" w:themeColor="text1"/>
        </w:rPr>
        <w:t xml:space="preserve">the </w:t>
      </w:r>
      <w:r w:rsidRPr="00A4586E">
        <w:rPr>
          <w:color w:val="000000" w:themeColor="text1"/>
        </w:rPr>
        <w:t>legal</w:t>
      </w:r>
      <w:r w:rsidR="00424976" w:rsidRPr="00A4586E">
        <w:rPr>
          <w:color w:val="000000" w:themeColor="text1"/>
        </w:rPr>
        <w:t xml:space="preserve"> professionals</w:t>
      </w:r>
      <w:r w:rsidRPr="00A4586E">
        <w:rPr>
          <w:color w:val="000000" w:themeColor="text1"/>
        </w:rPr>
        <w:t xml:space="preserve">. </w:t>
      </w:r>
      <w:r w:rsidR="00311BC0" w:rsidRPr="00A4586E">
        <w:rPr>
          <w:color w:val="000000" w:themeColor="text1"/>
        </w:rPr>
        <w:t>M</w:t>
      </w:r>
      <w:r w:rsidR="00EA0E39" w:rsidRPr="00A4586E">
        <w:rPr>
          <w:color w:val="000000" w:themeColor="text1"/>
        </w:rPr>
        <w:t xml:space="preserve">ediation </w:t>
      </w:r>
      <w:r w:rsidR="00522EFD" w:rsidRPr="00A4586E">
        <w:rPr>
          <w:color w:val="000000" w:themeColor="text1"/>
        </w:rPr>
        <w:t>has</w:t>
      </w:r>
      <w:r w:rsidRPr="00A4586E">
        <w:rPr>
          <w:color w:val="000000" w:themeColor="text1"/>
        </w:rPr>
        <w:t xml:space="preserve"> therefore</w:t>
      </w:r>
      <w:r w:rsidR="00522EFD" w:rsidRPr="00A4586E">
        <w:rPr>
          <w:color w:val="000000" w:themeColor="text1"/>
        </w:rPr>
        <w:t xml:space="preserve"> been</w:t>
      </w:r>
      <w:r w:rsidR="004543DA" w:rsidRPr="00A4586E">
        <w:rPr>
          <w:color w:val="000000" w:themeColor="text1"/>
        </w:rPr>
        <w:t xml:space="preserve"> </w:t>
      </w:r>
      <w:r w:rsidR="00BC3061" w:rsidRPr="00A4586E">
        <w:rPr>
          <w:color w:val="000000" w:themeColor="text1"/>
        </w:rPr>
        <w:t>championed</w:t>
      </w:r>
      <w:r w:rsidR="004543DA" w:rsidRPr="00A4586E">
        <w:rPr>
          <w:color w:val="000000" w:themeColor="text1"/>
        </w:rPr>
        <w:t xml:space="preserve"> as an alternative, supplement or precedent to adjudication</w:t>
      </w:r>
      <w:r w:rsidR="00EA0E39" w:rsidRPr="00A4586E">
        <w:rPr>
          <w:color w:val="000000" w:themeColor="text1"/>
        </w:rPr>
        <w:t xml:space="preserve"> </w:t>
      </w:r>
      <w:r w:rsidR="00BC3061" w:rsidRPr="00A4586E">
        <w:rPr>
          <w:color w:val="000000" w:themeColor="text1"/>
        </w:rPr>
        <w:t>(Gregory-Stevens et al, 2010)</w:t>
      </w:r>
      <w:r w:rsidR="001735C3" w:rsidRPr="00A4586E">
        <w:rPr>
          <w:color w:val="000000" w:themeColor="text1"/>
        </w:rPr>
        <w:t xml:space="preserve">. </w:t>
      </w:r>
      <w:r w:rsidR="000840BF" w:rsidRPr="00A4586E">
        <w:rPr>
          <w:color w:val="000000" w:themeColor="text1"/>
        </w:rPr>
        <w:t xml:space="preserve"> </w:t>
      </w:r>
      <w:r w:rsidR="001735C3" w:rsidRPr="00A4586E">
        <w:rPr>
          <w:color w:val="000000" w:themeColor="text1"/>
        </w:rPr>
        <w:t xml:space="preserve">This follows </w:t>
      </w:r>
      <w:r w:rsidR="003374BB">
        <w:rPr>
          <w:color w:val="000000" w:themeColor="text1"/>
        </w:rPr>
        <w:t xml:space="preserve">on </w:t>
      </w:r>
      <w:r w:rsidR="001735C3" w:rsidRPr="00A4586E">
        <w:rPr>
          <w:color w:val="000000" w:themeColor="text1"/>
        </w:rPr>
        <w:t xml:space="preserve">from </w:t>
      </w:r>
      <w:r w:rsidR="003374BB">
        <w:rPr>
          <w:color w:val="000000" w:themeColor="text1"/>
        </w:rPr>
        <w:t>the</w:t>
      </w:r>
      <w:r w:rsidR="003374BB" w:rsidRPr="00A4586E">
        <w:rPr>
          <w:color w:val="000000" w:themeColor="text1"/>
        </w:rPr>
        <w:t xml:space="preserve"> </w:t>
      </w:r>
      <w:r w:rsidR="001735C3" w:rsidRPr="00A4586E">
        <w:rPr>
          <w:color w:val="000000" w:themeColor="text1"/>
        </w:rPr>
        <w:t xml:space="preserve">successful use of </w:t>
      </w:r>
      <w:r w:rsidR="00D45B8A" w:rsidRPr="00A4586E">
        <w:rPr>
          <w:color w:val="000000" w:themeColor="text1"/>
        </w:rPr>
        <w:t>Mediation in the USA to resolve construction disputes</w:t>
      </w:r>
      <w:r w:rsidR="00076C04" w:rsidRPr="00A4586E">
        <w:rPr>
          <w:color w:val="000000" w:themeColor="text1"/>
        </w:rPr>
        <w:t xml:space="preserve">. </w:t>
      </w:r>
      <w:r w:rsidR="001735C3" w:rsidRPr="00A4586E">
        <w:rPr>
          <w:color w:val="000000" w:themeColor="text1"/>
        </w:rPr>
        <w:t xml:space="preserve">According to Burger (1982), </w:t>
      </w:r>
      <w:r w:rsidR="00076C04" w:rsidRPr="00A4586E">
        <w:rPr>
          <w:color w:val="000000" w:themeColor="text1"/>
        </w:rPr>
        <w:t xml:space="preserve">Mediation in the USA </w:t>
      </w:r>
      <w:r w:rsidR="00D5139B" w:rsidRPr="00A4586E">
        <w:rPr>
          <w:color w:val="000000" w:themeColor="text1"/>
        </w:rPr>
        <w:t xml:space="preserve">has provided </w:t>
      </w:r>
      <w:r w:rsidR="001735C3" w:rsidRPr="00A4586E">
        <w:rPr>
          <w:color w:val="000000" w:themeColor="text1"/>
        </w:rPr>
        <w:t>a</w:t>
      </w:r>
      <w:r w:rsidR="00076C04" w:rsidRPr="00A4586E">
        <w:rPr>
          <w:color w:val="000000" w:themeColor="text1"/>
        </w:rPr>
        <w:t xml:space="preserve"> cost effective dispute </w:t>
      </w:r>
      <w:r w:rsidR="001735C3" w:rsidRPr="00A4586E">
        <w:rPr>
          <w:color w:val="000000" w:themeColor="text1"/>
        </w:rPr>
        <w:t xml:space="preserve">resolution </w:t>
      </w:r>
      <w:r w:rsidR="00076C04" w:rsidRPr="00A4586E">
        <w:rPr>
          <w:color w:val="000000" w:themeColor="text1"/>
        </w:rPr>
        <w:t xml:space="preserve">since the early 1980s, and </w:t>
      </w:r>
      <w:r w:rsidR="00D5139B" w:rsidRPr="00A4586E">
        <w:rPr>
          <w:color w:val="000000" w:themeColor="text1"/>
        </w:rPr>
        <w:t xml:space="preserve">construction </w:t>
      </w:r>
      <w:r w:rsidR="00076C04" w:rsidRPr="00A4586E">
        <w:rPr>
          <w:color w:val="000000" w:themeColor="text1"/>
        </w:rPr>
        <w:t>has experienced continued significant growth. Hensler (2003) reports that follo</w:t>
      </w:r>
      <w:r w:rsidR="00076C04" w:rsidRPr="00C870A7">
        <w:t xml:space="preserve">wing the implementation of the court ADR schemes, it is estimated that nearly all federal courts and over half of state courts have provided access to mediation. As the use of mediation has grown, so the lawyers have become more exposed to the process, raising awareness of its benefits. </w:t>
      </w:r>
    </w:p>
    <w:p w:rsidR="00424976" w:rsidRDefault="00424976" w:rsidP="0020458A">
      <w:pPr>
        <w:jc w:val="both"/>
      </w:pPr>
    </w:p>
    <w:p w:rsidR="000840BF" w:rsidRDefault="00682F9C" w:rsidP="0020458A">
      <w:pPr>
        <w:jc w:val="both"/>
      </w:pPr>
      <w:r>
        <w:t>However, despite the support for mediation from those involved in the construction industry and seemingly from the major construction companies in England</w:t>
      </w:r>
      <w:r w:rsidR="00416698">
        <w:rPr>
          <w:color w:val="C00000"/>
        </w:rPr>
        <w:t>,</w:t>
      </w:r>
      <w:r>
        <w:t xml:space="preserve"> there is still extremely low use of mediation against the other dispute resolution processes such as adjudication.</w:t>
      </w:r>
      <w:r w:rsidR="000840BF">
        <w:t xml:space="preserve"> </w:t>
      </w:r>
      <w:r>
        <w:t xml:space="preserve">This paper uses existing </w:t>
      </w:r>
      <w:r w:rsidR="000840BF">
        <w:t xml:space="preserve">literature and data collected in England </w:t>
      </w:r>
      <w:r>
        <w:t xml:space="preserve">to identify some of the key issues on the apparent reluctance to use mediation in place of, primarily, adjudication. </w:t>
      </w:r>
    </w:p>
    <w:p w:rsidR="00A31C93" w:rsidRDefault="00A31C93" w:rsidP="0020458A">
      <w:pPr>
        <w:jc w:val="both"/>
      </w:pPr>
    </w:p>
    <w:p w:rsidR="00682F9C" w:rsidRDefault="000840BF" w:rsidP="0020458A">
      <w:pPr>
        <w:jc w:val="both"/>
      </w:pPr>
      <w:r>
        <w:t>To start with, the paper presents a summary of previous studies that have explored the various aspects of c</w:t>
      </w:r>
      <w:r w:rsidR="00416698">
        <w:t xml:space="preserve">onstruction disputes to </w:t>
      </w:r>
      <w:r w:rsidR="00416698" w:rsidRPr="00050DD6">
        <w:rPr>
          <w:color w:val="000000" w:themeColor="text1"/>
        </w:rPr>
        <w:t xml:space="preserve">bring </w:t>
      </w:r>
      <w:r w:rsidRPr="00050DD6">
        <w:rPr>
          <w:color w:val="000000" w:themeColor="text1"/>
        </w:rPr>
        <w:t xml:space="preserve">to light the extent and use of alternative dispute resolution methods. </w:t>
      </w:r>
      <w:r w:rsidR="00682F9C" w:rsidRPr="00050DD6">
        <w:rPr>
          <w:color w:val="000000" w:themeColor="text1"/>
        </w:rPr>
        <w:t xml:space="preserve"> </w:t>
      </w:r>
      <w:r w:rsidR="00416698" w:rsidRPr="00050DD6">
        <w:rPr>
          <w:color w:val="000000" w:themeColor="text1"/>
        </w:rPr>
        <w:t>T</w:t>
      </w:r>
      <w:r w:rsidRPr="00050DD6">
        <w:rPr>
          <w:color w:val="000000" w:themeColor="text1"/>
        </w:rPr>
        <w:t>he second part the pape</w:t>
      </w:r>
      <w:r w:rsidR="00DB2119" w:rsidRPr="00050DD6">
        <w:rPr>
          <w:color w:val="000000" w:themeColor="text1"/>
        </w:rPr>
        <w:t>r describe</w:t>
      </w:r>
      <w:r w:rsidR="00416698" w:rsidRPr="00050DD6">
        <w:rPr>
          <w:color w:val="000000" w:themeColor="text1"/>
        </w:rPr>
        <w:t>s</w:t>
      </w:r>
      <w:r w:rsidR="00DB2119" w:rsidRPr="00050DD6">
        <w:rPr>
          <w:color w:val="000000" w:themeColor="text1"/>
        </w:rPr>
        <w:t xml:space="preserve"> how primary data</w:t>
      </w:r>
      <w:r w:rsidR="0004267D" w:rsidRPr="00050DD6">
        <w:rPr>
          <w:color w:val="000000" w:themeColor="text1"/>
        </w:rPr>
        <w:t xml:space="preserve"> </w:t>
      </w:r>
      <w:r w:rsidR="003374BB">
        <w:rPr>
          <w:color w:val="000000" w:themeColor="text1"/>
        </w:rPr>
        <w:t>was</w:t>
      </w:r>
      <w:r w:rsidR="003374BB" w:rsidRPr="00050DD6">
        <w:rPr>
          <w:color w:val="000000" w:themeColor="text1"/>
        </w:rPr>
        <w:t xml:space="preserve"> </w:t>
      </w:r>
      <w:r w:rsidR="0004267D" w:rsidRPr="00050DD6">
        <w:rPr>
          <w:color w:val="000000" w:themeColor="text1"/>
        </w:rPr>
        <w:t>collected from a selected population</w:t>
      </w:r>
      <w:r w:rsidR="00DB2119" w:rsidRPr="00050DD6">
        <w:rPr>
          <w:color w:val="000000" w:themeColor="text1"/>
        </w:rPr>
        <w:t xml:space="preserve">. Subsequently the paper presents a detailed analysis into </w:t>
      </w:r>
      <w:r w:rsidR="00416698" w:rsidRPr="00050DD6">
        <w:rPr>
          <w:color w:val="000000" w:themeColor="text1"/>
        </w:rPr>
        <w:t xml:space="preserve">the </w:t>
      </w:r>
      <w:r w:rsidR="00DB2119" w:rsidRPr="00050DD6">
        <w:rPr>
          <w:color w:val="000000" w:themeColor="text1"/>
        </w:rPr>
        <w:t xml:space="preserve">use of both adjudication and mediation and </w:t>
      </w:r>
      <w:r w:rsidR="009F5102" w:rsidRPr="00050DD6">
        <w:rPr>
          <w:color w:val="000000" w:themeColor="text1"/>
        </w:rPr>
        <w:t xml:space="preserve">examines </w:t>
      </w:r>
      <w:r w:rsidR="00DB2119" w:rsidRPr="00050DD6">
        <w:rPr>
          <w:color w:val="000000" w:themeColor="text1"/>
        </w:rPr>
        <w:t xml:space="preserve">the factors that hinder </w:t>
      </w:r>
      <w:r w:rsidR="009F5102" w:rsidRPr="00050DD6">
        <w:rPr>
          <w:color w:val="000000" w:themeColor="text1"/>
        </w:rPr>
        <w:t xml:space="preserve">the </w:t>
      </w:r>
      <w:r w:rsidR="00DB2119" w:rsidRPr="00050DD6">
        <w:rPr>
          <w:color w:val="000000" w:themeColor="text1"/>
        </w:rPr>
        <w:t xml:space="preserve">adoption of </w:t>
      </w:r>
      <w:r w:rsidR="003374BB">
        <w:rPr>
          <w:color w:val="000000" w:themeColor="text1"/>
        </w:rPr>
        <w:t>mediation</w:t>
      </w:r>
      <w:r w:rsidR="003374BB" w:rsidRPr="00050DD6">
        <w:rPr>
          <w:color w:val="000000" w:themeColor="text1"/>
        </w:rPr>
        <w:t xml:space="preserve"> </w:t>
      </w:r>
      <w:r w:rsidR="00DB2119" w:rsidRPr="00050DD6">
        <w:rPr>
          <w:color w:val="000000" w:themeColor="text1"/>
        </w:rPr>
        <w:t xml:space="preserve">as the first course of action in the English construction industry. The analysis leads to a discussion on what could be </w:t>
      </w:r>
      <w:r w:rsidR="009F5102" w:rsidRPr="00050DD6">
        <w:rPr>
          <w:color w:val="000000" w:themeColor="text1"/>
        </w:rPr>
        <w:t>achieved</w:t>
      </w:r>
      <w:r w:rsidR="00DB2119" w:rsidRPr="00050DD6">
        <w:rPr>
          <w:color w:val="000000" w:themeColor="text1"/>
        </w:rPr>
        <w:t xml:space="preserve"> to resolve the problems</w:t>
      </w:r>
      <w:r w:rsidR="009F5102" w:rsidRPr="00050DD6">
        <w:rPr>
          <w:color w:val="000000" w:themeColor="text1"/>
        </w:rPr>
        <w:t xml:space="preserve"> identified, and based on the finding</w:t>
      </w:r>
      <w:r w:rsidR="003374BB">
        <w:rPr>
          <w:color w:val="000000" w:themeColor="text1"/>
        </w:rPr>
        <w:t>s</w:t>
      </w:r>
      <w:r w:rsidR="009F5102" w:rsidRPr="00050DD6">
        <w:rPr>
          <w:color w:val="000000" w:themeColor="text1"/>
        </w:rPr>
        <w:t>,</w:t>
      </w:r>
      <w:r w:rsidR="00DB2119" w:rsidRPr="00050DD6">
        <w:rPr>
          <w:color w:val="000000" w:themeColor="text1"/>
        </w:rPr>
        <w:t xml:space="preserve"> conclusion</w:t>
      </w:r>
      <w:r w:rsidR="009F5102" w:rsidRPr="00050DD6">
        <w:rPr>
          <w:color w:val="000000" w:themeColor="text1"/>
        </w:rPr>
        <w:t>s</w:t>
      </w:r>
      <w:r w:rsidR="00DB2119" w:rsidRPr="00050DD6">
        <w:rPr>
          <w:color w:val="000000" w:themeColor="text1"/>
        </w:rPr>
        <w:t xml:space="preserve"> and recommendations </w:t>
      </w:r>
      <w:r w:rsidR="00DB2119">
        <w:t>are made.</w:t>
      </w:r>
    </w:p>
    <w:p w:rsidR="00682F9C" w:rsidRDefault="00682F9C" w:rsidP="0020458A">
      <w:pPr>
        <w:autoSpaceDE w:val="0"/>
        <w:autoSpaceDN w:val="0"/>
        <w:adjustRightInd w:val="0"/>
        <w:jc w:val="both"/>
        <w:rPr>
          <w:rFonts w:cs="Arial"/>
          <w:szCs w:val="22"/>
        </w:rPr>
      </w:pPr>
      <w:r>
        <w:rPr>
          <w:rFonts w:cs="Arial"/>
          <w:szCs w:val="22"/>
        </w:rPr>
        <w:t xml:space="preserve"> </w:t>
      </w:r>
    </w:p>
    <w:p w:rsidR="00424976" w:rsidRPr="00DC1FD4" w:rsidRDefault="00DB2119" w:rsidP="0020458A">
      <w:pPr>
        <w:pStyle w:val="Heading2"/>
        <w:jc w:val="both"/>
        <w:rPr>
          <w:lang w:eastAsia="en-US"/>
        </w:rPr>
      </w:pPr>
      <w:r w:rsidRPr="00DC1FD4">
        <w:rPr>
          <w:lang w:eastAsia="en-US"/>
        </w:rPr>
        <w:t>Mediation</w:t>
      </w:r>
      <w:r>
        <w:rPr>
          <w:lang w:eastAsia="en-US"/>
        </w:rPr>
        <w:t>:</w:t>
      </w:r>
      <w:r w:rsidRPr="00DC1FD4">
        <w:rPr>
          <w:lang w:eastAsia="en-US"/>
        </w:rPr>
        <w:t xml:space="preserve"> </w:t>
      </w:r>
      <w:r w:rsidR="00424976" w:rsidRPr="00DC1FD4">
        <w:rPr>
          <w:lang w:eastAsia="en-US"/>
        </w:rPr>
        <w:t>policy and practices</w:t>
      </w:r>
    </w:p>
    <w:p w:rsidR="00FE22D4" w:rsidRPr="0010622E" w:rsidRDefault="00FE22D4" w:rsidP="0020458A">
      <w:pPr>
        <w:spacing w:after="240"/>
        <w:jc w:val="both"/>
        <w:rPr>
          <w:rFonts w:cs="Arial"/>
          <w:bCs/>
          <w:szCs w:val="22"/>
          <w:highlight w:val="yellow"/>
          <w:lang w:val="en-US" w:eastAsia="en-US" w:bidi="th-TH"/>
        </w:rPr>
      </w:pPr>
      <w:r>
        <w:rPr>
          <w:rFonts w:cs="Arial"/>
          <w:szCs w:val="22"/>
        </w:rPr>
        <w:t xml:space="preserve">Many construction projects (both building and civil engineering) are exceptionally complex, both in conception and </w:t>
      </w:r>
      <w:r w:rsidRPr="00050DD6">
        <w:rPr>
          <w:rFonts w:cs="Arial"/>
          <w:color w:val="000000" w:themeColor="text1"/>
          <w:szCs w:val="22"/>
        </w:rPr>
        <w:t xml:space="preserve">delivery. There are a </w:t>
      </w:r>
      <w:r w:rsidR="00B16F6D" w:rsidRPr="00050DD6">
        <w:rPr>
          <w:rFonts w:cs="Arial"/>
          <w:color w:val="000000" w:themeColor="text1"/>
          <w:szCs w:val="22"/>
        </w:rPr>
        <w:t>large number of parties involved in</w:t>
      </w:r>
      <w:r w:rsidRPr="00050DD6">
        <w:rPr>
          <w:rFonts w:cs="Arial"/>
          <w:color w:val="000000" w:themeColor="text1"/>
          <w:szCs w:val="22"/>
        </w:rPr>
        <w:t xml:space="preserve"> each project, often with a similar number of separate contracts and </w:t>
      </w:r>
      <w:r w:rsidR="00B16F6D" w:rsidRPr="00050DD6">
        <w:rPr>
          <w:rFonts w:cs="Arial"/>
          <w:color w:val="000000" w:themeColor="text1"/>
          <w:szCs w:val="22"/>
        </w:rPr>
        <w:t>contractual relationships. The complexity</w:t>
      </w:r>
      <w:r w:rsidRPr="00050DD6">
        <w:rPr>
          <w:rFonts w:cs="Arial"/>
          <w:color w:val="000000" w:themeColor="text1"/>
          <w:szCs w:val="22"/>
        </w:rPr>
        <w:t xml:space="preserve"> </w:t>
      </w:r>
      <w:r w:rsidR="00B16F6D" w:rsidRPr="00050DD6">
        <w:rPr>
          <w:rFonts w:cs="Arial"/>
          <w:color w:val="000000" w:themeColor="text1"/>
          <w:szCs w:val="22"/>
        </w:rPr>
        <w:t xml:space="preserve">of </w:t>
      </w:r>
      <w:r w:rsidRPr="00050DD6">
        <w:rPr>
          <w:rFonts w:cs="Arial"/>
          <w:color w:val="000000" w:themeColor="text1"/>
          <w:szCs w:val="22"/>
        </w:rPr>
        <w:t xml:space="preserve">contractual relationships </w:t>
      </w:r>
      <w:r w:rsidR="003D1029" w:rsidRPr="00050DD6">
        <w:rPr>
          <w:rFonts w:cs="Arial"/>
          <w:color w:val="000000" w:themeColor="text1"/>
          <w:szCs w:val="22"/>
        </w:rPr>
        <w:t xml:space="preserve">is </w:t>
      </w:r>
      <w:r w:rsidRPr="00050DD6">
        <w:rPr>
          <w:rFonts w:cs="Arial"/>
          <w:color w:val="000000" w:themeColor="text1"/>
          <w:szCs w:val="22"/>
        </w:rPr>
        <w:t>oft</w:t>
      </w:r>
      <w:r w:rsidRPr="00050DD6">
        <w:rPr>
          <w:color w:val="000000" w:themeColor="text1"/>
        </w:rPr>
        <w:t>e</w:t>
      </w:r>
      <w:r w:rsidRPr="00050DD6">
        <w:rPr>
          <w:rFonts w:cs="Arial"/>
          <w:color w:val="000000" w:themeColor="text1"/>
          <w:szCs w:val="22"/>
        </w:rPr>
        <w:t>n cited as being contributory to the adversarial nature of the construction industry (Murdoch and Hughes,</w:t>
      </w:r>
      <w:r w:rsidR="00050DD6" w:rsidRPr="00050DD6">
        <w:rPr>
          <w:rFonts w:cs="Arial"/>
          <w:color w:val="000000" w:themeColor="text1"/>
          <w:szCs w:val="22"/>
        </w:rPr>
        <w:t xml:space="preserve"> 1992:1).</w:t>
      </w:r>
      <w:r w:rsidRPr="00050DD6">
        <w:rPr>
          <w:rFonts w:cs="Arial"/>
          <w:color w:val="000000" w:themeColor="text1"/>
          <w:szCs w:val="22"/>
        </w:rPr>
        <w:t xml:space="preserve"> It </w:t>
      </w:r>
      <w:r>
        <w:rPr>
          <w:rFonts w:cs="Arial"/>
          <w:szCs w:val="22"/>
        </w:rPr>
        <w:t>is also important to note that simple projects also frequently give rise to disputes. Existing empiric</w:t>
      </w:r>
      <w:r w:rsidRPr="00AA53E4">
        <w:rPr>
          <w:rFonts w:cs="Arial"/>
          <w:szCs w:val="22"/>
        </w:rPr>
        <w:t>al research</w:t>
      </w:r>
      <w:r>
        <w:rPr>
          <w:rFonts w:cs="Arial"/>
          <w:szCs w:val="22"/>
        </w:rPr>
        <w:t xml:space="preserve"> (e.g. a study by </w:t>
      </w:r>
      <w:r w:rsidRPr="00AA53E4">
        <w:rPr>
          <w:rFonts w:cs="Arial"/>
          <w:bCs/>
          <w:szCs w:val="22"/>
          <w:lang w:val="en-US" w:eastAsia="en-US" w:bidi="th-TH"/>
        </w:rPr>
        <w:t>Gould</w:t>
      </w:r>
      <w:r>
        <w:rPr>
          <w:rFonts w:cs="Arial"/>
          <w:bCs/>
          <w:szCs w:val="22"/>
          <w:lang w:val="en-US" w:eastAsia="en-US" w:bidi="th-TH"/>
        </w:rPr>
        <w:t>,</w:t>
      </w:r>
      <w:r w:rsidR="00AE2F53">
        <w:rPr>
          <w:rFonts w:cs="Arial"/>
          <w:bCs/>
          <w:szCs w:val="22"/>
          <w:lang w:val="en-US" w:eastAsia="en-US" w:bidi="th-TH"/>
        </w:rPr>
        <w:t xml:space="preserve"> </w:t>
      </w:r>
      <w:r w:rsidR="00AE2F53" w:rsidRPr="0014744F">
        <w:rPr>
          <w:rFonts w:cs="Arial"/>
          <w:bCs/>
          <w:color w:val="000000" w:themeColor="text1"/>
          <w:szCs w:val="22"/>
          <w:lang w:val="en-US" w:eastAsia="en-US" w:bidi="th-TH"/>
        </w:rPr>
        <w:t xml:space="preserve">2009) confirms, however, </w:t>
      </w:r>
      <w:r w:rsidRPr="0014744F">
        <w:rPr>
          <w:rFonts w:cs="Arial"/>
          <w:bCs/>
          <w:color w:val="000000" w:themeColor="text1"/>
          <w:szCs w:val="22"/>
          <w:lang w:val="en-US" w:eastAsia="en-US" w:bidi="th-TH"/>
        </w:rPr>
        <w:t xml:space="preserve">that mediation </w:t>
      </w:r>
      <w:r w:rsidRPr="00AA53E4">
        <w:rPr>
          <w:rFonts w:cs="Arial"/>
          <w:bCs/>
          <w:szCs w:val="22"/>
          <w:lang w:val="en-US" w:eastAsia="en-US" w:bidi="th-TH"/>
        </w:rPr>
        <w:t xml:space="preserve">is a successful process for delivering a cost effective, time efficient settlement to </w:t>
      </w:r>
      <w:r w:rsidRPr="008E4C84">
        <w:rPr>
          <w:rFonts w:cs="Arial"/>
          <w:bCs/>
          <w:color w:val="000000" w:themeColor="text1"/>
          <w:szCs w:val="22"/>
          <w:lang w:val="en-US" w:eastAsia="en-US" w:bidi="th-TH"/>
        </w:rPr>
        <w:t>construction dispute</w:t>
      </w:r>
      <w:r w:rsidR="00AE2F53" w:rsidRPr="008E4C84">
        <w:rPr>
          <w:rFonts w:cs="Arial"/>
          <w:bCs/>
          <w:color w:val="000000" w:themeColor="text1"/>
          <w:szCs w:val="22"/>
          <w:lang w:val="en-US" w:eastAsia="en-US" w:bidi="th-TH"/>
        </w:rPr>
        <w:t>s.  Despite this,</w:t>
      </w:r>
      <w:r w:rsidRPr="008E4C84">
        <w:rPr>
          <w:rFonts w:cs="Arial"/>
          <w:bCs/>
          <w:color w:val="000000" w:themeColor="text1"/>
          <w:szCs w:val="22"/>
          <w:lang w:val="en-US" w:eastAsia="en-US" w:bidi="th-TH"/>
        </w:rPr>
        <w:t xml:space="preserve"> usage </w:t>
      </w:r>
      <w:r w:rsidRPr="00AA53E4">
        <w:rPr>
          <w:rFonts w:cs="Arial"/>
          <w:bCs/>
          <w:szCs w:val="22"/>
          <w:lang w:val="en-US" w:eastAsia="en-US" w:bidi="th-TH"/>
        </w:rPr>
        <w:t>is still low compared to adjudication</w:t>
      </w:r>
      <w:r w:rsidR="00EA13B8">
        <w:rPr>
          <w:rFonts w:cs="Arial"/>
          <w:bCs/>
          <w:szCs w:val="22"/>
          <w:lang w:val="en-US" w:eastAsia="en-US" w:bidi="th-TH"/>
        </w:rPr>
        <w:t>.</w:t>
      </w:r>
    </w:p>
    <w:p w:rsidR="009A2543" w:rsidRPr="008B256A" w:rsidRDefault="00FE22D4" w:rsidP="0020458A">
      <w:pPr>
        <w:jc w:val="both"/>
        <w:rPr>
          <w:rFonts w:ascii="Times-Roman" w:hAnsi="Times-Roman" w:cs="Times-Roman"/>
          <w:color w:val="000000" w:themeColor="text1"/>
        </w:rPr>
      </w:pPr>
      <w:r w:rsidRPr="009B45C7">
        <w:rPr>
          <w:lang w:val="en-US" w:eastAsia="en-US" w:bidi="th-TH"/>
        </w:rPr>
        <w:lastRenderedPageBreak/>
        <w:t xml:space="preserve">Mediation is </w:t>
      </w:r>
      <w:r w:rsidR="00EA13B8" w:rsidRPr="009B45C7">
        <w:rPr>
          <w:lang w:val="en-US" w:eastAsia="en-US" w:bidi="th-TH"/>
        </w:rPr>
        <w:t>recognized</w:t>
      </w:r>
      <w:r w:rsidRPr="009B45C7">
        <w:rPr>
          <w:lang w:val="en-US" w:eastAsia="en-US" w:bidi="th-TH"/>
        </w:rPr>
        <w:t xml:space="preserve"> as an important </w:t>
      </w:r>
      <w:r w:rsidR="003374BB" w:rsidRPr="009B45C7">
        <w:rPr>
          <w:lang w:val="en-US" w:eastAsia="en-US" w:bidi="th-TH"/>
        </w:rPr>
        <w:t>alternat</w:t>
      </w:r>
      <w:r w:rsidR="003374BB">
        <w:rPr>
          <w:lang w:val="en-US" w:eastAsia="en-US" w:bidi="th-TH"/>
        </w:rPr>
        <w:t>e</w:t>
      </w:r>
      <w:r w:rsidR="003374BB" w:rsidRPr="009B45C7">
        <w:rPr>
          <w:lang w:val="en-US" w:eastAsia="en-US" w:bidi="th-TH"/>
        </w:rPr>
        <w:t xml:space="preserve"> </w:t>
      </w:r>
      <w:r w:rsidRPr="009B45C7">
        <w:rPr>
          <w:lang w:val="en-US" w:eastAsia="en-US" w:bidi="th-TH"/>
        </w:rPr>
        <w:t>form of disp</w:t>
      </w:r>
      <w:r>
        <w:rPr>
          <w:lang w:val="en-US" w:eastAsia="en-US" w:bidi="th-TH"/>
        </w:rPr>
        <w:t>u</w:t>
      </w:r>
      <w:r w:rsidRPr="009B45C7">
        <w:rPr>
          <w:lang w:val="en-US" w:eastAsia="en-US" w:bidi="th-TH"/>
        </w:rPr>
        <w:t>t</w:t>
      </w:r>
      <w:r>
        <w:rPr>
          <w:lang w:val="en-US" w:eastAsia="en-US" w:bidi="th-TH"/>
        </w:rPr>
        <w:t>e</w:t>
      </w:r>
      <w:r w:rsidRPr="009B45C7">
        <w:rPr>
          <w:lang w:val="en-US" w:eastAsia="en-US" w:bidi="th-TH"/>
        </w:rPr>
        <w:t xml:space="preserve"> resolution</w:t>
      </w:r>
      <w:r>
        <w:rPr>
          <w:lang w:val="en-US" w:eastAsia="en-US" w:bidi="th-TH"/>
        </w:rPr>
        <w:t xml:space="preserve"> </w:t>
      </w:r>
      <w:r w:rsidR="00EA13B8">
        <w:rPr>
          <w:lang w:val="en-US" w:eastAsia="en-US" w:bidi="th-TH"/>
        </w:rPr>
        <w:t xml:space="preserve">for all types of disputes </w:t>
      </w:r>
      <w:r>
        <w:rPr>
          <w:lang w:val="en-US" w:eastAsia="en-US" w:bidi="th-TH"/>
        </w:rPr>
        <w:t>(</w:t>
      </w:r>
      <w:r>
        <w:t xml:space="preserve">Jackson, </w:t>
      </w:r>
      <w:r w:rsidRPr="00D371CD">
        <w:t>2010</w:t>
      </w:r>
      <w:r>
        <w:t xml:space="preserve">) </w:t>
      </w:r>
      <w:r w:rsidR="00EA13B8">
        <w:rPr>
          <w:lang w:val="en-US" w:eastAsia="en-US" w:bidi="th-TH"/>
        </w:rPr>
        <w:t xml:space="preserve">including </w:t>
      </w:r>
      <w:r>
        <w:rPr>
          <w:lang w:val="en-US" w:eastAsia="en-US" w:bidi="th-TH"/>
        </w:rPr>
        <w:t xml:space="preserve">construction disputes in </w:t>
      </w:r>
      <w:r w:rsidR="00EA13B8">
        <w:rPr>
          <w:lang w:val="en-US" w:eastAsia="en-US" w:bidi="th-TH"/>
        </w:rPr>
        <w:t xml:space="preserve">England and </w:t>
      </w:r>
      <w:r>
        <w:rPr>
          <w:lang w:val="en-US" w:eastAsia="en-US" w:bidi="th-TH"/>
        </w:rPr>
        <w:t xml:space="preserve">other </w:t>
      </w:r>
      <w:r w:rsidRPr="009B45C7">
        <w:rPr>
          <w:lang w:val="en-US" w:eastAsia="en-US" w:bidi="th-TH"/>
        </w:rPr>
        <w:t xml:space="preserve">countries (Brooker and Wilkinson, 2010 and </w:t>
      </w:r>
      <w:r w:rsidRPr="009B45C7">
        <w:t xml:space="preserve">Stipanowich, </w:t>
      </w:r>
      <w:r w:rsidRPr="00DE420B">
        <w:t>1996</w:t>
      </w:r>
      <w:r w:rsidRPr="00DE420B">
        <w:rPr>
          <w:lang w:val="en-US" w:eastAsia="en-US" w:bidi="th-TH"/>
        </w:rPr>
        <w:t>)</w:t>
      </w:r>
      <w:r w:rsidR="00EA13B8">
        <w:rPr>
          <w:lang w:val="en-US" w:eastAsia="en-US" w:bidi="th-TH"/>
        </w:rPr>
        <w:t>.</w:t>
      </w:r>
      <w:r w:rsidRPr="00DE420B">
        <w:rPr>
          <w:lang w:val="en-US" w:eastAsia="en-US" w:bidi="th-TH"/>
        </w:rPr>
        <w:t xml:space="preserve"> </w:t>
      </w:r>
      <w:r w:rsidR="00EA13B8">
        <w:rPr>
          <w:lang w:val="en-US" w:eastAsia="en-US" w:bidi="th-TH"/>
        </w:rPr>
        <w:t>Whilst the</w:t>
      </w:r>
      <w:r w:rsidR="00EA13B8" w:rsidRPr="004A46D6">
        <w:rPr>
          <w:rFonts w:ascii="Times-Roman" w:hAnsi="Times-Roman" w:cs="Times-Roman"/>
        </w:rPr>
        <w:t xml:space="preserve"> UK </w:t>
      </w:r>
      <w:r w:rsidR="00EA13B8">
        <w:rPr>
          <w:rFonts w:ascii="Times-Roman" w:hAnsi="Times-Roman" w:cs="Times-Roman"/>
        </w:rPr>
        <w:t xml:space="preserve">takes the credit of being </w:t>
      </w:r>
      <w:r w:rsidR="00EA13B8" w:rsidRPr="004A46D6">
        <w:rPr>
          <w:rFonts w:ascii="Times-Roman" w:hAnsi="Times-Roman" w:cs="Times-Roman"/>
        </w:rPr>
        <w:t xml:space="preserve">the only </w:t>
      </w:r>
      <w:r w:rsidR="00EA13B8">
        <w:rPr>
          <w:rFonts w:ascii="Times-Roman" w:hAnsi="Times-Roman" w:cs="Times-Roman"/>
        </w:rPr>
        <w:t>country</w:t>
      </w:r>
      <w:r w:rsidR="00EA13B8" w:rsidRPr="004A46D6">
        <w:rPr>
          <w:rFonts w:ascii="Times-Roman" w:hAnsi="Times-Roman" w:cs="Times-Roman"/>
        </w:rPr>
        <w:t xml:space="preserve"> </w:t>
      </w:r>
      <w:r w:rsidR="00EA13B8">
        <w:rPr>
          <w:rFonts w:ascii="Times-Roman" w:hAnsi="Times-Roman" w:cs="Times-Roman"/>
        </w:rPr>
        <w:t>in the world to impose</w:t>
      </w:r>
      <w:r w:rsidR="00EA13B8" w:rsidRPr="004A46D6">
        <w:rPr>
          <w:rFonts w:ascii="Times-Roman" w:hAnsi="Times-Roman" w:cs="Times-Roman"/>
        </w:rPr>
        <w:t xml:space="preserve"> legislation to ensure the</w:t>
      </w:r>
      <w:r w:rsidR="00EA13B8">
        <w:rPr>
          <w:rFonts w:ascii="Times-Roman" w:hAnsi="Times-Roman" w:cs="Times-Roman"/>
        </w:rPr>
        <w:t xml:space="preserve"> construction supply chain receives prompt payment to reduce pay-related </w:t>
      </w:r>
      <w:r w:rsidR="00EA13B8" w:rsidRPr="004A46D6">
        <w:rPr>
          <w:rFonts w:ascii="Times-Roman" w:hAnsi="Times-Roman" w:cs="Times-Roman"/>
        </w:rPr>
        <w:t>disputes</w:t>
      </w:r>
      <w:r w:rsidR="00EA7FBA">
        <w:rPr>
          <w:rFonts w:ascii="Times-Roman" w:hAnsi="Times-Roman" w:cs="Times-Roman"/>
        </w:rPr>
        <w:t xml:space="preserve">, </w:t>
      </w:r>
      <w:r w:rsidRPr="00DE420B">
        <w:rPr>
          <w:lang w:val="en-US" w:eastAsia="en-US" w:bidi="th-TH"/>
        </w:rPr>
        <w:t xml:space="preserve">there still </w:t>
      </w:r>
      <w:r w:rsidR="00AE2F53">
        <w:rPr>
          <w:lang w:val="en-US" w:eastAsia="en-US" w:bidi="th-TH"/>
        </w:rPr>
        <w:t xml:space="preserve">continues to be a lack of </w:t>
      </w:r>
      <w:r w:rsidR="00AE2F53" w:rsidRPr="008B256A">
        <w:rPr>
          <w:color w:val="000000" w:themeColor="text1"/>
          <w:lang w:val="en-US" w:eastAsia="en-US" w:bidi="th-TH"/>
        </w:rPr>
        <w:t>use of</w:t>
      </w:r>
      <w:r w:rsidRPr="008B256A">
        <w:rPr>
          <w:color w:val="000000" w:themeColor="text1"/>
          <w:lang w:val="en-US" w:eastAsia="en-US" w:bidi="th-TH"/>
        </w:rPr>
        <w:t xml:space="preserve"> the </w:t>
      </w:r>
      <w:r w:rsidRPr="00DE420B">
        <w:rPr>
          <w:lang w:val="en-US" w:eastAsia="en-US" w:bidi="th-TH"/>
        </w:rPr>
        <w:t xml:space="preserve">mediation process to resolve </w:t>
      </w:r>
      <w:r w:rsidR="00EA7FBA">
        <w:rPr>
          <w:lang w:val="en-US" w:eastAsia="en-US" w:bidi="th-TH"/>
        </w:rPr>
        <w:t xml:space="preserve">its </w:t>
      </w:r>
      <w:r w:rsidRPr="00DE420B">
        <w:rPr>
          <w:lang w:val="en-US" w:eastAsia="en-US" w:bidi="th-TH"/>
        </w:rPr>
        <w:t>construction dispute</w:t>
      </w:r>
      <w:r w:rsidR="003374BB">
        <w:rPr>
          <w:lang w:val="en-US" w:eastAsia="en-US" w:bidi="th-TH"/>
        </w:rPr>
        <w:t>s</w:t>
      </w:r>
      <w:r w:rsidR="00AE2F53">
        <w:rPr>
          <w:color w:val="C00000"/>
          <w:lang w:val="en-US" w:eastAsia="en-US" w:bidi="th-TH"/>
        </w:rPr>
        <w:t>,</w:t>
      </w:r>
      <w:r w:rsidRPr="00DE420B">
        <w:rPr>
          <w:lang w:val="en-US" w:eastAsia="en-US" w:bidi="th-TH"/>
        </w:rPr>
        <w:t xml:space="preserve"> </w:t>
      </w:r>
      <w:r w:rsidR="00EA7FBA">
        <w:rPr>
          <w:lang w:val="en-US" w:eastAsia="en-US" w:bidi="th-TH"/>
        </w:rPr>
        <w:t xml:space="preserve">particularly in </w:t>
      </w:r>
      <w:r w:rsidRPr="00DE420B">
        <w:rPr>
          <w:lang w:val="en-US" w:eastAsia="en-US" w:bidi="th-TH"/>
        </w:rPr>
        <w:t>England.</w:t>
      </w:r>
      <w:r>
        <w:rPr>
          <w:lang w:val="en-US" w:eastAsia="en-US" w:bidi="th-TH"/>
        </w:rPr>
        <w:t xml:space="preserve"> It would appear that raising awareness of mediation </w:t>
      </w:r>
      <w:r w:rsidR="00EA7FBA">
        <w:rPr>
          <w:lang w:val="en-US" w:eastAsia="en-US" w:bidi="th-TH"/>
        </w:rPr>
        <w:t>has not been</w:t>
      </w:r>
      <w:r>
        <w:rPr>
          <w:lang w:val="en-US" w:eastAsia="en-US" w:bidi="th-TH"/>
        </w:rPr>
        <w:t xml:space="preserve"> sufficient</w:t>
      </w:r>
      <w:r w:rsidR="00EA7FBA">
        <w:rPr>
          <w:lang w:val="en-US" w:eastAsia="en-US" w:bidi="th-TH"/>
        </w:rPr>
        <w:t>.</w:t>
      </w:r>
      <w:r>
        <w:rPr>
          <w:lang w:val="en-US" w:eastAsia="en-US" w:bidi="th-TH"/>
        </w:rPr>
        <w:t xml:space="preserve"> </w:t>
      </w:r>
      <w:r w:rsidR="00EA7FBA">
        <w:rPr>
          <w:lang w:val="en-US" w:eastAsia="en-US" w:bidi="th-TH"/>
        </w:rPr>
        <w:t>Raising</w:t>
      </w:r>
      <w:r>
        <w:rPr>
          <w:lang w:val="en-US" w:eastAsia="en-US" w:bidi="th-TH"/>
        </w:rPr>
        <w:t xml:space="preserve"> awareness also needs to be coupled with an understanding of the process, the benefits it can deliver and an increased accessibility to mediation. Mediation would appear to require the contractual support that adjudication currently enjoys with more robust clauses within the standard forms of construction contracts, encouraging parties to the dispute to engage in mediation prior to the default of adjudication. It is encouraging, however, that the major contractors and construction professionals appear to be willing to engage with mediation</w:t>
      </w:r>
      <w:r w:rsidR="00EA7FBA">
        <w:rPr>
          <w:lang w:val="en-US" w:eastAsia="en-US" w:bidi="th-TH"/>
        </w:rPr>
        <w:t xml:space="preserve">. This </w:t>
      </w:r>
      <w:r>
        <w:rPr>
          <w:lang w:val="en-US" w:eastAsia="en-US" w:bidi="th-TH"/>
        </w:rPr>
        <w:t xml:space="preserve">research would indicate that the requirement is to educate the supply chain </w:t>
      </w:r>
      <w:r w:rsidR="00EA7FBA">
        <w:rPr>
          <w:lang w:val="en-US" w:eastAsia="en-US" w:bidi="th-TH"/>
        </w:rPr>
        <w:t xml:space="preserve">in the detail of mediation. This is particularly important for </w:t>
      </w:r>
      <w:r w:rsidR="004736BF">
        <w:rPr>
          <w:lang w:val="en-US" w:eastAsia="en-US" w:bidi="th-TH"/>
        </w:rPr>
        <w:t>main</w:t>
      </w:r>
      <w:r>
        <w:rPr>
          <w:lang w:val="en-US" w:eastAsia="en-US" w:bidi="th-TH"/>
        </w:rPr>
        <w:t xml:space="preserve"> contractors, </w:t>
      </w:r>
      <w:r w:rsidR="00EA7FBA">
        <w:rPr>
          <w:lang w:val="en-US" w:eastAsia="en-US" w:bidi="th-TH"/>
        </w:rPr>
        <w:t xml:space="preserve">who hold a significant stake in a dispute from its rise to the methods of resolving it. </w:t>
      </w:r>
      <w:r w:rsidR="004736BF">
        <w:rPr>
          <w:lang w:val="en-US" w:eastAsia="en-US" w:bidi="th-TH"/>
        </w:rPr>
        <w:t xml:space="preserve"> </w:t>
      </w:r>
      <w:r w:rsidR="004736BF">
        <w:rPr>
          <w:rFonts w:ascii="Times-Roman" w:hAnsi="Times-Roman" w:cs="Times-Roman"/>
        </w:rPr>
        <w:t xml:space="preserve">Trushell et al (2012) present some interesting statistic on how </w:t>
      </w:r>
      <w:r w:rsidR="009A2543">
        <w:rPr>
          <w:rFonts w:ascii="Times-Roman" w:hAnsi="Times-Roman" w:cs="Times-Roman"/>
        </w:rPr>
        <w:t xml:space="preserve">UK’s construction </w:t>
      </w:r>
      <w:r w:rsidR="004736BF">
        <w:rPr>
          <w:rFonts w:ascii="Times-Roman" w:hAnsi="Times-Roman" w:cs="Times-Roman"/>
        </w:rPr>
        <w:t>disputes are distributed among the parties</w:t>
      </w:r>
      <w:r w:rsidR="009A2543">
        <w:rPr>
          <w:rFonts w:ascii="Times-Roman" w:hAnsi="Times-Roman" w:cs="Times-Roman"/>
        </w:rPr>
        <w:t xml:space="preserve"> - as illustrated in</w:t>
      </w:r>
      <w:r w:rsidR="004736BF">
        <w:rPr>
          <w:rFonts w:ascii="Times-Roman" w:hAnsi="Times-Roman" w:cs="Times-Roman"/>
        </w:rPr>
        <w:t xml:space="preserve"> figure </w:t>
      </w:r>
      <w:r w:rsidR="009A2543">
        <w:rPr>
          <w:rFonts w:ascii="Times-Roman" w:hAnsi="Times-Roman" w:cs="Times-Roman"/>
        </w:rPr>
        <w:t>1.</w:t>
      </w:r>
      <w:r w:rsidR="004736BF">
        <w:rPr>
          <w:rFonts w:ascii="Times-Roman" w:hAnsi="Times-Roman" w:cs="Times-Roman"/>
        </w:rPr>
        <w:t xml:space="preserve"> </w:t>
      </w:r>
      <w:r w:rsidR="009A2543">
        <w:rPr>
          <w:rFonts w:ascii="Times-Roman" w:hAnsi="Times-Roman" w:cs="Times-Roman"/>
        </w:rPr>
        <w:t xml:space="preserve">The statistics </w:t>
      </w:r>
      <w:r w:rsidR="004736BF">
        <w:rPr>
          <w:rFonts w:ascii="Times-Roman" w:hAnsi="Times-Roman" w:cs="Times-Roman"/>
        </w:rPr>
        <w:t xml:space="preserve">show that </w:t>
      </w:r>
      <w:r w:rsidR="009A2543">
        <w:rPr>
          <w:rFonts w:ascii="Times-Roman" w:hAnsi="Times-Roman" w:cs="Times-Roman"/>
        </w:rPr>
        <w:t xml:space="preserve">most disputes are between subcontractors and their main contractors (38%) and </w:t>
      </w:r>
      <w:r w:rsidR="004736BF">
        <w:rPr>
          <w:rFonts w:ascii="Times-Roman" w:hAnsi="Times-Roman" w:cs="Times-Roman"/>
        </w:rPr>
        <w:t xml:space="preserve">between </w:t>
      </w:r>
      <w:r w:rsidR="009A2543">
        <w:rPr>
          <w:rFonts w:ascii="Times-Roman" w:hAnsi="Times-Roman" w:cs="Times-Roman"/>
        </w:rPr>
        <w:t xml:space="preserve">employers </w:t>
      </w:r>
      <w:r w:rsidR="004736BF">
        <w:rPr>
          <w:rFonts w:ascii="Times-Roman" w:hAnsi="Times-Roman" w:cs="Times-Roman"/>
        </w:rPr>
        <w:t xml:space="preserve">and </w:t>
      </w:r>
      <w:r w:rsidR="009A2543">
        <w:rPr>
          <w:rFonts w:ascii="Times-Roman" w:hAnsi="Times-Roman" w:cs="Times-Roman"/>
        </w:rPr>
        <w:t>their m</w:t>
      </w:r>
      <w:r w:rsidR="004736BF">
        <w:rPr>
          <w:rFonts w:ascii="Times-Roman" w:hAnsi="Times-Roman" w:cs="Times-Roman"/>
        </w:rPr>
        <w:t>ain Contractors</w:t>
      </w:r>
      <w:r w:rsidR="009A2543">
        <w:rPr>
          <w:rFonts w:ascii="Times-Roman" w:hAnsi="Times-Roman" w:cs="Times-Roman"/>
        </w:rPr>
        <w:t xml:space="preserve"> (35</w:t>
      </w:r>
      <w:r w:rsidR="009A2543" w:rsidRPr="008B256A">
        <w:rPr>
          <w:rFonts w:ascii="Times-Roman" w:hAnsi="Times-Roman" w:cs="Times-Roman"/>
          <w:color w:val="000000" w:themeColor="text1"/>
        </w:rPr>
        <w:t xml:space="preserve">%). </w:t>
      </w:r>
      <w:r w:rsidR="002A590A" w:rsidRPr="008B256A">
        <w:rPr>
          <w:rFonts w:ascii="Times-Roman" w:hAnsi="Times-Roman" w:cs="Times-Roman"/>
          <w:color w:val="000000" w:themeColor="text1"/>
        </w:rPr>
        <w:t>Taken together, t</w:t>
      </w:r>
      <w:r w:rsidR="009A2543" w:rsidRPr="008B256A">
        <w:rPr>
          <w:rFonts w:ascii="Times-Roman" w:hAnsi="Times-Roman" w:cs="Times-Roman"/>
          <w:color w:val="000000" w:themeColor="text1"/>
        </w:rPr>
        <w:t>hese two categories account for over 70% of all disputes.</w:t>
      </w:r>
    </w:p>
    <w:p w:rsidR="004736BF" w:rsidRPr="008B256A" w:rsidRDefault="004736BF" w:rsidP="0020458A">
      <w:pPr>
        <w:autoSpaceDE w:val="0"/>
        <w:autoSpaceDN w:val="0"/>
        <w:adjustRightInd w:val="0"/>
        <w:jc w:val="both"/>
        <w:rPr>
          <w:rFonts w:ascii="Times-Roman" w:hAnsi="Times-Roman" w:cs="Times-Roman"/>
          <w:color w:val="000000" w:themeColor="text1"/>
          <w:szCs w:val="22"/>
        </w:rPr>
      </w:pPr>
    </w:p>
    <w:p w:rsidR="004736BF" w:rsidRDefault="004736BF" w:rsidP="0020458A">
      <w:pPr>
        <w:keepNext/>
        <w:jc w:val="both"/>
      </w:pPr>
      <w:r w:rsidRPr="006F01C8">
        <w:rPr>
          <w:rFonts w:cs="Arial"/>
          <w:noProof/>
        </w:rPr>
        <w:lastRenderedPageBreak/>
        <w:drawing>
          <wp:inline distT="0" distB="0" distL="0" distR="0" wp14:anchorId="6F1E6411" wp14:editId="7BF1CFF7">
            <wp:extent cx="6696075" cy="4410075"/>
            <wp:effectExtent l="0" t="0" r="9525" b="952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96075" cy="4410075"/>
                    </a:xfrm>
                    <a:prstGeom prst="rect">
                      <a:avLst/>
                    </a:prstGeom>
                    <a:noFill/>
                    <a:ln>
                      <a:noFill/>
                    </a:ln>
                  </pic:spPr>
                </pic:pic>
              </a:graphicData>
            </a:graphic>
          </wp:inline>
        </w:drawing>
      </w:r>
    </w:p>
    <w:p w:rsidR="004736BF" w:rsidRPr="0020458A" w:rsidRDefault="004736BF" w:rsidP="0020458A">
      <w:pPr>
        <w:pStyle w:val="Caption"/>
        <w:jc w:val="both"/>
        <w:rPr>
          <w:rFonts w:cs="Arial"/>
          <w:b w:val="0"/>
          <w:sz w:val="22"/>
          <w:szCs w:val="22"/>
        </w:rPr>
      </w:pPr>
      <w:r w:rsidRPr="0020458A">
        <w:rPr>
          <w:b w:val="0"/>
          <w:sz w:val="22"/>
          <w:szCs w:val="22"/>
        </w:rPr>
        <w:t xml:space="preserve">Figure </w:t>
      </w:r>
      <w:r w:rsidRPr="0020458A">
        <w:rPr>
          <w:b w:val="0"/>
          <w:sz w:val="22"/>
          <w:szCs w:val="22"/>
        </w:rPr>
        <w:fldChar w:fldCharType="begin"/>
      </w:r>
      <w:r w:rsidRPr="0020458A">
        <w:rPr>
          <w:b w:val="0"/>
          <w:sz w:val="22"/>
          <w:szCs w:val="22"/>
        </w:rPr>
        <w:instrText xml:space="preserve"> SEQ Figure \* ARABIC </w:instrText>
      </w:r>
      <w:r w:rsidRPr="0020458A">
        <w:rPr>
          <w:b w:val="0"/>
          <w:sz w:val="22"/>
          <w:szCs w:val="22"/>
        </w:rPr>
        <w:fldChar w:fldCharType="separate"/>
      </w:r>
      <w:r w:rsidRPr="0020458A">
        <w:rPr>
          <w:b w:val="0"/>
          <w:noProof/>
          <w:sz w:val="22"/>
          <w:szCs w:val="22"/>
        </w:rPr>
        <w:t>1</w:t>
      </w:r>
      <w:r w:rsidRPr="0020458A">
        <w:rPr>
          <w:b w:val="0"/>
          <w:sz w:val="22"/>
          <w:szCs w:val="22"/>
        </w:rPr>
        <w:fldChar w:fldCharType="end"/>
      </w:r>
      <w:r w:rsidRPr="0020458A">
        <w:rPr>
          <w:b w:val="0"/>
          <w:sz w:val="22"/>
          <w:szCs w:val="22"/>
        </w:rPr>
        <w:t>: breakdown of construction by parties involved (based on Trushell et al, 2014)</w:t>
      </w:r>
    </w:p>
    <w:p w:rsidR="004736BF" w:rsidRDefault="004736BF" w:rsidP="0020458A">
      <w:pPr>
        <w:jc w:val="both"/>
        <w:rPr>
          <w:rFonts w:cs="Arial"/>
        </w:rPr>
      </w:pPr>
    </w:p>
    <w:p w:rsidR="007A4D9E" w:rsidRPr="000366B6" w:rsidRDefault="00EC255E" w:rsidP="0020458A">
      <w:pPr>
        <w:jc w:val="both"/>
        <w:rPr>
          <w:color w:val="000000" w:themeColor="text1"/>
        </w:rPr>
      </w:pPr>
      <w:r>
        <w:t xml:space="preserve">Whilst there is a plethora of recent studies </w:t>
      </w:r>
      <w:r w:rsidR="00F62049">
        <w:t>(</w:t>
      </w:r>
      <w:r w:rsidR="004F0DA2">
        <w:t>Stipanowich, 1996; Thomson, 2001</w:t>
      </w:r>
      <w:r w:rsidR="00F62049">
        <w:t>; Booker, 2007;</w:t>
      </w:r>
      <w:r w:rsidR="00F62049" w:rsidRPr="00F62049">
        <w:t xml:space="preserve"> </w:t>
      </w:r>
      <w:r w:rsidR="00F62049">
        <w:t xml:space="preserve">Agapiou, 2011; </w:t>
      </w:r>
      <w:r w:rsidR="00DA505C" w:rsidRPr="007A4D9E">
        <w:t>Agapiou and C</w:t>
      </w:r>
      <w:r w:rsidR="00DA505C">
        <w:t>lark, 2012</w:t>
      </w:r>
      <w:r w:rsidR="00F62049">
        <w:t xml:space="preserve">) </w:t>
      </w:r>
      <w:r>
        <w:t xml:space="preserve">to evidence that </w:t>
      </w:r>
      <w:r w:rsidR="004F0DA2">
        <w:t>media</w:t>
      </w:r>
      <w:r w:rsidR="00DA505C">
        <w:t>tion</w:t>
      </w:r>
      <w:r w:rsidR="004F0DA2">
        <w:t xml:space="preserve"> is the right course of action for construction disputes, only a </w:t>
      </w:r>
      <w:r w:rsidR="00AC27B5">
        <w:t xml:space="preserve">limited amount </w:t>
      </w:r>
      <w:r w:rsidR="007833D4">
        <w:t>of studie</w:t>
      </w:r>
      <w:r w:rsidR="00DA505C">
        <w:t xml:space="preserve">s </w:t>
      </w:r>
      <w:r w:rsidR="00AC27B5">
        <w:t xml:space="preserve">exists into </w:t>
      </w:r>
      <w:r w:rsidR="00AC27B5" w:rsidRPr="000366B6">
        <w:rPr>
          <w:color w:val="000000" w:themeColor="text1"/>
        </w:rPr>
        <w:t xml:space="preserve">the </w:t>
      </w:r>
      <w:r w:rsidR="002A590A" w:rsidRPr="000366B6">
        <w:rPr>
          <w:color w:val="000000" w:themeColor="text1"/>
        </w:rPr>
        <w:t xml:space="preserve">actual </w:t>
      </w:r>
      <w:r w:rsidR="00AC27B5" w:rsidRPr="000366B6">
        <w:rPr>
          <w:color w:val="000000" w:themeColor="text1"/>
        </w:rPr>
        <w:t xml:space="preserve">use of mediation in </w:t>
      </w:r>
      <w:r w:rsidR="00DA505C" w:rsidRPr="000366B6">
        <w:rPr>
          <w:color w:val="000000" w:themeColor="text1"/>
        </w:rPr>
        <w:t>England</w:t>
      </w:r>
      <w:r w:rsidR="007833D4" w:rsidRPr="000366B6">
        <w:rPr>
          <w:color w:val="000000" w:themeColor="text1"/>
        </w:rPr>
        <w:t xml:space="preserve"> and barriers hitherto</w:t>
      </w:r>
      <w:r w:rsidR="00AC27B5" w:rsidRPr="000366B6">
        <w:rPr>
          <w:color w:val="000000" w:themeColor="text1"/>
        </w:rPr>
        <w:t xml:space="preserve">.  </w:t>
      </w:r>
      <w:r w:rsidR="004F0DA2" w:rsidRPr="000366B6">
        <w:rPr>
          <w:color w:val="000000" w:themeColor="text1"/>
        </w:rPr>
        <w:t xml:space="preserve">For example in the USA, existing </w:t>
      </w:r>
      <w:r w:rsidR="007A4D9E" w:rsidRPr="000366B6">
        <w:rPr>
          <w:color w:val="000000" w:themeColor="text1"/>
        </w:rPr>
        <w:t xml:space="preserve">research </w:t>
      </w:r>
      <w:r w:rsidR="00BF14B9" w:rsidRPr="000366B6">
        <w:rPr>
          <w:color w:val="000000" w:themeColor="text1"/>
        </w:rPr>
        <w:t xml:space="preserve">(Stipanowich, 1996, Thomson, 2001) </w:t>
      </w:r>
      <w:r w:rsidR="004F0DA2" w:rsidRPr="000366B6">
        <w:rPr>
          <w:color w:val="000000" w:themeColor="text1"/>
        </w:rPr>
        <w:t xml:space="preserve">demonstrates </w:t>
      </w:r>
      <w:r w:rsidR="004F0DA2">
        <w:t>that mediatio</w:t>
      </w:r>
      <w:r w:rsidR="004F0DA2" w:rsidRPr="0045075C">
        <w:t>n</w:t>
      </w:r>
      <w:r w:rsidR="004F0DA2">
        <w:t xml:space="preserve"> can be used </w:t>
      </w:r>
      <w:r w:rsidR="004F0DA2" w:rsidRPr="000366B6">
        <w:rPr>
          <w:color w:val="000000" w:themeColor="text1"/>
        </w:rPr>
        <w:t xml:space="preserve">successfully </w:t>
      </w:r>
      <w:r w:rsidR="00FE22D4" w:rsidRPr="000366B6">
        <w:rPr>
          <w:color w:val="000000" w:themeColor="text1"/>
        </w:rPr>
        <w:t xml:space="preserve">to resolve disputes </w:t>
      </w:r>
      <w:r w:rsidR="004F0DA2" w:rsidRPr="000366B6">
        <w:rPr>
          <w:color w:val="000000" w:themeColor="text1"/>
        </w:rPr>
        <w:t>in construction</w:t>
      </w:r>
      <w:r w:rsidR="00BF14B9" w:rsidRPr="000366B6">
        <w:rPr>
          <w:color w:val="000000" w:themeColor="text1"/>
        </w:rPr>
        <w:t xml:space="preserve"> and</w:t>
      </w:r>
      <w:r w:rsidR="004F0DA2" w:rsidRPr="000366B6">
        <w:rPr>
          <w:color w:val="000000" w:themeColor="text1"/>
        </w:rPr>
        <w:t xml:space="preserve"> </w:t>
      </w:r>
      <w:r w:rsidR="007A4D9E" w:rsidRPr="000366B6">
        <w:rPr>
          <w:color w:val="000000" w:themeColor="text1"/>
        </w:rPr>
        <w:t xml:space="preserve">reports the </w:t>
      </w:r>
      <w:r w:rsidR="000275FC" w:rsidRPr="000366B6">
        <w:rPr>
          <w:color w:val="000000" w:themeColor="text1"/>
        </w:rPr>
        <w:t xml:space="preserve">survey by </w:t>
      </w:r>
      <w:r w:rsidR="00BF14B9" w:rsidRPr="000366B6">
        <w:rPr>
          <w:color w:val="000000" w:themeColor="text1"/>
        </w:rPr>
        <w:t xml:space="preserve">the </w:t>
      </w:r>
      <w:r w:rsidR="007A4D9E" w:rsidRPr="000366B6">
        <w:rPr>
          <w:color w:val="000000" w:themeColor="text1"/>
        </w:rPr>
        <w:t xml:space="preserve">American Bar Association </w:t>
      </w:r>
      <w:r w:rsidR="000275FC" w:rsidRPr="000366B6">
        <w:rPr>
          <w:color w:val="000000" w:themeColor="text1"/>
        </w:rPr>
        <w:t xml:space="preserve">which shows that members of </w:t>
      </w:r>
      <w:r w:rsidR="007A4D9E" w:rsidRPr="000366B6">
        <w:rPr>
          <w:color w:val="000000" w:themeColor="text1"/>
        </w:rPr>
        <w:t>the US Construction Forum have participated in between 10,000 and 15,000 mediations</w:t>
      </w:r>
      <w:r w:rsidR="000275FC" w:rsidRPr="000366B6">
        <w:rPr>
          <w:color w:val="000000" w:themeColor="text1"/>
        </w:rPr>
        <w:t xml:space="preserve">. </w:t>
      </w:r>
      <w:r w:rsidR="00FE22D4" w:rsidRPr="000366B6">
        <w:rPr>
          <w:color w:val="000000" w:themeColor="text1"/>
        </w:rPr>
        <w:t>In</w:t>
      </w:r>
      <w:r w:rsidR="000275FC" w:rsidRPr="000366B6">
        <w:rPr>
          <w:color w:val="000000" w:themeColor="text1"/>
        </w:rPr>
        <w:t xml:space="preserve"> a more recent study in the USA</w:t>
      </w:r>
      <w:r w:rsidR="00FE22D4" w:rsidRPr="000366B6">
        <w:rPr>
          <w:color w:val="000000" w:themeColor="text1"/>
        </w:rPr>
        <w:t>, Fullerton</w:t>
      </w:r>
      <w:r w:rsidR="007A4D9E" w:rsidRPr="000366B6">
        <w:rPr>
          <w:color w:val="000000" w:themeColor="text1"/>
        </w:rPr>
        <w:t xml:space="preserve"> (2005</w:t>
      </w:r>
      <w:r w:rsidR="00FE22D4" w:rsidRPr="000366B6">
        <w:rPr>
          <w:color w:val="000000" w:themeColor="text1"/>
        </w:rPr>
        <w:t xml:space="preserve">: </w:t>
      </w:r>
      <w:r w:rsidR="007A4D9E" w:rsidRPr="000366B6">
        <w:rPr>
          <w:color w:val="000000" w:themeColor="text1"/>
        </w:rPr>
        <w:t xml:space="preserve">54 cited in Brooker, 2007) </w:t>
      </w:r>
      <w:r w:rsidR="00FE22D4" w:rsidRPr="000366B6">
        <w:rPr>
          <w:color w:val="000000" w:themeColor="text1"/>
        </w:rPr>
        <w:t>presents statistics from</w:t>
      </w:r>
      <w:r w:rsidR="007A4D9E" w:rsidRPr="000366B6">
        <w:rPr>
          <w:color w:val="000000" w:themeColor="text1"/>
        </w:rPr>
        <w:t xml:space="preserve"> the national survey by Deloitte &amp; Touche </w:t>
      </w:r>
      <w:r w:rsidR="00BF14B9" w:rsidRPr="000366B6">
        <w:rPr>
          <w:color w:val="000000" w:themeColor="text1"/>
        </w:rPr>
        <w:t>which illustrated</w:t>
      </w:r>
      <w:r w:rsidR="007A4D9E" w:rsidRPr="000366B6">
        <w:rPr>
          <w:color w:val="000000" w:themeColor="text1"/>
        </w:rPr>
        <w:t xml:space="preserve"> that over 66% of contractors in the USA have used mediation.</w:t>
      </w:r>
    </w:p>
    <w:p w:rsidR="00B35C2A" w:rsidRPr="00AE232B" w:rsidRDefault="00B35C2A" w:rsidP="0020458A">
      <w:pPr>
        <w:autoSpaceDE w:val="0"/>
        <w:autoSpaceDN w:val="0"/>
        <w:adjustRightInd w:val="0"/>
        <w:jc w:val="both"/>
        <w:rPr>
          <w:rFonts w:cs="Arial"/>
          <w:szCs w:val="22"/>
        </w:rPr>
      </w:pPr>
    </w:p>
    <w:p w:rsidR="00CC774C" w:rsidRPr="002F73F3" w:rsidRDefault="007A4D9E" w:rsidP="0020458A">
      <w:pPr>
        <w:jc w:val="both"/>
        <w:rPr>
          <w:color w:val="000000" w:themeColor="text1"/>
          <w:szCs w:val="22"/>
        </w:rPr>
      </w:pPr>
      <w:r>
        <w:t>In the UK</w:t>
      </w:r>
      <w:r w:rsidR="008A750E">
        <w:t xml:space="preserve">, current information into the </w:t>
      </w:r>
      <w:r w:rsidRPr="007A4D9E">
        <w:t xml:space="preserve">use of </w:t>
      </w:r>
      <w:r w:rsidRPr="002F73F3">
        <w:rPr>
          <w:color w:val="000000" w:themeColor="text1"/>
        </w:rPr>
        <w:t xml:space="preserve">mediation </w:t>
      </w:r>
      <w:r w:rsidR="00AC0530" w:rsidRPr="002F73F3">
        <w:rPr>
          <w:color w:val="000000" w:themeColor="text1"/>
        </w:rPr>
        <w:t>is examined</w:t>
      </w:r>
      <w:r w:rsidR="008A750E" w:rsidRPr="002F73F3">
        <w:rPr>
          <w:color w:val="000000" w:themeColor="text1"/>
        </w:rPr>
        <w:t xml:space="preserve"> by three </w:t>
      </w:r>
      <w:r w:rsidR="007833D4" w:rsidRPr="002F73F3">
        <w:rPr>
          <w:color w:val="000000" w:themeColor="text1"/>
        </w:rPr>
        <w:t>studies. The study by Gould (2009)</w:t>
      </w:r>
      <w:r w:rsidR="00AC0530" w:rsidRPr="002F73F3">
        <w:rPr>
          <w:color w:val="000000" w:themeColor="text1"/>
        </w:rPr>
        <w:t>,</w:t>
      </w:r>
      <w:r w:rsidR="007833D4" w:rsidRPr="002F73F3">
        <w:rPr>
          <w:color w:val="000000" w:themeColor="text1"/>
        </w:rPr>
        <w:t xml:space="preserve"> </w:t>
      </w:r>
      <w:r w:rsidR="000546CB" w:rsidRPr="002F73F3">
        <w:rPr>
          <w:color w:val="000000" w:themeColor="text1"/>
        </w:rPr>
        <w:t xml:space="preserve">which </w:t>
      </w:r>
      <w:r w:rsidR="0011201F" w:rsidRPr="002F73F3">
        <w:rPr>
          <w:color w:val="000000" w:themeColor="text1"/>
        </w:rPr>
        <w:t>is UK</w:t>
      </w:r>
      <w:r w:rsidR="000546CB" w:rsidRPr="002F73F3">
        <w:rPr>
          <w:color w:val="000000" w:themeColor="text1"/>
        </w:rPr>
        <w:t>-</w:t>
      </w:r>
      <w:r w:rsidR="0011201F" w:rsidRPr="002F73F3">
        <w:rPr>
          <w:color w:val="000000" w:themeColor="text1"/>
        </w:rPr>
        <w:t>wide</w:t>
      </w:r>
      <w:r w:rsidR="00AC0530" w:rsidRPr="002F73F3">
        <w:rPr>
          <w:color w:val="000000" w:themeColor="text1"/>
        </w:rPr>
        <w:t>,</w:t>
      </w:r>
      <w:r w:rsidR="0011201F" w:rsidRPr="002F73F3">
        <w:rPr>
          <w:color w:val="000000" w:themeColor="text1"/>
        </w:rPr>
        <w:t xml:space="preserve"> focus</w:t>
      </w:r>
      <w:r w:rsidR="000546CB" w:rsidRPr="002F73F3">
        <w:rPr>
          <w:color w:val="000000" w:themeColor="text1"/>
        </w:rPr>
        <w:t>ed</w:t>
      </w:r>
      <w:r w:rsidR="007833D4" w:rsidRPr="002F73F3">
        <w:rPr>
          <w:color w:val="000000" w:themeColor="text1"/>
        </w:rPr>
        <w:t xml:space="preserve"> </w:t>
      </w:r>
      <w:r w:rsidR="005241B2" w:rsidRPr="002F73F3">
        <w:rPr>
          <w:color w:val="000000" w:themeColor="text1"/>
        </w:rPr>
        <w:t>on</w:t>
      </w:r>
      <w:r w:rsidR="008A750E" w:rsidRPr="002F73F3">
        <w:rPr>
          <w:color w:val="000000" w:themeColor="text1"/>
        </w:rPr>
        <w:t xml:space="preserve"> t</w:t>
      </w:r>
      <w:r w:rsidRPr="002F73F3">
        <w:rPr>
          <w:color w:val="000000" w:themeColor="text1"/>
        </w:rPr>
        <w:t>hose cases reaching the Technology and Construction Courts</w:t>
      </w:r>
      <w:r w:rsidR="005241B2" w:rsidRPr="002F73F3">
        <w:rPr>
          <w:color w:val="000000" w:themeColor="text1"/>
        </w:rPr>
        <w:t>, while the other two studies</w:t>
      </w:r>
      <w:r w:rsidRPr="002F73F3">
        <w:rPr>
          <w:color w:val="000000" w:themeColor="text1"/>
        </w:rPr>
        <w:t xml:space="preserve"> </w:t>
      </w:r>
      <w:r w:rsidR="005241B2" w:rsidRPr="002F73F3">
        <w:rPr>
          <w:color w:val="000000" w:themeColor="text1"/>
        </w:rPr>
        <w:t xml:space="preserve">(Agapiou and Clark, </w:t>
      </w:r>
      <w:r w:rsidR="00AC0530" w:rsidRPr="002F73F3">
        <w:rPr>
          <w:color w:val="000000" w:themeColor="text1"/>
        </w:rPr>
        <w:t>2012) and (Agapiou, 2011) considers</w:t>
      </w:r>
      <w:r w:rsidR="005241B2" w:rsidRPr="002F73F3">
        <w:rPr>
          <w:color w:val="000000" w:themeColor="text1"/>
        </w:rPr>
        <w:t xml:space="preserve"> </w:t>
      </w:r>
      <w:r w:rsidR="00AC0530" w:rsidRPr="002F73F3">
        <w:rPr>
          <w:color w:val="000000" w:themeColor="text1"/>
        </w:rPr>
        <w:t>the use of mediation in</w:t>
      </w:r>
      <w:r w:rsidRPr="002F73F3">
        <w:rPr>
          <w:color w:val="000000" w:themeColor="text1"/>
        </w:rPr>
        <w:t xml:space="preserve"> Scotland</w:t>
      </w:r>
      <w:r w:rsidR="005241B2" w:rsidRPr="002F73F3">
        <w:rPr>
          <w:color w:val="000000" w:themeColor="text1"/>
        </w:rPr>
        <w:t>.</w:t>
      </w:r>
      <w:r w:rsidRPr="002F73F3">
        <w:rPr>
          <w:color w:val="000000" w:themeColor="text1"/>
        </w:rPr>
        <w:t xml:space="preserve"> None of th</w:t>
      </w:r>
      <w:r w:rsidR="005241B2" w:rsidRPr="002F73F3">
        <w:rPr>
          <w:color w:val="000000" w:themeColor="text1"/>
        </w:rPr>
        <w:t xml:space="preserve">ese studies </w:t>
      </w:r>
      <w:r w:rsidRPr="002F73F3">
        <w:rPr>
          <w:color w:val="000000" w:themeColor="text1"/>
        </w:rPr>
        <w:t>look</w:t>
      </w:r>
      <w:r w:rsidR="005241B2" w:rsidRPr="002F73F3">
        <w:rPr>
          <w:color w:val="000000" w:themeColor="text1"/>
        </w:rPr>
        <w:t>ed</w:t>
      </w:r>
      <w:r w:rsidRPr="002F73F3">
        <w:rPr>
          <w:color w:val="000000" w:themeColor="text1"/>
        </w:rPr>
        <w:t xml:space="preserve"> across all sectors of the construction industry in England, nor </w:t>
      </w:r>
      <w:r w:rsidR="00AC0530" w:rsidRPr="002F73F3">
        <w:rPr>
          <w:color w:val="000000" w:themeColor="text1"/>
        </w:rPr>
        <w:t>specifically</w:t>
      </w:r>
      <w:r w:rsidRPr="002F73F3">
        <w:rPr>
          <w:color w:val="000000" w:themeColor="text1"/>
        </w:rPr>
        <w:t xml:space="preserve"> </w:t>
      </w:r>
      <w:r w:rsidR="00EC255E" w:rsidRPr="002F73F3">
        <w:rPr>
          <w:color w:val="000000" w:themeColor="text1"/>
        </w:rPr>
        <w:t>explain</w:t>
      </w:r>
      <w:r w:rsidR="00AC0530" w:rsidRPr="002F73F3">
        <w:rPr>
          <w:color w:val="000000" w:themeColor="text1"/>
        </w:rPr>
        <w:t>ed</w:t>
      </w:r>
      <w:r w:rsidR="000D20C0" w:rsidRPr="002F73F3">
        <w:rPr>
          <w:color w:val="000000" w:themeColor="text1"/>
        </w:rPr>
        <w:t xml:space="preserve"> why </w:t>
      </w:r>
      <w:r w:rsidRPr="002F73F3">
        <w:rPr>
          <w:color w:val="000000" w:themeColor="text1"/>
        </w:rPr>
        <w:t xml:space="preserve">mediation </w:t>
      </w:r>
      <w:r w:rsidR="000D20C0" w:rsidRPr="002F73F3">
        <w:rPr>
          <w:color w:val="000000" w:themeColor="text1"/>
        </w:rPr>
        <w:t xml:space="preserve">is not </w:t>
      </w:r>
      <w:r w:rsidR="00AC0530" w:rsidRPr="002F73F3">
        <w:rPr>
          <w:color w:val="000000" w:themeColor="text1"/>
        </w:rPr>
        <w:t xml:space="preserve">more </w:t>
      </w:r>
      <w:r w:rsidR="000D20C0" w:rsidRPr="002F73F3">
        <w:rPr>
          <w:color w:val="000000" w:themeColor="text1"/>
        </w:rPr>
        <w:t xml:space="preserve">widely used </w:t>
      </w:r>
      <w:r w:rsidRPr="002F73F3">
        <w:rPr>
          <w:color w:val="000000" w:themeColor="text1"/>
        </w:rPr>
        <w:t xml:space="preserve">in </w:t>
      </w:r>
      <w:r w:rsidR="008A750E" w:rsidRPr="002F73F3">
        <w:rPr>
          <w:color w:val="000000" w:themeColor="text1"/>
        </w:rPr>
        <w:t>England.</w:t>
      </w:r>
      <w:r w:rsidR="000546CB" w:rsidRPr="002F73F3">
        <w:rPr>
          <w:color w:val="000000" w:themeColor="text1"/>
        </w:rPr>
        <w:t xml:space="preserve"> </w:t>
      </w:r>
      <w:r w:rsidR="00A573A8" w:rsidRPr="002F73F3">
        <w:rPr>
          <w:color w:val="000000" w:themeColor="text1"/>
        </w:rPr>
        <w:t>Gould’s (2009</w:t>
      </w:r>
      <w:r w:rsidR="00A573A8" w:rsidRPr="00AE232B">
        <w:t>)</w:t>
      </w:r>
      <w:r w:rsidR="00A573A8">
        <w:t xml:space="preserve"> study into </w:t>
      </w:r>
      <w:r w:rsidR="00891CE5" w:rsidRPr="00AE232B">
        <w:t xml:space="preserve">those cases reaching the Technology and Construction Courts </w:t>
      </w:r>
      <w:r w:rsidR="00A200EE" w:rsidRPr="00AE232B">
        <w:t xml:space="preserve">has shown </w:t>
      </w:r>
      <w:r w:rsidR="00A573A8">
        <w:t>that mediation could</w:t>
      </w:r>
      <w:r w:rsidR="00A573A8" w:rsidRPr="00AE232B">
        <w:t xml:space="preserve"> </w:t>
      </w:r>
      <w:r w:rsidR="00A200EE" w:rsidRPr="00AE232B">
        <w:t>successful</w:t>
      </w:r>
      <w:r w:rsidR="00A573A8">
        <w:t xml:space="preserve">ly be </w:t>
      </w:r>
      <w:r w:rsidR="00A573A8">
        <w:lastRenderedPageBreak/>
        <w:t xml:space="preserve">applied in England. </w:t>
      </w:r>
      <w:r w:rsidR="00A200EE" w:rsidRPr="00AE232B">
        <w:t xml:space="preserve"> </w:t>
      </w:r>
      <w:r w:rsidR="00A573A8">
        <w:t>The study showed that</w:t>
      </w:r>
      <w:r w:rsidR="00AE232B">
        <w:rPr>
          <w:szCs w:val="22"/>
        </w:rPr>
        <w:t xml:space="preserve"> </w:t>
      </w:r>
      <w:r w:rsidR="00CC774C" w:rsidRPr="00C870A7">
        <w:rPr>
          <w:szCs w:val="22"/>
        </w:rPr>
        <w:t xml:space="preserve">90% of cases </w:t>
      </w:r>
      <w:r w:rsidR="00A573A8">
        <w:rPr>
          <w:szCs w:val="22"/>
        </w:rPr>
        <w:t>were</w:t>
      </w:r>
      <w:r w:rsidR="00CC774C" w:rsidRPr="00C870A7">
        <w:rPr>
          <w:szCs w:val="22"/>
        </w:rPr>
        <w:t xml:space="preserve"> se</w:t>
      </w:r>
      <w:r w:rsidR="00AE232B">
        <w:rPr>
          <w:szCs w:val="22"/>
        </w:rPr>
        <w:t>ttled before they reached court</w:t>
      </w:r>
      <w:r w:rsidR="00CC774C" w:rsidRPr="00C870A7">
        <w:rPr>
          <w:szCs w:val="22"/>
        </w:rPr>
        <w:t xml:space="preserve"> </w:t>
      </w:r>
      <w:r w:rsidR="00A573A8">
        <w:rPr>
          <w:szCs w:val="22"/>
        </w:rPr>
        <w:t>-</w:t>
      </w:r>
      <w:r w:rsidR="00AE232B">
        <w:rPr>
          <w:szCs w:val="22"/>
        </w:rPr>
        <w:t xml:space="preserve"> </w:t>
      </w:r>
      <w:r w:rsidR="00A573A8">
        <w:rPr>
          <w:szCs w:val="22"/>
        </w:rPr>
        <w:t xml:space="preserve">thereby </w:t>
      </w:r>
      <w:r w:rsidR="00CC774C" w:rsidRPr="00C870A7">
        <w:rPr>
          <w:szCs w:val="22"/>
        </w:rPr>
        <w:t>confirm</w:t>
      </w:r>
      <w:r w:rsidR="00A573A8">
        <w:rPr>
          <w:szCs w:val="22"/>
        </w:rPr>
        <w:t>ing</w:t>
      </w:r>
      <w:r w:rsidR="00CC774C" w:rsidRPr="00C870A7">
        <w:rPr>
          <w:szCs w:val="22"/>
        </w:rPr>
        <w:t xml:space="preserve"> that significant cost </w:t>
      </w:r>
      <w:r w:rsidR="002A1318">
        <w:rPr>
          <w:szCs w:val="22"/>
        </w:rPr>
        <w:t xml:space="preserve">could be </w:t>
      </w:r>
      <w:r w:rsidR="00CC774C" w:rsidRPr="00C870A7">
        <w:rPr>
          <w:szCs w:val="22"/>
        </w:rPr>
        <w:t>sa</w:t>
      </w:r>
      <w:r w:rsidR="002A1318">
        <w:rPr>
          <w:szCs w:val="22"/>
        </w:rPr>
        <w:t>ved</w:t>
      </w:r>
      <w:r w:rsidR="00CC774C" w:rsidRPr="00C870A7">
        <w:rPr>
          <w:szCs w:val="22"/>
        </w:rPr>
        <w:t xml:space="preserve"> through the reduction in legal fees </w:t>
      </w:r>
      <w:r w:rsidR="005D3851">
        <w:rPr>
          <w:szCs w:val="22"/>
        </w:rPr>
        <w:t>incurred by</w:t>
      </w:r>
      <w:r w:rsidR="00CC774C" w:rsidRPr="00C870A7">
        <w:rPr>
          <w:szCs w:val="22"/>
        </w:rPr>
        <w:t xml:space="preserve"> proceeding to court</w:t>
      </w:r>
      <w:r w:rsidR="002A1318">
        <w:rPr>
          <w:szCs w:val="22"/>
        </w:rPr>
        <w:t xml:space="preserve"> (Gould, 2009:6-7)</w:t>
      </w:r>
      <w:r w:rsidR="00CC774C" w:rsidRPr="00C870A7">
        <w:rPr>
          <w:szCs w:val="22"/>
        </w:rPr>
        <w:t xml:space="preserve">. The </w:t>
      </w:r>
      <w:r w:rsidR="002A1318">
        <w:rPr>
          <w:szCs w:val="22"/>
        </w:rPr>
        <w:t>study</w:t>
      </w:r>
      <w:r w:rsidR="002A1318" w:rsidRPr="00C870A7">
        <w:rPr>
          <w:szCs w:val="22"/>
        </w:rPr>
        <w:t xml:space="preserve"> </w:t>
      </w:r>
      <w:r w:rsidR="00CC774C" w:rsidRPr="00C870A7">
        <w:rPr>
          <w:szCs w:val="22"/>
        </w:rPr>
        <w:t>also show</w:t>
      </w:r>
      <w:r w:rsidR="002A1318">
        <w:rPr>
          <w:szCs w:val="22"/>
        </w:rPr>
        <w:t>ed</w:t>
      </w:r>
      <w:r w:rsidR="00CC774C" w:rsidRPr="00C870A7">
        <w:rPr>
          <w:szCs w:val="22"/>
        </w:rPr>
        <w:t xml:space="preserve"> that in the cases where mediation did not settle the dispute</w:t>
      </w:r>
      <w:r w:rsidR="00AC0530">
        <w:rPr>
          <w:color w:val="C00000"/>
          <w:szCs w:val="22"/>
        </w:rPr>
        <w:t>,</w:t>
      </w:r>
      <w:r w:rsidR="00CC774C" w:rsidRPr="00C870A7">
        <w:rPr>
          <w:szCs w:val="22"/>
        </w:rPr>
        <w:t xml:space="preserve"> it was still often regarded as being beneficial, allowing an element of the dispute to be </w:t>
      </w:r>
      <w:r w:rsidR="00CC774C" w:rsidRPr="002F73F3">
        <w:rPr>
          <w:color w:val="000000" w:themeColor="text1"/>
          <w:szCs w:val="22"/>
        </w:rPr>
        <w:t xml:space="preserve">settled, or </w:t>
      </w:r>
      <w:r w:rsidR="003D1029" w:rsidRPr="002F73F3">
        <w:rPr>
          <w:color w:val="000000" w:themeColor="text1"/>
          <w:szCs w:val="22"/>
        </w:rPr>
        <w:t>developing</w:t>
      </w:r>
      <w:r w:rsidR="005505F8" w:rsidRPr="002F73F3">
        <w:rPr>
          <w:color w:val="000000" w:themeColor="text1"/>
          <w:szCs w:val="22"/>
        </w:rPr>
        <w:t xml:space="preserve"> </w:t>
      </w:r>
      <w:r w:rsidR="00CC774C" w:rsidRPr="002F73F3">
        <w:rPr>
          <w:color w:val="000000" w:themeColor="text1"/>
          <w:szCs w:val="22"/>
        </w:rPr>
        <w:t>a greater understanding of the other party’s case.</w:t>
      </w:r>
    </w:p>
    <w:p w:rsidR="00A10E2B" w:rsidRPr="002F73F3" w:rsidRDefault="00A10E2B" w:rsidP="0020458A">
      <w:pPr>
        <w:jc w:val="both"/>
        <w:rPr>
          <w:rFonts w:cs="Arial"/>
          <w:color w:val="000000" w:themeColor="text1"/>
          <w:szCs w:val="22"/>
        </w:rPr>
      </w:pPr>
    </w:p>
    <w:p w:rsidR="00AE232B" w:rsidRDefault="002A1318" w:rsidP="0020458A">
      <w:pPr>
        <w:jc w:val="both"/>
      </w:pPr>
      <w:r w:rsidRPr="002F73F3">
        <w:rPr>
          <w:color w:val="000000" w:themeColor="text1"/>
        </w:rPr>
        <w:t xml:space="preserve">The study by </w:t>
      </w:r>
      <w:r w:rsidR="00AE232B" w:rsidRPr="002F73F3">
        <w:rPr>
          <w:color w:val="000000" w:themeColor="text1"/>
        </w:rPr>
        <w:t xml:space="preserve">Agapiou and </w:t>
      </w:r>
      <w:r w:rsidR="001124ED" w:rsidRPr="002F73F3">
        <w:rPr>
          <w:color w:val="000000" w:themeColor="text1"/>
        </w:rPr>
        <w:t xml:space="preserve">Clark (2011) </w:t>
      </w:r>
      <w:r w:rsidRPr="002F73F3">
        <w:rPr>
          <w:color w:val="000000" w:themeColor="text1"/>
        </w:rPr>
        <w:t xml:space="preserve">has looked </w:t>
      </w:r>
      <w:r w:rsidR="00AE232B" w:rsidRPr="002F73F3">
        <w:rPr>
          <w:color w:val="000000" w:themeColor="text1"/>
        </w:rPr>
        <w:t>into the attitude of Scottish lawye</w:t>
      </w:r>
      <w:r w:rsidR="001124ED" w:rsidRPr="002F73F3">
        <w:rPr>
          <w:color w:val="000000" w:themeColor="text1"/>
        </w:rPr>
        <w:t>rs towards the use of mediation</w:t>
      </w:r>
      <w:r w:rsidRPr="002F73F3">
        <w:rPr>
          <w:color w:val="000000" w:themeColor="text1"/>
        </w:rPr>
        <w:t xml:space="preserve">. </w:t>
      </w:r>
      <w:r w:rsidR="001124ED" w:rsidRPr="002F73F3">
        <w:rPr>
          <w:color w:val="000000" w:themeColor="text1"/>
        </w:rPr>
        <w:t xml:space="preserve"> </w:t>
      </w:r>
      <w:r w:rsidR="00065A7E" w:rsidRPr="002F73F3">
        <w:rPr>
          <w:color w:val="000000" w:themeColor="text1"/>
        </w:rPr>
        <w:t xml:space="preserve">Although the research </w:t>
      </w:r>
      <w:r w:rsidR="004D4959" w:rsidRPr="002F73F3">
        <w:rPr>
          <w:color w:val="000000" w:themeColor="text1"/>
        </w:rPr>
        <w:t>concluded that there were</w:t>
      </w:r>
      <w:r w:rsidR="00065A7E" w:rsidRPr="002F73F3">
        <w:rPr>
          <w:color w:val="000000" w:themeColor="text1"/>
        </w:rPr>
        <w:t xml:space="preserve"> </w:t>
      </w:r>
      <w:r w:rsidR="004D4959" w:rsidRPr="002F73F3">
        <w:rPr>
          <w:color w:val="000000" w:themeColor="text1"/>
        </w:rPr>
        <w:t>hesitations</w:t>
      </w:r>
      <w:r w:rsidR="00065A7E" w:rsidRPr="002F73F3">
        <w:rPr>
          <w:color w:val="000000" w:themeColor="text1"/>
        </w:rPr>
        <w:t xml:space="preserve"> from some lawyers to recommend mediation to their clients </w:t>
      </w:r>
      <w:r w:rsidR="00947D30" w:rsidRPr="002F73F3">
        <w:rPr>
          <w:color w:val="000000" w:themeColor="text1"/>
        </w:rPr>
        <w:t xml:space="preserve">based </w:t>
      </w:r>
      <w:r w:rsidR="004D4959" w:rsidRPr="002F73F3">
        <w:rPr>
          <w:color w:val="000000" w:themeColor="text1"/>
        </w:rPr>
        <w:t>on perception</w:t>
      </w:r>
      <w:r w:rsidR="00947D30" w:rsidRPr="002F73F3">
        <w:rPr>
          <w:color w:val="000000" w:themeColor="text1"/>
        </w:rPr>
        <w:t>s</w:t>
      </w:r>
      <w:r w:rsidR="004D4959" w:rsidRPr="002F73F3">
        <w:rPr>
          <w:color w:val="000000" w:themeColor="text1"/>
        </w:rPr>
        <w:t xml:space="preserve"> of</w:t>
      </w:r>
      <w:r w:rsidR="00947D30" w:rsidRPr="002F73F3">
        <w:rPr>
          <w:color w:val="000000" w:themeColor="text1"/>
        </w:rPr>
        <w:t xml:space="preserve"> reluctance from</w:t>
      </w:r>
      <w:r w:rsidR="00065A7E" w:rsidRPr="002F73F3">
        <w:rPr>
          <w:color w:val="000000" w:themeColor="text1"/>
        </w:rPr>
        <w:t xml:space="preserve"> client</w:t>
      </w:r>
      <w:r w:rsidR="00947D30" w:rsidRPr="002F73F3">
        <w:rPr>
          <w:color w:val="000000" w:themeColor="text1"/>
        </w:rPr>
        <w:t>s</w:t>
      </w:r>
      <w:r w:rsidR="00065A7E" w:rsidRPr="002F73F3">
        <w:rPr>
          <w:color w:val="000000" w:themeColor="text1"/>
        </w:rPr>
        <w:t xml:space="preserve"> to engage in the process</w:t>
      </w:r>
      <w:r w:rsidR="004D4959" w:rsidRPr="002F73F3">
        <w:rPr>
          <w:color w:val="000000" w:themeColor="text1"/>
        </w:rPr>
        <w:t xml:space="preserve">, the findings were generally supportive of mediation. </w:t>
      </w:r>
      <w:r w:rsidR="00065A7E" w:rsidRPr="002F73F3">
        <w:rPr>
          <w:color w:val="000000" w:themeColor="text1"/>
        </w:rPr>
        <w:t xml:space="preserve"> </w:t>
      </w:r>
      <w:r w:rsidR="004D4959" w:rsidRPr="002F73F3">
        <w:rPr>
          <w:color w:val="000000" w:themeColor="text1"/>
        </w:rPr>
        <w:t>For example, the study showed</w:t>
      </w:r>
      <w:r w:rsidRPr="002F73F3">
        <w:rPr>
          <w:color w:val="000000" w:themeColor="text1"/>
        </w:rPr>
        <w:t xml:space="preserve"> that</w:t>
      </w:r>
      <w:r w:rsidR="00AE232B" w:rsidRPr="002F73F3">
        <w:rPr>
          <w:color w:val="000000" w:themeColor="text1"/>
        </w:rPr>
        <w:t xml:space="preserve"> 58%</w:t>
      </w:r>
      <w:r w:rsidRPr="002F73F3">
        <w:rPr>
          <w:color w:val="000000" w:themeColor="text1"/>
        </w:rPr>
        <w:t xml:space="preserve"> of lawyers</w:t>
      </w:r>
      <w:r w:rsidR="00AE232B" w:rsidRPr="002F73F3">
        <w:rPr>
          <w:color w:val="000000" w:themeColor="text1"/>
        </w:rPr>
        <w:t xml:space="preserve"> had used mediation with a relatively high level of repeat usage from that group, indicating that </w:t>
      </w:r>
      <w:r w:rsidR="00AE232B" w:rsidRPr="001124ED">
        <w:t xml:space="preserve">once exposed to mediation on one occasion </w:t>
      </w:r>
      <w:r w:rsidR="000546CB">
        <w:t>lawyers were</w:t>
      </w:r>
      <w:r w:rsidR="00AE232B" w:rsidRPr="001124ED">
        <w:t xml:space="preserve"> likely to return to the process</w:t>
      </w:r>
      <w:r w:rsidR="000546CB">
        <w:t xml:space="preserve"> </w:t>
      </w:r>
      <w:r w:rsidR="00AE232B" w:rsidRPr="001124ED">
        <w:t>(Agapiou and Clark, 2011</w:t>
      </w:r>
      <w:r w:rsidR="00065A7E">
        <w:t>:</w:t>
      </w:r>
      <w:r w:rsidR="00AE232B" w:rsidRPr="001124ED">
        <w:t xml:space="preserve">165). The </w:t>
      </w:r>
      <w:r w:rsidR="00065A7E">
        <w:t xml:space="preserve">study further </w:t>
      </w:r>
      <w:r w:rsidR="004D4959">
        <w:t>showed</w:t>
      </w:r>
      <w:r w:rsidR="00065A7E">
        <w:t xml:space="preserve"> that the </w:t>
      </w:r>
      <w:r w:rsidR="00AE232B" w:rsidRPr="001124ED">
        <w:t>rate of settlement was 74%, increasing to 83% for partially settled cases</w:t>
      </w:r>
      <w:r w:rsidR="00E12DEE">
        <w:t>.</w:t>
      </w:r>
      <w:r w:rsidR="00AE232B" w:rsidRPr="001124ED">
        <w:t xml:space="preserve"> </w:t>
      </w:r>
      <w:r w:rsidR="00E12DEE">
        <w:t xml:space="preserve">More interestingly, </w:t>
      </w:r>
      <w:r w:rsidR="00E12DEE" w:rsidRPr="001124ED">
        <w:t xml:space="preserve">those who had experienced mediation </w:t>
      </w:r>
      <w:r w:rsidR="00E12DEE">
        <w:t xml:space="preserve">strongly recommended </w:t>
      </w:r>
      <w:r w:rsidR="00E12DEE" w:rsidRPr="001124ED">
        <w:t xml:space="preserve">that </w:t>
      </w:r>
      <w:r w:rsidR="00A21119">
        <w:t xml:space="preserve">a </w:t>
      </w:r>
      <w:r w:rsidR="00E12DEE" w:rsidRPr="00EC5978">
        <w:t>judge should refer more cases to mediation</w:t>
      </w:r>
      <w:r w:rsidR="00E12DEE" w:rsidRPr="001124ED">
        <w:t xml:space="preserve"> </w:t>
      </w:r>
      <w:r w:rsidR="0011201F">
        <w:t xml:space="preserve">and </w:t>
      </w:r>
      <w:r w:rsidR="0011201F" w:rsidRPr="001124ED">
        <w:t xml:space="preserve">greater inclusion of robust mediation clauses in standard construction contracts </w:t>
      </w:r>
      <w:r w:rsidR="00E12DEE" w:rsidRPr="001124ED">
        <w:t>(Agapiou and Clark, 2012</w:t>
      </w:r>
      <w:r w:rsidR="00E12DEE">
        <w:t>:</w:t>
      </w:r>
      <w:r w:rsidR="00E12DEE" w:rsidRPr="001124ED">
        <w:t xml:space="preserve">19). </w:t>
      </w:r>
      <w:r w:rsidR="00E12DEE">
        <w:t>This closely agrees with</w:t>
      </w:r>
      <w:r w:rsidR="00E12DEE" w:rsidRPr="001124ED">
        <w:t xml:space="preserve"> the Civil Procedure Rules </w:t>
      </w:r>
      <w:r w:rsidR="00E12DEE">
        <w:t xml:space="preserve">which </w:t>
      </w:r>
      <w:r w:rsidR="00E12DEE" w:rsidRPr="001124ED">
        <w:t xml:space="preserve">clearly </w:t>
      </w:r>
      <w:r w:rsidR="000546CB">
        <w:t>stipulates</w:t>
      </w:r>
      <w:r w:rsidR="000546CB" w:rsidRPr="001124ED">
        <w:t xml:space="preserve"> </w:t>
      </w:r>
      <w:r w:rsidR="00E12DEE" w:rsidRPr="001124ED">
        <w:t>that cases should attempt meditation prior to litigation (</w:t>
      </w:r>
      <w:r w:rsidR="00E12DEE" w:rsidRPr="001124ED">
        <w:rPr>
          <w:szCs w:val="22"/>
        </w:rPr>
        <w:t>Jackson, 2010</w:t>
      </w:r>
      <w:r w:rsidR="00E12DEE" w:rsidRPr="001124ED">
        <w:t>)</w:t>
      </w:r>
      <w:r w:rsidR="00EC5978">
        <w:t>.</w:t>
      </w:r>
      <w:r w:rsidR="00E12DEE">
        <w:t xml:space="preserve"> </w:t>
      </w:r>
    </w:p>
    <w:p w:rsidR="00A21119" w:rsidRPr="001124ED" w:rsidRDefault="00A21119" w:rsidP="0020458A">
      <w:pPr>
        <w:jc w:val="both"/>
      </w:pPr>
    </w:p>
    <w:p w:rsidR="00866593" w:rsidRDefault="00D23DE9" w:rsidP="0020458A">
      <w:pPr>
        <w:pStyle w:val="Heading2"/>
        <w:jc w:val="both"/>
        <w:rPr>
          <w:b/>
          <w:bCs/>
          <w:kern w:val="32"/>
          <w:szCs w:val="22"/>
          <w:u w:val="single"/>
          <w:lang w:eastAsia="en-US"/>
        </w:rPr>
      </w:pPr>
      <w:r>
        <w:t>Data collection</w:t>
      </w:r>
    </w:p>
    <w:p w:rsidR="00C62340" w:rsidRDefault="00C62340" w:rsidP="0020458A">
      <w:pPr>
        <w:jc w:val="both"/>
      </w:pPr>
      <w:r>
        <w:t xml:space="preserve">Data for the </w:t>
      </w:r>
      <w:r w:rsidRPr="00F974BB">
        <w:rPr>
          <w:color w:val="000000" w:themeColor="text1"/>
        </w:rPr>
        <w:t xml:space="preserve">analysis </w:t>
      </w:r>
      <w:r w:rsidR="00E26052" w:rsidRPr="00F974BB">
        <w:rPr>
          <w:color w:val="000000" w:themeColor="text1"/>
        </w:rPr>
        <w:t xml:space="preserve">of the research presented here </w:t>
      </w:r>
      <w:r w:rsidRPr="00F974BB">
        <w:rPr>
          <w:color w:val="000000" w:themeColor="text1"/>
        </w:rPr>
        <w:t>was collected in three main stages to reduce the subjectivity</w:t>
      </w:r>
      <w:r w:rsidR="00FC559E" w:rsidRPr="00F974BB">
        <w:rPr>
          <w:color w:val="000000" w:themeColor="text1"/>
        </w:rPr>
        <w:t xml:space="preserve"> of the study</w:t>
      </w:r>
      <w:r w:rsidRPr="00F974BB">
        <w:rPr>
          <w:color w:val="000000" w:themeColor="text1"/>
        </w:rPr>
        <w:t>. The first stage was t</w:t>
      </w:r>
      <w:r w:rsidR="00CA2B01" w:rsidRPr="00F974BB">
        <w:rPr>
          <w:color w:val="000000" w:themeColor="text1"/>
        </w:rPr>
        <w:t>he</w:t>
      </w:r>
      <w:r w:rsidRPr="00F974BB">
        <w:rPr>
          <w:color w:val="000000" w:themeColor="text1"/>
        </w:rPr>
        <w:t xml:space="preserve"> review 20 case studies to understand the primary issues involved in construction disputes</w:t>
      </w:r>
      <w:r>
        <w:t>.</w:t>
      </w:r>
      <w:r w:rsidRPr="00CA5392">
        <w:t xml:space="preserve"> The case studies </w:t>
      </w:r>
      <w:r w:rsidR="00D45EE8">
        <w:t xml:space="preserve">that were </w:t>
      </w:r>
      <w:r w:rsidRPr="00CA5392">
        <w:t xml:space="preserve">reviewed were </w:t>
      </w:r>
      <w:r>
        <w:t xml:space="preserve">documented </w:t>
      </w:r>
      <w:r w:rsidRPr="00CA5392">
        <w:t xml:space="preserve">disputes resolved through adjudication </w:t>
      </w:r>
      <w:r>
        <w:t xml:space="preserve">and </w:t>
      </w:r>
      <w:r w:rsidRPr="00CA5392">
        <w:t>mediation,</w:t>
      </w:r>
      <w:r>
        <w:t xml:space="preserve"> each with 10 recent cases</w:t>
      </w:r>
      <w:r w:rsidRPr="00CA5392">
        <w:t xml:space="preserve">. </w:t>
      </w:r>
      <w:r>
        <w:t xml:space="preserve">Case studies were a useful source of initial insightful data </w:t>
      </w:r>
      <w:r w:rsidRPr="00CA5392">
        <w:t>(Yin, 2009</w:t>
      </w:r>
      <w:r>
        <w:t xml:space="preserve">; </w:t>
      </w:r>
      <w:r w:rsidRPr="00CA5392">
        <w:t xml:space="preserve">Cohen et al, 2000), which </w:t>
      </w:r>
      <w:r>
        <w:t>was then used to inform</w:t>
      </w:r>
      <w:r w:rsidRPr="00CA5392">
        <w:t xml:space="preserve"> the second stage</w:t>
      </w:r>
      <w:r>
        <w:t xml:space="preserve">. </w:t>
      </w:r>
    </w:p>
    <w:p w:rsidR="00C62340" w:rsidRDefault="00C62340" w:rsidP="0020458A">
      <w:pPr>
        <w:jc w:val="both"/>
        <w:rPr>
          <w:rFonts w:cs="Arial"/>
        </w:rPr>
      </w:pPr>
    </w:p>
    <w:p w:rsidR="00C62340" w:rsidRDefault="00C62340" w:rsidP="0020458A">
      <w:pPr>
        <w:jc w:val="both"/>
      </w:pPr>
      <w:r>
        <w:t xml:space="preserve">The second stage comprised of 10 in-depth </w:t>
      </w:r>
      <w:r w:rsidRPr="00F974BB">
        <w:rPr>
          <w:color w:val="000000" w:themeColor="text1"/>
        </w:rPr>
        <w:t xml:space="preserve">Interviews </w:t>
      </w:r>
      <w:r w:rsidR="00FC559E" w:rsidRPr="00F974BB">
        <w:rPr>
          <w:color w:val="000000" w:themeColor="text1"/>
        </w:rPr>
        <w:t>with a range of professional</w:t>
      </w:r>
      <w:r w:rsidR="00F974BB" w:rsidRPr="00F974BB">
        <w:rPr>
          <w:color w:val="000000" w:themeColor="text1"/>
        </w:rPr>
        <w:t>s</w:t>
      </w:r>
      <w:r w:rsidR="00FC559E" w:rsidRPr="00F974BB">
        <w:rPr>
          <w:color w:val="000000" w:themeColor="text1"/>
        </w:rPr>
        <w:t xml:space="preserve"> involved in disputes, </w:t>
      </w:r>
      <w:r w:rsidRPr="00F974BB">
        <w:rPr>
          <w:color w:val="000000" w:themeColor="text1"/>
        </w:rPr>
        <w:t>to address the limited access to the confidential data from both the adjudication and mediation processes</w:t>
      </w:r>
      <w:r w:rsidR="00FC559E" w:rsidRPr="00F974BB">
        <w:rPr>
          <w:color w:val="000000" w:themeColor="text1"/>
        </w:rPr>
        <w:t xml:space="preserve"> and </w:t>
      </w:r>
      <w:r w:rsidRPr="00F974BB">
        <w:rPr>
          <w:color w:val="000000" w:themeColor="text1"/>
        </w:rPr>
        <w:t xml:space="preserve">to explore personal experiences of </w:t>
      </w:r>
      <w:r w:rsidR="00FC559E" w:rsidRPr="00F974BB">
        <w:rPr>
          <w:color w:val="000000" w:themeColor="text1"/>
        </w:rPr>
        <w:t xml:space="preserve">these </w:t>
      </w:r>
      <w:r w:rsidRPr="00F974BB">
        <w:rPr>
          <w:color w:val="000000" w:themeColor="text1"/>
        </w:rPr>
        <w:t xml:space="preserve">professionals involved in dispute resolution. Participation was voluntary and included a cross section of construction </w:t>
      </w:r>
      <w:r w:rsidR="00E1457A" w:rsidRPr="00F974BB">
        <w:rPr>
          <w:color w:val="000000" w:themeColor="text1"/>
        </w:rPr>
        <w:t xml:space="preserve">industry </w:t>
      </w:r>
      <w:r w:rsidR="00E1457A">
        <w:t>stakeholders</w:t>
      </w:r>
      <w:r>
        <w:t xml:space="preserve">: </w:t>
      </w:r>
    </w:p>
    <w:p w:rsidR="00C62340" w:rsidRDefault="00C62340" w:rsidP="0020458A">
      <w:pPr>
        <w:numPr>
          <w:ilvl w:val="0"/>
          <w:numId w:val="14"/>
        </w:numPr>
        <w:jc w:val="both"/>
        <w:rPr>
          <w:rFonts w:cs="Arial"/>
        </w:rPr>
      </w:pPr>
      <w:r w:rsidRPr="00CA5392">
        <w:rPr>
          <w:rFonts w:cs="Arial"/>
        </w:rPr>
        <w:t>Two</w:t>
      </w:r>
      <w:r>
        <w:rPr>
          <w:rFonts w:cs="Arial"/>
        </w:rPr>
        <w:t xml:space="preserve"> participants </w:t>
      </w:r>
      <w:r w:rsidRPr="00CA5392">
        <w:rPr>
          <w:rFonts w:cs="Arial"/>
        </w:rPr>
        <w:t xml:space="preserve">from major contactors (from the UK top ten) </w:t>
      </w:r>
    </w:p>
    <w:p w:rsidR="00C62340" w:rsidRDefault="00C62340" w:rsidP="0020458A">
      <w:pPr>
        <w:numPr>
          <w:ilvl w:val="0"/>
          <w:numId w:val="14"/>
        </w:numPr>
        <w:jc w:val="both"/>
        <w:rPr>
          <w:rFonts w:cs="Arial"/>
        </w:rPr>
      </w:pPr>
      <w:r w:rsidRPr="00CA5392">
        <w:rPr>
          <w:rFonts w:cs="Arial"/>
        </w:rPr>
        <w:t xml:space="preserve">Two regional contractors, </w:t>
      </w:r>
    </w:p>
    <w:p w:rsidR="00C62340" w:rsidRDefault="00C62340" w:rsidP="0020458A">
      <w:pPr>
        <w:numPr>
          <w:ilvl w:val="0"/>
          <w:numId w:val="14"/>
        </w:numPr>
        <w:jc w:val="both"/>
        <w:rPr>
          <w:rFonts w:cs="Arial"/>
        </w:rPr>
      </w:pPr>
      <w:r w:rsidRPr="00CA5392">
        <w:rPr>
          <w:rFonts w:cs="Arial"/>
        </w:rPr>
        <w:t xml:space="preserve">Four sub-contractors, </w:t>
      </w:r>
    </w:p>
    <w:p w:rsidR="00C62340" w:rsidRDefault="00C62340" w:rsidP="0020458A">
      <w:pPr>
        <w:numPr>
          <w:ilvl w:val="0"/>
          <w:numId w:val="14"/>
        </w:numPr>
        <w:jc w:val="both"/>
        <w:rPr>
          <w:rFonts w:cs="Arial"/>
        </w:rPr>
      </w:pPr>
      <w:r w:rsidRPr="00CA5392">
        <w:rPr>
          <w:rFonts w:cs="Arial"/>
        </w:rPr>
        <w:t xml:space="preserve">One client and </w:t>
      </w:r>
    </w:p>
    <w:p w:rsidR="00C62340" w:rsidRDefault="00C62340" w:rsidP="0020458A">
      <w:pPr>
        <w:numPr>
          <w:ilvl w:val="0"/>
          <w:numId w:val="14"/>
        </w:numPr>
        <w:jc w:val="both"/>
        <w:rPr>
          <w:rFonts w:cs="Arial"/>
        </w:rPr>
      </w:pPr>
      <w:r w:rsidRPr="00CA5392">
        <w:rPr>
          <w:rFonts w:cs="Arial"/>
        </w:rPr>
        <w:t xml:space="preserve">One construction professional. </w:t>
      </w:r>
    </w:p>
    <w:p w:rsidR="00E74530" w:rsidRDefault="00C62340" w:rsidP="0020458A">
      <w:pPr>
        <w:jc w:val="both"/>
      </w:pPr>
      <w:r w:rsidRPr="00CA5392">
        <w:t>The interviews were structured, following a set list of questions with an open</w:t>
      </w:r>
      <w:r>
        <w:t>-ended</w:t>
      </w:r>
      <w:r w:rsidRPr="00CA5392">
        <w:t xml:space="preserve"> question at the end</w:t>
      </w:r>
      <w:r w:rsidR="00BF0CDC" w:rsidRPr="00BF0CDC">
        <w:t xml:space="preserve"> </w:t>
      </w:r>
      <w:r w:rsidR="00BF0CDC">
        <w:t xml:space="preserve">to allow the interviewee to comment on any issues that they perceived with the use of adjudication and </w:t>
      </w:r>
      <w:r w:rsidR="00BF0CDC">
        <w:lastRenderedPageBreak/>
        <w:t>mediation in the construction environment</w:t>
      </w:r>
      <w:r w:rsidRPr="00CA5392">
        <w:t xml:space="preserve">. The </w:t>
      </w:r>
      <w:r>
        <w:t>transcripts</w:t>
      </w:r>
      <w:r w:rsidRPr="00CA5392">
        <w:t xml:space="preserve"> from these </w:t>
      </w:r>
      <w:r>
        <w:t>interviews</w:t>
      </w:r>
      <w:r w:rsidRPr="00CA5392">
        <w:t xml:space="preserve"> were analysed and coded using pattern matching logic </w:t>
      </w:r>
      <w:r>
        <w:t>as recommended by Yin</w:t>
      </w:r>
      <w:r w:rsidRPr="00CA5392">
        <w:t xml:space="preserve"> </w:t>
      </w:r>
      <w:r>
        <w:t>(</w:t>
      </w:r>
      <w:r w:rsidRPr="00CA5392">
        <w:t xml:space="preserve">2014). </w:t>
      </w:r>
    </w:p>
    <w:p w:rsidR="00E74530" w:rsidRDefault="00E74530" w:rsidP="0020458A">
      <w:pPr>
        <w:jc w:val="both"/>
        <w:rPr>
          <w:rFonts w:cs="Arial"/>
        </w:rPr>
      </w:pPr>
    </w:p>
    <w:p w:rsidR="00C62340" w:rsidRDefault="00C62340" w:rsidP="0020458A">
      <w:pPr>
        <w:jc w:val="both"/>
        <w:rPr>
          <w:rFonts w:cs="Arial"/>
        </w:rPr>
      </w:pPr>
      <w:r>
        <w:rPr>
          <w:rFonts w:cs="Arial"/>
        </w:rPr>
        <w:t>The third stage deployed a questionnaire survey to collect quantitative data from a larger sample of construction stakeholders. Its main aims were to validate</w:t>
      </w:r>
      <w:r w:rsidRPr="00CA5392">
        <w:rPr>
          <w:rFonts w:cs="Arial"/>
        </w:rPr>
        <w:t xml:space="preserve"> the information gathered </w:t>
      </w:r>
      <w:r>
        <w:rPr>
          <w:rFonts w:cs="Arial"/>
        </w:rPr>
        <w:t>through interviews and case studies</w:t>
      </w:r>
      <w:r w:rsidRPr="00A013B1">
        <w:rPr>
          <w:rFonts w:cs="Arial"/>
        </w:rPr>
        <w:t xml:space="preserve"> </w:t>
      </w:r>
      <w:r>
        <w:rPr>
          <w:rFonts w:cs="Arial"/>
        </w:rPr>
        <w:t xml:space="preserve">and </w:t>
      </w:r>
      <w:r w:rsidRPr="00CA5392">
        <w:rPr>
          <w:rFonts w:cs="Arial"/>
        </w:rPr>
        <w:t>capt</w:t>
      </w:r>
      <w:r>
        <w:rPr>
          <w:rFonts w:cs="Arial"/>
        </w:rPr>
        <w:t>ure the industry’s perception on</w:t>
      </w:r>
      <w:r w:rsidRPr="00CA5392">
        <w:rPr>
          <w:rFonts w:cs="Arial"/>
        </w:rPr>
        <w:t xml:space="preserve"> dispute resolution and mediation.</w:t>
      </w:r>
      <w:r>
        <w:rPr>
          <w:rFonts w:cs="Arial"/>
        </w:rPr>
        <w:t xml:space="preserve"> </w:t>
      </w:r>
      <w:r w:rsidRPr="00CA5392">
        <w:rPr>
          <w:rFonts w:cs="Arial"/>
        </w:rPr>
        <w:t xml:space="preserve">The design </w:t>
      </w:r>
      <w:r>
        <w:rPr>
          <w:rFonts w:cs="Arial"/>
        </w:rPr>
        <w:t>of the questionnaire considered the confidential nature</w:t>
      </w:r>
      <w:r w:rsidRPr="00CA5392">
        <w:rPr>
          <w:rFonts w:cs="Arial"/>
        </w:rPr>
        <w:t xml:space="preserve"> of the information </w:t>
      </w:r>
      <w:r>
        <w:rPr>
          <w:rFonts w:cs="Arial"/>
        </w:rPr>
        <w:t xml:space="preserve">on disputes and therefore </w:t>
      </w:r>
      <w:r w:rsidRPr="00CA5392">
        <w:rPr>
          <w:rFonts w:cs="Arial"/>
        </w:rPr>
        <w:t>attitude scales</w:t>
      </w:r>
      <w:r>
        <w:rPr>
          <w:rFonts w:cs="Arial"/>
        </w:rPr>
        <w:t xml:space="preserve"> was the preferred option</w:t>
      </w:r>
      <w:r w:rsidRPr="000C0D3F">
        <w:rPr>
          <w:rFonts w:cs="Arial"/>
        </w:rPr>
        <w:t xml:space="preserve"> </w:t>
      </w:r>
      <w:r>
        <w:rPr>
          <w:rFonts w:cs="Arial"/>
        </w:rPr>
        <w:t xml:space="preserve">for </w:t>
      </w:r>
      <w:r w:rsidRPr="00CA5392">
        <w:rPr>
          <w:rFonts w:cs="Arial"/>
        </w:rPr>
        <w:t xml:space="preserve">descriptive </w:t>
      </w:r>
      <w:r>
        <w:rPr>
          <w:rFonts w:cs="Arial"/>
        </w:rPr>
        <w:t xml:space="preserve">data </w:t>
      </w:r>
      <w:r w:rsidRPr="00CA5392">
        <w:rPr>
          <w:rFonts w:cs="Arial"/>
        </w:rPr>
        <w:t>(Oppenheim, 1992).</w:t>
      </w:r>
      <w:r>
        <w:rPr>
          <w:rFonts w:cs="Arial"/>
        </w:rPr>
        <w:t xml:space="preserve"> </w:t>
      </w:r>
    </w:p>
    <w:p w:rsidR="00C62340" w:rsidRPr="00CA5392" w:rsidRDefault="00C62340" w:rsidP="0020458A">
      <w:pPr>
        <w:jc w:val="both"/>
        <w:rPr>
          <w:rFonts w:cs="Arial"/>
        </w:rPr>
      </w:pPr>
      <w:r w:rsidRPr="00CA5392">
        <w:rPr>
          <w:rFonts w:cs="Arial"/>
        </w:rPr>
        <w:t xml:space="preserve"> </w:t>
      </w:r>
    </w:p>
    <w:p w:rsidR="00104C7B" w:rsidRDefault="00104C7B" w:rsidP="00104C7B">
      <w:pPr>
        <w:jc w:val="both"/>
        <w:rPr>
          <w:lang w:eastAsia="en-US"/>
        </w:rPr>
      </w:pPr>
      <w:r w:rsidRPr="00510758">
        <w:rPr>
          <w:lang w:eastAsia="en-US"/>
        </w:rPr>
        <w:t>As this was an online survey, it was difficult to accurately anticipate</w:t>
      </w:r>
      <w:r>
        <w:rPr>
          <w:lang w:eastAsia="en-US"/>
        </w:rPr>
        <w:t xml:space="preserve"> the nature of respondents and the sample size – therefore the research was likely to lose control over the </w:t>
      </w:r>
      <w:r w:rsidRPr="00F974BB">
        <w:rPr>
          <w:color w:val="000000" w:themeColor="text1"/>
          <w:lang w:eastAsia="en-US"/>
        </w:rPr>
        <w:t>response</w:t>
      </w:r>
      <w:r w:rsidR="00E1457A" w:rsidRPr="00F974BB">
        <w:rPr>
          <w:color w:val="000000" w:themeColor="text1"/>
          <w:lang w:eastAsia="en-US"/>
        </w:rPr>
        <w:t>s</w:t>
      </w:r>
      <w:r w:rsidRPr="00F974BB">
        <w:rPr>
          <w:color w:val="000000" w:themeColor="text1"/>
          <w:lang w:eastAsia="en-US"/>
        </w:rPr>
        <w:t xml:space="preserve">. The </w:t>
      </w:r>
      <w:r>
        <w:rPr>
          <w:lang w:eastAsia="en-US"/>
        </w:rPr>
        <w:t xml:space="preserve">random sampling strategy had its problems (e.g. lack of control on who responds and getting the right professionals to represents stakeholders) but had obvious advantages of reducing selection biases. To optimise representation of all stakeholder groups (including in this case construction clients, consultants, main contractors, subcontractors, specialist subcontractors and the whole the supply chain); the survey was administered </w:t>
      </w:r>
      <w:r w:rsidR="00814A27">
        <w:rPr>
          <w:lang w:eastAsia="en-US"/>
        </w:rPr>
        <w:t xml:space="preserve">through </w:t>
      </w:r>
      <w:r>
        <w:rPr>
          <w:lang w:eastAsia="en-US"/>
        </w:rPr>
        <w:t xml:space="preserve">websites subscribed </w:t>
      </w:r>
      <w:r w:rsidR="00814A27">
        <w:rPr>
          <w:lang w:eastAsia="en-US"/>
        </w:rPr>
        <w:t xml:space="preserve">to </w:t>
      </w:r>
      <w:r>
        <w:rPr>
          <w:lang w:eastAsia="en-US"/>
        </w:rPr>
        <w:t xml:space="preserve">by both target professionals and stakeholder groups.   </w:t>
      </w:r>
      <w:r w:rsidR="00A75A75">
        <w:rPr>
          <w:rFonts w:cs="Arial"/>
        </w:rPr>
        <w:t xml:space="preserve">A careful </w:t>
      </w:r>
      <w:r w:rsidR="00A75A75" w:rsidRPr="00CA5392">
        <w:rPr>
          <w:rFonts w:cs="Arial"/>
        </w:rPr>
        <w:t>sampl</w:t>
      </w:r>
      <w:r w:rsidR="00A75A75">
        <w:rPr>
          <w:rFonts w:cs="Arial"/>
        </w:rPr>
        <w:t>ing strategy</w:t>
      </w:r>
      <w:r w:rsidR="00A75A75" w:rsidRPr="00CA5392">
        <w:rPr>
          <w:rFonts w:cs="Arial"/>
        </w:rPr>
        <w:t xml:space="preserve"> </w:t>
      </w:r>
      <w:r w:rsidR="00A75A75">
        <w:rPr>
          <w:rFonts w:cs="Arial"/>
        </w:rPr>
        <w:t xml:space="preserve">was considered to include representative </w:t>
      </w:r>
      <w:r w:rsidR="00A75A75" w:rsidRPr="00CA5392">
        <w:rPr>
          <w:rFonts w:cs="Arial"/>
        </w:rPr>
        <w:t>group</w:t>
      </w:r>
      <w:r w:rsidR="00A75A75">
        <w:rPr>
          <w:rFonts w:cs="Arial"/>
        </w:rPr>
        <w:t>s</w:t>
      </w:r>
      <w:r w:rsidR="00A75A75" w:rsidRPr="00CA5392">
        <w:rPr>
          <w:rFonts w:cs="Arial"/>
        </w:rPr>
        <w:t xml:space="preserve"> from across all sections of the construction industry</w:t>
      </w:r>
      <w:r w:rsidR="00A75A75">
        <w:rPr>
          <w:rFonts w:cs="Arial"/>
        </w:rPr>
        <w:t>.</w:t>
      </w:r>
      <w:r w:rsidR="00A75A75">
        <w:rPr>
          <w:lang w:eastAsia="en-US"/>
        </w:rPr>
        <w:t xml:space="preserve"> </w:t>
      </w:r>
      <w:r>
        <w:rPr>
          <w:lang w:eastAsia="en-US"/>
        </w:rPr>
        <w:t xml:space="preserve">For a balanced representation of all stakeholder groups, a desirable sample was sought to include representatives from each </w:t>
      </w:r>
      <w:r w:rsidR="00075B35">
        <w:rPr>
          <w:lang w:eastAsia="en-US"/>
        </w:rPr>
        <w:t>group</w:t>
      </w:r>
      <w:r>
        <w:rPr>
          <w:lang w:eastAsia="en-US"/>
        </w:rPr>
        <w:t xml:space="preserve"> as follows: </w:t>
      </w:r>
    </w:p>
    <w:p w:rsidR="00104C7B" w:rsidRDefault="00104C7B" w:rsidP="00104C7B">
      <w:pPr>
        <w:pStyle w:val="ListParagraph"/>
        <w:numPr>
          <w:ilvl w:val="0"/>
          <w:numId w:val="20"/>
        </w:numPr>
        <w:jc w:val="both"/>
        <w:rPr>
          <w:rFonts w:cs="Arial"/>
          <w:bCs/>
          <w:kern w:val="32"/>
          <w:szCs w:val="22"/>
          <w:lang w:eastAsia="en-US"/>
        </w:rPr>
      </w:pPr>
      <w:r>
        <w:rPr>
          <w:rFonts w:cs="Arial"/>
          <w:bCs/>
          <w:kern w:val="32"/>
          <w:szCs w:val="22"/>
          <w:lang w:eastAsia="en-US"/>
        </w:rPr>
        <w:t xml:space="preserve">Construction clients both public bodies and private sector companies </w:t>
      </w:r>
    </w:p>
    <w:p w:rsidR="00104C7B" w:rsidRDefault="00104C7B" w:rsidP="00104C7B">
      <w:pPr>
        <w:pStyle w:val="ListParagraph"/>
        <w:numPr>
          <w:ilvl w:val="0"/>
          <w:numId w:val="20"/>
        </w:numPr>
        <w:jc w:val="both"/>
        <w:rPr>
          <w:rFonts w:cs="Arial"/>
          <w:bCs/>
          <w:kern w:val="32"/>
          <w:szCs w:val="22"/>
          <w:lang w:eastAsia="en-US"/>
        </w:rPr>
      </w:pPr>
      <w:r>
        <w:rPr>
          <w:rFonts w:cs="Arial"/>
          <w:bCs/>
          <w:kern w:val="32"/>
          <w:szCs w:val="22"/>
          <w:lang w:eastAsia="en-US"/>
        </w:rPr>
        <w:t xml:space="preserve">Consultants, including design professional and project managers </w:t>
      </w:r>
    </w:p>
    <w:p w:rsidR="00104C7B" w:rsidRDefault="00104C7B" w:rsidP="00104C7B">
      <w:pPr>
        <w:pStyle w:val="ListParagraph"/>
        <w:numPr>
          <w:ilvl w:val="0"/>
          <w:numId w:val="20"/>
        </w:numPr>
        <w:jc w:val="both"/>
        <w:rPr>
          <w:rFonts w:cs="Arial"/>
          <w:bCs/>
          <w:kern w:val="32"/>
          <w:szCs w:val="22"/>
          <w:lang w:eastAsia="en-US"/>
        </w:rPr>
      </w:pPr>
      <w:r>
        <w:rPr>
          <w:rFonts w:cs="Arial"/>
          <w:bCs/>
          <w:kern w:val="32"/>
          <w:szCs w:val="22"/>
          <w:lang w:eastAsia="en-US"/>
        </w:rPr>
        <w:t xml:space="preserve">Main contractors both SMEs (turnover of less than £50million) and major or </w:t>
      </w:r>
      <w:r w:rsidR="00814A27">
        <w:rPr>
          <w:rFonts w:cs="Arial"/>
          <w:bCs/>
          <w:kern w:val="32"/>
          <w:szCs w:val="22"/>
          <w:lang w:eastAsia="en-US"/>
        </w:rPr>
        <w:t xml:space="preserve">principal </w:t>
      </w:r>
      <w:r>
        <w:rPr>
          <w:rFonts w:cs="Arial"/>
          <w:bCs/>
          <w:kern w:val="32"/>
          <w:szCs w:val="22"/>
          <w:lang w:eastAsia="en-US"/>
        </w:rPr>
        <w:t>contractors with a turnover in excess of £50million)</w:t>
      </w:r>
    </w:p>
    <w:p w:rsidR="00A75A75" w:rsidRDefault="00104C7B" w:rsidP="00895723">
      <w:pPr>
        <w:pStyle w:val="ListParagraph"/>
        <w:numPr>
          <w:ilvl w:val="0"/>
          <w:numId w:val="20"/>
        </w:numPr>
        <w:rPr>
          <w:rFonts w:cs="Arial"/>
          <w:bCs/>
          <w:kern w:val="32"/>
          <w:szCs w:val="22"/>
          <w:lang w:eastAsia="en-US"/>
        </w:rPr>
      </w:pPr>
      <w:r w:rsidRPr="00895723">
        <w:rPr>
          <w:rFonts w:cs="Arial"/>
          <w:bCs/>
          <w:kern w:val="32"/>
          <w:szCs w:val="22"/>
          <w:lang w:eastAsia="en-US"/>
        </w:rPr>
        <w:t>Subcontractors, including specialist subcontractors and suppliers</w:t>
      </w:r>
    </w:p>
    <w:p w:rsidR="00C62340" w:rsidRPr="00CA5392" w:rsidRDefault="00C62340" w:rsidP="00895723">
      <w:pPr>
        <w:pStyle w:val="ListParagraph"/>
        <w:rPr>
          <w:rFonts w:cs="Arial"/>
        </w:rPr>
      </w:pPr>
    </w:p>
    <w:p w:rsidR="00A44F4D" w:rsidRPr="0020458A" w:rsidRDefault="002A224F" w:rsidP="002F58CD">
      <w:pPr>
        <w:jc w:val="both"/>
        <w:rPr>
          <w:rFonts w:cs="Arial"/>
          <w:bCs/>
          <w:kern w:val="32"/>
          <w:szCs w:val="22"/>
          <w:lang w:eastAsia="en-US"/>
        </w:rPr>
      </w:pPr>
      <w:r>
        <w:rPr>
          <w:rFonts w:cs="Arial"/>
          <w:bCs/>
          <w:kern w:val="32"/>
          <w:szCs w:val="22"/>
          <w:lang w:eastAsia="en-US"/>
        </w:rPr>
        <w:t xml:space="preserve">The </w:t>
      </w:r>
      <w:r w:rsidR="007C31B1">
        <w:rPr>
          <w:rFonts w:cs="Arial"/>
          <w:bCs/>
          <w:kern w:val="32"/>
          <w:szCs w:val="22"/>
          <w:lang w:eastAsia="en-US"/>
        </w:rPr>
        <w:t xml:space="preserve">survey instrument </w:t>
      </w:r>
      <w:r w:rsidR="00BF0CDC">
        <w:rPr>
          <w:rFonts w:cs="Arial"/>
          <w:bCs/>
          <w:kern w:val="32"/>
          <w:szCs w:val="22"/>
          <w:lang w:eastAsia="en-US"/>
        </w:rPr>
        <w:t>had</w:t>
      </w:r>
      <w:r w:rsidR="00336CFA">
        <w:rPr>
          <w:rFonts w:cs="Arial"/>
          <w:bCs/>
          <w:kern w:val="32"/>
          <w:szCs w:val="22"/>
          <w:lang w:eastAsia="en-US"/>
        </w:rPr>
        <w:t xml:space="preserve"> </w:t>
      </w:r>
      <w:r>
        <w:rPr>
          <w:rFonts w:cs="Arial"/>
          <w:bCs/>
          <w:kern w:val="32"/>
          <w:szCs w:val="22"/>
          <w:lang w:eastAsia="en-US"/>
        </w:rPr>
        <w:t xml:space="preserve">13 main questions </w:t>
      </w:r>
      <w:r w:rsidR="007C31B1">
        <w:rPr>
          <w:rFonts w:cs="Arial"/>
          <w:bCs/>
          <w:kern w:val="32"/>
          <w:szCs w:val="22"/>
          <w:lang w:eastAsia="en-US"/>
        </w:rPr>
        <w:t xml:space="preserve">drawn from </w:t>
      </w:r>
      <w:r>
        <w:rPr>
          <w:rFonts w:cs="Arial"/>
          <w:bCs/>
          <w:kern w:val="32"/>
          <w:szCs w:val="22"/>
          <w:lang w:eastAsia="en-US"/>
        </w:rPr>
        <w:t xml:space="preserve">the findings </w:t>
      </w:r>
      <w:r w:rsidR="007C31B1">
        <w:rPr>
          <w:rFonts w:cs="Arial"/>
          <w:bCs/>
          <w:kern w:val="32"/>
          <w:szCs w:val="22"/>
          <w:lang w:eastAsia="en-US"/>
        </w:rPr>
        <w:t xml:space="preserve">from </w:t>
      </w:r>
      <w:r>
        <w:rPr>
          <w:rFonts w:cs="Arial"/>
          <w:bCs/>
          <w:kern w:val="32"/>
          <w:szCs w:val="22"/>
          <w:lang w:eastAsia="en-US"/>
        </w:rPr>
        <w:t xml:space="preserve">the case studies and interviews, to test the primary barriers to greater use of mediation that were being indicated by these early results. </w:t>
      </w:r>
      <w:r w:rsidR="00104C7B">
        <w:rPr>
          <w:lang w:eastAsia="en-US"/>
        </w:rPr>
        <w:t xml:space="preserve">The questionnaire was administered online via Survey Monkey® </w:t>
      </w:r>
      <w:r w:rsidR="00104C7B" w:rsidRPr="00510758">
        <w:rPr>
          <w:lang w:eastAsia="en-US"/>
        </w:rPr>
        <w:t xml:space="preserve">between June 2012 and January 2013. </w:t>
      </w:r>
      <w:r w:rsidR="00E74530" w:rsidRPr="00E74530">
        <w:rPr>
          <w:lang w:eastAsia="en-US"/>
        </w:rPr>
        <w:t xml:space="preserve">An invitation to </w:t>
      </w:r>
      <w:r w:rsidR="00E74530">
        <w:rPr>
          <w:lang w:eastAsia="en-US"/>
        </w:rPr>
        <w:t xml:space="preserve">participate in the </w:t>
      </w:r>
      <w:r w:rsidR="00B102BB">
        <w:rPr>
          <w:lang w:eastAsia="en-US"/>
        </w:rPr>
        <w:t xml:space="preserve">online </w:t>
      </w:r>
      <w:r w:rsidR="00E74530">
        <w:rPr>
          <w:lang w:eastAsia="en-US"/>
        </w:rPr>
        <w:t xml:space="preserve">questionnaire survey was circulated through industry contacts, </w:t>
      </w:r>
      <w:r w:rsidR="007C31B1">
        <w:rPr>
          <w:lang w:eastAsia="en-US"/>
        </w:rPr>
        <w:t>including five</w:t>
      </w:r>
      <w:r w:rsidR="00336CFA">
        <w:rPr>
          <w:lang w:eastAsia="en-US"/>
        </w:rPr>
        <w:t xml:space="preserve"> </w:t>
      </w:r>
      <w:r w:rsidR="00E74530" w:rsidRPr="00ED590C">
        <w:rPr>
          <w:lang w:eastAsia="en-US"/>
        </w:rPr>
        <w:t>professional organisation</w:t>
      </w:r>
      <w:r w:rsidR="007C31B1">
        <w:rPr>
          <w:lang w:eastAsia="en-US"/>
        </w:rPr>
        <w:t>s</w:t>
      </w:r>
      <w:r w:rsidR="00E74530" w:rsidRPr="00ED590C">
        <w:rPr>
          <w:lang w:eastAsia="en-US"/>
        </w:rPr>
        <w:t xml:space="preserve"> </w:t>
      </w:r>
      <w:r w:rsidR="00336CFA">
        <w:rPr>
          <w:lang w:eastAsia="en-US"/>
        </w:rPr>
        <w:t>(</w:t>
      </w:r>
      <w:r w:rsidR="007C31B1">
        <w:rPr>
          <w:lang w:eastAsia="en-US"/>
        </w:rPr>
        <w:t xml:space="preserve">such as </w:t>
      </w:r>
      <w:r w:rsidR="00336CFA">
        <w:rPr>
          <w:lang w:eastAsia="en-US"/>
        </w:rPr>
        <w:t xml:space="preserve">the RICS, RIBA and ICE), </w:t>
      </w:r>
      <w:r w:rsidR="007C31B1">
        <w:rPr>
          <w:lang w:eastAsia="en-US"/>
        </w:rPr>
        <w:t xml:space="preserve">five </w:t>
      </w:r>
      <w:r w:rsidR="00336CFA">
        <w:rPr>
          <w:lang w:eastAsia="en-US"/>
        </w:rPr>
        <w:t xml:space="preserve">local authorities (through the </w:t>
      </w:r>
      <w:r w:rsidR="00AF52C9" w:rsidRPr="00AF52C9">
        <w:rPr>
          <w:lang w:eastAsia="en-US"/>
        </w:rPr>
        <w:t>L</w:t>
      </w:r>
      <w:r w:rsidR="00336CFA" w:rsidRPr="00AF52C9">
        <w:t>ocal Government Association</w:t>
      </w:r>
      <w:r w:rsidR="00AF52C9" w:rsidRPr="00AF52C9">
        <w:t xml:space="preserve"> and other contacts</w:t>
      </w:r>
      <w:r w:rsidR="00336CFA">
        <w:rPr>
          <w:lang w:eastAsia="en-US"/>
        </w:rPr>
        <w:t xml:space="preserve">) </w:t>
      </w:r>
      <w:r w:rsidR="00E74530" w:rsidRPr="00ED590C">
        <w:rPr>
          <w:lang w:eastAsia="en-US"/>
        </w:rPr>
        <w:t xml:space="preserve">and </w:t>
      </w:r>
      <w:r w:rsidR="007C31B1">
        <w:rPr>
          <w:lang w:eastAsia="en-US"/>
        </w:rPr>
        <w:t xml:space="preserve">several </w:t>
      </w:r>
      <w:r w:rsidR="00E74530" w:rsidRPr="00ED590C">
        <w:rPr>
          <w:lang w:eastAsia="en-US"/>
        </w:rPr>
        <w:t>trade organisation</w:t>
      </w:r>
      <w:r w:rsidR="007C31B1">
        <w:rPr>
          <w:lang w:eastAsia="en-US"/>
        </w:rPr>
        <w:t>s</w:t>
      </w:r>
      <w:r w:rsidR="00336CFA">
        <w:rPr>
          <w:lang w:eastAsia="en-US"/>
        </w:rPr>
        <w:t xml:space="preserve"> (</w:t>
      </w:r>
      <w:r w:rsidR="00336CFA" w:rsidRPr="00AF52C9">
        <w:rPr>
          <w:lang w:eastAsia="en-US"/>
        </w:rPr>
        <w:t>including</w:t>
      </w:r>
      <w:r w:rsidR="00336CFA" w:rsidRPr="00AF52C9">
        <w:t xml:space="preserve"> </w:t>
      </w:r>
      <w:r w:rsidR="007C31B1">
        <w:t xml:space="preserve">the </w:t>
      </w:r>
      <w:r w:rsidR="00336CFA" w:rsidRPr="00AF52C9">
        <w:t>National Federation of Builders; Civil Engineering Contract</w:t>
      </w:r>
      <w:r w:rsidR="00AF52C9" w:rsidRPr="00AF52C9">
        <w:t>ors Association and the</w:t>
      </w:r>
      <w:r w:rsidR="00336CFA" w:rsidRPr="00AF52C9">
        <w:t xml:space="preserve"> UK Contractors Group</w:t>
      </w:r>
      <w:r w:rsidR="00AF52C9" w:rsidRPr="00AF52C9">
        <w:t>)</w:t>
      </w:r>
      <w:r w:rsidR="00336CFA">
        <w:rPr>
          <w:lang w:eastAsia="en-US"/>
        </w:rPr>
        <w:t xml:space="preserve"> </w:t>
      </w:r>
      <w:r w:rsidR="00E74530" w:rsidRPr="00ED590C">
        <w:rPr>
          <w:lang w:eastAsia="en-US"/>
        </w:rPr>
        <w:t>as well as those attending trade association seminars.</w:t>
      </w:r>
      <w:r w:rsidR="00ED590C" w:rsidRPr="00ED590C">
        <w:rPr>
          <w:lang w:eastAsia="en-US"/>
        </w:rPr>
        <w:t xml:space="preserve"> </w:t>
      </w:r>
      <w:r w:rsidR="002C4921">
        <w:rPr>
          <w:lang w:eastAsia="en-US"/>
        </w:rPr>
        <w:t xml:space="preserve">Memberships in these groups were in excess of 3000 – which was the target sample size. </w:t>
      </w:r>
      <w:r w:rsidR="001D79AE" w:rsidRPr="00B35C2A">
        <w:rPr>
          <w:lang w:eastAsia="en-US"/>
        </w:rPr>
        <w:t xml:space="preserve">This </w:t>
      </w:r>
      <w:r w:rsidR="007C31B1">
        <w:rPr>
          <w:lang w:eastAsia="en-US"/>
        </w:rPr>
        <w:t xml:space="preserve">was to </w:t>
      </w:r>
      <w:r w:rsidR="001D79AE" w:rsidRPr="00B35C2A">
        <w:rPr>
          <w:lang w:eastAsia="en-US"/>
        </w:rPr>
        <w:t>ensure</w:t>
      </w:r>
      <w:r w:rsidR="007C31B1">
        <w:rPr>
          <w:lang w:eastAsia="en-US"/>
        </w:rPr>
        <w:t xml:space="preserve"> that</w:t>
      </w:r>
      <w:r w:rsidR="001D79AE" w:rsidRPr="00B35C2A">
        <w:rPr>
          <w:lang w:eastAsia="en-US"/>
        </w:rPr>
        <w:t xml:space="preserve"> </w:t>
      </w:r>
      <w:r w:rsidR="001D79AE" w:rsidRPr="00F974BB">
        <w:rPr>
          <w:color w:val="000000" w:themeColor="text1"/>
          <w:lang w:eastAsia="en-US"/>
        </w:rPr>
        <w:t xml:space="preserve">a wide range of stakeholders of construction disputes </w:t>
      </w:r>
      <w:r w:rsidR="00A75A75" w:rsidRPr="00F974BB">
        <w:rPr>
          <w:color w:val="000000" w:themeColor="text1"/>
          <w:lang w:eastAsia="en-US"/>
        </w:rPr>
        <w:t>would access</w:t>
      </w:r>
      <w:r w:rsidR="001D79AE" w:rsidRPr="00F974BB">
        <w:rPr>
          <w:color w:val="000000" w:themeColor="text1"/>
          <w:lang w:eastAsia="en-US"/>
        </w:rPr>
        <w:t xml:space="preserve"> the survey</w:t>
      </w:r>
      <w:r w:rsidR="00B102BB" w:rsidRPr="00F974BB">
        <w:rPr>
          <w:color w:val="000000" w:themeColor="text1"/>
          <w:lang w:eastAsia="en-US"/>
        </w:rPr>
        <w:t xml:space="preserve"> to optimise </w:t>
      </w:r>
      <w:r w:rsidR="00A75A75" w:rsidRPr="00F974BB">
        <w:rPr>
          <w:color w:val="000000" w:themeColor="text1"/>
          <w:lang w:eastAsia="en-US"/>
        </w:rPr>
        <w:t xml:space="preserve">the </w:t>
      </w:r>
      <w:r w:rsidR="00B102BB" w:rsidRPr="00F974BB">
        <w:rPr>
          <w:color w:val="000000" w:themeColor="text1"/>
          <w:lang w:eastAsia="en-US"/>
        </w:rPr>
        <w:t>return rate</w:t>
      </w:r>
      <w:r w:rsidR="00A75A75" w:rsidRPr="00F974BB">
        <w:rPr>
          <w:color w:val="000000" w:themeColor="text1"/>
          <w:lang w:eastAsia="en-US"/>
        </w:rPr>
        <w:t xml:space="preserve"> and </w:t>
      </w:r>
      <w:r w:rsidR="0074512A" w:rsidRPr="00F974BB">
        <w:rPr>
          <w:color w:val="000000" w:themeColor="text1"/>
          <w:lang w:eastAsia="en-US"/>
        </w:rPr>
        <w:t xml:space="preserve">its </w:t>
      </w:r>
      <w:r w:rsidR="00A75A75" w:rsidRPr="00F974BB">
        <w:rPr>
          <w:color w:val="000000" w:themeColor="text1"/>
          <w:lang w:eastAsia="en-US"/>
        </w:rPr>
        <w:t>representativeness</w:t>
      </w:r>
      <w:r w:rsidR="00B102BB" w:rsidRPr="00B35C2A">
        <w:rPr>
          <w:lang w:eastAsia="en-US"/>
        </w:rPr>
        <w:t xml:space="preserve">. </w:t>
      </w:r>
      <w:r w:rsidR="00A44F4D">
        <w:rPr>
          <w:rFonts w:cs="Arial"/>
          <w:bCs/>
          <w:kern w:val="32"/>
          <w:szCs w:val="22"/>
          <w:lang w:eastAsia="en-US"/>
        </w:rPr>
        <w:t xml:space="preserve"> </w:t>
      </w:r>
    </w:p>
    <w:p w:rsidR="002A224F" w:rsidRDefault="002A224F" w:rsidP="0020458A">
      <w:pPr>
        <w:jc w:val="both"/>
        <w:rPr>
          <w:rFonts w:cs="Arial"/>
          <w:bCs/>
          <w:kern w:val="32"/>
          <w:szCs w:val="22"/>
          <w:lang w:eastAsia="en-US"/>
        </w:rPr>
      </w:pPr>
    </w:p>
    <w:p w:rsidR="004F0A7B" w:rsidRPr="002811AD" w:rsidRDefault="00D42BC3" w:rsidP="0020458A">
      <w:pPr>
        <w:pStyle w:val="Heading2"/>
        <w:jc w:val="both"/>
        <w:rPr>
          <w:lang w:eastAsia="en-US"/>
        </w:rPr>
      </w:pPr>
      <w:r>
        <w:rPr>
          <w:lang w:eastAsia="en-US"/>
        </w:rPr>
        <w:lastRenderedPageBreak/>
        <w:t>Analysis and</w:t>
      </w:r>
      <w:r w:rsidR="00EB1631" w:rsidRPr="002811AD">
        <w:rPr>
          <w:lang w:eastAsia="en-US"/>
        </w:rPr>
        <w:t xml:space="preserve"> Findings</w:t>
      </w:r>
    </w:p>
    <w:p w:rsidR="00D23DE9" w:rsidRPr="00D23DE9" w:rsidRDefault="00E702C7" w:rsidP="0020458A">
      <w:pPr>
        <w:jc w:val="both"/>
        <w:rPr>
          <w:lang w:eastAsia="en-US"/>
        </w:rPr>
      </w:pPr>
      <w:r>
        <w:rPr>
          <w:lang w:eastAsia="en-US"/>
        </w:rPr>
        <w:t xml:space="preserve">Following several reminders </w:t>
      </w:r>
      <w:r w:rsidRPr="00656EAF">
        <w:rPr>
          <w:color w:val="000000" w:themeColor="text1"/>
          <w:lang w:eastAsia="en-US"/>
        </w:rPr>
        <w:t>sent to respondents, the online survey was close</w:t>
      </w:r>
      <w:r w:rsidR="00814A27">
        <w:rPr>
          <w:color w:val="000000" w:themeColor="text1"/>
          <w:lang w:eastAsia="en-US"/>
        </w:rPr>
        <w:t>d</w:t>
      </w:r>
      <w:r w:rsidRPr="00656EAF">
        <w:rPr>
          <w:color w:val="000000" w:themeColor="text1"/>
          <w:lang w:eastAsia="en-US"/>
        </w:rPr>
        <w:t xml:space="preserve"> down after the set </w:t>
      </w:r>
      <w:r w:rsidR="00814A27" w:rsidRPr="00656EAF">
        <w:rPr>
          <w:color w:val="000000" w:themeColor="text1"/>
          <w:lang w:eastAsia="en-US"/>
        </w:rPr>
        <w:t>cut-of</w:t>
      </w:r>
      <w:r w:rsidR="00814A27">
        <w:rPr>
          <w:color w:val="000000" w:themeColor="text1"/>
          <w:lang w:eastAsia="en-US"/>
        </w:rPr>
        <w:t>f</w:t>
      </w:r>
      <w:r w:rsidRPr="00656EAF">
        <w:rPr>
          <w:color w:val="000000" w:themeColor="text1"/>
          <w:lang w:eastAsia="en-US"/>
        </w:rPr>
        <w:t xml:space="preserve"> date.  </w:t>
      </w:r>
      <w:r w:rsidR="00F33F38" w:rsidRPr="00656EAF">
        <w:rPr>
          <w:color w:val="000000" w:themeColor="text1"/>
          <w:lang w:eastAsia="en-US"/>
        </w:rPr>
        <w:t xml:space="preserve">Whilst </w:t>
      </w:r>
      <w:r w:rsidR="00A44F4D" w:rsidRPr="00656EAF">
        <w:rPr>
          <w:color w:val="000000" w:themeColor="text1"/>
          <w:lang w:eastAsia="en-US"/>
        </w:rPr>
        <w:t xml:space="preserve">368 </w:t>
      </w:r>
      <w:r w:rsidRPr="00656EAF">
        <w:rPr>
          <w:color w:val="000000" w:themeColor="text1"/>
          <w:lang w:eastAsia="en-US"/>
        </w:rPr>
        <w:t xml:space="preserve">professionals </w:t>
      </w:r>
      <w:r w:rsidR="00F33F38" w:rsidRPr="00656EAF">
        <w:rPr>
          <w:color w:val="000000" w:themeColor="text1"/>
          <w:lang w:eastAsia="en-US"/>
        </w:rPr>
        <w:t>bega</w:t>
      </w:r>
      <w:r w:rsidR="00A44F4D" w:rsidRPr="00656EAF">
        <w:rPr>
          <w:color w:val="000000" w:themeColor="text1"/>
          <w:lang w:eastAsia="en-US"/>
        </w:rPr>
        <w:t>n the survey</w:t>
      </w:r>
      <w:r w:rsidR="00D45EE8">
        <w:rPr>
          <w:color w:val="000000" w:themeColor="text1"/>
          <w:lang w:eastAsia="en-US"/>
        </w:rPr>
        <w:t xml:space="preserve">, </w:t>
      </w:r>
      <w:r w:rsidR="00A44F4D" w:rsidRPr="00656EAF">
        <w:rPr>
          <w:color w:val="000000" w:themeColor="text1"/>
          <w:lang w:eastAsia="en-US"/>
        </w:rPr>
        <w:t>357 anonymous participants returned completed and usable questionnaires for analysis.</w:t>
      </w:r>
      <w:r w:rsidR="003A26CB" w:rsidRPr="00656EAF">
        <w:rPr>
          <w:color w:val="000000" w:themeColor="text1"/>
          <w:lang w:eastAsia="en-US"/>
        </w:rPr>
        <w:t xml:space="preserve">11 </w:t>
      </w:r>
      <w:r w:rsidR="00075B35" w:rsidRPr="00656EAF">
        <w:rPr>
          <w:color w:val="000000" w:themeColor="text1"/>
          <w:lang w:eastAsia="en-US"/>
        </w:rPr>
        <w:t xml:space="preserve">incomplete questionnaires or those that contained spurious data (e.g. a respondent who claimed to have done </w:t>
      </w:r>
      <w:r w:rsidR="00075B35">
        <w:rPr>
          <w:lang w:eastAsia="en-US"/>
        </w:rPr>
        <w:t>258 mediations</w:t>
      </w:r>
      <w:r w:rsidR="00075B35" w:rsidRPr="00075B35">
        <w:rPr>
          <w:lang w:eastAsia="en-US"/>
        </w:rPr>
        <w:t>)</w:t>
      </w:r>
      <w:r w:rsidR="00075B35">
        <w:rPr>
          <w:lang w:eastAsia="en-US"/>
        </w:rPr>
        <w:t xml:space="preserve"> were excluded from the analysis</w:t>
      </w:r>
      <w:r w:rsidR="003A26CB">
        <w:rPr>
          <w:lang w:eastAsia="en-US"/>
        </w:rPr>
        <w:t>. The response</w:t>
      </w:r>
      <w:r>
        <w:rPr>
          <w:lang w:eastAsia="en-US"/>
        </w:rPr>
        <w:t xml:space="preserve"> represents </w:t>
      </w:r>
      <w:r w:rsidR="00B648A2">
        <w:rPr>
          <w:lang w:eastAsia="en-US"/>
        </w:rPr>
        <w:t xml:space="preserve">a </w:t>
      </w:r>
      <w:r>
        <w:rPr>
          <w:lang w:eastAsia="en-US"/>
        </w:rPr>
        <w:t xml:space="preserve">return rate of </w:t>
      </w:r>
      <w:r w:rsidR="00B648A2">
        <w:rPr>
          <w:lang w:eastAsia="en-US"/>
        </w:rPr>
        <w:t>12</w:t>
      </w:r>
      <w:r>
        <w:rPr>
          <w:lang w:eastAsia="en-US"/>
        </w:rPr>
        <w:t>% compared to the desirable sample size</w:t>
      </w:r>
      <w:r w:rsidR="00814A27">
        <w:rPr>
          <w:lang w:eastAsia="en-US"/>
        </w:rPr>
        <w:t xml:space="preserve"> of 3000</w:t>
      </w:r>
      <w:r>
        <w:rPr>
          <w:lang w:eastAsia="en-US"/>
        </w:rPr>
        <w:t xml:space="preserve">.  </w:t>
      </w:r>
      <w:r w:rsidR="00B648A2">
        <w:rPr>
          <w:lang w:eastAsia="en-US"/>
        </w:rPr>
        <w:t xml:space="preserve">The response rate was considered adequate for the purpose of this study, and it was representative of all stakeholder groups. </w:t>
      </w:r>
      <w:r w:rsidR="003A26CB">
        <w:rPr>
          <w:lang w:eastAsia="en-US"/>
        </w:rPr>
        <w:t>Th</w:t>
      </w:r>
      <w:r w:rsidR="00B648A2">
        <w:rPr>
          <w:lang w:eastAsia="en-US"/>
        </w:rPr>
        <w:t xml:space="preserve">e 12% response rate </w:t>
      </w:r>
      <w:r w:rsidR="003A26CB">
        <w:rPr>
          <w:lang w:eastAsia="en-US"/>
        </w:rPr>
        <w:t xml:space="preserve">indicates the perceived importance of this study to the respondents. </w:t>
      </w:r>
      <w:r w:rsidR="00D23DE9" w:rsidRPr="00D23DE9">
        <w:rPr>
          <w:lang w:eastAsia="en-US"/>
        </w:rPr>
        <w:t xml:space="preserve">The returned </w:t>
      </w:r>
      <w:r w:rsidR="003A26CB">
        <w:rPr>
          <w:lang w:eastAsia="en-US"/>
        </w:rPr>
        <w:t>questionnaires were</w:t>
      </w:r>
      <w:r w:rsidR="00D23DE9" w:rsidRPr="00D23DE9">
        <w:rPr>
          <w:lang w:eastAsia="en-US"/>
        </w:rPr>
        <w:t xml:space="preserve"> then analysed utilising a statistical package SPSS version 20. </w:t>
      </w:r>
    </w:p>
    <w:p w:rsidR="004F0A7B" w:rsidRPr="003A26CB" w:rsidRDefault="004F0A7B" w:rsidP="0020458A">
      <w:pPr>
        <w:pStyle w:val="Heading3"/>
        <w:jc w:val="both"/>
      </w:pPr>
      <w:r w:rsidRPr="003A26CB">
        <w:t>Participation composition</w:t>
      </w:r>
    </w:p>
    <w:p w:rsidR="00AF3882" w:rsidRDefault="00446598" w:rsidP="0020458A">
      <w:pPr>
        <w:jc w:val="both"/>
        <w:rPr>
          <w:lang w:eastAsia="en-US"/>
        </w:rPr>
      </w:pPr>
      <w:r w:rsidRPr="004F0A7B">
        <w:t xml:space="preserve">The </w:t>
      </w:r>
      <w:r>
        <w:t xml:space="preserve">survey </w:t>
      </w:r>
      <w:r w:rsidRPr="004F0A7B">
        <w:t xml:space="preserve">collected </w:t>
      </w:r>
      <w:r>
        <w:t xml:space="preserve">data </w:t>
      </w:r>
      <w:r w:rsidRPr="004F0A7B">
        <w:t>from a range of stakeholders across the con</w:t>
      </w:r>
      <w:r>
        <w:t>s</w:t>
      </w:r>
      <w:r w:rsidRPr="004F0A7B">
        <w:t>tr</w:t>
      </w:r>
      <w:r>
        <w:t>u</w:t>
      </w:r>
      <w:r w:rsidRPr="004F0A7B">
        <w:t>ction industry</w:t>
      </w:r>
      <w:r w:rsidRPr="004F0A7B">
        <w:rPr>
          <w:i/>
        </w:rPr>
        <w:t>,</w:t>
      </w:r>
      <w:r w:rsidRPr="00134E65">
        <w:rPr>
          <w:lang w:eastAsia="en-US"/>
        </w:rPr>
        <w:t xml:space="preserve"> representing all key parties who </w:t>
      </w:r>
      <w:r>
        <w:rPr>
          <w:lang w:eastAsia="en-US"/>
        </w:rPr>
        <w:t>a</w:t>
      </w:r>
      <w:r w:rsidRPr="005244DE">
        <w:rPr>
          <w:lang w:eastAsia="en-US"/>
        </w:rPr>
        <w:t xml:space="preserve">re </w:t>
      </w:r>
      <w:r>
        <w:rPr>
          <w:lang w:eastAsia="en-US"/>
        </w:rPr>
        <w:t xml:space="preserve">likely to become involved in </w:t>
      </w:r>
      <w:r w:rsidRPr="005244DE">
        <w:rPr>
          <w:lang w:eastAsia="en-US"/>
        </w:rPr>
        <w:t>construction dispute</w:t>
      </w:r>
      <w:r>
        <w:rPr>
          <w:lang w:eastAsia="en-US"/>
        </w:rPr>
        <w:t>s</w:t>
      </w:r>
      <w:r w:rsidRPr="005244DE">
        <w:rPr>
          <w:lang w:eastAsia="en-US"/>
        </w:rPr>
        <w:t xml:space="preserve">. </w:t>
      </w:r>
      <w:r w:rsidR="003418FF">
        <w:rPr>
          <w:lang w:eastAsia="en-US"/>
        </w:rPr>
        <w:t>As shown in table 1,</w:t>
      </w:r>
      <w:r>
        <w:rPr>
          <w:lang w:eastAsia="en-US"/>
        </w:rPr>
        <w:t>357</w:t>
      </w:r>
      <w:r w:rsidRPr="005244DE">
        <w:rPr>
          <w:lang w:eastAsia="en-US"/>
        </w:rPr>
        <w:t xml:space="preserve"> </w:t>
      </w:r>
      <w:r>
        <w:rPr>
          <w:lang w:eastAsia="en-US"/>
        </w:rPr>
        <w:t>analysable responses were received, of which</w:t>
      </w:r>
      <w:r w:rsidRPr="005244DE">
        <w:rPr>
          <w:lang w:eastAsia="en-US"/>
        </w:rPr>
        <w:t xml:space="preserve"> 3</w:t>
      </w:r>
      <w:r w:rsidR="000D52E4">
        <w:rPr>
          <w:lang w:eastAsia="en-US"/>
        </w:rPr>
        <w:t>6</w:t>
      </w:r>
      <w:r w:rsidRPr="005244DE">
        <w:rPr>
          <w:lang w:eastAsia="en-US"/>
        </w:rPr>
        <w:t>% were contractors</w:t>
      </w:r>
      <w:r w:rsidR="00B87E9C">
        <w:rPr>
          <w:lang w:eastAsia="en-US"/>
        </w:rPr>
        <w:t xml:space="preserve"> </w:t>
      </w:r>
      <w:r w:rsidR="00B87E9C" w:rsidRPr="005244DE">
        <w:rPr>
          <w:lang w:eastAsia="en-US"/>
        </w:rPr>
        <w:t>(classified by turnover into major contractor with a turnover of £50m or more per annum and principle contractors with turnover unto £50m per annum)</w:t>
      </w:r>
      <w:r w:rsidRPr="005244DE">
        <w:rPr>
          <w:lang w:eastAsia="en-US"/>
        </w:rPr>
        <w:t>, 4</w:t>
      </w:r>
      <w:r w:rsidR="000D52E4">
        <w:rPr>
          <w:lang w:eastAsia="en-US"/>
        </w:rPr>
        <w:t>9</w:t>
      </w:r>
      <w:r w:rsidRPr="005244DE">
        <w:rPr>
          <w:lang w:eastAsia="en-US"/>
        </w:rPr>
        <w:t>% were sub-contractor</w:t>
      </w:r>
      <w:r>
        <w:rPr>
          <w:lang w:eastAsia="en-US"/>
        </w:rPr>
        <w:t>s</w:t>
      </w:r>
      <w:r w:rsidRPr="005244DE">
        <w:rPr>
          <w:lang w:eastAsia="en-US"/>
        </w:rPr>
        <w:t xml:space="preserve"> </w:t>
      </w:r>
      <w:r>
        <w:rPr>
          <w:lang w:eastAsia="en-US"/>
        </w:rPr>
        <w:t xml:space="preserve">(including general subcontractors, </w:t>
      </w:r>
      <w:r w:rsidRPr="005244DE">
        <w:rPr>
          <w:lang w:eastAsia="en-US"/>
        </w:rPr>
        <w:t>specialist contractors</w:t>
      </w:r>
      <w:r>
        <w:rPr>
          <w:lang w:eastAsia="en-US"/>
        </w:rPr>
        <w:t xml:space="preserve"> and suppliers)</w:t>
      </w:r>
      <w:r w:rsidRPr="005244DE">
        <w:rPr>
          <w:lang w:eastAsia="en-US"/>
        </w:rPr>
        <w:t>, 8% were clients (</w:t>
      </w:r>
      <w:r w:rsidR="00B87E9C">
        <w:rPr>
          <w:lang w:eastAsia="en-US"/>
        </w:rPr>
        <w:t xml:space="preserve">local authorities and </w:t>
      </w:r>
      <w:r w:rsidRPr="005244DE">
        <w:rPr>
          <w:lang w:eastAsia="en-US"/>
        </w:rPr>
        <w:t xml:space="preserve">private </w:t>
      </w:r>
      <w:r w:rsidR="00B87E9C">
        <w:rPr>
          <w:lang w:eastAsia="en-US"/>
        </w:rPr>
        <w:t>sector clients</w:t>
      </w:r>
      <w:r w:rsidRPr="005244DE">
        <w:rPr>
          <w:lang w:eastAsia="en-US"/>
        </w:rPr>
        <w:t xml:space="preserve">), </w:t>
      </w:r>
      <w:r>
        <w:rPr>
          <w:lang w:eastAsia="en-US"/>
        </w:rPr>
        <w:t xml:space="preserve">and </w:t>
      </w:r>
      <w:r w:rsidRPr="005244DE">
        <w:rPr>
          <w:lang w:eastAsia="en-US"/>
        </w:rPr>
        <w:t xml:space="preserve">8% </w:t>
      </w:r>
      <w:r>
        <w:rPr>
          <w:lang w:eastAsia="en-US"/>
        </w:rPr>
        <w:t xml:space="preserve">were consultants (Designers and other </w:t>
      </w:r>
      <w:r w:rsidRPr="005244DE">
        <w:rPr>
          <w:lang w:eastAsia="en-US"/>
        </w:rPr>
        <w:t>professionals</w:t>
      </w:r>
      <w:r>
        <w:rPr>
          <w:lang w:eastAsia="en-US"/>
        </w:rPr>
        <w:t>). The breakdown of the responses show that construction stakeholders</w:t>
      </w:r>
      <w:r w:rsidR="001B7F84">
        <w:rPr>
          <w:lang w:eastAsia="en-US"/>
        </w:rPr>
        <w:t xml:space="preserve"> (clients, contractors and the</w:t>
      </w:r>
      <w:r w:rsidR="00B87E9C">
        <w:rPr>
          <w:lang w:eastAsia="en-US"/>
        </w:rPr>
        <w:t>ir respective</w:t>
      </w:r>
      <w:r w:rsidR="001B7F84">
        <w:rPr>
          <w:lang w:eastAsia="en-US"/>
        </w:rPr>
        <w:t xml:space="preserve"> supply chain</w:t>
      </w:r>
      <w:r w:rsidR="00B87E9C">
        <w:rPr>
          <w:lang w:eastAsia="en-US"/>
        </w:rPr>
        <w:t>s</w:t>
      </w:r>
      <w:r w:rsidR="001B7F84">
        <w:rPr>
          <w:lang w:eastAsia="en-US"/>
        </w:rPr>
        <w:t>)</w:t>
      </w:r>
      <w:r>
        <w:rPr>
          <w:lang w:eastAsia="en-US"/>
        </w:rPr>
        <w:t xml:space="preserve"> of various sizes were represented in the survey. The overrepresentation of contractors and subcontractors was considered beneficial to the purpose of this survey as they are </w:t>
      </w:r>
      <w:r w:rsidR="00B87E9C">
        <w:rPr>
          <w:lang w:eastAsia="en-US"/>
        </w:rPr>
        <w:t xml:space="preserve">the </w:t>
      </w:r>
      <w:r w:rsidR="00B4712F">
        <w:rPr>
          <w:lang w:eastAsia="en-US"/>
        </w:rPr>
        <w:t xml:space="preserve">parties </w:t>
      </w:r>
      <w:r w:rsidR="00B87E9C">
        <w:rPr>
          <w:lang w:eastAsia="en-US"/>
        </w:rPr>
        <w:t>who are most</w:t>
      </w:r>
      <w:r>
        <w:rPr>
          <w:lang w:eastAsia="en-US"/>
        </w:rPr>
        <w:t xml:space="preserve"> likely to </w:t>
      </w:r>
      <w:r w:rsidR="00B87E9C">
        <w:rPr>
          <w:lang w:eastAsia="en-US"/>
        </w:rPr>
        <w:t xml:space="preserve">raise </w:t>
      </w:r>
      <w:r w:rsidR="00B4712F">
        <w:rPr>
          <w:lang w:eastAsia="en-US"/>
        </w:rPr>
        <w:t xml:space="preserve">a </w:t>
      </w:r>
      <w:r w:rsidR="00B87E9C">
        <w:rPr>
          <w:lang w:eastAsia="en-US"/>
        </w:rPr>
        <w:t xml:space="preserve">dispute and decide </w:t>
      </w:r>
      <w:r w:rsidR="00B4712F">
        <w:rPr>
          <w:lang w:eastAsia="en-US"/>
        </w:rPr>
        <w:t xml:space="preserve">on </w:t>
      </w:r>
      <w:r w:rsidR="00B87E9C">
        <w:rPr>
          <w:lang w:eastAsia="en-US"/>
        </w:rPr>
        <w:t>the course of action</w:t>
      </w:r>
      <w:r w:rsidR="00FD2B99">
        <w:rPr>
          <w:lang w:eastAsia="en-US"/>
        </w:rPr>
        <w:t>.</w:t>
      </w:r>
    </w:p>
    <w:p w:rsidR="008673A9" w:rsidRDefault="008673A9" w:rsidP="0020458A">
      <w:pPr>
        <w:pStyle w:val="Caption"/>
        <w:keepNext/>
        <w:jc w:val="both"/>
        <w:rPr>
          <w:rFonts w:cs="Arial"/>
          <w:b w:val="0"/>
          <w:sz w:val="22"/>
          <w:szCs w:val="22"/>
        </w:rPr>
      </w:pPr>
    </w:p>
    <w:p w:rsidR="00BA14FA" w:rsidRPr="00716854" w:rsidRDefault="00BA14FA" w:rsidP="0020458A">
      <w:pPr>
        <w:pStyle w:val="Caption"/>
        <w:keepNext/>
        <w:jc w:val="both"/>
        <w:rPr>
          <w:rFonts w:cs="Arial"/>
          <w:b w:val="0"/>
          <w:sz w:val="22"/>
          <w:szCs w:val="22"/>
        </w:rPr>
      </w:pPr>
      <w:r w:rsidRPr="00716854">
        <w:rPr>
          <w:rFonts w:cs="Arial"/>
          <w:b w:val="0"/>
          <w:sz w:val="22"/>
          <w:szCs w:val="22"/>
        </w:rPr>
        <w:t xml:space="preserve">Table </w:t>
      </w:r>
      <w:r w:rsidRPr="00716854">
        <w:rPr>
          <w:rFonts w:cs="Arial"/>
          <w:b w:val="0"/>
          <w:sz w:val="22"/>
          <w:szCs w:val="22"/>
        </w:rPr>
        <w:fldChar w:fldCharType="begin"/>
      </w:r>
      <w:r w:rsidRPr="00716854">
        <w:rPr>
          <w:rFonts w:cs="Arial"/>
          <w:b w:val="0"/>
          <w:sz w:val="22"/>
          <w:szCs w:val="22"/>
        </w:rPr>
        <w:instrText xml:space="preserve"> SEQ Table \* ARABIC </w:instrText>
      </w:r>
      <w:r w:rsidRPr="00716854">
        <w:rPr>
          <w:rFonts w:cs="Arial"/>
          <w:b w:val="0"/>
          <w:sz w:val="22"/>
          <w:szCs w:val="22"/>
        </w:rPr>
        <w:fldChar w:fldCharType="separate"/>
      </w:r>
      <w:r w:rsidR="00170FC6">
        <w:rPr>
          <w:rFonts w:cs="Arial"/>
          <w:b w:val="0"/>
          <w:noProof/>
          <w:sz w:val="22"/>
          <w:szCs w:val="22"/>
        </w:rPr>
        <w:t>1</w:t>
      </w:r>
      <w:r w:rsidRPr="00716854">
        <w:rPr>
          <w:rFonts w:cs="Arial"/>
          <w:b w:val="0"/>
          <w:sz w:val="22"/>
          <w:szCs w:val="22"/>
        </w:rPr>
        <w:fldChar w:fldCharType="end"/>
      </w:r>
      <w:r w:rsidRPr="00716854">
        <w:rPr>
          <w:rFonts w:cs="Arial"/>
          <w:b w:val="0"/>
          <w:sz w:val="22"/>
          <w:szCs w:val="22"/>
        </w:rPr>
        <w:t>: Breakdown of responses by stakeholder group and turnover</w:t>
      </w:r>
    </w:p>
    <w:tbl>
      <w:tblPr>
        <w:tblW w:w="10084" w:type="dxa"/>
        <w:tblInd w:w="93" w:type="dxa"/>
        <w:tblBorders>
          <w:top w:val="single" w:sz="4" w:space="0" w:color="auto"/>
          <w:bottom w:val="single" w:sz="4" w:space="0" w:color="auto"/>
        </w:tblBorders>
        <w:tblLook w:val="04A0" w:firstRow="1" w:lastRow="0" w:firstColumn="1" w:lastColumn="0" w:noHBand="0" w:noVBand="1"/>
      </w:tblPr>
      <w:tblGrid>
        <w:gridCol w:w="2850"/>
        <w:gridCol w:w="851"/>
        <w:gridCol w:w="1025"/>
        <w:gridCol w:w="959"/>
        <w:gridCol w:w="993"/>
        <w:gridCol w:w="1134"/>
        <w:gridCol w:w="1275"/>
        <w:gridCol w:w="997"/>
      </w:tblGrid>
      <w:tr w:rsidR="000C72E4" w:rsidTr="0020458A">
        <w:trPr>
          <w:trHeight w:val="300"/>
        </w:trPr>
        <w:tc>
          <w:tcPr>
            <w:tcW w:w="2850" w:type="dxa"/>
            <w:vMerge w:val="restart"/>
            <w:shd w:val="clear" w:color="auto" w:fill="auto"/>
            <w:noWrap/>
            <w:vAlign w:val="bottom"/>
            <w:hideMark/>
          </w:tcPr>
          <w:p w:rsidR="000C72E4" w:rsidRDefault="000C72E4" w:rsidP="00895723">
            <w:pPr>
              <w:jc w:val="both"/>
              <w:rPr>
                <w:rFonts w:cs="Arial"/>
                <w:b/>
                <w:bCs/>
                <w:color w:val="000000"/>
                <w:szCs w:val="22"/>
              </w:rPr>
            </w:pPr>
            <w:r>
              <w:rPr>
                <w:rFonts w:cs="Arial"/>
                <w:b/>
                <w:bCs/>
                <w:color w:val="000000"/>
                <w:szCs w:val="22"/>
              </w:rPr>
              <w:t>Stakeholder group</w:t>
            </w:r>
            <w:r>
              <w:rPr>
                <w:rFonts w:cs="Arial"/>
                <w:color w:val="000000"/>
                <w:szCs w:val="22"/>
              </w:rPr>
              <w:t> </w:t>
            </w:r>
          </w:p>
        </w:tc>
        <w:tc>
          <w:tcPr>
            <w:tcW w:w="851" w:type="dxa"/>
            <w:vMerge w:val="restart"/>
            <w:shd w:val="clear" w:color="auto" w:fill="auto"/>
            <w:noWrap/>
            <w:vAlign w:val="bottom"/>
            <w:hideMark/>
          </w:tcPr>
          <w:p w:rsidR="000C72E4" w:rsidRDefault="000C72E4" w:rsidP="0020458A">
            <w:pPr>
              <w:jc w:val="both"/>
              <w:rPr>
                <w:rFonts w:cs="Arial"/>
                <w:color w:val="000000"/>
                <w:szCs w:val="22"/>
              </w:rPr>
            </w:pPr>
            <w:r>
              <w:rPr>
                <w:rFonts w:cs="Arial"/>
                <w:color w:val="000000"/>
                <w:szCs w:val="22"/>
              </w:rPr>
              <w:t> </w:t>
            </w:r>
          </w:p>
          <w:p w:rsidR="000C72E4" w:rsidRDefault="000C72E4" w:rsidP="0020458A">
            <w:pPr>
              <w:jc w:val="both"/>
              <w:rPr>
                <w:rFonts w:cs="Arial"/>
                <w:color w:val="000000"/>
                <w:szCs w:val="22"/>
              </w:rPr>
            </w:pPr>
            <w:r>
              <w:rPr>
                <w:rFonts w:cs="Arial"/>
                <w:color w:val="000000"/>
                <w:szCs w:val="22"/>
              </w:rPr>
              <w:t>total</w:t>
            </w:r>
          </w:p>
        </w:tc>
        <w:tc>
          <w:tcPr>
            <w:tcW w:w="6383" w:type="dxa"/>
            <w:gridSpan w:val="6"/>
            <w:tcBorders>
              <w:bottom w:val="single" w:sz="4" w:space="0" w:color="auto"/>
            </w:tcBorders>
            <w:shd w:val="clear" w:color="auto" w:fill="auto"/>
            <w:noWrap/>
            <w:vAlign w:val="bottom"/>
          </w:tcPr>
          <w:p w:rsidR="000C72E4" w:rsidRDefault="000C72E4" w:rsidP="0020458A">
            <w:pPr>
              <w:jc w:val="both"/>
              <w:rPr>
                <w:rFonts w:cs="Arial"/>
                <w:color w:val="000000"/>
                <w:szCs w:val="22"/>
              </w:rPr>
            </w:pPr>
            <w:r>
              <w:rPr>
                <w:rFonts w:cs="Arial"/>
                <w:color w:val="000000"/>
                <w:szCs w:val="22"/>
              </w:rPr>
              <w:t>Annual Turnover £(’000,0000’)</w:t>
            </w:r>
          </w:p>
        </w:tc>
      </w:tr>
      <w:tr w:rsidR="000C72E4" w:rsidTr="0020458A">
        <w:trPr>
          <w:trHeight w:val="300"/>
        </w:trPr>
        <w:tc>
          <w:tcPr>
            <w:tcW w:w="2850" w:type="dxa"/>
            <w:vMerge/>
            <w:tcBorders>
              <w:bottom w:val="single" w:sz="4" w:space="0" w:color="auto"/>
            </w:tcBorders>
            <w:shd w:val="clear" w:color="auto" w:fill="auto"/>
            <w:noWrap/>
            <w:vAlign w:val="bottom"/>
            <w:hideMark/>
          </w:tcPr>
          <w:p w:rsidR="000C72E4" w:rsidRDefault="000C72E4" w:rsidP="0020458A">
            <w:pPr>
              <w:jc w:val="both"/>
              <w:rPr>
                <w:rFonts w:cs="Arial"/>
                <w:color w:val="000000"/>
                <w:szCs w:val="22"/>
              </w:rPr>
            </w:pPr>
          </w:p>
        </w:tc>
        <w:tc>
          <w:tcPr>
            <w:tcW w:w="851" w:type="dxa"/>
            <w:vMerge/>
            <w:tcBorders>
              <w:bottom w:val="single" w:sz="4" w:space="0" w:color="auto"/>
            </w:tcBorders>
            <w:shd w:val="clear" w:color="auto" w:fill="auto"/>
            <w:noWrap/>
            <w:vAlign w:val="bottom"/>
            <w:hideMark/>
          </w:tcPr>
          <w:p w:rsidR="000C72E4" w:rsidRDefault="000C72E4" w:rsidP="0020458A">
            <w:pPr>
              <w:jc w:val="both"/>
              <w:rPr>
                <w:rFonts w:cs="Arial"/>
                <w:color w:val="000000"/>
                <w:szCs w:val="22"/>
              </w:rPr>
            </w:pPr>
          </w:p>
        </w:tc>
        <w:tc>
          <w:tcPr>
            <w:tcW w:w="1025" w:type="dxa"/>
            <w:tcBorders>
              <w:top w:val="single" w:sz="4" w:space="0" w:color="auto"/>
              <w:bottom w:val="single" w:sz="4" w:space="0" w:color="auto"/>
            </w:tcBorders>
            <w:shd w:val="clear" w:color="auto" w:fill="auto"/>
            <w:noWrap/>
            <w:vAlign w:val="bottom"/>
            <w:hideMark/>
          </w:tcPr>
          <w:p w:rsidR="000C72E4" w:rsidRDefault="000C72E4" w:rsidP="0020458A">
            <w:pPr>
              <w:jc w:val="both"/>
              <w:rPr>
                <w:rFonts w:cs="Arial"/>
                <w:color w:val="000000"/>
                <w:szCs w:val="22"/>
              </w:rPr>
            </w:pPr>
            <w:r>
              <w:rPr>
                <w:rFonts w:cs="Arial"/>
                <w:color w:val="000000"/>
                <w:szCs w:val="22"/>
              </w:rPr>
              <w:t>&lt;0.3</w:t>
            </w:r>
          </w:p>
        </w:tc>
        <w:tc>
          <w:tcPr>
            <w:tcW w:w="959" w:type="dxa"/>
            <w:tcBorders>
              <w:top w:val="single" w:sz="4" w:space="0" w:color="auto"/>
              <w:bottom w:val="single" w:sz="4" w:space="0" w:color="auto"/>
            </w:tcBorders>
            <w:shd w:val="clear" w:color="auto" w:fill="auto"/>
            <w:noWrap/>
            <w:vAlign w:val="bottom"/>
            <w:hideMark/>
          </w:tcPr>
          <w:p w:rsidR="000C72E4" w:rsidRDefault="000C72E4" w:rsidP="0020458A">
            <w:pPr>
              <w:jc w:val="both"/>
              <w:rPr>
                <w:rFonts w:cs="Arial"/>
                <w:color w:val="000000"/>
                <w:szCs w:val="22"/>
              </w:rPr>
            </w:pPr>
            <w:r>
              <w:rPr>
                <w:rFonts w:cs="Arial"/>
                <w:color w:val="000000"/>
                <w:szCs w:val="22"/>
              </w:rPr>
              <w:t>0.3 - 1</w:t>
            </w:r>
          </w:p>
        </w:tc>
        <w:tc>
          <w:tcPr>
            <w:tcW w:w="993" w:type="dxa"/>
            <w:tcBorders>
              <w:top w:val="single" w:sz="4" w:space="0" w:color="auto"/>
              <w:bottom w:val="single" w:sz="4" w:space="0" w:color="auto"/>
            </w:tcBorders>
            <w:shd w:val="clear" w:color="auto" w:fill="auto"/>
            <w:noWrap/>
            <w:vAlign w:val="bottom"/>
            <w:hideMark/>
          </w:tcPr>
          <w:p w:rsidR="000C72E4" w:rsidRDefault="000C72E4" w:rsidP="0020458A">
            <w:pPr>
              <w:jc w:val="both"/>
              <w:rPr>
                <w:rFonts w:cs="Arial"/>
                <w:color w:val="000000"/>
                <w:szCs w:val="22"/>
              </w:rPr>
            </w:pPr>
            <w:r>
              <w:rPr>
                <w:rFonts w:cs="Arial"/>
                <w:color w:val="000000"/>
                <w:szCs w:val="22"/>
              </w:rPr>
              <w:t>1.0-5.0</w:t>
            </w:r>
          </w:p>
        </w:tc>
        <w:tc>
          <w:tcPr>
            <w:tcW w:w="1134" w:type="dxa"/>
            <w:tcBorders>
              <w:top w:val="single" w:sz="4" w:space="0" w:color="auto"/>
              <w:bottom w:val="single" w:sz="4" w:space="0" w:color="auto"/>
            </w:tcBorders>
            <w:shd w:val="clear" w:color="auto" w:fill="auto"/>
            <w:noWrap/>
            <w:vAlign w:val="bottom"/>
            <w:hideMark/>
          </w:tcPr>
          <w:p w:rsidR="000C72E4" w:rsidRDefault="000C72E4" w:rsidP="0020458A">
            <w:pPr>
              <w:jc w:val="both"/>
              <w:rPr>
                <w:rFonts w:cs="Arial"/>
                <w:color w:val="000000"/>
                <w:szCs w:val="22"/>
              </w:rPr>
            </w:pPr>
            <w:r>
              <w:rPr>
                <w:rFonts w:cs="Arial"/>
                <w:color w:val="000000"/>
                <w:szCs w:val="22"/>
              </w:rPr>
              <w:t>5.0-10.0</w:t>
            </w:r>
          </w:p>
        </w:tc>
        <w:tc>
          <w:tcPr>
            <w:tcW w:w="1275" w:type="dxa"/>
            <w:tcBorders>
              <w:top w:val="single" w:sz="4" w:space="0" w:color="auto"/>
              <w:bottom w:val="single" w:sz="4" w:space="0" w:color="auto"/>
            </w:tcBorders>
            <w:shd w:val="clear" w:color="auto" w:fill="auto"/>
            <w:noWrap/>
            <w:vAlign w:val="bottom"/>
            <w:hideMark/>
          </w:tcPr>
          <w:p w:rsidR="000C72E4" w:rsidRDefault="000C72E4" w:rsidP="0020458A">
            <w:pPr>
              <w:jc w:val="both"/>
              <w:rPr>
                <w:rFonts w:cs="Arial"/>
                <w:color w:val="000000"/>
                <w:szCs w:val="22"/>
              </w:rPr>
            </w:pPr>
            <w:r>
              <w:rPr>
                <w:rFonts w:cs="Arial"/>
                <w:color w:val="000000"/>
                <w:szCs w:val="22"/>
              </w:rPr>
              <w:t>£10.0-50.0</w:t>
            </w:r>
          </w:p>
        </w:tc>
        <w:tc>
          <w:tcPr>
            <w:tcW w:w="997" w:type="dxa"/>
            <w:tcBorders>
              <w:top w:val="single" w:sz="4" w:space="0" w:color="auto"/>
              <w:bottom w:val="single" w:sz="4" w:space="0" w:color="auto"/>
            </w:tcBorders>
            <w:shd w:val="clear" w:color="auto" w:fill="auto"/>
            <w:noWrap/>
            <w:vAlign w:val="bottom"/>
            <w:hideMark/>
          </w:tcPr>
          <w:p w:rsidR="000C72E4" w:rsidRDefault="000C72E4" w:rsidP="0020458A">
            <w:pPr>
              <w:jc w:val="both"/>
              <w:rPr>
                <w:rFonts w:cs="Arial"/>
                <w:color w:val="000000"/>
                <w:szCs w:val="22"/>
              </w:rPr>
            </w:pPr>
            <w:r>
              <w:rPr>
                <w:rFonts w:cs="Arial"/>
                <w:color w:val="000000"/>
                <w:szCs w:val="22"/>
              </w:rPr>
              <w:t xml:space="preserve">&gt;50.0 </w:t>
            </w:r>
          </w:p>
        </w:tc>
      </w:tr>
      <w:tr w:rsidR="000C72E4" w:rsidTr="0020458A">
        <w:trPr>
          <w:trHeight w:val="300"/>
        </w:trPr>
        <w:tc>
          <w:tcPr>
            <w:tcW w:w="2850" w:type="dxa"/>
            <w:tcBorders>
              <w:top w:val="single" w:sz="4" w:space="0" w:color="auto"/>
              <w:bottom w:val="nil"/>
            </w:tcBorders>
            <w:shd w:val="clear" w:color="auto" w:fill="auto"/>
            <w:noWrap/>
            <w:vAlign w:val="bottom"/>
            <w:hideMark/>
          </w:tcPr>
          <w:p w:rsidR="000C72E4" w:rsidRDefault="000C72E4" w:rsidP="0020458A">
            <w:pPr>
              <w:jc w:val="both"/>
              <w:rPr>
                <w:rFonts w:cs="Arial"/>
                <w:color w:val="000000"/>
                <w:szCs w:val="22"/>
              </w:rPr>
            </w:pPr>
            <w:r>
              <w:rPr>
                <w:rFonts w:cs="Arial"/>
                <w:color w:val="000000"/>
                <w:szCs w:val="22"/>
              </w:rPr>
              <w:t>Local authority</w:t>
            </w:r>
          </w:p>
        </w:tc>
        <w:tc>
          <w:tcPr>
            <w:tcW w:w="851" w:type="dxa"/>
            <w:tcBorders>
              <w:top w:val="single" w:sz="4" w:space="0" w:color="auto"/>
              <w:bottom w:val="nil"/>
            </w:tcBorders>
            <w:shd w:val="clear" w:color="auto" w:fill="auto"/>
            <w:noWrap/>
            <w:vAlign w:val="bottom"/>
            <w:hideMark/>
          </w:tcPr>
          <w:p w:rsidR="000C72E4" w:rsidRPr="007222B2" w:rsidRDefault="000C72E4" w:rsidP="0020458A">
            <w:pPr>
              <w:jc w:val="both"/>
              <w:rPr>
                <w:rFonts w:cs="Arial"/>
                <w:color w:val="000000"/>
                <w:szCs w:val="22"/>
              </w:rPr>
            </w:pPr>
            <w:r w:rsidRPr="007222B2">
              <w:rPr>
                <w:rFonts w:cs="Arial"/>
                <w:color w:val="000000"/>
                <w:szCs w:val="22"/>
              </w:rPr>
              <w:t>2</w:t>
            </w:r>
          </w:p>
        </w:tc>
        <w:tc>
          <w:tcPr>
            <w:tcW w:w="1025" w:type="dxa"/>
            <w:tcBorders>
              <w:top w:val="single" w:sz="4" w:space="0" w:color="auto"/>
              <w:bottom w:val="nil"/>
            </w:tcBorders>
            <w:shd w:val="clear" w:color="000000" w:fill="95B3D7"/>
            <w:noWrap/>
            <w:vAlign w:val="bottom"/>
            <w:hideMark/>
          </w:tcPr>
          <w:p w:rsidR="000C72E4" w:rsidRPr="007222B2" w:rsidRDefault="000C72E4" w:rsidP="0020458A">
            <w:pPr>
              <w:jc w:val="both"/>
              <w:rPr>
                <w:rFonts w:cs="Arial"/>
                <w:color w:val="000000"/>
                <w:szCs w:val="22"/>
              </w:rPr>
            </w:pPr>
            <w:r w:rsidRPr="007222B2">
              <w:rPr>
                <w:rFonts w:cs="Arial"/>
                <w:color w:val="000000"/>
                <w:szCs w:val="22"/>
              </w:rPr>
              <w:t>0</w:t>
            </w:r>
          </w:p>
        </w:tc>
        <w:tc>
          <w:tcPr>
            <w:tcW w:w="959" w:type="dxa"/>
            <w:tcBorders>
              <w:top w:val="single" w:sz="4" w:space="0" w:color="auto"/>
              <w:bottom w:val="nil"/>
            </w:tcBorders>
            <w:shd w:val="clear" w:color="000000" w:fill="95B3D7"/>
            <w:noWrap/>
            <w:vAlign w:val="bottom"/>
            <w:hideMark/>
          </w:tcPr>
          <w:p w:rsidR="000C72E4" w:rsidRPr="007222B2" w:rsidRDefault="000C72E4" w:rsidP="0020458A">
            <w:pPr>
              <w:jc w:val="both"/>
              <w:rPr>
                <w:rFonts w:cs="Arial"/>
                <w:color w:val="000000"/>
                <w:szCs w:val="22"/>
              </w:rPr>
            </w:pPr>
            <w:r w:rsidRPr="007222B2">
              <w:rPr>
                <w:rFonts w:cs="Arial"/>
                <w:color w:val="000000"/>
                <w:szCs w:val="22"/>
              </w:rPr>
              <w:t>0</w:t>
            </w:r>
          </w:p>
        </w:tc>
        <w:tc>
          <w:tcPr>
            <w:tcW w:w="993" w:type="dxa"/>
            <w:tcBorders>
              <w:top w:val="single" w:sz="4" w:space="0" w:color="auto"/>
              <w:bottom w:val="nil"/>
            </w:tcBorders>
            <w:shd w:val="clear" w:color="000000" w:fill="95B3D7"/>
            <w:noWrap/>
            <w:vAlign w:val="bottom"/>
            <w:hideMark/>
          </w:tcPr>
          <w:p w:rsidR="000C72E4" w:rsidRPr="007222B2" w:rsidRDefault="000C72E4" w:rsidP="0020458A">
            <w:pPr>
              <w:jc w:val="both"/>
              <w:rPr>
                <w:rFonts w:cs="Arial"/>
                <w:color w:val="000000"/>
                <w:szCs w:val="22"/>
              </w:rPr>
            </w:pPr>
            <w:r w:rsidRPr="007222B2">
              <w:rPr>
                <w:rFonts w:cs="Arial"/>
                <w:color w:val="000000"/>
                <w:szCs w:val="22"/>
              </w:rPr>
              <w:t>0</w:t>
            </w:r>
          </w:p>
        </w:tc>
        <w:tc>
          <w:tcPr>
            <w:tcW w:w="1134" w:type="dxa"/>
            <w:tcBorders>
              <w:top w:val="single" w:sz="4" w:space="0" w:color="auto"/>
              <w:bottom w:val="nil"/>
            </w:tcBorders>
            <w:shd w:val="clear" w:color="000000" w:fill="95B3D7"/>
            <w:noWrap/>
            <w:vAlign w:val="bottom"/>
            <w:hideMark/>
          </w:tcPr>
          <w:p w:rsidR="000C72E4" w:rsidRPr="007222B2" w:rsidRDefault="000C72E4" w:rsidP="0020458A">
            <w:pPr>
              <w:jc w:val="both"/>
              <w:rPr>
                <w:rFonts w:cs="Arial"/>
                <w:color w:val="000000"/>
                <w:szCs w:val="22"/>
              </w:rPr>
            </w:pPr>
            <w:r w:rsidRPr="007222B2">
              <w:rPr>
                <w:rFonts w:cs="Arial"/>
                <w:color w:val="000000"/>
                <w:szCs w:val="22"/>
              </w:rPr>
              <w:t>0</w:t>
            </w:r>
          </w:p>
        </w:tc>
        <w:tc>
          <w:tcPr>
            <w:tcW w:w="1275" w:type="dxa"/>
            <w:tcBorders>
              <w:top w:val="single" w:sz="4" w:space="0" w:color="auto"/>
              <w:bottom w:val="nil"/>
            </w:tcBorders>
            <w:shd w:val="clear" w:color="000000" w:fill="95B3D7"/>
            <w:noWrap/>
            <w:vAlign w:val="bottom"/>
            <w:hideMark/>
          </w:tcPr>
          <w:p w:rsidR="000C72E4" w:rsidRPr="00162F26" w:rsidRDefault="000C72E4" w:rsidP="0020458A">
            <w:pPr>
              <w:jc w:val="both"/>
              <w:rPr>
                <w:rFonts w:cs="Arial"/>
                <w:color w:val="000000"/>
                <w:szCs w:val="22"/>
              </w:rPr>
            </w:pPr>
            <w:r w:rsidRPr="00162F26">
              <w:rPr>
                <w:rFonts w:cs="Arial"/>
                <w:color w:val="000000"/>
                <w:szCs w:val="22"/>
              </w:rPr>
              <w:t>0</w:t>
            </w:r>
          </w:p>
        </w:tc>
        <w:tc>
          <w:tcPr>
            <w:tcW w:w="997" w:type="dxa"/>
            <w:tcBorders>
              <w:top w:val="single" w:sz="4" w:space="0" w:color="auto"/>
              <w:bottom w:val="nil"/>
            </w:tcBorders>
            <w:shd w:val="clear" w:color="000000" w:fill="95B3D7"/>
            <w:noWrap/>
            <w:vAlign w:val="bottom"/>
            <w:hideMark/>
          </w:tcPr>
          <w:p w:rsidR="000C72E4" w:rsidRPr="00162F26" w:rsidRDefault="000C72E4" w:rsidP="0020458A">
            <w:pPr>
              <w:jc w:val="both"/>
              <w:rPr>
                <w:rFonts w:cs="Arial"/>
                <w:color w:val="000000"/>
                <w:szCs w:val="22"/>
              </w:rPr>
            </w:pPr>
            <w:r w:rsidRPr="00162F26">
              <w:rPr>
                <w:rFonts w:cs="Arial"/>
                <w:color w:val="000000"/>
                <w:szCs w:val="22"/>
              </w:rPr>
              <w:t>2</w:t>
            </w:r>
          </w:p>
        </w:tc>
      </w:tr>
      <w:tr w:rsidR="000C72E4" w:rsidTr="0020458A">
        <w:trPr>
          <w:trHeight w:val="300"/>
        </w:trPr>
        <w:tc>
          <w:tcPr>
            <w:tcW w:w="2850" w:type="dxa"/>
            <w:tcBorders>
              <w:top w:val="nil"/>
            </w:tcBorders>
            <w:shd w:val="clear" w:color="auto" w:fill="auto"/>
            <w:noWrap/>
            <w:vAlign w:val="bottom"/>
            <w:hideMark/>
          </w:tcPr>
          <w:p w:rsidR="000C72E4" w:rsidRDefault="000C72E4" w:rsidP="0020458A">
            <w:pPr>
              <w:jc w:val="both"/>
              <w:rPr>
                <w:rFonts w:cs="Arial"/>
                <w:color w:val="000000"/>
                <w:szCs w:val="22"/>
              </w:rPr>
            </w:pPr>
            <w:r>
              <w:rPr>
                <w:rFonts w:cs="Arial"/>
                <w:color w:val="000000"/>
                <w:szCs w:val="22"/>
              </w:rPr>
              <w:t>Client other</w:t>
            </w:r>
          </w:p>
        </w:tc>
        <w:tc>
          <w:tcPr>
            <w:tcW w:w="851" w:type="dxa"/>
            <w:tcBorders>
              <w:top w:val="nil"/>
            </w:tcBorders>
            <w:shd w:val="clear" w:color="auto" w:fill="auto"/>
            <w:noWrap/>
            <w:vAlign w:val="bottom"/>
            <w:hideMark/>
          </w:tcPr>
          <w:p w:rsidR="000C72E4" w:rsidRPr="007222B2" w:rsidRDefault="000C72E4" w:rsidP="0020458A">
            <w:pPr>
              <w:jc w:val="both"/>
              <w:rPr>
                <w:rFonts w:cs="Arial"/>
                <w:color w:val="000000"/>
                <w:szCs w:val="22"/>
              </w:rPr>
            </w:pPr>
            <w:r w:rsidRPr="007222B2">
              <w:rPr>
                <w:rFonts w:cs="Arial"/>
                <w:color w:val="000000"/>
                <w:szCs w:val="22"/>
              </w:rPr>
              <w:t>26</w:t>
            </w:r>
          </w:p>
        </w:tc>
        <w:tc>
          <w:tcPr>
            <w:tcW w:w="1025" w:type="dxa"/>
            <w:tcBorders>
              <w:top w:val="nil"/>
            </w:tcBorders>
            <w:shd w:val="clear" w:color="000000" w:fill="95B3D7"/>
            <w:noWrap/>
            <w:vAlign w:val="bottom"/>
            <w:hideMark/>
          </w:tcPr>
          <w:p w:rsidR="000C72E4" w:rsidRPr="007222B2" w:rsidRDefault="000C72E4" w:rsidP="0020458A">
            <w:pPr>
              <w:jc w:val="both"/>
              <w:rPr>
                <w:rFonts w:cs="Arial"/>
                <w:color w:val="000000"/>
                <w:szCs w:val="22"/>
              </w:rPr>
            </w:pPr>
            <w:r w:rsidRPr="007222B2">
              <w:rPr>
                <w:rFonts w:cs="Arial"/>
                <w:color w:val="000000"/>
                <w:szCs w:val="22"/>
              </w:rPr>
              <w:t>0</w:t>
            </w:r>
          </w:p>
        </w:tc>
        <w:tc>
          <w:tcPr>
            <w:tcW w:w="959" w:type="dxa"/>
            <w:tcBorders>
              <w:top w:val="nil"/>
            </w:tcBorders>
            <w:shd w:val="clear" w:color="000000" w:fill="95B3D7"/>
            <w:noWrap/>
            <w:vAlign w:val="bottom"/>
            <w:hideMark/>
          </w:tcPr>
          <w:p w:rsidR="000C72E4" w:rsidRPr="007222B2" w:rsidRDefault="000C72E4" w:rsidP="0020458A">
            <w:pPr>
              <w:jc w:val="both"/>
              <w:rPr>
                <w:rFonts w:cs="Arial"/>
                <w:color w:val="000000"/>
                <w:szCs w:val="22"/>
              </w:rPr>
            </w:pPr>
            <w:r w:rsidRPr="007222B2">
              <w:rPr>
                <w:rFonts w:cs="Arial"/>
                <w:color w:val="000000"/>
                <w:szCs w:val="22"/>
              </w:rPr>
              <w:t>9</w:t>
            </w:r>
          </w:p>
        </w:tc>
        <w:tc>
          <w:tcPr>
            <w:tcW w:w="993" w:type="dxa"/>
            <w:tcBorders>
              <w:top w:val="nil"/>
            </w:tcBorders>
            <w:shd w:val="clear" w:color="000000" w:fill="95B3D7"/>
            <w:noWrap/>
            <w:vAlign w:val="bottom"/>
            <w:hideMark/>
          </w:tcPr>
          <w:p w:rsidR="000C72E4" w:rsidRPr="007222B2" w:rsidRDefault="000C72E4" w:rsidP="0020458A">
            <w:pPr>
              <w:jc w:val="both"/>
              <w:rPr>
                <w:rFonts w:cs="Arial"/>
                <w:color w:val="000000"/>
                <w:szCs w:val="22"/>
              </w:rPr>
            </w:pPr>
            <w:r w:rsidRPr="007222B2">
              <w:rPr>
                <w:rFonts w:cs="Arial"/>
                <w:color w:val="000000"/>
                <w:szCs w:val="22"/>
              </w:rPr>
              <w:t>2</w:t>
            </w:r>
          </w:p>
        </w:tc>
        <w:tc>
          <w:tcPr>
            <w:tcW w:w="1134" w:type="dxa"/>
            <w:tcBorders>
              <w:top w:val="nil"/>
            </w:tcBorders>
            <w:shd w:val="clear" w:color="000000" w:fill="95B3D7"/>
            <w:noWrap/>
            <w:vAlign w:val="bottom"/>
            <w:hideMark/>
          </w:tcPr>
          <w:p w:rsidR="000C72E4" w:rsidRPr="007222B2" w:rsidRDefault="000C72E4" w:rsidP="0020458A">
            <w:pPr>
              <w:jc w:val="both"/>
              <w:rPr>
                <w:rFonts w:cs="Arial"/>
                <w:color w:val="000000"/>
                <w:szCs w:val="22"/>
              </w:rPr>
            </w:pPr>
            <w:r w:rsidRPr="007222B2">
              <w:rPr>
                <w:rFonts w:cs="Arial"/>
                <w:color w:val="000000"/>
                <w:szCs w:val="22"/>
              </w:rPr>
              <w:t>3</w:t>
            </w:r>
          </w:p>
        </w:tc>
        <w:tc>
          <w:tcPr>
            <w:tcW w:w="1275" w:type="dxa"/>
            <w:tcBorders>
              <w:top w:val="nil"/>
            </w:tcBorders>
            <w:shd w:val="clear" w:color="000000" w:fill="95B3D7"/>
            <w:noWrap/>
            <w:vAlign w:val="bottom"/>
            <w:hideMark/>
          </w:tcPr>
          <w:p w:rsidR="000C72E4" w:rsidRPr="00162F26" w:rsidRDefault="000C72E4" w:rsidP="0020458A">
            <w:pPr>
              <w:jc w:val="both"/>
              <w:rPr>
                <w:rFonts w:cs="Arial"/>
                <w:color w:val="000000"/>
                <w:szCs w:val="22"/>
              </w:rPr>
            </w:pPr>
            <w:r w:rsidRPr="00162F26">
              <w:rPr>
                <w:rFonts w:cs="Arial"/>
                <w:color w:val="000000"/>
                <w:szCs w:val="22"/>
              </w:rPr>
              <w:t>7</w:t>
            </w:r>
          </w:p>
        </w:tc>
        <w:tc>
          <w:tcPr>
            <w:tcW w:w="997" w:type="dxa"/>
            <w:tcBorders>
              <w:top w:val="nil"/>
            </w:tcBorders>
            <w:shd w:val="clear" w:color="000000" w:fill="95B3D7"/>
            <w:noWrap/>
            <w:vAlign w:val="bottom"/>
            <w:hideMark/>
          </w:tcPr>
          <w:p w:rsidR="000C72E4" w:rsidRPr="00162F26" w:rsidRDefault="000C72E4" w:rsidP="0020458A">
            <w:pPr>
              <w:jc w:val="both"/>
              <w:rPr>
                <w:rFonts w:cs="Arial"/>
                <w:color w:val="000000"/>
                <w:szCs w:val="22"/>
              </w:rPr>
            </w:pPr>
            <w:r w:rsidRPr="00162F26">
              <w:rPr>
                <w:rFonts w:cs="Arial"/>
                <w:color w:val="000000"/>
                <w:szCs w:val="22"/>
              </w:rPr>
              <w:t>5</w:t>
            </w:r>
          </w:p>
        </w:tc>
      </w:tr>
      <w:tr w:rsidR="000C72E4" w:rsidTr="0020458A">
        <w:trPr>
          <w:trHeight w:val="300"/>
        </w:trPr>
        <w:tc>
          <w:tcPr>
            <w:tcW w:w="2850" w:type="dxa"/>
            <w:shd w:val="clear" w:color="auto" w:fill="auto"/>
            <w:noWrap/>
            <w:vAlign w:val="bottom"/>
            <w:hideMark/>
          </w:tcPr>
          <w:p w:rsidR="000C72E4" w:rsidRDefault="000C72E4" w:rsidP="0020458A">
            <w:pPr>
              <w:jc w:val="both"/>
              <w:rPr>
                <w:rFonts w:cs="Arial"/>
                <w:color w:val="000000"/>
                <w:szCs w:val="22"/>
              </w:rPr>
            </w:pPr>
            <w:r>
              <w:rPr>
                <w:rFonts w:cs="Arial"/>
                <w:color w:val="000000"/>
                <w:szCs w:val="22"/>
              </w:rPr>
              <w:t>Design/professionals</w:t>
            </w:r>
          </w:p>
        </w:tc>
        <w:tc>
          <w:tcPr>
            <w:tcW w:w="851" w:type="dxa"/>
            <w:shd w:val="clear" w:color="auto" w:fill="auto"/>
            <w:noWrap/>
            <w:vAlign w:val="bottom"/>
            <w:hideMark/>
          </w:tcPr>
          <w:p w:rsidR="000C72E4" w:rsidRPr="007222B2" w:rsidRDefault="000C72E4" w:rsidP="0020458A">
            <w:pPr>
              <w:jc w:val="both"/>
              <w:rPr>
                <w:rFonts w:cs="Arial"/>
                <w:color w:val="000000"/>
                <w:szCs w:val="22"/>
              </w:rPr>
            </w:pPr>
            <w:r w:rsidRPr="007222B2">
              <w:rPr>
                <w:rFonts w:cs="Arial"/>
                <w:color w:val="000000"/>
                <w:szCs w:val="22"/>
              </w:rPr>
              <w:t>27</w:t>
            </w:r>
          </w:p>
        </w:tc>
        <w:tc>
          <w:tcPr>
            <w:tcW w:w="1025" w:type="dxa"/>
            <w:shd w:val="clear" w:color="000000" w:fill="95B3D7"/>
            <w:noWrap/>
            <w:vAlign w:val="bottom"/>
            <w:hideMark/>
          </w:tcPr>
          <w:p w:rsidR="000C72E4" w:rsidRPr="007222B2" w:rsidRDefault="000C72E4" w:rsidP="0020458A">
            <w:pPr>
              <w:jc w:val="both"/>
              <w:rPr>
                <w:rFonts w:cs="Arial"/>
                <w:color w:val="000000"/>
                <w:szCs w:val="22"/>
              </w:rPr>
            </w:pPr>
            <w:r w:rsidRPr="007222B2">
              <w:rPr>
                <w:rFonts w:cs="Arial"/>
                <w:color w:val="000000"/>
                <w:szCs w:val="22"/>
              </w:rPr>
              <w:t>11</w:t>
            </w:r>
          </w:p>
        </w:tc>
        <w:tc>
          <w:tcPr>
            <w:tcW w:w="959" w:type="dxa"/>
            <w:shd w:val="clear" w:color="000000" w:fill="95B3D7"/>
            <w:noWrap/>
            <w:vAlign w:val="bottom"/>
            <w:hideMark/>
          </w:tcPr>
          <w:p w:rsidR="000C72E4" w:rsidRPr="007222B2" w:rsidRDefault="000C72E4" w:rsidP="0020458A">
            <w:pPr>
              <w:jc w:val="both"/>
              <w:rPr>
                <w:rFonts w:cs="Arial"/>
                <w:color w:val="000000"/>
                <w:szCs w:val="22"/>
              </w:rPr>
            </w:pPr>
            <w:r w:rsidRPr="007222B2">
              <w:rPr>
                <w:rFonts w:cs="Arial"/>
                <w:color w:val="000000"/>
                <w:szCs w:val="22"/>
              </w:rPr>
              <w:t>7</w:t>
            </w:r>
          </w:p>
        </w:tc>
        <w:tc>
          <w:tcPr>
            <w:tcW w:w="993" w:type="dxa"/>
            <w:shd w:val="clear" w:color="000000" w:fill="95B3D7"/>
            <w:noWrap/>
            <w:vAlign w:val="bottom"/>
            <w:hideMark/>
          </w:tcPr>
          <w:p w:rsidR="000C72E4" w:rsidRPr="007222B2" w:rsidRDefault="000C72E4" w:rsidP="0020458A">
            <w:pPr>
              <w:jc w:val="both"/>
              <w:rPr>
                <w:rFonts w:cs="Arial"/>
                <w:color w:val="000000"/>
                <w:szCs w:val="22"/>
              </w:rPr>
            </w:pPr>
            <w:r w:rsidRPr="007222B2">
              <w:rPr>
                <w:rFonts w:cs="Arial"/>
                <w:color w:val="000000"/>
                <w:szCs w:val="22"/>
              </w:rPr>
              <w:t>3</w:t>
            </w:r>
          </w:p>
        </w:tc>
        <w:tc>
          <w:tcPr>
            <w:tcW w:w="1134" w:type="dxa"/>
            <w:shd w:val="clear" w:color="000000" w:fill="95B3D7"/>
            <w:noWrap/>
            <w:vAlign w:val="bottom"/>
            <w:hideMark/>
          </w:tcPr>
          <w:p w:rsidR="000C72E4" w:rsidRPr="007222B2" w:rsidRDefault="000C72E4" w:rsidP="0020458A">
            <w:pPr>
              <w:jc w:val="both"/>
              <w:rPr>
                <w:rFonts w:cs="Arial"/>
                <w:color w:val="000000"/>
                <w:szCs w:val="22"/>
              </w:rPr>
            </w:pPr>
            <w:r w:rsidRPr="007222B2">
              <w:rPr>
                <w:rFonts w:cs="Arial"/>
                <w:color w:val="000000"/>
                <w:szCs w:val="22"/>
              </w:rPr>
              <w:t>5</w:t>
            </w:r>
          </w:p>
        </w:tc>
        <w:tc>
          <w:tcPr>
            <w:tcW w:w="1275" w:type="dxa"/>
            <w:shd w:val="clear" w:color="000000" w:fill="95B3D7"/>
            <w:noWrap/>
            <w:vAlign w:val="bottom"/>
            <w:hideMark/>
          </w:tcPr>
          <w:p w:rsidR="000C72E4" w:rsidRPr="00162F26" w:rsidRDefault="000C72E4" w:rsidP="0020458A">
            <w:pPr>
              <w:jc w:val="both"/>
              <w:rPr>
                <w:rFonts w:cs="Arial"/>
                <w:color w:val="000000"/>
                <w:szCs w:val="22"/>
              </w:rPr>
            </w:pPr>
            <w:r w:rsidRPr="00162F26">
              <w:rPr>
                <w:rFonts w:cs="Arial"/>
                <w:color w:val="000000"/>
                <w:szCs w:val="22"/>
              </w:rPr>
              <w:t>1</w:t>
            </w:r>
          </w:p>
        </w:tc>
        <w:tc>
          <w:tcPr>
            <w:tcW w:w="997" w:type="dxa"/>
            <w:shd w:val="clear" w:color="000000" w:fill="95B3D7"/>
            <w:noWrap/>
            <w:vAlign w:val="bottom"/>
            <w:hideMark/>
          </w:tcPr>
          <w:p w:rsidR="000C72E4" w:rsidRPr="00162F26" w:rsidRDefault="000C72E4" w:rsidP="0020458A">
            <w:pPr>
              <w:jc w:val="both"/>
              <w:rPr>
                <w:rFonts w:cs="Arial"/>
                <w:color w:val="000000"/>
                <w:szCs w:val="22"/>
              </w:rPr>
            </w:pPr>
            <w:r w:rsidRPr="00162F26">
              <w:rPr>
                <w:rFonts w:cs="Arial"/>
                <w:color w:val="000000"/>
                <w:szCs w:val="22"/>
              </w:rPr>
              <w:t>0</w:t>
            </w:r>
          </w:p>
        </w:tc>
      </w:tr>
      <w:tr w:rsidR="000C72E4" w:rsidTr="0020458A">
        <w:trPr>
          <w:trHeight w:val="300"/>
        </w:trPr>
        <w:tc>
          <w:tcPr>
            <w:tcW w:w="2850" w:type="dxa"/>
            <w:shd w:val="clear" w:color="auto" w:fill="auto"/>
            <w:noWrap/>
            <w:vAlign w:val="bottom"/>
            <w:hideMark/>
          </w:tcPr>
          <w:p w:rsidR="000C72E4" w:rsidRDefault="00814A27" w:rsidP="0020458A">
            <w:pPr>
              <w:jc w:val="both"/>
              <w:rPr>
                <w:rFonts w:cs="Arial"/>
                <w:color w:val="000000"/>
                <w:szCs w:val="22"/>
              </w:rPr>
            </w:pPr>
            <w:r>
              <w:rPr>
                <w:rFonts w:cs="Arial"/>
                <w:color w:val="000000"/>
                <w:szCs w:val="22"/>
              </w:rPr>
              <w:t xml:space="preserve">Principal </w:t>
            </w:r>
            <w:r w:rsidR="000C72E4">
              <w:rPr>
                <w:rFonts w:cs="Arial"/>
                <w:color w:val="000000"/>
                <w:szCs w:val="22"/>
              </w:rPr>
              <w:t>Contractors</w:t>
            </w:r>
          </w:p>
        </w:tc>
        <w:tc>
          <w:tcPr>
            <w:tcW w:w="851" w:type="dxa"/>
            <w:shd w:val="clear" w:color="auto" w:fill="auto"/>
            <w:noWrap/>
            <w:vAlign w:val="bottom"/>
            <w:hideMark/>
          </w:tcPr>
          <w:p w:rsidR="000C72E4" w:rsidRPr="007222B2" w:rsidRDefault="000C72E4" w:rsidP="0020458A">
            <w:pPr>
              <w:jc w:val="both"/>
              <w:rPr>
                <w:rFonts w:cs="Arial"/>
                <w:color w:val="000000"/>
                <w:szCs w:val="22"/>
              </w:rPr>
            </w:pPr>
            <w:r w:rsidRPr="007222B2">
              <w:rPr>
                <w:rFonts w:cs="Arial"/>
                <w:color w:val="000000"/>
                <w:szCs w:val="22"/>
              </w:rPr>
              <w:t>12</w:t>
            </w:r>
          </w:p>
        </w:tc>
        <w:tc>
          <w:tcPr>
            <w:tcW w:w="1025" w:type="dxa"/>
            <w:shd w:val="clear" w:color="000000" w:fill="95B3D7"/>
            <w:noWrap/>
            <w:vAlign w:val="bottom"/>
            <w:hideMark/>
          </w:tcPr>
          <w:p w:rsidR="000C72E4" w:rsidRPr="007222B2" w:rsidRDefault="000C72E4" w:rsidP="0020458A">
            <w:pPr>
              <w:jc w:val="both"/>
              <w:rPr>
                <w:rFonts w:cs="Arial"/>
                <w:color w:val="000000"/>
                <w:szCs w:val="22"/>
              </w:rPr>
            </w:pPr>
            <w:r w:rsidRPr="007222B2">
              <w:rPr>
                <w:rFonts w:cs="Arial"/>
                <w:color w:val="000000"/>
                <w:szCs w:val="22"/>
              </w:rPr>
              <w:t>0</w:t>
            </w:r>
          </w:p>
        </w:tc>
        <w:tc>
          <w:tcPr>
            <w:tcW w:w="959" w:type="dxa"/>
            <w:shd w:val="clear" w:color="000000" w:fill="95B3D7"/>
            <w:noWrap/>
            <w:vAlign w:val="bottom"/>
            <w:hideMark/>
          </w:tcPr>
          <w:p w:rsidR="000C72E4" w:rsidRPr="007222B2" w:rsidRDefault="000C72E4" w:rsidP="0020458A">
            <w:pPr>
              <w:jc w:val="both"/>
              <w:rPr>
                <w:rFonts w:cs="Arial"/>
                <w:color w:val="000000"/>
                <w:szCs w:val="22"/>
              </w:rPr>
            </w:pPr>
            <w:r w:rsidRPr="007222B2">
              <w:rPr>
                <w:rFonts w:cs="Arial"/>
                <w:color w:val="000000"/>
                <w:szCs w:val="22"/>
              </w:rPr>
              <w:t>0</w:t>
            </w:r>
          </w:p>
        </w:tc>
        <w:tc>
          <w:tcPr>
            <w:tcW w:w="993" w:type="dxa"/>
            <w:shd w:val="clear" w:color="000000" w:fill="95B3D7"/>
            <w:noWrap/>
            <w:vAlign w:val="bottom"/>
            <w:hideMark/>
          </w:tcPr>
          <w:p w:rsidR="000C72E4" w:rsidRPr="007222B2" w:rsidRDefault="000C72E4" w:rsidP="0020458A">
            <w:pPr>
              <w:jc w:val="both"/>
              <w:rPr>
                <w:rFonts w:cs="Arial"/>
                <w:color w:val="000000"/>
                <w:szCs w:val="22"/>
              </w:rPr>
            </w:pPr>
            <w:r w:rsidRPr="007222B2">
              <w:rPr>
                <w:rFonts w:cs="Arial"/>
                <w:color w:val="000000"/>
                <w:szCs w:val="22"/>
              </w:rPr>
              <w:t>0</w:t>
            </w:r>
          </w:p>
        </w:tc>
        <w:tc>
          <w:tcPr>
            <w:tcW w:w="1134" w:type="dxa"/>
            <w:shd w:val="clear" w:color="000000" w:fill="95B3D7"/>
            <w:noWrap/>
            <w:vAlign w:val="bottom"/>
            <w:hideMark/>
          </w:tcPr>
          <w:p w:rsidR="000C72E4" w:rsidRPr="007222B2" w:rsidRDefault="000C72E4" w:rsidP="0020458A">
            <w:pPr>
              <w:jc w:val="both"/>
              <w:rPr>
                <w:rFonts w:cs="Arial"/>
                <w:color w:val="000000"/>
                <w:szCs w:val="22"/>
              </w:rPr>
            </w:pPr>
            <w:r w:rsidRPr="007222B2">
              <w:rPr>
                <w:rFonts w:cs="Arial"/>
                <w:color w:val="000000"/>
                <w:szCs w:val="22"/>
              </w:rPr>
              <w:t>0</w:t>
            </w:r>
          </w:p>
        </w:tc>
        <w:tc>
          <w:tcPr>
            <w:tcW w:w="1275" w:type="dxa"/>
            <w:shd w:val="clear" w:color="000000" w:fill="95B3D7"/>
            <w:noWrap/>
            <w:vAlign w:val="bottom"/>
            <w:hideMark/>
          </w:tcPr>
          <w:p w:rsidR="000C72E4" w:rsidRPr="00162F26" w:rsidRDefault="000C72E4" w:rsidP="0020458A">
            <w:pPr>
              <w:jc w:val="both"/>
              <w:rPr>
                <w:rFonts w:cs="Arial"/>
                <w:color w:val="000000"/>
                <w:szCs w:val="22"/>
              </w:rPr>
            </w:pPr>
            <w:r w:rsidRPr="00162F26">
              <w:rPr>
                <w:rFonts w:cs="Arial"/>
                <w:color w:val="000000"/>
                <w:szCs w:val="22"/>
              </w:rPr>
              <w:t>0</w:t>
            </w:r>
          </w:p>
        </w:tc>
        <w:tc>
          <w:tcPr>
            <w:tcW w:w="997" w:type="dxa"/>
            <w:shd w:val="clear" w:color="000000" w:fill="95B3D7"/>
            <w:noWrap/>
            <w:vAlign w:val="bottom"/>
            <w:hideMark/>
          </w:tcPr>
          <w:p w:rsidR="000C72E4" w:rsidRPr="00162F26" w:rsidRDefault="000C72E4" w:rsidP="0020458A">
            <w:pPr>
              <w:jc w:val="both"/>
              <w:rPr>
                <w:rFonts w:cs="Arial"/>
                <w:color w:val="000000"/>
                <w:szCs w:val="22"/>
              </w:rPr>
            </w:pPr>
            <w:r w:rsidRPr="00162F26">
              <w:rPr>
                <w:rFonts w:cs="Arial"/>
                <w:color w:val="000000"/>
                <w:szCs w:val="22"/>
              </w:rPr>
              <w:t>12</w:t>
            </w:r>
          </w:p>
        </w:tc>
      </w:tr>
      <w:tr w:rsidR="000C72E4" w:rsidTr="0020458A">
        <w:trPr>
          <w:trHeight w:val="300"/>
        </w:trPr>
        <w:tc>
          <w:tcPr>
            <w:tcW w:w="2850" w:type="dxa"/>
            <w:shd w:val="clear" w:color="auto" w:fill="auto"/>
            <w:noWrap/>
            <w:vAlign w:val="bottom"/>
            <w:hideMark/>
          </w:tcPr>
          <w:p w:rsidR="000C72E4" w:rsidRDefault="000C72E4" w:rsidP="0020458A">
            <w:pPr>
              <w:jc w:val="both"/>
              <w:rPr>
                <w:rFonts w:cs="Arial"/>
                <w:color w:val="000000"/>
                <w:szCs w:val="22"/>
              </w:rPr>
            </w:pPr>
            <w:r>
              <w:rPr>
                <w:rFonts w:cs="Arial"/>
                <w:color w:val="000000"/>
                <w:szCs w:val="22"/>
              </w:rPr>
              <w:t>Main contractors</w:t>
            </w:r>
          </w:p>
        </w:tc>
        <w:tc>
          <w:tcPr>
            <w:tcW w:w="851" w:type="dxa"/>
            <w:shd w:val="clear" w:color="auto" w:fill="auto"/>
            <w:noWrap/>
            <w:vAlign w:val="bottom"/>
            <w:hideMark/>
          </w:tcPr>
          <w:p w:rsidR="000C72E4" w:rsidRPr="007222B2" w:rsidRDefault="000C72E4" w:rsidP="0020458A">
            <w:pPr>
              <w:jc w:val="both"/>
              <w:rPr>
                <w:rFonts w:cs="Arial"/>
                <w:color w:val="000000"/>
                <w:szCs w:val="22"/>
              </w:rPr>
            </w:pPr>
            <w:r w:rsidRPr="007222B2">
              <w:rPr>
                <w:rFonts w:cs="Arial"/>
                <w:color w:val="000000"/>
                <w:szCs w:val="22"/>
              </w:rPr>
              <w:t>115</w:t>
            </w:r>
          </w:p>
        </w:tc>
        <w:tc>
          <w:tcPr>
            <w:tcW w:w="1025" w:type="dxa"/>
            <w:shd w:val="clear" w:color="000000" w:fill="95B3D7"/>
            <w:noWrap/>
            <w:vAlign w:val="bottom"/>
            <w:hideMark/>
          </w:tcPr>
          <w:p w:rsidR="000C72E4" w:rsidRPr="007222B2" w:rsidRDefault="000C72E4" w:rsidP="0020458A">
            <w:pPr>
              <w:jc w:val="both"/>
              <w:rPr>
                <w:rFonts w:cs="Arial"/>
                <w:color w:val="000000"/>
                <w:szCs w:val="22"/>
              </w:rPr>
            </w:pPr>
            <w:r w:rsidRPr="007222B2">
              <w:rPr>
                <w:rFonts w:cs="Arial"/>
                <w:color w:val="000000"/>
                <w:szCs w:val="22"/>
              </w:rPr>
              <w:t>0</w:t>
            </w:r>
          </w:p>
        </w:tc>
        <w:tc>
          <w:tcPr>
            <w:tcW w:w="959" w:type="dxa"/>
            <w:shd w:val="clear" w:color="000000" w:fill="95B3D7"/>
            <w:noWrap/>
            <w:vAlign w:val="bottom"/>
            <w:hideMark/>
          </w:tcPr>
          <w:p w:rsidR="000C72E4" w:rsidRPr="007222B2" w:rsidRDefault="000C72E4" w:rsidP="0020458A">
            <w:pPr>
              <w:jc w:val="both"/>
              <w:rPr>
                <w:rFonts w:cs="Arial"/>
                <w:color w:val="000000"/>
                <w:szCs w:val="22"/>
              </w:rPr>
            </w:pPr>
            <w:r w:rsidRPr="007222B2">
              <w:rPr>
                <w:rFonts w:cs="Arial"/>
                <w:color w:val="000000"/>
                <w:szCs w:val="22"/>
              </w:rPr>
              <w:t>0</w:t>
            </w:r>
          </w:p>
        </w:tc>
        <w:tc>
          <w:tcPr>
            <w:tcW w:w="993" w:type="dxa"/>
            <w:shd w:val="clear" w:color="000000" w:fill="95B3D7"/>
            <w:noWrap/>
            <w:vAlign w:val="bottom"/>
            <w:hideMark/>
          </w:tcPr>
          <w:p w:rsidR="000C72E4" w:rsidRPr="007222B2" w:rsidRDefault="000C72E4" w:rsidP="0020458A">
            <w:pPr>
              <w:jc w:val="both"/>
              <w:rPr>
                <w:rFonts w:cs="Arial"/>
                <w:color w:val="000000"/>
                <w:szCs w:val="22"/>
              </w:rPr>
            </w:pPr>
            <w:r w:rsidRPr="007222B2">
              <w:rPr>
                <w:rFonts w:cs="Arial"/>
                <w:color w:val="000000"/>
                <w:szCs w:val="22"/>
              </w:rPr>
              <w:t>4</w:t>
            </w:r>
          </w:p>
        </w:tc>
        <w:tc>
          <w:tcPr>
            <w:tcW w:w="1134" w:type="dxa"/>
            <w:shd w:val="clear" w:color="000000" w:fill="95B3D7"/>
            <w:noWrap/>
            <w:vAlign w:val="bottom"/>
            <w:hideMark/>
          </w:tcPr>
          <w:p w:rsidR="000C72E4" w:rsidRPr="007222B2" w:rsidRDefault="000C72E4" w:rsidP="0020458A">
            <w:pPr>
              <w:jc w:val="both"/>
              <w:rPr>
                <w:rFonts w:cs="Arial"/>
                <w:color w:val="000000"/>
                <w:szCs w:val="22"/>
              </w:rPr>
            </w:pPr>
            <w:r w:rsidRPr="007222B2">
              <w:rPr>
                <w:rFonts w:cs="Arial"/>
                <w:color w:val="000000"/>
                <w:szCs w:val="22"/>
              </w:rPr>
              <w:t>46</w:t>
            </w:r>
          </w:p>
        </w:tc>
        <w:tc>
          <w:tcPr>
            <w:tcW w:w="1275" w:type="dxa"/>
            <w:shd w:val="clear" w:color="000000" w:fill="95B3D7"/>
            <w:noWrap/>
            <w:vAlign w:val="bottom"/>
            <w:hideMark/>
          </w:tcPr>
          <w:p w:rsidR="000C72E4" w:rsidRPr="00162F26" w:rsidRDefault="000C72E4" w:rsidP="0020458A">
            <w:pPr>
              <w:jc w:val="both"/>
              <w:rPr>
                <w:rFonts w:cs="Arial"/>
                <w:color w:val="000000"/>
                <w:szCs w:val="22"/>
              </w:rPr>
            </w:pPr>
            <w:r w:rsidRPr="00162F26">
              <w:rPr>
                <w:rFonts w:cs="Arial"/>
                <w:color w:val="000000"/>
                <w:szCs w:val="22"/>
              </w:rPr>
              <w:t>65</w:t>
            </w:r>
          </w:p>
        </w:tc>
        <w:tc>
          <w:tcPr>
            <w:tcW w:w="997" w:type="dxa"/>
            <w:shd w:val="clear" w:color="000000" w:fill="95B3D7"/>
            <w:noWrap/>
            <w:vAlign w:val="bottom"/>
            <w:hideMark/>
          </w:tcPr>
          <w:p w:rsidR="000C72E4" w:rsidRPr="00162F26" w:rsidRDefault="000C72E4" w:rsidP="0020458A">
            <w:pPr>
              <w:jc w:val="both"/>
              <w:rPr>
                <w:rFonts w:cs="Arial"/>
                <w:color w:val="000000"/>
                <w:szCs w:val="22"/>
              </w:rPr>
            </w:pPr>
            <w:r w:rsidRPr="00162F26">
              <w:rPr>
                <w:rFonts w:cs="Arial"/>
                <w:color w:val="000000"/>
                <w:szCs w:val="22"/>
              </w:rPr>
              <w:t>0</w:t>
            </w:r>
          </w:p>
        </w:tc>
      </w:tr>
      <w:tr w:rsidR="000C72E4" w:rsidTr="0020458A">
        <w:trPr>
          <w:trHeight w:val="300"/>
        </w:trPr>
        <w:tc>
          <w:tcPr>
            <w:tcW w:w="2850" w:type="dxa"/>
            <w:shd w:val="clear" w:color="auto" w:fill="auto"/>
            <w:noWrap/>
            <w:vAlign w:val="bottom"/>
            <w:hideMark/>
          </w:tcPr>
          <w:p w:rsidR="000C72E4" w:rsidRDefault="000C72E4" w:rsidP="0020458A">
            <w:pPr>
              <w:jc w:val="both"/>
              <w:rPr>
                <w:rFonts w:cs="Arial"/>
                <w:color w:val="000000"/>
                <w:szCs w:val="22"/>
              </w:rPr>
            </w:pPr>
            <w:r>
              <w:rPr>
                <w:rFonts w:cs="Arial"/>
                <w:color w:val="000000"/>
                <w:szCs w:val="22"/>
              </w:rPr>
              <w:t>Subcontractors</w:t>
            </w:r>
          </w:p>
        </w:tc>
        <w:tc>
          <w:tcPr>
            <w:tcW w:w="851" w:type="dxa"/>
            <w:shd w:val="clear" w:color="auto" w:fill="auto"/>
            <w:noWrap/>
            <w:vAlign w:val="bottom"/>
            <w:hideMark/>
          </w:tcPr>
          <w:p w:rsidR="000C72E4" w:rsidRPr="007222B2" w:rsidRDefault="000C72E4" w:rsidP="0020458A">
            <w:pPr>
              <w:jc w:val="both"/>
              <w:rPr>
                <w:rFonts w:cs="Arial"/>
                <w:color w:val="000000"/>
                <w:szCs w:val="22"/>
              </w:rPr>
            </w:pPr>
            <w:r w:rsidRPr="007222B2">
              <w:rPr>
                <w:rFonts w:cs="Arial"/>
                <w:color w:val="000000"/>
                <w:szCs w:val="22"/>
              </w:rPr>
              <w:t>133</w:t>
            </w:r>
          </w:p>
        </w:tc>
        <w:tc>
          <w:tcPr>
            <w:tcW w:w="1025" w:type="dxa"/>
            <w:shd w:val="clear" w:color="000000" w:fill="95B3D7"/>
            <w:noWrap/>
            <w:vAlign w:val="bottom"/>
            <w:hideMark/>
          </w:tcPr>
          <w:p w:rsidR="000C72E4" w:rsidRPr="007222B2" w:rsidRDefault="000C72E4" w:rsidP="0020458A">
            <w:pPr>
              <w:jc w:val="both"/>
              <w:rPr>
                <w:rFonts w:cs="Arial"/>
                <w:color w:val="000000"/>
                <w:szCs w:val="22"/>
              </w:rPr>
            </w:pPr>
            <w:r w:rsidRPr="007222B2">
              <w:rPr>
                <w:rFonts w:cs="Arial"/>
                <w:color w:val="000000"/>
                <w:szCs w:val="22"/>
              </w:rPr>
              <w:t>20</w:t>
            </w:r>
          </w:p>
        </w:tc>
        <w:tc>
          <w:tcPr>
            <w:tcW w:w="959" w:type="dxa"/>
            <w:shd w:val="clear" w:color="000000" w:fill="95B3D7"/>
            <w:noWrap/>
            <w:vAlign w:val="bottom"/>
            <w:hideMark/>
          </w:tcPr>
          <w:p w:rsidR="000C72E4" w:rsidRPr="007222B2" w:rsidRDefault="000C72E4" w:rsidP="0020458A">
            <w:pPr>
              <w:jc w:val="both"/>
              <w:rPr>
                <w:rFonts w:cs="Arial"/>
                <w:color w:val="000000"/>
                <w:szCs w:val="22"/>
              </w:rPr>
            </w:pPr>
            <w:r w:rsidRPr="007222B2">
              <w:rPr>
                <w:rFonts w:cs="Arial"/>
                <w:color w:val="000000"/>
                <w:szCs w:val="22"/>
              </w:rPr>
              <w:t>78</w:t>
            </w:r>
          </w:p>
        </w:tc>
        <w:tc>
          <w:tcPr>
            <w:tcW w:w="993" w:type="dxa"/>
            <w:shd w:val="clear" w:color="000000" w:fill="95B3D7"/>
            <w:noWrap/>
            <w:vAlign w:val="bottom"/>
            <w:hideMark/>
          </w:tcPr>
          <w:p w:rsidR="000C72E4" w:rsidRPr="007222B2" w:rsidRDefault="000C72E4" w:rsidP="0020458A">
            <w:pPr>
              <w:jc w:val="both"/>
              <w:rPr>
                <w:rFonts w:cs="Arial"/>
                <w:color w:val="000000"/>
                <w:szCs w:val="22"/>
              </w:rPr>
            </w:pPr>
            <w:r w:rsidRPr="007222B2">
              <w:rPr>
                <w:rFonts w:cs="Arial"/>
                <w:color w:val="000000"/>
                <w:szCs w:val="22"/>
              </w:rPr>
              <w:t>26</w:t>
            </w:r>
          </w:p>
        </w:tc>
        <w:tc>
          <w:tcPr>
            <w:tcW w:w="1134" w:type="dxa"/>
            <w:shd w:val="clear" w:color="000000" w:fill="95B3D7"/>
            <w:noWrap/>
            <w:vAlign w:val="bottom"/>
            <w:hideMark/>
          </w:tcPr>
          <w:p w:rsidR="000C72E4" w:rsidRPr="007222B2" w:rsidRDefault="000C72E4" w:rsidP="0020458A">
            <w:pPr>
              <w:jc w:val="both"/>
              <w:rPr>
                <w:rFonts w:cs="Arial"/>
                <w:color w:val="000000"/>
                <w:szCs w:val="22"/>
              </w:rPr>
            </w:pPr>
            <w:r w:rsidRPr="007222B2">
              <w:rPr>
                <w:rFonts w:cs="Arial"/>
                <w:color w:val="000000"/>
                <w:szCs w:val="22"/>
              </w:rPr>
              <w:t>5</w:t>
            </w:r>
          </w:p>
        </w:tc>
        <w:tc>
          <w:tcPr>
            <w:tcW w:w="1275" w:type="dxa"/>
            <w:shd w:val="clear" w:color="000000" w:fill="95B3D7"/>
            <w:noWrap/>
            <w:vAlign w:val="bottom"/>
            <w:hideMark/>
          </w:tcPr>
          <w:p w:rsidR="000C72E4" w:rsidRPr="00162F26" w:rsidRDefault="000C72E4" w:rsidP="0020458A">
            <w:pPr>
              <w:jc w:val="both"/>
              <w:rPr>
                <w:rFonts w:cs="Arial"/>
                <w:color w:val="000000"/>
                <w:szCs w:val="22"/>
              </w:rPr>
            </w:pPr>
            <w:r w:rsidRPr="00162F26">
              <w:rPr>
                <w:rFonts w:cs="Arial"/>
                <w:color w:val="000000"/>
                <w:szCs w:val="22"/>
              </w:rPr>
              <w:t>4</w:t>
            </w:r>
          </w:p>
        </w:tc>
        <w:tc>
          <w:tcPr>
            <w:tcW w:w="997" w:type="dxa"/>
            <w:shd w:val="clear" w:color="000000" w:fill="95B3D7"/>
            <w:noWrap/>
            <w:vAlign w:val="bottom"/>
            <w:hideMark/>
          </w:tcPr>
          <w:p w:rsidR="000C72E4" w:rsidRPr="00162F26" w:rsidRDefault="000C72E4" w:rsidP="0020458A">
            <w:pPr>
              <w:jc w:val="both"/>
              <w:rPr>
                <w:rFonts w:cs="Arial"/>
                <w:color w:val="000000"/>
                <w:szCs w:val="22"/>
              </w:rPr>
            </w:pPr>
            <w:r w:rsidRPr="00162F26">
              <w:rPr>
                <w:rFonts w:cs="Arial"/>
                <w:color w:val="000000"/>
                <w:szCs w:val="22"/>
              </w:rPr>
              <w:t>0</w:t>
            </w:r>
          </w:p>
        </w:tc>
      </w:tr>
      <w:tr w:rsidR="000C72E4" w:rsidTr="0020458A">
        <w:trPr>
          <w:trHeight w:val="300"/>
        </w:trPr>
        <w:tc>
          <w:tcPr>
            <w:tcW w:w="2850" w:type="dxa"/>
            <w:shd w:val="clear" w:color="auto" w:fill="auto"/>
            <w:noWrap/>
            <w:vAlign w:val="bottom"/>
            <w:hideMark/>
          </w:tcPr>
          <w:p w:rsidR="000C72E4" w:rsidRDefault="000C72E4" w:rsidP="0020458A">
            <w:pPr>
              <w:jc w:val="both"/>
              <w:rPr>
                <w:rFonts w:cs="Arial"/>
                <w:color w:val="000000"/>
                <w:szCs w:val="22"/>
              </w:rPr>
            </w:pPr>
            <w:r>
              <w:rPr>
                <w:rFonts w:cs="Arial"/>
                <w:color w:val="000000"/>
                <w:szCs w:val="22"/>
              </w:rPr>
              <w:t>Specialist subcontractors</w:t>
            </w:r>
          </w:p>
        </w:tc>
        <w:tc>
          <w:tcPr>
            <w:tcW w:w="851" w:type="dxa"/>
            <w:shd w:val="clear" w:color="auto" w:fill="auto"/>
            <w:noWrap/>
            <w:vAlign w:val="bottom"/>
            <w:hideMark/>
          </w:tcPr>
          <w:p w:rsidR="000C72E4" w:rsidRPr="007222B2" w:rsidRDefault="000C72E4" w:rsidP="0020458A">
            <w:pPr>
              <w:jc w:val="both"/>
              <w:rPr>
                <w:rFonts w:cs="Arial"/>
                <w:color w:val="000000"/>
                <w:szCs w:val="22"/>
              </w:rPr>
            </w:pPr>
            <w:r w:rsidRPr="007222B2">
              <w:rPr>
                <w:rFonts w:cs="Arial"/>
                <w:color w:val="000000"/>
                <w:szCs w:val="22"/>
              </w:rPr>
              <w:t>38</w:t>
            </w:r>
          </w:p>
        </w:tc>
        <w:tc>
          <w:tcPr>
            <w:tcW w:w="1025" w:type="dxa"/>
            <w:shd w:val="clear" w:color="000000" w:fill="95B3D7"/>
            <w:noWrap/>
            <w:vAlign w:val="bottom"/>
            <w:hideMark/>
          </w:tcPr>
          <w:p w:rsidR="000C72E4" w:rsidRPr="007222B2" w:rsidRDefault="000C72E4" w:rsidP="0020458A">
            <w:pPr>
              <w:jc w:val="both"/>
              <w:rPr>
                <w:rFonts w:cs="Arial"/>
                <w:color w:val="000000"/>
                <w:szCs w:val="22"/>
              </w:rPr>
            </w:pPr>
            <w:r w:rsidRPr="007222B2">
              <w:rPr>
                <w:rFonts w:cs="Arial"/>
                <w:color w:val="000000"/>
                <w:szCs w:val="22"/>
              </w:rPr>
              <w:t>9</w:t>
            </w:r>
          </w:p>
        </w:tc>
        <w:tc>
          <w:tcPr>
            <w:tcW w:w="959" w:type="dxa"/>
            <w:shd w:val="clear" w:color="000000" w:fill="95B3D7"/>
            <w:noWrap/>
            <w:vAlign w:val="bottom"/>
            <w:hideMark/>
          </w:tcPr>
          <w:p w:rsidR="000C72E4" w:rsidRPr="007222B2" w:rsidRDefault="000C72E4" w:rsidP="0020458A">
            <w:pPr>
              <w:jc w:val="both"/>
              <w:rPr>
                <w:rFonts w:cs="Arial"/>
                <w:color w:val="000000"/>
                <w:szCs w:val="22"/>
              </w:rPr>
            </w:pPr>
            <w:r w:rsidRPr="007222B2">
              <w:rPr>
                <w:rFonts w:cs="Arial"/>
                <w:color w:val="000000"/>
                <w:szCs w:val="22"/>
              </w:rPr>
              <w:t>19</w:t>
            </w:r>
          </w:p>
        </w:tc>
        <w:tc>
          <w:tcPr>
            <w:tcW w:w="993" w:type="dxa"/>
            <w:shd w:val="clear" w:color="000000" w:fill="95B3D7"/>
            <w:noWrap/>
            <w:vAlign w:val="bottom"/>
            <w:hideMark/>
          </w:tcPr>
          <w:p w:rsidR="000C72E4" w:rsidRPr="007222B2" w:rsidRDefault="000C72E4" w:rsidP="0020458A">
            <w:pPr>
              <w:jc w:val="both"/>
              <w:rPr>
                <w:rFonts w:cs="Arial"/>
                <w:color w:val="000000"/>
                <w:szCs w:val="22"/>
              </w:rPr>
            </w:pPr>
            <w:r w:rsidRPr="007222B2">
              <w:rPr>
                <w:rFonts w:cs="Arial"/>
                <w:color w:val="000000"/>
                <w:szCs w:val="22"/>
              </w:rPr>
              <w:t>10</w:t>
            </w:r>
          </w:p>
        </w:tc>
        <w:tc>
          <w:tcPr>
            <w:tcW w:w="1134" w:type="dxa"/>
            <w:shd w:val="clear" w:color="000000" w:fill="95B3D7"/>
            <w:noWrap/>
            <w:vAlign w:val="bottom"/>
            <w:hideMark/>
          </w:tcPr>
          <w:p w:rsidR="000C72E4" w:rsidRPr="007222B2" w:rsidRDefault="000C72E4" w:rsidP="0020458A">
            <w:pPr>
              <w:jc w:val="both"/>
              <w:rPr>
                <w:rFonts w:cs="Arial"/>
                <w:color w:val="000000"/>
                <w:szCs w:val="22"/>
              </w:rPr>
            </w:pPr>
            <w:r w:rsidRPr="007222B2">
              <w:rPr>
                <w:rFonts w:cs="Arial"/>
                <w:color w:val="000000"/>
                <w:szCs w:val="22"/>
              </w:rPr>
              <w:t>0</w:t>
            </w:r>
          </w:p>
        </w:tc>
        <w:tc>
          <w:tcPr>
            <w:tcW w:w="1275" w:type="dxa"/>
            <w:shd w:val="clear" w:color="000000" w:fill="95B3D7"/>
            <w:noWrap/>
            <w:vAlign w:val="bottom"/>
            <w:hideMark/>
          </w:tcPr>
          <w:p w:rsidR="000C72E4" w:rsidRPr="00162F26" w:rsidRDefault="000C72E4" w:rsidP="0020458A">
            <w:pPr>
              <w:jc w:val="both"/>
              <w:rPr>
                <w:rFonts w:cs="Arial"/>
                <w:color w:val="000000"/>
                <w:szCs w:val="22"/>
              </w:rPr>
            </w:pPr>
            <w:r w:rsidRPr="00162F26">
              <w:rPr>
                <w:rFonts w:cs="Arial"/>
                <w:color w:val="000000"/>
                <w:szCs w:val="22"/>
              </w:rPr>
              <w:t>0</w:t>
            </w:r>
          </w:p>
        </w:tc>
        <w:tc>
          <w:tcPr>
            <w:tcW w:w="997" w:type="dxa"/>
            <w:shd w:val="clear" w:color="000000" w:fill="95B3D7"/>
            <w:noWrap/>
            <w:vAlign w:val="bottom"/>
            <w:hideMark/>
          </w:tcPr>
          <w:p w:rsidR="000C72E4" w:rsidRPr="00162F26" w:rsidRDefault="000C72E4" w:rsidP="0020458A">
            <w:pPr>
              <w:jc w:val="both"/>
              <w:rPr>
                <w:rFonts w:cs="Arial"/>
                <w:color w:val="000000"/>
                <w:szCs w:val="22"/>
              </w:rPr>
            </w:pPr>
            <w:r w:rsidRPr="00162F26">
              <w:rPr>
                <w:rFonts w:cs="Arial"/>
                <w:color w:val="000000"/>
                <w:szCs w:val="22"/>
              </w:rPr>
              <w:t>0</w:t>
            </w:r>
          </w:p>
        </w:tc>
      </w:tr>
      <w:tr w:rsidR="000C72E4" w:rsidTr="00895723">
        <w:trPr>
          <w:trHeight w:val="300"/>
        </w:trPr>
        <w:tc>
          <w:tcPr>
            <w:tcW w:w="2850" w:type="dxa"/>
            <w:tcBorders>
              <w:bottom w:val="single" w:sz="4" w:space="0" w:color="auto"/>
            </w:tcBorders>
            <w:shd w:val="clear" w:color="auto" w:fill="auto"/>
            <w:noWrap/>
            <w:vAlign w:val="bottom"/>
            <w:hideMark/>
          </w:tcPr>
          <w:p w:rsidR="000C72E4" w:rsidRDefault="000C72E4" w:rsidP="0020458A">
            <w:pPr>
              <w:jc w:val="both"/>
              <w:rPr>
                <w:rFonts w:cs="Arial"/>
                <w:color w:val="000000"/>
                <w:szCs w:val="22"/>
              </w:rPr>
            </w:pPr>
            <w:r>
              <w:rPr>
                <w:rFonts w:cs="Arial"/>
                <w:color w:val="000000"/>
                <w:szCs w:val="22"/>
              </w:rPr>
              <w:t>Other (suppliers</w:t>
            </w:r>
            <w:r w:rsidR="000D52E4">
              <w:rPr>
                <w:rFonts w:cs="Arial"/>
                <w:color w:val="000000"/>
                <w:szCs w:val="22"/>
              </w:rPr>
              <w:t>/logistics</w:t>
            </w:r>
            <w:r>
              <w:rPr>
                <w:rFonts w:cs="Arial"/>
                <w:color w:val="000000"/>
                <w:szCs w:val="22"/>
              </w:rPr>
              <w:t>)</w:t>
            </w:r>
          </w:p>
        </w:tc>
        <w:tc>
          <w:tcPr>
            <w:tcW w:w="851" w:type="dxa"/>
            <w:tcBorders>
              <w:bottom w:val="single" w:sz="4" w:space="0" w:color="auto"/>
            </w:tcBorders>
            <w:shd w:val="clear" w:color="auto" w:fill="auto"/>
            <w:noWrap/>
            <w:vAlign w:val="bottom"/>
            <w:hideMark/>
          </w:tcPr>
          <w:p w:rsidR="000C72E4" w:rsidRDefault="000C72E4" w:rsidP="0020458A">
            <w:pPr>
              <w:jc w:val="both"/>
              <w:rPr>
                <w:rFonts w:cs="Arial"/>
                <w:color w:val="000000"/>
                <w:szCs w:val="22"/>
              </w:rPr>
            </w:pPr>
            <w:r>
              <w:rPr>
                <w:rFonts w:cs="Arial"/>
                <w:color w:val="000000"/>
                <w:szCs w:val="22"/>
              </w:rPr>
              <w:t>4</w:t>
            </w:r>
          </w:p>
        </w:tc>
        <w:tc>
          <w:tcPr>
            <w:tcW w:w="1025" w:type="dxa"/>
            <w:tcBorders>
              <w:bottom w:val="single" w:sz="4" w:space="0" w:color="auto"/>
            </w:tcBorders>
            <w:shd w:val="clear" w:color="000000" w:fill="95B3D7"/>
            <w:noWrap/>
            <w:vAlign w:val="bottom"/>
            <w:hideMark/>
          </w:tcPr>
          <w:p w:rsidR="000C72E4" w:rsidRDefault="000C72E4" w:rsidP="0020458A">
            <w:pPr>
              <w:jc w:val="both"/>
              <w:rPr>
                <w:rFonts w:cs="Arial"/>
                <w:color w:val="000000"/>
                <w:szCs w:val="22"/>
              </w:rPr>
            </w:pPr>
            <w:r>
              <w:rPr>
                <w:rFonts w:cs="Arial"/>
                <w:color w:val="000000"/>
                <w:szCs w:val="22"/>
              </w:rPr>
              <w:t>1</w:t>
            </w:r>
          </w:p>
        </w:tc>
        <w:tc>
          <w:tcPr>
            <w:tcW w:w="959" w:type="dxa"/>
            <w:tcBorders>
              <w:bottom w:val="single" w:sz="4" w:space="0" w:color="auto"/>
            </w:tcBorders>
            <w:shd w:val="clear" w:color="000000" w:fill="95B3D7"/>
            <w:noWrap/>
            <w:vAlign w:val="bottom"/>
            <w:hideMark/>
          </w:tcPr>
          <w:p w:rsidR="000C72E4" w:rsidRDefault="000C72E4" w:rsidP="0020458A">
            <w:pPr>
              <w:jc w:val="both"/>
              <w:rPr>
                <w:rFonts w:cs="Arial"/>
                <w:color w:val="000000"/>
                <w:szCs w:val="22"/>
              </w:rPr>
            </w:pPr>
            <w:r>
              <w:rPr>
                <w:rFonts w:cs="Arial"/>
                <w:color w:val="000000"/>
                <w:szCs w:val="22"/>
              </w:rPr>
              <w:t>2</w:t>
            </w:r>
          </w:p>
        </w:tc>
        <w:tc>
          <w:tcPr>
            <w:tcW w:w="993" w:type="dxa"/>
            <w:tcBorders>
              <w:bottom w:val="single" w:sz="4" w:space="0" w:color="auto"/>
            </w:tcBorders>
            <w:shd w:val="clear" w:color="000000" w:fill="95B3D7"/>
            <w:noWrap/>
            <w:vAlign w:val="bottom"/>
            <w:hideMark/>
          </w:tcPr>
          <w:p w:rsidR="000C72E4" w:rsidRDefault="000C72E4" w:rsidP="0020458A">
            <w:pPr>
              <w:jc w:val="both"/>
              <w:rPr>
                <w:rFonts w:cs="Arial"/>
                <w:color w:val="000000"/>
                <w:szCs w:val="22"/>
              </w:rPr>
            </w:pPr>
            <w:r>
              <w:rPr>
                <w:rFonts w:cs="Arial"/>
                <w:color w:val="000000"/>
                <w:szCs w:val="22"/>
              </w:rPr>
              <w:t>0</w:t>
            </w:r>
          </w:p>
        </w:tc>
        <w:tc>
          <w:tcPr>
            <w:tcW w:w="1134" w:type="dxa"/>
            <w:tcBorders>
              <w:bottom w:val="single" w:sz="4" w:space="0" w:color="auto"/>
            </w:tcBorders>
            <w:shd w:val="clear" w:color="000000" w:fill="95B3D7"/>
            <w:noWrap/>
            <w:vAlign w:val="bottom"/>
            <w:hideMark/>
          </w:tcPr>
          <w:p w:rsidR="000C72E4" w:rsidRDefault="000C72E4" w:rsidP="0020458A">
            <w:pPr>
              <w:jc w:val="both"/>
              <w:rPr>
                <w:rFonts w:cs="Arial"/>
                <w:color w:val="000000"/>
                <w:szCs w:val="22"/>
              </w:rPr>
            </w:pPr>
            <w:r>
              <w:rPr>
                <w:rFonts w:cs="Arial"/>
                <w:color w:val="000000"/>
                <w:szCs w:val="22"/>
              </w:rPr>
              <w:t>0</w:t>
            </w:r>
          </w:p>
        </w:tc>
        <w:tc>
          <w:tcPr>
            <w:tcW w:w="1275" w:type="dxa"/>
            <w:tcBorders>
              <w:bottom w:val="single" w:sz="4" w:space="0" w:color="auto"/>
            </w:tcBorders>
            <w:shd w:val="clear" w:color="000000" w:fill="95B3D7"/>
            <w:noWrap/>
            <w:vAlign w:val="bottom"/>
            <w:hideMark/>
          </w:tcPr>
          <w:p w:rsidR="000C72E4" w:rsidRDefault="000C72E4" w:rsidP="0020458A">
            <w:pPr>
              <w:jc w:val="both"/>
              <w:rPr>
                <w:rFonts w:cs="Arial"/>
                <w:color w:val="000000"/>
                <w:szCs w:val="22"/>
              </w:rPr>
            </w:pPr>
            <w:r>
              <w:rPr>
                <w:rFonts w:cs="Arial"/>
                <w:color w:val="000000"/>
                <w:szCs w:val="22"/>
              </w:rPr>
              <w:t>0</w:t>
            </w:r>
          </w:p>
        </w:tc>
        <w:tc>
          <w:tcPr>
            <w:tcW w:w="997" w:type="dxa"/>
            <w:tcBorders>
              <w:bottom w:val="single" w:sz="4" w:space="0" w:color="auto"/>
            </w:tcBorders>
            <w:shd w:val="clear" w:color="000000" w:fill="95B3D7"/>
            <w:noWrap/>
            <w:vAlign w:val="bottom"/>
            <w:hideMark/>
          </w:tcPr>
          <w:p w:rsidR="000C72E4" w:rsidRDefault="000C72E4" w:rsidP="0020458A">
            <w:pPr>
              <w:jc w:val="both"/>
              <w:rPr>
                <w:rFonts w:cs="Arial"/>
                <w:color w:val="000000"/>
                <w:szCs w:val="22"/>
              </w:rPr>
            </w:pPr>
            <w:r>
              <w:rPr>
                <w:rFonts w:cs="Arial"/>
                <w:color w:val="000000"/>
                <w:szCs w:val="22"/>
              </w:rPr>
              <w:t>1</w:t>
            </w:r>
          </w:p>
        </w:tc>
      </w:tr>
      <w:tr w:rsidR="000C72E4" w:rsidTr="00895723">
        <w:trPr>
          <w:trHeight w:val="300"/>
        </w:trPr>
        <w:tc>
          <w:tcPr>
            <w:tcW w:w="2850" w:type="dxa"/>
            <w:tcBorders>
              <w:top w:val="single" w:sz="4" w:space="0" w:color="auto"/>
              <w:bottom w:val="single" w:sz="4" w:space="0" w:color="auto"/>
            </w:tcBorders>
            <w:shd w:val="clear" w:color="auto" w:fill="auto"/>
            <w:noWrap/>
            <w:vAlign w:val="bottom"/>
            <w:hideMark/>
          </w:tcPr>
          <w:p w:rsidR="000C72E4" w:rsidRPr="007222B2" w:rsidRDefault="000C72E4" w:rsidP="0020458A">
            <w:pPr>
              <w:jc w:val="both"/>
              <w:rPr>
                <w:rFonts w:cs="Arial"/>
                <w:b/>
                <w:color w:val="000000"/>
                <w:szCs w:val="22"/>
              </w:rPr>
            </w:pPr>
            <w:r w:rsidRPr="007222B2">
              <w:rPr>
                <w:rFonts w:cs="Arial"/>
                <w:b/>
                <w:color w:val="000000"/>
                <w:szCs w:val="22"/>
              </w:rPr>
              <w:t>Total</w:t>
            </w:r>
          </w:p>
        </w:tc>
        <w:tc>
          <w:tcPr>
            <w:tcW w:w="851" w:type="dxa"/>
            <w:tcBorders>
              <w:top w:val="single" w:sz="4" w:space="0" w:color="auto"/>
              <w:bottom w:val="single" w:sz="4" w:space="0" w:color="auto"/>
            </w:tcBorders>
            <w:shd w:val="clear" w:color="auto" w:fill="auto"/>
            <w:noWrap/>
            <w:vAlign w:val="bottom"/>
            <w:hideMark/>
          </w:tcPr>
          <w:p w:rsidR="000C72E4" w:rsidRPr="007222B2" w:rsidRDefault="000C72E4" w:rsidP="0020458A">
            <w:pPr>
              <w:jc w:val="both"/>
              <w:rPr>
                <w:rFonts w:cs="Arial"/>
                <w:b/>
                <w:color w:val="000000"/>
                <w:szCs w:val="22"/>
              </w:rPr>
            </w:pPr>
            <w:r w:rsidRPr="007222B2">
              <w:rPr>
                <w:rFonts w:cs="Arial"/>
                <w:b/>
                <w:color w:val="000000"/>
                <w:szCs w:val="22"/>
              </w:rPr>
              <w:t>357</w:t>
            </w:r>
          </w:p>
        </w:tc>
        <w:tc>
          <w:tcPr>
            <w:tcW w:w="1025" w:type="dxa"/>
            <w:tcBorders>
              <w:top w:val="single" w:sz="4" w:space="0" w:color="auto"/>
              <w:bottom w:val="single" w:sz="4" w:space="0" w:color="auto"/>
            </w:tcBorders>
            <w:shd w:val="clear" w:color="000000" w:fill="95B3D7"/>
            <w:noWrap/>
            <w:vAlign w:val="bottom"/>
            <w:hideMark/>
          </w:tcPr>
          <w:p w:rsidR="000C72E4" w:rsidRPr="007222B2" w:rsidRDefault="000C72E4" w:rsidP="0020458A">
            <w:pPr>
              <w:jc w:val="both"/>
              <w:rPr>
                <w:rFonts w:cs="Arial"/>
                <w:b/>
                <w:color w:val="000000"/>
                <w:szCs w:val="22"/>
              </w:rPr>
            </w:pPr>
            <w:r w:rsidRPr="007222B2">
              <w:rPr>
                <w:rFonts w:cs="Arial"/>
                <w:b/>
                <w:color w:val="000000"/>
                <w:szCs w:val="22"/>
              </w:rPr>
              <w:t>41</w:t>
            </w:r>
          </w:p>
        </w:tc>
        <w:tc>
          <w:tcPr>
            <w:tcW w:w="959" w:type="dxa"/>
            <w:tcBorders>
              <w:top w:val="single" w:sz="4" w:space="0" w:color="auto"/>
              <w:bottom w:val="single" w:sz="4" w:space="0" w:color="auto"/>
            </w:tcBorders>
            <w:shd w:val="clear" w:color="000000" w:fill="95B3D7"/>
            <w:noWrap/>
            <w:vAlign w:val="bottom"/>
            <w:hideMark/>
          </w:tcPr>
          <w:p w:rsidR="000C72E4" w:rsidRPr="007222B2" w:rsidRDefault="000C72E4" w:rsidP="0020458A">
            <w:pPr>
              <w:jc w:val="both"/>
              <w:rPr>
                <w:rFonts w:cs="Arial"/>
                <w:b/>
                <w:color w:val="000000"/>
                <w:szCs w:val="22"/>
              </w:rPr>
            </w:pPr>
            <w:r w:rsidRPr="007222B2">
              <w:rPr>
                <w:rFonts w:cs="Arial"/>
                <w:b/>
                <w:color w:val="000000"/>
                <w:szCs w:val="22"/>
              </w:rPr>
              <w:t>115</w:t>
            </w:r>
          </w:p>
        </w:tc>
        <w:tc>
          <w:tcPr>
            <w:tcW w:w="993" w:type="dxa"/>
            <w:tcBorders>
              <w:top w:val="single" w:sz="4" w:space="0" w:color="auto"/>
              <w:bottom w:val="single" w:sz="4" w:space="0" w:color="auto"/>
            </w:tcBorders>
            <w:shd w:val="clear" w:color="000000" w:fill="95B3D7"/>
            <w:noWrap/>
            <w:vAlign w:val="bottom"/>
            <w:hideMark/>
          </w:tcPr>
          <w:p w:rsidR="000C72E4" w:rsidRPr="007222B2" w:rsidRDefault="000C72E4" w:rsidP="0020458A">
            <w:pPr>
              <w:jc w:val="both"/>
              <w:rPr>
                <w:rFonts w:cs="Arial"/>
                <w:b/>
                <w:color w:val="000000"/>
                <w:szCs w:val="22"/>
              </w:rPr>
            </w:pPr>
            <w:r w:rsidRPr="007222B2">
              <w:rPr>
                <w:rFonts w:cs="Arial"/>
                <w:b/>
                <w:color w:val="000000"/>
                <w:szCs w:val="22"/>
              </w:rPr>
              <w:t>45</w:t>
            </w:r>
          </w:p>
        </w:tc>
        <w:tc>
          <w:tcPr>
            <w:tcW w:w="1134" w:type="dxa"/>
            <w:tcBorders>
              <w:top w:val="single" w:sz="4" w:space="0" w:color="auto"/>
              <w:bottom w:val="single" w:sz="4" w:space="0" w:color="auto"/>
            </w:tcBorders>
            <w:shd w:val="clear" w:color="000000" w:fill="95B3D7"/>
            <w:noWrap/>
            <w:vAlign w:val="bottom"/>
            <w:hideMark/>
          </w:tcPr>
          <w:p w:rsidR="000C72E4" w:rsidRPr="007222B2" w:rsidRDefault="000C72E4" w:rsidP="0020458A">
            <w:pPr>
              <w:jc w:val="both"/>
              <w:rPr>
                <w:rFonts w:cs="Arial"/>
                <w:b/>
                <w:color w:val="000000"/>
                <w:szCs w:val="22"/>
              </w:rPr>
            </w:pPr>
            <w:r w:rsidRPr="007222B2">
              <w:rPr>
                <w:rFonts w:cs="Arial"/>
                <w:b/>
                <w:color w:val="000000"/>
                <w:szCs w:val="22"/>
              </w:rPr>
              <w:t>59</w:t>
            </w:r>
          </w:p>
        </w:tc>
        <w:tc>
          <w:tcPr>
            <w:tcW w:w="1275" w:type="dxa"/>
            <w:tcBorders>
              <w:top w:val="single" w:sz="4" w:space="0" w:color="auto"/>
              <w:bottom w:val="single" w:sz="4" w:space="0" w:color="auto"/>
            </w:tcBorders>
            <w:shd w:val="clear" w:color="000000" w:fill="95B3D7"/>
            <w:noWrap/>
            <w:vAlign w:val="bottom"/>
            <w:hideMark/>
          </w:tcPr>
          <w:p w:rsidR="000C72E4" w:rsidRPr="007222B2" w:rsidRDefault="000C72E4" w:rsidP="0020458A">
            <w:pPr>
              <w:jc w:val="both"/>
              <w:rPr>
                <w:rFonts w:cs="Arial"/>
                <w:b/>
                <w:color w:val="000000"/>
                <w:szCs w:val="22"/>
              </w:rPr>
            </w:pPr>
            <w:r w:rsidRPr="007222B2">
              <w:rPr>
                <w:rFonts w:cs="Arial"/>
                <w:b/>
                <w:color w:val="000000"/>
                <w:szCs w:val="22"/>
              </w:rPr>
              <w:t>77</w:t>
            </w:r>
          </w:p>
        </w:tc>
        <w:tc>
          <w:tcPr>
            <w:tcW w:w="997" w:type="dxa"/>
            <w:tcBorders>
              <w:top w:val="single" w:sz="4" w:space="0" w:color="auto"/>
              <w:bottom w:val="single" w:sz="4" w:space="0" w:color="auto"/>
            </w:tcBorders>
            <w:shd w:val="clear" w:color="000000" w:fill="95B3D7"/>
            <w:noWrap/>
            <w:vAlign w:val="bottom"/>
            <w:hideMark/>
          </w:tcPr>
          <w:p w:rsidR="000C72E4" w:rsidRPr="007222B2" w:rsidRDefault="000C72E4" w:rsidP="0020458A">
            <w:pPr>
              <w:jc w:val="both"/>
              <w:rPr>
                <w:rFonts w:cs="Arial"/>
                <w:b/>
                <w:color w:val="000000"/>
                <w:szCs w:val="22"/>
              </w:rPr>
            </w:pPr>
            <w:r w:rsidRPr="007222B2">
              <w:rPr>
                <w:rFonts w:cs="Arial"/>
                <w:b/>
                <w:color w:val="000000"/>
                <w:szCs w:val="22"/>
              </w:rPr>
              <w:t>20</w:t>
            </w:r>
          </w:p>
        </w:tc>
      </w:tr>
    </w:tbl>
    <w:p w:rsidR="00123F13" w:rsidRDefault="00123F13" w:rsidP="0020458A">
      <w:pPr>
        <w:jc w:val="both"/>
        <w:rPr>
          <w:rFonts w:cs="Arial"/>
          <w:i/>
        </w:rPr>
      </w:pPr>
    </w:p>
    <w:p w:rsidR="00713CA7" w:rsidRPr="004F0A7B" w:rsidRDefault="001D79AE" w:rsidP="0020458A">
      <w:pPr>
        <w:pStyle w:val="Heading3"/>
        <w:jc w:val="both"/>
      </w:pPr>
      <w:r>
        <w:lastRenderedPageBreak/>
        <w:t xml:space="preserve">Previous </w:t>
      </w:r>
      <w:r w:rsidR="00234C12">
        <w:t>use of</w:t>
      </w:r>
      <w:r w:rsidR="004F0A7B" w:rsidRPr="004F0A7B">
        <w:t xml:space="preserve"> adjudication</w:t>
      </w:r>
    </w:p>
    <w:p w:rsidR="00392F56" w:rsidRDefault="00392F56" w:rsidP="0020458A">
      <w:pPr>
        <w:jc w:val="both"/>
      </w:pPr>
      <w:r>
        <w:t xml:space="preserve">To determine extent </w:t>
      </w:r>
      <w:r w:rsidR="00234C12">
        <w:t>to which key stakeholders were involved</w:t>
      </w:r>
      <w:r>
        <w:t xml:space="preserve"> in </w:t>
      </w:r>
      <w:r w:rsidR="00234C12">
        <w:t xml:space="preserve">the </w:t>
      </w:r>
      <w:r>
        <w:t>adjudication process, respondents were asked to indicate if their organisations were previously involved in adjudication. Table 2 summarises previous involvement of key stak</w:t>
      </w:r>
      <w:r w:rsidR="00234C12">
        <w:t>eholders in adjudication</w:t>
      </w:r>
      <w:r>
        <w:t>.</w:t>
      </w:r>
      <w:r w:rsidR="002F58CD">
        <w:t xml:space="preserve"> The responses were analysed </w:t>
      </w:r>
      <w:r>
        <w:t>based on the stakeholder group so that the involvement of each category can be benchmarked.</w:t>
      </w:r>
    </w:p>
    <w:p w:rsidR="00392F56" w:rsidRDefault="00392F56" w:rsidP="0020458A">
      <w:pPr>
        <w:jc w:val="both"/>
        <w:rPr>
          <w:rFonts w:cs="Arial"/>
        </w:rPr>
      </w:pPr>
    </w:p>
    <w:p w:rsidR="00D815EA" w:rsidRDefault="00271346" w:rsidP="0020458A">
      <w:pPr>
        <w:jc w:val="both"/>
      </w:pPr>
      <w:r>
        <w:t xml:space="preserve">Results show that less than 30% of the represented companies/organisations had previously used adjudication and the vast majority (66%) did not use adjudication. </w:t>
      </w:r>
      <w:r w:rsidR="00D815EA">
        <w:t xml:space="preserve">It </w:t>
      </w:r>
      <w:r w:rsidR="005366D2">
        <w:t xml:space="preserve">is interesting </w:t>
      </w:r>
      <w:r w:rsidR="00813671">
        <w:t xml:space="preserve">to note </w:t>
      </w:r>
      <w:r w:rsidR="00D815EA">
        <w:t xml:space="preserve">that </w:t>
      </w:r>
      <w:r w:rsidR="00B4712F">
        <w:t xml:space="preserve">use of adjudication </w:t>
      </w:r>
      <w:r w:rsidR="005366D2">
        <w:t>was even</w:t>
      </w:r>
      <w:r w:rsidR="00716854">
        <w:t>ly</w:t>
      </w:r>
      <w:r w:rsidR="005366D2">
        <w:t xml:space="preserve"> spread (</w:t>
      </w:r>
      <w:r w:rsidR="00D815EA">
        <w:t>nearly a third of organisations in all stakeholder groups used adjudication</w:t>
      </w:r>
      <w:r w:rsidR="005366D2">
        <w:t>)</w:t>
      </w:r>
      <w:r w:rsidR="00D815EA" w:rsidRPr="00D815EA">
        <w:t xml:space="preserve"> </w:t>
      </w:r>
      <w:r w:rsidR="00D815EA">
        <w:t>which validate</w:t>
      </w:r>
      <w:r w:rsidR="00B4712F">
        <w:t>s</w:t>
      </w:r>
      <w:r w:rsidR="00D815EA">
        <w:t xml:space="preserve"> </w:t>
      </w:r>
      <w:r w:rsidR="005366D2">
        <w:t xml:space="preserve">both </w:t>
      </w:r>
      <w:r w:rsidR="00D815EA">
        <w:t xml:space="preserve">the extent of disputes among stakeholders </w:t>
      </w:r>
      <w:r w:rsidR="005366D2">
        <w:t>and</w:t>
      </w:r>
      <w:r w:rsidR="00D815EA">
        <w:t xml:space="preserve"> that </w:t>
      </w:r>
      <w:r w:rsidR="005366D2">
        <w:t>all stakeholder groups</w:t>
      </w:r>
      <w:r w:rsidR="00D815EA">
        <w:t xml:space="preserve"> were equally prone to disputes although the involvement varies among stakeholders. For example, all the 12 </w:t>
      </w:r>
      <w:r w:rsidR="00465217">
        <w:t>major</w:t>
      </w:r>
      <w:r w:rsidR="00D815EA">
        <w:t xml:space="preserve"> contractors in this survey had used adjudication while only 24% of subcontractors and 27% of main contractors </w:t>
      </w:r>
      <w:r w:rsidR="00716854">
        <w:t>had</w:t>
      </w:r>
      <w:r w:rsidR="00D815EA">
        <w:t xml:space="preserve">. The use of adjudication among clients (other than local authorities) and design professionals (representing the client) was at 29% and 30% respectively. </w:t>
      </w:r>
      <w:r w:rsidR="00E92EA7">
        <w:t>The interviews and case studies carried out prior to the survey agree with the findings that consultants involved in adjudication were primarily supporting one party to the dispute, rather than being directly involved in the dispute itself.</w:t>
      </w:r>
    </w:p>
    <w:p w:rsidR="00D815EA" w:rsidRDefault="00D815EA" w:rsidP="0020458A">
      <w:pPr>
        <w:jc w:val="both"/>
        <w:rPr>
          <w:rFonts w:cs="Arial"/>
        </w:rPr>
      </w:pPr>
    </w:p>
    <w:p w:rsidR="00AC2838" w:rsidRDefault="00271346" w:rsidP="0020458A">
      <w:pPr>
        <w:jc w:val="both"/>
      </w:pPr>
      <w:r>
        <w:t xml:space="preserve">Whilst </w:t>
      </w:r>
      <w:r w:rsidR="004441CB">
        <w:t>representing an organisation</w:t>
      </w:r>
      <w:r>
        <w:t xml:space="preserve"> in an adjudication process is a professional service and companies can only entrust qualified professionals to represent them in the proceedings, the position of most respondents to this survey would have given them the opportunity to represent the organisation </w:t>
      </w:r>
      <w:r w:rsidR="00813671">
        <w:t xml:space="preserve">should </w:t>
      </w:r>
      <w:r>
        <w:t xml:space="preserve">a dispute happen – therefore the findings are representative of the practice.  </w:t>
      </w:r>
      <w:r w:rsidR="00AC2838">
        <w:t>By comparing the estimated number of busi</w:t>
      </w:r>
      <w:r w:rsidR="00AC2838" w:rsidRPr="00A7563F">
        <w:t>nesses involved in construction (Office of national statistics, construction statistics branch, 2014), being</w:t>
      </w:r>
      <w:r w:rsidR="00AC2838">
        <w:t xml:space="preserve"> over 200,000, with the total number of adjudications registered with the adjudication </w:t>
      </w:r>
      <w:r w:rsidR="00AC2838" w:rsidRPr="00886109">
        <w:t>reporting centre over 14 years (Trushell 2012), being</w:t>
      </w:r>
      <w:r w:rsidR="00AC2838">
        <w:t xml:space="preserve"> over 20,000, then the total percentage, based on a minimum of two parties to an adjudication, would appear to be in line with the previous data. </w:t>
      </w:r>
    </w:p>
    <w:p w:rsidR="00AE01CD" w:rsidRDefault="00AE01CD" w:rsidP="0020458A">
      <w:pPr>
        <w:jc w:val="both"/>
        <w:rPr>
          <w:rFonts w:cs="Arial"/>
        </w:rPr>
      </w:pPr>
    </w:p>
    <w:p w:rsidR="00BA14FA" w:rsidRPr="00AC2838" w:rsidRDefault="00BA14FA" w:rsidP="0020458A">
      <w:pPr>
        <w:pStyle w:val="Caption"/>
        <w:keepNext/>
        <w:jc w:val="both"/>
        <w:rPr>
          <w:rFonts w:cs="Arial"/>
          <w:b w:val="0"/>
          <w:sz w:val="22"/>
          <w:szCs w:val="22"/>
        </w:rPr>
      </w:pPr>
      <w:r w:rsidRPr="00AC2838">
        <w:rPr>
          <w:rFonts w:cs="Arial"/>
          <w:b w:val="0"/>
          <w:sz w:val="22"/>
          <w:szCs w:val="22"/>
        </w:rPr>
        <w:t xml:space="preserve">Table </w:t>
      </w:r>
      <w:r w:rsidRPr="00AC2838">
        <w:rPr>
          <w:rFonts w:cs="Arial"/>
          <w:b w:val="0"/>
          <w:sz w:val="22"/>
          <w:szCs w:val="22"/>
        </w:rPr>
        <w:fldChar w:fldCharType="begin"/>
      </w:r>
      <w:r w:rsidRPr="00AC2838">
        <w:rPr>
          <w:rFonts w:cs="Arial"/>
          <w:b w:val="0"/>
          <w:sz w:val="22"/>
          <w:szCs w:val="22"/>
        </w:rPr>
        <w:instrText xml:space="preserve"> SEQ Table \* ARABIC </w:instrText>
      </w:r>
      <w:r w:rsidRPr="00AC2838">
        <w:rPr>
          <w:rFonts w:cs="Arial"/>
          <w:b w:val="0"/>
          <w:sz w:val="22"/>
          <w:szCs w:val="22"/>
        </w:rPr>
        <w:fldChar w:fldCharType="separate"/>
      </w:r>
      <w:r w:rsidR="00170FC6">
        <w:rPr>
          <w:rFonts w:cs="Arial"/>
          <w:b w:val="0"/>
          <w:noProof/>
          <w:sz w:val="22"/>
          <w:szCs w:val="22"/>
        </w:rPr>
        <w:t>2</w:t>
      </w:r>
      <w:r w:rsidRPr="00AC2838">
        <w:rPr>
          <w:rFonts w:cs="Arial"/>
          <w:b w:val="0"/>
          <w:sz w:val="22"/>
          <w:szCs w:val="22"/>
        </w:rPr>
        <w:fldChar w:fldCharType="end"/>
      </w:r>
      <w:r w:rsidR="00234C12" w:rsidRPr="00AC2838">
        <w:rPr>
          <w:rFonts w:cs="Arial"/>
          <w:b w:val="0"/>
          <w:sz w:val="22"/>
          <w:szCs w:val="22"/>
        </w:rPr>
        <w:t>: Summary of previous use of adjudication</w:t>
      </w:r>
    </w:p>
    <w:tbl>
      <w:tblPr>
        <w:tblW w:w="8647" w:type="dxa"/>
        <w:tblInd w:w="108" w:type="dxa"/>
        <w:tblBorders>
          <w:top w:val="single" w:sz="4" w:space="0" w:color="auto"/>
          <w:bottom w:val="single" w:sz="4" w:space="0" w:color="auto"/>
        </w:tblBorders>
        <w:tblLook w:val="04A0" w:firstRow="1" w:lastRow="0" w:firstColumn="1" w:lastColumn="0" w:noHBand="0" w:noVBand="1"/>
      </w:tblPr>
      <w:tblGrid>
        <w:gridCol w:w="2680"/>
        <w:gridCol w:w="1289"/>
        <w:gridCol w:w="657"/>
        <w:gridCol w:w="1186"/>
        <w:gridCol w:w="992"/>
        <w:gridCol w:w="1843"/>
      </w:tblGrid>
      <w:tr w:rsidR="008E3BB1" w:rsidRPr="00E465A0" w:rsidTr="0020458A">
        <w:trPr>
          <w:trHeight w:val="300"/>
        </w:trPr>
        <w:tc>
          <w:tcPr>
            <w:tcW w:w="2680" w:type="dxa"/>
            <w:vMerge w:val="restart"/>
            <w:tcBorders>
              <w:top w:val="single" w:sz="4" w:space="0" w:color="auto"/>
              <w:bottom w:val="nil"/>
            </w:tcBorders>
            <w:shd w:val="clear" w:color="auto" w:fill="auto"/>
            <w:noWrap/>
            <w:vAlign w:val="bottom"/>
            <w:hideMark/>
          </w:tcPr>
          <w:p w:rsidR="008E3BB1" w:rsidRPr="00895723" w:rsidRDefault="008E3BB1" w:rsidP="0020458A">
            <w:pPr>
              <w:jc w:val="both"/>
              <w:rPr>
                <w:rFonts w:cs="Arial"/>
                <w:b/>
                <w:color w:val="000000"/>
                <w:szCs w:val="22"/>
              </w:rPr>
            </w:pPr>
            <w:r w:rsidRPr="00895723">
              <w:rPr>
                <w:rFonts w:cs="Arial"/>
                <w:b/>
                <w:color w:val="000000"/>
                <w:szCs w:val="22"/>
              </w:rPr>
              <w:t>Stakeholder group</w:t>
            </w:r>
          </w:p>
        </w:tc>
        <w:tc>
          <w:tcPr>
            <w:tcW w:w="4124" w:type="dxa"/>
            <w:gridSpan w:val="4"/>
            <w:tcBorders>
              <w:top w:val="single" w:sz="4" w:space="0" w:color="auto"/>
              <w:bottom w:val="single" w:sz="4" w:space="0" w:color="auto"/>
            </w:tcBorders>
            <w:shd w:val="clear" w:color="auto" w:fill="auto"/>
            <w:noWrap/>
            <w:vAlign w:val="center"/>
            <w:hideMark/>
          </w:tcPr>
          <w:p w:rsidR="008E3BB1" w:rsidRPr="00152628" w:rsidRDefault="008E3BB1" w:rsidP="0020458A">
            <w:pPr>
              <w:jc w:val="both"/>
              <w:rPr>
                <w:rFonts w:cs="Arial"/>
                <w:b/>
                <w:bCs/>
                <w:color w:val="000000"/>
                <w:szCs w:val="22"/>
              </w:rPr>
            </w:pPr>
            <w:r w:rsidRPr="00152628">
              <w:rPr>
                <w:rFonts w:cs="Arial"/>
                <w:b/>
                <w:bCs/>
                <w:color w:val="000000"/>
                <w:szCs w:val="22"/>
              </w:rPr>
              <w:t>Involvement with adjudication</w:t>
            </w:r>
          </w:p>
        </w:tc>
        <w:tc>
          <w:tcPr>
            <w:tcW w:w="1843" w:type="dxa"/>
            <w:vMerge w:val="restart"/>
            <w:tcBorders>
              <w:top w:val="single" w:sz="4" w:space="0" w:color="auto"/>
              <w:bottom w:val="nil"/>
            </w:tcBorders>
            <w:shd w:val="clear" w:color="auto" w:fill="auto"/>
            <w:vAlign w:val="center"/>
            <w:hideMark/>
          </w:tcPr>
          <w:p w:rsidR="008E3BB1" w:rsidRPr="00152628" w:rsidRDefault="008E3BB1" w:rsidP="00813671">
            <w:pPr>
              <w:jc w:val="both"/>
              <w:rPr>
                <w:rFonts w:cs="Arial"/>
                <w:b/>
                <w:bCs/>
                <w:color w:val="000000"/>
                <w:szCs w:val="22"/>
              </w:rPr>
            </w:pPr>
            <w:r>
              <w:rPr>
                <w:rFonts w:cs="Arial"/>
                <w:b/>
                <w:bCs/>
                <w:color w:val="000000"/>
                <w:szCs w:val="22"/>
              </w:rPr>
              <w:t xml:space="preserve">Percentage </w:t>
            </w:r>
            <w:r w:rsidRPr="00152628">
              <w:rPr>
                <w:rFonts w:cs="Arial"/>
                <w:b/>
                <w:bCs/>
                <w:color w:val="000000"/>
                <w:szCs w:val="22"/>
              </w:rPr>
              <w:t>previous use</w:t>
            </w:r>
            <w:r>
              <w:rPr>
                <w:rFonts w:cs="Arial"/>
                <w:b/>
                <w:bCs/>
                <w:color w:val="000000"/>
                <w:szCs w:val="22"/>
              </w:rPr>
              <w:t xml:space="preserve"> of adjudication</w:t>
            </w:r>
          </w:p>
        </w:tc>
      </w:tr>
      <w:tr w:rsidR="008E3BB1" w:rsidRPr="00E465A0" w:rsidTr="0020458A">
        <w:trPr>
          <w:trHeight w:val="600"/>
        </w:trPr>
        <w:tc>
          <w:tcPr>
            <w:tcW w:w="2680" w:type="dxa"/>
            <w:vMerge/>
            <w:tcBorders>
              <w:top w:val="nil"/>
              <w:bottom w:val="single" w:sz="4" w:space="0" w:color="auto"/>
            </w:tcBorders>
            <w:vAlign w:val="center"/>
            <w:hideMark/>
          </w:tcPr>
          <w:p w:rsidR="008E3BB1" w:rsidRPr="00E465A0" w:rsidRDefault="008E3BB1" w:rsidP="0020458A">
            <w:pPr>
              <w:jc w:val="both"/>
              <w:rPr>
                <w:rFonts w:cs="Arial"/>
                <w:color w:val="000000"/>
                <w:szCs w:val="22"/>
              </w:rPr>
            </w:pPr>
          </w:p>
        </w:tc>
        <w:tc>
          <w:tcPr>
            <w:tcW w:w="1289" w:type="dxa"/>
            <w:tcBorders>
              <w:top w:val="single" w:sz="4" w:space="0" w:color="auto"/>
              <w:bottom w:val="single" w:sz="4" w:space="0" w:color="auto"/>
            </w:tcBorders>
            <w:shd w:val="clear" w:color="auto" w:fill="auto"/>
            <w:noWrap/>
            <w:vAlign w:val="center"/>
            <w:hideMark/>
          </w:tcPr>
          <w:p w:rsidR="008E3BB1" w:rsidRPr="00152628" w:rsidRDefault="008E3BB1" w:rsidP="0020458A">
            <w:pPr>
              <w:jc w:val="both"/>
              <w:rPr>
                <w:rFonts w:cs="Arial"/>
                <w:b/>
                <w:bCs/>
                <w:color w:val="000000"/>
                <w:szCs w:val="22"/>
              </w:rPr>
            </w:pPr>
            <w:r w:rsidRPr="00152628">
              <w:rPr>
                <w:rFonts w:cs="Arial"/>
                <w:b/>
                <w:bCs/>
                <w:color w:val="000000"/>
                <w:szCs w:val="22"/>
              </w:rPr>
              <w:t xml:space="preserve">Yes </w:t>
            </w:r>
          </w:p>
        </w:tc>
        <w:tc>
          <w:tcPr>
            <w:tcW w:w="657" w:type="dxa"/>
            <w:tcBorders>
              <w:top w:val="single" w:sz="4" w:space="0" w:color="auto"/>
              <w:bottom w:val="single" w:sz="4" w:space="0" w:color="auto"/>
            </w:tcBorders>
            <w:shd w:val="clear" w:color="auto" w:fill="auto"/>
            <w:noWrap/>
            <w:vAlign w:val="center"/>
            <w:hideMark/>
          </w:tcPr>
          <w:p w:rsidR="008E3BB1" w:rsidRPr="00936D57" w:rsidRDefault="008E3BB1" w:rsidP="0020458A">
            <w:pPr>
              <w:jc w:val="both"/>
              <w:rPr>
                <w:rFonts w:cs="Arial"/>
                <w:b/>
                <w:bCs/>
                <w:color w:val="000000"/>
                <w:szCs w:val="22"/>
              </w:rPr>
            </w:pPr>
            <w:r w:rsidRPr="00936D57">
              <w:rPr>
                <w:rFonts w:cs="Arial"/>
                <w:b/>
                <w:bCs/>
                <w:color w:val="000000"/>
                <w:szCs w:val="22"/>
              </w:rPr>
              <w:t xml:space="preserve">No </w:t>
            </w:r>
          </w:p>
        </w:tc>
        <w:tc>
          <w:tcPr>
            <w:tcW w:w="1186" w:type="dxa"/>
            <w:tcBorders>
              <w:top w:val="single" w:sz="4" w:space="0" w:color="auto"/>
              <w:bottom w:val="single" w:sz="4" w:space="0" w:color="auto"/>
            </w:tcBorders>
            <w:shd w:val="clear" w:color="auto" w:fill="auto"/>
            <w:vAlign w:val="center"/>
            <w:hideMark/>
          </w:tcPr>
          <w:p w:rsidR="008E3BB1" w:rsidRPr="00E465A0" w:rsidRDefault="008E3BB1" w:rsidP="0020458A">
            <w:pPr>
              <w:jc w:val="both"/>
              <w:rPr>
                <w:rFonts w:cs="Arial"/>
                <w:b/>
                <w:bCs/>
                <w:color w:val="000000"/>
                <w:szCs w:val="22"/>
              </w:rPr>
            </w:pPr>
            <w:r w:rsidRPr="00E465A0">
              <w:rPr>
                <w:rFonts w:cs="Arial"/>
                <w:b/>
                <w:bCs/>
                <w:color w:val="000000"/>
                <w:szCs w:val="22"/>
              </w:rPr>
              <w:t>Don't know</w:t>
            </w:r>
          </w:p>
        </w:tc>
        <w:tc>
          <w:tcPr>
            <w:tcW w:w="992" w:type="dxa"/>
            <w:tcBorders>
              <w:top w:val="single" w:sz="4" w:space="0" w:color="auto"/>
              <w:bottom w:val="single" w:sz="4" w:space="0" w:color="auto"/>
            </w:tcBorders>
            <w:shd w:val="clear" w:color="auto" w:fill="auto"/>
            <w:noWrap/>
            <w:vAlign w:val="center"/>
            <w:hideMark/>
          </w:tcPr>
          <w:p w:rsidR="008E3BB1" w:rsidRPr="00E465A0" w:rsidRDefault="008E3BB1" w:rsidP="0020458A">
            <w:pPr>
              <w:jc w:val="both"/>
              <w:rPr>
                <w:rFonts w:cs="Arial"/>
                <w:b/>
                <w:bCs/>
                <w:color w:val="000000"/>
                <w:szCs w:val="22"/>
              </w:rPr>
            </w:pPr>
            <w:r w:rsidRPr="00E465A0">
              <w:rPr>
                <w:rFonts w:cs="Arial"/>
                <w:b/>
                <w:bCs/>
                <w:color w:val="000000"/>
                <w:szCs w:val="22"/>
              </w:rPr>
              <w:t>Total</w:t>
            </w:r>
          </w:p>
        </w:tc>
        <w:tc>
          <w:tcPr>
            <w:tcW w:w="1843" w:type="dxa"/>
            <w:vMerge/>
            <w:tcBorders>
              <w:top w:val="nil"/>
              <w:bottom w:val="single" w:sz="4" w:space="0" w:color="auto"/>
            </w:tcBorders>
            <w:vAlign w:val="center"/>
            <w:hideMark/>
          </w:tcPr>
          <w:p w:rsidR="008E3BB1" w:rsidRPr="00E465A0" w:rsidRDefault="008E3BB1" w:rsidP="0020458A">
            <w:pPr>
              <w:jc w:val="both"/>
              <w:rPr>
                <w:rFonts w:cs="Arial"/>
                <w:b/>
                <w:bCs/>
                <w:color w:val="000000"/>
                <w:szCs w:val="22"/>
              </w:rPr>
            </w:pPr>
          </w:p>
        </w:tc>
      </w:tr>
      <w:tr w:rsidR="008E3BB1" w:rsidRPr="00E465A0" w:rsidTr="0020458A">
        <w:trPr>
          <w:trHeight w:val="300"/>
        </w:trPr>
        <w:tc>
          <w:tcPr>
            <w:tcW w:w="2680" w:type="dxa"/>
            <w:tcBorders>
              <w:top w:val="single" w:sz="4" w:space="0" w:color="auto"/>
              <w:bottom w:val="nil"/>
            </w:tcBorders>
            <w:shd w:val="clear" w:color="auto" w:fill="auto"/>
            <w:noWrap/>
            <w:vAlign w:val="center"/>
            <w:hideMark/>
          </w:tcPr>
          <w:p w:rsidR="008E3BB1" w:rsidRPr="00152628" w:rsidRDefault="008E3BB1" w:rsidP="0020458A">
            <w:pPr>
              <w:jc w:val="both"/>
              <w:rPr>
                <w:rFonts w:cs="Arial"/>
                <w:color w:val="000000"/>
                <w:szCs w:val="22"/>
              </w:rPr>
            </w:pPr>
            <w:r w:rsidRPr="00152628">
              <w:rPr>
                <w:rFonts w:cs="Arial"/>
                <w:color w:val="000000"/>
                <w:szCs w:val="22"/>
              </w:rPr>
              <w:t>Clients</w:t>
            </w:r>
          </w:p>
        </w:tc>
        <w:tc>
          <w:tcPr>
            <w:tcW w:w="1289" w:type="dxa"/>
            <w:tcBorders>
              <w:top w:val="single" w:sz="4" w:space="0" w:color="auto"/>
              <w:bottom w:val="nil"/>
            </w:tcBorders>
            <w:shd w:val="clear" w:color="auto" w:fill="9CC2E5" w:themeFill="accent1" w:themeFillTint="99"/>
            <w:noWrap/>
            <w:vAlign w:val="center"/>
            <w:hideMark/>
          </w:tcPr>
          <w:p w:rsidR="008E3BB1" w:rsidRPr="00936D57" w:rsidRDefault="008E3BB1" w:rsidP="0020458A">
            <w:pPr>
              <w:jc w:val="both"/>
              <w:rPr>
                <w:rFonts w:cs="Arial"/>
                <w:color w:val="000000"/>
                <w:szCs w:val="22"/>
              </w:rPr>
            </w:pPr>
            <w:r w:rsidRPr="00936D57">
              <w:rPr>
                <w:rFonts w:cs="Arial"/>
                <w:color w:val="000000"/>
                <w:szCs w:val="22"/>
              </w:rPr>
              <w:t>8</w:t>
            </w:r>
          </w:p>
        </w:tc>
        <w:tc>
          <w:tcPr>
            <w:tcW w:w="657" w:type="dxa"/>
            <w:tcBorders>
              <w:top w:val="single" w:sz="4" w:space="0" w:color="auto"/>
              <w:bottom w:val="nil"/>
            </w:tcBorders>
            <w:shd w:val="clear" w:color="auto" w:fill="9CC2E5" w:themeFill="accent1" w:themeFillTint="99"/>
            <w:noWrap/>
            <w:vAlign w:val="center"/>
            <w:hideMark/>
          </w:tcPr>
          <w:p w:rsidR="008E3BB1" w:rsidRPr="00E465A0" w:rsidRDefault="008E3BB1" w:rsidP="0020458A">
            <w:pPr>
              <w:jc w:val="both"/>
              <w:rPr>
                <w:rFonts w:cs="Arial"/>
                <w:color w:val="000000"/>
                <w:szCs w:val="22"/>
              </w:rPr>
            </w:pPr>
            <w:r w:rsidRPr="00E465A0">
              <w:rPr>
                <w:rFonts w:cs="Arial"/>
                <w:color w:val="000000"/>
                <w:szCs w:val="22"/>
              </w:rPr>
              <w:t>13</w:t>
            </w:r>
          </w:p>
        </w:tc>
        <w:tc>
          <w:tcPr>
            <w:tcW w:w="1186" w:type="dxa"/>
            <w:tcBorders>
              <w:top w:val="single" w:sz="4" w:space="0" w:color="auto"/>
              <w:bottom w:val="nil"/>
            </w:tcBorders>
            <w:shd w:val="clear" w:color="auto" w:fill="9CC2E5" w:themeFill="accent1" w:themeFillTint="99"/>
            <w:noWrap/>
            <w:vAlign w:val="center"/>
            <w:hideMark/>
          </w:tcPr>
          <w:p w:rsidR="008E3BB1" w:rsidRPr="00E465A0" w:rsidRDefault="008E3BB1" w:rsidP="0020458A">
            <w:pPr>
              <w:jc w:val="both"/>
              <w:rPr>
                <w:rFonts w:cs="Arial"/>
                <w:color w:val="000000"/>
                <w:szCs w:val="22"/>
              </w:rPr>
            </w:pPr>
            <w:r w:rsidRPr="00E465A0">
              <w:rPr>
                <w:rFonts w:cs="Arial"/>
                <w:color w:val="000000"/>
                <w:szCs w:val="22"/>
              </w:rPr>
              <w:t>7</w:t>
            </w:r>
          </w:p>
        </w:tc>
        <w:tc>
          <w:tcPr>
            <w:tcW w:w="992" w:type="dxa"/>
            <w:tcBorders>
              <w:top w:val="single" w:sz="4" w:space="0" w:color="auto"/>
              <w:bottom w:val="nil"/>
            </w:tcBorders>
            <w:shd w:val="clear" w:color="auto" w:fill="auto"/>
            <w:noWrap/>
            <w:vAlign w:val="center"/>
            <w:hideMark/>
          </w:tcPr>
          <w:p w:rsidR="008E3BB1" w:rsidRPr="00E465A0" w:rsidRDefault="008E3BB1" w:rsidP="0020458A">
            <w:pPr>
              <w:jc w:val="both"/>
              <w:rPr>
                <w:rFonts w:cs="Arial"/>
                <w:color w:val="000000"/>
                <w:szCs w:val="22"/>
              </w:rPr>
            </w:pPr>
            <w:r w:rsidRPr="00E465A0">
              <w:rPr>
                <w:rFonts w:cs="Arial"/>
                <w:color w:val="000000"/>
                <w:szCs w:val="22"/>
              </w:rPr>
              <w:t>28</w:t>
            </w:r>
          </w:p>
        </w:tc>
        <w:tc>
          <w:tcPr>
            <w:tcW w:w="1843" w:type="dxa"/>
            <w:tcBorders>
              <w:top w:val="single" w:sz="4" w:space="0" w:color="auto"/>
              <w:bottom w:val="nil"/>
            </w:tcBorders>
            <w:shd w:val="clear" w:color="auto" w:fill="auto"/>
            <w:noWrap/>
            <w:vAlign w:val="center"/>
            <w:hideMark/>
          </w:tcPr>
          <w:p w:rsidR="008E3BB1" w:rsidRPr="00E465A0" w:rsidRDefault="008E3BB1" w:rsidP="0020458A">
            <w:pPr>
              <w:jc w:val="both"/>
              <w:rPr>
                <w:rFonts w:cs="Arial"/>
                <w:b/>
                <w:bCs/>
                <w:color w:val="000000"/>
                <w:szCs w:val="22"/>
              </w:rPr>
            </w:pPr>
            <w:r w:rsidRPr="00E465A0">
              <w:rPr>
                <w:rFonts w:cs="Arial"/>
                <w:b/>
                <w:bCs/>
                <w:color w:val="000000"/>
                <w:szCs w:val="22"/>
              </w:rPr>
              <w:t>29%</w:t>
            </w:r>
          </w:p>
        </w:tc>
      </w:tr>
      <w:tr w:rsidR="008E3BB1" w:rsidRPr="00E465A0" w:rsidTr="0020458A">
        <w:trPr>
          <w:trHeight w:val="300"/>
        </w:trPr>
        <w:tc>
          <w:tcPr>
            <w:tcW w:w="2680" w:type="dxa"/>
            <w:tcBorders>
              <w:top w:val="nil"/>
            </w:tcBorders>
            <w:shd w:val="clear" w:color="auto" w:fill="auto"/>
            <w:noWrap/>
            <w:vAlign w:val="center"/>
            <w:hideMark/>
          </w:tcPr>
          <w:p w:rsidR="008E3BB1" w:rsidRPr="00152628" w:rsidRDefault="008E3BB1" w:rsidP="0020458A">
            <w:pPr>
              <w:jc w:val="both"/>
              <w:rPr>
                <w:rFonts w:cs="Arial"/>
                <w:color w:val="000000"/>
                <w:szCs w:val="22"/>
              </w:rPr>
            </w:pPr>
            <w:r w:rsidRPr="00152628">
              <w:rPr>
                <w:rFonts w:cs="Arial"/>
                <w:color w:val="000000"/>
                <w:szCs w:val="22"/>
              </w:rPr>
              <w:t>Consultants</w:t>
            </w:r>
          </w:p>
        </w:tc>
        <w:tc>
          <w:tcPr>
            <w:tcW w:w="1289" w:type="dxa"/>
            <w:tcBorders>
              <w:top w:val="nil"/>
            </w:tcBorders>
            <w:shd w:val="clear" w:color="auto" w:fill="9CC2E5" w:themeFill="accent1" w:themeFillTint="99"/>
            <w:noWrap/>
            <w:vAlign w:val="center"/>
            <w:hideMark/>
          </w:tcPr>
          <w:p w:rsidR="008E3BB1" w:rsidRPr="00936D57" w:rsidRDefault="008E3BB1" w:rsidP="0020458A">
            <w:pPr>
              <w:jc w:val="both"/>
              <w:rPr>
                <w:rFonts w:cs="Arial"/>
                <w:color w:val="000000"/>
                <w:szCs w:val="22"/>
              </w:rPr>
            </w:pPr>
            <w:r w:rsidRPr="00936D57">
              <w:rPr>
                <w:rFonts w:cs="Arial"/>
                <w:color w:val="000000"/>
                <w:szCs w:val="22"/>
              </w:rPr>
              <w:t>8</w:t>
            </w:r>
          </w:p>
        </w:tc>
        <w:tc>
          <w:tcPr>
            <w:tcW w:w="657" w:type="dxa"/>
            <w:tcBorders>
              <w:top w:val="nil"/>
            </w:tcBorders>
            <w:shd w:val="clear" w:color="auto" w:fill="9CC2E5" w:themeFill="accent1" w:themeFillTint="99"/>
            <w:noWrap/>
            <w:vAlign w:val="center"/>
            <w:hideMark/>
          </w:tcPr>
          <w:p w:rsidR="008E3BB1" w:rsidRPr="00E465A0" w:rsidRDefault="008E3BB1" w:rsidP="0020458A">
            <w:pPr>
              <w:jc w:val="both"/>
              <w:rPr>
                <w:rFonts w:cs="Arial"/>
                <w:color w:val="000000"/>
                <w:szCs w:val="22"/>
              </w:rPr>
            </w:pPr>
            <w:r w:rsidRPr="00E465A0">
              <w:rPr>
                <w:rFonts w:cs="Arial"/>
                <w:color w:val="000000"/>
                <w:szCs w:val="22"/>
              </w:rPr>
              <w:t>14</w:t>
            </w:r>
          </w:p>
        </w:tc>
        <w:tc>
          <w:tcPr>
            <w:tcW w:w="1186" w:type="dxa"/>
            <w:tcBorders>
              <w:top w:val="nil"/>
            </w:tcBorders>
            <w:shd w:val="clear" w:color="auto" w:fill="9CC2E5" w:themeFill="accent1" w:themeFillTint="99"/>
            <w:noWrap/>
            <w:vAlign w:val="center"/>
            <w:hideMark/>
          </w:tcPr>
          <w:p w:rsidR="008E3BB1" w:rsidRPr="00E465A0" w:rsidRDefault="008E3BB1" w:rsidP="0020458A">
            <w:pPr>
              <w:jc w:val="both"/>
              <w:rPr>
                <w:rFonts w:cs="Arial"/>
                <w:color w:val="000000"/>
                <w:szCs w:val="22"/>
              </w:rPr>
            </w:pPr>
            <w:r w:rsidRPr="00E465A0">
              <w:rPr>
                <w:rFonts w:cs="Arial"/>
                <w:color w:val="000000"/>
                <w:szCs w:val="22"/>
              </w:rPr>
              <w:t>5</w:t>
            </w:r>
          </w:p>
        </w:tc>
        <w:tc>
          <w:tcPr>
            <w:tcW w:w="992" w:type="dxa"/>
            <w:tcBorders>
              <w:top w:val="nil"/>
            </w:tcBorders>
            <w:shd w:val="clear" w:color="auto" w:fill="auto"/>
            <w:noWrap/>
            <w:vAlign w:val="center"/>
            <w:hideMark/>
          </w:tcPr>
          <w:p w:rsidR="008E3BB1" w:rsidRPr="00E465A0" w:rsidRDefault="008E3BB1" w:rsidP="0020458A">
            <w:pPr>
              <w:jc w:val="both"/>
              <w:rPr>
                <w:rFonts w:cs="Arial"/>
                <w:color w:val="000000"/>
                <w:szCs w:val="22"/>
              </w:rPr>
            </w:pPr>
            <w:r w:rsidRPr="00E465A0">
              <w:rPr>
                <w:rFonts w:cs="Arial"/>
                <w:color w:val="000000"/>
                <w:szCs w:val="22"/>
              </w:rPr>
              <w:t>27</w:t>
            </w:r>
          </w:p>
        </w:tc>
        <w:tc>
          <w:tcPr>
            <w:tcW w:w="1843" w:type="dxa"/>
            <w:tcBorders>
              <w:top w:val="nil"/>
            </w:tcBorders>
            <w:shd w:val="clear" w:color="auto" w:fill="auto"/>
            <w:noWrap/>
            <w:vAlign w:val="bottom"/>
            <w:hideMark/>
          </w:tcPr>
          <w:p w:rsidR="008E3BB1" w:rsidRPr="00E465A0" w:rsidRDefault="008E3BB1" w:rsidP="0020458A">
            <w:pPr>
              <w:jc w:val="both"/>
              <w:rPr>
                <w:rFonts w:cs="Arial"/>
                <w:b/>
                <w:bCs/>
                <w:color w:val="000000"/>
                <w:szCs w:val="22"/>
              </w:rPr>
            </w:pPr>
            <w:r w:rsidRPr="00E465A0">
              <w:rPr>
                <w:rFonts w:cs="Arial"/>
                <w:b/>
                <w:bCs/>
                <w:color w:val="000000"/>
                <w:szCs w:val="22"/>
              </w:rPr>
              <w:t>30%</w:t>
            </w:r>
          </w:p>
        </w:tc>
      </w:tr>
      <w:tr w:rsidR="008E3BB1" w:rsidRPr="00E465A0" w:rsidTr="0020458A">
        <w:trPr>
          <w:trHeight w:val="300"/>
        </w:trPr>
        <w:tc>
          <w:tcPr>
            <w:tcW w:w="2680" w:type="dxa"/>
            <w:shd w:val="clear" w:color="auto" w:fill="auto"/>
            <w:noWrap/>
            <w:vAlign w:val="center"/>
            <w:hideMark/>
          </w:tcPr>
          <w:p w:rsidR="008E3BB1" w:rsidRPr="00152628" w:rsidRDefault="008E3BB1" w:rsidP="0020458A">
            <w:pPr>
              <w:jc w:val="both"/>
              <w:rPr>
                <w:rFonts w:cs="Arial"/>
                <w:color w:val="000000"/>
                <w:szCs w:val="22"/>
              </w:rPr>
            </w:pPr>
            <w:r w:rsidRPr="00152628">
              <w:rPr>
                <w:rFonts w:cs="Arial"/>
                <w:color w:val="000000"/>
                <w:szCs w:val="22"/>
              </w:rPr>
              <w:t>Main contractors</w:t>
            </w:r>
          </w:p>
        </w:tc>
        <w:tc>
          <w:tcPr>
            <w:tcW w:w="1289" w:type="dxa"/>
            <w:shd w:val="clear" w:color="auto" w:fill="9CC2E5" w:themeFill="accent1" w:themeFillTint="99"/>
            <w:noWrap/>
            <w:vAlign w:val="center"/>
            <w:hideMark/>
          </w:tcPr>
          <w:p w:rsidR="008E3BB1" w:rsidRPr="00936D57" w:rsidRDefault="008E3BB1" w:rsidP="0020458A">
            <w:pPr>
              <w:jc w:val="both"/>
              <w:rPr>
                <w:rFonts w:cs="Arial"/>
                <w:color w:val="000000"/>
                <w:szCs w:val="22"/>
              </w:rPr>
            </w:pPr>
            <w:r w:rsidRPr="00936D57">
              <w:rPr>
                <w:rFonts w:cs="Arial"/>
                <w:color w:val="000000"/>
                <w:szCs w:val="22"/>
              </w:rPr>
              <w:t>43</w:t>
            </w:r>
          </w:p>
        </w:tc>
        <w:tc>
          <w:tcPr>
            <w:tcW w:w="657" w:type="dxa"/>
            <w:shd w:val="clear" w:color="auto" w:fill="9CC2E5" w:themeFill="accent1" w:themeFillTint="99"/>
            <w:noWrap/>
            <w:vAlign w:val="center"/>
            <w:hideMark/>
          </w:tcPr>
          <w:p w:rsidR="008E3BB1" w:rsidRPr="00E465A0" w:rsidRDefault="008E3BB1" w:rsidP="0020458A">
            <w:pPr>
              <w:jc w:val="both"/>
              <w:rPr>
                <w:rFonts w:cs="Arial"/>
                <w:color w:val="000000"/>
                <w:szCs w:val="22"/>
              </w:rPr>
            </w:pPr>
            <w:r w:rsidRPr="00E465A0">
              <w:rPr>
                <w:rFonts w:cs="Arial"/>
                <w:color w:val="000000"/>
                <w:szCs w:val="22"/>
              </w:rPr>
              <w:t>81</w:t>
            </w:r>
          </w:p>
        </w:tc>
        <w:tc>
          <w:tcPr>
            <w:tcW w:w="1186" w:type="dxa"/>
            <w:shd w:val="clear" w:color="auto" w:fill="9CC2E5" w:themeFill="accent1" w:themeFillTint="99"/>
            <w:noWrap/>
            <w:vAlign w:val="center"/>
            <w:hideMark/>
          </w:tcPr>
          <w:p w:rsidR="008E3BB1" w:rsidRPr="00E465A0" w:rsidRDefault="008E3BB1" w:rsidP="0020458A">
            <w:pPr>
              <w:jc w:val="both"/>
              <w:rPr>
                <w:rFonts w:cs="Arial"/>
                <w:color w:val="000000"/>
                <w:szCs w:val="22"/>
              </w:rPr>
            </w:pPr>
            <w:r w:rsidRPr="00E465A0">
              <w:rPr>
                <w:rFonts w:cs="Arial"/>
                <w:color w:val="000000"/>
                <w:szCs w:val="22"/>
              </w:rPr>
              <w:t>3</w:t>
            </w:r>
          </w:p>
        </w:tc>
        <w:tc>
          <w:tcPr>
            <w:tcW w:w="992" w:type="dxa"/>
            <w:shd w:val="clear" w:color="auto" w:fill="auto"/>
            <w:noWrap/>
            <w:vAlign w:val="center"/>
            <w:hideMark/>
          </w:tcPr>
          <w:p w:rsidR="008E3BB1" w:rsidRPr="00E465A0" w:rsidRDefault="008E3BB1" w:rsidP="0020458A">
            <w:pPr>
              <w:jc w:val="both"/>
              <w:rPr>
                <w:rFonts w:cs="Arial"/>
                <w:color w:val="000000"/>
                <w:szCs w:val="22"/>
              </w:rPr>
            </w:pPr>
            <w:r w:rsidRPr="00E465A0">
              <w:rPr>
                <w:rFonts w:cs="Arial"/>
                <w:color w:val="000000"/>
                <w:szCs w:val="22"/>
              </w:rPr>
              <w:t>127</w:t>
            </w:r>
          </w:p>
        </w:tc>
        <w:tc>
          <w:tcPr>
            <w:tcW w:w="1843" w:type="dxa"/>
            <w:shd w:val="clear" w:color="auto" w:fill="auto"/>
            <w:noWrap/>
            <w:vAlign w:val="bottom"/>
            <w:hideMark/>
          </w:tcPr>
          <w:p w:rsidR="008E3BB1" w:rsidRPr="00E465A0" w:rsidRDefault="008E3BB1" w:rsidP="0020458A">
            <w:pPr>
              <w:jc w:val="both"/>
              <w:rPr>
                <w:rFonts w:cs="Arial"/>
                <w:b/>
                <w:bCs/>
                <w:color w:val="000000"/>
                <w:szCs w:val="22"/>
              </w:rPr>
            </w:pPr>
            <w:r w:rsidRPr="00E465A0">
              <w:rPr>
                <w:rFonts w:cs="Arial"/>
                <w:b/>
                <w:bCs/>
                <w:color w:val="000000"/>
                <w:szCs w:val="22"/>
              </w:rPr>
              <w:t>34%</w:t>
            </w:r>
          </w:p>
        </w:tc>
      </w:tr>
      <w:tr w:rsidR="008E3BB1" w:rsidRPr="00E465A0" w:rsidTr="0020458A">
        <w:trPr>
          <w:trHeight w:val="300"/>
        </w:trPr>
        <w:tc>
          <w:tcPr>
            <w:tcW w:w="2680" w:type="dxa"/>
            <w:shd w:val="clear" w:color="auto" w:fill="auto"/>
            <w:noWrap/>
            <w:vAlign w:val="center"/>
            <w:hideMark/>
          </w:tcPr>
          <w:p w:rsidR="008E3BB1" w:rsidRPr="00152628" w:rsidRDefault="008E3BB1" w:rsidP="0020458A">
            <w:pPr>
              <w:jc w:val="both"/>
              <w:rPr>
                <w:rFonts w:cs="Arial"/>
                <w:color w:val="000000"/>
                <w:szCs w:val="22"/>
              </w:rPr>
            </w:pPr>
            <w:r w:rsidRPr="00152628">
              <w:rPr>
                <w:rFonts w:cs="Arial"/>
                <w:color w:val="000000"/>
                <w:szCs w:val="22"/>
              </w:rPr>
              <w:t>Subcontractors/supplies</w:t>
            </w:r>
          </w:p>
        </w:tc>
        <w:tc>
          <w:tcPr>
            <w:tcW w:w="1289" w:type="dxa"/>
            <w:shd w:val="clear" w:color="auto" w:fill="9CC2E5" w:themeFill="accent1" w:themeFillTint="99"/>
            <w:noWrap/>
            <w:vAlign w:val="center"/>
            <w:hideMark/>
          </w:tcPr>
          <w:p w:rsidR="008E3BB1" w:rsidRPr="00936D57" w:rsidRDefault="008E3BB1" w:rsidP="0020458A">
            <w:pPr>
              <w:jc w:val="both"/>
              <w:rPr>
                <w:rFonts w:cs="Arial"/>
                <w:color w:val="000000"/>
                <w:szCs w:val="22"/>
              </w:rPr>
            </w:pPr>
            <w:r w:rsidRPr="00936D57">
              <w:rPr>
                <w:rFonts w:cs="Arial"/>
                <w:color w:val="000000"/>
                <w:szCs w:val="22"/>
              </w:rPr>
              <w:t>46</w:t>
            </w:r>
          </w:p>
        </w:tc>
        <w:tc>
          <w:tcPr>
            <w:tcW w:w="657" w:type="dxa"/>
            <w:shd w:val="clear" w:color="auto" w:fill="9CC2E5" w:themeFill="accent1" w:themeFillTint="99"/>
            <w:noWrap/>
            <w:vAlign w:val="center"/>
            <w:hideMark/>
          </w:tcPr>
          <w:p w:rsidR="008E3BB1" w:rsidRPr="00E465A0" w:rsidRDefault="008E3BB1" w:rsidP="0020458A">
            <w:pPr>
              <w:jc w:val="both"/>
              <w:rPr>
                <w:rFonts w:cs="Arial"/>
                <w:color w:val="000000"/>
                <w:szCs w:val="22"/>
              </w:rPr>
            </w:pPr>
            <w:r w:rsidRPr="00E465A0">
              <w:rPr>
                <w:rFonts w:cs="Arial"/>
                <w:color w:val="000000"/>
                <w:szCs w:val="22"/>
              </w:rPr>
              <w:t>128</w:t>
            </w:r>
          </w:p>
        </w:tc>
        <w:tc>
          <w:tcPr>
            <w:tcW w:w="1186" w:type="dxa"/>
            <w:shd w:val="clear" w:color="auto" w:fill="9CC2E5" w:themeFill="accent1" w:themeFillTint="99"/>
            <w:noWrap/>
            <w:vAlign w:val="center"/>
            <w:hideMark/>
          </w:tcPr>
          <w:p w:rsidR="008E3BB1" w:rsidRPr="00E465A0" w:rsidRDefault="008E3BB1" w:rsidP="0020458A">
            <w:pPr>
              <w:jc w:val="both"/>
              <w:rPr>
                <w:rFonts w:cs="Arial"/>
                <w:color w:val="000000"/>
                <w:szCs w:val="22"/>
              </w:rPr>
            </w:pPr>
            <w:r w:rsidRPr="00E465A0">
              <w:rPr>
                <w:rFonts w:cs="Arial"/>
                <w:color w:val="000000"/>
                <w:szCs w:val="22"/>
              </w:rPr>
              <w:t>1</w:t>
            </w:r>
          </w:p>
        </w:tc>
        <w:tc>
          <w:tcPr>
            <w:tcW w:w="992" w:type="dxa"/>
            <w:shd w:val="clear" w:color="auto" w:fill="auto"/>
            <w:noWrap/>
            <w:vAlign w:val="center"/>
            <w:hideMark/>
          </w:tcPr>
          <w:p w:rsidR="008E3BB1" w:rsidRPr="00E465A0" w:rsidRDefault="008E3BB1" w:rsidP="0020458A">
            <w:pPr>
              <w:jc w:val="both"/>
              <w:rPr>
                <w:rFonts w:cs="Arial"/>
                <w:color w:val="000000"/>
                <w:szCs w:val="22"/>
              </w:rPr>
            </w:pPr>
            <w:r w:rsidRPr="00E465A0">
              <w:rPr>
                <w:rFonts w:cs="Arial"/>
                <w:color w:val="000000"/>
                <w:szCs w:val="22"/>
              </w:rPr>
              <w:t>175</w:t>
            </w:r>
          </w:p>
        </w:tc>
        <w:tc>
          <w:tcPr>
            <w:tcW w:w="1843" w:type="dxa"/>
            <w:shd w:val="clear" w:color="auto" w:fill="auto"/>
            <w:noWrap/>
            <w:vAlign w:val="bottom"/>
            <w:hideMark/>
          </w:tcPr>
          <w:p w:rsidR="008E3BB1" w:rsidRPr="00E465A0" w:rsidRDefault="008E3BB1" w:rsidP="0020458A">
            <w:pPr>
              <w:jc w:val="both"/>
              <w:rPr>
                <w:rFonts w:cs="Arial"/>
                <w:b/>
                <w:bCs/>
                <w:color w:val="000000"/>
                <w:szCs w:val="22"/>
              </w:rPr>
            </w:pPr>
            <w:r w:rsidRPr="00E465A0">
              <w:rPr>
                <w:rFonts w:cs="Arial"/>
                <w:b/>
                <w:bCs/>
                <w:color w:val="000000"/>
                <w:szCs w:val="22"/>
              </w:rPr>
              <w:t>26%</w:t>
            </w:r>
          </w:p>
        </w:tc>
      </w:tr>
      <w:tr w:rsidR="008E3BB1" w:rsidRPr="00E465A0" w:rsidTr="0020458A">
        <w:trPr>
          <w:trHeight w:val="300"/>
        </w:trPr>
        <w:tc>
          <w:tcPr>
            <w:tcW w:w="2680" w:type="dxa"/>
            <w:tcBorders>
              <w:bottom w:val="single" w:sz="4" w:space="0" w:color="auto"/>
            </w:tcBorders>
            <w:shd w:val="clear" w:color="auto" w:fill="auto"/>
            <w:noWrap/>
            <w:vAlign w:val="center"/>
            <w:hideMark/>
          </w:tcPr>
          <w:p w:rsidR="008E3BB1" w:rsidRPr="00152628" w:rsidRDefault="008E3BB1" w:rsidP="0020458A">
            <w:pPr>
              <w:jc w:val="both"/>
              <w:rPr>
                <w:rFonts w:cs="Arial"/>
                <w:color w:val="000000"/>
                <w:szCs w:val="22"/>
              </w:rPr>
            </w:pPr>
            <w:r w:rsidRPr="00152628">
              <w:rPr>
                <w:rFonts w:cs="Arial"/>
                <w:color w:val="000000"/>
                <w:szCs w:val="22"/>
              </w:rPr>
              <w:t>total response</w:t>
            </w:r>
          </w:p>
        </w:tc>
        <w:tc>
          <w:tcPr>
            <w:tcW w:w="1289" w:type="dxa"/>
            <w:tcBorders>
              <w:bottom w:val="single" w:sz="4" w:space="0" w:color="auto"/>
            </w:tcBorders>
            <w:shd w:val="clear" w:color="auto" w:fill="9CC2E5" w:themeFill="accent1" w:themeFillTint="99"/>
            <w:noWrap/>
            <w:vAlign w:val="bottom"/>
            <w:hideMark/>
          </w:tcPr>
          <w:p w:rsidR="008E3BB1" w:rsidRPr="00936D57" w:rsidRDefault="008E3BB1" w:rsidP="0020458A">
            <w:pPr>
              <w:jc w:val="both"/>
              <w:rPr>
                <w:rFonts w:cs="Arial"/>
                <w:color w:val="000000"/>
                <w:szCs w:val="22"/>
              </w:rPr>
            </w:pPr>
            <w:r w:rsidRPr="00936D57">
              <w:rPr>
                <w:rFonts w:cs="Arial"/>
                <w:color w:val="000000"/>
                <w:szCs w:val="22"/>
              </w:rPr>
              <w:t>105</w:t>
            </w:r>
          </w:p>
        </w:tc>
        <w:tc>
          <w:tcPr>
            <w:tcW w:w="657" w:type="dxa"/>
            <w:tcBorders>
              <w:bottom w:val="single" w:sz="4" w:space="0" w:color="auto"/>
            </w:tcBorders>
            <w:shd w:val="clear" w:color="auto" w:fill="9CC2E5" w:themeFill="accent1" w:themeFillTint="99"/>
            <w:noWrap/>
            <w:vAlign w:val="bottom"/>
            <w:hideMark/>
          </w:tcPr>
          <w:p w:rsidR="008E3BB1" w:rsidRPr="00E465A0" w:rsidRDefault="008E3BB1" w:rsidP="0020458A">
            <w:pPr>
              <w:jc w:val="both"/>
              <w:rPr>
                <w:rFonts w:cs="Arial"/>
                <w:color w:val="000000"/>
                <w:szCs w:val="22"/>
              </w:rPr>
            </w:pPr>
            <w:r w:rsidRPr="00E465A0">
              <w:rPr>
                <w:rFonts w:cs="Arial"/>
                <w:color w:val="000000"/>
                <w:szCs w:val="22"/>
              </w:rPr>
              <w:t>236</w:t>
            </w:r>
          </w:p>
        </w:tc>
        <w:tc>
          <w:tcPr>
            <w:tcW w:w="1186" w:type="dxa"/>
            <w:tcBorders>
              <w:bottom w:val="single" w:sz="4" w:space="0" w:color="auto"/>
            </w:tcBorders>
            <w:shd w:val="clear" w:color="auto" w:fill="9CC2E5" w:themeFill="accent1" w:themeFillTint="99"/>
            <w:noWrap/>
            <w:vAlign w:val="bottom"/>
            <w:hideMark/>
          </w:tcPr>
          <w:p w:rsidR="008E3BB1" w:rsidRPr="00E465A0" w:rsidRDefault="008E3BB1" w:rsidP="0020458A">
            <w:pPr>
              <w:jc w:val="both"/>
              <w:rPr>
                <w:rFonts w:cs="Arial"/>
                <w:color w:val="000000"/>
                <w:szCs w:val="22"/>
              </w:rPr>
            </w:pPr>
            <w:r w:rsidRPr="00E465A0">
              <w:rPr>
                <w:rFonts w:cs="Arial"/>
                <w:color w:val="000000"/>
                <w:szCs w:val="22"/>
              </w:rPr>
              <w:t>16</w:t>
            </w:r>
          </w:p>
        </w:tc>
        <w:tc>
          <w:tcPr>
            <w:tcW w:w="992" w:type="dxa"/>
            <w:tcBorders>
              <w:bottom w:val="single" w:sz="4" w:space="0" w:color="auto"/>
            </w:tcBorders>
            <w:shd w:val="clear" w:color="auto" w:fill="auto"/>
            <w:noWrap/>
            <w:vAlign w:val="bottom"/>
            <w:hideMark/>
          </w:tcPr>
          <w:p w:rsidR="008E3BB1" w:rsidRPr="00E465A0" w:rsidRDefault="008E3BB1" w:rsidP="0020458A">
            <w:pPr>
              <w:jc w:val="both"/>
              <w:rPr>
                <w:rFonts w:cs="Arial"/>
                <w:color w:val="000000"/>
                <w:szCs w:val="22"/>
              </w:rPr>
            </w:pPr>
            <w:r w:rsidRPr="00E465A0">
              <w:rPr>
                <w:rFonts w:cs="Arial"/>
                <w:color w:val="000000"/>
                <w:szCs w:val="22"/>
              </w:rPr>
              <w:t>357</w:t>
            </w:r>
          </w:p>
        </w:tc>
        <w:tc>
          <w:tcPr>
            <w:tcW w:w="1843" w:type="dxa"/>
            <w:tcBorders>
              <w:bottom w:val="single" w:sz="4" w:space="0" w:color="auto"/>
            </w:tcBorders>
            <w:shd w:val="clear" w:color="auto" w:fill="auto"/>
            <w:noWrap/>
            <w:vAlign w:val="bottom"/>
            <w:hideMark/>
          </w:tcPr>
          <w:p w:rsidR="008E3BB1" w:rsidRPr="00E465A0" w:rsidRDefault="008E3BB1" w:rsidP="0020458A">
            <w:pPr>
              <w:jc w:val="both"/>
              <w:rPr>
                <w:rFonts w:cs="Arial"/>
                <w:color w:val="000000"/>
                <w:szCs w:val="22"/>
              </w:rPr>
            </w:pPr>
          </w:p>
        </w:tc>
      </w:tr>
      <w:tr w:rsidR="008E3BB1" w:rsidRPr="00E465A0" w:rsidTr="0020458A">
        <w:trPr>
          <w:trHeight w:val="300"/>
        </w:trPr>
        <w:tc>
          <w:tcPr>
            <w:tcW w:w="2680" w:type="dxa"/>
            <w:tcBorders>
              <w:top w:val="single" w:sz="4" w:space="0" w:color="auto"/>
              <w:bottom w:val="single" w:sz="4" w:space="0" w:color="auto"/>
            </w:tcBorders>
            <w:shd w:val="clear" w:color="auto" w:fill="auto"/>
            <w:noWrap/>
            <w:vAlign w:val="center"/>
            <w:hideMark/>
          </w:tcPr>
          <w:p w:rsidR="008E3BB1" w:rsidRPr="00152628" w:rsidRDefault="008E3BB1" w:rsidP="0020458A">
            <w:pPr>
              <w:jc w:val="both"/>
              <w:rPr>
                <w:rFonts w:cs="Arial"/>
                <w:color w:val="000000"/>
                <w:szCs w:val="22"/>
              </w:rPr>
            </w:pPr>
            <w:r w:rsidRPr="00152628">
              <w:rPr>
                <w:rFonts w:cs="Arial"/>
                <w:color w:val="000000"/>
                <w:szCs w:val="22"/>
              </w:rPr>
              <w:lastRenderedPageBreak/>
              <w:t>Percentage</w:t>
            </w:r>
          </w:p>
        </w:tc>
        <w:tc>
          <w:tcPr>
            <w:tcW w:w="1289" w:type="dxa"/>
            <w:tcBorders>
              <w:top w:val="single" w:sz="4" w:space="0" w:color="auto"/>
              <w:bottom w:val="single" w:sz="4" w:space="0" w:color="auto"/>
            </w:tcBorders>
            <w:shd w:val="clear" w:color="auto" w:fill="auto"/>
            <w:noWrap/>
            <w:vAlign w:val="bottom"/>
            <w:hideMark/>
          </w:tcPr>
          <w:p w:rsidR="008E3BB1" w:rsidRPr="00936D57" w:rsidRDefault="008E3BB1" w:rsidP="0020458A">
            <w:pPr>
              <w:jc w:val="both"/>
              <w:rPr>
                <w:rFonts w:cs="Arial"/>
                <w:b/>
                <w:bCs/>
                <w:color w:val="000000"/>
                <w:szCs w:val="22"/>
              </w:rPr>
            </w:pPr>
            <w:r w:rsidRPr="00936D57">
              <w:rPr>
                <w:rFonts w:cs="Arial"/>
                <w:b/>
                <w:bCs/>
                <w:color w:val="000000"/>
                <w:szCs w:val="22"/>
              </w:rPr>
              <w:t>29%</w:t>
            </w:r>
          </w:p>
        </w:tc>
        <w:tc>
          <w:tcPr>
            <w:tcW w:w="657" w:type="dxa"/>
            <w:tcBorders>
              <w:top w:val="single" w:sz="4" w:space="0" w:color="auto"/>
              <w:bottom w:val="single" w:sz="4" w:space="0" w:color="auto"/>
            </w:tcBorders>
            <w:shd w:val="clear" w:color="auto" w:fill="auto"/>
            <w:noWrap/>
            <w:vAlign w:val="bottom"/>
            <w:hideMark/>
          </w:tcPr>
          <w:p w:rsidR="008E3BB1" w:rsidRPr="00E465A0" w:rsidRDefault="008E3BB1" w:rsidP="0020458A">
            <w:pPr>
              <w:jc w:val="both"/>
              <w:rPr>
                <w:rFonts w:cs="Arial"/>
                <w:b/>
                <w:bCs/>
                <w:color w:val="000000"/>
                <w:szCs w:val="22"/>
              </w:rPr>
            </w:pPr>
            <w:r w:rsidRPr="00E465A0">
              <w:rPr>
                <w:rFonts w:cs="Arial"/>
                <w:b/>
                <w:bCs/>
                <w:color w:val="000000"/>
                <w:szCs w:val="22"/>
              </w:rPr>
              <w:t>66%</w:t>
            </w:r>
          </w:p>
        </w:tc>
        <w:tc>
          <w:tcPr>
            <w:tcW w:w="1186" w:type="dxa"/>
            <w:tcBorders>
              <w:top w:val="single" w:sz="4" w:space="0" w:color="auto"/>
              <w:bottom w:val="single" w:sz="4" w:space="0" w:color="auto"/>
            </w:tcBorders>
            <w:shd w:val="clear" w:color="auto" w:fill="auto"/>
            <w:noWrap/>
            <w:vAlign w:val="bottom"/>
            <w:hideMark/>
          </w:tcPr>
          <w:p w:rsidR="008E3BB1" w:rsidRPr="00E465A0" w:rsidRDefault="008E3BB1" w:rsidP="0020458A">
            <w:pPr>
              <w:jc w:val="both"/>
              <w:rPr>
                <w:rFonts w:cs="Arial"/>
                <w:b/>
                <w:bCs/>
                <w:color w:val="000000"/>
                <w:szCs w:val="22"/>
              </w:rPr>
            </w:pPr>
            <w:r w:rsidRPr="00E465A0">
              <w:rPr>
                <w:rFonts w:cs="Arial"/>
                <w:b/>
                <w:bCs/>
                <w:color w:val="000000"/>
                <w:szCs w:val="22"/>
              </w:rPr>
              <w:t>4%</w:t>
            </w:r>
          </w:p>
        </w:tc>
        <w:tc>
          <w:tcPr>
            <w:tcW w:w="992" w:type="dxa"/>
            <w:tcBorders>
              <w:top w:val="single" w:sz="4" w:space="0" w:color="auto"/>
              <w:bottom w:val="single" w:sz="4" w:space="0" w:color="auto"/>
            </w:tcBorders>
            <w:shd w:val="clear" w:color="auto" w:fill="auto"/>
            <w:noWrap/>
            <w:vAlign w:val="bottom"/>
            <w:hideMark/>
          </w:tcPr>
          <w:p w:rsidR="008E3BB1" w:rsidRPr="00E465A0" w:rsidRDefault="008E3BB1" w:rsidP="0020458A">
            <w:pPr>
              <w:jc w:val="both"/>
              <w:rPr>
                <w:rFonts w:cs="Arial"/>
                <w:b/>
                <w:bCs/>
                <w:color w:val="000000"/>
                <w:szCs w:val="22"/>
              </w:rPr>
            </w:pPr>
            <w:r w:rsidRPr="00E465A0">
              <w:rPr>
                <w:rFonts w:cs="Arial"/>
                <w:b/>
                <w:bCs/>
                <w:color w:val="000000"/>
                <w:szCs w:val="22"/>
              </w:rPr>
              <w:t>100%</w:t>
            </w:r>
          </w:p>
        </w:tc>
        <w:tc>
          <w:tcPr>
            <w:tcW w:w="1843" w:type="dxa"/>
            <w:tcBorders>
              <w:top w:val="single" w:sz="4" w:space="0" w:color="auto"/>
              <w:bottom w:val="single" w:sz="4" w:space="0" w:color="auto"/>
            </w:tcBorders>
            <w:shd w:val="clear" w:color="auto" w:fill="auto"/>
            <w:noWrap/>
            <w:vAlign w:val="bottom"/>
            <w:hideMark/>
          </w:tcPr>
          <w:p w:rsidR="008E3BB1" w:rsidRPr="00E465A0" w:rsidRDefault="008E3BB1" w:rsidP="0020458A">
            <w:pPr>
              <w:jc w:val="both"/>
              <w:rPr>
                <w:rFonts w:cs="Arial"/>
                <w:b/>
                <w:bCs/>
                <w:color w:val="000000"/>
                <w:szCs w:val="22"/>
              </w:rPr>
            </w:pPr>
          </w:p>
        </w:tc>
      </w:tr>
    </w:tbl>
    <w:p w:rsidR="008E3BB1" w:rsidRDefault="008E3BB1" w:rsidP="0020458A">
      <w:pPr>
        <w:jc w:val="both"/>
        <w:rPr>
          <w:rFonts w:cs="Arial"/>
        </w:rPr>
      </w:pPr>
    </w:p>
    <w:p w:rsidR="009A23E7" w:rsidRPr="00C37C4D" w:rsidRDefault="009A23E7" w:rsidP="0020458A">
      <w:pPr>
        <w:pStyle w:val="Heading3"/>
        <w:jc w:val="both"/>
      </w:pPr>
      <w:r w:rsidRPr="00F022A3">
        <w:t>Use</w:t>
      </w:r>
      <w:r w:rsidRPr="00C37C4D">
        <w:t xml:space="preserve"> of mediation</w:t>
      </w:r>
    </w:p>
    <w:p w:rsidR="00423534" w:rsidRDefault="009A23E7" w:rsidP="0020458A">
      <w:pPr>
        <w:jc w:val="both"/>
      </w:pPr>
      <w:r>
        <w:t xml:space="preserve">To understand the level of awareness and the extent of use of mediation among the construction stakeholders, respondents were asked </w:t>
      </w:r>
      <w:r w:rsidR="002F58CD">
        <w:t xml:space="preserve">to </w:t>
      </w:r>
      <w:r>
        <w:t>indicate</w:t>
      </w:r>
      <w:r w:rsidRPr="00C37C4D">
        <w:t xml:space="preserve"> </w:t>
      </w:r>
      <w:r w:rsidR="002F58CD">
        <w:t xml:space="preserve">if </w:t>
      </w:r>
      <w:r w:rsidRPr="00C37C4D">
        <w:t xml:space="preserve">their </w:t>
      </w:r>
      <w:r>
        <w:t xml:space="preserve">organisations were previously involved </w:t>
      </w:r>
      <w:r w:rsidRPr="00C37C4D">
        <w:t xml:space="preserve">in mediation. </w:t>
      </w:r>
      <w:r>
        <w:t xml:space="preserve">The aim was to compare the use of mediation and that of adjudication. </w:t>
      </w:r>
      <w:r w:rsidR="00423534">
        <w:t xml:space="preserve">Results into </w:t>
      </w:r>
      <w:r w:rsidR="002F58CD">
        <w:t xml:space="preserve">the </w:t>
      </w:r>
      <w:r w:rsidR="00423534">
        <w:t xml:space="preserve">use of mediation is presented in table 3. </w:t>
      </w:r>
    </w:p>
    <w:p w:rsidR="00423534" w:rsidRDefault="00423534" w:rsidP="0020458A">
      <w:pPr>
        <w:jc w:val="both"/>
        <w:rPr>
          <w:rFonts w:cs="Arial"/>
        </w:rPr>
      </w:pPr>
    </w:p>
    <w:p w:rsidR="009A23E7" w:rsidRDefault="00423534" w:rsidP="0020458A">
      <w:pPr>
        <w:jc w:val="both"/>
      </w:pPr>
      <w:r>
        <w:t xml:space="preserve">As table 3 shows, </w:t>
      </w:r>
      <w:r w:rsidR="00550A68">
        <w:t>13</w:t>
      </w:r>
      <w:r>
        <w:t xml:space="preserve">% of </w:t>
      </w:r>
      <w:r w:rsidR="00813671">
        <w:t xml:space="preserve">principal </w:t>
      </w:r>
      <w:r w:rsidR="00E125D9">
        <w:t>contractors,</w:t>
      </w:r>
      <w:r w:rsidR="00A95238">
        <w:t xml:space="preserve"> 48% of consultants and 23% of clients</w:t>
      </w:r>
      <w:r>
        <w:t xml:space="preserve"> had </w:t>
      </w:r>
      <w:r w:rsidR="00A95238">
        <w:t>previously used mediation. Among subcontractors</w:t>
      </w:r>
      <w:r w:rsidR="00550A68">
        <w:t>, specialist and suppliers</w:t>
      </w:r>
      <w:r w:rsidR="00A95238">
        <w:t xml:space="preserve"> the use of mediation was as low as </w:t>
      </w:r>
      <w:r w:rsidR="00550A68">
        <w:t>9</w:t>
      </w:r>
      <w:r w:rsidR="00A95238">
        <w:t>%.</w:t>
      </w:r>
      <w:r w:rsidR="00291C7E">
        <w:t xml:space="preserve"> In terms of awareness of mediation</w:t>
      </w:r>
      <w:r w:rsidR="00465217">
        <w:t xml:space="preserve"> most</w:t>
      </w:r>
      <w:r w:rsidR="00291C7E">
        <w:t xml:space="preserve"> contractors (including </w:t>
      </w:r>
      <w:r w:rsidR="00813671">
        <w:t xml:space="preserve">principal </w:t>
      </w:r>
      <w:r w:rsidR="00291C7E">
        <w:t xml:space="preserve">contractors, main contractors and their subcontractors) said they were aware of mediation. </w:t>
      </w:r>
    </w:p>
    <w:p w:rsidR="009A23E7" w:rsidRDefault="009A23E7" w:rsidP="0020458A">
      <w:pPr>
        <w:jc w:val="both"/>
        <w:rPr>
          <w:rFonts w:cs="Arial"/>
        </w:rPr>
      </w:pPr>
    </w:p>
    <w:p w:rsidR="009A23E7" w:rsidRPr="00B33CA8" w:rsidRDefault="009A23E7" w:rsidP="0020458A">
      <w:pPr>
        <w:pStyle w:val="Caption"/>
        <w:keepNext/>
        <w:jc w:val="both"/>
        <w:rPr>
          <w:rFonts w:cs="Arial"/>
          <w:sz w:val="22"/>
          <w:szCs w:val="22"/>
        </w:rPr>
      </w:pPr>
      <w:r w:rsidRPr="00B33CA8">
        <w:rPr>
          <w:rFonts w:cs="Arial"/>
          <w:b w:val="0"/>
          <w:sz w:val="22"/>
          <w:szCs w:val="22"/>
        </w:rPr>
        <w:t xml:space="preserve">Table </w:t>
      </w:r>
      <w:r w:rsidRPr="00B33CA8">
        <w:rPr>
          <w:rFonts w:cs="Arial"/>
          <w:b w:val="0"/>
          <w:sz w:val="22"/>
          <w:szCs w:val="22"/>
        </w:rPr>
        <w:fldChar w:fldCharType="begin"/>
      </w:r>
      <w:r w:rsidRPr="00B33CA8">
        <w:rPr>
          <w:rFonts w:cs="Arial"/>
          <w:b w:val="0"/>
          <w:sz w:val="22"/>
          <w:szCs w:val="22"/>
        </w:rPr>
        <w:instrText xml:space="preserve"> SEQ Table \* ARABIC </w:instrText>
      </w:r>
      <w:r w:rsidRPr="00B33CA8">
        <w:rPr>
          <w:rFonts w:cs="Arial"/>
          <w:b w:val="0"/>
          <w:sz w:val="22"/>
          <w:szCs w:val="22"/>
        </w:rPr>
        <w:fldChar w:fldCharType="separate"/>
      </w:r>
      <w:r w:rsidR="00170FC6">
        <w:rPr>
          <w:rFonts w:cs="Arial"/>
          <w:b w:val="0"/>
          <w:noProof/>
          <w:sz w:val="22"/>
          <w:szCs w:val="22"/>
        </w:rPr>
        <w:t>3</w:t>
      </w:r>
      <w:r w:rsidRPr="00B33CA8">
        <w:rPr>
          <w:rFonts w:cs="Arial"/>
          <w:b w:val="0"/>
          <w:sz w:val="22"/>
          <w:szCs w:val="22"/>
        </w:rPr>
        <w:fldChar w:fldCharType="end"/>
      </w:r>
      <w:r w:rsidRPr="00B33CA8">
        <w:rPr>
          <w:rFonts w:cs="Arial"/>
          <w:b w:val="0"/>
          <w:sz w:val="22"/>
          <w:szCs w:val="22"/>
        </w:rPr>
        <w:t xml:space="preserve">: breakdown of previous use of mediation by </w:t>
      </w:r>
    </w:p>
    <w:tbl>
      <w:tblPr>
        <w:tblW w:w="12508" w:type="dxa"/>
        <w:tblInd w:w="93" w:type="dxa"/>
        <w:tblBorders>
          <w:top w:val="single" w:sz="4" w:space="0" w:color="auto"/>
          <w:bottom w:val="single" w:sz="4" w:space="0" w:color="auto"/>
        </w:tblBorders>
        <w:tblLook w:val="04A0" w:firstRow="1" w:lastRow="0" w:firstColumn="1" w:lastColumn="0" w:noHBand="0" w:noVBand="1"/>
      </w:tblPr>
      <w:tblGrid>
        <w:gridCol w:w="4508"/>
        <w:gridCol w:w="1899"/>
        <w:gridCol w:w="2081"/>
        <w:gridCol w:w="1340"/>
        <w:gridCol w:w="1480"/>
        <w:gridCol w:w="1200"/>
      </w:tblGrid>
      <w:tr w:rsidR="0059120F" w:rsidRPr="0059120F" w:rsidTr="0020458A">
        <w:trPr>
          <w:trHeight w:val="315"/>
        </w:trPr>
        <w:tc>
          <w:tcPr>
            <w:tcW w:w="4508" w:type="dxa"/>
            <w:vMerge w:val="restart"/>
            <w:shd w:val="clear" w:color="auto" w:fill="auto"/>
            <w:noWrap/>
            <w:vAlign w:val="bottom"/>
            <w:hideMark/>
          </w:tcPr>
          <w:p w:rsidR="0059120F" w:rsidRPr="0059120F" w:rsidRDefault="00D32D2F" w:rsidP="00895723">
            <w:pPr>
              <w:spacing w:line="240" w:lineRule="auto"/>
              <w:contextualSpacing/>
              <w:jc w:val="both"/>
              <w:rPr>
                <w:rFonts w:cs="Arial"/>
                <w:b/>
                <w:bCs/>
                <w:color w:val="000000"/>
                <w:szCs w:val="22"/>
              </w:rPr>
            </w:pPr>
            <w:r>
              <w:rPr>
                <w:rFonts w:cs="Arial"/>
                <w:b/>
                <w:bCs/>
                <w:color w:val="000000"/>
                <w:szCs w:val="22"/>
              </w:rPr>
              <w:t>Stakeholder groups</w:t>
            </w:r>
          </w:p>
        </w:tc>
        <w:tc>
          <w:tcPr>
            <w:tcW w:w="3980" w:type="dxa"/>
            <w:gridSpan w:val="2"/>
            <w:tcBorders>
              <w:bottom w:val="single" w:sz="4" w:space="0" w:color="auto"/>
            </w:tcBorders>
            <w:shd w:val="clear" w:color="auto" w:fill="auto"/>
            <w:noWrap/>
            <w:vAlign w:val="bottom"/>
            <w:hideMark/>
          </w:tcPr>
          <w:p w:rsidR="0059120F" w:rsidRPr="0059120F" w:rsidRDefault="0059120F" w:rsidP="00895723">
            <w:pPr>
              <w:spacing w:line="240" w:lineRule="auto"/>
              <w:contextualSpacing/>
              <w:jc w:val="both"/>
              <w:rPr>
                <w:rFonts w:cs="Arial"/>
                <w:color w:val="000000"/>
                <w:szCs w:val="22"/>
              </w:rPr>
            </w:pPr>
            <w:r w:rsidRPr="0059120F">
              <w:rPr>
                <w:rFonts w:cs="Arial"/>
                <w:color w:val="000000"/>
                <w:szCs w:val="22"/>
              </w:rPr>
              <w:t>Previous involvement with mediation</w:t>
            </w:r>
          </w:p>
        </w:tc>
        <w:tc>
          <w:tcPr>
            <w:tcW w:w="1340" w:type="dxa"/>
            <w:tcBorders>
              <w:bottom w:val="single" w:sz="4" w:space="0" w:color="auto"/>
            </w:tcBorders>
            <w:shd w:val="clear" w:color="auto" w:fill="auto"/>
            <w:noWrap/>
            <w:vAlign w:val="bottom"/>
            <w:hideMark/>
          </w:tcPr>
          <w:p w:rsidR="0059120F" w:rsidRPr="0059120F" w:rsidRDefault="0059120F" w:rsidP="00895723">
            <w:pPr>
              <w:spacing w:line="240" w:lineRule="auto"/>
              <w:contextualSpacing/>
              <w:jc w:val="both"/>
              <w:rPr>
                <w:rFonts w:cs="Arial"/>
                <w:color w:val="000000"/>
                <w:szCs w:val="22"/>
              </w:rPr>
            </w:pPr>
            <w:r w:rsidRPr="0059120F">
              <w:rPr>
                <w:rFonts w:cs="Arial"/>
                <w:color w:val="000000"/>
                <w:szCs w:val="22"/>
              </w:rPr>
              <w:t> </w:t>
            </w:r>
          </w:p>
        </w:tc>
        <w:tc>
          <w:tcPr>
            <w:tcW w:w="1480" w:type="dxa"/>
            <w:tcBorders>
              <w:bottom w:val="single" w:sz="4" w:space="0" w:color="auto"/>
            </w:tcBorders>
            <w:shd w:val="clear" w:color="auto" w:fill="auto"/>
            <w:noWrap/>
            <w:vAlign w:val="bottom"/>
            <w:hideMark/>
          </w:tcPr>
          <w:p w:rsidR="0059120F" w:rsidRPr="0059120F" w:rsidRDefault="0059120F" w:rsidP="00895723">
            <w:pPr>
              <w:spacing w:line="240" w:lineRule="auto"/>
              <w:contextualSpacing/>
              <w:jc w:val="both"/>
              <w:rPr>
                <w:rFonts w:cs="Arial"/>
                <w:color w:val="000000"/>
                <w:szCs w:val="22"/>
              </w:rPr>
            </w:pPr>
            <w:r w:rsidRPr="0059120F">
              <w:rPr>
                <w:rFonts w:cs="Arial"/>
                <w:color w:val="000000"/>
                <w:szCs w:val="22"/>
              </w:rPr>
              <w:t> </w:t>
            </w:r>
          </w:p>
        </w:tc>
        <w:tc>
          <w:tcPr>
            <w:tcW w:w="1200" w:type="dxa"/>
            <w:shd w:val="clear" w:color="auto" w:fill="auto"/>
            <w:noWrap/>
            <w:vAlign w:val="bottom"/>
            <w:hideMark/>
          </w:tcPr>
          <w:p w:rsidR="0059120F" w:rsidRPr="0059120F" w:rsidRDefault="0059120F" w:rsidP="00895723">
            <w:pPr>
              <w:spacing w:line="240" w:lineRule="auto"/>
              <w:contextualSpacing/>
              <w:jc w:val="both"/>
              <w:rPr>
                <w:rFonts w:cs="Arial"/>
                <w:color w:val="000000"/>
                <w:szCs w:val="22"/>
              </w:rPr>
            </w:pPr>
            <w:r w:rsidRPr="0059120F">
              <w:rPr>
                <w:rFonts w:cs="Arial"/>
                <w:color w:val="000000"/>
                <w:szCs w:val="22"/>
              </w:rPr>
              <w:t> </w:t>
            </w:r>
          </w:p>
        </w:tc>
      </w:tr>
      <w:tr w:rsidR="0059120F" w:rsidRPr="0059120F" w:rsidTr="00895723">
        <w:trPr>
          <w:trHeight w:val="300"/>
        </w:trPr>
        <w:tc>
          <w:tcPr>
            <w:tcW w:w="4508" w:type="dxa"/>
            <w:vMerge/>
            <w:tcBorders>
              <w:bottom w:val="single" w:sz="4" w:space="0" w:color="auto"/>
            </w:tcBorders>
            <w:vAlign w:val="center"/>
            <w:hideMark/>
          </w:tcPr>
          <w:p w:rsidR="0059120F" w:rsidRPr="00B33CA8" w:rsidRDefault="0059120F" w:rsidP="00895723">
            <w:pPr>
              <w:spacing w:line="240" w:lineRule="auto"/>
              <w:contextualSpacing/>
              <w:jc w:val="both"/>
              <w:rPr>
                <w:rFonts w:cs="Arial"/>
                <w:b/>
                <w:bCs/>
                <w:color w:val="000000"/>
                <w:szCs w:val="22"/>
              </w:rPr>
            </w:pPr>
          </w:p>
        </w:tc>
        <w:tc>
          <w:tcPr>
            <w:tcW w:w="1899" w:type="dxa"/>
            <w:tcBorders>
              <w:top w:val="single" w:sz="4" w:space="0" w:color="auto"/>
              <w:bottom w:val="single" w:sz="4" w:space="0" w:color="auto"/>
            </w:tcBorders>
            <w:shd w:val="clear" w:color="auto" w:fill="auto"/>
            <w:noWrap/>
            <w:vAlign w:val="bottom"/>
            <w:hideMark/>
          </w:tcPr>
          <w:p w:rsidR="0059120F" w:rsidRPr="00B33CA8" w:rsidRDefault="0059120F" w:rsidP="00895723">
            <w:pPr>
              <w:spacing w:line="240" w:lineRule="auto"/>
              <w:contextualSpacing/>
              <w:jc w:val="both"/>
              <w:rPr>
                <w:rFonts w:cs="Arial"/>
                <w:color w:val="000000"/>
                <w:szCs w:val="22"/>
              </w:rPr>
            </w:pPr>
            <w:r w:rsidRPr="00B33CA8">
              <w:rPr>
                <w:rFonts w:cs="Arial"/>
                <w:color w:val="000000"/>
                <w:szCs w:val="22"/>
              </w:rPr>
              <w:t xml:space="preserve">Yes </w:t>
            </w:r>
          </w:p>
        </w:tc>
        <w:tc>
          <w:tcPr>
            <w:tcW w:w="2081" w:type="dxa"/>
            <w:tcBorders>
              <w:top w:val="single" w:sz="4" w:space="0" w:color="auto"/>
              <w:bottom w:val="single" w:sz="4" w:space="0" w:color="auto"/>
            </w:tcBorders>
            <w:shd w:val="clear" w:color="auto" w:fill="auto"/>
            <w:noWrap/>
            <w:vAlign w:val="bottom"/>
            <w:hideMark/>
          </w:tcPr>
          <w:p w:rsidR="0059120F" w:rsidRPr="00B33CA8" w:rsidRDefault="0059120F" w:rsidP="00895723">
            <w:pPr>
              <w:spacing w:line="240" w:lineRule="auto"/>
              <w:contextualSpacing/>
              <w:jc w:val="both"/>
              <w:rPr>
                <w:rFonts w:cs="Arial"/>
                <w:color w:val="000000"/>
                <w:szCs w:val="22"/>
              </w:rPr>
            </w:pPr>
            <w:r w:rsidRPr="00B33CA8">
              <w:rPr>
                <w:rFonts w:cs="Arial"/>
                <w:color w:val="000000"/>
                <w:szCs w:val="22"/>
              </w:rPr>
              <w:t xml:space="preserve">No </w:t>
            </w:r>
          </w:p>
        </w:tc>
        <w:tc>
          <w:tcPr>
            <w:tcW w:w="1340" w:type="dxa"/>
            <w:tcBorders>
              <w:top w:val="single" w:sz="4" w:space="0" w:color="auto"/>
              <w:bottom w:val="single" w:sz="4" w:space="0" w:color="auto"/>
            </w:tcBorders>
            <w:shd w:val="clear" w:color="auto" w:fill="auto"/>
            <w:noWrap/>
            <w:vAlign w:val="bottom"/>
            <w:hideMark/>
          </w:tcPr>
          <w:p w:rsidR="0059120F" w:rsidRPr="00B33CA8" w:rsidRDefault="0059120F" w:rsidP="00895723">
            <w:pPr>
              <w:spacing w:line="240" w:lineRule="auto"/>
              <w:contextualSpacing/>
              <w:jc w:val="both"/>
              <w:rPr>
                <w:rFonts w:cs="Arial"/>
                <w:color w:val="000000"/>
                <w:szCs w:val="22"/>
              </w:rPr>
            </w:pPr>
            <w:r w:rsidRPr="00B33CA8">
              <w:rPr>
                <w:rFonts w:cs="Arial"/>
                <w:color w:val="000000"/>
                <w:szCs w:val="22"/>
              </w:rPr>
              <w:t>Don't know</w:t>
            </w:r>
          </w:p>
        </w:tc>
        <w:tc>
          <w:tcPr>
            <w:tcW w:w="1480" w:type="dxa"/>
            <w:tcBorders>
              <w:top w:val="single" w:sz="4" w:space="0" w:color="auto"/>
              <w:bottom w:val="single" w:sz="4" w:space="0" w:color="auto"/>
            </w:tcBorders>
            <w:shd w:val="clear" w:color="auto" w:fill="auto"/>
            <w:noWrap/>
            <w:vAlign w:val="center"/>
            <w:hideMark/>
          </w:tcPr>
          <w:p w:rsidR="0059120F" w:rsidRPr="0059120F" w:rsidRDefault="0059120F" w:rsidP="00895723">
            <w:pPr>
              <w:spacing w:line="240" w:lineRule="auto"/>
              <w:contextualSpacing/>
              <w:jc w:val="both"/>
              <w:rPr>
                <w:rFonts w:cs="Arial"/>
                <w:color w:val="000000"/>
                <w:szCs w:val="22"/>
              </w:rPr>
            </w:pPr>
            <w:r w:rsidRPr="0059120F">
              <w:rPr>
                <w:rFonts w:cs="Arial"/>
                <w:color w:val="000000"/>
                <w:szCs w:val="22"/>
              </w:rPr>
              <w:t>total</w:t>
            </w:r>
          </w:p>
        </w:tc>
        <w:tc>
          <w:tcPr>
            <w:tcW w:w="1200" w:type="dxa"/>
            <w:tcBorders>
              <w:bottom w:val="single" w:sz="4" w:space="0" w:color="auto"/>
            </w:tcBorders>
            <w:shd w:val="clear" w:color="auto" w:fill="auto"/>
            <w:vAlign w:val="center"/>
            <w:hideMark/>
          </w:tcPr>
          <w:p w:rsidR="0059120F" w:rsidRPr="0083185C" w:rsidRDefault="0059120F" w:rsidP="00895723">
            <w:pPr>
              <w:spacing w:line="240" w:lineRule="auto"/>
              <w:contextualSpacing/>
              <w:jc w:val="both"/>
              <w:rPr>
                <w:rFonts w:cs="Arial"/>
                <w:color w:val="000000"/>
                <w:szCs w:val="22"/>
              </w:rPr>
            </w:pPr>
            <w:r w:rsidRPr="0059120F">
              <w:rPr>
                <w:rFonts w:cs="Arial"/>
                <w:color w:val="000000"/>
                <w:szCs w:val="22"/>
              </w:rPr>
              <w:t xml:space="preserve">% </w:t>
            </w:r>
            <w:r w:rsidRPr="00550A68">
              <w:rPr>
                <w:rFonts w:cs="Arial"/>
                <w:color w:val="000000"/>
                <w:szCs w:val="22"/>
              </w:rPr>
              <w:t>previous use</w:t>
            </w:r>
          </w:p>
        </w:tc>
      </w:tr>
      <w:tr w:rsidR="0059120F" w:rsidRPr="0059120F" w:rsidTr="0020458A">
        <w:trPr>
          <w:trHeight w:val="300"/>
        </w:trPr>
        <w:tc>
          <w:tcPr>
            <w:tcW w:w="4508" w:type="dxa"/>
            <w:tcBorders>
              <w:top w:val="single" w:sz="4" w:space="0" w:color="auto"/>
              <w:bottom w:val="nil"/>
            </w:tcBorders>
            <w:shd w:val="clear" w:color="auto" w:fill="auto"/>
            <w:noWrap/>
            <w:vAlign w:val="bottom"/>
            <w:hideMark/>
          </w:tcPr>
          <w:p w:rsidR="0059120F" w:rsidRPr="0059120F" w:rsidRDefault="0059120F" w:rsidP="00895723">
            <w:pPr>
              <w:spacing w:line="240" w:lineRule="auto"/>
              <w:contextualSpacing/>
              <w:jc w:val="both"/>
              <w:rPr>
                <w:rFonts w:cs="Arial"/>
                <w:color w:val="000000"/>
                <w:szCs w:val="22"/>
              </w:rPr>
            </w:pPr>
            <w:r w:rsidRPr="0059120F">
              <w:rPr>
                <w:rFonts w:cs="Arial"/>
                <w:color w:val="000000"/>
                <w:szCs w:val="22"/>
              </w:rPr>
              <w:t>Client including local Authorities</w:t>
            </w:r>
          </w:p>
        </w:tc>
        <w:tc>
          <w:tcPr>
            <w:tcW w:w="1899" w:type="dxa"/>
            <w:tcBorders>
              <w:top w:val="single" w:sz="4" w:space="0" w:color="auto"/>
              <w:bottom w:val="nil"/>
            </w:tcBorders>
            <w:shd w:val="clear" w:color="000000" w:fill="B8CCE4"/>
            <w:noWrap/>
            <w:vAlign w:val="bottom"/>
            <w:hideMark/>
          </w:tcPr>
          <w:p w:rsidR="0059120F" w:rsidRPr="0059120F" w:rsidRDefault="0059120F" w:rsidP="00895723">
            <w:pPr>
              <w:spacing w:line="240" w:lineRule="auto"/>
              <w:contextualSpacing/>
              <w:jc w:val="both"/>
              <w:rPr>
                <w:rFonts w:cs="Arial"/>
                <w:color w:val="000000"/>
                <w:szCs w:val="22"/>
              </w:rPr>
            </w:pPr>
            <w:r w:rsidRPr="0059120F">
              <w:rPr>
                <w:rFonts w:cs="Arial"/>
                <w:color w:val="000000"/>
                <w:szCs w:val="22"/>
              </w:rPr>
              <w:t>7</w:t>
            </w:r>
          </w:p>
        </w:tc>
        <w:tc>
          <w:tcPr>
            <w:tcW w:w="2081" w:type="dxa"/>
            <w:tcBorders>
              <w:top w:val="single" w:sz="4" w:space="0" w:color="auto"/>
              <w:bottom w:val="nil"/>
            </w:tcBorders>
            <w:shd w:val="clear" w:color="000000" w:fill="B8CCE4"/>
            <w:noWrap/>
            <w:vAlign w:val="bottom"/>
            <w:hideMark/>
          </w:tcPr>
          <w:p w:rsidR="0059120F" w:rsidRPr="0059120F" w:rsidRDefault="0059120F" w:rsidP="00895723">
            <w:pPr>
              <w:spacing w:line="240" w:lineRule="auto"/>
              <w:contextualSpacing/>
              <w:jc w:val="both"/>
              <w:rPr>
                <w:rFonts w:cs="Arial"/>
                <w:color w:val="000000"/>
                <w:szCs w:val="22"/>
              </w:rPr>
            </w:pPr>
            <w:r w:rsidRPr="0059120F">
              <w:rPr>
                <w:rFonts w:cs="Arial"/>
                <w:color w:val="000000"/>
                <w:szCs w:val="22"/>
              </w:rPr>
              <w:t>18</w:t>
            </w:r>
          </w:p>
        </w:tc>
        <w:tc>
          <w:tcPr>
            <w:tcW w:w="1340" w:type="dxa"/>
            <w:tcBorders>
              <w:top w:val="single" w:sz="4" w:space="0" w:color="auto"/>
              <w:bottom w:val="nil"/>
            </w:tcBorders>
            <w:shd w:val="clear" w:color="000000" w:fill="B8CCE4"/>
            <w:noWrap/>
            <w:vAlign w:val="bottom"/>
            <w:hideMark/>
          </w:tcPr>
          <w:p w:rsidR="0059120F" w:rsidRPr="0059120F" w:rsidRDefault="0059120F" w:rsidP="00895723">
            <w:pPr>
              <w:spacing w:line="240" w:lineRule="auto"/>
              <w:contextualSpacing/>
              <w:jc w:val="both"/>
              <w:rPr>
                <w:rFonts w:cs="Arial"/>
                <w:color w:val="000000"/>
                <w:szCs w:val="22"/>
              </w:rPr>
            </w:pPr>
            <w:r w:rsidRPr="0059120F">
              <w:rPr>
                <w:rFonts w:cs="Arial"/>
                <w:color w:val="000000"/>
                <w:szCs w:val="22"/>
              </w:rPr>
              <w:t>3</w:t>
            </w:r>
          </w:p>
        </w:tc>
        <w:tc>
          <w:tcPr>
            <w:tcW w:w="1480" w:type="dxa"/>
            <w:tcBorders>
              <w:top w:val="single" w:sz="4" w:space="0" w:color="auto"/>
              <w:bottom w:val="nil"/>
            </w:tcBorders>
            <w:shd w:val="clear" w:color="000000" w:fill="B8CCE4"/>
            <w:noWrap/>
            <w:vAlign w:val="bottom"/>
            <w:hideMark/>
          </w:tcPr>
          <w:p w:rsidR="0059120F" w:rsidRPr="0059120F" w:rsidRDefault="0059120F" w:rsidP="00895723">
            <w:pPr>
              <w:spacing w:line="240" w:lineRule="auto"/>
              <w:contextualSpacing/>
              <w:jc w:val="both"/>
              <w:rPr>
                <w:rFonts w:cs="Arial"/>
                <w:color w:val="000000"/>
                <w:szCs w:val="22"/>
              </w:rPr>
            </w:pPr>
            <w:r w:rsidRPr="0059120F">
              <w:rPr>
                <w:rFonts w:cs="Arial"/>
                <w:color w:val="000000"/>
                <w:szCs w:val="22"/>
              </w:rPr>
              <w:t>28</w:t>
            </w:r>
          </w:p>
        </w:tc>
        <w:tc>
          <w:tcPr>
            <w:tcW w:w="1200" w:type="dxa"/>
            <w:tcBorders>
              <w:top w:val="single" w:sz="4" w:space="0" w:color="auto"/>
              <w:bottom w:val="nil"/>
            </w:tcBorders>
            <w:shd w:val="clear" w:color="000000" w:fill="B8CCE4"/>
            <w:noWrap/>
            <w:vAlign w:val="bottom"/>
            <w:hideMark/>
          </w:tcPr>
          <w:p w:rsidR="0059120F" w:rsidRPr="0059120F" w:rsidRDefault="0059120F" w:rsidP="00895723">
            <w:pPr>
              <w:spacing w:line="240" w:lineRule="auto"/>
              <w:contextualSpacing/>
              <w:jc w:val="both"/>
              <w:rPr>
                <w:rFonts w:cs="Arial"/>
                <w:color w:val="000000"/>
                <w:szCs w:val="22"/>
              </w:rPr>
            </w:pPr>
            <w:r w:rsidRPr="0059120F">
              <w:rPr>
                <w:rFonts w:cs="Arial"/>
                <w:color w:val="000000"/>
                <w:szCs w:val="22"/>
              </w:rPr>
              <w:t>25</w:t>
            </w:r>
          </w:p>
        </w:tc>
      </w:tr>
      <w:tr w:rsidR="0059120F" w:rsidRPr="0059120F" w:rsidTr="0020458A">
        <w:trPr>
          <w:trHeight w:val="300"/>
        </w:trPr>
        <w:tc>
          <w:tcPr>
            <w:tcW w:w="4508" w:type="dxa"/>
            <w:tcBorders>
              <w:top w:val="nil"/>
            </w:tcBorders>
            <w:shd w:val="clear" w:color="auto" w:fill="auto"/>
            <w:noWrap/>
            <w:vAlign w:val="bottom"/>
            <w:hideMark/>
          </w:tcPr>
          <w:p w:rsidR="0059120F" w:rsidRPr="0059120F" w:rsidRDefault="0059120F" w:rsidP="00895723">
            <w:pPr>
              <w:spacing w:line="240" w:lineRule="auto"/>
              <w:contextualSpacing/>
              <w:jc w:val="both"/>
              <w:rPr>
                <w:rFonts w:cs="Arial"/>
                <w:color w:val="000000"/>
                <w:szCs w:val="22"/>
              </w:rPr>
            </w:pPr>
            <w:r w:rsidRPr="0059120F">
              <w:rPr>
                <w:rFonts w:cs="Arial"/>
                <w:color w:val="000000"/>
                <w:szCs w:val="22"/>
              </w:rPr>
              <w:t>Consultants</w:t>
            </w:r>
          </w:p>
        </w:tc>
        <w:tc>
          <w:tcPr>
            <w:tcW w:w="1899" w:type="dxa"/>
            <w:tcBorders>
              <w:top w:val="nil"/>
            </w:tcBorders>
            <w:shd w:val="clear" w:color="000000" w:fill="B8CCE4"/>
            <w:noWrap/>
            <w:vAlign w:val="bottom"/>
            <w:hideMark/>
          </w:tcPr>
          <w:p w:rsidR="0059120F" w:rsidRPr="0059120F" w:rsidRDefault="0059120F" w:rsidP="00895723">
            <w:pPr>
              <w:spacing w:line="240" w:lineRule="auto"/>
              <w:contextualSpacing/>
              <w:jc w:val="both"/>
              <w:rPr>
                <w:rFonts w:cs="Arial"/>
                <w:color w:val="000000"/>
                <w:szCs w:val="22"/>
              </w:rPr>
            </w:pPr>
            <w:r w:rsidRPr="0059120F">
              <w:rPr>
                <w:rFonts w:cs="Arial"/>
                <w:color w:val="000000"/>
                <w:szCs w:val="22"/>
              </w:rPr>
              <w:t>13</w:t>
            </w:r>
          </w:p>
        </w:tc>
        <w:tc>
          <w:tcPr>
            <w:tcW w:w="2081" w:type="dxa"/>
            <w:tcBorders>
              <w:top w:val="nil"/>
            </w:tcBorders>
            <w:shd w:val="clear" w:color="000000" w:fill="B8CCE4"/>
            <w:noWrap/>
            <w:vAlign w:val="bottom"/>
            <w:hideMark/>
          </w:tcPr>
          <w:p w:rsidR="0059120F" w:rsidRPr="0059120F" w:rsidRDefault="0059120F" w:rsidP="00895723">
            <w:pPr>
              <w:spacing w:line="240" w:lineRule="auto"/>
              <w:contextualSpacing/>
              <w:jc w:val="both"/>
              <w:rPr>
                <w:rFonts w:cs="Arial"/>
                <w:color w:val="000000"/>
                <w:szCs w:val="22"/>
              </w:rPr>
            </w:pPr>
            <w:r w:rsidRPr="0059120F">
              <w:rPr>
                <w:rFonts w:cs="Arial"/>
                <w:color w:val="000000"/>
                <w:szCs w:val="22"/>
              </w:rPr>
              <w:t>14</w:t>
            </w:r>
          </w:p>
        </w:tc>
        <w:tc>
          <w:tcPr>
            <w:tcW w:w="1340" w:type="dxa"/>
            <w:tcBorders>
              <w:top w:val="nil"/>
            </w:tcBorders>
            <w:shd w:val="clear" w:color="000000" w:fill="B8CCE4"/>
            <w:noWrap/>
            <w:vAlign w:val="bottom"/>
            <w:hideMark/>
          </w:tcPr>
          <w:p w:rsidR="0059120F" w:rsidRPr="0059120F" w:rsidRDefault="0059120F" w:rsidP="00895723">
            <w:pPr>
              <w:spacing w:line="240" w:lineRule="auto"/>
              <w:contextualSpacing/>
              <w:jc w:val="both"/>
              <w:rPr>
                <w:rFonts w:cs="Arial"/>
                <w:color w:val="000000"/>
                <w:szCs w:val="22"/>
              </w:rPr>
            </w:pPr>
            <w:r w:rsidRPr="0059120F">
              <w:rPr>
                <w:rFonts w:cs="Arial"/>
                <w:color w:val="000000"/>
                <w:szCs w:val="22"/>
              </w:rPr>
              <w:t>0</w:t>
            </w:r>
          </w:p>
        </w:tc>
        <w:tc>
          <w:tcPr>
            <w:tcW w:w="1480" w:type="dxa"/>
            <w:tcBorders>
              <w:top w:val="nil"/>
            </w:tcBorders>
            <w:shd w:val="clear" w:color="000000" w:fill="B8CCE4"/>
            <w:noWrap/>
            <w:vAlign w:val="bottom"/>
            <w:hideMark/>
          </w:tcPr>
          <w:p w:rsidR="0059120F" w:rsidRPr="0059120F" w:rsidRDefault="0059120F" w:rsidP="00895723">
            <w:pPr>
              <w:spacing w:line="240" w:lineRule="auto"/>
              <w:contextualSpacing/>
              <w:jc w:val="both"/>
              <w:rPr>
                <w:rFonts w:cs="Arial"/>
                <w:color w:val="000000"/>
                <w:szCs w:val="22"/>
              </w:rPr>
            </w:pPr>
            <w:r w:rsidRPr="0059120F">
              <w:rPr>
                <w:rFonts w:cs="Arial"/>
                <w:color w:val="000000"/>
                <w:szCs w:val="22"/>
              </w:rPr>
              <w:t>27</w:t>
            </w:r>
          </w:p>
        </w:tc>
        <w:tc>
          <w:tcPr>
            <w:tcW w:w="1200" w:type="dxa"/>
            <w:tcBorders>
              <w:top w:val="nil"/>
            </w:tcBorders>
            <w:shd w:val="clear" w:color="000000" w:fill="B8CCE4"/>
            <w:noWrap/>
            <w:vAlign w:val="bottom"/>
            <w:hideMark/>
          </w:tcPr>
          <w:p w:rsidR="0059120F" w:rsidRPr="0059120F" w:rsidRDefault="0059120F" w:rsidP="00895723">
            <w:pPr>
              <w:spacing w:line="240" w:lineRule="auto"/>
              <w:contextualSpacing/>
              <w:jc w:val="both"/>
              <w:rPr>
                <w:rFonts w:cs="Arial"/>
                <w:color w:val="000000"/>
                <w:szCs w:val="22"/>
              </w:rPr>
            </w:pPr>
            <w:r w:rsidRPr="0059120F">
              <w:rPr>
                <w:rFonts w:cs="Arial"/>
                <w:color w:val="000000"/>
                <w:szCs w:val="22"/>
              </w:rPr>
              <w:t>48</w:t>
            </w:r>
          </w:p>
        </w:tc>
      </w:tr>
      <w:tr w:rsidR="0059120F" w:rsidRPr="0059120F" w:rsidTr="0020458A">
        <w:trPr>
          <w:trHeight w:val="300"/>
        </w:trPr>
        <w:tc>
          <w:tcPr>
            <w:tcW w:w="4508" w:type="dxa"/>
            <w:shd w:val="clear" w:color="auto" w:fill="auto"/>
            <w:noWrap/>
            <w:vAlign w:val="bottom"/>
            <w:hideMark/>
          </w:tcPr>
          <w:p w:rsidR="0059120F" w:rsidRPr="0059120F" w:rsidRDefault="0059120F" w:rsidP="00895723">
            <w:pPr>
              <w:spacing w:line="240" w:lineRule="auto"/>
              <w:contextualSpacing/>
              <w:jc w:val="both"/>
              <w:rPr>
                <w:rFonts w:cs="Arial"/>
                <w:color w:val="000000"/>
                <w:szCs w:val="22"/>
              </w:rPr>
            </w:pPr>
            <w:r w:rsidRPr="0059120F">
              <w:rPr>
                <w:rFonts w:cs="Arial"/>
                <w:color w:val="000000"/>
                <w:szCs w:val="22"/>
              </w:rPr>
              <w:t>Principle/Main contractors</w:t>
            </w:r>
          </w:p>
        </w:tc>
        <w:tc>
          <w:tcPr>
            <w:tcW w:w="1899" w:type="dxa"/>
            <w:shd w:val="clear" w:color="000000" w:fill="B8CCE4"/>
            <w:noWrap/>
            <w:vAlign w:val="bottom"/>
            <w:hideMark/>
          </w:tcPr>
          <w:p w:rsidR="0059120F" w:rsidRPr="0059120F" w:rsidRDefault="0059120F" w:rsidP="00895723">
            <w:pPr>
              <w:spacing w:line="240" w:lineRule="auto"/>
              <w:contextualSpacing/>
              <w:jc w:val="both"/>
              <w:rPr>
                <w:rFonts w:cs="Arial"/>
                <w:color w:val="000000"/>
                <w:szCs w:val="22"/>
              </w:rPr>
            </w:pPr>
            <w:r w:rsidRPr="0059120F">
              <w:rPr>
                <w:rFonts w:cs="Arial"/>
                <w:color w:val="000000"/>
                <w:szCs w:val="22"/>
              </w:rPr>
              <w:t>17</w:t>
            </w:r>
          </w:p>
        </w:tc>
        <w:tc>
          <w:tcPr>
            <w:tcW w:w="2081" w:type="dxa"/>
            <w:shd w:val="clear" w:color="000000" w:fill="B8CCE4"/>
            <w:noWrap/>
            <w:vAlign w:val="bottom"/>
            <w:hideMark/>
          </w:tcPr>
          <w:p w:rsidR="0059120F" w:rsidRPr="0059120F" w:rsidRDefault="0059120F" w:rsidP="00895723">
            <w:pPr>
              <w:spacing w:line="240" w:lineRule="auto"/>
              <w:contextualSpacing/>
              <w:jc w:val="both"/>
              <w:rPr>
                <w:rFonts w:cs="Arial"/>
                <w:color w:val="000000"/>
                <w:szCs w:val="22"/>
              </w:rPr>
            </w:pPr>
            <w:r w:rsidRPr="0059120F">
              <w:rPr>
                <w:rFonts w:cs="Arial"/>
                <w:color w:val="000000"/>
                <w:szCs w:val="22"/>
              </w:rPr>
              <w:t>110</w:t>
            </w:r>
          </w:p>
        </w:tc>
        <w:tc>
          <w:tcPr>
            <w:tcW w:w="1340" w:type="dxa"/>
            <w:shd w:val="clear" w:color="000000" w:fill="B8CCE4"/>
            <w:noWrap/>
            <w:vAlign w:val="bottom"/>
            <w:hideMark/>
          </w:tcPr>
          <w:p w:rsidR="0059120F" w:rsidRPr="0059120F" w:rsidRDefault="0059120F" w:rsidP="00895723">
            <w:pPr>
              <w:spacing w:line="240" w:lineRule="auto"/>
              <w:contextualSpacing/>
              <w:jc w:val="both"/>
              <w:rPr>
                <w:rFonts w:cs="Arial"/>
                <w:color w:val="000000"/>
                <w:szCs w:val="22"/>
              </w:rPr>
            </w:pPr>
            <w:r w:rsidRPr="0059120F">
              <w:rPr>
                <w:rFonts w:cs="Arial"/>
                <w:color w:val="000000"/>
                <w:szCs w:val="22"/>
              </w:rPr>
              <w:t>0</w:t>
            </w:r>
          </w:p>
        </w:tc>
        <w:tc>
          <w:tcPr>
            <w:tcW w:w="1480" w:type="dxa"/>
            <w:shd w:val="clear" w:color="000000" w:fill="B8CCE4"/>
            <w:noWrap/>
            <w:vAlign w:val="bottom"/>
            <w:hideMark/>
          </w:tcPr>
          <w:p w:rsidR="0059120F" w:rsidRPr="0059120F" w:rsidRDefault="0059120F" w:rsidP="00895723">
            <w:pPr>
              <w:spacing w:line="240" w:lineRule="auto"/>
              <w:contextualSpacing/>
              <w:jc w:val="both"/>
              <w:rPr>
                <w:rFonts w:cs="Arial"/>
                <w:color w:val="000000"/>
                <w:szCs w:val="22"/>
              </w:rPr>
            </w:pPr>
            <w:r w:rsidRPr="0059120F">
              <w:rPr>
                <w:rFonts w:cs="Arial"/>
                <w:color w:val="000000"/>
                <w:szCs w:val="22"/>
              </w:rPr>
              <w:t>127</w:t>
            </w:r>
          </w:p>
        </w:tc>
        <w:tc>
          <w:tcPr>
            <w:tcW w:w="1200" w:type="dxa"/>
            <w:shd w:val="clear" w:color="000000" w:fill="B8CCE4"/>
            <w:noWrap/>
            <w:vAlign w:val="bottom"/>
            <w:hideMark/>
          </w:tcPr>
          <w:p w:rsidR="0059120F" w:rsidRPr="0059120F" w:rsidRDefault="0059120F" w:rsidP="00895723">
            <w:pPr>
              <w:spacing w:line="240" w:lineRule="auto"/>
              <w:contextualSpacing/>
              <w:jc w:val="both"/>
              <w:rPr>
                <w:rFonts w:cs="Arial"/>
                <w:color w:val="000000"/>
                <w:szCs w:val="22"/>
              </w:rPr>
            </w:pPr>
            <w:r w:rsidRPr="0059120F">
              <w:rPr>
                <w:rFonts w:cs="Arial"/>
                <w:color w:val="000000"/>
                <w:szCs w:val="22"/>
              </w:rPr>
              <w:t>13</w:t>
            </w:r>
          </w:p>
        </w:tc>
      </w:tr>
      <w:tr w:rsidR="0059120F" w:rsidRPr="0059120F" w:rsidTr="00895723">
        <w:trPr>
          <w:trHeight w:val="315"/>
        </w:trPr>
        <w:tc>
          <w:tcPr>
            <w:tcW w:w="4508" w:type="dxa"/>
            <w:tcBorders>
              <w:bottom w:val="single" w:sz="4" w:space="0" w:color="auto"/>
            </w:tcBorders>
            <w:shd w:val="clear" w:color="auto" w:fill="auto"/>
            <w:noWrap/>
            <w:vAlign w:val="bottom"/>
            <w:hideMark/>
          </w:tcPr>
          <w:p w:rsidR="0059120F" w:rsidRPr="0059120F" w:rsidRDefault="0059120F" w:rsidP="00895723">
            <w:pPr>
              <w:spacing w:line="240" w:lineRule="auto"/>
              <w:contextualSpacing/>
              <w:jc w:val="both"/>
              <w:rPr>
                <w:rFonts w:cs="Arial"/>
                <w:color w:val="000000"/>
                <w:szCs w:val="22"/>
              </w:rPr>
            </w:pPr>
            <w:r w:rsidRPr="0059120F">
              <w:rPr>
                <w:rFonts w:cs="Arial"/>
                <w:color w:val="000000"/>
                <w:szCs w:val="22"/>
              </w:rPr>
              <w:t>Subcontractors/Specialists/Suppliers/Others</w:t>
            </w:r>
          </w:p>
        </w:tc>
        <w:tc>
          <w:tcPr>
            <w:tcW w:w="1899" w:type="dxa"/>
            <w:tcBorders>
              <w:bottom w:val="single" w:sz="4" w:space="0" w:color="auto"/>
            </w:tcBorders>
            <w:shd w:val="clear" w:color="000000" w:fill="B8CCE4"/>
            <w:noWrap/>
            <w:vAlign w:val="bottom"/>
            <w:hideMark/>
          </w:tcPr>
          <w:p w:rsidR="0059120F" w:rsidRPr="0059120F" w:rsidRDefault="0059120F" w:rsidP="00895723">
            <w:pPr>
              <w:spacing w:line="240" w:lineRule="auto"/>
              <w:contextualSpacing/>
              <w:jc w:val="both"/>
              <w:rPr>
                <w:rFonts w:cs="Arial"/>
                <w:color w:val="000000"/>
                <w:szCs w:val="22"/>
              </w:rPr>
            </w:pPr>
            <w:r w:rsidRPr="0059120F">
              <w:rPr>
                <w:rFonts w:cs="Arial"/>
                <w:color w:val="000000"/>
                <w:szCs w:val="22"/>
              </w:rPr>
              <w:t>15</w:t>
            </w:r>
          </w:p>
        </w:tc>
        <w:tc>
          <w:tcPr>
            <w:tcW w:w="2081" w:type="dxa"/>
            <w:tcBorders>
              <w:bottom w:val="single" w:sz="4" w:space="0" w:color="auto"/>
            </w:tcBorders>
            <w:shd w:val="clear" w:color="000000" w:fill="B8CCE4"/>
            <w:noWrap/>
            <w:vAlign w:val="bottom"/>
            <w:hideMark/>
          </w:tcPr>
          <w:p w:rsidR="0059120F" w:rsidRPr="0059120F" w:rsidRDefault="0059120F" w:rsidP="00895723">
            <w:pPr>
              <w:spacing w:line="240" w:lineRule="auto"/>
              <w:contextualSpacing/>
              <w:jc w:val="both"/>
              <w:rPr>
                <w:rFonts w:cs="Arial"/>
                <w:color w:val="000000"/>
                <w:szCs w:val="22"/>
              </w:rPr>
            </w:pPr>
            <w:r w:rsidRPr="0059120F">
              <w:rPr>
                <w:rFonts w:cs="Arial"/>
                <w:color w:val="000000"/>
                <w:szCs w:val="22"/>
              </w:rPr>
              <w:t>158</w:t>
            </w:r>
          </w:p>
        </w:tc>
        <w:tc>
          <w:tcPr>
            <w:tcW w:w="1340" w:type="dxa"/>
            <w:tcBorders>
              <w:bottom w:val="single" w:sz="4" w:space="0" w:color="auto"/>
            </w:tcBorders>
            <w:shd w:val="clear" w:color="000000" w:fill="B8CCE4"/>
            <w:noWrap/>
            <w:vAlign w:val="bottom"/>
            <w:hideMark/>
          </w:tcPr>
          <w:p w:rsidR="0059120F" w:rsidRPr="0059120F" w:rsidRDefault="0059120F" w:rsidP="00895723">
            <w:pPr>
              <w:spacing w:line="240" w:lineRule="auto"/>
              <w:contextualSpacing/>
              <w:jc w:val="both"/>
              <w:rPr>
                <w:rFonts w:cs="Arial"/>
                <w:color w:val="000000"/>
                <w:szCs w:val="22"/>
              </w:rPr>
            </w:pPr>
            <w:r w:rsidRPr="0059120F">
              <w:rPr>
                <w:rFonts w:cs="Arial"/>
                <w:color w:val="000000"/>
                <w:szCs w:val="22"/>
              </w:rPr>
              <w:t>2</w:t>
            </w:r>
          </w:p>
        </w:tc>
        <w:tc>
          <w:tcPr>
            <w:tcW w:w="1480" w:type="dxa"/>
            <w:tcBorders>
              <w:bottom w:val="single" w:sz="4" w:space="0" w:color="auto"/>
            </w:tcBorders>
            <w:shd w:val="clear" w:color="000000" w:fill="B8CCE4"/>
            <w:noWrap/>
            <w:vAlign w:val="bottom"/>
            <w:hideMark/>
          </w:tcPr>
          <w:p w:rsidR="0059120F" w:rsidRPr="0059120F" w:rsidRDefault="0059120F" w:rsidP="00895723">
            <w:pPr>
              <w:spacing w:line="240" w:lineRule="auto"/>
              <w:contextualSpacing/>
              <w:jc w:val="both"/>
              <w:rPr>
                <w:rFonts w:cs="Arial"/>
                <w:color w:val="000000"/>
                <w:szCs w:val="22"/>
              </w:rPr>
            </w:pPr>
            <w:r w:rsidRPr="0059120F">
              <w:rPr>
                <w:rFonts w:cs="Arial"/>
                <w:color w:val="000000"/>
                <w:szCs w:val="22"/>
              </w:rPr>
              <w:t>175</w:t>
            </w:r>
          </w:p>
        </w:tc>
        <w:tc>
          <w:tcPr>
            <w:tcW w:w="1200" w:type="dxa"/>
            <w:tcBorders>
              <w:bottom w:val="single" w:sz="4" w:space="0" w:color="auto"/>
            </w:tcBorders>
            <w:shd w:val="clear" w:color="000000" w:fill="B8CCE4"/>
            <w:noWrap/>
            <w:vAlign w:val="bottom"/>
            <w:hideMark/>
          </w:tcPr>
          <w:p w:rsidR="0059120F" w:rsidRPr="0059120F" w:rsidRDefault="0059120F" w:rsidP="00895723">
            <w:pPr>
              <w:spacing w:line="240" w:lineRule="auto"/>
              <w:contextualSpacing/>
              <w:jc w:val="both"/>
              <w:rPr>
                <w:rFonts w:cs="Arial"/>
                <w:color w:val="000000"/>
                <w:szCs w:val="22"/>
              </w:rPr>
            </w:pPr>
            <w:r w:rsidRPr="0059120F">
              <w:rPr>
                <w:rFonts w:cs="Arial"/>
                <w:color w:val="000000"/>
                <w:szCs w:val="22"/>
              </w:rPr>
              <w:t>9</w:t>
            </w:r>
          </w:p>
        </w:tc>
      </w:tr>
      <w:tr w:rsidR="0059120F" w:rsidRPr="00895723" w:rsidTr="00895723">
        <w:trPr>
          <w:trHeight w:val="315"/>
        </w:trPr>
        <w:tc>
          <w:tcPr>
            <w:tcW w:w="4508" w:type="dxa"/>
            <w:tcBorders>
              <w:top w:val="single" w:sz="4" w:space="0" w:color="auto"/>
              <w:bottom w:val="single" w:sz="4" w:space="0" w:color="auto"/>
            </w:tcBorders>
            <w:shd w:val="clear" w:color="auto" w:fill="auto"/>
            <w:noWrap/>
            <w:vAlign w:val="bottom"/>
            <w:hideMark/>
          </w:tcPr>
          <w:p w:rsidR="0059120F" w:rsidRPr="00895723" w:rsidRDefault="0059120F" w:rsidP="00895723">
            <w:pPr>
              <w:spacing w:line="240" w:lineRule="auto"/>
              <w:contextualSpacing/>
              <w:jc w:val="both"/>
              <w:rPr>
                <w:rFonts w:cs="Arial"/>
                <w:b/>
                <w:color w:val="000000"/>
                <w:szCs w:val="22"/>
              </w:rPr>
            </w:pPr>
            <w:r w:rsidRPr="00895723">
              <w:rPr>
                <w:rFonts w:cs="Arial"/>
                <w:b/>
                <w:color w:val="000000"/>
                <w:szCs w:val="22"/>
              </w:rPr>
              <w:t>Total</w:t>
            </w:r>
          </w:p>
        </w:tc>
        <w:tc>
          <w:tcPr>
            <w:tcW w:w="1899" w:type="dxa"/>
            <w:tcBorders>
              <w:top w:val="single" w:sz="4" w:space="0" w:color="auto"/>
              <w:bottom w:val="single" w:sz="4" w:space="0" w:color="auto"/>
            </w:tcBorders>
            <w:shd w:val="clear" w:color="auto" w:fill="auto"/>
            <w:noWrap/>
            <w:vAlign w:val="bottom"/>
            <w:hideMark/>
          </w:tcPr>
          <w:p w:rsidR="0059120F" w:rsidRPr="00895723" w:rsidRDefault="0059120F" w:rsidP="00895723">
            <w:pPr>
              <w:spacing w:line="240" w:lineRule="auto"/>
              <w:contextualSpacing/>
              <w:jc w:val="both"/>
              <w:rPr>
                <w:rFonts w:cs="Arial"/>
                <w:b/>
                <w:color w:val="000000"/>
                <w:szCs w:val="22"/>
              </w:rPr>
            </w:pPr>
            <w:r w:rsidRPr="00895723">
              <w:rPr>
                <w:rFonts w:cs="Arial"/>
                <w:b/>
                <w:color w:val="000000"/>
                <w:szCs w:val="22"/>
              </w:rPr>
              <w:t>52</w:t>
            </w:r>
          </w:p>
        </w:tc>
        <w:tc>
          <w:tcPr>
            <w:tcW w:w="2081" w:type="dxa"/>
            <w:tcBorders>
              <w:top w:val="single" w:sz="4" w:space="0" w:color="auto"/>
              <w:bottom w:val="single" w:sz="4" w:space="0" w:color="auto"/>
            </w:tcBorders>
            <w:shd w:val="clear" w:color="auto" w:fill="auto"/>
            <w:noWrap/>
            <w:vAlign w:val="bottom"/>
            <w:hideMark/>
          </w:tcPr>
          <w:p w:rsidR="0059120F" w:rsidRPr="00895723" w:rsidRDefault="0059120F" w:rsidP="00895723">
            <w:pPr>
              <w:spacing w:line="240" w:lineRule="auto"/>
              <w:contextualSpacing/>
              <w:jc w:val="both"/>
              <w:rPr>
                <w:rFonts w:cs="Arial"/>
                <w:b/>
                <w:color w:val="000000"/>
                <w:szCs w:val="22"/>
              </w:rPr>
            </w:pPr>
            <w:r w:rsidRPr="00895723">
              <w:rPr>
                <w:rFonts w:cs="Arial"/>
                <w:b/>
                <w:color w:val="000000"/>
                <w:szCs w:val="22"/>
              </w:rPr>
              <w:t>300</w:t>
            </w:r>
          </w:p>
        </w:tc>
        <w:tc>
          <w:tcPr>
            <w:tcW w:w="1340" w:type="dxa"/>
            <w:tcBorders>
              <w:top w:val="single" w:sz="4" w:space="0" w:color="auto"/>
              <w:bottom w:val="single" w:sz="4" w:space="0" w:color="auto"/>
            </w:tcBorders>
            <w:shd w:val="clear" w:color="auto" w:fill="auto"/>
            <w:noWrap/>
            <w:vAlign w:val="bottom"/>
            <w:hideMark/>
          </w:tcPr>
          <w:p w:rsidR="0059120F" w:rsidRPr="00895723" w:rsidRDefault="0059120F" w:rsidP="00895723">
            <w:pPr>
              <w:spacing w:line="240" w:lineRule="auto"/>
              <w:contextualSpacing/>
              <w:jc w:val="both"/>
              <w:rPr>
                <w:rFonts w:cs="Arial"/>
                <w:b/>
                <w:color w:val="000000"/>
                <w:szCs w:val="22"/>
              </w:rPr>
            </w:pPr>
            <w:r w:rsidRPr="00895723">
              <w:rPr>
                <w:rFonts w:cs="Arial"/>
                <w:b/>
                <w:color w:val="000000"/>
                <w:szCs w:val="22"/>
              </w:rPr>
              <w:t>5</w:t>
            </w:r>
          </w:p>
        </w:tc>
        <w:tc>
          <w:tcPr>
            <w:tcW w:w="1480" w:type="dxa"/>
            <w:tcBorders>
              <w:top w:val="single" w:sz="4" w:space="0" w:color="auto"/>
              <w:bottom w:val="single" w:sz="4" w:space="0" w:color="auto"/>
            </w:tcBorders>
            <w:shd w:val="clear" w:color="auto" w:fill="auto"/>
            <w:noWrap/>
            <w:vAlign w:val="bottom"/>
            <w:hideMark/>
          </w:tcPr>
          <w:p w:rsidR="0059120F" w:rsidRPr="00895723" w:rsidRDefault="0059120F" w:rsidP="00895723">
            <w:pPr>
              <w:spacing w:line="240" w:lineRule="auto"/>
              <w:contextualSpacing/>
              <w:jc w:val="both"/>
              <w:rPr>
                <w:rFonts w:cs="Arial"/>
                <w:b/>
                <w:color w:val="000000"/>
                <w:szCs w:val="22"/>
              </w:rPr>
            </w:pPr>
            <w:r w:rsidRPr="00895723">
              <w:rPr>
                <w:rFonts w:cs="Arial"/>
                <w:b/>
                <w:color w:val="000000"/>
                <w:szCs w:val="22"/>
              </w:rPr>
              <w:t>357</w:t>
            </w:r>
          </w:p>
        </w:tc>
        <w:tc>
          <w:tcPr>
            <w:tcW w:w="1200" w:type="dxa"/>
            <w:tcBorders>
              <w:top w:val="single" w:sz="4" w:space="0" w:color="auto"/>
              <w:bottom w:val="single" w:sz="4" w:space="0" w:color="auto"/>
            </w:tcBorders>
            <w:shd w:val="clear" w:color="auto" w:fill="auto"/>
            <w:noWrap/>
            <w:vAlign w:val="bottom"/>
            <w:hideMark/>
          </w:tcPr>
          <w:p w:rsidR="0059120F" w:rsidRPr="00895723" w:rsidRDefault="0059120F" w:rsidP="00895723">
            <w:pPr>
              <w:spacing w:line="240" w:lineRule="auto"/>
              <w:contextualSpacing/>
              <w:jc w:val="both"/>
              <w:rPr>
                <w:rFonts w:cs="Arial"/>
                <w:b/>
                <w:color w:val="000000"/>
                <w:szCs w:val="22"/>
              </w:rPr>
            </w:pPr>
          </w:p>
        </w:tc>
      </w:tr>
    </w:tbl>
    <w:p w:rsidR="0059120F" w:rsidRPr="00B33CA8" w:rsidRDefault="0059120F" w:rsidP="0020458A">
      <w:pPr>
        <w:jc w:val="both"/>
        <w:rPr>
          <w:rFonts w:cs="Arial"/>
          <w:szCs w:val="22"/>
        </w:rPr>
      </w:pPr>
    </w:p>
    <w:p w:rsidR="009A23E7" w:rsidRDefault="0065289B" w:rsidP="0020458A">
      <w:pPr>
        <w:jc w:val="both"/>
      </w:pPr>
      <w:r>
        <w:t xml:space="preserve">Results into use of mediation raise an interesting question: why </w:t>
      </w:r>
      <w:r w:rsidR="00FB21FA">
        <w:t xml:space="preserve">would </w:t>
      </w:r>
      <w:r>
        <w:t>subcontractors</w:t>
      </w:r>
      <w:r w:rsidR="00FB21FA">
        <w:t>,</w:t>
      </w:r>
      <w:r>
        <w:t xml:space="preserve"> who have limited resources to spend on more expensive dispute resolutions</w:t>
      </w:r>
      <w:r w:rsidR="00FB21FA">
        <w:t>,</w:t>
      </w:r>
      <w:r>
        <w:t xml:space="preserve"> not consider using mediation? The answer this question is explored in the subsequent analysis.</w:t>
      </w:r>
    </w:p>
    <w:p w:rsidR="00172BAC" w:rsidRPr="005C1996" w:rsidRDefault="009D483C" w:rsidP="0020458A">
      <w:pPr>
        <w:pStyle w:val="Heading3"/>
        <w:jc w:val="both"/>
      </w:pPr>
      <w:r w:rsidRPr="005C1996">
        <w:t xml:space="preserve">Reasons for </w:t>
      </w:r>
      <w:r w:rsidR="00E125D9">
        <w:t>low use of</w:t>
      </w:r>
      <w:r w:rsidR="00E125D9" w:rsidRPr="005C1996">
        <w:t xml:space="preserve"> </w:t>
      </w:r>
      <w:r w:rsidRPr="005C1996">
        <w:t>mediation</w:t>
      </w:r>
    </w:p>
    <w:p w:rsidR="00CE6E46" w:rsidRDefault="004441CB" w:rsidP="0020458A">
      <w:pPr>
        <w:jc w:val="both"/>
      </w:pPr>
      <w:r>
        <w:t>To establish possible reasons for a low or slow uptake of mediation,</w:t>
      </w:r>
      <w:r w:rsidR="00B708DA">
        <w:t xml:space="preserve"> particularly among the less resourced subcontractors,</w:t>
      </w:r>
      <w:r>
        <w:t xml:space="preserve"> </w:t>
      </w:r>
      <w:r w:rsidR="009D483C">
        <w:t xml:space="preserve">respondents were </w:t>
      </w:r>
      <w:r>
        <w:t xml:space="preserve">presented with </w:t>
      </w:r>
      <w:r w:rsidR="009D483C">
        <w:t xml:space="preserve">a series of </w:t>
      </w:r>
      <w:r w:rsidR="00E52FDC">
        <w:t>possible motivating factors that could</w:t>
      </w:r>
      <w:r w:rsidR="009D483C">
        <w:t xml:space="preserve"> influence their decisions </w:t>
      </w:r>
      <w:r>
        <w:t xml:space="preserve">to go for </w:t>
      </w:r>
      <w:r w:rsidR="009D483C" w:rsidRPr="00CE7F73">
        <w:t xml:space="preserve">mediation </w:t>
      </w:r>
      <w:r>
        <w:t>or not</w:t>
      </w:r>
      <w:r w:rsidR="009D483C" w:rsidRPr="00CE7F73">
        <w:t>.</w:t>
      </w:r>
      <w:r>
        <w:t xml:space="preserve"> The </w:t>
      </w:r>
      <w:r w:rsidR="00E52FDC">
        <w:t xml:space="preserve">factors were established from the interviews and case studies and used in the survey </w:t>
      </w:r>
      <w:r w:rsidR="00FB3E51">
        <w:t>to rank the most important factors</w:t>
      </w:r>
      <w:r w:rsidR="00E52FDC">
        <w:t xml:space="preserve"> </w:t>
      </w:r>
      <w:r w:rsidR="000145AA">
        <w:t xml:space="preserve">by taking the advantage of </w:t>
      </w:r>
      <w:r w:rsidR="00E52FDC">
        <w:t>a wider sample size. Results from the analysis are summarised in table 4</w:t>
      </w:r>
      <w:r w:rsidR="009D483C" w:rsidRPr="00CE7F73">
        <w:t xml:space="preserve"> </w:t>
      </w:r>
      <w:r w:rsidR="00E52FDC">
        <w:t xml:space="preserve">ranked based on the number of responses </w:t>
      </w:r>
      <w:r w:rsidR="00494A04">
        <w:t>agreeing to it as an influential factor.</w:t>
      </w:r>
    </w:p>
    <w:p w:rsidR="009D483C" w:rsidRDefault="009D483C" w:rsidP="0020458A">
      <w:pPr>
        <w:jc w:val="both"/>
        <w:rPr>
          <w:rFonts w:cs="Arial"/>
        </w:rPr>
      </w:pPr>
    </w:p>
    <w:p w:rsidR="00BA14FA" w:rsidRPr="00B33CA8" w:rsidRDefault="00BA14FA" w:rsidP="0020458A">
      <w:pPr>
        <w:pStyle w:val="Caption"/>
        <w:keepNext/>
        <w:jc w:val="both"/>
        <w:rPr>
          <w:rFonts w:cs="Arial"/>
          <w:b w:val="0"/>
          <w:sz w:val="22"/>
          <w:szCs w:val="22"/>
        </w:rPr>
      </w:pPr>
      <w:r w:rsidRPr="00B33CA8">
        <w:rPr>
          <w:rFonts w:cs="Arial"/>
          <w:b w:val="0"/>
          <w:sz w:val="22"/>
          <w:szCs w:val="22"/>
        </w:rPr>
        <w:lastRenderedPageBreak/>
        <w:t xml:space="preserve">Table </w:t>
      </w:r>
      <w:r w:rsidRPr="00B33CA8">
        <w:rPr>
          <w:rFonts w:cs="Arial"/>
          <w:b w:val="0"/>
          <w:sz w:val="22"/>
          <w:szCs w:val="22"/>
        </w:rPr>
        <w:fldChar w:fldCharType="begin"/>
      </w:r>
      <w:r w:rsidRPr="00B33CA8">
        <w:rPr>
          <w:rFonts w:cs="Arial"/>
          <w:b w:val="0"/>
          <w:sz w:val="22"/>
          <w:szCs w:val="22"/>
        </w:rPr>
        <w:instrText xml:space="preserve"> SEQ Table \* ARABIC </w:instrText>
      </w:r>
      <w:r w:rsidRPr="00B33CA8">
        <w:rPr>
          <w:rFonts w:cs="Arial"/>
          <w:b w:val="0"/>
          <w:sz w:val="22"/>
          <w:szCs w:val="22"/>
        </w:rPr>
        <w:fldChar w:fldCharType="separate"/>
      </w:r>
      <w:r w:rsidR="00170FC6" w:rsidRPr="00B33CA8">
        <w:rPr>
          <w:rFonts w:cs="Arial"/>
          <w:b w:val="0"/>
          <w:noProof/>
          <w:sz w:val="22"/>
          <w:szCs w:val="22"/>
        </w:rPr>
        <w:t>4</w:t>
      </w:r>
      <w:r w:rsidRPr="00B33CA8">
        <w:rPr>
          <w:rFonts w:cs="Arial"/>
          <w:b w:val="0"/>
          <w:sz w:val="22"/>
          <w:szCs w:val="22"/>
        </w:rPr>
        <w:fldChar w:fldCharType="end"/>
      </w:r>
      <w:r w:rsidRPr="00B33CA8">
        <w:rPr>
          <w:rFonts w:cs="Arial"/>
          <w:b w:val="0"/>
          <w:sz w:val="22"/>
          <w:szCs w:val="22"/>
        </w:rPr>
        <w:t xml:space="preserve">: ranking of factors influencing the decision to </w:t>
      </w:r>
      <w:r w:rsidR="00550A68" w:rsidRPr="00B33CA8">
        <w:rPr>
          <w:rFonts w:cs="Arial"/>
          <w:b w:val="0"/>
          <w:sz w:val="22"/>
          <w:szCs w:val="22"/>
        </w:rPr>
        <w:t>decline</w:t>
      </w:r>
      <w:r w:rsidRPr="00B33CA8">
        <w:rPr>
          <w:rFonts w:cs="Arial"/>
          <w:b w:val="0"/>
          <w:sz w:val="22"/>
          <w:szCs w:val="22"/>
        </w:rPr>
        <w:t xml:space="preserve"> mediation</w:t>
      </w:r>
    </w:p>
    <w:tbl>
      <w:tblPr>
        <w:tblW w:w="8927" w:type="dxa"/>
        <w:tblInd w:w="108" w:type="dxa"/>
        <w:tblBorders>
          <w:top w:val="single" w:sz="4" w:space="0" w:color="auto"/>
          <w:bottom w:val="single" w:sz="4" w:space="0" w:color="auto"/>
        </w:tblBorders>
        <w:tblLook w:val="04A0" w:firstRow="1" w:lastRow="0" w:firstColumn="1" w:lastColumn="0" w:noHBand="0" w:noVBand="1"/>
      </w:tblPr>
      <w:tblGrid>
        <w:gridCol w:w="3828"/>
        <w:gridCol w:w="2296"/>
        <w:gridCol w:w="1843"/>
        <w:gridCol w:w="1084"/>
      </w:tblGrid>
      <w:tr w:rsidR="00CE6E46" w:rsidRPr="00F022A3" w:rsidTr="0020458A">
        <w:trPr>
          <w:trHeight w:val="855"/>
        </w:trPr>
        <w:tc>
          <w:tcPr>
            <w:tcW w:w="3828" w:type="dxa"/>
            <w:tcBorders>
              <w:bottom w:val="single" w:sz="4" w:space="0" w:color="auto"/>
            </w:tcBorders>
            <w:shd w:val="clear" w:color="auto" w:fill="auto"/>
            <w:noWrap/>
            <w:vAlign w:val="center"/>
            <w:hideMark/>
          </w:tcPr>
          <w:p w:rsidR="00CE6E46" w:rsidRPr="0020458A" w:rsidRDefault="00850813" w:rsidP="0020458A">
            <w:pPr>
              <w:jc w:val="both"/>
              <w:rPr>
                <w:rFonts w:cs="Arial"/>
                <w:b/>
                <w:color w:val="000000"/>
                <w:szCs w:val="22"/>
              </w:rPr>
            </w:pPr>
            <w:r w:rsidRPr="0020458A">
              <w:rPr>
                <w:rFonts w:cs="Arial"/>
                <w:b/>
                <w:color w:val="000000"/>
                <w:szCs w:val="22"/>
              </w:rPr>
              <w:t>Influencing factor</w:t>
            </w:r>
            <w:r w:rsidR="00B708DA" w:rsidRPr="0020458A">
              <w:rPr>
                <w:rFonts w:cs="Arial"/>
                <w:b/>
                <w:color w:val="000000"/>
                <w:szCs w:val="22"/>
              </w:rPr>
              <w:t>s</w:t>
            </w:r>
          </w:p>
        </w:tc>
        <w:tc>
          <w:tcPr>
            <w:tcW w:w="2296" w:type="dxa"/>
            <w:tcBorders>
              <w:bottom w:val="single" w:sz="4" w:space="0" w:color="auto"/>
            </w:tcBorders>
            <w:shd w:val="clear" w:color="auto" w:fill="auto"/>
            <w:vAlign w:val="center"/>
            <w:hideMark/>
          </w:tcPr>
          <w:p w:rsidR="00850813" w:rsidRPr="0020458A" w:rsidRDefault="00CE6E46" w:rsidP="0020458A">
            <w:pPr>
              <w:jc w:val="both"/>
              <w:rPr>
                <w:rFonts w:cs="Arial"/>
                <w:b/>
                <w:color w:val="000000"/>
                <w:szCs w:val="22"/>
              </w:rPr>
            </w:pPr>
            <w:r w:rsidRPr="0020458A">
              <w:rPr>
                <w:rFonts w:cs="Arial"/>
                <w:b/>
                <w:color w:val="000000"/>
                <w:szCs w:val="22"/>
              </w:rPr>
              <w:t xml:space="preserve">Total scores </w:t>
            </w:r>
          </w:p>
          <w:p w:rsidR="00CE6E46" w:rsidRPr="0020458A" w:rsidRDefault="00CE6E46" w:rsidP="0020458A">
            <w:pPr>
              <w:jc w:val="both"/>
              <w:rPr>
                <w:rFonts w:cs="Arial"/>
                <w:b/>
                <w:color w:val="000000"/>
                <w:szCs w:val="22"/>
              </w:rPr>
            </w:pPr>
            <w:r w:rsidRPr="0020458A">
              <w:rPr>
                <w:rFonts w:cs="Arial"/>
                <w:b/>
                <w:color w:val="000000"/>
                <w:szCs w:val="22"/>
              </w:rPr>
              <w:t>(</w:t>
            </w:r>
            <w:r w:rsidR="00850813" w:rsidRPr="0020458A">
              <w:rPr>
                <w:rFonts w:cs="Arial"/>
                <w:b/>
                <w:color w:val="000000"/>
                <w:szCs w:val="22"/>
              </w:rPr>
              <w:t xml:space="preserve">No. of </w:t>
            </w:r>
            <w:r w:rsidRPr="0020458A">
              <w:rPr>
                <w:rFonts w:cs="Arial"/>
                <w:b/>
                <w:color w:val="000000"/>
                <w:szCs w:val="22"/>
              </w:rPr>
              <w:t xml:space="preserve">responses)  </w:t>
            </w:r>
          </w:p>
        </w:tc>
        <w:tc>
          <w:tcPr>
            <w:tcW w:w="1843" w:type="dxa"/>
            <w:tcBorders>
              <w:bottom w:val="single" w:sz="4" w:space="0" w:color="auto"/>
            </w:tcBorders>
            <w:shd w:val="clear" w:color="auto" w:fill="auto"/>
            <w:noWrap/>
            <w:vAlign w:val="bottom"/>
            <w:hideMark/>
          </w:tcPr>
          <w:p w:rsidR="00CE6E46" w:rsidRPr="0020458A" w:rsidRDefault="00CE6E46" w:rsidP="0020458A">
            <w:pPr>
              <w:jc w:val="both"/>
              <w:rPr>
                <w:b/>
                <w:color w:val="000000"/>
                <w:szCs w:val="22"/>
              </w:rPr>
            </w:pPr>
            <w:r w:rsidRPr="0020458A">
              <w:rPr>
                <w:b/>
                <w:color w:val="000000"/>
                <w:szCs w:val="22"/>
              </w:rPr>
              <w:t xml:space="preserve"> Percent of </w:t>
            </w:r>
            <w:r w:rsidR="00154535" w:rsidRPr="0020458A">
              <w:rPr>
                <w:b/>
                <w:color w:val="000000"/>
                <w:szCs w:val="22"/>
              </w:rPr>
              <w:t>total responses</w:t>
            </w:r>
          </w:p>
        </w:tc>
        <w:tc>
          <w:tcPr>
            <w:tcW w:w="960" w:type="dxa"/>
            <w:tcBorders>
              <w:bottom w:val="single" w:sz="4" w:space="0" w:color="auto"/>
            </w:tcBorders>
            <w:shd w:val="clear" w:color="auto" w:fill="auto"/>
            <w:noWrap/>
            <w:vAlign w:val="bottom"/>
            <w:hideMark/>
          </w:tcPr>
          <w:p w:rsidR="00CE6E46" w:rsidRPr="0020458A" w:rsidRDefault="00CE6E46" w:rsidP="0020458A">
            <w:pPr>
              <w:jc w:val="both"/>
              <w:rPr>
                <w:b/>
                <w:color w:val="000000"/>
                <w:szCs w:val="22"/>
              </w:rPr>
            </w:pPr>
            <w:r w:rsidRPr="0020458A">
              <w:rPr>
                <w:b/>
                <w:color w:val="000000"/>
                <w:szCs w:val="22"/>
              </w:rPr>
              <w:t>Ra</w:t>
            </w:r>
            <w:r w:rsidR="00F022A3">
              <w:rPr>
                <w:b/>
                <w:color w:val="000000"/>
                <w:szCs w:val="22"/>
              </w:rPr>
              <w:t>n</w:t>
            </w:r>
            <w:r w:rsidRPr="0020458A">
              <w:rPr>
                <w:b/>
                <w:color w:val="000000"/>
                <w:szCs w:val="22"/>
              </w:rPr>
              <w:t>king</w:t>
            </w:r>
          </w:p>
        </w:tc>
      </w:tr>
      <w:tr w:rsidR="00CE6E46" w:rsidTr="00895723">
        <w:trPr>
          <w:trHeight w:val="570"/>
        </w:trPr>
        <w:tc>
          <w:tcPr>
            <w:tcW w:w="3828" w:type="dxa"/>
            <w:tcBorders>
              <w:top w:val="single" w:sz="4" w:space="0" w:color="auto"/>
              <w:bottom w:val="nil"/>
            </w:tcBorders>
            <w:shd w:val="clear" w:color="auto" w:fill="auto"/>
            <w:vAlign w:val="center"/>
            <w:hideMark/>
          </w:tcPr>
          <w:p w:rsidR="00CE6E46" w:rsidRDefault="00CE6E46" w:rsidP="0020458A">
            <w:pPr>
              <w:jc w:val="both"/>
              <w:rPr>
                <w:rFonts w:cs="Arial"/>
                <w:color w:val="000000"/>
                <w:szCs w:val="22"/>
              </w:rPr>
            </w:pPr>
            <w:r>
              <w:rPr>
                <w:rFonts w:cs="Arial"/>
                <w:color w:val="000000"/>
                <w:szCs w:val="22"/>
              </w:rPr>
              <w:t>Belief that adjudication was more appropriate.</w:t>
            </w:r>
          </w:p>
        </w:tc>
        <w:tc>
          <w:tcPr>
            <w:tcW w:w="2296" w:type="dxa"/>
            <w:tcBorders>
              <w:top w:val="single" w:sz="4" w:space="0" w:color="auto"/>
              <w:bottom w:val="nil"/>
            </w:tcBorders>
            <w:shd w:val="clear" w:color="auto" w:fill="auto"/>
            <w:noWrap/>
            <w:vAlign w:val="center"/>
            <w:hideMark/>
          </w:tcPr>
          <w:p w:rsidR="00CE6E46" w:rsidRPr="00895723" w:rsidRDefault="00CE6E46" w:rsidP="00895723">
            <w:pPr>
              <w:jc w:val="center"/>
              <w:rPr>
                <w:rFonts w:cs="Arial"/>
                <w:color w:val="000000"/>
                <w:szCs w:val="22"/>
              </w:rPr>
            </w:pPr>
            <w:r w:rsidRPr="00895723">
              <w:rPr>
                <w:rFonts w:cs="Arial"/>
                <w:color w:val="000000"/>
                <w:szCs w:val="22"/>
              </w:rPr>
              <w:t>93</w:t>
            </w:r>
          </w:p>
        </w:tc>
        <w:tc>
          <w:tcPr>
            <w:tcW w:w="1843" w:type="dxa"/>
            <w:tcBorders>
              <w:top w:val="single" w:sz="4" w:space="0" w:color="auto"/>
              <w:bottom w:val="nil"/>
            </w:tcBorders>
            <w:shd w:val="clear" w:color="auto" w:fill="auto"/>
            <w:noWrap/>
            <w:vAlign w:val="bottom"/>
            <w:hideMark/>
          </w:tcPr>
          <w:p w:rsidR="00CE6E46" w:rsidRDefault="00CE6E46" w:rsidP="00895723">
            <w:pPr>
              <w:jc w:val="center"/>
              <w:rPr>
                <w:rFonts w:ascii="Calibri" w:hAnsi="Calibri"/>
                <w:color w:val="000000"/>
                <w:szCs w:val="22"/>
              </w:rPr>
            </w:pPr>
            <w:r>
              <w:rPr>
                <w:rFonts w:ascii="Calibri" w:hAnsi="Calibri"/>
                <w:color w:val="000000"/>
                <w:szCs w:val="22"/>
              </w:rPr>
              <w:t>21%</w:t>
            </w:r>
          </w:p>
        </w:tc>
        <w:tc>
          <w:tcPr>
            <w:tcW w:w="960" w:type="dxa"/>
            <w:tcBorders>
              <w:top w:val="single" w:sz="4" w:space="0" w:color="auto"/>
              <w:bottom w:val="nil"/>
            </w:tcBorders>
            <w:shd w:val="clear" w:color="auto" w:fill="auto"/>
            <w:noWrap/>
            <w:vAlign w:val="bottom"/>
            <w:hideMark/>
          </w:tcPr>
          <w:p w:rsidR="00CE6E46" w:rsidRDefault="00CE6E46" w:rsidP="00895723">
            <w:pPr>
              <w:jc w:val="center"/>
              <w:rPr>
                <w:rFonts w:ascii="Calibri" w:hAnsi="Calibri"/>
                <w:color w:val="000000"/>
                <w:szCs w:val="22"/>
              </w:rPr>
            </w:pPr>
            <w:r>
              <w:rPr>
                <w:rFonts w:ascii="Calibri" w:hAnsi="Calibri"/>
                <w:color w:val="000000"/>
                <w:szCs w:val="22"/>
              </w:rPr>
              <w:t>1</w:t>
            </w:r>
          </w:p>
        </w:tc>
      </w:tr>
      <w:tr w:rsidR="00CE6E46" w:rsidTr="00895723">
        <w:trPr>
          <w:trHeight w:val="855"/>
        </w:trPr>
        <w:tc>
          <w:tcPr>
            <w:tcW w:w="3828" w:type="dxa"/>
            <w:tcBorders>
              <w:top w:val="nil"/>
            </w:tcBorders>
            <w:shd w:val="clear" w:color="auto" w:fill="auto"/>
            <w:vAlign w:val="center"/>
            <w:hideMark/>
          </w:tcPr>
          <w:p w:rsidR="00CE6E46" w:rsidRDefault="00CE6E46" w:rsidP="0020458A">
            <w:pPr>
              <w:jc w:val="both"/>
              <w:rPr>
                <w:rFonts w:cs="Arial"/>
                <w:color w:val="000000"/>
                <w:szCs w:val="22"/>
              </w:rPr>
            </w:pPr>
            <w:r>
              <w:rPr>
                <w:rFonts w:cs="Arial"/>
                <w:color w:val="000000"/>
                <w:szCs w:val="22"/>
              </w:rPr>
              <w:t>Belief that the opposing party would not take part in good faith</w:t>
            </w:r>
          </w:p>
        </w:tc>
        <w:tc>
          <w:tcPr>
            <w:tcW w:w="2296" w:type="dxa"/>
            <w:tcBorders>
              <w:top w:val="nil"/>
            </w:tcBorders>
            <w:shd w:val="clear" w:color="auto" w:fill="auto"/>
            <w:noWrap/>
            <w:vAlign w:val="center"/>
            <w:hideMark/>
          </w:tcPr>
          <w:p w:rsidR="00CE6E46" w:rsidRPr="00895723" w:rsidRDefault="00CE6E46" w:rsidP="00895723">
            <w:pPr>
              <w:jc w:val="center"/>
              <w:rPr>
                <w:rFonts w:cs="Arial"/>
                <w:color w:val="000000"/>
                <w:szCs w:val="22"/>
              </w:rPr>
            </w:pPr>
            <w:r w:rsidRPr="00895723">
              <w:rPr>
                <w:rFonts w:cs="Arial"/>
                <w:color w:val="000000"/>
                <w:szCs w:val="22"/>
              </w:rPr>
              <w:t>53</w:t>
            </w:r>
          </w:p>
        </w:tc>
        <w:tc>
          <w:tcPr>
            <w:tcW w:w="1843" w:type="dxa"/>
            <w:tcBorders>
              <w:top w:val="nil"/>
            </w:tcBorders>
            <w:shd w:val="clear" w:color="auto" w:fill="auto"/>
            <w:noWrap/>
            <w:vAlign w:val="bottom"/>
            <w:hideMark/>
          </w:tcPr>
          <w:p w:rsidR="00CE6E46" w:rsidRDefault="00CE6E46" w:rsidP="00895723">
            <w:pPr>
              <w:jc w:val="center"/>
              <w:rPr>
                <w:rFonts w:ascii="Calibri" w:hAnsi="Calibri"/>
                <w:color w:val="000000"/>
                <w:szCs w:val="22"/>
              </w:rPr>
            </w:pPr>
            <w:r>
              <w:rPr>
                <w:rFonts w:ascii="Calibri" w:hAnsi="Calibri"/>
                <w:color w:val="000000"/>
                <w:szCs w:val="22"/>
              </w:rPr>
              <w:t>12%</w:t>
            </w:r>
          </w:p>
        </w:tc>
        <w:tc>
          <w:tcPr>
            <w:tcW w:w="960" w:type="dxa"/>
            <w:tcBorders>
              <w:top w:val="nil"/>
            </w:tcBorders>
            <w:shd w:val="clear" w:color="auto" w:fill="auto"/>
            <w:noWrap/>
            <w:vAlign w:val="bottom"/>
            <w:hideMark/>
          </w:tcPr>
          <w:p w:rsidR="00CE6E46" w:rsidRDefault="00CE6E46" w:rsidP="00895723">
            <w:pPr>
              <w:jc w:val="center"/>
              <w:rPr>
                <w:rFonts w:ascii="Calibri" w:hAnsi="Calibri"/>
                <w:color w:val="000000"/>
                <w:szCs w:val="22"/>
              </w:rPr>
            </w:pPr>
            <w:r>
              <w:rPr>
                <w:rFonts w:ascii="Calibri" w:hAnsi="Calibri"/>
                <w:color w:val="000000"/>
                <w:szCs w:val="22"/>
              </w:rPr>
              <w:t>2</w:t>
            </w:r>
          </w:p>
        </w:tc>
      </w:tr>
      <w:tr w:rsidR="00CE6E46" w:rsidTr="00895723">
        <w:trPr>
          <w:trHeight w:val="570"/>
        </w:trPr>
        <w:tc>
          <w:tcPr>
            <w:tcW w:w="3828" w:type="dxa"/>
            <w:shd w:val="clear" w:color="auto" w:fill="auto"/>
            <w:vAlign w:val="center"/>
            <w:hideMark/>
          </w:tcPr>
          <w:p w:rsidR="00CE6E46" w:rsidRDefault="00CE6E46" w:rsidP="0020458A">
            <w:pPr>
              <w:jc w:val="both"/>
              <w:rPr>
                <w:rFonts w:cs="Arial"/>
                <w:color w:val="000000"/>
                <w:szCs w:val="22"/>
              </w:rPr>
            </w:pPr>
            <w:r>
              <w:rPr>
                <w:rFonts w:cs="Arial"/>
                <w:color w:val="000000"/>
                <w:szCs w:val="22"/>
              </w:rPr>
              <w:t>The case type not appropriate for mediation</w:t>
            </w:r>
          </w:p>
        </w:tc>
        <w:tc>
          <w:tcPr>
            <w:tcW w:w="2296" w:type="dxa"/>
            <w:shd w:val="clear" w:color="auto" w:fill="auto"/>
            <w:noWrap/>
            <w:vAlign w:val="center"/>
            <w:hideMark/>
          </w:tcPr>
          <w:p w:rsidR="00CE6E46" w:rsidRPr="00895723" w:rsidRDefault="00CE6E46" w:rsidP="00895723">
            <w:pPr>
              <w:jc w:val="center"/>
              <w:rPr>
                <w:rFonts w:cs="Arial"/>
                <w:color w:val="000000"/>
                <w:szCs w:val="22"/>
              </w:rPr>
            </w:pPr>
            <w:r w:rsidRPr="00895723">
              <w:rPr>
                <w:rFonts w:cs="Arial"/>
                <w:color w:val="000000"/>
                <w:szCs w:val="22"/>
              </w:rPr>
              <w:t>52</w:t>
            </w:r>
          </w:p>
        </w:tc>
        <w:tc>
          <w:tcPr>
            <w:tcW w:w="1843" w:type="dxa"/>
            <w:shd w:val="clear" w:color="auto" w:fill="auto"/>
            <w:noWrap/>
            <w:vAlign w:val="bottom"/>
            <w:hideMark/>
          </w:tcPr>
          <w:p w:rsidR="00CE6E46" w:rsidRDefault="00CE6E46" w:rsidP="00895723">
            <w:pPr>
              <w:jc w:val="center"/>
              <w:rPr>
                <w:rFonts w:ascii="Calibri" w:hAnsi="Calibri"/>
                <w:color w:val="000000"/>
                <w:szCs w:val="22"/>
              </w:rPr>
            </w:pPr>
            <w:r>
              <w:rPr>
                <w:rFonts w:ascii="Calibri" w:hAnsi="Calibri"/>
                <w:color w:val="000000"/>
                <w:szCs w:val="22"/>
              </w:rPr>
              <w:t>12%</w:t>
            </w:r>
          </w:p>
        </w:tc>
        <w:tc>
          <w:tcPr>
            <w:tcW w:w="960" w:type="dxa"/>
            <w:shd w:val="clear" w:color="auto" w:fill="auto"/>
            <w:noWrap/>
            <w:vAlign w:val="bottom"/>
            <w:hideMark/>
          </w:tcPr>
          <w:p w:rsidR="00CE6E46" w:rsidRDefault="00CE6E46" w:rsidP="00895723">
            <w:pPr>
              <w:jc w:val="center"/>
              <w:rPr>
                <w:rFonts w:ascii="Calibri" w:hAnsi="Calibri"/>
                <w:color w:val="000000"/>
                <w:szCs w:val="22"/>
              </w:rPr>
            </w:pPr>
            <w:r>
              <w:rPr>
                <w:rFonts w:ascii="Calibri" w:hAnsi="Calibri"/>
                <w:color w:val="000000"/>
                <w:szCs w:val="22"/>
              </w:rPr>
              <w:t>3</w:t>
            </w:r>
          </w:p>
        </w:tc>
      </w:tr>
      <w:tr w:rsidR="00CE6E46" w:rsidTr="00895723">
        <w:trPr>
          <w:trHeight w:val="855"/>
        </w:trPr>
        <w:tc>
          <w:tcPr>
            <w:tcW w:w="3828" w:type="dxa"/>
            <w:shd w:val="clear" w:color="auto" w:fill="auto"/>
            <w:vAlign w:val="center"/>
            <w:hideMark/>
          </w:tcPr>
          <w:p w:rsidR="00CE6E46" w:rsidRDefault="00CE6E46" w:rsidP="0020458A">
            <w:pPr>
              <w:jc w:val="both"/>
              <w:rPr>
                <w:rFonts w:cs="Arial"/>
                <w:color w:val="000000"/>
                <w:szCs w:val="22"/>
              </w:rPr>
            </w:pPr>
            <w:r>
              <w:rPr>
                <w:rFonts w:cs="Arial"/>
                <w:color w:val="000000"/>
                <w:szCs w:val="22"/>
              </w:rPr>
              <w:t>Did not know enough about what mediation entailed</w:t>
            </w:r>
          </w:p>
        </w:tc>
        <w:tc>
          <w:tcPr>
            <w:tcW w:w="2296" w:type="dxa"/>
            <w:shd w:val="clear" w:color="auto" w:fill="auto"/>
            <w:noWrap/>
            <w:vAlign w:val="center"/>
            <w:hideMark/>
          </w:tcPr>
          <w:p w:rsidR="00CE6E46" w:rsidRPr="00895723" w:rsidRDefault="00CE6E46" w:rsidP="00895723">
            <w:pPr>
              <w:jc w:val="center"/>
              <w:rPr>
                <w:rFonts w:cs="Arial"/>
                <w:color w:val="000000"/>
                <w:szCs w:val="22"/>
              </w:rPr>
            </w:pPr>
            <w:r w:rsidRPr="00895723">
              <w:rPr>
                <w:rFonts w:cs="Arial"/>
                <w:color w:val="000000"/>
                <w:szCs w:val="22"/>
              </w:rPr>
              <w:t>43</w:t>
            </w:r>
          </w:p>
        </w:tc>
        <w:tc>
          <w:tcPr>
            <w:tcW w:w="1843" w:type="dxa"/>
            <w:shd w:val="clear" w:color="auto" w:fill="auto"/>
            <w:noWrap/>
            <w:vAlign w:val="bottom"/>
            <w:hideMark/>
          </w:tcPr>
          <w:p w:rsidR="00CE6E46" w:rsidRDefault="00CE6E46" w:rsidP="00895723">
            <w:pPr>
              <w:jc w:val="center"/>
              <w:rPr>
                <w:rFonts w:ascii="Calibri" w:hAnsi="Calibri"/>
                <w:color w:val="000000"/>
                <w:szCs w:val="22"/>
              </w:rPr>
            </w:pPr>
            <w:r>
              <w:rPr>
                <w:rFonts w:ascii="Calibri" w:hAnsi="Calibri"/>
                <w:color w:val="000000"/>
                <w:szCs w:val="22"/>
              </w:rPr>
              <w:t>10%</w:t>
            </w:r>
          </w:p>
        </w:tc>
        <w:tc>
          <w:tcPr>
            <w:tcW w:w="960" w:type="dxa"/>
            <w:shd w:val="clear" w:color="auto" w:fill="auto"/>
            <w:noWrap/>
            <w:vAlign w:val="bottom"/>
            <w:hideMark/>
          </w:tcPr>
          <w:p w:rsidR="00CE6E46" w:rsidRDefault="00CE6E46" w:rsidP="00895723">
            <w:pPr>
              <w:jc w:val="center"/>
              <w:rPr>
                <w:rFonts w:ascii="Calibri" w:hAnsi="Calibri"/>
                <w:color w:val="000000"/>
                <w:szCs w:val="22"/>
              </w:rPr>
            </w:pPr>
            <w:r>
              <w:rPr>
                <w:rFonts w:ascii="Calibri" w:hAnsi="Calibri"/>
                <w:color w:val="000000"/>
                <w:szCs w:val="22"/>
              </w:rPr>
              <w:t>4</w:t>
            </w:r>
          </w:p>
        </w:tc>
      </w:tr>
      <w:tr w:rsidR="00CE6E46" w:rsidTr="00895723">
        <w:trPr>
          <w:trHeight w:val="855"/>
        </w:trPr>
        <w:tc>
          <w:tcPr>
            <w:tcW w:w="3828" w:type="dxa"/>
            <w:shd w:val="clear" w:color="auto" w:fill="auto"/>
            <w:vAlign w:val="center"/>
            <w:hideMark/>
          </w:tcPr>
          <w:p w:rsidR="00CE6E46" w:rsidRDefault="00CE6E46" w:rsidP="0020458A">
            <w:pPr>
              <w:jc w:val="both"/>
              <w:rPr>
                <w:rFonts w:cs="Arial"/>
                <w:color w:val="000000"/>
                <w:szCs w:val="22"/>
              </w:rPr>
            </w:pPr>
            <w:r>
              <w:rPr>
                <w:rFonts w:cs="Arial"/>
                <w:color w:val="000000"/>
                <w:szCs w:val="22"/>
              </w:rPr>
              <w:t>Belief that negotiation was</w:t>
            </w:r>
            <w:r w:rsidR="00D403A0">
              <w:rPr>
                <w:rFonts w:cs="Arial"/>
                <w:color w:val="000000"/>
                <w:szCs w:val="22"/>
              </w:rPr>
              <w:t xml:space="preserve"> </w:t>
            </w:r>
            <w:r>
              <w:rPr>
                <w:rFonts w:cs="Arial"/>
                <w:color w:val="000000"/>
                <w:szCs w:val="22"/>
              </w:rPr>
              <w:t>capable of settling the case</w:t>
            </w:r>
          </w:p>
        </w:tc>
        <w:tc>
          <w:tcPr>
            <w:tcW w:w="2296" w:type="dxa"/>
            <w:shd w:val="clear" w:color="auto" w:fill="auto"/>
            <w:noWrap/>
            <w:vAlign w:val="center"/>
            <w:hideMark/>
          </w:tcPr>
          <w:p w:rsidR="00CE6E46" w:rsidRPr="00895723" w:rsidRDefault="00CE6E46" w:rsidP="00895723">
            <w:pPr>
              <w:jc w:val="center"/>
              <w:rPr>
                <w:rFonts w:cs="Arial"/>
                <w:color w:val="000000"/>
                <w:szCs w:val="22"/>
              </w:rPr>
            </w:pPr>
            <w:r w:rsidRPr="00895723">
              <w:rPr>
                <w:rFonts w:cs="Arial"/>
                <w:color w:val="000000"/>
                <w:szCs w:val="22"/>
              </w:rPr>
              <w:t>42</w:t>
            </w:r>
          </w:p>
        </w:tc>
        <w:tc>
          <w:tcPr>
            <w:tcW w:w="1843" w:type="dxa"/>
            <w:shd w:val="clear" w:color="auto" w:fill="auto"/>
            <w:noWrap/>
            <w:vAlign w:val="bottom"/>
            <w:hideMark/>
          </w:tcPr>
          <w:p w:rsidR="00CE6E46" w:rsidRDefault="00CE6E46" w:rsidP="00895723">
            <w:pPr>
              <w:jc w:val="center"/>
              <w:rPr>
                <w:rFonts w:ascii="Calibri" w:hAnsi="Calibri"/>
                <w:color w:val="000000"/>
                <w:szCs w:val="22"/>
              </w:rPr>
            </w:pPr>
            <w:r>
              <w:rPr>
                <w:rFonts w:ascii="Calibri" w:hAnsi="Calibri"/>
                <w:color w:val="000000"/>
                <w:szCs w:val="22"/>
              </w:rPr>
              <w:t>9%</w:t>
            </w:r>
          </w:p>
        </w:tc>
        <w:tc>
          <w:tcPr>
            <w:tcW w:w="960" w:type="dxa"/>
            <w:shd w:val="clear" w:color="auto" w:fill="auto"/>
            <w:noWrap/>
            <w:vAlign w:val="bottom"/>
            <w:hideMark/>
          </w:tcPr>
          <w:p w:rsidR="00CE6E46" w:rsidRDefault="00CE6E46" w:rsidP="00895723">
            <w:pPr>
              <w:jc w:val="center"/>
              <w:rPr>
                <w:rFonts w:ascii="Calibri" w:hAnsi="Calibri"/>
                <w:color w:val="000000"/>
                <w:szCs w:val="22"/>
              </w:rPr>
            </w:pPr>
            <w:r>
              <w:rPr>
                <w:rFonts w:ascii="Calibri" w:hAnsi="Calibri"/>
                <w:color w:val="000000"/>
                <w:szCs w:val="22"/>
              </w:rPr>
              <w:t>5</w:t>
            </w:r>
          </w:p>
        </w:tc>
      </w:tr>
      <w:tr w:rsidR="00CE6E46" w:rsidTr="00895723">
        <w:trPr>
          <w:trHeight w:val="570"/>
        </w:trPr>
        <w:tc>
          <w:tcPr>
            <w:tcW w:w="3828" w:type="dxa"/>
            <w:shd w:val="clear" w:color="auto" w:fill="auto"/>
            <w:vAlign w:val="center"/>
            <w:hideMark/>
          </w:tcPr>
          <w:p w:rsidR="00CE6E46" w:rsidRDefault="00CE6E46" w:rsidP="0020458A">
            <w:pPr>
              <w:jc w:val="both"/>
              <w:rPr>
                <w:rFonts w:cs="Arial"/>
                <w:color w:val="000000"/>
                <w:szCs w:val="22"/>
              </w:rPr>
            </w:pPr>
            <w:r>
              <w:rPr>
                <w:rFonts w:cs="Arial"/>
                <w:color w:val="000000"/>
                <w:szCs w:val="22"/>
              </w:rPr>
              <w:t>The strength of our legal case</w:t>
            </w:r>
          </w:p>
        </w:tc>
        <w:tc>
          <w:tcPr>
            <w:tcW w:w="2296" w:type="dxa"/>
            <w:shd w:val="clear" w:color="auto" w:fill="auto"/>
            <w:noWrap/>
            <w:vAlign w:val="center"/>
            <w:hideMark/>
          </w:tcPr>
          <w:p w:rsidR="00CE6E46" w:rsidRPr="00895723" w:rsidRDefault="00CE6E46" w:rsidP="00895723">
            <w:pPr>
              <w:jc w:val="center"/>
              <w:rPr>
                <w:rFonts w:cs="Arial"/>
                <w:color w:val="000000"/>
                <w:szCs w:val="22"/>
              </w:rPr>
            </w:pPr>
            <w:r w:rsidRPr="00895723">
              <w:rPr>
                <w:rFonts w:cs="Arial"/>
                <w:color w:val="000000"/>
                <w:szCs w:val="22"/>
              </w:rPr>
              <w:t>40</w:t>
            </w:r>
          </w:p>
        </w:tc>
        <w:tc>
          <w:tcPr>
            <w:tcW w:w="1843" w:type="dxa"/>
            <w:shd w:val="clear" w:color="auto" w:fill="auto"/>
            <w:noWrap/>
            <w:vAlign w:val="bottom"/>
            <w:hideMark/>
          </w:tcPr>
          <w:p w:rsidR="00CE6E46" w:rsidRDefault="00CE6E46" w:rsidP="00895723">
            <w:pPr>
              <w:jc w:val="center"/>
              <w:rPr>
                <w:rFonts w:ascii="Calibri" w:hAnsi="Calibri"/>
                <w:color w:val="000000"/>
                <w:szCs w:val="22"/>
              </w:rPr>
            </w:pPr>
            <w:r>
              <w:rPr>
                <w:rFonts w:ascii="Calibri" w:hAnsi="Calibri"/>
                <w:color w:val="000000"/>
                <w:szCs w:val="22"/>
              </w:rPr>
              <w:t>9%</w:t>
            </w:r>
          </w:p>
        </w:tc>
        <w:tc>
          <w:tcPr>
            <w:tcW w:w="960" w:type="dxa"/>
            <w:shd w:val="clear" w:color="auto" w:fill="auto"/>
            <w:noWrap/>
            <w:vAlign w:val="bottom"/>
            <w:hideMark/>
          </w:tcPr>
          <w:p w:rsidR="00CE6E46" w:rsidRDefault="00CE6E46" w:rsidP="00895723">
            <w:pPr>
              <w:jc w:val="center"/>
              <w:rPr>
                <w:rFonts w:ascii="Calibri" w:hAnsi="Calibri"/>
                <w:color w:val="000000"/>
                <w:szCs w:val="22"/>
              </w:rPr>
            </w:pPr>
            <w:r>
              <w:rPr>
                <w:rFonts w:ascii="Calibri" w:hAnsi="Calibri"/>
                <w:color w:val="000000"/>
                <w:szCs w:val="22"/>
              </w:rPr>
              <w:t>6</w:t>
            </w:r>
          </w:p>
        </w:tc>
      </w:tr>
      <w:tr w:rsidR="00CE6E46" w:rsidTr="00895723">
        <w:trPr>
          <w:trHeight w:val="570"/>
        </w:trPr>
        <w:tc>
          <w:tcPr>
            <w:tcW w:w="3828" w:type="dxa"/>
            <w:shd w:val="clear" w:color="auto" w:fill="auto"/>
            <w:vAlign w:val="center"/>
            <w:hideMark/>
          </w:tcPr>
          <w:p w:rsidR="00CE6E46" w:rsidRDefault="00CE6E46" w:rsidP="0020458A">
            <w:pPr>
              <w:jc w:val="both"/>
              <w:rPr>
                <w:rFonts w:cs="Arial"/>
                <w:color w:val="000000"/>
                <w:szCs w:val="22"/>
              </w:rPr>
            </w:pPr>
            <w:r>
              <w:rPr>
                <w:rFonts w:cs="Arial"/>
                <w:color w:val="000000"/>
                <w:szCs w:val="22"/>
              </w:rPr>
              <w:t>Mediation would take too long</w:t>
            </w:r>
          </w:p>
        </w:tc>
        <w:tc>
          <w:tcPr>
            <w:tcW w:w="2296" w:type="dxa"/>
            <w:shd w:val="clear" w:color="auto" w:fill="auto"/>
            <w:noWrap/>
            <w:vAlign w:val="center"/>
            <w:hideMark/>
          </w:tcPr>
          <w:p w:rsidR="00CE6E46" w:rsidRPr="00895723" w:rsidRDefault="00CE6E46" w:rsidP="00895723">
            <w:pPr>
              <w:jc w:val="center"/>
              <w:rPr>
                <w:rFonts w:cs="Arial"/>
                <w:color w:val="000000"/>
                <w:szCs w:val="22"/>
              </w:rPr>
            </w:pPr>
            <w:r w:rsidRPr="00895723">
              <w:rPr>
                <w:rFonts w:cs="Arial"/>
                <w:color w:val="000000"/>
                <w:szCs w:val="22"/>
              </w:rPr>
              <w:t>36</w:t>
            </w:r>
          </w:p>
        </w:tc>
        <w:tc>
          <w:tcPr>
            <w:tcW w:w="1843" w:type="dxa"/>
            <w:shd w:val="clear" w:color="auto" w:fill="auto"/>
            <w:noWrap/>
            <w:vAlign w:val="bottom"/>
            <w:hideMark/>
          </w:tcPr>
          <w:p w:rsidR="00CE6E46" w:rsidRDefault="00CE6E46" w:rsidP="00895723">
            <w:pPr>
              <w:jc w:val="center"/>
              <w:rPr>
                <w:rFonts w:ascii="Calibri" w:hAnsi="Calibri"/>
                <w:color w:val="000000"/>
                <w:szCs w:val="22"/>
              </w:rPr>
            </w:pPr>
            <w:r>
              <w:rPr>
                <w:rFonts w:ascii="Calibri" w:hAnsi="Calibri"/>
                <w:color w:val="000000"/>
                <w:szCs w:val="22"/>
              </w:rPr>
              <w:t>8%</w:t>
            </w:r>
          </w:p>
        </w:tc>
        <w:tc>
          <w:tcPr>
            <w:tcW w:w="960" w:type="dxa"/>
            <w:shd w:val="clear" w:color="auto" w:fill="auto"/>
            <w:noWrap/>
            <w:vAlign w:val="bottom"/>
            <w:hideMark/>
          </w:tcPr>
          <w:p w:rsidR="00CE6E46" w:rsidRDefault="00CE6E46" w:rsidP="00895723">
            <w:pPr>
              <w:jc w:val="center"/>
              <w:rPr>
                <w:rFonts w:ascii="Calibri" w:hAnsi="Calibri"/>
                <w:color w:val="000000"/>
                <w:szCs w:val="22"/>
              </w:rPr>
            </w:pPr>
            <w:r>
              <w:rPr>
                <w:rFonts w:ascii="Calibri" w:hAnsi="Calibri"/>
                <w:color w:val="000000"/>
                <w:szCs w:val="22"/>
              </w:rPr>
              <w:t>7</w:t>
            </w:r>
          </w:p>
        </w:tc>
      </w:tr>
      <w:tr w:rsidR="00CE6E46" w:rsidTr="00895723">
        <w:trPr>
          <w:trHeight w:val="570"/>
        </w:trPr>
        <w:tc>
          <w:tcPr>
            <w:tcW w:w="3828" w:type="dxa"/>
            <w:shd w:val="clear" w:color="auto" w:fill="auto"/>
            <w:vAlign w:val="center"/>
            <w:hideMark/>
          </w:tcPr>
          <w:p w:rsidR="00CE6E46" w:rsidRDefault="00CE6E46" w:rsidP="0020458A">
            <w:pPr>
              <w:jc w:val="both"/>
              <w:rPr>
                <w:rFonts w:cs="Arial"/>
                <w:color w:val="000000"/>
                <w:szCs w:val="22"/>
              </w:rPr>
            </w:pPr>
            <w:r>
              <w:rPr>
                <w:rFonts w:cs="Arial"/>
                <w:color w:val="000000"/>
                <w:szCs w:val="22"/>
              </w:rPr>
              <w:t>Mediating the case would have made us look weak</w:t>
            </w:r>
          </w:p>
        </w:tc>
        <w:tc>
          <w:tcPr>
            <w:tcW w:w="2296" w:type="dxa"/>
            <w:shd w:val="clear" w:color="auto" w:fill="auto"/>
            <w:noWrap/>
            <w:vAlign w:val="center"/>
            <w:hideMark/>
          </w:tcPr>
          <w:p w:rsidR="00CE6E46" w:rsidRPr="00895723" w:rsidRDefault="00CE6E46" w:rsidP="00895723">
            <w:pPr>
              <w:jc w:val="center"/>
              <w:rPr>
                <w:rFonts w:cs="Arial"/>
                <w:color w:val="000000"/>
                <w:szCs w:val="22"/>
              </w:rPr>
            </w:pPr>
            <w:r w:rsidRPr="00895723">
              <w:rPr>
                <w:rFonts w:cs="Arial"/>
                <w:color w:val="000000"/>
                <w:szCs w:val="22"/>
              </w:rPr>
              <w:t>34</w:t>
            </w:r>
          </w:p>
        </w:tc>
        <w:tc>
          <w:tcPr>
            <w:tcW w:w="1843" w:type="dxa"/>
            <w:shd w:val="clear" w:color="auto" w:fill="auto"/>
            <w:noWrap/>
            <w:vAlign w:val="bottom"/>
            <w:hideMark/>
          </w:tcPr>
          <w:p w:rsidR="00CE6E46" w:rsidRDefault="00CE6E46" w:rsidP="00895723">
            <w:pPr>
              <w:jc w:val="center"/>
              <w:rPr>
                <w:rFonts w:ascii="Calibri" w:hAnsi="Calibri"/>
                <w:color w:val="000000"/>
                <w:szCs w:val="22"/>
              </w:rPr>
            </w:pPr>
            <w:r>
              <w:rPr>
                <w:rFonts w:ascii="Calibri" w:hAnsi="Calibri"/>
                <w:color w:val="000000"/>
                <w:szCs w:val="22"/>
              </w:rPr>
              <w:t>8%</w:t>
            </w:r>
          </w:p>
        </w:tc>
        <w:tc>
          <w:tcPr>
            <w:tcW w:w="960" w:type="dxa"/>
            <w:shd w:val="clear" w:color="auto" w:fill="auto"/>
            <w:noWrap/>
            <w:vAlign w:val="bottom"/>
            <w:hideMark/>
          </w:tcPr>
          <w:p w:rsidR="00CE6E46" w:rsidRDefault="00CE6E46" w:rsidP="00895723">
            <w:pPr>
              <w:jc w:val="center"/>
              <w:rPr>
                <w:rFonts w:ascii="Calibri" w:hAnsi="Calibri"/>
                <w:color w:val="000000"/>
                <w:szCs w:val="22"/>
              </w:rPr>
            </w:pPr>
            <w:r>
              <w:rPr>
                <w:rFonts w:ascii="Calibri" w:hAnsi="Calibri"/>
                <w:color w:val="000000"/>
                <w:szCs w:val="22"/>
              </w:rPr>
              <w:t>8</w:t>
            </w:r>
          </w:p>
        </w:tc>
      </w:tr>
      <w:tr w:rsidR="00CE6E46" w:rsidTr="00895723">
        <w:trPr>
          <w:trHeight w:val="570"/>
        </w:trPr>
        <w:tc>
          <w:tcPr>
            <w:tcW w:w="3828" w:type="dxa"/>
            <w:shd w:val="clear" w:color="auto" w:fill="auto"/>
            <w:vAlign w:val="center"/>
            <w:hideMark/>
          </w:tcPr>
          <w:p w:rsidR="00CE6E46" w:rsidRDefault="00CE6E46" w:rsidP="0020458A">
            <w:pPr>
              <w:jc w:val="both"/>
              <w:rPr>
                <w:rFonts w:cs="Arial"/>
                <w:color w:val="000000"/>
                <w:szCs w:val="22"/>
              </w:rPr>
            </w:pPr>
            <w:r>
              <w:rPr>
                <w:rFonts w:cs="Arial"/>
                <w:color w:val="000000"/>
                <w:szCs w:val="22"/>
              </w:rPr>
              <w:t>The high cost of mediation</w:t>
            </w:r>
          </w:p>
        </w:tc>
        <w:tc>
          <w:tcPr>
            <w:tcW w:w="2296" w:type="dxa"/>
            <w:shd w:val="clear" w:color="auto" w:fill="auto"/>
            <w:noWrap/>
            <w:vAlign w:val="center"/>
            <w:hideMark/>
          </w:tcPr>
          <w:p w:rsidR="00CE6E46" w:rsidRPr="00895723" w:rsidRDefault="00CE6E46" w:rsidP="00895723">
            <w:pPr>
              <w:jc w:val="center"/>
              <w:rPr>
                <w:rFonts w:cs="Arial"/>
                <w:color w:val="000000"/>
                <w:szCs w:val="22"/>
              </w:rPr>
            </w:pPr>
            <w:r w:rsidRPr="00895723">
              <w:rPr>
                <w:rFonts w:cs="Arial"/>
                <w:color w:val="000000"/>
                <w:szCs w:val="22"/>
              </w:rPr>
              <w:t>27</w:t>
            </w:r>
          </w:p>
        </w:tc>
        <w:tc>
          <w:tcPr>
            <w:tcW w:w="1843" w:type="dxa"/>
            <w:shd w:val="clear" w:color="auto" w:fill="auto"/>
            <w:noWrap/>
            <w:vAlign w:val="bottom"/>
            <w:hideMark/>
          </w:tcPr>
          <w:p w:rsidR="00CE6E46" w:rsidRDefault="00CE6E46" w:rsidP="00895723">
            <w:pPr>
              <w:jc w:val="center"/>
              <w:rPr>
                <w:rFonts w:ascii="Calibri" w:hAnsi="Calibri"/>
                <w:color w:val="000000"/>
                <w:szCs w:val="22"/>
              </w:rPr>
            </w:pPr>
            <w:r>
              <w:rPr>
                <w:rFonts w:ascii="Calibri" w:hAnsi="Calibri"/>
                <w:color w:val="000000"/>
                <w:szCs w:val="22"/>
              </w:rPr>
              <w:t>6%</w:t>
            </w:r>
          </w:p>
        </w:tc>
        <w:tc>
          <w:tcPr>
            <w:tcW w:w="960" w:type="dxa"/>
            <w:shd w:val="clear" w:color="auto" w:fill="auto"/>
            <w:noWrap/>
            <w:vAlign w:val="bottom"/>
            <w:hideMark/>
          </w:tcPr>
          <w:p w:rsidR="00CE6E46" w:rsidRDefault="00CE6E46" w:rsidP="00895723">
            <w:pPr>
              <w:jc w:val="center"/>
              <w:rPr>
                <w:rFonts w:ascii="Calibri" w:hAnsi="Calibri"/>
                <w:color w:val="000000"/>
                <w:szCs w:val="22"/>
              </w:rPr>
            </w:pPr>
            <w:r>
              <w:rPr>
                <w:rFonts w:ascii="Calibri" w:hAnsi="Calibri"/>
                <w:color w:val="000000"/>
                <w:szCs w:val="22"/>
              </w:rPr>
              <w:t>9</w:t>
            </w:r>
          </w:p>
        </w:tc>
      </w:tr>
      <w:tr w:rsidR="00CE6E46" w:rsidTr="00895723">
        <w:trPr>
          <w:trHeight w:val="570"/>
        </w:trPr>
        <w:tc>
          <w:tcPr>
            <w:tcW w:w="3828" w:type="dxa"/>
            <w:tcBorders>
              <w:bottom w:val="single" w:sz="4" w:space="0" w:color="auto"/>
            </w:tcBorders>
            <w:shd w:val="clear" w:color="auto" w:fill="auto"/>
            <w:vAlign w:val="center"/>
            <w:hideMark/>
          </w:tcPr>
          <w:p w:rsidR="00CE6E46" w:rsidRDefault="00CE6E46" w:rsidP="0020458A">
            <w:pPr>
              <w:jc w:val="both"/>
              <w:rPr>
                <w:rFonts w:cs="Arial"/>
                <w:color w:val="000000"/>
                <w:szCs w:val="22"/>
              </w:rPr>
            </w:pPr>
            <w:r>
              <w:rPr>
                <w:rFonts w:cs="Arial"/>
                <w:color w:val="000000"/>
                <w:szCs w:val="22"/>
              </w:rPr>
              <w:t>Mediation would have involved compromise</w:t>
            </w:r>
          </w:p>
        </w:tc>
        <w:tc>
          <w:tcPr>
            <w:tcW w:w="2296" w:type="dxa"/>
            <w:tcBorders>
              <w:bottom w:val="single" w:sz="4" w:space="0" w:color="auto"/>
            </w:tcBorders>
            <w:shd w:val="clear" w:color="auto" w:fill="auto"/>
            <w:noWrap/>
            <w:vAlign w:val="center"/>
            <w:hideMark/>
          </w:tcPr>
          <w:p w:rsidR="00CE6E46" w:rsidRPr="00895723" w:rsidRDefault="00CE6E46" w:rsidP="00895723">
            <w:pPr>
              <w:jc w:val="center"/>
              <w:rPr>
                <w:rFonts w:cs="Arial"/>
                <w:color w:val="000000"/>
                <w:szCs w:val="22"/>
              </w:rPr>
            </w:pPr>
            <w:r w:rsidRPr="00895723">
              <w:rPr>
                <w:rFonts w:cs="Arial"/>
                <w:color w:val="000000"/>
                <w:szCs w:val="22"/>
              </w:rPr>
              <w:t>26</w:t>
            </w:r>
          </w:p>
        </w:tc>
        <w:tc>
          <w:tcPr>
            <w:tcW w:w="1843" w:type="dxa"/>
            <w:tcBorders>
              <w:bottom w:val="single" w:sz="4" w:space="0" w:color="auto"/>
            </w:tcBorders>
            <w:shd w:val="clear" w:color="auto" w:fill="auto"/>
            <w:noWrap/>
            <w:vAlign w:val="bottom"/>
            <w:hideMark/>
          </w:tcPr>
          <w:p w:rsidR="00CE6E46" w:rsidRDefault="00CE6E46" w:rsidP="00895723">
            <w:pPr>
              <w:jc w:val="center"/>
              <w:rPr>
                <w:rFonts w:ascii="Calibri" w:hAnsi="Calibri"/>
                <w:color w:val="000000"/>
                <w:szCs w:val="22"/>
              </w:rPr>
            </w:pPr>
            <w:r>
              <w:rPr>
                <w:rFonts w:ascii="Calibri" w:hAnsi="Calibri"/>
                <w:color w:val="000000"/>
                <w:szCs w:val="22"/>
              </w:rPr>
              <w:t>6%</w:t>
            </w:r>
          </w:p>
        </w:tc>
        <w:tc>
          <w:tcPr>
            <w:tcW w:w="960" w:type="dxa"/>
            <w:tcBorders>
              <w:bottom w:val="single" w:sz="4" w:space="0" w:color="auto"/>
            </w:tcBorders>
            <w:shd w:val="clear" w:color="auto" w:fill="auto"/>
            <w:noWrap/>
            <w:vAlign w:val="bottom"/>
            <w:hideMark/>
          </w:tcPr>
          <w:p w:rsidR="00CE6E46" w:rsidRDefault="00CE6E46" w:rsidP="00895723">
            <w:pPr>
              <w:jc w:val="center"/>
              <w:rPr>
                <w:rFonts w:ascii="Calibri" w:hAnsi="Calibri"/>
                <w:color w:val="000000"/>
                <w:szCs w:val="22"/>
              </w:rPr>
            </w:pPr>
            <w:r>
              <w:rPr>
                <w:rFonts w:ascii="Calibri" w:hAnsi="Calibri"/>
                <w:color w:val="000000"/>
                <w:szCs w:val="22"/>
              </w:rPr>
              <w:t>10</w:t>
            </w:r>
          </w:p>
        </w:tc>
      </w:tr>
      <w:tr w:rsidR="00CE6E46" w:rsidRPr="00895723" w:rsidTr="00895723">
        <w:trPr>
          <w:trHeight w:val="300"/>
        </w:trPr>
        <w:tc>
          <w:tcPr>
            <w:tcW w:w="3828" w:type="dxa"/>
            <w:tcBorders>
              <w:top w:val="single" w:sz="4" w:space="0" w:color="auto"/>
              <w:bottom w:val="single" w:sz="4" w:space="0" w:color="auto"/>
            </w:tcBorders>
            <w:shd w:val="clear" w:color="auto" w:fill="auto"/>
            <w:vAlign w:val="center"/>
            <w:hideMark/>
          </w:tcPr>
          <w:p w:rsidR="00CE6E46" w:rsidRPr="00895723" w:rsidRDefault="00CE6E46" w:rsidP="0020458A">
            <w:pPr>
              <w:jc w:val="both"/>
              <w:rPr>
                <w:rFonts w:cs="Arial"/>
                <w:b/>
                <w:color w:val="000000"/>
                <w:szCs w:val="22"/>
              </w:rPr>
            </w:pPr>
            <w:r w:rsidRPr="00895723">
              <w:rPr>
                <w:rFonts w:cs="Arial"/>
                <w:b/>
                <w:color w:val="000000"/>
                <w:szCs w:val="22"/>
              </w:rPr>
              <w:t>Total</w:t>
            </w:r>
            <w:r w:rsidR="00850813" w:rsidRPr="00895723">
              <w:rPr>
                <w:rFonts w:cs="Arial"/>
                <w:b/>
                <w:color w:val="000000"/>
                <w:szCs w:val="22"/>
              </w:rPr>
              <w:t xml:space="preserve"> response</w:t>
            </w:r>
          </w:p>
        </w:tc>
        <w:tc>
          <w:tcPr>
            <w:tcW w:w="2296" w:type="dxa"/>
            <w:tcBorders>
              <w:top w:val="single" w:sz="4" w:space="0" w:color="auto"/>
              <w:bottom w:val="single" w:sz="4" w:space="0" w:color="auto"/>
            </w:tcBorders>
            <w:shd w:val="clear" w:color="auto" w:fill="auto"/>
            <w:noWrap/>
            <w:vAlign w:val="bottom"/>
            <w:hideMark/>
          </w:tcPr>
          <w:p w:rsidR="00CE6E46" w:rsidRPr="00895723" w:rsidRDefault="00CE6E46" w:rsidP="00895723">
            <w:pPr>
              <w:jc w:val="center"/>
              <w:rPr>
                <w:rFonts w:ascii="Calibri" w:hAnsi="Calibri"/>
                <w:b/>
                <w:color w:val="000000"/>
                <w:szCs w:val="22"/>
              </w:rPr>
            </w:pPr>
            <w:r w:rsidRPr="00895723">
              <w:rPr>
                <w:rFonts w:ascii="Calibri" w:hAnsi="Calibri"/>
                <w:b/>
                <w:color w:val="000000"/>
                <w:szCs w:val="22"/>
              </w:rPr>
              <w:t>446</w:t>
            </w:r>
          </w:p>
        </w:tc>
        <w:tc>
          <w:tcPr>
            <w:tcW w:w="1843" w:type="dxa"/>
            <w:tcBorders>
              <w:top w:val="single" w:sz="4" w:space="0" w:color="auto"/>
              <w:bottom w:val="single" w:sz="4" w:space="0" w:color="auto"/>
            </w:tcBorders>
            <w:shd w:val="clear" w:color="auto" w:fill="auto"/>
            <w:noWrap/>
            <w:vAlign w:val="bottom"/>
            <w:hideMark/>
          </w:tcPr>
          <w:p w:rsidR="00CE6E46" w:rsidRPr="00895723" w:rsidRDefault="00CE6E46" w:rsidP="00895723">
            <w:pPr>
              <w:jc w:val="center"/>
              <w:rPr>
                <w:rFonts w:ascii="Calibri" w:hAnsi="Calibri"/>
                <w:b/>
                <w:color w:val="000000"/>
                <w:szCs w:val="22"/>
              </w:rPr>
            </w:pPr>
            <w:r w:rsidRPr="00895723">
              <w:rPr>
                <w:rFonts w:ascii="Calibri" w:hAnsi="Calibri"/>
                <w:b/>
                <w:color w:val="000000"/>
                <w:szCs w:val="22"/>
              </w:rPr>
              <w:t>100%</w:t>
            </w:r>
          </w:p>
        </w:tc>
        <w:tc>
          <w:tcPr>
            <w:tcW w:w="960" w:type="dxa"/>
            <w:tcBorders>
              <w:top w:val="single" w:sz="4" w:space="0" w:color="auto"/>
              <w:bottom w:val="single" w:sz="4" w:space="0" w:color="auto"/>
            </w:tcBorders>
            <w:shd w:val="clear" w:color="auto" w:fill="auto"/>
            <w:noWrap/>
            <w:vAlign w:val="bottom"/>
            <w:hideMark/>
          </w:tcPr>
          <w:p w:rsidR="00CE6E46" w:rsidRPr="00895723" w:rsidRDefault="00CE6E46" w:rsidP="00895723">
            <w:pPr>
              <w:jc w:val="center"/>
              <w:rPr>
                <w:rFonts w:ascii="Calibri" w:hAnsi="Calibri"/>
                <w:b/>
                <w:color w:val="000000"/>
                <w:szCs w:val="22"/>
              </w:rPr>
            </w:pPr>
          </w:p>
        </w:tc>
      </w:tr>
    </w:tbl>
    <w:p w:rsidR="00CE6E46" w:rsidRDefault="00CE6E46" w:rsidP="0020458A">
      <w:pPr>
        <w:jc w:val="both"/>
        <w:rPr>
          <w:rFonts w:cs="Arial"/>
        </w:rPr>
      </w:pPr>
    </w:p>
    <w:p w:rsidR="00784143" w:rsidRDefault="00B708DA" w:rsidP="0020458A">
      <w:pPr>
        <w:jc w:val="both"/>
      </w:pPr>
      <w:r>
        <w:t xml:space="preserve">Results indicate that the most important reasons for not engaging with mediation were: (1) </w:t>
      </w:r>
      <w:r w:rsidR="00D403A0">
        <w:t xml:space="preserve">preference for adjudication; (2) lack of trust; (3) limited understanding on the appropriateness of mediation. </w:t>
      </w:r>
      <w:r w:rsidR="00E3555A">
        <w:t xml:space="preserve">The dominance of adjudication hence lack of trust did not come as a surprise finding as this is well established in previous studies </w:t>
      </w:r>
      <w:r w:rsidR="00F95720">
        <w:t>(</w:t>
      </w:r>
      <w:r w:rsidR="00F95720" w:rsidRPr="00F62049">
        <w:rPr>
          <w:szCs w:val="22"/>
        </w:rPr>
        <w:t>Agapiou</w:t>
      </w:r>
      <w:r w:rsidR="00F95720">
        <w:t xml:space="preserve">, </w:t>
      </w:r>
      <w:r w:rsidR="00E125D9">
        <w:t>2013;</w:t>
      </w:r>
      <w:r w:rsidR="00F95720">
        <w:t xml:space="preserve"> Trushell et al., 2012</w:t>
      </w:r>
      <w:r w:rsidR="00E125D9">
        <w:t>;</w:t>
      </w:r>
      <w:r w:rsidR="00F95720">
        <w:t xml:space="preserve"> </w:t>
      </w:r>
      <w:r w:rsidR="00F95720" w:rsidRPr="00D606C1">
        <w:t>Mason and Sharratt</w:t>
      </w:r>
      <w:r w:rsidR="00F95720">
        <w:t>,</w:t>
      </w:r>
      <w:r w:rsidR="00F95720" w:rsidRPr="00DC420C">
        <w:t xml:space="preserve"> </w:t>
      </w:r>
      <w:r w:rsidR="00F95720" w:rsidRPr="00D606C1">
        <w:t>2013)</w:t>
      </w:r>
      <w:r w:rsidR="00E3555A">
        <w:t xml:space="preserve">. What is </w:t>
      </w:r>
      <w:r w:rsidR="00E125D9">
        <w:t xml:space="preserve">more </w:t>
      </w:r>
      <w:r w:rsidR="00E3555A">
        <w:t xml:space="preserve">interesting is the misconception that mediation is not capable of settling the case or it will make the parties look weak. </w:t>
      </w:r>
      <w:r w:rsidR="00784143">
        <w:t>The finding</w:t>
      </w:r>
      <w:r w:rsidR="00F95720">
        <w:t>s</w:t>
      </w:r>
      <w:r w:rsidR="00784143">
        <w:t xml:space="preserve"> clearly indicate a </w:t>
      </w:r>
      <w:r w:rsidR="00F33CAB">
        <w:t>limited</w:t>
      </w:r>
      <w:r w:rsidR="00784143">
        <w:t xml:space="preserve"> understanding </w:t>
      </w:r>
      <w:r w:rsidR="00F33CAB">
        <w:t xml:space="preserve">on the </w:t>
      </w:r>
      <w:r w:rsidR="00784143">
        <w:t xml:space="preserve">appropriateness of and the advantages </w:t>
      </w:r>
      <w:r w:rsidR="00F33CAB">
        <w:t xml:space="preserve">of </w:t>
      </w:r>
      <w:r w:rsidR="00784143">
        <w:t>using mediation.</w:t>
      </w:r>
    </w:p>
    <w:p w:rsidR="00F33CAB" w:rsidRDefault="00F33CAB" w:rsidP="0020458A">
      <w:pPr>
        <w:jc w:val="both"/>
        <w:rPr>
          <w:rFonts w:cs="Arial"/>
        </w:rPr>
      </w:pPr>
    </w:p>
    <w:p w:rsidR="001A33DC" w:rsidRDefault="00F33CAB" w:rsidP="0020458A">
      <w:pPr>
        <w:jc w:val="both"/>
      </w:pPr>
      <w:r>
        <w:t>A detailed examin</w:t>
      </w:r>
      <w:r w:rsidR="009B2640">
        <w:t>ation of the ra</w:t>
      </w:r>
      <w:r w:rsidR="006D6EDE">
        <w:t>n</w:t>
      </w:r>
      <w:r w:rsidR="009B2640">
        <w:t xml:space="preserve">king by each stakeholder group is presented in table 5. </w:t>
      </w:r>
      <w:r w:rsidR="006D6EDE">
        <w:t xml:space="preserve">The table explains how each group perceived the most important factor for not considering mediation as the right dispute resolution process. </w:t>
      </w:r>
      <w:r w:rsidR="001A33DC">
        <w:t xml:space="preserve">Results show that the parties ranked the factors differently, </w:t>
      </w:r>
      <w:r w:rsidR="00E24DD3">
        <w:t>however, subcontractors,</w:t>
      </w:r>
      <w:r w:rsidR="001A33DC">
        <w:t xml:space="preserve"> consultants and main contractors </w:t>
      </w:r>
      <w:r w:rsidR="00E24DD3">
        <w:t>closely matched their top five factors</w:t>
      </w:r>
      <w:r w:rsidR="001A33DC">
        <w:t xml:space="preserve">.  </w:t>
      </w:r>
      <w:r w:rsidR="008C02B5">
        <w:t xml:space="preserve">For example four out of the top five </w:t>
      </w:r>
      <w:r w:rsidR="008C02B5">
        <w:lastRenderedPageBreak/>
        <w:t xml:space="preserve">factors </w:t>
      </w:r>
      <w:r w:rsidR="00956149">
        <w:t>vot</w:t>
      </w:r>
      <w:r w:rsidR="00E24DD3">
        <w:t>ed</w:t>
      </w:r>
      <w:r w:rsidR="008C02B5">
        <w:t xml:space="preserve"> by main contractors were also </w:t>
      </w:r>
      <w:r w:rsidR="00652DD8">
        <w:t xml:space="preserve">voted </w:t>
      </w:r>
      <w:r w:rsidR="008C02B5">
        <w:t xml:space="preserve">on the top five </w:t>
      </w:r>
      <w:r w:rsidR="00652DD8">
        <w:t>by</w:t>
      </w:r>
      <w:r w:rsidR="008C02B5">
        <w:t xml:space="preserve"> </w:t>
      </w:r>
      <w:r w:rsidR="00956149">
        <w:t xml:space="preserve">both </w:t>
      </w:r>
      <w:r w:rsidR="008C02B5">
        <w:t>consultants</w:t>
      </w:r>
      <w:r w:rsidR="00E24DD3">
        <w:t xml:space="preserve"> and subcontractors</w:t>
      </w:r>
      <w:r w:rsidR="008C02B5">
        <w:t>. This includes:</w:t>
      </w:r>
    </w:p>
    <w:p w:rsidR="008C02B5" w:rsidRPr="00F95720" w:rsidRDefault="008C02B5" w:rsidP="0020458A">
      <w:pPr>
        <w:pStyle w:val="ListParagraph"/>
        <w:numPr>
          <w:ilvl w:val="0"/>
          <w:numId w:val="15"/>
        </w:numPr>
        <w:jc w:val="both"/>
        <w:rPr>
          <w:rFonts w:cs="Arial"/>
        </w:rPr>
      </w:pPr>
      <w:r w:rsidRPr="0083185C">
        <w:rPr>
          <w:rFonts w:cs="Arial"/>
        </w:rPr>
        <w:t xml:space="preserve">Belief that other party </w:t>
      </w:r>
      <w:r w:rsidRPr="00F95720">
        <w:rPr>
          <w:rFonts w:cs="Arial"/>
          <w:color w:val="000000"/>
          <w:szCs w:val="22"/>
        </w:rPr>
        <w:t>would not take part in good faith</w:t>
      </w:r>
      <w:r w:rsidR="007C160B" w:rsidRPr="0083185C">
        <w:rPr>
          <w:rFonts w:cs="Arial"/>
          <w:color w:val="000000"/>
          <w:szCs w:val="22"/>
        </w:rPr>
        <w:t xml:space="preserve"> was </w:t>
      </w:r>
      <w:r w:rsidR="00C93DBF" w:rsidRPr="00F95720">
        <w:rPr>
          <w:rFonts w:cs="Arial"/>
          <w:color w:val="000000"/>
          <w:szCs w:val="22"/>
        </w:rPr>
        <w:t xml:space="preserve">ranked </w:t>
      </w:r>
      <w:r w:rsidR="007C160B">
        <w:rPr>
          <w:rFonts w:cs="Arial"/>
          <w:color w:val="000000"/>
          <w:szCs w:val="22"/>
        </w:rPr>
        <w:t xml:space="preserve">the </w:t>
      </w:r>
      <w:r w:rsidR="00C93DBF" w:rsidRPr="00F95720">
        <w:rPr>
          <w:rFonts w:cs="Arial"/>
          <w:color w:val="000000"/>
          <w:szCs w:val="22"/>
        </w:rPr>
        <w:t>1</w:t>
      </w:r>
      <w:r w:rsidR="00DA2999" w:rsidRPr="00F95720">
        <w:rPr>
          <w:rFonts w:cs="Arial"/>
          <w:color w:val="000000"/>
          <w:szCs w:val="22"/>
          <w:vertAlign w:val="superscript"/>
        </w:rPr>
        <w:t>st</w:t>
      </w:r>
      <w:r w:rsidR="00DA2999" w:rsidRPr="00F95720">
        <w:rPr>
          <w:rFonts w:cs="Arial"/>
          <w:color w:val="000000"/>
          <w:szCs w:val="22"/>
        </w:rPr>
        <w:t xml:space="preserve"> </w:t>
      </w:r>
      <w:r w:rsidR="00C93DBF" w:rsidRPr="00F95720">
        <w:rPr>
          <w:rFonts w:cs="Arial"/>
          <w:color w:val="000000"/>
          <w:szCs w:val="22"/>
        </w:rPr>
        <w:t>by main contractors</w:t>
      </w:r>
      <w:r w:rsidR="00956149">
        <w:rPr>
          <w:rFonts w:cs="Arial"/>
          <w:color w:val="000000"/>
          <w:szCs w:val="22"/>
        </w:rPr>
        <w:t>;</w:t>
      </w:r>
      <w:r w:rsidR="00C93DBF" w:rsidRPr="00F95720">
        <w:rPr>
          <w:rFonts w:cs="Arial"/>
          <w:color w:val="000000"/>
          <w:szCs w:val="22"/>
        </w:rPr>
        <w:t xml:space="preserve"> 3</w:t>
      </w:r>
      <w:r w:rsidR="00DA2999" w:rsidRPr="00F95720">
        <w:rPr>
          <w:rFonts w:cs="Arial"/>
          <w:color w:val="000000"/>
          <w:szCs w:val="22"/>
          <w:vertAlign w:val="superscript"/>
        </w:rPr>
        <w:t>rd</w:t>
      </w:r>
      <w:r w:rsidR="00DA2999" w:rsidRPr="00F95720">
        <w:rPr>
          <w:rFonts w:cs="Arial"/>
          <w:color w:val="000000"/>
          <w:szCs w:val="22"/>
        </w:rPr>
        <w:t xml:space="preserve"> </w:t>
      </w:r>
      <w:r w:rsidR="00C93DBF" w:rsidRPr="00F95720">
        <w:rPr>
          <w:rFonts w:cs="Arial"/>
          <w:color w:val="000000"/>
          <w:szCs w:val="22"/>
        </w:rPr>
        <w:t>by consultants</w:t>
      </w:r>
      <w:r w:rsidR="00956149">
        <w:rPr>
          <w:rFonts w:cs="Arial"/>
          <w:color w:val="000000"/>
          <w:szCs w:val="22"/>
        </w:rPr>
        <w:t xml:space="preserve"> and 4</w:t>
      </w:r>
      <w:r w:rsidR="00956149" w:rsidRPr="00F95720">
        <w:rPr>
          <w:rFonts w:cs="Arial"/>
          <w:color w:val="000000"/>
          <w:szCs w:val="22"/>
          <w:vertAlign w:val="superscript"/>
        </w:rPr>
        <w:t>th</w:t>
      </w:r>
      <w:r w:rsidR="00956149">
        <w:rPr>
          <w:rFonts w:cs="Arial"/>
          <w:color w:val="000000"/>
          <w:szCs w:val="22"/>
        </w:rPr>
        <w:t xml:space="preserve"> by subcontractors;</w:t>
      </w:r>
    </w:p>
    <w:p w:rsidR="008C02B5" w:rsidRPr="00F95720" w:rsidRDefault="008C02B5" w:rsidP="0020458A">
      <w:pPr>
        <w:pStyle w:val="ListParagraph"/>
        <w:numPr>
          <w:ilvl w:val="0"/>
          <w:numId w:val="15"/>
        </w:numPr>
        <w:jc w:val="both"/>
        <w:rPr>
          <w:rFonts w:cs="Arial"/>
        </w:rPr>
      </w:pPr>
      <w:r w:rsidRPr="00F95720">
        <w:rPr>
          <w:rFonts w:cs="Arial"/>
          <w:color w:val="000000"/>
          <w:szCs w:val="22"/>
        </w:rPr>
        <w:t>The case type not appropriate for mediation</w:t>
      </w:r>
      <w:r w:rsidR="007C160B" w:rsidRPr="0083185C">
        <w:rPr>
          <w:rFonts w:cs="Arial"/>
          <w:color w:val="000000"/>
          <w:szCs w:val="22"/>
        </w:rPr>
        <w:t xml:space="preserve"> was </w:t>
      </w:r>
      <w:r w:rsidR="00C93DBF" w:rsidRPr="00F95720">
        <w:rPr>
          <w:rFonts w:cs="Arial"/>
          <w:color w:val="000000"/>
          <w:szCs w:val="22"/>
        </w:rPr>
        <w:t xml:space="preserve">ranked </w:t>
      </w:r>
      <w:r w:rsidR="007C160B">
        <w:rPr>
          <w:rFonts w:cs="Arial"/>
          <w:color w:val="000000"/>
          <w:szCs w:val="22"/>
        </w:rPr>
        <w:t xml:space="preserve">the </w:t>
      </w:r>
      <w:r w:rsidR="00C93DBF" w:rsidRPr="00F95720">
        <w:rPr>
          <w:rFonts w:cs="Arial"/>
          <w:color w:val="000000"/>
          <w:szCs w:val="22"/>
        </w:rPr>
        <w:t>2</w:t>
      </w:r>
      <w:r w:rsidR="00DA2999" w:rsidRPr="00F95720">
        <w:rPr>
          <w:rFonts w:cs="Arial"/>
          <w:color w:val="000000"/>
          <w:szCs w:val="22"/>
          <w:vertAlign w:val="superscript"/>
        </w:rPr>
        <w:t>nd</w:t>
      </w:r>
      <w:r w:rsidR="00DA2999" w:rsidRPr="00F95720">
        <w:rPr>
          <w:rFonts w:cs="Arial"/>
          <w:color w:val="000000"/>
          <w:szCs w:val="22"/>
        </w:rPr>
        <w:t xml:space="preserve"> </w:t>
      </w:r>
      <w:r w:rsidR="00C93DBF" w:rsidRPr="00F95720">
        <w:rPr>
          <w:rFonts w:cs="Arial"/>
          <w:color w:val="000000"/>
          <w:szCs w:val="22"/>
        </w:rPr>
        <w:t>by both main contractors and consultants</w:t>
      </w:r>
      <w:r w:rsidR="00956149">
        <w:rPr>
          <w:rFonts w:cs="Arial"/>
          <w:color w:val="000000"/>
          <w:szCs w:val="22"/>
        </w:rPr>
        <w:t xml:space="preserve"> but 3</w:t>
      </w:r>
      <w:r w:rsidR="00956149" w:rsidRPr="00F95720">
        <w:rPr>
          <w:rFonts w:cs="Arial"/>
          <w:color w:val="000000"/>
          <w:szCs w:val="22"/>
          <w:vertAlign w:val="superscript"/>
        </w:rPr>
        <w:t>rd</w:t>
      </w:r>
      <w:r w:rsidR="00956149">
        <w:rPr>
          <w:rFonts w:cs="Arial"/>
          <w:color w:val="000000"/>
          <w:szCs w:val="22"/>
        </w:rPr>
        <w:t xml:space="preserve"> by subcontractors;</w:t>
      </w:r>
    </w:p>
    <w:p w:rsidR="007C160B" w:rsidRPr="00F95720" w:rsidRDefault="007C160B" w:rsidP="0020458A">
      <w:pPr>
        <w:pStyle w:val="ListParagraph"/>
        <w:numPr>
          <w:ilvl w:val="0"/>
          <w:numId w:val="15"/>
        </w:numPr>
        <w:jc w:val="both"/>
        <w:rPr>
          <w:rFonts w:cs="Arial"/>
        </w:rPr>
      </w:pPr>
      <w:r w:rsidRPr="007C160B">
        <w:rPr>
          <w:rFonts w:cs="Arial"/>
        </w:rPr>
        <w:t>Belief that negotiation was capable of settling the case</w:t>
      </w:r>
      <w:r>
        <w:rPr>
          <w:rFonts w:cs="Arial"/>
        </w:rPr>
        <w:t xml:space="preserve">  was ranked the 3</w:t>
      </w:r>
      <w:r w:rsidRPr="00F95720">
        <w:rPr>
          <w:rFonts w:cs="Arial"/>
          <w:vertAlign w:val="superscript"/>
        </w:rPr>
        <w:t>rd</w:t>
      </w:r>
      <w:r>
        <w:rPr>
          <w:rFonts w:cs="Arial"/>
        </w:rPr>
        <w:t xml:space="preserve"> by main contractors; at 5</w:t>
      </w:r>
      <w:r w:rsidRPr="00F95720">
        <w:rPr>
          <w:rFonts w:cs="Arial"/>
          <w:vertAlign w:val="superscript"/>
        </w:rPr>
        <w:t>th</w:t>
      </w:r>
      <w:r>
        <w:rPr>
          <w:rFonts w:cs="Arial"/>
        </w:rPr>
        <w:t xml:space="preserve"> place by subcontractors and 8</w:t>
      </w:r>
      <w:r w:rsidRPr="00F95720">
        <w:rPr>
          <w:rFonts w:cs="Arial"/>
          <w:vertAlign w:val="superscript"/>
        </w:rPr>
        <w:t>th</w:t>
      </w:r>
      <w:r>
        <w:rPr>
          <w:rFonts w:cs="Arial"/>
        </w:rPr>
        <w:t xml:space="preserve"> by consultants;</w:t>
      </w:r>
    </w:p>
    <w:p w:rsidR="009024C7" w:rsidRPr="008A1808" w:rsidRDefault="009024C7" w:rsidP="0020458A">
      <w:pPr>
        <w:pStyle w:val="ListParagraph"/>
        <w:numPr>
          <w:ilvl w:val="0"/>
          <w:numId w:val="15"/>
        </w:numPr>
        <w:jc w:val="both"/>
        <w:rPr>
          <w:rFonts w:cs="Arial"/>
        </w:rPr>
      </w:pPr>
      <w:r w:rsidRPr="008A1808">
        <w:rPr>
          <w:rFonts w:cs="Arial"/>
          <w:color w:val="000000"/>
          <w:szCs w:val="22"/>
        </w:rPr>
        <w:t>Belief that adjudication was more appropriate</w:t>
      </w:r>
      <w:r>
        <w:rPr>
          <w:rFonts w:cs="Arial"/>
          <w:color w:val="000000"/>
          <w:szCs w:val="22"/>
        </w:rPr>
        <w:t xml:space="preserve"> was ranked</w:t>
      </w:r>
      <w:r w:rsidRPr="008A1808">
        <w:rPr>
          <w:rFonts w:cs="Arial"/>
          <w:color w:val="000000"/>
          <w:szCs w:val="22"/>
        </w:rPr>
        <w:t xml:space="preserve"> 4</w:t>
      </w:r>
      <w:r w:rsidRPr="008A1808">
        <w:rPr>
          <w:rFonts w:cs="Arial"/>
          <w:color w:val="000000"/>
          <w:szCs w:val="22"/>
          <w:vertAlign w:val="superscript"/>
        </w:rPr>
        <w:t>th</w:t>
      </w:r>
      <w:r w:rsidRPr="008A1808">
        <w:rPr>
          <w:rFonts w:cs="Arial"/>
          <w:color w:val="000000"/>
          <w:szCs w:val="22"/>
        </w:rPr>
        <w:t xml:space="preserve"> by both main contractors and consultants</w:t>
      </w:r>
      <w:r>
        <w:rPr>
          <w:rFonts w:cs="Arial"/>
          <w:color w:val="000000"/>
          <w:szCs w:val="22"/>
        </w:rPr>
        <w:t xml:space="preserve"> but ranked 1</w:t>
      </w:r>
      <w:r w:rsidRPr="008A1808">
        <w:rPr>
          <w:rFonts w:cs="Arial"/>
          <w:color w:val="000000"/>
          <w:szCs w:val="22"/>
          <w:vertAlign w:val="superscript"/>
        </w:rPr>
        <w:t>st</w:t>
      </w:r>
      <w:r>
        <w:rPr>
          <w:rFonts w:cs="Arial"/>
          <w:color w:val="000000"/>
          <w:szCs w:val="22"/>
        </w:rPr>
        <w:t xml:space="preserve"> by subcontractors; and</w:t>
      </w:r>
    </w:p>
    <w:p w:rsidR="008C02B5" w:rsidRPr="00F95720" w:rsidRDefault="00C93DBF" w:rsidP="0020458A">
      <w:pPr>
        <w:pStyle w:val="ListParagraph"/>
        <w:numPr>
          <w:ilvl w:val="0"/>
          <w:numId w:val="15"/>
        </w:numPr>
        <w:jc w:val="both"/>
        <w:rPr>
          <w:rFonts w:cs="Arial"/>
        </w:rPr>
      </w:pPr>
      <w:r w:rsidRPr="00F95720">
        <w:rPr>
          <w:rFonts w:cs="Arial"/>
          <w:color w:val="000000"/>
          <w:szCs w:val="22"/>
        </w:rPr>
        <w:t>The strength of our legal case</w:t>
      </w:r>
      <w:r w:rsidR="00652DD8" w:rsidRPr="0083185C">
        <w:rPr>
          <w:rFonts w:cs="Arial"/>
          <w:color w:val="000000"/>
          <w:szCs w:val="22"/>
        </w:rPr>
        <w:t xml:space="preserve"> </w:t>
      </w:r>
      <w:r w:rsidR="009024C7" w:rsidRPr="0083185C">
        <w:rPr>
          <w:rFonts w:cs="Arial"/>
          <w:color w:val="000000"/>
          <w:szCs w:val="22"/>
        </w:rPr>
        <w:t xml:space="preserve">was </w:t>
      </w:r>
      <w:r w:rsidRPr="00F95720">
        <w:rPr>
          <w:rFonts w:cs="Arial"/>
          <w:color w:val="000000"/>
          <w:szCs w:val="22"/>
        </w:rPr>
        <w:t xml:space="preserve">ranked </w:t>
      </w:r>
      <w:r w:rsidR="009024C7">
        <w:rPr>
          <w:rFonts w:cs="Arial"/>
          <w:color w:val="000000"/>
          <w:szCs w:val="22"/>
        </w:rPr>
        <w:t xml:space="preserve">the </w:t>
      </w:r>
      <w:r w:rsidRPr="00F95720">
        <w:rPr>
          <w:rFonts w:cs="Arial"/>
          <w:color w:val="000000"/>
          <w:szCs w:val="22"/>
        </w:rPr>
        <w:t>5</w:t>
      </w:r>
      <w:r w:rsidR="00DA2999" w:rsidRPr="00F95720">
        <w:rPr>
          <w:rFonts w:cs="Arial"/>
          <w:color w:val="000000"/>
          <w:szCs w:val="22"/>
          <w:vertAlign w:val="superscript"/>
        </w:rPr>
        <w:t>th</w:t>
      </w:r>
      <w:r w:rsidR="00DA2999" w:rsidRPr="00F95720">
        <w:rPr>
          <w:rFonts w:cs="Arial"/>
          <w:color w:val="000000"/>
          <w:szCs w:val="22"/>
        </w:rPr>
        <w:t xml:space="preserve"> </w:t>
      </w:r>
      <w:r w:rsidRPr="00F95720">
        <w:rPr>
          <w:rFonts w:cs="Arial"/>
          <w:color w:val="000000"/>
          <w:szCs w:val="22"/>
        </w:rPr>
        <w:t xml:space="preserve">by contractors </w:t>
      </w:r>
      <w:r w:rsidR="009024C7">
        <w:rPr>
          <w:rFonts w:cs="Arial"/>
          <w:color w:val="000000"/>
          <w:szCs w:val="22"/>
        </w:rPr>
        <w:t>but the</w:t>
      </w:r>
      <w:r w:rsidRPr="00F95720">
        <w:rPr>
          <w:rFonts w:cs="Arial"/>
          <w:color w:val="000000"/>
          <w:szCs w:val="22"/>
        </w:rPr>
        <w:t xml:space="preserve"> </w:t>
      </w:r>
      <w:r w:rsidR="00DA2999" w:rsidRPr="00F95720">
        <w:rPr>
          <w:rFonts w:cs="Arial"/>
          <w:color w:val="000000"/>
          <w:szCs w:val="22"/>
        </w:rPr>
        <w:t>1</w:t>
      </w:r>
      <w:r w:rsidR="00DA2999" w:rsidRPr="00F95720">
        <w:rPr>
          <w:rFonts w:cs="Arial"/>
          <w:color w:val="000000"/>
          <w:szCs w:val="22"/>
          <w:vertAlign w:val="superscript"/>
        </w:rPr>
        <w:t>st</w:t>
      </w:r>
      <w:r w:rsidR="00DA2999" w:rsidRPr="00F95720">
        <w:rPr>
          <w:rFonts w:cs="Arial"/>
          <w:color w:val="000000"/>
          <w:szCs w:val="22"/>
        </w:rPr>
        <w:t xml:space="preserve"> </w:t>
      </w:r>
      <w:r w:rsidR="009024C7">
        <w:rPr>
          <w:rFonts w:cs="Arial"/>
          <w:color w:val="000000"/>
          <w:szCs w:val="22"/>
        </w:rPr>
        <w:t xml:space="preserve">by </w:t>
      </w:r>
      <w:r w:rsidRPr="00F95720">
        <w:rPr>
          <w:rFonts w:cs="Arial"/>
          <w:color w:val="000000"/>
          <w:szCs w:val="22"/>
        </w:rPr>
        <w:t>consultants</w:t>
      </w:r>
      <w:r w:rsidR="00956149">
        <w:rPr>
          <w:rFonts w:cs="Arial"/>
          <w:color w:val="000000"/>
          <w:szCs w:val="22"/>
        </w:rPr>
        <w:t xml:space="preserve"> </w:t>
      </w:r>
      <w:r w:rsidR="009024C7">
        <w:rPr>
          <w:rFonts w:cs="Arial"/>
          <w:color w:val="000000"/>
          <w:szCs w:val="22"/>
        </w:rPr>
        <w:t>and</w:t>
      </w:r>
      <w:r w:rsidR="00956149">
        <w:rPr>
          <w:rFonts w:cs="Arial"/>
          <w:color w:val="000000"/>
          <w:szCs w:val="22"/>
        </w:rPr>
        <w:t xml:space="preserve"> 10</w:t>
      </w:r>
      <w:r w:rsidR="00956149" w:rsidRPr="00F95720">
        <w:rPr>
          <w:rFonts w:cs="Arial"/>
          <w:color w:val="000000"/>
          <w:szCs w:val="22"/>
          <w:vertAlign w:val="superscript"/>
        </w:rPr>
        <w:t>th</w:t>
      </w:r>
      <w:r w:rsidR="00956149">
        <w:rPr>
          <w:rFonts w:cs="Arial"/>
          <w:color w:val="000000"/>
          <w:szCs w:val="22"/>
        </w:rPr>
        <w:t xml:space="preserve"> by subcontractors</w:t>
      </w:r>
      <w:r w:rsidR="009024C7" w:rsidRPr="0083185C">
        <w:rPr>
          <w:rFonts w:cs="Arial"/>
          <w:color w:val="000000"/>
          <w:szCs w:val="22"/>
        </w:rPr>
        <w:t>.</w:t>
      </w:r>
    </w:p>
    <w:p w:rsidR="00652DD8" w:rsidRPr="00F95720" w:rsidRDefault="00652DD8" w:rsidP="0020458A">
      <w:pPr>
        <w:jc w:val="both"/>
      </w:pPr>
      <w:r>
        <w:t>Clients had relatively higher scores on most factors</w:t>
      </w:r>
      <w:r w:rsidR="00B245E8">
        <w:t xml:space="preserve">, with the top three scoring 32%, 25% and 25% respectively. </w:t>
      </w:r>
      <w:r w:rsidR="00EF6BAB">
        <w:t>The</w:t>
      </w:r>
      <w:r w:rsidR="00B245E8">
        <w:t xml:space="preserve"> fourth to sixth </w:t>
      </w:r>
      <w:r w:rsidR="000B2D1B">
        <w:t xml:space="preserve">factor </w:t>
      </w:r>
      <w:r w:rsidR="00B245E8">
        <w:t xml:space="preserve">each scored 21% while the </w:t>
      </w:r>
      <w:r w:rsidR="00EF6BAB">
        <w:t>seventh to ninths scored 18%, 18% and 15% respectively</w:t>
      </w:r>
      <w:r w:rsidR="000B2D1B">
        <w:t>,</w:t>
      </w:r>
      <w:r w:rsidR="00EF6BAB">
        <w:t xml:space="preserve"> and </w:t>
      </w:r>
      <w:r w:rsidR="00B245E8">
        <w:t>least ranked factor scored 7%</w:t>
      </w:r>
      <w:r w:rsidR="00EF6BAB">
        <w:t xml:space="preserve">. Consultants did not vote for both </w:t>
      </w:r>
      <w:r w:rsidR="00DE4FBB">
        <w:t>“</w:t>
      </w:r>
      <w:r w:rsidR="00DE4FBB" w:rsidRPr="002F58CD">
        <w:rPr>
          <w:i/>
        </w:rPr>
        <w:t>m</w:t>
      </w:r>
      <w:r w:rsidR="00EF6BAB" w:rsidRPr="002F58CD">
        <w:rPr>
          <w:i/>
        </w:rPr>
        <w:t>ediating the case would have made us look weak</w:t>
      </w:r>
      <w:r w:rsidR="00DE4FBB">
        <w:t>” and “</w:t>
      </w:r>
      <w:r w:rsidR="00DE4FBB" w:rsidRPr="002F58CD">
        <w:rPr>
          <w:i/>
        </w:rPr>
        <w:t>m</w:t>
      </w:r>
      <w:r w:rsidR="00EF6BAB" w:rsidRPr="002F58CD">
        <w:rPr>
          <w:i/>
        </w:rPr>
        <w:t>ediation would have involved compromise</w:t>
      </w:r>
      <w:r w:rsidR="00DE4FBB">
        <w:t xml:space="preserve">” signifying they had better understanding of mediation than their clients – which is also evident from the ranking of </w:t>
      </w:r>
      <w:r w:rsidR="0048464D">
        <w:t>“</w:t>
      </w:r>
      <w:r w:rsidR="0048464D" w:rsidRPr="0083185C">
        <w:rPr>
          <w:i/>
        </w:rPr>
        <w:t>d</w:t>
      </w:r>
      <w:r w:rsidR="0048464D" w:rsidRPr="00F95720">
        <w:rPr>
          <w:i/>
        </w:rPr>
        <w:t>id not know enough about what mediation entailed</w:t>
      </w:r>
      <w:r w:rsidR="0048464D">
        <w:t>” at 7</w:t>
      </w:r>
      <w:r w:rsidR="0048464D" w:rsidRPr="00F95720">
        <w:rPr>
          <w:vertAlign w:val="superscript"/>
        </w:rPr>
        <w:t>th</w:t>
      </w:r>
      <w:r w:rsidR="0048464D">
        <w:t xml:space="preserve"> place (9% of votes). </w:t>
      </w:r>
      <w:r w:rsidR="00DE4FBB">
        <w:t xml:space="preserve"> </w:t>
      </w:r>
      <w:r w:rsidR="0048464D">
        <w:t>This score is also similar to the related factor</w:t>
      </w:r>
      <w:r w:rsidR="0048464D" w:rsidRPr="0083185C">
        <w:t>, “</w:t>
      </w:r>
      <w:r w:rsidR="0048464D" w:rsidRPr="00F95720">
        <w:rPr>
          <w:i/>
          <w:color w:val="000000"/>
          <w:szCs w:val="22"/>
        </w:rPr>
        <w:t>the high cost of mediation</w:t>
      </w:r>
      <w:r w:rsidR="0048464D" w:rsidRPr="00F95720">
        <w:rPr>
          <w:color w:val="000000"/>
          <w:szCs w:val="22"/>
        </w:rPr>
        <w:t>”</w:t>
      </w:r>
      <w:r w:rsidR="00E4629D" w:rsidRPr="00F95720">
        <w:rPr>
          <w:color w:val="000000"/>
          <w:szCs w:val="22"/>
        </w:rPr>
        <w:t xml:space="preserve"> ranked at the sixth place. </w:t>
      </w:r>
    </w:p>
    <w:p w:rsidR="000E09B1" w:rsidRPr="00F95720" w:rsidRDefault="000E09B1" w:rsidP="0020458A">
      <w:pPr>
        <w:jc w:val="both"/>
        <w:rPr>
          <w:rFonts w:cs="Arial"/>
          <w:szCs w:val="22"/>
        </w:rPr>
      </w:pPr>
    </w:p>
    <w:p w:rsidR="00170FC6" w:rsidRPr="00F95720" w:rsidRDefault="00170FC6" w:rsidP="0020458A">
      <w:pPr>
        <w:pStyle w:val="Caption"/>
        <w:keepNext/>
        <w:jc w:val="both"/>
        <w:rPr>
          <w:rFonts w:cs="Arial"/>
          <w:b w:val="0"/>
          <w:sz w:val="22"/>
          <w:szCs w:val="22"/>
        </w:rPr>
      </w:pPr>
      <w:r w:rsidRPr="00F95720">
        <w:rPr>
          <w:rFonts w:cs="Arial"/>
          <w:b w:val="0"/>
          <w:sz w:val="22"/>
          <w:szCs w:val="22"/>
        </w:rPr>
        <w:t xml:space="preserve">Table </w:t>
      </w:r>
      <w:r w:rsidRPr="00F95720">
        <w:rPr>
          <w:rFonts w:cs="Arial"/>
          <w:b w:val="0"/>
          <w:sz w:val="22"/>
          <w:szCs w:val="22"/>
        </w:rPr>
        <w:fldChar w:fldCharType="begin"/>
      </w:r>
      <w:r w:rsidRPr="00F95720">
        <w:rPr>
          <w:rFonts w:cs="Arial"/>
          <w:b w:val="0"/>
          <w:sz w:val="22"/>
          <w:szCs w:val="22"/>
        </w:rPr>
        <w:instrText xml:space="preserve"> SEQ Table \* ARABIC </w:instrText>
      </w:r>
      <w:r w:rsidRPr="00F95720">
        <w:rPr>
          <w:rFonts w:cs="Arial"/>
          <w:b w:val="0"/>
          <w:sz w:val="22"/>
          <w:szCs w:val="22"/>
        </w:rPr>
        <w:fldChar w:fldCharType="separate"/>
      </w:r>
      <w:r w:rsidRPr="00F95720">
        <w:rPr>
          <w:rFonts w:cs="Arial"/>
          <w:b w:val="0"/>
          <w:noProof/>
          <w:sz w:val="22"/>
          <w:szCs w:val="22"/>
        </w:rPr>
        <w:t>5</w:t>
      </w:r>
      <w:r w:rsidRPr="00F95720">
        <w:rPr>
          <w:rFonts w:cs="Arial"/>
          <w:b w:val="0"/>
          <w:sz w:val="22"/>
          <w:szCs w:val="22"/>
        </w:rPr>
        <w:fldChar w:fldCharType="end"/>
      </w:r>
      <w:r w:rsidRPr="00F95720">
        <w:rPr>
          <w:rFonts w:cs="Arial"/>
          <w:b w:val="0"/>
          <w:sz w:val="22"/>
          <w:szCs w:val="22"/>
        </w:rPr>
        <w:t>: detailed ranking by stakeholder groups</w:t>
      </w:r>
    </w:p>
    <w:tbl>
      <w:tblPr>
        <w:tblW w:w="9391" w:type="dxa"/>
        <w:tblInd w:w="-5" w:type="dxa"/>
        <w:tblBorders>
          <w:top w:val="single" w:sz="4" w:space="0" w:color="auto"/>
          <w:bottom w:val="single" w:sz="4" w:space="0" w:color="auto"/>
        </w:tblBorders>
        <w:tblLook w:val="04A0" w:firstRow="1" w:lastRow="0" w:firstColumn="1" w:lastColumn="0" w:noHBand="0" w:noVBand="1"/>
      </w:tblPr>
      <w:tblGrid>
        <w:gridCol w:w="3400"/>
        <w:gridCol w:w="1275"/>
        <w:gridCol w:w="1488"/>
        <w:gridCol w:w="1427"/>
        <w:gridCol w:w="1427"/>
        <w:gridCol w:w="1011"/>
      </w:tblGrid>
      <w:tr w:rsidR="00170FC6" w:rsidRPr="008673A9" w:rsidTr="0020458A">
        <w:trPr>
          <w:trHeight w:val="300"/>
        </w:trPr>
        <w:tc>
          <w:tcPr>
            <w:tcW w:w="3400" w:type="dxa"/>
            <w:vMerge w:val="restart"/>
            <w:shd w:val="clear" w:color="auto" w:fill="auto"/>
            <w:noWrap/>
            <w:vAlign w:val="bottom"/>
            <w:hideMark/>
          </w:tcPr>
          <w:p w:rsidR="00170FC6" w:rsidRPr="0020458A" w:rsidRDefault="00170FC6" w:rsidP="0020458A">
            <w:pPr>
              <w:jc w:val="both"/>
              <w:rPr>
                <w:rFonts w:cs="Arial"/>
                <w:b/>
                <w:color w:val="000000"/>
                <w:szCs w:val="22"/>
              </w:rPr>
            </w:pPr>
            <w:r w:rsidRPr="0020458A">
              <w:rPr>
                <w:rFonts w:cs="Arial"/>
                <w:b/>
                <w:color w:val="000000"/>
                <w:szCs w:val="22"/>
              </w:rPr>
              <w:t> </w:t>
            </w:r>
          </w:p>
          <w:p w:rsidR="00170FC6" w:rsidRPr="0020458A" w:rsidRDefault="00170FC6" w:rsidP="0020458A">
            <w:pPr>
              <w:jc w:val="both"/>
              <w:rPr>
                <w:rFonts w:cs="Arial"/>
                <w:b/>
                <w:color w:val="000000"/>
                <w:szCs w:val="22"/>
              </w:rPr>
            </w:pPr>
            <w:r w:rsidRPr="0020458A">
              <w:rPr>
                <w:rFonts w:cs="Arial"/>
                <w:b/>
                <w:color w:val="000000"/>
                <w:szCs w:val="22"/>
              </w:rPr>
              <w:t>Influencing factors</w:t>
            </w:r>
          </w:p>
        </w:tc>
        <w:tc>
          <w:tcPr>
            <w:tcW w:w="5031" w:type="dxa"/>
            <w:gridSpan w:val="4"/>
            <w:tcBorders>
              <w:bottom w:val="single" w:sz="4" w:space="0" w:color="auto"/>
            </w:tcBorders>
            <w:shd w:val="clear" w:color="auto" w:fill="auto"/>
            <w:noWrap/>
            <w:vAlign w:val="bottom"/>
            <w:hideMark/>
          </w:tcPr>
          <w:p w:rsidR="00170FC6" w:rsidRPr="0020458A" w:rsidRDefault="00170FC6" w:rsidP="0020458A">
            <w:pPr>
              <w:jc w:val="both"/>
              <w:rPr>
                <w:rFonts w:cs="Arial"/>
                <w:b/>
                <w:color w:val="000000"/>
                <w:szCs w:val="22"/>
              </w:rPr>
            </w:pPr>
            <w:r w:rsidRPr="0020458A">
              <w:rPr>
                <w:rFonts w:cs="Arial"/>
                <w:b/>
                <w:color w:val="000000"/>
                <w:szCs w:val="22"/>
              </w:rPr>
              <w:t>Ranking by stakeholder groups </w:t>
            </w:r>
          </w:p>
        </w:tc>
        <w:tc>
          <w:tcPr>
            <w:tcW w:w="960" w:type="dxa"/>
            <w:vMerge w:val="restart"/>
            <w:shd w:val="clear" w:color="auto" w:fill="auto"/>
            <w:noWrap/>
            <w:vAlign w:val="bottom"/>
            <w:hideMark/>
          </w:tcPr>
          <w:p w:rsidR="00170FC6" w:rsidRPr="0020458A" w:rsidRDefault="00170FC6" w:rsidP="0020458A">
            <w:pPr>
              <w:jc w:val="both"/>
              <w:rPr>
                <w:rFonts w:cs="Arial"/>
                <w:b/>
                <w:color w:val="000000"/>
                <w:szCs w:val="22"/>
              </w:rPr>
            </w:pPr>
            <w:r w:rsidRPr="0020458A">
              <w:rPr>
                <w:rFonts w:cs="Arial"/>
                <w:b/>
                <w:color w:val="000000"/>
                <w:szCs w:val="22"/>
              </w:rPr>
              <w:t> </w:t>
            </w:r>
          </w:p>
          <w:p w:rsidR="00170FC6" w:rsidRPr="0020458A" w:rsidRDefault="00170FC6" w:rsidP="0020458A">
            <w:pPr>
              <w:jc w:val="both"/>
              <w:rPr>
                <w:rFonts w:cs="Arial"/>
                <w:b/>
                <w:color w:val="000000"/>
                <w:szCs w:val="22"/>
              </w:rPr>
            </w:pPr>
            <w:r w:rsidRPr="0020458A">
              <w:rPr>
                <w:rFonts w:cs="Arial"/>
                <w:b/>
                <w:color w:val="000000"/>
                <w:szCs w:val="22"/>
              </w:rPr>
              <w:t>Overall ranking</w:t>
            </w:r>
          </w:p>
        </w:tc>
      </w:tr>
      <w:tr w:rsidR="00170FC6" w:rsidRPr="008673A9" w:rsidTr="0020458A">
        <w:trPr>
          <w:trHeight w:val="300"/>
        </w:trPr>
        <w:tc>
          <w:tcPr>
            <w:tcW w:w="3400" w:type="dxa"/>
            <w:vMerge/>
            <w:tcBorders>
              <w:bottom w:val="single" w:sz="4" w:space="0" w:color="auto"/>
            </w:tcBorders>
            <w:shd w:val="clear" w:color="auto" w:fill="auto"/>
            <w:noWrap/>
            <w:vAlign w:val="bottom"/>
            <w:hideMark/>
          </w:tcPr>
          <w:p w:rsidR="00170FC6" w:rsidRPr="0020458A" w:rsidRDefault="00170FC6" w:rsidP="0020458A">
            <w:pPr>
              <w:jc w:val="both"/>
              <w:rPr>
                <w:rFonts w:cs="Arial"/>
                <w:b/>
                <w:color w:val="000000"/>
                <w:szCs w:val="22"/>
              </w:rPr>
            </w:pPr>
          </w:p>
        </w:tc>
        <w:tc>
          <w:tcPr>
            <w:tcW w:w="1275" w:type="dxa"/>
            <w:tcBorders>
              <w:top w:val="single" w:sz="4" w:space="0" w:color="auto"/>
              <w:bottom w:val="single" w:sz="4" w:space="0" w:color="auto"/>
            </w:tcBorders>
            <w:shd w:val="clear" w:color="auto" w:fill="auto"/>
            <w:noWrap/>
            <w:vAlign w:val="bottom"/>
            <w:hideMark/>
          </w:tcPr>
          <w:p w:rsidR="00170FC6" w:rsidRPr="0020458A" w:rsidRDefault="00170FC6" w:rsidP="0020458A">
            <w:pPr>
              <w:jc w:val="both"/>
              <w:rPr>
                <w:rFonts w:cs="Arial"/>
                <w:b/>
                <w:color w:val="000000"/>
                <w:szCs w:val="22"/>
              </w:rPr>
            </w:pPr>
            <w:r w:rsidRPr="0020458A">
              <w:rPr>
                <w:rFonts w:cs="Arial"/>
                <w:b/>
                <w:color w:val="000000"/>
                <w:szCs w:val="22"/>
              </w:rPr>
              <w:t>clients</w:t>
            </w:r>
          </w:p>
        </w:tc>
        <w:tc>
          <w:tcPr>
            <w:tcW w:w="1272" w:type="dxa"/>
            <w:tcBorders>
              <w:top w:val="single" w:sz="4" w:space="0" w:color="auto"/>
              <w:bottom w:val="single" w:sz="4" w:space="0" w:color="auto"/>
            </w:tcBorders>
            <w:shd w:val="clear" w:color="auto" w:fill="auto"/>
            <w:noWrap/>
            <w:vAlign w:val="bottom"/>
            <w:hideMark/>
          </w:tcPr>
          <w:p w:rsidR="00170FC6" w:rsidRPr="0020458A" w:rsidRDefault="00170FC6" w:rsidP="0020458A">
            <w:pPr>
              <w:jc w:val="both"/>
              <w:rPr>
                <w:rFonts w:cs="Arial"/>
                <w:b/>
                <w:color w:val="000000"/>
                <w:szCs w:val="22"/>
              </w:rPr>
            </w:pPr>
            <w:r w:rsidRPr="0020458A">
              <w:rPr>
                <w:rFonts w:cs="Arial"/>
                <w:b/>
                <w:color w:val="000000"/>
                <w:szCs w:val="22"/>
              </w:rPr>
              <w:t>Consultants</w:t>
            </w:r>
          </w:p>
        </w:tc>
        <w:tc>
          <w:tcPr>
            <w:tcW w:w="1242" w:type="dxa"/>
            <w:tcBorders>
              <w:top w:val="single" w:sz="4" w:space="0" w:color="auto"/>
              <w:bottom w:val="single" w:sz="4" w:space="0" w:color="auto"/>
            </w:tcBorders>
            <w:shd w:val="clear" w:color="auto" w:fill="auto"/>
            <w:noWrap/>
            <w:vAlign w:val="bottom"/>
            <w:hideMark/>
          </w:tcPr>
          <w:p w:rsidR="00170FC6" w:rsidRPr="0020458A" w:rsidRDefault="00170FC6" w:rsidP="0020458A">
            <w:pPr>
              <w:jc w:val="both"/>
              <w:rPr>
                <w:rFonts w:cs="Arial"/>
                <w:b/>
                <w:color w:val="000000"/>
                <w:szCs w:val="22"/>
              </w:rPr>
            </w:pPr>
            <w:r w:rsidRPr="0020458A">
              <w:rPr>
                <w:rFonts w:cs="Arial"/>
                <w:b/>
                <w:color w:val="000000"/>
                <w:szCs w:val="22"/>
              </w:rPr>
              <w:t>main contractors</w:t>
            </w:r>
          </w:p>
        </w:tc>
        <w:tc>
          <w:tcPr>
            <w:tcW w:w="1242" w:type="dxa"/>
            <w:tcBorders>
              <w:top w:val="single" w:sz="4" w:space="0" w:color="auto"/>
              <w:bottom w:val="single" w:sz="4" w:space="0" w:color="auto"/>
            </w:tcBorders>
            <w:shd w:val="clear" w:color="auto" w:fill="auto"/>
            <w:noWrap/>
            <w:vAlign w:val="bottom"/>
            <w:hideMark/>
          </w:tcPr>
          <w:p w:rsidR="00170FC6" w:rsidRPr="0020458A" w:rsidRDefault="00170FC6" w:rsidP="0020458A">
            <w:pPr>
              <w:jc w:val="both"/>
              <w:rPr>
                <w:rFonts w:cs="Arial"/>
                <w:b/>
                <w:color w:val="000000"/>
                <w:szCs w:val="22"/>
              </w:rPr>
            </w:pPr>
            <w:r w:rsidRPr="0020458A">
              <w:rPr>
                <w:rFonts w:cs="Arial"/>
                <w:b/>
                <w:color w:val="000000"/>
                <w:szCs w:val="22"/>
              </w:rPr>
              <w:t>sub-contractors</w:t>
            </w:r>
          </w:p>
        </w:tc>
        <w:tc>
          <w:tcPr>
            <w:tcW w:w="960" w:type="dxa"/>
            <w:vMerge/>
            <w:tcBorders>
              <w:bottom w:val="single" w:sz="4" w:space="0" w:color="auto"/>
            </w:tcBorders>
            <w:shd w:val="clear" w:color="auto" w:fill="auto"/>
            <w:noWrap/>
            <w:vAlign w:val="bottom"/>
            <w:hideMark/>
          </w:tcPr>
          <w:p w:rsidR="00170FC6" w:rsidRPr="0020458A" w:rsidRDefault="00170FC6" w:rsidP="0020458A">
            <w:pPr>
              <w:jc w:val="both"/>
              <w:rPr>
                <w:rFonts w:cs="Arial"/>
                <w:b/>
                <w:color w:val="000000"/>
                <w:szCs w:val="22"/>
              </w:rPr>
            </w:pPr>
          </w:p>
        </w:tc>
      </w:tr>
      <w:tr w:rsidR="00170FC6" w:rsidRPr="008673A9" w:rsidTr="0020458A">
        <w:trPr>
          <w:trHeight w:val="300"/>
        </w:trPr>
        <w:tc>
          <w:tcPr>
            <w:tcW w:w="3400" w:type="dxa"/>
            <w:tcBorders>
              <w:top w:val="single" w:sz="4" w:space="0" w:color="auto"/>
              <w:bottom w:val="nil"/>
            </w:tcBorders>
            <w:shd w:val="clear" w:color="auto" w:fill="auto"/>
            <w:noWrap/>
            <w:vAlign w:val="bottom"/>
            <w:hideMark/>
          </w:tcPr>
          <w:p w:rsidR="00170FC6" w:rsidRPr="0020458A" w:rsidRDefault="00170FC6" w:rsidP="0020458A">
            <w:pPr>
              <w:jc w:val="both"/>
              <w:rPr>
                <w:rFonts w:cs="Arial"/>
                <w:color w:val="000000"/>
                <w:szCs w:val="22"/>
              </w:rPr>
            </w:pPr>
            <w:r w:rsidRPr="0020458A">
              <w:rPr>
                <w:rFonts w:cs="Arial"/>
                <w:color w:val="000000"/>
                <w:szCs w:val="22"/>
              </w:rPr>
              <w:t>Belief that adjudication was more appropriate.</w:t>
            </w:r>
          </w:p>
        </w:tc>
        <w:tc>
          <w:tcPr>
            <w:tcW w:w="1275" w:type="dxa"/>
            <w:tcBorders>
              <w:top w:val="single" w:sz="4" w:space="0" w:color="auto"/>
              <w:bottom w:val="nil"/>
            </w:tcBorders>
            <w:shd w:val="clear" w:color="auto" w:fill="9CC2E5" w:themeFill="accent1" w:themeFillTint="99"/>
            <w:noWrap/>
            <w:vAlign w:val="bottom"/>
            <w:hideMark/>
          </w:tcPr>
          <w:p w:rsidR="00170FC6" w:rsidRPr="0020458A" w:rsidRDefault="00170FC6" w:rsidP="0020458A">
            <w:pPr>
              <w:jc w:val="both"/>
              <w:rPr>
                <w:rFonts w:cs="Arial"/>
                <w:color w:val="000000"/>
                <w:szCs w:val="22"/>
              </w:rPr>
            </w:pPr>
            <w:r w:rsidRPr="0020458A">
              <w:rPr>
                <w:rFonts w:cs="Arial"/>
                <w:color w:val="000000"/>
                <w:szCs w:val="22"/>
              </w:rPr>
              <w:t>1</w:t>
            </w:r>
          </w:p>
        </w:tc>
        <w:tc>
          <w:tcPr>
            <w:tcW w:w="1272" w:type="dxa"/>
            <w:tcBorders>
              <w:top w:val="single" w:sz="4" w:space="0" w:color="auto"/>
              <w:bottom w:val="nil"/>
            </w:tcBorders>
            <w:shd w:val="clear" w:color="auto" w:fill="9CC2E5" w:themeFill="accent1" w:themeFillTint="99"/>
            <w:noWrap/>
            <w:vAlign w:val="bottom"/>
            <w:hideMark/>
          </w:tcPr>
          <w:p w:rsidR="00170FC6" w:rsidRPr="0020458A" w:rsidRDefault="00170FC6" w:rsidP="0020458A">
            <w:pPr>
              <w:jc w:val="both"/>
              <w:rPr>
                <w:rFonts w:cs="Arial"/>
                <w:color w:val="000000"/>
                <w:szCs w:val="22"/>
              </w:rPr>
            </w:pPr>
            <w:r w:rsidRPr="0020458A">
              <w:rPr>
                <w:rFonts w:cs="Arial"/>
                <w:color w:val="000000"/>
                <w:szCs w:val="22"/>
              </w:rPr>
              <w:t>4</w:t>
            </w:r>
          </w:p>
        </w:tc>
        <w:tc>
          <w:tcPr>
            <w:tcW w:w="1242" w:type="dxa"/>
            <w:tcBorders>
              <w:top w:val="single" w:sz="4" w:space="0" w:color="auto"/>
              <w:bottom w:val="nil"/>
            </w:tcBorders>
            <w:shd w:val="clear" w:color="auto" w:fill="9CC2E5" w:themeFill="accent1" w:themeFillTint="99"/>
            <w:noWrap/>
            <w:vAlign w:val="bottom"/>
            <w:hideMark/>
          </w:tcPr>
          <w:p w:rsidR="00170FC6" w:rsidRPr="0020458A" w:rsidRDefault="00170FC6" w:rsidP="0020458A">
            <w:pPr>
              <w:jc w:val="both"/>
              <w:rPr>
                <w:rFonts w:cs="Arial"/>
                <w:color w:val="000000"/>
                <w:szCs w:val="22"/>
              </w:rPr>
            </w:pPr>
            <w:r w:rsidRPr="0020458A">
              <w:rPr>
                <w:rFonts w:cs="Arial"/>
                <w:color w:val="000000"/>
                <w:szCs w:val="22"/>
              </w:rPr>
              <w:t>4</w:t>
            </w:r>
          </w:p>
        </w:tc>
        <w:tc>
          <w:tcPr>
            <w:tcW w:w="1242" w:type="dxa"/>
            <w:tcBorders>
              <w:top w:val="single" w:sz="4" w:space="0" w:color="auto"/>
              <w:bottom w:val="nil"/>
            </w:tcBorders>
            <w:shd w:val="clear" w:color="auto" w:fill="9CC2E5" w:themeFill="accent1" w:themeFillTint="99"/>
            <w:noWrap/>
            <w:vAlign w:val="bottom"/>
            <w:hideMark/>
          </w:tcPr>
          <w:p w:rsidR="00170FC6" w:rsidRPr="0020458A" w:rsidRDefault="00170FC6" w:rsidP="0020458A">
            <w:pPr>
              <w:jc w:val="both"/>
              <w:rPr>
                <w:rFonts w:cs="Arial"/>
                <w:color w:val="000000"/>
                <w:szCs w:val="22"/>
              </w:rPr>
            </w:pPr>
            <w:r w:rsidRPr="0020458A">
              <w:rPr>
                <w:rFonts w:cs="Arial"/>
                <w:color w:val="000000"/>
                <w:szCs w:val="22"/>
              </w:rPr>
              <w:t>1</w:t>
            </w:r>
          </w:p>
        </w:tc>
        <w:tc>
          <w:tcPr>
            <w:tcW w:w="960" w:type="dxa"/>
            <w:tcBorders>
              <w:top w:val="single" w:sz="4" w:space="0" w:color="auto"/>
              <w:bottom w:val="nil"/>
            </w:tcBorders>
            <w:shd w:val="clear" w:color="auto" w:fill="auto"/>
            <w:noWrap/>
            <w:vAlign w:val="bottom"/>
            <w:hideMark/>
          </w:tcPr>
          <w:p w:rsidR="00170FC6" w:rsidRPr="0020458A" w:rsidRDefault="00170FC6" w:rsidP="0020458A">
            <w:pPr>
              <w:jc w:val="both"/>
              <w:rPr>
                <w:rFonts w:cs="Arial"/>
                <w:color w:val="000000"/>
                <w:szCs w:val="22"/>
              </w:rPr>
            </w:pPr>
            <w:r w:rsidRPr="0020458A">
              <w:rPr>
                <w:rFonts w:cs="Arial"/>
                <w:color w:val="000000"/>
                <w:szCs w:val="22"/>
              </w:rPr>
              <w:t>1</w:t>
            </w:r>
          </w:p>
        </w:tc>
      </w:tr>
      <w:tr w:rsidR="00170FC6" w:rsidRPr="008673A9" w:rsidTr="0020458A">
        <w:trPr>
          <w:trHeight w:val="300"/>
        </w:trPr>
        <w:tc>
          <w:tcPr>
            <w:tcW w:w="3400" w:type="dxa"/>
            <w:tcBorders>
              <w:top w:val="nil"/>
            </w:tcBorders>
            <w:shd w:val="clear" w:color="auto" w:fill="auto"/>
            <w:noWrap/>
            <w:vAlign w:val="bottom"/>
            <w:hideMark/>
          </w:tcPr>
          <w:p w:rsidR="00170FC6" w:rsidRPr="0020458A" w:rsidRDefault="00170FC6" w:rsidP="0020458A">
            <w:pPr>
              <w:jc w:val="both"/>
              <w:rPr>
                <w:rFonts w:cs="Arial"/>
                <w:color w:val="000000"/>
                <w:szCs w:val="22"/>
              </w:rPr>
            </w:pPr>
            <w:r w:rsidRPr="0020458A">
              <w:rPr>
                <w:rFonts w:cs="Arial"/>
                <w:color w:val="000000"/>
                <w:szCs w:val="22"/>
              </w:rPr>
              <w:t>Belief that the opposing party would not take part in good faith</w:t>
            </w:r>
          </w:p>
        </w:tc>
        <w:tc>
          <w:tcPr>
            <w:tcW w:w="1275" w:type="dxa"/>
            <w:tcBorders>
              <w:top w:val="nil"/>
            </w:tcBorders>
            <w:shd w:val="clear" w:color="auto" w:fill="9CC2E5" w:themeFill="accent1" w:themeFillTint="99"/>
            <w:noWrap/>
            <w:vAlign w:val="bottom"/>
            <w:hideMark/>
          </w:tcPr>
          <w:p w:rsidR="00170FC6" w:rsidRPr="0020458A" w:rsidRDefault="00170FC6" w:rsidP="0020458A">
            <w:pPr>
              <w:jc w:val="both"/>
              <w:rPr>
                <w:rFonts w:cs="Arial"/>
                <w:color w:val="000000"/>
                <w:szCs w:val="22"/>
              </w:rPr>
            </w:pPr>
            <w:r w:rsidRPr="0020458A">
              <w:rPr>
                <w:rFonts w:cs="Arial"/>
                <w:color w:val="000000"/>
                <w:szCs w:val="22"/>
              </w:rPr>
              <w:t>2</w:t>
            </w:r>
          </w:p>
        </w:tc>
        <w:tc>
          <w:tcPr>
            <w:tcW w:w="1272" w:type="dxa"/>
            <w:tcBorders>
              <w:top w:val="nil"/>
            </w:tcBorders>
            <w:shd w:val="clear" w:color="auto" w:fill="9CC2E5" w:themeFill="accent1" w:themeFillTint="99"/>
            <w:noWrap/>
            <w:vAlign w:val="bottom"/>
            <w:hideMark/>
          </w:tcPr>
          <w:p w:rsidR="00170FC6" w:rsidRPr="0020458A" w:rsidRDefault="00170FC6" w:rsidP="0020458A">
            <w:pPr>
              <w:jc w:val="both"/>
              <w:rPr>
                <w:rFonts w:cs="Arial"/>
                <w:color w:val="000000"/>
                <w:szCs w:val="22"/>
              </w:rPr>
            </w:pPr>
            <w:r w:rsidRPr="0020458A">
              <w:rPr>
                <w:rFonts w:cs="Arial"/>
                <w:color w:val="000000"/>
                <w:szCs w:val="22"/>
              </w:rPr>
              <w:t>3</w:t>
            </w:r>
          </w:p>
        </w:tc>
        <w:tc>
          <w:tcPr>
            <w:tcW w:w="1242" w:type="dxa"/>
            <w:tcBorders>
              <w:top w:val="nil"/>
            </w:tcBorders>
            <w:shd w:val="clear" w:color="auto" w:fill="9CC2E5" w:themeFill="accent1" w:themeFillTint="99"/>
            <w:noWrap/>
            <w:vAlign w:val="bottom"/>
            <w:hideMark/>
          </w:tcPr>
          <w:p w:rsidR="00170FC6" w:rsidRPr="0020458A" w:rsidRDefault="00170FC6" w:rsidP="0020458A">
            <w:pPr>
              <w:jc w:val="both"/>
              <w:rPr>
                <w:rFonts w:cs="Arial"/>
                <w:color w:val="000000"/>
                <w:szCs w:val="22"/>
              </w:rPr>
            </w:pPr>
            <w:r w:rsidRPr="0020458A">
              <w:rPr>
                <w:rFonts w:cs="Arial"/>
                <w:color w:val="000000"/>
                <w:szCs w:val="22"/>
              </w:rPr>
              <w:t>1</w:t>
            </w:r>
          </w:p>
        </w:tc>
        <w:tc>
          <w:tcPr>
            <w:tcW w:w="1242" w:type="dxa"/>
            <w:tcBorders>
              <w:top w:val="nil"/>
            </w:tcBorders>
            <w:shd w:val="clear" w:color="auto" w:fill="9CC2E5" w:themeFill="accent1" w:themeFillTint="99"/>
            <w:noWrap/>
            <w:vAlign w:val="bottom"/>
            <w:hideMark/>
          </w:tcPr>
          <w:p w:rsidR="00170FC6" w:rsidRPr="0020458A" w:rsidRDefault="00170FC6" w:rsidP="0020458A">
            <w:pPr>
              <w:jc w:val="both"/>
              <w:rPr>
                <w:rFonts w:cs="Arial"/>
                <w:color w:val="000000"/>
                <w:szCs w:val="22"/>
              </w:rPr>
            </w:pPr>
            <w:r w:rsidRPr="0020458A">
              <w:rPr>
                <w:rFonts w:cs="Arial"/>
                <w:color w:val="000000"/>
                <w:szCs w:val="22"/>
              </w:rPr>
              <w:t>4</w:t>
            </w:r>
          </w:p>
        </w:tc>
        <w:tc>
          <w:tcPr>
            <w:tcW w:w="960" w:type="dxa"/>
            <w:tcBorders>
              <w:top w:val="nil"/>
            </w:tcBorders>
            <w:shd w:val="clear" w:color="auto" w:fill="auto"/>
            <w:noWrap/>
            <w:vAlign w:val="bottom"/>
            <w:hideMark/>
          </w:tcPr>
          <w:p w:rsidR="00170FC6" w:rsidRPr="0020458A" w:rsidRDefault="00170FC6" w:rsidP="0020458A">
            <w:pPr>
              <w:jc w:val="both"/>
              <w:rPr>
                <w:rFonts w:cs="Arial"/>
                <w:color w:val="000000"/>
                <w:szCs w:val="22"/>
              </w:rPr>
            </w:pPr>
            <w:r w:rsidRPr="0020458A">
              <w:rPr>
                <w:rFonts w:cs="Arial"/>
                <w:color w:val="000000"/>
                <w:szCs w:val="22"/>
              </w:rPr>
              <w:t>2</w:t>
            </w:r>
          </w:p>
        </w:tc>
      </w:tr>
      <w:tr w:rsidR="00170FC6" w:rsidRPr="008673A9" w:rsidTr="0020458A">
        <w:trPr>
          <w:trHeight w:val="300"/>
        </w:trPr>
        <w:tc>
          <w:tcPr>
            <w:tcW w:w="3400" w:type="dxa"/>
            <w:shd w:val="clear" w:color="auto" w:fill="auto"/>
            <w:noWrap/>
            <w:vAlign w:val="bottom"/>
            <w:hideMark/>
          </w:tcPr>
          <w:p w:rsidR="00170FC6" w:rsidRPr="0020458A" w:rsidRDefault="00170FC6" w:rsidP="0020458A">
            <w:pPr>
              <w:jc w:val="both"/>
              <w:rPr>
                <w:rFonts w:cs="Arial"/>
                <w:color w:val="000000"/>
                <w:szCs w:val="22"/>
              </w:rPr>
            </w:pPr>
            <w:r w:rsidRPr="0020458A">
              <w:rPr>
                <w:rFonts w:cs="Arial"/>
                <w:color w:val="000000"/>
                <w:szCs w:val="22"/>
              </w:rPr>
              <w:t>The case type not appropriate for mediation</w:t>
            </w:r>
          </w:p>
        </w:tc>
        <w:tc>
          <w:tcPr>
            <w:tcW w:w="1275" w:type="dxa"/>
            <w:shd w:val="clear" w:color="auto" w:fill="9CC2E5" w:themeFill="accent1" w:themeFillTint="99"/>
            <w:noWrap/>
            <w:vAlign w:val="bottom"/>
            <w:hideMark/>
          </w:tcPr>
          <w:p w:rsidR="00170FC6" w:rsidRPr="0020458A" w:rsidRDefault="00170FC6" w:rsidP="0020458A">
            <w:pPr>
              <w:jc w:val="both"/>
              <w:rPr>
                <w:rFonts w:cs="Arial"/>
                <w:color w:val="000000"/>
                <w:szCs w:val="22"/>
              </w:rPr>
            </w:pPr>
            <w:r w:rsidRPr="0020458A">
              <w:rPr>
                <w:rFonts w:cs="Arial"/>
                <w:color w:val="000000"/>
                <w:szCs w:val="22"/>
              </w:rPr>
              <w:t>10</w:t>
            </w:r>
          </w:p>
        </w:tc>
        <w:tc>
          <w:tcPr>
            <w:tcW w:w="1272" w:type="dxa"/>
            <w:shd w:val="clear" w:color="auto" w:fill="9CC2E5" w:themeFill="accent1" w:themeFillTint="99"/>
            <w:noWrap/>
            <w:vAlign w:val="bottom"/>
            <w:hideMark/>
          </w:tcPr>
          <w:p w:rsidR="00170FC6" w:rsidRPr="0020458A" w:rsidRDefault="00170FC6" w:rsidP="0020458A">
            <w:pPr>
              <w:jc w:val="both"/>
              <w:rPr>
                <w:rFonts w:cs="Arial"/>
                <w:color w:val="000000"/>
                <w:szCs w:val="22"/>
              </w:rPr>
            </w:pPr>
            <w:r w:rsidRPr="0020458A">
              <w:rPr>
                <w:rFonts w:cs="Arial"/>
                <w:color w:val="000000"/>
                <w:szCs w:val="22"/>
              </w:rPr>
              <w:t>2</w:t>
            </w:r>
          </w:p>
        </w:tc>
        <w:tc>
          <w:tcPr>
            <w:tcW w:w="1242" w:type="dxa"/>
            <w:shd w:val="clear" w:color="auto" w:fill="9CC2E5" w:themeFill="accent1" w:themeFillTint="99"/>
            <w:noWrap/>
            <w:vAlign w:val="bottom"/>
            <w:hideMark/>
          </w:tcPr>
          <w:p w:rsidR="00170FC6" w:rsidRPr="0020458A" w:rsidRDefault="00170FC6" w:rsidP="0020458A">
            <w:pPr>
              <w:jc w:val="both"/>
              <w:rPr>
                <w:rFonts w:cs="Arial"/>
                <w:color w:val="000000"/>
                <w:szCs w:val="22"/>
              </w:rPr>
            </w:pPr>
            <w:r w:rsidRPr="0020458A">
              <w:rPr>
                <w:rFonts w:cs="Arial"/>
                <w:color w:val="000000"/>
                <w:szCs w:val="22"/>
              </w:rPr>
              <w:t>2</w:t>
            </w:r>
          </w:p>
        </w:tc>
        <w:tc>
          <w:tcPr>
            <w:tcW w:w="1242" w:type="dxa"/>
            <w:shd w:val="clear" w:color="auto" w:fill="9CC2E5" w:themeFill="accent1" w:themeFillTint="99"/>
            <w:noWrap/>
            <w:vAlign w:val="bottom"/>
            <w:hideMark/>
          </w:tcPr>
          <w:p w:rsidR="00170FC6" w:rsidRPr="0020458A" w:rsidRDefault="00170FC6" w:rsidP="0020458A">
            <w:pPr>
              <w:jc w:val="both"/>
              <w:rPr>
                <w:rFonts w:cs="Arial"/>
                <w:color w:val="000000"/>
                <w:szCs w:val="22"/>
              </w:rPr>
            </w:pPr>
            <w:r w:rsidRPr="0020458A">
              <w:rPr>
                <w:rFonts w:cs="Arial"/>
                <w:color w:val="000000"/>
                <w:szCs w:val="22"/>
              </w:rPr>
              <w:t>3</w:t>
            </w:r>
          </w:p>
        </w:tc>
        <w:tc>
          <w:tcPr>
            <w:tcW w:w="960" w:type="dxa"/>
            <w:shd w:val="clear" w:color="auto" w:fill="auto"/>
            <w:noWrap/>
            <w:vAlign w:val="bottom"/>
            <w:hideMark/>
          </w:tcPr>
          <w:p w:rsidR="00170FC6" w:rsidRPr="0020458A" w:rsidRDefault="00170FC6" w:rsidP="0020458A">
            <w:pPr>
              <w:jc w:val="both"/>
              <w:rPr>
                <w:rFonts w:cs="Arial"/>
                <w:color w:val="000000"/>
                <w:szCs w:val="22"/>
              </w:rPr>
            </w:pPr>
            <w:r w:rsidRPr="0020458A">
              <w:rPr>
                <w:rFonts w:cs="Arial"/>
                <w:color w:val="000000"/>
                <w:szCs w:val="22"/>
              </w:rPr>
              <w:t>3</w:t>
            </w:r>
          </w:p>
        </w:tc>
      </w:tr>
      <w:tr w:rsidR="00170FC6" w:rsidRPr="008673A9" w:rsidTr="0020458A">
        <w:trPr>
          <w:trHeight w:val="300"/>
        </w:trPr>
        <w:tc>
          <w:tcPr>
            <w:tcW w:w="3400" w:type="dxa"/>
            <w:shd w:val="clear" w:color="auto" w:fill="auto"/>
            <w:noWrap/>
            <w:vAlign w:val="bottom"/>
            <w:hideMark/>
          </w:tcPr>
          <w:p w:rsidR="00170FC6" w:rsidRPr="0020458A" w:rsidRDefault="00170FC6" w:rsidP="0020458A">
            <w:pPr>
              <w:jc w:val="both"/>
              <w:rPr>
                <w:rFonts w:cs="Arial"/>
                <w:color w:val="000000"/>
                <w:szCs w:val="22"/>
              </w:rPr>
            </w:pPr>
            <w:r w:rsidRPr="0020458A">
              <w:rPr>
                <w:rFonts w:cs="Arial"/>
                <w:color w:val="000000"/>
                <w:szCs w:val="22"/>
              </w:rPr>
              <w:t>Did not know enough about what mediation entailed</w:t>
            </w:r>
          </w:p>
        </w:tc>
        <w:tc>
          <w:tcPr>
            <w:tcW w:w="1275" w:type="dxa"/>
            <w:shd w:val="clear" w:color="auto" w:fill="9CC2E5" w:themeFill="accent1" w:themeFillTint="99"/>
            <w:noWrap/>
            <w:vAlign w:val="bottom"/>
            <w:hideMark/>
          </w:tcPr>
          <w:p w:rsidR="00170FC6" w:rsidRPr="0020458A" w:rsidRDefault="00170FC6" w:rsidP="0020458A">
            <w:pPr>
              <w:jc w:val="both"/>
              <w:rPr>
                <w:rFonts w:cs="Arial"/>
                <w:color w:val="000000"/>
                <w:szCs w:val="22"/>
              </w:rPr>
            </w:pPr>
            <w:r w:rsidRPr="0020458A">
              <w:rPr>
                <w:rFonts w:cs="Arial"/>
                <w:color w:val="000000"/>
                <w:szCs w:val="22"/>
              </w:rPr>
              <w:t>5</w:t>
            </w:r>
          </w:p>
        </w:tc>
        <w:tc>
          <w:tcPr>
            <w:tcW w:w="1272" w:type="dxa"/>
            <w:shd w:val="clear" w:color="auto" w:fill="9CC2E5" w:themeFill="accent1" w:themeFillTint="99"/>
            <w:noWrap/>
            <w:vAlign w:val="bottom"/>
            <w:hideMark/>
          </w:tcPr>
          <w:p w:rsidR="00170FC6" w:rsidRPr="0020458A" w:rsidRDefault="00CB2AC2" w:rsidP="0020458A">
            <w:pPr>
              <w:jc w:val="both"/>
              <w:rPr>
                <w:rFonts w:cs="Arial"/>
                <w:color w:val="000000"/>
                <w:szCs w:val="22"/>
              </w:rPr>
            </w:pPr>
            <w:r w:rsidRPr="0020458A">
              <w:rPr>
                <w:rFonts w:cs="Arial"/>
                <w:color w:val="000000"/>
                <w:szCs w:val="22"/>
              </w:rPr>
              <w:t>7</w:t>
            </w:r>
          </w:p>
        </w:tc>
        <w:tc>
          <w:tcPr>
            <w:tcW w:w="1242" w:type="dxa"/>
            <w:shd w:val="clear" w:color="auto" w:fill="9CC2E5" w:themeFill="accent1" w:themeFillTint="99"/>
            <w:noWrap/>
            <w:vAlign w:val="bottom"/>
            <w:hideMark/>
          </w:tcPr>
          <w:p w:rsidR="00170FC6" w:rsidRPr="0020458A" w:rsidRDefault="00170FC6" w:rsidP="0020458A">
            <w:pPr>
              <w:jc w:val="both"/>
              <w:rPr>
                <w:rFonts w:cs="Arial"/>
                <w:color w:val="000000"/>
                <w:szCs w:val="22"/>
              </w:rPr>
            </w:pPr>
            <w:r w:rsidRPr="0020458A">
              <w:rPr>
                <w:rFonts w:cs="Arial"/>
                <w:color w:val="000000"/>
                <w:szCs w:val="22"/>
              </w:rPr>
              <w:t>8</w:t>
            </w:r>
          </w:p>
        </w:tc>
        <w:tc>
          <w:tcPr>
            <w:tcW w:w="1242" w:type="dxa"/>
            <w:shd w:val="clear" w:color="auto" w:fill="9CC2E5" w:themeFill="accent1" w:themeFillTint="99"/>
            <w:noWrap/>
            <w:vAlign w:val="bottom"/>
            <w:hideMark/>
          </w:tcPr>
          <w:p w:rsidR="00170FC6" w:rsidRPr="0020458A" w:rsidRDefault="00170FC6" w:rsidP="0020458A">
            <w:pPr>
              <w:jc w:val="both"/>
              <w:rPr>
                <w:rFonts w:cs="Arial"/>
                <w:color w:val="000000"/>
                <w:szCs w:val="22"/>
              </w:rPr>
            </w:pPr>
            <w:r w:rsidRPr="0020458A">
              <w:rPr>
                <w:rFonts w:cs="Arial"/>
                <w:color w:val="000000"/>
                <w:szCs w:val="22"/>
              </w:rPr>
              <w:t>2</w:t>
            </w:r>
          </w:p>
        </w:tc>
        <w:tc>
          <w:tcPr>
            <w:tcW w:w="960" w:type="dxa"/>
            <w:shd w:val="clear" w:color="auto" w:fill="auto"/>
            <w:noWrap/>
            <w:vAlign w:val="bottom"/>
            <w:hideMark/>
          </w:tcPr>
          <w:p w:rsidR="00170FC6" w:rsidRPr="0020458A" w:rsidRDefault="00170FC6" w:rsidP="0020458A">
            <w:pPr>
              <w:jc w:val="both"/>
              <w:rPr>
                <w:rFonts w:cs="Arial"/>
                <w:color w:val="000000"/>
                <w:szCs w:val="22"/>
              </w:rPr>
            </w:pPr>
            <w:r w:rsidRPr="0020458A">
              <w:rPr>
                <w:rFonts w:cs="Arial"/>
                <w:color w:val="000000"/>
                <w:szCs w:val="22"/>
              </w:rPr>
              <w:t>4</w:t>
            </w:r>
          </w:p>
        </w:tc>
      </w:tr>
      <w:tr w:rsidR="00170FC6" w:rsidRPr="008673A9" w:rsidTr="0020458A">
        <w:trPr>
          <w:trHeight w:val="300"/>
        </w:trPr>
        <w:tc>
          <w:tcPr>
            <w:tcW w:w="3400" w:type="dxa"/>
            <w:shd w:val="clear" w:color="auto" w:fill="auto"/>
            <w:noWrap/>
            <w:vAlign w:val="bottom"/>
            <w:hideMark/>
          </w:tcPr>
          <w:p w:rsidR="00170FC6" w:rsidRPr="0020458A" w:rsidRDefault="00170FC6" w:rsidP="0020458A">
            <w:pPr>
              <w:jc w:val="both"/>
              <w:rPr>
                <w:rFonts w:cs="Arial"/>
                <w:color w:val="000000"/>
                <w:szCs w:val="22"/>
              </w:rPr>
            </w:pPr>
            <w:r w:rsidRPr="0020458A">
              <w:rPr>
                <w:rFonts w:cs="Arial"/>
                <w:color w:val="000000"/>
                <w:szCs w:val="22"/>
              </w:rPr>
              <w:t>Belief that negotiation was capable of settling the case</w:t>
            </w:r>
          </w:p>
        </w:tc>
        <w:tc>
          <w:tcPr>
            <w:tcW w:w="1275" w:type="dxa"/>
            <w:shd w:val="clear" w:color="auto" w:fill="9CC2E5" w:themeFill="accent1" w:themeFillTint="99"/>
            <w:noWrap/>
            <w:vAlign w:val="bottom"/>
            <w:hideMark/>
          </w:tcPr>
          <w:p w:rsidR="00170FC6" w:rsidRPr="0020458A" w:rsidRDefault="00170FC6" w:rsidP="0020458A">
            <w:pPr>
              <w:jc w:val="both"/>
              <w:rPr>
                <w:rFonts w:cs="Arial"/>
                <w:color w:val="000000"/>
                <w:szCs w:val="22"/>
              </w:rPr>
            </w:pPr>
            <w:r w:rsidRPr="0020458A">
              <w:rPr>
                <w:rFonts w:cs="Arial"/>
                <w:color w:val="000000"/>
                <w:szCs w:val="22"/>
              </w:rPr>
              <w:t>8</w:t>
            </w:r>
          </w:p>
        </w:tc>
        <w:tc>
          <w:tcPr>
            <w:tcW w:w="1272" w:type="dxa"/>
            <w:shd w:val="clear" w:color="auto" w:fill="9CC2E5" w:themeFill="accent1" w:themeFillTint="99"/>
            <w:noWrap/>
            <w:vAlign w:val="bottom"/>
            <w:hideMark/>
          </w:tcPr>
          <w:p w:rsidR="00170FC6" w:rsidRPr="0020458A" w:rsidRDefault="00170FC6" w:rsidP="0020458A">
            <w:pPr>
              <w:jc w:val="both"/>
              <w:rPr>
                <w:rFonts w:cs="Arial"/>
                <w:color w:val="000000"/>
                <w:szCs w:val="22"/>
              </w:rPr>
            </w:pPr>
            <w:r w:rsidRPr="0020458A">
              <w:rPr>
                <w:rFonts w:cs="Arial"/>
                <w:color w:val="000000"/>
                <w:szCs w:val="22"/>
              </w:rPr>
              <w:t>8</w:t>
            </w:r>
          </w:p>
        </w:tc>
        <w:tc>
          <w:tcPr>
            <w:tcW w:w="1242" w:type="dxa"/>
            <w:shd w:val="clear" w:color="auto" w:fill="9CC2E5" w:themeFill="accent1" w:themeFillTint="99"/>
            <w:noWrap/>
            <w:vAlign w:val="bottom"/>
            <w:hideMark/>
          </w:tcPr>
          <w:p w:rsidR="00170FC6" w:rsidRPr="0020458A" w:rsidRDefault="00170FC6" w:rsidP="0020458A">
            <w:pPr>
              <w:jc w:val="both"/>
              <w:rPr>
                <w:rFonts w:cs="Arial"/>
                <w:color w:val="000000"/>
                <w:szCs w:val="22"/>
              </w:rPr>
            </w:pPr>
            <w:r w:rsidRPr="0020458A">
              <w:rPr>
                <w:rFonts w:cs="Arial"/>
                <w:color w:val="000000"/>
                <w:szCs w:val="22"/>
              </w:rPr>
              <w:t>3</w:t>
            </w:r>
          </w:p>
        </w:tc>
        <w:tc>
          <w:tcPr>
            <w:tcW w:w="1242" w:type="dxa"/>
            <w:shd w:val="clear" w:color="auto" w:fill="9CC2E5" w:themeFill="accent1" w:themeFillTint="99"/>
            <w:noWrap/>
            <w:vAlign w:val="bottom"/>
            <w:hideMark/>
          </w:tcPr>
          <w:p w:rsidR="00170FC6" w:rsidRPr="0020458A" w:rsidRDefault="00170FC6" w:rsidP="0020458A">
            <w:pPr>
              <w:jc w:val="both"/>
              <w:rPr>
                <w:rFonts w:cs="Arial"/>
                <w:color w:val="000000"/>
                <w:szCs w:val="22"/>
              </w:rPr>
            </w:pPr>
            <w:r w:rsidRPr="0020458A">
              <w:rPr>
                <w:rFonts w:cs="Arial"/>
                <w:color w:val="000000"/>
                <w:szCs w:val="22"/>
              </w:rPr>
              <w:t>5</w:t>
            </w:r>
          </w:p>
        </w:tc>
        <w:tc>
          <w:tcPr>
            <w:tcW w:w="960" w:type="dxa"/>
            <w:shd w:val="clear" w:color="auto" w:fill="auto"/>
            <w:noWrap/>
            <w:vAlign w:val="bottom"/>
            <w:hideMark/>
          </w:tcPr>
          <w:p w:rsidR="00170FC6" w:rsidRPr="0020458A" w:rsidRDefault="00170FC6" w:rsidP="0020458A">
            <w:pPr>
              <w:jc w:val="both"/>
              <w:rPr>
                <w:rFonts w:cs="Arial"/>
                <w:color w:val="000000"/>
                <w:szCs w:val="22"/>
              </w:rPr>
            </w:pPr>
            <w:r w:rsidRPr="0020458A">
              <w:rPr>
                <w:rFonts w:cs="Arial"/>
                <w:color w:val="000000"/>
                <w:szCs w:val="22"/>
              </w:rPr>
              <w:t>5</w:t>
            </w:r>
          </w:p>
        </w:tc>
      </w:tr>
      <w:tr w:rsidR="00170FC6" w:rsidRPr="008673A9" w:rsidTr="0020458A">
        <w:trPr>
          <w:trHeight w:val="300"/>
        </w:trPr>
        <w:tc>
          <w:tcPr>
            <w:tcW w:w="3400" w:type="dxa"/>
            <w:shd w:val="clear" w:color="auto" w:fill="auto"/>
            <w:noWrap/>
            <w:vAlign w:val="bottom"/>
            <w:hideMark/>
          </w:tcPr>
          <w:p w:rsidR="00170FC6" w:rsidRPr="0020458A" w:rsidRDefault="00170FC6" w:rsidP="0020458A">
            <w:pPr>
              <w:jc w:val="both"/>
              <w:rPr>
                <w:rFonts w:cs="Arial"/>
                <w:color w:val="000000"/>
                <w:szCs w:val="22"/>
              </w:rPr>
            </w:pPr>
            <w:r w:rsidRPr="0020458A">
              <w:rPr>
                <w:rFonts w:cs="Arial"/>
                <w:color w:val="000000"/>
                <w:szCs w:val="22"/>
              </w:rPr>
              <w:t>The strength of our legal case</w:t>
            </w:r>
          </w:p>
        </w:tc>
        <w:tc>
          <w:tcPr>
            <w:tcW w:w="1275" w:type="dxa"/>
            <w:shd w:val="clear" w:color="auto" w:fill="9CC2E5" w:themeFill="accent1" w:themeFillTint="99"/>
            <w:noWrap/>
            <w:vAlign w:val="bottom"/>
            <w:hideMark/>
          </w:tcPr>
          <w:p w:rsidR="00170FC6" w:rsidRPr="0020458A" w:rsidRDefault="00170FC6" w:rsidP="0020458A">
            <w:pPr>
              <w:jc w:val="both"/>
              <w:rPr>
                <w:rFonts w:cs="Arial"/>
                <w:color w:val="000000"/>
                <w:szCs w:val="22"/>
              </w:rPr>
            </w:pPr>
            <w:r w:rsidRPr="0020458A">
              <w:rPr>
                <w:rFonts w:cs="Arial"/>
                <w:color w:val="000000"/>
                <w:szCs w:val="22"/>
              </w:rPr>
              <w:t>7</w:t>
            </w:r>
          </w:p>
        </w:tc>
        <w:tc>
          <w:tcPr>
            <w:tcW w:w="1272" w:type="dxa"/>
            <w:shd w:val="clear" w:color="auto" w:fill="9CC2E5" w:themeFill="accent1" w:themeFillTint="99"/>
            <w:noWrap/>
            <w:vAlign w:val="bottom"/>
            <w:hideMark/>
          </w:tcPr>
          <w:p w:rsidR="00170FC6" w:rsidRPr="0020458A" w:rsidRDefault="00170FC6" w:rsidP="0020458A">
            <w:pPr>
              <w:jc w:val="both"/>
              <w:rPr>
                <w:rFonts w:cs="Arial"/>
                <w:color w:val="000000"/>
                <w:szCs w:val="22"/>
              </w:rPr>
            </w:pPr>
            <w:r w:rsidRPr="0020458A">
              <w:rPr>
                <w:rFonts w:cs="Arial"/>
                <w:color w:val="000000"/>
                <w:szCs w:val="22"/>
              </w:rPr>
              <w:t>1</w:t>
            </w:r>
          </w:p>
        </w:tc>
        <w:tc>
          <w:tcPr>
            <w:tcW w:w="1242" w:type="dxa"/>
            <w:shd w:val="clear" w:color="auto" w:fill="9CC2E5" w:themeFill="accent1" w:themeFillTint="99"/>
            <w:noWrap/>
            <w:vAlign w:val="bottom"/>
            <w:hideMark/>
          </w:tcPr>
          <w:p w:rsidR="00170FC6" w:rsidRPr="0020458A" w:rsidRDefault="00170FC6" w:rsidP="0020458A">
            <w:pPr>
              <w:jc w:val="both"/>
              <w:rPr>
                <w:rFonts w:cs="Arial"/>
                <w:color w:val="000000"/>
                <w:szCs w:val="22"/>
              </w:rPr>
            </w:pPr>
            <w:r w:rsidRPr="0020458A">
              <w:rPr>
                <w:rFonts w:cs="Arial"/>
                <w:color w:val="000000"/>
                <w:szCs w:val="22"/>
              </w:rPr>
              <w:t>5</w:t>
            </w:r>
          </w:p>
        </w:tc>
        <w:tc>
          <w:tcPr>
            <w:tcW w:w="1242" w:type="dxa"/>
            <w:shd w:val="clear" w:color="auto" w:fill="9CC2E5" w:themeFill="accent1" w:themeFillTint="99"/>
            <w:noWrap/>
            <w:vAlign w:val="bottom"/>
            <w:hideMark/>
          </w:tcPr>
          <w:p w:rsidR="00170FC6" w:rsidRPr="0020458A" w:rsidRDefault="00170FC6" w:rsidP="0020458A">
            <w:pPr>
              <w:jc w:val="both"/>
              <w:rPr>
                <w:rFonts w:cs="Arial"/>
                <w:color w:val="000000"/>
                <w:szCs w:val="22"/>
              </w:rPr>
            </w:pPr>
            <w:r w:rsidRPr="0020458A">
              <w:rPr>
                <w:rFonts w:cs="Arial"/>
                <w:color w:val="000000"/>
                <w:szCs w:val="22"/>
              </w:rPr>
              <w:t>10</w:t>
            </w:r>
          </w:p>
        </w:tc>
        <w:tc>
          <w:tcPr>
            <w:tcW w:w="960" w:type="dxa"/>
            <w:shd w:val="clear" w:color="auto" w:fill="auto"/>
            <w:noWrap/>
            <w:vAlign w:val="bottom"/>
            <w:hideMark/>
          </w:tcPr>
          <w:p w:rsidR="00170FC6" w:rsidRPr="0020458A" w:rsidRDefault="00170FC6" w:rsidP="0020458A">
            <w:pPr>
              <w:jc w:val="both"/>
              <w:rPr>
                <w:rFonts w:cs="Arial"/>
                <w:color w:val="000000"/>
                <w:szCs w:val="22"/>
              </w:rPr>
            </w:pPr>
            <w:r w:rsidRPr="0020458A">
              <w:rPr>
                <w:rFonts w:cs="Arial"/>
                <w:color w:val="000000"/>
                <w:szCs w:val="22"/>
              </w:rPr>
              <w:t>6</w:t>
            </w:r>
          </w:p>
        </w:tc>
      </w:tr>
      <w:tr w:rsidR="00170FC6" w:rsidRPr="008673A9" w:rsidTr="0020458A">
        <w:trPr>
          <w:trHeight w:val="300"/>
        </w:trPr>
        <w:tc>
          <w:tcPr>
            <w:tcW w:w="3400" w:type="dxa"/>
            <w:shd w:val="clear" w:color="auto" w:fill="auto"/>
            <w:noWrap/>
            <w:vAlign w:val="bottom"/>
            <w:hideMark/>
          </w:tcPr>
          <w:p w:rsidR="00170FC6" w:rsidRPr="0020458A" w:rsidRDefault="00170FC6" w:rsidP="0020458A">
            <w:pPr>
              <w:jc w:val="both"/>
              <w:rPr>
                <w:rFonts w:cs="Arial"/>
                <w:color w:val="000000"/>
                <w:szCs w:val="22"/>
              </w:rPr>
            </w:pPr>
            <w:r w:rsidRPr="0020458A">
              <w:rPr>
                <w:rFonts w:cs="Arial"/>
                <w:color w:val="000000"/>
                <w:szCs w:val="22"/>
              </w:rPr>
              <w:t>Mediation would take too long</w:t>
            </w:r>
          </w:p>
        </w:tc>
        <w:tc>
          <w:tcPr>
            <w:tcW w:w="1275" w:type="dxa"/>
            <w:shd w:val="clear" w:color="auto" w:fill="9CC2E5" w:themeFill="accent1" w:themeFillTint="99"/>
            <w:noWrap/>
            <w:vAlign w:val="bottom"/>
            <w:hideMark/>
          </w:tcPr>
          <w:p w:rsidR="00170FC6" w:rsidRPr="0020458A" w:rsidRDefault="00170FC6" w:rsidP="0020458A">
            <w:pPr>
              <w:jc w:val="both"/>
              <w:rPr>
                <w:rFonts w:cs="Arial"/>
                <w:color w:val="000000"/>
                <w:szCs w:val="22"/>
              </w:rPr>
            </w:pPr>
            <w:r w:rsidRPr="0020458A">
              <w:rPr>
                <w:rFonts w:cs="Arial"/>
                <w:color w:val="000000"/>
                <w:szCs w:val="22"/>
              </w:rPr>
              <w:t>4</w:t>
            </w:r>
          </w:p>
        </w:tc>
        <w:tc>
          <w:tcPr>
            <w:tcW w:w="1272" w:type="dxa"/>
            <w:shd w:val="clear" w:color="auto" w:fill="9CC2E5" w:themeFill="accent1" w:themeFillTint="99"/>
            <w:noWrap/>
            <w:vAlign w:val="bottom"/>
            <w:hideMark/>
          </w:tcPr>
          <w:p w:rsidR="00170FC6" w:rsidRPr="0020458A" w:rsidRDefault="00170FC6" w:rsidP="0020458A">
            <w:pPr>
              <w:jc w:val="both"/>
              <w:rPr>
                <w:rFonts w:cs="Arial"/>
                <w:color w:val="000000"/>
                <w:szCs w:val="22"/>
              </w:rPr>
            </w:pPr>
            <w:r w:rsidRPr="0020458A">
              <w:rPr>
                <w:rFonts w:cs="Arial"/>
                <w:color w:val="000000"/>
                <w:szCs w:val="22"/>
              </w:rPr>
              <w:t>5</w:t>
            </w:r>
          </w:p>
        </w:tc>
        <w:tc>
          <w:tcPr>
            <w:tcW w:w="1242" w:type="dxa"/>
            <w:shd w:val="clear" w:color="auto" w:fill="9CC2E5" w:themeFill="accent1" w:themeFillTint="99"/>
            <w:noWrap/>
            <w:vAlign w:val="bottom"/>
            <w:hideMark/>
          </w:tcPr>
          <w:p w:rsidR="00170FC6" w:rsidRPr="0020458A" w:rsidRDefault="00170FC6" w:rsidP="0020458A">
            <w:pPr>
              <w:jc w:val="both"/>
              <w:rPr>
                <w:rFonts w:cs="Arial"/>
                <w:color w:val="000000"/>
                <w:szCs w:val="22"/>
              </w:rPr>
            </w:pPr>
            <w:r w:rsidRPr="0020458A">
              <w:rPr>
                <w:rFonts w:cs="Arial"/>
                <w:color w:val="000000"/>
                <w:szCs w:val="22"/>
              </w:rPr>
              <w:t>6</w:t>
            </w:r>
          </w:p>
        </w:tc>
        <w:tc>
          <w:tcPr>
            <w:tcW w:w="1242" w:type="dxa"/>
            <w:shd w:val="clear" w:color="auto" w:fill="9CC2E5" w:themeFill="accent1" w:themeFillTint="99"/>
            <w:noWrap/>
            <w:vAlign w:val="bottom"/>
            <w:hideMark/>
          </w:tcPr>
          <w:p w:rsidR="00170FC6" w:rsidRPr="0020458A" w:rsidRDefault="00170FC6" w:rsidP="0020458A">
            <w:pPr>
              <w:jc w:val="both"/>
              <w:rPr>
                <w:rFonts w:cs="Arial"/>
                <w:color w:val="000000"/>
                <w:szCs w:val="22"/>
              </w:rPr>
            </w:pPr>
            <w:r w:rsidRPr="0020458A">
              <w:rPr>
                <w:rFonts w:cs="Arial"/>
                <w:color w:val="000000"/>
                <w:szCs w:val="22"/>
              </w:rPr>
              <w:t>9</w:t>
            </w:r>
          </w:p>
        </w:tc>
        <w:tc>
          <w:tcPr>
            <w:tcW w:w="960" w:type="dxa"/>
            <w:shd w:val="clear" w:color="auto" w:fill="auto"/>
            <w:noWrap/>
            <w:vAlign w:val="bottom"/>
            <w:hideMark/>
          </w:tcPr>
          <w:p w:rsidR="00170FC6" w:rsidRPr="0020458A" w:rsidRDefault="00170FC6" w:rsidP="0020458A">
            <w:pPr>
              <w:jc w:val="both"/>
              <w:rPr>
                <w:rFonts w:cs="Arial"/>
                <w:color w:val="000000"/>
                <w:szCs w:val="22"/>
              </w:rPr>
            </w:pPr>
            <w:r w:rsidRPr="0020458A">
              <w:rPr>
                <w:rFonts w:cs="Arial"/>
                <w:color w:val="000000"/>
                <w:szCs w:val="22"/>
              </w:rPr>
              <w:t>7</w:t>
            </w:r>
          </w:p>
        </w:tc>
      </w:tr>
      <w:tr w:rsidR="00170FC6" w:rsidRPr="008673A9" w:rsidTr="0020458A">
        <w:trPr>
          <w:trHeight w:val="300"/>
        </w:trPr>
        <w:tc>
          <w:tcPr>
            <w:tcW w:w="3400" w:type="dxa"/>
            <w:shd w:val="clear" w:color="auto" w:fill="auto"/>
            <w:noWrap/>
            <w:vAlign w:val="bottom"/>
            <w:hideMark/>
          </w:tcPr>
          <w:p w:rsidR="00170FC6" w:rsidRPr="0020458A" w:rsidRDefault="00170FC6" w:rsidP="0020458A">
            <w:pPr>
              <w:jc w:val="both"/>
              <w:rPr>
                <w:rFonts w:cs="Arial"/>
                <w:color w:val="000000"/>
                <w:szCs w:val="22"/>
              </w:rPr>
            </w:pPr>
            <w:r w:rsidRPr="0020458A">
              <w:rPr>
                <w:rFonts w:cs="Arial"/>
                <w:color w:val="000000"/>
                <w:szCs w:val="22"/>
              </w:rPr>
              <w:lastRenderedPageBreak/>
              <w:t>Mediating the case would have made us look weak</w:t>
            </w:r>
          </w:p>
        </w:tc>
        <w:tc>
          <w:tcPr>
            <w:tcW w:w="1275" w:type="dxa"/>
            <w:shd w:val="clear" w:color="auto" w:fill="9CC2E5" w:themeFill="accent1" w:themeFillTint="99"/>
            <w:noWrap/>
            <w:vAlign w:val="bottom"/>
            <w:hideMark/>
          </w:tcPr>
          <w:p w:rsidR="00170FC6" w:rsidRPr="0020458A" w:rsidRDefault="00170FC6" w:rsidP="0020458A">
            <w:pPr>
              <w:jc w:val="both"/>
              <w:rPr>
                <w:rFonts w:cs="Arial"/>
                <w:color w:val="000000"/>
                <w:szCs w:val="22"/>
              </w:rPr>
            </w:pPr>
            <w:r w:rsidRPr="0020458A">
              <w:rPr>
                <w:rFonts w:cs="Arial"/>
                <w:color w:val="000000"/>
                <w:szCs w:val="22"/>
              </w:rPr>
              <w:t>6</w:t>
            </w:r>
          </w:p>
        </w:tc>
        <w:tc>
          <w:tcPr>
            <w:tcW w:w="1272" w:type="dxa"/>
            <w:shd w:val="clear" w:color="auto" w:fill="9CC2E5" w:themeFill="accent1" w:themeFillTint="99"/>
            <w:noWrap/>
            <w:vAlign w:val="bottom"/>
            <w:hideMark/>
          </w:tcPr>
          <w:p w:rsidR="00170FC6" w:rsidRPr="0020458A" w:rsidRDefault="00170FC6" w:rsidP="0020458A">
            <w:pPr>
              <w:jc w:val="both"/>
              <w:rPr>
                <w:rFonts w:cs="Arial"/>
                <w:color w:val="000000"/>
                <w:szCs w:val="22"/>
              </w:rPr>
            </w:pPr>
            <w:r w:rsidRPr="0020458A">
              <w:rPr>
                <w:rFonts w:cs="Arial"/>
                <w:color w:val="000000"/>
                <w:szCs w:val="22"/>
              </w:rPr>
              <w:t>9</w:t>
            </w:r>
          </w:p>
        </w:tc>
        <w:tc>
          <w:tcPr>
            <w:tcW w:w="1242" w:type="dxa"/>
            <w:shd w:val="clear" w:color="auto" w:fill="9CC2E5" w:themeFill="accent1" w:themeFillTint="99"/>
            <w:noWrap/>
            <w:vAlign w:val="bottom"/>
            <w:hideMark/>
          </w:tcPr>
          <w:p w:rsidR="00170FC6" w:rsidRPr="0020458A" w:rsidRDefault="00170FC6" w:rsidP="0020458A">
            <w:pPr>
              <w:jc w:val="both"/>
              <w:rPr>
                <w:rFonts w:cs="Arial"/>
                <w:color w:val="000000"/>
                <w:szCs w:val="22"/>
              </w:rPr>
            </w:pPr>
            <w:r w:rsidRPr="0020458A">
              <w:rPr>
                <w:rFonts w:cs="Arial"/>
                <w:color w:val="000000"/>
                <w:szCs w:val="22"/>
              </w:rPr>
              <w:t>7</w:t>
            </w:r>
          </w:p>
        </w:tc>
        <w:tc>
          <w:tcPr>
            <w:tcW w:w="1242" w:type="dxa"/>
            <w:shd w:val="clear" w:color="auto" w:fill="9CC2E5" w:themeFill="accent1" w:themeFillTint="99"/>
            <w:noWrap/>
            <w:vAlign w:val="bottom"/>
            <w:hideMark/>
          </w:tcPr>
          <w:p w:rsidR="00170FC6" w:rsidRPr="0020458A" w:rsidRDefault="00170FC6" w:rsidP="0020458A">
            <w:pPr>
              <w:jc w:val="both"/>
              <w:rPr>
                <w:rFonts w:cs="Arial"/>
                <w:color w:val="000000"/>
                <w:szCs w:val="22"/>
              </w:rPr>
            </w:pPr>
            <w:r w:rsidRPr="0020458A">
              <w:rPr>
                <w:rFonts w:cs="Arial"/>
                <w:color w:val="000000"/>
                <w:szCs w:val="22"/>
              </w:rPr>
              <w:t>6</w:t>
            </w:r>
          </w:p>
        </w:tc>
        <w:tc>
          <w:tcPr>
            <w:tcW w:w="960" w:type="dxa"/>
            <w:shd w:val="clear" w:color="auto" w:fill="auto"/>
            <w:noWrap/>
            <w:vAlign w:val="bottom"/>
            <w:hideMark/>
          </w:tcPr>
          <w:p w:rsidR="00170FC6" w:rsidRPr="0020458A" w:rsidRDefault="00170FC6" w:rsidP="0020458A">
            <w:pPr>
              <w:jc w:val="both"/>
              <w:rPr>
                <w:rFonts w:cs="Arial"/>
                <w:color w:val="000000"/>
                <w:szCs w:val="22"/>
              </w:rPr>
            </w:pPr>
            <w:r w:rsidRPr="0020458A">
              <w:rPr>
                <w:rFonts w:cs="Arial"/>
                <w:color w:val="000000"/>
                <w:szCs w:val="22"/>
              </w:rPr>
              <w:t>8</w:t>
            </w:r>
          </w:p>
        </w:tc>
      </w:tr>
      <w:tr w:rsidR="00170FC6" w:rsidRPr="008673A9" w:rsidTr="0020458A">
        <w:trPr>
          <w:trHeight w:val="300"/>
        </w:trPr>
        <w:tc>
          <w:tcPr>
            <w:tcW w:w="3400" w:type="dxa"/>
            <w:shd w:val="clear" w:color="auto" w:fill="auto"/>
            <w:noWrap/>
            <w:vAlign w:val="bottom"/>
            <w:hideMark/>
          </w:tcPr>
          <w:p w:rsidR="00170FC6" w:rsidRPr="0020458A" w:rsidRDefault="00170FC6" w:rsidP="0020458A">
            <w:pPr>
              <w:jc w:val="both"/>
              <w:rPr>
                <w:rFonts w:cs="Arial"/>
                <w:color w:val="000000"/>
                <w:szCs w:val="22"/>
              </w:rPr>
            </w:pPr>
            <w:r w:rsidRPr="0020458A">
              <w:rPr>
                <w:rFonts w:cs="Arial"/>
                <w:color w:val="000000"/>
                <w:szCs w:val="22"/>
              </w:rPr>
              <w:t>The high cost of mediation</w:t>
            </w:r>
          </w:p>
        </w:tc>
        <w:tc>
          <w:tcPr>
            <w:tcW w:w="1275" w:type="dxa"/>
            <w:shd w:val="clear" w:color="auto" w:fill="9CC2E5" w:themeFill="accent1" w:themeFillTint="99"/>
            <w:noWrap/>
            <w:vAlign w:val="bottom"/>
            <w:hideMark/>
          </w:tcPr>
          <w:p w:rsidR="00170FC6" w:rsidRPr="0020458A" w:rsidRDefault="00170FC6" w:rsidP="0020458A">
            <w:pPr>
              <w:jc w:val="both"/>
              <w:rPr>
                <w:rFonts w:cs="Arial"/>
                <w:color w:val="000000"/>
                <w:szCs w:val="22"/>
              </w:rPr>
            </w:pPr>
            <w:r w:rsidRPr="0020458A">
              <w:rPr>
                <w:rFonts w:cs="Arial"/>
                <w:color w:val="000000"/>
                <w:szCs w:val="22"/>
              </w:rPr>
              <w:t>9</w:t>
            </w:r>
          </w:p>
        </w:tc>
        <w:tc>
          <w:tcPr>
            <w:tcW w:w="1272" w:type="dxa"/>
            <w:shd w:val="clear" w:color="auto" w:fill="9CC2E5" w:themeFill="accent1" w:themeFillTint="99"/>
            <w:noWrap/>
            <w:vAlign w:val="bottom"/>
            <w:hideMark/>
          </w:tcPr>
          <w:p w:rsidR="00170FC6" w:rsidRPr="0020458A" w:rsidRDefault="00CB2AC2" w:rsidP="0020458A">
            <w:pPr>
              <w:jc w:val="both"/>
              <w:rPr>
                <w:rFonts w:cs="Arial"/>
                <w:color w:val="000000"/>
                <w:szCs w:val="22"/>
              </w:rPr>
            </w:pPr>
            <w:r w:rsidRPr="0020458A">
              <w:rPr>
                <w:rFonts w:cs="Arial"/>
                <w:color w:val="000000"/>
                <w:szCs w:val="22"/>
              </w:rPr>
              <w:t>6</w:t>
            </w:r>
          </w:p>
        </w:tc>
        <w:tc>
          <w:tcPr>
            <w:tcW w:w="1242" w:type="dxa"/>
            <w:shd w:val="clear" w:color="auto" w:fill="9CC2E5" w:themeFill="accent1" w:themeFillTint="99"/>
            <w:noWrap/>
            <w:vAlign w:val="bottom"/>
            <w:hideMark/>
          </w:tcPr>
          <w:p w:rsidR="00170FC6" w:rsidRPr="0020458A" w:rsidRDefault="00170FC6" w:rsidP="0020458A">
            <w:pPr>
              <w:jc w:val="both"/>
              <w:rPr>
                <w:rFonts w:cs="Arial"/>
                <w:color w:val="000000"/>
                <w:szCs w:val="22"/>
              </w:rPr>
            </w:pPr>
            <w:r w:rsidRPr="0020458A">
              <w:rPr>
                <w:rFonts w:cs="Arial"/>
                <w:color w:val="000000"/>
                <w:szCs w:val="22"/>
              </w:rPr>
              <w:t>9</w:t>
            </w:r>
          </w:p>
        </w:tc>
        <w:tc>
          <w:tcPr>
            <w:tcW w:w="1242" w:type="dxa"/>
            <w:shd w:val="clear" w:color="auto" w:fill="9CC2E5" w:themeFill="accent1" w:themeFillTint="99"/>
            <w:noWrap/>
            <w:vAlign w:val="bottom"/>
            <w:hideMark/>
          </w:tcPr>
          <w:p w:rsidR="00170FC6" w:rsidRPr="0020458A" w:rsidRDefault="00170FC6" w:rsidP="0020458A">
            <w:pPr>
              <w:jc w:val="both"/>
              <w:rPr>
                <w:rFonts w:cs="Arial"/>
                <w:color w:val="000000"/>
                <w:szCs w:val="22"/>
              </w:rPr>
            </w:pPr>
            <w:r w:rsidRPr="0020458A">
              <w:rPr>
                <w:rFonts w:cs="Arial"/>
                <w:color w:val="000000"/>
                <w:szCs w:val="22"/>
              </w:rPr>
              <w:t>8</w:t>
            </w:r>
          </w:p>
        </w:tc>
        <w:tc>
          <w:tcPr>
            <w:tcW w:w="960" w:type="dxa"/>
            <w:shd w:val="clear" w:color="auto" w:fill="auto"/>
            <w:noWrap/>
            <w:vAlign w:val="bottom"/>
            <w:hideMark/>
          </w:tcPr>
          <w:p w:rsidR="00170FC6" w:rsidRPr="0020458A" w:rsidRDefault="00170FC6" w:rsidP="0020458A">
            <w:pPr>
              <w:jc w:val="both"/>
              <w:rPr>
                <w:rFonts w:cs="Arial"/>
                <w:color w:val="000000"/>
                <w:szCs w:val="22"/>
              </w:rPr>
            </w:pPr>
            <w:r w:rsidRPr="0020458A">
              <w:rPr>
                <w:rFonts w:cs="Arial"/>
                <w:color w:val="000000"/>
                <w:szCs w:val="22"/>
              </w:rPr>
              <w:t>9</w:t>
            </w:r>
          </w:p>
        </w:tc>
      </w:tr>
      <w:tr w:rsidR="00170FC6" w:rsidRPr="008673A9" w:rsidTr="0020458A">
        <w:trPr>
          <w:trHeight w:val="300"/>
        </w:trPr>
        <w:tc>
          <w:tcPr>
            <w:tcW w:w="3400" w:type="dxa"/>
            <w:shd w:val="clear" w:color="auto" w:fill="auto"/>
            <w:noWrap/>
            <w:vAlign w:val="bottom"/>
            <w:hideMark/>
          </w:tcPr>
          <w:p w:rsidR="00170FC6" w:rsidRPr="0020458A" w:rsidRDefault="00170FC6" w:rsidP="0020458A">
            <w:pPr>
              <w:jc w:val="both"/>
              <w:rPr>
                <w:rFonts w:cs="Arial"/>
                <w:color w:val="000000"/>
                <w:szCs w:val="22"/>
              </w:rPr>
            </w:pPr>
            <w:r w:rsidRPr="0020458A">
              <w:rPr>
                <w:rFonts w:cs="Arial"/>
                <w:color w:val="000000"/>
                <w:szCs w:val="22"/>
              </w:rPr>
              <w:t>Mediation would have involved compromise</w:t>
            </w:r>
          </w:p>
        </w:tc>
        <w:tc>
          <w:tcPr>
            <w:tcW w:w="1275" w:type="dxa"/>
            <w:shd w:val="clear" w:color="auto" w:fill="9CC2E5" w:themeFill="accent1" w:themeFillTint="99"/>
            <w:noWrap/>
            <w:vAlign w:val="bottom"/>
            <w:hideMark/>
          </w:tcPr>
          <w:p w:rsidR="00170FC6" w:rsidRPr="0020458A" w:rsidRDefault="00170FC6" w:rsidP="0020458A">
            <w:pPr>
              <w:jc w:val="both"/>
              <w:rPr>
                <w:rFonts w:cs="Arial"/>
                <w:color w:val="000000"/>
                <w:szCs w:val="22"/>
              </w:rPr>
            </w:pPr>
            <w:r w:rsidRPr="0020458A">
              <w:rPr>
                <w:rFonts w:cs="Arial"/>
                <w:color w:val="000000"/>
                <w:szCs w:val="22"/>
              </w:rPr>
              <w:t>3</w:t>
            </w:r>
          </w:p>
        </w:tc>
        <w:tc>
          <w:tcPr>
            <w:tcW w:w="1272" w:type="dxa"/>
            <w:shd w:val="clear" w:color="auto" w:fill="9CC2E5" w:themeFill="accent1" w:themeFillTint="99"/>
            <w:noWrap/>
            <w:vAlign w:val="bottom"/>
            <w:hideMark/>
          </w:tcPr>
          <w:p w:rsidR="00170FC6" w:rsidRPr="0020458A" w:rsidRDefault="00170FC6" w:rsidP="0020458A">
            <w:pPr>
              <w:jc w:val="both"/>
              <w:rPr>
                <w:rFonts w:cs="Arial"/>
                <w:color w:val="000000"/>
                <w:szCs w:val="22"/>
              </w:rPr>
            </w:pPr>
            <w:r w:rsidRPr="0020458A">
              <w:rPr>
                <w:rFonts w:cs="Arial"/>
                <w:color w:val="000000"/>
                <w:szCs w:val="22"/>
              </w:rPr>
              <w:t>10</w:t>
            </w:r>
          </w:p>
        </w:tc>
        <w:tc>
          <w:tcPr>
            <w:tcW w:w="1242" w:type="dxa"/>
            <w:shd w:val="clear" w:color="auto" w:fill="9CC2E5" w:themeFill="accent1" w:themeFillTint="99"/>
            <w:noWrap/>
            <w:vAlign w:val="bottom"/>
            <w:hideMark/>
          </w:tcPr>
          <w:p w:rsidR="00170FC6" w:rsidRPr="0020458A" w:rsidRDefault="00170FC6" w:rsidP="0020458A">
            <w:pPr>
              <w:jc w:val="both"/>
              <w:rPr>
                <w:rFonts w:cs="Arial"/>
                <w:color w:val="000000"/>
                <w:szCs w:val="22"/>
              </w:rPr>
            </w:pPr>
            <w:r w:rsidRPr="0020458A">
              <w:rPr>
                <w:rFonts w:cs="Arial"/>
                <w:color w:val="000000"/>
                <w:szCs w:val="22"/>
              </w:rPr>
              <w:t>10</w:t>
            </w:r>
          </w:p>
        </w:tc>
        <w:tc>
          <w:tcPr>
            <w:tcW w:w="1242" w:type="dxa"/>
            <w:shd w:val="clear" w:color="auto" w:fill="9CC2E5" w:themeFill="accent1" w:themeFillTint="99"/>
            <w:noWrap/>
            <w:vAlign w:val="bottom"/>
            <w:hideMark/>
          </w:tcPr>
          <w:p w:rsidR="00170FC6" w:rsidRPr="0020458A" w:rsidRDefault="00170FC6" w:rsidP="0020458A">
            <w:pPr>
              <w:jc w:val="both"/>
              <w:rPr>
                <w:rFonts w:cs="Arial"/>
                <w:color w:val="000000"/>
                <w:szCs w:val="22"/>
              </w:rPr>
            </w:pPr>
            <w:r w:rsidRPr="0020458A">
              <w:rPr>
                <w:rFonts w:cs="Arial"/>
                <w:color w:val="000000"/>
                <w:szCs w:val="22"/>
              </w:rPr>
              <w:t>7</w:t>
            </w:r>
          </w:p>
        </w:tc>
        <w:tc>
          <w:tcPr>
            <w:tcW w:w="960" w:type="dxa"/>
            <w:shd w:val="clear" w:color="auto" w:fill="auto"/>
            <w:noWrap/>
            <w:vAlign w:val="bottom"/>
            <w:hideMark/>
          </w:tcPr>
          <w:p w:rsidR="00170FC6" w:rsidRPr="0020458A" w:rsidRDefault="00170FC6" w:rsidP="0020458A">
            <w:pPr>
              <w:jc w:val="both"/>
              <w:rPr>
                <w:rFonts w:cs="Arial"/>
                <w:color w:val="000000"/>
                <w:szCs w:val="22"/>
              </w:rPr>
            </w:pPr>
            <w:r w:rsidRPr="0020458A">
              <w:rPr>
                <w:rFonts w:cs="Arial"/>
                <w:color w:val="000000"/>
                <w:szCs w:val="22"/>
              </w:rPr>
              <w:t>10</w:t>
            </w:r>
          </w:p>
        </w:tc>
      </w:tr>
    </w:tbl>
    <w:p w:rsidR="00432243" w:rsidRDefault="00432243" w:rsidP="0020458A">
      <w:pPr>
        <w:jc w:val="both"/>
        <w:rPr>
          <w:rFonts w:cs="Arial"/>
        </w:rPr>
      </w:pPr>
    </w:p>
    <w:p w:rsidR="00956149" w:rsidRDefault="00956149" w:rsidP="0020458A">
      <w:pPr>
        <w:jc w:val="both"/>
      </w:pPr>
      <w:r>
        <w:t>Speci</w:t>
      </w:r>
      <w:r w:rsidR="000B2D1B">
        <w:t xml:space="preserve">al </w:t>
      </w:r>
      <w:r>
        <w:t xml:space="preserve">attention was </w:t>
      </w:r>
      <w:r w:rsidR="000B2D1B">
        <w:t>given</w:t>
      </w:r>
      <w:r>
        <w:t xml:space="preserve"> to the ranking by subcontractors to be able to answer the question on why the use of mediation is relatively lower among them than other stakeholders. To better understands the reason</w:t>
      </w:r>
      <w:r w:rsidR="000B2D1B">
        <w:t>s</w:t>
      </w:r>
      <w:r>
        <w:t xml:space="preserve"> why they would not consider mediation, the top five factors were closely examined. These factors were voted by at le</w:t>
      </w:r>
      <w:r w:rsidR="002F58CD">
        <w:t>ast 10% of respondents from these</w:t>
      </w:r>
      <w:r>
        <w:t xml:space="preserve"> groups while the bottom 5 factors received 7-9% of the votes. Specific scores were as follow:</w:t>
      </w:r>
    </w:p>
    <w:p w:rsidR="00956149" w:rsidRPr="0069047A" w:rsidRDefault="00956149" w:rsidP="0020458A">
      <w:pPr>
        <w:pStyle w:val="ListParagraph"/>
        <w:numPr>
          <w:ilvl w:val="0"/>
          <w:numId w:val="17"/>
        </w:numPr>
        <w:jc w:val="both"/>
        <w:rPr>
          <w:rFonts w:cs="Arial"/>
        </w:rPr>
      </w:pPr>
      <w:r>
        <w:rPr>
          <w:rFonts w:cs="Arial"/>
          <w:color w:val="000000"/>
          <w:szCs w:val="22"/>
        </w:rPr>
        <w:t>35% of subcontractors and suppliers b</w:t>
      </w:r>
      <w:r w:rsidRPr="0069047A">
        <w:rPr>
          <w:rFonts w:cs="Arial"/>
          <w:color w:val="000000"/>
          <w:szCs w:val="22"/>
        </w:rPr>
        <w:t xml:space="preserve">elieved that </w:t>
      </w:r>
      <w:r>
        <w:rPr>
          <w:rFonts w:cs="Arial"/>
          <w:color w:val="000000"/>
          <w:szCs w:val="22"/>
        </w:rPr>
        <w:t>“</w:t>
      </w:r>
      <w:r w:rsidRPr="0069047A">
        <w:rPr>
          <w:rFonts w:cs="Arial"/>
          <w:i/>
          <w:color w:val="000000"/>
          <w:szCs w:val="22"/>
        </w:rPr>
        <w:t>adjudication was more appropriate</w:t>
      </w:r>
      <w:r>
        <w:rPr>
          <w:rFonts w:cs="Arial"/>
          <w:color w:val="000000"/>
          <w:szCs w:val="22"/>
        </w:rPr>
        <w:t xml:space="preserve">”;  </w:t>
      </w:r>
    </w:p>
    <w:p w:rsidR="00956149" w:rsidRPr="0069047A" w:rsidRDefault="00956149" w:rsidP="0020458A">
      <w:pPr>
        <w:pStyle w:val="ListParagraph"/>
        <w:numPr>
          <w:ilvl w:val="0"/>
          <w:numId w:val="17"/>
        </w:numPr>
        <w:jc w:val="both"/>
        <w:rPr>
          <w:rFonts w:cs="Arial"/>
        </w:rPr>
      </w:pPr>
      <w:r>
        <w:rPr>
          <w:rFonts w:cs="Arial"/>
          <w:color w:val="000000"/>
          <w:szCs w:val="22"/>
        </w:rPr>
        <w:t>15% of subcontractors and suppliers admitted that they “</w:t>
      </w:r>
      <w:r w:rsidRPr="0069047A">
        <w:rPr>
          <w:rFonts w:cs="Arial"/>
          <w:i/>
          <w:color w:val="000000"/>
          <w:szCs w:val="22"/>
        </w:rPr>
        <w:t>did not know enough about what mediation entailed</w:t>
      </w:r>
      <w:r>
        <w:rPr>
          <w:rFonts w:cs="Arial"/>
          <w:color w:val="000000"/>
          <w:szCs w:val="22"/>
        </w:rPr>
        <w:t xml:space="preserve">”;  </w:t>
      </w:r>
    </w:p>
    <w:p w:rsidR="00956149" w:rsidRPr="0069047A" w:rsidRDefault="00956149" w:rsidP="0020458A">
      <w:pPr>
        <w:pStyle w:val="ListParagraph"/>
        <w:numPr>
          <w:ilvl w:val="0"/>
          <w:numId w:val="17"/>
        </w:numPr>
        <w:jc w:val="both"/>
        <w:rPr>
          <w:rFonts w:cs="Arial"/>
        </w:rPr>
      </w:pPr>
      <w:r>
        <w:rPr>
          <w:rFonts w:cs="Arial"/>
          <w:color w:val="000000"/>
          <w:szCs w:val="22"/>
        </w:rPr>
        <w:t>15% of subcontractors and suppliers thought that “</w:t>
      </w:r>
      <w:r w:rsidRPr="0069047A">
        <w:rPr>
          <w:rFonts w:cs="Arial"/>
          <w:i/>
          <w:color w:val="000000"/>
          <w:szCs w:val="22"/>
        </w:rPr>
        <w:t>the case type was not appropriate for mediation</w:t>
      </w:r>
      <w:r>
        <w:rPr>
          <w:rFonts w:cs="Arial"/>
          <w:color w:val="000000"/>
          <w:szCs w:val="22"/>
        </w:rPr>
        <w:t>”;</w:t>
      </w:r>
    </w:p>
    <w:p w:rsidR="00956149" w:rsidRPr="0069047A" w:rsidRDefault="00956149" w:rsidP="0020458A">
      <w:pPr>
        <w:pStyle w:val="ListParagraph"/>
        <w:numPr>
          <w:ilvl w:val="0"/>
          <w:numId w:val="17"/>
        </w:numPr>
        <w:jc w:val="both"/>
        <w:rPr>
          <w:rFonts w:cs="Arial"/>
        </w:rPr>
      </w:pPr>
      <w:r>
        <w:rPr>
          <w:rFonts w:cs="Arial"/>
          <w:color w:val="000000"/>
          <w:szCs w:val="22"/>
        </w:rPr>
        <w:t>11% of subcontractors and suppliers “</w:t>
      </w:r>
      <w:r w:rsidRPr="0069047A">
        <w:rPr>
          <w:rFonts w:cs="Arial"/>
          <w:i/>
          <w:color w:val="000000"/>
          <w:szCs w:val="22"/>
        </w:rPr>
        <w:t>belief that the opposing party would not take part in good faith</w:t>
      </w:r>
      <w:r>
        <w:rPr>
          <w:rFonts w:cs="Arial"/>
          <w:color w:val="000000"/>
          <w:szCs w:val="22"/>
        </w:rPr>
        <w:t>”; and</w:t>
      </w:r>
    </w:p>
    <w:p w:rsidR="00956149" w:rsidRPr="0069047A" w:rsidRDefault="00956149" w:rsidP="0020458A">
      <w:pPr>
        <w:pStyle w:val="ListParagraph"/>
        <w:numPr>
          <w:ilvl w:val="0"/>
          <w:numId w:val="17"/>
        </w:numPr>
        <w:jc w:val="both"/>
        <w:rPr>
          <w:rFonts w:cs="Arial"/>
        </w:rPr>
      </w:pPr>
      <w:r>
        <w:rPr>
          <w:rFonts w:cs="Arial"/>
          <w:color w:val="000000"/>
          <w:szCs w:val="22"/>
        </w:rPr>
        <w:t>10% of subcontractors and suppliers “</w:t>
      </w:r>
      <w:r w:rsidRPr="0069047A">
        <w:rPr>
          <w:rFonts w:cs="Arial"/>
          <w:i/>
          <w:color w:val="000000"/>
          <w:szCs w:val="22"/>
        </w:rPr>
        <w:t>believed that negotiation was</w:t>
      </w:r>
      <w:r w:rsidR="0054344E">
        <w:rPr>
          <w:rFonts w:cs="Arial"/>
          <w:i/>
          <w:color w:val="000000"/>
          <w:szCs w:val="22"/>
        </w:rPr>
        <w:t xml:space="preserve"> </w:t>
      </w:r>
      <w:r w:rsidRPr="0069047A">
        <w:rPr>
          <w:rFonts w:cs="Arial"/>
          <w:i/>
          <w:color w:val="000000"/>
          <w:szCs w:val="22"/>
        </w:rPr>
        <w:t>capable of settling the case</w:t>
      </w:r>
      <w:r>
        <w:rPr>
          <w:rFonts w:cs="Arial"/>
          <w:color w:val="000000"/>
          <w:szCs w:val="22"/>
        </w:rPr>
        <w:t xml:space="preserve">”. </w:t>
      </w:r>
    </w:p>
    <w:p w:rsidR="00956149" w:rsidRDefault="00956149" w:rsidP="0020458A">
      <w:pPr>
        <w:jc w:val="both"/>
        <w:rPr>
          <w:rFonts w:cs="Arial"/>
        </w:rPr>
      </w:pPr>
    </w:p>
    <w:p w:rsidR="00956149" w:rsidRDefault="00956149" w:rsidP="0020458A">
      <w:pPr>
        <w:jc w:val="both"/>
      </w:pPr>
      <w:r>
        <w:t xml:space="preserve">These results indicates the preference for adjudication (ranked at the top) was due to limited understanding of mediation - which is evidenced by the high ranking of factors </w:t>
      </w:r>
      <w:r w:rsidR="00660480">
        <w:t xml:space="preserve">that indicate mediation is not all-clear to some subcontractors </w:t>
      </w:r>
      <w:r>
        <w:t xml:space="preserve">at </w:t>
      </w:r>
      <w:r w:rsidR="00660480">
        <w:t xml:space="preserve">the </w:t>
      </w:r>
      <w:r>
        <w:t>2</w:t>
      </w:r>
      <w:r w:rsidRPr="0069047A">
        <w:rPr>
          <w:vertAlign w:val="superscript"/>
        </w:rPr>
        <w:t>nd</w:t>
      </w:r>
      <w:r>
        <w:t>, 3</w:t>
      </w:r>
      <w:r w:rsidRPr="0069047A">
        <w:rPr>
          <w:vertAlign w:val="superscript"/>
        </w:rPr>
        <w:t>rd</w:t>
      </w:r>
      <w:r>
        <w:t xml:space="preserve"> and 5</w:t>
      </w:r>
      <w:r w:rsidRPr="0069047A">
        <w:rPr>
          <w:vertAlign w:val="superscript"/>
        </w:rPr>
        <w:t>th</w:t>
      </w:r>
      <w:r>
        <w:t xml:space="preserve"> place</w:t>
      </w:r>
      <w:r w:rsidR="00660480">
        <w:t xml:space="preserve"> respectively.</w:t>
      </w:r>
      <w:r>
        <w:t xml:space="preserve"> Lack of trust with the other party seems to be an overarching reason among all stakeholders (ranked among the top 4 by </w:t>
      </w:r>
      <w:r w:rsidR="00660480">
        <w:t>all</w:t>
      </w:r>
      <w:r>
        <w:t xml:space="preserve"> group</w:t>
      </w:r>
      <w:r w:rsidR="00660480">
        <w:t>s</w:t>
      </w:r>
      <w:r>
        <w:t>).</w:t>
      </w:r>
    </w:p>
    <w:p w:rsidR="00C30098" w:rsidRDefault="00C30098" w:rsidP="0020458A">
      <w:pPr>
        <w:jc w:val="both"/>
        <w:rPr>
          <w:rFonts w:cs="Arial"/>
          <w:szCs w:val="22"/>
        </w:rPr>
      </w:pPr>
    </w:p>
    <w:p w:rsidR="00C30098" w:rsidRPr="005C1996" w:rsidRDefault="00C30098" w:rsidP="0020458A">
      <w:pPr>
        <w:pStyle w:val="Heading2"/>
        <w:jc w:val="both"/>
      </w:pPr>
      <w:r w:rsidRPr="005C1996">
        <w:t>Discussion</w:t>
      </w:r>
    </w:p>
    <w:p w:rsidR="00C4537D" w:rsidRDefault="00454EBF" w:rsidP="0020458A">
      <w:pPr>
        <w:jc w:val="both"/>
      </w:pPr>
      <w:r>
        <w:t>F</w:t>
      </w:r>
      <w:r w:rsidR="00660F6E">
        <w:t>indings from the analysis</w:t>
      </w:r>
      <w:r w:rsidR="009672A5">
        <w:t xml:space="preserve"> would appear to </w:t>
      </w:r>
      <w:r w:rsidR="00660F6E">
        <w:t xml:space="preserve">validate that the use of mediation is relatively lower than that of adjudication. One </w:t>
      </w:r>
      <w:r w:rsidR="009672A5">
        <w:t xml:space="preserve">of the reasons for continued low use in the construction industry of mediation is the lack of detailed knowledge of the process, which is causing parties to decline </w:t>
      </w:r>
      <w:r w:rsidR="00D964DA">
        <w:t>mediation</w:t>
      </w:r>
      <w:r w:rsidR="009672A5">
        <w:t xml:space="preserve"> when it is offered. </w:t>
      </w:r>
      <w:r w:rsidR="00A17E5D">
        <w:t xml:space="preserve">The problem is more prominent among subcontractors than with consultants and main contractors. </w:t>
      </w:r>
    </w:p>
    <w:p w:rsidR="00C4537D" w:rsidRDefault="00C4537D" w:rsidP="0020458A">
      <w:pPr>
        <w:jc w:val="both"/>
        <w:rPr>
          <w:rFonts w:cs="Arial"/>
          <w:szCs w:val="22"/>
        </w:rPr>
      </w:pPr>
    </w:p>
    <w:p w:rsidR="0022695D" w:rsidRDefault="00766F8F" w:rsidP="0020458A">
      <w:pPr>
        <w:jc w:val="both"/>
      </w:pPr>
      <w:r>
        <w:t xml:space="preserve">Findings from the present study indicate that it is possible to increase the use of mediation by up to 35% </w:t>
      </w:r>
      <w:r w:rsidR="00187D33">
        <w:t>if proper level of</w:t>
      </w:r>
      <w:r w:rsidR="00103BCA">
        <w:t xml:space="preserve"> detailed</w:t>
      </w:r>
      <w:r w:rsidR="00187D33">
        <w:t xml:space="preserve"> awareness i</w:t>
      </w:r>
      <w:r>
        <w:t xml:space="preserve">s raised among subcontractors and suppliers. </w:t>
      </w:r>
      <w:r w:rsidR="00D36BFD">
        <w:t xml:space="preserve">Similarly, better understanding of </w:t>
      </w:r>
      <w:r w:rsidR="007159C2">
        <w:t>mediation among</w:t>
      </w:r>
      <w:r w:rsidR="00D36BFD">
        <w:t xml:space="preserve"> clients, consultants and main contractors </w:t>
      </w:r>
      <w:r w:rsidR="007159C2">
        <w:t>would</w:t>
      </w:r>
      <w:r w:rsidR="00D36BFD">
        <w:t xml:space="preserve"> subsequently increase </w:t>
      </w:r>
      <w:r w:rsidR="007159C2">
        <w:t xml:space="preserve">the involvement of the respective groups by 21%, 9% and 6%. </w:t>
      </w:r>
      <w:r w:rsidR="00ED4D16">
        <w:t>Lack of full awareness has partly contributed to the misconception that mediation costs more or takes longer to resolve a dispute than adjudication. This is contrary to the established body of knowledge including the work by</w:t>
      </w:r>
      <w:r w:rsidR="00380BF4" w:rsidRPr="00D371CD">
        <w:t xml:space="preserve"> Jackson (2010) </w:t>
      </w:r>
      <w:r w:rsidR="00380BF4">
        <w:t xml:space="preserve">who </w:t>
      </w:r>
      <w:r w:rsidR="00380BF4" w:rsidRPr="00D371CD">
        <w:t xml:space="preserve">considers the </w:t>
      </w:r>
      <w:r w:rsidR="00380BF4" w:rsidRPr="00D371CD">
        <w:lastRenderedPageBreak/>
        <w:t>inclusion of ADR as key</w:t>
      </w:r>
      <w:r w:rsidR="00380BF4">
        <w:t xml:space="preserve"> </w:t>
      </w:r>
      <w:r w:rsidR="00380BF4" w:rsidRPr="00D371CD">
        <w:t>to the reduction in</w:t>
      </w:r>
      <w:r w:rsidR="00380BF4">
        <w:t xml:space="preserve"> the costs of disputes and </w:t>
      </w:r>
      <w:r w:rsidR="00C933FE">
        <w:t xml:space="preserve">the work by </w:t>
      </w:r>
      <w:r w:rsidR="002B5CA6" w:rsidRPr="00C870A7">
        <w:t>Gould (2009)</w:t>
      </w:r>
      <w:r w:rsidR="00C933FE">
        <w:t>, which</w:t>
      </w:r>
      <w:r w:rsidR="002B5CA6" w:rsidRPr="00C870A7">
        <w:t xml:space="preserve"> confirms that significant cost savings can be made by using mediation through the reduction in legal fees for proceeding to court.</w:t>
      </w:r>
    </w:p>
    <w:p w:rsidR="00ED4D16" w:rsidRDefault="00ED4D16" w:rsidP="0020458A">
      <w:pPr>
        <w:jc w:val="both"/>
        <w:rPr>
          <w:rFonts w:cs="Arial"/>
          <w:szCs w:val="22"/>
        </w:rPr>
      </w:pPr>
    </w:p>
    <w:p w:rsidR="0078028E" w:rsidRDefault="00D45EE8" w:rsidP="0020458A">
      <w:pPr>
        <w:jc w:val="both"/>
      </w:pPr>
      <w:r>
        <w:t>The p</w:t>
      </w:r>
      <w:r w:rsidR="00ED4D16">
        <w:t xml:space="preserve">revious </w:t>
      </w:r>
      <w:r w:rsidR="00BF20B0">
        <w:t>stud</w:t>
      </w:r>
      <w:r>
        <w:t>y</w:t>
      </w:r>
      <w:r w:rsidR="00BF20B0">
        <w:t xml:space="preserve"> </w:t>
      </w:r>
      <w:r w:rsidR="00ED4D16">
        <w:t>by Trushell et al, (2012) showed that subcontractor</w:t>
      </w:r>
      <w:r w:rsidR="00103BCA">
        <w:t>s</w:t>
      </w:r>
      <w:r w:rsidR="00ED4D16">
        <w:t xml:space="preserve"> are directly involved in nearly six out of every 10 disputes (including subcontractor vs main contractor, subcontractor vs subcontractor, specialist subcontractor vs main contractor, etc.). </w:t>
      </w:r>
      <w:r w:rsidR="005004C6">
        <w:t xml:space="preserve">Statistics </w:t>
      </w:r>
      <w:r w:rsidR="00B1721B">
        <w:t xml:space="preserve">from </w:t>
      </w:r>
      <w:r w:rsidR="0054344E">
        <w:t>Trushell et al, (2012)</w:t>
      </w:r>
      <w:r w:rsidR="00B1721B">
        <w:t xml:space="preserve"> </w:t>
      </w:r>
      <w:r w:rsidR="005004C6">
        <w:t xml:space="preserve">show that </w:t>
      </w:r>
      <w:r w:rsidR="00607158">
        <w:t>20,000</w:t>
      </w:r>
      <w:r w:rsidR="005004C6">
        <w:t xml:space="preserve"> </w:t>
      </w:r>
      <w:r w:rsidR="00607158">
        <w:t>adjudication</w:t>
      </w:r>
      <w:r w:rsidR="0054344E">
        <w:t>s were registered</w:t>
      </w:r>
      <w:r w:rsidR="002A5B5C">
        <w:t xml:space="preserve"> in 14 years</w:t>
      </w:r>
      <w:r w:rsidR="005004C6">
        <w:t>, around 10</w:t>
      </w:r>
      <w:r w:rsidR="00454EBF">
        <w:t>,</w:t>
      </w:r>
      <w:r w:rsidR="005004C6">
        <w:t xml:space="preserve">800 </w:t>
      </w:r>
      <w:r w:rsidR="002A5B5C">
        <w:t xml:space="preserve">of these </w:t>
      </w:r>
      <w:r w:rsidR="005004C6">
        <w:t xml:space="preserve">(or 54%) may have involved a subcontractor.  </w:t>
      </w:r>
      <w:r w:rsidR="002A5B5C">
        <w:t>With a 35% increase in use of mediation among subcontractors, it would seem to suggest that</w:t>
      </w:r>
      <w:r w:rsidR="001F45C0">
        <w:rPr>
          <w:color w:val="C00000"/>
        </w:rPr>
        <w:t>,</w:t>
      </w:r>
      <w:r w:rsidR="002A5B5C">
        <w:t xml:space="preserve"> </w:t>
      </w:r>
      <w:r w:rsidR="00494C5D">
        <w:t>on average</w:t>
      </w:r>
      <w:r w:rsidR="001F45C0">
        <w:rPr>
          <w:color w:val="C00000"/>
        </w:rPr>
        <w:t>,</w:t>
      </w:r>
      <w:r w:rsidR="00494C5D">
        <w:t xml:space="preserve"> at least 270</w:t>
      </w:r>
      <w:r w:rsidR="00607158">
        <w:t xml:space="preserve"> </w:t>
      </w:r>
      <w:r w:rsidR="002A5B5C">
        <w:t xml:space="preserve">more cases </w:t>
      </w:r>
      <w:r w:rsidR="00494C5D">
        <w:t xml:space="preserve">every year would consider mediation before going for adjudication. </w:t>
      </w:r>
      <w:r w:rsidR="00ED128C">
        <w:t>Full awareness among all groups is likely to help the industry save even more in terms or cost, time and its image</w:t>
      </w:r>
      <w:r w:rsidR="006C291E">
        <w:t xml:space="preserve">. The construction industry is aware that </w:t>
      </w:r>
      <w:r w:rsidR="00C933FE">
        <w:t xml:space="preserve">its </w:t>
      </w:r>
      <w:r w:rsidR="006C291E">
        <w:t xml:space="preserve">image is important and the Considerate Contractor Scheme </w:t>
      </w:r>
      <w:r w:rsidR="00C933FE">
        <w:t xml:space="preserve">(CCS) </w:t>
      </w:r>
      <w:r w:rsidR="006C291E">
        <w:t xml:space="preserve">was launched in 1997 </w:t>
      </w:r>
      <w:r w:rsidR="00C933FE">
        <w:t xml:space="preserve">in the UK </w:t>
      </w:r>
      <w:r w:rsidR="006C291E">
        <w:t>with the aim of improving its image (</w:t>
      </w:r>
      <w:hyperlink r:id="rId11" w:history="1">
        <w:r w:rsidR="00C933FE">
          <w:rPr>
            <w:rStyle w:val="Hyperlink"/>
            <w:rFonts w:cs="Arial"/>
            <w:szCs w:val="22"/>
          </w:rPr>
          <w:t>CCS,</w:t>
        </w:r>
      </w:hyperlink>
      <w:r w:rsidR="00C933FE">
        <w:t xml:space="preserve"> 2015</w:t>
      </w:r>
      <w:r w:rsidR="006C291E">
        <w:t xml:space="preserve">). The scheme is supported by </w:t>
      </w:r>
      <w:r w:rsidR="00C933FE">
        <w:t xml:space="preserve">the UK </w:t>
      </w:r>
      <w:r w:rsidR="006C291E">
        <w:t xml:space="preserve">Government and has over 1,000 companies registered including most of the major contractors operating in England.   </w:t>
      </w:r>
      <w:r w:rsidR="00C1271E">
        <w:t xml:space="preserve"> </w:t>
      </w:r>
    </w:p>
    <w:p w:rsidR="002A4558" w:rsidRDefault="002A4558" w:rsidP="0020458A">
      <w:pPr>
        <w:jc w:val="both"/>
        <w:rPr>
          <w:rFonts w:cs="Arial"/>
          <w:szCs w:val="22"/>
        </w:rPr>
      </w:pPr>
    </w:p>
    <w:p w:rsidR="00E713FB" w:rsidRDefault="002A4558" w:rsidP="0020458A">
      <w:pPr>
        <w:jc w:val="both"/>
      </w:pPr>
      <w:r>
        <w:t>Also</w:t>
      </w:r>
      <w:r w:rsidRPr="0095547D">
        <w:rPr>
          <w:color w:val="000000" w:themeColor="text1"/>
        </w:rPr>
        <w:t xml:space="preserve"> </w:t>
      </w:r>
      <w:r w:rsidR="00C933FE" w:rsidRPr="0095547D">
        <w:rPr>
          <w:color w:val="000000" w:themeColor="text1"/>
        </w:rPr>
        <w:t xml:space="preserve">the </w:t>
      </w:r>
      <w:r w:rsidR="00C933FE">
        <w:t xml:space="preserve">findings from this study </w:t>
      </w:r>
      <w:r>
        <w:t xml:space="preserve">would appear to indicate that those generally with the experience of adjudication and knowledge of mediation would opt for mediation, those with no experience of adjudication would </w:t>
      </w:r>
      <w:r w:rsidR="00C933FE">
        <w:t xml:space="preserve">consider </w:t>
      </w:r>
      <w:r>
        <w:t>adjudication</w:t>
      </w:r>
      <w:r w:rsidR="00C933FE">
        <w:t xml:space="preserve"> before mediation</w:t>
      </w:r>
      <w:r>
        <w:t xml:space="preserve">.  </w:t>
      </w:r>
      <w:r w:rsidR="00DC4E4D">
        <w:t xml:space="preserve">Given the nature of the construction industry in the UK, and also around the world, many stakeholders will work together on many different projects over time. It is therefore important that relationships and trust between the parties is maintained. </w:t>
      </w:r>
      <w:r w:rsidR="00DC4E4D" w:rsidRPr="00D606C1">
        <w:t>Mason and Sharratt</w:t>
      </w:r>
      <w:r w:rsidR="00DC4E4D">
        <w:t xml:space="preserve"> (</w:t>
      </w:r>
      <w:r w:rsidR="00DC4E4D" w:rsidRPr="00D606C1">
        <w:t>2013</w:t>
      </w:r>
      <w:r w:rsidR="00DC4E4D">
        <w:t xml:space="preserve">) confirm that parties to adjudication are unlikely to work together again. The industry needs to reverse the culture of litigation by considering </w:t>
      </w:r>
      <w:r w:rsidR="00DC4E4D" w:rsidRPr="0095547D">
        <w:rPr>
          <w:color w:val="000000" w:themeColor="text1"/>
        </w:rPr>
        <w:t>mediating before</w:t>
      </w:r>
      <w:r w:rsidR="00BF20B0">
        <w:rPr>
          <w:color w:val="000000" w:themeColor="text1"/>
        </w:rPr>
        <w:t xml:space="preserve"> the</w:t>
      </w:r>
      <w:r w:rsidR="00DC4E4D" w:rsidRPr="0095547D">
        <w:rPr>
          <w:color w:val="000000" w:themeColor="text1"/>
        </w:rPr>
        <w:t xml:space="preserve"> </w:t>
      </w:r>
      <w:r w:rsidR="009E7868" w:rsidRPr="0095547D">
        <w:rPr>
          <w:color w:val="000000" w:themeColor="text1"/>
        </w:rPr>
        <w:t xml:space="preserve">more </w:t>
      </w:r>
      <w:r w:rsidR="00DC4E4D">
        <w:t>confrontational approaches. It is important to recognise that w</w:t>
      </w:r>
      <w:r w:rsidR="00C933FE">
        <w:t>hilst it is possible to adjudicate after an unsuccessful mediation</w:t>
      </w:r>
      <w:r w:rsidR="00DC4E4D">
        <w:t>,</w:t>
      </w:r>
      <w:r w:rsidR="00C933FE">
        <w:t xml:space="preserve"> </w:t>
      </w:r>
      <w:r w:rsidR="00DC4E4D">
        <w:t xml:space="preserve">once working relationship, good faith and trust between the parties is spoiled through </w:t>
      </w:r>
      <w:r w:rsidR="00C933FE">
        <w:t>adjudication</w:t>
      </w:r>
      <w:r w:rsidR="009E7868">
        <w:rPr>
          <w:color w:val="C00000"/>
        </w:rPr>
        <w:t>,</w:t>
      </w:r>
      <w:r w:rsidR="00C933FE">
        <w:t xml:space="preserve"> </w:t>
      </w:r>
      <w:r w:rsidR="00DC4E4D">
        <w:t xml:space="preserve">it cannot be restored by going back to </w:t>
      </w:r>
      <w:r w:rsidR="00C933FE">
        <w:t>mediation.</w:t>
      </w:r>
      <w:r w:rsidR="00DC4E4D">
        <w:t xml:space="preserve"> </w:t>
      </w:r>
    </w:p>
    <w:p w:rsidR="003027E2" w:rsidRDefault="003027E2" w:rsidP="0020458A">
      <w:pPr>
        <w:jc w:val="both"/>
        <w:rPr>
          <w:rFonts w:cs="Arial"/>
          <w:szCs w:val="22"/>
        </w:rPr>
      </w:pPr>
    </w:p>
    <w:p w:rsidR="00B70129" w:rsidRDefault="003027E2" w:rsidP="0020458A">
      <w:pPr>
        <w:jc w:val="both"/>
      </w:pPr>
      <w:r>
        <w:t xml:space="preserve">This study has shown that there is a perception </w:t>
      </w:r>
      <w:r w:rsidR="00DE35C5">
        <w:t xml:space="preserve">that mediation is not always suitable for all disputes. Indeed a number of respondents have identified that their cases were not suitable for mediation, including those who have </w:t>
      </w:r>
      <w:r w:rsidR="00B70129">
        <w:t xml:space="preserve">mediated and would use mediation. </w:t>
      </w:r>
      <w:r w:rsidR="00B70129" w:rsidRPr="009B097F">
        <w:t>The Dispute Resolution Guidance for Government Departm</w:t>
      </w:r>
      <w:r w:rsidR="00B70129">
        <w:t>ents and Agencies</w:t>
      </w:r>
      <w:r>
        <w:t xml:space="preserve"> (</w:t>
      </w:r>
      <w:r w:rsidR="00B70129">
        <w:t>2011</w:t>
      </w:r>
      <w:r>
        <w:t xml:space="preserve">: </w:t>
      </w:r>
      <w:r w:rsidR="00B70129">
        <w:t>4-5</w:t>
      </w:r>
      <w:r>
        <w:t>)</w:t>
      </w:r>
      <w:r w:rsidR="00B70129">
        <w:t xml:space="preserve"> </w:t>
      </w:r>
      <w:r w:rsidR="00B70129" w:rsidRPr="00D371CD">
        <w:t xml:space="preserve">identifies </w:t>
      </w:r>
      <w:r w:rsidR="00B70129">
        <w:t xml:space="preserve">cases that are not suitable for mediation </w:t>
      </w:r>
      <w:r w:rsidR="00B70129" w:rsidRPr="00D371CD">
        <w:t>as “…for</w:t>
      </w:r>
      <w:r w:rsidR="00B70129">
        <w:t xml:space="preserve"> </w:t>
      </w:r>
      <w:r w:rsidR="00B70129" w:rsidRPr="00D371CD">
        <w:t>example, cases involving intentional wrongdoing, abuse of power, Public Law,</w:t>
      </w:r>
      <w:r w:rsidR="00B70129">
        <w:t xml:space="preserve"> </w:t>
      </w:r>
      <w:r w:rsidR="00B70129" w:rsidRPr="00D371CD">
        <w:t>Human Rights and vexatious litigants. There will also be disputes where, for</w:t>
      </w:r>
      <w:r w:rsidR="00B70129">
        <w:t xml:space="preserve"> </w:t>
      </w:r>
      <w:r w:rsidR="00B70129" w:rsidRPr="00D371CD">
        <w:t xml:space="preserve">example, a legal precedent </w:t>
      </w:r>
      <w:r w:rsidR="00B70129" w:rsidRPr="009B097F">
        <w:t>is needed to clarify the law, or where it would be contrary to the public interest to settle</w:t>
      </w:r>
      <w:r w:rsidR="00B70129">
        <w:t xml:space="preserve">”. </w:t>
      </w:r>
      <w:r w:rsidR="00B70129" w:rsidRPr="00B3541C">
        <w:t>Stitt (2004</w:t>
      </w:r>
      <w:r>
        <w:t>:</w:t>
      </w:r>
      <w:r w:rsidR="00B70129" w:rsidRPr="00B3541C">
        <w:t xml:space="preserve">18-21) </w:t>
      </w:r>
      <w:r w:rsidR="00B70129">
        <w:t xml:space="preserve">also </w:t>
      </w:r>
      <w:r w:rsidR="00B70129" w:rsidRPr="00B3541C">
        <w:t>acknowledges that there are occasions</w:t>
      </w:r>
      <w:r w:rsidR="00B70129">
        <w:t xml:space="preserve"> when mediation</w:t>
      </w:r>
      <w:r w:rsidR="00B70129" w:rsidRPr="00B3541C">
        <w:t xml:space="preserve"> may not be suitable. He suggests that these include</w:t>
      </w:r>
      <w:r w:rsidR="00B70129">
        <w:t xml:space="preserve"> </w:t>
      </w:r>
      <w:r w:rsidR="00B70129" w:rsidRPr="00B3541C">
        <w:t>situations where one party feels a legal precedent is required to be set by a court ruling, or there is a</w:t>
      </w:r>
      <w:r w:rsidR="00B70129">
        <w:t xml:space="preserve"> </w:t>
      </w:r>
      <w:r w:rsidR="00B70129" w:rsidRPr="00B3541C">
        <w:t xml:space="preserve">constitutional or other legal issue, </w:t>
      </w:r>
      <w:r w:rsidR="00B70129" w:rsidRPr="00B3541C">
        <w:lastRenderedPageBreak/>
        <w:t>or even a potential for violence. Parties could also settle without the</w:t>
      </w:r>
      <w:r w:rsidR="00B70129">
        <w:t xml:space="preserve"> </w:t>
      </w:r>
      <w:r w:rsidR="002A4558">
        <w:t>aid of a m</w:t>
      </w:r>
      <w:r w:rsidR="00B70129" w:rsidRPr="00B3541C">
        <w:t>ediator</w:t>
      </w:r>
      <w:r w:rsidR="00B70129">
        <w:t>, especially when there is a low value to the dispute.</w:t>
      </w:r>
    </w:p>
    <w:p w:rsidR="0020458A" w:rsidRDefault="0020458A" w:rsidP="0020458A">
      <w:pPr>
        <w:jc w:val="both"/>
      </w:pPr>
    </w:p>
    <w:p w:rsidR="005E6D40" w:rsidRPr="00843408" w:rsidRDefault="00C56073" w:rsidP="0020458A">
      <w:pPr>
        <w:jc w:val="both"/>
      </w:pPr>
      <w:r>
        <w:t xml:space="preserve">It was interesting to note that some respondents blamed the strength of the Legal system for their decision not to go for mediation. </w:t>
      </w:r>
      <w:r w:rsidR="00543D89">
        <w:t xml:space="preserve">The </w:t>
      </w:r>
      <w:r>
        <w:t xml:space="preserve">fact is different from this perception as the English </w:t>
      </w:r>
      <w:r w:rsidR="00543D89">
        <w:t>legal system promotes</w:t>
      </w:r>
      <w:r w:rsidR="002A4558">
        <w:t xml:space="preserve"> mediations as </w:t>
      </w:r>
      <w:r w:rsidR="00543D89">
        <w:t>primary dispute resolution process</w:t>
      </w:r>
      <w:r w:rsidR="00543D89" w:rsidRPr="0007112A">
        <w:rPr>
          <w:color w:val="000000" w:themeColor="text1"/>
        </w:rPr>
        <w:t xml:space="preserve">. </w:t>
      </w:r>
      <w:r w:rsidR="00887DD7" w:rsidRPr="0007112A">
        <w:rPr>
          <w:color w:val="000000" w:themeColor="text1"/>
        </w:rPr>
        <w:t>T</w:t>
      </w:r>
      <w:r w:rsidR="00543D89" w:rsidRPr="0007112A">
        <w:rPr>
          <w:color w:val="000000" w:themeColor="text1"/>
        </w:rPr>
        <w:t xml:space="preserve">he </w:t>
      </w:r>
      <w:r w:rsidR="00887DD7" w:rsidRPr="0007112A">
        <w:rPr>
          <w:color w:val="000000" w:themeColor="text1"/>
        </w:rPr>
        <w:t xml:space="preserve">Government </w:t>
      </w:r>
      <w:r w:rsidRPr="0007112A">
        <w:rPr>
          <w:color w:val="000000" w:themeColor="text1"/>
        </w:rPr>
        <w:t>report titled “</w:t>
      </w:r>
      <w:r w:rsidRPr="0007112A">
        <w:rPr>
          <w:i/>
          <w:color w:val="000000" w:themeColor="text1"/>
        </w:rPr>
        <w:t>The</w:t>
      </w:r>
      <w:r w:rsidRPr="0007112A">
        <w:rPr>
          <w:color w:val="000000" w:themeColor="text1"/>
        </w:rPr>
        <w:t xml:space="preserve"> </w:t>
      </w:r>
      <w:r w:rsidR="00543D89" w:rsidRPr="0007112A">
        <w:rPr>
          <w:i/>
          <w:iCs/>
          <w:color w:val="000000" w:themeColor="text1"/>
        </w:rPr>
        <w:t>Review of Litigation Costs: Final Report</w:t>
      </w:r>
      <w:r w:rsidR="00103BCA" w:rsidRPr="0007112A">
        <w:rPr>
          <w:i/>
          <w:iCs/>
          <w:color w:val="000000" w:themeColor="text1"/>
        </w:rPr>
        <w:t>”</w:t>
      </w:r>
      <w:r w:rsidR="004659CC" w:rsidRPr="0007112A">
        <w:rPr>
          <w:color w:val="000000" w:themeColor="text1"/>
        </w:rPr>
        <w:t>,</w:t>
      </w:r>
      <w:r w:rsidR="00887DD7" w:rsidRPr="0007112A">
        <w:rPr>
          <w:color w:val="000000" w:themeColor="text1"/>
        </w:rPr>
        <w:t xml:space="preserve"> Jackson </w:t>
      </w:r>
      <w:r w:rsidR="004659CC" w:rsidRPr="0007112A">
        <w:rPr>
          <w:color w:val="000000" w:themeColor="text1"/>
        </w:rPr>
        <w:t xml:space="preserve">(2010) </w:t>
      </w:r>
      <w:r w:rsidR="00543D89" w:rsidRPr="0007112A">
        <w:rPr>
          <w:color w:val="000000" w:themeColor="text1"/>
        </w:rPr>
        <w:t>review</w:t>
      </w:r>
      <w:r w:rsidRPr="0007112A">
        <w:rPr>
          <w:color w:val="000000" w:themeColor="text1"/>
        </w:rPr>
        <w:t>ed</w:t>
      </w:r>
      <w:r w:rsidR="00543D89" w:rsidRPr="0007112A">
        <w:rPr>
          <w:color w:val="000000" w:themeColor="text1"/>
        </w:rPr>
        <w:t xml:space="preserve"> civil litigation costs in England and Wales, </w:t>
      </w:r>
      <w:r w:rsidR="004659CC" w:rsidRPr="0007112A">
        <w:rPr>
          <w:color w:val="000000" w:themeColor="text1"/>
        </w:rPr>
        <w:t xml:space="preserve">and </w:t>
      </w:r>
      <w:r w:rsidR="00543D89" w:rsidRPr="0007112A">
        <w:rPr>
          <w:color w:val="000000" w:themeColor="text1"/>
        </w:rPr>
        <w:t>conclude</w:t>
      </w:r>
      <w:r w:rsidR="0059089B" w:rsidRPr="0007112A">
        <w:rPr>
          <w:color w:val="000000" w:themeColor="text1"/>
        </w:rPr>
        <w:t>d</w:t>
      </w:r>
      <w:r w:rsidR="00543D89" w:rsidRPr="0007112A">
        <w:rPr>
          <w:color w:val="000000" w:themeColor="text1"/>
        </w:rPr>
        <w:t xml:space="preserve"> that it is essential that steps are taken to reduce the significant costs inv</w:t>
      </w:r>
      <w:r w:rsidR="00843408" w:rsidRPr="0007112A">
        <w:rPr>
          <w:color w:val="000000" w:themeColor="text1"/>
        </w:rPr>
        <w:t>olved in dispute resolution and</w:t>
      </w:r>
      <w:r w:rsidR="00543D89" w:rsidRPr="0007112A">
        <w:rPr>
          <w:color w:val="000000" w:themeColor="text1"/>
        </w:rPr>
        <w:t xml:space="preserve"> </w:t>
      </w:r>
      <w:r w:rsidR="004659CC" w:rsidRPr="0007112A">
        <w:rPr>
          <w:color w:val="000000" w:themeColor="text1"/>
        </w:rPr>
        <w:t xml:space="preserve">advocated </w:t>
      </w:r>
      <w:r w:rsidR="00543D89" w:rsidRPr="0007112A">
        <w:rPr>
          <w:color w:val="000000" w:themeColor="text1"/>
        </w:rPr>
        <w:t>the inclusion of ADR as key to the reduction in the</w:t>
      </w:r>
      <w:r w:rsidR="00843408" w:rsidRPr="0007112A">
        <w:rPr>
          <w:color w:val="000000" w:themeColor="text1"/>
        </w:rPr>
        <w:t>se</w:t>
      </w:r>
      <w:r w:rsidR="00543D89" w:rsidRPr="0007112A">
        <w:rPr>
          <w:color w:val="000000" w:themeColor="text1"/>
        </w:rPr>
        <w:t xml:space="preserve"> costs</w:t>
      </w:r>
      <w:r w:rsidR="00843408" w:rsidRPr="0007112A">
        <w:rPr>
          <w:color w:val="000000" w:themeColor="text1"/>
        </w:rPr>
        <w:t xml:space="preserve">. Jackson </w:t>
      </w:r>
      <w:r w:rsidR="0059089B" w:rsidRPr="0007112A">
        <w:rPr>
          <w:color w:val="000000" w:themeColor="text1"/>
        </w:rPr>
        <w:t xml:space="preserve">(2010) </w:t>
      </w:r>
      <w:r w:rsidR="004659CC" w:rsidRPr="0007112A">
        <w:rPr>
          <w:color w:val="000000" w:themeColor="text1"/>
        </w:rPr>
        <w:t xml:space="preserve">also </w:t>
      </w:r>
      <w:r w:rsidR="0059089B" w:rsidRPr="0007112A">
        <w:rPr>
          <w:color w:val="000000" w:themeColor="text1"/>
        </w:rPr>
        <w:t>recommends that</w:t>
      </w:r>
      <w:r w:rsidR="00543D89" w:rsidRPr="0007112A">
        <w:rPr>
          <w:color w:val="000000" w:themeColor="text1"/>
        </w:rPr>
        <w:t xml:space="preserve"> “</w:t>
      </w:r>
      <w:r w:rsidR="0059089B" w:rsidRPr="0007112A">
        <w:rPr>
          <w:color w:val="000000" w:themeColor="text1"/>
        </w:rPr>
        <w:t xml:space="preserve">for </w:t>
      </w:r>
      <w:r w:rsidR="00543D89" w:rsidRPr="0007112A">
        <w:rPr>
          <w:color w:val="000000" w:themeColor="text1"/>
        </w:rPr>
        <w:t>cases which do not settle early through bilateral negotiation, the most important form of ADR (and the form upon which most respondents have concentrat</w:t>
      </w:r>
      <w:r w:rsidR="004659CC" w:rsidRPr="0007112A">
        <w:rPr>
          <w:color w:val="000000" w:themeColor="text1"/>
        </w:rPr>
        <w:t xml:space="preserve">ed during </w:t>
      </w:r>
      <w:r w:rsidR="004659CC">
        <w:t>Phase 2) is mediation</w:t>
      </w:r>
      <w:r w:rsidR="00543D89" w:rsidRPr="00D371CD">
        <w:t>”</w:t>
      </w:r>
      <w:r w:rsidR="004659CC">
        <w:rPr>
          <w:color w:val="C00000"/>
        </w:rPr>
        <w:t>.</w:t>
      </w:r>
      <w:r w:rsidR="00543D89" w:rsidRPr="00D371CD">
        <w:t xml:space="preserve"> </w:t>
      </w:r>
      <w:r w:rsidR="0059089B">
        <w:t xml:space="preserve">He mentions many obvious advantages </w:t>
      </w:r>
      <w:r w:rsidR="00843408">
        <w:t>that mediation</w:t>
      </w:r>
      <w:r w:rsidR="00543D89" w:rsidRPr="00D371CD">
        <w:t xml:space="preserve"> can offer</w:t>
      </w:r>
      <w:r w:rsidR="0059089B">
        <w:t xml:space="preserve"> including </w:t>
      </w:r>
      <w:r w:rsidR="00543D89" w:rsidRPr="00D371CD">
        <w:t>enabl</w:t>
      </w:r>
      <w:r w:rsidR="0059089B">
        <w:t xml:space="preserve">ing </w:t>
      </w:r>
      <w:r w:rsidR="00543D89" w:rsidRPr="00D371CD">
        <w:t>many (but certainly not all) civil disputes</w:t>
      </w:r>
      <w:r w:rsidR="00543D89">
        <w:t xml:space="preserve"> </w:t>
      </w:r>
      <w:r w:rsidR="00543D89" w:rsidRPr="00D371CD">
        <w:t>to be resolved at less cost and greater satisfaction to the parties than litigation</w:t>
      </w:r>
      <w:r w:rsidR="00E46735">
        <w:t xml:space="preserve"> and the efficacy of </w:t>
      </w:r>
      <w:r w:rsidR="00543D89" w:rsidRPr="00D371CD">
        <w:t>joint settlement</w:t>
      </w:r>
      <w:r w:rsidR="00543D89">
        <w:t xml:space="preserve"> </w:t>
      </w:r>
      <w:r w:rsidR="00543D89" w:rsidRPr="00D371CD">
        <w:t xml:space="preserve">meetings </w:t>
      </w:r>
      <w:r w:rsidR="00E46735">
        <w:t>in</w:t>
      </w:r>
      <w:r w:rsidR="00543D89" w:rsidRPr="00D371CD">
        <w:t xml:space="preserve"> achieving a satisfactory resolution of many</w:t>
      </w:r>
      <w:r w:rsidR="00543D89">
        <w:t xml:space="preserve"> </w:t>
      </w:r>
      <w:r w:rsidR="00543D89" w:rsidRPr="00D371CD">
        <w:t>disputes</w:t>
      </w:r>
      <w:r w:rsidR="00E46735">
        <w:t>.</w:t>
      </w:r>
      <w:r w:rsidR="00E46735" w:rsidRPr="00E46735">
        <w:t xml:space="preserve"> </w:t>
      </w:r>
      <w:r w:rsidR="00E46735">
        <w:t>Gould (2009) found that a</w:t>
      </w:r>
      <w:r w:rsidR="00843408">
        <w:t>lthough a significant number of construction disputes are resolved through adjudication</w:t>
      </w:r>
      <w:r w:rsidR="00E125D9">
        <w:t>,</w:t>
      </w:r>
      <w:r w:rsidR="00843408">
        <w:t xml:space="preserve"> a </w:t>
      </w:r>
      <w:r w:rsidR="00E125D9">
        <w:t xml:space="preserve">significant </w:t>
      </w:r>
      <w:r w:rsidR="00843408">
        <w:t xml:space="preserve">number also go through the courts. The courts have </w:t>
      </w:r>
      <w:r w:rsidR="00DB5D6B">
        <w:t xml:space="preserve">also </w:t>
      </w:r>
      <w:r w:rsidR="00843408">
        <w:t xml:space="preserve">issued clear support to the CPR rules on the use of mediation prior to court, where appropriate, </w:t>
      </w:r>
      <w:r w:rsidR="00DB5D6B">
        <w:t>as</w:t>
      </w:r>
      <w:r w:rsidR="00843408">
        <w:t xml:space="preserve"> is highlighted </w:t>
      </w:r>
      <w:r w:rsidR="00DB5D6B">
        <w:t xml:space="preserve">by </w:t>
      </w:r>
      <w:r w:rsidR="00843408" w:rsidRPr="00D371CD">
        <w:t xml:space="preserve">the case </w:t>
      </w:r>
      <w:r w:rsidR="00843408" w:rsidRPr="0027269B">
        <w:t xml:space="preserve">of </w:t>
      </w:r>
      <w:r w:rsidR="00843408" w:rsidRPr="0027269B">
        <w:rPr>
          <w:i/>
          <w:iCs/>
        </w:rPr>
        <w:t>Dunnett –v- Railtrack (2002)</w:t>
      </w:r>
      <w:r w:rsidR="0027269B" w:rsidRPr="0027269B">
        <w:rPr>
          <w:i/>
          <w:iCs/>
        </w:rPr>
        <w:t>[1]</w:t>
      </w:r>
      <w:r w:rsidR="00843408" w:rsidRPr="0027269B">
        <w:rPr>
          <w:i/>
          <w:iCs/>
        </w:rPr>
        <w:t xml:space="preserve">. </w:t>
      </w:r>
      <w:r w:rsidR="00843408" w:rsidRPr="0027269B">
        <w:rPr>
          <w:iCs/>
        </w:rPr>
        <w:t>In this case, because the successful party had refused to enter into med</w:t>
      </w:r>
      <w:r w:rsidR="00843408">
        <w:rPr>
          <w:iCs/>
        </w:rPr>
        <w:t>iation in an attempt to resolve the dispute, the judge did not allow them to recover their full legal costs of the case.</w:t>
      </w:r>
    </w:p>
    <w:p w:rsidR="00AE7DF3" w:rsidRDefault="00AE7DF3" w:rsidP="0020458A">
      <w:pPr>
        <w:tabs>
          <w:tab w:val="left" w:pos="3985"/>
        </w:tabs>
        <w:jc w:val="both"/>
        <w:rPr>
          <w:rFonts w:cs="Arial"/>
          <w:szCs w:val="22"/>
        </w:rPr>
      </w:pPr>
    </w:p>
    <w:p w:rsidR="00EB1631" w:rsidRPr="0089129E" w:rsidRDefault="00EB1631" w:rsidP="0020458A">
      <w:pPr>
        <w:pStyle w:val="Heading2"/>
        <w:jc w:val="both"/>
        <w:rPr>
          <w:lang w:eastAsia="en-US"/>
        </w:rPr>
      </w:pPr>
      <w:r w:rsidRPr="0089129E">
        <w:rPr>
          <w:lang w:eastAsia="en-US"/>
        </w:rPr>
        <w:t>Conclusion</w:t>
      </w:r>
    </w:p>
    <w:p w:rsidR="0073288A" w:rsidRPr="0027269B" w:rsidRDefault="00C1271E" w:rsidP="0020458A">
      <w:pPr>
        <w:jc w:val="both"/>
        <w:rPr>
          <w:color w:val="000000" w:themeColor="text1"/>
          <w:lang w:val="en-US" w:eastAsia="en-US" w:bidi="th-TH"/>
        </w:rPr>
      </w:pPr>
      <w:r w:rsidRPr="00CE3EA2">
        <w:rPr>
          <w:lang w:val="en-US" w:eastAsia="en-US" w:bidi="th-TH"/>
        </w:rPr>
        <w:t xml:space="preserve">This </w:t>
      </w:r>
      <w:r w:rsidR="0010622E" w:rsidRPr="00CE3EA2">
        <w:rPr>
          <w:lang w:val="en-US" w:eastAsia="en-US" w:bidi="th-TH"/>
        </w:rPr>
        <w:t xml:space="preserve">paper </w:t>
      </w:r>
      <w:r w:rsidR="00103BCA">
        <w:rPr>
          <w:lang w:val="en-US" w:eastAsia="en-US" w:bidi="th-TH"/>
        </w:rPr>
        <w:t xml:space="preserve">is </w:t>
      </w:r>
      <w:r>
        <w:rPr>
          <w:lang w:val="en-US" w:eastAsia="en-US" w:bidi="th-TH"/>
        </w:rPr>
        <w:t xml:space="preserve">aimed at exploring </w:t>
      </w:r>
      <w:r w:rsidR="00CE3EA2" w:rsidRPr="00CE3EA2">
        <w:rPr>
          <w:lang w:val="en-US" w:eastAsia="en-US" w:bidi="th-TH"/>
        </w:rPr>
        <w:t xml:space="preserve">the use of </w:t>
      </w:r>
      <w:r w:rsidR="00D40698">
        <w:rPr>
          <w:lang w:val="en-US" w:eastAsia="en-US" w:bidi="th-TH"/>
        </w:rPr>
        <w:t xml:space="preserve">mediation to resolve </w:t>
      </w:r>
      <w:r w:rsidR="00CE3EA2" w:rsidRPr="00CE3EA2">
        <w:rPr>
          <w:lang w:val="en-US" w:eastAsia="en-US" w:bidi="th-TH"/>
        </w:rPr>
        <w:t>construction disputes in England</w:t>
      </w:r>
      <w:r>
        <w:rPr>
          <w:lang w:val="en-US" w:eastAsia="en-US" w:bidi="th-TH"/>
        </w:rPr>
        <w:t xml:space="preserve"> and the reasons why the industry has not embraced the benefits of mediation</w:t>
      </w:r>
      <w:r w:rsidR="0073288A">
        <w:rPr>
          <w:lang w:val="en-US" w:eastAsia="en-US" w:bidi="th-TH"/>
        </w:rPr>
        <w:t>.</w:t>
      </w:r>
      <w:r>
        <w:rPr>
          <w:lang w:val="en-US" w:eastAsia="en-US" w:bidi="th-TH"/>
        </w:rPr>
        <w:t xml:space="preserve"> Previous studies from the USA and Scotland and other parts o</w:t>
      </w:r>
      <w:r w:rsidR="00454EBF">
        <w:rPr>
          <w:lang w:val="en-US" w:eastAsia="en-US" w:bidi="th-TH"/>
        </w:rPr>
        <w:t>f</w:t>
      </w:r>
      <w:r>
        <w:rPr>
          <w:lang w:val="en-US" w:eastAsia="en-US" w:bidi="th-TH"/>
        </w:rPr>
        <w:t xml:space="preserve"> the world have shown that increased use of mediation was beneficial to the </w:t>
      </w:r>
      <w:r w:rsidRPr="0027269B">
        <w:rPr>
          <w:color w:val="000000" w:themeColor="text1"/>
          <w:lang w:val="en-US" w:eastAsia="en-US" w:bidi="th-TH"/>
        </w:rPr>
        <w:t>industry</w:t>
      </w:r>
      <w:r w:rsidR="00D908B8" w:rsidRPr="0027269B">
        <w:rPr>
          <w:color w:val="000000" w:themeColor="text1"/>
          <w:lang w:val="en-US" w:eastAsia="en-US" w:bidi="th-TH"/>
        </w:rPr>
        <w:t xml:space="preserve">. </w:t>
      </w:r>
    </w:p>
    <w:p w:rsidR="00D32DBF" w:rsidRDefault="00D32DBF" w:rsidP="0020458A">
      <w:pPr>
        <w:jc w:val="both"/>
      </w:pPr>
    </w:p>
    <w:p w:rsidR="00D122DF" w:rsidRDefault="0027269B" w:rsidP="0020458A">
      <w:pPr>
        <w:jc w:val="both"/>
      </w:pPr>
      <w:r w:rsidRPr="0027269B">
        <w:rPr>
          <w:bCs/>
          <w:noProof/>
        </w:rPr>
        <mc:AlternateContent>
          <mc:Choice Requires="wps">
            <w:drawing>
              <wp:anchor distT="0" distB="0" distL="114300" distR="114300" simplePos="0" relativeHeight="251659264" behindDoc="1" locked="0" layoutInCell="1" allowOverlap="1" wp14:anchorId="5B21FF04" wp14:editId="42412115">
                <wp:simplePos x="0" y="0"/>
                <wp:positionH relativeFrom="column">
                  <wp:posOffset>-102235</wp:posOffset>
                </wp:positionH>
                <wp:positionV relativeFrom="paragraph">
                  <wp:posOffset>2171700</wp:posOffset>
                </wp:positionV>
                <wp:extent cx="3028950" cy="508635"/>
                <wp:effectExtent l="0" t="0" r="0" b="5715"/>
                <wp:wrapThrough wrapText="bothSides">
                  <wp:wrapPolygon edited="0">
                    <wp:start x="0" y="0"/>
                    <wp:lineTo x="0" y="21034"/>
                    <wp:lineTo x="21464" y="21034"/>
                    <wp:lineTo x="21464"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08635"/>
                        </a:xfrm>
                        <a:prstGeom prst="rect">
                          <a:avLst/>
                        </a:prstGeom>
                        <a:solidFill>
                          <a:srgbClr val="FFFFFF"/>
                        </a:solidFill>
                        <a:ln w="9525">
                          <a:noFill/>
                          <a:miter lim="800000"/>
                          <a:headEnd/>
                          <a:tailEnd/>
                        </a:ln>
                      </wps:spPr>
                      <wps:txbx>
                        <w:txbxContent>
                          <w:p w:rsidR="0027269B" w:rsidRDefault="0027269B"/>
                          <w:p w:rsidR="0027269B" w:rsidRDefault="0027269B">
                            <w:r>
                              <w:t>[1] [2002] EWCA Civ 302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05pt;margin-top:171pt;width:238.5pt;height:4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" stroked="f">
                <v:textbox>
                  <w:txbxContent>
                    <w:p w:rsidR="0027269B" w:rsidRDefault="0027269B"/>
                    <w:p w:rsidR="0027269B" w:rsidRDefault="0027269B">
                      <w:r>
                        <w:t xml:space="preserve">[1] [2002] EWCA </w:t>
                      </w:r>
                      <w:proofErr w:type="spellStart"/>
                      <w:r>
                        <w:t>Civ</w:t>
                      </w:r>
                      <w:proofErr w:type="spellEnd"/>
                      <w:r>
                        <w:t xml:space="preserve"> 302</w:t>
                      </w:r>
                    </w:p>
                  </w:txbxContent>
                </v:textbox>
                <w10:wrap type="through"/>
              </v:shape>
            </w:pict>
          </mc:Fallback>
        </mc:AlternateContent>
      </w:r>
      <w:r w:rsidR="00C1271E">
        <w:t>Using</w:t>
      </w:r>
      <w:r w:rsidR="00340824">
        <w:t xml:space="preserve"> evidence from</w:t>
      </w:r>
      <w:r w:rsidR="00C1271E">
        <w:t xml:space="preserve"> case studies, interviews and a survey of a wide range of construction stakeholders </w:t>
      </w:r>
      <w:r w:rsidR="00340824">
        <w:t xml:space="preserve">including clients, consultants, main contractors and subcontractors, the study established that the use of mediation varied. It was found that main </w:t>
      </w:r>
      <w:r w:rsidR="00340824" w:rsidRPr="00635A78">
        <w:rPr>
          <w:color w:val="000000" w:themeColor="text1"/>
        </w:rPr>
        <w:t>contractors</w:t>
      </w:r>
      <w:r w:rsidR="00635A78" w:rsidRPr="00635A78">
        <w:rPr>
          <w:color w:val="000000" w:themeColor="text1"/>
        </w:rPr>
        <w:t xml:space="preserve"> and</w:t>
      </w:r>
      <w:r w:rsidR="00340824" w:rsidRPr="00635A78">
        <w:rPr>
          <w:color w:val="000000" w:themeColor="text1"/>
        </w:rPr>
        <w:t xml:space="preserve"> particularly </w:t>
      </w:r>
      <w:r w:rsidR="00D37270" w:rsidRPr="00635A78">
        <w:rPr>
          <w:color w:val="000000" w:themeColor="text1"/>
        </w:rPr>
        <w:t>the consultants</w:t>
      </w:r>
      <w:r w:rsidR="00340824" w:rsidRPr="00635A78">
        <w:rPr>
          <w:color w:val="000000" w:themeColor="text1"/>
        </w:rPr>
        <w:t xml:space="preserve"> </w:t>
      </w:r>
      <w:r w:rsidR="00660F6E" w:rsidRPr="00635A78">
        <w:rPr>
          <w:color w:val="000000" w:themeColor="text1"/>
        </w:rPr>
        <w:t>had a better understan</w:t>
      </w:r>
      <w:r w:rsidR="00A0632D" w:rsidRPr="00635A78">
        <w:rPr>
          <w:color w:val="000000" w:themeColor="text1"/>
        </w:rPr>
        <w:t>d</w:t>
      </w:r>
      <w:r w:rsidR="00660F6E" w:rsidRPr="00635A78">
        <w:rPr>
          <w:color w:val="000000" w:themeColor="text1"/>
        </w:rPr>
        <w:t xml:space="preserve">ing </w:t>
      </w:r>
      <w:r w:rsidR="00D908B8" w:rsidRPr="00635A78">
        <w:rPr>
          <w:color w:val="000000" w:themeColor="text1"/>
        </w:rPr>
        <w:t xml:space="preserve">of mediation </w:t>
      </w:r>
      <w:r w:rsidR="00660F6E" w:rsidRPr="00635A78">
        <w:rPr>
          <w:color w:val="000000" w:themeColor="text1"/>
        </w:rPr>
        <w:t>and therefore</w:t>
      </w:r>
      <w:r w:rsidR="00D908B8" w:rsidRPr="00635A78">
        <w:rPr>
          <w:color w:val="000000" w:themeColor="text1"/>
        </w:rPr>
        <w:t xml:space="preserve"> made </w:t>
      </w:r>
      <w:r w:rsidR="00660F6E" w:rsidRPr="00635A78">
        <w:rPr>
          <w:color w:val="000000" w:themeColor="text1"/>
        </w:rPr>
        <w:t xml:space="preserve">relatively </w:t>
      </w:r>
      <w:r w:rsidR="00D37270" w:rsidRPr="00635A78">
        <w:rPr>
          <w:color w:val="000000" w:themeColor="text1"/>
        </w:rPr>
        <w:t xml:space="preserve">more use of </w:t>
      </w:r>
      <w:r w:rsidR="00635A78" w:rsidRPr="00635A78">
        <w:rPr>
          <w:color w:val="000000" w:themeColor="text1"/>
        </w:rPr>
        <w:t>the process</w:t>
      </w:r>
      <w:r w:rsidR="00D908B8" w:rsidRPr="00635A78">
        <w:rPr>
          <w:color w:val="000000" w:themeColor="text1"/>
        </w:rPr>
        <w:t xml:space="preserve"> </w:t>
      </w:r>
      <w:r w:rsidR="00A0632D" w:rsidRPr="00635A78">
        <w:rPr>
          <w:color w:val="000000" w:themeColor="text1"/>
        </w:rPr>
        <w:t>tha</w:t>
      </w:r>
      <w:r w:rsidR="00D37270" w:rsidRPr="00635A78">
        <w:rPr>
          <w:color w:val="000000" w:themeColor="text1"/>
        </w:rPr>
        <w:t>n</w:t>
      </w:r>
      <w:r w:rsidR="00A0632D" w:rsidRPr="00635A78">
        <w:rPr>
          <w:color w:val="000000" w:themeColor="text1"/>
        </w:rPr>
        <w:t xml:space="preserve"> other groups. It was interesting to note that while contractors and subcontractors form </w:t>
      </w:r>
      <w:r w:rsidR="00D37270" w:rsidRPr="00635A78">
        <w:rPr>
          <w:color w:val="000000" w:themeColor="text1"/>
        </w:rPr>
        <w:t>more than 90</w:t>
      </w:r>
      <w:r w:rsidR="00A0632D" w:rsidRPr="00635A78">
        <w:rPr>
          <w:color w:val="000000" w:themeColor="text1"/>
        </w:rPr>
        <w:t xml:space="preserve"> percent of all disputes</w:t>
      </w:r>
      <w:r w:rsidR="00D37270" w:rsidRPr="00635A78">
        <w:rPr>
          <w:color w:val="000000" w:themeColor="text1"/>
        </w:rPr>
        <w:t>,</w:t>
      </w:r>
      <w:r w:rsidR="00A0632D" w:rsidRPr="00635A78">
        <w:rPr>
          <w:color w:val="000000" w:themeColor="text1"/>
        </w:rPr>
        <w:t xml:space="preserve"> the use of mediation among </w:t>
      </w:r>
      <w:r w:rsidR="00D122DF" w:rsidRPr="00635A78">
        <w:rPr>
          <w:color w:val="000000" w:themeColor="text1"/>
        </w:rPr>
        <w:t>them</w:t>
      </w:r>
      <w:r w:rsidR="00A0632D" w:rsidRPr="00635A78">
        <w:rPr>
          <w:color w:val="000000" w:themeColor="text1"/>
        </w:rPr>
        <w:t xml:space="preserve"> is currently at </w:t>
      </w:r>
      <w:r w:rsidR="00D122DF" w:rsidRPr="00635A78">
        <w:rPr>
          <w:color w:val="000000" w:themeColor="text1"/>
        </w:rPr>
        <w:t xml:space="preserve">13% </w:t>
      </w:r>
      <w:r w:rsidR="00D122DF">
        <w:t xml:space="preserve">and 9% respectively. A detailed analysis has shown that the low up take is contributed mostly by three </w:t>
      </w:r>
      <w:r w:rsidR="00D37270">
        <w:t>reasons</w:t>
      </w:r>
      <w:r w:rsidR="00D122DF">
        <w:t xml:space="preserve">: </w:t>
      </w:r>
      <w:r w:rsidR="00E44770">
        <w:t xml:space="preserve">(1) </w:t>
      </w:r>
      <w:r w:rsidR="00D122DF" w:rsidRPr="00454EBF">
        <w:t xml:space="preserve">lack of detailed understanding </w:t>
      </w:r>
      <w:r w:rsidR="00054DE1" w:rsidRPr="00054DE1">
        <w:t>of mediation</w:t>
      </w:r>
      <w:r w:rsidR="00D122DF">
        <w:t xml:space="preserve"> process</w:t>
      </w:r>
      <w:r w:rsidR="00E44770">
        <w:t xml:space="preserve">; (2) </w:t>
      </w:r>
      <w:r w:rsidR="00D122DF">
        <w:t xml:space="preserve">lack of trust </w:t>
      </w:r>
      <w:r w:rsidR="00D37270">
        <w:t>that</w:t>
      </w:r>
      <w:r w:rsidR="00D122DF">
        <w:t xml:space="preserve"> the other part</w:t>
      </w:r>
      <w:r w:rsidR="00D37270">
        <w:t>y</w:t>
      </w:r>
      <w:r w:rsidR="00D122DF">
        <w:t xml:space="preserve"> will act faithfully and </w:t>
      </w:r>
      <w:r w:rsidR="00E44770">
        <w:t xml:space="preserve">the dispute will be compromised; and (3) </w:t>
      </w:r>
      <w:r w:rsidR="00D122DF">
        <w:t>misconceptions that mediation is inappropriate or is not capable of solving the dispute</w:t>
      </w:r>
      <w:r w:rsidR="00E44770">
        <w:t>.</w:t>
      </w:r>
    </w:p>
    <w:p w:rsidR="0027269B" w:rsidRPr="00454EBF" w:rsidRDefault="0027269B" w:rsidP="0020458A">
      <w:pPr>
        <w:jc w:val="both"/>
        <w:rPr>
          <w:bCs/>
          <w:lang w:val="en-US" w:eastAsia="en-US" w:bidi="th-TH"/>
        </w:rPr>
      </w:pPr>
    </w:p>
    <w:p w:rsidR="00D32DBF" w:rsidRDefault="00D32DBF" w:rsidP="0020458A">
      <w:pPr>
        <w:spacing w:after="240"/>
        <w:jc w:val="both"/>
        <w:rPr>
          <w:rFonts w:cs="Arial"/>
          <w:bCs/>
          <w:szCs w:val="22"/>
          <w:lang w:val="en-US" w:eastAsia="en-US" w:bidi="th-TH"/>
        </w:rPr>
      </w:pPr>
    </w:p>
    <w:p w:rsidR="00DA505C" w:rsidRDefault="00F8226F" w:rsidP="0020458A">
      <w:pPr>
        <w:jc w:val="both"/>
        <w:rPr>
          <w:lang w:val="en-US" w:eastAsia="en-US" w:bidi="th-TH"/>
        </w:rPr>
      </w:pPr>
      <w:r>
        <w:rPr>
          <w:lang w:val="en-US" w:eastAsia="en-US" w:bidi="th-TH"/>
        </w:rPr>
        <w:t xml:space="preserve">Following a rigorous analysis of the evidence the study established the possible saving the construction industry in England would achieve simply by raising awareness on the benefit of mediation to key stakeholder. </w:t>
      </w:r>
      <w:r w:rsidRPr="00F8226F">
        <w:rPr>
          <w:lang w:val="en-US" w:eastAsia="en-US" w:bidi="th-TH"/>
        </w:rPr>
        <w:t>However, for any changes to be effective it would be important for the legal profession to engage with the move away from adjudication as the primary dispute method and encourage the use of mediation.</w:t>
      </w:r>
      <w:r>
        <w:rPr>
          <w:lang w:val="en-US" w:eastAsia="en-US" w:bidi="th-TH"/>
        </w:rPr>
        <w:t xml:space="preserve"> </w:t>
      </w:r>
      <w:r w:rsidR="00E44770">
        <w:rPr>
          <w:lang w:val="en-US" w:eastAsia="en-US" w:bidi="th-TH"/>
        </w:rPr>
        <w:t xml:space="preserve">Although the study is </w:t>
      </w:r>
      <w:r w:rsidR="00054DE1">
        <w:rPr>
          <w:lang w:val="en-US" w:eastAsia="en-US" w:bidi="th-TH"/>
        </w:rPr>
        <w:t xml:space="preserve">not </w:t>
      </w:r>
      <w:r w:rsidR="00E44770">
        <w:rPr>
          <w:lang w:val="en-US" w:eastAsia="en-US" w:bidi="th-TH"/>
        </w:rPr>
        <w:t>representative of the whole construction industry in the UK, the use of a range of methods and a wide representations from</w:t>
      </w:r>
      <w:r w:rsidR="002162D6">
        <w:rPr>
          <w:lang w:val="en-US" w:eastAsia="en-US" w:bidi="th-TH"/>
        </w:rPr>
        <w:t xml:space="preserve"> the active stakeholders in the English construction industry, </w:t>
      </w:r>
      <w:r w:rsidR="00054DE1">
        <w:rPr>
          <w:lang w:val="en-US" w:eastAsia="en-US" w:bidi="th-TH"/>
        </w:rPr>
        <w:t xml:space="preserve">makes it an interesting case for international comparison. </w:t>
      </w:r>
      <w:r w:rsidR="002162D6">
        <w:rPr>
          <w:lang w:val="en-US" w:eastAsia="en-US" w:bidi="th-TH"/>
        </w:rPr>
        <w:t xml:space="preserve">  </w:t>
      </w:r>
    </w:p>
    <w:p w:rsidR="00DA505C" w:rsidRPr="00426CB2" w:rsidRDefault="00DA505C" w:rsidP="0020458A">
      <w:pPr>
        <w:pStyle w:val="Heading2"/>
        <w:jc w:val="both"/>
        <w:rPr>
          <w:lang w:val="en-US" w:eastAsia="en-US" w:bidi="th-TH"/>
        </w:rPr>
      </w:pPr>
      <w:r w:rsidRPr="00DA505C">
        <w:rPr>
          <w:lang w:val="en-US" w:eastAsia="en-US" w:bidi="th-TH"/>
        </w:rPr>
        <w:br w:type="page"/>
      </w:r>
      <w:r w:rsidRPr="00426CB2">
        <w:rPr>
          <w:lang w:val="en-US" w:eastAsia="en-US" w:bidi="th-TH"/>
        </w:rPr>
        <w:lastRenderedPageBreak/>
        <w:t>References</w:t>
      </w:r>
    </w:p>
    <w:p w:rsidR="000924C2" w:rsidRDefault="000924C2" w:rsidP="00895723">
      <w:pPr>
        <w:autoSpaceDE w:val="0"/>
        <w:autoSpaceDN w:val="0"/>
        <w:adjustRightInd w:val="0"/>
        <w:ind w:left="851" w:hanging="851"/>
        <w:contextualSpacing/>
        <w:jc w:val="both"/>
        <w:rPr>
          <w:rFonts w:cs="Arial"/>
          <w:szCs w:val="22"/>
        </w:rPr>
      </w:pPr>
      <w:r w:rsidRPr="00F62049">
        <w:rPr>
          <w:rFonts w:cs="Arial"/>
          <w:szCs w:val="22"/>
        </w:rPr>
        <w:t>Agapiou, A.,</w:t>
      </w:r>
      <w:r w:rsidRPr="00D606C1">
        <w:rPr>
          <w:rFonts w:cs="Arial"/>
          <w:szCs w:val="22"/>
        </w:rPr>
        <w:t xml:space="preserve"> </w:t>
      </w:r>
      <w:r>
        <w:rPr>
          <w:rFonts w:cs="Arial"/>
          <w:szCs w:val="22"/>
        </w:rPr>
        <w:t xml:space="preserve">2013. </w:t>
      </w:r>
      <w:r w:rsidRPr="00D606C1">
        <w:rPr>
          <w:rFonts w:cs="Arial"/>
          <w:szCs w:val="22"/>
        </w:rPr>
        <w:t>UK construction participants’</w:t>
      </w:r>
      <w:r>
        <w:rPr>
          <w:rFonts w:cs="Arial"/>
          <w:szCs w:val="22"/>
        </w:rPr>
        <w:t xml:space="preserve"> </w:t>
      </w:r>
      <w:r w:rsidRPr="00D606C1">
        <w:rPr>
          <w:rFonts w:cs="Arial"/>
          <w:szCs w:val="22"/>
        </w:rPr>
        <w:t>experiences of adjudication</w:t>
      </w:r>
      <w:r>
        <w:rPr>
          <w:rFonts w:cs="Arial"/>
          <w:szCs w:val="22"/>
        </w:rPr>
        <w:t>.</w:t>
      </w:r>
      <w:r w:rsidRPr="0091123D">
        <w:rPr>
          <w:rFonts w:ascii="AdvP8073B" w:hAnsi="AdvP8073B" w:cs="AdvP8073B"/>
          <w:sz w:val="12"/>
          <w:szCs w:val="12"/>
        </w:rPr>
        <w:t xml:space="preserve"> </w:t>
      </w:r>
      <w:r w:rsidRPr="00D606C1">
        <w:rPr>
          <w:rFonts w:cs="Arial"/>
          <w:szCs w:val="22"/>
        </w:rPr>
        <w:t>Proceedings of the Institution of Civil Engineers</w:t>
      </w:r>
      <w:r>
        <w:rPr>
          <w:rFonts w:cs="Arial"/>
          <w:szCs w:val="22"/>
        </w:rPr>
        <w:t xml:space="preserve">, </w:t>
      </w:r>
      <w:r w:rsidRPr="00D606C1">
        <w:rPr>
          <w:rFonts w:cs="Arial"/>
          <w:szCs w:val="22"/>
        </w:rPr>
        <w:t>Management, Procurement and Law 166</w:t>
      </w:r>
      <w:r>
        <w:rPr>
          <w:rFonts w:cs="Arial"/>
          <w:szCs w:val="22"/>
        </w:rPr>
        <w:t>’.</w:t>
      </w:r>
      <w:r w:rsidRPr="00D606C1">
        <w:rPr>
          <w:rFonts w:cs="Arial"/>
          <w:szCs w:val="22"/>
        </w:rPr>
        <w:t>June 2013 Issue MP3</w:t>
      </w:r>
      <w:r>
        <w:rPr>
          <w:rFonts w:cs="Arial"/>
          <w:szCs w:val="22"/>
        </w:rPr>
        <w:t xml:space="preserve">. </w:t>
      </w:r>
      <w:r w:rsidRPr="00D606C1">
        <w:rPr>
          <w:rFonts w:cs="Arial"/>
          <w:szCs w:val="22"/>
        </w:rPr>
        <w:t>Pages 137–144</w:t>
      </w:r>
      <w:r>
        <w:rPr>
          <w:rFonts w:cs="Arial"/>
          <w:szCs w:val="22"/>
        </w:rPr>
        <w:t xml:space="preserve">. </w:t>
      </w:r>
      <w:hyperlink r:id="rId12" w:history="1">
        <w:r w:rsidRPr="00D606C1">
          <w:rPr>
            <w:rStyle w:val="Hyperlink"/>
            <w:rFonts w:cs="Arial"/>
            <w:szCs w:val="22"/>
          </w:rPr>
          <w:t>http://dx.doi.org/10.1680/mpal.11.00047</w:t>
        </w:r>
      </w:hyperlink>
      <w:r>
        <w:rPr>
          <w:rFonts w:cs="Arial"/>
          <w:szCs w:val="22"/>
        </w:rPr>
        <w:t xml:space="preserve"> </w:t>
      </w:r>
      <w:r w:rsidRPr="00D606C1">
        <w:rPr>
          <w:rFonts w:cs="Arial"/>
          <w:szCs w:val="22"/>
        </w:rPr>
        <w:t>Paper 1100047</w:t>
      </w:r>
    </w:p>
    <w:p w:rsidR="000924C2" w:rsidRPr="00F62049" w:rsidRDefault="000924C2" w:rsidP="00895723">
      <w:pPr>
        <w:autoSpaceDE w:val="0"/>
        <w:autoSpaceDN w:val="0"/>
        <w:adjustRightInd w:val="0"/>
        <w:ind w:left="851" w:hanging="851"/>
        <w:contextualSpacing/>
        <w:jc w:val="both"/>
        <w:rPr>
          <w:rFonts w:cs="Arial"/>
          <w:szCs w:val="22"/>
        </w:rPr>
      </w:pPr>
      <w:r w:rsidRPr="00F62049">
        <w:rPr>
          <w:rFonts w:cs="Arial"/>
          <w:szCs w:val="22"/>
        </w:rPr>
        <w:t xml:space="preserve">Agapiou, A., </w:t>
      </w:r>
      <w:r>
        <w:rPr>
          <w:rFonts w:cs="Arial"/>
          <w:szCs w:val="22"/>
        </w:rPr>
        <w:t xml:space="preserve">Clark, B., </w:t>
      </w:r>
      <w:r w:rsidRPr="00F62049">
        <w:rPr>
          <w:rFonts w:cs="Arial"/>
          <w:szCs w:val="22"/>
        </w:rPr>
        <w:t xml:space="preserve">2012. </w:t>
      </w:r>
      <w:r w:rsidRPr="005A1480">
        <w:rPr>
          <w:rFonts w:cs="Arial"/>
          <w:szCs w:val="22"/>
        </w:rPr>
        <w:t>Construction clients and mediation</w:t>
      </w:r>
      <w:r>
        <w:rPr>
          <w:rFonts w:cs="Arial"/>
          <w:szCs w:val="22"/>
        </w:rPr>
        <w:t xml:space="preserve">: </w:t>
      </w:r>
      <w:r w:rsidRPr="005A1480">
        <w:rPr>
          <w:rFonts w:cs="Arial"/>
          <w:szCs w:val="22"/>
        </w:rPr>
        <w:t>a follow-up study of attitudes</w:t>
      </w:r>
      <w:r>
        <w:rPr>
          <w:rFonts w:cs="Arial"/>
          <w:szCs w:val="22"/>
        </w:rPr>
        <w:t xml:space="preserve"> </w:t>
      </w:r>
      <w:r w:rsidRPr="005A1480">
        <w:rPr>
          <w:rFonts w:cs="Arial"/>
          <w:szCs w:val="22"/>
        </w:rPr>
        <w:t>and experience</w:t>
      </w:r>
      <w:r>
        <w:rPr>
          <w:rFonts w:cs="Arial"/>
          <w:szCs w:val="22"/>
        </w:rPr>
        <w:t xml:space="preserve">. </w:t>
      </w:r>
      <w:r w:rsidRPr="00D606C1">
        <w:rPr>
          <w:rFonts w:cs="Arial"/>
          <w:i/>
          <w:szCs w:val="22"/>
        </w:rPr>
        <w:t>RICS Research Report November 2012</w:t>
      </w:r>
      <w:r>
        <w:rPr>
          <w:rFonts w:cs="Arial"/>
          <w:szCs w:val="22"/>
        </w:rPr>
        <w:t xml:space="preserve">. RICS, London </w:t>
      </w:r>
    </w:p>
    <w:p w:rsidR="000924C2" w:rsidRPr="00D606C1" w:rsidRDefault="000924C2" w:rsidP="00895723">
      <w:pPr>
        <w:autoSpaceDE w:val="0"/>
        <w:autoSpaceDN w:val="0"/>
        <w:adjustRightInd w:val="0"/>
        <w:ind w:left="851" w:hanging="851"/>
        <w:contextualSpacing/>
        <w:jc w:val="both"/>
        <w:rPr>
          <w:rFonts w:cs="Arial"/>
          <w:i/>
          <w:szCs w:val="22"/>
        </w:rPr>
      </w:pPr>
      <w:r w:rsidRPr="00F62049">
        <w:rPr>
          <w:rFonts w:cs="Arial"/>
          <w:szCs w:val="22"/>
        </w:rPr>
        <w:t xml:space="preserve">Agapiou, A., </w:t>
      </w:r>
      <w:r>
        <w:rPr>
          <w:rFonts w:cs="Arial"/>
          <w:szCs w:val="22"/>
        </w:rPr>
        <w:t xml:space="preserve">Clark, B., </w:t>
      </w:r>
      <w:r w:rsidRPr="00F62049">
        <w:rPr>
          <w:rFonts w:cs="Arial"/>
          <w:szCs w:val="22"/>
        </w:rPr>
        <w:t>201</w:t>
      </w:r>
      <w:r>
        <w:rPr>
          <w:rFonts w:cs="Arial"/>
          <w:szCs w:val="22"/>
        </w:rPr>
        <w:t xml:space="preserve">1. </w:t>
      </w:r>
      <w:r w:rsidRPr="00D606C1">
        <w:rPr>
          <w:rFonts w:cs="Arial"/>
          <w:szCs w:val="22"/>
        </w:rPr>
        <w:t>Scottish construction lawyers and mediation: an investigation into attitudes and experiences</w:t>
      </w:r>
      <w:r>
        <w:rPr>
          <w:rFonts w:cs="Arial"/>
          <w:szCs w:val="22"/>
        </w:rPr>
        <w:t>.</w:t>
      </w:r>
      <w:r w:rsidRPr="005A1480">
        <w:rPr>
          <w:rFonts w:ascii="AdvPS405B6" w:hAnsi="AdvPS405B6" w:cs="AdvPS405B6"/>
          <w:sz w:val="12"/>
          <w:szCs w:val="12"/>
        </w:rPr>
        <w:t xml:space="preserve"> </w:t>
      </w:r>
      <w:r w:rsidRPr="00D606C1">
        <w:rPr>
          <w:rFonts w:cs="Arial"/>
          <w:i/>
          <w:szCs w:val="22"/>
        </w:rPr>
        <w:t>International Journal of Law in the Built Environment Vol. 3 No. 2, 2011 pp. 159-181</w:t>
      </w:r>
    </w:p>
    <w:p w:rsidR="000924C2" w:rsidRDefault="000924C2" w:rsidP="00895723">
      <w:pPr>
        <w:ind w:left="851" w:hanging="851"/>
        <w:contextualSpacing/>
        <w:jc w:val="both"/>
        <w:rPr>
          <w:rFonts w:cs="Arial"/>
          <w:szCs w:val="22"/>
        </w:rPr>
      </w:pPr>
      <w:r w:rsidRPr="001045C4">
        <w:rPr>
          <w:rFonts w:cs="Arial"/>
          <w:szCs w:val="22"/>
        </w:rPr>
        <w:t xml:space="preserve">Brooker, P., 2007. An investigation of evaluative and facilitative approaches to construction mediation. </w:t>
      </w:r>
      <w:r w:rsidRPr="00806AC5">
        <w:rPr>
          <w:rFonts w:cs="Arial"/>
          <w:i/>
          <w:szCs w:val="22"/>
        </w:rPr>
        <w:t>Structural Survey</w:t>
      </w:r>
      <w:r w:rsidRPr="00BC46C1">
        <w:rPr>
          <w:rFonts w:cs="Arial"/>
          <w:szCs w:val="22"/>
        </w:rPr>
        <w:t>, 25 (3/4), pp.220 – 238.</w:t>
      </w:r>
    </w:p>
    <w:p w:rsidR="000924C2" w:rsidRPr="00426CB2" w:rsidRDefault="000924C2" w:rsidP="00895723">
      <w:pPr>
        <w:spacing w:before="100" w:beforeAutospacing="1" w:after="100" w:afterAutospacing="1"/>
        <w:ind w:left="851" w:hanging="851"/>
        <w:contextualSpacing/>
        <w:jc w:val="both"/>
        <w:rPr>
          <w:rFonts w:cs="Arial"/>
        </w:rPr>
      </w:pPr>
      <w:r w:rsidRPr="00DA505C">
        <w:rPr>
          <w:rFonts w:eastAsia="Calibri" w:cs="Arial"/>
          <w:szCs w:val="22"/>
        </w:rPr>
        <w:t xml:space="preserve">Cohen, L., Manion, L., Morrison, K. (2000) </w:t>
      </w:r>
      <w:r w:rsidRPr="00DA505C">
        <w:rPr>
          <w:rFonts w:eastAsia="Calibri" w:cs="Arial"/>
          <w:i/>
          <w:szCs w:val="22"/>
        </w:rPr>
        <w:t>Research Methods in Education</w:t>
      </w:r>
      <w:r w:rsidRPr="00DA505C">
        <w:rPr>
          <w:rFonts w:eastAsia="Calibri" w:cs="Arial"/>
          <w:szCs w:val="22"/>
        </w:rPr>
        <w:t>. London: Routledge</w:t>
      </w:r>
      <w:r w:rsidRPr="00426CB2">
        <w:rPr>
          <w:rFonts w:cs="Arial"/>
        </w:rPr>
        <w:t xml:space="preserve"> </w:t>
      </w:r>
      <w:r w:rsidRPr="00DA505C">
        <w:rPr>
          <w:rFonts w:eastAsia="Calibri" w:cs="Arial"/>
          <w:szCs w:val="22"/>
        </w:rPr>
        <w:t>Falmer</w:t>
      </w:r>
    </w:p>
    <w:p w:rsidR="000924C2" w:rsidRPr="00D606C1" w:rsidRDefault="000924C2" w:rsidP="00895723">
      <w:pPr>
        <w:autoSpaceDE w:val="0"/>
        <w:autoSpaceDN w:val="0"/>
        <w:adjustRightInd w:val="0"/>
        <w:ind w:left="851" w:hanging="851"/>
        <w:contextualSpacing/>
        <w:jc w:val="both"/>
        <w:rPr>
          <w:rFonts w:cs="Arial"/>
          <w:szCs w:val="22"/>
        </w:rPr>
      </w:pPr>
      <w:r w:rsidRPr="00D606C1">
        <w:rPr>
          <w:rFonts w:cs="Arial"/>
          <w:szCs w:val="22"/>
        </w:rPr>
        <w:t>Gregory-Stevens J, Frame I and Reynolds M (2010)</w:t>
      </w:r>
      <w:r>
        <w:rPr>
          <w:rFonts w:cs="Arial"/>
          <w:szCs w:val="22"/>
        </w:rPr>
        <w:t xml:space="preserve">, </w:t>
      </w:r>
      <w:r w:rsidRPr="00D606C1">
        <w:rPr>
          <w:rFonts w:cs="Arial"/>
          <w:szCs w:val="22"/>
        </w:rPr>
        <w:t>Construction disputes – the option of mediation.</w:t>
      </w:r>
      <w:r>
        <w:rPr>
          <w:rFonts w:cs="Arial"/>
          <w:szCs w:val="22"/>
        </w:rPr>
        <w:t xml:space="preserve"> </w:t>
      </w:r>
      <w:r w:rsidRPr="00D606C1">
        <w:rPr>
          <w:rFonts w:cs="Arial"/>
          <w:szCs w:val="22"/>
        </w:rPr>
        <w:t>Proceedings of 2010 COBRA Conference, Paris, France.</w:t>
      </w:r>
    </w:p>
    <w:p w:rsidR="000924C2" w:rsidRPr="00F62049" w:rsidRDefault="000924C2" w:rsidP="00895723">
      <w:pPr>
        <w:spacing w:before="100" w:beforeAutospacing="1" w:after="100" w:afterAutospacing="1"/>
        <w:ind w:left="851" w:hanging="851"/>
        <w:contextualSpacing/>
        <w:jc w:val="both"/>
        <w:rPr>
          <w:rFonts w:cs="Arial"/>
          <w:szCs w:val="22"/>
        </w:rPr>
      </w:pPr>
      <w:r w:rsidRPr="00DA505C">
        <w:rPr>
          <w:rFonts w:cs="Arial"/>
          <w:szCs w:val="22"/>
        </w:rPr>
        <w:t xml:space="preserve">Gould, N., 2009. </w:t>
      </w:r>
      <w:r w:rsidRPr="00DA505C">
        <w:rPr>
          <w:rFonts w:cs="Arial"/>
          <w:i/>
          <w:szCs w:val="22"/>
        </w:rPr>
        <w:t>The Use of Mediation in Construction Disputes: The Centre of Construction Law and Dispute Resolution, Kings College London and the Technology and Construction Courts</w:t>
      </w:r>
      <w:r w:rsidRPr="00F62049">
        <w:rPr>
          <w:rFonts w:cs="Arial"/>
          <w:szCs w:val="22"/>
        </w:rPr>
        <w:t xml:space="preserve"> 1</w:t>
      </w:r>
      <w:r w:rsidRPr="00F62049">
        <w:rPr>
          <w:rFonts w:cs="Arial"/>
          <w:szCs w:val="22"/>
          <w:vertAlign w:val="superscript"/>
        </w:rPr>
        <w:t>st</w:t>
      </w:r>
      <w:r w:rsidRPr="00F62049">
        <w:rPr>
          <w:rFonts w:cs="Arial"/>
          <w:szCs w:val="22"/>
        </w:rPr>
        <w:t xml:space="preserve"> Ed. London: Kings College, London.</w:t>
      </w:r>
    </w:p>
    <w:p w:rsidR="000924C2" w:rsidRDefault="000924C2" w:rsidP="00895723">
      <w:pPr>
        <w:ind w:left="851" w:hanging="851"/>
        <w:contextualSpacing/>
        <w:jc w:val="both"/>
        <w:rPr>
          <w:rFonts w:cs="Arial"/>
          <w:szCs w:val="22"/>
        </w:rPr>
      </w:pPr>
      <w:r w:rsidRPr="00DA505C">
        <w:rPr>
          <w:rFonts w:cs="Arial"/>
          <w:szCs w:val="22"/>
        </w:rPr>
        <w:t xml:space="preserve">Hensler, N., 2003. </w:t>
      </w:r>
      <w:r w:rsidRPr="00DA505C">
        <w:rPr>
          <w:rFonts w:cs="Arial"/>
          <w:i/>
          <w:szCs w:val="22"/>
        </w:rPr>
        <w:t>Our courts, ourselves: how the alternative dispute resolution movement is re-shaping our legal system</w:t>
      </w:r>
      <w:r w:rsidRPr="00F62049">
        <w:rPr>
          <w:rFonts w:cs="Arial"/>
          <w:szCs w:val="22"/>
        </w:rPr>
        <w:t xml:space="preserve">, Penn State Law Review, </w:t>
      </w:r>
      <w:r w:rsidR="00895723" w:rsidRPr="00F62049">
        <w:rPr>
          <w:rFonts w:cs="Arial"/>
          <w:szCs w:val="22"/>
        </w:rPr>
        <w:t>summer</w:t>
      </w:r>
      <w:r w:rsidRPr="00F62049">
        <w:rPr>
          <w:rFonts w:cs="Arial"/>
          <w:szCs w:val="22"/>
        </w:rPr>
        <w:t xml:space="preserve">, pp. 165-97. </w:t>
      </w:r>
    </w:p>
    <w:p w:rsidR="00F16540" w:rsidRDefault="00F16540" w:rsidP="00895723">
      <w:pPr>
        <w:autoSpaceDE w:val="0"/>
        <w:autoSpaceDN w:val="0"/>
        <w:adjustRightInd w:val="0"/>
        <w:ind w:left="851" w:hanging="851"/>
        <w:contextualSpacing/>
        <w:jc w:val="both"/>
        <w:rPr>
          <w:rFonts w:cs="Arial"/>
          <w:b/>
          <w:bCs/>
          <w:color w:val="000000"/>
          <w:szCs w:val="22"/>
        </w:rPr>
      </w:pPr>
      <w:r>
        <w:rPr>
          <w:rFonts w:cs="Arial"/>
          <w:bCs/>
          <w:color w:val="000000"/>
          <w:szCs w:val="22"/>
        </w:rPr>
        <w:t>Jackson, R. 2010</w:t>
      </w:r>
      <w:r>
        <w:rPr>
          <w:rFonts w:cs="Arial"/>
          <w:bCs/>
          <w:i/>
          <w:color w:val="000000"/>
          <w:szCs w:val="22"/>
        </w:rPr>
        <w:t>. Review of Litigation Costs: Final Report – Mediation Related Extracts from the Executive Summary</w:t>
      </w:r>
      <w:r>
        <w:rPr>
          <w:rFonts w:cs="Arial"/>
          <w:bCs/>
          <w:color w:val="000000"/>
          <w:szCs w:val="22"/>
        </w:rPr>
        <w:t>. 1</w:t>
      </w:r>
      <w:r>
        <w:rPr>
          <w:rFonts w:cs="Arial"/>
          <w:bCs/>
          <w:color w:val="000000"/>
          <w:szCs w:val="22"/>
          <w:vertAlign w:val="superscript"/>
        </w:rPr>
        <w:t>st</w:t>
      </w:r>
      <w:r>
        <w:rPr>
          <w:rFonts w:cs="Arial"/>
          <w:bCs/>
          <w:color w:val="000000"/>
          <w:szCs w:val="22"/>
        </w:rPr>
        <w:t xml:space="preserve"> Ed London: HMCS</w:t>
      </w:r>
    </w:p>
    <w:p w:rsidR="000924C2" w:rsidRPr="00336CFA" w:rsidRDefault="000924C2" w:rsidP="00895723">
      <w:pPr>
        <w:spacing w:before="100" w:beforeAutospacing="1" w:after="100" w:afterAutospacing="1"/>
        <w:ind w:left="851" w:hanging="851"/>
        <w:contextualSpacing/>
        <w:jc w:val="both"/>
        <w:rPr>
          <w:rFonts w:cs="Arial"/>
          <w:spacing w:val="-3"/>
          <w:szCs w:val="22"/>
        </w:rPr>
      </w:pPr>
      <w:r w:rsidRPr="00F62049">
        <w:rPr>
          <w:rFonts w:cs="Arial"/>
          <w:spacing w:val="-3"/>
          <w:szCs w:val="22"/>
        </w:rPr>
        <w:t xml:space="preserve">Latham, M., 1994. </w:t>
      </w:r>
      <w:r w:rsidRPr="00F62049">
        <w:rPr>
          <w:rFonts w:cs="Arial"/>
          <w:i/>
          <w:spacing w:val="-3"/>
          <w:szCs w:val="22"/>
        </w:rPr>
        <w:t>Constructing The Team</w:t>
      </w:r>
      <w:r w:rsidRPr="00F62049">
        <w:rPr>
          <w:rFonts w:cs="Arial"/>
          <w:spacing w:val="-3"/>
          <w:szCs w:val="22"/>
        </w:rPr>
        <w:t xml:space="preserve">, </w:t>
      </w:r>
      <w:r w:rsidRPr="00F62049">
        <w:rPr>
          <w:rFonts w:cs="Arial"/>
          <w:i/>
          <w:spacing w:val="-3"/>
          <w:szCs w:val="22"/>
        </w:rPr>
        <w:t xml:space="preserve">Final Report of the Government / Industry Review of Procurement and Contractual Arrangements In The UK Construction Industry. </w:t>
      </w:r>
      <w:r w:rsidRPr="00F62049">
        <w:rPr>
          <w:rFonts w:cs="Arial"/>
          <w:spacing w:val="-3"/>
          <w:szCs w:val="22"/>
        </w:rPr>
        <w:t xml:space="preserve"> </w:t>
      </w:r>
      <w:r w:rsidRPr="00F62049">
        <w:rPr>
          <w:rFonts w:cs="Arial"/>
          <w:szCs w:val="22"/>
        </w:rPr>
        <w:t>1</w:t>
      </w:r>
      <w:r w:rsidRPr="00336CFA">
        <w:rPr>
          <w:rFonts w:cs="Arial"/>
          <w:szCs w:val="22"/>
          <w:vertAlign w:val="superscript"/>
        </w:rPr>
        <w:t>st</w:t>
      </w:r>
      <w:r w:rsidRPr="00336CFA">
        <w:rPr>
          <w:rFonts w:cs="Arial"/>
          <w:szCs w:val="22"/>
        </w:rPr>
        <w:t xml:space="preserve"> Ed</w:t>
      </w:r>
      <w:r w:rsidRPr="00336CFA">
        <w:rPr>
          <w:rFonts w:cs="Arial"/>
          <w:spacing w:val="-3"/>
          <w:szCs w:val="22"/>
        </w:rPr>
        <w:t xml:space="preserve"> London: HMSO</w:t>
      </w:r>
    </w:p>
    <w:p w:rsidR="000924C2" w:rsidRDefault="000924C2" w:rsidP="00895723">
      <w:pPr>
        <w:ind w:left="851" w:hanging="851"/>
        <w:contextualSpacing/>
        <w:jc w:val="both"/>
        <w:rPr>
          <w:rFonts w:cs="Arial"/>
          <w:szCs w:val="22"/>
        </w:rPr>
      </w:pPr>
      <w:r w:rsidRPr="00D606C1">
        <w:rPr>
          <w:rFonts w:cs="Arial"/>
          <w:szCs w:val="22"/>
        </w:rPr>
        <w:t xml:space="preserve">Mason, J. and Sharratt, H. 2013. </w:t>
      </w:r>
      <w:r>
        <w:rPr>
          <w:rFonts w:cs="Arial"/>
          <w:szCs w:val="22"/>
        </w:rPr>
        <w:t>Proceedings of 2013</w:t>
      </w:r>
      <w:r w:rsidRPr="006A5A89">
        <w:rPr>
          <w:rFonts w:cs="Arial"/>
          <w:szCs w:val="22"/>
        </w:rPr>
        <w:t xml:space="preserve"> COBRA Conference, </w:t>
      </w:r>
      <w:r>
        <w:rPr>
          <w:rFonts w:cs="Arial"/>
          <w:szCs w:val="22"/>
        </w:rPr>
        <w:t>New Delhi</w:t>
      </w:r>
      <w:r w:rsidRPr="006A5A89">
        <w:rPr>
          <w:rFonts w:cs="Arial"/>
          <w:szCs w:val="22"/>
        </w:rPr>
        <w:t xml:space="preserve">, </w:t>
      </w:r>
      <w:r>
        <w:rPr>
          <w:rFonts w:cs="Arial"/>
          <w:szCs w:val="22"/>
        </w:rPr>
        <w:t>India</w:t>
      </w:r>
    </w:p>
    <w:p w:rsidR="000924C2" w:rsidRPr="00BA1E65" w:rsidRDefault="000924C2" w:rsidP="00895723">
      <w:pPr>
        <w:ind w:left="851" w:hanging="851"/>
        <w:contextualSpacing/>
        <w:jc w:val="both"/>
        <w:rPr>
          <w:rFonts w:cs="Arial"/>
          <w:szCs w:val="22"/>
        </w:rPr>
      </w:pPr>
      <w:r w:rsidRPr="001045C4">
        <w:rPr>
          <w:rFonts w:cs="Arial"/>
          <w:szCs w:val="22"/>
        </w:rPr>
        <w:t xml:space="preserve">Minogue, A. 2010, </w:t>
      </w:r>
      <w:r w:rsidRPr="001045C4">
        <w:rPr>
          <w:rFonts w:cs="Arial"/>
          <w:i/>
          <w:szCs w:val="22"/>
        </w:rPr>
        <w:t>Blessed are the Peacemakers</w:t>
      </w:r>
      <w:r w:rsidRPr="00806AC5">
        <w:rPr>
          <w:rFonts w:cs="Arial"/>
          <w:szCs w:val="22"/>
        </w:rPr>
        <w:t xml:space="preserve"> Building Magazine 22</w:t>
      </w:r>
      <w:r w:rsidRPr="00BC46C1">
        <w:rPr>
          <w:rFonts w:cs="Arial"/>
          <w:szCs w:val="22"/>
          <w:vertAlign w:val="superscript"/>
        </w:rPr>
        <w:t xml:space="preserve"> </w:t>
      </w:r>
      <w:r w:rsidRPr="00BA1E65">
        <w:rPr>
          <w:rFonts w:cs="Arial"/>
          <w:szCs w:val="22"/>
        </w:rPr>
        <w:t>January, p51</w:t>
      </w:r>
    </w:p>
    <w:p w:rsidR="00F16540" w:rsidRPr="00F16540" w:rsidRDefault="00F16540" w:rsidP="00895723">
      <w:pPr>
        <w:spacing w:before="100" w:beforeAutospacing="1" w:after="100" w:afterAutospacing="1"/>
        <w:ind w:left="851" w:hanging="851"/>
        <w:contextualSpacing/>
        <w:jc w:val="both"/>
      </w:pPr>
      <w:r w:rsidRPr="00F16540">
        <w:t>Murdoch, J and Hughes, W, Construction contracts law and management, 4th ed</w:t>
      </w:r>
      <w:r w:rsidR="00895723">
        <w:t>.</w:t>
      </w:r>
      <w:r w:rsidRPr="00F16540">
        <w:t xml:space="preserve"> London, Taylor and Francis.</w:t>
      </w:r>
    </w:p>
    <w:p w:rsidR="00DE35C5" w:rsidRDefault="00F16540" w:rsidP="00895723">
      <w:pPr>
        <w:spacing w:before="100" w:beforeAutospacing="1" w:after="100" w:afterAutospacing="1"/>
        <w:ind w:left="851" w:hanging="851"/>
        <w:contextualSpacing/>
        <w:jc w:val="both"/>
        <w:rPr>
          <w:rFonts w:cs="Arial"/>
          <w:szCs w:val="22"/>
        </w:rPr>
      </w:pPr>
      <w:r w:rsidRPr="00A7563F">
        <w:rPr>
          <w:rFonts w:cs="Arial"/>
        </w:rPr>
        <w:t>Office of national statistics, construction statistics branch, 2014</w:t>
      </w:r>
    </w:p>
    <w:p w:rsidR="000924C2" w:rsidRPr="00426CB2" w:rsidRDefault="000924C2" w:rsidP="00895723">
      <w:pPr>
        <w:spacing w:before="100" w:beforeAutospacing="1" w:after="100" w:afterAutospacing="1"/>
        <w:ind w:left="851" w:hanging="851"/>
        <w:contextualSpacing/>
        <w:jc w:val="both"/>
        <w:rPr>
          <w:rFonts w:cs="Arial"/>
          <w:spacing w:val="-3"/>
          <w:szCs w:val="22"/>
        </w:rPr>
      </w:pPr>
      <w:r w:rsidRPr="00BA1E65">
        <w:rPr>
          <w:rFonts w:cs="Arial"/>
          <w:spacing w:val="-3"/>
          <w:szCs w:val="22"/>
        </w:rPr>
        <w:t xml:space="preserve">Oppenheim, A (1992) </w:t>
      </w:r>
      <w:r w:rsidRPr="00426CB2">
        <w:rPr>
          <w:rFonts w:cs="Arial"/>
          <w:i/>
          <w:spacing w:val="-3"/>
          <w:szCs w:val="22"/>
        </w:rPr>
        <w:t>Questionnaire Design, Interviewing and Attitude Measurement</w:t>
      </w:r>
      <w:r w:rsidRPr="00426CB2">
        <w:rPr>
          <w:rFonts w:cs="Arial"/>
          <w:spacing w:val="-3"/>
          <w:szCs w:val="22"/>
        </w:rPr>
        <w:t>, London, Continuum.</w:t>
      </w:r>
    </w:p>
    <w:p w:rsidR="000924C2" w:rsidRDefault="000924C2" w:rsidP="00895723">
      <w:pPr>
        <w:ind w:left="851" w:hanging="851"/>
        <w:contextualSpacing/>
        <w:jc w:val="both"/>
        <w:rPr>
          <w:rFonts w:cs="Arial"/>
          <w:spacing w:val="-3"/>
          <w:szCs w:val="22"/>
        </w:rPr>
      </w:pPr>
      <w:r w:rsidRPr="00426CB2">
        <w:rPr>
          <w:rFonts w:cs="Arial"/>
          <w:spacing w:val="-3"/>
          <w:szCs w:val="22"/>
        </w:rPr>
        <w:t xml:space="preserve">Redmond, J., 2005, </w:t>
      </w:r>
      <w:r w:rsidRPr="00426CB2">
        <w:rPr>
          <w:rFonts w:cs="Arial"/>
          <w:i/>
          <w:spacing w:val="-3"/>
          <w:szCs w:val="22"/>
        </w:rPr>
        <w:t>I’ve seen the light</w:t>
      </w:r>
      <w:r w:rsidRPr="00426CB2">
        <w:rPr>
          <w:rFonts w:cs="Arial"/>
          <w:spacing w:val="-3"/>
          <w:szCs w:val="22"/>
        </w:rPr>
        <w:t>. Building Magazine</w:t>
      </w:r>
      <w:r w:rsidRPr="00426CB2">
        <w:rPr>
          <w:rFonts w:cs="Arial"/>
          <w:i/>
          <w:spacing w:val="-3"/>
          <w:szCs w:val="22"/>
        </w:rPr>
        <w:t>,</w:t>
      </w:r>
      <w:r w:rsidRPr="00426CB2">
        <w:rPr>
          <w:rFonts w:cs="Arial"/>
          <w:spacing w:val="-3"/>
          <w:szCs w:val="22"/>
        </w:rPr>
        <w:t xml:space="preserve"> 36.51.</w:t>
      </w:r>
    </w:p>
    <w:p w:rsidR="000924C2" w:rsidRPr="00DA505C" w:rsidRDefault="000924C2" w:rsidP="00895723">
      <w:pPr>
        <w:spacing w:before="100" w:beforeAutospacing="1" w:after="100" w:afterAutospacing="1"/>
        <w:ind w:left="851" w:hanging="851"/>
        <w:contextualSpacing/>
        <w:jc w:val="both"/>
        <w:rPr>
          <w:rFonts w:cs="Arial"/>
          <w:color w:val="000000"/>
          <w:szCs w:val="22"/>
        </w:rPr>
      </w:pPr>
      <w:r w:rsidRPr="00DA505C">
        <w:rPr>
          <w:rFonts w:cs="Arial"/>
          <w:spacing w:val="-3"/>
          <w:szCs w:val="22"/>
        </w:rPr>
        <w:t xml:space="preserve">Redmond, J., 2009, </w:t>
      </w:r>
      <w:r w:rsidRPr="00DA505C">
        <w:rPr>
          <w:rFonts w:cs="Arial"/>
          <w:i/>
          <w:spacing w:val="-3"/>
          <w:szCs w:val="22"/>
        </w:rPr>
        <w:t>Return of the Arbitrator</w:t>
      </w:r>
      <w:r w:rsidRPr="00DA505C">
        <w:rPr>
          <w:rFonts w:cs="Arial"/>
          <w:spacing w:val="-3"/>
          <w:szCs w:val="22"/>
        </w:rPr>
        <w:t>. Building Magazine</w:t>
      </w:r>
      <w:r w:rsidRPr="00DA505C">
        <w:rPr>
          <w:rFonts w:cs="Arial"/>
          <w:i/>
          <w:spacing w:val="-3"/>
          <w:szCs w:val="22"/>
        </w:rPr>
        <w:t>,</w:t>
      </w:r>
      <w:r w:rsidRPr="00DA505C">
        <w:rPr>
          <w:rFonts w:cs="Arial"/>
          <w:spacing w:val="-3"/>
          <w:szCs w:val="22"/>
        </w:rPr>
        <w:t xml:space="preserve"> 27 November, p.51.</w:t>
      </w:r>
    </w:p>
    <w:p w:rsidR="000924C2" w:rsidRDefault="000924C2" w:rsidP="00895723">
      <w:pPr>
        <w:spacing w:before="100" w:beforeAutospacing="1" w:after="100" w:afterAutospacing="1"/>
        <w:ind w:left="851" w:hanging="851"/>
        <w:contextualSpacing/>
        <w:jc w:val="both"/>
        <w:rPr>
          <w:rFonts w:cs="Arial"/>
          <w:color w:val="000000"/>
          <w:szCs w:val="22"/>
        </w:rPr>
      </w:pPr>
      <w:r w:rsidRPr="00F62049">
        <w:rPr>
          <w:rFonts w:cs="Arial"/>
          <w:szCs w:val="22"/>
        </w:rPr>
        <w:t xml:space="preserve">Richbell, D., 2008, </w:t>
      </w:r>
      <w:r w:rsidRPr="00F62049">
        <w:rPr>
          <w:rFonts w:cs="Arial"/>
          <w:i/>
          <w:szCs w:val="22"/>
        </w:rPr>
        <w:t>Mediation of Construction Disputes</w:t>
      </w:r>
      <w:r w:rsidRPr="00F62049">
        <w:rPr>
          <w:rFonts w:cs="Arial"/>
          <w:szCs w:val="22"/>
        </w:rPr>
        <w:t xml:space="preserve"> 1</w:t>
      </w:r>
      <w:r w:rsidRPr="00F62049">
        <w:rPr>
          <w:rFonts w:cs="Arial"/>
          <w:szCs w:val="22"/>
          <w:vertAlign w:val="superscript"/>
        </w:rPr>
        <w:t>st</w:t>
      </w:r>
      <w:r w:rsidRPr="00F62049">
        <w:rPr>
          <w:rFonts w:cs="Arial"/>
          <w:szCs w:val="22"/>
        </w:rPr>
        <w:t xml:space="preserve"> Ed. London: </w:t>
      </w:r>
      <w:r w:rsidRPr="00F62049">
        <w:rPr>
          <w:rFonts w:cs="Arial"/>
          <w:color w:val="000000"/>
          <w:szCs w:val="22"/>
        </w:rPr>
        <w:t>Wiley-Blackwell</w:t>
      </w:r>
    </w:p>
    <w:p w:rsidR="000924C2" w:rsidRDefault="000924C2" w:rsidP="00895723">
      <w:pPr>
        <w:autoSpaceDE w:val="0"/>
        <w:autoSpaceDN w:val="0"/>
        <w:adjustRightInd w:val="0"/>
        <w:ind w:left="851" w:hanging="851"/>
        <w:contextualSpacing/>
        <w:jc w:val="both"/>
        <w:rPr>
          <w:rFonts w:cs="Arial"/>
          <w:szCs w:val="22"/>
        </w:rPr>
      </w:pPr>
      <w:r w:rsidRPr="00336CFA">
        <w:rPr>
          <w:rFonts w:cs="Arial"/>
          <w:szCs w:val="22"/>
        </w:rPr>
        <w:t xml:space="preserve">Stipanowich, T., 1996. </w:t>
      </w:r>
      <w:r w:rsidRPr="00336CFA">
        <w:rPr>
          <w:rFonts w:cs="Arial"/>
          <w:i/>
          <w:szCs w:val="22"/>
        </w:rPr>
        <w:t>Beyond arbitration: innovation and evolution in the United States construction industry</w:t>
      </w:r>
      <w:r w:rsidRPr="001045C4">
        <w:rPr>
          <w:rFonts w:cs="Arial"/>
          <w:szCs w:val="22"/>
        </w:rPr>
        <w:t>, Wake Forest Law Review, Vol. 31 No. 1, pp. 65-182.</w:t>
      </w:r>
    </w:p>
    <w:p w:rsidR="00F16540" w:rsidRDefault="00F16540" w:rsidP="00895723">
      <w:pPr>
        <w:ind w:left="851" w:hanging="851"/>
        <w:contextualSpacing/>
        <w:jc w:val="both"/>
        <w:rPr>
          <w:rFonts w:cs="Arial"/>
          <w:szCs w:val="22"/>
        </w:rPr>
      </w:pPr>
      <w:r>
        <w:rPr>
          <w:rFonts w:cs="Arial"/>
          <w:szCs w:val="22"/>
        </w:rPr>
        <w:t xml:space="preserve">Stitt, A. 2004, </w:t>
      </w:r>
      <w:r>
        <w:rPr>
          <w:rFonts w:cs="Arial"/>
          <w:i/>
          <w:szCs w:val="22"/>
        </w:rPr>
        <w:t>Mediation: A practical guide</w:t>
      </w:r>
      <w:r>
        <w:rPr>
          <w:rFonts w:cs="Arial"/>
          <w:szCs w:val="22"/>
        </w:rPr>
        <w:t>. London: Cavendish Publishing.</w:t>
      </w:r>
    </w:p>
    <w:p w:rsidR="000924C2" w:rsidRPr="00BA1E65" w:rsidRDefault="000924C2" w:rsidP="00895723">
      <w:pPr>
        <w:autoSpaceDE w:val="0"/>
        <w:autoSpaceDN w:val="0"/>
        <w:adjustRightInd w:val="0"/>
        <w:ind w:left="851" w:hanging="851"/>
        <w:contextualSpacing/>
        <w:jc w:val="both"/>
        <w:rPr>
          <w:rFonts w:cs="Arial"/>
          <w:szCs w:val="22"/>
        </w:rPr>
      </w:pPr>
      <w:r w:rsidRPr="00806AC5">
        <w:rPr>
          <w:rFonts w:cs="Arial"/>
          <w:szCs w:val="22"/>
        </w:rPr>
        <w:t>Thomson, D., 2001.</w:t>
      </w:r>
      <w:r w:rsidRPr="00BC46C1">
        <w:rPr>
          <w:rFonts w:cs="Arial"/>
          <w:szCs w:val="22"/>
        </w:rPr>
        <w:t xml:space="preserve"> </w:t>
      </w:r>
      <w:r w:rsidRPr="00BA1E65">
        <w:rPr>
          <w:rFonts w:cs="Arial"/>
          <w:i/>
          <w:szCs w:val="22"/>
        </w:rPr>
        <w:t>A disconnect of supply and demand: survey of forum members’ mediation preferences</w:t>
      </w:r>
      <w:r w:rsidRPr="00BA1E65">
        <w:rPr>
          <w:rFonts w:cs="Arial"/>
          <w:szCs w:val="22"/>
        </w:rPr>
        <w:t>, Construction Law, Fall, pp. 17-21.</w:t>
      </w:r>
    </w:p>
    <w:p w:rsidR="000924C2" w:rsidRDefault="000924C2" w:rsidP="00895723">
      <w:pPr>
        <w:autoSpaceDE w:val="0"/>
        <w:autoSpaceDN w:val="0"/>
        <w:adjustRightInd w:val="0"/>
        <w:ind w:left="851" w:hanging="851"/>
        <w:contextualSpacing/>
        <w:jc w:val="both"/>
        <w:rPr>
          <w:rFonts w:cs="Arial"/>
          <w:szCs w:val="22"/>
        </w:rPr>
      </w:pPr>
      <w:r w:rsidRPr="00673A71">
        <w:rPr>
          <w:rFonts w:cs="Arial"/>
          <w:szCs w:val="22"/>
        </w:rPr>
        <w:lastRenderedPageBreak/>
        <w:t>Trushell</w:t>
      </w:r>
      <w:r>
        <w:rPr>
          <w:rFonts w:cs="Arial"/>
          <w:szCs w:val="22"/>
        </w:rPr>
        <w:t xml:space="preserve">, I., Milligan, J L., </w:t>
      </w:r>
      <w:r w:rsidR="00895723">
        <w:rPr>
          <w:rFonts w:cs="Arial"/>
          <w:szCs w:val="22"/>
        </w:rPr>
        <w:t>Cattanach.</w:t>
      </w:r>
      <w:r w:rsidRPr="00673A71">
        <w:rPr>
          <w:rFonts w:cs="Arial"/>
          <w:szCs w:val="22"/>
        </w:rPr>
        <w:t xml:space="preserve"> 2012</w:t>
      </w:r>
      <w:r>
        <w:rPr>
          <w:rFonts w:cs="Arial"/>
          <w:szCs w:val="22"/>
        </w:rPr>
        <w:t>. Adjudication Report Centre, Report no 12, October 2012. Glasgow: Glasgow Caledonian University.</w:t>
      </w:r>
    </w:p>
    <w:p w:rsidR="000924C2" w:rsidRPr="00426CB2" w:rsidRDefault="000924C2" w:rsidP="00895723">
      <w:pPr>
        <w:kinsoku w:val="0"/>
        <w:overflowPunct w:val="0"/>
        <w:spacing w:before="115"/>
        <w:ind w:left="851" w:hanging="851"/>
        <w:contextualSpacing/>
        <w:textAlignment w:val="baseline"/>
        <w:rPr>
          <w:rFonts w:eastAsia="Calibri" w:cs="Arial"/>
          <w:szCs w:val="22"/>
          <w:lang w:eastAsia="en-US"/>
        </w:rPr>
      </w:pPr>
      <w:r w:rsidRPr="00426CB2">
        <w:rPr>
          <w:rFonts w:eastAsia="Calibri" w:cs="Arial"/>
          <w:szCs w:val="22"/>
          <w:lang w:eastAsia="en-US"/>
        </w:rPr>
        <w:t>Yin, R. K. (2009) Case Study Research: Design and methods. London: Sage.</w:t>
      </w:r>
    </w:p>
    <w:p w:rsidR="002162D6" w:rsidRDefault="000924C2" w:rsidP="00895723">
      <w:pPr>
        <w:spacing w:after="240"/>
        <w:ind w:left="851" w:hanging="851"/>
        <w:contextualSpacing/>
        <w:jc w:val="both"/>
        <w:rPr>
          <w:rFonts w:cs="Arial"/>
          <w:bCs/>
          <w:szCs w:val="22"/>
          <w:lang w:val="en-US" w:eastAsia="en-US" w:bidi="th-TH"/>
        </w:rPr>
      </w:pPr>
      <w:r w:rsidRPr="00426CB2">
        <w:rPr>
          <w:rFonts w:cs="Arial"/>
        </w:rPr>
        <w:t xml:space="preserve">Yin, R. 2014. </w:t>
      </w:r>
      <w:r w:rsidRPr="00426CB2">
        <w:rPr>
          <w:rFonts w:cs="Arial"/>
          <w:i/>
        </w:rPr>
        <w:t>Case Study Research Design and Methods</w:t>
      </w:r>
      <w:r w:rsidRPr="00426CB2">
        <w:rPr>
          <w:rFonts w:cs="Arial"/>
        </w:rPr>
        <w:t>. 5</w:t>
      </w:r>
      <w:r w:rsidRPr="00426CB2">
        <w:rPr>
          <w:rFonts w:cs="Arial"/>
          <w:vertAlign w:val="superscript"/>
        </w:rPr>
        <w:t>th</w:t>
      </w:r>
      <w:r w:rsidRPr="00426CB2">
        <w:rPr>
          <w:rFonts w:cs="Arial"/>
        </w:rPr>
        <w:t xml:space="preserve"> Ed Thousand Oaks: Sage Publishing.</w:t>
      </w:r>
    </w:p>
    <w:sectPr w:rsidR="002162D6" w:rsidSect="00F200D4">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680" w:right="680" w:bottom="993" w:left="680" w:header="680"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C84" w:rsidRDefault="008E4C84">
      <w:r>
        <w:separator/>
      </w:r>
    </w:p>
  </w:endnote>
  <w:endnote w:type="continuationSeparator" w:id="0">
    <w:p w:rsidR="008E4C84" w:rsidRDefault="008E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dvP8073B">
    <w:panose1 w:val="00000000000000000000"/>
    <w:charset w:val="00"/>
    <w:family w:val="swiss"/>
    <w:notTrueType/>
    <w:pitch w:val="default"/>
    <w:sig w:usb0="00000003" w:usb1="00000000" w:usb2="00000000" w:usb3="00000000" w:csb0="00000001" w:csb1="00000000"/>
  </w:font>
  <w:font w:name="AdvPS405B6">
    <w:panose1 w:val="00000000000000000000"/>
    <w:charset w:val="00"/>
    <w:family w:val="roman"/>
    <w:notTrueType/>
    <w:pitch w:val="default"/>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69B" w:rsidRDefault="002726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C84" w:rsidRDefault="008E4C84">
    <w:r>
      <w:rPr>
        <w:noProof/>
      </w:rPr>
      <mc:AlternateContent>
        <mc:Choice Requires="wps">
          <w:drawing>
            <wp:anchor distT="71755" distB="0" distL="114300" distR="114300" simplePos="0" relativeHeight="251657728" behindDoc="0" locked="0" layoutInCell="1" allowOverlap="1" wp14:anchorId="14DEB267" wp14:editId="3E6EE89E">
              <wp:simplePos x="0" y="0"/>
              <wp:positionH relativeFrom="page">
                <wp:posOffset>431800</wp:posOffset>
              </wp:positionH>
              <wp:positionV relativeFrom="page">
                <wp:posOffset>9966325</wp:posOffset>
              </wp:positionV>
              <wp:extent cx="6696075" cy="360045"/>
              <wp:effectExtent l="0" t="0" r="0" b="0"/>
              <wp:wrapSquare wrapText="bothSides"/>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360045"/>
                      </a:xfrm>
                      <a:prstGeom prst="rect">
                        <a:avLst/>
                      </a:prstGeom>
                      <a:solidFill>
                        <a:srgbClr val="00954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C84" w:rsidRDefault="008E4C84" w:rsidP="002F7569">
                          <w:pPr>
                            <w:pStyle w:val="HeaderfootercontinuationEmerald"/>
                            <w:rPr>
                              <w:rStyle w:val="BodycopyboldEmerald"/>
                              <w:b/>
                              <w:lang w:val="en-GB"/>
                            </w:rPr>
                          </w:pPr>
                          <w:r>
                            <w:rPr>
                              <w:rStyle w:val="BodycopyboldEmerald"/>
                              <w:b/>
                              <w:lang w:val="en-GB"/>
                            </w:rPr>
                            <w:t>Use of mediation in construction disputes in England</w:t>
                          </w:r>
                        </w:p>
                        <w:p w:rsidR="008E4C84" w:rsidRDefault="008E4C84" w:rsidP="002F7569">
                          <w:pPr>
                            <w:pStyle w:val="HeaderfootercontinuationEmerald"/>
                          </w:pPr>
                        </w:p>
                      </w:txbxContent>
                    </wps:txbx>
                    <wps:bodyPr rot="0" vert="horz" wrap="square" lIns="144000" tIns="90000" rIns="14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34pt;margin-top:784.75pt;width:527.25pt;height:28.35pt;z-index:251657728;visibility:visible;mso-wrap-style:square;mso-width-percent:0;mso-height-percent:0;mso-wrap-distance-left:9pt;mso-wrap-distance-top:5.65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" fillcolor="#009543" stroked="f">
              <v:textbox inset="4mm,2.5mm,4mm,0">
                <w:txbxContent>
                  <w:p w:rsidR="00E01439" w:rsidRDefault="00E01439" w:rsidP="002F7569">
                    <w:pPr>
                      <w:pStyle w:val="HeaderfootercontinuationEmerald"/>
                      <w:rPr>
                        <w:rStyle w:val="BodycopyboldEmerald"/>
                        <w:b/>
                        <w:lang w:val="en-GB"/>
                      </w:rPr>
                    </w:pPr>
                    <w:r>
                      <w:rPr>
                        <w:rStyle w:val="BodycopyboldEmerald"/>
                        <w:b/>
                        <w:lang w:val="en-GB"/>
                      </w:rPr>
                      <w:t>Use of mediation in construction disputes in England</w:t>
                    </w:r>
                  </w:p>
                  <w:p w:rsidR="00E01439" w:rsidRDefault="00E01439" w:rsidP="002F7569">
                    <w:pPr>
                      <w:pStyle w:val="HeaderfootercontinuationEmerald"/>
                    </w:pPr>
                  </w:p>
                </w:txbxContent>
              </v:textbox>
              <w10:wrap type="square"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C84" w:rsidRDefault="008E4C84">
    <w:r>
      <w:rPr>
        <w:noProof/>
      </w:rPr>
      <w:drawing>
        <wp:anchor distT="107950" distB="0" distL="180340" distR="0" simplePos="0" relativeHeight="251659776" behindDoc="1" locked="0" layoutInCell="0" allowOverlap="0" wp14:anchorId="7F750F18" wp14:editId="48D0FF2F">
          <wp:simplePos x="0" y="0"/>
          <wp:positionH relativeFrom="page">
            <wp:posOffset>6369050</wp:posOffset>
          </wp:positionH>
          <wp:positionV relativeFrom="page">
            <wp:posOffset>8618855</wp:posOffset>
          </wp:positionV>
          <wp:extent cx="755650" cy="1081405"/>
          <wp:effectExtent l="0" t="0" r="6350" b="4445"/>
          <wp:wrapSquare wrapText="left"/>
          <wp:docPr id="8" name="Picture 8" descr="Emerald 21x30mm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merald 21x30mm rgb"/>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180340" distB="0" distL="114300" distR="114300" simplePos="0" relativeHeight="251656704" behindDoc="0" locked="0" layoutInCell="1" allowOverlap="1" wp14:anchorId="14DA8478" wp14:editId="1E18B3A2">
              <wp:simplePos x="0" y="0"/>
              <wp:positionH relativeFrom="page">
                <wp:posOffset>430530</wp:posOffset>
              </wp:positionH>
              <wp:positionV relativeFrom="page">
                <wp:posOffset>9966960</wp:posOffset>
              </wp:positionV>
              <wp:extent cx="6696075" cy="360045"/>
              <wp:effectExtent l="0" t="0" r="0" b="0"/>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360045"/>
                      </a:xfrm>
                      <a:prstGeom prst="rect">
                        <a:avLst/>
                      </a:prstGeom>
                      <a:solidFill>
                        <a:srgbClr val="00954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C84" w:rsidRPr="00345623" w:rsidRDefault="008E4C84" w:rsidP="00345623"/>
                      </w:txbxContent>
                    </wps:txbx>
                    <wps:bodyPr rot="0" vert="horz" wrap="square" lIns="144000" tIns="90000" rIns="14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33.9pt;margin-top:784.8pt;width:527.25pt;height:28.35pt;z-index:25165670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" fillcolor="#009543" stroked="f">
              <v:textbox inset="4mm,2.5mm,4mm,0">
                <w:txbxContent>
                  <w:p w:rsidR="00E01439" w:rsidRPr="00345623" w:rsidRDefault="00E01439" w:rsidP="00345623"/>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C84" w:rsidRDefault="008E4C84">
      <w:r>
        <w:separator/>
      </w:r>
    </w:p>
  </w:footnote>
  <w:footnote w:type="continuationSeparator" w:id="0">
    <w:p w:rsidR="008E4C84" w:rsidRDefault="008E4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69B" w:rsidRDefault="002726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C84" w:rsidRDefault="008E4C84">
    <w:r>
      <w:rPr>
        <w:noProof/>
      </w:rPr>
      <mc:AlternateContent>
        <mc:Choice Requires="wps">
          <w:drawing>
            <wp:anchor distT="0" distB="71755" distL="114300" distR="114300" simplePos="0" relativeHeight="251658752" behindDoc="0" locked="0" layoutInCell="1" allowOverlap="1" wp14:anchorId="24285FD0" wp14:editId="3BF08302">
              <wp:simplePos x="0" y="0"/>
              <wp:positionH relativeFrom="page">
                <wp:posOffset>431800</wp:posOffset>
              </wp:positionH>
              <wp:positionV relativeFrom="page">
                <wp:posOffset>431800</wp:posOffset>
              </wp:positionV>
              <wp:extent cx="6696075" cy="360045"/>
              <wp:effectExtent l="0" t="0" r="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360045"/>
                      </a:xfrm>
                      <a:prstGeom prst="rect">
                        <a:avLst/>
                      </a:prstGeom>
                      <a:solidFill>
                        <a:srgbClr val="00954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C84" w:rsidRDefault="008E4C84" w:rsidP="00103BCA">
                          <w:pPr>
                            <w:pStyle w:val="HeaderfootercontinuationEmerald"/>
                            <w:rPr>
                              <w:rStyle w:val="BodycopyboldEmerald"/>
                              <w:b/>
                              <w:lang w:val="en-GB"/>
                            </w:rPr>
                          </w:pPr>
                          <w:r>
                            <w:rPr>
                              <w:rStyle w:val="BodycopyboldEmerald"/>
                              <w:b/>
                              <w:lang w:val="en-GB"/>
                            </w:rPr>
                            <w:t>Use of mediation in construction disputes in England</w:t>
                          </w:r>
                        </w:p>
                        <w:p w:rsidR="008E4C84" w:rsidRPr="00F26234" w:rsidRDefault="008E4C84" w:rsidP="00DA4617">
                          <w:pPr>
                            <w:pStyle w:val="HeaderfootercontinuationEmerald"/>
                            <w:rPr>
                              <w:rStyle w:val="BodycopyboldEmerald"/>
                              <w:b/>
                              <w:lang w:val="en-GB"/>
                            </w:rPr>
                          </w:pPr>
                        </w:p>
                      </w:txbxContent>
                    </wps:txbx>
                    <wps:bodyPr rot="0" vert="horz" wrap="square" lIns="144000" tIns="90000" rIns="14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4pt;margin-top:34pt;width:527.25pt;height:28.35pt;z-index:251658752;visibility:visible;mso-wrap-style:square;mso-width-percent:0;mso-height-percent:0;mso-wrap-distance-left:9pt;mso-wrap-distance-top:0;mso-wrap-distance-right:9pt;mso-wrap-distance-bottom:5.6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" fillcolor="#009543" stroked="f">
              <v:textbox inset="4mm,2.5mm,4mm,0">
                <w:txbxContent>
                  <w:p w:rsidR="00E01439" w:rsidRDefault="00E01439" w:rsidP="00103BCA">
                    <w:pPr>
                      <w:pStyle w:val="HeaderfootercontinuationEmerald"/>
                      <w:rPr>
                        <w:rStyle w:val="BodycopyboldEmerald"/>
                        <w:b/>
                        <w:lang w:val="en-GB"/>
                      </w:rPr>
                    </w:pPr>
                    <w:r>
                      <w:rPr>
                        <w:rStyle w:val="BodycopyboldEmerald"/>
                        <w:b/>
                        <w:lang w:val="en-GB"/>
                      </w:rPr>
                      <w:t>Use of mediation in construction disputes in England</w:t>
                    </w:r>
                  </w:p>
                  <w:p w:rsidR="00E01439" w:rsidRPr="00F26234" w:rsidRDefault="00E01439" w:rsidP="00DA4617">
                    <w:pPr>
                      <w:pStyle w:val="HeaderfootercontinuationEmerald"/>
                      <w:rPr>
                        <w:rStyle w:val="BodycopyboldEmerald"/>
                        <w:b/>
                        <w:lang w:val="en-GB"/>
                      </w:rPr>
                    </w:pPr>
                  </w:p>
                </w:txbxContent>
              </v:textbox>
              <w10:wrap type="square"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C84" w:rsidRDefault="008E4C84">
    <w:r>
      <w:rPr>
        <w:noProof/>
      </w:rPr>
      <mc:AlternateContent>
        <mc:Choice Requires="wps">
          <w:drawing>
            <wp:anchor distT="0" distB="0" distL="114300" distR="114300" simplePos="0" relativeHeight="251655680" behindDoc="0" locked="1" layoutInCell="1" allowOverlap="1" wp14:anchorId="3FDECF03" wp14:editId="61B88938">
              <wp:simplePos x="0" y="0"/>
              <wp:positionH relativeFrom="page">
                <wp:posOffset>431800</wp:posOffset>
              </wp:positionH>
              <wp:positionV relativeFrom="page">
                <wp:posOffset>431800</wp:posOffset>
              </wp:positionV>
              <wp:extent cx="6696075" cy="899795"/>
              <wp:effectExtent l="0" t="0" r="0" b="0"/>
              <wp:wrapSquare wrapText="bothSides"/>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899795"/>
                      </a:xfrm>
                      <a:prstGeom prst="rect">
                        <a:avLst/>
                      </a:prstGeom>
                      <a:solidFill>
                        <a:srgbClr val="009A4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C84" w:rsidRPr="00910F1B" w:rsidRDefault="008E4C84" w:rsidP="00E04DA0">
                          <w:pPr>
                            <w:pStyle w:val="mainheadingEmerald"/>
                          </w:pPr>
                          <w:r>
                            <w:t>Mediation in construction disputes in England</w:t>
                          </w:r>
                        </w:p>
                      </w:txbxContent>
                    </wps:txbx>
                    <wps:bodyPr rot="0" vert="horz" wrap="square" lIns="180000" tIns="90000" rIns="18000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34pt;margin-top:34pt;width:527.2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" fillcolor="#009a49" stroked="f">
              <v:textbox inset="5mm,2.5mm,5mm,2.5mm">
                <w:txbxContent>
                  <w:p w:rsidR="00E01439" w:rsidRPr="00910F1B" w:rsidRDefault="00E01439" w:rsidP="00E04DA0">
                    <w:pPr>
                      <w:pStyle w:val="mainheadingEmerald"/>
                    </w:pPr>
                    <w:r>
                      <w:t>Mediation in construction disputes in England</w:t>
                    </w:r>
                  </w:p>
                </w:txbxContent>
              </v:textbox>
              <w10:wrap type="square"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F4A"/>
    <w:multiLevelType w:val="hybridMultilevel"/>
    <w:tmpl w:val="7B420C84"/>
    <w:lvl w:ilvl="0" w:tplc="F990BA98">
      <w:start w:val="1"/>
      <w:numFmt w:val="decimal"/>
      <w:pStyle w:val="numberedpointEmerald"/>
      <w:lvlText w:val="%1."/>
      <w:lvlJc w:val="left"/>
      <w:pPr>
        <w:tabs>
          <w:tab w:val="num" w:pos="720"/>
        </w:tabs>
        <w:ind w:left="720" w:hanging="360"/>
      </w:pPr>
      <w:rPr>
        <w:rFonts w:ascii="Arial" w:hAnsi="Arial" w:hint="default"/>
        <w:b w:val="0"/>
        <w:i w:val="0"/>
        <w:color w:val="000000"/>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3E05284"/>
    <w:multiLevelType w:val="hybridMultilevel"/>
    <w:tmpl w:val="957A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39018E"/>
    <w:multiLevelType w:val="hybridMultilevel"/>
    <w:tmpl w:val="B0A89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AD6715"/>
    <w:multiLevelType w:val="multilevel"/>
    <w:tmpl w:val="CC36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475603"/>
    <w:multiLevelType w:val="hybridMultilevel"/>
    <w:tmpl w:val="169E3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924B74"/>
    <w:multiLevelType w:val="hybridMultilevel"/>
    <w:tmpl w:val="BC521392"/>
    <w:lvl w:ilvl="0" w:tplc="241E1F6A">
      <w:start w:val="1"/>
      <w:numFmt w:val="decimal"/>
      <w:lvlText w:val="%1."/>
      <w:lvlJc w:val="left"/>
      <w:pPr>
        <w:tabs>
          <w:tab w:val="num" w:pos="720"/>
        </w:tabs>
        <w:ind w:left="720" w:hanging="360"/>
      </w:pPr>
    </w:lvl>
    <w:lvl w:ilvl="1" w:tplc="B06CCFBE" w:tentative="1">
      <w:start w:val="1"/>
      <w:numFmt w:val="decimal"/>
      <w:lvlText w:val="%2."/>
      <w:lvlJc w:val="left"/>
      <w:pPr>
        <w:tabs>
          <w:tab w:val="num" w:pos="1440"/>
        </w:tabs>
        <w:ind w:left="1440" w:hanging="360"/>
      </w:pPr>
    </w:lvl>
    <w:lvl w:ilvl="2" w:tplc="64DA675A" w:tentative="1">
      <w:start w:val="1"/>
      <w:numFmt w:val="decimal"/>
      <w:lvlText w:val="%3."/>
      <w:lvlJc w:val="left"/>
      <w:pPr>
        <w:tabs>
          <w:tab w:val="num" w:pos="2160"/>
        </w:tabs>
        <w:ind w:left="2160" w:hanging="360"/>
      </w:pPr>
    </w:lvl>
    <w:lvl w:ilvl="3" w:tplc="3D08E51A" w:tentative="1">
      <w:start w:val="1"/>
      <w:numFmt w:val="decimal"/>
      <w:lvlText w:val="%4."/>
      <w:lvlJc w:val="left"/>
      <w:pPr>
        <w:tabs>
          <w:tab w:val="num" w:pos="2880"/>
        </w:tabs>
        <w:ind w:left="2880" w:hanging="360"/>
      </w:pPr>
    </w:lvl>
    <w:lvl w:ilvl="4" w:tplc="9686F9AE" w:tentative="1">
      <w:start w:val="1"/>
      <w:numFmt w:val="decimal"/>
      <w:lvlText w:val="%5."/>
      <w:lvlJc w:val="left"/>
      <w:pPr>
        <w:tabs>
          <w:tab w:val="num" w:pos="3600"/>
        </w:tabs>
        <w:ind w:left="3600" w:hanging="360"/>
      </w:pPr>
    </w:lvl>
    <w:lvl w:ilvl="5" w:tplc="3640B12A" w:tentative="1">
      <w:start w:val="1"/>
      <w:numFmt w:val="decimal"/>
      <w:lvlText w:val="%6."/>
      <w:lvlJc w:val="left"/>
      <w:pPr>
        <w:tabs>
          <w:tab w:val="num" w:pos="4320"/>
        </w:tabs>
        <w:ind w:left="4320" w:hanging="360"/>
      </w:pPr>
    </w:lvl>
    <w:lvl w:ilvl="6" w:tplc="297CDBC6" w:tentative="1">
      <w:start w:val="1"/>
      <w:numFmt w:val="decimal"/>
      <w:lvlText w:val="%7."/>
      <w:lvlJc w:val="left"/>
      <w:pPr>
        <w:tabs>
          <w:tab w:val="num" w:pos="5040"/>
        </w:tabs>
        <w:ind w:left="5040" w:hanging="360"/>
      </w:pPr>
    </w:lvl>
    <w:lvl w:ilvl="7" w:tplc="F70C4E78" w:tentative="1">
      <w:start w:val="1"/>
      <w:numFmt w:val="decimal"/>
      <w:lvlText w:val="%8."/>
      <w:lvlJc w:val="left"/>
      <w:pPr>
        <w:tabs>
          <w:tab w:val="num" w:pos="5760"/>
        </w:tabs>
        <w:ind w:left="5760" w:hanging="360"/>
      </w:pPr>
    </w:lvl>
    <w:lvl w:ilvl="8" w:tplc="AE36FA70" w:tentative="1">
      <w:start w:val="1"/>
      <w:numFmt w:val="decimal"/>
      <w:lvlText w:val="%9."/>
      <w:lvlJc w:val="left"/>
      <w:pPr>
        <w:tabs>
          <w:tab w:val="num" w:pos="6480"/>
        </w:tabs>
        <w:ind w:left="6480" w:hanging="360"/>
      </w:pPr>
    </w:lvl>
  </w:abstractNum>
  <w:abstractNum w:abstractNumId="6">
    <w:nsid w:val="206213E6"/>
    <w:multiLevelType w:val="hybridMultilevel"/>
    <w:tmpl w:val="3C9C9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C37A5A"/>
    <w:multiLevelType w:val="hybridMultilevel"/>
    <w:tmpl w:val="58FAC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4F2638"/>
    <w:multiLevelType w:val="hybridMultilevel"/>
    <w:tmpl w:val="D57463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3135F9E"/>
    <w:multiLevelType w:val="hybridMultilevel"/>
    <w:tmpl w:val="53C66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A7601B"/>
    <w:multiLevelType w:val="hybridMultilevel"/>
    <w:tmpl w:val="6C92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F53563"/>
    <w:multiLevelType w:val="hybridMultilevel"/>
    <w:tmpl w:val="8F8ED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8324552"/>
    <w:multiLevelType w:val="hybridMultilevel"/>
    <w:tmpl w:val="1F06A4CE"/>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0D026E"/>
    <w:multiLevelType w:val="hybridMultilevel"/>
    <w:tmpl w:val="A9861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6A7102"/>
    <w:multiLevelType w:val="hybridMultilevel"/>
    <w:tmpl w:val="6DB89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D33A74"/>
    <w:multiLevelType w:val="hybridMultilevel"/>
    <w:tmpl w:val="4B6022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A1A2AA4"/>
    <w:multiLevelType w:val="singleLevel"/>
    <w:tmpl w:val="ADE6E3E4"/>
    <w:lvl w:ilvl="0">
      <w:start w:val="1"/>
      <w:numFmt w:val="bullet"/>
      <w:pStyle w:val="BulletpointEmerald"/>
      <w:lvlText w:val=""/>
      <w:lvlJc w:val="left"/>
      <w:pPr>
        <w:tabs>
          <w:tab w:val="num" w:pos="360"/>
        </w:tabs>
        <w:ind w:left="360" w:hanging="360"/>
      </w:pPr>
      <w:rPr>
        <w:rFonts w:ascii="Symbol" w:hAnsi="Symbol" w:hint="default"/>
        <w:sz w:val="16"/>
      </w:rPr>
    </w:lvl>
  </w:abstractNum>
  <w:abstractNum w:abstractNumId="17">
    <w:nsid w:val="6C3509BD"/>
    <w:multiLevelType w:val="hybridMultilevel"/>
    <w:tmpl w:val="965A8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240460"/>
    <w:multiLevelType w:val="hybridMultilevel"/>
    <w:tmpl w:val="0CB0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722653"/>
    <w:multiLevelType w:val="hybridMultilevel"/>
    <w:tmpl w:val="D382A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8"/>
  </w:num>
  <w:num w:numId="4">
    <w:abstractNumId w:val="5"/>
  </w:num>
  <w:num w:numId="5">
    <w:abstractNumId w:val="0"/>
  </w:num>
  <w:num w:numId="6">
    <w:abstractNumId w:val="3"/>
  </w:num>
  <w:num w:numId="7">
    <w:abstractNumId w:val="14"/>
  </w:num>
  <w:num w:numId="8">
    <w:abstractNumId w:val="4"/>
  </w:num>
  <w:num w:numId="9">
    <w:abstractNumId w:val="18"/>
  </w:num>
  <w:num w:numId="10">
    <w:abstractNumId w:val="17"/>
  </w:num>
  <w:num w:numId="11">
    <w:abstractNumId w:val="6"/>
  </w:num>
  <w:num w:numId="12">
    <w:abstractNumId w:val="13"/>
  </w:num>
  <w:num w:numId="13">
    <w:abstractNumId w:val="11"/>
  </w:num>
  <w:num w:numId="14">
    <w:abstractNumId w:val="2"/>
  </w:num>
  <w:num w:numId="15">
    <w:abstractNumId w:val="7"/>
  </w:num>
  <w:num w:numId="16">
    <w:abstractNumId w:val="1"/>
  </w:num>
  <w:num w:numId="17">
    <w:abstractNumId w:val="12"/>
  </w:num>
  <w:num w:numId="18">
    <w:abstractNumId w:val="19"/>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145">
      <o:colormru v:ext="edit" colors="#009a49,#009a4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623"/>
    <w:rsid w:val="0000295B"/>
    <w:rsid w:val="00004AA3"/>
    <w:rsid w:val="00012083"/>
    <w:rsid w:val="000145AA"/>
    <w:rsid w:val="000264A6"/>
    <w:rsid w:val="000275FC"/>
    <w:rsid w:val="000310F5"/>
    <w:rsid w:val="00031B33"/>
    <w:rsid w:val="000366B6"/>
    <w:rsid w:val="0004267D"/>
    <w:rsid w:val="00043943"/>
    <w:rsid w:val="000463CA"/>
    <w:rsid w:val="00050DD6"/>
    <w:rsid w:val="000538DB"/>
    <w:rsid w:val="000546CB"/>
    <w:rsid w:val="00054DE1"/>
    <w:rsid w:val="00057CA4"/>
    <w:rsid w:val="000604E4"/>
    <w:rsid w:val="00062431"/>
    <w:rsid w:val="0006411B"/>
    <w:rsid w:val="00065A7E"/>
    <w:rsid w:val="0007051B"/>
    <w:rsid w:val="0007112A"/>
    <w:rsid w:val="00075B35"/>
    <w:rsid w:val="00076C04"/>
    <w:rsid w:val="00082A4B"/>
    <w:rsid w:val="000840BF"/>
    <w:rsid w:val="00085971"/>
    <w:rsid w:val="000924C2"/>
    <w:rsid w:val="00092F86"/>
    <w:rsid w:val="000A0D8A"/>
    <w:rsid w:val="000A2AF9"/>
    <w:rsid w:val="000A4ACC"/>
    <w:rsid w:val="000A6052"/>
    <w:rsid w:val="000A732B"/>
    <w:rsid w:val="000B2C27"/>
    <w:rsid w:val="000B2D1B"/>
    <w:rsid w:val="000B5BD7"/>
    <w:rsid w:val="000C72E4"/>
    <w:rsid w:val="000D20C0"/>
    <w:rsid w:val="000D52E4"/>
    <w:rsid w:val="000E09B1"/>
    <w:rsid w:val="000E59FE"/>
    <w:rsid w:val="00103BCA"/>
    <w:rsid w:val="001045C4"/>
    <w:rsid w:val="00104C7B"/>
    <w:rsid w:val="0010622E"/>
    <w:rsid w:val="00111641"/>
    <w:rsid w:val="0011201F"/>
    <w:rsid w:val="001124ED"/>
    <w:rsid w:val="00113E5A"/>
    <w:rsid w:val="00123F13"/>
    <w:rsid w:val="0012753C"/>
    <w:rsid w:val="00134E65"/>
    <w:rsid w:val="00141435"/>
    <w:rsid w:val="0014292E"/>
    <w:rsid w:val="0014744F"/>
    <w:rsid w:val="0014755E"/>
    <w:rsid w:val="00153C3C"/>
    <w:rsid w:val="00154535"/>
    <w:rsid w:val="00155A03"/>
    <w:rsid w:val="00160E8B"/>
    <w:rsid w:val="00161D03"/>
    <w:rsid w:val="00162F26"/>
    <w:rsid w:val="00163EE3"/>
    <w:rsid w:val="001644B1"/>
    <w:rsid w:val="00170FC6"/>
    <w:rsid w:val="001728D8"/>
    <w:rsid w:val="00172BAC"/>
    <w:rsid w:val="001735C3"/>
    <w:rsid w:val="00180D81"/>
    <w:rsid w:val="00187D33"/>
    <w:rsid w:val="00192925"/>
    <w:rsid w:val="001A1CC3"/>
    <w:rsid w:val="001A33DC"/>
    <w:rsid w:val="001B02D0"/>
    <w:rsid w:val="001B7F84"/>
    <w:rsid w:val="001C5832"/>
    <w:rsid w:val="001D0933"/>
    <w:rsid w:val="001D0C52"/>
    <w:rsid w:val="001D492D"/>
    <w:rsid w:val="001D79AE"/>
    <w:rsid w:val="001E6072"/>
    <w:rsid w:val="001F13CF"/>
    <w:rsid w:val="001F33D0"/>
    <w:rsid w:val="001F45C0"/>
    <w:rsid w:val="002026E2"/>
    <w:rsid w:val="0020458A"/>
    <w:rsid w:val="00204F86"/>
    <w:rsid w:val="00212927"/>
    <w:rsid w:val="00213D83"/>
    <w:rsid w:val="002162D6"/>
    <w:rsid w:val="0022046F"/>
    <w:rsid w:val="00225C6C"/>
    <w:rsid w:val="0022695D"/>
    <w:rsid w:val="00234C12"/>
    <w:rsid w:val="00237351"/>
    <w:rsid w:val="00237CAD"/>
    <w:rsid w:val="00242DFF"/>
    <w:rsid w:val="002442F4"/>
    <w:rsid w:val="00246C86"/>
    <w:rsid w:val="002500B4"/>
    <w:rsid w:val="00253FE0"/>
    <w:rsid w:val="00265168"/>
    <w:rsid w:val="00265322"/>
    <w:rsid w:val="00266548"/>
    <w:rsid w:val="0026656D"/>
    <w:rsid w:val="0026750A"/>
    <w:rsid w:val="00270CB2"/>
    <w:rsid w:val="00271346"/>
    <w:rsid w:val="00271785"/>
    <w:rsid w:val="0027269B"/>
    <w:rsid w:val="00273CBA"/>
    <w:rsid w:val="00274A1B"/>
    <w:rsid w:val="00280FE6"/>
    <w:rsid w:val="002811AD"/>
    <w:rsid w:val="00282269"/>
    <w:rsid w:val="0028274A"/>
    <w:rsid w:val="00286D24"/>
    <w:rsid w:val="00287040"/>
    <w:rsid w:val="00291C7E"/>
    <w:rsid w:val="0029526D"/>
    <w:rsid w:val="002A1318"/>
    <w:rsid w:val="002A224F"/>
    <w:rsid w:val="002A2675"/>
    <w:rsid w:val="002A4558"/>
    <w:rsid w:val="002A4D82"/>
    <w:rsid w:val="002A584A"/>
    <w:rsid w:val="002A590A"/>
    <w:rsid w:val="002A5B5C"/>
    <w:rsid w:val="002A66F3"/>
    <w:rsid w:val="002B5CA6"/>
    <w:rsid w:val="002B6560"/>
    <w:rsid w:val="002C0967"/>
    <w:rsid w:val="002C1321"/>
    <w:rsid w:val="002C4921"/>
    <w:rsid w:val="002C7CEA"/>
    <w:rsid w:val="002D7522"/>
    <w:rsid w:val="002F5313"/>
    <w:rsid w:val="002F5516"/>
    <w:rsid w:val="002F58CD"/>
    <w:rsid w:val="002F63B5"/>
    <w:rsid w:val="002F73F3"/>
    <w:rsid w:val="002F7569"/>
    <w:rsid w:val="003027E2"/>
    <w:rsid w:val="00311BC0"/>
    <w:rsid w:val="00325353"/>
    <w:rsid w:val="00327843"/>
    <w:rsid w:val="003307CF"/>
    <w:rsid w:val="00336453"/>
    <w:rsid w:val="00336CFA"/>
    <w:rsid w:val="003374BB"/>
    <w:rsid w:val="00340824"/>
    <w:rsid w:val="003418FF"/>
    <w:rsid w:val="00345623"/>
    <w:rsid w:val="00346812"/>
    <w:rsid w:val="003474DA"/>
    <w:rsid w:val="00347767"/>
    <w:rsid w:val="003479D2"/>
    <w:rsid w:val="003537C6"/>
    <w:rsid w:val="00356592"/>
    <w:rsid w:val="003702B5"/>
    <w:rsid w:val="00380BF4"/>
    <w:rsid w:val="0038254D"/>
    <w:rsid w:val="00392F56"/>
    <w:rsid w:val="0039309A"/>
    <w:rsid w:val="003955F6"/>
    <w:rsid w:val="003A26CB"/>
    <w:rsid w:val="003A6CB9"/>
    <w:rsid w:val="003C3328"/>
    <w:rsid w:val="003D1029"/>
    <w:rsid w:val="003D2522"/>
    <w:rsid w:val="003E1AB0"/>
    <w:rsid w:val="003E3290"/>
    <w:rsid w:val="003F030E"/>
    <w:rsid w:val="003F6914"/>
    <w:rsid w:val="0040156E"/>
    <w:rsid w:val="00416110"/>
    <w:rsid w:val="00416698"/>
    <w:rsid w:val="00421844"/>
    <w:rsid w:val="00422748"/>
    <w:rsid w:val="00423534"/>
    <w:rsid w:val="00424976"/>
    <w:rsid w:val="00426CB2"/>
    <w:rsid w:val="0043074F"/>
    <w:rsid w:val="00432243"/>
    <w:rsid w:val="004441CB"/>
    <w:rsid w:val="00444399"/>
    <w:rsid w:val="00446598"/>
    <w:rsid w:val="0045075C"/>
    <w:rsid w:val="004513DF"/>
    <w:rsid w:val="004519E0"/>
    <w:rsid w:val="0045358E"/>
    <w:rsid w:val="004543DA"/>
    <w:rsid w:val="00454EBF"/>
    <w:rsid w:val="004571F2"/>
    <w:rsid w:val="00460912"/>
    <w:rsid w:val="00465217"/>
    <w:rsid w:val="004659CC"/>
    <w:rsid w:val="00470D4A"/>
    <w:rsid w:val="004736BF"/>
    <w:rsid w:val="004738BB"/>
    <w:rsid w:val="00474B83"/>
    <w:rsid w:val="0048343C"/>
    <w:rsid w:val="0048464D"/>
    <w:rsid w:val="00487BCA"/>
    <w:rsid w:val="004930F0"/>
    <w:rsid w:val="0049352A"/>
    <w:rsid w:val="00494A04"/>
    <w:rsid w:val="00494C5D"/>
    <w:rsid w:val="00495CF4"/>
    <w:rsid w:val="004A3BDA"/>
    <w:rsid w:val="004A46D6"/>
    <w:rsid w:val="004B2C21"/>
    <w:rsid w:val="004C5EE3"/>
    <w:rsid w:val="004D4959"/>
    <w:rsid w:val="004E79D3"/>
    <w:rsid w:val="004F0A7B"/>
    <w:rsid w:val="004F0DA2"/>
    <w:rsid w:val="004F2255"/>
    <w:rsid w:val="004F356F"/>
    <w:rsid w:val="005004C6"/>
    <w:rsid w:val="00506E95"/>
    <w:rsid w:val="00510607"/>
    <w:rsid w:val="00510758"/>
    <w:rsid w:val="00511E26"/>
    <w:rsid w:val="0051226B"/>
    <w:rsid w:val="005137B1"/>
    <w:rsid w:val="005137B3"/>
    <w:rsid w:val="00520C15"/>
    <w:rsid w:val="005215B7"/>
    <w:rsid w:val="00522EFD"/>
    <w:rsid w:val="005241B2"/>
    <w:rsid w:val="005244DE"/>
    <w:rsid w:val="00524BB6"/>
    <w:rsid w:val="00525B69"/>
    <w:rsid w:val="005366D2"/>
    <w:rsid w:val="00540313"/>
    <w:rsid w:val="00542C11"/>
    <w:rsid w:val="0054344E"/>
    <w:rsid w:val="00543D89"/>
    <w:rsid w:val="005464A8"/>
    <w:rsid w:val="00547A7A"/>
    <w:rsid w:val="00547F97"/>
    <w:rsid w:val="005505F8"/>
    <w:rsid w:val="00550A68"/>
    <w:rsid w:val="00550C0C"/>
    <w:rsid w:val="00553B24"/>
    <w:rsid w:val="00553C76"/>
    <w:rsid w:val="00561728"/>
    <w:rsid w:val="00570FAB"/>
    <w:rsid w:val="0057285D"/>
    <w:rsid w:val="00574277"/>
    <w:rsid w:val="0059089B"/>
    <w:rsid w:val="0059120F"/>
    <w:rsid w:val="00591484"/>
    <w:rsid w:val="00591A88"/>
    <w:rsid w:val="00595812"/>
    <w:rsid w:val="005A1D9A"/>
    <w:rsid w:val="005A2B66"/>
    <w:rsid w:val="005B6F87"/>
    <w:rsid w:val="005C1996"/>
    <w:rsid w:val="005C2691"/>
    <w:rsid w:val="005C3820"/>
    <w:rsid w:val="005D04B3"/>
    <w:rsid w:val="005D2D57"/>
    <w:rsid w:val="005D3851"/>
    <w:rsid w:val="005D736E"/>
    <w:rsid w:val="005E6D40"/>
    <w:rsid w:val="005F1131"/>
    <w:rsid w:val="005F7744"/>
    <w:rsid w:val="006012A1"/>
    <w:rsid w:val="00607158"/>
    <w:rsid w:val="00610510"/>
    <w:rsid w:val="0061135C"/>
    <w:rsid w:val="00612AA7"/>
    <w:rsid w:val="00615952"/>
    <w:rsid w:val="00617654"/>
    <w:rsid w:val="006279B4"/>
    <w:rsid w:val="00630590"/>
    <w:rsid w:val="00632E7F"/>
    <w:rsid w:val="00635A78"/>
    <w:rsid w:val="00637830"/>
    <w:rsid w:val="006470AD"/>
    <w:rsid w:val="0065289B"/>
    <w:rsid w:val="00652DD8"/>
    <w:rsid w:val="006561D5"/>
    <w:rsid w:val="00656EAF"/>
    <w:rsid w:val="00660480"/>
    <w:rsid w:val="00660F6E"/>
    <w:rsid w:val="00672E1A"/>
    <w:rsid w:val="00673A71"/>
    <w:rsid w:val="00682F9C"/>
    <w:rsid w:val="00690AB6"/>
    <w:rsid w:val="00691646"/>
    <w:rsid w:val="006A4C7E"/>
    <w:rsid w:val="006B248E"/>
    <w:rsid w:val="006B6A7D"/>
    <w:rsid w:val="006C291E"/>
    <w:rsid w:val="006C311C"/>
    <w:rsid w:val="006C5FB9"/>
    <w:rsid w:val="006D6EDE"/>
    <w:rsid w:val="006E5B50"/>
    <w:rsid w:val="006F01C8"/>
    <w:rsid w:val="006F58AA"/>
    <w:rsid w:val="0070068F"/>
    <w:rsid w:val="00702B27"/>
    <w:rsid w:val="007068DA"/>
    <w:rsid w:val="00710DB0"/>
    <w:rsid w:val="00713CA7"/>
    <w:rsid w:val="007159C2"/>
    <w:rsid w:val="00716854"/>
    <w:rsid w:val="007200BA"/>
    <w:rsid w:val="007222B2"/>
    <w:rsid w:val="00722CE8"/>
    <w:rsid w:val="00724813"/>
    <w:rsid w:val="00731E4D"/>
    <w:rsid w:val="0073288A"/>
    <w:rsid w:val="0073438F"/>
    <w:rsid w:val="0074512A"/>
    <w:rsid w:val="007506DF"/>
    <w:rsid w:val="00751898"/>
    <w:rsid w:val="00762673"/>
    <w:rsid w:val="00766F8F"/>
    <w:rsid w:val="00771958"/>
    <w:rsid w:val="0078028E"/>
    <w:rsid w:val="00780F19"/>
    <w:rsid w:val="007833D4"/>
    <w:rsid w:val="00784143"/>
    <w:rsid w:val="007850A2"/>
    <w:rsid w:val="007A4D9E"/>
    <w:rsid w:val="007A5546"/>
    <w:rsid w:val="007A7019"/>
    <w:rsid w:val="007B4C96"/>
    <w:rsid w:val="007C01A8"/>
    <w:rsid w:val="007C160B"/>
    <w:rsid w:val="007C31B1"/>
    <w:rsid w:val="007C79E1"/>
    <w:rsid w:val="007E35AB"/>
    <w:rsid w:val="007E5390"/>
    <w:rsid w:val="007F18CD"/>
    <w:rsid w:val="007F307C"/>
    <w:rsid w:val="00803382"/>
    <w:rsid w:val="00804B62"/>
    <w:rsid w:val="00804D72"/>
    <w:rsid w:val="00806AC5"/>
    <w:rsid w:val="00810D61"/>
    <w:rsid w:val="00810EE4"/>
    <w:rsid w:val="00813671"/>
    <w:rsid w:val="00814A27"/>
    <w:rsid w:val="00815037"/>
    <w:rsid w:val="00820832"/>
    <w:rsid w:val="008222EF"/>
    <w:rsid w:val="00824A47"/>
    <w:rsid w:val="00825262"/>
    <w:rsid w:val="00826DEA"/>
    <w:rsid w:val="008305B7"/>
    <w:rsid w:val="008314A6"/>
    <w:rsid w:val="0083185C"/>
    <w:rsid w:val="00833AF6"/>
    <w:rsid w:val="00833B3D"/>
    <w:rsid w:val="0084049A"/>
    <w:rsid w:val="008410E2"/>
    <w:rsid w:val="00843408"/>
    <w:rsid w:val="00846049"/>
    <w:rsid w:val="00850813"/>
    <w:rsid w:val="00866593"/>
    <w:rsid w:val="008673A9"/>
    <w:rsid w:val="00880083"/>
    <w:rsid w:val="0088172A"/>
    <w:rsid w:val="00886109"/>
    <w:rsid w:val="00887DD7"/>
    <w:rsid w:val="0089129E"/>
    <w:rsid w:val="00891CE5"/>
    <w:rsid w:val="00895723"/>
    <w:rsid w:val="00896899"/>
    <w:rsid w:val="008A750E"/>
    <w:rsid w:val="008B2024"/>
    <w:rsid w:val="008B256A"/>
    <w:rsid w:val="008C02B5"/>
    <w:rsid w:val="008C7411"/>
    <w:rsid w:val="008C7B07"/>
    <w:rsid w:val="008E32AB"/>
    <w:rsid w:val="008E3BB1"/>
    <w:rsid w:val="008E4C84"/>
    <w:rsid w:val="008E6070"/>
    <w:rsid w:val="008E7117"/>
    <w:rsid w:val="0090015F"/>
    <w:rsid w:val="00901A1E"/>
    <w:rsid w:val="009024C7"/>
    <w:rsid w:val="00902AFA"/>
    <w:rsid w:val="00910F1B"/>
    <w:rsid w:val="009152D5"/>
    <w:rsid w:val="00915355"/>
    <w:rsid w:val="00915666"/>
    <w:rsid w:val="009158EA"/>
    <w:rsid w:val="009177AD"/>
    <w:rsid w:val="0093602C"/>
    <w:rsid w:val="0094153A"/>
    <w:rsid w:val="00941E23"/>
    <w:rsid w:val="00942412"/>
    <w:rsid w:val="00947D30"/>
    <w:rsid w:val="0095547D"/>
    <w:rsid w:val="00956149"/>
    <w:rsid w:val="00963524"/>
    <w:rsid w:val="00965F7D"/>
    <w:rsid w:val="009672A5"/>
    <w:rsid w:val="009704D7"/>
    <w:rsid w:val="00976459"/>
    <w:rsid w:val="00983CDC"/>
    <w:rsid w:val="00983DC3"/>
    <w:rsid w:val="00987114"/>
    <w:rsid w:val="0099275E"/>
    <w:rsid w:val="00992C78"/>
    <w:rsid w:val="0099646D"/>
    <w:rsid w:val="009A23E7"/>
    <w:rsid w:val="009A2543"/>
    <w:rsid w:val="009B2640"/>
    <w:rsid w:val="009B3E2C"/>
    <w:rsid w:val="009B45C7"/>
    <w:rsid w:val="009B788D"/>
    <w:rsid w:val="009C12CA"/>
    <w:rsid w:val="009C7FC6"/>
    <w:rsid w:val="009D483C"/>
    <w:rsid w:val="009D5EB3"/>
    <w:rsid w:val="009E06EF"/>
    <w:rsid w:val="009E732E"/>
    <w:rsid w:val="009E7868"/>
    <w:rsid w:val="009F23EB"/>
    <w:rsid w:val="009F5102"/>
    <w:rsid w:val="009F73C3"/>
    <w:rsid w:val="00A0527D"/>
    <w:rsid w:val="00A0632D"/>
    <w:rsid w:val="00A10E2B"/>
    <w:rsid w:val="00A12056"/>
    <w:rsid w:val="00A13DF1"/>
    <w:rsid w:val="00A14A5E"/>
    <w:rsid w:val="00A17E5D"/>
    <w:rsid w:val="00A200EE"/>
    <w:rsid w:val="00A21119"/>
    <w:rsid w:val="00A22BD9"/>
    <w:rsid w:val="00A30131"/>
    <w:rsid w:val="00A30770"/>
    <w:rsid w:val="00A31C93"/>
    <w:rsid w:val="00A40B1E"/>
    <w:rsid w:val="00A4379A"/>
    <w:rsid w:val="00A44CA8"/>
    <w:rsid w:val="00A44F4D"/>
    <w:rsid w:val="00A4586E"/>
    <w:rsid w:val="00A52162"/>
    <w:rsid w:val="00A53011"/>
    <w:rsid w:val="00A566F2"/>
    <w:rsid w:val="00A573A8"/>
    <w:rsid w:val="00A57459"/>
    <w:rsid w:val="00A657BA"/>
    <w:rsid w:val="00A71285"/>
    <w:rsid w:val="00A7563F"/>
    <w:rsid w:val="00A75A75"/>
    <w:rsid w:val="00A81DC0"/>
    <w:rsid w:val="00A95238"/>
    <w:rsid w:val="00AA53E4"/>
    <w:rsid w:val="00AC0530"/>
    <w:rsid w:val="00AC27B5"/>
    <w:rsid w:val="00AC2838"/>
    <w:rsid w:val="00AC7533"/>
    <w:rsid w:val="00AD7269"/>
    <w:rsid w:val="00AE01CD"/>
    <w:rsid w:val="00AE0FCF"/>
    <w:rsid w:val="00AE232B"/>
    <w:rsid w:val="00AE2F53"/>
    <w:rsid w:val="00AE7DF3"/>
    <w:rsid w:val="00AF3882"/>
    <w:rsid w:val="00AF405C"/>
    <w:rsid w:val="00AF52C9"/>
    <w:rsid w:val="00B102BB"/>
    <w:rsid w:val="00B135A3"/>
    <w:rsid w:val="00B155FC"/>
    <w:rsid w:val="00B16F6D"/>
    <w:rsid w:val="00B1721B"/>
    <w:rsid w:val="00B225EF"/>
    <w:rsid w:val="00B245E8"/>
    <w:rsid w:val="00B33CA8"/>
    <w:rsid w:val="00B35C2A"/>
    <w:rsid w:val="00B360B3"/>
    <w:rsid w:val="00B4162F"/>
    <w:rsid w:val="00B4712F"/>
    <w:rsid w:val="00B62510"/>
    <w:rsid w:val="00B648A2"/>
    <w:rsid w:val="00B673E4"/>
    <w:rsid w:val="00B70129"/>
    <w:rsid w:val="00B708DA"/>
    <w:rsid w:val="00B71A0F"/>
    <w:rsid w:val="00B74675"/>
    <w:rsid w:val="00B80633"/>
    <w:rsid w:val="00B87E9C"/>
    <w:rsid w:val="00BA0B49"/>
    <w:rsid w:val="00BA14FA"/>
    <w:rsid w:val="00BA1E65"/>
    <w:rsid w:val="00BB2937"/>
    <w:rsid w:val="00BB42E3"/>
    <w:rsid w:val="00BB467F"/>
    <w:rsid w:val="00BB4A0D"/>
    <w:rsid w:val="00BC3061"/>
    <w:rsid w:val="00BC46C1"/>
    <w:rsid w:val="00BC6A73"/>
    <w:rsid w:val="00BE3AFD"/>
    <w:rsid w:val="00BE630C"/>
    <w:rsid w:val="00BF0CDC"/>
    <w:rsid w:val="00BF14B9"/>
    <w:rsid w:val="00BF20B0"/>
    <w:rsid w:val="00BF5898"/>
    <w:rsid w:val="00C02C6C"/>
    <w:rsid w:val="00C03952"/>
    <w:rsid w:val="00C1271E"/>
    <w:rsid w:val="00C1504D"/>
    <w:rsid w:val="00C16642"/>
    <w:rsid w:val="00C26FAF"/>
    <w:rsid w:val="00C27CA8"/>
    <w:rsid w:val="00C30098"/>
    <w:rsid w:val="00C32217"/>
    <w:rsid w:val="00C37C4D"/>
    <w:rsid w:val="00C4307C"/>
    <w:rsid w:val="00C4537D"/>
    <w:rsid w:val="00C4598F"/>
    <w:rsid w:val="00C46BC4"/>
    <w:rsid w:val="00C56073"/>
    <w:rsid w:val="00C5619F"/>
    <w:rsid w:val="00C57A2D"/>
    <w:rsid w:val="00C62340"/>
    <w:rsid w:val="00C645B6"/>
    <w:rsid w:val="00C655F0"/>
    <w:rsid w:val="00C6618C"/>
    <w:rsid w:val="00C933FE"/>
    <w:rsid w:val="00C93DBF"/>
    <w:rsid w:val="00CA0B84"/>
    <w:rsid w:val="00CA2B01"/>
    <w:rsid w:val="00CA5392"/>
    <w:rsid w:val="00CA7167"/>
    <w:rsid w:val="00CA798C"/>
    <w:rsid w:val="00CB0403"/>
    <w:rsid w:val="00CB0F3B"/>
    <w:rsid w:val="00CB2AC2"/>
    <w:rsid w:val="00CB3A5A"/>
    <w:rsid w:val="00CB517D"/>
    <w:rsid w:val="00CC774C"/>
    <w:rsid w:val="00CD2E48"/>
    <w:rsid w:val="00CD468A"/>
    <w:rsid w:val="00CE3EA2"/>
    <w:rsid w:val="00CE6184"/>
    <w:rsid w:val="00CE6E46"/>
    <w:rsid w:val="00CE7ACF"/>
    <w:rsid w:val="00CE7F73"/>
    <w:rsid w:val="00CF31B8"/>
    <w:rsid w:val="00CF7207"/>
    <w:rsid w:val="00D05100"/>
    <w:rsid w:val="00D122DF"/>
    <w:rsid w:val="00D13070"/>
    <w:rsid w:val="00D16569"/>
    <w:rsid w:val="00D16D9B"/>
    <w:rsid w:val="00D21BA1"/>
    <w:rsid w:val="00D2365B"/>
    <w:rsid w:val="00D23DE9"/>
    <w:rsid w:val="00D27C07"/>
    <w:rsid w:val="00D3055D"/>
    <w:rsid w:val="00D305BF"/>
    <w:rsid w:val="00D3090E"/>
    <w:rsid w:val="00D3221B"/>
    <w:rsid w:val="00D32D2F"/>
    <w:rsid w:val="00D32DBF"/>
    <w:rsid w:val="00D32FA2"/>
    <w:rsid w:val="00D36BFD"/>
    <w:rsid w:val="00D37270"/>
    <w:rsid w:val="00D403A0"/>
    <w:rsid w:val="00D40698"/>
    <w:rsid w:val="00D42BC3"/>
    <w:rsid w:val="00D42ECC"/>
    <w:rsid w:val="00D45B8A"/>
    <w:rsid w:val="00D45EE8"/>
    <w:rsid w:val="00D5139B"/>
    <w:rsid w:val="00D5170B"/>
    <w:rsid w:val="00D60A2F"/>
    <w:rsid w:val="00D727EB"/>
    <w:rsid w:val="00D742CD"/>
    <w:rsid w:val="00D815EA"/>
    <w:rsid w:val="00D861D2"/>
    <w:rsid w:val="00D908B8"/>
    <w:rsid w:val="00D920F9"/>
    <w:rsid w:val="00D940D2"/>
    <w:rsid w:val="00D964DA"/>
    <w:rsid w:val="00D9700E"/>
    <w:rsid w:val="00DA1483"/>
    <w:rsid w:val="00DA2999"/>
    <w:rsid w:val="00DA4617"/>
    <w:rsid w:val="00DA47C2"/>
    <w:rsid w:val="00DA505C"/>
    <w:rsid w:val="00DA644F"/>
    <w:rsid w:val="00DA6740"/>
    <w:rsid w:val="00DB12A0"/>
    <w:rsid w:val="00DB2119"/>
    <w:rsid w:val="00DB4E31"/>
    <w:rsid w:val="00DB5D6B"/>
    <w:rsid w:val="00DB79D1"/>
    <w:rsid w:val="00DC1FD4"/>
    <w:rsid w:val="00DC4E4D"/>
    <w:rsid w:val="00DE35C5"/>
    <w:rsid w:val="00DE420B"/>
    <w:rsid w:val="00DE4FBB"/>
    <w:rsid w:val="00DF725C"/>
    <w:rsid w:val="00E01439"/>
    <w:rsid w:val="00E04DA0"/>
    <w:rsid w:val="00E05843"/>
    <w:rsid w:val="00E125D9"/>
    <w:rsid w:val="00E12DEE"/>
    <w:rsid w:val="00E1457A"/>
    <w:rsid w:val="00E16D1B"/>
    <w:rsid w:val="00E17D74"/>
    <w:rsid w:val="00E20CED"/>
    <w:rsid w:val="00E24492"/>
    <w:rsid w:val="00E24DD3"/>
    <w:rsid w:val="00E26052"/>
    <w:rsid w:val="00E26ACF"/>
    <w:rsid w:val="00E30564"/>
    <w:rsid w:val="00E32632"/>
    <w:rsid w:val="00E3555A"/>
    <w:rsid w:val="00E3658A"/>
    <w:rsid w:val="00E44770"/>
    <w:rsid w:val="00E4629D"/>
    <w:rsid w:val="00E46735"/>
    <w:rsid w:val="00E47C26"/>
    <w:rsid w:val="00E52FDC"/>
    <w:rsid w:val="00E637DA"/>
    <w:rsid w:val="00E67838"/>
    <w:rsid w:val="00E702C7"/>
    <w:rsid w:val="00E713FB"/>
    <w:rsid w:val="00E71DCC"/>
    <w:rsid w:val="00E74530"/>
    <w:rsid w:val="00E76F11"/>
    <w:rsid w:val="00E8362B"/>
    <w:rsid w:val="00E84AB0"/>
    <w:rsid w:val="00E924BD"/>
    <w:rsid w:val="00E92EA7"/>
    <w:rsid w:val="00E978D0"/>
    <w:rsid w:val="00EA0E39"/>
    <w:rsid w:val="00EA13B8"/>
    <w:rsid w:val="00EA7FBA"/>
    <w:rsid w:val="00EB1631"/>
    <w:rsid w:val="00EB335B"/>
    <w:rsid w:val="00EB3BF0"/>
    <w:rsid w:val="00EB400C"/>
    <w:rsid w:val="00EC255E"/>
    <w:rsid w:val="00EC3CDD"/>
    <w:rsid w:val="00EC5978"/>
    <w:rsid w:val="00ED128C"/>
    <w:rsid w:val="00ED4D16"/>
    <w:rsid w:val="00ED590C"/>
    <w:rsid w:val="00EE011C"/>
    <w:rsid w:val="00EE4A16"/>
    <w:rsid w:val="00EE71D6"/>
    <w:rsid w:val="00EF1F2F"/>
    <w:rsid w:val="00EF6BAB"/>
    <w:rsid w:val="00EF710D"/>
    <w:rsid w:val="00F022A3"/>
    <w:rsid w:val="00F16540"/>
    <w:rsid w:val="00F200D4"/>
    <w:rsid w:val="00F26234"/>
    <w:rsid w:val="00F33CAB"/>
    <w:rsid w:val="00F33F38"/>
    <w:rsid w:val="00F350EF"/>
    <w:rsid w:val="00F43801"/>
    <w:rsid w:val="00F45BDA"/>
    <w:rsid w:val="00F506F9"/>
    <w:rsid w:val="00F53A05"/>
    <w:rsid w:val="00F57C29"/>
    <w:rsid w:val="00F61BE7"/>
    <w:rsid w:val="00F62049"/>
    <w:rsid w:val="00F64670"/>
    <w:rsid w:val="00F70F0E"/>
    <w:rsid w:val="00F754C0"/>
    <w:rsid w:val="00F8226F"/>
    <w:rsid w:val="00F86FF5"/>
    <w:rsid w:val="00F9130E"/>
    <w:rsid w:val="00F9491A"/>
    <w:rsid w:val="00F95720"/>
    <w:rsid w:val="00F974BB"/>
    <w:rsid w:val="00FA1833"/>
    <w:rsid w:val="00FA73B0"/>
    <w:rsid w:val="00FB1EDC"/>
    <w:rsid w:val="00FB21FA"/>
    <w:rsid w:val="00FB3E51"/>
    <w:rsid w:val="00FC559E"/>
    <w:rsid w:val="00FC77CE"/>
    <w:rsid w:val="00FD2B99"/>
    <w:rsid w:val="00FE22D4"/>
    <w:rsid w:val="00FE3936"/>
    <w:rsid w:val="00FE621F"/>
    <w:rsid w:val="00FF6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9a49,#009a4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DE9"/>
    <w:pPr>
      <w:spacing w:line="360" w:lineRule="auto"/>
    </w:pPr>
    <w:rPr>
      <w:rFonts w:ascii="Arial" w:hAnsi="Arial"/>
      <w:sz w:val="22"/>
      <w:szCs w:val="24"/>
    </w:rPr>
  </w:style>
  <w:style w:type="paragraph" w:styleId="Heading1">
    <w:name w:val="heading 1"/>
    <w:aliases w:val="- Emerald"/>
    <w:next w:val="BodycopyEmerald"/>
    <w:qFormat/>
    <w:rsid w:val="00910F1B"/>
    <w:pPr>
      <w:keepNext/>
      <w:outlineLvl w:val="0"/>
    </w:pPr>
    <w:rPr>
      <w:rFonts w:ascii="Arial" w:hAnsi="Arial"/>
      <w:color w:val="FFFFFF"/>
      <w:kern w:val="28"/>
      <w:sz w:val="50"/>
      <w:lang w:val="en-US"/>
    </w:rPr>
  </w:style>
  <w:style w:type="paragraph" w:styleId="Heading2">
    <w:name w:val="heading 2"/>
    <w:basedOn w:val="Normal"/>
    <w:next w:val="Normal"/>
    <w:qFormat/>
    <w:pPr>
      <w:keepNext/>
      <w:outlineLvl w:val="1"/>
    </w:pPr>
    <w:rPr>
      <w:color w:val="C0C0C0"/>
      <w:sz w:val="36"/>
    </w:rPr>
  </w:style>
  <w:style w:type="paragraph" w:styleId="Heading3">
    <w:name w:val="heading 3"/>
    <w:basedOn w:val="Normal"/>
    <w:next w:val="Normal"/>
    <w:qFormat/>
    <w:pPr>
      <w:keepNext/>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Emerald">
    <w:name w:val="Body copy – Emerald"/>
    <w:rsid w:val="0040156E"/>
    <w:pPr>
      <w:keepLines/>
      <w:spacing w:before="100"/>
    </w:pPr>
    <w:rPr>
      <w:rFonts w:ascii="Arial" w:hAnsi="Arial"/>
      <w:color w:val="000000"/>
      <w:sz w:val="18"/>
      <w:lang w:val="en-US"/>
    </w:rPr>
  </w:style>
  <w:style w:type="paragraph" w:customStyle="1" w:styleId="numberedpointEmerald">
    <w:name w:val="numbered point – Emerald"/>
    <w:rsid w:val="00C5619F"/>
    <w:pPr>
      <w:numPr>
        <w:numId w:val="5"/>
      </w:numPr>
      <w:tabs>
        <w:tab w:val="num" w:pos="227"/>
      </w:tabs>
      <w:spacing w:before="100"/>
      <w:ind w:left="227" w:hanging="227"/>
    </w:pPr>
    <w:rPr>
      <w:rFonts w:ascii="Arial" w:hAnsi="Arial"/>
      <w:color w:val="000000"/>
      <w:sz w:val="18"/>
    </w:rPr>
  </w:style>
  <w:style w:type="paragraph" w:styleId="Header">
    <w:name w:val="header"/>
    <w:basedOn w:val="Normal"/>
    <w:rsid w:val="00DA4617"/>
    <w:pPr>
      <w:tabs>
        <w:tab w:val="center" w:pos="4153"/>
        <w:tab w:val="right" w:pos="8306"/>
      </w:tabs>
    </w:pPr>
  </w:style>
  <w:style w:type="paragraph" w:styleId="Footer">
    <w:name w:val="footer"/>
    <w:basedOn w:val="Normal"/>
    <w:rsid w:val="00DA4617"/>
    <w:pPr>
      <w:tabs>
        <w:tab w:val="center" w:pos="4153"/>
        <w:tab w:val="right" w:pos="8306"/>
      </w:tabs>
    </w:pPr>
  </w:style>
  <w:style w:type="paragraph" w:customStyle="1" w:styleId="BooktitleheadingEmerald">
    <w:name w:val="Book title heading – Emerald"/>
    <w:next w:val="BodycopyEmerald"/>
    <w:semiHidden/>
    <w:pPr>
      <w:keepNext/>
      <w:spacing w:before="60"/>
    </w:pPr>
    <w:rPr>
      <w:rFonts w:ascii="Arial" w:hAnsi="Arial"/>
      <w:color w:val="000000"/>
      <w:sz w:val="25"/>
    </w:rPr>
  </w:style>
  <w:style w:type="paragraph" w:customStyle="1" w:styleId="BulletpointEmerald">
    <w:name w:val="Bullet point – Emerald"/>
    <w:basedOn w:val="BodycopyEmerald"/>
    <w:pPr>
      <w:numPr>
        <w:numId w:val="1"/>
      </w:numPr>
      <w:tabs>
        <w:tab w:val="num" w:pos="227"/>
      </w:tabs>
      <w:ind w:left="227" w:hanging="227"/>
    </w:pPr>
    <w:rPr>
      <w:lang w:val="en-GB"/>
    </w:rPr>
  </w:style>
  <w:style w:type="character" w:customStyle="1" w:styleId="BodycopyboldEmerald">
    <w:name w:val="Body copy bold – Emerald"/>
    <w:rsid w:val="00C5619F"/>
    <w:rPr>
      <w:rFonts w:ascii="Arial" w:hAnsi="Arial"/>
      <w:b/>
      <w:sz w:val="18"/>
    </w:rPr>
  </w:style>
  <w:style w:type="paragraph" w:customStyle="1" w:styleId="subheadingEmerald">
    <w:name w:val="subheading – Emerald"/>
    <w:rsid w:val="00E04DA0"/>
    <w:pPr>
      <w:spacing w:before="240"/>
    </w:pPr>
    <w:rPr>
      <w:rFonts w:ascii="Arial" w:hAnsi="Arial"/>
      <w:b/>
      <w:noProof/>
      <w:color w:val="009A49"/>
    </w:rPr>
  </w:style>
  <w:style w:type="character" w:customStyle="1" w:styleId="URLe-mailEmerald">
    <w:name w:val="URL/e-mail – Emerald"/>
    <w:rsid w:val="00B80633"/>
    <w:rPr>
      <w:rFonts w:ascii="Arial" w:hAnsi="Arial"/>
      <w:b/>
      <w:sz w:val="18"/>
    </w:rPr>
  </w:style>
  <w:style w:type="paragraph" w:customStyle="1" w:styleId="HeaderfootercontinuationEmerald">
    <w:name w:val="Header/footer continuation – Emerald"/>
    <w:rsid w:val="00B80633"/>
    <w:rPr>
      <w:rFonts w:ascii="Arial" w:hAnsi="Arial"/>
      <w:b/>
      <w:color w:val="FFFFFF"/>
      <w:sz w:val="18"/>
      <w:lang w:val="en-US"/>
    </w:rPr>
  </w:style>
  <w:style w:type="paragraph" w:customStyle="1" w:styleId="mainheadingEmerald">
    <w:name w:val="main heading – Emerald"/>
    <w:rsid w:val="00470D4A"/>
    <w:rPr>
      <w:rFonts w:ascii="Arial" w:hAnsi="Arial"/>
      <w:noProof/>
      <w:color w:val="FFFFFF"/>
      <w:sz w:val="44"/>
    </w:rPr>
  </w:style>
  <w:style w:type="character" w:styleId="Hyperlink">
    <w:name w:val="Hyperlink"/>
    <w:rsid w:val="003A6CB9"/>
    <w:rPr>
      <w:color w:val="0000FF"/>
      <w:u w:val="single"/>
    </w:rPr>
  </w:style>
  <w:style w:type="character" w:styleId="PageNumber">
    <w:name w:val="page number"/>
    <w:basedOn w:val="DefaultParagraphFont"/>
    <w:semiHidden/>
    <w:rsid w:val="00004AA3"/>
  </w:style>
  <w:style w:type="character" w:customStyle="1" w:styleId="im">
    <w:name w:val="im"/>
    <w:rsid w:val="009C12CA"/>
  </w:style>
  <w:style w:type="character" w:customStyle="1" w:styleId="gi">
    <w:name w:val="gi"/>
    <w:rsid w:val="009C12CA"/>
  </w:style>
  <w:style w:type="character" w:styleId="CommentReference">
    <w:name w:val="annotation reference"/>
    <w:rsid w:val="00416110"/>
    <w:rPr>
      <w:sz w:val="16"/>
      <w:szCs w:val="16"/>
    </w:rPr>
  </w:style>
  <w:style w:type="paragraph" w:styleId="CommentText">
    <w:name w:val="annotation text"/>
    <w:basedOn w:val="Normal"/>
    <w:link w:val="CommentTextChar"/>
    <w:rsid w:val="00416110"/>
    <w:rPr>
      <w:sz w:val="20"/>
      <w:szCs w:val="20"/>
    </w:rPr>
  </w:style>
  <w:style w:type="character" w:customStyle="1" w:styleId="CommentTextChar">
    <w:name w:val="Comment Text Char"/>
    <w:basedOn w:val="DefaultParagraphFont"/>
    <w:link w:val="CommentText"/>
    <w:rsid w:val="00416110"/>
  </w:style>
  <w:style w:type="paragraph" w:styleId="BalloonText">
    <w:name w:val="Balloon Text"/>
    <w:basedOn w:val="Normal"/>
    <w:link w:val="BalloonTextChar"/>
    <w:rsid w:val="00416110"/>
    <w:rPr>
      <w:rFonts w:ascii="Tahoma" w:hAnsi="Tahoma" w:cs="Tahoma"/>
      <w:sz w:val="16"/>
      <w:szCs w:val="16"/>
    </w:rPr>
  </w:style>
  <w:style w:type="character" w:customStyle="1" w:styleId="BalloonTextChar">
    <w:name w:val="Balloon Text Char"/>
    <w:link w:val="BalloonText"/>
    <w:rsid w:val="00416110"/>
    <w:rPr>
      <w:rFonts w:ascii="Tahoma" w:hAnsi="Tahoma" w:cs="Tahoma"/>
      <w:sz w:val="16"/>
      <w:szCs w:val="16"/>
    </w:rPr>
  </w:style>
  <w:style w:type="table" w:styleId="TableGrid">
    <w:name w:val="Table Grid"/>
    <w:basedOn w:val="TableNormal"/>
    <w:rsid w:val="00E3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0622E"/>
    <w:rPr>
      <w:rFonts w:eastAsia="SimSun"/>
      <w:sz w:val="20"/>
      <w:szCs w:val="20"/>
      <w:lang w:eastAsia="zh-CN"/>
    </w:rPr>
  </w:style>
  <w:style w:type="character" w:customStyle="1" w:styleId="FootnoteTextChar">
    <w:name w:val="Footnote Text Char"/>
    <w:link w:val="FootnoteText"/>
    <w:rsid w:val="0010622E"/>
    <w:rPr>
      <w:rFonts w:ascii="Arial" w:eastAsia="SimSun" w:hAnsi="Arial"/>
      <w:lang w:eastAsia="zh-CN"/>
    </w:rPr>
  </w:style>
  <w:style w:type="character" w:styleId="FootnoteReference">
    <w:name w:val="footnote reference"/>
    <w:rsid w:val="0010622E"/>
    <w:rPr>
      <w:vertAlign w:val="superscript"/>
    </w:rPr>
  </w:style>
  <w:style w:type="paragraph" w:styleId="CommentSubject">
    <w:name w:val="annotation subject"/>
    <w:basedOn w:val="CommentText"/>
    <w:next w:val="CommentText"/>
    <w:link w:val="CommentSubjectChar"/>
    <w:rsid w:val="0094153A"/>
    <w:rPr>
      <w:b/>
      <w:bCs/>
    </w:rPr>
  </w:style>
  <w:style w:type="character" w:customStyle="1" w:styleId="CommentSubjectChar">
    <w:name w:val="Comment Subject Char"/>
    <w:link w:val="CommentSubject"/>
    <w:rsid w:val="0094153A"/>
    <w:rPr>
      <w:b/>
      <w:bCs/>
    </w:rPr>
  </w:style>
  <w:style w:type="paragraph" w:styleId="Caption">
    <w:name w:val="caption"/>
    <w:basedOn w:val="Normal"/>
    <w:next w:val="Normal"/>
    <w:unhideWhenUsed/>
    <w:qFormat/>
    <w:rsid w:val="00BA14FA"/>
    <w:rPr>
      <w:b/>
      <w:bCs/>
      <w:sz w:val="20"/>
      <w:szCs w:val="20"/>
    </w:rPr>
  </w:style>
  <w:style w:type="paragraph" w:styleId="ListParagraph">
    <w:name w:val="List Paragraph"/>
    <w:basedOn w:val="Normal"/>
    <w:uiPriority w:val="34"/>
    <w:qFormat/>
    <w:rsid w:val="008C02B5"/>
    <w:pPr>
      <w:ind w:left="720"/>
      <w:contextualSpacing/>
    </w:pPr>
  </w:style>
  <w:style w:type="character" w:customStyle="1" w:styleId="cit-authcit-auth-type-author">
    <w:name w:val="cit-auth cit-auth-type-author"/>
    <w:basedOn w:val="DefaultParagraphFont"/>
    <w:rsid w:val="00F165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DE9"/>
    <w:pPr>
      <w:spacing w:line="360" w:lineRule="auto"/>
    </w:pPr>
    <w:rPr>
      <w:rFonts w:ascii="Arial" w:hAnsi="Arial"/>
      <w:sz w:val="22"/>
      <w:szCs w:val="24"/>
    </w:rPr>
  </w:style>
  <w:style w:type="paragraph" w:styleId="Heading1">
    <w:name w:val="heading 1"/>
    <w:aliases w:val="- Emerald"/>
    <w:next w:val="BodycopyEmerald"/>
    <w:qFormat/>
    <w:rsid w:val="00910F1B"/>
    <w:pPr>
      <w:keepNext/>
      <w:outlineLvl w:val="0"/>
    </w:pPr>
    <w:rPr>
      <w:rFonts w:ascii="Arial" w:hAnsi="Arial"/>
      <w:color w:val="FFFFFF"/>
      <w:kern w:val="28"/>
      <w:sz w:val="50"/>
      <w:lang w:val="en-US"/>
    </w:rPr>
  </w:style>
  <w:style w:type="paragraph" w:styleId="Heading2">
    <w:name w:val="heading 2"/>
    <w:basedOn w:val="Normal"/>
    <w:next w:val="Normal"/>
    <w:qFormat/>
    <w:pPr>
      <w:keepNext/>
      <w:outlineLvl w:val="1"/>
    </w:pPr>
    <w:rPr>
      <w:color w:val="C0C0C0"/>
      <w:sz w:val="36"/>
    </w:rPr>
  </w:style>
  <w:style w:type="paragraph" w:styleId="Heading3">
    <w:name w:val="heading 3"/>
    <w:basedOn w:val="Normal"/>
    <w:next w:val="Normal"/>
    <w:qFormat/>
    <w:pPr>
      <w:keepNext/>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Emerald">
    <w:name w:val="Body copy – Emerald"/>
    <w:rsid w:val="0040156E"/>
    <w:pPr>
      <w:keepLines/>
      <w:spacing w:before="100"/>
    </w:pPr>
    <w:rPr>
      <w:rFonts w:ascii="Arial" w:hAnsi="Arial"/>
      <w:color w:val="000000"/>
      <w:sz w:val="18"/>
      <w:lang w:val="en-US"/>
    </w:rPr>
  </w:style>
  <w:style w:type="paragraph" w:customStyle="1" w:styleId="numberedpointEmerald">
    <w:name w:val="numbered point – Emerald"/>
    <w:rsid w:val="00C5619F"/>
    <w:pPr>
      <w:numPr>
        <w:numId w:val="5"/>
      </w:numPr>
      <w:tabs>
        <w:tab w:val="num" w:pos="227"/>
      </w:tabs>
      <w:spacing w:before="100"/>
      <w:ind w:left="227" w:hanging="227"/>
    </w:pPr>
    <w:rPr>
      <w:rFonts w:ascii="Arial" w:hAnsi="Arial"/>
      <w:color w:val="000000"/>
      <w:sz w:val="18"/>
    </w:rPr>
  </w:style>
  <w:style w:type="paragraph" w:styleId="Header">
    <w:name w:val="header"/>
    <w:basedOn w:val="Normal"/>
    <w:rsid w:val="00DA4617"/>
    <w:pPr>
      <w:tabs>
        <w:tab w:val="center" w:pos="4153"/>
        <w:tab w:val="right" w:pos="8306"/>
      </w:tabs>
    </w:pPr>
  </w:style>
  <w:style w:type="paragraph" w:styleId="Footer">
    <w:name w:val="footer"/>
    <w:basedOn w:val="Normal"/>
    <w:rsid w:val="00DA4617"/>
    <w:pPr>
      <w:tabs>
        <w:tab w:val="center" w:pos="4153"/>
        <w:tab w:val="right" w:pos="8306"/>
      </w:tabs>
    </w:pPr>
  </w:style>
  <w:style w:type="paragraph" w:customStyle="1" w:styleId="BooktitleheadingEmerald">
    <w:name w:val="Book title heading – Emerald"/>
    <w:next w:val="BodycopyEmerald"/>
    <w:semiHidden/>
    <w:pPr>
      <w:keepNext/>
      <w:spacing w:before="60"/>
    </w:pPr>
    <w:rPr>
      <w:rFonts w:ascii="Arial" w:hAnsi="Arial"/>
      <w:color w:val="000000"/>
      <w:sz w:val="25"/>
    </w:rPr>
  </w:style>
  <w:style w:type="paragraph" w:customStyle="1" w:styleId="BulletpointEmerald">
    <w:name w:val="Bullet point – Emerald"/>
    <w:basedOn w:val="BodycopyEmerald"/>
    <w:pPr>
      <w:numPr>
        <w:numId w:val="1"/>
      </w:numPr>
      <w:tabs>
        <w:tab w:val="num" w:pos="227"/>
      </w:tabs>
      <w:ind w:left="227" w:hanging="227"/>
    </w:pPr>
    <w:rPr>
      <w:lang w:val="en-GB"/>
    </w:rPr>
  </w:style>
  <w:style w:type="character" w:customStyle="1" w:styleId="BodycopyboldEmerald">
    <w:name w:val="Body copy bold – Emerald"/>
    <w:rsid w:val="00C5619F"/>
    <w:rPr>
      <w:rFonts w:ascii="Arial" w:hAnsi="Arial"/>
      <w:b/>
      <w:sz w:val="18"/>
    </w:rPr>
  </w:style>
  <w:style w:type="paragraph" w:customStyle="1" w:styleId="subheadingEmerald">
    <w:name w:val="subheading – Emerald"/>
    <w:rsid w:val="00E04DA0"/>
    <w:pPr>
      <w:spacing w:before="240"/>
    </w:pPr>
    <w:rPr>
      <w:rFonts w:ascii="Arial" w:hAnsi="Arial"/>
      <w:b/>
      <w:noProof/>
      <w:color w:val="009A49"/>
    </w:rPr>
  </w:style>
  <w:style w:type="character" w:customStyle="1" w:styleId="URLe-mailEmerald">
    <w:name w:val="URL/e-mail – Emerald"/>
    <w:rsid w:val="00B80633"/>
    <w:rPr>
      <w:rFonts w:ascii="Arial" w:hAnsi="Arial"/>
      <w:b/>
      <w:sz w:val="18"/>
    </w:rPr>
  </w:style>
  <w:style w:type="paragraph" w:customStyle="1" w:styleId="HeaderfootercontinuationEmerald">
    <w:name w:val="Header/footer continuation – Emerald"/>
    <w:rsid w:val="00B80633"/>
    <w:rPr>
      <w:rFonts w:ascii="Arial" w:hAnsi="Arial"/>
      <w:b/>
      <w:color w:val="FFFFFF"/>
      <w:sz w:val="18"/>
      <w:lang w:val="en-US"/>
    </w:rPr>
  </w:style>
  <w:style w:type="paragraph" w:customStyle="1" w:styleId="mainheadingEmerald">
    <w:name w:val="main heading – Emerald"/>
    <w:rsid w:val="00470D4A"/>
    <w:rPr>
      <w:rFonts w:ascii="Arial" w:hAnsi="Arial"/>
      <w:noProof/>
      <w:color w:val="FFFFFF"/>
      <w:sz w:val="44"/>
    </w:rPr>
  </w:style>
  <w:style w:type="character" w:styleId="Hyperlink">
    <w:name w:val="Hyperlink"/>
    <w:rsid w:val="003A6CB9"/>
    <w:rPr>
      <w:color w:val="0000FF"/>
      <w:u w:val="single"/>
    </w:rPr>
  </w:style>
  <w:style w:type="character" w:styleId="PageNumber">
    <w:name w:val="page number"/>
    <w:basedOn w:val="DefaultParagraphFont"/>
    <w:semiHidden/>
    <w:rsid w:val="00004AA3"/>
  </w:style>
  <w:style w:type="character" w:customStyle="1" w:styleId="im">
    <w:name w:val="im"/>
    <w:rsid w:val="009C12CA"/>
  </w:style>
  <w:style w:type="character" w:customStyle="1" w:styleId="gi">
    <w:name w:val="gi"/>
    <w:rsid w:val="009C12CA"/>
  </w:style>
  <w:style w:type="character" w:styleId="CommentReference">
    <w:name w:val="annotation reference"/>
    <w:rsid w:val="00416110"/>
    <w:rPr>
      <w:sz w:val="16"/>
      <w:szCs w:val="16"/>
    </w:rPr>
  </w:style>
  <w:style w:type="paragraph" w:styleId="CommentText">
    <w:name w:val="annotation text"/>
    <w:basedOn w:val="Normal"/>
    <w:link w:val="CommentTextChar"/>
    <w:rsid w:val="00416110"/>
    <w:rPr>
      <w:sz w:val="20"/>
      <w:szCs w:val="20"/>
    </w:rPr>
  </w:style>
  <w:style w:type="character" w:customStyle="1" w:styleId="CommentTextChar">
    <w:name w:val="Comment Text Char"/>
    <w:basedOn w:val="DefaultParagraphFont"/>
    <w:link w:val="CommentText"/>
    <w:rsid w:val="00416110"/>
  </w:style>
  <w:style w:type="paragraph" w:styleId="BalloonText">
    <w:name w:val="Balloon Text"/>
    <w:basedOn w:val="Normal"/>
    <w:link w:val="BalloonTextChar"/>
    <w:rsid w:val="00416110"/>
    <w:rPr>
      <w:rFonts w:ascii="Tahoma" w:hAnsi="Tahoma" w:cs="Tahoma"/>
      <w:sz w:val="16"/>
      <w:szCs w:val="16"/>
    </w:rPr>
  </w:style>
  <w:style w:type="character" w:customStyle="1" w:styleId="BalloonTextChar">
    <w:name w:val="Balloon Text Char"/>
    <w:link w:val="BalloonText"/>
    <w:rsid w:val="00416110"/>
    <w:rPr>
      <w:rFonts w:ascii="Tahoma" w:hAnsi="Tahoma" w:cs="Tahoma"/>
      <w:sz w:val="16"/>
      <w:szCs w:val="16"/>
    </w:rPr>
  </w:style>
  <w:style w:type="table" w:styleId="TableGrid">
    <w:name w:val="Table Grid"/>
    <w:basedOn w:val="TableNormal"/>
    <w:rsid w:val="00E3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0622E"/>
    <w:rPr>
      <w:rFonts w:eastAsia="SimSun"/>
      <w:sz w:val="20"/>
      <w:szCs w:val="20"/>
      <w:lang w:eastAsia="zh-CN"/>
    </w:rPr>
  </w:style>
  <w:style w:type="character" w:customStyle="1" w:styleId="FootnoteTextChar">
    <w:name w:val="Footnote Text Char"/>
    <w:link w:val="FootnoteText"/>
    <w:rsid w:val="0010622E"/>
    <w:rPr>
      <w:rFonts w:ascii="Arial" w:eastAsia="SimSun" w:hAnsi="Arial"/>
      <w:lang w:eastAsia="zh-CN"/>
    </w:rPr>
  </w:style>
  <w:style w:type="character" w:styleId="FootnoteReference">
    <w:name w:val="footnote reference"/>
    <w:rsid w:val="0010622E"/>
    <w:rPr>
      <w:vertAlign w:val="superscript"/>
    </w:rPr>
  </w:style>
  <w:style w:type="paragraph" w:styleId="CommentSubject">
    <w:name w:val="annotation subject"/>
    <w:basedOn w:val="CommentText"/>
    <w:next w:val="CommentText"/>
    <w:link w:val="CommentSubjectChar"/>
    <w:rsid w:val="0094153A"/>
    <w:rPr>
      <w:b/>
      <w:bCs/>
    </w:rPr>
  </w:style>
  <w:style w:type="character" w:customStyle="1" w:styleId="CommentSubjectChar">
    <w:name w:val="Comment Subject Char"/>
    <w:link w:val="CommentSubject"/>
    <w:rsid w:val="0094153A"/>
    <w:rPr>
      <w:b/>
      <w:bCs/>
    </w:rPr>
  </w:style>
  <w:style w:type="paragraph" w:styleId="Caption">
    <w:name w:val="caption"/>
    <w:basedOn w:val="Normal"/>
    <w:next w:val="Normal"/>
    <w:unhideWhenUsed/>
    <w:qFormat/>
    <w:rsid w:val="00BA14FA"/>
    <w:rPr>
      <w:b/>
      <w:bCs/>
      <w:sz w:val="20"/>
      <w:szCs w:val="20"/>
    </w:rPr>
  </w:style>
  <w:style w:type="paragraph" w:styleId="ListParagraph">
    <w:name w:val="List Paragraph"/>
    <w:basedOn w:val="Normal"/>
    <w:uiPriority w:val="34"/>
    <w:qFormat/>
    <w:rsid w:val="008C02B5"/>
    <w:pPr>
      <w:ind w:left="720"/>
      <w:contextualSpacing/>
    </w:pPr>
  </w:style>
  <w:style w:type="character" w:customStyle="1" w:styleId="cit-authcit-auth-type-author">
    <w:name w:val="cit-auth cit-auth-type-author"/>
    <w:basedOn w:val="DefaultParagraphFont"/>
    <w:rsid w:val="00F16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7570">
      <w:bodyDiv w:val="1"/>
      <w:marLeft w:val="0"/>
      <w:marRight w:val="0"/>
      <w:marTop w:val="0"/>
      <w:marBottom w:val="0"/>
      <w:divBdr>
        <w:top w:val="none" w:sz="0" w:space="0" w:color="auto"/>
        <w:left w:val="none" w:sz="0" w:space="0" w:color="auto"/>
        <w:bottom w:val="none" w:sz="0" w:space="0" w:color="auto"/>
        <w:right w:val="none" w:sz="0" w:space="0" w:color="auto"/>
      </w:divBdr>
    </w:div>
    <w:div w:id="74938773">
      <w:bodyDiv w:val="1"/>
      <w:marLeft w:val="0"/>
      <w:marRight w:val="0"/>
      <w:marTop w:val="0"/>
      <w:marBottom w:val="0"/>
      <w:divBdr>
        <w:top w:val="none" w:sz="0" w:space="0" w:color="auto"/>
        <w:left w:val="none" w:sz="0" w:space="0" w:color="auto"/>
        <w:bottom w:val="none" w:sz="0" w:space="0" w:color="auto"/>
        <w:right w:val="none" w:sz="0" w:space="0" w:color="auto"/>
      </w:divBdr>
    </w:div>
    <w:div w:id="97793328">
      <w:bodyDiv w:val="1"/>
      <w:marLeft w:val="0"/>
      <w:marRight w:val="0"/>
      <w:marTop w:val="0"/>
      <w:marBottom w:val="0"/>
      <w:divBdr>
        <w:top w:val="none" w:sz="0" w:space="0" w:color="auto"/>
        <w:left w:val="none" w:sz="0" w:space="0" w:color="auto"/>
        <w:bottom w:val="none" w:sz="0" w:space="0" w:color="auto"/>
        <w:right w:val="none" w:sz="0" w:space="0" w:color="auto"/>
      </w:divBdr>
    </w:div>
    <w:div w:id="143470410">
      <w:bodyDiv w:val="1"/>
      <w:marLeft w:val="0"/>
      <w:marRight w:val="0"/>
      <w:marTop w:val="0"/>
      <w:marBottom w:val="0"/>
      <w:divBdr>
        <w:top w:val="none" w:sz="0" w:space="0" w:color="auto"/>
        <w:left w:val="none" w:sz="0" w:space="0" w:color="auto"/>
        <w:bottom w:val="none" w:sz="0" w:space="0" w:color="auto"/>
        <w:right w:val="none" w:sz="0" w:space="0" w:color="auto"/>
      </w:divBdr>
    </w:div>
    <w:div w:id="176042738">
      <w:bodyDiv w:val="1"/>
      <w:marLeft w:val="0"/>
      <w:marRight w:val="0"/>
      <w:marTop w:val="0"/>
      <w:marBottom w:val="0"/>
      <w:divBdr>
        <w:top w:val="none" w:sz="0" w:space="0" w:color="auto"/>
        <w:left w:val="none" w:sz="0" w:space="0" w:color="auto"/>
        <w:bottom w:val="none" w:sz="0" w:space="0" w:color="auto"/>
        <w:right w:val="none" w:sz="0" w:space="0" w:color="auto"/>
      </w:divBdr>
    </w:div>
    <w:div w:id="302660001">
      <w:bodyDiv w:val="1"/>
      <w:marLeft w:val="0"/>
      <w:marRight w:val="0"/>
      <w:marTop w:val="0"/>
      <w:marBottom w:val="0"/>
      <w:divBdr>
        <w:top w:val="none" w:sz="0" w:space="0" w:color="auto"/>
        <w:left w:val="none" w:sz="0" w:space="0" w:color="auto"/>
        <w:bottom w:val="none" w:sz="0" w:space="0" w:color="auto"/>
        <w:right w:val="none" w:sz="0" w:space="0" w:color="auto"/>
      </w:divBdr>
    </w:div>
    <w:div w:id="328144308">
      <w:bodyDiv w:val="1"/>
      <w:marLeft w:val="0"/>
      <w:marRight w:val="0"/>
      <w:marTop w:val="0"/>
      <w:marBottom w:val="0"/>
      <w:divBdr>
        <w:top w:val="none" w:sz="0" w:space="0" w:color="auto"/>
        <w:left w:val="none" w:sz="0" w:space="0" w:color="auto"/>
        <w:bottom w:val="none" w:sz="0" w:space="0" w:color="auto"/>
        <w:right w:val="none" w:sz="0" w:space="0" w:color="auto"/>
      </w:divBdr>
    </w:div>
    <w:div w:id="328221318">
      <w:bodyDiv w:val="1"/>
      <w:marLeft w:val="0"/>
      <w:marRight w:val="0"/>
      <w:marTop w:val="0"/>
      <w:marBottom w:val="0"/>
      <w:divBdr>
        <w:top w:val="none" w:sz="0" w:space="0" w:color="auto"/>
        <w:left w:val="none" w:sz="0" w:space="0" w:color="auto"/>
        <w:bottom w:val="none" w:sz="0" w:space="0" w:color="auto"/>
        <w:right w:val="none" w:sz="0" w:space="0" w:color="auto"/>
      </w:divBdr>
    </w:div>
    <w:div w:id="443960893">
      <w:bodyDiv w:val="1"/>
      <w:marLeft w:val="0"/>
      <w:marRight w:val="0"/>
      <w:marTop w:val="0"/>
      <w:marBottom w:val="0"/>
      <w:divBdr>
        <w:top w:val="none" w:sz="0" w:space="0" w:color="auto"/>
        <w:left w:val="none" w:sz="0" w:space="0" w:color="auto"/>
        <w:bottom w:val="none" w:sz="0" w:space="0" w:color="auto"/>
        <w:right w:val="none" w:sz="0" w:space="0" w:color="auto"/>
      </w:divBdr>
    </w:div>
    <w:div w:id="534538171">
      <w:bodyDiv w:val="1"/>
      <w:marLeft w:val="0"/>
      <w:marRight w:val="0"/>
      <w:marTop w:val="0"/>
      <w:marBottom w:val="0"/>
      <w:divBdr>
        <w:top w:val="none" w:sz="0" w:space="0" w:color="auto"/>
        <w:left w:val="none" w:sz="0" w:space="0" w:color="auto"/>
        <w:bottom w:val="none" w:sz="0" w:space="0" w:color="auto"/>
        <w:right w:val="none" w:sz="0" w:space="0" w:color="auto"/>
      </w:divBdr>
    </w:div>
    <w:div w:id="538133184">
      <w:bodyDiv w:val="1"/>
      <w:marLeft w:val="0"/>
      <w:marRight w:val="0"/>
      <w:marTop w:val="0"/>
      <w:marBottom w:val="0"/>
      <w:divBdr>
        <w:top w:val="none" w:sz="0" w:space="0" w:color="auto"/>
        <w:left w:val="none" w:sz="0" w:space="0" w:color="auto"/>
        <w:bottom w:val="none" w:sz="0" w:space="0" w:color="auto"/>
        <w:right w:val="none" w:sz="0" w:space="0" w:color="auto"/>
      </w:divBdr>
    </w:div>
    <w:div w:id="556934396">
      <w:bodyDiv w:val="1"/>
      <w:marLeft w:val="0"/>
      <w:marRight w:val="0"/>
      <w:marTop w:val="0"/>
      <w:marBottom w:val="0"/>
      <w:divBdr>
        <w:top w:val="none" w:sz="0" w:space="0" w:color="auto"/>
        <w:left w:val="none" w:sz="0" w:space="0" w:color="auto"/>
        <w:bottom w:val="none" w:sz="0" w:space="0" w:color="auto"/>
        <w:right w:val="none" w:sz="0" w:space="0" w:color="auto"/>
      </w:divBdr>
    </w:div>
    <w:div w:id="600603771">
      <w:bodyDiv w:val="1"/>
      <w:marLeft w:val="0"/>
      <w:marRight w:val="0"/>
      <w:marTop w:val="0"/>
      <w:marBottom w:val="0"/>
      <w:divBdr>
        <w:top w:val="none" w:sz="0" w:space="0" w:color="auto"/>
        <w:left w:val="none" w:sz="0" w:space="0" w:color="auto"/>
        <w:bottom w:val="none" w:sz="0" w:space="0" w:color="auto"/>
        <w:right w:val="none" w:sz="0" w:space="0" w:color="auto"/>
      </w:divBdr>
    </w:div>
    <w:div w:id="615212962">
      <w:bodyDiv w:val="1"/>
      <w:marLeft w:val="0"/>
      <w:marRight w:val="0"/>
      <w:marTop w:val="0"/>
      <w:marBottom w:val="0"/>
      <w:divBdr>
        <w:top w:val="none" w:sz="0" w:space="0" w:color="auto"/>
        <w:left w:val="none" w:sz="0" w:space="0" w:color="auto"/>
        <w:bottom w:val="none" w:sz="0" w:space="0" w:color="auto"/>
        <w:right w:val="none" w:sz="0" w:space="0" w:color="auto"/>
      </w:divBdr>
    </w:div>
    <w:div w:id="631252543">
      <w:bodyDiv w:val="1"/>
      <w:marLeft w:val="0"/>
      <w:marRight w:val="0"/>
      <w:marTop w:val="0"/>
      <w:marBottom w:val="0"/>
      <w:divBdr>
        <w:top w:val="none" w:sz="0" w:space="0" w:color="auto"/>
        <w:left w:val="none" w:sz="0" w:space="0" w:color="auto"/>
        <w:bottom w:val="none" w:sz="0" w:space="0" w:color="auto"/>
        <w:right w:val="none" w:sz="0" w:space="0" w:color="auto"/>
      </w:divBdr>
    </w:div>
    <w:div w:id="744841991">
      <w:bodyDiv w:val="1"/>
      <w:marLeft w:val="0"/>
      <w:marRight w:val="0"/>
      <w:marTop w:val="0"/>
      <w:marBottom w:val="0"/>
      <w:divBdr>
        <w:top w:val="none" w:sz="0" w:space="0" w:color="auto"/>
        <w:left w:val="none" w:sz="0" w:space="0" w:color="auto"/>
        <w:bottom w:val="none" w:sz="0" w:space="0" w:color="auto"/>
        <w:right w:val="none" w:sz="0" w:space="0" w:color="auto"/>
      </w:divBdr>
    </w:div>
    <w:div w:id="751857721">
      <w:bodyDiv w:val="1"/>
      <w:marLeft w:val="0"/>
      <w:marRight w:val="0"/>
      <w:marTop w:val="0"/>
      <w:marBottom w:val="0"/>
      <w:divBdr>
        <w:top w:val="none" w:sz="0" w:space="0" w:color="auto"/>
        <w:left w:val="none" w:sz="0" w:space="0" w:color="auto"/>
        <w:bottom w:val="none" w:sz="0" w:space="0" w:color="auto"/>
        <w:right w:val="none" w:sz="0" w:space="0" w:color="auto"/>
      </w:divBdr>
    </w:div>
    <w:div w:id="806969712">
      <w:bodyDiv w:val="1"/>
      <w:marLeft w:val="0"/>
      <w:marRight w:val="0"/>
      <w:marTop w:val="0"/>
      <w:marBottom w:val="0"/>
      <w:divBdr>
        <w:top w:val="none" w:sz="0" w:space="0" w:color="auto"/>
        <w:left w:val="none" w:sz="0" w:space="0" w:color="auto"/>
        <w:bottom w:val="none" w:sz="0" w:space="0" w:color="auto"/>
        <w:right w:val="none" w:sz="0" w:space="0" w:color="auto"/>
      </w:divBdr>
    </w:div>
    <w:div w:id="853113811">
      <w:bodyDiv w:val="1"/>
      <w:marLeft w:val="0"/>
      <w:marRight w:val="0"/>
      <w:marTop w:val="0"/>
      <w:marBottom w:val="0"/>
      <w:divBdr>
        <w:top w:val="none" w:sz="0" w:space="0" w:color="auto"/>
        <w:left w:val="none" w:sz="0" w:space="0" w:color="auto"/>
        <w:bottom w:val="none" w:sz="0" w:space="0" w:color="auto"/>
        <w:right w:val="none" w:sz="0" w:space="0" w:color="auto"/>
      </w:divBdr>
    </w:div>
    <w:div w:id="930117571">
      <w:bodyDiv w:val="1"/>
      <w:marLeft w:val="0"/>
      <w:marRight w:val="0"/>
      <w:marTop w:val="0"/>
      <w:marBottom w:val="0"/>
      <w:divBdr>
        <w:top w:val="none" w:sz="0" w:space="0" w:color="auto"/>
        <w:left w:val="none" w:sz="0" w:space="0" w:color="auto"/>
        <w:bottom w:val="none" w:sz="0" w:space="0" w:color="auto"/>
        <w:right w:val="none" w:sz="0" w:space="0" w:color="auto"/>
      </w:divBdr>
    </w:div>
    <w:div w:id="1037242721">
      <w:bodyDiv w:val="1"/>
      <w:marLeft w:val="0"/>
      <w:marRight w:val="0"/>
      <w:marTop w:val="0"/>
      <w:marBottom w:val="0"/>
      <w:divBdr>
        <w:top w:val="none" w:sz="0" w:space="0" w:color="auto"/>
        <w:left w:val="none" w:sz="0" w:space="0" w:color="auto"/>
        <w:bottom w:val="none" w:sz="0" w:space="0" w:color="auto"/>
        <w:right w:val="none" w:sz="0" w:space="0" w:color="auto"/>
      </w:divBdr>
    </w:div>
    <w:div w:id="1046291733">
      <w:bodyDiv w:val="1"/>
      <w:marLeft w:val="0"/>
      <w:marRight w:val="0"/>
      <w:marTop w:val="0"/>
      <w:marBottom w:val="0"/>
      <w:divBdr>
        <w:top w:val="none" w:sz="0" w:space="0" w:color="auto"/>
        <w:left w:val="none" w:sz="0" w:space="0" w:color="auto"/>
        <w:bottom w:val="none" w:sz="0" w:space="0" w:color="auto"/>
        <w:right w:val="none" w:sz="0" w:space="0" w:color="auto"/>
      </w:divBdr>
    </w:div>
    <w:div w:id="1059401975">
      <w:bodyDiv w:val="1"/>
      <w:marLeft w:val="0"/>
      <w:marRight w:val="0"/>
      <w:marTop w:val="0"/>
      <w:marBottom w:val="0"/>
      <w:divBdr>
        <w:top w:val="none" w:sz="0" w:space="0" w:color="auto"/>
        <w:left w:val="none" w:sz="0" w:space="0" w:color="auto"/>
        <w:bottom w:val="none" w:sz="0" w:space="0" w:color="auto"/>
        <w:right w:val="none" w:sz="0" w:space="0" w:color="auto"/>
      </w:divBdr>
    </w:div>
    <w:div w:id="1150252019">
      <w:bodyDiv w:val="1"/>
      <w:marLeft w:val="0"/>
      <w:marRight w:val="0"/>
      <w:marTop w:val="0"/>
      <w:marBottom w:val="0"/>
      <w:divBdr>
        <w:top w:val="none" w:sz="0" w:space="0" w:color="auto"/>
        <w:left w:val="none" w:sz="0" w:space="0" w:color="auto"/>
        <w:bottom w:val="none" w:sz="0" w:space="0" w:color="auto"/>
        <w:right w:val="none" w:sz="0" w:space="0" w:color="auto"/>
      </w:divBdr>
    </w:div>
    <w:div w:id="1257060607">
      <w:bodyDiv w:val="1"/>
      <w:marLeft w:val="0"/>
      <w:marRight w:val="0"/>
      <w:marTop w:val="0"/>
      <w:marBottom w:val="0"/>
      <w:divBdr>
        <w:top w:val="none" w:sz="0" w:space="0" w:color="auto"/>
        <w:left w:val="none" w:sz="0" w:space="0" w:color="auto"/>
        <w:bottom w:val="none" w:sz="0" w:space="0" w:color="auto"/>
        <w:right w:val="none" w:sz="0" w:space="0" w:color="auto"/>
      </w:divBdr>
    </w:div>
    <w:div w:id="1320499237">
      <w:bodyDiv w:val="1"/>
      <w:marLeft w:val="0"/>
      <w:marRight w:val="0"/>
      <w:marTop w:val="0"/>
      <w:marBottom w:val="0"/>
      <w:divBdr>
        <w:top w:val="none" w:sz="0" w:space="0" w:color="auto"/>
        <w:left w:val="none" w:sz="0" w:space="0" w:color="auto"/>
        <w:bottom w:val="none" w:sz="0" w:space="0" w:color="auto"/>
        <w:right w:val="none" w:sz="0" w:space="0" w:color="auto"/>
      </w:divBdr>
    </w:div>
    <w:div w:id="1433670754">
      <w:bodyDiv w:val="1"/>
      <w:marLeft w:val="0"/>
      <w:marRight w:val="0"/>
      <w:marTop w:val="0"/>
      <w:marBottom w:val="0"/>
      <w:divBdr>
        <w:top w:val="none" w:sz="0" w:space="0" w:color="auto"/>
        <w:left w:val="none" w:sz="0" w:space="0" w:color="auto"/>
        <w:bottom w:val="none" w:sz="0" w:space="0" w:color="auto"/>
        <w:right w:val="none" w:sz="0" w:space="0" w:color="auto"/>
      </w:divBdr>
    </w:div>
    <w:div w:id="1541210212">
      <w:bodyDiv w:val="1"/>
      <w:marLeft w:val="0"/>
      <w:marRight w:val="0"/>
      <w:marTop w:val="0"/>
      <w:marBottom w:val="0"/>
      <w:divBdr>
        <w:top w:val="none" w:sz="0" w:space="0" w:color="auto"/>
        <w:left w:val="none" w:sz="0" w:space="0" w:color="auto"/>
        <w:bottom w:val="none" w:sz="0" w:space="0" w:color="auto"/>
        <w:right w:val="none" w:sz="0" w:space="0" w:color="auto"/>
      </w:divBdr>
    </w:div>
    <w:div w:id="1669677933">
      <w:bodyDiv w:val="1"/>
      <w:marLeft w:val="0"/>
      <w:marRight w:val="0"/>
      <w:marTop w:val="0"/>
      <w:marBottom w:val="0"/>
      <w:divBdr>
        <w:top w:val="none" w:sz="0" w:space="0" w:color="auto"/>
        <w:left w:val="none" w:sz="0" w:space="0" w:color="auto"/>
        <w:bottom w:val="none" w:sz="0" w:space="0" w:color="auto"/>
        <w:right w:val="none" w:sz="0" w:space="0" w:color="auto"/>
      </w:divBdr>
    </w:div>
    <w:div w:id="1760717678">
      <w:bodyDiv w:val="1"/>
      <w:marLeft w:val="0"/>
      <w:marRight w:val="0"/>
      <w:marTop w:val="0"/>
      <w:marBottom w:val="0"/>
      <w:divBdr>
        <w:top w:val="none" w:sz="0" w:space="0" w:color="auto"/>
        <w:left w:val="none" w:sz="0" w:space="0" w:color="auto"/>
        <w:bottom w:val="none" w:sz="0" w:space="0" w:color="auto"/>
        <w:right w:val="none" w:sz="0" w:space="0" w:color="auto"/>
      </w:divBdr>
    </w:div>
    <w:div w:id="1815220755">
      <w:bodyDiv w:val="1"/>
      <w:marLeft w:val="0"/>
      <w:marRight w:val="0"/>
      <w:marTop w:val="0"/>
      <w:marBottom w:val="0"/>
      <w:divBdr>
        <w:top w:val="none" w:sz="0" w:space="0" w:color="auto"/>
        <w:left w:val="none" w:sz="0" w:space="0" w:color="auto"/>
        <w:bottom w:val="none" w:sz="0" w:space="0" w:color="auto"/>
        <w:right w:val="none" w:sz="0" w:space="0" w:color="auto"/>
      </w:divBdr>
    </w:div>
    <w:div w:id="1825900702">
      <w:bodyDiv w:val="1"/>
      <w:marLeft w:val="0"/>
      <w:marRight w:val="0"/>
      <w:marTop w:val="0"/>
      <w:marBottom w:val="0"/>
      <w:divBdr>
        <w:top w:val="none" w:sz="0" w:space="0" w:color="auto"/>
        <w:left w:val="none" w:sz="0" w:space="0" w:color="auto"/>
        <w:bottom w:val="none" w:sz="0" w:space="0" w:color="auto"/>
        <w:right w:val="none" w:sz="0" w:space="0" w:color="auto"/>
      </w:divBdr>
    </w:div>
    <w:div w:id="1932464989">
      <w:bodyDiv w:val="1"/>
      <w:marLeft w:val="0"/>
      <w:marRight w:val="0"/>
      <w:marTop w:val="0"/>
      <w:marBottom w:val="0"/>
      <w:divBdr>
        <w:top w:val="none" w:sz="0" w:space="0" w:color="auto"/>
        <w:left w:val="none" w:sz="0" w:space="0" w:color="auto"/>
        <w:bottom w:val="none" w:sz="0" w:space="0" w:color="auto"/>
        <w:right w:val="none" w:sz="0" w:space="0" w:color="auto"/>
      </w:divBdr>
    </w:div>
    <w:div w:id="1956403609">
      <w:bodyDiv w:val="1"/>
      <w:marLeft w:val="0"/>
      <w:marRight w:val="0"/>
      <w:marTop w:val="0"/>
      <w:marBottom w:val="0"/>
      <w:divBdr>
        <w:top w:val="none" w:sz="0" w:space="0" w:color="auto"/>
        <w:left w:val="none" w:sz="0" w:space="0" w:color="auto"/>
        <w:bottom w:val="none" w:sz="0" w:space="0" w:color="auto"/>
        <w:right w:val="none" w:sz="0" w:space="0" w:color="auto"/>
      </w:divBdr>
    </w:div>
    <w:div w:id="1959411176">
      <w:bodyDiv w:val="1"/>
      <w:marLeft w:val="0"/>
      <w:marRight w:val="0"/>
      <w:marTop w:val="0"/>
      <w:marBottom w:val="0"/>
      <w:divBdr>
        <w:top w:val="none" w:sz="0" w:space="0" w:color="auto"/>
        <w:left w:val="none" w:sz="0" w:space="0" w:color="auto"/>
        <w:bottom w:val="none" w:sz="0" w:space="0" w:color="auto"/>
        <w:right w:val="none" w:sz="0" w:space="0" w:color="auto"/>
      </w:divBdr>
    </w:div>
    <w:div w:id="2021933075">
      <w:bodyDiv w:val="1"/>
      <w:marLeft w:val="0"/>
      <w:marRight w:val="0"/>
      <w:marTop w:val="0"/>
      <w:marBottom w:val="0"/>
      <w:divBdr>
        <w:top w:val="none" w:sz="0" w:space="0" w:color="auto"/>
        <w:left w:val="none" w:sz="0" w:space="0" w:color="auto"/>
        <w:bottom w:val="none" w:sz="0" w:space="0" w:color="auto"/>
        <w:right w:val="none" w:sz="0" w:space="0" w:color="auto"/>
      </w:divBdr>
    </w:div>
    <w:div w:id="2043436843">
      <w:bodyDiv w:val="1"/>
      <w:marLeft w:val="0"/>
      <w:marRight w:val="0"/>
      <w:marTop w:val="0"/>
      <w:marBottom w:val="0"/>
      <w:divBdr>
        <w:top w:val="none" w:sz="0" w:space="0" w:color="auto"/>
        <w:left w:val="none" w:sz="0" w:space="0" w:color="auto"/>
        <w:bottom w:val="none" w:sz="0" w:space="0" w:color="auto"/>
        <w:right w:val="none" w:sz="0" w:space="0" w:color="auto"/>
      </w:divBdr>
    </w:div>
    <w:div w:id="2064016166">
      <w:bodyDiv w:val="1"/>
      <w:marLeft w:val="0"/>
      <w:marRight w:val="0"/>
      <w:marTop w:val="0"/>
      <w:marBottom w:val="0"/>
      <w:divBdr>
        <w:top w:val="none" w:sz="0" w:space="0" w:color="auto"/>
        <w:left w:val="none" w:sz="0" w:space="0" w:color="auto"/>
        <w:bottom w:val="none" w:sz="0" w:space="0" w:color="auto"/>
        <w:right w:val="none" w:sz="0" w:space="0" w:color="auto"/>
      </w:divBdr>
    </w:div>
    <w:div w:id="2090034561">
      <w:bodyDiv w:val="1"/>
      <w:marLeft w:val="0"/>
      <w:marRight w:val="0"/>
      <w:marTop w:val="0"/>
      <w:marBottom w:val="0"/>
      <w:divBdr>
        <w:top w:val="none" w:sz="0" w:space="0" w:color="auto"/>
        <w:left w:val="none" w:sz="0" w:space="0" w:color="auto"/>
        <w:bottom w:val="none" w:sz="0" w:space="0" w:color="auto"/>
        <w:right w:val="none" w:sz="0" w:space="0" w:color="auto"/>
      </w:divBdr>
    </w:div>
    <w:div w:id="2110928718">
      <w:bodyDiv w:val="1"/>
      <w:marLeft w:val="0"/>
      <w:marRight w:val="0"/>
      <w:marTop w:val="0"/>
      <w:marBottom w:val="0"/>
      <w:divBdr>
        <w:top w:val="none" w:sz="0" w:space="0" w:color="auto"/>
        <w:left w:val="none" w:sz="0" w:space="0" w:color="auto"/>
        <w:bottom w:val="none" w:sz="0" w:space="0" w:color="auto"/>
        <w:right w:val="none" w:sz="0" w:space="0" w:color="auto"/>
      </w:divBdr>
    </w:div>
    <w:div w:id="2112045470">
      <w:bodyDiv w:val="1"/>
      <w:marLeft w:val="0"/>
      <w:marRight w:val="0"/>
      <w:marTop w:val="0"/>
      <w:marBottom w:val="0"/>
      <w:divBdr>
        <w:top w:val="none" w:sz="0" w:space="0" w:color="auto"/>
        <w:left w:val="none" w:sz="0" w:space="0" w:color="auto"/>
        <w:bottom w:val="none" w:sz="0" w:space="0" w:color="auto"/>
        <w:right w:val="none" w:sz="0" w:space="0" w:color="auto"/>
      </w:divBdr>
    </w:div>
    <w:div w:id="213772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x.doi.org/10.1680/mpal.11.00047"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scheme.org.uk/index.php/ccs-ltd/what-is-the-cc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nnedys\Local%20Settings\Temporary%20Internet%20Files\Template%20for%20Internal%20Communications%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27207-2C78-4D6D-95A9-3A4B9E781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Internal Communications (2)</Template>
  <TotalTime>0</TotalTime>
  <Pages>20</Pages>
  <Words>6376</Words>
  <Characters>35601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Template for Internal Communications</vt:lpstr>
    </vt:vector>
  </TitlesOfParts>
  <Company>MCB</Company>
  <LinksUpToDate>false</LinksUpToDate>
  <CharactersWithSpaces>41894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Internal Communications</dc:title>
  <dc:creator>Sarah Kennedy</dc:creator>
  <cp:lastModifiedBy>Gregory-Stevens, Jackie</cp:lastModifiedBy>
  <cp:revision>2</cp:revision>
  <cp:lastPrinted>2015-01-23T17:00:00Z</cp:lastPrinted>
  <dcterms:created xsi:type="dcterms:W3CDTF">2015-02-12T13:33:00Z</dcterms:created>
  <dcterms:modified xsi:type="dcterms:W3CDTF">2015-02-12T13:33:00Z</dcterms:modified>
</cp:coreProperties>
</file>