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55EC" w:rsidRDefault="008B259A">
      <w:pPr>
        <w:pStyle w:val="BodyA"/>
        <w:spacing w:line="480" w:lineRule="auto"/>
        <w:jc w:val="center"/>
        <w:rPr>
          <w:b/>
          <w:bCs/>
        </w:rPr>
      </w:pPr>
      <w:r>
        <w:rPr>
          <w:b/>
          <w:bCs/>
        </w:rPr>
        <w:t>‘</w:t>
      </w:r>
      <w:r>
        <w:rPr>
          <w:rFonts w:ascii="Times Roman"/>
          <w:b/>
          <w:bCs/>
        </w:rPr>
        <w:t>Una povera fanciulla Tedesca</w:t>
      </w:r>
      <w:r>
        <w:rPr>
          <w:b/>
          <w:bCs/>
        </w:rPr>
        <w:t>’</w:t>
      </w:r>
      <w:r>
        <w:rPr>
          <w:rFonts w:ascii="Times Roman"/>
          <w:b/>
          <w:bCs/>
        </w:rPr>
        <w:t>: The Dulcimer Player in Filippo Bonanni</w:t>
      </w:r>
      <w:r>
        <w:rPr>
          <w:b/>
          <w:bCs/>
        </w:rPr>
        <w:t>’</w:t>
      </w:r>
      <w:r>
        <w:rPr>
          <w:rFonts w:ascii="Times Roman"/>
          <w:b/>
          <w:bCs/>
        </w:rPr>
        <w:t xml:space="preserve">s </w:t>
      </w:r>
      <w:r>
        <w:rPr>
          <w:rFonts w:ascii="Times Roman"/>
          <w:b/>
          <w:bCs/>
          <w:i/>
          <w:iCs/>
        </w:rPr>
        <w:t>Gabinetto armonico</w:t>
      </w:r>
      <w:r>
        <w:rPr>
          <w:rFonts w:ascii="Times Roman"/>
          <w:b/>
          <w:bCs/>
        </w:rPr>
        <w:t>.</w:t>
      </w:r>
    </w:p>
    <w:p w:rsidR="003555EC" w:rsidRDefault="003555EC">
      <w:pPr>
        <w:pStyle w:val="BodyA"/>
        <w:spacing w:line="480" w:lineRule="auto"/>
        <w:rPr>
          <w:b/>
          <w:bCs/>
        </w:rPr>
      </w:pPr>
    </w:p>
    <w:p w:rsidR="008351EE" w:rsidRDefault="008B259A">
      <w:pPr>
        <w:pStyle w:val="BodyA"/>
        <w:spacing w:line="480" w:lineRule="auto"/>
        <w:rPr>
          <w:rFonts w:ascii="Times Roman"/>
        </w:rPr>
      </w:pPr>
      <w:r>
        <w:rPr>
          <w:rFonts w:ascii="Times Roman"/>
        </w:rPr>
        <w:t xml:space="preserve">Filippo Bonanni's </w:t>
      </w:r>
      <w:r>
        <w:rPr>
          <w:rFonts w:ascii="Times Roman"/>
          <w:i/>
          <w:iCs/>
        </w:rPr>
        <w:t>Gabinetto armonico</w:t>
      </w:r>
      <w:r>
        <w:rPr>
          <w:rFonts w:ascii="Times Roman"/>
        </w:rPr>
        <w:t xml:space="preserve"> has never been taken overly seriously by historical musicologists. First published in Rome in 1722, the book comprises a collection of 150 beautifully engraved plates,</w:t>
      </w:r>
      <w:r>
        <w:rPr>
          <w:rFonts w:ascii="Times New Roman" w:eastAsia="Times New Roman" w:hAnsi="Times New Roman" w:cs="Times New Roman"/>
          <w:position w:val="12"/>
          <w:sz w:val="20"/>
          <w:szCs w:val="20"/>
        </w:rPr>
        <w:endnoteReference w:id="2"/>
      </w:r>
      <w:r>
        <w:rPr>
          <w:rFonts w:ascii="Times Roman"/>
        </w:rPr>
        <w:t xml:space="preserve"> each with an explanatory text; it is by far the most extensive book of musical iconography ever to have been published up to that date and has been described as </w:t>
      </w:r>
      <w:r>
        <w:t>‘</w:t>
      </w:r>
      <w:r>
        <w:rPr>
          <w:rFonts w:ascii="Times Roman"/>
        </w:rPr>
        <w:t>one of the principal documents for the history of 18th-century musical instruments</w:t>
      </w:r>
      <w:r>
        <w:t>’</w:t>
      </w:r>
      <w:r>
        <w:rPr>
          <w:rFonts w:ascii="Times Roman"/>
        </w:rPr>
        <w:t>.</w:t>
      </w:r>
      <w:r>
        <w:rPr>
          <w:rFonts w:ascii="Times New Roman" w:eastAsia="Times New Roman" w:hAnsi="Times New Roman" w:cs="Times New Roman"/>
          <w:position w:val="12"/>
          <w:sz w:val="20"/>
          <w:szCs w:val="20"/>
        </w:rPr>
        <w:endnoteReference w:id="3"/>
      </w:r>
      <w:r>
        <w:rPr>
          <w:rFonts w:ascii="Times Roman"/>
        </w:rPr>
        <w:t xml:space="preserve"> However, this ostensible treasure trove </w:t>
      </w:r>
      <w:bookmarkStart w:id="0" w:name="_GoBack"/>
      <w:bookmarkEnd w:id="0"/>
      <w:r>
        <w:rPr>
          <w:rFonts w:ascii="Times Roman"/>
        </w:rPr>
        <w:t>of information on early instruments is rarely cited, except for reasons of curiosity or completeness, and modern makers do not habitually refer to it as a source of originals on which</w:t>
      </w:r>
      <w:r w:rsidR="00430878">
        <w:rPr>
          <w:rFonts w:ascii="Times Roman"/>
        </w:rPr>
        <w:t xml:space="preserve"> to base reproduction</w:t>
      </w:r>
      <w:r>
        <w:rPr>
          <w:rFonts w:ascii="Times Roman"/>
        </w:rPr>
        <w:t xml:space="preserve">s. This neglect is hardly due to unfamiliarity, with many of the plates being rather well-known now, especially since the publication of the entire collection as </w:t>
      </w:r>
      <w:r w:rsidR="00430878">
        <w:rPr>
          <w:rFonts w:ascii="Times Roman"/>
          <w:i/>
          <w:iCs/>
        </w:rPr>
        <w:t>Antique musical instruments and their p</w:t>
      </w:r>
      <w:r>
        <w:rPr>
          <w:rFonts w:ascii="Times Roman"/>
          <w:i/>
          <w:iCs/>
        </w:rPr>
        <w:t>layers</w:t>
      </w:r>
      <w:r>
        <w:rPr>
          <w:rFonts w:ascii="Times Roman"/>
        </w:rPr>
        <w:t>.</w:t>
      </w:r>
      <w:r>
        <w:rPr>
          <w:rFonts w:ascii="Times New Roman" w:eastAsia="Times New Roman" w:hAnsi="Times New Roman" w:cs="Times New Roman"/>
          <w:position w:val="12"/>
          <w:sz w:val="20"/>
          <w:szCs w:val="20"/>
        </w:rPr>
        <w:endnoteReference w:id="4"/>
      </w:r>
      <w:r>
        <w:rPr>
          <w:rFonts w:ascii="Times Roman"/>
        </w:rPr>
        <w:t xml:space="preserve"> The issue is more that these beautifully crafted images are valued mostly today for their quaintness and eccentricity rather than their accuracy; as a recent commentator puts it, </w:t>
      </w:r>
      <w:r>
        <w:t>‘</w:t>
      </w:r>
      <w:r>
        <w:rPr>
          <w:rFonts w:ascii="Times Roman"/>
        </w:rPr>
        <w:t xml:space="preserve">sadly, </w:t>
      </w:r>
      <w:r>
        <w:rPr>
          <w:rFonts w:ascii="Times Roman"/>
        </w:rPr>
        <w:lastRenderedPageBreak/>
        <w:t>the evidence of many of the illustrations suggests that Buonanni</w:t>
      </w:r>
      <w:r>
        <w:t>’</w:t>
      </w:r>
      <w:r>
        <w:rPr>
          <w:rFonts w:ascii="Times Roman"/>
        </w:rPr>
        <w:t>s is not a reliable document of historical musical instruments</w:t>
      </w:r>
      <w:r>
        <w:t>’</w:t>
      </w:r>
      <w:r>
        <w:rPr>
          <w:rFonts w:ascii="Times Roman"/>
        </w:rPr>
        <w:t>.</w:t>
      </w:r>
      <w:r>
        <w:rPr>
          <w:rFonts w:ascii="Times New Roman" w:eastAsia="Times New Roman" w:hAnsi="Times New Roman" w:cs="Times New Roman"/>
          <w:position w:val="12"/>
          <w:sz w:val="20"/>
          <w:szCs w:val="20"/>
        </w:rPr>
        <w:endnoteReference w:id="5"/>
      </w:r>
      <w:r>
        <w:rPr>
          <w:rFonts w:ascii="Times Roman"/>
          <w:sz w:val="20"/>
          <w:szCs w:val="20"/>
        </w:rPr>
        <w:t xml:space="preserve"> </w:t>
      </w:r>
      <w:r>
        <w:rPr>
          <w:rFonts w:ascii="Times Roman"/>
        </w:rPr>
        <w:t xml:space="preserve">For many modern readers, the classical serenity of bizarre fancies such as the </w:t>
      </w:r>
      <w:r>
        <w:t>‘</w:t>
      </w:r>
      <w:r>
        <w:rPr>
          <w:rFonts w:ascii="Times Roman"/>
        </w:rPr>
        <w:t>Tubo di Alesandro Magno</w:t>
      </w:r>
      <w:r>
        <w:t>’</w:t>
      </w:r>
      <w:r>
        <w:t xml:space="preserve"> </w:t>
      </w:r>
      <w:r>
        <w:rPr>
          <w:rFonts w:ascii="Times Roman"/>
        </w:rPr>
        <w:t>(plate XXXVII) has a deadpan comedy about it that is hard to resist</w:t>
      </w:r>
      <w:r w:rsidR="008351EE">
        <w:rPr>
          <w:rFonts w:ascii="Times Roman"/>
        </w:rPr>
        <w:t xml:space="preserve"> (s</w:t>
      </w:r>
      <w:r w:rsidR="0015612A">
        <w:rPr>
          <w:rFonts w:ascii="Times Roman"/>
        </w:rPr>
        <w:t xml:space="preserve">ee Figure </w:t>
      </w:r>
      <w:r w:rsidR="008351EE">
        <w:rPr>
          <w:rFonts w:ascii="Times Roman"/>
        </w:rPr>
        <w:t>1).</w:t>
      </w:r>
    </w:p>
    <w:p w:rsidR="002C00E4" w:rsidRDefault="002C00E4">
      <w:pPr>
        <w:rPr>
          <w:rFonts w:ascii="Times Roman" w:hAnsi="Times Roman" w:cs="Arial Unicode MS"/>
          <w:color w:val="000000"/>
          <w:u w:color="000000"/>
          <w:lang w:eastAsia="en-GB"/>
        </w:rPr>
      </w:pPr>
      <w:r>
        <w:rPr>
          <w:rFonts w:ascii="Times Roman" w:hint="eastAsia"/>
        </w:rPr>
        <w:br w:type="page"/>
      </w:r>
    </w:p>
    <w:p w:rsidR="008351EE" w:rsidRDefault="008351EE">
      <w:pPr>
        <w:pStyle w:val="BodyA"/>
        <w:spacing w:line="480" w:lineRule="auto"/>
        <w:rPr>
          <w:rFonts w:ascii="Times Roman"/>
        </w:rPr>
      </w:pPr>
    </w:p>
    <w:p w:rsidR="008351EE" w:rsidRDefault="0015612A">
      <w:pPr>
        <w:pStyle w:val="BodyA"/>
        <w:spacing w:line="480" w:lineRule="auto"/>
        <w:rPr>
          <w:rFonts w:ascii="Times Roman"/>
        </w:rPr>
      </w:pPr>
      <w:r>
        <w:rPr>
          <w:rFonts w:ascii="Times Roman"/>
        </w:rPr>
        <w:t xml:space="preserve">Figure </w:t>
      </w:r>
      <w:r w:rsidR="008351EE">
        <w:rPr>
          <w:rFonts w:ascii="Times Roman"/>
        </w:rPr>
        <w:t xml:space="preserve">1: Bonanni, </w:t>
      </w:r>
      <w:r w:rsidR="008351EE" w:rsidRPr="008351EE">
        <w:rPr>
          <w:rFonts w:ascii="Times Roman"/>
          <w:i/>
        </w:rPr>
        <w:t>Gabinetto armonico</w:t>
      </w:r>
      <w:r w:rsidR="008351EE">
        <w:rPr>
          <w:rFonts w:ascii="Times Roman"/>
        </w:rPr>
        <w:t>, plate XXXVII</w:t>
      </w:r>
    </w:p>
    <w:p w:rsidR="008351EE" w:rsidRDefault="002C00E4" w:rsidP="008351EE">
      <w:pPr>
        <w:pStyle w:val="BodyA"/>
        <w:spacing w:line="480" w:lineRule="auto"/>
        <w:rPr>
          <w:rFonts w:ascii="Times Roman"/>
        </w:rPr>
      </w:pPr>
      <w:r>
        <w:rPr>
          <w:rFonts w:ascii="Verdana" w:hAnsi="Verdana" w:cs="Verdana"/>
          <w:b/>
          <w:bCs/>
          <w:noProof/>
          <w:color w:val="1A1A1A"/>
          <w:sz w:val="30"/>
          <w:szCs w:val="30"/>
          <w:lang w:val="en-GB"/>
        </w:rPr>
        <w:lastRenderedPageBreak/>
        <w:drawing>
          <wp:inline distT="0" distB="0" distL="0" distR="0">
            <wp:extent cx="5727700" cy="7668260"/>
            <wp:effectExtent l="0" t="0" r="635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 (Jon Banks).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7668260"/>
                    </a:xfrm>
                    <a:prstGeom prst="rect">
                      <a:avLst/>
                    </a:prstGeom>
                  </pic:spPr>
                </pic:pic>
              </a:graphicData>
            </a:graphic>
          </wp:inline>
        </w:drawing>
      </w:r>
      <w:r w:rsidR="008351EE">
        <w:rPr>
          <w:rFonts w:ascii="Verdana" w:hAnsi="Verdana" w:cs="Verdana"/>
          <w:b/>
          <w:bCs/>
          <w:color w:val="1A1A1A"/>
          <w:sz w:val="30"/>
          <w:szCs w:val="30"/>
          <w:lang w:val="en-GB"/>
        </w:rPr>
        <w:t xml:space="preserve">© The British Library </w:t>
      </w:r>
      <w:r w:rsidR="008351EE">
        <w:rPr>
          <w:rFonts w:ascii="Verdana" w:hAnsi="Verdana" w:cs="Verdana"/>
          <w:b/>
          <w:bCs/>
          <w:color w:val="1A1A1A"/>
          <w:sz w:val="30"/>
          <w:szCs w:val="30"/>
          <w:lang w:val="en-GB"/>
        </w:rPr>
        <w:lastRenderedPageBreak/>
        <w:t>Board, 59.a.14</w:t>
      </w:r>
    </w:p>
    <w:p w:rsidR="000B17D7" w:rsidRDefault="000B17D7">
      <w:pPr>
        <w:pStyle w:val="BodyA"/>
        <w:spacing w:line="480" w:lineRule="auto"/>
        <w:rPr>
          <w:rFonts w:ascii="Times Roman"/>
        </w:rPr>
      </w:pPr>
    </w:p>
    <w:p w:rsidR="003555EC" w:rsidRDefault="008B259A">
      <w:pPr>
        <w:pStyle w:val="BodyA"/>
        <w:spacing w:line="480" w:lineRule="auto"/>
      </w:pPr>
      <w:r>
        <w:rPr>
          <w:rFonts w:ascii="Times Roman"/>
        </w:rPr>
        <w:t>Unfortunately it is precisely this quality of improbable charm that undermines Bonanni</w:t>
      </w:r>
      <w:r>
        <w:t>’</w:t>
      </w:r>
      <w:r>
        <w:rPr>
          <w:rFonts w:ascii="Times Roman"/>
        </w:rPr>
        <w:t xml:space="preserve">s credibility and casts deep shadows over any light his </w:t>
      </w:r>
      <w:r>
        <w:rPr>
          <w:rFonts w:ascii="Times Roman"/>
          <w:i/>
          <w:iCs/>
        </w:rPr>
        <w:t>Gabinetto</w:t>
      </w:r>
      <w:r>
        <w:rPr>
          <w:rFonts w:ascii="Times Roman"/>
        </w:rPr>
        <w:t xml:space="preserve"> might shed on the musical practices of his day.</w:t>
      </w:r>
    </w:p>
    <w:p w:rsidR="003555EC" w:rsidRDefault="003555EC">
      <w:pPr>
        <w:pStyle w:val="BodyA"/>
        <w:spacing w:line="480" w:lineRule="auto"/>
      </w:pPr>
    </w:p>
    <w:p w:rsidR="003555EC" w:rsidRDefault="008B259A">
      <w:pPr>
        <w:pStyle w:val="BodyA"/>
        <w:spacing w:line="480" w:lineRule="auto"/>
        <w:rPr>
          <w:rFonts w:ascii="Times Roman"/>
        </w:rPr>
      </w:pPr>
      <w:r>
        <w:rPr>
          <w:rFonts w:ascii="Times Roman"/>
        </w:rPr>
        <w:t>However, Bonanni</w:t>
      </w:r>
      <w:r>
        <w:t>’</w:t>
      </w:r>
      <w:r>
        <w:rPr>
          <w:rFonts w:ascii="Times Roman"/>
        </w:rPr>
        <w:t xml:space="preserve">s </w:t>
      </w:r>
      <w:r>
        <w:rPr>
          <w:rFonts w:ascii="Times Roman"/>
          <w:i/>
          <w:iCs/>
        </w:rPr>
        <w:t xml:space="preserve">Gabinetto </w:t>
      </w:r>
      <w:r>
        <w:rPr>
          <w:rFonts w:ascii="Times Roman"/>
        </w:rPr>
        <w:t xml:space="preserve">was definitely not the work of a dilettante; on the contrary, it is the mature offspring of a rigorous intellectual legacy. The rubric for each instrument abounds in citations from Biblical and classical authorities concerning its origins and history, such that it is clear that this was a work aimed at a serious readership. Bonanni trained at the Jesuit </w:t>
      </w:r>
      <w:r>
        <w:rPr>
          <w:rFonts w:ascii="Times Roman"/>
          <w:i/>
          <w:iCs/>
        </w:rPr>
        <w:t>Collegio romano</w:t>
      </w:r>
      <w:r>
        <w:rPr>
          <w:rFonts w:ascii="Times Roman"/>
        </w:rPr>
        <w:t xml:space="preserve"> directly under Athanasius Kircher, and in 1698 he became curator of the museum that Kircher had founded there.</w:t>
      </w:r>
      <w:r>
        <w:rPr>
          <w:rFonts w:ascii="Times New Roman" w:eastAsia="Times New Roman" w:hAnsi="Times New Roman" w:cs="Times New Roman"/>
          <w:position w:val="12"/>
          <w:sz w:val="20"/>
          <w:szCs w:val="20"/>
        </w:rPr>
        <w:endnoteReference w:id="6"/>
      </w:r>
      <w:r>
        <w:rPr>
          <w:rFonts w:ascii="Times Roman"/>
        </w:rPr>
        <w:t xml:space="preserve"> Kircher was legendary as a universal polymath, and Bonanni</w:t>
      </w:r>
      <w:r>
        <w:t>’</w:t>
      </w:r>
      <w:r>
        <w:rPr>
          <w:rFonts w:ascii="Times Roman"/>
        </w:rPr>
        <w:t>s writings show him true to his master in this respect, covering subjects as diverse as seashells, microscopy, numismatics and Chinese lacquer. The also show him as heir to Kircher</w:t>
      </w:r>
      <w:r>
        <w:t>’</w:t>
      </w:r>
      <w:r>
        <w:rPr>
          <w:rFonts w:ascii="Times Roman"/>
        </w:rPr>
        <w:t>s Aristotelian understanding o</w:t>
      </w:r>
      <w:r w:rsidR="00523BC5">
        <w:rPr>
          <w:rFonts w:ascii="Times Roman"/>
        </w:rPr>
        <w:t xml:space="preserve">f </w:t>
      </w:r>
      <w:r w:rsidR="00523BC5">
        <w:rPr>
          <w:rFonts w:ascii="Times Roman"/>
        </w:rPr>
        <w:lastRenderedPageBreak/>
        <w:t>knowledge as being grounded</w:t>
      </w:r>
      <w:r>
        <w:rPr>
          <w:rFonts w:ascii="Times Roman"/>
        </w:rPr>
        <w:t xml:space="preserve"> </w:t>
      </w:r>
      <w:r w:rsidR="00523BC5">
        <w:rPr>
          <w:rFonts w:ascii="Times Roman"/>
        </w:rPr>
        <w:t xml:space="preserve">more in </w:t>
      </w:r>
      <w:r>
        <w:rPr>
          <w:rFonts w:ascii="Times Roman"/>
        </w:rPr>
        <w:t>ancient authority than the new experimental science of Bacon and Galileo.</w:t>
      </w:r>
      <w:r>
        <w:rPr>
          <w:rFonts w:ascii="Times New Roman" w:eastAsia="Times New Roman" w:hAnsi="Times New Roman" w:cs="Times New Roman"/>
          <w:position w:val="12"/>
          <w:sz w:val="20"/>
          <w:szCs w:val="20"/>
        </w:rPr>
        <w:endnoteReference w:id="7"/>
      </w:r>
      <w:r>
        <w:rPr>
          <w:rFonts w:ascii="Times Roman"/>
        </w:rPr>
        <w:t xml:space="preserve"> The </w:t>
      </w:r>
      <w:r>
        <w:rPr>
          <w:rFonts w:ascii="Times Roman"/>
          <w:i/>
          <w:iCs/>
        </w:rPr>
        <w:t>Gabinetto</w:t>
      </w:r>
      <w:r>
        <w:rPr>
          <w:rFonts w:ascii="Times Roman"/>
        </w:rPr>
        <w:t xml:space="preserve"> was his last published work, and his only one concerned with music. In this too, Bonanni seems to be following in the footsteps of Kircher, whose </w:t>
      </w:r>
      <w:r>
        <w:rPr>
          <w:rFonts w:ascii="Times Roman"/>
          <w:i/>
          <w:iCs/>
        </w:rPr>
        <w:t>Musurgia universalis,</w:t>
      </w:r>
      <w:r>
        <w:rPr>
          <w:rFonts w:ascii="Times Roman"/>
        </w:rPr>
        <w:t xml:space="preserve"> though well-known to musicians now, was just one of many treatises that he produced on an array of topics.</w:t>
      </w:r>
      <w:r>
        <w:rPr>
          <w:rFonts w:ascii="Times New Roman" w:eastAsia="Times New Roman" w:hAnsi="Times New Roman" w:cs="Times New Roman"/>
          <w:position w:val="12"/>
          <w:sz w:val="20"/>
          <w:szCs w:val="20"/>
        </w:rPr>
        <w:endnoteReference w:id="8"/>
      </w:r>
    </w:p>
    <w:p w:rsidR="00351C3D" w:rsidRDefault="00351C3D">
      <w:pPr>
        <w:pStyle w:val="BodyA"/>
        <w:spacing w:line="480" w:lineRule="auto"/>
      </w:pPr>
    </w:p>
    <w:p w:rsidR="003555EC" w:rsidRDefault="008B259A">
      <w:pPr>
        <w:pStyle w:val="BodyA"/>
        <w:spacing w:line="480" w:lineRule="auto"/>
      </w:pPr>
      <w:r>
        <w:rPr>
          <w:rFonts w:ascii="Times Roman"/>
        </w:rPr>
        <w:t>Recent studies have confirmed that Bonanni</w:t>
      </w:r>
      <w:r>
        <w:t>’</w:t>
      </w:r>
      <w:r>
        <w:rPr>
          <w:rFonts w:ascii="Times Roman"/>
        </w:rPr>
        <w:t xml:space="preserve">s apparent shortcomings should not be dismissed as mere whimsy, locating his </w:t>
      </w:r>
      <w:r>
        <w:rPr>
          <w:rFonts w:ascii="Times Roman"/>
          <w:i/>
          <w:iCs/>
        </w:rPr>
        <w:t>Gabinetto</w:t>
      </w:r>
      <w:r>
        <w:rPr>
          <w:rFonts w:ascii="Times Roman"/>
        </w:rPr>
        <w:t xml:space="preserve"> both within the context of </w:t>
      </w:r>
      <w:r>
        <w:t>‘</w:t>
      </w:r>
      <w:r>
        <w:rPr>
          <w:rFonts w:ascii="Times Roman"/>
        </w:rPr>
        <w:t>cabinets of curiosities</w:t>
      </w:r>
      <w:r w:rsidR="00FA7515">
        <w:t>’</w:t>
      </w:r>
      <w:r w:rsidR="00FA7515">
        <w:t xml:space="preserve"> </w:t>
      </w:r>
      <w:r w:rsidR="00FA7515">
        <w:rPr>
          <w:rFonts w:ascii="Times Roman"/>
        </w:rPr>
        <w:t>and museums like</w:t>
      </w:r>
      <w:r>
        <w:rPr>
          <w:rFonts w:ascii="Times Roman"/>
        </w:rPr>
        <w:t xml:space="preserve"> Ulisse Aldrovandi</w:t>
      </w:r>
      <w:r>
        <w:t>’</w:t>
      </w:r>
      <w:r>
        <w:rPr>
          <w:rFonts w:ascii="Times Roman"/>
        </w:rPr>
        <w:t xml:space="preserve">s famous </w:t>
      </w:r>
      <w:r w:rsidR="00FA7515" w:rsidRPr="00FA7515">
        <w:rPr>
          <w:rFonts w:ascii="Times Roman"/>
          <w:i/>
        </w:rPr>
        <w:t>Studio</w:t>
      </w:r>
      <w:r>
        <w:rPr>
          <w:rFonts w:ascii="Times Roman"/>
        </w:rPr>
        <w:t xml:space="preserve"> </w:t>
      </w:r>
      <w:r w:rsidR="00FA7515">
        <w:rPr>
          <w:rFonts w:ascii="Times Roman"/>
        </w:rPr>
        <w:t xml:space="preserve">in Bologna </w:t>
      </w:r>
      <w:r>
        <w:rPr>
          <w:rFonts w:ascii="Times Roman"/>
        </w:rPr>
        <w:t xml:space="preserve">and also within a tradition of </w:t>
      </w:r>
      <w:r>
        <w:t>‘</w:t>
      </w:r>
      <w:r>
        <w:rPr>
          <w:rFonts w:ascii="Times Roman"/>
        </w:rPr>
        <w:t>paper museums</w:t>
      </w:r>
      <w:r>
        <w:t>’</w:t>
      </w:r>
      <w:r>
        <w:rPr>
          <w:rFonts w:ascii="Times Roman"/>
        </w:rPr>
        <w:t>, collections analogous to physi</w:t>
      </w:r>
      <w:r w:rsidR="00430878">
        <w:rPr>
          <w:rFonts w:ascii="Times Roman"/>
        </w:rPr>
        <w:t xml:space="preserve">cal museums, but consisting of </w:t>
      </w:r>
      <w:r>
        <w:rPr>
          <w:rFonts w:ascii="Times Roman"/>
        </w:rPr>
        <w:t xml:space="preserve">pictorial representations rather </w:t>
      </w:r>
      <w:r w:rsidR="00430878">
        <w:rPr>
          <w:rFonts w:ascii="Times Roman"/>
        </w:rPr>
        <w:t>tha</w:t>
      </w:r>
      <w:r>
        <w:rPr>
          <w:rFonts w:ascii="Times Roman"/>
        </w:rPr>
        <w:t>n the objects themselves.</w:t>
      </w:r>
      <w:r>
        <w:rPr>
          <w:rFonts w:ascii="Times New Roman" w:eastAsia="Times New Roman" w:hAnsi="Times New Roman" w:cs="Times New Roman"/>
          <w:position w:val="12"/>
          <w:sz w:val="20"/>
          <w:szCs w:val="20"/>
        </w:rPr>
        <w:endnoteReference w:id="9"/>
      </w:r>
      <w:r>
        <w:rPr>
          <w:rFonts w:ascii="Times Roman"/>
        </w:rPr>
        <w:t xml:space="preserve"> As curator of the collection at the </w:t>
      </w:r>
      <w:r>
        <w:rPr>
          <w:rFonts w:ascii="Times Roman"/>
          <w:i/>
          <w:iCs/>
        </w:rPr>
        <w:t>Collegio romano</w:t>
      </w:r>
      <w:r>
        <w:rPr>
          <w:rFonts w:ascii="Times Roman"/>
        </w:rPr>
        <w:t xml:space="preserve">, Bonanni was at the heart of a network of competing collectors and he clearly drew a number of the </w:t>
      </w:r>
      <w:r>
        <w:t>‘</w:t>
      </w:r>
      <w:r>
        <w:rPr>
          <w:rFonts w:ascii="Times Roman"/>
        </w:rPr>
        <w:t>exhibits</w:t>
      </w:r>
      <w:r>
        <w:t>’</w:t>
      </w:r>
      <w:r>
        <w:t xml:space="preserve"> </w:t>
      </w:r>
      <w:r>
        <w:rPr>
          <w:rFonts w:ascii="Times Roman"/>
        </w:rPr>
        <w:t xml:space="preserve">in his </w:t>
      </w:r>
      <w:r>
        <w:rPr>
          <w:rFonts w:ascii="Times Roman"/>
          <w:i/>
          <w:iCs/>
        </w:rPr>
        <w:t>Gabinetto</w:t>
      </w:r>
      <w:r>
        <w:rPr>
          <w:rFonts w:ascii="Times Roman"/>
        </w:rPr>
        <w:t xml:space="preserve"> directly from his predecessors and contemporaries.</w:t>
      </w:r>
      <w:r>
        <w:rPr>
          <w:rFonts w:ascii="Times New Roman" w:eastAsia="Times New Roman" w:hAnsi="Times New Roman" w:cs="Times New Roman"/>
          <w:position w:val="12"/>
          <w:sz w:val="20"/>
          <w:szCs w:val="20"/>
        </w:rPr>
        <w:endnoteReference w:id="10"/>
      </w:r>
      <w:r>
        <w:rPr>
          <w:rFonts w:ascii="Times Roman"/>
        </w:rPr>
        <w:t xml:space="preserve"> Following their example, and indeed </w:t>
      </w:r>
      <w:r>
        <w:rPr>
          <w:rFonts w:ascii="Times Roman"/>
        </w:rPr>
        <w:lastRenderedPageBreak/>
        <w:t>that of a physical museum, Bonanni</w:t>
      </w:r>
      <w:r>
        <w:t>’</w:t>
      </w:r>
      <w:r>
        <w:rPr>
          <w:rFonts w:ascii="Times Roman"/>
        </w:rPr>
        <w:t xml:space="preserve">s method is to present his curiosities as he finds them; no matter how odd or acoustically implausible they might appear, they merit inclusion simply because they exist and are available. Even if many of his sources are only pictures, they still have the status of established authorities, so for Bonanni to maintain their primacy over modern </w:t>
      </w:r>
      <w:r>
        <w:t>‘</w:t>
      </w:r>
      <w:r>
        <w:rPr>
          <w:rFonts w:ascii="Times Roman"/>
        </w:rPr>
        <w:t>scientific</w:t>
      </w:r>
      <w:r>
        <w:t>’</w:t>
      </w:r>
      <w:r>
        <w:t xml:space="preserve"> </w:t>
      </w:r>
      <w:r>
        <w:rPr>
          <w:rFonts w:ascii="Times Roman"/>
        </w:rPr>
        <w:t>considerations is entirely in keeping with Paula Findlen</w:t>
      </w:r>
      <w:r>
        <w:t>’</w:t>
      </w:r>
      <w:r>
        <w:rPr>
          <w:rFonts w:ascii="Times Roman"/>
        </w:rPr>
        <w:t xml:space="preserve">s characterisation of him as </w:t>
      </w:r>
      <w:r>
        <w:t>‘</w:t>
      </w:r>
      <w:r>
        <w:rPr>
          <w:rFonts w:ascii="Times Roman"/>
        </w:rPr>
        <w:t>the last natural philosopher to regard himself a complete, epistemologically whole Aristotelian</w:t>
      </w:r>
      <w:r>
        <w:t>’</w:t>
      </w:r>
      <w:r>
        <w:rPr>
          <w:rFonts w:ascii="Times Roman"/>
        </w:rPr>
        <w:t>.</w:t>
      </w:r>
      <w:r>
        <w:rPr>
          <w:rFonts w:ascii="Times New Roman" w:eastAsia="Times New Roman" w:hAnsi="Times New Roman" w:cs="Times New Roman"/>
          <w:position w:val="12"/>
          <w:sz w:val="20"/>
          <w:szCs w:val="20"/>
        </w:rPr>
        <w:endnoteReference w:id="11"/>
      </w:r>
      <w:r>
        <w:rPr>
          <w:rFonts w:ascii="Times Roman"/>
        </w:rPr>
        <w:t xml:space="preserve"> </w:t>
      </w:r>
    </w:p>
    <w:p w:rsidR="003555EC" w:rsidRDefault="003555EC">
      <w:pPr>
        <w:pStyle w:val="BodyA"/>
        <w:spacing w:line="480" w:lineRule="auto"/>
      </w:pPr>
    </w:p>
    <w:p w:rsidR="003555EC" w:rsidRDefault="008B259A">
      <w:pPr>
        <w:pStyle w:val="BodyA"/>
        <w:spacing w:line="480" w:lineRule="auto"/>
      </w:pPr>
      <w:r>
        <w:rPr>
          <w:rFonts w:ascii="Times Roman"/>
        </w:rPr>
        <w:t>Bonanni</w:t>
      </w:r>
      <w:r>
        <w:t>’</w:t>
      </w:r>
      <w:r>
        <w:rPr>
          <w:rFonts w:ascii="Times Roman"/>
        </w:rPr>
        <w:t xml:space="preserve">s conception of a printed </w:t>
      </w:r>
      <w:r>
        <w:rPr>
          <w:rFonts w:ascii="Times Roman"/>
          <w:i/>
          <w:iCs/>
        </w:rPr>
        <w:t>Gabinetto armonico</w:t>
      </w:r>
      <w:r>
        <w:rPr>
          <w:rFonts w:ascii="Times Roman"/>
        </w:rPr>
        <w:t xml:space="preserve"> also owes something to a specific real museum, the collection of antiquities established by Kircher in the </w:t>
      </w:r>
      <w:r>
        <w:rPr>
          <w:rFonts w:ascii="Times Roman"/>
          <w:i/>
          <w:iCs/>
        </w:rPr>
        <w:t>Collegio romano</w:t>
      </w:r>
      <w:r>
        <w:rPr>
          <w:rFonts w:ascii="Times Roman"/>
        </w:rPr>
        <w:t>, as has been elucidated in a series of recent articles by Cristina Ghirardini.</w:t>
      </w:r>
      <w:r>
        <w:rPr>
          <w:rFonts w:ascii="Times New Roman" w:eastAsia="Times New Roman" w:hAnsi="Times New Roman" w:cs="Times New Roman"/>
          <w:position w:val="12"/>
          <w:sz w:val="20"/>
          <w:szCs w:val="20"/>
        </w:rPr>
        <w:endnoteReference w:id="12"/>
      </w:r>
      <w:r>
        <w:rPr>
          <w:rFonts w:ascii="Times Roman"/>
        </w:rPr>
        <w:t xml:space="preserve"> When Bonanni took over the curatorship of the </w:t>
      </w:r>
      <w:r>
        <w:rPr>
          <w:rFonts w:ascii="Times Roman"/>
          <w:i/>
          <w:iCs/>
        </w:rPr>
        <w:t>Museo Kircheriano</w:t>
      </w:r>
      <w:r>
        <w:rPr>
          <w:rFonts w:ascii="Times Roman"/>
        </w:rPr>
        <w:t xml:space="preserve"> in 1698, he prepared an illustrated catalogue for it that was in itself a sort of virtual museum.</w:t>
      </w:r>
      <w:r>
        <w:rPr>
          <w:rFonts w:ascii="Times New Roman" w:eastAsia="Times New Roman" w:hAnsi="Times New Roman" w:cs="Times New Roman"/>
          <w:position w:val="12"/>
          <w:sz w:val="20"/>
          <w:szCs w:val="20"/>
        </w:rPr>
        <w:endnoteReference w:id="13"/>
      </w:r>
      <w:r>
        <w:rPr>
          <w:rFonts w:ascii="Times Roman"/>
        </w:rPr>
        <w:t>Amongst other novelties, it included a room filled with musical automata and mechanical devices that was actually called the</w:t>
      </w:r>
      <w:r>
        <w:t xml:space="preserve"> </w:t>
      </w:r>
      <w:r>
        <w:t>‘</w:t>
      </w:r>
      <w:r>
        <w:rPr>
          <w:rFonts w:ascii="Times Roman"/>
        </w:rPr>
        <w:t>gabinetto armonico</w:t>
      </w:r>
      <w:r>
        <w:t>’</w:t>
      </w:r>
      <w:r>
        <w:rPr>
          <w:rFonts w:ascii="Times Roman"/>
        </w:rPr>
        <w:t xml:space="preserve">; in the </w:t>
      </w:r>
      <w:r>
        <w:rPr>
          <w:rFonts w:ascii="Times Roman"/>
          <w:i/>
          <w:iCs/>
        </w:rPr>
        <w:t>proemio</w:t>
      </w:r>
      <w:r>
        <w:rPr>
          <w:rFonts w:ascii="Times Roman"/>
        </w:rPr>
        <w:t xml:space="preserve"> to his book, </w:t>
      </w:r>
      <w:r>
        <w:rPr>
          <w:rFonts w:ascii="Times Roman"/>
        </w:rPr>
        <w:lastRenderedPageBreak/>
        <w:t>Bonanni tells us that it was the variety of sounds made by these automata that had originally suggested to hi</w:t>
      </w:r>
      <w:r w:rsidR="00430878">
        <w:rPr>
          <w:rFonts w:ascii="Times Roman"/>
        </w:rPr>
        <w:t>m the idea of an encyclop</w:t>
      </w:r>
      <w:r>
        <w:rPr>
          <w:rFonts w:ascii="Times Roman"/>
        </w:rPr>
        <w:t xml:space="preserve">edic survey of musical instruments. Recognising that a detailed study of each instrument would be impractical on this scale, he explains that his new </w:t>
      </w:r>
      <w:r>
        <w:t>‘</w:t>
      </w:r>
      <w:r>
        <w:rPr>
          <w:rFonts w:ascii="Times Roman"/>
        </w:rPr>
        <w:t>exhibits</w:t>
      </w:r>
      <w:r>
        <w:t>’</w:t>
      </w:r>
      <w:r>
        <w:t xml:space="preserve"> </w:t>
      </w:r>
      <w:r>
        <w:rPr>
          <w:rFonts w:ascii="Times Roman"/>
        </w:rPr>
        <w:t xml:space="preserve">had to be limited to </w:t>
      </w:r>
      <w:r w:rsidR="00E624A7">
        <w:rPr>
          <w:rFonts w:ascii="Times Roman"/>
        </w:rPr>
        <w:t xml:space="preserve">just their </w:t>
      </w:r>
      <w:r>
        <w:rPr>
          <w:rFonts w:ascii="Times Roman"/>
        </w:rPr>
        <w:t xml:space="preserve">names and the paintings on the walls of the </w:t>
      </w:r>
      <w:r>
        <w:rPr>
          <w:rFonts w:ascii="Times Roman"/>
          <w:i/>
          <w:iCs/>
        </w:rPr>
        <w:t>Museo</w:t>
      </w:r>
      <w:r>
        <w:rPr>
          <w:rFonts w:ascii="Times Roman"/>
        </w:rPr>
        <w:t>, and that these images, newly engraved for publication, are the substance of his book.</w:t>
      </w:r>
    </w:p>
    <w:p w:rsidR="003555EC" w:rsidRDefault="003555EC">
      <w:pPr>
        <w:pStyle w:val="BodyA"/>
        <w:spacing w:line="480" w:lineRule="auto"/>
      </w:pPr>
    </w:p>
    <w:p w:rsidR="003555EC" w:rsidRDefault="008B259A">
      <w:pPr>
        <w:pStyle w:val="BodyA"/>
        <w:spacing w:line="480" w:lineRule="auto"/>
      </w:pPr>
      <w:r>
        <w:rPr>
          <w:rFonts w:ascii="Times Roman"/>
        </w:rPr>
        <w:t xml:space="preserve">In the same passage of the </w:t>
      </w:r>
      <w:r>
        <w:rPr>
          <w:rFonts w:ascii="Times Roman"/>
          <w:i/>
          <w:iCs/>
        </w:rPr>
        <w:t>proemio</w:t>
      </w:r>
      <w:r>
        <w:rPr>
          <w:rFonts w:ascii="Times Roman"/>
        </w:rPr>
        <w:t>, Bonanni sets out his most radical innovation, his procedure of representing each instrument in the hands of a player. Referring to the pictures in the Museo, he says:</w:t>
      </w:r>
    </w:p>
    <w:p w:rsidR="003555EC" w:rsidRDefault="003555EC">
      <w:pPr>
        <w:pStyle w:val="BodyA"/>
        <w:spacing w:line="480" w:lineRule="auto"/>
      </w:pPr>
    </w:p>
    <w:p w:rsidR="003555EC" w:rsidRDefault="008B259A">
      <w:pPr>
        <w:pStyle w:val="BodyA"/>
        <w:spacing w:line="480" w:lineRule="auto"/>
        <w:ind w:left="720" w:right="560"/>
      </w:pPr>
      <w:r>
        <w:t>‘</w:t>
      </w:r>
      <w:r>
        <w:rPr>
          <w:rFonts w:ascii="Times Roman"/>
        </w:rPr>
        <w:t>...perche a me non era possibile farne un'esatta ricerca, mi contentai raccorne solamente li nomi, e rappresentarne in pittura la forma, esprimendone ciascuno in mano del Suonatore proporzionato, acciocch</w:t>
      </w:r>
      <w:r>
        <w:t>è</w:t>
      </w:r>
      <w:r>
        <w:t xml:space="preserve"> </w:t>
      </w:r>
      <w:r>
        <w:rPr>
          <w:rFonts w:ascii="Times Roman"/>
        </w:rPr>
        <w:t xml:space="preserve">si vedesse il Pastore in atto di suonare la Zampogna, ed il Soldato </w:t>
      </w:r>
      <w:r>
        <w:rPr>
          <w:rFonts w:ascii="Times Roman"/>
        </w:rPr>
        <w:lastRenderedPageBreak/>
        <w:t>la Tromba... Onde ciascuno potesse sapere il nome, e l'uso delle Nazioni, dalle quali si adoperano.</w:t>
      </w:r>
      <w:r>
        <w:t>’</w:t>
      </w:r>
      <w:r>
        <w:rPr>
          <w:rFonts w:ascii="Times New Roman" w:eastAsia="Times New Roman" w:hAnsi="Times New Roman" w:cs="Times New Roman"/>
          <w:position w:val="12"/>
          <w:sz w:val="20"/>
          <w:szCs w:val="20"/>
        </w:rPr>
        <w:endnoteReference w:id="14"/>
      </w:r>
      <w:r>
        <w:rPr>
          <w:rFonts w:ascii="Times Roman"/>
        </w:rPr>
        <w:t xml:space="preserve"> </w:t>
      </w:r>
    </w:p>
    <w:p w:rsidR="003555EC" w:rsidRDefault="003555EC">
      <w:pPr>
        <w:pStyle w:val="BodyA"/>
        <w:spacing w:line="480" w:lineRule="auto"/>
        <w:ind w:left="720" w:right="560"/>
      </w:pPr>
    </w:p>
    <w:p w:rsidR="003555EC" w:rsidRDefault="008B259A">
      <w:pPr>
        <w:pStyle w:val="BodyA"/>
        <w:spacing w:line="480" w:lineRule="auto"/>
        <w:ind w:left="720" w:right="560"/>
      </w:pPr>
      <w:r>
        <w:t>‘</w:t>
      </w:r>
      <w:r>
        <w:rPr>
          <w:rFonts w:ascii="Times Roman"/>
        </w:rPr>
        <w:t>...because it was not possible for me to research [all the instruments] in detail, I have satisfied myself with recording only their names and representing their forms in paintings, expressing each in the hands of its appropriate player, so that the shepherd can be seen playing the bagpipe, and the soldier the trumpet.... So that everyone can know its name and the way it is used by the peoples who play it.</w:t>
      </w:r>
      <w:r>
        <w:t>’</w:t>
      </w:r>
    </w:p>
    <w:p w:rsidR="003555EC" w:rsidRDefault="003555EC">
      <w:pPr>
        <w:pStyle w:val="BodyA"/>
        <w:spacing w:line="480" w:lineRule="auto"/>
        <w:ind w:left="720" w:right="560"/>
      </w:pPr>
    </w:p>
    <w:p w:rsidR="003555EC" w:rsidRDefault="008B259A">
      <w:pPr>
        <w:pStyle w:val="BodyA"/>
        <w:spacing w:line="480" w:lineRule="auto"/>
      </w:pPr>
      <w:r>
        <w:rPr>
          <w:rFonts w:ascii="Times Roman"/>
        </w:rPr>
        <w:t>This makes a striking contrast with the ways that musical instruments were typically depicted in other sources from Bonanni</w:t>
      </w:r>
      <w:r>
        <w:t>’</w:t>
      </w:r>
      <w:r>
        <w:rPr>
          <w:rFonts w:ascii="Times Roman"/>
        </w:rPr>
        <w:t>s time. The academic music treatises that he drew on, such as Kircher</w:t>
      </w:r>
      <w:r>
        <w:t>’</w:t>
      </w:r>
      <w:r>
        <w:rPr>
          <w:rFonts w:ascii="Times Roman"/>
        </w:rPr>
        <w:t xml:space="preserve">s </w:t>
      </w:r>
      <w:r>
        <w:rPr>
          <w:rFonts w:ascii="Times Roman"/>
          <w:i/>
          <w:iCs/>
        </w:rPr>
        <w:t>Musurgia universalis</w:t>
      </w:r>
      <w:r>
        <w:rPr>
          <w:rFonts w:ascii="Times Roman"/>
        </w:rPr>
        <w:t xml:space="preserve"> and Marin Mersenne</w:t>
      </w:r>
      <w:r>
        <w:t>’</w:t>
      </w:r>
      <w:r>
        <w:rPr>
          <w:rFonts w:ascii="Times Roman"/>
        </w:rPr>
        <w:t xml:space="preserve">s </w:t>
      </w:r>
      <w:r>
        <w:rPr>
          <w:rFonts w:ascii="Times Roman"/>
          <w:i/>
          <w:iCs/>
        </w:rPr>
        <w:t>Harmonie universelle</w:t>
      </w:r>
      <w:r>
        <w:rPr>
          <w:rFonts w:ascii="Times Roman"/>
        </w:rPr>
        <w:t>, invariably illustrate the instru</w:t>
      </w:r>
      <w:r>
        <w:rPr>
          <w:rFonts w:ascii="Times Roman"/>
        </w:rPr>
        <w:lastRenderedPageBreak/>
        <w:t>ments they discuss as isolated objects against a plain white background without any players. Contemporaneous travel writings, for example Englebert Kaempfer</w:t>
      </w:r>
      <w:r>
        <w:t>’</w:t>
      </w:r>
      <w:r>
        <w:rPr>
          <w:rFonts w:ascii="Times Roman"/>
        </w:rPr>
        <w:t xml:space="preserve">s </w:t>
      </w:r>
      <w:r>
        <w:rPr>
          <w:rFonts w:ascii="Times Roman"/>
          <w:i/>
          <w:iCs/>
        </w:rPr>
        <w:t>Amoenitates Exoticae</w:t>
      </w:r>
      <w:r>
        <w:rPr>
          <w:rFonts w:ascii="Times Roman"/>
        </w:rPr>
        <w:t>, either do the same or else they show general panoramas containing groups of people.</w:t>
      </w:r>
      <w:r>
        <w:rPr>
          <w:rFonts w:ascii="Times New Roman" w:eastAsia="Times New Roman" w:hAnsi="Times New Roman" w:cs="Times New Roman"/>
          <w:position w:val="12"/>
          <w:sz w:val="20"/>
          <w:szCs w:val="20"/>
        </w:rPr>
        <w:endnoteReference w:id="15"/>
      </w:r>
      <w:r>
        <w:rPr>
          <w:rFonts w:ascii="Times Roman"/>
        </w:rPr>
        <w:t xml:space="preserve"> Within the </w:t>
      </w:r>
      <w:r>
        <w:t>‘</w:t>
      </w:r>
      <w:r>
        <w:rPr>
          <w:rFonts w:ascii="Times Roman"/>
        </w:rPr>
        <w:t>paper museum</w:t>
      </w:r>
      <w:r>
        <w:t>’</w:t>
      </w:r>
      <w:r>
        <w:t xml:space="preserve"> </w:t>
      </w:r>
      <w:r>
        <w:rPr>
          <w:rFonts w:ascii="Times Roman"/>
        </w:rPr>
        <w:t>collections, the minority of pictures that include instruments either show them likewise in isolation, or as details in copies taken of classical sculptures or friezes. In the latter cases they are often held as ornaments rather than played and the context is almost exc</w:t>
      </w:r>
      <w:r w:rsidR="00F820E4">
        <w:rPr>
          <w:rFonts w:ascii="Times Roman"/>
        </w:rPr>
        <w:t>lusively antique rather than</w:t>
      </w:r>
      <w:r>
        <w:rPr>
          <w:rFonts w:ascii="Times Roman"/>
        </w:rPr>
        <w:t xml:space="preserve"> contemporary, a point that will be returned to below.</w:t>
      </w:r>
    </w:p>
    <w:p w:rsidR="003555EC" w:rsidRDefault="003555EC">
      <w:pPr>
        <w:pStyle w:val="BodyA"/>
        <w:spacing w:line="480" w:lineRule="auto"/>
      </w:pPr>
    </w:p>
    <w:p w:rsidR="003555EC" w:rsidRDefault="008B259A">
      <w:pPr>
        <w:pStyle w:val="BodyA"/>
        <w:spacing w:line="480" w:lineRule="auto"/>
      </w:pPr>
      <w:r>
        <w:rPr>
          <w:rFonts w:ascii="Times Roman"/>
        </w:rPr>
        <w:t xml:space="preserve">Illustrating each instrument with an individual player to show </w:t>
      </w:r>
      <w:r>
        <w:t>‘</w:t>
      </w:r>
      <w:r>
        <w:rPr>
          <w:rFonts w:ascii="Times Roman"/>
        </w:rPr>
        <w:t>the way it is used by the peoples who play it</w:t>
      </w:r>
      <w:r>
        <w:t>’</w:t>
      </w:r>
      <w:r>
        <w:rPr>
          <w:rFonts w:ascii="Times Roman"/>
        </w:rPr>
        <w:t xml:space="preserve"> was therefore a remarkable stroke of originality, especi</w:t>
      </w:r>
      <w:r w:rsidR="00430878">
        <w:rPr>
          <w:rFonts w:ascii="Times Roman"/>
        </w:rPr>
        <w:t>ally in a work of such encyclop</w:t>
      </w:r>
      <w:r>
        <w:rPr>
          <w:rFonts w:ascii="Times Roman"/>
        </w:rPr>
        <w:t xml:space="preserve">edic scope. The introduction of players as a matter of policy meant that Bonanni had to fly in the face of his stated intention not to go into too much detail over each instrument. A human image necessarily has a gender, an age, a posture, a facial expression, a hairstyle and clothes, all of which are hugely </w:t>
      </w:r>
      <w:r>
        <w:rPr>
          <w:rFonts w:ascii="Times Roman"/>
        </w:rPr>
        <w:lastRenderedPageBreak/>
        <w:t>expressive of their status, ethnicity and a Pandora</w:t>
      </w:r>
      <w:r>
        <w:t>’</w:t>
      </w:r>
      <w:r>
        <w:rPr>
          <w:rFonts w:ascii="Times Roman"/>
        </w:rPr>
        <w:t>s box of other issues. Adding a player raises the stakes, since all of th</w:t>
      </w:r>
      <w:r w:rsidR="00F820E4">
        <w:rPr>
          <w:rFonts w:ascii="Times Roman"/>
        </w:rPr>
        <w:t>ese matters need to be attended to carefully</w:t>
      </w:r>
      <w:r>
        <w:rPr>
          <w:rFonts w:ascii="Times Roman"/>
        </w:rPr>
        <w:t xml:space="preserve"> if the instrument is not to be seriously misrepresented and the authority of the book compromised.</w:t>
      </w:r>
    </w:p>
    <w:p w:rsidR="003555EC" w:rsidRDefault="003555EC">
      <w:pPr>
        <w:pStyle w:val="BodyA"/>
        <w:spacing w:line="480" w:lineRule="auto"/>
      </w:pPr>
    </w:p>
    <w:p w:rsidR="003555EC" w:rsidRPr="00DE1ACB" w:rsidRDefault="008B259A">
      <w:pPr>
        <w:pStyle w:val="BodyA"/>
        <w:spacing w:line="480" w:lineRule="auto"/>
        <w:rPr>
          <w:rFonts w:ascii="Times Roman"/>
        </w:rPr>
      </w:pPr>
      <w:r>
        <w:rPr>
          <w:rFonts w:ascii="Times Roman"/>
        </w:rPr>
        <w:t xml:space="preserve">While the emphasis on human figures may be unprecedented in a Jesuit music treatise, it was the standard modus operandi of another literary genre. Bonanni </w:t>
      </w:r>
      <w:r w:rsidR="00F820E4">
        <w:rPr>
          <w:rFonts w:ascii="Times Roman"/>
        </w:rPr>
        <w:t>may well have had Kircher</w:t>
      </w:r>
      <w:r>
        <w:t>’</w:t>
      </w:r>
      <w:r>
        <w:rPr>
          <w:rFonts w:ascii="Times Roman"/>
        </w:rPr>
        <w:t xml:space="preserve">s </w:t>
      </w:r>
      <w:r>
        <w:rPr>
          <w:rFonts w:ascii="Times Roman"/>
          <w:i/>
          <w:iCs/>
        </w:rPr>
        <w:t xml:space="preserve">Musurgia </w:t>
      </w:r>
      <w:r w:rsidR="00F820E4">
        <w:rPr>
          <w:rFonts w:ascii="Times Roman"/>
          <w:i/>
          <w:iCs/>
        </w:rPr>
        <w:t xml:space="preserve">universalis </w:t>
      </w:r>
      <w:r>
        <w:rPr>
          <w:rFonts w:ascii="Times Roman"/>
        </w:rPr>
        <w:t xml:space="preserve">to hand as he wrote, but another book that he cites frequently is the </w:t>
      </w:r>
      <w:r>
        <w:rPr>
          <w:rFonts w:ascii="Times Roman"/>
          <w:i/>
          <w:iCs/>
        </w:rPr>
        <w:t>Recueil de cent estampes</w:t>
      </w:r>
      <w:r>
        <w:rPr>
          <w:rFonts w:ascii="Times Roman"/>
        </w:rPr>
        <w:t xml:space="preserve"> published by Charles de Ferriol a few years previously.</w:t>
      </w:r>
      <w:r>
        <w:rPr>
          <w:rFonts w:ascii="Times New Roman" w:eastAsia="Times New Roman" w:hAnsi="Times New Roman" w:cs="Times New Roman"/>
          <w:position w:val="12"/>
          <w:sz w:val="20"/>
          <w:szCs w:val="20"/>
        </w:rPr>
        <w:endnoteReference w:id="16"/>
      </w:r>
      <w:r>
        <w:rPr>
          <w:rFonts w:ascii="Times Roman"/>
        </w:rPr>
        <w:t xml:space="preserve"> Ferriol had been the French ambassador to the Ottoman Empire and his book comprises a series of 100 </w:t>
      </w:r>
      <w:r>
        <w:t>‘</w:t>
      </w:r>
      <w:r>
        <w:rPr>
          <w:rFonts w:ascii="Times Roman"/>
        </w:rPr>
        <w:t xml:space="preserve">individual representations of Ottoman </w:t>
      </w:r>
      <w:r>
        <w:t>“</w:t>
      </w:r>
      <w:r>
        <w:rPr>
          <w:rFonts w:ascii="Times Roman"/>
        </w:rPr>
        <w:t>types</w:t>
      </w:r>
      <w:r>
        <w:t>”</w:t>
      </w:r>
      <w:r>
        <w:t xml:space="preserve"> </w:t>
      </w:r>
      <w:r>
        <w:rPr>
          <w:rFonts w:ascii="Times Roman"/>
        </w:rPr>
        <w:t xml:space="preserve">ranging from the sultan and court officials down the social ladder to members of ethnic minorities or to the lowly </w:t>
      </w:r>
      <w:r>
        <w:rPr>
          <w:rFonts w:ascii="Times Roman"/>
          <w:i/>
          <w:iCs/>
        </w:rPr>
        <w:t>boza</w:t>
      </w:r>
      <w:r>
        <w:rPr>
          <w:rFonts w:ascii="Times Roman"/>
        </w:rPr>
        <w:t xml:space="preserve"> vendor on the street, each identified by his particular garb</w:t>
      </w:r>
      <w:r>
        <w:t>’</w:t>
      </w:r>
      <w:r>
        <w:rPr>
          <w:rFonts w:ascii="Times Roman"/>
        </w:rPr>
        <w:t>.</w:t>
      </w:r>
      <w:r>
        <w:rPr>
          <w:rFonts w:ascii="Times New Roman" w:eastAsia="Times New Roman" w:hAnsi="Times New Roman" w:cs="Times New Roman"/>
          <w:position w:val="12"/>
          <w:sz w:val="20"/>
          <w:szCs w:val="20"/>
        </w:rPr>
        <w:endnoteReference w:id="17"/>
      </w:r>
      <w:r>
        <w:rPr>
          <w:rFonts w:ascii="Times Roman"/>
        </w:rPr>
        <w:t xml:space="preserve"> In this respect he was not being particularly original; hundreds of similar books had been produced, </w:t>
      </w:r>
      <w:r>
        <w:rPr>
          <w:rFonts w:ascii="Times Roman"/>
        </w:rPr>
        <w:lastRenderedPageBreak/>
        <w:t>firstly by Europeans in the sixteenth century and then by the Ottomans themselves in the seventeenth.</w:t>
      </w:r>
      <w:r>
        <w:rPr>
          <w:rFonts w:ascii="Times New Roman" w:eastAsia="Times New Roman" w:hAnsi="Times New Roman" w:cs="Times New Roman"/>
          <w:position w:val="12"/>
          <w:sz w:val="20"/>
          <w:szCs w:val="20"/>
        </w:rPr>
        <w:endnoteReference w:id="18"/>
      </w:r>
      <w:r w:rsidR="00DE1ACB">
        <w:rPr>
          <w:rFonts w:ascii="Times Roman"/>
        </w:rPr>
        <w:t xml:space="preserve"> The fact of Bonanni</w:t>
      </w:r>
      <w:r w:rsidR="00DE1ACB">
        <w:t>’</w:t>
      </w:r>
      <w:r w:rsidR="00DE1ACB">
        <w:rPr>
          <w:rFonts w:ascii="Times Roman"/>
        </w:rPr>
        <w:t xml:space="preserve">s knowing the </w:t>
      </w:r>
      <w:r w:rsidR="00DE1ACB">
        <w:rPr>
          <w:rFonts w:ascii="Times Roman"/>
          <w:i/>
          <w:iCs/>
        </w:rPr>
        <w:t>Receuil</w:t>
      </w:r>
      <w:r w:rsidR="00DE1ACB">
        <w:rPr>
          <w:rFonts w:ascii="Times Roman"/>
        </w:rPr>
        <w:t xml:space="preserve"> is established beyond doubt by direct references to it in his text and also his appropriation of three of its images for the </w:t>
      </w:r>
      <w:r w:rsidR="00DE1ACB">
        <w:rPr>
          <w:rFonts w:ascii="Times Roman"/>
          <w:i/>
          <w:iCs/>
        </w:rPr>
        <w:t>Gabinetto</w:t>
      </w:r>
      <w:r w:rsidR="00DE1ACB">
        <w:rPr>
          <w:rFonts w:ascii="Times Roman"/>
        </w:rPr>
        <w:t xml:space="preserve"> along with details taken from two more.</w:t>
      </w:r>
      <w:r w:rsidR="00DE1ACB">
        <w:rPr>
          <w:rFonts w:ascii="Times New Roman" w:eastAsia="Times New Roman" w:hAnsi="Times New Roman" w:cs="Times New Roman"/>
          <w:position w:val="12"/>
          <w:sz w:val="20"/>
          <w:szCs w:val="20"/>
        </w:rPr>
        <w:endnoteReference w:id="19"/>
      </w:r>
      <w:r w:rsidR="00DE1ACB">
        <w:rPr>
          <w:rFonts w:ascii="Times Roman"/>
        </w:rPr>
        <w:t xml:space="preserve"> It is further possible that the images found in costume albums had a more general influence on Bonanni</w:t>
      </w:r>
      <w:r w:rsidR="00DE1ACB">
        <w:t>’</w:t>
      </w:r>
      <w:r w:rsidR="00DE1ACB">
        <w:rPr>
          <w:rFonts w:ascii="Times Roman"/>
        </w:rPr>
        <w:t>s book, by providing him with a template to apply to all his depictions of musical instruments. Ferriol</w:t>
      </w:r>
      <w:r w:rsidR="00DE1ACB">
        <w:t>’</w:t>
      </w:r>
      <w:r w:rsidR="00DE1ACB">
        <w:rPr>
          <w:rFonts w:ascii="Times Roman"/>
        </w:rPr>
        <w:t xml:space="preserve">s images are invariably full-length </w:t>
      </w:r>
      <w:r>
        <w:rPr>
          <w:rFonts w:ascii="Times Roman"/>
        </w:rPr>
        <w:t xml:space="preserve">portraits, as was logical for the depiction of people in their characteristic dress and was the standard practice of costume albums. The images in the </w:t>
      </w:r>
      <w:r>
        <w:rPr>
          <w:rFonts w:ascii="Times Roman"/>
          <w:i/>
          <w:iCs/>
        </w:rPr>
        <w:t>Gabinetto</w:t>
      </w:r>
      <w:r>
        <w:rPr>
          <w:rFonts w:ascii="Times Roman"/>
        </w:rPr>
        <w:t xml:space="preserve"> are likewise consistently full-length portraits, but this is a less obvious procedure for representing musical instruments since these are often much smaller than their players and in some cases can be reduced to tiny details in a scene (as in plates XXVII-XXIX), or </w:t>
      </w:r>
      <w:r w:rsidR="00F820E4">
        <w:rPr>
          <w:rFonts w:ascii="Times Roman"/>
        </w:rPr>
        <w:t xml:space="preserve">can </w:t>
      </w:r>
      <w:r>
        <w:rPr>
          <w:rFonts w:ascii="Times Roman"/>
        </w:rPr>
        <w:t>lack definition (as for example in plate LXIII). Furthermore, Bonanni always gives his subjects as individuals, as Ferriol did, despite</w:t>
      </w:r>
      <w:r w:rsidR="00F820E4">
        <w:rPr>
          <w:rFonts w:ascii="Times Roman"/>
        </w:rPr>
        <w:t xml:space="preserve"> the fact that mu</w:t>
      </w:r>
      <w:r w:rsidR="00E52B05">
        <w:rPr>
          <w:rFonts w:ascii="Times Roman"/>
        </w:rPr>
        <w:t>sicians were equally</w:t>
      </w:r>
      <w:r>
        <w:rPr>
          <w:rFonts w:ascii="Times Roman"/>
        </w:rPr>
        <w:t xml:space="preserve"> likely to have been encountered in ensembles; and lastly he frames them with similarly appropriate backgrounds, whether courtly, classical or rustic.</w:t>
      </w:r>
    </w:p>
    <w:p w:rsidR="003555EC" w:rsidRDefault="003555EC">
      <w:pPr>
        <w:pStyle w:val="BodyA"/>
        <w:spacing w:line="480" w:lineRule="auto"/>
      </w:pPr>
    </w:p>
    <w:p w:rsidR="003555EC" w:rsidRDefault="008B259A">
      <w:pPr>
        <w:pStyle w:val="BodyA"/>
        <w:spacing w:line="480" w:lineRule="auto"/>
      </w:pPr>
      <w:r>
        <w:rPr>
          <w:rFonts w:ascii="Times Roman"/>
        </w:rPr>
        <w:t xml:space="preserve">In cases where Bonanni copies an instrument from a source that originally depicted it against a plain background, he is obliged to supply a player himself. A clear example of this is the </w:t>
      </w:r>
      <w:r>
        <w:t>‘</w:t>
      </w:r>
      <w:r>
        <w:rPr>
          <w:rFonts w:ascii="Times Roman"/>
        </w:rPr>
        <w:t>Salterio Persiano</w:t>
      </w:r>
      <w:r>
        <w:t>’</w:t>
      </w:r>
      <w:r>
        <w:t xml:space="preserve"> </w:t>
      </w:r>
      <w:r>
        <w:rPr>
          <w:rFonts w:ascii="Times Roman"/>
        </w:rPr>
        <w:t>(plate LXX), which he derives from Kaempfer</w:t>
      </w:r>
      <w:r>
        <w:t>’</w:t>
      </w:r>
      <w:r>
        <w:rPr>
          <w:rFonts w:ascii="Times Roman"/>
        </w:rPr>
        <w:t xml:space="preserve">s </w:t>
      </w:r>
      <w:r>
        <w:rPr>
          <w:rFonts w:ascii="Times Roman"/>
          <w:i/>
          <w:iCs/>
        </w:rPr>
        <w:t xml:space="preserve">Amoenitates Exoticae </w:t>
      </w:r>
      <w:r>
        <w:rPr>
          <w:rFonts w:ascii="Times Roman"/>
        </w:rPr>
        <w:t>as is acknowledged in the accompanying ex</w:t>
      </w:r>
      <w:r w:rsidR="00E52B05">
        <w:rPr>
          <w:rFonts w:ascii="Times Roman"/>
        </w:rPr>
        <w:t>planatory rubric. Kaempfer’s</w:t>
      </w:r>
      <w:r>
        <w:rPr>
          <w:rFonts w:ascii="Times Roman"/>
        </w:rPr>
        <w:t xml:space="preserve"> image is a drawing of the instrument on its own, without any supporting context, but Bonanni puts it into the hands of a man depicted upright and full-length, like so many of Ferriol's subjects.</w:t>
      </w:r>
      <w:r>
        <w:rPr>
          <w:rFonts w:ascii="Times New Roman" w:eastAsia="Times New Roman" w:hAnsi="Times New Roman" w:cs="Times New Roman"/>
          <w:position w:val="12"/>
          <w:sz w:val="20"/>
          <w:szCs w:val="20"/>
        </w:rPr>
        <w:endnoteReference w:id="20"/>
      </w:r>
      <w:r>
        <w:rPr>
          <w:rFonts w:ascii="Times Roman"/>
        </w:rPr>
        <w:t xml:space="preserve"> It may be that the features, dress and background of the player are taken from yet another source, or it may be that they have been invented; but either way the conjunction of figure and instrument is most likely original to Bonanni and it seems that the </w:t>
      </w:r>
      <w:r>
        <w:t>‘</w:t>
      </w:r>
      <w:r>
        <w:rPr>
          <w:rFonts w:ascii="Times Roman"/>
        </w:rPr>
        <w:t>povera fanciulla Tedesca</w:t>
      </w:r>
      <w:r>
        <w:t>’</w:t>
      </w:r>
      <w:r>
        <w:t xml:space="preserve"> </w:t>
      </w:r>
      <w:r>
        <w:rPr>
          <w:rFonts w:ascii="Times Roman"/>
        </w:rPr>
        <w:t>was a similar kind of composite, as will be discussed below.</w:t>
      </w:r>
    </w:p>
    <w:p w:rsidR="003555EC" w:rsidRDefault="003555EC">
      <w:pPr>
        <w:pStyle w:val="BodyA"/>
        <w:spacing w:line="480" w:lineRule="auto"/>
      </w:pPr>
    </w:p>
    <w:p w:rsidR="003555EC" w:rsidRDefault="008B259A">
      <w:pPr>
        <w:pStyle w:val="BodyA"/>
        <w:spacing w:line="480" w:lineRule="auto"/>
      </w:pPr>
      <w:r>
        <w:rPr>
          <w:rFonts w:ascii="Times Roman"/>
        </w:rPr>
        <w:lastRenderedPageBreak/>
        <w:t>The adoption of the costume album model exemplified by Ferriol</w:t>
      </w:r>
      <w:r>
        <w:t>’</w:t>
      </w:r>
      <w:r>
        <w:rPr>
          <w:rFonts w:ascii="Times Roman"/>
        </w:rPr>
        <w:t xml:space="preserve">s </w:t>
      </w:r>
      <w:r>
        <w:rPr>
          <w:rFonts w:ascii="Times Roman"/>
          <w:i/>
          <w:iCs/>
        </w:rPr>
        <w:t xml:space="preserve">Receuil </w:t>
      </w:r>
      <w:r>
        <w:rPr>
          <w:rFonts w:ascii="Times Roman"/>
        </w:rPr>
        <w:t>for representing players in a work dedicated entirely to music - a subject where scholarship was so deeply rooted in the tradition of Kircher and Mersenne - is unprecedented and represents a profound change of emphasis. Now the images of players, all printed as individual plates, on full pages, become the discourse in themselves, reversing the old practice so that the accompanying text is ancillary to the image, rather than vice-versa. From a modern perspective it is particularly fascinating to see the study of instruments go from little more than a footnote to the more serious business of mathematics and cosmology to something that seems to anticipate the more human-oriented concerns of twenty-first century ethnomusicology in a single publication. There may be pitfalls in applying this approach to ancient or exotic instruments, but at the same time it makes Bonanni a unique and compelling witness when he illustrates music-making in early eighteenth-century Rome.</w:t>
      </w:r>
    </w:p>
    <w:p w:rsidR="003555EC" w:rsidRDefault="003555EC">
      <w:pPr>
        <w:pStyle w:val="BodyA"/>
        <w:spacing w:line="480" w:lineRule="auto"/>
      </w:pPr>
    </w:p>
    <w:p w:rsidR="003555EC" w:rsidRDefault="008B259A">
      <w:pPr>
        <w:pStyle w:val="BodyA"/>
        <w:spacing w:line="480" w:lineRule="auto"/>
      </w:pPr>
      <w:r>
        <w:tab/>
      </w:r>
      <w:r>
        <w:rPr>
          <w:rFonts w:ascii="Times Roman"/>
          <w:b/>
          <w:bCs/>
        </w:rPr>
        <w:t xml:space="preserve">The </w:t>
      </w:r>
      <w:r>
        <w:rPr>
          <w:b/>
          <w:bCs/>
        </w:rPr>
        <w:t>‘</w:t>
      </w:r>
      <w:r>
        <w:rPr>
          <w:rFonts w:ascii="Times Roman"/>
          <w:b/>
          <w:bCs/>
        </w:rPr>
        <w:t>Salterio Tedesco</w:t>
      </w:r>
      <w:r>
        <w:rPr>
          <w:b/>
          <w:bCs/>
        </w:rPr>
        <w:t>’</w:t>
      </w:r>
    </w:p>
    <w:p w:rsidR="000B17D7" w:rsidRDefault="008B259A">
      <w:pPr>
        <w:pStyle w:val="BodyA"/>
        <w:spacing w:line="480" w:lineRule="auto"/>
        <w:rPr>
          <w:rFonts w:ascii="Times Roman"/>
        </w:rPr>
      </w:pPr>
      <w:r>
        <w:rPr>
          <w:rFonts w:ascii="Times Roman"/>
        </w:rPr>
        <w:lastRenderedPageBreak/>
        <w:t xml:space="preserve">An example of this is his depiction of the </w:t>
      </w:r>
      <w:r>
        <w:t>‘</w:t>
      </w:r>
      <w:r>
        <w:rPr>
          <w:rFonts w:ascii="Times Roman"/>
        </w:rPr>
        <w:t>Salterio Tedesco</w:t>
      </w:r>
      <w:r>
        <w:t>’</w:t>
      </w:r>
      <w:r>
        <w:t xml:space="preserve"> </w:t>
      </w:r>
      <w:r>
        <w:rPr>
          <w:rFonts w:ascii="Times Roman"/>
        </w:rPr>
        <w:t>on plate LXIV</w:t>
      </w:r>
      <w:r w:rsidR="000B17D7">
        <w:rPr>
          <w:rFonts w:ascii="Times Roman"/>
        </w:rPr>
        <w:t xml:space="preserve"> (see Figure 2)</w:t>
      </w:r>
      <w:r>
        <w:rPr>
          <w:rFonts w:ascii="Times Roman"/>
        </w:rPr>
        <w:t>.</w:t>
      </w:r>
    </w:p>
    <w:p w:rsidR="002C00E4" w:rsidRDefault="002C00E4">
      <w:pPr>
        <w:rPr>
          <w:rFonts w:ascii="Times Roman" w:hAnsi="Times Roman" w:cs="Arial Unicode MS"/>
          <w:color w:val="000000"/>
          <w:u w:color="000000"/>
          <w:lang w:eastAsia="en-GB"/>
        </w:rPr>
      </w:pPr>
      <w:r>
        <w:rPr>
          <w:rFonts w:ascii="Times Roman" w:hint="eastAsia"/>
        </w:rPr>
        <w:br w:type="page"/>
      </w:r>
    </w:p>
    <w:p w:rsidR="000B17D7" w:rsidRDefault="000B17D7">
      <w:pPr>
        <w:pStyle w:val="BodyA"/>
        <w:spacing w:line="480" w:lineRule="auto"/>
        <w:rPr>
          <w:rFonts w:ascii="Times Roman"/>
        </w:rPr>
      </w:pPr>
    </w:p>
    <w:p w:rsidR="000B17D7" w:rsidRDefault="000B17D7" w:rsidP="000B17D7">
      <w:pPr>
        <w:pStyle w:val="BodyA"/>
        <w:spacing w:line="480" w:lineRule="auto"/>
        <w:rPr>
          <w:rFonts w:ascii="Times Roman"/>
        </w:rPr>
      </w:pPr>
      <w:r>
        <w:rPr>
          <w:rFonts w:ascii="Times Roman"/>
        </w:rPr>
        <w:t xml:space="preserve">Figure 2: Bonanni, </w:t>
      </w:r>
      <w:r w:rsidRPr="008351EE">
        <w:rPr>
          <w:rFonts w:ascii="Times Roman"/>
          <w:i/>
        </w:rPr>
        <w:t>Gabinetto armonico</w:t>
      </w:r>
      <w:r>
        <w:rPr>
          <w:rFonts w:ascii="Times Roman"/>
        </w:rPr>
        <w:t>, plate LXIV</w:t>
      </w:r>
    </w:p>
    <w:p w:rsidR="000B17D7" w:rsidRDefault="002C00E4" w:rsidP="000B17D7">
      <w:pPr>
        <w:pStyle w:val="BodyA"/>
        <w:spacing w:line="480" w:lineRule="auto"/>
        <w:rPr>
          <w:rFonts w:ascii="Times Roman"/>
        </w:rPr>
      </w:pPr>
      <w:r>
        <w:rPr>
          <w:rFonts w:ascii="Verdana" w:hAnsi="Verdana" w:cs="Verdana"/>
          <w:b/>
          <w:bCs/>
          <w:noProof/>
          <w:color w:val="1A1A1A"/>
          <w:sz w:val="30"/>
          <w:szCs w:val="30"/>
          <w:lang w:val="en-GB"/>
        </w:rPr>
        <w:lastRenderedPageBreak/>
        <w:drawing>
          <wp:inline distT="0" distB="0" distL="0" distR="0">
            <wp:extent cx="5727700" cy="7597775"/>
            <wp:effectExtent l="0" t="0" r="635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 (Jon Banks).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7597775"/>
                    </a:xfrm>
                    <a:prstGeom prst="rect">
                      <a:avLst/>
                    </a:prstGeom>
                  </pic:spPr>
                </pic:pic>
              </a:graphicData>
            </a:graphic>
          </wp:inline>
        </w:drawing>
      </w:r>
      <w:r w:rsidR="000B17D7">
        <w:rPr>
          <w:rFonts w:ascii="Verdana" w:hAnsi="Verdana" w:cs="Verdana"/>
          <w:b/>
          <w:bCs/>
          <w:color w:val="1A1A1A"/>
          <w:sz w:val="30"/>
          <w:szCs w:val="30"/>
          <w:lang w:val="en-GB"/>
        </w:rPr>
        <w:t xml:space="preserve">© The British Library </w:t>
      </w:r>
      <w:r w:rsidR="000B17D7">
        <w:rPr>
          <w:rFonts w:ascii="Verdana" w:hAnsi="Verdana" w:cs="Verdana"/>
          <w:b/>
          <w:bCs/>
          <w:color w:val="1A1A1A"/>
          <w:sz w:val="30"/>
          <w:szCs w:val="30"/>
          <w:lang w:val="en-GB"/>
        </w:rPr>
        <w:lastRenderedPageBreak/>
        <w:t>Board, 59.a.14</w:t>
      </w:r>
    </w:p>
    <w:p w:rsidR="000B17D7" w:rsidRDefault="000B17D7">
      <w:pPr>
        <w:pStyle w:val="BodyA"/>
        <w:spacing w:line="480" w:lineRule="auto"/>
        <w:rPr>
          <w:rFonts w:ascii="Times Roman"/>
        </w:rPr>
      </w:pPr>
    </w:p>
    <w:p w:rsidR="003555EC" w:rsidRPr="000B17D7" w:rsidRDefault="008B259A">
      <w:pPr>
        <w:pStyle w:val="BodyA"/>
        <w:spacing w:line="480" w:lineRule="auto"/>
        <w:rPr>
          <w:rFonts w:ascii="Times Roman"/>
        </w:rPr>
      </w:pPr>
      <w:r>
        <w:rPr>
          <w:rFonts w:ascii="Times Roman"/>
        </w:rPr>
        <w:t>Although a number of Bonnani</w:t>
      </w:r>
      <w:r>
        <w:t>’</w:t>
      </w:r>
      <w:r>
        <w:rPr>
          <w:rFonts w:ascii="Times Roman"/>
        </w:rPr>
        <w:t>s images have attracted comment, this one has largely managed to slip through the various nets cast over the collection to date. Since the instrument is European and classical in origin, it is accorded only the briefest of mentions in Ghirardini</w:t>
      </w:r>
      <w:r>
        <w:t>’</w:t>
      </w:r>
      <w:r>
        <w:rPr>
          <w:rFonts w:ascii="Times Roman"/>
        </w:rPr>
        <w:t xml:space="preserve">s account of the exotic and popular instruments in the </w:t>
      </w:r>
      <w:r>
        <w:rPr>
          <w:rFonts w:ascii="Times Roman"/>
          <w:i/>
          <w:iCs/>
        </w:rPr>
        <w:t>Gabinetto</w:t>
      </w:r>
      <w:r>
        <w:rPr>
          <w:rFonts w:ascii="Times Roman"/>
        </w:rPr>
        <w:t>.</w:t>
      </w:r>
      <w:r>
        <w:rPr>
          <w:rFonts w:ascii="Times New Roman" w:eastAsia="Times New Roman" w:hAnsi="Times New Roman" w:cs="Times New Roman"/>
          <w:position w:val="12"/>
          <w:sz w:val="20"/>
          <w:szCs w:val="20"/>
        </w:rPr>
        <w:endnoteReference w:id="21"/>
      </w:r>
      <w:r>
        <w:rPr>
          <w:rFonts w:ascii="Times Roman"/>
        </w:rPr>
        <w:t xml:space="preserve"> Other modern publicatio</w:t>
      </w:r>
      <w:r w:rsidR="00E8314F">
        <w:rPr>
          <w:rFonts w:ascii="Times Roman"/>
        </w:rPr>
        <w:t>ns have discussed the Bonanni’s ‘Salterio Tedesco’</w:t>
      </w:r>
      <w:r>
        <w:rPr>
          <w:rFonts w:ascii="Times Roman"/>
        </w:rPr>
        <w:t xml:space="preserve"> as a generic dulcimer but for the most part do not go into its individual or human aspects.</w:t>
      </w:r>
      <w:r>
        <w:rPr>
          <w:rFonts w:ascii="Times New Roman" w:eastAsia="Times New Roman" w:hAnsi="Times New Roman" w:cs="Times New Roman"/>
          <w:position w:val="12"/>
          <w:sz w:val="20"/>
          <w:szCs w:val="20"/>
        </w:rPr>
        <w:endnoteReference w:id="22"/>
      </w:r>
      <w:r>
        <w:rPr>
          <w:rFonts w:ascii="Times Roman"/>
        </w:rPr>
        <w:t xml:space="preserve"> However, this is a highly unusual depiction, even within Bonanni</w:t>
      </w:r>
      <w:r>
        <w:t>’</w:t>
      </w:r>
      <w:r>
        <w:rPr>
          <w:rFonts w:ascii="Times Roman"/>
        </w:rPr>
        <w:t>s own terms of reference and the way that the picture is assembled, along with the gender and apparen</w:t>
      </w:r>
      <w:r w:rsidR="00E8314F">
        <w:rPr>
          <w:rFonts w:ascii="Times Roman"/>
        </w:rPr>
        <w:t>t status of its player make it</w:t>
      </w:r>
      <w:r>
        <w:rPr>
          <w:rFonts w:ascii="Times Roman"/>
        </w:rPr>
        <w:t xml:space="preserve"> far more than just another illustration of a picturesque instrument.</w:t>
      </w:r>
    </w:p>
    <w:p w:rsidR="003555EC" w:rsidRDefault="003555EC">
      <w:pPr>
        <w:pStyle w:val="BodyA"/>
        <w:spacing w:line="480" w:lineRule="auto"/>
      </w:pPr>
    </w:p>
    <w:p w:rsidR="003555EC" w:rsidRDefault="008B259A">
      <w:pPr>
        <w:pStyle w:val="BodyA"/>
        <w:spacing w:line="480" w:lineRule="auto"/>
      </w:pPr>
      <w:r>
        <w:rPr>
          <w:rFonts w:ascii="Times Roman"/>
        </w:rPr>
        <w:t>It i</w:t>
      </w:r>
      <w:r w:rsidR="00E8314F">
        <w:rPr>
          <w:rFonts w:ascii="Times Roman"/>
        </w:rPr>
        <w:t xml:space="preserve">s possible that Bonanni copied </w:t>
      </w:r>
      <w:r>
        <w:rPr>
          <w:rFonts w:ascii="Times Roman"/>
        </w:rPr>
        <w:t xml:space="preserve">his image directly from an earlier source, but this seems unlikely, for a number of reasons. In the first place, pictures of dulcimers from this period are rare and of great </w:t>
      </w:r>
      <w:r>
        <w:rPr>
          <w:rFonts w:ascii="Times Roman"/>
        </w:rPr>
        <w:lastRenderedPageBreak/>
        <w:t xml:space="preserve">interest to musicologists, such that if one existed in an accessible collection it would be likely to have attracted attention by now. Secondly, Bonanni insists in his written rubric that the </w:t>
      </w:r>
      <w:r>
        <w:t>‘</w:t>
      </w:r>
      <w:r>
        <w:rPr>
          <w:rFonts w:ascii="Times Roman"/>
        </w:rPr>
        <w:t>povera fanciulla Tedesca</w:t>
      </w:r>
      <w:r>
        <w:t>’</w:t>
      </w:r>
      <w:r>
        <w:t xml:space="preserve"> </w:t>
      </w:r>
      <w:r>
        <w:rPr>
          <w:rFonts w:ascii="Times Roman"/>
        </w:rPr>
        <w:t xml:space="preserve">was someone who could be seen on the streets of Rome in his own time (as will be discussed further below), whereas the </w:t>
      </w:r>
      <w:r>
        <w:t>‘</w:t>
      </w:r>
      <w:r>
        <w:rPr>
          <w:rFonts w:ascii="Times Roman"/>
        </w:rPr>
        <w:t>exhibits</w:t>
      </w:r>
      <w:r>
        <w:t>’</w:t>
      </w:r>
      <w:r>
        <w:t xml:space="preserve"> </w:t>
      </w:r>
      <w:r>
        <w:rPr>
          <w:rFonts w:ascii="Times Roman"/>
        </w:rPr>
        <w:t>in paper museums such a</w:t>
      </w:r>
      <w:r w:rsidR="00235835">
        <w:rPr>
          <w:rFonts w:ascii="Times Roman"/>
        </w:rPr>
        <w:t>s</w:t>
      </w:r>
      <w:r>
        <w:rPr>
          <w:rFonts w:ascii="Times Roman"/>
        </w:rPr>
        <w:t xml:space="preserve"> the </w:t>
      </w:r>
      <w:r>
        <w:rPr>
          <w:rFonts w:ascii="Times Roman"/>
          <w:i/>
          <w:iCs/>
        </w:rPr>
        <w:t xml:space="preserve">Galleria </w:t>
      </w:r>
      <w:r>
        <w:rPr>
          <w:rFonts w:ascii="Times Roman"/>
        </w:rPr>
        <w:t>Giustiniana or Cassiano dal Pozzo</w:t>
      </w:r>
      <w:r>
        <w:t>’</w:t>
      </w:r>
      <w:r>
        <w:rPr>
          <w:rFonts w:ascii="Times Roman"/>
        </w:rPr>
        <w:t xml:space="preserve">s </w:t>
      </w:r>
      <w:r>
        <w:rPr>
          <w:rFonts w:ascii="Times Roman"/>
          <w:i/>
          <w:iCs/>
        </w:rPr>
        <w:t>Museo cartaceo</w:t>
      </w:r>
      <w:r>
        <w:rPr>
          <w:rFonts w:ascii="Times Roman"/>
        </w:rPr>
        <w:t xml:space="preserve"> are almost exclusively antique and sculptural.</w:t>
      </w:r>
      <w:r>
        <w:rPr>
          <w:rFonts w:ascii="Times New Roman" w:eastAsia="Times New Roman" w:hAnsi="Times New Roman" w:cs="Times New Roman"/>
          <w:position w:val="12"/>
          <w:sz w:val="20"/>
          <w:szCs w:val="20"/>
        </w:rPr>
        <w:endnoteReference w:id="23"/>
      </w:r>
      <w:r>
        <w:rPr>
          <w:rFonts w:ascii="Times Roman"/>
        </w:rPr>
        <w:t xml:space="preserve"> While costume albums on the other hand do </w:t>
      </w:r>
      <w:r w:rsidR="002D01C2">
        <w:rPr>
          <w:rFonts w:ascii="Times Roman"/>
        </w:rPr>
        <w:t>show ostensibly contemporary</w:t>
      </w:r>
      <w:r>
        <w:rPr>
          <w:rFonts w:ascii="Times Roman"/>
        </w:rPr>
        <w:t xml:space="preserve"> figures, they rarely show musicians, with Ferriol being somewhat exceptional in this regard. Even then, only six out of 100 plates in the </w:t>
      </w:r>
      <w:r>
        <w:rPr>
          <w:rFonts w:ascii="Times Roman"/>
          <w:i/>
          <w:iCs/>
        </w:rPr>
        <w:t xml:space="preserve">Recueil </w:t>
      </w:r>
      <w:r>
        <w:rPr>
          <w:rFonts w:ascii="Times Roman"/>
        </w:rPr>
        <w:t>include instruments, where they seem intended as adjuncts to their players and not the focus of the pictures in themselves.</w:t>
      </w:r>
    </w:p>
    <w:p w:rsidR="003555EC" w:rsidRDefault="003555EC">
      <w:pPr>
        <w:pStyle w:val="BodyA"/>
        <w:spacing w:line="480" w:lineRule="auto"/>
      </w:pPr>
    </w:p>
    <w:p w:rsidR="003555EC" w:rsidRDefault="008B259A">
      <w:pPr>
        <w:pStyle w:val="BodyA"/>
        <w:spacing w:line="480" w:lineRule="auto"/>
      </w:pPr>
      <w:r>
        <w:rPr>
          <w:rFonts w:ascii="Times Roman"/>
        </w:rPr>
        <w:t>Another possibility is that Bonanni</w:t>
      </w:r>
      <w:r>
        <w:t>’</w:t>
      </w:r>
      <w:r>
        <w:rPr>
          <w:rFonts w:ascii="Times Roman"/>
        </w:rPr>
        <w:t>s instrument and player could have been taken from two different sources and superimposed. The picture shows every sign of having been made in this way, since the instrument is shown at an impossi</w:t>
      </w:r>
      <w:r w:rsidR="00235835">
        <w:rPr>
          <w:rFonts w:ascii="Times Roman"/>
        </w:rPr>
        <w:t>ble angle to the player, the</w:t>
      </w:r>
      <w:r>
        <w:rPr>
          <w:rFonts w:ascii="Times Roman"/>
        </w:rPr>
        <w:t xml:space="preserve"> hammers are impractically long and </w:t>
      </w:r>
      <w:r>
        <w:rPr>
          <w:rFonts w:ascii="Times Roman"/>
        </w:rPr>
        <w:lastRenderedPageBreak/>
        <w:t xml:space="preserve">there are no supporting straps, a pictorial awkwardness that is unique in the </w:t>
      </w:r>
      <w:r>
        <w:rPr>
          <w:rFonts w:ascii="Times Roman"/>
          <w:i/>
          <w:iCs/>
        </w:rPr>
        <w:t>Gabinetto</w:t>
      </w:r>
      <w:r>
        <w:rPr>
          <w:rFonts w:ascii="Times Roman"/>
        </w:rPr>
        <w:t>. The instrument could have been cop</w:t>
      </w:r>
      <w:r w:rsidR="00363126">
        <w:rPr>
          <w:rFonts w:ascii="Times Roman"/>
        </w:rPr>
        <w:t>i</w:t>
      </w:r>
      <w:r>
        <w:rPr>
          <w:rFonts w:ascii="Times Roman"/>
        </w:rPr>
        <w:t xml:space="preserve">ed from any number of examples since the </w:t>
      </w:r>
      <w:r w:rsidR="00C104D6">
        <w:rPr>
          <w:rFonts w:ascii="Times Roman"/>
        </w:rPr>
        <w:t>‘</w:t>
      </w:r>
      <w:r>
        <w:rPr>
          <w:rFonts w:ascii="Times Roman"/>
        </w:rPr>
        <w:t>salterio</w:t>
      </w:r>
      <w:r w:rsidR="00C104D6">
        <w:rPr>
          <w:rFonts w:ascii="Times Roman"/>
        </w:rPr>
        <w:t>’</w:t>
      </w:r>
      <w:r>
        <w:rPr>
          <w:rFonts w:ascii="Times Roman"/>
        </w:rPr>
        <w:t xml:space="preserve"> was clearly popular in early eighteenth-century Rome, but it may yet prove possible to trace a more specific model for the player. A costume book is more likely than a paper museum as a source because of the informality of her pose, but even so the distinctive position of her arms would have had to be adapted for her new role and a positive identification may be hard to prove, especially if her dress was altered too.</w:t>
      </w:r>
    </w:p>
    <w:p w:rsidR="003555EC" w:rsidRDefault="003555EC">
      <w:pPr>
        <w:pStyle w:val="BodyA"/>
        <w:spacing w:line="480" w:lineRule="auto"/>
      </w:pPr>
    </w:p>
    <w:p w:rsidR="003555EC" w:rsidRDefault="008B259A">
      <w:pPr>
        <w:pStyle w:val="BodyA"/>
        <w:spacing w:line="480" w:lineRule="auto"/>
      </w:pPr>
      <w:r>
        <w:rPr>
          <w:rFonts w:ascii="Times Roman"/>
        </w:rPr>
        <w:t>Whichever way, Bonanni</w:t>
      </w:r>
      <w:r>
        <w:t>’</w:t>
      </w:r>
      <w:r>
        <w:rPr>
          <w:rFonts w:ascii="Times Roman"/>
        </w:rPr>
        <w:t xml:space="preserve">s verbal description of the </w:t>
      </w:r>
      <w:r>
        <w:t>‘</w:t>
      </w:r>
      <w:r>
        <w:rPr>
          <w:rFonts w:ascii="Times Roman"/>
        </w:rPr>
        <w:t xml:space="preserve">povera fanciulla' as living in his own day implies that she was conjoined with the instrument at some time more or less contemporary with the </w:t>
      </w:r>
      <w:r>
        <w:rPr>
          <w:rFonts w:ascii="Times Roman"/>
          <w:i/>
          <w:iCs/>
        </w:rPr>
        <w:t>Gabinetto</w:t>
      </w:r>
      <w:r>
        <w:rPr>
          <w:rFonts w:ascii="Times Roman"/>
        </w:rPr>
        <w:t xml:space="preserve"> and there is much to suggest that it was at the instigation of Bonanni</w:t>
      </w:r>
      <w:r w:rsidR="00235835">
        <w:rPr>
          <w:rFonts w:ascii="Times Roman"/>
        </w:rPr>
        <w:t xml:space="preserve"> himself. Compiling an encyclop</w:t>
      </w:r>
      <w:r>
        <w:rPr>
          <w:rFonts w:ascii="Times Roman"/>
        </w:rPr>
        <w:t>edic collection of musical instruments and their players gave him a unique reason to make this peculiar pairing and it is clear from his divergencies from Kircher</w:t>
      </w:r>
      <w:r>
        <w:t>’</w:t>
      </w:r>
      <w:r>
        <w:rPr>
          <w:rFonts w:ascii="Times Roman"/>
        </w:rPr>
        <w:t xml:space="preserve">s account of the </w:t>
      </w:r>
      <w:r>
        <w:t>‘</w:t>
      </w:r>
      <w:r>
        <w:rPr>
          <w:rFonts w:ascii="Times Roman"/>
        </w:rPr>
        <w:t>Psalterium</w:t>
      </w:r>
      <w:r>
        <w:t>’</w:t>
      </w:r>
      <w:r>
        <w:t xml:space="preserve"> </w:t>
      </w:r>
      <w:r>
        <w:rPr>
          <w:rFonts w:ascii="Times Roman"/>
        </w:rPr>
        <w:t xml:space="preserve">(discussed below) that he is not simply rehearsing a received authority on this occasion, in </w:t>
      </w:r>
      <w:r>
        <w:rPr>
          <w:rFonts w:ascii="Times Roman"/>
        </w:rPr>
        <w:lastRenderedPageBreak/>
        <w:t xml:space="preserve">spite of his Aristotelian leanings. Moreover, this would not be the only instance of an instrument being supplied with a player from another source in his </w:t>
      </w:r>
      <w:r>
        <w:rPr>
          <w:rFonts w:ascii="Times Roman"/>
          <w:i/>
          <w:iCs/>
        </w:rPr>
        <w:t>Gabinetto,</w:t>
      </w:r>
      <w:r>
        <w:rPr>
          <w:rFonts w:ascii="Times Roman"/>
        </w:rPr>
        <w:t xml:space="preserve"> as is demonstrated by the </w:t>
      </w:r>
      <w:r>
        <w:t>‘</w:t>
      </w:r>
      <w:r>
        <w:rPr>
          <w:rFonts w:ascii="Times Roman"/>
        </w:rPr>
        <w:t>Salterio Persiano</w:t>
      </w:r>
      <w:r>
        <w:t>’</w:t>
      </w:r>
      <w:r>
        <w:t xml:space="preserve"> </w:t>
      </w:r>
      <w:r>
        <w:rPr>
          <w:rFonts w:ascii="Times Roman"/>
        </w:rPr>
        <w:t>player on plate LXX that he took from Kaempfer.</w:t>
      </w:r>
    </w:p>
    <w:p w:rsidR="003555EC" w:rsidRDefault="003555EC">
      <w:pPr>
        <w:pStyle w:val="BodyA"/>
        <w:spacing w:line="480" w:lineRule="auto"/>
      </w:pPr>
    </w:p>
    <w:p w:rsidR="003555EC" w:rsidRDefault="008B259A">
      <w:pPr>
        <w:pStyle w:val="BodyA"/>
        <w:spacing w:line="480" w:lineRule="auto"/>
      </w:pPr>
      <w:r>
        <w:rPr>
          <w:rFonts w:ascii="Times Roman"/>
        </w:rPr>
        <w:t>Bonanni</w:t>
      </w:r>
      <w:r>
        <w:t>’</w:t>
      </w:r>
      <w:r>
        <w:rPr>
          <w:rFonts w:ascii="Times Roman"/>
        </w:rPr>
        <w:t xml:space="preserve">s full accompanying text for the </w:t>
      </w:r>
      <w:r>
        <w:t>‘</w:t>
      </w:r>
      <w:r>
        <w:rPr>
          <w:rFonts w:ascii="Times Roman"/>
        </w:rPr>
        <w:t>Salterio Tedesco</w:t>
      </w:r>
      <w:r>
        <w:t>’</w:t>
      </w:r>
      <w:r>
        <w:t xml:space="preserve"> </w:t>
      </w:r>
      <w:r>
        <w:rPr>
          <w:rFonts w:ascii="Times Roman"/>
        </w:rPr>
        <w:t>is as follows:</w:t>
      </w:r>
    </w:p>
    <w:p w:rsidR="003555EC" w:rsidRDefault="003555EC">
      <w:pPr>
        <w:pStyle w:val="BodyA"/>
        <w:spacing w:line="480" w:lineRule="auto"/>
      </w:pPr>
    </w:p>
    <w:p w:rsidR="003555EC" w:rsidRDefault="008B259A">
      <w:pPr>
        <w:pStyle w:val="BodyA"/>
        <w:spacing w:line="480" w:lineRule="auto"/>
        <w:ind w:left="720" w:right="560" w:firstLine="400"/>
      </w:pPr>
      <w:r>
        <w:rPr>
          <w:rFonts w:ascii="Times Roman"/>
        </w:rPr>
        <w:tab/>
        <w:t>Un</w:t>
      </w:r>
      <w:r>
        <w:t>’</w:t>
      </w:r>
      <w:r>
        <w:rPr>
          <w:rFonts w:ascii="Times Roman"/>
        </w:rPr>
        <w:t>altro modo si usa nel suonare il Salterio, il suono di cui riesce non meno soave, percotendosi le corde con due bacchette lunghe circa un palmo, e sottili, nel modo indicato nella figura posta sotto questo numero, che raperesenta una povera fanciulla Tedesca, la quale in tempo in cui scrivo si vede per le contrade di Roma: onde molti sono allettati ad apprendere l</w:t>
      </w:r>
      <w:r>
        <w:t>’</w:t>
      </w:r>
      <w:r>
        <w:rPr>
          <w:rFonts w:ascii="Times Roman"/>
        </w:rPr>
        <w:t xml:space="preserve">arte di suonarlo, mentre </w:t>
      </w:r>
      <w:r>
        <w:t>è</w:t>
      </w:r>
      <w:r>
        <w:t xml:space="preserve"> </w:t>
      </w:r>
      <w:r>
        <w:rPr>
          <w:rFonts w:ascii="Times Roman"/>
        </w:rPr>
        <w:t xml:space="preserve">ugualmente facile, e dilettevole. Frequente </w:t>
      </w:r>
      <w:r>
        <w:t>è</w:t>
      </w:r>
      <w:r>
        <w:t xml:space="preserve"> </w:t>
      </w:r>
      <w:r>
        <w:rPr>
          <w:rFonts w:ascii="Times Roman"/>
        </w:rPr>
        <w:t>l</w:t>
      </w:r>
      <w:r>
        <w:t>’</w:t>
      </w:r>
      <w:r>
        <w:rPr>
          <w:rFonts w:ascii="Times Roman"/>
        </w:rPr>
        <w:t>uso di tal</w:t>
      </w:r>
      <w:r>
        <w:t>’</w:t>
      </w:r>
      <w:r>
        <w:rPr>
          <w:rFonts w:ascii="Times Roman"/>
        </w:rPr>
        <w:t>Istromento nella Germania, e f</w:t>
      </w:r>
      <w:r>
        <w:t>ù</w:t>
      </w:r>
      <w:r>
        <w:t xml:space="preserve"> </w:t>
      </w:r>
      <w:r>
        <w:rPr>
          <w:rFonts w:ascii="Times Roman"/>
        </w:rPr>
        <w:t>usato dagl</w:t>
      </w:r>
      <w:r>
        <w:t>’</w:t>
      </w:r>
      <w:r>
        <w:rPr>
          <w:rFonts w:ascii="Times Roman"/>
        </w:rPr>
        <w:t>Antichi, onde appresso Ateneo nel lib. 4. cap. 24. si legge che un tal</w:t>
      </w:r>
      <w:r>
        <w:t>’</w:t>
      </w:r>
      <w:r>
        <w:rPr>
          <w:rFonts w:ascii="Times Roman"/>
        </w:rPr>
        <w:t>Alessandro Citerio lo perfezion</w:t>
      </w:r>
      <w:r>
        <w:t>ò</w:t>
      </w:r>
      <w:r>
        <w:rPr>
          <w:rFonts w:ascii="Times Roman"/>
        </w:rPr>
        <w:t xml:space="preserve">, aggingendovi molte corde, e che divenuto </w:t>
      </w:r>
      <w:r>
        <w:rPr>
          <w:rFonts w:ascii="Times Roman"/>
        </w:rPr>
        <w:lastRenderedPageBreak/>
        <w:t>vecchio dedic</w:t>
      </w:r>
      <w:r>
        <w:t>ò</w:t>
      </w:r>
      <w:r>
        <w:t xml:space="preserve"> </w:t>
      </w:r>
      <w:r>
        <w:rPr>
          <w:rFonts w:ascii="Times Roman"/>
        </w:rPr>
        <w:t>questo suo Istromento nel Tempio di Diana Essesina; accioch</w:t>
      </w:r>
      <w:r>
        <w:t>è</w:t>
      </w:r>
      <w:r>
        <w:t xml:space="preserve"> </w:t>
      </w:r>
      <w:r>
        <w:rPr>
          <w:rFonts w:ascii="Times Roman"/>
        </w:rPr>
        <w:t>ne remasse alli Posteri la memoria della di lui Perizia.</w:t>
      </w:r>
    </w:p>
    <w:p w:rsidR="003555EC" w:rsidRDefault="008B259A">
      <w:pPr>
        <w:pStyle w:val="BodyA"/>
        <w:spacing w:line="480" w:lineRule="auto"/>
        <w:ind w:left="720" w:right="560" w:firstLine="400"/>
      </w:pPr>
      <w:r>
        <w:rPr>
          <w:rFonts w:ascii="Times Roman"/>
        </w:rPr>
        <w:tab/>
        <w:t>Immortale rimmar</w:t>
      </w:r>
      <w:r>
        <w:t>à</w:t>
      </w:r>
      <w:r>
        <w:t xml:space="preserve"> </w:t>
      </w:r>
      <w:r>
        <w:rPr>
          <w:rFonts w:ascii="Times Roman"/>
        </w:rPr>
        <w:t>(senza dubbio) la Perizia con cui suona il Salterio il degno Sacerdote, e Cittadino di Citt</w:t>
      </w:r>
      <w:r>
        <w:t>à</w:t>
      </w:r>
      <w:r>
        <w:t xml:space="preserve"> </w:t>
      </w:r>
      <w:r>
        <w:rPr>
          <w:rFonts w:ascii="Times Roman"/>
        </w:rPr>
        <w:t>di Castello D. Florido Ubaldi, il quale essendosi dilettato per qualche tempo di suonare varii Stromenti, poscia applicatosi al suono dl Salterio, in cui aggiunse molte corde sino al numero di 29, e sonandolo in forma d</w:t>
      </w:r>
      <w:r>
        <w:t>’</w:t>
      </w:r>
      <w:r>
        <w:rPr>
          <w:rFonts w:ascii="Times Roman"/>
        </w:rPr>
        <w:t xml:space="preserve">Arpa, fece udire tutte le consonanze, chi si odono nel Cimbalo, </w:t>
      </w:r>
      <w:r>
        <w:t>ò</w:t>
      </w:r>
      <w:r>
        <w:t xml:space="preserve"> </w:t>
      </w:r>
      <w:r>
        <w:rPr>
          <w:rFonts w:ascii="Times Roman"/>
        </w:rPr>
        <w:t xml:space="preserve">si arpeggi con le dita, </w:t>
      </w:r>
      <w:r>
        <w:t>ò</w:t>
      </w:r>
      <w:r>
        <w:t xml:space="preserve"> </w:t>
      </w:r>
      <w:r>
        <w:rPr>
          <w:rFonts w:ascii="Times Roman"/>
        </w:rPr>
        <w:t>si percuotino le corde con le bacchette. Tal</w:t>
      </w:r>
      <w:r>
        <w:t>’</w:t>
      </w:r>
      <w:r>
        <w:rPr>
          <w:rFonts w:ascii="Times Roman"/>
        </w:rPr>
        <w:t xml:space="preserve">Istromento non ha grandezza determinata, variandosi secondo il costume del Paese, </w:t>
      </w:r>
      <w:r>
        <w:t>ò</w:t>
      </w:r>
      <w:r>
        <w:t xml:space="preserve"> </w:t>
      </w:r>
      <w:r>
        <w:rPr>
          <w:rFonts w:ascii="Times Roman"/>
        </w:rPr>
        <w:t>il gusto di chi lo suona. L</w:t>
      </w:r>
      <w:r>
        <w:t>’</w:t>
      </w:r>
      <w:r>
        <w:rPr>
          <w:rFonts w:ascii="Times Roman"/>
        </w:rPr>
        <w:t xml:space="preserve">ordinario usato in Italia, </w:t>
      </w:r>
      <w:r>
        <w:t>è</w:t>
      </w:r>
      <w:r>
        <w:t xml:space="preserve"> </w:t>
      </w:r>
      <w:r>
        <w:rPr>
          <w:rFonts w:ascii="Times Roman"/>
        </w:rPr>
        <w:t>lungo circa tr</w:t>
      </w:r>
      <w:r>
        <w:t>è</w:t>
      </w:r>
      <w:r>
        <w:t xml:space="preserve"> </w:t>
      </w:r>
      <w:r>
        <w:rPr>
          <w:rFonts w:ascii="Times Roman"/>
        </w:rPr>
        <w:t>palmi, largo poco meno di due.</w:t>
      </w:r>
      <w:r>
        <w:rPr>
          <w:rFonts w:ascii="Times New Roman" w:eastAsia="Times New Roman" w:hAnsi="Times New Roman" w:cs="Times New Roman"/>
          <w:position w:val="12"/>
          <w:sz w:val="20"/>
          <w:szCs w:val="20"/>
        </w:rPr>
        <w:endnoteReference w:id="24"/>
      </w:r>
    </w:p>
    <w:p w:rsidR="003555EC" w:rsidRDefault="003555EC">
      <w:pPr>
        <w:pStyle w:val="BodyA"/>
        <w:spacing w:line="480" w:lineRule="auto"/>
        <w:ind w:left="720" w:right="560" w:firstLine="400"/>
        <w:rPr>
          <w:i/>
          <w:iCs/>
        </w:rPr>
      </w:pPr>
    </w:p>
    <w:p w:rsidR="003555EC" w:rsidRDefault="008B259A">
      <w:pPr>
        <w:pStyle w:val="BodyA"/>
        <w:spacing w:line="480" w:lineRule="auto"/>
        <w:ind w:left="720" w:right="560" w:firstLine="400"/>
        <w:rPr>
          <w:i/>
          <w:iCs/>
        </w:rPr>
      </w:pPr>
      <w:r>
        <w:rPr>
          <w:rFonts w:ascii="Times Roman"/>
          <w:i/>
          <w:iCs/>
        </w:rPr>
        <w:lastRenderedPageBreak/>
        <w:tab/>
        <w:t>There is another way of playing the Salterio which produces just as sweet a sound, by striking the strings with two thin sticks of about a palm long, as indicated in the picture accompanying this passage, that shows a poor German girl, who at the time of writing can be seen around the streets of Rome. Wherefore many people are attracted to learn the art of playing it, since it is both easy and enjoyable. This kind of instrument is widely used in Germany and it was also known in ancient times, as in Ateneo, book 4, chapter 24, we read that a certain Alessandro Citerio perfected it, adding many strings, and that in his old age he dedicated his instrument in the temple of Diana Essesina, so that the memory of his skill would be handed down to posterity.</w:t>
      </w:r>
    </w:p>
    <w:p w:rsidR="003555EC" w:rsidRDefault="008B259A">
      <w:pPr>
        <w:pStyle w:val="BodyA"/>
        <w:spacing w:line="480" w:lineRule="auto"/>
        <w:ind w:left="720" w:right="560" w:firstLine="400"/>
      </w:pPr>
      <w:r>
        <w:rPr>
          <w:rFonts w:ascii="Times Roman"/>
          <w:i/>
          <w:iCs/>
        </w:rPr>
        <w:tab/>
        <w:t>The skill in playing the Salterio of the worthy priest and citizen of Citt</w:t>
      </w:r>
      <w:r>
        <w:rPr>
          <w:i/>
          <w:iCs/>
        </w:rPr>
        <w:t>à</w:t>
      </w:r>
      <w:r>
        <w:rPr>
          <w:i/>
          <w:iCs/>
        </w:rPr>
        <w:t xml:space="preserve"> </w:t>
      </w:r>
      <w:r>
        <w:rPr>
          <w:rFonts w:ascii="Times Roman"/>
          <w:i/>
          <w:iCs/>
        </w:rPr>
        <w:t xml:space="preserve">di Castello, Don Florido Ubaldi, will undoubtedly endure for ever. Having delighted in playing various instruments for some time, he then turned to the sound of the Salterio, increasing the number of strings up to twenty-nine. Playing it like a harp, he drew from it all the consonances that can be heard on the harpsichord, by both plucking it with his fingers like a harp, or striking </w:t>
      </w:r>
      <w:r>
        <w:rPr>
          <w:rFonts w:ascii="Times Roman"/>
          <w:i/>
          <w:iCs/>
        </w:rPr>
        <w:lastRenderedPageBreak/>
        <w:t>the strings with the hammers. This type of instrument does not have a fixed size and varies according to the customs of the country and the player's taste. The one commonly used in Italy is about three palms long and a little less than two palms wide.</w:t>
      </w:r>
    </w:p>
    <w:p w:rsidR="003555EC" w:rsidRDefault="003555EC">
      <w:pPr>
        <w:pStyle w:val="BodyA"/>
        <w:spacing w:line="480" w:lineRule="auto"/>
        <w:ind w:left="720" w:right="560" w:firstLine="400"/>
      </w:pPr>
    </w:p>
    <w:p w:rsidR="003555EC" w:rsidRDefault="008B259A">
      <w:pPr>
        <w:pStyle w:val="BodyA"/>
        <w:spacing w:line="480" w:lineRule="auto"/>
      </w:pPr>
      <w:r>
        <w:rPr>
          <w:rFonts w:ascii="Times Roman"/>
        </w:rPr>
        <w:t xml:space="preserve">Although the opening description of the </w:t>
      </w:r>
      <w:r>
        <w:t>‘</w:t>
      </w:r>
      <w:r>
        <w:rPr>
          <w:rFonts w:ascii="Times Roman"/>
        </w:rPr>
        <w:t>povera fanciulla Tedesca</w:t>
      </w:r>
      <w:r>
        <w:t>’</w:t>
      </w:r>
      <w:r>
        <w:t xml:space="preserve"> </w:t>
      </w:r>
      <w:r>
        <w:rPr>
          <w:rFonts w:ascii="Times Roman"/>
        </w:rPr>
        <w:t>is entirely his own, the details of the two other, older, players that follow echo a similar narrative in Kircher</w:t>
      </w:r>
      <w:r>
        <w:t>’</w:t>
      </w:r>
      <w:r>
        <w:rPr>
          <w:rFonts w:ascii="Times Roman"/>
        </w:rPr>
        <w:t xml:space="preserve">s </w:t>
      </w:r>
      <w:r>
        <w:rPr>
          <w:rFonts w:ascii="Times Roman"/>
          <w:i/>
          <w:iCs/>
        </w:rPr>
        <w:t>Musurgia universalis</w:t>
      </w:r>
      <w:r>
        <w:rPr>
          <w:rFonts w:ascii="Times Roman"/>
        </w:rPr>
        <w:t>:</w:t>
      </w:r>
    </w:p>
    <w:p w:rsidR="003555EC" w:rsidRDefault="003555EC">
      <w:pPr>
        <w:pStyle w:val="BodyA"/>
        <w:spacing w:line="480" w:lineRule="auto"/>
      </w:pPr>
    </w:p>
    <w:p w:rsidR="003555EC" w:rsidRDefault="008B259A">
      <w:pPr>
        <w:pStyle w:val="BodyA"/>
        <w:spacing w:line="480" w:lineRule="auto"/>
        <w:ind w:left="740" w:right="520" w:firstLine="200"/>
      </w:pPr>
      <w:r>
        <w:rPr>
          <w:rFonts w:ascii="Times Roman"/>
        </w:rPr>
        <w:t>Habet huius modi instrumentum hic Romae D. Gio. Maria Canarius insignis musicus, 148 chordis constans: quod uti perit</w:t>
      </w:r>
      <w:r>
        <w:t>è</w:t>
      </w:r>
      <w:r>
        <w:t xml:space="preserve"> </w:t>
      </w:r>
      <w:r>
        <w:rPr>
          <w:rFonts w:ascii="Times Roman"/>
        </w:rPr>
        <w:t>sonat, ita dici quoque non potest, quam insignem amaenam &amp; insolitam harmoniam auribus sistat; dignissimum proinde, ut in eo perfect</w:t>
      </w:r>
      <w:r>
        <w:t>è</w:t>
      </w:r>
      <w:r>
        <w:t xml:space="preserve"> </w:t>
      </w:r>
      <w:r>
        <w:rPr>
          <w:rFonts w:ascii="Times Roman"/>
        </w:rPr>
        <w:t>pulsando peritissimi etiam Magistri sese exerceant.</w:t>
      </w:r>
    </w:p>
    <w:p w:rsidR="003555EC" w:rsidRDefault="008B259A">
      <w:pPr>
        <w:pStyle w:val="BodyA"/>
        <w:spacing w:line="480" w:lineRule="auto"/>
        <w:ind w:left="740" w:right="520" w:firstLine="200"/>
      </w:pPr>
      <w:r>
        <w:rPr>
          <w:rFonts w:ascii="Times Roman"/>
        </w:rPr>
        <w:t>Cum praeterea utraque manu penneis stipulis instructa pulsetur, difficultatem non exiguam habet annexam, ut negotium concinn</w:t>
      </w:r>
      <w:r>
        <w:t>è</w:t>
      </w:r>
      <w:r>
        <w:t xml:space="preserve"> </w:t>
      </w:r>
      <w:r>
        <w:rPr>
          <w:rFonts w:ascii="Times Roman"/>
        </w:rPr>
        <w:t xml:space="preserve">instituatur, dextram itaque agilemque manum requirit </w:t>
      </w:r>
      <w:r>
        <w:rPr>
          <w:rFonts w:ascii="Times Roman"/>
        </w:rPr>
        <w:lastRenderedPageBreak/>
        <w:t>huiusmodi lusus: ut simul, ac chordae stipulis pennaceis sollicitantur, mox reliqui digiti tactu leni chordarum sollicitarum tremorem ad sonorum evitandam confusionem, sistant.</w:t>
      </w:r>
      <w:r>
        <w:rPr>
          <w:rFonts w:ascii="Times New Roman" w:eastAsia="Times New Roman" w:hAnsi="Times New Roman" w:cs="Times New Roman"/>
          <w:position w:val="12"/>
          <w:sz w:val="20"/>
          <w:szCs w:val="20"/>
        </w:rPr>
        <w:endnoteReference w:id="25"/>
      </w:r>
    </w:p>
    <w:p w:rsidR="003555EC" w:rsidRDefault="003555EC">
      <w:pPr>
        <w:pStyle w:val="BodyA"/>
        <w:spacing w:line="480" w:lineRule="auto"/>
        <w:ind w:left="740" w:right="520" w:firstLine="200"/>
      </w:pPr>
    </w:p>
    <w:p w:rsidR="003555EC" w:rsidRDefault="008B259A">
      <w:pPr>
        <w:pStyle w:val="BodyA"/>
        <w:spacing w:line="480" w:lineRule="auto"/>
        <w:ind w:left="740" w:right="520" w:firstLine="200"/>
        <w:rPr>
          <w:i/>
          <w:iCs/>
        </w:rPr>
      </w:pPr>
      <w:r>
        <w:rPr>
          <w:rFonts w:ascii="Times Roman"/>
          <w:i/>
          <w:iCs/>
        </w:rPr>
        <w:t>Here in Rome, the distinguished musician D[on] Gio[vanni] Maria Canarius has such an instrument, consisting of 148 strings; he plays it so ski</w:t>
      </w:r>
      <w:r w:rsidR="002D01C2">
        <w:rPr>
          <w:rFonts w:ascii="Times Roman"/>
          <w:i/>
          <w:iCs/>
        </w:rPr>
        <w:t>l</w:t>
      </w:r>
      <w:r>
        <w:rPr>
          <w:rFonts w:ascii="Times Roman"/>
          <w:i/>
          <w:iCs/>
        </w:rPr>
        <w:t>lfully, that it is impossible to express how noble, lovely and unusual is the harmony that it makes to the ears: accordingly and most properly do the most skilled Masters also practise their playing to perfection by striking it.</w:t>
      </w:r>
    </w:p>
    <w:p w:rsidR="003555EC" w:rsidRDefault="008B259A">
      <w:pPr>
        <w:pStyle w:val="BodyA"/>
        <w:spacing w:line="480" w:lineRule="auto"/>
        <w:ind w:left="740" w:right="500" w:firstLine="200"/>
      </w:pPr>
      <w:r>
        <w:rPr>
          <w:rFonts w:ascii="Times Roman"/>
          <w:i/>
          <w:iCs/>
        </w:rPr>
        <w:t>Moreover, because it is struck with prepared quills by both hands, there is no little difficulty involved in making the thing sound properly, and so this kind of playing requires a dextrous and agile hand; for at the same time as the strings are excited by the quills, the next moment the remaining fingers quieten the tremor of the vibrating strings with a soft touch, to avoid a confusion of sounds.</w:t>
      </w:r>
    </w:p>
    <w:p w:rsidR="003555EC" w:rsidRDefault="003555EC">
      <w:pPr>
        <w:pStyle w:val="BodyA"/>
        <w:spacing w:line="480" w:lineRule="auto"/>
        <w:rPr>
          <w:i/>
          <w:iCs/>
        </w:rPr>
      </w:pPr>
    </w:p>
    <w:p w:rsidR="003555EC" w:rsidRDefault="008B259A">
      <w:pPr>
        <w:pStyle w:val="BodyA"/>
        <w:spacing w:line="480" w:lineRule="auto"/>
      </w:pPr>
      <w:r>
        <w:rPr>
          <w:rFonts w:ascii="Times Roman"/>
        </w:rPr>
        <w:t>As discussed above, Bonanni clearly knew Kircher</w:t>
      </w:r>
      <w:r>
        <w:t>’</w:t>
      </w:r>
      <w:r w:rsidR="002D01C2">
        <w:rPr>
          <w:rFonts w:ascii="Times Roman"/>
        </w:rPr>
        <w:t>s book well, since</w:t>
      </w:r>
      <w:r>
        <w:rPr>
          <w:rFonts w:ascii="Times Roman"/>
        </w:rPr>
        <w:t xml:space="preserve"> he acknowledges his erstwhile master at various points elsewhere in his text, on one occasion even giving a page reference, and it is possible to trace a degree of direct influence from this passage too.</w:t>
      </w:r>
      <w:r>
        <w:rPr>
          <w:rFonts w:ascii="Times New Roman" w:eastAsia="Times New Roman" w:hAnsi="Times New Roman" w:cs="Times New Roman"/>
          <w:position w:val="12"/>
          <w:sz w:val="20"/>
          <w:szCs w:val="20"/>
        </w:rPr>
        <w:endnoteReference w:id="26"/>
      </w:r>
      <w:r>
        <w:rPr>
          <w:rFonts w:ascii="Times Roman"/>
        </w:rPr>
        <w:t xml:space="preserve"> Bonanni calls the instrument </w:t>
      </w:r>
      <w:r>
        <w:t>‘</w:t>
      </w:r>
      <w:r>
        <w:rPr>
          <w:rFonts w:ascii="Times Roman"/>
        </w:rPr>
        <w:t>Salterio</w:t>
      </w:r>
      <w:r>
        <w:t>’</w:t>
      </w:r>
      <w:r>
        <w:rPr>
          <w:rFonts w:ascii="Times Roman"/>
        </w:rPr>
        <w:t>, after Kircher</w:t>
      </w:r>
      <w:r>
        <w:t>’</w:t>
      </w:r>
      <w:r>
        <w:rPr>
          <w:rFonts w:ascii="Times Roman"/>
        </w:rPr>
        <w:t xml:space="preserve">s </w:t>
      </w:r>
      <w:r>
        <w:t>‘</w:t>
      </w:r>
      <w:r>
        <w:rPr>
          <w:rFonts w:ascii="Times Roman"/>
        </w:rPr>
        <w:t>Psalterium</w:t>
      </w:r>
      <w:r>
        <w:t>’</w:t>
      </w:r>
      <w:r>
        <w:rPr>
          <w:rFonts w:ascii="Times Roman"/>
        </w:rPr>
        <w:t>, even though it commonly went by a number of different names; the image of the instrument that he uses looks similar to Kircher</w:t>
      </w:r>
      <w:r>
        <w:t>’</w:t>
      </w:r>
      <w:r>
        <w:rPr>
          <w:rFonts w:ascii="Times Roman"/>
        </w:rPr>
        <w:t>s, though it is not identical, as will be discussed below; both authors devote a disproportionate amount of text to the instrument, given its relatively peripheral importance to the music of the time; and both authors describe individual players in a way that is unique in both their books.</w:t>
      </w:r>
    </w:p>
    <w:p w:rsidR="003555EC" w:rsidRDefault="003555EC">
      <w:pPr>
        <w:pStyle w:val="BodyA"/>
        <w:spacing w:line="480" w:lineRule="auto"/>
      </w:pPr>
    </w:p>
    <w:p w:rsidR="003555EC" w:rsidRDefault="008B259A">
      <w:pPr>
        <w:pStyle w:val="BodyA"/>
        <w:spacing w:line="480" w:lineRule="auto"/>
      </w:pPr>
      <w:r>
        <w:rPr>
          <w:rFonts w:ascii="Times Roman"/>
        </w:rPr>
        <w:t xml:space="preserve">This makes the differences between the two written accounts especially intriguing, even before the image of the </w:t>
      </w:r>
      <w:r>
        <w:t>‘</w:t>
      </w:r>
      <w:r>
        <w:rPr>
          <w:rFonts w:ascii="Times Roman"/>
        </w:rPr>
        <w:t>povera fanciulla</w:t>
      </w:r>
      <w:r>
        <w:t>’</w:t>
      </w:r>
      <w:r>
        <w:t xml:space="preserve"> </w:t>
      </w:r>
      <w:r>
        <w:rPr>
          <w:rFonts w:ascii="Times Roman"/>
        </w:rPr>
        <w:t xml:space="preserve">is considered. To begin with, it is not clear that they are talking about </w:t>
      </w:r>
      <w:r>
        <w:rPr>
          <w:rFonts w:ascii="Times Roman"/>
        </w:rPr>
        <w:lastRenderedPageBreak/>
        <w:t>exactly the same instrument. Bonanni</w:t>
      </w:r>
      <w:r>
        <w:t>’</w:t>
      </w:r>
      <w:r>
        <w:rPr>
          <w:rFonts w:ascii="Times Roman"/>
        </w:rPr>
        <w:t xml:space="preserve">s </w:t>
      </w:r>
      <w:r>
        <w:t>‘</w:t>
      </w:r>
      <w:r>
        <w:rPr>
          <w:rFonts w:ascii="Times Roman"/>
        </w:rPr>
        <w:t>Salterio</w:t>
      </w:r>
      <w:r>
        <w:t>’</w:t>
      </w:r>
      <w:r>
        <w:t xml:space="preserve"> </w:t>
      </w:r>
      <w:r>
        <w:rPr>
          <w:rFonts w:ascii="Times Roman"/>
        </w:rPr>
        <w:t>seems to have about the same size, shape and number of string courses as Kircher</w:t>
      </w:r>
      <w:r>
        <w:t>’</w:t>
      </w:r>
      <w:r>
        <w:rPr>
          <w:rFonts w:ascii="Times Roman"/>
        </w:rPr>
        <w:t xml:space="preserve">s </w:t>
      </w:r>
      <w:r>
        <w:t>‘</w:t>
      </w:r>
      <w:r>
        <w:rPr>
          <w:rFonts w:ascii="Times Roman"/>
        </w:rPr>
        <w:t>Psalterium</w:t>
      </w:r>
      <w:r>
        <w:t>’</w:t>
      </w:r>
      <w:r>
        <w:rPr>
          <w:rFonts w:ascii="Times Roman"/>
        </w:rPr>
        <w:t>, even if the layouts of the bridges, soundholes and hitch pin block are different. However, Kircher describes his instrument as plucked with quills, whereas Bonanni</w:t>
      </w:r>
      <w:r>
        <w:t>’</w:t>
      </w:r>
      <w:r>
        <w:rPr>
          <w:rFonts w:ascii="Times Roman"/>
        </w:rPr>
        <w:t xml:space="preserve">s is either plucked with the fingers, </w:t>
      </w:r>
      <w:r>
        <w:t>‘</w:t>
      </w:r>
      <w:r>
        <w:rPr>
          <w:rFonts w:ascii="Times Roman"/>
        </w:rPr>
        <w:t>like a harp</w:t>
      </w:r>
      <w:r>
        <w:t>’</w:t>
      </w:r>
      <w:r>
        <w:t xml:space="preserve"> </w:t>
      </w:r>
      <w:r>
        <w:rPr>
          <w:rFonts w:ascii="Times Roman"/>
        </w:rPr>
        <w:t>by Don Florido Ubaldi, or struck with hammers, which are referred to unambiguously in his text and also illustrated.</w:t>
      </w:r>
    </w:p>
    <w:p w:rsidR="003555EC" w:rsidRDefault="003555EC">
      <w:pPr>
        <w:pStyle w:val="BodyA"/>
        <w:spacing w:line="480" w:lineRule="auto"/>
      </w:pPr>
    </w:p>
    <w:p w:rsidR="003555EC" w:rsidRDefault="008B259A">
      <w:pPr>
        <w:pStyle w:val="BodyA"/>
        <w:spacing w:line="480" w:lineRule="auto"/>
      </w:pPr>
      <w:r>
        <w:rPr>
          <w:rFonts w:ascii="Times Roman"/>
        </w:rPr>
        <w:t>Secondly, Bonanni offers no description of the physical characteristics of the instrument comparable to the one Kircher gives and his disc</w:t>
      </w:r>
      <w:r w:rsidR="006309E2">
        <w:rPr>
          <w:rFonts w:ascii="Times Roman"/>
        </w:rPr>
        <w:t>ussion of</w:t>
      </w:r>
      <w:r>
        <w:rPr>
          <w:rFonts w:ascii="Times Roman"/>
        </w:rPr>
        <w:t xml:space="preserve"> its classical origins owes nothing to Kircher either. The one thing that they do have in common is that each provides a substantial anecdote about a named aristocratic performer. The individuals in question are different but the coincidence is suggestive since this happens nowhere else in either book. Bonanni</w:t>
      </w:r>
      <w:r>
        <w:t>’</w:t>
      </w:r>
      <w:r w:rsidR="006309E2">
        <w:rPr>
          <w:rFonts w:ascii="Times Roman"/>
        </w:rPr>
        <w:t xml:space="preserve">s third and final story, </w:t>
      </w:r>
      <w:r>
        <w:rPr>
          <w:rFonts w:ascii="Times Roman"/>
        </w:rPr>
        <w:t>that of Don Florido Ubaldi, seems to run parallel to Kircher</w:t>
      </w:r>
      <w:r>
        <w:t>’</w:t>
      </w:r>
      <w:r>
        <w:rPr>
          <w:rFonts w:ascii="Times Roman"/>
        </w:rPr>
        <w:t xml:space="preserve">s account of Don Giovanni Maria Canarius, in that it </w:t>
      </w:r>
      <w:r>
        <w:rPr>
          <w:rFonts w:ascii="Times Roman"/>
        </w:rPr>
        <w:lastRenderedPageBreak/>
        <w:t>concerns a contemporary nobleman or priest. In both cases, the virtuosity of the player, and specifically the use of the fingers as well as the quills or hammers, is stressed.</w:t>
      </w:r>
    </w:p>
    <w:p w:rsidR="003555EC" w:rsidRDefault="003555EC">
      <w:pPr>
        <w:pStyle w:val="BodyA"/>
        <w:spacing w:line="480" w:lineRule="auto"/>
      </w:pPr>
    </w:p>
    <w:p w:rsidR="003555EC" w:rsidRDefault="008B259A">
      <w:pPr>
        <w:pStyle w:val="BodyA"/>
        <w:spacing w:line="480" w:lineRule="auto"/>
      </w:pPr>
      <w:r>
        <w:rPr>
          <w:rFonts w:ascii="Times Roman"/>
        </w:rPr>
        <w:t>Bonanni</w:t>
      </w:r>
      <w:r>
        <w:t>’</w:t>
      </w:r>
      <w:r>
        <w:rPr>
          <w:rFonts w:ascii="Times Roman"/>
        </w:rPr>
        <w:t>s second story, concerning Alessandro Criterio, has no equivalent in Kircher but is consistent with the noble characterisation of the instrument implied by the accounts of Ubaldi and Canarius. Yet t</w:t>
      </w:r>
      <w:r w:rsidR="00235835">
        <w:rPr>
          <w:rFonts w:ascii="Times Roman"/>
        </w:rPr>
        <w:t xml:space="preserve">he first story, the story that </w:t>
      </w:r>
      <w:r>
        <w:rPr>
          <w:rFonts w:ascii="Times Roman"/>
        </w:rPr>
        <w:t xml:space="preserve">he leads with and the one that he illustrates, is of someone entirely different, </w:t>
      </w:r>
      <w:r>
        <w:t>‘</w:t>
      </w:r>
      <w:r>
        <w:rPr>
          <w:rFonts w:ascii="Times Roman"/>
        </w:rPr>
        <w:t>una povera fanciulla Tedesca</w:t>
      </w:r>
      <w:r>
        <w:t>’</w:t>
      </w:r>
      <w:r>
        <w:rPr>
          <w:rFonts w:ascii="Times Roman"/>
        </w:rPr>
        <w:t>. Not only is she a woman, but she is also foreign, decidedly unaristocratic, and not a virtuoso (</w:t>
      </w:r>
      <w:r>
        <w:t>‘</w:t>
      </w:r>
      <w:r>
        <w:rPr>
          <w:rFonts w:ascii="Times Roman"/>
        </w:rPr>
        <w:t>apprendere l</w:t>
      </w:r>
      <w:r>
        <w:t>’</w:t>
      </w:r>
      <w:r>
        <w:rPr>
          <w:rFonts w:ascii="Times Roman"/>
        </w:rPr>
        <w:t xml:space="preserve">arte di suonarlo... </w:t>
      </w:r>
      <w:r>
        <w:t>è</w:t>
      </w:r>
      <w:r>
        <w:t xml:space="preserve"> </w:t>
      </w:r>
      <w:r>
        <w:rPr>
          <w:rFonts w:ascii="Times Roman"/>
        </w:rPr>
        <w:t>ugualmente facile, e dilettevole</w:t>
      </w:r>
      <w:r>
        <w:t>’</w:t>
      </w:r>
      <w:r>
        <w:rPr>
          <w:rFonts w:ascii="Times Roman"/>
        </w:rPr>
        <w:t xml:space="preserve">). Each of these facets of her personality is highly distinctive in someone playing a familiar Italian instrument in the </w:t>
      </w:r>
      <w:r>
        <w:rPr>
          <w:rFonts w:ascii="Times Roman"/>
          <w:i/>
          <w:iCs/>
        </w:rPr>
        <w:t>Gabinetto</w:t>
      </w:r>
      <w:r>
        <w:rPr>
          <w:rFonts w:ascii="Times Roman"/>
        </w:rPr>
        <w:t xml:space="preserve"> and merit interrogation.</w:t>
      </w:r>
    </w:p>
    <w:p w:rsidR="003555EC" w:rsidRDefault="003555EC">
      <w:pPr>
        <w:pStyle w:val="BodyA"/>
        <w:spacing w:line="480" w:lineRule="auto"/>
      </w:pPr>
    </w:p>
    <w:p w:rsidR="003555EC" w:rsidRDefault="008B259A">
      <w:pPr>
        <w:pStyle w:val="BodyA"/>
        <w:spacing w:line="480" w:lineRule="auto"/>
      </w:pPr>
      <w:r>
        <w:rPr>
          <w:rFonts w:ascii="Times Roman"/>
        </w:rPr>
        <w:t xml:space="preserve">Firstly, there is her gender; out of 150 musicians of the </w:t>
      </w:r>
      <w:r>
        <w:rPr>
          <w:rFonts w:ascii="Times Roman"/>
          <w:i/>
          <w:iCs/>
        </w:rPr>
        <w:t>Gabinetto</w:t>
      </w:r>
      <w:r>
        <w:rPr>
          <w:rFonts w:ascii="Times Roman"/>
        </w:rPr>
        <w:t xml:space="preserve">, only sixteen are female. If we discount the eight of them who are cast in the specific role of dancers accompanying themselves on </w:t>
      </w:r>
      <w:r>
        <w:rPr>
          <w:rFonts w:ascii="Times Roman"/>
        </w:rPr>
        <w:lastRenderedPageBreak/>
        <w:t>hand-held percussion,</w:t>
      </w:r>
      <w:r>
        <w:rPr>
          <w:rFonts w:ascii="Times New Roman" w:eastAsia="Times New Roman" w:hAnsi="Times New Roman" w:cs="Times New Roman"/>
          <w:position w:val="12"/>
          <w:sz w:val="20"/>
          <w:szCs w:val="20"/>
        </w:rPr>
        <w:endnoteReference w:id="27"/>
      </w:r>
      <w:r>
        <w:rPr>
          <w:rFonts w:ascii="Times Roman"/>
        </w:rPr>
        <w:t xml:space="preserve"> this leaves only eight playing melodic instruments. Two of them are taken from Ferriol (plates LV and LXIII), leaving just six cases where Bonanni might have put an instrument into a woman</w:t>
      </w:r>
      <w:r>
        <w:t>’</w:t>
      </w:r>
      <w:r>
        <w:rPr>
          <w:rFonts w:ascii="Times Roman"/>
        </w:rPr>
        <w:t>s hands of his own free will.</w:t>
      </w:r>
    </w:p>
    <w:p w:rsidR="003555EC" w:rsidRDefault="003555EC">
      <w:pPr>
        <w:pStyle w:val="BodyA"/>
        <w:spacing w:line="480" w:lineRule="auto"/>
      </w:pPr>
    </w:p>
    <w:p w:rsidR="003555EC" w:rsidRDefault="008B259A">
      <w:pPr>
        <w:pStyle w:val="BodyA"/>
        <w:spacing w:line="480" w:lineRule="auto"/>
      </w:pPr>
      <w:r>
        <w:rPr>
          <w:rFonts w:ascii="Times Roman"/>
        </w:rPr>
        <w:t xml:space="preserve">Three of these form the group of aristocratic keyboard players illustrated on plates XLIII-XLV. These are unremarkable, since the association of aristocratic women with keyboard instruments can be traced back to Castiglione and beyond. To this group may be added the guitarist on plate LI, since Bonanni specifically characterises the guitar as </w:t>
      </w:r>
      <w:r>
        <w:t>‘</w:t>
      </w:r>
      <w:r>
        <w:rPr>
          <w:rFonts w:ascii="Times Roman"/>
        </w:rPr>
        <w:t>suitable for ladies</w:t>
      </w:r>
      <w:r>
        <w:t>’</w:t>
      </w:r>
      <w:r>
        <w:t xml:space="preserve"> </w:t>
      </w:r>
      <w:r>
        <w:rPr>
          <w:rFonts w:ascii="Times Roman"/>
        </w:rPr>
        <w:t xml:space="preserve">and dresses his player appropriately, with no apparent attempt to represent her as foreign despite being </w:t>
      </w:r>
      <w:r>
        <w:t>‘</w:t>
      </w:r>
      <w:r>
        <w:rPr>
          <w:rFonts w:ascii="Times Roman"/>
        </w:rPr>
        <w:t>Spagnola</w:t>
      </w:r>
      <w:r>
        <w:t>’</w:t>
      </w:r>
      <w:r>
        <w:rPr>
          <w:rFonts w:ascii="Times Roman"/>
        </w:rPr>
        <w:t>.</w:t>
      </w:r>
      <w:r>
        <w:rPr>
          <w:rFonts w:ascii="Times New Roman" w:eastAsia="Times New Roman" w:hAnsi="Times New Roman" w:cs="Times New Roman"/>
          <w:position w:val="12"/>
          <w:sz w:val="20"/>
          <w:szCs w:val="20"/>
        </w:rPr>
        <w:endnoteReference w:id="28"/>
      </w:r>
      <w:r>
        <w:rPr>
          <w:rFonts w:ascii="Times Roman"/>
        </w:rPr>
        <w:t xml:space="preserve"> This makes the </w:t>
      </w:r>
      <w:r>
        <w:t>‘</w:t>
      </w:r>
      <w:r>
        <w:rPr>
          <w:rFonts w:ascii="Times Roman"/>
        </w:rPr>
        <w:t>Salterio Tedesco</w:t>
      </w:r>
      <w:r>
        <w:t>’</w:t>
      </w:r>
      <w:r>
        <w:t xml:space="preserve"> </w:t>
      </w:r>
      <w:r>
        <w:rPr>
          <w:rFonts w:ascii="Times Roman"/>
        </w:rPr>
        <w:t xml:space="preserve">one of just two remaining instances where Bonanni has assigned a melodic instrument to a woman outside of the traditional domestic and aristocratic context. There was an established precedent for associating the hammered </w:t>
      </w:r>
      <w:r>
        <w:t>‘</w:t>
      </w:r>
      <w:r>
        <w:rPr>
          <w:rFonts w:ascii="Times Roman"/>
        </w:rPr>
        <w:t>salterio</w:t>
      </w:r>
      <w:r>
        <w:t>’</w:t>
      </w:r>
      <w:r>
        <w:t xml:space="preserve"> </w:t>
      </w:r>
      <w:r>
        <w:rPr>
          <w:rFonts w:ascii="Times Roman"/>
        </w:rPr>
        <w:t xml:space="preserve">with women, as is clear from a number of </w:t>
      </w:r>
      <w:r>
        <w:rPr>
          <w:rFonts w:ascii="Times Roman"/>
        </w:rPr>
        <w:lastRenderedPageBreak/>
        <w:t>well-documented pictures and descriptions.</w:t>
      </w:r>
      <w:r>
        <w:rPr>
          <w:rFonts w:ascii="Times New Roman" w:eastAsia="Times New Roman" w:hAnsi="Times New Roman" w:cs="Times New Roman"/>
          <w:position w:val="12"/>
          <w:sz w:val="20"/>
          <w:szCs w:val="20"/>
        </w:rPr>
        <w:endnoteReference w:id="29"/>
      </w:r>
      <w:r w:rsidR="00656F3C">
        <w:rPr>
          <w:rFonts w:ascii="Times Roman"/>
        </w:rPr>
        <w:t xml:space="preserve"> Nevertheless this</w:t>
      </w:r>
      <w:r>
        <w:rPr>
          <w:rFonts w:ascii="Times Roman"/>
        </w:rPr>
        <w:t xml:space="preserve"> does not explain why Bonanni chose to privilege her over the noblemen described by both himself and Kircher.</w:t>
      </w:r>
    </w:p>
    <w:p w:rsidR="003555EC" w:rsidRDefault="003555EC">
      <w:pPr>
        <w:pStyle w:val="BodyA"/>
        <w:spacing w:line="480" w:lineRule="auto"/>
      </w:pPr>
    </w:p>
    <w:p w:rsidR="003555EC" w:rsidRDefault="008B259A">
      <w:pPr>
        <w:pStyle w:val="BodyA"/>
        <w:spacing w:line="480" w:lineRule="auto"/>
        <w:rPr>
          <w:vertAlign w:val="superscript"/>
        </w:rPr>
      </w:pPr>
      <w:r>
        <w:rPr>
          <w:rFonts w:ascii="Times Roman"/>
        </w:rPr>
        <w:t xml:space="preserve">Secondly, Bonanni describes his subject as </w:t>
      </w:r>
      <w:r>
        <w:t>‘</w:t>
      </w:r>
      <w:r>
        <w:rPr>
          <w:rFonts w:ascii="Times Roman"/>
        </w:rPr>
        <w:t>povera</w:t>
      </w:r>
      <w:r>
        <w:t>’</w:t>
      </w:r>
      <w:r>
        <w:rPr>
          <w:rFonts w:ascii="Times Roman"/>
        </w:rPr>
        <w:t xml:space="preserve">, a term he only uses once elsewhere in the </w:t>
      </w:r>
      <w:r>
        <w:rPr>
          <w:rFonts w:ascii="Times Roman"/>
          <w:i/>
          <w:iCs/>
        </w:rPr>
        <w:t>Gabinetto</w:t>
      </w:r>
      <w:r>
        <w:rPr>
          <w:rFonts w:ascii="Times Roman"/>
        </w:rPr>
        <w:t xml:space="preserve"> (see below). Her poverty is expressed in the print by her plain skirt and bare feet, but her hair is neatly covered and her general appearance remains dignified. This is in keeping with a general respect shown towards all subjects in the </w:t>
      </w:r>
      <w:r>
        <w:rPr>
          <w:rFonts w:ascii="Times Roman"/>
          <w:i/>
          <w:iCs/>
        </w:rPr>
        <w:t>Gabinetto</w:t>
      </w:r>
      <w:r>
        <w:rPr>
          <w:rFonts w:ascii="Times Roman"/>
        </w:rPr>
        <w:t>, regardless of their variations in status, something that is apparent in Ferriol too.</w:t>
      </w:r>
      <w:r>
        <w:rPr>
          <w:rFonts w:ascii="Times New Roman" w:eastAsia="Times New Roman" w:hAnsi="Times New Roman" w:cs="Times New Roman"/>
          <w:position w:val="12"/>
          <w:sz w:val="20"/>
          <w:szCs w:val="20"/>
        </w:rPr>
        <w:endnoteReference w:id="30"/>
      </w:r>
      <w:r>
        <w:rPr>
          <w:rFonts w:ascii="Times Roman"/>
        </w:rPr>
        <w:t xml:space="preserve"> However it is interesting that apart from her bare feet, her dress is closer to that of the keyboard players (especially the one in plate XLIV) than Bonanni</w:t>
      </w:r>
      <w:r>
        <w:t>’</w:t>
      </w:r>
      <w:r>
        <w:rPr>
          <w:rFonts w:ascii="Times Roman"/>
        </w:rPr>
        <w:t>s rustic types dancing girls, who seem to belong to a different class.</w:t>
      </w:r>
      <w:r>
        <w:rPr>
          <w:rFonts w:ascii="Times New Roman" w:eastAsia="Times New Roman" w:hAnsi="Times New Roman" w:cs="Times New Roman"/>
          <w:position w:val="12"/>
          <w:sz w:val="20"/>
          <w:szCs w:val="20"/>
        </w:rPr>
        <w:endnoteReference w:id="31"/>
      </w:r>
      <w:r>
        <w:rPr>
          <w:rFonts w:ascii="Times Roman"/>
        </w:rPr>
        <w:t xml:space="preserve"> There is an ambiguity here that reflects the written account of the instrument.</w:t>
      </w:r>
    </w:p>
    <w:p w:rsidR="003555EC" w:rsidRDefault="003555EC">
      <w:pPr>
        <w:pStyle w:val="BodyA"/>
        <w:spacing w:line="480" w:lineRule="auto"/>
        <w:rPr>
          <w:vertAlign w:val="superscript"/>
        </w:rPr>
      </w:pPr>
    </w:p>
    <w:p w:rsidR="003555EC" w:rsidRDefault="008B259A">
      <w:pPr>
        <w:pStyle w:val="BodyA"/>
        <w:spacing w:line="480" w:lineRule="auto"/>
      </w:pPr>
      <w:r>
        <w:rPr>
          <w:rFonts w:ascii="Times Roman"/>
        </w:rPr>
        <w:lastRenderedPageBreak/>
        <w:t xml:space="preserve">Finally, Bonanni qualifies his </w:t>
      </w:r>
      <w:r>
        <w:t>‘</w:t>
      </w:r>
      <w:r>
        <w:rPr>
          <w:rFonts w:ascii="Times Roman"/>
        </w:rPr>
        <w:t>povera fanciulla</w:t>
      </w:r>
      <w:r>
        <w:t>’</w:t>
      </w:r>
      <w:r>
        <w:t xml:space="preserve"> </w:t>
      </w:r>
      <w:r>
        <w:rPr>
          <w:rFonts w:ascii="Times Roman"/>
        </w:rPr>
        <w:t xml:space="preserve">as </w:t>
      </w:r>
      <w:r>
        <w:t>‘</w:t>
      </w:r>
      <w:r>
        <w:rPr>
          <w:rFonts w:ascii="Times Roman"/>
        </w:rPr>
        <w:t>Tedesca</w:t>
      </w:r>
      <w:r>
        <w:t>’</w:t>
      </w:r>
      <w:r>
        <w:rPr>
          <w:rFonts w:ascii="Times Roman"/>
        </w:rPr>
        <w:t xml:space="preserve">. The word is usually translated into English as </w:t>
      </w:r>
      <w:r>
        <w:t>‘</w:t>
      </w:r>
      <w:r>
        <w:rPr>
          <w:rFonts w:ascii="Times Roman"/>
        </w:rPr>
        <w:t>German</w:t>
      </w:r>
      <w:r>
        <w:t>’</w:t>
      </w:r>
      <w:r>
        <w:rPr>
          <w:rFonts w:ascii="Times Roman"/>
        </w:rPr>
        <w:t>, but as Ghirardini has pointed out, it is unclear what the term would have meant to an eighteenth-century Italian.</w:t>
      </w:r>
      <w:r>
        <w:rPr>
          <w:rFonts w:ascii="Times New Roman" w:eastAsia="Times New Roman" w:hAnsi="Times New Roman" w:cs="Times New Roman"/>
          <w:position w:val="12"/>
          <w:sz w:val="20"/>
          <w:szCs w:val="20"/>
        </w:rPr>
        <w:endnoteReference w:id="32"/>
      </w:r>
      <w:r>
        <w:rPr>
          <w:rFonts w:ascii="Times Roman"/>
        </w:rPr>
        <w:t xml:space="preserve"> However, within the context of the </w:t>
      </w:r>
      <w:r>
        <w:rPr>
          <w:rFonts w:ascii="Times Roman"/>
          <w:i/>
          <w:iCs/>
        </w:rPr>
        <w:t>Gabinetto</w:t>
      </w:r>
      <w:r>
        <w:rPr>
          <w:rFonts w:ascii="Times Roman"/>
        </w:rPr>
        <w:t xml:space="preserve">, the important point is perhaps not so much where this </w:t>
      </w:r>
      <w:r>
        <w:t>‘</w:t>
      </w:r>
      <w:r>
        <w:rPr>
          <w:rFonts w:ascii="Times Roman"/>
        </w:rPr>
        <w:t>Tedesca</w:t>
      </w:r>
      <w:r>
        <w:t>’</w:t>
      </w:r>
      <w:r>
        <w:t xml:space="preserve"> </w:t>
      </w:r>
      <w:r>
        <w:rPr>
          <w:rFonts w:ascii="Times Roman"/>
        </w:rPr>
        <w:t>had come from as where she had got to. She was, according to Bonanni, a poor foreigner who could be found on the streets of Rome, in other words an immigrant and a vagrant. All the other ethnic designations in Bonanni - Chines</w:t>
      </w:r>
      <w:r w:rsidR="00235835">
        <w:rPr>
          <w:rFonts w:ascii="Times Roman"/>
        </w:rPr>
        <w:t>e, Persian, Turkish, African and others</w:t>
      </w:r>
      <w:r>
        <w:rPr>
          <w:rFonts w:ascii="Times Roman"/>
        </w:rPr>
        <w:t xml:space="preserve"> - are of far-flung locations and have something of a picture postcard quality about them, but the designation </w:t>
      </w:r>
      <w:r>
        <w:t>‘</w:t>
      </w:r>
      <w:r w:rsidR="00235835">
        <w:rPr>
          <w:rFonts w:ascii="Times Roman"/>
        </w:rPr>
        <w:t>T</w:t>
      </w:r>
      <w:r>
        <w:rPr>
          <w:rFonts w:ascii="Times Roman"/>
        </w:rPr>
        <w:t>edesca</w:t>
      </w:r>
      <w:r>
        <w:t>’</w:t>
      </w:r>
      <w:r>
        <w:t xml:space="preserve"> </w:t>
      </w:r>
      <w:r>
        <w:rPr>
          <w:rFonts w:ascii="Times Roman"/>
        </w:rPr>
        <w:t>uniquely refers to an immigrant community.</w:t>
      </w:r>
    </w:p>
    <w:p w:rsidR="003555EC" w:rsidRDefault="003555EC">
      <w:pPr>
        <w:pStyle w:val="BodyA"/>
        <w:spacing w:line="480" w:lineRule="auto"/>
      </w:pPr>
    </w:p>
    <w:p w:rsidR="003555EC" w:rsidRDefault="008B259A">
      <w:pPr>
        <w:pStyle w:val="BodyA"/>
        <w:spacing w:line="480" w:lineRule="auto"/>
      </w:pPr>
      <w:r>
        <w:t>‘</w:t>
      </w:r>
      <w:r>
        <w:rPr>
          <w:rFonts w:ascii="Times Roman"/>
        </w:rPr>
        <w:t>Povera</w:t>
      </w:r>
      <w:r>
        <w:t>’</w:t>
      </w:r>
      <w:r>
        <w:rPr>
          <w:rFonts w:ascii="Times Roman"/>
        </w:rPr>
        <w:t xml:space="preserve">, </w:t>
      </w:r>
      <w:r>
        <w:t>‘</w:t>
      </w:r>
      <w:r>
        <w:rPr>
          <w:rFonts w:ascii="Times Roman"/>
        </w:rPr>
        <w:t>fanciulla</w:t>
      </w:r>
      <w:r>
        <w:t>’</w:t>
      </w:r>
      <w:r>
        <w:t xml:space="preserve"> </w:t>
      </w:r>
      <w:r>
        <w:rPr>
          <w:rFonts w:ascii="Times Roman"/>
        </w:rPr>
        <w:t xml:space="preserve">and </w:t>
      </w:r>
      <w:r>
        <w:t>‘</w:t>
      </w:r>
      <w:r>
        <w:rPr>
          <w:rFonts w:ascii="Times Roman"/>
        </w:rPr>
        <w:t>Tedesca</w:t>
      </w:r>
      <w:r>
        <w:t>’</w:t>
      </w:r>
      <w:r>
        <w:t xml:space="preserve"> </w:t>
      </w:r>
      <w:r>
        <w:rPr>
          <w:rFonts w:ascii="Times Roman"/>
        </w:rPr>
        <w:t xml:space="preserve">are thus all unusual categories within the </w:t>
      </w:r>
      <w:r>
        <w:rPr>
          <w:rFonts w:ascii="Times Roman"/>
          <w:i/>
          <w:iCs/>
        </w:rPr>
        <w:t>Gabinetto</w:t>
      </w:r>
      <w:r>
        <w:rPr>
          <w:rFonts w:ascii="Times Roman"/>
        </w:rPr>
        <w:t xml:space="preserve"> and when taken together point to a specific kind of person. Only one other person fits this description in the </w:t>
      </w:r>
      <w:r>
        <w:rPr>
          <w:rFonts w:ascii="Times Roman"/>
          <w:i/>
          <w:iCs/>
        </w:rPr>
        <w:t>Gabinetto</w:t>
      </w:r>
      <w:r>
        <w:rPr>
          <w:rFonts w:ascii="Times Roman"/>
        </w:rPr>
        <w:t xml:space="preserve">, the player of the </w:t>
      </w:r>
      <w:r>
        <w:t>‘</w:t>
      </w:r>
      <w:r>
        <w:rPr>
          <w:rFonts w:ascii="Times Roman"/>
        </w:rPr>
        <w:t>Lira Tedesca</w:t>
      </w:r>
      <w:r>
        <w:t>’</w:t>
      </w:r>
      <w:r>
        <w:t xml:space="preserve"> </w:t>
      </w:r>
      <w:r>
        <w:rPr>
          <w:rFonts w:ascii="Times Roman"/>
        </w:rPr>
        <w:t xml:space="preserve">on the following page (plate LXV), who is not just the only other female player of a melodic instrument to be depicted outside of a domestic setting, but </w:t>
      </w:r>
      <w:r>
        <w:rPr>
          <w:rFonts w:ascii="Times Roman"/>
        </w:rPr>
        <w:lastRenderedPageBreak/>
        <w:t xml:space="preserve">also the only other person to be characterised as a vagrant. Bonanni writes that she is </w:t>
      </w:r>
      <w:r>
        <w:t>‘</w:t>
      </w:r>
      <w:r>
        <w:rPr>
          <w:rFonts w:ascii="Times Roman"/>
        </w:rPr>
        <w:t>una povera donna Tedesca, che girando per l</w:t>
      </w:r>
      <w:r>
        <w:t>’</w:t>
      </w:r>
      <w:r>
        <w:rPr>
          <w:rFonts w:ascii="Times Roman"/>
        </w:rPr>
        <w:t>Europa si procaccia il vitto con l</w:t>
      </w:r>
      <w:r>
        <w:t>’</w:t>
      </w:r>
      <w:r>
        <w:rPr>
          <w:rFonts w:ascii="Times Roman"/>
        </w:rPr>
        <w:t>elemosina fattala dalle persone, dopo averla udita suonare</w:t>
      </w:r>
      <w:r>
        <w:t>’</w:t>
      </w:r>
      <w:r>
        <w:t xml:space="preserve"> </w:t>
      </w:r>
      <w:r>
        <w:rPr>
          <w:rFonts w:ascii="Times Roman"/>
        </w:rPr>
        <w:t>(a poor German woman, who wanders round Europe earning her living from the charity given her by people after they have heard her play</w:t>
      </w:r>
      <w:r>
        <w:t>’</w:t>
      </w:r>
      <w:r>
        <w:rPr>
          <w:rFonts w:ascii="Times Roman"/>
        </w:rPr>
        <w:t>) and her vagrancy is expressed pictorially by the basket on her back.</w:t>
      </w:r>
      <w:r>
        <w:rPr>
          <w:rFonts w:ascii="Times New Roman" w:eastAsia="Times New Roman" w:hAnsi="Times New Roman" w:cs="Times New Roman"/>
          <w:position w:val="12"/>
          <w:sz w:val="20"/>
          <w:szCs w:val="20"/>
        </w:rPr>
        <w:endnoteReference w:id="33"/>
      </w:r>
      <w:r>
        <w:rPr>
          <w:rFonts w:ascii="Times Roman"/>
        </w:rPr>
        <w:t xml:space="preserve"> She differs from the </w:t>
      </w:r>
      <w:r>
        <w:t>‘</w:t>
      </w:r>
      <w:r>
        <w:rPr>
          <w:rFonts w:ascii="Times Roman"/>
        </w:rPr>
        <w:t>salterio</w:t>
      </w:r>
      <w:r>
        <w:t>’</w:t>
      </w:r>
      <w:r>
        <w:t xml:space="preserve"> </w:t>
      </w:r>
      <w:r>
        <w:rPr>
          <w:rFonts w:ascii="Times Roman"/>
        </w:rPr>
        <w:t>player, though, in that her instrument has none of the other</w:t>
      </w:r>
      <w:r>
        <w:t>’</w:t>
      </w:r>
      <w:r>
        <w:rPr>
          <w:rFonts w:ascii="Times Roman"/>
        </w:rPr>
        <w:t>s aristocratic associations; there is no Don Florido Ubald</w:t>
      </w:r>
      <w:r w:rsidR="00CC4E36">
        <w:rPr>
          <w:rFonts w:ascii="Times Roman"/>
        </w:rPr>
        <w:t>i to confuse the issue of its, or her,</w:t>
      </w:r>
      <w:r w:rsidRPr="00CC4E36">
        <w:rPr>
          <w:rFonts w:ascii="Times Roman"/>
        </w:rPr>
        <w:t xml:space="preserve"> </w:t>
      </w:r>
      <w:r>
        <w:rPr>
          <w:rFonts w:ascii="Times Roman"/>
        </w:rPr>
        <w:t>social status.</w:t>
      </w:r>
    </w:p>
    <w:p w:rsidR="003555EC" w:rsidRDefault="003555EC">
      <w:pPr>
        <w:pStyle w:val="BodyA"/>
        <w:spacing w:line="480" w:lineRule="auto"/>
      </w:pPr>
    </w:p>
    <w:p w:rsidR="003555EC" w:rsidRDefault="008B259A">
      <w:pPr>
        <w:pStyle w:val="BodyA"/>
        <w:spacing w:line="480" w:lineRule="auto"/>
      </w:pPr>
      <w:r>
        <w:rPr>
          <w:rFonts w:ascii="Times Roman"/>
        </w:rPr>
        <w:t>It is important not to exaggerate the implications of Bonanni</w:t>
      </w:r>
      <w:r>
        <w:t>’</w:t>
      </w:r>
      <w:r>
        <w:rPr>
          <w:rFonts w:ascii="Times Roman"/>
        </w:rPr>
        <w:t>s assertion that his dulcimer player could be seen around the streets of Rome. Plate LXIV is clearly not taken from life.</w:t>
      </w:r>
    </w:p>
    <w:p w:rsidR="003555EC" w:rsidRDefault="008B259A">
      <w:pPr>
        <w:pStyle w:val="BodyA"/>
        <w:spacing w:line="480" w:lineRule="auto"/>
      </w:pPr>
      <w:r>
        <w:rPr>
          <w:rFonts w:ascii="Times Roman"/>
        </w:rPr>
        <w:t>Nevertheless, she belongs to a very specific time and location such that even if this is an invented portrait of a type rather than an individual, she still represents a remarkably small community of people and one that Bonanni</w:t>
      </w:r>
      <w:r>
        <w:t>’</w:t>
      </w:r>
      <w:r>
        <w:rPr>
          <w:rFonts w:ascii="Times Roman"/>
        </w:rPr>
        <w:t xml:space="preserve">s readership were expected to recognise. Quite why Bonanni chose this </w:t>
      </w:r>
      <w:r>
        <w:rPr>
          <w:rFonts w:ascii="Times Roman"/>
        </w:rPr>
        <w:lastRenderedPageBreak/>
        <w:t xml:space="preserve">particular character, instead of making his player a generic male courtier like so many others, remains puzzling. It is certainly consistent with the conception of the </w:t>
      </w:r>
      <w:r>
        <w:rPr>
          <w:rFonts w:ascii="Times Roman"/>
          <w:i/>
          <w:iCs/>
        </w:rPr>
        <w:t>Gabinetto</w:t>
      </w:r>
      <w:r>
        <w:rPr>
          <w:rFonts w:ascii="Times Roman"/>
        </w:rPr>
        <w:t xml:space="preserve"> as a virtual </w:t>
      </w:r>
      <w:r>
        <w:t>‘</w:t>
      </w:r>
      <w:r>
        <w:rPr>
          <w:rFonts w:ascii="Times Roman"/>
        </w:rPr>
        <w:t>cabinet of curiosities</w:t>
      </w:r>
      <w:r>
        <w:t>’</w:t>
      </w:r>
      <w:r>
        <w:rPr>
          <w:rFonts w:ascii="Times Roman"/>
        </w:rPr>
        <w:t xml:space="preserve">; he has taken an interesting specimen, and presented her as a human exhibit. In this respect Bonanni seems to have been ahead of his time and it is notable that the 1776 French reprint of the </w:t>
      </w:r>
      <w:r>
        <w:rPr>
          <w:rFonts w:ascii="Times Roman"/>
          <w:i/>
          <w:iCs/>
        </w:rPr>
        <w:t>Gabinetto</w:t>
      </w:r>
      <w:r>
        <w:rPr>
          <w:rFonts w:ascii="Times Roman"/>
        </w:rPr>
        <w:t xml:space="preserve"> edits her out, while leaving the classical story of Alessandro Citerio intact. The </w:t>
      </w:r>
      <w:r>
        <w:t>‘</w:t>
      </w:r>
      <w:r>
        <w:rPr>
          <w:rFonts w:ascii="Times Roman"/>
        </w:rPr>
        <w:t>Povera fanciulla</w:t>
      </w:r>
      <w:r>
        <w:t>’</w:t>
      </w:r>
      <w:r>
        <w:t xml:space="preserve"> </w:t>
      </w:r>
      <w:r>
        <w:rPr>
          <w:rFonts w:ascii="Times Roman"/>
        </w:rPr>
        <w:t xml:space="preserve">raises questions about the status of the </w:t>
      </w:r>
      <w:r>
        <w:t>‘</w:t>
      </w:r>
      <w:r>
        <w:rPr>
          <w:rFonts w:ascii="Times Roman"/>
        </w:rPr>
        <w:t>Salterio Tedesco</w:t>
      </w:r>
      <w:r>
        <w:t>’</w:t>
      </w:r>
      <w:r>
        <w:t xml:space="preserve"> </w:t>
      </w:r>
      <w:r>
        <w:rPr>
          <w:rFonts w:ascii="Times Roman"/>
        </w:rPr>
        <w:t>and it would be interesting to know what Don Florido Ubaldi might have thought about his name being linked with her image.</w:t>
      </w:r>
    </w:p>
    <w:p w:rsidR="003555EC" w:rsidRDefault="003555EC">
      <w:pPr>
        <w:pStyle w:val="BodyA"/>
        <w:spacing w:line="480" w:lineRule="auto"/>
      </w:pPr>
    </w:p>
    <w:p w:rsidR="003555EC" w:rsidRDefault="008B259A">
      <w:pPr>
        <w:pStyle w:val="BodyA"/>
        <w:spacing w:line="480" w:lineRule="auto"/>
      </w:pPr>
      <w:r>
        <w:rPr>
          <w:rFonts w:ascii="Times Roman"/>
        </w:rPr>
        <w:t xml:space="preserve">Without the eclecticism of the </w:t>
      </w:r>
      <w:r>
        <w:t>‘</w:t>
      </w:r>
      <w:r>
        <w:rPr>
          <w:rFonts w:ascii="Times Roman"/>
        </w:rPr>
        <w:t>gabinetto</w:t>
      </w:r>
      <w:r>
        <w:t>’</w:t>
      </w:r>
      <w:r>
        <w:t xml:space="preserve"> </w:t>
      </w:r>
      <w:r>
        <w:rPr>
          <w:rFonts w:ascii="Times Roman"/>
        </w:rPr>
        <w:t xml:space="preserve">format, derived from the </w:t>
      </w:r>
      <w:r>
        <w:t>‘</w:t>
      </w:r>
      <w:r>
        <w:rPr>
          <w:rFonts w:ascii="Times Roman"/>
        </w:rPr>
        <w:t>paper museum</w:t>
      </w:r>
      <w:r>
        <w:t>’</w:t>
      </w:r>
      <w:r>
        <w:t xml:space="preserve"> </w:t>
      </w:r>
      <w:r>
        <w:rPr>
          <w:rFonts w:ascii="Times Roman"/>
        </w:rPr>
        <w:t>tradition and Kircher</w:t>
      </w:r>
      <w:r>
        <w:t>’</w:t>
      </w:r>
      <w:r>
        <w:rPr>
          <w:rFonts w:ascii="Times Roman"/>
        </w:rPr>
        <w:t xml:space="preserve">s Museo, Bonanni might never have focussed on the </w:t>
      </w:r>
      <w:r>
        <w:t>‘</w:t>
      </w:r>
      <w:r>
        <w:rPr>
          <w:rFonts w:ascii="Times Roman"/>
        </w:rPr>
        <w:t>povera fanciulla Tedesca</w:t>
      </w:r>
      <w:r>
        <w:t>’</w:t>
      </w:r>
      <w:r>
        <w:t xml:space="preserve"> </w:t>
      </w:r>
      <w:r>
        <w:rPr>
          <w:rFonts w:ascii="Times Roman"/>
        </w:rPr>
        <w:t xml:space="preserve">rather than the other players that he mentions. In doing so, he furnishes us with a wealth of contextual information that is rather ironic given the disclaimer in his </w:t>
      </w:r>
      <w:r>
        <w:rPr>
          <w:rFonts w:ascii="Times Roman"/>
          <w:i/>
          <w:iCs/>
        </w:rPr>
        <w:t>proemio</w:t>
      </w:r>
      <w:r>
        <w:rPr>
          <w:rFonts w:ascii="Times Roman"/>
        </w:rPr>
        <w:t xml:space="preserve"> that </w:t>
      </w:r>
      <w:r>
        <w:t>‘</w:t>
      </w:r>
      <w:r>
        <w:rPr>
          <w:rFonts w:ascii="Times Roman"/>
        </w:rPr>
        <w:t xml:space="preserve">it was not possible for me to research [all the instruments] in detail, [so] I have satisfied myself with recording only their names and </w:t>
      </w:r>
      <w:r>
        <w:rPr>
          <w:rFonts w:ascii="Times Roman"/>
        </w:rPr>
        <w:lastRenderedPageBreak/>
        <w:t>representing their forms in paintings...</w:t>
      </w:r>
      <w:r>
        <w:t>’</w:t>
      </w:r>
      <w:r>
        <w:rPr>
          <w:rFonts w:ascii="Times Roman"/>
        </w:rPr>
        <w:t>. The way in which he treats his dulcimer player reveals Bonanni to have been motivated as much by curiosity as judgmental morality in his attitudes towards the vagrant women musicians he saw on his own streets; members of poor immigrant minorities do not always engender such positive attitudes among their hos</w:t>
      </w:r>
      <w:r w:rsidR="00C104D6">
        <w:rPr>
          <w:rFonts w:ascii="Times Roman"/>
        </w:rPr>
        <w:t xml:space="preserve">ts. As a source of </w:t>
      </w:r>
      <w:r>
        <w:rPr>
          <w:rFonts w:ascii="Times Roman"/>
        </w:rPr>
        <w:t>detail</w:t>
      </w:r>
      <w:r w:rsidR="00C104D6">
        <w:rPr>
          <w:rFonts w:ascii="Times Roman"/>
        </w:rPr>
        <w:t xml:space="preserve"> about the instruments themselves</w:t>
      </w:r>
      <w:r>
        <w:rPr>
          <w:rFonts w:ascii="Times Roman"/>
        </w:rPr>
        <w:t>, Bonanni may occasionally lack credibility but the originality of his conception makes him, in this case at least, a uniquely valuable witness.</w:t>
      </w:r>
    </w:p>
    <w:p w:rsidR="003555EC" w:rsidRDefault="008B259A">
      <w:pPr>
        <w:pStyle w:val="BodyA"/>
        <w:spacing w:line="480" w:lineRule="auto"/>
      </w:pPr>
      <w:r>
        <w:br/>
      </w:r>
    </w:p>
    <w:sectPr w:rsidR="003555EC">
      <w:footerReference w:type="default" r:id="rId9"/>
      <w:endnotePr>
        <w:numFmt w:val="decimal"/>
      </w:endnotePr>
      <w:pgSz w:w="11900" w:h="16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55EC" w:rsidRDefault="008B259A">
      <w:r>
        <w:separator/>
      </w:r>
    </w:p>
  </w:endnote>
  <w:endnote w:type="continuationSeparator" w:id="0">
    <w:p w:rsidR="003555EC" w:rsidRDefault="008B259A">
      <w:r>
        <w:continuationSeparator/>
      </w:r>
    </w:p>
  </w:endnote>
  <w:endnote w:type="continuationNotice" w:id="1">
    <w:p w:rsidR="003555EC" w:rsidRDefault="003555EC"/>
  </w:endnote>
  <w:endnote w:id="2">
    <w:p w:rsidR="003555EC" w:rsidRDefault="008B259A">
      <w:pPr>
        <w:pStyle w:val="Footnote"/>
      </w:pPr>
      <w:r>
        <w:rPr>
          <w:position w:val="12"/>
        </w:rPr>
        <w:endnoteRef/>
      </w:r>
      <w:r>
        <w:rPr>
          <w:rFonts w:eastAsia="Arial Unicode MS" w:hAnsi="Arial Unicode MS" w:cs="Arial Unicode MS"/>
        </w:rPr>
        <w:t xml:space="preserve"> This number includes the plates added to the end of the sequence in the 1723 edition. Both the 1722 and 1723 editions share the same irregularities of numbering: there is an unnumbered plate between XLVIII and XLIX; another between CIII and CIV; there are two plates numbered XXIX; and the numbers XIII and XIV are both found on a single plate. The numbering in this article follows that of the 1722 and 1723 editions, rather than the amended numbering in the 1776 edition.</w:t>
      </w:r>
    </w:p>
  </w:endnote>
  <w:endnote w:id="3">
    <w:p w:rsidR="003555EC" w:rsidRDefault="008B259A">
      <w:pPr>
        <w:pStyle w:val="Footnote"/>
      </w:pPr>
      <w:r>
        <w:rPr>
          <w:position w:val="12"/>
        </w:rPr>
        <w:endnoteRef/>
      </w:r>
      <w:r>
        <w:rPr>
          <w:rFonts w:eastAsia="Arial Unicode MS" w:hAnsi="Arial Unicode MS" w:cs="Arial Unicode MS"/>
        </w:rPr>
        <w:t xml:space="preserve"> </w:t>
      </w:r>
      <w:r w:rsidR="00970C78">
        <w:rPr>
          <w:rFonts w:eastAsia="Arial Unicode MS" w:hAnsi="Arial Unicode MS" w:cs="Arial Unicode MS"/>
          <w:i/>
          <w:iCs/>
        </w:rPr>
        <w:t>The New Grove dictionary of m</w:t>
      </w:r>
      <w:r>
        <w:rPr>
          <w:rFonts w:eastAsia="Arial Unicode MS" w:hAnsi="Arial Unicode MS" w:cs="Arial Unicode MS"/>
          <w:i/>
          <w:iCs/>
        </w:rPr>
        <w:t xml:space="preserve">usic </w:t>
      </w:r>
      <w:r w:rsidR="00970C78">
        <w:rPr>
          <w:rFonts w:eastAsia="Arial Unicode MS" w:hAnsi="Arial Unicode MS" w:cs="Arial Unicode MS"/>
          <w:i/>
          <w:iCs/>
        </w:rPr>
        <w:t>and m</w:t>
      </w:r>
      <w:r>
        <w:rPr>
          <w:rFonts w:eastAsia="Arial Unicode MS" w:hAnsi="Arial Unicode MS" w:cs="Arial Unicode MS"/>
          <w:i/>
          <w:iCs/>
        </w:rPr>
        <w:t>usicians</w:t>
      </w:r>
      <w:r w:rsidR="008E0C7F">
        <w:rPr>
          <w:rFonts w:eastAsia="Arial Unicode MS" w:hAnsi="Arial Unicode MS" w:cs="Arial Unicode MS"/>
        </w:rPr>
        <w:t>, ed. S.</w:t>
      </w:r>
      <w:r>
        <w:rPr>
          <w:rFonts w:eastAsia="Arial Unicode MS" w:hAnsi="Arial Unicode MS" w:cs="Arial Unicode MS"/>
        </w:rPr>
        <w:t xml:space="preserve"> Sadie (London, 2001), </w:t>
      </w:r>
      <w:r>
        <w:rPr>
          <w:rFonts w:ascii="Arial Unicode MS" w:eastAsia="Arial Unicode MS" w:cs="Arial Unicode MS"/>
        </w:rPr>
        <w:t>‘</w:t>
      </w:r>
      <w:r>
        <w:rPr>
          <w:rFonts w:eastAsia="Arial Unicode MS" w:hAnsi="Arial Unicode MS" w:cs="Arial Unicode MS"/>
        </w:rPr>
        <w:t>Bonanni</w:t>
      </w:r>
      <w:r>
        <w:rPr>
          <w:rFonts w:ascii="Arial Unicode MS" w:eastAsia="Arial Unicode MS" w:cs="Arial Unicode MS"/>
        </w:rPr>
        <w:t>’</w:t>
      </w:r>
      <w:r w:rsidR="008E0C7F">
        <w:rPr>
          <w:rFonts w:eastAsia="Arial Unicode MS" w:hAnsi="Arial Unicode MS" w:cs="Arial Unicode MS"/>
        </w:rPr>
        <w:t xml:space="preserve">, </w:t>
      </w:r>
      <w:r>
        <w:rPr>
          <w:rFonts w:eastAsia="Arial Unicode MS" w:hAnsi="Arial Unicode MS" w:cs="Arial Unicode MS"/>
        </w:rPr>
        <w:t>iii</w:t>
      </w:r>
      <w:r w:rsidR="008E0C7F">
        <w:rPr>
          <w:rFonts w:eastAsia="Arial Unicode MS" w:hAnsi="Arial Unicode MS" w:cs="Arial Unicode MS"/>
        </w:rPr>
        <w:t>,</w:t>
      </w:r>
      <w:r>
        <w:rPr>
          <w:rFonts w:eastAsia="Arial Unicode MS" w:hAnsi="Arial Unicode MS" w:cs="Arial Unicode MS"/>
        </w:rPr>
        <w:t xml:space="preserve"> p.848.</w:t>
      </w:r>
    </w:p>
  </w:endnote>
  <w:endnote w:id="4">
    <w:p w:rsidR="003555EC" w:rsidRDefault="008B259A">
      <w:pPr>
        <w:pStyle w:val="Footnote"/>
      </w:pPr>
      <w:r>
        <w:rPr>
          <w:position w:val="12"/>
        </w:rPr>
        <w:endnoteRef/>
      </w:r>
      <w:r w:rsidR="008E0C7F">
        <w:rPr>
          <w:rFonts w:eastAsia="Arial Unicode MS" w:hAnsi="Arial Unicode MS" w:cs="Arial Unicode MS"/>
        </w:rPr>
        <w:t xml:space="preserve"> </w:t>
      </w:r>
      <w:r w:rsidR="00BD261B">
        <w:rPr>
          <w:rFonts w:eastAsia="Arial Unicode MS" w:hAnsi="Arial Unicode MS" w:cs="Arial Unicode MS"/>
        </w:rPr>
        <w:t>F. Harrison</w:t>
      </w:r>
      <w:r w:rsidR="008E0C7F">
        <w:rPr>
          <w:rFonts w:eastAsia="Arial Unicode MS" w:hAnsi="Arial Unicode MS" w:cs="Arial Unicode MS"/>
        </w:rPr>
        <w:t xml:space="preserve"> and </w:t>
      </w:r>
      <w:r w:rsidR="00BD261B">
        <w:rPr>
          <w:rFonts w:eastAsia="Arial Unicode MS" w:hAnsi="Arial Unicode MS" w:cs="Arial Unicode MS"/>
        </w:rPr>
        <w:t>J. Rimmer</w:t>
      </w:r>
      <w:r w:rsidR="008E0C7F">
        <w:rPr>
          <w:rFonts w:eastAsia="Arial Unicode MS" w:hAnsi="Arial Unicode MS" w:cs="Arial Unicode MS"/>
        </w:rPr>
        <w:t>,</w:t>
      </w:r>
      <w:r>
        <w:rPr>
          <w:rFonts w:eastAsia="Arial Unicode MS" w:hAnsi="Arial Unicode MS" w:cs="Arial Unicode MS"/>
        </w:rPr>
        <w:t xml:space="preserve"> </w:t>
      </w:r>
      <w:r w:rsidR="00C91304">
        <w:rPr>
          <w:rFonts w:eastAsia="Arial Unicode MS" w:hAnsi="Arial Unicode MS" w:cs="Arial Unicode MS"/>
          <w:i/>
          <w:iCs/>
        </w:rPr>
        <w:t>Antique musical instruments and their players. 152 p</w:t>
      </w:r>
      <w:r>
        <w:rPr>
          <w:rFonts w:eastAsia="Arial Unicode MS" w:hAnsi="Arial Unicode MS" w:cs="Arial Unicode MS"/>
          <w:i/>
          <w:iCs/>
        </w:rPr>
        <w:t>lates from Bonanni</w:t>
      </w:r>
      <w:r>
        <w:rPr>
          <w:rFonts w:ascii="Arial Unicode MS" w:eastAsia="Arial Unicode MS" w:cs="Arial Unicode MS"/>
          <w:i/>
          <w:iCs/>
        </w:rPr>
        <w:t>’</w:t>
      </w:r>
      <w:r>
        <w:rPr>
          <w:rFonts w:eastAsia="Arial Unicode MS" w:hAnsi="Arial Unicode MS" w:cs="Arial Unicode MS"/>
          <w:i/>
          <w:iCs/>
        </w:rPr>
        <w:t xml:space="preserve">s </w:t>
      </w:r>
      <w:r>
        <w:rPr>
          <w:rFonts w:ascii="Arial Unicode MS" w:eastAsia="Arial Unicode MS" w:cs="Arial Unicode MS"/>
          <w:i/>
          <w:iCs/>
        </w:rPr>
        <w:t>“</w:t>
      </w:r>
      <w:r>
        <w:rPr>
          <w:rFonts w:eastAsia="Arial Unicode MS" w:hAnsi="Arial Unicode MS" w:cs="Arial Unicode MS"/>
          <w:i/>
          <w:iCs/>
        </w:rPr>
        <w:t>Gabinetto Armonico</w:t>
      </w:r>
      <w:r>
        <w:rPr>
          <w:rFonts w:ascii="Arial Unicode MS" w:eastAsia="Arial Unicode MS" w:cs="Arial Unicode MS"/>
          <w:i/>
          <w:iCs/>
        </w:rPr>
        <w:t>”</w:t>
      </w:r>
      <w:r>
        <w:rPr>
          <w:rFonts w:ascii="Arial Unicode MS" w:eastAsia="Arial Unicode MS" w:cs="Arial Unicode MS"/>
          <w:i/>
          <w:iCs/>
        </w:rPr>
        <w:t xml:space="preserve"> </w:t>
      </w:r>
      <w:r w:rsidR="00DE5CEB">
        <w:rPr>
          <w:rFonts w:eastAsia="Arial Unicode MS" w:hAnsi="Arial Unicode MS" w:cs="Arial Unicode MS"/>
        </w:rPr>
        <w:t>(New York,</w:t>
      </w:r>
      <w:r>
        <w:rPr>
          <w:rFonts w:eastAsia="Arial Unicode MS" w:hAnsi="Arial Unicode MS" w:cs="Arial Unicode MS"/>
        </w:rPr>
        <w:t xml:space="preserve"> 1964). The </w:t>
      </w:r>
      <w:r>
        <w:rPr>
          <w:rFonts w:ascii="Arial Unicode MS" w:eastAsia="Arial Unicode MS" w:cs="Arial Unicode MS"/>
        </w:rPr>
        <w:t>‘</w:t>
      </w:r>
      <w:r>
        <w:rPr>
          <w:rFonts w:eastAsia="Arial Unicode MS" w:hAnsi="Arial Unicode MS" w:cs="Arial Unicode MS"/>
        </w:rPr>
        <w:t>152</w:t>
      </w:r>
      <w:r>
        <w:rPr>
          <w:rFonts w:ascii="Arial Unicode MS" w:eastAsia="Arial Unicode MS" w:cs="Arial Unicode MS"/>
        </w:rPr>
        <w:t>’</w:t>
      </w:r>
      <w:r>
        <w:rPr>
          <w:rFonts w:ascii="Arial Unicode MS" w:eastAsia="Arial Unicode MS" w:cs="Arial Unicode MS"/>
        </w:rPr>
        <w:t xml:space="preserve"> </w:t>
      </w:r>
      <w:r>
        <w:rPr>
          <w:rFonts w:eastAsia="Arial Unicode MS" w:hAnsi="Arial Unicode MS" w:cs="Arial Unicode MS"/>
        </w:rPr>
        <w:t>in the title comprises the 150 illustrations from the 1723 edition plus the two frontispieces.</w:t>
      </w:r>
    </w:p>
  </w:endnote>
  <w:endnote w:id="5">
    <w:p w:rsidR="003555EC" w:rsidRDefault="008B259A">
      <w:pPr>
        <w:pStyle w:val="Footnote"/>
      </w:pPr>
      <w:r>
        <w:rPr>
          <w:position w:val="12"/>
        </w:rPr>
        <w:endnoteRef/>
      </w:r>
      <w:r w:rsidR="008E0C7F">
        <w:rPr>
          <w:rFonts w:eastAsia="Arial Unicode MS" w:hAnsi="Arial Unicode MS" w:cs="Arial Unicode MS"/>
        </w:rPr>
        <w:t xml:space="preserve"> </w:t>
      </w:r>
      <w:r w:rsidR="00BD261B">
        <w:rPr>
          <w:rFonts w:eastAsia="Arial Unicode MS" w:hAnsi="Arial Unicode MS" w:cs="Arial Unicode MS"/>
        </w:rPr>
        <w:t>N. Barker</w:t>
      </w:r>
      <w:r w:rsidR="008E0C7F">
        <w:rPr>
          <w:rFonts w:eastAsia="Arial Unicode MS" w:hAnsi="Arial Unicode MS" w:cs="Arial Unicode MS"/>
        </w:rPr>
        <w:t>,</w:t>
      </w:r>
      <w:r>
        <w:rPr>
          <w:rFonts w:eastAsia="Arial Unicode MS" w:hAnsi="Arial Unicode MS" w:cs="Arial Unicode MS"/>
        </w:rPr>
        <w:t xml:space="preserve"> </w:t>
      </w:r>
      <w:r>
        <w:rPr>
          <w:rFonts w:ascii="Arial Unicode MS" w:eastAsia="Arial Unicode MS" w:cs="Arial Unicode MS"/>
        </w:rPr>
        <w:t>‘</w:t>
      </w:r>
      <w:r>
        <w:rPr>
          <w:rFonts w:eastAsia="Arial Unicode MS" w:hAnsi="Arial Unicode MS" w:cs="Arial Unicode MS"/>
        </w:rPr>
        <w:t>Un-discarded images: illustrations of antique musical instruments in 17th-and 18th-century books, their sources and transmission</w:t>
      </w:r>
      <w:r>
        <w:rPr>
          <w:rFonts w:ascii="Arial Unicode MS" w:eastAsia="Arial Unicode MS" w:cs="Arial Unicode MS"/>
        </w:rPr>
        <w:t>’</w:t>
      </w:r>
      <w:r>
        <w:rPr>
          <w:rFonts w:eastAsia="Arial Unicode MS" w:hAnsi="Arial Unicode MS" w:cs="Arial Unicode MS"/>
        </w:rPr>
        <w:t xml:space="preserve">, </w:t>
      </w:r>
      <w:r>
        <w:rPr>
          <w:rFonts w:eastAsia="Arial Unicode MS" w:hAnsi="Arial Unicode MS" w:cs="Arial Unicode MS"/>
          <w:i/>
          <w:iCs/>
        </w:rPr>
        <w:t>Early Music</w:t>
      </w:r>
      <w:r>
        <w:rPr>
          <w:rFonts w:eastAsia="Arial Unicode MS" w:hAnsi="Arial Unicode MS" w:cs="Arial Unicode MS"/>
        </w:rPr>
        <w:t>, xxxv/2 (May 2007), p.200.</w:t>
      </w:r>
    </w:p>
  </w:endnote>
  <w:endnote w:id="6">
    <w:p w:rsidR="003555EC" w:rsidRDefault="008B259A">
      <w:pPr>
        <w:pStyle w:val="Footnote"/>
      </w:pPr>
      <w:r>
        <w:rPr>
          <w:position w:val="12"/>
        </w:rPr>
        <w:endnoteRef/>
      </w:r>
      <w:r>
        <w:rPr>
          <w:rFonts w:eastAsia="Arial Unicode MS" w:hAnsi="Arial Unicode MS" w:cs="Arial Unicode MS"/>
        </w:rPr>
        <w:t xml:space="preserve"> For a discussion of the foundation and prestige of the Museo, see </w:t>
      </w:r>
      <w:r w:rsidR="00C91304">
        <w:rPr>
          <w:rFonts w:eastAsia="Arial Unicode MS" w:hAnsi="Arial Unicode MS" w:cs="Arial Unicode MS"/>
          <w:i/>
          <w:iCs/>
        </w:rPr>
        <w:t>Athanasius Kircher: the last man who knew e</w:t>
      </w:r>
      <w:r>
        <w:rPr>
          <w:rFonts w:eastAsia="Arial Unicode MS" w:hAnsi="Arial Unicode MS" w:cs="Arial Unicode MS"/>
          <w:i/>
          <w:iCs/>
        </w:rPr>
        <w:t>verything</w:t>
      </w:r>
      <w:r w:rsidR="008E0C7F">
        <w:rPr>
          <w:rFonts w:eastAsia="Arial Unicode MS" w:hAnsi="Arial Unicode MS" w:cs="Arial Unicode MS"/>
        </w:rPr>
        <w:t xml:space="preserve">, ed. P. Findlen </w:t>
      </w:r>
      <w:r w:rsidR="00DE5CEB">
        <w:rPr>
          <w:rFonts w:eastAsia="Arial Unicode MS" w:hAnsi="Arial Unicode MS" w:cs="Arial Unicode MS"/>
        </w:rPr>
        <w:t>(London</w:t>
      </w:r>
      <w:r>
        <w:rPr>
          <w:rFonts w:eastAsia="Arial Unicode MS" w:hAnsi="Arial Unicode MS" w:cs="Arial Unicode MS"/>
        </w:rPr>
        <w:t>, 2004), pp.29-31.</w:t>
      </w:r>
    </w:p>
  </w:endnote>
  <w:endnote w:id="7">
    <w:p w:rsidR="003555EC" w:rsidRDefault="008B259A">
      <w:pPr>
        <w:pStyle w:val="Footnote"/>
      </w:pPr>
      <w:r>
        <w:rPr>
          <w:position w:val="12"/>
        </w:rPr>
        <w:endnoteRef/>
      </w:r>
      <w:r>
        <w:rPr>
          <w:rFonts w:eastAsia="Arial Unicode MS" w:hAnsi="Arial Unicode MS" w:cs="Arial Unicode MS"/>
        </w:rPr>
        <w:t xml:space="preserve"> For a full discussion of the influence of Aristotelian t</w:t>
      </w:r>
      <w:r w:rsidR="008E0C7F">
        <w:rPr>
          <w:rFonts w:eastAsia="Arial Unicode MS" w:hAnsi="Arial Unicode MS" w:cs="Arial Unicode MS"/>
        </w:rPr>
        <w:t>hought on</w:t>
      </w:r>
      <w:r>
        <w:rPr>
          <w:rFonts w:eastAsia="Arial Unicode MS" w:hAnsi="Arial Unicode MS" w:cs="Arial Unicode MS"/>
        </w:rPr>
        <w:t xml:space="preserve"> Kircher, Bonanni and their co</w:t>
      </w:r>
      <w:r w:rsidR="008E0C7F">
        <w:rPr>
          <w:rFonts w:eastAsia="Arial Unicode MS" w:hAnsi="Arial Unicode MS" w:cs="Arial Unicode MS"/>
        </w:rPr>
        <w:t xml:space="preserve">ntemporaries, see </w:t>
      </w:r>
      <w:r w:rsidR="00BD261B">
        <w:rPr>
          <w:rFonts w:eastAsia="Arial Unicode MS" w:hAnsi="Arial Unicode MS" w:cs="Arial Unicode MS"/>
        </w:rPr>
        <w:t>P. Findlen</w:t>
      </w:r>
      <w:r w:rsidR="008E0C7F">
        <w:rPr>
          <w:rFonts w:eastAsia="Arial Unicode MS" w:hAnsi="Arial Unicode MS" w:cs="Arial Unicode MS"/>
        </w:rPr>
        <w:t>,</w:t>
      </w:r>
      <w:r>
        <w:rPr>
          <w:rFonts w:eastAsia="Arial Unicode MS" w:hAnsi="Arial Unicode MS" w:cs="Arial Unicode MS"/>
        </w:rPr>
        <w:t xml:space="preserve"> </w:t>
      </w:r>
      <w:r w:rsidR="00C91304">
        <w:rPr>
          <w:rFonts w:eastAsia="Arial Unicode MS" w:hAnsi="Arial Unicode MS" w:cs="Arial Unicode MS"/>
          <w:i/>
          <w:iCs/>
        </w:rPr>
        <w:t>Possessing nature: museums, collecting, and scientific culture in early m</w:t>
      </w:r>
      <w:r>
        <w:rPr>
          <w:rFonts w:eastAsia="Arial Unicode MS" w:hAnsi="Arial Unicode MS" w:cs="Arial Unicode MS"/>
          <w:i/>
          <w:iCs/>
        </w:rPr>
        <w:t>odern Italy</w:t>
      </w:r>
      <w:r>
        <w:rPr>
          <w:rFonts w:eastAsia="Arial Unicode MS" w:hAnsi="Arial Unicode MS" w:cs="Arial Unicode MS"/>
        </w:rPr>
        <w:t xml:space="preserve"> (</w:t>
      </w:r>
      <w:r w:rsidR="00580203">
        <w:rPr>
          <w:rFonts w:eastAsia="Arial Unicode MS" w:hAnsi="Arial Unicode MS" w:cs="Arial Unicode MS"/>
        </w:rPr>
        <w:t>London</w:t>
      </w:r>
      <w:r>
        <w:rPr>
          <w:rFonts w:eastAsia="Arial Unicode MS" w:hAnsi="Arial Unicode MS" w:cs="Arial Unicode MS"/>
        </w:rPr>
        <w:t>, 1994).</w:t>
      </w:r>
    </w:p>
  </w:endnote>
  <w:endnote w:id="8">
    <w:p w:rsidR="003555EC" w:rsidRDefault="008B259A">
      <w:pPr>
        <w:pStyle w:val="Footnote"/>
      </w:pPr>
      <w:r>
        <w:rPr>
          <w:position w:val="12"/>
        </w:rPr>
        <w:endnoteRef/>
      </w:r>
      <w:r>
        <w:rPr>
          <w:rFonts w:eastAsia="Arial Unicode MS" w:hAnsi="Arial Unicode MS" w:cs="Arial Unicode MS"/>
        </w:rPr>
        <w:t xml:space="preserve"> For a summary of his writings, see </w:t>
      </w:r>
      <w:r w:rsidR="00BD261B">
        <w:rPr>
          <w:rFonts w:eastAsia="Arial Unicode MS" w:hAnsi="Arial Unicode MS" w:cs="Arial Unicode MS"/>
        </w:rPr>
        <w:t xml:space="preserve">J. </w:t>
      </w:r>
      <w:r>
        <w:rPr>
          <w:rFonts w:eastAsia="Arial Unicode MS" w:hAnsi="Arial Unicode MS" w:cs="Arial Unicode MS"/>
        </w:rPr>
        <w:t xml:space="preserve">Godwin, </w:t>
      </w:r>
      <w:r w:rsidR="00DE5CEB" w:rsidRPr="00DE5CEB">
        <w:rPr>
          <w:rFonts w:eastAsia="Arial Unicode MS" w:hAnsi="Arial Unicode MS" w:cs="Arial Unicode MS"/>
          <w:i/>
        </w:rPr>
        <w:t xml:space="preserve">Athanasius </w:t>
      </w:r>
      <w:r w:rsidRPr="00DE5CEB">
        <w:rPr>
          <w:rFonts w:eastAsia="Arial Unicode MS" w:hAnsi="Arial Unicode MS" w:cs="Arial Unicode MS"/>
          <w:i/>
          <w:iCs/>
        </w:rPr>
        <w:t>K</w:t>
      </w:r>
      <w:r>
        <w:rPr>
          <w:rFonts w:eastAsia="Arial Unicode MS" w:hAnsi="Arial Unicode MS" w:cs="Arial Unicode MS"/>
          <w:i/>
          <w:iCs/>
        </w:rPr>
        <w:t>ircher</w:t>
      </w:r>
      <w:r w:rsidR="00970C78">
        <w:rPr>
          <w:rFonts w:eastAsia="Arial Unicode MS" w:hAnsi="Arial Unicode MS" w:cs="Arial Unicode MS"/>
          <w:i/>
          <w:iCs/>
        </w:rPr>
        <w:t>: a renaissance m</w:t>
      </w:r>
      <w:r w:rsidR="00DE5CEB">
        <w:rPr>
          <w:rFonts w:eastAsia="Arial Unicode MS" w:hAnsi="Arial Unicode MS" w:cs="Arial Unicode MS"/>
          <w:i/>
          <w:iCs/>
        </w:rPr>
        <w:t xml:space="preserve">an and the </w:t>
      </w:r>
      <w:r w:rsidR="00970C78">
        <w:rPr>
          <w:rFonts w:eastAsia="Arial Unicode MS" w:hAnsi="Arial Unicode MS" w:cs="Arial Unicode MS"/>
          <w:i/>
          <w:iCs/>
        </w:rPr>
        <w:t>quest for lost k</w:t>
      </w:r>
      <w:r w:rsidR="00DE5CEB">
        <w:rPr>
          <w:rFonts w:eastAsia="Arial Unicode MS" w:hAnsi="Arial Unicode MS" w:cs="Arial Unicode MS"/>
          <w:i/>
          <w:iCs/>
        </w:rPr>
        <w:t>nowledge</w:t>
      </w:r>
      <w:r w:rsidR="00DE5CEB">
        <w:rPr>
          <w:rFonts w:eastAsia="Arial Unicode MS" w:hAnsi="Arial Unicode MS" w:cs="Arial Unicode MS"/>
        </w:rPr>
        <w:t xml:space="preserve"> (London, 1979), </w:t>
      </w:r>
      <w:r>
        <w:rPr>
          <w:rFonts w:eastAsia="Arial Unicode MS" w:hAnsi="Arial Unicode MS" w:cs="Arial Unicode MS"/>
        </w:rPr>
        <w:t>p.94.</w:t>
      </w:r>
    </w:p>
  </w:endnote>
  <w:endnote w:id="9">
    <w:p w:rsidR="003555EC" w:rsidRPr="00C91304" w:rsidRDefault="008B259A">
      <w:pPr>
        <w:pStyle w:val="Footnote"/>
        <w:rPr>
          <w:rFonts w:eastAsia="Arial Unicode MS" w:hAnsi="Arial Unicode MS" w:cs="Arial Unicode MS"/>
          <w:i/>
          <w:iCs/>
        </w:rPr>
      </w:pPr>
      <w:r>
        <w:rPr>
          <w:position w:val="12"/>
        </w:rPr>
        <w:endnoteRef/>
      </w:r>
      <w:r>
        <w:rPr>
          <w:rFonts w:eastAsia="Arial Unicode MS" w:hAnsi="Arial Unicode MS" w:cs="Arial Unicode MS"/>
        </w:rPr>
        <w:t xml:space="preserve"> A number of these paper museums, and especially Cassiano dal Pozzo</w:t>
      </w:r>
      <w:r>
        <w:rPr>
          <w:rFonts w:ascii="Arial Unicode MS" w:eastAsia="Arial Unicode MS" w:cs="Arial Unicode MS"/>
        </w:rPr>
        <w:t>’</w:t>
      </w:r>
      <w:r>
        <w:rPr>
          <w:rFonts w:eastAsia="Arial Unicode MS" w:hAnsi="Arial Unicode MS" w:cs="Arial Unicode MS"/>
        </w:rPr>
        <w:t xml:space="preserve">s </w:t>
      </w:r>
      <w:r>
        <w:rPr>
          <w:rFonts w:eastAsia="Arial Unicode MS" w:hAnsi="Arial Unicode MS" w:cs="Arial Unicode MS"/>
          <w:i/>
          <w:iCs/>
        </w:rPr>
        <w:t>museo cartaceo</w:t>
      </w:r>
      <w:r w:rsidR="00C91304">
        <w:rPr>
          <w:rFonts w:eastAsia="Arial Unicode MS" w:hAnsi="Arial Unicode MS" w:cs="Arial Unicode MS"/>
        </w:rPr>
        <w:t xml:space="preserve"> are discussed in Barker, </w:t>
      </w:r>
      <w:r w:rsidR="00C91304">
        <w:rPr>
          <w:rFonts w:eastAsia="Arial Unicode MS" w:hAnsi="Arial Unicode MS" w:cs="Arial Unicode MS"/>
        </w:rPr>
        <w:t>‘</w:t>
      </w:r>
      <w:r w:rsidR="00C91304">
        <w:rPr>
          <w:rFonts w:eastAsia="Arial Unicode MS" w:hAnsi="Arial Unicode MS" w:cs="Arial Unicode MS"/>
        </w:rPr>
        <w:t>Un-discarded images</w:t>
      </w:r>
      <w:r w:rsidR="00C91304">
        <w:rPr>
          <w:rFonts w:eastAsia="Arial Unicode MS" w:hAnsi="Arial Unicode MS" w:cs="Arial Unicode MS"/>
        </w:rPr>
        <w:t>’</w:t>
      </w:r>
      <w:r>
        <w:rPr>
          <w:rFonts w:eastAsia="Arial Unicode MS" w:hAnsi="Arial Unicode MS" w:cs="Arial Unicode MS"/>
          <w:i/>
          <w:iCs/>
        </w:rPr>
        <w:t>.</w:t>
      </w:r>
      <w:r>
        <w:rPr>
          <w:rFonts w:eastAsia="Arial Unicode MS" w:hAnsi="Arial Unicode MS" w:cs="Arial Unicode MS"/>
        </w:rPr>
        <w:t xml:space="preserve"> Printed precursors of the </w:t>
      </w:r>
      <w:r>
        <w:rPr>
          <w:rFonts w:eastAsia="Arial Unicode MS" w:hAnsi="Arial Unicode MS" w:cs="Arial Unicode MS"/>
          <w:i/>
          <w:iCs/>
        </w:rPr>
        <w:t>Gabinetto</w:t>
      </w:r>
      <w:r>
        <w:rPr>
          <w:rFonts w:eastAsia="Arial Unicode MS" w:hAnsi="Arial Unicode MS" w:cs="Arial Unicode MS"/>
        </w:rPr>
        <w:t xml:space="preserve"> include the </w:t>
      </w:r>
      <w:r>
        <w:rPr>
          <w:rFonts w:eastAsia="Arial Unicode MS" w:hAnsi="Arial Unicode MS" w:cs="Arial Unicode MS"/>
          <w:i/>
          <w:iCs/>
        </w:rPr>
        <w:t>Galleria Giustiniani</w:t>
      </w:r>
      <w:r>
        <w:rPr>
          <w:rFonts w:eastAsia="Arial Unicode MS" w:hAnsi="Arial Unicode MS" w:cs="Arial Unicode MS"/>
        </w:rPr>
        <w:t xml:space="preserve"> (Rome, 1631) and the </w:t>
      </w:r>
      <w:r>
        <w:rPr>
          <w:rFonts w:eastAsia="Arial Unicode MS" w:hAnsi="Arial Unicode MS" w:cs="Arial Unicode MS"/>
          <w:i/>
          <w:iCs/>
        </w:rPr>
        <w:t>Musicalisches Theatrum</w:t>
      </w:r>
      <w:r>
        <w:rPr>
          <w:rFonts w:eastAsia="Arial Unicode MS" w:hAnsi="Arial Unicode MS" w:cs="Arial Unicode MS"/>
        </w:rPr>
        <w:t xml:space="preserve"> by Johann Christoph Weigel (Nuremberg, </w:t>
      </w:r>
      <w:r>
        <w:rPr>
          <w:rFonts w:eastAsia="Arial Unicode MS" w:hAnsi="Arial Unicode MS" w:cs="Arial Unicode MS"/>
          <w:i/>
          <w:iCs/>
        </w:rPr>
        <w:t>ca</w:t>
      </w:r>
      <w:r>
        <w:rPr>
          <w:rFonts w:eastAsia="Arial Unicode MS" w:hAnsi="Arial Unicode MS" w:cs="Arial Unicode MS"/>
        </w:rPr>
        <w:t>.1715), though the latter is less serious in intent and there is no evidence that Bonanni knew it. For a full account of Aldrovandi</w:t>
      </w:r>
      <w:r>
        <w:rPr>
          <w:rFonts w:ascii="Arial Unicode MS" w:eastAsia="Arial Unicode MS" w:cs="Arial Unicode MS"/>
        </w:rPr>
        <w:t>’</w:t>
      </w:r>
      <w:r>
        <w:rPr>
          <w:rFonts w:eastAsia="Arial Unicode MS" w:hAnsi="Arial Unicode MS" w:cs="Arial Unicode MS"/>
        </w:rPr>
        <w:t xml:space="preserve">s museum and its context in the Aristotelian tradition see Findlen, </w:t>
      </w:r>
      <w:r>
        <w:rPr>
          <w:rFonts w:eastAsia="Arial Unicode MS" w:hAnsi="Arial Unicode MS" w:cs="Arial Unicode MS"/>
          <w:i/>
          <w:iCs/>
        </w:rPr>
        <w:t>Possessing Nature</w:t>
      </w:r>
      <w:r>
        <w:rPr>
          <w:rFonts w:eastAsia="Arial Unicode MS" w:hAnsi="Arial Unicode MS" w:cs="Arial Unicode MS"/>
        </w:rPr>
        <w:t xml:space="preserve">, chapter one and </w:t>
      </w:r>
      <w:r>
        <w:rPr>
          <w:rFonts w:eastAsia="Arial Unicode MS" w:hAnsi="Arial Unicode MS" w:cs="Arial Unicode MS"/>
          <w:i/>
          <w:iCs/>
        </w:rPr>
        <w:t>passim</w:t>
      </w:r>
      <w:r>
        <w:rPr>
          <w:rFonts w:eastAsia="Arial Unicode MS" w:hAnsi="Arial Unicode MS" w:cs="Arial Unicode MS"/>
        </w:rPr>
        <w:t>.</w:t>
      </w:r>
    </w:p>
  </w:endnote>
  <w:endnote w:id="10">
    <w:p w:rsidR="003555EC" w:rsidRDefault="008B259A">
      <w:pPr>
        <w:pStyle w:val="Footnote"/>
      </w:pPr>
      <w:r>
        <w:rPr>
          <w:position w:val="12"/>
        </w:rPr>
        <w:endnoteRef/>
      </w:r>
      <w:r>
        <w:rPr>
          <w:rFonts w:eastAsia="Arial Unicode MS" w:hAnsi="Arial Unicode MS" w:cs="Arial Unicode MS"/>
        </w:rPr>
        <w:t xml:space="preserve"> For example his </w:t>
      </w:r>
      <w:r>
        <w:rPr>
          <w:rFonts w:ascii="Arial Unicode MS" w:eastAsia="Arial Unicode MS" w:cs="Arial Unicode MS"/>
        </w:rPr>
        <w:t>‘</w:t>
      </w:r>
      <w:r>
        <w:rPr>
          <w:rFonts w:eastAsia="Arial Unicode MS" w:hAnsi="Arial Unicode MS" w:cs="Arial Unicode MS"/>
        </w:rPr>
        <w:t>Tromba antica</w:t>
      </w:r>
      <w:r>
        <w:rPr>
          <w:rFonts w:ascii="Arial Unicode MS" w:eastAsia="Arial Unicode MS" w:cs="Arial Unicode MS"/>
        </w:rPr>
        <w:t>’</w:t>
      </w:r>
      <w:r>
        <w:rPr>
          <w:rFonts w:ascii="Arial Unicode MS" w:eastAsia="Arial Unicode MS" w:cs="Arial Unicode MS"/>
        </w:rPr>
        <w:t xml:space="preserve"> </w:t>
      </w:r>
      <w:r>
        <w:rPr>
          <w:rFonts w:eastAsia="Arial Unicode MS" w:hAnsi="Arial Unicode MS" w:cs="Arial Unicode MS"/>
        </w:rPr>
        <w:t xml:space="preserve">(plate III) and </w:t>
      </w:r>
      <w:r>
        <w:rPr>
          <w:rFonts w:ascii="Arial Unicode MS" w:eastAsia="Arial Unicode MS" w:cs="Arial Unicode MS"/>
        </w:rPr>
        <w:t>‘</w:t>
      </w:r>
      <w:r>
        <w:rPr>
          <w:rFonts w:eastAsia="Arial Unicode MS" w:hAnsi="Arial Unicode MS" w:cs="Arial Unicode MS"/>
        </w:rPr>
        <w:t>Cembalo antico</w:t>
      </w:r>
      <w:r>
        <w:rPr>
          <w:rFonts w:ascii="Arial Unicode MS" w:eastAsia="Arial Unicode MS" w:cs="Arial Unicode MS"/>
        </w:rPr>
        <w:t>’</w:t>
      </w:r>
      <w:r>
        <w:rPr>
          <w:rFonts w:ascii="Arial Unicode MS" w:eastAsia="Arial Unicode MS" w:cs="Arial Unicode MS"/>
        </w:rPr>
        <w:t xml:space="preserve"> </w:t>
      </w:r>
      <w:r>
        <w:rPr>
          <w:rFonts w:eastAsia="Arial Unicode MS" w:hAnsi="Arial Unicode MS" w:cs="Arial Unicode MS"/>
        </w:rPr>
        <w:t xml:space="preserve">(plate LXXXVI); see Barker, </w:t>
      </w:r>
      <w:r>
        <w:rPr>
          <w:rFonts w:ascii="Arial Unicode MS" w:eastAsia="Arial Unicode MS" w:cs="Arial Unicode MS"/>
        </w:rPr>
        <w:t>‘</w:t>
      </w:r>
      <w:r>
        <w:rPr>
          <w:rFonts w:eastAsia="Arial Unicode MS" w:hAnsi="Arial Unicode MS" w:cs="Arial Unicode MS"/>
        </w:rPr>
        <w:t>Un-discarded images</w:t>
      </w:r>
      <w:r>
        <w:rPr>
          <w:rFonts w:ascii="Arial Unicode MS" w:eastAsia="Arial Unicode MS" w:cs="Arial Unicode MS"/>
        </w:rPr>
        <w:t>’</w:t>
      </w:r>
      <w:r w:rsidR="00C91304">
        <w:rPr>
          <w:rFonts w:eastAsia="Arial Unicode MS" w:hAnsi="Arial Unicode MS" w:cs="Arial Unicode MS"/>
        </w:rPr>
        <w:t>,</w:t>
      </w:r>
      <w:r>
        <w:rPr>
          <w:rFonts w:eastAsia="Arial Unicode MS" w:hAnsi="Arial Unicode MS" w:cs="Arial Unicode MS"/>
        </w:rPr>
        <w:t xml:space="preserve"> pp.199 and 204-6 respectively.</w:t>
      </w:r>
    </w:p>
  </w:endnote>
  <w:endnote w:id="11">
    <w:p w:rsidR="003555EC" w:rsidRDefault="008B259A">
      <w:pPr>
        <w:pStyle w:val="Footnote"/>
      </w:pPr>
      <w:r>
        <w:rPr>
          <w:position w:val="12"/>
        </w:rPr>
        <w:endnoteRef/>
      </w:r>
      <w:r>
        <w:rPr>
          <w:rFonts w:eastAsia="Arial Unicode MS" w:hAnsi="Arial Unicode MS" w:cs="Arial Unicode MS"/>
        </w:rPr>
        <w:t xml:space="preserve"> Findlen, </w:t>
      </w:r>
      <w:r w:rsidR="00970C78">
        <w:rPr>
          <w:rFonts w:eastAsia="Arial Unicode MS" w:hAnsi="Arial Unicode MS" w:cs="Arial Unicode MS"/>
          <w:i/>
          <w:iCs/>
        </w:rPr>
        <w:t>Possessing n</w:t>
      </w:r>
      <w:r>
        <w:rPr>
          <w:rFonts w:eastAsia="Arial Unicode MS" w:hAnsi="Arial Unicode MS" w:cs="Arial Unicode MS"/>
          <w:i/>
          <w:iCs/>
        </w:rPr>
        <w:t>ature</w:t>
      </w:r>
      <w:r>
        <w:rPr>
          <w:rFonts w:eastAsia="Arial Unicode MS" w:hAnsi="Arial Unicode MS" w:cs="Arial Unicode MS"/>
        </w:rPr>
        <w:t>, p.34.</w:t>
      </w:r>
    </w:p>
  </w:endnote>
  <w:endnote w:id="12">
    <w:p w:rsidR="003555EC" w:rsidRDefault="008B259A">
      <w:pPr>
        <w:pStyle w:val="Footnote"/>
      </w:pPr>
      <w:r>
        <w:rPr>
          <w:position w:val="12"/>
        </w:rPr>
        <w:endnoteRef/>
      </w:r>
      <w:r w:rsidR="00C91304">
        <w:rPr>
          <w:rFonts w:eastAsia="Arial Unicode MS" w:hAnsi="Arial Unicode MS" w:cs="Arial Unicode MS"/>
        </w:rPr>
        <w:t xml:space="preserve"> </w:t>
      </w:r>
      <w:r w:rsidR="00BD261B">
        <w:rPr>
          <w:rFonts w:eastAsia="Arial Unicode MS" w:hAnsi="Arial Unicode MS" w:cs="Arial Unicode MS"/>
        </w:rPr>
        <w:t>C. Ghirardini</w:t>
      </w:r>
      <w:r w:rsidR="002A464D">
        <w:rPr>
          <w:rFonts w:eastAsia="Arial Unicode MS" w:hAnsi="Arial Unicode MS" w:cs="Arial Unicode MS"/>
        </w:rPr>
        <w:t>,</w:t>
      </w:r>
      <w:r>
        <w:rPr>
          <w:rFonts w:eastAsia="Arial Unicode MS" w:hAnsi="Arial Unicode MS" w:cs="Arial Unicode MS"/>
        </w:rPr>
        <w:t xml:space="preserve"> </w:t>
      </w:r>
      <w:r>
        <w:rPr>
          <w:rFonts w:ascii="Arial Unicode MS" w:eastAsia="Arial Unicode MS" w:cs="Arial Unicode MS"/>
        </w:rPr>
        <w:t>‘</w:t>
      </w:r>
      <w:r>
        <w:rPr>
          <w:rFonts w:eastAsia="Arial Unicode MS" w:hAnsi="Arial Unicode MS" w:cs="Arial Unicode MS"/>
        </w:rPr>
        <w:t>Il Gabinetto armonico</w:t>
      </w:r>
      <w:r>
        <w:rPr>
          <w:rFonts w:eastAsia="Arial Unicode MS" w:hAnsi="Arial Unicode MS" w:cs="Arial Unicode MS"/>
          <w:i/>
          <w:iCs/>
        </w:rPr>
        <w:t xml:space="preserve"> di Filippo Bonanni e le sue fonti</w:t>
      </w:r>
      <w:r>
        <w:rPr>
          <w:rFonts w:ascii="Arial Unicode MS" w:eastAsia="Arial Unicode MS" w:cs="Arial Unicode MS"/>
          <w:i/>
          <w:iCs/>
        </w:rPr>
        <w:t>’</w:t>
      </w:r>
      <w:r>
        <w:rPr>
          <w:rFonts w:eastAsia="Arial Unicode MS" w:hAnsi="Arial Unicode MS" w:cs="Arial Unicode MS"/>
        </w:rPr>
        <w:t xml:space="preserve">, </w:t>
      </w:r>
      <w:r>
        <w:rPr>
          <w:rFonts w:eastAsia="Arial Unicode MS" w:hAnsi="Arial Unicode MS" w:cs="Arial Unicode MS"/>
          <w:i/>
          <w:iCs/>
        </w:rPr>
        <w:t>Acta Musicologica</w:t>
      </w:r>
      <w:r>
        <w:rPr>
          <w:rFonts w:eastAsia="Arial Unicode MS" w:hAnsi="Arial Unicode MS" w:cs="Arial Unicode MS"/>
        </w:rPr>
        <w:t xml:space="preserve">, lxxix/2 (2007), pp.359-405; and </w:t>
      </w:r>
      <w:r>
        <w:rPr>
          <w:rFonts w:eastAsia="Arial Unicode MS" w:hAnsi="Arial Unicode MS" w:cs="Arial Unicode MS"/>
          <w:i/>
          <w:iCs/>
        </w:rPr>
        <w:t>Automi sonori, strumenti esotici e strumenti popolari nel</w:t>
      </w:r>
      <w:r>
        <w:rPr>
          <w:rFonts w:eastAsia="Arial Unicode MS" w:hAnsi="Arial Unicode MS" w:cs="Arial Unicode MS"/>
        </w:rPr>
        <w:t xml:space="preserve"> Gabinetto armonico </w:t>
      </w:r>
      <w:r>
        <w:rPr>
          <w:rFonts w:eastAsia="Arial Unicode MS" w:hAnsi="Arial Unicode MS" w:cs="Arial Unicode MS"/>
          <w:i/>
          <w:iCs/>
        </w:rPr>
        <w:t>de Filippo Bonanni</w:t>
      </w:r>
      <w:r>
        <w:rPr>
          <w:rFonts w:eastAsia="Arial Unicode MS" w:hAnsi="Arial Unicode MS" w:cs="Arial Unicode MS"/>
        </w:rPr>
        <w:t xml:space="preserve">, in </w:t>
      </w:r>
      <w:r>
        <w:rPr>
          <w:rFonts w:eastAsia="Arial Unicode MS" w:hAnsi="Arial Unicode MS" w:cs="Arial Unicode MS"/>
          <w:i/>
          <w:iCs/>
        </w:rPr>
        <w:t>Prospettive di iconografia musicale</w:t>
      </w:r>
      <w:r w:rsidR="00BD261B">
        <w:rPr>
          <w:rFonts w:eastAsia="Arial Unicode MS" w:hAnsi="Arial Unicode MS" w:cs="Arial Unicode MS"/>
        </w:rPr>
        <w:t>, ed. N. Guidobaldi</w:t>
      </w:r>
      <w:r>
        <w:rPr>
          <w:rFonts w:eastAsia="Arial Unicode MS" w:hAnsi="Arial Unicode MS" w:cs="Arial Unicode MS"/>
        </w:rPr>
        <w:t xml:space="preserve"> (Mila</w:t>
      </w:r>
      <w:r w:rsidR="00C91304">
        <w:rPr>
          <w:rFonts w:eastAsia="Arial Unicode MS" w:hAnsi="Arial Unicode MS" w:cs="Arial Unicode MS"/>
        </w:rPr>
        <w:t>n</w:t>
      </w:r>
      <w:r>
        <w:rPr>
          <w:rFonts w:eastAsia="Arial Unicode MS" w:hAnsi="Arial Unicode MS" w:cs="Arial Unicode MS"/>
        </w:rPr>
        <w:t>, 2007)</w:t>
      </w:r>
      <w:r w:rsidR="00BD261B">
        <w:rPr>
          <w:rFonts w:eastAsia="Arial Unicode MS" w:hAnsi="Arial Unicode MS" w:cs="Arial Unicode MS"/>
        </w:rPr>
        <w:t>,</w:t>
      </w:r>
      <w:r>
        <w:rPr>
          <w:rFonts w:eastAsia="Arial Unicode MS" w:hAnsi="Arial Unicode MS" w:cs="Arial Unicode MS"/>
        </w:rPr>
        <w:t xml:space="preserve"> pp.191-22</w:t>
      </w:r>
      <w:r w:rsidR="00C91304">
        <w:rPr>
          <w:rFonts w:eastAsia="Arial Unicode MS" w:hAnsi="Arial Unicode MS" w:cs="Arial Unicode MS"/>
        </w:rPr>
        <w:t xml:space="preserve">2. See also </w:t>
      </w:r>
      <w:r w:rsidR="00BD261B">
        <w:rPr>
          <w:rFonts w:eastAsia="Arial Unicode MS" w:hAnsi="Arial Unicode MS" w:cs="Arial Unicode MS"/>
        </w:rPr>
        <w:t>C. Ghirardini</w:t>
      </w:r>
      <w:r w:rsidR="002A464D">
        <w:rPr>
          <w:rFonts w:eastAsia="Arial Unicode MS" w:hAnsi="Arial Unicode MS" w:cs="Arial Unicode MS"/>
        </w:rPr>
        <w:t>,</w:t>
      </w:r>
      <w:r>
        <w:rPr>
          <w:rFonts w:eastAsia="Arial Unicode MS" w:hAnsi="Arial Unicode MS" w:cs="Arial Unicode MS"/>
        </w:rPr>
        <w:t xml:space="preserve"> </w:t>
      </w:r>
      <w:r>
        <w:rPr>
          <w:rFonts w:ascii="Arial Unicode MS" w:eastAsia="Arial Unicode MS" w:cs="Arial Unicode MS"/>
        </w:rPr>
        <w:t>‘</w:t>
      </w:r>
      <w:r>
        <w:rPr>
          <w:rFonts w:eastAsia="Arial Unicode MS" w:hAnsi="Arial Unicode MS" w:cs="Arial Unicode MS"/>
        </w:rPr>
        <w:t>Filippo Bonanni</w:t>
      </w:r>
      <w:r>
        <w:rPr>
          <w:rFonts w:ascii="Arial Unicode MS" w:eastAsia="Arial Unicode MS" w:cs="Arial Unicode MS"/>
        </w:rPr>
        <w:t>’</w:t>
      </w:r>
      <w:r>
        <w:rPr>
          <w:rFonts w:eastAsia="Arial Unicode MS" w:hAnsi="Arial Unicode MS" w:cs="Arial Unicode MS"/>
        </w:rPr>
        <w:t xml:space="preserve">s </w:t>
      </w:r>
      <w:r>
        <w:rPr>
          <w:rFonts w:eastAsia="Arial Unicode MS" w:hAnsi="Arial Unicode MS" w:cs="Arial Unicode MS"/>
          <w:i/>
          <w:iCs/>
        </w:rPr>
        <w:t>Gabinetto armonico</w:t>
      </w:r>
      <w:r w:rsidR="00C91304">
        <w:rPr>
          <w:rFonts w:eastAsia="Arial Unicode MS" w:hAnsi="Arial Unicode MS" w:cs="Arial Unicode MS"/>
        </w:rPr>
        <w:t xml:space="preserve"> and the a</w:t>
      </w:r>
      <w:r>
        <w:rPr>
          <w:rFonts w:eastAsia="Arial Unicode MS" w:hAnsi="Arial Unicode MS" w:cs="Arial Unicode MS"/>
        </w:rPr>
        <w:t>ntiquarians</w:t>
      </w:r>
      <w:r>
        <w:rPr>
          <w:rFonts w:ascii="Arial Unicode MS" w:eastAsia="Arial Unicode MS" w:cs="Arial Unicode MS"/>
        </w:rPr>
        <w:t>’</w:t>
      </w:r>
      <w:r>
        <w:rPr>
          <w:rFonts w:ascii="Arial Unicode MS" w:eastAsia="Arial Unicode MS" w:cs="Arial Unicode MS"/>
        </w:rPr>
        <w:t xml:space="preserve"> </w:t>
      </w:r>
      <w:r w:rsidR="00C91304">
        <w:rPr>
          <w:rFonts w:eastAsia="Arial Unicode MS" w:hAnsi="Arial Unicode MS" w:cs="Arial Unicode MS"/>
        </w:rPr>
        <w:t>writings on musical i</w:t>
      </w:r>
      <w:r>
        <w:rPr>
          <w:rFonts w:eastAsia="Arial Unicode MS" w:hAnsi="Arial Unicode MS" w:cs="Arial Unicode MS"/>
        </w:rPr>
        <w:t>nstruments</w:t>
      </w:r>
      <w:r>
        <w:rPr>
          <w:rFonts w:ascii="Arial Unicode MS" w:eastAsia="Arial Unicode MS" w:cs="Arial Unicode MS"/>
        </w:rPr>
        <w:t>’</w:t>
      </w:r>
      <w:r>
        <w:rPr>
          <w:rFonts w:eastAsia="Arial Unicode MS" w:hAnsi="Arial Unicode MS" w:cs="Arial Unicode MS"/>
        </w:rPr>
        <w:t xml:space="preserve">, </w:t>
      </w:r>
      <w:r>
        <w:rPr>
          <w:rFonts w:eastAsia="Arial Unicode MS" w:hAnsi="Arial Unicode MS" w:cs="Arial Unicode MS"/>
          <w:i/>
          <w:iCs/>
        </w:rPr>
        <w:t>Music in Art</w:t>
      </w:r>
      <w:r>
        <w:rPr>
          <w:rFonts w:eastAsia="Arial Unicode MS" w:hAnsi="Arial Unicode MS" w:cs="Arial Unicode MS"/>
        </w:rPr>
        <w:t>, xxxiii/1 (2008), p.169.</w:t>
      </w:r>
    </w:p>
  </w:endnote>
  <w:endnote w:id="13">
    <w:p w:rsidR="003555EC" w:rsidRDefault="008B259A">
      <w:pPr>
        <w:pStyle w:val="Footnote"/>
      </w:pPr>
      <w:r>
        <w:rPr>
          <w:position w:val="12"/>
        </w:rPr>
        <w:endnoteRef/>
      </w:r>
      <w:r>
        <w:rPr>
          <w:rFonts w:eastAsia="Arial Unicode MS" w:hAnsi="Arial Unicode MS" w:cs="Arial Unicode MS"/>
        </w:rPr>
        <w:t xml:space="preserve"> See </w:t>
      </w:r>
      <w:r w:rsidR="00BD261B">
        <w:rPr>
          <w:rFonts w:eastAsia="Arial Unicode MS" w:hAnsi="Arial Unicode MS" w:cs="Arial Unicode MS"/>
        </w:rPr>
        <w:t xml:space="preserve">P. </w:t>
      </w:r>
      <w:r>
        <w:rPr>
          <w:rFonts w:eastAsia="Arial Unicode MS" w:hAnsi="Arial Unicode MS" w:cs="Arial Unicode MS"/>
        </w:rPr>
        <w:t>Mauri</w:t>
      </w:r>
      <w:r>
        <w:rPr>
          <w:rFonts w:ascii="Arial Unicode MS" w:eastAsia="Arial Unicode MS" w:cs="Arial Unicode MS"/>
        </w:rPr>
        <w:t>è</w:t>
      </w:r>
      <w:r w:rsidR="00BD261B">
        <w:rPr>
          <w:rFonts w:eastAsia="Arial Unicode MS" w:hAnsi="Arial Unicode MS" w:cs="Arial Unicode MS"/>
        </w:rPr>
        <w:t>s</w:t>
      </w:r>
      <w:r w:rsidR="002A464D">
        <w:rPr>
          <w:rFonts w:eastAsia="Arial Unicode MS" w:hAnsi="Arial Unicode MS" w:cs="Arial Unicode MS"/>
        </w:rPr>
        <w:t>,</w:t>
      </w:r>
      <w:r>
        <w:rPr>
          <w:rFonts w:eastAsia="Arial Unicode MS" w:hAnsi="Arial Unicode MS" w:cs="Arial Unicode MS"/>
        </w:rPr>
        <w:t xml:space="preserve"> </w:t>
      </w:r>
      <w:r w:rsidR="00970C78">
        <w:rPr>
          <w:rFonts w:eastAsia="Arial Unicode MS" w:hAnsi="Arial Unicode MS" w:cs="Arial Unicode MS"/>
          <w:i/>
          <w:iCs/>
        </w:rPr>
        <w:t>Cabinets of c</w:t>
      </w:r>
      <w:r>
        <w:rPr>
          <w:rFonts w:eastAsia="Arial Unicode MS" w:hAnsi="Arial Unicode MS" w:cs="Arial Unicode MS"/>
          <w:i/>
          <w:iCs/>
        </w:rPr>
        <w:t>uriosities</w:t>
      </w:r>
      <w:r w:rsidR="002A464D">
        <w:rPr>
          <w:rFonts w:eastAsia="Arial Unicode MS" w:hAnsi="Arial Unicode MS" w:cs="Arial Unicode MS"/>
        </w:rPr>
        <w:t xml:space="preserve"> (London</w:t>
      </w:r>
      <w:r>
        <w:rPr>
          <w:rFonts w:eastAsia="Arial Unicode MS" w:hAnsi="Arial Unicode MS" w:cs="Arial Unicode MS"/>
        </w:rPr>
        <w:t>, 2002).</w:t>
      </w:r>
    </w:p>
  </w:endnote>
  <w:endnote w:id="14">
    <w:p w:rsidR="003555EC" w:rsidRDefault="008B259A">
      <w:pPr>
        <w:pStyle w:val="Footnote"/>
      </w:pPr>
      <w:r>
        <w:rPr>
          <w:position w:val="12"/>
        </w:rPr>
        <w:endnoteRef/>
      </w:r>
      <w:r>
        <w:rPr>
          <w:rFonts w:eastAsia="Arial Unicode MS" w:hAnsi="Arial Unicode MS" w:cs="Arial Unicode MS"/>
        </w:rPr>
        <w:t xml:space="preserve"> Bonanni, </w:t>
      </w:r>
      <w:r>
        <w:rPr>
          <w:rFonts w:eastAsia="Arial Unicode MS" w:hAnsi="Arial Unicode MS" w:cs="Arial Unicode MS"/>
          <w:i/>
          <w:iCs/>
        </w:rPr>
        <w:t>Gabinetto</w:t>
      </w:r>
      <w:r>
        <w:rPr>
          <w:rFonts w:eastAsia="Arial Unicode MS" w:hAnsi="Arial Unicode MS" w:cs="Arial Unicode MS"/>
        </w:rPr>
        <w:t>, p.3.</w:t>
      </w:r>
    </w:p>
  </w:endnote>
  <w:endnote w:id="15">
    <w:p w:rsidR="003555EC" w:rsidRDefault="008B259A">
      <w:pPr>
        <w:pStyle w:val="Footnote"/>
      </w:pPr>
      <w:r>
        <w:rPr>
          <w:position w:val="12"/>
        </w:rPr>
        <w:endnoteRef/>
      </w:r>
      <w:r w:rsidR="002A464D">
        <w:rPr>
          <w:rFonts w:eastAsia="Arial Unicode MS" w:hAnsi="Arial Unicode MS" w:cs="Arial Unicode MS"/>
        </w:rPr>
        <w:t xml:space="preserve"> Kaempfer, Englebert,</w:t>
      </w:r>
      <w:r>
        <w:rPr>
          <w:rFonts w:eastAsia="Arial Unicode MS" w:hAnsi="Arial Unicode MS" w:cs="Arial Unicode MS"/>
        </w:rPr>
        <w:t xml:space="preserve"> </w:t>
      </w:r>
      <w:r>
        <w:rPr>
          <w:rFonts w:eastAsia="Arial Unicode MS" w:hAnsi="Arial Unicode MS" w:cs="Arial Unicode MS"/>
          <w:i/>
          <w:iCs/>
        </w:rPr>
        <w:t>Amoenitatum exoticarum politico-physico-medicarum fasciculi v, quibus continentur variae relationes, observationes &amp; descriptiones rerum Persicarum &amp; ulterioris Asiae, multa attentione, in peregrinationibus per universum Orientum, collecta, ab autore Engelberto Kaempfero. Lemgoviae, Typis &amp; impensis H.W. Meyer</w:t>
      </w:r>
      <w:r>
        <w:rPr>
          <w:rFonts w:eastAsia="Arial Unicode MS" w:hAnsi="Arial Unicode MS" w:cs="Arial Unicode MS"/>
        </w:rPr>
        <w:t>i (Lemgo, 1712).</w:t>
      </w:r>
    </w:p>
  </w:endnote>
  <w:endnote w:id="16">
    <w:p w:rsidR="003555EC" w:rsidRDefault="008B259A">
      <w:pPr>
        <w:pStyle w:val="Footnote"/>
      </w:pPr>
      <w:r>
        <w:rPr>
          <w:position w:val="12"/>
        </w:rPr>
        <w:endnoteRef/>
      </w:r>
      <w:r w:rsidR="002A464D">
        <w:rPr>
          <w:rFonts w:eastAsia="Arial Unicode MS" w:hAnsi="Arial Unicode MS" w:cs="Arial Unicode MS"/>
        </w:rPr>
        <w:t xml:space="preserve"> Ferriol, Charles de,</w:t>
      </w:r>
      <w:r>
        <w:rPr>
          <w:rFonts w:eastAsia="Arial Unicode MS" w:hAnsi="Arial Unicode MS" w:cs="Arial Unicode MS"/>
          <w:i/>
          <w:iCs/>
        </w:rPr>
        <w:t xml:space="preserve"> Recueil de cent estampes representant differentes nations du Levant tir</w:t>
      </w:r>
      <w:r>
        <w:rPr>
          <w:rFonts w:ascii="Arial Unicode MS" w:eastAsia="Arial Unicode MS" w:cs="Arial Unicode MS"/>
          <w:i/>
          <w:iCs/>
        </w:rPr>
        <w:t>é</w:t>
      </w:r>
      <w:r>
        <w:rPr>
          <w:rFonts w:eastAsia="Arial Unicode MS" w:hAnsi="Arial Unicode MS" w:cs="Arial Unicode MS"/>
          <w:i/>
          <w:iCs/>
        </w:rPr>
        <w:t>es sur les tableaux peints d</w:t>
      </w:r>
      <w:r>
        <w:rPr>
          <w:rFonts w:ascii="Arial Unicode MS" w:eastAsia="Arial Unicode MS" w:cs="Arial Unicode MS"/>
          <w:i/>
          <w:iCs/>
        </w:rPr>
        <w:t>’</w:t>
      </w:r>
      <w:r>
        <w:rPr>
          <w:rFonts w:eastAsia="Arial Unicode MS" w:hAnsi="Arial Unicode MS" w:cs="Arial Unicode MS"/>
          <w:i/>
          <w:iCs/>
        </w:rPr>
        <w:t>apr</w:t>
      </w:r>
      <w:r>
        <w:rPr>
          <w:rFonts w:ascii="Arial Unicode MS" w:eastAsia="Arial Unicode MS" w:cs="Arial Unicode MS"/>
          <w:i/>
          <w:iCs/>
        </w:rPr>
        <w:t>è</w:t>
      </w:r>
      <w:r>
        <w:rPr>
          <w:rFonts w:eastAsia="Arial Unicode MS" w:hAnsi="Arial Unicode MS" w:cs="Arial Unicode MS"/>
          <w:i/>
          <w:iCs/>
        </w:rPr>
        <w:t>s nature</w:t>
      </w:r>
      <w:r>
        <w:rPr>
          <w:rFonts w:eastAsia="Arial Unicode MS" w:hAnsi="Arial Unicode MS" w:cs="Arial Unicode MS"/>
        </w:rPr>
        <w:t xml:space="preserve"> </w:t>
      </w:r>
      <w:r>
        <w:rPr>
          <w:rFonts w:eastAsia="Arial Unicode MS" w:hAnsi="Arial Unicode MS" w:cs="Arial Unicode MS"/>
          <w:i/>
          <w:iCs/>
        </w:rPr>
        <w:t xml:space="preserve">en 1707 et 1708 par les ordres de M. de Ferriol, ambassadeur du roi </w:t>
      </w:r>
      <w:r>
        <w:rPr>
          <w:rFonts w:ascii="Arial Unicode MS" w:eastAsia="Arial Unicode MS" w:cs="Arial Unicode MS"/>
          <w:i/>
          <w:iCs/>
        </w:rPr>
        <w:t>à</w:t>
      </w:r>
      <w:r>
        <w:rPr>
          <w:rFonts w:ascii="Arial Unicode MS" w:eastAsia="Arial Unicode MS" w:cs="Arial Unicode MS"/>
          <w:i/>
          <w:iCs/>
        </w:rPr>
        <w:t xml:space="preserve"> </w:t>
      </w:r>
      <w:r>
        <w:rPr>
          <w:rFonts w:eastAsia="Arial Unicode MS" w:hAnsi="Arial Unicode MS" w:cs="Arial Unicode MS"/>
          <w:i/>
          <w:iCs/>
        </w:rPr>
        <w:t>la Porte. Et grav</w:t>
      </w:r>
      <w:r>
        <w:rPr>
          <w:rFonts w:ascii="Arial Unicode MS" w:eastAsia="Arial Unicode MS" w:cs="Arial Unicode MS"/>
          <w:i/>
          <w:iCs/>
        </w:rPr>
        <w:t>é</w:t>
      </w:r>
      <w:r>
        <w:rPr>
          <w:rFonts w:eastAsia="Arial Unicode MS" w:hAnsi="Arial Unicode MS" w:cs="Arial Unicode MS"/>
          <w:i/>
          <w:iCs/>
        </w:rPr>
        <w:t>es en 1712 et 1713 par les soins de Mr Le Hay</w:t>
      </w:r>
      <w:r>
        <w:rPr>
          <w:rFonts w:eastAsia="Arial Unicode MS" w:hAnsi="Arial Unicode MS" w:cs="Arial Unicode MS"/>
        </w:rPr>
        <w:t xml:space="preserve"> . Paris: Sr. Le Hay; Sr. Duchange, 1714. The original print contained only the images but in the following year a textual accompaniment was issued as: </w:t>
      </w:r>
      <w:r>
        <w:rPr>
          <w:rFonts w:eastAsia="Arial Unicode MS" w:hAnsi="Arial Unicode MS" w:cs="Arial Unicode MS"/>
          <w:i/>
          <w:iCs/>
        </w:rPr>
        <w:t>Explication des cent estampes qui representent differentes nations du Levant Avec des nouvelles estampes de ceremonies turques qui ont aussi leurs explications</w:t>
      </w:r>
      <w:r>
        <w:rPr>
          <w:rFonts w:eastAsia="Arial Unicode MS" w:hAnsi="Arial Unicode MS" w:cs="Arial Unicode MS"/>
        </w:rPr>
        <w:t>. Paris: Jacques Collombat, 1715.</w:t>
      </w:r>
    </w:p>
  </w:endnote>
  <w:endnote w:id="17">
    <w:p w:rsidR="003555EC" w:rsidRDefault="008B259A">
      <w:pPr>
        <w:pStyle w:val="Footnote"/>
      </w:pPr>
      <w:r>
        <w:rPr>
          <w:position w:val="12"/>
        </w:rPr>
        <w:endnoteRef/>
      </w:r>
      <w:r w:rsidR="002A464D">
        <w:rPr>
          <w:rFonts w:eastAsia="Arial Unicode MS" w:hAnsi="Arial Unicode MS" w:cs="Arial Unicode MS"/>
        </w:rPr>
        <w:t xml:space="preserve"> </w:t>
      </w:r>
      <w:r w:rsidR="00BD261B">
        <w:rPr>
          <w:rFonts w:eastAsia="Arial Unicode MS" w:hAnsi="Arial Unicode MS" w:cs="Arial Unicode MS"/>
        </w:rPr>
        <w:t>L. Schick</w:t>
      </w:r>
      <w:r w:rsidR="002A464D">
        <w:rPr>
          <w:rFonts w:eastAsia="Arial Unicode MS" w:hAnsi="Arial Unicode MS" w:cs="Arial Unicode MS"/>
        </w:rPr>
        <w:t>,</w:t>
      </w:r>
      <w:r>
        <w:rPr>
          <w:rFonts w:eastAsia="Arial Unicode MS" w:hAnsi="Arial Unicode MS" w:cs="Arial Unicode MS"/>
        </w:rPr>
        <w:t xml:space="preserve"> </w:t>
      </w:r>
      <w:r>
        <w:rPr>
          <w:rFonts w:ascii="Arial Unicode MS" w:eastAsia="Arial Unicode MS" w:cs="Arial Unicode MS"/>
        </w:rPr>
        <w:t>‘</w:t>
      </w:r>
      <w:r w:rsidR="002A464D">
        <w:rPr>
          <w:rFonts w:eastAsia="Arial Unicode MS" w:hAnsi="Arial Unicode MS" w:cs="Arial Unicode MS"/>
        </w:rPr>
        <w:t>Ottoman costume albums in a cross-cultural c</w:t>
      </w:r>
      <w:r>
        <w:rPr>
          <w:rFonts w:eastAsia="Arial Unicode MS" w:hAnsi="Arial Unicode MS" w:cs="Arial Unicode MS"/>
        </w:rPr>
        <w:t>ontext</w:t>
      </w:r>
      <w:r>
        <w:rPr>
          <w:rFonts w:ascii="Arial Unicode MS" w:eastAsia="Arial Unicode MS" w:cs="Arial Unicode MS"/>
        </w:rPr>
        <w:t>’</w:t>
      </w:r>
      <w:r>
        <w:rPr>
          <w:rFonts w:eastAsia="Arial Unicode MS" w:hAnsi="Arial Unicode MS" w:cs="Arial Unicode MS"/>
        </w:rPr>
        <w:t>,</w:t>
      </w:r>
      <w:r w:rsidR="00970C78">
        <w:rPr>
          <w:rFonts w:eastAsia="Arial Unicode MS" w:hAnsi="Arial Unicode MS" w:cs="Arial Unicode MS"/>
          <w:i/>
          <w:iCs/>
        </w:rPr>
        <w:t xml:space="preserve"> Art turc/Turkish art. 10e c</w:t>
      </w:r>
      <w:r>
        <w:rPr>
          <w:rFonts w:eastAsia="Arial Unicode MS" w:hAnsi="Arial Unicode MS" w:cs="Arial Unicode MS"/>
          <w:i/>
          <w:iCs/>
        </w:rPr>
        <w:t>ongr</w:t>
      </w:r>
      <w:r>
        <w:rPr>
          <w:rFonts w:ascii="Arial Unicode MS" w:eastAsia="Arial Unicode MS" w:cs="Arial Unicode MS"/>
          <w:i/>
          <w:iCs/>
        </w:rPr>
        <w:t>è</w:t>
      </w:r>
      <w:r>
        <w:rPr>
          <w:rFonts w:eastAsia="Arial Unicode MS" w:hAnsi="Arial Unicode MS" w:cs="Arial Unicode MS"/>
          <w:i/>
          <w:iCs/>
        </w:rPr>
        <w:t>s international d</w:t>
      </w:r>
      <w:r>
        <w:rPr>
          <w:rFonts w:ascii="Arial Unicode MS" w:eastAsia="Arial Unicode MS" w:cs="Arial Unicode MS"/>
          <w:i/>
          <w:iCs/>
        </w:rPr>
        <w:t>’</w:t>
      </w:r>
      <w:r>
        <w:rPr>
          <w:rFonts w:eastAsia="Arial Unicode MS" w:hAnsi="Arial Unicode MS" w:cs="Arial Unicode MS"/>
          <w:i/>
          <w:iCs/>
        </w:rPr>
        <w:t xml:space="preserve">art turc </w:t>
      </w:r>
      <w:r>
        <w:rPr>
          <w:rFonts w:eastAsia="Arial Unicode MS" w:hAnsi="Arial Unicode MS" w:cs="Arial Unicode MS"/>
        </w:rPr>
        <w:t>(Geneva, 1999), p.625.</w:t>
      </w:r>
    </w:p>
  </w:endnote>
  <w:endnote w:id="18">
    <w:p w:rsidR="003555EC" w:rsidRDefault="008B259A">
      <w:pPr>
        <w:pStyle w:val="Footnote"/>
      </w:pPr>
      <w:r>
        <w:rPr>
          <w:position w:val="12"/>
        </w:rPr>
        <w:endnoteRef/>
      </w:r>
      <w:r>
        <w:rPr>
          <w:rFonts w:eastAsia="Arial Unicode MS" w:hAnsi="Arial Unicode MS" w:cs="Arial Unicode MS"/>
        </w:rPr>
        <w:t xml:space="preserve"> See Schick,</w:t>
      </w:r>
      <w:r w:rsidR="002A464D" w:rsidRPr="002A464D">
        <w:rPr>
          <w:rFonts w:ascii="Arial Unicode MS" w:eastAsia="Arial Unicode MS" w:cs="Arial Unicode MS"/>
        </w:rPr>
        <w:t xml:space="preserve"> </w:t>
      </w:r>
      <w:r w:rsidR="002A464D">
        <w:rPr>
          <w:rFonts w:ascii="Arial Unicode MS" w:eastAsia="Arial Unicode MS" w:cs="Arial Unicode MS"/>
        </w:rPr>
        <w:t>‘</w:t>
      </w:r>
      <w:r w:rsidR="002A464D">
        <w:rPr>
          <w:rFonts w:eastAsia="Arial Unicode MS" w:hAnsi="Arial Unicode MS" w:cs="Arial Unicode MS"/>
        </w:rPr>
        <w:t>Ottoman costume albums</w:t>
      </w:r>
      <w:r w:rsidR="002A464D">
        <w:rPr>
          <w:rFonts w:eastAsia="Arial Unicode MS" w:hAnsi="Arial Unicode MS" w:cs="Arial Unicode MS"/>
        </w:rPr>
        <w:t>’</w:t>
      </w:r>
      <w:r w:rsidR="00624F49">
        <w:rPr>
          <w:rFonts w:eastAsia="Arial Unicode MS" w:hAnsi="Arial Unicode MS" w:cs="Arial Unicode MS"/>
        </w:rPr>
        <w:t>, pp.625-7, also</w:t>
      </w:r>
      <w:r w:rsidR="002A464D">
        <w:rPr>
          <w:rFonts w:eastAsia="Arial Unicode MS" w:hAnsi="Arial Unicode MS" w:cs="Arial Unicode MS"/>
        </w:rPr>
        <w:t xml:space="preserve"> </w:t>
      </w:r>
      <w:r w:rsidR="00BD261B">
        <w:rPr>
          <w:rFonts w:eastAsia="Arial Unicode MS" w:hAnsi="Arial Unicode MS" w:cs="Arial Unicode MS"/>
        </w:rPr>
        <w:t xml:space="preserve">H. Hiler </w:t>
      </w:r>
      <w:r w:rsidR="002A464D">
        <w:rPr>
          <w:rFonts w:eastAsia="Arial Unicode MS" w:hAnsi="Arial Unicode MS" w:cs="Arial Unicode MS"/>
        </w:rPr>
        <w:t xml:space="preserve">and </w:t>
      </w:r>
      <w:r w:rsidR="00BD261B">
        <w:rPr>
          <w:rFonts w:eastAsia="Arial Unicode MS" w:hAnsi="Arial Unicode MS" w:cs="Arial Unicode MS"/>
        </w:rPr>
        <w:t>M. Hiler</w:t>
      </w:r>
      <w:r w:rsidR="002A464D">
        <w:rPr>
          <w:rFonts w:eastAsia="Arial Unicode MS" w:hAnsi="Arial Unicode MS" w:cs="Arial Unicode MS"/>
        </w:rPr>
        <w:t>,</w:t>
      </w:r>
      <w:r>
        <w:rPr>
          <w:rFonts w:eastAsia="Arial Unicode MS" w:hAnsi="Arial Unicode MS" w:cs="Arial Unicode MS"/>
        </w:rPr>
        <w:t xml:space="preserve"> </w:t>
      </w:r>
      <w:r>
        <w:rPr>
          <w:rFonts w:eastAsia="Arial Unicode MS" w:hAnsi="Arial Unicode MS" w:cs="Arial Unicode MS"/>
          <w:i/>
          <w:iCs/>
        </w:rPr>
        <w:t>Bibliography of costume: a dictionary catalog of about eight thousand books and periodicals</w:t>
      </w:r>
      <w:r w:rsidR="002A464D">
        <w:rPr>
          <w:rFonts w:eastAsia="Arial Unicode MS" w:hAnsi="Arial Unicode MS" w:cs="Arial Unicode MS"/>
        </w:rPr>
        <w:t xml:space="preserve"> (New York</w:t>
      </w:r>
      <w:r>
        <w:rPr>
          <w:rFonts w:eastAsia="Arial Unicode MS" w:hAnsi="Arial Unicode MS" w:cs="Arial Unicode MS"/>
        </w:rPr>
        <w:t>, 1939).</w:t>
      </w:r>
    </w:p>
  </w:endnote>
  <w:endnote w:id="19">
    <w:p w:rsidR="00DE1ACB" w:rsidRDefault="00DE1ACB" w:rsidP="00DE1ACB">
      <w:pPr>
        <w:pStyle w:val="Footnote"/>
      </w:pPr>
      <w:r>
        <w:rPr>
          <w:position w:val="12"/>
        </w:rPr>
        <w:endnoteRef/>
      </w:r>
      <w:r>
        <w:rPr>
          <w:rFonts w:eastAsia="Arial Unicode MS" w:hAnsi="Arial Unicode MS" w:cs="Arial Unicode MS"/>
        </w:rPr>
        <w:t xml:space="preserve"> Plates XIII/XIV, LV, LXIII, LXXVI, XCV and the unnumbered </w:t>
      </w:r>
      <w:r>
        <w:rPr>
          <w:rFonts w:ascii="Arial Unicode MS" w:eastAsia="Arial Unicode MS" w:cs="Arial Unicode MS"/>
        </w:rPr>
        <w:t>‘</w:t>
      </w:r>
      <w:r>
        <w:rPr>
          <w:rFonts w:eastAsia="Arial Unicode MS" w:hAnsi="Arial Unicode MS" w:cs="Arial Unicode MS"/>
        </w:rPr>
        <w:t>Les Dervichs dans leur Temple de P</w:t>
      </w:r>
      <w:r>
        <w:rPr>
          <w:rFonts w:ascii="Arial Unicode MS" w:eastAsia="Arial Unicode MS" w:cs="Arial Unicode MS"/>
        </w:rPr>
        <w:t>é</w:t>
      </w:r>
      <w:r>
        <w:rPr>
          <w:rFonts w:eastAsia="Arial Unicode MS" w:hAnsi="Arial Unicode MS" w:cs="Arial Unicode MS"/>
        </w:rPr>
        <w:t>ra, achevant de tourner</w:t>
      </w:r>
      <w:r>
        <w:rPr>
          <w:rFonts w:ascii="Arial Unicode MS" w:eastAsia="Arial Unicode MS" w:cs="Arial Unicode MS"/>
        </w:rPr>
        <w:t>’</w:t>
      </w:r>
      <w:r>
        <w:rPr>
          <w:rFonts w:eastAsia="Arial Unicode MS" w:hAnsi="Arial Unicode MS" w:cs="Arial Unicode MS"/>
        </w:rPr>
        <w:t xml:space="preserve">; see Ghirardini, </w:t>
      </w:r>
      <w:r>
        <w:rPr>
          <w:rFonts w:eastAsia="Arial Unicode MS" w:hAnsi="Arial Unicode MS" w:cs="Arial Unicode MS"/>
          <w:i/>
          <w:iCs/>
        </w:rPr>
        <w:t>Automi sonori</w:t>
      </w:r>
      <w:r>
        <w:rPr>
          <w:rFonts w:eastAsia="Arial Unicode MS" w:hAnsi="Arial Unicode MS" w:cs="Arial Unicode MS"/>
        </w:rPr>
        <w:t>, pp.198-210 for a full critical account.</w:t>
      </w:r>
    </w:p>
  </w:endnote>
  <w:endnote w:id="20">
    <w:p w:rsidR="003555EC" w:rsidRDefault="008B259A">
      <w:pPr>
        <w:pStyle w:val="Footnote"/>
      </w:pPr>
      <w:r>
        <w:rPr>
          <w:position w:val="12"/>
        </w:rPr>
        <w:endnoteRef/>
      </w:r>
      <w:r>
        <w:rPr>
          <w:rFonts w:eastAsia="Arial Unicode MS" w:hAnsi="Arial Unicode MS" w:cs="Arial Unicode MS"/>
        </w:rPr>
        <w:t xml:space="preserve"> For a modern reproduction of Kaempfer</w:t>
      </w:r>
      <w:r>
        <w:rPr>
          <w:rFonts w:ascii="Arial Unicode MS" w:eastAsia="Arial Unicode MS" w:cs="Arial Unicode MS"/>
        </w:rPr>
        <w:t>’</w:t>
      </w:r>
      <w:r>
        <w:rPr>
          <w:rFonts w:eastAsia="Arial Unicode MS" w:hAnsi="Arial Unicode MS" w:cs="Arial Unicode MS"/>
        </w:rPr>
        <w:t xml:space="preserve">s original, where he calls the instrument </w:t>
      </w:r>
      <w:r>
        <w:rPr>
          <w:rFonts w:ascii="Arial Unicode MS" w:eastAsia="Arial Unicode MS" w:cs="Arial Unicode MS"/>
        </w:rPr>
        <w:t>‘</w:t>
      </w:r>
      <w:r>
        <w:rPr>
          <w:rFonts w:eastAsia="Arial Unicode MS" w:hAnsi="Arial Unicode MS" w:cs="Arial Unicode MS"/>
        </w:rPr>
        <w:t>Tsjeng</w:t>
      </w:r>
      <w:r>
        <w:rPr>
          <w:rFonts w:ascii="Arial Unicode MS" w:eastAsia="Arial Unicode MS" w:cs="Arial Unicode MS"/>
        </w:rPr>
        <w:t>’</w:t>
      </w:r>
      <w:r w:rsidR="002A464D">
        <w:rPr>
          <w:rFonts w:eastAsia="Arial Unicode MS" w:hAnsi="Arial Unicode MS" w:cs="Arial Unicode MS"/>
        </w:rPr>
        <w:t xml:space="preserve">, see </w:t>
      </w:r>
      <w:r w:rsidR="00BD261B">
        <w:rPr>
          <w:rFonts w:eastAsia="Arial Unicode MS" w:hAnsi="Arial Unicode MS" w:cs="Arial Unicode MS"/>
        </w:rPr>
        <w:t>F. Harrison</w:t>
      </w:r>
      <w:r w:rsidR="002A464D">
        <w:rPr>
          <w:rFonts w:eastAsia="Arial Unicode MS" w:hAnsi="Arial Unicode MS" w:cs="Arial Unicode MS"/>
        </w:rPr>
        <w:t>,</w:t>
      </w:r>
      <w:r>
        <w:rPr>
          <w:rFonts w:eastAsia="Arial Unicode MS" w:hAnsi="Arial Unicode MS" w:cs="Arial Unicode MS"/>
        </w:rPr>
        <w:t xml:space="preserve"> </w:t>
      </w:r>
      <w:r w:rsidR="00970C78">
        <w:rPr>
          <w:rFonts w:eastAsia="Arial Unicode MS" w:hAnsi="Arial Unicode MS" w:cs="Arial Unicode MS"/>
          <w:i/>
          <w:iCs/>
        </w:rPr>
        <w:t>Time, place and m</w:t>
      </w:r>
      <w:r>
        <w:rPr>
          <w:rFonts w:eastAsia="Arial Unicode MS" w:hAnsi="Arial Unicode MS" w:cs="Arial Unicode MS"/>
          <w:i/>
          <w:iCs/>
        </w:rPr>
        <w:t>usic</w:t>
      </w:r>
      <w:r w:rsidR="002A464D">
        <w:rPr>
          <w:rFonts w:eastAsia="Arial Unicode MS" w:hAnsi="Arial Unicode MS" w:cs="Arial Unicode MS"/>
        </w:rPr>
        <w:t xml:space="preserve"> (Amsterdam, </w:t>
      </w:r>
      <w:r>
        <w:rPr>
          <w:rFonts w:eastAsia="Arial Unicode MS" w:hAnsi="Arial Unicode MS" w:cs="Arial Unicode MS"/>
        </w:rPr>
        <w:t>1973), p.136A and also the unpaginated illustrations at the end.</w:t>
      </w:r>
    </w:p>
  </w:endnote>
  <w:endnote w:id="21">
    <w:p w:rsidR="003555EC" w:rsidRDefault="008B259A">
      <w:pPr>
        <w:pStyle w:val="Footnote"/>
      </w:pPr>
      <w:r>
        <w:rPr>
          <w:position w:val="12"/>
        </w:rPr>
        <w:endnoteRef/>
      </w:r>
      <w:r>
        <w:rPr>
          <w:rFonts w:eastAsia="Arial Unicode MS" w:hAnsi="Arial Unicode MS" w:cs="Arial Unicode MS"/>
        </w:rPr>
        <w:t xml:space="preserve"> Ghirardini, </w:t>
      </w:r>
      <w:r>
        <w:rPr>
          <w:rFonts w:eastAsia="Arial Unicode MS" w:hAnsi="Arial Unicode MS" w:cs="Arial Unicode MS"/>
          <w:i/>
          <w:iCs/>
        </w:rPr>
        <w:t>Automi sonori</w:t>
      </w:r>
      <w:r>
        <w:rPr>
          <w:rFonts w:eastAsia="Arial Unicode MS" w:hAnsi="Arial Unicode MS" w:cs="Arial Unicode MS"/>
        </w:rPr>
        <w:t>, p.206.</w:t>
      </w:r>
    </w:p>
  </w:endnote>
  <w:endnote w:id="22">
    <w:p w:rsidR="003555EC" w:rsidRDefault="008B259A">
      <w:pPr>
        <w:pStyle w:val="Footnote"/>
      </w:pPr>
      <w:r>
        <w:rPr>
          <w:position w:val="12"/>
        </w:rPr>
        <w:endnoteRef/>
      </w:r>
      <w:r>
        <w:rPr>
          <w:rFonts w:eastAsia="Arial Unicode MS" w:hAnsi="Arial Unicode MS" w:cs="Arial Unicode MS"/>
        </w:rPr>
        <w:t xml:space="preserve"> See for example Harrison and Rimmer, </w:t>
      </w:r>
      <w:r w:rsidR="00970C78">
        <w:rPr>
          <w:rFonts w:eastAsia="Arial Unicode MS" w:hAnsi="Arial Unicode MS" w:cs="Arial Unicode MS"/>
          <w:i/>
          <w:iCs/>
        </w:rPr>
        <w:t>Antique musical i</w:t>
      </w:r>
      <w:r>
        <w:rPr>
          <w:rFonts w:eastAsia="Arial Unicode MS" w:hAnsi="Arial Unicode MS" w:cs="Arial Unicode MS"/>
          <w:i/>
          <w:iCs/>
        </w:rPr>
        <w:t>nstruments</w:t>
      </w:r>
      <w:r>
        <w:rPr>
          <w:rFonts w:eastAsia="Arial Unicode MS" w:hAnsi="Arial Unicode MS" w:cs="Arial Unicode MS"/>
        </w:rPr>
        <w:t>, no.64.</w:t>
      </w:r>
    </w:p>
  </w:endnote>
  <w:endnote w:id="23">
    <w:p w:rsidR="003555EC" w:rsidRDefault="008B259A">
      <w:pPr>
        <w:pStyle w:val="Footnote"/>
      </w:pPr>
      <w:r>
        <w:rPr>
          <w:position w:val="12"/>
        </w:rPr>
        <w:endnoteRef/>
      </w:r>
      <w:r>
        <w:rPr>
          <w:rFonts w:eastAsia="Arial Unicode MS" w:hAnsi="Arial Unicode MS" w:cs="Arial Unicode MS"/>
        </w:rPr>
        <w:t xml:space="preserve"> This is entirely the case with the </w:t>
      </w:r>
      <w:r>
        <w:rPr>
          <w:rFonts w:eastAsia="Arial Unicode MS" w:hAnsi="Arial Unicode MS" w:cs="Arial Unicode MS"/>
          <w:i/>
          <w:iCs/>
        </w:rPr>
        <w:t xml:space="preserve">Galleria Giustiniana </w:t>
      </w:r>
      <w:r>
        <w:rPr>
          <w:rFonts w:eastAsia="Arial Unicode MS" w:hAnsi="Arial Unicode MS" w:cs="Arial Unicode MS"/>
        </w:rPr>
        <w:t>and all of the examples from Pozzo</w:t>
      </w:r>
      <w:r>
        <w:rPr>
          <w:rFonts w:ascii="Arial Unicode MS" w:eastAsia="Arial Unicode MS" w:cs="Arial Unicode MS"/>
        </w:rPr>
        <w:t>’</w:t>
      </w:r>
      <w:r>
        <w:rPr>
          <w:rFonts w:eastAsia="Arial Unicode MS" w:hAnsi="Arial Unicode MS" w:cs="Arial Unicode MS"/>
        </w:rPr>
        <w:t xml:space="preserve">s </w:t>
      </w:r>
      <w:r>
        <w:rPr>
          <w:rFonts w:eastAsia="Arial Unicode MS" w:hAnsi="Arial Unicode MS" w:cs="Arial Unicode MS"/>
          <w:i/>
          <w:iCs/>
        </w:rPr>
        <w:t xml:space="preserve">museo cartaceo </w:t>
      </w:r>
      <w:r>
        <w:rPr>
          <w:rFonts w:eastAsia="Arial Unicode MS" w:hAnsi="Arial Unicode MS" w:cs="Arial Unicode MS"/>
        </w:rPr>
        <w:t>discussed in Barker</w:t>
      </w:r>
      <w:r>
        <w:rPr>
          <w:rFonts w:ascii="Arial Unicode MS" w:eastAsia="Arial Unicode MS" w:cs="Arial Unicode MS"/>
        </w:rPr>
        <w:t>’</w:t>
      </w:r>
      <w:r>
        <w:rPr>
          <w:rFonts w:eastAsia="Arial Unicode MS" w:hAnsi="Arial Unicode MS" w:cs="Arial Unicode MS"/>
        </w:rPr>
        <w:t xml:space="preserve">s </w:t>
      </w:r>
      <w:r>
        <w:rPr>
          <w:rFonts w:ascii="Arial Unicode MS" w:eastAsia="Arial Unicode MS" w:cs="Arial Unicode MS"/>
        </w:rPr>
        <w:t>‘</w:t>
      </w:r>
      <w:r>
        <w:rPr>
          <w:rFonts w:eastAsia="Arial Unicode MS" w:hAnsi="Arial Unicode MS" w:cs="Arial Unicode MS"/>
        </w:rPr>
        <w:t>Un-discarded images</w:t>
      </w:r>
      <w:r>
        <w:rPr>
          <w:rFonts w:ascii="Arial Unicode MS" w:eastAsia="Arial Unicode MS" w:cs="Arial Unicode MS"/>
        </w:rPr>
        <w:t>’</w:t>
      </w:r>
      <w:r>
        <w:rPr>
          <w:rFonts w:eastAsia="Arial Unicode MS" w:hAnsi="Arial Unicode MS" w:cs="Arial Unicode MS"/>
        </w:rPr>
        <w:t>.</w:t>
      </w:r>
    </w:p>
  </w:endnote>
  <w:endnote w:id="24">
    <w:p w:rsidR="003555EC" w:rsidRDefault="008B259A">
      <w:pPr>
        <w:pStyle w:val="Footnote"/>
      </w:pPr>
      <w:r>
        <w:rPr>
          <w:position w:val="12"/>
        </w:rPr>
        <w:endnoteRef/>
      </w:r>
      <w:r>
        <w:rPr>
          <w:rFonts w:eastAsia="Arial Unicode MS" w:hAnsi="Arial Unicode MS" w:cs="Arial Unicode MS"/>
        </w:rPr>
        <w:t xml:space="preserve"> Bonanni, </w:t>
      </w:r>
      <w:r>
        <w:rPr>
          <w:rFonts w:eastAsia="Arial Unicode MS" w:hAnsi="Arial Unicode MS" w:cs="Arial Unicode MS"/>
          <w:i/>
          <w:iCs/>
        </w:rPr>
        <w:t>Gabinetto</w:t>
      </w:r>
      <w:r>
        <w:rPr>
          <w:rFonts w:eastAsia="Arial Unicode MS" w:hAnsi="Arial Unicode MS" w:cs="Arial Unicode MS"/>
        </w:rPr>
        <w:t>, p.106.</w:t>
      </w:r>
    </w:p>
  </w:endnote>
  <w:endnote w:id="25">
    <w:p w:rsidR="003555EC" w:rsidRDefault="008B259A">
      <w:pPr>
        <w:pStyle w:val="Footnote"/>
      </w:pPr>
      <w:r>
        <w:rPr>
          <w:position w:val="12"/>
        </w:rPr>
        <w:endnoteRef/>
      </w:r>
      <w:r>
        <w:rPr>
          <w:rFonts w:eastAsia="Arial Unicode MS" w:hAnsi="Arial Unicode MS" w:cs="Arial Unicode MS"/>
        </w:rPr>
        <w:t xml:space="preserve"> </w:t>
      </w:r>
      <w:r w:rsidR="0076797B">
        <w:rPr>
          <w:rFonts w:eastAsia="Arial Unicode MS" w:hAnsi="Arial Unicode MS" w:cs="Arial Unicode MS"/>
        </w:rPr>
        <w:t xml:space="preserve">Athanasius </w:t>
      </w:r>
      <w:r>
        <w:rPr>
          <w:rFonts w:eastAsia="Arial Unicode MS" w:hAnsi="Arial Unicode MS" w:cs="Arial Unicode MS"/>
        </w:rPr>
        <w:t xml:space="preserve">Kircher, </w:t>
      </w:r>
      <w:r>
        <w:rPr>
          <w:rFonts w:eastAsia="Arial Unicode MS" w:hAnsi="Arial Unicode MS" w:cs="Arial Unicode MS"/>
          <w:i/>
          <w:iCs/>
        </w:rPr>
        <w:t>Musurgia universalis</w:t>
      </w:r>
      <w:r w:rsidR="0076797B">
        <w:rPr>
          <w:rFonts w:eastAsia="Arial Unicode MS" w:hAnsi="Arial Unicode MS" w:cs="Arial Unicode MS"/>
          <w:i/>
          <w:iCs/>
        </w:rPr>
        <w:t xml:space="preserve"> </w:t>
      </w:r>
      <w:r w:rsidR="0076797B" w:rsidRPr="0076797B">
        <w:rPr>
          <w:rFonts w:eastAsia="Arial Unicode MS" w:hAnsi="Arial Unicode MS" w:cs="Arial Unicode MS"/>
          <w:iCs/>
        </w:rPr>
        <w:t>(Rome, 1650)</w:t>
      </w:r>
      <w:r w:rsidRPr="0076797B">
        <w:rPr>
          <w:rFonts w:eastAsia="Arial Unicode MS" w:hAnsi="Arial Unicode MS" w:cs="Arial Unicode MS"/>
        </w:rPr>
        <w:t>,</w:t>
      </w:r>
      <w:r>
        <w:rPr>
          <w:rFonts w:eastAsia="Arial Unicode MS" w:hAnsi="Arial Unicode MS" w:cs="Arial Unicode MS"/>
        </w:rPr>
        <w:t xml:space="preserve"> p.495.</w:t>
      </w:r>
    </w:p>
  </w:endnote>
  <w:endnote w:id="26">
    <w:p w:rsidR="003555EC" w:rsidRDefault="008B259A">
      <w:pPr>
        <w:pStyle w:val="Footnote"/>
      </w:pPr>
      <w:r>
        <w:rPr>
          <w:position w:val="12"/>
        </w:rPr>
        <w:endnoteRef/>
      </w:r>
      <w:r>
        <w:rPr>
          <w:rFonts w:eastAsia="Arial Unicode MS" w:hAnsi="Arial Unicode MS" w:cs="Arial Unicode MS"/>
        </w:rPr>
        <w:t xml:space="preserve"> The </w:t>
      </w:r>
      <w:r>
        <w:rPr>
          <w:rFonts w:ascii="Arial Unicode MS" w:eastAsia="Arial Unicode MS" w:cs="Arial Unicode MS"/>
        </w:rPr>
        <w:t>‘</w:t>
      </w:r>
      <w:r>
        <w:rPr>
          <w:rFonts w:eastAsia="Arial Unicode MS" w:hAnsi="Arial Unicode MS" w:cs="Arial Unicode MS"/>
        </w:rPr>
        <w:t>Lira Tedesca</w:t>
      </w:r>
      <w:r>
        <w:rPr>
          <w:rFonts w:ascii="Arial Unicode MS" w:eastAsia="Arial Unicode MS" w:cs="Arial Unicode MS"/>
        </w:rPr>
        <w:t>’</w:t>
      </w:r>
      <w:r>
        <w:rPr>
          <w:rFonts w:eastAsia="Arial Unicode MS" w:hAnsi="Arial Unicode MS" w:cs="Arial Unicode MS"/>
        </w:rPr>
        <w:t xml:space="preserve"> on the page following the </w:t>
      </w:r>
      <w:r>
        <w:rPr>
          <w:rFonts w:ascii="Arial Unicode MS" w:eastAsia="Arial Unicode MS" w:cs="Arial Unicode MS"/>
        </w:rPr>
        <w:t>‘</w:t>
      </w:r>
      <w:r>
        <w:rPr>
          <w:rFonts w:eastAsia="Arial Unicode MS" w:hAnsi="Arial Unicode MS" w:cs="Arial Unicode MS"/>
        </w:rPr>
        <w:t>Salterio Tedesco</w:t>
      </w:r>
      <w:r>
        <w:rPr>
          <w:rFonts w:ascii="Arial Unicode MS" w:eastAsia="Arial Unicode MS" w:cs="Arial Unicode MS"/>
        </w:rPr>
        <w:t>’</w:t>
      </w:r>
      <w:r>
        <w:rPr>
          <w:rFonts w:eastAsia="Arial Unicode MS" w:hAnsi="Arial Unicode MS" w:cs="Arial Unicode MS"/>
        </w:rPr>
        <w:t xml:space="preserve"> was </w:t>
      </w:r>
      <w:r>
        <w:rPr>
          <w:rFonts w:ascii="Arial Unicode MS" w:eastAsia="Arial Unicode MS" w:cs="Arial Unicode MS"/>
        </w:rPr>
        <w:t>‘</w:t>
      </w:r>
      <w:r>
        <w:rPr>
          <w:rFonts w:eastAsia="Arial Unicode MS" w:hAnsi="Arial Unicode MS" w:cs="Arial Unicode MS"/>
        </w:rPr>
        <w:t>chiamato dal P. Kircher a carte 486 Lyra mendicorum</w:t>
      </w:r>
      <w:r>
        <w:rPr>
          <w:rFonts w:ascii="Arial Unicode MS" w:eastAsia="Arial Unicode MS" w:cs="Arial Unicode MS"/>
        </w:rPr>
        <w:t>’</w:t>
      </w:r>
      <w:r>
        <w:rPr>
          <w:rFonts w:eastAsia="Arial Unicode MS" w:hAnsi="Arial Unicode MS" w:cs="Arial Unicode MS"/>
        </w:rPr>
        <w:t xml:space="preserve">; Bonanni, </w:t>
      </w:r>
      <w:r>
        <w:rPr>
          <w:rFonts w:eastAsia="Arial Unicode MS" w:hAnsi="Arial Unicode MS" w:cs="Arial Unicode MS"/>
          <w:i/>
          <w:iCs/>
        </w:rPr>
        <w:t>Gabinetto</w:t>
      </w:r>
      <w:r>
        <w:rPr>
          <w:rFonts w:eastAsia="Arial Unicode MS" w:hAnsi="Arial Unicode MS" w:cs="Arial Unicode MS"/>
        </w:rPr>
        <w:t>, plate LXV.</w:t>
      </w:r>
    </w:p>
  </w:endnote>
  <w:endnote w:id="27">
    <w:p w:rsidR="003555EC" w:rsidRDefault="008B259A">
      <w:pPr>
        <w:pStyle w:val="Footnote"/>
      </w:pPr>
      <w:r>
        <w:rPr>
          <w:position w:val="12"/>
        </w:rPr>
        <w:endnoteRef/>
      </w:r>
      <w:r>
        <w:rPr>
          <w:rFonts w:eastAsia="Arial Unicode MS" w:hAnsi="Arial Unicode MS" w:cs="Arial Unicode MS"/>
        </w:rPr>
        <w:t xml:space="preserve"> Plates LXXIII, LXXXIV, LXXXV, LXXXVI, LXXXVII, XCIII, CXLI and CXLII.</w:t>
      </w:r>
    </w:p>
  </w:endnote>
  <w:endnote w:id="28">
    <w:p w:rsidR="003555EC" w:rsidRDefault="008B259A">
      <w:pPr>
        <w:pStyle w:val="Footnote"/>
      </w:pPr>
      <w:r>
        <w:rPr>
          <w:position w:val="12"/>
        </w:rPr>
        <w:endnoteRef/>
      </w:r>
      <w:r>
        <w:rPr>
          <w:rFonts w:ascii="Arial Unicode MS" w:eastAsia="Arial Unicode MS" w:cs="Arial Unicode MS"/>
        </w:rPr>
        <w:t xml:space="preserve"> </w:t>
      </w:r>
      <w:r>
        <w:rPr>
          <w:rFonts w:ascii="Arial Unicode MS" w:eastAsia="Arial Unicode MS" w:cs="Arial Unicode MS"/>
        </w:rPr>
        <w:t>‘</w:t>
      </w:r>
      <w:r>
        <w:rPr>
          <w:rFonts w:eastAsia="Arial Unicode MS" w:hAnsi="Arial Unicode MS" w:cs="Arial Unicode MS"/>
        </w:rPr>
        <w:t>...f</w:t>
      </w:r>
      <w:r>
        <w:rPr>
          <w:rFonts w:ascii="Arial Unicode MS" w:eastAsia="Arial Unicode MS" w:cs="Arial Unicode MS"/>
        </w:rPr>
        <w:t>ù</w:t>
      </w:r>
      <w:r>
        <w:rPr>
          <w:rFonts w:ascii="Arial Unicode MS" w:eastAsia="Arial Unicode MS" w:cs="Arial Unicode MS"/>
        </w:rPr>
        <w:t xml:space="preserve"> </w:t>
      </w:r>
      <w:r>
        <w:rPr>
          <w:rFonts w:eastAsia="Arial Unicode MS" w:hAnsi="Arial Unicode MS" w:cs="Arial Unicode MS"/>
        </w:rPr>
        <w:t>espressa una donna in atto di suonarlo, essendo usato anche dalle Donne.</w:t>
      </w:r>
      <w:r>
        <w:rPr>
          <w:rFonts w:ascii="Arial Unicode MS" w:eastAsia="Arial Unicode MS" w:cs="Arial Unicode MS"/>
        </w:rPr>
        <w:t>’</w:t>
      </w:r>
      <w:r>
        <w:rPr>
          <w:rFonts w:ascii="Arial Unicode MS" w:eastAsia="Arial Unicode MS" w:cs="Arial Unicode MS"/>
        </w:rPr>
        <w:t xml:space="preserve"> </w:t>
      </w:r>
      <w:r>
        <w:rPr>
          <w:rFonts w:eastAsia="Arial Unicode MS" w:hAnsi="Arial Unicode MS" w:cs="Arial Unicode MS"/>
        </w:rPr>
        <w:t xml:space="preserve">Bonanni, </w:t>
      </w:r>
      <w:r>
        <w:rPr>
          <w:rFonts w:eastAsia="Arial Unicode MS" w:hAnsi="Arial Unicode MS" w:cs="Arial Unicode MS"/>
          <w:i/>
          <w:iCs/>
        </w:rPr>
        <w:t>Gabinetto</w:t>
      </w:r>
      <w:r>
        <w:rPr>
          <w:rFonts w:eastAsia="Arial Unicode MS" w:hAnsi="Arial Unicode MS" w:cs="Arial Unicode MS"/>
        </w:rPr>
        <w:t>, p.97.</w:t>
      </w:r>
    </w:p>
  </w:endnote>
  <w:endnote w:id="29">
    <w:p w:rsidR="003555EC" w:rsidRPr="00E73DCA" w:rsidRDefault="008B259A">
      <w:pPr>
        <w:pStyle w:val="Footnote"/>
      </w:pPr>
      <w:r>
        <w:rPr>
          <w:position w:val="12"/>
        </w:rPr>
        <w:endnoteRef/>
      </w:r>
      <w:r>
        <w:rPr>
          <w:rFonts w:eastAsia="Arial Unicode MS" w:hAnsi="Arial Unicode MS" w:cs="Arial Unicode MS"/>
        </w:rPr>
        <w:t xml:space="preserve"> See </w:t>
      </w:r>
      <w:r w:rsidR="00BD261B">
        <w:rPr>
          <w:rFonts w:eastAsia="Arial Unicode MS" w:hAnsi="Arial Unicode MS" w:cs="Arial Unicode MS"/>
        </w:rPr>
        <w:t>D. Kettlewell</w:t>
      </w:r>
      <w:r w:rsidR="0076797B">
        <w:rPr>
          <w:rFonts w:eastAsia="Arial Unicode MS" w:hAnsi="Arial Unicode MS" w:cs="Arial Unicode MS"/>
        </w:rPr>
        <w:t>,</w:t>
      </w:r>
      <w:r>
        <w:rPr>
          <w:rFonts w:eastAsia="Arial Unicode MS" w:hAnsi="Arial Unicode MS" w:cs="Arial Unicode MS"/>
        </w:rPr>
        <w:t xml:space="preserve"> </w:t>
      </w:r>
      <w:r w:rsidR="00970C78">
        <w:rPr>
          <w:rFonts w:eastAsia="Arial Unicode MS" w:hAnsi="Arial Unicode MS" w:cs="Arial Unicode MS"/>
          <w:i/>
          <w:iCs/>
        </w:rPr>
        <w:t>The d</w:t>
      </w:r>
      <w:r>
        <w:rPr>
          <w:rFonts w:eastAsia="Arial Unicode MS" w:hAnsi="Arial Unicode MS" w:cs="Arial Unicode MS"/>
          <w:i/>
          <w:iCs/>
        </w:rPr>
        <w:t>ulcimer</w:t>
      </w:r>
      <w:r w:rsidR="00E73DCA" w:rsidRPr="00E73DCA">
        <w:rPr>
          <w:rFonts w:eastAsia="Arial Unicode MS" w:hAnsi="Arial Unicode MS" w:cs="Arial Unicode MS"/>
          <w:iCs/>
        </w:rPr>
        <w:t xml:space="preserve"> (PhD diss., U. of Loughborough</w:t>
      </w:r>
      <w:r w:rsidR="00BD261B">
        <w:rPr>
          <w:rFonts w:eastAsia="Arial Unicode MS" w:hAnsi="Arial Unicode MS" w:cs="Arial Unicode MS"/>
          <w:iCs/>
        </w:rPr>
        <w:t>,</w:t>
      </w:r>
      <w:r w:rsidR="00E73DCA" w:rsidRPr="00E73DCA">
        <w:rPr>
          <w:rFonts w:eastAsia="Arial Unicode MS" w:hAnsi="Arial Unicode MS" w:cs="Arial Unicode MS"/>
          <w:iCs/>
        </w:rPr>
        <w:t xml:space="preserve"> 1976)</w:t>
      </w:r>
      <w:r w:rsidRPr="00E73DCA">
        <w:rPr>
          <w:rFonts w:eastAsia="Arial Unicode MS" w:hAnsi="Arial Unicode MS" w:cs="Arial Unicode MS"/>
        </w:rPr>
        <w:t>.</w:t>
      </w:r>
    </w:p>
  </w:endnote>
  <w:endnote w:id="30">
    <w:p w:rsidR="003555EC" w:rsidRDefault="008B259A">
      <w:pPr>
        <w:pStyle w:val="Footnote"/>
      </w:pPr>
      <w:r>
        <w:rPr>
          <w:position w:val="12"/>
        </w:rPr>
        <w:endnoteRef/>
      </w:r>
      <w:r>
        <w:rPr>
          <w:rFonts w:eastAsia="Arial Unicode MS" w:hAnsi="Arial Unicode MS" w:cs="Arial Unicode MS"/>
        </w:rPr>
        <w:t xml:space="preserve"> Ghirardini notes that his curiosity withou</w:t>
      </w:r>
      <w:r w:rsidR="0076797B">
        <w:rPr>
          <w:rFonts w:eastAsia="Arial Unicode MS" w:hAnsi="Arial Unicode MS" w:cs="Arial Unicode MS"/>
        </w:rPr>
        <w:t>t prejudi</w:t>
      </w:r>
      <w:r>
        <w:rPr>
          <w:rFonts w:eastAsia="Arial Unicode MS" w:hAnsi="Arial Unicode MS" w:cs="Arial Unicode MS"/>
        </w:rPr>
        <w:t xml:space="preserve">ce reflects the times he lived in; see Ghirardini, </w:t>
      </w:r>
      <w:r>
        <w:rPr>
          <w:rFonts w:eastAsia="Arial Unicode MS" w:hAnsi="Arial Unicode MS" w:cs="Arial Unicode MS"/>
          <w:i/>
          <w:iCs/>
        </w:rPr>
        <w:t>Automi sonori</w:t>
      </w:r>
      <w:r>
        <w:rPr>
          <w:rFonts w:eastAsia="Arial Unicode MS" w:hAnsi="Arial Unicode MS" w:cs="Arial Unicode MS"/>
        </w:rPr>
        <w:t>,</w:t>
      </w:r>
      <w:r>
        <w:rPr>
          <w:rFonts w:eastAsia="Arial Unicode MS" w:hAnsi="Arial Unicode MS" w:cs="Arial Unicode MS"/>
          <w:i/>
          <w:iCs/>
        </w:rPr>
        <w:t xml:space="preserve"> </w:t>
      </w:r>
      <w:r>
        <w:rPr>
          <w:rFonts w:eastAsia="Arial Unicode MS" w:hAnsi="Arial Unicode MS" w:cs="Arial Unicode MS"/>
        </w:rPr>
        <w:t>p.193. Bonanni seems to openly mock just one of his players (</w:t>
      </w:r>
      <w:r w:rsidR="0076797B">
        <w:rPr>
          <w:rFonts w:eastAsia="Arial Unicode MS" w:hAnsi="Arial Unicode MS" w:cs="Arial Unicode MS"/>
        </w:rPr>
        <w:t xml:space="preserve">that of </w:t>
      </w:r>
      <w:r>
        <w:rPr>
          <w:rFonts w:eastAsia="Arial Unicode MS" w:hAnsi="Arial Unicode MS" w:cs="Arial Unicode MS"/>
        </w:rPr>
        <w:t xml:space="preserve">the </w:t>
      </w:r>
      <w:r>
        <w:rPr>
          <w:rFonts w:ascii="Arial Unicode MS" w:eastAsia="Arial Unicode MS" w:cs="Arial Unicode MS"/>
        </w:rPr>
        <w:t>‘</w:t>
      </w:r>
      <w:r>
        <w:rPr>
          <w:rFonts w:eastAsia="Arial Unicode MS" w:hAnsi="Arial Unicode MS" w:cs="Arial Unicode MS"/>
        </w:rPr>
        <w:t>Chitarrino</w:t>
      </w:r>
      <w:r>
        <w:rPr>
          <w:rFonts w:ascii="Arial Unicode MS" w:eastAsia="Arial Unicode MS" w:cs="Arial Unicode MS"/>
        </w:rPr>
        <w:t>’</w:t>
      </w:r>
      <w:r>
        <w:rPr>
          <w:rFonts w:ascii="Arial Unicode MS" w:eastAsia="Arial Unicode MS" w:cs="Arial Unicode MS"/>
        </w:rPr>
        <w:t xml:space="preserve"> </w:t>
      </w:r>
      <w:r w:rsidR="0076797B">
        <w:rPr>
          <w:rFonts w:eastAsia="Arial Unicode MS" w:hAnsi="Arial Unicode MS" w:cs="Arial Unicode MS"/>
        </w:rPr>
        <w:t>on plate LIV) and describes only</w:t>
      </w:r>
      <w:r>
        <w:rPr>
          <w:rFonts w:eastAsia="Arial Unicode MS" w:hAnsi="Arial Unicode MS" w:cs="Arial Unicode MS"/>
        </w:rPr>
        <w:t xml:space="preserve"> one more in unambiguously censorious terms (plate CXL).</w:t>
      </w:r>
    </w:p>
  </w:endnote>
  <w:endnote w:id="31">
    <w:p w:rsidR="003555EC" w:rsidRDefault="008B259A">
      <w:pPr>
        <w:pStyle w:val="Footnote"/>
      </w:pPr>
      <w:r>
        <w:rPr>
          <w:position w:val="12"/>
        </w:rPr>
        <w:endnoteRef/>
      </w:r>
      <w:r>
        <w:rPr>
          <w:rFonts w:eastAsia="Arial Unicode MS" w:hAnsi="Arial Unicode MS" w:cs="Arial Unicode MS"/>
        </w:rPr>
        <w:t xml:space="preserve"> Though modest by modern standards, it is worth noting that the woman in plate xciii is described as a </w:t>
      </w:r>
      <w:r>
        <w:rPr>
          <w:rFonts w:ascii="Arial Unicode MS" w:eastAsia="Arial Unicode MS" w:cs="Arial Unicode MS"/>
        </w:rPr>
        <w:t>‘</w:t>
      </w:r>
      <w:r>
        <w:rPr>
          <w:rFonts w:eastAsia="Arial Unicode MS" w:hAnsi="Arial Unicode MS" w:cs="Arial Unicode MS"/>
        </w:rPr>
        <w:t>Baccante</w:t>
      </w:r>
      <w:r>
        <w:rPr>
          <w:rFonts w:ascii="Arial Unicode MS" w:eastAsia="Arial Unicode MS" w:cs="Arial Unicode MS"/>
        </w:rPr>
        <w:t>’</w:t>
      </w:r>
      <w:r>
        <w:rPr>
          <w:rFonts w:eastAsia="Arial Unicode MS" w:hAnsi="Arial Unicode MS" w:cs="Arial Unicode MS"/>
        </w:rPr>
        <w:t>.</w:t>
      </w:r>
    </w:p>
  </w:endnote>
  <w:endnote w:id="32">
    <w:p w:rsidR="003555EC" w:rsidRDefault="008B259A">
      <w:pPr>
        <w:pStyle w:val="Footnote"/>
      </w:pPr>
      <w:r>
        <w:rPr>
          <w:position w:val="12"/>
        </w:rPr>
        <w:endnoteRef/>
      </w:r>
      <w:r>
        <w:rPr>
          <w:rFonts w:eastAsia="Arial Unicode MS" w:hAnsi="Arial Unicode MS" w:cs="Arial Unicode MS"/>
        </w:rPr>
        <w:t xml:space="preserve"> Ghirardini, </w:t>
      </w:r>
      <w:r>
        <w:rPr>
          <w:rFonts w:ascii="Arial Unicode MS" w:eastAsia="Arial Unicode MS" w:cs="Arial Unicode MS"/>
        </w:rPr>
        <w:t>‘</w:t>
      </w:r>
      <w:r>
        <w:rPr>
          <w:rFonts w:eastAsia="Arial Unicode MS" w:hAnsi="Arial Unicode MS" w:cs="Arial Unicode MS"/>
        </w:rPr>
        <w:t>Il Gabinetto armonico</w:t>
      </w:r>
      <w:r>
        <w:rPr>
          <w:rFonts w:ascii="Arial Unicode MS" w:eastAsia="Arial Unicode MS" w:cs="Arial Unicode MS"/>
        </w:rPr>
        <w:t>’</w:t>
      </w:r>
      <w:r>
        <w:rPr>
          <w:rFonts w:eastAsia="Arial Unicode MS" w:hAnsi="Arial Unicode MS" w:cs="Arial Unicode MS"/>
        </w:rPr>
        <w:t>, p.380 n.82.</w:t>
      </w:r>
    </w:p>
  </w:endnote>
  <w:endnote w:id="33">
    <w:p w:rsidR="003555EC" w:rsidRDefault="008B259A">
      <w:pPr>
        <w:pStyle w:val="Footnote"/>
      </w:pPr>
      <w:r>
        <w:rPr>
          <w:position w:val="12"/>
        </w:rPr>
        <w:endnoteRef/>
      </w:r>
      <w:r>
        <w:rPr>
          <w:rFonts w:eastAsia="Arial Unicode MS" w:hAnsi="Arial Unicode MS" w:cs="Arial Unicode MS"/>
        </w:rPr>
        <w:t xml:space="preserve"> Bonanni, </w:t>
      </w:r>
      <w:r>
        <w:rPr>
          <w:rFonts w:eastAsia="Arial Unicode MS" w:hAnsi="Arial Unicode MS" w:cs="Arial Unicode MS"/>
          <w:i/>
          <w:iCs/>
        </w:rPr>
        <w:t>Gabinetto</w:t>
      </w:r>
      <w:r>
        <w:rPr>
          <w:rFonts w:eastAsia="Arial Unicode MS" w:hAnsi="Arial Unicode MS" w:cs="Arial Unicode MS"/>
        </w:rPr>
        <w:t>, p.107.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Times Roman">
    <w:altName w:val="Times New Roman"/>
    <w:charset w:val="00"/>
    <w:family w:val="roman"/>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55EC" w:rsidRDefault="008B259A">
    <w:pPr>
      <w:pStyle w:val="Footer"/>
      <w:jc w:val="center"/>
    </w:pPr>
    <w:r>
      <w:fldChar w:fldCharType="begin"/>
    </w:r>
    <w:r>
      <w:instrText xml:space="preserve"> PAGE </w:instrText>
    </w:r>
    <w:r>
      <w:fldChar w:fldCharType="separate"/>
    </w:r>
    <w:r w:rsidR="007D6674">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4AF1" w:rsidRDefault="008B259A">
      <w:r>
        <w:separator/>
      </w:r>
    </w:p>
  </w:footnote>
  <w:footnote w:type="continuationSeparator" w:id="0">
    <w:p w:rsidR="00F24AF1" w:rsidRDefault="008B259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55EC"/>
    <w:rsid w:val="000B17D7"/>
    <w:rsid w:val="0015612A"/>
    <w:rsid w:val="00235835"/>
    <w:rsid w:val="002A464D"/>
    <w:rsid w:val="002C00E4"/>
    <w:rsid w:val="002D01C2"/>
    <w:rsid w:val="00351C3D"/>
    <w:rsid w:val="003555EC"/>
    <w:rsid w:val="00363126"/>
    <w:rsid w:val="003E5ECD"/>
    <w:rsid w:val="00430878"/>
    <w:rsid w:val="00523BC5"/>
    <w:rsid w:val="00580203"/>
    <w:rsid w:val="00624F49"/>
    <w:rsid w:val="006309E2"/>
    <w:rsid w:val="00656F3C"/>
    <w:rsid w:val="00716787"/>
    <w:rsid w:val="0076797B"/>
    <w:rsid w:val="007D6674"/>
    <w:rsid w:val="008351EE"/>
    <w:rsid w:val="008B259A"/>
    <w:rsid w:val="008E0C7F"/>
    <w:rsid w:val="00970C78"/>
    <w:rsid w:val="00993884"/>
    <w:rsid w:val="00BD261B"/>
    <w:rsid w:val="00C07028"/>
    <w:rsid w:val="00C104D6"/>
    <w:rsid w:val="00C42CB4"/>
    <w:rsid w:val="00C91304"/>
    <w:rsid w:val="00CC4E36"/>
    <w:rsid w:val="00D33C00"/>
    <w:rsid w:val="00DE1ACB"/>
    <w:rsid w:val="00DE5CEB"/>
    <w:rsid w:val="00E52B05"/>
    <w:rsid w:val="00E624A7"/>
    <w:rsid w:val="00E73DCA"/>
    <w:rsid w:val="00E8314F"/>
    <w:rsid w:val="00F24AF1"/>
    <w:rsid w:val="00F820E4"/>
    <w:rsid w:val="00FA75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860C910-E228-4FEB-B7C6-D4732B795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Arial Unicode MS" w:cs="Arial Unicode MS"/>
      <w:color w:val="000000"/>
      <w:sz w:val="24"/>
      <w:szCs w:val="24"/>
    </w:rPr>
  </w:style>
  <w:style w:type="paragraph" w:styleId="Footer">
    <w:name w:val="footer"/>
    <w:pPr>
      <w:tabs>
        <w:tab w:val="center" w:pos="4320"/>
        <w:tab w:val="right" w:pos="8640"/>
      </w:tabs>
    </w:pPr>
    <w:rPr>
      <w:rFonts w:hAnsi="Arial Unicode MS" w:cs="Arial Unicode MS"/>
      <w:color w:val="000000"/>
      <w:u w:color="000000"/>
      <w:lang w:val="en-US"/>
    </w:rPr>
  </w:style>
  <w:style w:type="paragraph" w:customStyle="1" w:styleId="BodyA">
    <w:name w:val="Body A"/>
    <w:rPr>
      <w:rFonts w:ascii="Arial Unicode MS" w:hAnsi="Times Roman" w:cs="Arial Unicode MS"/>
      <w:color w:val="000000"/>
      <w:sz w:val="24"/>
      <w:szCs w:val="24"/>
      <w:u w:color="000000"/>
      <w:lang w:val="en-US"/>
    </w:rPr>
  </w:style>
  <w:style w:type="paragraph" w:customStyle="1" w:styleId="Footnote">
    <w:name w:val="Footnote"/>
    <w:rPr>
      <w:rFonts w:ascii="Times Roman" w:eastAsia="Times Roman" w:hAnsi="Times Roman" w:cs="Times Roman"/>
      <w:color w:val="000000"/>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_rels/theme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7C3D9-C70F-4BDE-AC4A-592CE981A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7D3A30C7</Template>
  <TotalTime>0</TotalTime>
  <Pages>21</Pages>
  <Words>4415</Words>
  <Characters>25167</Characters>
  <Application>Microsoft Office Word</Application>
  <DocSecurity>4</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Anglia Ruskin University</Company>
  <LinksUpToDate>false</LinksUpToDate>
  <CharactersWithSpaces>29523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Walker, Ian</dc:creator>
  <cp:lastModifiedBy>Walker, Ian</cp:lastModifiedBy>
  <cp:revision>2</cp:revision>
  <dcterms:created xsi:type="dcterms:W3CDTF">2016-10-13T15:56:00Z</dcterms:created>
  <dcterms:modified xsi:type="dcterms:W3CDTF">2016-10-13T15:56:00Z</dcterms:modified>
</cp:coreProperties>
</file>