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4436D" w14:textId="24547529" w:rsidR="00F37181" w:rsidRPr="00223ED4" w:rsidRDefault="00F37181" w:rsidP="00310268">
      <w:pPr>
        <w:spacing w:after="0" w:line="360" w:lineRule="auto"/>
        <w:rPr>
          <w:rFonts w:ascii="Arial" w:eastAsia="Times New Roman" w:hAnsi="Arial" w:cs="Arial"/>
          <w:b/>
          <w:sz w:val="28"/>
        </w:rPr>
      </w:pPr>
      <w:bookmarkStart w:id="0" w:name="_GoBack"/>
      <w:bookmarkEnd w:id="0"/>
      <w:r w:rsidRPr="00223ED4">
        <w:rPr>
          <w:rFonts w:ascii="Arial" w:eastAsia="Times New Roman" w:hAnsi="Arial" w:cs="Arial"/>
          <w:b/>
          <w:sz w:val="28"/>
        </w:rPr>
        <w:t>Cloud Investigations by European Data Protection Authorities: An Empirical Account</w:t>
      </w:r>
      <w:r w:rsidR="00CF56E7" w:rsidRPr="00223ED4">
        <w:rPr>
          <w:rStyle w:val="FootnoteReference"/>
          <w:rFonts w:ascii="Arial" w:hAnsi="Arial" w:cs="Arial"/>
          <w:sz w:val="24"/>
          <w:szCs w:val="20"/>
        </w:rPr>
        <w:footnoteReference w:id="2"/>
      </w:r>
    </w:p>
    <w:p w14:paraId="4A1B5835" w14:textId="4A841179" w:rsidR="00F37181" w:rsidRPr="00223ED4" w:rsidRDefault="00F37181" w:rsidP="009F29FC">
      <w:pPr>
        <w:spacing w:after="0" w:line="360" w:lineRule="auto"/>
        <w:jc w:val="both"/>
        <w:rPr>
          <w:rFonts w:ascii="Arial" w:hAnsi="Arial"/>
          <w:sz w:val="24"/>
        </w:rPr>
      </w:pPr>
    </w:p>
    <w:p w14:paraId="78387B31" w14:textId="65F53660" w:rsidR="00310268" w:rsidRPr="00223ED4" w:rsidRDefault="004C4D8A" w:rsidP="00A93584">
      <w:pPr>
        <w:spacing w:after="0" w:line="360" w:lineRule="auto"/>
        <w:rPr>
          <w:rFonts w:ascii="Arial" w:eastAsia="Times New Roman" w:hAnsi="Arial" w:cs="Arial"/>
          <w:i/>
          <w:sz w:val="24"/>
        </w:rPr>
      </w:pPr>
      <w:r w:rsidRPr="00223ED4">
        <w:rPr>
          <w:rFonts w:ascii="Arial" w:eastAsia="Times New Roman" w:hAnsi="Arial" w:cs="Arial"/>
          <w:i/>
          <w:sz w:val="24"/>
        </w:rPr>
        <w:t xml:space="preserve">Dr </w:t>
      </w:r>
      <w:r w:rsidR="00310268" w:rsidRPr="00223ED4">
        <w:rPr>
          <w:rFonts w:ascii="Arial" w:eastAsia="Times New Roman" w:hAnsi="Arial" w:cs="Arial"/>
          <w:i/>
          <w:sz w:val="24"/>
        </w:rPr>
        <w:t>Asma A.I. Vranaki</w:t>
      </w:r>
      <w:bookmarkStart w:id="1" w:name="_Toc412898992"/>
    </w:p>
    <w:p w14:paraId="1FF91CDF" w14:textId="32D566D0" w:rsidR="00D573CD" w:rsidRPr="00223ED4" w:rsidRDefault="00D573CD" w:rsidP="00310268">
      <w:pPr>
        <w:keepNext/>
        <w:spacing w:before="100" w:beforeAutospacing="1" w:after="100" w:afterAutospacing="1" w:line="360" w:lineRule="auto"/>
        <w:jc w:val="both"/>
        <w:outlineLvl w:val="1"/>
        <w:rPr>
          <w:rFonts w:ascii="Arial" w:hAnsi="Arial" w:cs="Arial"/>
          <w:iCs/>
          <w:kern w:val="32"/>
          <w:sz w:val="32"/>
        </w:rPr>
      </w:pPr>
      <w:r w:rsidRPr="00223ED4">
        <w:rPr>
          <w:rFonts w:ascii="Arial" w:hAnsi="Arial" w:cs="Arial"/>
          <w:iCs/>
          <w:kern w:val="32"/>
          <w:sz w:val="32"/>
        </w:rPr>
        <w:t>INTRODUCTION: CLOUD COMPUTING AND DATA PROTECTION</w:t>
      </w:r>
    </w:p>
    <w:bookmarkEnd w:id="1"/>
    <w:p w14:paraId="12CB3510" w14:textId="6D0E705E" w:rsidR="00361AE8" w:rsidRPr="00223ED4" w:rsidRDefault="00310268" w:rsidP="00310268">
      <w:pPr>
        <w:spacing w:line="360" w:lineRule="auto"/>
        <w:jc w:val="both"/>
        <w:rPr>
          <w:rFonts w:ascii="Arial" w:eastAsia="Calibri" w:hAnsi="Arial" w:cs="Arial"/>
          <w:sz w:val="24"/>
        </w:rPr>
      </w:pPr>
      <w:r w:rsidRPr="00223ED4">
        <w:rPr>
          <w:rFonts w:ascii="Arial" w:hAnsi="Arial" w:cs="Arial"/>
          <w:sz w:val="24"/>
          <w:szCs w:val="20"/>
        </w:rPr>
        <w:t>In recent years, the societal and economic benefits of cloud computing have been increasingly recognised by various stakeholders.</w:t>
      </w:r>
      <w:r w:rsidRPr="00223ED4">
        <w:rPr>
          <w:rFonts w:ascii="Arial" w:hAnsi="Arial" w:cs="Arial"/>
          <w:sz w:val="24"/>
          <w:szCs w:val="20"/>
          <w:vertAlign w:val="superscript"/>
        </w:rPr>
        <w:footnoteReference w:id="3"/>
      </w:r>
      <w:r w:rsidRPr="00223ED4">
        <w:rPr>
          <w:rFonts w:ascii="Arial" w:hAnsi="Arial" w:cs="Arial"/>
          <w:sz w:val="24"/>
          <w:szCs w:val="20"/>
        </w:rPr>
        <w:t xml:space="preserve"> Cloud computing is a vague and wide term. In essence, it refers to</w:t>
      </w:r>
      <w:r w:rsidRPr="00223ED4">
        <w:rPr>
          <w:sz w:val="24"/>
          <w:szCs w:val="20"/>
        </w:rPr>
        <w:t xml:space="preserve"> </w:t>
      </w:r>
      <w:r w:rsidRPr="00223ED4">
        <w:rPr>
          <w:rFonts w:ascii="Arial" w:eastAsia="Calibri" w:hAnsi="Arial" w:cs="Arial"/>
          <w:sz w:val="24"/>
        </w:rPr>
        <w:t>the delivery of computing resources (e.g. data storage, communication, and network) as a service through a network (e.g. the internet) on a scalable and on-demand basis.</w:t>
      </w:r>
      <w:r w:rsidRPr="00223ED4">
        <w:rPr>
          <w:rFonts w:ascii="Arial" w:eastAsia="Calibri" w:hAnsi="Arial" w:cs="Arial"/>
          <w:sz w:val="24"/>
          <w:vertAlign w:val="superscript"/>
        </w:rPr>
        <w:footnoteReference w:id="4"/>
      </w:r>
      <w:r w:rsidR="00361AE8" w:rsidRPr="00223ED4">
        <w:rPr>
          <w:rFonts w:ascii="Arial" w:eastAsia="Calibri" w:hAnsi="Arial" w:cs="Arial"/>
          <w:sz w:val="24"/>
        </w:rPr>
        <w:t xml:space="preserve"> </w:t>
      </w:r>
      <w:r w:rsidR="00361AE8" w:rsidRPr="00223ED4">
        <w:rPr>
          <w:rFonts w:ascii="Arial" w:eastAsia="Calibri" w:hAnsi="Arial" w:cs="Arial"/>
          <w:sz w:val="24"/>
        </w:rPr>
        <w:lastRenderedPageBreak/>
        <w:t>Industry research has</w:t>
      </w:r>
      <w:r w:rsidRPr="00223ED4">
        <w:rPr>
          <w:rFonts w:ascii="Arial" w:eastAsia="Calibri" w:hAnsi="Arial" w:cs="Arial"/>
          <w:sz w:val="24"/>
        </w:rPr>
        <w:t xml:space="preserve"> underlined the increasing uptake of cloud-based services </w:t>
      </w:r>
      <w:r w:rsidR="00241952" w:rsidRPr="00223ED4">
        <w:rPr>
          <w:rFonts w:ascii="Arial" w:eastAsia="Calibri" w:hAnsi="Arial" w:cs="Arial"/>
          <w:sz w:val="24"/>
        </w:rPr>
        <w:t>globally including</w:t>
      </w:r>
      <w:r w:rsidRPr="00223ED4">
        <w:rPr>
          <w:rFonts w:ascii="Arial" w:eastAsia="Calibri" w:hAnsi="Arial" w:cs="Arial"/>
          <w:sz w:val="24"/>
        </w:rPr>
        <w:t xml:space="preserve"> Europe.</w:t>
      </w:r>
      <w:r w:rsidRPr="00223ED4">
        <w:rPr>
          <w:rFonts w:ascii="Arial" w:eastAsia="Calibri" w:hAnsi="Arial" w:cs="Arial"/>
          <w:sz w:val="24"/>
          <w:vertAlign w:val="superscript"/>
        </w:rPr>
        <w:footnoteReference w:id="5"/>
      </w:r>
      <w:r w:rsidR="00223ED4">
        <w:rPr>
          <w:rFonts w:ascii="Arial" w:eastAsia="Calibri" w:hAnsi="Arial" w:cs="Arial"/>
          <w:sz w:val="24"/>
        </w:rPr>
        <w:t xml:space="preserve"> </w:t>
      </w:r>
      <w:r w:rsidRPr="00223ED4">
        <w:rPr>
          <w:rFonts w:ascii="Arial" w:eastAsia="Calibri" w:hAnsi="Arial" w:cs="Arial"/>
          <w:sz w:val="24"/>
        </w:rPr>
        <w:t>As</w:t>
      </w:r>
      <w:r w:rsidRPr="00223ED4">
        <w:rPr>
          <w:rFonts w:ascii="Arial" w:hAnsi="Arial" w:cs="Arial"/>
          <w:sz w:val="24"/>
          <w:szCs w:val="20"/>
        </w:rPr>
        <w:t xml:space="preserve"> businesses</w:t>
      </w:r>
      <w:r w:rsidRPr="00223ED4">
        <w:rPr>
          <w:rFonts w:ascii="Arial" w:hAnsi="Arial" w:cs="Arial"/>
          <w:sz w:val="24"/>
          <w:szCs w:val="20"/>
          <w:vertAlign w:val="superscript"/>
        </w:rPr>
        <w:footnoteReference w:id="6"/>
      </w:r>
      <w:r w:rsidRPr="00223ED4">
        <w:rPr>
          <w:rFonts w:ascii="Arial" w:hAnsi="Arial" w:cs="Arial"/>
          <w:sz w:val="24"/>
          <w:szCs w:val="20"/>
        </w:rPr>
        <w:t xml:space="preserve"> and consumers embrace innovative cloud services and technologies, there are growing concerns about the data protection and privacy issues raised by such technologies.</w:t>
      </w:r>
      <w:r w:rsidRPr="00223ED4">
        <w:rPr>
          <w:rFonts w:ascii="Arial" w:hAnsi="Arial" w:cs="Arial"/>
          <w:sz w:val="24"/>
          <w:szCs w:val="20"/>
          <w:vertAlign w:val="superscript"/>
        </w:rPr>
        <w:footnoteReference w:id="7"/>
      </w:r>
      <w:r w:rsidRPr="00223ED4">
        <w:rPr>
          <w:rFonts w:ascii="Arial" w:hAnsi="Arial" w:cs="Arial"/>
          <w:sz w:val="24"/>
          <w:szCs w:val="20"/>
        </w:rPr>
        <w:t xml:space="preserve"> </w:t>
      </w:r>
      <w:r w:rsidR="004C4D8A" w:rsidRPr="00223ED4">
        <w:rPr>
          <w:rFonts w:ascii="Arial" w:hAnsi="Arial" w:cs="Arial"/>
          <w:sz w:val="24"/>
          <w:szCs w:val="20"/>
        </w:rPr>
        <w:t xml:space="preserve"> </w:t>
      </w:r>
      <w:r w:rsidRPr="00223ED4">
        <w:rPr>
          <w:rFonts w:ascii="Arial" w:eastAsia="Calibri" w:hAnsi="Arial" w:cs="Arial"/>
          <w:sz w:val="24"/>
        </w:rPr>
        <w:t xml:space="preserve">For example, as cloud computing often involves a complex supply chain where more than one </w:t>
      </w:r>
      <w:r w:rsidR="001377CC" w:rsidRPr="00223ED4">
        <w:rPr>
          <w:rFonts w:ascii="Arial" w:eastAsia="Calibri" w:hAnsi="Arial" w:cs="Arial"/>
          <w:sz w:val="24"/>
        </w:rPr>
        <w:t>c</w:t>
      </w:r>
      <w:r w:rsidRPr="00223ED4">
        <w:rPr>
          <w:rFonts w:ascii="Arial" w:eastAsia="Calibri" w:hAnsi="Arial" w:cs="Arial"/>
          <w:sz w:val="24"/>
        </w:rPr>
        <w:t xml:space="preserve">loud </w:t>
      </w:r>
      <w:r w:rsidR="001377CC" w:rsidRPr="00223ED4">
        <w:rPr>
          <w:rFonts w:ascii="Arial" w:eastAsia="Calibri" w:hAnsi="Arial" w:cs="Arial"/>
          <w:sz w:val="24"/>
        </w:rPr>
        <w:t>p</w:t>
      </w:r>
      <w:r w:rsidRPr="00223ED4">
        <w:rPr>
          <w:rFonts w:ascii="Arial" w:eastAsia="Calibri" w:hAnsi="Arial" w:cs="Arial"/>
          <w:sz w:val="24"/>
        </w:rPr>
        <w:t xml:space="preserve">rovider can be involved in delivering a service, it can be difficult </w:t>
      </w:r>
      <w:r w:rsidRPr="00223ED4">
        <w:rPr>
          <w:rFonts w:ascii="Arial" w:eastAsia="Calibri" w:hAnsi="Arial" w:cs="Arial"/>
          <w:sz w:val="24"/>
        </w:rPr>
        <w:lastRenderedPageBreak/>
        <w:t xml:space="preserve">to ascertain which </w:t>
      </w:r>
      <w:r w:rsidR="001377CC" w:rsidRPr="00223ED4">
        <w:rPr>
          <w:rFonts w:ascii="Arial" w:eastAsia="Calibri" w:hAnsi="Arial" w:cs="Arial"/>
          <w:sz w:val="24"/>
        </w:rPr>
        <w:t>c</w:t>
      </w:r>
      <w:r w:rsidRPr="00223ED4">
        <w:rPr>
          <w:rFonts w:ascii="Arial" w:eastAsia="Calibri" w:hAnsi="Arial" w:cs="Arial"/>
          <w:sz w:val="24"/>
        </w:rPr>
        <w:t xml:space="preserve">loud </w:t>
      </w:r>
      <w:r w:rsidR="001377CC" w:rsidRPr="00223ED4">
        <w:rPr>
          <w:rFonts w:ascii="Arial" w:eastAsia="Calibri" w:hAnsi="Arial" w:cs="Arial"/>
          <w:sz w:val="24"/>
        </w:rPr>
        <w:t>p</w:t>
      </w:r>
      <w:r w:rsidRPr="00223ED4">
        <w:rPr>
          <w:rFonts w:ascii="Arial" w:eastAsia="Calibri" w:hAnsi="Arial" w:cs="Arial"/>
          <w:sz w:val="24"/>
        </w:rPr>
        <w:t xml:space="preserve">roviders are acting as </w:t>
      </w:r>
      <w:r w:rsidR="00241952" w:rsidRPr="00223ED4">
        <w:rPr>
          <w:rFonts w:ascii="Arial" w:eastAsia="Calibri" w:hAnsi="Arial" w:cs="Arial"/>
          <w:sz w:val="24"/>
        </w:rPr>
        <w:t>‘</w:t>
      </w:r>
      <w:r w:rsidRPr="00223ED4">
        <w:rPr>
          <w:rFonts w:ascii="Arial" w:eastAsia="Calibri" w:hAnsi="Arial" w:cs="Arial"/>
          <w:sz w:val="24"/>
        </w:rPr>
        <w:t>data controllers</w:t>
      </w:r>
      <w:r w:rsidR="00241952" w:rsidRPr="00223ED4">
        <w:rPr>
          <w:rFonts w:ascii="Arial" w:eastAsia="Calibri" w:hAnsi="Arial" w:cs="Arial"/>
          <w:sz w:val="24"/>
        </w:rPr>
        <w:t>’</w:t>
      </w:r>
      <w:r w:rsidR="00241952" w:rsidRPr="00223ED4">
        <w:rPr>
          <w:rStyle w:val="FootnoteReference"/>
          <w:rFonts w:ascii="Arial" w:eastAsia="Calibri" w:hAnsi="Arial" w:cs="Arial"/>
          <w:sz w:val="24"/>
        </w:rPr>
        <w:footnoteReference w:id="8"/>
      </w:r>
      <w:r w:rsidRPr="00223ED4">
        <w:rPr>
          <w:rFonts w:ascii="Arial" w:eastAsia="Calibri" w:hAnsi="Arial" w:cs="Arial"/>
          <w:sz w:val="24"/>
        </w:rPr>
        <w:t xml:space="preserve"> or ‘data processors.’</w:t>
      </w:r>
      <w:r w:rsidRPr="00223ED4">
        <w:rPr>
          <w:rFonts w:ascii="Arial" w:eastAsia="Calibri" w:hAnsi="Arial" w:cs="Arial"/>
          <w:sz w:val="24"/>
          <w:vertAlign w:val="superscript"/>
        </w:rPr>
        <w:footnoteReference w:id="9"/>
      </w:r>
      <w:r w:rsidRPr="00223ED4">
        <w:rPr>
          <w:rFonts w:ascii="Arial" w:eastAsia="Calibri" w:hAnsi="Arial" w:cs="Arial"/>
          <w:sz w:val="24"/>
        </w:rPr>
        <w:t xml:space="preserve"> </w:t>
      </w:r>
      <w:r w:rsidR="00B55E9A">
        <w:rPr>
          <w:rFonts w:ascii="Arial" w:eastAsia="Calibri" w:hAnsi="Arial" w:cs="Arial"/>
          <w:sz w:val="24"/>
        </w:rPr>
        <w:t>This</w:t>
      </w:r>
      <w:r w:rsidRPr="00223ED4">
        <w:rPr>
          <w:rFonts w:ascii="Arial" w:eastAsia="Calibri" w:hAnsi="Arial" w:cs="Arial"/>
          <w:sz w:val="24"/>
        </w:rPr>
        <w:t xml:space="preserve"> is key in determining the obligations of such </w:t>
      </w:r>
      <w:r w:rsidR="00241952" w:rsidRPr="00223ED4">
        <w:rPr>
          <w:rFonts w:ascii="Arial" w:eastAsia="Calibri" w:hAnsi="Arial" w:cs="Arial"/>
          <w:sz w:val="24"/>
        </w:rPr>
        <w:t>c</w:t>
      </w:r>
      <w:r w:rsidR="00361AE8" w:rsidRPr="00223ED4">
        <w:rPr>
          <w:rFonts w:ascii="Arial" w:eastAsia="Calibri" w:hAnsi="Arial" w:cs="Arial"/>
          <w:sz w:val="24"/>
        </w:rPr>
        <w:t xml:space="preserve">loud </w:t>
      </w:r>
      <w:r w:rsidR="00241952" w:rsidRPr="00223ED4">
        <w:rPr>
          <w:rFonts w:ascii="Arial" w:eastAsia="Calibri" w:hAnsi="Arial" w:cs="Arial"/>
          <w:sz w:val="24"/>
        </w:rPr>
        <w:t>p</w:t>
      </w:r>
      <w:r w:rsidRPr="00223ED4">
        <w:rPr>
          <w:rFonts w:ascii="Arial" w:eastAsia="Calibri" w:hAnsi="Arial" w:cs="Arial"/>
          <w:sz w:val="24"/>
        </w:rPr>
        <w:t>roviders under national data protection laws.</w:t>
      </w:r>
      <w:r w:rsidRPr="00223ED4">
        <w:rPr>
          <w:rFonts w:ascii="Arial" w:eastAsia="Calibri" w:hAnsi="Arial" w:cs="Arial"/>
          <w:sz w:val="24"/>
          <w:vertAlign w:val="superscript"/>
        </w:rPr>
        <w:footnoteReference w:id="10"/>
      </w:r>
      <w:r w:rsidRPr="00223ED4">
        <w:rPr>
          <w:rFonts w:ascii="Arial" w:eastAsia="Calibri" w:hAnsi="Arial" w:cs="Arial"/>
          <w:sz w:val="24"/>
        </w:rPr>
        <w:t xml:space="preserve"> </w:t>
      </w:r>
    </w:p>
    <w:p w14:paraId="1349AB9F" w14:textId="276B85D5" w:rsidR="00223ED4" w:rsidRDefault="00310268" w:rsidP="00223ED4">
      <w:pPr>
        <w:spacing w:after="0" w:line="360" w:lineRule="auto"/>
        <w:ind w:firstLine="851"/>
        <w:jc w:val="both"/>
        <w:rPr>
          <w:rFonts w:ascii="Arial" w:hAnsi="Arial" w:cs="Arial"/>
          <w:sz w:val="24"/>
        </w:rPr>
      </w:pPr>
      <w:r w:rsidRPr="00223ED4">
        <w:rPr>
          <w:rFonts w:ascii="Arial" w:eastAsia="Calibri" w:hAnsi="Arial" w:cs="Arial"/>
          <w:sz w:val="24"/>
        </w:rPr>
        <w:t xml:space="preserve">Consequently, in various jurisdictions, the data processing operations and policies of popular </w:t>
      </w:r>
      <w:r w:rsidR="001377CC" w:rsidRPr="00223ED4">
        <w:rPr>
          <w:rFonts w:ascii="Arial" w:eastAsia="Calibri" w:hAnsi="Arial" w:cs="Arial"/>
          <w:sz w:val="24"/>
        </w:rPr>
        <w:t>companies which offer</w:t>
      </w:r>
      <w:r w:rsidR="001377CC" w:rsidRPr="00223ED4">
        <w:rPr>
          <w:rFonts w:ascii="Arial" w:hAnsi="Arial" w:cs="Arial"/>
          <w:sz w:val="24"/>
        </w:rPr>
        <w:t xml:space="preserve"> cloud computing services or technologies</w:t>
      </w:r>
      <w:r w:rsidR="001377CC" w:rsidRPr="00223ED4">
        <w:rPr>
          <w:rFonts w:ascii="Arial" w:eastAsia="Calibri" w:hAnsi="Arial" w:cs="Arial"/>
          <w:sz w:val="24"/>
        </w:rPr>
        <w:t xml:space="preserve"> (‘</w:t>
      </w:r>
      <w:r w:rsidRPr="00223ED4">
        <w:rPr>
          <w:rFonts w:ascii="Arial" w:eastAsia="Calibri" w:hAnsi="Arial" w:cs="Arial"/>
          <w:sz w:val="24"/>
        </w:rPr>
        <w:t>Cloud Providers</w:t>
      </w:r>
      <w:r w:rsidR="001377CC" w:rsidRPr="00223ED4">
        <w:rPr>
          <w:rFonts w:ascii="Arial" w:eastAsia="Calibri" w:hAnsi="Arial" w:cs="Arial"/>
          <w:sz w:val="24"/>
        </w:rPr>
        <w:t>’)</w:t>
      </w:r>
      <w:r w:rsidRPr="00223ED4">
        <w:rPr>
          <w:rFonts w:ascii="Arial" w:eastAsia="Calibri" w:hAnsi="Arial" w:cs="Arial"/>
          <w:sz w:val="24"/>
        </w:rPr>
        <w:t>, such as Facebook, and Google</w:t>
      </w:r>
      <w:r w:rsidR="00361AE8" w:rsidRPr="00223ED4">
        <w:rPr>
          <w:rFonts w:ascii="Arial" w:eastAsia="Calibri" w:hAnsi="Arial" w:cs="Arial"/>
          <w:sz w:val="24"/>
        </w:rPr>
        <w:t>,</w:t>
      </w:r>
      <w:r w:rsidRPr="00223ED4">
        <w:rPr>
          <w:rFonts w:ascii="Arial" w:eastAsia="Calibri" w:hAnsi="Arial" w:cs="Arial"/>
          <w:sz w:val="24"/>
        </w:rPr>
        <w:t xml:space="preserve"> are being more frequently scrutinised by regulators.</w:t>
      </w:r>
      <w:r w:rsidRPr="00223ED4">
        <w:rPr>
          <w:rFonts w:ascii="Arial" w:eastAsia="Calibri" w:hAnsi="Arial" w:cs="Arial"/>
          <w:sz w:val="24"/>
          <w:vertAlign w:val="superscript"/>
        </w:rPr>
        <w:footnoteReference w:id="11"/>
      </w:r>
      <w:r w:rsidRPr="00223ED4">
        <w:rPr>
          <w:rFonts w:ascii="Arial" w:eastAsia="Calibri" w:hAnsi="Arial" w:cs="Arial"/>
          <w:sz w:val="24"/>
        </w:rPr>
        <w:t xml:space="preserve">  </w:t>
      </w:r>
      <w:r w:rsidR="00241952" w:rsidRPr="00223ED4">
        <w:rPr>
          <w:rFonts w:ascii="Arial" w:eastAsia="Calibri" w:hAnsi="Arial" w:cs="Arial"/>
          <w:sz w:val="24"/>
        </w:rPr>
        <w:t>Arguably</w:t>
      </w:r>
      <w:r w:rsidR="003A6ECD">
        <w:rPr>
          <w:rFonts w:ascii="Arial" w:eastAsia="Calibri" w:hAnsi="Arial" w:cs="Arial"/>
          <w:sz w:val="24"/>
        </w:rPr>
        <w:t>,</w:t>
      </w:r>
      <w:r w:rsidR="00241952" w:rsidRPr="00223ED4">
        <w:rPr>
          <w:rFonts w:ascii="Arial" w:eastAsia="Calibri" w:hAnsi="Arial" w:cs="Arial"/>
          <w:sz w:val="24"/>
        </w:rPr>
        <w:t xml:space="preserve"> </w:t>
      </w:r>
      <w:r w:rsidR="00241952" w:rsidRPr="00223ED4">
        <w:rPr>
          <w:rFonts w:ascii="Arial" w:eastAsia="Calibri" w:hAnsi="Arial" w:cs="Arial"/>
          <w:sz w:val="24"/>
        </w:rPr>
        <w:lastRenderedPageBreak/>
        <w:t>such companies are not being targeted by regulators merely because they are Cloud Providers.</w:t>
      </w:r>
      <w:r w:rsidR="00241952" w:rsidRPr="00223ED4">
        <w:rPr>
          <w:rStyle w:val="FootnoteReference"/>
          <w:rFonts w:ascii="Arial" w:eastAsia="Times New Roman" w:hAnsi="Arial" w:cs="Arial"/>
          <w:sz w:val="24"/>
        </w:rPr>
        <w:t xml:space="preserve"> </w:t>
      </w:r>
      <w:r w:rsidR="00241952" w:rsidRPr="00223ED4">
        <w:rPr>
          <w:rStyle w:val="FootnoteReference"/>
          <w:rFonts w:ascii="Arial" w:eastAsia="Times New Roman" w:hAnsi="Arial" w:cs="Arial"/>
          <w:sz w:val="24"/>
        </w:rPr>
        <w:footnoteReference w:id="12"/>
      </w:r>
      <w:r w:rsidR="00241952" w:rsidRPr="00223ED4">
        <w:rPr>
          <w:rFonts w:ascii="Arial" w:eastAsia="Times New Roman" w:hAnsi="Arial" w:cs="Arial"/>
          <w:sz w:val="24"/>
        </w:rPr>
        <w:t xml:space="preserve">  </w:t>
      </w:r>
      <w:r w:rsidR="00241952" w:rsidRPr="00223ED4">
        <w:rPr>
          <w:rFonts w:ascii="Arial" w:eastAsia="Calibri" w:hAnsi="Arial" w:cs="Arial"/>
          <w:sz w:val="24"/>
        </w:rPr>
        <w:t xml:space="preserve"> Rather, as the technologies and services offered by such Cloud Providers are becoming more popular, there </w:t>
      </w:r>
      <w:r w:rsidR="00241952" w:rsidRPr="00223ED4">
        <w:rPr>
          <w:rFonts w:ascii="Arial" w:eastAsia="Times New Roman" w:hAnsi="Arial" w:cs="Arial"/>
          <w:sz w:val="24"/>
        </w:rPr>
        <w:t xml:space="preserve">has been a concurrent increase in the data protection issues </w:t>
      </w:r>
      <w:r w:rsidR="009D6C8C" w:rsidRPr="00223ED4">
        <w:rPr>
          <w:rFonts w:ascii="Arial" w:eastAsia="Times New Roman" w:hAnsi="Arial" w:cs="Arial"/>
          <w:sz w:val="24"/>
        </w:rPr>
        <w:t>raised by such technologies</w:t>
      </w:r>
      <w:r w:rsidR="00241952" w:rsidRPr="00223ED4">
        <w:rPr>
          <w:rFonts w:ascii="Arial" w:eastAsia="Times New Roman" w:hAnsi="Arial" w:cs="Arial"/>
          <w:sz w:val="24"/>
        </w:rPr>
        <w:t>.</w:t>
      </w:r>
      <w:r w:rsidR="00241952" w:rsidRPr="00223ED4">
        <w:rPr>
          <w:rStyle w:val="FootnoteReference"/>
          <w:rFonts w:ascii="Arial" w:eastAsia="Times New Roman" w:hAnsi="Arial" w:cs="Arial"/>
          <w:sz w:val="24"/>
        </w:rPr>
        <w:footnoteReference w:id="13"/>
      </w:r>
      <w:r w:rsidR="00241952" w:rsidRPr="00223ED4">
        <w:rPr>
          <w:rFonts w:ascii="Arial" w:eastAsia="Times New Roman" w:hAnsi="Arial" w:cs="Arial"/>
          <w:sz w:val="24"/>
        </w:rPr>
        <w:t xml:space="preserve"> Consequently, when many DPAs plan their inspection agenda for a forthcoming inspection period, they consider whether such companies shou</w:t>
      </w:r>
      <w:r w:rsidR="009D6C8C" w:rsidRPr="00223ED4">
        <w:rPr>
          <w:rFonts w:ascii="Arial" w:eastAsia="Times New Roman" w:hAnsi="Arial" w:cs="Arial"/>
          <w:sz w:val="24"/>
        </w:rPr>
        <w:t>ld be investigated  as ‘…there is</w:t>
      </w:r>
      <w:r w:rsidR="00241952" w:rsidRPr="00223ED4">
        <w:rPr>
          <w:rFonts w:ascii="Arial" w:eastAsia="Times New Roman" w:hAnsi="Arial" w:cs="Arial"/>
          <w:sz w:val="24"/>
        </w:rPr>
        <w:t xml:space="preserve"> a certain demand to know what is going on, and the only way to find out what is really going on is to ask and demand that the questions are being answered.’</w:t>
      </w:r>
      <w:r w:rsidR="00241952" w:rsidRPr="00223ED4">
        <w:rPr>
          <w:rStyle w:val="FootnoteReference"/>
          <w:rFonts w:ascii="Arial" w:eastAsia="Times New Roman" w:hAnsi="Arial" w:cs="Arial"/>
          <w:sz w:val="24"/>
        </w:rPr>
        <w:footnoteReference w:id="14"/>
      </w:r>
      <w:r w:rsidR="00241952" w:rsidRPr="00223ED4">
        <w:rPr>
          <w:rFonts w:ascii="Arial" w:eastAsia="Times New Roman" w:hAnsi="Arial" w:cs="Arial"/>
          <w:sz w:val="24"/>
        </w:rPr>
        <w:t xml:space="preserve"> </w:t>
      </w:r>
      <w:r w:rsidRPr="00223ED4">
        <w:rPr>
          <w:rFonts w:ascii="Arial" w:eastAsia="Calibri" w:hAnsi="Arial" w:cs="Arial"/>
          <w:sz w:val="24"/>
        </w:rPr>
        <w:t xml:space="preserve">In Europe, various </w:t>
      </w:r>
      <w:r w:rsidR="00120411" w:rsidRPr="00223ED4">
        <w:rPr>
          <w:rFonts w:ascii="Arial" w:hAnsi="Arial" w:cs="Arial"/>
          <w:sz w:val="24"/>
        </w:rPr>
        <w:t xml:space="preserve">European data protection authorities (‘EU DPAs’) </w:t>
      </w:r>
      <w:r w:rsidRPr="00223ED4">
        <w:rPr>
          <w:rFonts w:ascii="Arial" w:eastAsia="Calibri" w:hAnsi="Arial" w:cs="Arial"/>
          <w:sz w:val="24"/>
        </w:rPr>
        <w:t xml:space="preserve">are </w:t>
      </w:r>
      <w:r w:rsidR="00241952" w:rsidRPr="00223ED4">
        <w:rPr>
          <w:rFonts w:ascii="Arial" w:eastAsia="Calibri" w:hAnsi="Arial" w:cs="Arial"/>
          <w:sz w:val="24"/>
        </w:rPr>
        <w:t>investigating</w:t>
      </w:r>
      <w:r w:rsidRPr="00223ED4">
        <w:rPr>
          <w:rFonts w:ascii="Arial" w:eastAsia="Calibri" w:hAnsi="Arial" w:cs="Arial"/>
          <w:sz w:val="24"/>
        </w:rPr>
        <w:t xml:space="preserve"> several multinational Cloud Providers (‘Cloud Investigations</w:t>
      </w:r>
      <w:r w:rsidR="004C4D8A" w:rsidRPr="00223ED4">
        <w:rPr>
          <w:rFonts w:ascii="Arial" w:eastAsia="Calibri" w:hAnsi="Arial" w:cs="Arial"/>
          <w:sz w:val="24"/>
        </w:rPr>
        <w:t>’</w:t>
      </w:r>
      <w:r w:rsidRPr="00223ED4">
        <w:rPr>
          <w:rFonts w:ascii="Arial" w:eastAsia="Calibri" w:hAnsi="Arial" w:cs="Arial"/>
          <w:sz w:val="24"/>
        </w:rPr>
        <w:t>) more frequently.</w:t>
      </w:r>
      <w:r w:rsidRPr="00223ED4">
        <w:rPr>
          <w:rFonts w:ascii="Arial" w:eastAsia="Calibri" w:hAnsi="Arial" w:cs="Arial"/>
          <w:sz w:val="24"/>
          <w:vertAlign w:val="superscript"/>
        </w:rPr>
        <w:footnoteReference w:id="15"/>
      </w:r>
      <w:r w:rsidRPr="00223ED4">
        <w:rPr>
          <w:rFonts w:ascii="Arial" w:eastAsia="Calibri" w:hAnsi="Arial" w:cs="Arial"/>
          <w:sz w:val="24"/>
        </w:rPr>
        <w:t xml:space="preserve"> </w:t>
      </w:r>
      <w:r w:rsidR="00120411" w:rsidRPr="00223ED4">
        <w:rPr>
          <w:rFonts w:ascii="Arial" w:hAnsi="Arial" w:cs="Arial"/>
          <w:sz w:val="24"/>
        </w:rPr>
        <w:t xml:space="preserve">EU DPAs are the statutory </w:t>
      </w:r>
      <w:r w:rsidR="00120411" w:rsidRPr="00223ED4">
        <w:rPr>
          <w:rFonts w:ascii="Arial" w:hAnsi="Arial" w:cs="Arial"/>
          <w:sz w:val="24"/>
        </w:rPr>
        <w:lastRenderedPageBreak/>
        <w:t>independent</w:t>
      </w:r>
      <w:r w:rsidR="00120411" w:rsidRPr="00223ED4">
        <w:rPr>
          <w:rFonts w:ascii="Arial" w:hAnsi="Arial" w:cs="Arial"/>
          <w:sz w:val="24"/>
          <w:vertAlign w:val="superscript"/>
        </w:rPr>
        <w:footnoteReference w:id="16"/>
      </w:r>
      <w:r w:rsidR="00120411" w:rsidRPr="00223ED4">
        <w:rPr>
          <w:rFonts w:ascii="Arial" w:hAnsi="Arial" w:cs="Arial"/>
          <w:sz w:val="24"/>
        </w:rPr>
        <w:t xml:space="preserve"> public regulatory bodies which have various functions including applying and enforcing</w:t>
      </w:r>
      <w:r w:rsidR="00EC2511" w:rsidRPr="00223ED4">
        <w:rPr>
          <w:rFonts w:ascii="Arial" w:hAnsi="Arial" w:cs="Arial"/>
          <w:sz w:val="24"/>
        </w:rPr>
        <w:t xml:space="preserve"> the laws relating to the protection of ‘personal data’ in European</w:t>
      </w:r>
      <w:r w:rsidR="00120411" w:rsidRPr="00223ED4">
        <w:rPr>
          <w:rFonts w:ascii="Arial" w:hAnsi="Arial" w:cs="Arial"/>
          <w:sz w:val="24"/>
        </w:rPr>
        <w:t xml:space="preserve"> member states.</w:t>
      </w:r>
      <w:r w:rsidR="00120411" w:rsidRPr="00223ED4">
        <w:rPr>
          <w:rFonts w:ascii="Arial" w:hAnsi="Arial" w:cs="Arial"/>
          <w:sz w:val="24"/>
          <w:vertAlign w:val="superscript"/>
        </w:rPr>
        <w:footnoteReference w:id="17"/>
      </w:r>
      <w:r w:rsidR="00120411" w:rsidRPr="00223ED4">
        <w:rPr>
          <w:rFonts w:ascii="Arial" w:hAnsi="Arial" w:cs="Arial"/>
          <w:sz w:val="24"/>
        </w:rPr>
        <w:t xml:space="preserve"> </w:t>
      </w:r>
      <w:r w:rsidR="009F29FC" w:rsidRPr="00223ED4">
        <w:rPr>
          <w:rFonts w:ascii="Arial" w:hAnsi="Arial" w:cs="Arial"/>
          <w:sz w:val="24"/>
        </w:rPr>
        <w:t xml:space="preserve"> </w:t>
      </w:r>
      <w:r w:rsidR="00223ED4">
        <w:rPr>
          <w:rFonts w:ascii="Arial" w:hAnsi="Arial" w:cs="Arial"/>
          <w:sz w:val="24"/>
        </w:rPr>
        <w:t>‘</w:t>
      </w:r>
      <w:r w:rsidR="00EC2511" w:rsidRPr="00223ED4">
        <w:rPr>
          <w:rFonts w:ascii="Arial" w:hAnsi="Arial" w:cs="Arial"/>
          <w:sz w:val="24"/>
        </w:rPr>
        <w:t>Personal data’ mean</w:t>
      </w:r>
      <w:r w:rsidR="003A6ECD">
        <w:rPr>
          <w:rFonts w:ascii="Arial" w:hAnsi="Arial" w:cs="Arial"/>
          <w:sz w:val="24"/>
        </w:rPr>
        <w:t>s</w:t>
      </w:r>
      <w:r w:rsidR="00EC2511" w:rsidRPr="00223ED4">
        <w:rPr>
          <w:rFonts w:ascii="Arial" w:hAnsi="Arial" w:cs="Arial"/>
          <w:sz w:val="24"/>
        </w:rPr>
        <w:t xml:space="preserve"> ‘any</w:t>
      </w:r>
      <w:r w:rsidR="00EC2511" w:rsidRPr="00223ED4">
        <w:rPr>
          <w:rFonts w:ascii="Arial" w:hAnsi="Arial" w:cs="Arial"/>
          <w:sz w:val="28"/>
        </w:rPr>
        <w:t xml:space="preserve"> </w:t>
      </w:r>
      <w:r w:rsidR="00EC2511" w:rsidRPr="00223ED4">
        <w:rPr>
          <w:rFonts w:ascii="Arial" w:hAnsi="Arial" w:cs="Arial"/>
          <w:sz w:val="24"/>
          <w:szCs w:val="21"/>
        </w:rPr>
        <w:t>information relating to</w:t>
      </w:r>
      <w:r w:rsidR="00EC2511" w:rsidRPr="00223ED4">
        <w:rPr>
          <w:rFonts w:ascii="Arial" w:hAnsi="Arial" w:cs="Arial"/>
          <w:sz w:val="28"/>
        </w:rPr>
        <w:t xml:space="preserve"> </w:t>
      </w:r>
      <w:r w:rsidR="00EC2511" w:rsidRPr="00223ED4">
        <w:rPr>
          <w:rFonts w:ascii="Arial" w:hAnsi="Arial" w:cs="Arial"/>
          <w:sz w:val="24"/>
          <w:szCs w:val="21"/>
        </w:rPr>
        <w:t>an identified or identifiable natural person.’</w:t>
      </w:r>
      <w:r w:rsidR="00EC2511" w:rsidRPr="00223ED4">
        <w:rPr>
          <w:rFonts w:ascii="Arial" w:hAnsi="Arial" w:cs="Arial"/>
          <w:sz w:val="24"/>
          <w:szCs w:val="21"/>
          <w:vertAlign w:val="superscript"/>
        </w:rPr>
        <w:footnoteReference w:id="18"/>
      </w:r>
      <w:r w:rsidR="00EC2511" w:rsidRPr="00223ED4">
        <w:rPr>
          <w:rFonts w:ascii="Arial" w:hAnsi="Arial" w:cs="Arial"/>
          <w:sz w:val="24"/>
          <w:szCs w:val="21"/>
        </w:rPr>
        <w:t xml:space="preserve"> </w:t>
      </w:r>
      <w:r w:rsidR="00120411" w:rsidRPr="00223ED4">
        <w:rPr>
          <w:rFonts w:ascii="Arial" w:hAnsi="Arial" w:cs="Arial"/>
          <w:sz w:val="24"/>
        </w:rPr>
        <w:t>Investigations refer to one of the enforcement powers of EU DPAs, namely, their power to investigate ‘data controllers</w:t>
      </w:r>
      <w:r w:rsidR="004C4D8A" w:rsidRPr="00223ED4">
        <w:rPr>
          <w:rFonts w:ascii="Arial" w:hAnsi="Arial" w:cs="Arial"/>
          <w:sz w:val="24"/>
        </w:rPr>
        <w:t>,</w:t>
      </w:r>
      <w:r w:rsidR="00120411" w:rsidRPr="00223ED4">
        <w:rPr>
          <w:rFonts w:ascii="Arial" w:hAnsi="Arial" w:cs="Arial"/>
          <w:sz w:val="24"/>
        </w:rPr>
        <w:t>’</w:t>
      </w:r>
      <w:r w:rsidR="00120411" w:rsidRPr="00223ED4">
        <w:rPr>
          <w:rFonts w:ascii="Arial" w:hAnsi="Arial" w:cs="Arial"/>
          <w:sz w:val="24"/>
          <w:vertAlign w:val="superscript"/>
        </w:rPr>
        <w:footnoteReference w:id="19"/>
      </w:r>
      <w:r w:rsidR="00120411" w:rsidRPr="00223ED4">
        <w:rPr>
          <w:rFonts w:ascii="Arial" w:hAnsi="Arial" w:cs="Arial"/>
          <w:sz w:val="24"/>
        </w:rPr>
        <w:t xml:space="preserve"> such </w:t>
      </w:r>
      <w:r w:rsidR="00501D87" w:rsidRPr="00223ED4">
        <w:rPr>
          <w:rFonts w:ascii="Arial" w:hAnsi="Arial" w:cs="Arial"/>
          <w:sz w:val="24"/>
        </w:rPr>
        <w:t xml:space="preserve">as </w:t>
      </w:r>
      <w:r w:rsidR="00241952" w:rsidRPr="00223ED4">
        <w:rPr>
          <w:rFonts w:ascii="Arial" w:hAnsi="Arial" w:cs="Arial"/>
          <w:sz w:val="24"/>
        </w:rPr>
        <w:t>Cloud Providers</w:t>
      </w:r>
      <w:r w:rsidR="00120411" w:rsidRPr="00223ED4">
        <w:rPr>
          <w:rFonts w:ascii="Arial" w:hAnsi="Arial" w:cs="Arial"/>
          <w:sz w:val="24"/>
        </w:rPr>
        <w:t>, in specific circumstances (e.g. when an individual complains).</w:t>
      </w:r>
      <w:r w:rsidR="00120411" w:rsidRPr="00223ED4">
        <w:rPr>
          <w:rFonts w:ascii="Arial" w:hAnsi="Arial" w:cs="Arial"/>
          <w:sz w:val="24"/>
          <w:vertAlign w:val="superscript"/>
        </w:rPr>
        <w:footnoteReference w:id="20"/>
      </w:r>
      <w:r w:rsidR="00120411" w:rsidRPr="00223ED4">
        <w:rPr>
          <w:rFonts w:ascii="Arial" w:hAnsi="Arial" w:cs="Arial"/>
          <w:sz w:val="24"/>
        </w:rPr>
        <w:t xml:space="preserve"> </w:t>
      </w:r>
    </w:p>
    <w:p w14:paraId="030206BD" w14:textId="77777777" w:rsidR="00223ED4" w:rsidRDefault="00223ED4" w:rsidP="00223ED4">
      <w:pPr>
        <w:spacing w:after="0" w:line="360" w:lineRule="auto"/>
        <w:ind w:firstLine="851"/>
        <w:jc w:val="both"/>
        <w:rPr>
          <w:rFonts w:ascii="Arial" w:hAnsi="Arial" w:cs="Arial"/>
          <w:sz w:val="24"/>
        </w:rPr>
      </w:pPr>
    </w:p>
    <w:p w14:paraId="4341D0A0" w14:textId="2DB788BA" w:rsidR="00EC2511" w:rsidRPr="00223ED4" w:rsidRDefault="00310268" w:rsidP="00223ED4">
      <w:pPr>
        <w:spacing w:after="0" w:line="360" w:lineRule="auto"/>
        <w:ind w:firstLine="851"/>
        <w:jc w:val="both"/>
        <w:rPr>
          <w:rFonts w:ascii="Arial" w:hAnsi="Arial" w:cs="Arial"/>
          <w:sz w:val="24"/>
        </w:rPr>
      </w:pPr>
      <w:r w:rsidRPr="00223ED4">
        <w:rPr>
          <w:rFonts w:ascii="Arial" w:eastAsia="Calibri" w:hAnsi="Arial" w:cs="Arial"/>
          <w:sz w:val="24"/>
        </w:rPr>
        <w:t xml:space="preserve">Thus, it becomes important to understand </w:t>
      </w:r>
      <w:r w:rsidRPr="00223ED4">
        <w:rPr>
          <w:rFonts w:ascii="Arial" w:eastAsia="Calibri" w:hAnsi="Arial" w:cs="Arial"/>
          <w:i/>
          <w:sz w:val="24"/>
        </w:rPr>
        <w:t>how</w:t>
      </w:r>
      <w:r w:rsidRPr="00223ED4">
        <w:rPr>
          <w:rFonts w:ascii="Arial" w:eastAsia="Calibri" w:hAnsi="Arial" w:cs="Arial"/>
          <w:sz w:val="24"/>
        </w:rPr>
        <w:t xml:space="preserve"> and </w:t>
      </w:r>
      <w:r w:rsidRPr="00223ED4">
        <w:rPr>
          <w:rFonts w:ascii="Arial" w:eastAsia="Calibri" w:hAnsi="Arial" w:cs="Arial"/>
          <w:i/>
          <w:sz w:val="24"/>
        </w:rPr>
        <w:t>why</w:t>
      </w:r>
      <w:r w:rsidRPr="00223ED4">
        <w:rPr>
          <w:rFonts w:ascii="Arial" w:eastAsia="Calibri" w:hAnsi="Arial" w:cs="Arial"/>
          <w:sz w:val="24"/>
        </w:rPr>
        <w:t xml:space="preserve"> personal data </w:t>
      </w:r>
      <w:r w:rsidR="009F29FC" w:rsidRPr="00223ED4">
        <w:rPr>
          <w:rFonts w:ascii="Arial" w:eastAsia="Calibri" w:hAnsi="Arial" w:cs="Arial"/>
          <w:sz w:val="24"/>
        </w:rPr>
        <w:t>are</w:t>
      </w:r>
      <w:r w:rsidRPr="00223ED4">
        <w:rPr>
          <w:rFonts w:ascii="Arial" w:eastAsia="Calibri" w:hAnsi="Arial" w:cs="Arial"/>
          <w:sz w:val="24"/>
        </w:rPr>
        <w:t xml:space="preserve"> regulated through such Cloud Investigations in Europe</w:t>
      </w:r>
      <w:r w:rsidR="00EC2511" w:rsidRPr="00223ED4">
        <w:rPr>
          <w:rFonts w:ascii="Arial" w:eastAsia="Calibri" w:hAnsi="Arial" w:cs="Arial"/>
          <w:sz w:val="24"/>
        </w:rPr>
        <w:t>.</w:t>
      </w:r>
      <w:r w:rsidR="00120411" w:rsidRPr="00223ED4">
        <w:rPr>
          <w:rFonts w:ascii="Arial" w:eastAsia="Calibri" w:hAnsi="Arial" w:cs="Arial"/>
          <w:sz w:val="24"/>
        </w:rPr>
        <w:t xml:space="preserve"> </w:t>
      </w:r>
      <w:r w:rsidR="00EC2511" w:rsidRPr="00223ED4">
        <w:rPr>
          <w:rFonts w:ascii="Arial" w:hAnsi="Arial" w:cs="Arial"/>
          <w:sz w:val="24"/>
        </w:rPr>
        <w:t xml:space="preserve">These are the two main questions which I have </w:t>
      </w:r>
      <w:r w:rsidR="00EC2511" w:rsidRPr="00223ED4">
        <w:rPr>
          <w:rFonts w:ascii="Arial" w:hAnsi="Arial" w:cs="Arial"/>
          <w:sz w:val="24"/>
        </w:rPr>
        <w:lastRenderedPageBreak/>
        <w:t>examined empirically in my recent</w:t>
      </w:r>
      <w:r w:rsidR="00EC2511" w:rsidRPr="00223ED4">
        <w:rPr>
          <w:rFonts w:ascii="Arial" w:hAnsi="Arial" w:cs="Arial"/>
          <w:sz w:val="24"/>
          <w:szCs w:val="21"/>
        </w:rPr>
        <w:t xml:space="preserve"> qualitative socio-legal research project</w:t>
      </w:r>
      <w:r w:rsidR="00EC2511" w:rsidRPr="00223ED4">
        <w:rPr>
          <w:rStyle w:val="FootnoteReference"/>
          <w:rFonts w:ascii="Arial" w:hAnsi="Arial" w:cs="Arial"/>
          <w:sz w:val="24"/>
        </w:rPr>
        <w:footnoteReference w:id="21"/>
      </w:r>
      <w:r w:rsidR="00EC2511" w:rsidRPr="00223ED4">
        <w:rPr>
          <w:rFonts w:ascii="Arial" w:hAnsi="Arial" w:cs="Arial"/>
          <w:sz w:val="24"/>
          <w:szCs w:val="21"/>
        </w:rPr>
        <w:t xml:space="preserve"> on which this chapter is based. The ‘how’ question raises the following sub-questions. </w:t>
      </w:r>
      <w:r w:rsidR="008176E3" w:rsidRPr="00223ED4">
        <w:rPr>
          <w:rFonts w:ascii="Arial" w:hAnsi="Arial" w:cs="Arial"/>
          <w:sz w:val="24"/>
        </w:rPr>
        <w:t xml:space="preserve">Through what methods, and practices are Cloud Investigations deployed? To what ends are Cloud Investigations triggered? What actors form and perform Cloud Investigations? What are the relationships between these actors during Cloud Investigations? What factors impact on Cloud Investigations (e.g. </w:t>
      </w:r>
      <w:r w:rsidR="00223ED4">
        <w:rPr>
          <w:rFonts w:ascii="Arial" w:hAnsi="Arial" w:cs="Arial"/>
          <w:sz w:val="24"/>
        </w:rPr>
        <w:t>how do the Cloud Providers` compliance attitudes impact on Cloud Investigations</w:t>
      </w:r>
      <w:r w:rsidR="008176E3" w:rsidRPr="00223ED4">
        <w:rPr>
          <w:rFonts w:ascii="Arial" w:hAnsi="Arial" w:cs="Arial"/>
          <w:sz w:val="24"/>
        </w:rPr>
        <w:t>)?</w:t>
      </w:r>
      <w:r w:rsidR="00EC2511" w:rsidRPr="00223ED4">
        <w:rPr>
          <w:rFonts w:ascii="Arial" w:hAnsi="Arial" w:cs="Arial"/>
          <w:sz w:val="24"/>
        </w:rPr>
        <w:t xml:space="preserve"> The ‘why’ question </w:t>
      </w:r>
      <w:r w:rsidR="00223ED4">
        <w:rPr>
          <w:rFonts w:ascii="Arial" w:hAnsi="Arial" w:cs="Arial"/>
          <w:sz w:val="24"/>
        </w:rPr>
        <w:t>focuses on the</w:t>
      </w:r>
      <w:r w:rsidR="00EC2511" w:rsidRPr="00223ED4">
        <w:rPr>
          <w:rFonts w:ascii="Arial" w:hAnsi="Arial" w:cs="Arial"/>
          <w:sz w:val="24"/>
        </w:rPr>
        <w:t xml:space="preserve"> possible reasons why Cloud Investigations are being more frequently deploye</w:t>
      </w:r>
      <w:r w:rsidR="001408F4" w:rsidRPr="00223ED4">
        <w:rPr>
          <w:rFonts w:ascii="Arial" w:hAnsi="Arial" w:cs="Arial"/>
          <w:sz w:val="24"/>
        </w:rPr>
        <w:t xml:space="preserve">d in Europe. </w:t>
      </w:r>
    </w:p>
    <w:p w14:paraId="1A5C85D8" w14:textId="469F994F" w:rsidR="00DA17A0" w:rsidRPr="00DD0356" w:rsidRDefault="008176E3" w:rsidP="00DD0356">
      <w:pPr>
        <w:spacing w:before="100" w:beforeAutospacing="1" w:after="100" w:afterAutospacing="1" w:line="360" w:lineRule="auto"/>
        <w:ind w:firstLine="709"/>
        <w:jc w:val="both"/>
        <w:rPr>
          <w:rFonts w:ascii="Arial" w:hAnsi="Arial" w:cs="Arial"/>
          <w:sz w:val="24"/>
          <w:szCs w:val="21"/>
        </w:rPr>
      </w:pPr>
      <w:r w:rsidRPr="00223ED4">
        <w:rPr>
          <w:rFonts w:ascii="Arial" w:hAnsi="Arial" w:cs="Arial"/>
          <w:sz w:val="24"/>
        </w:rPr>
        <w:t xml:space="preserve"> </w:t>
      </w:r>
      <w:r w:rsidR="00D573CD" w:rsidRPr="00223ED4">
        <w:rPr>
          <w:rFonts w:ascii="Arial" w:hAnsi="Arial" w:cs="Arial"/>
          <w:sz w:val="24"/>
          <w:szCs w:val="21"/>
        </w:rPr>
        <w:t xml:space="preserve">In this chapter, </w:t>
      </w:r>
      <w:r w:rsidR="00D573CD" w:rsidRPr="00DD0356">
        <w:rPr>
          <w:rFonts w:ascii="Arial" w:hAnsi="Arial"/>
          <w:sz w:val="24"/>
        </w:rPr>
        <w:t xml:space="preserve">I </w:t>
      </w:r>
      <w:r w:rsidR="00EE09B4" w:rsidRPr="00DD0356">
        <w:rPr>
          <w:rFonts w:ascii="Arial" w:hAnsi="Arial"/>
          <w:sz w:val="24"/>
        </w:rPr>
        <w:t>analyse</w:t>
      </w:r>
      <w:r w:rsidR="00D573CD" w:rsidRPr="00DD0356">
        <w:rPr>
          <w:rFonts w:ascii="Arial" w:hAnsi="Arial"/>
          <w:sz w:val="24"/>
        </w:rPr>
        <w:t xml:space="preserve"> </w:t>
      </w:r>
      <w:r w:rsidR="00D573CD" w:rsidRPr="00DD0356">
        <w:rPr>
          <w:rFonts w:ascii="Arial" w:hAnsi="Arial"/>
          <w:i/>
          <w:sz w:val="24"/>
        </w:rPr>
        <w:t>how</w:t>
      </w:r>
      <w:r w:rsidR="00D573CD" w:rsidRPr="00DD0356">
        <w:rPr>
          <w:rFonts w:ascii="Arial" w:hAnsi="Arial"/>
          <w:sz w:val="24"/>
        </w:rPr>
        <w:t xml:space="preserve"> Cloud Investigations are deployed as regulatory tools in Europe by</w:t>
      </w:r>
      <w:r w:rsidR="00EE09B4" w:rsidRPr="00DD0356">
        <w:rPr>
          <w:rFonts w:ascii="Arial" w:hAnsi="Arial"/>
          <w:sz w:val="24"/>
        </w:rPr>
        <w:t xml:space="preserve"> examining some of my empirical findings on the relationships between the actors involved </w:t>
      </w:r>
      <w:r w:rsidR="00527A66" w:rsidRPr="00DD0356">
        <w:rPr>
          <w:rFonts w:ascii="Arial" w:hAnsi="Arial"/>
          <w:sz w:val="24"/>
        </w:rPr>
        <w:t>in</w:t>
      </w:r>
      <w:r w:rsidR="00EE09B4" w:rsidRPr="00DD0356">
        <w:rPr>
          <w:rFonts w:ascii="Arial" w:hAnsi="Arial"/>
          <w:sz w:val="24"/>
        </w:rPr>
        <w:t xml:space="preserve"> Cloud Investigations</w:t>
      </w:r>
      <w:bookmarkStart w:id="2" w:name="_Toc412898994"/>
      <w:bookmarkStart w:id="3" w:name="Text2"/>
      <w:r w:rsidR="00DD0356" w:rsidRPr="00DD0356">
        <w:rPr>
          <w:rFonts w:ascii="Arial" w:hAnsi="Arial" w:cs="Arial"/>
          <w:sz w:val="24"/>
          <w:szCs w:val="21"/>
        </w:rPr>
        <w:t>.</w:t>
      </w:r>
      <w:r w:rsidR="00DD0356">
        <w:rPr>
          <w:rFonts w:ascii="Arial" w:hAnsi="Arial" w:cs="Arial"/>
          <w:sz w:val="24"/>
          <w:szCs w:val="21"/>
        </w:rPr>
        <w:t xml:space="preserve"> </w:t>
      </w:r>
      <w:r w:rsidRPr="00223ED4">
        <w:rPr>
          <w:rFonts w:ascii="Arial" w:hAnsi="Arial" w:cs="Arial"/>
          <w:sz w:val="24"/>
          <w:szCs w:val="21"/>
        </w:rPr>
        <w:t xml:space="preserve">It would not be possible for me to analyse all my empirical findings in-depth in the space of one chapter. Consequently, the analysis presented in this chapter </w:t>
      </w:r>
      <w:r w:rsidRPr="00223ED4">
        <w:rPr>
          <w:rFonts w:ascii="Arial" w:hAnsi="Arial" w:cs="Arial"/>
          <w:sz w:val="24"/>
        </w:rPr>
        <w:t xml:space="preserve">provides a partial and preliminary view on </w:t>
      </w:r>
      <w:r w:rsidRPr="00223ED4">
        <w:rPr>
          <w:rFonts w:ascii="Arial" w:hAnsi="Arial" w:cs="Arial"/>
          <w:i/>
          <w:sz w:val="24"/>
        </w:rPr>
        <w:t>how</w:t>
      </w:r>
      <w:r w:rsidRPr="00223ED4">
        <w:rPr>
          <w:rFonts w:ascii="Arial" w:hAnsi="Arial" w:cs="Arial"/>
          <w:sz w:val="24"/>
        </w:rPr>
        <w:t xml:space="preserve"> Cloud Investigations are deployed as regulatory tools.</w:t>
      </w:r>
      <w:r w:rsidR="00527A66" w:rsidRPr="00223ED4">
        <w:rPr>
          <w:rFonts w:ascii="Arial" w:hAnsi="Arial" w:cs="Arial"/>
          <w:sz w:val="24"/>
        </w:rPr>
        <w:t xml:space="preserve"> The empirical findings analysed in this chapter are mostly relevant to the </w:t>
      </w:r>
      <w:r w:rsidR="00527A66" w:rsidRPr="00223ED4">
        <w:rPr>
          <w:rFonts w:ascii="Arial" w:hAnsi="Arial" w:cs="Arial"/>
          <w:sz w:val="24"/>
        </w:rPr>
        <w:lastRenderedPageBreak/>
        <w:t>investigations of multinational Cloud Providers that have a strong European presence because, so far, they are the only types of Cloud Providers which have been investigated by EU DPAs.</w:t>
      </w:r>
      <w:r w:rsidR="00527A66" w:rsidRPr="00223ED4">
        <w:rPr>
          <w:rFonts w:ascii="Arial" w:hAnsi="Arial" w:cs="Arial"/>
          <w:sz w:val="24"/>
          <w:vertAlign w:val="superscript"/>
        </w:rPr>
        <w:footnoteReference w:id="22"/>
      </w:r>
      <w:r w:rsidR="00527A66" w:rsidRPr="00223ED4">
        <w:rPr>
          <w:rFonts w:ascii="Arial" w:hAnsi="Arial" w:cs="Arial"/>
          <w:sz w:val="24"/>
        </w:rPr>
        <w:t xml:space="preserve"> However, my findings may also be </w:t>
      </w:r>
      <w:r w:rsidR="00223ED4">
        <w:rPr>
          <w:rFonts w:ascii="Arial" w:hAnsi="Arial" w:cs="Arial"/>
          <w:sz w:val="24"/>
        </w:rPr>
        <w:t>relevant</w:t>
      </w:r>
      <w:r w:rsidR="00527A66" w:rsidRPr="00223ED4">
        <w:rPr>
          <w:rFonts w:ascii="Arial" w:hAnsi="Arial" w:cs="Arial"/>
          <w:sz w:val="24"/>
        </w:rPr>
        <w:t xml:space="preserve"> to small and medium Cloud Providers </w:t>
      </w:r>
      <w:r w:rsidR="00614F5C" w:rsidRPr="00223ED4">
        <w:rPr>
          <w:rFonts w:ascii="Arial" w:hAnsi="Arial" w:cs="Arial"/>
          <w:sz w:val="24"/>
        </w:rPr>
        <w:t>because</w:t>
      </w:r>
      <w:r w:rsidR="00527A66" w:rsidRPr="00223ED4">
        <w:rPr>
          <w:rFonts w:ascii="Arial" w:hAnsi="Arial" w:cs="Arial"/>
          <w:sz w:val="24"/>
        </w:rPr>
        <w:t xml:space="preserve"> certain aspects of the investigative process are likely to be similar in substance (e.g. practices) although variable in scale (e.g. </w:t>
      </w:r>
      <w:r w:rsidR="003A6ECD">
        <w:rPr>
          <w:rFonts w:ascii="Arial" w:hAnsi="Arial" w:cs="Arial"/>
          <w:sz w:val="24"/>
        </w:rPr>
        <w:t xml:space="preserve">the </w:t>
      </w:r>
      <w:r w:rsidR="00527A66" w:rsidRPr="00223ED4">
        <w:rPr>
          <w:rFonts w:ascii="Arial" w:hAnsi="Arial" w:cs="Arial"/>
          <w:sz w:val="24"/>
        </w:rPr>
        <w:t>extent to which the EU DPA</w:t>
      </w:r>
      <w:r w:rsidR="003A6ECD">
        <w:rPr>
          <w:rFonts w:ascii="Arial" w:hAnsi="Arial" w:cs="Arial"/>
          <w:sz w:val="24"/>
        </w:rPr>
        <w:t>s</w:t>
      </w:r>
      <w:r w:rsidR="00527A66" w:rsidRPr="00223ED4">
        <w:rPr>
          <w:rFonts w:ascii="Arial" w:hAnsi="Arial" w:cs="Arial"/>
          <w:sz w:val="24"/>
        </w:rPr>
        <w:t xml:space="preserve"> examine the data processing operations and policies</w:t>
      </w:r>
      <w:r w:rsidR="003A6ECD">
        <w:rPr>
          <w:rFonts w:ascii="Arial" w:hAnsi="Arial" w:cs="Arial"/>
          <w:sz w:val="24"/>
        </w:rPr>
        <w:t xml:space="preserve"> of such Cloud Providers</w:t>
      </w:r>
      <w:r w:rsidR="00527A66" w:rsidRPr="00223ED4">
        <w:rPr>
          <w:rFonts w:ascii="Arial" w:hAnsi="Arial" w:cs="Arial"/>
          <w:sz w:val="24"/>
        </w:rPr>
        <w:t>).</w:t>
      </w:r>
    </w:p>
    <w:p w14:paraId="4EAD9B63" w14:textId="73C93F9E" w:rsidR="00DA17A0" w:rsidRPr="00223ED4" w:rsidRDefault="00DA17A0" w:rsidP="00DA17A0">
      <w:pPr>
        <w:spacing w:before="100" w:beforeAutospacing="1" w:after="100" w:afterAutospacing="1" w:line="360" w:lineRule="auto"/>
        <w:ind w:firstLine="851"/>
        <w:jc w:val="both"/>
        <w:rPr>
          <w:rFonts w:ascii="Arial" w:hAnsi="Arial" w:cs="Arial"/>
          <w:sz w:val="24"/>
        </w:rPr>
      </w:pPr>
      <w:r w:rsidRPr="00223ED4">
        <w:rPr>
          <w:rFonts w:ascii="Arial" w:hAnsi="Arial" w:cs="Arial"/>
          <w:sz w:val="24"/>
        </w:rPr>
        <w:t xml:space="preserve">The empirical analysis presented in this chapter supports two arguments. Firstly, Cloud Investigations are complex regulatory processes that often involve different co-operative relationships between various actors, such as DPAs. In </w:t>
      </w:r>
      <w:r w:rsidR="00071036">
        <w:rPr>
          <w:rFonts w:ascii="Arial" w:hAnsi="Arial" w:cs="Arial"/>
          <w:sz w:val="24"/>
        </w:rPr>
        <w:t>reality</w:t>
      </w:r>
      <w:r w:rsidRPr="00223ED4">
        <w:rPr>
          <w:rFonts w:ascii="Arial" w:hAnsi="Arial" w:cs="Arial"/>
          <w:sz w:val="24"/>
        </w:rPr>
        <w:t xml:space="preserve">, manifold interactions and practices, such as facilitative instruments, are deployed to form and perform such collaborations </w:t>
      </w:r>
      <w:r w:rsidR="004C4D8A" w:rsidRPr="00223ED4">
        <w:rPr>
          <w:rFonts w:ascii="Arial" w:hAnsi="Arial" w:cs="Arial"/>
          <w:sz w:val="24"/>
        </w:rPr>
        <w:t xml:space="preserve">which </w:t>
      </w:r>
      <w:r w:rsidR="009D6C8C" w:rsidRPr="00223ED4">
        <w:rPr>
          <w:rFonts w:ascii="Arial" w:hAnsi="Arial" w:cs="Arial"/>
          <w:sz w:val="24"/>
        </w:rPr>
        <w:t>are vital in ensuring</w:t>
      </w:r>
      <w:r w:rsidRPr="00223ED4">
        <w:rPr>
          <w:rFonts w:ascii="Arial" w:hAnsi="Arial" w:cs="Arial"/>
          <w:sz w:val="24"/>
        </w:rPr>
        <w:t xml:space="preserve"> the consistent application and enforcement of common data protection principles in an increasingly globalised context. Secondly, Cloud Investigations are also dynamic as they can involve continually evolving regulatory</w:t>
      </w:r>
      <w:r w:rsidR="00EE09B4" w:rsidRPr="00223ED4">
        <w:rPr>
          <w:rFonts w:ascii="Arial" w:hAnsi="Arial" w:cs="Arial"/>
          <w:sz w:val="24"/>
        </w:rPr>
        <w:t xml:space="preserve"> enforcement</w:t>
      </w:r>
      <w:r w:rsidRPr="00223ED4">
        <w:rPr>
          <w:rFonts w:ascii="Arial" w:hAnsi="Arial" w:cs="Arial"/>
          <w:sz w:val="24"/>
        </w:rPr>
        <w:t xml:space="preserve"> styles and compliance attitudes. Cloud Providers can often resist the attempts of the EU DPA</w:t>
      </w:r>
      <w:r w:rsidR="003A6ECD">
        <w:rPr>
          <w:rFonts w:ascii="Arial" w:hAnsi="Arial" w:cs="Arial"/>
          <w:sz w:val="24"/>
        </w:rPr>
        <w:t>s</w:t>
      </w:r>
      <w:r w:rsidRPr="00223ED4">
        <w:rPr>
          <w:rFonts w:ascii="Arial" w:hAnsi="Arial" w:cs="Arial"/>
          <w:sz w:val="24"/>
        </w:rPr>
        <w:t xml:space="preserve"> to direct the </w:t>
      </w:r>
      <w:r w:rsidRPr="00223ED4">
        <w:rPr>
          <w:rFonts w:ascii="Arial" w:hAnsi="Arial" w:cs="Arial"/>
          <w:sz w:val="24"/>
        </w:rPr>
        <w:lastRenderedPageBreak/>
        <w:t>investigative process in specific ways. How such resistance is resolved is very much context-dependent.</w:t>
      </w:r>
    </w:p>
    <w:p w14:paraId="3FDC5F19" w14:textId="656CA493" w:rsidR="00DA17A0" w:rsidRPr="00223ED4" w:rsidRDefault="00DA17A0" w:rsidP="002508F2">
      <w:pPr>
        <w:spacing w:before="100" w:beforeAutospacing="1" w:after="100" w:afterAutospacing="1" w:line="360" w:lineRule="auto"/>
        <w:ind w:firstLine="851"/>
        <w:jc w:val="both"/>
        <w:rPr>
          <w:rFonts w:ascii="Arial" w:hAnsi="Arial" w:cs="Arial"/>
          <w:sz w:val="24"/>
        </w:rPr>
      </w:pPr>
      <w:r w:rsidRPr="00223ED4">
        <w:rPr>
          <w:rFonts w:ascii="Arial" w:hAnsi="Arial" w:cs="Arial"/>
          <w:sz w:val="24"/>
        </w:rPr>
        <w:t xml:space="preserve">This chapter is divided into </w:t>
      </w:r>
      <w:r w:rsidR="006D7347" w:rsidRPr="00223ED4">
        <w:rPr>
          <w:rFonts w:ascii="Arial" w:hAnsi="Arial" w:cs="Arial"/>
          <w:sz w:val="24"/>
        </w:rPr>
        <w:t>four sections (excluding this section). In the first section, I critically evaluate some of the key ideas in the data protection and technology regulation literature which ar</w:t>
      </w:r>
      <w:r w:rsidR="009D6C8C" w:rsidRPr="00223ED4">
        <w:rPr>
          <w:rFonts w:ascii="Arial" w:hAnsi="Arial" w:cs="Arial"/>
          <w:sz w:val="24"/>
        </w:rPr>
        <w:t xml:space="preserve">e relevant </w:t>
      </w:r>
      <w:r w:rsidR="00EE09B4" w:rsidRPr="00223ED4">
        <w:rPr>
          <w:rFonts w:ascii="Arial" w:hAnsi="Arial" w:cs="Arial"/>
          <w:sz w:val="24"/>
        </w:rPr>
        <w:t xml:space="preserve">to </w:t>
      </w:r>
      <w:r w:rsidR="00223ED4">
        <w:rPr>
          <w:rFonts w:ascii="Arial" w:hAnsi="Arial" w:cs="Arial"/>
          <w:sz w:val="24"/>
        </w:rPr>
        <w:t>the regulation of personal data by EU DPAs.</w:t>
      </w:r>
      <w:r w:rsidR="009D6C8C" w:rsidRPr="00223ED4">
        <w:rPr>
          <w:rFonts w:ascii="Arial" w:hAnsi="Arial" w:cs="Arial"/>
          <w:sz w:val="24"/>
        </w:rPr>
        <w:t xml:space="preserve"> </w:t>
      </w:r>
      <w:r w:rsidR="006D7347" w:rsidRPr="00223ED4">
        <w:rPr>
          <w:rFonts w:ascii="Arial" w:hAnsi="Arial" w:cs="Arial"/>
          <w:sz w:val="24"/>
        </w:rPr>
        <w:t>I suggest that a turn towards classic regulation concepts, such as regulatory capacities, regulatory enforcement styles, and compliance attitudes</w:t>
      </w:r>
      <w:r w:rsidR="009D6C8C" w:rsidRPr="00223ED4">
        <w:rPr>
          <w:rFonts w:ascii="Arial" w:hAnsi="Arial" w:cs="Arial"/>
          <w:sz w:val="24"/>
        </w:rPr>
        <w:t>,</w:t>
      </w:r>
      <w:r w:rsidR="006D7347" w:rsidRPr="00223ED4">
        <w:rPr>
          <w:rFonts w:ascii="Arial" w:hAnsi="Arial" w:cs="Arial"/>
          <w:sz w:val="24"/>
        </w:rPr>
        <w:t xml:space="preserve"> can shed a</w:t>
      </w:r>
      <w:r w:rsidR="004C4D8A" w:rsidRPr="00223ED4">
        <w:rPr>
          <w:rFonts w:ascii="Arial" w:hAnsi="Arial" w:cs="Arial"/>
          <w:sz w:val="24"/>
        </w:rPr>
        <w:t xml:space="preserve"> more</w:t>
      </w:r>
      <w:r w:rsidR="006D7347" w:rsidRPr="00223ED4">
        <w:rPr>
          <w:rFonts w:ascii="Arial" w:hAnsi="Arial" w:cs="Arial"/>
          <w:sz w:val="24"/>
        </w:rPr>
        <w:t xml:space="preserve"> comprehensive light on how investigations are deployed in practice. In the second section, I analyse </w:t>
      </w:r>
      <w:r w:rsidR="002508F2">
        <w:rPr>
          <w:rFonts w:ascii="Arial" w:hAnsi="Arial" w:cs="Arial"/>
          <w:sz w:val="24"/>
        </w:rPr>
        <w:t>my main data collection and analysis methods.</w:t>
      </w:r>
      <w:r w:rsidR="006720A7" w:rsidRPr="00223ED4">
        <w:rPr>
          <w:rFonts w:ascii="Arial" w:hAnsi="Arial" w:cs="Arial"/>
          <w:sz w:val="24"/>
        </w:rPr>
        <w:t xml:space="preserve"> </w:t>
      </w:r>
      <w:r w:rsidR="006D7347" w:rsidRPr="00223ED4">
        <w:rPr>
          <w:rFonts w:ascii="Arial" w:hAnsi="Arial" w:cs="Arial"/>
          <w:sz w:val="24"/>
        </w:rPr>
        <w:t xml:space="preserve">In the third section, I analyse how Cloud Investigations can involve concerted actions between DPAs operating </w:t>
      </w:r>
      <w:r w:rsidR="006720A7" w:rsidRPr="00223ED4">
        <w:rPr>
          <w:rFonts w:ascii="Arial" w:hAnsi="Arial" w:cs="Arial"/>
          <w:sz w:val="24"/>
        </w:rPr>
        <w:t xml:space="preserve">in </w:t>
      </w:r>
      <w:r w:rsidR="006D7347" w:rsidRPr="00223ED4">
        <w:rPr>
          <w:rFonts w:ascii="Arial" w:hAnsi="Arial" w:cs="Arial"/>
          <w:sz w:val="24"/>
        </w:rPr>
        <w:t xml:space="preserve">different jurisdictions to illustrate that Cloud Investigations are formed and performed through and by manifold interactions, and practices. </w:t>
      </w:r>
      <w:r w:rsidR="00B94DD5" w:rsidRPr="00223ED4">
        <w:rPr>
          <w:rFonts w:ascii="Arial" w:hAnsi="Arial" w:cs="Arial"/>
          <w:sz w:val="24"/>
        </w:rPr>
        <w:t>Finally</w:t>
      </w:r>
      <w:r w:rsidR="006D7347" w:rsidRPr="00223ED4">
        <w:rPr>
          <w:rFonts w:ascii="Arial" w:hAnsi="Arial" w:cs="Arial"/>
          <w:sz w:val="24"/>
        </w:rPr>
        <w:t xml:space="preserve">, I analyse how Cloud Investigations can also involve continually evolving regulatory enforcement </w:t>
      </w:r>
      <w:r w:rsidR="00B94DD5" w:rsidRPr="00223ED4">
        <w:rPr>
          <w:rFonts w:ascii="Arial" w:hAnsi="Arial" w:cs="Arial"/>
          <w:sz w:val="24"/>
        </w:rPr>
        <w:t>styles and compliance attitudes.</w:t>
      </w:r>
      <w:r w:rsidR="006D7347" w:rsidRPr="00223ED4">
        <w:rPr>
          <w:rFonts w:ascii="Arial" w:hAnsi="Arial" w:cs="Arial"/>
          <w:sz w:val="24"/>
        </w:rPr>
        <w:t xml:space="preserve"> </w:t>
      </w:r>
    </w:p>
    <w:p w14:paraId="5C0D75BE" w14:textId="77777777" w:rsidR="008176E3" w:rsidRPr="00223ED4" w:rsidRDefault="008176E3" w:rsidP="008176E3">
      <w:pPr>
        <w:spacing w:after="0" w:line="360" w:lineRule="auto"/>
        <w:ind w:firstLine="851"/>
        <w:jc w:val="both"/>
        <w:rPr>
          <w:rFonts w:ascii="Arial" w:hAnsi="Arial" w:cs="Arial"/>
          <w:sz w:val="24"/>
        </w:rPr>
      </w:pPr>
    </w:p>
    <w:p w14:paraId="71B37B92" w14:textId="4564397A" w:rsidR="00CB4707" w:rsidRPr="00223ED4" w:rsidRDefault="00D573CD" w:rsidP="002333FB">
      <w:pPr>
        <w:spacing w:line="360" w:lineRule="auto"/>
        <w:jc w:val="both"/>
        <w:rPr>
          <w:rFonts w:ascii="Arial" w:hAnsi="Arial" w:cs="Arial"/>
          <w:sz w:val="32"/>
        </w:rPr>
      </w:pPr>
      <w:r w:rsidRPr="00223ED4">
        <w:rPr>
          <w:rFonts w:ascii="Arial" w:hAnsi="Arial" w:cs="Arial"/>
          <w:sz w:val="32"/>
        </w:rPr>
        <w:t>CLOUD COMPUTING, DATA PROTECTION, AND INVESTIGATIONS BY DATA PROTECTION AUTHORITIES</w:t>
      </w:r>
    </w:p>
    <w:p w14:paraId="7DC7143C" w14:textId="26196557" w:rsidR="00CB4707" w:rsidRPr="00223ED4" w:rsidRDefault="009C746C" w:rsidP="006C5F46">
      <w:pPr>
        <w:spacing w:before="100" w:beforeAutospacing="1" w:after="100" w:afterAutospacing="1" w:line="360" w:lineRule="auto"/>
        <w:jc w:val="both"/>
        <w:rPr>
          <w:rFonts w:ascii="Arial" w:hAnsi="Arial"/>
          <w:sz w:val="24"/>
        </w:rPr>
      </w:pPr>
      <w:r w:rsidRPr="00223ED4">
        <w:rPr>
          <w:rFonts w:ascii="Arial" w:hAnsi="Arial" w:cs="Arial"/>
          <w:sz w:val="24"/>
        </w:rPr>
        <w:lastRenderedPageBreak/>
        <w:t xml:space="preserve">Early data protection and privacy </w:t>
      </w:r>
      <w:r w:rsidR="008176E3" w:rsidRPr="00223ED4">
        <w:rPr>
          <w:rFonts w:ascii="Arial" w:hAnsi="Arial" w:cs="Arial"/>
          <w:sz w:val="24"/>
        </w:rPr>
        <w:t>literature has</w:t>
      </w:r>
      <w:r w:rsidRPr="00223ED4">
        <w:rPr>
          <w:rFonts w:ascii="Arial" w:hAnsi="Arial" w:cs="Arial"/>
          <w:sz w:val="24"/>
        </w:rPr>
        <w:t xml:space="preserve"> </w:t>
      </w:r>
      <w:r w:rsidRPr="00223ED4">
        <w:rPr>
          <w:rFonts w:ascii="Arial" w:hAnsi="Arial"/>
          <w:sz w:val="24"/>
        </w:rPr>
        <w:t>recognised</w:t>
      </w:r>
      <w:r w:rsidR="009B22C6" w:rsidRPr="00223ED4">
        <w:rPr>
          <w:rFonts w:ascii="Arial" w:hAnsi="Arial"/>
          <w:sz w:val="24"/>
        </w:rPr>
        <w:t xml:space="preserve"> the significance of the DPA regulatory model in the context of data protection. </w:t>
      </w:r>
      <w:r w:rsidR="00EE09B4" w:rsidRPr="00223ED4">
        <w:rPr>
          <w:rFonts w:ascii="Arial" w:hAnsi="Arial"/>
          <w:sz w:val="24"/>
        </w:rPr>
        <w:t>The</w:t>
      </w:r>
      <w:r w:rsidR="009B22C6" w:rsidRPr="00223ED4">
        <w:rPr>
          <w:rFonts w:ascii="Arial" w:hAnsi="Arial"/>
          <w:sz w:val="24"/>
        </w:rPr>
        <w:t xml:space="preserve"> DPA regulatory model refers to </w:t>
      </w:r>
      <w:r w:rsidR="00EE09B4" w:rsidRPr="00223ED4">
        <w:rPr>
          <w:rFonts w:ascii="Arial" w:hAnsi="Arial"/>
          <w:sz w:val="24"/>
        </w:rPr>
        <w:t>how DPA</w:t>
      </w:r>
      <w:r w:rsidR="00071036">
        <w:rPr>
          <w:rFonts w:ascii="Arial" w:hAnsi="Arial"/>
          <w:sz w:val="24"/>
        </w:rPr>
        <w:t>s</w:t>
      </w:r>
      <w:r w:rsidR="00EE09B4" w:rsidRPr="00223ED4">
        <w:rPr>
          <w:rFonts w:ascii="Arial" w:hAnsi="Arial"/>
          <w:sz w:val="24"/>
        </w:rPr>
        <w:t xml:space="preserve"> regulate personal data by exercising their statutory powers</w:t>
      </w:r>
      <w:r w:rsidR="009B22C6" w:rsidRPr="00223ED4">
        <w:rPr>
          <w:rFonts w:ascii="Arial" w:hAnsi="Arial"/>
          <w:sz w:val="24"/>
        </w:rPr>
        <w:t>, such as the power to investigate a complaint against a data controller.</w:t>
      </w:r>
      <w:r w:rsidR="009B22C6" w:rsidRPr="00223ED4">
        <w:rPr>
          <w:rStyle w:val="FootnoteReference"/>
          <w:rFonts w:ascii="Arial" w:hAnsi="Arial"/>
          <w:sz w:val="24"/>
        </w:rPr>
        <w:footnoteReference w:id="23"/>
      </w:r>
      <w:r w:rsidR="009B22C6" w:rsidRPr="00223ED4">
        <w:rPr>
          <w:rFonts w:ascii="Arial" w:hAnsi="Arial" w:cs="Arial"/>
          <w:sz w:val="24"/>
        </w:rPr>
        <w:t xml:space="preserve"> </w:t>
      </w:r>
      <w:r w:rsidR="00CB4707" w:rsidRPr="00223ED4">
        <w:rPr>
          <w:rFonts w:ascii="Arial" w:hAnsi="Arial" w:cs="Arial"/>
          <w:sz w:val="24"/>
        </w:rPr>
        <w:t xml:space="preserve">Recent analysis still highlights the key roles of DPAs in developing and implementing the national, transnational and international regulation of </w:t>
      </w:r>
      <w:r w:rsidR="006C5F46" w:rsidRPr="00223ED4">
        <w:rPr>
          <w:rFonts w:ascii="Arial" w:hAnsi="Arial" w:cs="Arial"/>
          <w:sz w:val="24"/>
        </w:rPr>
        <w:t>personal data</w:t>
      </w:r>
      <w:r w:rsidR="00CB4707" w:rsidRPr="00223ED4">
        <w:rPr>
          <w:rFonts w:ascii="Arial" w:hAnsi="Arial" w:cs="Arial"/>
          <w:sz w:val="24"/>
        </w:rPr>
        <w:t>.</w:t>
      </w:r>
      <w:r w:rsidR="00CB4707" w:rsidRPr="00223ED4">
        <w:rPr>
          <w:rFonts w:ascii="Arial" w:hAnsi="Arial" w:cs="Arial"/>
          <w:sz w:val="24"/>
          <w:vertAlign w:val="superscript"/>
        </w:rPr>
        <w:footnoteReference w:id="24"/>
      </w:r>
      <w:r w:rsidR="00CB4707" w:rsidRPr="00223ED4">
        <w:rPr>
          <w:rFonts w:ascii="Arial" w:hAnsi="Arial" w:cs="Arial"/>
          <w:sz w:val="24"/>
        </w:rPr>
        <w:t xml:space="preserve"> For example, Newman argues </w:t>
      </w:r>
      <w:r w:rsidRPr="00223ED4">
        <w:rPr>
          <w:rFonts w:ascii="Arial" w:hAnsi="Arial" w:cs="Arial"/>
          <w:sz w:val="24"/>
        </w:rPr>
        <w:t>that</w:t>
      </w:r>
      <w:r w:rsidR="00CB4707" w:rsidRPr="00223ED4">
        <w:rPr>
          <w:rFonts w:ascii="Arial" w:hAnsi="Arial" w:cs="Arial"/>
          <w:sz w:val="24"/>
        </w:rPr>
        <w:t xml:space="preserve">:  </w:t>
      </w:r>
    </w:p>
    <w:p w14:paraId="59604B5D" w14:textId="18477EE7" w:rsidR="00CB4707" w:rsidRPr="00223ED4" w:rsidRDefault="00F6484C" w:rsidP="00CB4707">
      <w:pPr>
        <w:spacing w:before="100" w:beforeAutospacing="1" w:after="100" w:afterAutospacing="1" w:line="360" w:lineRule="auto"/>
        <w:ind w:left="720" w:hanging="11"/>
        <w:jc w:val="both"/>
        <w:rPr>
          <w:rFonts w:ascii="Arial" w:hAnsi="Arial" w:cs="Arial"/>
          <w:sz w:val="24"/>
        </w:rPr>
      </w:pPr>
      <w:r>
        <w:rPr>
          <w:rFonts w:ascii="Arial" w:hAnsi="Arial" w:cs="Arial"/>
          <w:sz w:val="24"/>
        </w:rPr>
        <w:t>‘</w:t>
      </w:r>
      <w:r w:rsidR="00CB4707" w:rsidRPr="00223ED4">
        <w:rPr>
          <w:rFonts w:ascii="Arial" w:hAnsi="Arial" w:cs="Arial"/>
          <w:sz w:val="24"/>
        </w:rPr>
        <w:t>Collectively, they [DPAs] constitute a robust and powerful trans-governmental network with significant regulatory capacity which constrains the ability of industry and government to exploit unchecked the proc</w:t>
      </w:r>
      <w:r w:rsidR="00AE729A" w:rsidRPr="00223ED4">
        <w:rPr>
          <w:rFonts w:ascii="Arial" w:hAnsi="Arial" w:cs="Arial"/>
          <w:sz w:val="24"/>
        </w:rPr>
        <w:t>essing of personal informatio</w:t>
      </w:r>
      <w:r>
        <w:rPr>
          <w:rFonts w:ascii="Arial" w:hAnsi="Arial" w:cs="Arial"/>
          <w:sz w:val="24"/>
        </w:rPr>
        <w:t>n.’</w:t>
      </w:r>
      <w:r w:rsidR="00CB4707" w:rsidRPr="00223ED4">
        <w:rPr>
          <w:rFonts w:ascii="Arial" w:hAnsi="Arial" w:cs="Arial"/>
          <w:sz w:val="24"/>
          <w:vertAlign w:val="superscript"/>
        </w:rPr>
        <w:footnoteReference w:id="25"/>
      </w:r>
    </w:p>
    <w:p w14:paraId="0C0A5E15" w14:textId="0078AFA0" w:rsidR="000E5DC7" w:rsidRPr="00223ED4" w:rsidRDefault="00E33B06" w:rsidP="00045A5E">
      <w:pPr>
        <w:spacing w:before="100" w:beforeAutospacing="1" w:after="100" w:afterAutospacing="1" w:line="360" w:lineRule="auto"/>
        <w:jc w:val="both"/>
        <w:rPr>
          <w:rFonts w:ascii="Arial" w:eastAsia="Times New Roman" w:hAnsi="Arial" w:cs="Arial"/>
          <w:sz w:val="24"/>
        </w:rPr>
      </w:pPr>
      <w:r w:rsidRPr="00223ED4">
        <w:rPr>
          <w:rFonts w:ascii="Arial" w:hAnsi="Arial" w:cs="Arial"/>
          <w:sz w:val="24"/>
        </w:rPr>
        <w:lastRenderedPageBreak/>
        <w:t xml:space="preserve">The existing literature analyses </w:t>
      </w:r>
      <w:r w:rsidR="00045A5E" w:rsidRPr="00223ED4">
        <w:rPr>
          <w:rFonts w:ascii="Arial" w:hAnsi="Arial" w:cs="Arial"/>
          <w:sz w:val="24"/>
        </w:rPr>
        <w:t xml:space="preserve">how </w:t>
      </w:r>
      <w:r w:rsidR="000E5DC7" w:rsidRPr="00223ED4">
        <w:rPr>
          <w:rFonts w:ascii="Arial" w:hAnsi="Arial" w:cs="Arial"/>
          <w:sz w:val="24"/>
        </w:rPr>
        <w:t xml:space="preserve">EU </w:t>
      </w:r>
      <w:r w:rsidR="00045A5E" w:rsidRPr="00223ED4">
        <w:rPr>
          <w:rFonts w:ascii="Arial" w:hAnsi="Arial" w:cs="Arial"/>
          <w:sz w:val="24"/>
        </w:rPr>
        <w:t xml:space="preserve">DPAs regulate personal data by focussing on the regulatory tools which they deploy (e.g. </w:t>
      </w:r>
      <w:r w:rsidR="009C746C" w:rsidRPr="00223ED4">
        <w:rPr>
          <w:rFonts w:ascii="Arial" w:hAnsi="Arial" w:cs="Arial"/>
          <w:sz w:val="24"/>
        </w:rPr>
        <w:t>the investigative tool</w:t>
      </w:r>
      <w:r w:rsidR="00045A5E" w:rsidRPr="00223ED4">
        <w:rPr>
          <w:rFonts w:ascii="Arial" w:hAnsi="Arial" w:cs="Arial"/>
          <w:sz w:val="24"/>
        </w:rPr>
        <w:t>).</w:t>
      </w:r>
      <w:r w:rsidR="00EE09B4" w:rsidRPr="00223ED4">
        <w:rPr>
          <w:rStyle w:val="FootnoteReference"/>
          <w:rFonts w:ascii="Arial" w:hAnsi="Arial" w:cs="Arial"/>
          <w:sz w:val="24"/>
        </w:rPr>
        <w:footnoteReference w:id="26"/>
      </w:r>
      <w:r w:rsidR="00045A5E" w:rsidRPr="00223ED4">
        <w:rPr>
          <w:rFonts w:ascii="Arial" w:hAnsi="Arial" w:cs="Arial"/>
          <w:sz w:val="24"/>
        </w:rPr>
        <w:t xml:space="preserve"> From this perspective, the regulatory roles of </w:t>
      </w:r>
      <w:r w:rsidR="000E5DC7" w:rsidRPr="00223ED4">
        <w:rPr>
          <w:rFonts w:ascii="Arial" w:hAnsi="Arial" w:cs="Arial"/>
          <w:sz w:val="24"/>
        </w:rPr>
        <w:t xml:space="preserve">EU </w:t>
      </w:r>
      <w:r w:rsidR="00045A5E" w:rsidRPr="00223ED4">
        <w:rPr>
          <w:rFonts w:ascii="Arial" w:hAnsi="Arial" w:cs="Arial"/>
          <w:sz w:val="24"/>
        </w:rPr>
        <w:t>DPAs are understood</w:t>
      </w:r>
      <w:r w:rsidR="00820D63" w:rsidRPr="00223ED4">
        <w:rPr>
          <w:rFonts w:ascii="Arial" w:hAnsi="Arial" w:cs="Arial"/>
          <w:sz w:val="24"/>
        </w:rPr>
        <w:t xml:space="preserve"> </w:t>
      </w:r>
      <w:r w:rsidR="00045A5E" w:rsidRPr="00223ED4">
        <w:rPr>
          <w:rFonts w:ascii="Arial" w:hAnsi="Arial" w:cs="Arial"/>
          <w:sz w:val="24"/>
        </w:rPr>
        <w:t xml:space="preserve">solely in terms of a ‘top-down’ exercise of authority by the </w:t>
      </w:r>
      <w:r w:rsidR="000E5DC7" w:rsidRPr="00223ED4">
        <w:rPr>
          <w:rFonts w:ascii="Arial" w:hAnsi="Arial" w:cs="Arial"/>
          <w:sz w:val="24"/>
        </w:rPr>
        <w:t xml:space="preserve">EU </w:t>
      </w:r>
      <w:r w:rsidR="00045A5E" w:rsidRPr="00223ED4">
        <w:rPr>
          <w:rFonts w:ascii="Arial" w:hAnsi="Arial" w:cs="Arial"/>
          <w:sz w:val="24"/>
        </w:rPr>
        <w:t>DPAs over the ‘data controller’.</w:t>
      </w:r>
      <w:r w:rsidR="00045A5E" w:rsidRPr="00223ED4">
        <w:rPr>
          <w:rFonts w:ascii="Arial" w:hAnsi="Arial" w:cs="Arial"/>
          <w:sz w:val="24"/>
          <w:vertAlign w:val="superscript"/>
        </w:rPr>
        <w:footnoteReference w:id="27"/>
      </w:r>
      <w:r w:rsidR="00045A5E" w:rsidRPr="00223ED4">
        <w:rPr>
          <w:rFonts w:ascii="Arial" w:hAnsi="Arial" w:cs="Arial"/>
          <w:sz w:val="24"/>
        </w:rPr>
        <w:t xml:space="preserve"> S</w:t>
      </w:r>
      <w:r w:rsidR="009B22C6" w:rsidRPr="00223ED4">
        <w:rPr>
          <w:rFonts w:ascii="Arial" w:hAnsi="Arial" w:cs="Arial"/>
          <w:sz w:val="24"/>
        </w:rPr>
        <w:t>uch approaches invariably focus</w:t>
      </w:r>
      <w:r w:rsidR="00045A5E" w:rsidRPr="00223ED4">
        <w:rPr>
          <w:rFonts w:ascii="Arial" w:hAnsi="Arial" w:cs="Arial"/>
          <w:sz w:val="24"/>
        </w:rPr>
        <w:t xml:space="preserve"> on a limited set of questions, such as the enforcement powers of DPAs as set out in the legislative frameworks,</w:t>
      </w:r>
      <w:r w:rsidR="00045A5E" w:rsidRPr="00223ED4">
        <w:rPr>
          <w:rFonts w:ascii="Arial" w:hAnsi="Arial" w:cs="Arial"/>
          <w:sz w:val="24"/>
          <w:vertAlign w:val="superscript"/>
        </w:rPr>
        <w:footnoteReference w:id="28"/>
      </w:r>
      <w:r w:rsidR="00045A5E" w:rsidRPr="00223ED4">
        <w:rPr>
          <w:rFonts w:ascii="Arial" w:hAnsi="Arial" w:cs="Arial"/>
          <w:sz w:val="24"/>
        </w:rPr>
        <w:t xml:space="preserve"> and the DPAs` independence.</w:t>
      </w:r>
      <w:r w:rsidR="00045A5E" w:rsidRPr="00223ED4">
        <w:rPr>
          <w:rFonts w:ascii="Arial" w:hAnsi="Arial" w:cs="Arial"/>
          <w:sz w:val="24"/>
          <w:vertAlign w:val="superscript"/>
        </w:rPr>
        <w:footnoteReference w:id="29"/>
      </w:r>
      <w:r w:rsidR="00045A5E" w:rsidRPr="00223ED4">
        <w:rPr>
          <w:rFonts w:ascii="Arial" w:hAnsi="Arial" w:cs="Arial"/>
          <w:sz w:val="24"/>
        </w:rPr>
        <w:t xml:space="preserve"> Here</w:t>
      </w:r>
      <w:r w:rsidR="009B22C6" w:rsidRPr="00223ED4">
        <w:rPr>
          <w:rFonts w:ascii="Arial" w:hAnsi="Arial" w:cs="Arial"/>
          <w:sz w:val="24"/>
        </w:rPr>
        <w:t>,</w:t>
      </w:r>
      <w:r w:rsidR="00045A5E" w:rsidRPr="00223ED4">
        <w:rPr>
          <w:rFonts w:ascii="Arial" w:hAnsi="Arial" w:cs="Arial"/>
          <w:sz w:val="24"/>
        </w:rPr>
        <w:t xml:space="preserve"> the regulation of personal data is understood in static terms as flowing from one direction only, namely, from the </w:t>
      </w:r>
      <w:r w:rsidR="000E5DC7" w:rsidRPr="00223ED4">
        <w:rPr>
          <w:rFonts w:ascii="Arial" w:hAnsi="Arial" w:cs="Arial"/>
          <w:sz w:val="24"/>
        </w:rPr>
        <w:t xml:space="preserve">EU </w:t>
      </w:r>
      <w:r w:rsidR="00045A5E" w:rsidRPr="00223ED4">
        <w:rPr>
          <w:rFonts w:ascii="Arial" w:hAnsi="Arial" w:cs="Arial"/>
          <w:sz w:val="24"/>
        </w:rPr>
        <w:t xml:space="preserve">DPA to the data controller. </w:t>
      </w:r>
      <w:r w:rsidR="009C746C" w:rsidRPr="00223ED4">
        <w:rPr>
          <w:rFonts w:ascii="Arial" w:hAnsi="Arial" w:cs="Arial"/>
          <w:sz w:val="24"/>
        </w:rPr>
        <w:t>S</w:t>
      </w:r>
      <w:r w:rsidR="00045A5E" w:rsidRPr="00223ED4">
        <w:rPr>
          <w:rFonts w:ascii="Arial" w:hAnsi="Arial" w:cs="Arial"/>
          <w:sz w:val="24"/>
        </w:rPr>
        <w:t>uch approaches</w:t>
      </w:r>
      <w:r w:rsidR="00485237">
        <w:rPr>
          <w:rFonts w:ascii="Arial" w:hAnsi="Arial" w:cs="Arial"/>
          <w:sz w:val="24"/>
        </w:rPr>
        <w:t xml:space="preserve"> are invariably state-oriented</w:t>
      </w:r>
      <w:r w:rsidR="00045A5E" w:rsidRPr="00223ED4">
        <w:rPr>
          <w:rFonts w:ascii="Arial" w:hAnsi="Arial" w:cs="Arial"/>
          <w:sz w:val="24"/>
        </w:rPr>
        <w:t xml:space="preserve"> and leave out s</w:t>
      </w:r>
      <w:r w:rsidR="009C746C" w:rsidRPr="00223ED4">
        <w:rPr>
          <w:rFonts w:ascii="Arial" w:hAnsi="Arial" w:cs="Arial"/>
          <w:sz w:val="24"/>
        </w:rPr>
        <w:t xml:space="preserve">ignificant empirical realities (e.g. </w:t>
      </w:r>
      <w:r w:rsidR="00045A5E" w:rsidRPr="00223ED4">
        <w:rPr>
          <w:rFonts w:ascii="Arial" w:hAnsi="Arial" w:cs="Arial"/>
          <w:sz w:val="24"/>
        </w:rPr>
        <w:t>how data controllers can resist the attempts of DPAs to regulate their activities and how such resistance can be overcome</w:t>
      </w:r>
      <w:r w:rsidR="009C746C" w:rsidRPr="00223ED4">
        <w:rPr>
          <w:rFonts w:ascii="Arial" w:hAnsi="Arial" w:cs="Arial"/>
          <w:sz w:val="24"/>
        </w:rPr>
        <w:t>)</w:t>
      </w:r>
      <w:r w:rsidR="00045A5E" w:rsidRPr="00223ED4">
        <w:rPr>
          <w:rFonts w:ascii="Arial" w:hAnsi="Arial" w:cs="Arial"/>
          <w:sz w:val="24"/>
        </w:rPr>
        <w:t>.</w:t>
      </w:r>
      <w:r w:rsidR="000E5DC7" w:rsidRPr="00223ED4">
        <w:rPr>
          <w:rFonts w:ascii="Arial" w:hAnsi="Arial" w:cs="Arial"/>
          <w:sz w:val="24"/>
        </w:rPr>
        <w:t xml:space="preserve"> </w:t>
      </w:r>
    </w:p>
    <w:p w14:paraId="686C30F2" w14:textId="0B4489EE" w:rsidR="00F90AEE" w:rsidRPr="00223ED4" w:rsidRDefault="00045A5E" w:rsidP="00A01211">
      <w:pPr>
        <w:spacing w:before="100" w:beforeAutospacing="1" w:after="100" w:afterAutospacing="1" w:line="360" w:lineRule="auto"/>
        <w:ind w:firstLine="851"/>
        <w:jc w:val="both"/>
        <w:rPr>
          <w:rFonts w:ascii="Arial" w:hAnsi="Arial" w:cs="Arial"/>
          <w:sz w:val="24"/>
        </w:rPr>
      </w:pPr>
      <w:r w:rsidRPr="00223ED4">
        <w:rPr>
          <w:rFonts w:ascii="Arial" w:hAnsi="Arial" w:cs="Arial"/>
          <w:sz w:val="24"/>
        </w:rPr>
        <w:lastRenderedPageBreak/>
        <w:t>Recently, some scholars have argued that in order to fully understand the regulation of personal data, one should avoid a ‘tools-only’ perspe</w:t>
      </w:r>
      <w:r w:rsidR="00485237">
        <w:rPr>
          <w:rFonts w:ascii="Arial" w:hAnsi="Arial" w:cs="Arial"/>
          <w:sz w:val="24"/>
        </w:rPr>
        <w:t xml:space="preserve">ctive </w:t>
      </w:r>
      <w:r w:rsidRPr="00223ED4">
        <w:rPr>
          <w:rFonts w:ascii="Arial" w:hAnsi="Arial" w:cs="Arial"/>
          <w:sz w:val="24"/>
        </w:rPr>
        <w:t>which can be limited as it focuses solely on the regulatory tool in question without considering how multiple actors interact with each other and such tools in context.</w:t>
      </w:r>
      <w:r w:rsidRPr="00223ED4">
        <w:rPr>
          <w:rFonts w:ascii="Arial" w:eastAsia="Calibri" w:hAnsi="Arial" w:cs="Arial"/>
          <w:vertAlign w:val="superscript"/>
        </w:rPr>
        <w:footnoteReference w:id="30"/>
      </w:r>
      <w:r w:rsidRPr="00223ED4">
        <w:rPr>
          <w:rFonts w:ascii="Arial" w:eastAsia="Calibri" w:hAnsi="Arial" w:cs="Arial"/>
        </w:rPr>
        <w:t xml:space="preserve"> </w:t>
      </w:r>
      <w:r w:rsidRPr="00223ED4">
        <w:rPr>
          <w:rFonts w:ascii="Arial" w:hAnsi="Arial" w:cs="Arial"/>
          <w:sz w:val="24"/>
        </w:rPr>
        <w:t xml:space="preserve"> Such</w:t>
      </w:r>
      <w:r w:rsidR="008176E3" w:rsidRPr="00223ED4">
        <w:rPr>
          <w:rFonts w:ascii="Arial" w:hAnsi="Arial" w:cs="Arial"/>
          <w:sz w:val="24"/>
        </w:rPr>
        <w:t xml:space="preserve"> </w:t>
      </w:r>
      <w:r w:rsidRPr="00223ED4">
        <w:rPr>
          <w:rFonts w:ascii="Arial" w:hAnsi="Arial" w:cs="Arial"/>
          <w:sz w:val="24"/>
        </w:rPr>
        <w:t xml:space="preserve">approaches </w:t>
      </w:r>
      <w:r w:rsidR="00A01211" w:rsidRPr="00223ED4">
        <w:rPr>
          <w:rFonts w:ascii="Arial" w:hAnsi="Arial" w:cs="Arial"/>
          <w:sz w:val="24"/>
        </w:rPr>
        <w:t>focus</w:t>
      </w:r>
      <w:r w:rsidRPr="00223ED4">
        <w:rPr>
          <w:rFonts w:ascii="Arial" w:hAnsi="Arial" w:cs="Arial"/>
          <w:sz w:val="24"/>
        </w:rPr>
        <w:t xml:space="preserve"> on the broader, multifaceted, and non-normative roles played by DPAs.</w:t>
      </w:r>
      <w:r w:rsidRPr="00223ED4">
        <w:rPr>
          <w:rFonts w:ascii="Arial" w:hAnsi="Arial" w:cs="Arial"/>
          <w:sz w:val="24"/>
          <w:vertAlign w:val="superscript"/>
        </w:rPr>
        <w:footnoteReference w:id="31"/>
      </w:r>
      <w:r w:rsidR="00B67F0D" w:rsidRPr="00223ED4">
        <w:rPr>
          <w:rFonts w:ascii="Arial" w:hAnsi="Arial" w:cs="Arial"/>
          <w:sz w:val="24"/>
        </w:rPr>
        <w:t xml:space="preserve"> </w:t>
      </w:r>
      <w:r w:rsidR="00A01211" w:rsidRPr="00223ED4">
        <w:rPr>
          <w:rFonts w:ascii="Arial" w:hAnsi="Arial" w:cs="Arial"/>
          <w:sz w:val="24"/>
        </w:rPr>
        <w:t xml:space="preserve">In line with such approaches, in this chapter, </w:t>
      </w:r>
      <w:r w:rsidR="00C539A9" w:rsidRPr="00223ED4">
        <w:rPr>
          <w:rFonts w:ascii="Arial" w:hAnsi="Arial" w:cs="Arial"/>
          <w:sz w:val="24"/>
        </w:rPr>
        <w:t>I adopt a ‘tools’ in context approach when</w:t>
      </w:r>
      <w:r w:rsidR="00A01211" w:rsidRPr="00223ED4">
        <w:rPr>
          <w:rFonts w:ascii="Arial" w:hAnsi="Arial" w:cs="Arial"/>
          <w:sz w:val="24"/>
        </w:rPr>
        <w:t xml:space="preserve"> analysing Cloud Investigations</w:t>
      </w:r>
      <w:r w:rsidR="00935C7A" w:rsidRPr="00223ED4">
        <w:rPr>
          <w:rFonts w:ascii="Arial" w:hAnsi="Arial" w:cs="Arial"/>
          <w:sz w:val="24"/>
        </w:rPr>
        <w:t xml:space="preserve">. </w:t>
      </w:r>
      <w:r w:rsidR="00A01211" w:rsidRPr="00223ED4">
        <w:rPr>
          <w:rFonts w:ascii="Arial" w:hAnsi="Arial" w:cs="Arial"/>
          <w:sz w:val="24"/>
        </w:rPr>
        <w:t xml:space="preserve">I draw on specific regulatory concepts, such as regulatory capacities, regulatory enforcement </w:t>
      </w:r>
      <w:r w:rsidR="004C4D8A" w:rsidRPr="00223ED4">
        <w:rPr>
          <w:rFonts w:ascii="Arial" w:hAnsi="Arial" w:cs="Arial"/>
          <w:sz w:val="24"/>
        </w:rPr>
        <w:t xml:space="preserve">styles and compliance attitudes, </w:t>
      </w:r>
      <w:r w:rsidR="00C539A9" w:rsidRPr="00223ED4">
        <w:rPr>
          <w:rFonts w:ascii="Arial" w:hAnsi="Arial" w:cs="Arial"/>
          <w:sz w:val="24"/>
        </w:rPr>
        <w:t xml:space="preserve">to </w:t>
      </w:r>
      <w:r w:rsidR="00485237">
        <w:rPr>
          <w:rFonts w:ascii="Arial" w:hAnsi="Arial" w:cs="Arial"/>
          <w:sz w:val="24"/>
        </w:rPr>
        <w:t>analyse</w:t>
      </w:r>
      <w:r w:rsidR="00C539A9" w:rsidRPr="00223ED4">
        <w:rPr>
          <w:rFonts w:ascii="Arial" w:hAnsi="Arial" w:cs="Arial"/>
          <w:sz w:val="24"/>
        </w:rPr>
        <w:t xml:space="preserve"> Cloud Investigations in context</w:t>
      </w:r>
      <w:r w:rsidR="00A01211" w:rsidRPr="00223ED4">
        <w:rPr>
          <w:rFonts w:ascii="Arial" w:hAnsi="Arial" w:cs="Arial"/>
          <w:sz w:val="24"/>
        </w:rPr>
        <w:t xml:space="preserve">. </w:t>
      </w:r>
      <w:r w:rsidR="00C539A9" w:rsidRPr="00223ED4">
        <w:rPr>
          <w:rFonts w:ascii="Arial" w:hAnsi="Arial" w:cs="Arial"/>
          <w:sz w:val="24"/>
        </w:rPr>
        <w:t xml:space="preserve">Although these are well-established concepts in the field of regulation, they have </w:t>
      </w:r>
      <w:r w:rsidR="0087467F" w:rsidRPr="00223ED4">
        <w:rPr>
          <w:rFonts w:ascii="Arial" w:hAnsi="Arial" w:cs="Arial"/>
          <w:sz w:val="24"/>
        </w:rPr>
        <w:t xml:space="preserve">not </w:t>
      </w:r>
      <w:r w:rsidR="00C539A9" w:rsidRPr="00223ED4">
        <w:rPr>
          <w:rFonts w:ascii="Arial" w:hAnsi="Arial" w:cs="Arial"/>
          <w:sz w:val="24"/>
        </w:rPr>
        <w:t>been frequently</w:t>
      </w:r>
      <w:r w:rsidR="009C746C" w:rsidRPr="00223ED4">
        <w:rPr>
          <w:rFonts w:ascii="Arial" w:hAnsi="Arial" w:cs="Arial"/>
          <w:sz w:val="24"/>
        </w:rPr>
        <w:t xml:space="preserve"> used in</w:t>
      </w:r>
      <w:r w:rsidR="004C4D8A" w:rsidRPr="00223ED4">
        <w:rPr>
          <w:rFonts w:ascii="Arial" w:hAnsi="Arial" w:cs="Arial"/>
          <w:sz w:val="24"/>
        </w:rPr>
        <w:t xml:space="preserve"> the</w:t>
      </w:r>
      <w:r w:rsidR="009C746C" w:rsidRPr="00223ED4">
        <w:rPr>
          <w:rFonts w:ascii="Arial" w:hAnsi="Arial" w:cs="Arial"/>
          <w:sz w:val="24"/>
        </w:rPr>
        <w:t xml:space="preserve"> </w:t>
      </w:r>
      <w:r w:rsidR="005D5B18" w:rsidRPr="00223ED4">
        <w:rPr>
          <w:rFonts w:ascii="Arial" w:hAnsi="Arial" w:cs="Arial"/>
          <w:sz w:val="24"/>
        </w:rPr>
        <w:t>data protection field</w:t>
      </w:r>
      <w:r w:rsidR="009C746C" w:rsidRPr="00223ED4">
        <w:rPr>
          <w:rFonts w:ascii="Arial" w:hAnsi="Arial" w:cs="Arial"/>
          <w:sz w:val="24"/>
        </w:rPr>
        <w:t xml:space="preserve"> </w:t>
      </w:r>
      <w:r w:rsidR="00C539A9" w:rsidRPr="00223ED4">
        <w:rPr>
          <w:rFonts w:ascii="Arial" w:hAnsi="Arial" w:cs="Arial"/>
          <w:sz w:val="24"/>
        </w:rPr>
        <w:t>to analyse how specific regulatory tools operate in practice.</w:t>
      </w:r>
      <w:r w:rsidR="004C4759" w:rsidRPr="00223ED4">
        <w:rPr>
          <w:rStyle w:val="FootnoteReference"/>
          <w:rFonts w:ascii="Arial" w:hAnsi="Arial" w:cs="Arial"/>
          <w:sz w:val="24"/>
        </w:rPr>
        <w:footnoteReference w:id="32"/>
      </w:r>
      <w:r w:rsidR="00F10719" w:rsidRPr="00223ED4">
        <w:rPr>
          <w:rFonts w:ascii="Arial" w:hAnsi="Arial" w:cs="Arial"/>
          <w:sz w:val="24"/>
        </w:rPr>
        <w:t xml:space="preserve"> Turning away from </w:t>
      </w:r>
      <w:r w:rsidR="00F10719" w:rsidRPr="00223ED4">
        <w:rPr>
          <w:rFonts w:ascii="Arial" w:hAnsi="Arial" w:cs="Arial"/>
          <w:sz w:val="24"/>
        </w:rPr>
        <w:lastRenderedPageBreak/>
        <w:t>analysing Cloud Investigations simply as part of the ‘r</w:t>
      </w:r>
      <w:r w:rsidR="00935C7A" w:rsidRPr="00223ED4">
        <w:rPr>
          <w:rFonts w:ascii="Arial" w:hAnsi="Arial" w:cs="Arial"/>
          <w:sz w:val="24"/>
        </w:rPr>
        <w:t>egulatory toolkit’ deployed by</w:t>
      </w:r>
      <w:r w:rsidR="00F10719" w:rsidRPr="00223ED4">
        <w:rPr>
          <w:rFonts w:ascii="Arial" w:hAnsi="Arial" w:cs="Arial"/>
          <w:sz w:val="24"/>
        </w:rPr>
        <w:t xml:space="preserve"> EU DPA</w:t>
      </w:r>
      <w:r w:rsidR="00935C7A" w:rsidRPr="00223ED4">
        <w:rPr>
          <w:rFonts w:ascii="Arial" w:hAnsi="Arial" w:cs="Arial"/>
          <w:sz w:val="24"/>
        </w:rPr>
        <w:t>s</w:t>
      </w:r>
      <w:r w:rsidR="00F10719" w:rsidRPr="00223ED4">
        <w:rPr>
          <w:rFonts w:ascii="Arial" w:hAnsi="Arial" w:cs="Arial"/>
          <w:sz w:val="24"/>
        </w:rPr>
        <w:t xml:space="preserve"> to control Cloud Providers, means embracing a view of regulation as involving multiple, rather than one central, regulatory actors; diverse practices; </w:t>
      </w:r>
      <w:r w:rsidR="009C746C" w:rsidRPr="00223ED4">
        <w:rPr>
          <w:rFonts w:ascii="Arial" w:hAnsi="Arial" w:cs="Arial"/>
          <w:sz w:val="24"/>
        </w:rPr>
        <w:t xml:space="preserve">and </w:t>
      </w:r>
      <w:r w:rsidR="00F10719" w:rsidRPr="00223ED4">
        <w:rPr>
          <w:rFonts w:ascii="Arial" w:hAnsi="Arial" w:cs="Arial"/>
          <w:sz w:val="24"/>
        </w:rPr>
        <w:t xml:space="preserve">context-specific relationships between regulatory actors. </w:t>
      </w:r>
      <w:r w:rsidR="00F90AEE" w:rsidRPr="00223ED4">
        <w:rPr>
          <w:rFonts w:ascii="Arial" w:hAnsi="Arial" w:cs="Arial"/>
          <w:sz w:val="24"/>
        </w:rPr>
        <w:t>How can concepts</w:t>
      </w:r>
      <w:r w:rsidR="005D5B18" w:rsidRPr="00223ED4">
        <w:rPr>
          <w:rFonts w:ascii="Arial" w:hAnsi="Arial" w:cs="Arial"/>
          <w:sz w:val="24"/>
        </w:rPr>
        <w:t>,</w:t>
      </w:r>
      <w:r w:rsidR="00F90AEE" w:rsidRPr="00223ED4">
        <w:rPr>
          <w:rFonts w:ascii="Arial" w:hAnsi="Arial" w:cs="Arial"/>
          <w:sz w:val="24"/>
        </w:rPr>
        <w:t xml:space="preserve"> such as regulatory capacities, regulatory enforcement styles and compliance attitudes</w:t>
      </w:r>
      <w:r w:rsidR="005D5B18" w:rsidRPr="00223ED4">
        <w:rPr>
          <w:rFonts w:ascii="Arial" w:hAnsi="Arial" w:cs="Arial"/>
          <w:sz w:val="24"/>
        </w:rPr>
        <w:t>,</w:t>
      </w:r>
      <w:r w:rsidR="00F90AEE" w:rsidRPr="00223ED4">
        <w:rPr>
          <w:rFonts w:ascii="Arial" w:hAnsi="Arial" w:cs="Arial"/>
          <w:sz w:val="24"/>
        </w:rPr>
        <w:t xml:space="preserve"> help us make sense of </w:t>
      </w:r>
      <w:r w:rsidR="005D5B18" w:rsidRPr="00223ED4">
        <w:rPr>
          <w:rFonts w:ascii="Arial" w:hAnsi="Arial" w:cs="Arial"/>
          <w:sz w:val="24"/>
        </w:rPr>
        <w:t xml:space="preserve">such </w:t>
      </w:r>
      <w:r w:rsidR="00F90AEE" w:rsidRPr="00223ED4">
        <w:rPr>
          <w:rFonts w:ascii="Arial" w:hAnsi="Arial" w:cs="Arial"/>
          <w:sz w:val="24"/>
        </w:rPr>
        <w:t xml:space="preserve">dynamic interdependencies? I briefly explore this question next. </w:t>
      </w:r>
    </w:p>
    <w:p w14:paraId="0D5CDBDE" w14:textId="535A58ED" w:rsidR="00935C7A" w:rsidRPr="00223ED4" w:rsidRDefault="00F10719" w:rsidP="00935C7A">
      <w:pPr>
        <w:spacing w:before="100" w:beforeAutospacing="1" w:after="100" w:afterAutospacing="1" w:line="360" w:lineRule="auto"/>
        <w:ind w:firstLine="851"/>
        <w:jc w:val="both"/>
        <w:rPr>
          <w:rFonts w:ascii="Arial" w:hAnsi="Arial" w:cs="Arial"/>
          <w:sz w:val="24"/>
        </w:rPr>
      </w:pPr>
      <w:r w:rsidRPr="00223ED4">
        <w:rPr>
          <w:rFonts w:ascii="Arial" w:hAnsi="Arial" w:cs="Arial"/>
          <w:sz w:val="24"/>
        </w:rPr>
        <w:t>R</w:t>
      </w:r>
      <w:r w:rsidR="000730E8" w:rsidRPr="00223ED4">
        <w:rPr>
          <w:rFonts w:ascii="Arial" w:hAnsi="Arial" w:cs="Arial"/>
          <w:sz w:val="24"/>
        </w:rPr>
        <w:t xml:space="preserve">egulatory </w:t>
      </w:r>
      <w:r w:rsidR="00935C7A" w:rsidRPr="00223ED4">
        <w:rPr>
          <w:rFonts w:ascii="Arial" w:hAnsi="Arial" w:cs="Arial"/>
          <w:sz w:val="24"/>
        </w:rPr>
        <w:t>capacities refer to the capacities</w:t>
      </w:r>
      <w:r w:rsidR="000730E8" w:rsidRPr="00223ED4">
        <w:rPr>
          <w:rFonts w:ascii="Arial" w:hAnsi="Arial" w:cs="Arial"/>
          <w:sz w:val="24"/>
        </w:rPr>
        <w:t xml:space="preserve"> of EU DPAs to regulate personal data by performing various regulatory functions (e.g. investigate a Cloud Provider</w:t>
      </w:r>
      <w:r w:rsidR="00B15D7F">
        <w:rPr>
          <w:rFonts w:ascii="Arial" w:hAnsi="Arial" w:cs="Arial"/>
          <w:sz w:val="24"/>
        </w:rPr>
        <w:t xml:space="preserve"> in specific circumstances</w:t>
      </w:r>
      <w:r w:rsidR="0087467F" w:rsidRPr="00223ED4">
        <w:rPr>
          <w:rFonts w:ascii="Arial" w:hAnsi="Arial" w:cs="Arial"/>
          <w:sz w:val="24"/>
        </w:rPr>
        <w:t xml:space="preserve">). Regulatory capacity is a complex notion which depends on several factors including </w:t>
      </w:r>
      <w:r w:rsidR="00CE592E">
        <w:rPr>
          <w:rFonts w:ascii="Arial" w:hAnsi="Arial" w:cs="Arial"/>
          <w:sz w:val="24"/>
        </w:rPr>
        <w:t xml:space="preserve">the </w:t>
      </w:r>
      <w:r w:rsidR="0087467F" w:rsidRPr="00223ED4">
        <w:rPr>
          <w:rFonts w:ascii="Arial" w:hAnsi="Arial" w:cs="Arial"/>
          <w:sz w:val="24"/>
        </w:rPr>
        <w:t>relevant legislative frameworks which endow EU DPAs with specific powers, and multiple resources such as expertise, financial</w:t>
      </w:r>
      <w:r w:rsidR="00CD00DF" w:rsidRPr="00223ED4">
        <w:rPr>
          <w:rFonts w:ascii="Arial" w:hAnsi="Arial" w:cs="Arial"/>
          <w:sz w:val="24"/>
        </w:rPr>
        <w:t xml:space="preserve">, </w:t>
      </w:r>
      <w:r w:rsidR="0087467F" w:rsidRPr="00223ED4">
        <w:rPr>
          <w:rFonts w:ascii="Arial" w:hAnsi="Arial" w:cs="Arial"/>
          <w:sz w:val="24"/>
        </w:rPr>
        <w:t>and information.</w:t>
      </w:r>
      <w:r w:rsidR="009D5044" w:rsidRPr="00223ED4">
        <w:rPr>
          <w:rStyle w:val="FootnoteReference"/>
          <w:rFonts w:ascii="Arial" w:hAnsi="Arial" w:cs="Arial"/>
          <w:sz w:val="24"/>
        </w:rPr>
        <w:footnoteReference w:id="33"/>
      </w:r>
      <w:r w:rsidR="0087467F" w:rsidRPr="00223ED4">
        <w:rPr>
          <w:rFonts w:ascii="Arial" w:hAnsi="Arial" w:cs="Arial"/>
          <w:sz w:val="24"/>
        </w:rPr>
        <w:t xml:space="preserve"> </w:t>
      </w:r>
      <w:r w:rsidR="009D5044" w:rsidRPr="00223ED4">
        <w:rPr>
          <w:rFonts w:ascii="Arial" w:hAnsi="Arial" w:cs="Arial"/>
          <w:sz w:val="24"/>
        </w:rPr>
        <w:t xml:space="preserve">Such resources are not state-centric </w:t>
      </w:r>
      <w:r w:rsidR="00935C7A" w:rsidRPr="00223ED4">
        <w:rPr>
          <w:rFonts w:ascii="Arial" w:hAnsi="Arial" w:cs="Arial"/>
          <w:sz w:val="24"/>
        </w:rPr>
        <w:t>as</w:t>
      </w:r>
      <w:r w:rsidR="009D5044" w:rsidRPr="00223ED4">
        <w:rPr>
          <w:rFonts w:ascii="Arial" w:hAnsi="Arial" w:cs="Arial"/>
          <w:sz w:val="24"/>
        </w:rPr>
        <w:t xml:space="preserve"> they can often involve multiple actors. For example, during some Cloud Investigations, information about the specific technical operations of an investigated Cloud Provider can be collected by various actors, such as</w:t>
      </w:r>
      <w:r w:rsidR="00935C7A" w:rsidRPr="00223ED4">
        <w:rPr>
          <w:rFonts w:ascii="Arial" w:hAnsi="Arial" w:cs="Arial"/>
          <w:sz w:val="24"/>
        </w:rPr>
        <w:t xml:space="preserve"> the</w:t>
      </w:r>
      <w:r w:rsidR="009D5044" w:rsidRPr="00223ED4">
        <w:rPr>
          <w:rFonts w:ascii="Arial" w:hAnsi="Arial" w:cs="Arial"/>
          <w:sz w:val="24"/>
        </w:rPr>
        <w:t xml:space="preserve"> technical consultants employed and financed by EU </w:t>
      </w:r>
      <w:r w:rsidR="009D5044" w:rsidRPr="00223ED4">
        <w:rPr>
          <w:rFonts w:ascii="Arial" w:hAnsi="Arial" w:cs="Arial"/>
          <w:sz w:val="24"/>
        </w:rPr>
        <w:lastRenderedPageBreak/>
        <w:t>DPAs, and sub-contractors which operate under the instructions of the EU DPAs but are financed by the investigated Cloud Provider.</w:t>
      </w:r>
      <w:r w:rsidR="009D5044" w:rsidRPr="00223ED4">
        <w:rPr>
          <w:rStyle w:val="FootnoteReference"/>
          <w:rFonts w:ascii="Arial" w:hAnsi="Arial" w:cs="Arial"/>
          <w:sz w:val="24"/>
        </w:rPr>
        <w:footnoteReference w:id="34"/>
      </w:r>
      <w:r w:rsidR="009D5044" w:rsidRPr="00223ED4">
        <w:rPr>
          <w:rFonts w:ascii="Arial" w:hAnsi="Arial" w:cs="Arial"/>
          <w:sz w:val="24"/>
        </w:rPr>
        <w:t xml:space="preserve"> A</w:t>
      </w:r>
      <w:r w:rsidR="0087467F" w:rsidRPr="00223ED4">
        <w:rPr>
          <w:rFonts w:ascii="Arial" w:hAnsi="Arial" w:cs="Arial"/>
          <w:sz w:val="24"/>
        </w:rPr>
        <w:t>ctors can at times be resources as well.</w:t>
      </w:r>
      <w:r w:rsidR="0087467F" w:rsidRPr="00223ED4">
        <w:rPr>
          <w:rStyle w:val="FootnoteReference"/>
          <w:rFonts w:ascii="Arial" w:hAnsi="Arial" w:cs="Arial"/>
          <w:sz w:val="24"/>
        </w:rPr>
        <w:footnoteReference w:id="35"/>
      </w:r>
      <w:r w:rsidR="0087467F" w:rsidRPr="00223ED4">
        <w:rPr>
          <w:rFonts w:ascii="Arial" w:hAnsi="Arial" w:cs="Arial"/>
          <w:sz w:val="24"/>
        </w:rPr>
        <w:t xml:space="preserve"> For example, the personal contact of one EU DPA with a senior representative of an investigated Cloud Provider can at times </w:t>
      </w:r>
      <w:r w:rsidR="00980D93" w:rsidRPr="00223ED4">
        <w:rPr>
          <w:rFonts w:ascii="Arial" w:hAnsi="Arial" w:cs="Arial"/>
          <w:sz w:val="24"/>
        </w:rPr>
        <w:t xml:space="preserve">be vital in persuading </w:t>
      </w:r>
      <w:r w:rsidR="0087467F" w:rsidRPr="00223ED4">
        <w:rPr>
          <w:rFonts w:ascii="Arial" w:hAnsi="Arial" w:cs="Arial"/>
          <w:sz w:val="24"/>
        </w:rPr>
        <w:t>a recalcitrant Cloud Provider to comply</w:t>
      </w:r>
      <w:r w:rsidR="00935C7A" w:rsidRPr="00223ED4">
        <w:rPr>
          <w:rFonts w:ascii="Arial" w:hAnsi="Arial" w:cs="Arial"/>
          <w:sz w:val="24"/>
        </w:rPr>
        <w:t xml:space="preserve"> with a specific recommendation of the EU DPA during a Cloud Investigation.</w:t>
      </w:r>
      <w:r w:rsidR="0087467F" w:rsidRPr="00223ED4">
        <w:rPr>
          <w:rStyle w:val="FootnoteReference"/>
          <w:rFonts w:ascii="Arial" w:hAnsi="Arial" w:cs="Arial"/>
          <w:sz w:val="24"/>
        </w:rPr>
        <w:footnoteReference w:id="36"/>
      </w:r>
      <w:r w:rsidR="00935C7A" w:rsidRPr="00223ED4">
        <w:rPr>
          <w:rFonts w:ascii="Arial" w:hAnsi="Arial" w:cs="Arial"/>
          <w:sz w:val="24"/>
        </w:rPr>
        <w:t xml:space="preserve"> </w:t>
      </w:r>
      <w:r w:rsidR="00CE592E">
        <w:rPr>
          <w:rFonts w:ascii="Arial" w:hAnsi="Arial" w:cs="Arial"/>
          <w:sz w:val="24"/>
        </w:rPr>
        <w:t xml:space="preserve">As regulatory tools, </w:t>
      </w:r>
      <w:r w:rsidR="00935C7A" w:rsidRPr="00223ED4">
        <w:rPr>
          <w:rFonts w:ascii="Arial" w:hAnsi="Arial" w:cs="Arial"/>
          <w:sz w:val="24"/>
        </w:rPr>
        <w:t xml:space="preserve">Cloud Investigations do not only depend on regulatory capacities but also on regulatory enforcement styles. </w:t>
      </w:r>
      <w:r w:rsidRPr="00223ED4">
        <w:rPr>
          <w:rFonts w:ascii="Arial" w:hAnsi="Arial" w:cs="Arial"/>
          <w:sz w:val="24"/>
        </w:rPr>
        <w:t xml:space="preserve"> </w:t>
      </w:r>
    </w:p>
    <w:p w14:paraId="7FF49C2A" w14:textId="12817564" w:rsidR="00FC7253" w:rsidRPr="00223ED4" w:rsidRDefault="00820D63" w:rsidP="00DD1EFF">
      <w:pPr>
        <w:spacing w:before="100" w:beforeAutospacing="1" w:after="100" w:afterAutospacing="1" w:line="360" w:lineRule="auto"/>
        <w:ind w:firstLine="851"/>
        <w:jc w:val="both"/>
        <w:rPr>
          <w:rFonts w:ascii="Arial" w:eastAsia="Times New Roman" w:hAnsi="Arial" w:cs="Arial"/>
          <w:color w:val="000000"/>
          <w:sz w:val="24"/>
          <w:szCs w:val="19"/>
          <w:lang w:eastAsia="en-GB"/>
        </w:rPr>
      </w:pPr>
      <w:r w:rsidRPr="00223ED4">
        <w:rPr>
          <w:rFonts w:ascii="Arial" w:hAnsi="Arial" w:cs="Arial"/>
          <w:sz w:val="24"/>
        </w:rPr>
        <w:t>Regulatory enforcement styles refer to the style</w:t>
      </w:r>
      <w:r w:rsidR="00935C7A" w:rsidRPr="00223ED4">
        <w:rPr>
          <w:rFonts w:ascii="Arial" w:hAnsi="Arial" w:cs="Arial"/>
          <w:sz w:val="24"/>
        </w:rPr>
        <w:t>s</w:t>
      </w:r>
      <w:r w:rsidRPr="00223ED4">
        <w:rPr>
          <w:rFonts w:ascii="Arial" w:hAnsi="Arial" w:cs="Arial"/>
          <w:sz w:val="24"/>
        </w:rPr>
        <w:t xml:space="preserve"> deployed by </w:t>
      </w:r>
      <w:r w:rsidR="00980D93" w:rsidRPr="00223ED4">
        <w:rPr>
          <w:rFonts w:ascii="Arial" w:hAnsi="Arial" w:cs="Arial"/>
          <w:sz w:val="24"/>
        </w:rPr>
        <w:t xml:space="preserve">EU </w:t>
      </w:r>
      <w:r w:rsidRPr="00223ED4">
        <w:rPr>
          <w:rFonts w:ascii="Arial" w:hAnsi="Arial" w:cs="Arial"/>
          <w:sz w:val="24"/>
        </w:rPr>
        <w:t>DPAs when they exercise their regulatory powers</w:t>
      </w:r>
      <w:r w:rsidR="002511CE" w:rsidRPr="00223ED4">
        <w:rPr>
          <w:rFonts w:ascii="Arial" w:hAnsi="Arial" w:cs="Arial"/>
          <w:sz w:val="24"/>
        </w:rPr>
        <w:t xml:space="preserve"> (e.g. investigative powers) in order to enforce data protection laws</w:t>
      </w:r>
      <w:r w:rsidRPr="00223ED4">
        <w:rPr>
          <w:rFonts w:ascii="Arial" w:hAnsi="Arial" w:cs="Arial"/>
          <w:sz w:val="24"/>
        </w:rPr>
        <w:t>.</w:t>
      </w:r>
      <w:r w:rsidR="002511CE" w:rsidRPr="00223ED4">
        <w:rPr>
          <w:rStyle w:val="FootnoteReference"/>
          <w:rFonts w:ascii="Arial" w:hAnsi="Arial" w:cs="Arial"/>
          <w:sz w:val="24"/>
        </w:rPr>
        <w:footnoteReference w:id="37"/>
      </w:r>
      <w:r w:rsidR="00935C7A" w:rsidRPr="00223ED4">
        <w:rPr>
          <w:rFonts w:ascii="Arial" w:hAnsi="Arial" w:cs="Arial"/>
          <w:sz w:val="24"/>
        </w:rPr>
        <w:t xml:space="preserve"> </w:t>
      </w:r>
      <w:r w:rsidR="00606D71" w:rsidRPr="00223ED4">
        <w:rPr>
          <w:rFonts w:ascii="Arial" w:hAnsi="Arial" w:cs="Arial"/>
          <w:sz w:val="24"/>
        </w:rPr>
        <w:t xml:space="preserve">In other words, how do EU DPAs interact with </w:t>
      </w:r>
      <w:r w:rsidR="00935C7A" w:rsidRPr="00223ED4">
        <w:rPr>
          <w:rFonts w:ascii="Arial" w:hAnsi="Arial" w:cs="Arial"/>
          <w:sz w:val="24"/>
        </w:rPr>
        <w:t xml:space="preserve">the </w:t>
      </w:r>
      <w:r w:rsidR="00606D71" w:rsidRPr="00223ED4">
        <w:rPr>
          <w:rFonts w:ascii="Arial" w:hAnsi="Arial" w:cs="Arial"/>
          <w:sz w:val="24"/>
        </w:rPr>
        <w:t xml:space="preserve">Cloud Providers during Cloud Investigations in order to </w:t>
      </w:r>
      <w:r w:rsidR="00CF56E7">
        <w:rPr>
          <w:rFonts w:ascii="Arial" w:hAnsi="Arial" w:cs="Arial"/>
          <w:sz w:val="24"/>
        </w:rPr>
        <w:t>secure</w:t>
      </w:r>
      <w:r w:rsidR="00606D71" w:rsidRPr="00223ED4">
        <w:rPr>
          <w:rFonts w:ascii="Arial" w:hAnsi="Arial" w:cs="Arial"/>
          <w:sz w:val="24"/>
        </w:rPr>
        <w:t xml:space="preserve"> compliance with the </w:t>
      </w:r>
      <w:r w:rsidR="00843DA1">
        <w:rPr>
          <w:rFonts w:ascii="Arial" w:hAnsi="Arial" w:cs="Arial"/>
          <w:sz w:val="24"/>
        </w:rPr>
        <w:t>relevant laws</w:t>
      </w:r>
      <w:r w:rsidR="00606D71" w:rsidRPr="00223ED4">
        <w:rPr>
          <w:rFonts w:ascii="Arial" w:hAnsi="Arial" w:cs="Arial"/>
          <w:sz w:val="24"/>
        </w:rPr>
        <w:t xml:space="preserve">? </w:t>
      </w:r>
      <w:r w:rsidRPr="00223ED4">
        <w:rPr>
          <w:rFonts w:ascii="Arial" w:hAnsi="Arial" w:cs="Arial"/>
          <w:sz w:val="24"/>
        </w:rPr>
        <w:t xml:space="preserve"> </w:t>
      </w:r>
      <w:r w:rsidR="00C63C5F" w:rsidRPr="00223ED4">
        <w:rPr>
          <w:rFonts w:ascii="Arial" w:hAnsi="Arial" w:cs="Arial"/>
          <w:sz w:val="24"/>
        </w:rPr>
        <w:t>R</w:t>
      </w:r>
      <w:r w:rsidR="00606D71" w:rsidRPr="00223ED4">
        <w:rPr>
          <w:rFonts w:ascii="Arial" w:hAnsi="Arial" w:cs="Arial"/>
          <w:sz w:val="24"/>
        </w:rPr>
        <w:t xml:space="preserve">egulatory enforcement </w:t>
      </w:r>
      <w:r w:rsidR="00606D71" w:rsidRPr="00223ED4">
        <w:rPr>
          <w:rFonts w:ascii="Arial" w:hAnsi="Arial" w:cs="Arial"/>
          <w:sz w:val="24"/>
        </w:rPr>
        <w:lastRenderedPageBreak/>
        <w:t xml:space="preserve">style is useful to shed light on </w:t>
      </w:r>
      <w:r w:rsidR="00CD00DF" w:rsidRPr="00223ED4">
        <w:rPr>
          <w:rFonts w:ascii="Arial" w:hAnsi="Arial"/>
          <w:sz w:val="24"/>
        </w:rPr>
        <w:t xml:space="preserve">how </w:t>
      </w:r>
      <w:r w:rsidR="00606D71" w:rsidRPr="00223ED4">
        <w:rPr>
          <w:rFonts w:ascii="Arial" w:hAnsi="Arial"/>
          <w:sz w:val="24"/>
        </w:rPr>
        <w:t>statute-derived</w:t>
      </w:r>
      <w:r w:rsidR="00606D71" w:rsidRPr="00223ED4">
        <w:rPr>
          <w:rFonts w:ascii="Arial" w:hAnsi="Arial" w:cs="Arial"/>
          <w:sz w:val="24"/>
        </w:rPr>
        <w:t xml:space="preserve"> agencies, such as EU DPAs, enforce laws.</w:t>
      </w:r>
      <w:r w:rsidR="00606D71" w:rsidRPr="00223ED4">
        <w:rPr>
          <w:rStyle w:val="FootnoteReference"/>
          <w:rFonts w:ascii="Arial" w:hAnsi="Arial" w:cs="Arial"/>
          <w:sz w:val="24"/>
        </w:rPr>
        <w:footnoteReference w:id="38"/>
      </w:r>
      <w:r w:rsidR="00606D71" w:rsidRPr="00223ED4">
        <w:rPr>
          <w:rFonts w:ascii="Arial" w:hAnsi="Arial" w:cs="Arial"/>
          <w:sz w:val="24"/>
        </w:rPr>
        <w:t xml:space="preserve"> </w:t>
      </w:r>
      <w:r w:rsidR="00935C7A" w:rsidRPr="00223ED4">
        <w:rPr>
          <w:rFonts w:ascii="Arial" w:hAnsi="Arial" w:cs="Arial"/>
          <w:sz w:val="24"/>
        </w:rPr>
        <w:t>Earlier</w:t>
      </w:r>
      <w:r w:rsidR="00980D93" w:rsidRPr="00223ED4">
        <w:rPr>
          <w:rFonts w:ascii="Arial" w:hAnsi="Arial" w:cs="Arial"/>
          <w:sz w:val="24"/>
        </w:rPr>
        <w:t xml:space="preserve"> </w:t>
      </w:r>
      <w:r w:rsidR="00FC7253" w:rsidRPr="00223ED4">
        <w:rPr>
          <w:rFonts w:ascii="Arial" w:hAnsi="Arial" w:cs="Arial"/>
          <w:sz w:val="24"/>
        </w:rPr>
        <w:t>re</w:t>
      </w:r>
      <w:r w:rsidR="00935C7A" w:rsidRPr="00223ED4">
        <w:rPr>
          <w:rFonts w:ascii="Arial" w:hAnsi="Arial" w:cs="Arial"/>
          <w:sz w:val="24"/>
        </w:rPr>
        <w:t xml:space="preserve">gulatory literature has conceptualised </w:t>
      </w:r>
      <w:r w:rsidR="002B5FBE" w:rsidRPr="00223ED4">
        <w:rPr>
          <w:rFonts w:ascii="Arial" w:hAnsi="Arial" w:cs="Arial"/>
          <w:sz w:val="24"/>
        </w:rPr>
        <w:t>regulatory enforcement styles as belonging to two polar opposites, namely, a ‘punish’ confrontational style where the regulator`s main objectives are to detect and sanction violations</w:t>
      </w:r>
      <w:r w:rsidR="002B5FBE" w:rsidRPr="00223ED4">
        <w:rPr>
          <w:rStyle w:val="FootnoteReference"/>
          <w:rFonts w:ascii="Arial" w:hAnsi="Arial" w:cs="Arial"/>
          <w:sz w:val="24"/>
        </w:rPr>
        <w:footnoteReference w:id="39"/>
      </w:r>
      <w:r w:rsidR="002B5FBE" w:rsidRPr="00223ED4">
        <w:rPr>
          <w:rFonts w:ascii="Arial" w:hAnsi="Arial" w:cs="Arial"/>
          <w:sz w:val="24"/>
        </w:rPr>
        <w:t xml:space="preserve"> and an ‘advise and persuade’ co-operative enforcement style where the regulator seeks to prevent specific breaches rather than sanction the regulatee for such breaches.</w:t>
      </w:r>
      <w:r w:rsidR="00935C7A" w:rsidRPr="00223ED4">
        <w:rPr>
          <w:rStyle w:val="FootnoteReference"/>
          <w:rFonts w:ascii="Arial" w:hAnsi="Arial" w:cs="Arial"/>
          <w:sz w:val="24"/>
        </w:rPr>
        <w:footnoteReference w:id="40"/>
      </w:r>
      <w:r w:rsidR="002B5FBE" w:rsidRPr="00223ED4">
        <w:rPr>
          <w:rFonts w:ascii="Arial" w:hAnsi="Arial" w:cs="Arial"/>
          <w:sz w:val="24"/>
        </w:rPr>
        <w:t xml:space="preserve"> Here, recourse to specific legal sanctions is seen as the last resort as regulator</w:t>
      </w:r>
      <w:r w:rsidR="00C63C5F" w:rsidRPr="00223ED4">
        <w:rPr>
          <w:rFonts w:ascii="Arial" w:hAnsi="Arial" w:cs="Arial"/>
          <w:sz w:val="24"/>
        </w:rPr>
        <w:t>s aim to secure compliance with law</w:t>
      </w:r>
      <w:r w:rsidR="002B5FBE" w:rsidRPr="00223ED4">
        <w:rPr>
          <w:rFonts w:ascii="Arial" w:hAnsi="Arial" w:cs="Arial"/>
          <w:sz w:val="24"/>
        </w:rPr>
        <w:t xml:space="preserve"> through other means</w:t>
      </w:r>
      <w:r w:rsidR="00935C7A" w:rsidRPr="00223ED4">
        <w:rPr>
          <w:rFonts w:ascii="Arial" w:hAnsi="Arial" w:cs="Arial"/>
          <w:sz w:val="24"/>
        </w:rPr>
        <w:t>,</w:t>
      </w:r>
      <w:r w:rsidR="002B5FBE" w:rsidRPr="00223ED4">
        <w:rPr>
          <w:rFonts w:ascii="Arial" w:hAnsi="Arial" w:cs="Arial"/>
          <w:sz w:val="24"/>
        </w:rPr>
        <w:t xml:space="preserve"> such as negotiations.</w:t>
      </w:r>
      <w:r w:rsidR="002B5FBE" w:rsidRPr="00223ED4">
        <w:rPr>
          <w:rStyle w:val="FootnoteReference"/>
          <w:rFonts w:ascii="Arial" w:hAnsi="Arial" w:cs="Arial"/>
          <w:sz w:val="24"/>
        </w:rPr>
        <w:footnoteReference w:id="41"/>
      </w:r>
      <w:r w:rsidR="002B5FBE" w:rsidRPr="00223ED4">
        <w:rPr>
          <w:rFonts w:ascii="Arial" w:hAnsi="Arial" w:cs="Arial"/>
          <w:sz w:val="24"/>
        </w:rPr>
        <w:t xml:space="preserve"> Various scholars have underlined the weaknesses of the earlier theories on </w:t>
      </w:r>
      <w:r w:rsidR="002B5FBE" w:rsidRPr="00223ED4">
        <w:rPr>
          <w:rFonts w:ascii="Arial" w:hAnsi="Arial" w:cs="Arial"/>
          <w:sz w:val="24"/>
        </w:rPr>
        <w:lastRenderedPageBreak/>
        <w:t>regulatory enforcement styles</w:t>
      </w:r>
      <w:r w:rsidR="00606D71" w:rsidRPr="00223ED4">
        <w:rPr>
          <w:rFonts w:ascii="Arial" w:hAnsi="Arial" w:cs="Arial"/>
          <w:sz w:val="24"/>
        </w:rPr>
        <w:t>,</w:t>
      </w:r>
      <w:r w:rsidR="002B5FBE" w:rsidRPr="00223ED4">
        <w:rPr>
          <w:rFonts w:ascii="Arial" w:hAnsi="Arial" w:cs="Arial"/>
          <w:sz w:val="24"/>
        </w:rPr>
        <w:t xml:space="preserve"> such as </w:t>
      </w:r>
      <w:r w:rsidR="00A31784" w:rsidRPr="00223ED4">
        <w:rPr>
          <w:rFonts w:ascii="Arial" w:hAnsi="Arial" w:cs="Arial"/>
          <w:sz w:val="24"/>
        </w:rPr>
        <w:t xml:space="preserve">the extent to which regulatory </w:t>
      </w:r>
      <w:r w:rsidR="001620BA">
        <w:rPr>
          <w:rFonts w:ascii="Arial" w:hAnsi="Arial" w:cs="Arial"/>
          <w:sz w:val="24"/>
        </w:rPr>
        <w:t xml:space="preserve">enforcement </w:t>
      </w:r>
      <w:r w:rsidR="00A31784" w:rsidRPr="00223ED4">
        <w:rPr>
          <w:rFonts w:ascii="Arial" w:hAnsi="Arial" w:cs="Arial"/>
          <w:sz w:val="24"/>
        </w:rPr>
        <w:t>styles belong purely to the ‘punish’ or ‘persuade’ categories in practice.</w:t>
      </w:r>
      <w:r w:rsidR="00A31784" w:rsidRPr="00223ED4">
        <w:rPr>
          <w:rStyle w:val="FootnoteReference"/>
          <w:rFonts w:ascii="Arial" w:hAnsi="Arial" w:cs="Arial"/>
          <w:sz w:val="24"/>
        </w:rPr>
        <w:footnoteReference w:id="42"/>
      </w:r>
      <w:r w:rsidR="005877AA" w:rsidRPr="00223ED4">
        <w:rPr>
          <w:rFonts w:ascii="Arial" w:hAnsi="Arial" w:cs="Arial"/>
          <w:sz w:val="24"/>
        </w:rPr>
        <w:t xml:space="preserve"> Thus, current regulation scholars conceptualise regulatory enforcement styles as involving a </w:t>
      </w:r>
      <w:r w:rsidR="00606D71" w:rsidRPr="00223ED4">
        <w:rPr>
          <w:rFonts w:ascii="Arial" w:hAnsi="Arial" w:cs="Arial"/>
          <w:sz w:val="24"/>
        </w:rPr>
        <w:t xml:space="preserve">context-specific </w:t>
      </w:r>
      <w:r w:rsidR="005877AA" w:rsidRPr="00223ED4">
        <w:rPr>
          <w:rFonts w:ascii="Arial" w:hAnsi="Arial" w:cs="Arial"/>
          <w:sz w:val="24"/>
        </w:rPr>
        <w:t>mixture of deterrence and persuasion which</w:t>
      </w:r>
      <w:r w:rsidR="00606D71" w:rsidRPr="00223ED4">
        <w:rPr>
          <w:rFonts w:ascii="Arial" w:hAnsi="Arial" w:cs="Arial"/>
          <w:sz w:val="24"/>
        </w:rPr>
        <w:t xml:space="preserve"> depends on several factors including how the regulatee responds to the regulator.</w:t>
      </w:r>
      <w:r w:rsidR="005877AA" w:rsidRPr="00223ED4">
        <w:rPr>
          <w:rStyle w:val="FootnoteReference"/>
          <w:rFonts w:ascii="Arial" w:hAnsi="Arial" w:cs="Arial"/>
          <w:sz w:val="24"/>
        </w:rPr>
        <w:footnoteReference w:id="43"/>
      </w:r>
      <w:r w:rsidR="00980D93" w:rsidRPr="00223ED4">
        <w:rPr>
          <w:rFonts w:ascii="Arial" w:hAnsi="Arial" w:cs="Arial"/>
          <w:sz w:val="24"/>
        </w:rPr>
        <w:t xml:space="preserve"> </w:t>
      </w:r>
      <w:r w:rsidR="00CD00DF" w:rsidRPr="00223ED4">
        <w:rPr>
          <w:rFonts w:ascii="Arial" w:hAnsi="Arial" w:cs="Arial"/>
          <w:sz w:val="24"/>
        </w:rPr>
        <w:t>Here, a regulatory</w:t>
      </w:r>
      <w:r w:rsidR="005877AA" w:rsidRPr="00223ED4">
        <w:rPr>
          <w:rFonts w:ascii="Arial" w:hAnsi="Arial" w:cs="Arial"/>
          <w:sz w:val="24"/>
        </w:rPr>
        <w:t xml:space="preserve"> enforcement style is conceived </w:t>
      </w:r>
      <w:r w:rsidR="00634E8A" w:rsidRPr="00223ED4">
        <w:rPr>
          <w:rFonts w:ascii="Arial" w:hAnsi="Arial" w:cs="Arial"/>
          <w:sz w:val="24"/>
        </w:rPr>
        <w:t xml:space="preserve">of </w:t>
      </w:r>
      <w:r w:rsidR="005877AA" w:rsidRPr="00223ED4">
        <w:rPr>
          <w:rFonts w:ascii="Arial" w:hAnsi="Arial" w:cs="Arial"/>
          <w:sz w:val="24"/>
        </w:rPr>
        <w:t>as gradually escalating from softer strategies</w:t>
      </w:r>
      <w:r w:rsidR="00980D93" w:rsidRPr="00223ED4">
        <w:rPr>
          <w:rFonts w:ascii="Arial" w:hAnsi="Arial" w:cs="Arial"/>
          <w:sz w:val="24"/>
        </w:rPr>
        <w:t>,</w:t>
      </w:r>
      <w:r w:rsidR="005877AA" w:rsidRPr="00223ED4">
        <w:rPr>
          <w:rFonts w:ascii="Arial" w:hAnsi="Arial" w:cs="Arial"/>
          <w:sz w:val="24"/>
        </w:rPr>
        <w:t xml:space="preserve"> such as persuasion</w:t>
      </w:r>
      <w:r w:rsidR="00980D93" w:rsidRPr="00223ED4">
        <w:rPr>
          <w:rFonts w:ascii="Arial" w:hAnsi="Arial" w:cs="Arial"/>
          <w:sz w:val="24"/>
        </w:rPr>
        <w:t>,</w:t>
      </w:r>
      <w:r w:rsidR="005877AA" w:rsidRPr="00223ED4">
        <w:rPr>
          <w:rFonts w:ascii="Arial" w:hAnsi="Arial" w:cs="Arial"/>
          <w:sz w:val="24"/>
        </w:rPr>
        <w:t xml:space="preserve"> to harder strategies</w:t>
      </w:r>
      <w:r w:rsidR="00980D93" w:rsidRPr="00223ED4">
        <w:rPr>
          <w:rFonts w:ascii="Arial" w:hAnsi="Arial" w:cs="Arial"/>
          <w:sz w:val="24"/>
        </w:rPr>
        <w:t>,</w:t>
      </w:r>
      <w:r w:rsidR="005877AA" w:rsidRPr="00223ED4">
        <w:rPr>
          <w:rFonts w:ascii="Arial" w:hAnsi="Arial" w:cs="Arial"/>
          <w:sz w:val="24"/>
        </w:rPr>
        <w:t xml:space="preserve"> such as imposing a sanction</w:t>
      </w:r>
      <w:r w:rsidR="00980D93" w:rsidRPr="00223ED4">
        <w:rPr>
          <w:rFonts w:ascii="Arial" w:hAnsi="Arial" w:cs="Arial"/>
          <w:sz w:val="24"/>
        </w:rPr>
        <w:t>.</w:t>
      </w:r>
      <w:r w:rsidR="00791773" w:rsidRPr="00223ED4">
        <w:rPr>
          <w:rStyle w:val="FootnoteReference"/>
          <w:rFonts w:ascii="Arial" w:hAnsi="Arial" w:cs="Arial"/>
          <w:sz w:val="24"/>
        </w:rPr>
        <w:footnoteReference w:id="44"/>
      </w:r>
      <w:r w:rsidR="00427653" w:rsidRPr="00223ED4">
        <w:rPr>
          <w:rFonts w:ascii="Verdana" w:eastAsia="Times New Roman" w:hAnsi="Verdana" w:cs="Times New Roman"/>
          <w:color w:val="000000"/>
          <w:sz w:val="20"/>
          <w:szCs w:val="19"/>
          <w:lang w:eastAsia="en-GB"/>
        </w:rPr>
        <w:t xml:space="preserve"> </w:t>
      </w:r>
    </w:p>
    <w:p w14:paraId="06611219" w14:textId="56AA1CB2" w:rsidR="00CB4707" w:rsidRPr="00223ED4" w:rsidRDefault="00997272" w:rsidP="00DE4786">
      <w:pPr>
        <w:spacing w:before="100" w:beforeAutospacing="1" w:after="100" w:afterAutospacing="1" w:line="360" w:lineRule="auto"/>
        <w:ind w:firstLine="851"/>
        <w:jc w:val="both"/>
        <w:rPr>
          <w:rFonts w:ascii="Arial" w:hAnsi="Arial" w:cs="Arial"/>
          <w:sz w:val="24"/>
        </w:rPr>
      </w:pPr>
      <w:r w:rsidRPr="00223ED4">
        <w:rPr>
          <w:rFonts w:ascii="Arial" w:hAnsi="Arial" w:cs="Arial"/>
          <w:sz w:val="24"/>
        </w:rPr>
        <w:t>It is clear from</w:t>
      </w:r>
      <w:r w:rsidR="004C4D8A" w:rsidRPr="00223ED4">
        <w:rPr>
          <w:rFonts w:ascii="Arial" w:hAnsi="Arial" w:cs="Arial"/>
          <w:sz w:val="24"/>
        </w:rPr>
        <w:t xml:space="preserve"> my brief critical evaluation of regulatory enforcement s</w:t>
      </w:r>
      <w:r w:rsidRPr="00223ED4">
        <w:rPr>
          <w:rFonts w:ascii="Arial" w:hAnsi="Arial" w:cs="Arial"/>
          <w:sz w:val="24"/>
        </w:rPr>
        <w:t>tyles and regulatory capacities that, to some extent,</w:t>
      </w:r>
      <w:r w:rsidR="004C4D8A" w:rsidRPr="00223ED4">
        <w:rPr>
          <w:rFonts w:ascii="Arial" w:hAnsi="Arial" w:cs="Arial"/>
          <w:sz w:val="24"/>
        </w:rPr>
        <w:t xml:space="preserve"> compliance attitudes are very much enmeshed with</w:t>
      </w:r>
      <w:r w:rsidRPr="00223ED4">
        <w:rPr>
          <w:rFonts w:ascii="Arial" w:hAnsi="Arial" w:cs="Arial"/>
          <w:sz w:val="24"/>
        </w:rPr>
        <w:t xml:space="preserve"> and shaped by</w:t>
      </w:r>
      <w:r w:rsidR="004C4D8A" w:rsidRPr="00223ED4">
        <w:rPr>
          <w:rFonts w:ascii="Arial" w:hAnsi="Arial" w:cs="Arial"/>
          <w:sz w:val="24"/>
        </w:rPr>
        <w:t xml:space="preserve"> these two concepts. </w:t>
      </w:r>
      <w:r w:rsidR="00820D63" w:rsidRPr="00223ED4">
        <w:rPr>
          <w:rFonts w:ascii="Arial" w:hAnsi="Arial" w:cs="Arial"/>
          <w:sz w:val="24"/>
        </w:rPr>
        <w:t xml:space="preserve">Compliance attitudes refer to how </w:t>
      </w:r>
      <w:r w:rsidR="00353247" w:rsidRPr="00223ED4">
        <w:rPr>
          <w:rFonts w:ascii="Arial" w:hAnsi="Arial" w:cs="Arial"/>
          <w:sz w:val="24"/>
        </w:rPr>
        <w:t>a Cloud Provider</w:t>
      </w:r>
      <w:r w:rsidR="00820D63" w:rsidRPr="00223ED4">
        <w:rPr>
          <w:rFonts w:ascii="Arial" w:hAnsi="Arial" w:cs="Arial"/>
          <w:sz w:val="24"/>
        </w:rPr>
        <w:t xml:space="preserve"> respond</w:t>
      </w:r>
      <w:r w:rsidR="00353247" w:rsidRPr="00223ED4">
        <w:rPr>
          <w:rFonts w:ascii="Arial" w:hAnsi="Arial" w:cs="Arial"/>
          <w:sz w:val="24"/>
        </w:rPr>
        <w:t>s</w:t>
      </w:r>
      <w:r w:rsidR="00820D63" w:rsidRPr="00223ED4">
        <w:rPr>
          <w:rFonts w:ascii="Arial" w:hAnsi="Arial" w:cs="Arial"/>
          <w:sz w:val="24"/>
        </w:rPr>
        <w:t xml:space="preserve"> </w:t>
      </w:r>
      <w:r w:rsidR="00820D63" w:rsidRPr="00223ED4">
        <w:rPr>
          <w:rFonts w:ascii="Arial" w:hAnsi="Arial" w:cs="Arial"/>
          <w:sz w:val="24"/>
        </w:rPr>
        <w:lastRenderedPageBreak/>
        <w:t xml:space="preserve">when </w:t>
      </w:r>
      <w:r w:rsidR="00DD1EFF" w:rsidRPr="00223ED4">
        <w:rPr>
          <w:rFonts w:ascii="Arial" w:hAnsi="Arial" w:cs="Arial"/>
          <w:sz w:val="24"/>
        </w:rPr>
        <w:t xml:space="preserve">an EU </w:t>
      </w:r>
      <w:r w:rsidR="00820D63" w:rsidRPr="00223ED4">
        <w:rPr>
          <w:rFonts w:ascii="Arial" w:hAnsi="Arial" w:cs="Arial"/>
          <w:sz w:val="24"/>
        </w:rPr>
        <w:t xml:space="preserve">DPA exercise </w:t>
      </w:r>
      <w:r w:rsidR="00DD1EFF" w:rsidRPr="00223ED4">
        <w:rPr>
          <w:rFonts w:ascii="Arial" w:hAnsi="Arial" w:cs="Arial"/>
          <w:sz w:val="24"/>
        </w:rPr>
        <w:t xml:space="preserve">its regulatory powers. </w:t>
      </w:r>
      <w:r w:rsidR="00353247" w:rsidRPr="00223ED4">
        <w:rPr>
          <w:rFonts w:ascii="Arial" w:hAnsi="Arial" w:cs="Arial"/>
          <w:sz w:val="24"/>
        </w:rPr>
        <w:t>Delving into</w:t>
      </w:r>
      <w:r w:rsidR="00DD1EFF" w:rsidRPr="00223ED4">
        <w:rPr>
          <w:rFonts w:ascii="Arial" w:hAnsi="Arial" w:cs="Arial"/>
          <w:sz w:val="24"/>
        </w:rPr>
        <w:t xml:space="preserve"> compliance attitudes means turning our attention to whether (and if so, to what extent) and why regulatees, such as Cloud Providers, comply with specific laws.</w:t>
      </w:r>
      <w:r w:rsidR="00353247" w:rsidRPr="00223ED4">
        <w:rPr>
          <w:rFonts w:ascii="Arial" w:hAnsi="Arial" w:cs="Arial"/>
          <w:sz w:val="24"/>
        </w:rPr>
        <w:t xml:space="preserve"> </w:t>
      </w:r>
      <w:r w:rsidRPr="00223ED4">
        <w:rPr>
          <w:rFonts w:ascii="Arial" w:hAnsi="Arial" w:cs="Arial"/>
          <w:sz w:val="24"/>
        </w:rPr>
        <w:t>Compliance attitudes can be generated by various motivations. For example, a Cloud Provider can comply with the relevant data protection laws to avoid legal sanctions or to earn the trust of its customers.</w:t>
      </w:r>
      <w:r w:rsidR="005574EB" w:rsidRPr="00223ED4">
        <w:rPr>
          <w:rStyle w:val="FootnoteReference"/>
          <w:rFonts w:ascii="Arial" w:hAnsi="Arial" w:cs="Arial"/>
          <w:sz w:val="24"/>
        </w:rPr>
        <w:footnoteReference w:id="45"/>
      </w:r>
      <w:r w:rsidRPr="00223ED4">
        <w:rPr>
          <w:rFonts w:ascii="Arial" w:hAnsi="Arial" w:cs="Arial"/>
          <w:sz w:val="24"/>
        </w:rPr>
        <w:t xml:space="preserve"> Finally, </w:t>
      </w:r>
      <w:r w:rsidR="00F2736B" w:rsidRPr="00223ED4">
        <w:rPr>
          <w:rFonts w:ascii="Arial" w:hAnsi="Arial" w:cs="Arial"/>
          <w:sz w:val="24"/>
        </w:rPr>
        <w:t xml:space="preserve">Cloud Providers can have various </w:t>
      </w:r>
      <w:r w:rsidR="00F2736B" w:rsidRPr="00223ED4">
        <w:rPr>
          <w:rFonts w:ascii="Arial" w:hAnsi="Arial"/>
          <w:sz w:val="24"/>
        </w:rPr>
        <w:t>compliance profiles</w:t>
      </w:r>
      <w:r w:rsidR="00F2736B" w:rsidRPr="00223ED4">
        <w:rPr>
          <w:rFonts w:ascii="Arial" w:hAnsi="Arial" w:cs="Arial"/>
          <w:sz w:val="24"/>
        </w:rPr>
        <w:t xml:space="preserve"> during</w:t>
      </w:r>
      <w:r w:rsidR="00353247" w:rsidRPr="00223ED4">
        <w:rPr>
          <w:rFonts w:ascii="Arial" w:hAnsi="Arial" w:cs="Arial"/>
          <w:sz w:val="24"/>
        </w:rPr>
        <w:t xml:space="preserve"> </w:t>
      </w:r>
      <w:r w:rsidRPr="00223ED4">
        <w:rPr>
          <w:rFonts w:ascii="Arial" w:hAnsi="Arial" w:cs="Arial"/>
          <w:sz w:val="24"/>
        </w:rPr>
        <w:t>one single Cloud Investigation.</w:t>
      </w:r>
      <w:r w:rsidR="00DE4786">
        <w:rPr>
          <w:rFonts w:ascii="Arial" w:hAnsi="Arial" w:cs="Arial"/>
          <w:sz w:val="24"/>
        </w:rPr>
        <w:t xml:space="preserve"> </w:t>
      </w:r>
      <w:r w:rsidR="00353247" w:rsidRPr="00223ED4">
        <w:rPr>
          <w:rFonts w:ascii="Arial" w:hAnsi="Arial" w:cs="Arial"/>
          <w:sz w:val="24"/>
        </w:rPr>
        <w:t xml:space="preserve">For example, a multinational Cloud Provider that has just relocated its data processing operations </w:t>
      </w:r>
      <w:r w:rsidR="00CF56E7">
        <w:rPr>
          <w:rFonts w:ascii="Arial" w:hAnsi="Arial" w:cs="Arial"/>
          <w:sz w:val="24"/>
        </w:rPr>
        <w:t>to</w:t>
      </w:r>
      <w:r w:rsidR="00353247" w:rsidRPr="00223ED4">
        <w:rPr>
          <w:rFonts w:ascii="Arial" w:hAnsi="Arial" w:cs="Arial"/>
          <w:sz w:val="24"/>
        </w:rPr>
        <w:t xml:space="preserve"> a European jurisdiction </w:t>
      </w:r>
      <w:r w:rsidR="004C4D8A" w:rsidRPr="00223ED4">
        <w:rPr>
          <w:rFonts w:ascii="Arial" w:hAnsi="Arial" w:cs="Arial"/>
          <w:sz w:val="24"/>
        </w:rPr>
        <w:t>may</w:t>
      </w:r>
      <w:r w:rsidR="00353247" w:rsidRPr="00223ED4">
        <w:rPr>
          <w:rFonts w:ascii="Arial" w:hAnsi="Arial" w:cs="Arial"/>
          <w:sz w:val="24"/>
        </w:rPr>
        <w:t xml:space="preserve"> be ill-informed about its data protection obligations at the start of the Cloud Investigation as it is unfamiliar with the applicable legal framework. However, as it interacts regularly with </w:t>
      </w:r>
      <w:r w:rsidR="00CF56E7">
        <w:rPr>
          <w:rFonts w:ascii="Arial" w:hAnsi="Arial" w:cs="Arial"/>
          <w:sz w:val="24"/>
        </w:rPr>
        <w:t xml:space="preserve">the relevant </w:t>
      </w:r>
      <w:r w:rsidR="00353247" w:rsidRPr="00223ED4">
        <w:rPr>
          <w:rFonts w:ascii="Arial" w:hAnsi="Arial" w:cs="Arial"/>
          <w:sz w:val="24"/>
        </w:rPr>
        <w:t>EU DPA</w:t>
      </w:r>
      <w:r w:rsidR="00CF56E7">
        <w:rPr>
          <w:rFonts w:ascii="Arial" w:hAnsi="Arial" w:cs="Arial"/>
          <w:sz w:val="24"/>
        </w:rPr>
        <w:t>s</w:t>
      </w:r>
      <w:r w:rsidR="00353247" w:rsidRPr="00223ED4">
        <w:rPr>
          <w:rFonts w:ascii="Arial" w:hAnsi="Arial" w:cs="Arial"/>
          <w:sz w:val="24"/>
        </w:rPr>
        <w:t>, it may become better informed about its data protection obligations and how it can overhaul its existing processing operations and policies to comply with the relevant laws.</w:t>
      </w:r>
      <w:r w:rsidR="00C5137F" w:rsidRPr="00223ED4">
        <w:rPr>
          <w:rFonts w:ascii="Arial" w:hAnsi="Arial" w:cs="Arial"/>
          <w:sz w:val="24"/>
        </w:rPr>
        <w:t xml:space="preserve"> </w:t>
      </w:r>
      <w:r w:rsidR="00DE4786">
        <w:rPr>
          <w:rFonts w:ascii="Arial" w:hAnsi="Arial" w:cs="Arial"/>
          <w:sz w:val="24"/>
        </w:rPr>
        <w:t xml:space="preserve">Thus, there are also close links between the regulatee`s compliance profiles and compliance attitudes. </w:t>
      </w:r>
      <w:r w:rsidR="000E5DC7" w:rsidRPr="00223ED4">
        <w:rPr>
          <w:rFonts w:ascii="Arial" w:hAnsi="Arial" w:cs="Arial"/>
          <w:sz w:val="24"/>
        </w:rPr>
        <w:t xml:space="preserve">Having briefly situated the chapter within the existing literature </w:t>
      </w:r>
      <w:r w:rsidRPr="00223ED4">
        <w:rPr>
          <w:rFonts w:ascii="Arial" w:hAnsi="Arial" w:cs="Arial"/>
          <w:sz w:val="24"/>
        </w:rPr>
        <w:t xml:space="preserve">and </w:t>
      </w:r>
      <w:r w:rsidR="000E5DC7" w:rsidRPr="00223ED4">
        <w:rPr>
          <w:rFonts w:ascii="Arial" w:hAnsi="Arial" w:cs="Arial"/>
          <w:sz w:val="24"/>
        </w:rPr>
        <w:lastRenderedPageBreak/>
        <w:t>examined the conceptual underpinnings of this chapter</w:t>
      </w:r>
      <w:r w:rsidR="003A6ECD">
        <w:rPr>
          <w:rFonts w:ascii="Arial" w:hAnsi="Arial" w:cs="Arial"/>
          <w:sz w:val="24"/>
        </w:rPr>
        <w:t xml:space="preserve"> </w:t>
      </w:r>
      <w:r w:rsidR="000E5DC7" w:rsidRPr="00223ED4">
        <w:rPr>
          <w:rFonts w:ascii="Arial" w:hAnsi="Arial" w:cs="Arial"/>
          <w:sz w:val="24"/>
        </w:rPr>
        <w:t>I explain</w:t>
      </w:r>
      <w:r w:rsidR="003A6ECD" w:rsidRPr="00223ED4">
        <w:rPr>
          <w:rFonts w:ascii="Arial" w:hAnsi="Arial" w:cs="Arial"/>
          <w:sz w:val="24"/>
        </w:rPr>
        <w:t>,</w:t>
      </w:r>
      <w:r w:rsidR="003A6ECD">
        <w:rPr>
          <w:rFonts w:ascii="Arial" w:hAnsi="Arial" w:cs="Arial"/>
          <w:sz w:val="24"/>
        </w:rPr>
        <w:t xml:space="preserve"> next,</w:t>
      </w:r>
      <w:r w:rsidR="000E5DC7" w:rsidRPr="00223ED4">
        <w:rPr>
          <w:rFonts w:ascii="Arial" w:hAnsi="Arial" w:cs="Arial"/>
          <w:sz w:val="24"/>
        </w:rPr>
        <w:t xml:space="preserve"> the ma</w:t>
      </w:r>
      <w:r w:rsidR="00F2736B" w:rsidRPr="00223ED4">
        <w:rPr>
          <w:rFonts w:ascii="Arial" w:hAnsi="Arial" w:cs="Arial"/>
          <w:sz w:val="24"/>
        </w:rPr>
        <w:t>in methods used in the research</w:t>
      </w:r>
      <w:r w:rsidR="00353247" w:rsidRPr="00223ED4">
        <w:rPr>
          <w:rFonts w:ascii="Arial" w:hAnsi="Arial" w:cs="Arial"/>
          <w:sz w:val="24"/>
        </w:rPr>
        <w:t xml:space="preserve"> project</w:t>
      </w:r>
      <w:r w:rsidR="003A6ECD">
        <w:rPr>
          <w:rFonts w:ascii="Arial" w:hAnsi="Arial" w:cs="Arial"/>
          <w:sz w:val="24"/>
        </w:rPr>
        <w:t xml:space="preserve"> which underpins this chapter.</w:t>
      </w:r>
    </w:p>
    <w:bookmarkEnd w:id="2"/>
    <w:p w14:paraId="7104FBCC" w14:textId="31842D84" w:rsidR="00F863C6" w:rsidRPr="00223ED4" w:rsidRDefault="00820D63" w:rsidP="00D573CD">
      <w:pPr>
        <w:spacing w:line="360" w:lineRule="auto"/>
        <w:jc w:val="both"/>
        <w:rPr>
          <w:rFonts w:ascii="Palatino-Roman" w:hAnsi="Palatino-Roman" w:cs="Palatino-Roman"/>
          <w:sz w:val="26"/>
          <w:szCs w:val="20"/>
        </w:rPr>
      </w:pPr>
      <w:r w:rsidRPr="00223ED4">
        <w:rPr>
          <w:rFonts w:ascii="Arial" w:eastAsia="Times New Roman" w:hAnsi="Arial" w:cs="Arial"/>
          <w:iCs/>
          <w:kern w:val="32"/>
          <w:sz w:val="32"/>
          <w:szCs w:val="32"/>
        </w:rPr>
        <w:t>CLOUD INVESTIGATIONS IN CONTEXT: METHODS</w:t>
      </w:r>
    </w:p>
    <w:p w14:paraId="5762CEC8" w14:textId="49E15811" w:rsidR="00F17C14" w:rsidRPr="00223ED4" w:rsidRDefault="00C5137F" w:rsidP="00F17C14">
      <w:pPr>
        <w:spacing w:before="100" w:beforeAutospacing="1" w:after="100" w:afterAutospacing="1" w:line="360" w:lineRule="auto"/>
        <w:jc w:val="both"/>
        <w:rPr>
          <w:rFonts w:ascii="Arial" w:hAnsi="Arial" w:cs="Arial"/>
          <w:sz w:val="24"/>
        </w:rPr>
      </w:pPr>
      <w:r w:rsidRPr="00223ED4">
        <w:rPr>
          <w:rFonts w:ascii="Arial" w:hAnsi="Arial" w:cs="Arial"/>
          <w:sz w:val="24"/>
        </w:rPr>
        <w:t>I have employed</w:t>
      </w:r>
      <w:r w:rsidR="00F863C6" w:rsidRPr="00223ED4">
        <w:rPr>
          <w:rFonts w:ascii="Arial" w:hAnsi="Arial" w:cs="Arial"/>
          <w:sz w:val="24"/>
        </w:rPr>
        <w:t xml:space="preserve"> three main qualitative data collection methods, namely, documentary analysis; observation; and interviews of seven DPAs, four multinational Cloud Providers, and the representatives of two European institutions.</w:t>
      </w:r>
      <w:r w:rsidR="00F863C6" w:rsidRPr="00223ED4">
        <w:rPr>
          <w:rFonts w:ascii="Arial" w:hAnsi="Arial" w:cs="Arial"/>
          <w:sz w:val="24"/>
          <w:vertAlign w:val="superscript"/>
        </w:rPr>
        <w:footnoteReference w:id="46"/>
      </w:r>
      <w:r w:rsidR="00F17C14" w:rsidRPr="00223ED4">
        <w:rPr>
          <w:rFonts w:ascii="Arial" w:hAnsi="Arial" w:cs="Arial"/>
          <w:sz w:val="24"/>
        </w:rPr>
        <w:t xml:space="preserve"> A qualitative approach </w:t>
      </w:r>
      <w:r w:rsidR="00CD00DF" w:rsidRPr="00223ED4">
        <w:rPr>
          <w:rFonts w:ascii="Arial" w:hAnsi="Arial" w:cs="Arial"/>
          <w:sz w:val="24"/>
        </w:rPr>
        <w:t xml:space="preserve">enabled me </w:t>
      </w:r>
      <w:r w:rsidR="00F17C14" w:rsidRPr="00223ED4">
        <w:rPr>
          <w:rFonts w:ascii="Arial" w:hAnsi="Arial" w:cs="Arial"/>
          <w:sz w:val="24"/>
        </w:rPr>
        <w:t xml:space="preserve">to generate a detailed understanding of </w:t>
      </w:r>
      <w:r w:rsidR="001409DA" w:rsidRPr="00223ED4">
        <w:rPr>
          <w:rFonts w:ascii="Arial" w:hAnsi="Arial" w:cs="Arial"/>
          <w:sz w:val="24"/>
        </w:rPr>
        <w:t xml:space="preserve">the relevant interconnections </w:t>
      </w:r>
      <w:r w:rsidR="002B69C0" w:rsidRPr="00223ED4">
        <w:rPr>
          <w:rFonts w:ascii="Arial" w:hAnsi="Arial" w:cs="Arial"/>
          <w:sz w:val="24"/>
        </w:rPr>
        <w:t>between key actors</w:t>
      </w:r>
      <w:r w:rsidR="001409DA" w:rsidRPr="00223ED4">
        <w:rPr>
          <w:rFonts w:ascii="Arial" w:hAnsi="Arial" w:cs="Arial"/>
          <w:sz w:val="24"/>
        </w:rPr>
        <w:t xml:space="preserve"> during </w:t>
      </w:r>
      <w:r w:rsidR="00F17C14" w:rsidRPr="00223ED4">
        <w:rPr>
          <w:rFonts w:ascii="Arial" w:hAnsi="Arial" w:cs="Arial"/>
          <w:sz w:val="24"/>
        </w:rPr>
        <w:t xml:space="preserve">Cloud Investigations. </w:t>
      </w:r>
    </w:p>
    <w:p w14:paraId="673CAF1A" w14:textId="64FC53F9" w:rsidR="00D811E6" w:rsidRPr="00223ED4" w:rsidRDefault="00185DE2" w:rsidP="009D7AE6">
      <w:pPr>
        <w:spacing w:before="100" w:beforeAutospacing="1" w:after="100" w:afterAutospacing="1" w:line="360" w:lineRule="auto"/>
        <w:ind w:firstLine="851"/>
        <w:jc w:val="both"/>
        <w:rPr>
          <w:rFonts w:ascii="Arial" w:hAnsi="Arial" w:cs="Arial"/>
          <w:sz w:val="24"/>
        </w:rPr>
      </w:pPr>
      <w:r w:rsidRPr="00223ED4">
        <w:rPr>
          <w:rFonts w:ascii="Arial" w:hAnsi="Arial" w:cs="Arial"/>
          <w:sz w:val="24"/>
        </w:rPr>
        <w:lastRenderedPageBreak/>
        <w:t>I analysed data from numerous documents including the current</w:t>
      </w:r>
      <w:r w:rsidRPr="00223ED4">
        <w:rPr>
          <w:rFonts w:ascii="Arial" w:hAnsi="Arial" w:cs="Arial"/>
          <w:sz w:val="24"/>
          <w:vertAlign w:val="superscript"/>
        </w:rPr>
        <w:footnoteReference w:id="47"/>
      </w:r>
      <w:r w:rsidRPr="00223ED4">
        <w:rPr>
          <w:rFonts w:ascii="Arial" w:hAnsi="Arial" w:cs="Arial"/>
          <w:sz w:val="24"/>
        </w:rPr>
        <w:t xml:space="preserve"> and proposed</w:t>
      </w:r>
      <w:r w:rsidRPr="00223ED4">
        <w:rPr>
          <w:rFonts w:ascii="Arial" w:hAnsi="Arial" w:cs="Arial"/>
          <w:sz w:val="24"/>
          <w:vertAlign w:val="superscript"/>
        </w:rPr>
        <w:footnoteReference w:id="48"/>
      </w:r>
      <w:r w:rsidRPr="00223ED4">
        <w:rPr>
          <w:rFonts w:ascii="Arial" w:hAnsi="Arial" w:cs="Arial"/>
          <w:sz w:val="24"/>
        </w:rPr>
        <w:t xml:space="preserve"> European data protection laws; press releases by relevant stakeholders (e.g. European Commission,</w:t>
      </w:r>
      <w:r w:rsidRPr="00223ED4">
        <w:rPr>
          <w:rFonts w:ascii="Arial" w:hAnsi="Arial" w:cs="Arial"/>
          <w:sz w:val="24"/>
          <w:vertAlign w:val="superscript"/>
        </w:rPr>
        <w:footnoteReference w:id="49"/>
      </w:r>
      <w:r w:rsidRPr="00223ED4">
        <w:rPr>
          <w:rFonts w:ascii="Arial" w:hAnsi="Arial" w:cs="Arial"/>
          <w:sz w:val="24"/>
        </w:rPr>
        <w:t xml:space="preserve"> and investigated </w:t>
      </w:r>
      <w:r w:rsidR="00353247" w:rsidRPr="00223ED4">
        <w:rPr>
          <w:rFonts w:ascii="Arial" w:hAnsi="Arial" w:cs="Arial"/>
          <w:sz w:val="24"/>
        </w:rPr>
        <w:t>C</w:t>
      </w:r>
      <w:r w:rsidRPr="00223ED4">
        <w:rPr>
          <w:rFonts w:ascii="Arial" w:hAnsi="Arial" w:cs="Arial"/>
          <w:sz w:val="24"/>
        </w:rPr>
        <w:t xml:space="preserve">loud </w:t>
      </w:r>
      <w:r w:rsidR="00353247" w:rsidRPr="00223ED4">
        <w:rPr>
          <w:rFonts w:ascii="Arial" w:hAnsi="Arial" w:cs="Arial"/>
          <w:sz w:val="24"/>
        </w:rPr>
        <w:t>P</w:t>
      </w:r>
      <w:r w:rsidRPr="00223ED4">
        <w:rPr>
          <w:rFonts w:ascii="Arial" w:hAnsi="Arial" w:cs="Arial"/>
          <w:sz w:val="24"/>
        </w:rPr>
        <w:t>roviders);</w:t>
      </w:r>
      <w:r w:rsidRPr="00223ED4">
        <w:rPr>
          <w:rFonts w:ascii="Arial" w:hAnsi="Arial" w:cs="Arial"/>
          <w:sz w:val="24"/>
          <w:vertAlign w:val="superscript"/>
        </w:rPr>
        <w:footnoteReference w:id="50"/>
      </w:r>
      <w:r w:rsidRPr="00223ED4">
        <w:rPr>
          <w:rFonts w:ascii="Arial" w:hAnsi="Arial" w:cs="Arial"/>
          <w:sz w:val="24"/>
        </w:rPr>
        <w:t xml:space="preserve"> formal excha</w:t>
      </w:r>
      <w:r w:rsidR="004C63B4" w:rsidRPr="00223ED4">
        <w:rPr>
          <w:rFonts w:ascii="Arial" w:hAnsi="Arial" w:cs="Arial"/>
          <w:sz w:val="24"/>
        </w:rPr>
        <w:t xml:space="preserve">nges between European DPAs and </w:t>
      </w:r>
      <w:r w:rsidR="004C63B4" w:rsidRPr="00223ED4">
        <w:rPr>
          <w:rFonts w:ascii="Arial" w:hAnsi="Arial" w:cs="Arial"/>
          <w:sz w:val="24"/>
        </w:rPr>
        <w:lastRenderedPageBreak/>
        <w:t>Cloud P</w:t>
      </w:r>
      <w:r w:rsidRPr="00223ED4">
        <w:rPr>
          <w:rFonts w:ascii="Arial" w:hAnsi="Arial" w:cs="Arial"/>
          <w:sz w:val="24"/>
        </w:rPr>
        <w:t xml:space="preserve">roviders during </w:t>
      </w:r>
      <w:r w:rsidR="00353247" w:rsidRPr="00223ED4">
        <w:rPr>
          <w:rFonts w:ascii="Arial" w:hAnsi="Arial" w:cs="Arial"/>
          <w:sz w:val="24"/>
        </w:rPr>
        <w:t>C</w:t>
      </w:r>
      <w:r w:rsidRPr="00223ED4">
        <w:rPr>
          <w:rFonts w:ascii="Arial" w:hAnsi="Arial" w:cs="Arial"/>
          <w:sz w:val="24"/>
        </w:rPr>
        <w:t xml:space="preserve">loud </w:t>
      </w:r>
      <w:r w:rsidR="00353247" w:rsidRPr="00223ED4">
        <w:rPr>
          <w:rFonts w:ascii="Arial" w:hAnsi="Arial" w:cs="Arial"/>
          <w:sz w:val="24"/>
        </w:rPr>
        <w:t>I</w:t>
      </w:r>
      <w:r w:rsidRPr="00223ED4">
        <w:rPr>
          <w:rFonts w:ascii="Arial" w:hAnsi="Arial" w:cs="Arial"/>
          <w:sz w:val="24"/>
        </w:rPr>
        <w:t>nvestigations;</w:t>
      </w:r>
      <w:r w:rsidRPr="00223ED4">
        <w:rPr>
          <w:rFonts w:ascii="Arial" w:hAnsi="Arial" w:cs="Arial"/>
          <w:sz w:val="24"/>
          <w:vertAlign w:val="superscript"/>
        </w:rPr>
        <w:footnoteReference w:id="51"/>
      </w:r>
      <w:r w:rsidRPr="00223ED4">
        <w:rPr>
          <w:rFonts w:ascii="Arial" w:hAnsi="Arial" w:cs="Arial"/>
          <w:sz w:val="24"/>
        </w:rPr>
        <w:t xml:space="preserve"> and </w:t>
      </w:r>
      <w:r w:rsidR="00353247" w:rsidRPr="00223ED4">
        <w:rPr>
          <w:rFonts w:ascii="Arial" w:hAnsi="Arial" w:cs="Arial"/>
          <w:sz w:val="24"/>
        </w:rPr>
        <w:t>published Cloud I</w:t>
      </w:r>
      <w:r w:rsidRPr="00223ED4">
        <w:rPr>
          <w:rFonts w:ascii="Arial" w:hAnsi="Arial" w:cs="Arial"/>
          <w:sz w:val="24"/>
        </w:rPr>
        <w:t>nvestigation reports.</w:t>
      </w:r>
      <w:r w:rsidRPr="00223ED4">
        <w:rPr>
          <w:rFonts w:ascii="Arial" w:hAnsi="Arial" w:cs="Arial"/>
          <w:sz w:val="24"/>
          <w:vertAlign w:val="superscript"/>
        </w:rPr>
        <w:footnoteReference w:id="52"/>
      </w:r>
      <w:r w:rsidRPr="00223ED4">
        <w:rPr>
          <w:rFonts w:ascii="Arial" w:hAnsi="Arial" w:cs="Arial"/>
          <w:sz w:val="24"/>
        </w:rPr>
        <w:t xml:space="preserve"> </w:t>
      </w:r>
      <w:r w:rsidR="009D7AE6" w:rsidRPr="00223ED4">
        <w:rPr>
          <w:rFonts w:ascii="Arial" w:hAnsi="Arial" w:cs="Arial"/>
          <w:sz w:val="24"/>
        </w:rPr>
        <w:t xml:space="preserve">This analysis enabled me to understand key aspects of Cloud Investigations, such as the diverse national data protection and administrative laws which regulate </w:t>
      </w:r>
      <w:r w:rsidR="00843DA1">
        <w:rPr>
          <w:rFonts w:ascii="Arial" w:hAnsi="Arial" w:cs="Arial"/>
          <w:sz w:val="24"/>
        </w:rPr>
        <w:t>the</w:t>
      </w:r>
      <w:r w:rsidR="00811236">
        <w:rPr>
          <w:rFonts w:ascii="Arial" w:hAnsi="Arial" w:cs="Arial"/>
          <w:sz w:val="24"/>
        </w:rPr>
        <w:t xml:space="preserve"> EU</w:t>
      </w:r>
      <w:r w:rsidR="00843DA1">
        <w:rPr>
          <w:rFonts w:ascii="Arial" w:hAnsi="Arial" w:cs="Arial"/>
          <w:sz w:val="24"/>
        </w:rPr>
        <w:t xml:space="preserve"> DPAs` investigations</w:t>
      </w:r>
      <w:r w:rsidR="009D7AE6" w:rsidRPr="00223ED4">
        <w:rPr>
          <w:rFonts w:ascii="Arial" w:hAnsi="Arial" w:cs="Arial"/>
          <w:sz w:val="24"/>
        </w:rPr>
        <w:t xml:space="preserve">. Additionally, I </w:t>
      </w:r>
      <w:r w:rsidRPr="00223ED4">
        <w:rPr>
          <w:rFonts w:ascii="Arial" w:hAnsi="Arial" w:cs="Arial"/>
          <w:sz w:val="24"/>
        </w:rPr>
        <w:t>collected ethnographic data during the Fourth European Data Protection Days conference</w:t>
      </w:r>
      <w:r w:rsidR="009D7AE6" w:rsidRPr="00223ED4">
        <w:rPr>
          <w:rFonts w:ascii="Arial" w:hAnsi="Arial" w:cs="Arial"/>
          <w:sz w:val="24"/>
        </w:rPr>
        <w:t xml:space="preserve"> 2014</w:t>
      </w:r>
      <w:r w:rsidRPr="00223ED4">
        <w:rPr>
          <w:rFonts w:ascii="Arial" w:hAnsi="Arial" w:cs="Arial"/>
          <w:sz w:val="24"/>
        </w:rPr>
        <w:t xml:space="preserve"> (‘EDPD’) - a key data protection conference attended by relevant stakeholders</w:t>
      </w:r>
      <w:r w:rsidR="009D7AE6" w:rsidRPr="00223ED4">
        <w:rPr>
          <w:rFonts w:ascii="Arial" w:hAnsi="Arial" w:cs="Arial"/>
          <w:sz w:val="24"/>
        </w:rPr>
        <w:t xml:space="preserve"> (e.g. </w:t>
      </w:r>
      <w:r w:rsidRPr="00223ED4">
        <w:rPr>
          <w:rFonts w:ascii="Arial" w:hAnsi="Arial" w:cs="Arial"/>
          <w:sz w:val="24"/>
        </w:rPr>
        <w:t>EU DPAs</w:t>
      </w:r>
      <w:r w:rsidR="009D7AE6" w:rsidRPr="00223ED4">
        <w:rPr>
          <w:rFonts w:ascii="Arial" w:hAnsi="Arial" w:cs="Arial"/>
          <w:sz w:val="24"/>
        </w:rPr>
        <w:t>)</w:t>
      </w:r>
      <w:r w:rsidRPr="00223ED4">
        <w:rPr>
          <w:rFonts w:ascii="Arial" w:hAnsi="Arial" w:cs="Arial"/>
          <w:sz w:val="24"/>
        </w:rPr>
        <w:t>.</w:t>
      </w:r>
      <w:r w:rsidRPr="00223ED4">
        <w:rPr>
          <w:rFonts w:ascii="Arial" w:hAnsi="Arial" w:cs="Arial"/>
          <w:sz w:val="24"/>
          <w:vertAlign w:val="superscript"/>
        </w:rPr>
        <w:footnoteReference w:id="53"/>
      </w:r>
      <w:r w:rsidRPr="00223ED4">
        <w:rPr>
          <w:rFonts w:ascii="Arial" w:hAnsi="Arial" w:cs="Arial"/>
          <w:sz w:val="24"/>
        </w:rPr>
        <w:t xml:space="preserve"> The EDPD provided me with the opportunity to make contacts with potential respondents (e.g. E</w:t>
      </w:r>
      <w:r w:rsidR="009D7AE6" w:rsidRPr="00223ED4">
        <w:rPr>
          <w:rFonts w:ascii="Arial" w:hAnsi="Arial" w:cs="Arial"/>
          <w:sz w:val="24"/>
        </w:rPr>
        <w:t xml:space="preserve">U DPAs) and </w:t>
      </w:r>
      <w:r w:rsidRPr="00223ED4">
        <w:rPr>
          <w:rFonts w:ascii="Arial" w:hAnsi="Arial" w:cs="Arial"/>
          <w:sz w:val="24"/>
        </w:rPr>
        <w:t>gather up-to-date information from EU DPAs about their current or future Cloud Investigations which do n</w:t>
      </w:r>
      <w:r w:rsidR="00D811E6" w:rsidRPr="00223ED4">
        <w:rPr>
          <w:rFonts w:ascii="Arial" w:hAnsi="Arial" w:cs="Arial"/>
          <w:sz w:val="24"/>
        </w:rPr>
        <w:t>ot always feature in the media.</w:t>
      </w:r>
    </w:p>
    <w:p w14:paraId="1E166B2A" w14:textId="571BBC78" w:rsidR="00F863C6" w:rsidRPr="00223ED4" w:rsidRDefault="00D811E6" w:rsidP="00D811E6">
      <w:pPr>
        <w:spacing w:before="100" w:beforeAutospacing="1" w:after="100" w:afterAutospacing="1" w:line="360" w:lineRule="auto"/>
        <w:ind w:firstLine="709"/>
        <w:jc w:val="both"/>
        <w:rPr>
          <w:rFonts w:ascii="Arial" w:hAnsi="Arial" w:cs="Arial"/>
          <w:sz w:val="24"/>
        </w:rPr>
      </w:pPr>
      <w:r w:rsidRPr="00223ED4">
        <w:rPr>
          <w:rFonts w:ascii="Arial" w:hAnsi="Arial" w:cs="Arial"/>
          <w:sz w:val="24"/>
        </w:rPr>
        <w:t xml:space="preserve">Finally, </w:t>
      </w:r>
      <w:r w:rsidR="00DC62A8" w:rsidRPr="00223ED4">
        <w:rPr>
          <w:rFonts w:ascii="Arial" w:hAnsi="Arial" w:cs="Arial"/>
          <w:sz w:val="24"/>
        </w:rPr>
        <w:t>semi-structured</w:t>
      </w:r>
      <w:r w:rsidRPr="00223ED4">
        <w:rPr>
          <w:rFonts w:ascii="Arial" w:hAnsi="Arial" w:cs="Arial"/>
          <w:sz w:val="24"/>
        </w:rPr>
        <w:t xml:space="preserve"> i</w:t>
      </w:r>
      <w:r w:rsidR="00F863C6" w:rsidRPr="00223ED4">
        <w:rPr>
          <w:rFonts w:ascii="Arial" w:hAnsi="Arial" w:cs="Arial"/>
          <w:sz w:val="24"/>
        </w:rPr>
        <w:t xml:space="preserve">nterviewing was a suitable data collection method as it supplemented and consolidated my background knowledge (gained through observation and documentary analysis) as well as provided </w:t>
      </w:r>
      <w:r w:rsidRPr="00223ED4">
        <w:rPr>
          <w:rFonts w:ascii="Arial" w:hAnsi="Arial" w:cs="Arial"/>
          <w:sz w:val="24"/>
        </w:rPr>
        <w:t>me</w:t>
      </w:r>
      <w:r w:rsidR="00F863C6" w:rsidRPr="00223ED4">
        <w:rPr>
          <w:rFonts w:ascii="Arial" w:hAnsi="Arial" w:cs="Arial"/>
          <w:sz w:val="24"/>
        </w:rPr>
        <w:t xml:space="preserve"> with rich, complex, and detailed accounts of </w:t>
      </w:r>
      <w:r w:rsidR="00F863C6" w:rsidRPr="00843DA1">
        <w:rPr>
          <w:rFonts w:ascii="Arial" w:hAnsi="Arial"/>
          <w:i/>
          <w:sz w:val="24"/>
        </w:rPr>
        <w:t>how</w:t>
      </w:r>
      <w:r w:rsidR="00F863C6" w:rsidRPr="00223ED4">
        <w:rPr>
          <w:rFonts w:ascii="Arial" w:hAnsi="Arial"/>
          <w:sz w:val="24"/>
        </w:rPr>
        <w:t xml:space="preserve"> </w:t>
      </w:r>
      <w:r w:rsidR="00F863C6" w:rsidRPr="00223ED4">
        <w:rPr>
          <w:rFonts w:ascii="Arial" w:hAnsi="Arial"/>
          <w:sz w:val="24"/>
        </w:rPr>
        <w:lastRenderedPageBreak/>
        <w:t xml:space="preserve">and </w:t>
      </w:r>
      <w:r w:rsidR="00F863C6" w:rsidRPr="00843DA1">
        <w:rPr>
          <w:rFonts w:ascii="Arial" w:hAnsi="Arial"/>
          <w:i/>
          <w:sz w:val="24"/>
        </w:rPr>
        <w:t>why</w:t>
      </w:r>
      <w:r w:rsidR="00F863C6" w:rsidRPr="00223ED4">
        <w:rPr>
          <w:rFonts w:ascii="Arial" w:hAnsi="Arial"/>
          <w:sz w:val="24"/>
        </w:rPr>
        <w:t xml:space="preserve"> Cloud Investigations are used to regulate personal data</w:t>
      </w:r>
      <w:r w:rsidR="00F863C6" w:rsidRPr="00223ED4">
        <w:rPr>
          <w:rFonts w:ascii="Arial" w:hAnsi="Arial" w:cs="Arial"/>
          <w:sz w:val="24"/>
        </w:rPr>
        <w:t>.</w:t>
      </w:r>
      <w:r w:rsidR="00F863C6" w:rsidRPr="00223ED4">
        <w:rPr>
          <w:rFonts w:ascii="Arial" w:hAnsi="Arial" w:cs="Arial"/>
          <w:sz w:val="24"/>
          <w:vertAlign w:val="superscript"/>
        </w:rPr>
        <w:footnoteReference w:id="54"/>
      </w:r>
      <w:r w:rsidR="00F863C6" w:rsidRPr="00223ED4">
        <w:rPr>
          <w:rFonts w:ascii="Arial" w:hAnsi="Arial" w:cs="Arial"/>
          <w:sz w:val="24"/>
        </w:rPr>
        <w:t xml:space="preserve"> </w:t>
      </w:r>
      <w:r w:rsidRPr="00223ED4">
        <w:rPr>
          <w:rFonts w:ascii="Arial" w:hAnsi="Arial" w:cs="Arial"/>
          <w:sz w:val="24"/>
        </w:rPr>
        <w:t>M</w:t>
      </w:r>
      <w:r w:rsidR="00F863C6" w:rsidRPr="00223ED4">
        <w:rPr>
          <w:rFonts w:ascii="Arial" w:hAnsi="Arial" w:cs="Arial"/>
          <w:sz w:val="24"/>
        </w:rPr>
        <w:t xml:space="preserve">y initial analysis of </w:t>
      </w:r>
      <w:r w:rsidR="00811236">
        <w:rPr>
          <w:rFonts w:ascii="Arial" w:hAnsi="Arial" w:cs="Arial"/>
          <w:sz w:val="24"/>
        </w:rPr>
        <w:t xml:space="preserve">the </w:t>
      </w:r>
      <w:r w:rsidR="00F863C6" w:rsidRPr="00223ED4">
        <w:rPr>
          <w:rFonts w:ascii="Arial" w:hAnsi="Arial" w:cs="Arial"/>
          <w:sz w:val="24"/>
        </w:rPr>
        <w:t xml:space="preserve">relevant documents made </w:t>
      </w:r>
      <w:r w:rsidR="003A6ECD">
        <w:rPr>
          <w:rFonts w:ascii="Arial" w:hAnsi="Arial" w:cs="Arial"/>
          <w:sz w:val="24"/>
        </w:rPr>
        <w:t xml:space="preserve">it </w:t>
      </w:r>
      <w:r w:rsidR="00F863C6" w:rsidRPr="00223ED4">
        <w:rPr>
          <w:rFonts w:ascii="Arial" w:hAnsi="Arial" w:cs="Arial"/>
          <w:sz w:val="24"/>
        </w:rPr>
        <w:t xml:space="preserve">clear that three categories of actors were relevant to my inquiry, namely, EU DPAs which have </w:t>
      </w:r>
      <w:r w:rsidR="00B55E9A">
        <w:rPr>
          <w:rFonts w:ascii="Arial" w:hAnsi="Arial" w:cs="Arial"/>
          <w:sz w:val="24"/>
        </w:rPr>
        <w:t xml:space="preserve">investigated </w:t>
      </w:r>
      <w:r w:rsidR="00F863C6" w:rsidRPr="00223ED4">
        <w:rPr>
          <w:rFonts w:ascii="Arial" w:hAnsi="Arial" w:cs="Arial"/>
          <w:sz w:val="24"/>
        </w:rPr>
        <w:t xml:space="preserve">or are investigating Cloud Providers, Cloud Providers which have been or are being investigated by EU DPAs, and the European institutions which play key roles in discussing </w:t>
      </w:r>
      <w:r w:rsidR="00353247" w:rsidRPr="00223ED4">
        <w:rPr>
          <w:rFonts w:ascii="Arial" w:hAnsi="Arial" w:cs="Arial"/>
          <w:sz w:val="24"/>
        </w:rPr>
        <w:t xml:space="preserve">the </w:t>
      </w:r>
      <w:r w:rsidR="00F863C6" w:rsidRPr="00223ED4">
        <w:rPr>
          <w:rFonts w:ascii="Arial" w:hAnsi="Arial" w:cs="Arial"/>
          <w:sz w:val="24"/>
        </w:rPr>
        <w:t xml:space="preserve">current and future European data protection laws. </w:t>
      </w:r>
      <w:r w:rsidR="00A447A5" w:rsidRPr="00223ED4">
        <w:rPr>
          <w:rFonts w:ascii="Arial" w:hAnsi="Arial" w:cs="Arial"/>
          <w:sz w:val="24"/>
        </w:rPr>
        <w:t xml:space="preserve">Between March and April 2014, </w:t>
      </w:r>
      <w:r w:rsidR="00F863C6" w:rsidRPr="00223ED4">
        <w:rPr>
          <w:rFonts w:ascii="Arial" w:hAnsi="Arial" w:cs="Arial"/>
          <w:sz w:val="24"/>
        </w:rPr>
        <w:t>I identified over twenty</w:t>
      </w:r>
      <w:r w:rsidR="00F863C6" w:rsidRPr="00223ED4">
        <w:rPr>
          <w:rFonts w:ascii="Arial" w:hAnsi="Arial" w:cs="Arial"/>
          <w:sz w:val="24"/>
          <w:vertAlign w:val="superscript"/>
        </w:rPr>
        <w:footnoteReference w:id="55"/>
      </w:r>
      <w:r w:rsidR="00F863C6" w:rsidRPr="00223ED4">
        <w:rPr>
          <w:rFonts w:ascii="Arial" w:hAnsi="Arial" w:cs="Arial"/>
          <w:sz w:val="24"/>
        </w:rPr>
        <w:t xml:space="preserve"> potential respondents from these three categories of actors by considering several factors including the investigative powers of EU </w:t>
      </w:r>
      <w:r w:rsidR="00F863C6" w:rsidRPr="00223ED4">
        <w:rPr>
          <w:rFonts w:ascii="Arial" w:hAnsi="Arial" w:cs="Arial"/>
          <w:sz w:val="24"/>
        </w:rPr>
        <w:lastRenderedPageBreak/>
        <w:t>DPAs,</w:t>
      </w:r>
      <w:r w:rsidR="00B8564E" w:rsidRPr="00223ED4">
        <w:rPr>
          <w:rStyle w:val="FootnoteReference"/>
          <w:rFonts w:ascii="Arial" w:hAnsi="Arial" w:cs="Arial"/>
          <w:sz w:val="24"/>
        </w:rPr>
        <w:footnoteReference w:id="56"/>
      </w:r>
      <w:r w:rsidR="00F863C6" w:rsidRPr="00223ED4">
        <w:rPr>
          <w:rFonts w:ascii="Arial" w:hAnsi="Arial" w:cs="Arial"/>
          <w:sz w:val="24"/>
        </w:rPr>
        <w:t xml:space="preserve"> the administrative rules applicable to how some EU DPAs exercise their investigative powers,</w:t>
      </w:r>
      <w:r w:rsidR="00B8564E" w:rsidRPr="00223ED4">
        <w:rPr>
          <w:rStyle w:val="FootnoteReference"/>
          <w:rFonts w:ascii="Arial" w:hAnsi="Arial" w:cs="Arial"/>
          <w:sz w:val="24"/>
        </w:rPr>
        <w:footnoteReference w:id="57"/>
      </w:r>
      <w:r w:rsidR="00F863C6" w:rsidRPr="00223ED4">
        <w:rPr>
          <w:rFonts w:ascii="Arial" w:hAnsi="Arial" w:cs="Arial"/>
          <w:sz w:val="24"/>
        </w:rPr>
        <w:t xml:space="preserve"> the EU DPAs` sizes,</w:t>
      </w:r>
      <w:r w:rsidR="00B8564E" w:rsidRPr="00223ED4">
        <w:rPr>
          <w:rStyle w:val="FootnoteReference"/>
          <w:rFonts w:ascii="Arial" w:hAnsi="Arial" w:cs="Arial"/>
          <w:sz w:val="24"/>
        </w:rPr>
        <w:footnoteReference w:id="58"/>
      </w:r>
      <w:r w:rsidR="00F863C6" w:rsidRPr="00223ED4">
        <w:rPr>
          <w:rFonts w:ascii="Arial" w:hAnsi="Arial" w:cs="Arial"/>
          <w:sz w:val="24"/>
        </w:rPr>
        <w:t xml:space="preserve"> the Cloud Pro</w:t>
      </w:r>
      <w:r w:rsidR="00811236">
        <w:rPr>
          <w:rFonts w:ascii="Arial" w:hAnsi="Arial" w:cs="Arial"/>
          <w:sz w:val="24"/>
        </w:rPr>
        <w:t>viders` offerings (e.g. single s</w:t>
      </w:r>
      <w:r w:rsidR="00F863C6" w:rsidRPr="00223ED4">
        <w:rPr>
          <w:rFonts w:ascii="Arial" w:hAnsi="Arial" w:cs="Arial"/>
          <w:sz w:val="24"/>
        </w:rPr>
        <w:t xml:space="preserve">ervice or technology, suite of services or technologies, target market </w:t>
      </w:r>
      <w:r w:rsidR="00AE729A" w:rsidRPr="00223ED4">
        <w:rPr>
          <w:rFonts w:ascii="Arial" w:hAnsi="Arial" w:cs="Arial"/>
          <w:sz w:val="24"/>
        </w:rPr>
        <w:t>etc.</w:t>
      </w:r>
      <w:r w:rsidR="00F863C6" w:rsidRPr="00223ED4">
        <w:rPr>
          <w:rFonts w:ascii="Arial" w:hAnsi="Arial" w:cs="Arial"/>
          <w:sz w:val="24"/>
        </w:rPr>
        <w:t xml:space="preserve">), </w:t>
      </w:r>
      <w:r w:rsidR="00A447A5">
        <w:rPr>
          <w:rFonts w:ascii="Arial" w:hAnsi="Arial" w:cs="Arial"/>
          <w:sz w:val="24"/>
        </w:rPr>
        <w:t xml:space="preserve">whether they are or have been involved in </w:t>
      </w:r>
      <w:r w:rsidR="00F863C6" w:rsidRPr="00223ED4">
        <w:rPr>
          <w:rFonts w:ascii="Arial" w:hAnsi="Arial" w:cs="Arial"/>
          <w:sz w:val="24"/>
        </w:rPr>
        <w:t>Cloud Investigations,</w:t>
      </w:r>
      <w:r w:rsidR="00F863C6" w:rsidRPr="00223ED4">
        <w:rPr>
          <w:rFonts w:ascii="Arial" w:hAnsi="Arial" w:cs="Arial"/>
          <w:sz w:val="24"/>
          <w:vertAlign w:val="superscript"/>
        </w:rPr>
        <w:footnoteReference w:id="59"/>
      </w:r>
      <w:r w:rsidR="00F863C6" w:rsidRPr="00223ED4">
        <w:rPr>
          <w:rFonts w:ascii="Arial" w:hAnsi="Arial" w:cs="Arial"/>
          <w:sz w:val="24"/>
        </w:rPr>
        <w:t xml:space="preserve"> and the ease with which I could secure the participation of </w:t>
      </w:r>
      <w:r w:rsidR="00811236">
        <w:rPr>
          <w:rFonts w:ascii="Arial" w:hAnsi="Arial" w:cs="Arial"/>
          <w:sz w:val="24"/>
        </w:rPr>
        <w:t xml:space="preserve">the </w:t>
      </w:r>
      <w:r w:rsidR="00F863C6" w:rsidRPr="00223ED4">
        <w:rPr>
          <w:rFonts w:ascii="Arial" w:hAnsi="Arial" w:cs="Arial"/>
          <w:sz w:val="24"/>
        </w:rPr>
        <w:t>potential respondents.</w:t>
      </w:r>
      <w:r w:rsidR="00F863C6" w:rsidRPr="00223ED4">
        <w:rPr>
          <w:rFonts w:ascii="Arial" w:hAnsi="Arial" w:cs="Arial"/>
          <w:sz w:val="24"/>
          <w:vertAlign w:val="superscript"/>
        </w:rPr>
        <w:footnoteReference w:id="60"/>
      </w:r>
      <w:r w:rsidR="00F863C6" w:rsidRPr="00223ED4">
        <w:rPr>
          <w:rFonts w:ascii="Arial" w:hAnsi="Arial" w:cs="Arial"/>
          <w:sz w:val="24"/>
        </w:rPr>
        <w:t xml:space="preserve"> </w:t>
      </w:r>
      <w:r w:rsidRPr="00223ED4">
        <w:rPr>
          <w:rFonts w:ascii="Arial" w:hAnsi="Arial" w:cs="Arial"/>
          <w:sz w:val="24"/>
        </w:rPr>
        <w:t>This</w:t>
      </w:r>
      <w:r w:rsidR="00F863C6" w:rsidRPr="00223ED4">
        <w:rPr>
          <w:rFonts w:ascii="Arial" w:hAnsi="Arial" w:cs="Arial"/>
          <w:sz w:val="24"/>
        </w:rPr>
        <w:t xml:space="preserve"> sampling strategy enabled </w:t>
      </w:r>
      <w:r w:rsidRPr="00223ED4">
        <w:rPr>
          <w:rFonts w:ascii="Arial" w:hAnsi="Arial" w:cs="Arial"/>
          <w:sz w:val="24"/>
        </w:rPr>
        <w:t>me</w:t>
      </w:r>
      <w:r w:rsidR="00F863C6" w:rsidRPr="00223ED4">
        <w:rPr>
          <w:rFonts w:ascii="Arial" w:hAnsi="Arial" w:cs="Arial"/>
          <w:sz w:val="24"/>
        </w:rPr>
        <w:t xml:space="preserve"> to interview respondents whose experiences were directly relevant to my research questions (e.g. as DPAs or Cloud </w:t>
      </w:r>
      <w:r w:rsidR="00F863C6" w:rsidRPr="00223ED4">
        <w:rPr>
          <w:rFonts w:ascii="Arial" w:hAnsi="Arial" w:cs="Arial"/>
          <w:sz w:val="24"/>
        </w:rPr>
        <w:lastRenderedPageBreak/>
        <w:t>Providers).</w:t>
      </w:r>
      <w:r w:rsidR="00F863C6" w:rsidRPr="00223ED4">
        <w:rPr>
          <w:rFonts w:ascii="Arial" w:hAnsi="Arial" w:cs="Arial"/>
          <w:sz w:val="24"/>
          <w:vertAlign w:val="superscript"/>
        </w:rPr>
        <w:footnoteReference w:id="61"/>
      </w:r>
      <w:r w:rsidR="009D7AE6" w:rsidRPr="00223ED4">
        <w:rPr>
          <w:rFonts w:ascii="Arial" w:hAnsi="Arial" w:cs="Arial"/>
          <w:sz w:val="24"/>
        </w:rPr>
        <w:t xml:space="preserve"> Institutional ethical approval was granted.</w:t>
      </w:r>
      <w:r w:rsidR="0012192B" w:rsidRPr="00223ED4">
        <w:rPr>
          <w:rStyle w:val="FootnoteReference"/>
          <w:rFonts w:ascii="Arial" w:hAnsi="Arial" w:cs="Arial"/>
          <w:sz w:val="24"/>
        </w:rPr>
        <w:footnoteReference w:id="62"/>
      </w:r>
      <w:r w:rsidR="009D7AE6" w:rsidRPr="00223ED4">
        <w:rPr>
          <w:rFonts w:ascii="Arial" w:hAnsi="Arial" w:cs="Arial"/>
          <w:sz w:val="24"/>
        </w:rPr>
        <w:t xml:space="preserve"> </w:t>
      </w:r>
      <w:r w:rsidR="00811236">
        <w:rPr>
          <w:rFonts w:ascii="Arial" w:hAnsi="Arial" w:cs="Arial"/>
          <w:sz w:val="24"/>
        </w:rPr>
        <w:t xml:space="preserve">I approached the potential respondents during the EDPD or through email and </w:t>
      </w:r>
      <w:r w:rsidR="0012192B" w:rsidRPr="00223ED4">
        <w:rPr>
          <w:rFonts w:ascii="Arial" w:hAnsi="Arial" w:cs="Arial"/>
          <w:sz w:val="24"/>
        </w:rPr>
        <w:t>social media communications.</w:t>
      </w:r>
    </w:p>
    <w:p w14:paraId="44E360E4" w14:textId="3EF39147" w:rsidR="00D811E6" w:rsidRPr="00223ED4" w:rsidRDefault="00D811E6" w:rsidP="00811236">
      <w:pPr>
        <w:spacing w:before="100" w:beforeAutospacing="1" w:after="100" w:afterAutospacing="1" w:line="360" w:lineRule="auto"/>
        <w:ind w:firstLine="709"/>
        <w:jc w:val="both"/>
        <w:rPr>
          <w:rFonts w:ascii="Arial" w:hAnsi="Arial" w:cs="Arial"/>
          <w:sz w:val="24"/>
        </w:rPr>
      </w:pPr>
      <w:r w:rsidRPr="00223ED4">
        <w:rPr>
          <w:rFonts w:ascii="Arial" w:hAnsi="Arial" w:cs="Arial"/>
          <w:sz w:val="24"/>
        </w:rPr>
        <w:lastRenderedPageBreak/>
        <w:t xml:space="preserve">I secured </w:t>
      </w:r>
      <w:r w:rsidR="004C4D8A" w:rsidRPr="00223ED4">
        <w:rPr>
          <w:rFonts w:ascii="Arial" w:hAnsi="Arial" w:cs="Arial"/>
          <w:sz w:val="24"/>
        </w:rPr>
        <w:t>fourteen</w:t>
      </w:r>
      <w:r w:rsidRPr="00223ED4">
        <w:rPr>
          <w:rFonts w:ascii="Arial" w:hAnsi="Arial" w:cs="Arial"/>
          <w:sz w:val="24"/>
        </w:rPr>
        <w:t xml:space="preserve"> interviews with DPAs,</w:t>
      </w:r>
      <w:r w:rsidRPr="00223ED4">
        <w:rPr>
          <w:rFonts w:ascii="Arial" w:hAnsi="Arial" w:cs="Arial"/>
          <w:sz w:val="24"/>
          <w:vertAlign w:val="superscript"/>
        </w:rPr>
        <w:footnoteReference w:id="63"/>
      </w:r>
      <w:r w:rsidRPr="00223ED4">
        <w:rPr>
          <w:rFonts w:ascii="Arial" w:hAnsi="Arial" w:cs="Arial"/>
          <w:sz w:val="24"/>
        </w:rPr>
        <w:t xml:space="preserve"> Cloud Providers,</w:t>
      </w:r>
      <w:r w:rsidRPr="00223ED4">
        <w:rPr>
          <w:rFonts w:ascii="Arial" w:hAnsi="Arial" w:cs="Arial"/>
          <w:sz w:val="24"/>
          <w:vertAlign w:val="superscript"/>
        </w:rPr>
        <w:footnoteReference w:id="64"/>
      </w:r>
      <w:r w:rsidRPr="00223ED4">
        <w:rPr>
          <w:rFonts w:ascii="Arial" w:hAnsi="Arial" w:cs="Arial"/>
          <w:sz w:val="24"/>
        </w:rPr>
        <w:t xml:space="preserve"> and the European institutions</w:t>
      </w:r>
      <w:r w:rsidRPr="00223ED4">
        <w:rPr>
          <w:rFonts w:ascii="Arial" w:hAnsi="Arial" w:cs="Arial"/>
          <w:sz w:val="24"/>
          <w:vertAlign w:val="superscript"/>
        </w:rPr>
        <w:footnoteReference w:id="65"/>
      </w:r>
      <w:r w:rsidRPr="00223ED4">
        <w:rPr>
          <w:rFonts w:ascii="Arial" w:hAnsi="Arial" w:cs="Arial"/>
          <w:sz w:val="24"/>
        </w:rPr>
        <w:t xml:space="preserve"> which I conducted </w:t>
      </w:r>
      <w:r w:rsidR="00F863C6" w:rsidRPr="00223ED4">
        <w:rPr>
          <w:rFonts w:ascii="Arial" w:hAnsi="Arial" w:cs="Arial"/>
          <w:sz w:val="24"/>
        </w:rPr>
        <w:t>over several days</w:t>
      </w:r>
      <w:r w:rsidRPr="00223ED4">
        <w:rPr>
          <w:rFonts w:ascii="Arial" w:hAnsi="Arial" w:cs="Arial"/>
          <w:sz w:val="24"/>
        </w:rPr>
        <w:t xml:space="preserve"> from May 2014 to December 2014. </w:t>
      </w:r>
      <w:r w:rsidR="00937FC5" w:rsidRPr="00223ED4">
        <w:rPr>
          <w:rFonts w:ascii="Arial" w:hAnsi="Arial" w:cs="Arial"/>
          <w:sz w:val="24"/>
        </w:rPr>
        <w:t xml:space="preserve">I reached </w:t>
      </w:r>
      <w:r w:rsidR="00937FC5" w:rsidRPr="00223ED4">
        <w:rPr>
          <w:rFonts w:ascii="Arial" w:hAnsi="Arial"/>
          <w:sz w:val="24"/>
        </w:rPr>
        <w:t>data</w:t>
      </w:r>
      <w:r w:rsidR="00937FC5" w:rsidRPr="00223ED4">
        <w:rPr>
          <w:rFonts w:ascii="Arial" w:hAnsi="Arial" w:cs="Arial"/>
          <w:sz w:val="24"/>
        </w:rPr>
        <w:t xml:space="preserve"> (e.g. recurrence of similar empirical findings) and theoretical (e.g. multiple data sources supporting one conclusion) saturation to ensure that my interview sample was valid.</w:t>
      </w:r>
      <w:r w:rsidR="00937FC5" w:rsidRPr="00223ED4">
        <w:rPr>
          <w:rStyle w:val="FootnoteReference"/>
          <w:rFonts w:ascii="Arial" w:hAnsi="Arial" w:cs="Arial"/>
          <w:sz w:val="24"/>
        </w:rPr>
        <w:footnoteReference w:id="66"/>
      </w:r>
      <w:r w:rsidR="00937FC5" w:rsidRPr="00223ED4">
        <w:rPr>
          <w:rFonts w:ascii="Arial" w:hAnsi="Arial" w:cs="Arial"/>
          <w:sz w:val="24"/>
        </w:rPr>
        <w:t xml:space="preserve"> </w:t>
      </w:r>
      <w:r w:rsidRPr="00223ED4">
        <w:rPr>
          <w:rFonts w:ascii="Arial" w:hAnsi="Arial" w:cs="Arial"/>
          <w:sz w:val="24"/>
        </w:rPr>
        <w:t xml:space="preserve">All my </w:t>
      </w:r>
      <w:r w:rsidRPr="00223ED4">
        <w:rPr>
          <w:rFonts w:ascii="Arial" w:hAnsi="Arial" w:cs="Arial"/>
          <w:sz w:val="24"/>
        </w:rPr>
        <w:lastRenderedPageBreak/>
        <w:t xml:space="preserve">interviews were conducted on a non-attributable basis over the telephone or by Skype depending on the respondents` availability. </w:t>
      </w:r>
      <w:r w:rsidR="004C4D8A" w:rsidRPr="00223ED4">
        <w:rPr>
          <w:rFonts w:ascii="Arial" w:hAnsi="Arial" w:cs="Arial"/>
          <w:sz w:val="24"/>
        </w:rPr>
        <w:t>Thus,</w:t>
      </w:r>
      <w:r w:rsidRPr="00223ED4">
        <w:rPr>
          <w:rFonts w:ascii="Arial" w:hAnsi="Arial" w:cs="Arial"/>
          <w:sz w:val="24"/>
        </w:rPr>
        <w:t xml:space="preserve"> I am unable to provide any information, </w:t>
      </w:r>
      <w:r w:rsidR="008959A4" w:rsidRPr="00223ED4">
        <w:rPr>
          <w:rFonts w:ascii="Arial" w:hAnsi="Arial" w:cs="Arial"/>
          <w:sz w:val="24"/>
        </w:rPr>
        <w:t>including</w:t>
      </w:r>
      <w:r w:rsidRPr="00223ED4">
        <w:rPr>
          <w:rFonts w:ascii="Arial" w:hAnsi="Arial" w:cs="Arial"/>
          <w:sz w:val="24"/>
        </w:rPr>
        <w:t xml:space="preserve"> a list of the interviewed organisations, which identifies my respondents.  On average the interviews lasted one hour. All interviews were audiotaped with the participants’ consent and transcribed in full. I ensured that the transcribed interviews produced an accurate version of what the respondents said rather than a ‘corrected version’ by using many </w:t>
      </w:r>
      <w:r w:rsidR="004C4D8A" w:rsidRPr="00223ED4">
        <w:rPr>
          <w:rFonts w:ascii="Arial" w:hAnsi="Arial" w:cs="Arial"/>
          <w:sz w:val="24"/>
        </w:rPr>
        <w:t>strategies</w:t>
      </w:r>
      <w:r w:rsidRPr="00223ED4">
        <w:rPr>
          <w:rFonts w:ascii="Arial" w:hAnsi="Arial" w:cs="Arial"/>
          <w:sz w:val="24"/>
        </w:rPr>
        <w:t xml:space="preserve"> including minimal tidying up to contextualise unclear comments.</w:t>
      </w:r>
      <w:r w:rsidRPr="00223ED4">
        <w:rPr>
          <w:rFonts w:ascii="Arial" w:hAnsi="Arial" w:cs="Arial"/>
          <w:sz w:val="24"/>
          <w:vertAlign w:val="superscript"/>
        </w:rPr>
        <w:footnoteReference w:id="67"/>
      </w:r>
      <w:r w:rsidRPr="00223ED4">
        <w:rPr>
          <w:rFonts w:ascii="Arial" w:hAnsi="Arial" w:cs="Arial"/>
          <w:sz w:val="24"/>
          <w:szCs w:val="20"/>
        </w:rPr>
        <w:t xml:space="preserve"> Interviews </w:t>
      </w:r>
      <w:r w:rsidR="0012192B" w:rsidRPr="00223ED4">
        <w:rPr>
          <w:rFonts w:ascii="Arial" w:hAnsi="Arial" w:cs="Arial"/>
          <w:sz w:val="24"/>
          <w:szCs w:val="20"/>
        </w:rPr>
        <w:t xml:space="preserve">covered key themes, such as </w:t>
      </w:r>
      <w:r w:rsidR="00811236">
        <w:rPr>
          <w:rFonts w:ascii="Arial" w:hAnsi="Arial" w:cs="Arial"/>
          <w:sz w:val="24"/>
          <w:szCs w:val="20"/>
        </w:rPr>
        <w:t>the interdependencies between t</w:t>
      </w:r>
      <w:r w:rsidRPr="00223ED4">
        <w:rPr>
          <w:rFonts w:ascii="Arial" w:hAnsi="Arial" w:cs="Arial"/>
          <w:sz w:val="24"/>
          <w:szCs w:val="20"/>
        </w:rPr>
        <w:t xml:space="preserve">he actors </w:t>
      </w:r>
      <w:r w:rsidR="00811236">
        <w:rPr>
          <w:rFonts w:ascii="Arial" w:hAnsi="Arial" w:cs="Arial"/>
          <w:sz w:val="24"/>
          <w:szCs w:val="20"/>
        </w:rPr>
        <w:t>involved in</w:t>
      </w:r>
      <w:r w:rsidRPr="00223ED4">
        <w:rPr>
          <w:rFonts w:ascii="Arial" w:hAnsi="Arial" w:cs="Arial"/>
          <w:sz w:val="24"/>
          <w:szCs w:val="20"/>
        </w:rPr>
        <w:t xml:space="preserve"> Cloud Investigations, and the factors which impact</w:t>
      </w:r>
      <w:r w:rsidR="008959A4" w:rsidRPr="00223ED4">
        <w:rPr>
          <w:rFonts w:ascii="Arial" w:hAnsi="Arial" w:cs="Arial"/>
          <w:sz w:val="24"/>
          <w:szCs w:val="20"/>
        </w:rPr>
        <w:t>ed</w:t>
      </w:r>
      <w:r w:rsidRPr="00223ED4">
        <w:rPr>
          <w:rFonts w:ascii="Arial" w:hAnsi="Arial" w:cs="Arial"/>
          <w:sz w:val="24"/>
          <w:szCs w:val="20"/>
        </w:rPr>
        <w:t xml:space="preserve"> on Cloud Investigations (e.g. </w:t>
      </w:r>
      <w:r w:rsidR="00811236">
        <w:rPr>
          <w:rFonts w:ascii="Arial" w:hAnsi="Arial" w:cs="Arial"/>
          <w:sz w:val="24"/>
          <w:szCs w:val="20"/>
        </w:rPr>
        <w:t xml:space="preserve">the </w:t>
      </w:r>
      <w:r w:rsidR="00A447A5">
        <w:rPr>
          <w:rFonts w:ascii="Arial" w:hAnsi="Arial" w:cs="Arial"/>
          <w:sz w:val="24"/>
          <w:szCs w:val="20"/>
        </w:rPr>
        <w:t>attitudes of Cloud Providers</w:t>
      </w:r>
      <w:r w:rsidRPr="00223ED4">
        <w:rPr>
          <w:rFonts w:ascii="Arial" w:hAnsi="Arial" w:cs="Arial"/>
          <w:sz w:val="24"/>
          <w:szCs w:val="20"/>
        </w:rPr>
        <w:t>). I adopted flexible and non-leading interviewing techniques</w:t>
      </w:r>
      <w:r w:rsidRPr="00223ED4">
        <w:rPr>
          <w:rFonts w:ascii="Arial" w:hAnsi="Arial" w:cs="Arial"/>
          <w:sz w:val="24"/>
          <w:vertAlign w:val="superscript"/>
        </w:rPr>
        <w:footnoteReference w:id="68"/>
      </w:r>
      <w:r w:rsidRPr="00223ED4">
        <w:rPr>
          <w:rFonts w:ascii="Arial" w:hAnsi="Arial" w:cs="Arial"/>
          <w:sz w:val="24"/>
          <w:szCs w:val="20"/>
        </w:rPr>
        <w:t xml:space="preserve"> to ensure that the respondents could tell their own stories of Cloud Investigations. I used multiple strategies to manage difficult interviews. For example, when </w:t>
      </w:r>
      <w:r w:rsidRPr="00223ED4">
        <w:rPr>
          <w:rFonts w:ascii="Arial" w:hAnsi="Arial" w:cs="Arial"/>
          <w:sz w:val="24"/>
        </w:rPr>
        <w:t xml:space="preserve">I had to ask commercially or legally sensitive questions (e.g. </w:t>
      </w:r>
      <w:r w:rsidR="008959A4" w:rsidRPr="00223ED4">
        <w:rPr>
          <w:rFonts w:ascii="Arial" w:hAnsi="Arial" w:cs="Arial"/>
          <w:sz w:val="24"/>
        </w:rPr>
        <w:t>about</w:t>
      </w:r>
      <w:r w:rsidRPr="00223ED4">
        <w:rPr>
          <w:rFonts w:ascii="Arial" w:hAnsi="Arial" w:cs="Arial"/>
          <w:sz w:val="24"/>
        </w:rPr>
        <w:t xml:space="preserve"> the </w:t>
      </w:r>
      <w:r w:rsidRPr="00223ED4">
        <w:rPr>
          <w:rFonts w:ascii="Arial" w:hAnsi="Arial" w:cs="Arial"/>
          <w:sz w:val="24"/>
        </w:rPr>
        <w:lastRenderedPageBreak/>
        <w:t>links between the Snowden revelations</w:t>
      </w:r>
      <w:r w:rsidRPr="00223ED4">
        <w:rPr>
          <w:rFonts w:ascii="Arial" w:hAnsi="Arial" w:cs="Arial"/>
          <w:sz w:val="24"/>
          <w:vertAlign w:val="superscript"/>
        </w:rPr>
        <w:footnoteReference w:id="69"/>
      </w:r>
      <w:r w:rsidRPr="00223ED4">
        <w:rPr>
          <w:rFonts w:ascii="Arial" w:hAnsi="Arial" w:cs="Arial"/>
          <w:sz w:val="24"/>
        </w:rPr>
        <w:t xml:space="preserve">  and Cloud Investigations), I phrased such questions carefully </w:t>
      </w:r>
      <w:r w:rsidR="00A447A5">
        <w:rPr>
          <w:rFonts w:ascii="Arial" w:hAnsi="Arial" w:cs="Arial"/>
          <w:sz w:val="24"/>
        </w:rPr>
        <w:t xml:space="preserve">so </w:t>
      </w:r>
      <w:r w:rsidRPr="00223ED4">
        <w:rPr>
          <w:rFonts w:ascii="Arial" w:hAnsi="Arial" w:cs="Arial"/>
          <w:sz w:val="24"/>
        </w:rPr>
        <w:t xml:space="preserve">that the respondents did not clam up. </w:t>
      </w:r>
    </w:p>
    <w:p w14:paraId="5AEF4EB4" w14:textId="1DBFAFF7" w:rsidR="008959A4" w:rsidRPr="00223ED4" w:rsidRDefault="00BC6B9E" w:rsidP="00937FC5">
      <w:pPr>
        <w:spacing w:line="360" w:lineRule="auto"/>
        <w:ind w:firstLine="851"/>
        <w:rPr>
          <w:rFonts w:ascii="Arial" w:hAnsi="Arial" w:cs="Arial"/>
          <w:sz w:val="24"/>
        </w:rPr>
      </w:pPr>
      <w:r w:rsidRPr="00223ED4">
        <w:rPr>
          <w:rFonts w:ascii="Arial" w:hAnsi="Arial" w:cs="Arial"/>
          <w:sz w:val="24"/>
        </w:rPr>
        <w:t xml:space="preserve">I analysed these three datasets </w:t>
      </w:r>
      <w:r w:rsidR="00A665AE" w:rsidRPr="00223ED4">
        <w:rPr>
          <w:rFonts w:ascii="Arial" w:hAnsi="Arial" w:cs="Arial"/>
          <w:sz w:val="24"/>
        </w:rPr>
        <w:t>in conjunction</w:t>
      </w:r>
      <w:r w:rsidR="008959A4" w:rsidRPr="00223ED4">
        <w:rPr>
          <w:rFonts w:ascii="Arial" w:hAnsi="Arial" w:cs="Arial"/>
          <w:sz w:val="24"/>
        </w:rPr>
        <w:t xml:space="preserve"> with </w:t>
      </w:r>
      <w:r w:rsidR="00A665AE" w:rsidRPr="00223ED4">
        <w:rPr>
          <w:rFonts w:ascii="Arial" w:hAnsi="Arial" w:cs="Arial"/>
          <w:sz w:val="24"/>
        </w:rPr>
        <w:t xml:space="preserve">one another. I ensured that my </w:t>
      </w:r>
      <w:r w:rsidRPr="00223ED4">
        <w:rPr>
          <w:rFonts w:ascii="Arial" w:hAnsi="Arial" w:cs="Arial"/>
          <w:sz w:val="24"/>
        </w:rPr>
        <w:t xml:space="preserve">analysis was rigorous </w:t>
      </w:r>
      <w:r w:rsidR="00F863C6" w:rsidRPr="00223ED4">
        <w:rPr>
          <w:rFonts w:ascii="Arial" w:hAnsi="Arial" w:cs="Arial"/>
          <w:sz w:val="24"/>
        </w:rPr>
        <w:t>by looking for patterns, similarities, and distinction</w:t>
      </w:r>
      <w:r w:rsidRPr="00223ED4">
        <w:rPr>
          <w:rFonts w:ascii="Arial" w:hAnsi="Arial" w:cs="Arial"/>
          <w:sz w:val="24"/>
        </w:rPr>
        <w:t>s</w:t>
      </w:r>
      <w:r w:rsidR="00F863C6" w:rsidRPr="00223ED4">
        <w:rPr>
          <w:rFonts w:ascii="Arial" w:hAnsi="Arial" w:cs="Arial"/>
          <w:sz w:val="24"/>
        </w:rPr>
        <w:t xml:space="preserve"> within and across the</w:t>
      </w:r>
      <w:r w:rsidRPr="00223ED4">
        <w:rPr>
          <w:rFonts w:ascii="Arial" w:hAnsi="Arial" w:cs="Arial"/>
          <w:sz w:val="24"/>
        </w:rPr>
        <w:t xml:space="preserve"> datasets</w:t>
      </w:r>
      <w:r w:rsidR="00F863C6" w:rsidRPr="00223ED4">
        <w:rPr>
          <w:rFonts w:ascii="Arial" w:hAnsi="Arial" w:cs="Arial"/>
          <w:sz w:val="24"/>
        </w:rPr>
        <w:t xml:space="preserve"> that shed light on the research questions.</w:t>
      </w:r>
      <w:r w:rsidR="00F863C6" w:rsidRPr="00223ED4">
        <w:rPr>
          <w:rFonts w:ascii="Arial" w:hAnsi="Arial" w:cs="Arial"/>
          <w:sz w:val="24"/>
          <w:vertAlign w:val="superscript"/>
        </w:rPr>
        <w:footnoteReference w:id="70"/>
      </w:r>
      <w:r w:rsidR="00F863C6" w:rsidRPr="00223ED4">
        <w:rPr>
          <w:rFonts w:ascii="Arial" w:hAnsi="Arial" w:cs="Arial"/>
          <w:sz w:val="24"/>
        </w:rPr>
        <w:t xml:space="preserve"> </w:t>
      </w:r>
      <w:r w:rsidRPr="00223ED4">
        <w:rPr>
          <w:rFonts w:ascii="Arial" w:hAnsi="Arial" w:cs="Arial"/>
          <w:sz w:val="24"/>
        </w:rPr>
        <w:t xml:space="preserve">Here, </w:t>
      </w:r>
      <w:r w:rsidR="00F863C6" w:rsidRPr="00223ED4">
        <w:rPr>
          <w:rFonts w:ascii="Arial" w:hAnsi="Arial" w:cs="Arial"/>
          <w:sz w:val="24"/>
        </w:rPr>
        <w:t>I read the dataset</w:t>
      </w:r>
      <w:r w:rsidRPr="00223ED4">
        <w:rPr>
          <w:rFonts w:ascii="Arial" w:hAnsi="Arial" w:cs="Arial"/>
          <w:sz w:val="24"/>
        </w:rPr>
        <w:t>s</w:t>
      </w:r>
      <w:r w:rsidR="00F863C6" w:rsidRPr="00223ED4">
        <w:rPr>
          <w:rFonts w:ascii="Arial" w:hAnsi="Arial" w:cs="Arial"/>
          <w:sz w:val="24"/>
        </w:rPr>
        <w:t xml:space="preserve"> in </w:t>
      </w:r>
      <w:r w:rsidRPr="00223ED4">
        <w:rPr>
          <w:rFonts w:ascii="Arial" w:hAnsi="Arial" w:cs="Arial"/>
          <w:sz w:val="24"/>
        </w:rPr>
        <w:t>their</w:t>
      </w:r>
      <w:r w:rsidR="00F863C6" w:rsidRPr="00223ED4">
        <w:rPr>
          <w:rFonts w:ascii="Arial" w:hAnsi="Arial" w:cs="Arial"/>
          <w:sz w:val="24"/>
        </w:rPr>
        <w:t xml:space="preserve"> entirety first without assigning any themes to </w:t>
      </w:r>
      <w:r w:rsidRPr="00223ED4">
        <w:rPr>
          <w:rFonts w:ascii="Arial" w:hAnsi="Arial" w:cs="Arial"/>
          <w:sz w:val="24"/>
        </w:rPr>
        <w:t>them</w:t>
      </w:r>
      <w:r w:rsidR="00F863C6" w:rsidRPr="00223ED4">
        <w:rPr>
          <w:rFonts w:ascii="Arial" w:hAnsi="Arial" w:cs="Arial"/>
          <w:sz w:val="24"/>
        </w:rPr>
        <w:t>.</w:t>
      </w:r>
      <w:r w:rsidR="00F863C6" w:rsidRPr="00223ED4">
        <w:rPr>
          <w:rFonts w:ascii="Arial" w:hAnsi="Arial" w:cs="Arial"/>
          <w:sz w:val="24"/>
          <w:vertAlign w:val="superscript"/>
        </w:rPr>
        <w:footnoteReference w:id="71"/>
      </w:r>
      <w:r w:rsidR="00811236">
        <w:rPr>
          <w:rFonts w:ascii="Arial" w:hAnsi="Arial" w:cs="Arial"/>
          <w:sz w:val="24"/>
        </w:rPr>
        <w:t xml:space="preserve"> Then, I, </w:t>
      </w:r>
      <w:r w:rsidR="00F863C6" w:rsidRPr="00223ED4">
        <w:rPr>
          <w:rFonts w:ascii="Arial" w:hAnsi="Arial" w:cs="Arial"/>
          <w:sz w:val="24"/>
        </w:rPr>
        <w:t>read the dataset</w:t>
      </w:r>
      <w:r w:rsidRPr="00223ED4">
        <w:rPr>
          <w:rFonts w:ascii="Arial" w:hAnsi="Arial" w:cs="Arial"/>
          <w:sz w:val="24"/>
        </w:rPr>
        <w:t>s</w:t>
      </w:r>
      <w:r w:rsidR="00F863C6" w:rsidRPr="00223ED4">
        <w:rPr>
          <w:rFonts w:ascii="Arial" w:hAnsi="Arial" w:cs="Arial"/>
          <w:sz w:val="24"/>
        </w:rPr>
        <w:t xml:space="preserve"> over and over again, highlighted</w:t>
      </w:r>
      <w:r w:rsidR="00A447A5">
        <w:rPr>
          <w:rFonts w:ascii="Arial" w:hAnsi="Arial" w:cs="Arial"/>
          <w:sz w:val="24"/>
        </w:rPr>
        <w:t>,</w:t>
      </w:r>
      <w:r w:rsidR="00F863C6" w:rsidRPr="00223ED4">
        <w:rPr>
          <w:rFonts w:ascii="Arial" w:hAnsi="Arial" w:cs="Arial"/>
          <w:sz w:val="24"/>
        </w:rPr>
        <w:t xml:space="preserve"> and annotated the relevant sections (e.g. explanation building and pattern-matching).</w:t>
      </w:r>
      <w:r w:rsidR="00F863C6" w:rsidRPr="00223ED4">
        <w:rPr>
          <w:rFonts w:ascii="Arial" w:hAnsi="Arial" w:cs="Arial"/>
          <w:sz w:val="24"/>
          <w:vertAlign w:val="superscript"/>
        </w:rPr>
        <w:t xml:space="preserve"> </w:t>
      </w:r>
      <w:r w:rsidR="00F863C6" w:rsidRPr="00223ED4">
        <w:rPr>
          <w:rFonts w:ascii="Arial" w:hAnsi="Arial" w:cs="Arial"/>
          <w:sz w:val="24"/>
          <w:vertAlign w:val="superscript"/>
        </w:rPr>
        <w:footnoteReference w:id="72"/>
      </w:r>
      <w:r w:rsidR="00F863C6" w:rsidRPr="00223ED4">
        <w:rPr>
          <w:rFonts w:ascii="Arial" w:hAnsi="Arial" w:cs="Arial"/>
          <w:sz w:val="24"/>
        </w:rPr>
        <w:t xml:space="preserve"> I used the highlighted extracts and annotations to generate self-explana</w:t>
      </w:r>
      <w:r w:rsidR="00F863C6" w:rsidRPr="00223ED4">
        <w:rPr>
          <w:rFonts w:ascii="Arial" w:hAnsi="Arial" w:cs="Arial"/>
          <w:sz w:val="24"/>
        </w:rPr>
        <w:lastRenderedPageBreak/>
        <w:t>tory descriptive themes</w:t>
      </w:r>
      <w:r w:rsidR="00396099">
        <w:rPr>
          <w:rFonts w:ascii="Arial" w:hAnsi="Arial" w:cs="Arial"/>
          <w:sz w:val="24"/>
        </w:rPr>
        <w:t xml:space="preserve"> and sub-themes</w:t>
      </w:r>
      <w:r w:rsidR="00F863C6" w:rsidRPr="00223ED4">
        <w:rPr>
          <w:rFonts w:ascii="Arial" w:hAnsi="Arial" w:cs="Arial"/>
          <w:sz w:val="24"/>
        </w:rPr>
        <w:t xml:space="preserve"> which were close to the data</w:t>
      </w:r>
      <w:r w:rsidR="00811236">
        <w:rPr>
          <w:rFonts w:ascii="Arial" w:hAnsi="Arial" w:cs="Arial"/>
          <w:sz w:val="24"/>
        </w:rPr>
        <w:t xml:space="preserve"> (e.g. ‘the Cloud Providers` attitudes </w:t>
      </w:r>
      <w:r w:rsidR="008959A4" w:rsidRPr="00223ED4">
        <w:rPr>
          <w:rFonts w:ascii="Arial" w:hAnsi="Arial" w:cs="Arial"/>
          <w:sz w:val="24"/>
        </w:rPr>
        <w:t>to Cloud Investigations’)</w:t>
      </w:r>
      <w:r w:rsidR="00F863C6" w:rsidRPr="00223ED4">
        <w:rPr>
          <w:rFonts w:ascii="Arial" w:hAnsi="Arial" w:cs="Arial"/>
          <w:sz w:val="24"/>
        </w:rPr>
        <w:t>.</w:t>
      </w:r>
      <w:r w:rsidR="008959A4" w:rsidRPr="00223ED4">
        <w:rPr>
          <w:rFonts w:ascii="Arial" w:hAnsi="Arial" w:cs="Arial"/>
          <w:sz w:val="24"/>
          <w:vertAlign w:val="superscript"/>
        </w:rPr>
        <w:t xml:space="preserve"> </w:t>
      </w:r>
      <w:r w:rsidR="008959A4" w:rsidRPr="00223ED4">
        <w:rPr>
          <w:rFonts w:ascii="Arial" w:hAnsi="Arial" w:cs="Arial"/>
          <w:sz w:val="24"/>
        </w:rPr>
        <w:t xml:space="preserve"> </w:t>
      </w:r>
      <w:r w:rsidR="00F863C6" w:rsidRPr="00223ED4">
        <w:rPr>
          <w:rFonts w:ascii="Arial" w:hAnsi="Arial" w:cs="Arial"/>
          <w:sz w:val="24"/>
        </w:rPr>
        <w:t xml:space="preserve">Moreover, I evaluated the </w:t>
      </w:r>
      <w:r w:rsidR="00F863C6" w:rsidRPr="00223ED4">
        <w:rPr>
          <w:rFonts w:ascii="Arial" w:hAnsi="Arial"/>
          <w:sz w:val="24"/>
        </w:rPr>
        <w:t>discursive</w:t>
      </w:r>
      <w:r w:rsidR="00A447A5">
        <w:rPr>
          <w:rFonts w:ascii="Arial" w:hAnsi="Arial"/>
          <w:sz w:val="24"/>
        </w:rPr>
        <w:t xml:space="preserve"> </w:t>
      </w:r>
      <w:r w:rsidR="00F863C6" w:rsidRPr="00223ED4">
        <w:rPr>
          <w:rFonts w:ascii="Arial" w:hAnsi="Arial"/>
          <w:sz w:val="24"/>
        </w:rPr>
        <w:t>arrangements</w:t>
      </w:r>
      <w:r w:rsidR="00F863C6" w:rsidRPr="00223ED4">
        <w:rPr>
          <w:rFonts w:ascii="Arial" w:hAnsi="Arial" w:cs="Arial"/>
          <w:sz w:val="24"/>
        </w:rPr>
        <w:t xml:space="preserve"> </w:t>
      </w:r>
      <w:r w:rsidR="00811236">
        <w:rPr>
          <w:rFonts w:ascii="Arial" w:hAnsi="Arial"/>
          <w:sz w:val="24"/>
        </w:rPr>
        <w:t>(i.e. how they relate to one another)</w:t>
      </w:r>
      <w:r w:rsidR="00811236" w:rsidRPr="00223ED4">
        <w:rPr>
          <w:rFonts w:ascii="Arial" w:hAnsi="Arial"/>
          <w:sz w:val="24"/>
        </w:rPr>
        <w:t xml:space="preserve"> </w:t>
      </w:r>
      <w:r w:rsidR="00F863C6" w:rsidRPr="00223ED4">
        <w:rPr>
          <w:rFonts w:ascii="Arial" w:hAnsi="Arial" w:cs="Arial"/>
          <w:sz w:val="24"/>
        </w:rPr>
        <w:t>between the themes and the constituting sub-themes of each theme</w:t>
      </w:r>
      <w:r w:rsidR="008959A4" w:rsidRPr="00223ED4">
        <w:rPr>
          <w:rFonts w:ascii="Arial" w:hAnsi="Arial" w:cs="Arial"/>
          <w:sz w:val="24"/>
        </w:rPr>
        <w:t xml:space="preserve"> (e.g. </w:t>
      </w:r>
      <w:r w:rsidR="005722DE">
        <w:rPr>
          <w:rFonts w:ascii="Arial" w:hAnsi="Arial" w:cs="Arial"/>
          <w:sz w:val="24"/>
        </w:rPr>
        <w:t xml:space="preserve">the links between the EU DPAs` </w:t>
      </w:r>
      <w:r w:rsidR="00937FC5" w:rsidRPr="00223ED4">
        <w:rPr>
          <w:rFonts w:ascii="Arial" w:hAnsi="Arial" w:cs="Arial"/>
          <w:sz w:val="24"/>
        </w:rPr>
        <w:t xml:space="preserve">regulatory enforcement styles </w:t>
      </w:r>
      <w:r w:rsidR="005722DE">
        <w:rPr>
          <w:rFonts w:ascii="Arial" w:hAnsi="Arial" w:cs="Arial"/>
          <w:sz w:val="24"/>
        </w:rPr>
        <w:t>and</w:t>
      </w:r>
      <w:r w:rsidR="00937FC5" w:rsidRPr="00223ED4">
        <w:rPr>
          <w:rFonts w:ascii="Arial" w:hAnsi="Arial" w:cs="Arial"/>
          <w:sz w:val="24"/>
        </w:rPr>
        <w:t xml:space="preserve"> </w:t>
      </w:r>
      <w:r w:rsidR="005722DE">
        <w:rPr>
          <w:rFonts w:ascii="Arial" w:hAnsi="Arial" w:cs="Arial"/>
          <w:sz w:val="24"/>
        </w:rPr>
        <w:t xml:space="preserve">the Cloud Providers` </w:t>
      </w:r>
      <w:r w:rsidR="00937FC5" w:rsidRPr="00223ED4">
        <w:rPr>
          <w:rFonts w:ascii="Arial" w:hAnsi="Arial" w:cs="Arial"/>
          <w:sz w:val="24"/>
        </w:rPr>
        <w:t xml:space="preserve">compliance attitudes). </w:t>
      </w:r>
      <w:r w:rsidR="00A447A5">
        <w:rPr>
          <w:rFonts w:ascii="Arial" w:hAnsi="Arial" w:cs="Arial"/>
          <w:sz w:val="24"/>
        </w:rPr>
        <w:t>I</w:t>
      </w:r>
      <w:r w:rsidR="00937FC5" w:rsidRPr="00223ED4">
        <w:rPr>
          <w:rFonts w:ascii="Arial" w:hAnsi="Arial" w:cs="Arial"/>
          <w:sz w:val="24"/>
        </w:rPr>
        <w:t xml:space="preserve"> </w:t>
      </w:r>
      <w:r w:rsidR="00396099">
        <w:rPr>
          <w:rFonts w:ascii="Arial" w:hAnsi="Arial" w:cs="Arial"/>
          <w:sz w:val="24"/>
        </w:rPr>
        <w:t xml:space="preserve">also </w:t>
      </w:r>
      <w:r w:rsidR="00937FC5" w:rsidRPr="00223ED4">
        <w:rPr>
          <w:rFonts w:ascii="Arial" w:hAnsi="Arial" w:cs="Arial"/>
          <w:sz w:val="24"/>
        </w:rPr>
        <w:t>used theoretical notions</w:t>
      </w:r>
      <w:r w:rsidR="00F863C6" w:rsidRPr="00223ED4">
        <w:rPr>
          <w:rFonts w:ascii="Arial" w:hAnsi="Arial" w:cs="Arial"/>
          <w:sz w:val="24"/>
        </w:rPr>
        <w:t xml:space="preserve"> to generate more abstract themes</w:t>
      </w:r>
      <w:r w:rsidR="00937FC5" w:rsidRPr="00223ED4">
        <w:rPr>
          <w:rFonts w:ascii="Arial" w:hAnsi="Arial" w:cs="Arial"/>
          <w:sz w:val="24"/>
        </w:rPr>
        <w:t>.</w:t>
      </w:r>
      <w:r w:rsidR="00F863C6" w:rsidRPr="00223ED4">
        <w:rPr>
          <w:rFonts w:ascii="Arial" w:hAnsi="Arial" w:cs="Arial"/>
          <w:sz w:val="24"/>
          <w:vertAlign w:val="superscript"/>
        </w:rPr>
        <w:t xml:space="preserve"> </w:t>
      </w:r>
      <w:r w:rsidR="00D36A12" w:rsidRPr="00223ED4">
        <w:rPr>
          <w:rFonts w:ascii="Arial" w:hAnsi="Arial" w:cs="Arial"/>
          <w:sz w:val="24"/>
          <w:vertAlign w:val="superscript"/>
        </w:rPr>
        <w:t xml:space="preserve"> </w:t>
      </w:r>
      <w:r w:rsidR="00C63C5F" w:rsidRPr="00223ED4">
        <w:rPr>
          <w:rFonts w:ascii="Arial" w:hAnsi="Arial" w:cs="Arial"/>
          <w:sz w:val="24"/>
        </w:rPr>
        <w:t>Finally</w:t>
      </w:r>
      <w:r w:rsidR="00F863C6" w:rsidRPr="00223ED4">
        <w:rPr>
          <w:rFonts w:ascii="Arial" w:hAnsi="Arial" w:cs="Arial"/>
          <w:sz w:val="24"/>
        </w:rPr>
        <w:t>, I looked for the ‘black swans’ or empirical data which challenged my theore</w:t>
      </w:r>
      <w:r w:rsidR="00C63C5F" w:rsidRPr="00223ED4">
        <w:rPr>
          <w:rFonts w:ascii="Arial" w:hAnsi="Arial" w:cs="Arial"/>
          <w:sz w:val="24"/>
        </w:rPr>
        <w:t>tical and empirical assumptions to ensure that my data analysis was valid.</w:t>
      </w:r>
      <w:r w:rsidR="00F863C6" w:rsidRPr="00223ED4">
        <w:rPr>
          <w:rFonts w:ascii="Arial" w:eastAsia="Calibri" w:hAnsi="Arial" w:cs="Arial"/>
          <w:sz w:val="24"/>
          <w:vertAlign w:val="superscript"/>
        </w:rPr>
        <w:t xml:space="preserve"> </w:t>
      </w:r>
      <w:r w:rsidR="00F863C6" w:rsidRPr="00223ED4">
        <w:rPr>
          <w:rFonts w:ascii="Arial" w:eastAsia="Calibri" w:hAnsi="Arial" w:cs="Arial"/>
          <w:sz w:val="24"/>
          <w:vertAlign w:val="superscript"/>
        </w:rPr>
        <w:footnoteReference w:id="73"/>
      </w:r>
      <w:bookmarkStart w:id="4" w:name="_Toc412898996"/>
      <w:bookmarkStart w:id="5" w:name="_Toc527953324"/>
      <w:bookmarkEnd w:id="3"/>
      <w:r w:rsidR="00D573CD" w:rsidRPr="00223ED4">
        <w:rPr>
          <w:rFonts w:ascii="Arial" w:hAnsi="Arial" w:cs="Arial"/>
          <w:sz w:val="24"/>
          <w:vertAlign w:val="superscript"/>
        </w:rPr>
        <w:t xml:space="preserve"> </w:t>
      </w:r>
    </w:p>
    <w:p w14:paraId="4D70F609" w14:textId="22D0E744" w:rsidR="005A0F26" w:rsidRPr="00223ED4" w:rsidRDefault="00AD580B" w:rsidP="00AD580B">
      <w:pPr>
        <w:spacing w:line="360" w:lineRule="auto"/>
        <w:ind w:firstLine="851"/>
        <w:rPr>
          <w:rFonts w:ascii="Arial" w:eastAsia="Calibri" w:hAnsi="Arial" w:cs="Arial"/>
          <w:sz w:val="24"/>
        </w:rPr>
      </w:pPr>
      <w:r w:rsidRPr="00223ED4">
        <w:rPr>
          <w:rFonts w:ascii="Arial" w:eastAsia="Calibri" w:hAnsi="Arial" w:cs="Arial"/>
          <w:sz w:val="24"/>
        </w:rPr>
        <w:t xml:space="preserve">Having explained my </w:t>
      </w:r>
      <w:r w:rsidR="008959A4" w:rsidRPr="00223ED4">
        <w:rPr>
          <w:rFonts w:ascii="Arial" w:eastAsia="Calibri" w:hAnsi="Arial" w:cs="Arial"/>
          <w:sz w:val="24"/>
        </w:rPr>
        <w:t xml:space="preserve">methodological approach, </w:t>
      </w:r>
      <w:r w:rsidR="00C63C5F" w:rsidRPr="00223ED4">
        <w:rPr>
          <w:rFonts w:ascii="Arial" w:eastAsia="Calibri" w:hAnsi="Arial" w:cs="Arial"/>
          <w:sz w:val="24"/>
        </w:rPr>
        <w:t>next</w:t>
      </w:r>
      <w:r w:rsidR="008959A4" w:rsidRPr="00223ED4">
        <w:rPr>
          <w:rFonts w:ascii="Arial" w:eastAsia="Calibri" w:hAnsi="Arial" w:cs="Arial"/>
          <w:sz w:val="24"/>
        </w:rPr>
        <w:t>, I critically examine</w:t>
      </w:r>
      <w:r w:rsidRPr="00223ED4">
        <w:rPr>
          <w:rFonts w:ascii="Arial" w:eastAsia="Calibri" w:hAnsi="Arial" w:cs="Arial"/>
          <w:sz w:val="24"/>
        </w:rPr>
        <w:t xml:space="preserve"> how Cloud Investigations</w:t>
      </w:r>
      <w:r w:rsidR="004C4D8A" w:rsidRPr="00223ED4">
        <w:rPr>
          <w:rFonts w:ascii="Arial" w:eastAsia="Calibri" w:hAnsi="Arial" w:cs="Arial"/>
          <w:sz w:val="24"/>
        </w:rPr>
        <w:t>,</w:t>
      </w:r>
      <w:r w:rsidRPr="00223ED4">
        <w:rPr>
          <w:rFonts w:ascii="Arial" w:eastAsia="Calibri" w:hAnsi="Arial" w:cs="Arial"/>
          <w:sz w:val="24"/>
        </w:rPr>
        <w:t xml:space="preserve"> conducted jointly by DPAs operating in different jurisdictions</w:t>
      </w:r>
      <w:r w:rsidR="004C4D8A" w:rsidRPr="00223ED4">
        <w:rPr>
          <w:rFonts w:ascii="Arial" w:eastAsia="Calibri" w:hAnsi="Arial" w:cs="Arial"/>
          <w:sz w:val="24"/>
        </w:rPr>
        <w:t>,</w:t>
      </w:r>
      <w:r w:rsidRPr="00223ED4">
        <w:rPr>
          <w:rFonts w:ascii="Arial" w:eastAsia="Calibri" w:hAnsi="Arial" w:cs="Arial"/>
          <w:sz w:val="24"/>
        </w:rPr>
        <w:t xml:space="preserve"> can be understood as </w:t>
      </w:r>
      <w:r w:rsidR="00FF271B" w:rsidRPr="00223ED4">
        <w:rPr>
          <w:rFonts w:ascii="Arial" w:eastAsia="Calibri" w:hAnsi="Arial" w:cs="Arial"/>
          <w:sz w:val="24"/>
        </w:rPr>
        <w:t xml:space="preserve">complex regulatory processes </w:t>
      </w:r>
      <w:r w:rsidR="00CE5B2E" w:rsidRPr="00223ED4">
        <w:rPr>
          <w:rFonts w:ascii="Arial" w:eastAsia="Calibri" w:hAnsi="Arial" w:cs="Arial"/>
          <w:sz w:val="24"/>
        </w:rPr>
        <w:t>composed of various parts including</w:t>
      </w:r>
      <w:r w:rsidR="00F5371C" w:rsidRPr="00223ED4">
        <w:rPr>
          <w:rFonts w:ascii="Arial" w:eastAsia="Calibri" w:hAnsi="Arial" w:cs="Arial"/>
          <w:sz w:val="24"/>
        </w:rPr>
        <w:t xml:space="preserve"> regulatory capacities, and diverse practices. </w:t>
      </w:r>
      <w:bookmarkStart w:id="6" w:name="_Toc412898998"/>
      <w:bookmarkEnd w:id="4"/>
    </w:p>
    <w:p w14:paraId="42C7F82F" w14:textId="5683A067" w:rsidR="00F37181" w:rsidRPr="00223ED4" w:rsidRDefault="0049206C" w:rsidP="0049206C">
      <w:pPr>
        <w:keepNext/>
        <w:spacing w:before="100" w:beforeAutospacing="1" w:after="100" w:afterAutospacing="1" w:line="360" w:lineRule="auto"/>
        <w:outlineLvl w:val="1"/>
        <w:rPr>
          <w:rFonts w:ascii="Arial" w:eastAsia="Times New Roman" w:hAnsi="Arial" w:cs="Arial"/>
          <w:iCs/>
          <w:kern w:val="32"/>
          <w:sz w:val="32"/>
        </w:rPr>
      </w:pPr>
      <w:r w:rsidRPr="00223ED4">
        <w:rPr>
          <w:rFonts w:ascii="Arial" w:eastAsia="Times New Roman" w:hAnsi="Arial" w:cs="Arial"/>
          <w:iCs/>
          <w:kern w:val="32"/>
          <w:sz w:val="32"/>
        </w:rPr>
        <w:lastRenderedPageBreak/>
        <w:t>CROSS-BORDER JOINT ENFORCEMENT ACTION</w:t>
      </w:r>
      <w:r w:rsidR="00CD00DF" w:rsidRPr="00223ED4">
        <w:rPr>
          <w:rFonts w:ascii="Arial" w:eastAsia="Times New Roman" w:hAnsi="Arial" w:cs="Arial"/>
          <w:iCs/>
          <w:kern w:val="32"/>
          <w:sz w:val="32"/>
        </w:rPr>
        <w:t>: REGULATORY</w:t>
      </w:r>
      <w:r w:rsidRPr="00223ED4">
        <w:rPr>
          <w:rFonts w:ascii="Arial" w:eastAsia="Times New Roman" w:hAnsi="Arial" w:cs="Arial"/>
          <w:iCs/>
          <w:kern w:val="32"/>
          <w:sz w:val="32"/>
        </w:rPr>
        <w:t xml:space="preserve"> CAPACITIES, FACILITATIVE INSTRUMENTS AND STRATEGIC DELIBERATIONS</w:t>
      </w:r>
      <w:bookmarkEnd w:id="6"/>
      <w:r w:rsidRPr="00223ED4">
        <w:rPr>
          <w:rFonts w:ascii="Arial" w:eastAsia="Times New Roman" w:hAnsi="Arial" w:cs="Arial"/>
          <w:iCs/>
          <w:kern w:val="32"/>
          <w:sz w:val="32"/>
        </w:rPr>
        <w:t xml:space="preserve"> </w:t>
      </w:r>
    </w:p>
    <w:p w14:paraId="7ECE6981" w14:textId="663196D8" w:rsidR="00F37181" w:rsidRPr="00223ED4" w:rsidRDefault="00FF271B" w:rsidP="00FF271B">
      <w:pPr>
        <w:spacing w:line="360" w:lineRule="auto"/>
        <w:rPr>
          <w:rFonts w:ascii="Arial" w:hAnsi="Arial" w:cs="Arial"/>
          <w:sz w:val="24"/>
        </w:rPr>
      </w:pPr>
      <w:r w:rsidRPr="00223ED4">
        <w:rPr>
          <w:rFonts w:ascii="Arial" w:hAnsi="Arial" w:cs="Arial"/>
          <w:sz w:val="24"/>
        </w:rPr>
        <w:t>Collaborative tasks amongst DPAs operating within different legal frameworks are significant in an increasingly globalised context to ensure that common data protection principles, derived from distinct data protection laws, are applied and enforced consistently.</w:t>
      </w:r>
      <w:r w:rsidRPr="00223ED4">
        <w:rPr>
          <w:rStyle w:val="FootnoteReference"/>
          <w:rFonts w:ascii="Arial" w:hAnsi="Arial" w:cs="Arial"/>
          <w:sz w:val="24"/>
        </w:rPr>
        <w:footnoteReference w:id="74"/>
      </w:r>
      <w:r w:rsidRPr="00223ED4">
        <w:rPr>
          <w:rFonts w:ascii="Arial" w:hAnsi="Arial" w:cs="Arial"/>
          <w:sz w:val="24"/>
        </w:rPr>
        <w:t xml:space="preserve"> </w:t>
      </w:r>
      <w:r w:rsidR="00AD580B" w:rsidRPr="00223ED4">
        <w:rPr>
          <w:rFonts w:ascii="Arial" w:hAnsi="Arial" w:cs="Arial"/>
          <w:sz w:val="24"/>
        </w:rPr>
        <w:t>H</w:t>
      </w:r>
      <w:r w:rsidRPr="00223ED4">
        <w:rPr>
          <w:rFonts w:ascii="Arial" w:hAnsi="Arial" w:cs="Arial"/>
          <w:sz w:val="24"/>
        </w:rPr>
        <w:t xml:space="preserve">ow </w:t>
      </w:r>
      <w:r w:rsidR="0049206C" w:rsidRPr="00223ED4">
        <w:rPr>
          <w:rFonts w:ascii="Arial" w:eastAsia="Calibri" w:hAnsi="Arial" w:cs="Arial"/>
          <w:sz w:val="24"/>
        </w:rPr>
        <w:t xml:space="preserve">are </w:t>
      </w:r>
      <w:r w:rsidR="0049206C" w:rsidRPr="00223ED4">
        <w:rPr>
          <w:rFonts w:ascii="Arial" w:eastAsia="Calibri" w:hAnsi="Arial" w:cs="Arial"/>
          <w:sz w:val="24"/>
        </w:rPr>
        <w:lastRenderedPageBreak/>
        <w:t>such types of high-level collaborations organised to achieve effective transnational regulation</w:t>
      </w:r>
      <w:r w:rsidR="00AD580B" w:rsidRPr="00223ED4">
        <w:rPr>
          <w:rFonts w:ascii="Arial" w:eastAsia="Calibri" w:hAnsi="Arial" w:cs="Arial"/>
          <w:sz w:val="24"/>
        </w:rPr>
        <w:t xml:space="preserve"> in the cloud?</w:t>
      </w:r>
      <w:r w:rsidR="00AD580B" w:rsidRPr="00223ED4">
        <w:rPr>
          <w:rStyle w:val="FootnoteReference"/>
          <w:rFonts w:ascii="Arial" w:eastAsia="Calibri" w:hAnsi="Arial" w:cs="Arial"/>
          <w:sz w:val="24"/>
        </w:rPr>
        <w:t xml:space="preserve"> </w:t>
      </w:r>
      <w:r w:rsidR="00AD580B" w:rsidRPr="00223ED4">
        <w:rPr>
          <w:rStyle w:val="FootnoteReference"/>
          <w:rFonts w:ascii="Arial" w:eastAsia="Calibri" w:hAnsi="Arial" w:cs="Arial"/>
          <w:sz w:val="24"/>
        </w:rPr>
        <w:footnoteReference w:id="75"/>
      </w:r>
      <w:r w:rsidR="00AD580B" w:rsidRPr="00223ED4">
        <w:rPr>
          <w:rFonts w:ascii="Arial" w:eastAsia="Calibri" w:hAnsi="Arial" w:cs="Arial"/>
          <w:sz w:val="24"/>
        </w:rPr>
        <w:t xml:space="preserve"> </w:t>
      </w:r>
      <w:r w:rsidR="002409C1" w:rsidRPr="00223ED4">
        <w:rPr>
          <w:rFonts w:ascii="Arial" w:eastAsia="Calibri" w:hAnsi="Arial" w:cs="Arial"/>
          <w:sz w:val="24"/>
        </w:rPr>
        <w:t>I</w:t>
      </w:r>
      <w:r w:rsidR="00F37181" w:rsidRPr="00223ED4">
        <w:rPr>
          <w:rFonts w:ascii="Arial" w:eastAsia="Calibri" w:hAnsi="Arial" w:cs="Arial"/>
          <w:sz w:val="24"/>
        </w:rPr>
        <w:t xml:space="preserve"> propose </w:t>
      </w:r>
      <w:r w:rsidR="00F5371C" w:rsidRPr="00223ED4">
        <w:rPr>
          <w:rFonts w:ascii="Arial" w:eastAsia="Calibri" w:hAnsi="Arial" w:cs="Arial"/>
          <w:sz w:val="24"/>
        </w:rPr>
        <w:t>some</w:t>
      </w:r>
      <w:r w:rsidR="00F37181" w:rsidRPr="00223ED4">
        <w:rPr>
          <w:rFonts w:ascii="Arial" w:eastAsia="Calibri" w:hAnsi="Arial" w:cs="Arial"/>
          <w:sz w:val="24"/>
        </w:rPr>
        <w:t xml:space="preserve"> tentative answers to this question based on the joint investigation of a Cloud Provider (‘CP 4’) conducted by two </w:t>
      </w:r>
      <w:r w:rsidR="00AD580B" w:rsidRPr="00223ED4">
        <w:rPr>
          <w:rFonts w:ascii="Arial" w:eastAsia="Calibri" w:hAnsi="Arial" w:cs="Arial"/>
          <w:sz w:val="24"/>
        </w:rPr>
        <w:t>different DPAs</w:t>
      </w:r>
      <w:r w:rsidR="00F37181" w:rsidRPr="00223ED4">
        <w:rPr>
          <w:rFonts w:ascii="Arial" w:eastAsia="Calibri" w:hAnsi="Arial" w:cs="Arial"/>
          <w:sz w:val="24"/>
        </w:rPr>
        <w:t xml:space="preserve"> (‘Investigation 4’).</w:t>
      </w:r>
      <w:r w:rsidR="00F37181" w:rsidRPr="00223ED4">
        <w:rPr>
          <w:rFonts w:ascii="Arial" w:eastAsia="Calibri" w:hAnsi="Arial" w:cs="Arial"/>
          <w:sz w:val="24"/>
          <w:vertAlign w:val="superscript"/>
        </w:rPr>
        <w:footnoteReference w:id="76"/>
      </w:r>
      <w:r w:rsidR="00F37181" w:rsidRPr="00223ED4">
        <w:rPr>
          <w:rFonts w:ascii="Arial" w:eastAsia="Calibri" w:hAnsi="Arial" w:cs="Arial"/>
          <w:sz w:val="24"/>
        </w:rPr>
        <w:t xml:space="preserve"> </w:t>
      </w:r>
    </w:p>
    <w:p w14:paraId="0B3B845C" w14:textId="14274207" w:rsidR="00F37181" w:rsidRPr="00223ED4" w:rsidRDefault="00F37181" w:rsidP="0049206C">
      <w:pPr>
        <w:spacing w:after="200" w:line="360" w:lineRule="auto"/>
        <w:ind w:firstLine="851"/>
        <w:rPr>
          <w:rFonts w:ascii="Arial" w:eastAsia="Calibri" w:hAnsi="Arial" w:cs="Arial"/>
          <w:sz w:val="24"/>
        </w:rPr>
      </w:pPr>
      <w:r w:rsidRPr="00223ED4">
        <w:rPr>
          <w:rFonts w:ascii="Arial" w:eastAsia="Calibri" w:hAnsi="Arial" w:cs="Arial"/>
          <w:sz w:val="24"/>
        </w:rPr>
        <w:t>The deployment and outcomes</w:t>
      </w:r>
      <w:r w:rsidRPr="00223ED4">
        <w:rPr>
          <w:rFonts w:ascii="Arial" w:eastAsia="Calibri" w:hAnsi="Arial" w:cs="Arial"/>
          <w:sz w:val="24"/>
          <w:vertAlign w:val="superscript"/>
        </w:rPr>
        <w:footnoteReference w:id="77"/>
      </w:r>
      <w:r w:rsidRPr="00223ED4">
        <w:rPr>
          <w:rFonts w:ascii="Arial" w:eastAsia="Calibri" w:hAnsi="Arial" w:cs="Arial"/>
          <w:sz w:val="24"/>
        </w:rPr>
        <w:t xml:space="preserve"> of Investigati</w:t>
      </w:r>
      <w:r w:rsidR="0049206C" w:rsidRPr="00223ED4">
        <w:rPr>
          <w:rFonts w:ascii="Arial" w:eastAsia="Calibri" w:hAnsi="Arial" w:cs="Arial"/>
          <w:sz w:val="24"/>
        </w:rPr>
        <w:t>on 4 depended on three factors.</w:t>
      </w:r>
      <w:r w:rsidR="0049206C" w:rsidRPr="00223ED4">
        <w:rPr>
          <w:rStyle w:val="FootnoteReference"/>
          <w:rFonts w:ascii="Arial" w:eastAsia="Calibri" w:hAnsi="Arial" w:cs="Arial"/>
          <w:sz w:val="24"/>
        </w:rPr>
        <w:footnoteReference w:id="78"/>
      </w:r>
      <w:r w:rsidR="0049206C" w:rsidRPr="00223ED4">
        <w:rPr>
          <w:rFonts w:ascii="Arial" w:eastAsia="Calibri" w:hAnsi="Arial" w:cs="Arial"/>
          <w:sz w:val="24"/>
        </w:rPr>
        <w:t xml:space="preserve"> </w:t>
      </w:r>
      <w:r w:rsidRPr="00223ED4">
        <w:rPr>
          <w:rFonts w:ascii="Arial" w:eastAsia="Calibri" w:hAnsi="Arial" w:cs="Arial"/>
          <w:sz w:val="24"/>
        </w:rPr>
        <w:t>Firstly, both DPAs required regulatory capacities in the sense of actual and potential capacities to work in concert with one another during Investigation 4.</w:t>
      </w:r>
      <w:r w:rsidR="00527A66" w:rsidRPr="00223ED4">
        <w:rPr>
          <w:rFonts w:ascii="Arial" w:eastAsia="Calibri" w:hAnsi="Arial" w:cs="Arial"/>
          <w:sz w:val="24"/>
        </w:rPr>
        <w:t xml:space="preserve"> </w:t>
      </w:r>
      <w:r w:rsidRPr="00223ED4">
        <w:rPr>
          <w:rFonts w:ascii="Arial" w:eastAsia="Calibri" w:hAnsi="Arial" w:cs="Arial"/>
          <w:sz w:val="24"/>
        </w:rPr>
        <w:t xml:space="preserve">The regulatory capacities of both DPAs depended on several factors including the extent to which they could co-operate with one another during joint </w:t>
      </w:r>
      <w:r w:rsidR="00627F70" w:rsidRPr="00223ED4">
        <w:rPr>
          <w:rFonts w:ascii="Arial" w:eastAsia="Calibri" w:hAnsi="Arial" w:cs="Arial"/>
          <w:sz w:val="24"/>
        </w:rPr>
        <w:t>Cloud I</w:t>
      </w:r>
      <w:r w:rsidRPr="00223ED4">
        <w:rPr>
          <w:rFonts w:ascii="Arial" w:eastAsia="Calibri" w:hAnsi="Arial" w:cs="Arial"/>
          <w:sz w:val="24"/>
        </w:rPr>
        <w:t>nvestigations under</w:t>
      </w:r>
      <w:r w:rsidR="00627F70" w:rsidRPr="00223ED4">
        <w:rPr>
          <w:rFonts w:ascii="Arial" w:eastAsia="Calibri" w:hAnsi="Arial" w:cs="Arial"/>
          <w:sz w:val="24"/>
        </w:rPr>
        <w:t xml:space="preserve"> their respective</w:t>
      </w:r>
      <w:r w:rsidRPr="00223ED4">
        <w:rPr>
          <w:rFonts w:ascii="Arial" w:eastAsia="Calibri" w:hAnsi="Arial" w:cs="Arial"/>
          <w:sz w:val="24"/>
        </w:rPr>
        <w:t xml:space="preserve"> national laws, whether they had the resources to conduct a joint investigation (e.g. time, staff, and expertise), and </w:t>
      </w:r>
      <w:r w:rsidRPr="00223ED4">
        <w:rPr>
          <w:rFonts w:ascii="Arial" w:eastAsia="Calibri" w:hAnsi="Arial" w:cs="Arial"/>
          <w:sz w:val="24"/>
        </w:rPr>
        <w:lastRenderedPageBreak/>
        <w:t>whether they could identify common problems whic</w:t>
      </w:r>
      <w:r w:rsidR="00627F70" w:rsidRPr="00223ED4">
        <w:rPr>
          <w:rFonts w:ascii="Arial" w:eastAsia="Calibri" w:hAnsi="Arial" w:cs="Arial"/>
          <w:sz w:val="24"/>
        </w:rPr>
        <w:t>h would be resolved during the joint Cloud I</w:t>
      </w:r>
      <w:r w:rsidRPr="00223ED4">
        <w:rPr>
          <w:rFonts w:ascii="Arial" w:eastAsia="Calibri" w:hAnsi="Arial" w:cs="Arial"/>
          <w:sz w:val="24"/>
        </w:rPr>
        <w:t>nvestigation.</w:t>
      </w:r>
      <w:r w:rsidRPr="00223ED4">
        <w:rPr>
          <w:rFonts w:ascii="Arial" w:eastAsia="Calibri" w:hAnsi="Arial" w:cs="Arial"/>
          <w:sz w:val="24"/>
          <w:vertAlign w:val="superscript"/>
        </w:rPr>
        <w:footnoteReference w:id="79"/>
      </w:r>
      <w:r w:rsidRPr="00223ED4">
        <w:rPr>
          <w:rFonts w:ascii="Arial" w:eastAsia="Calibri" w:hAnsi="Arial" w:cs="Arial"/>
          <w:sz w:val="24"/>
        </w:rPr>
        <w:t xml:space="preserve"> For example, one of </w:t>
      </w:r>
      <w:r w:rsidR="0068126D" w:rsidRPr="00223ED4">
        <w:rPr>
          <w:rFonts w:ascii="Arial" w:eastAsia="Calibri" w:hAnsi="Arial" w:cs="Arial"/>
          <w:sz w:val="24"/>
        </w:rPr>
        <w:t>my</w:t>
      </w:r>
      <w:r w:rsidRPr="00223ED4">
        <w:rPr>
          <w:rFonts w:ascii="Arial" w:eastAsia="Calibri" w:hAnsi="Arial" w:cs="Arial"/>
          <w:sz w:val="24"/>
        </w:rPr>
        <w:t xml:space="preserve"> respondents told </w:t>
      </w:r>
      <w:r w:rsidR="002A1FAF">
        <w:rPr>
          <w:rFonts w:ascii="Arial" w:eastAsia="Calibri" w:hAnsi="Arial" w:cs="Arial"/>
          <w:sz w:val="24"/>
        </w:rPr>
        <w:t>me</w:t>
      </w:r>
      <w:r w:rsidRPr="00223ED4">
        <w:rPr>
          <w:rFonts w:ascii="Arial" w:eastAsia="Calibri" w:hAnsi="Arial" w:cs="Arial"/>
          <w:sz w:val="24"/>
        </w:rPr>
        <w:t xml:space="preserve"> that it would not have had the regulatory capacity to participate in Investigation 4 </w:t>
      </w:r>
      <w:r w:rsidR="00627F70" w:rsidRPr="00223ED4">
        <w:rPr>
          <w:rFonts w:ascii="Arial" w:eastAsia="Calibri" w:hAnsi="Arial" w:cs="Arial"/>
          <w:sz w:val="24"/>
        </w:rPr>
        <w:t>if its national data protection laws</w:t>
      </w:r>
      <w:r w:rsidRPr="00223ED4">
        <w:rPr>
          <w:rFonts w:ascii="Arial" w:eastAsia="Calibri" w:hAnsi="Arial" w:cs="Arial"/>
          <w:sz w:val="24"/>
        </w:rPr>
        <w:t xml:space="preserve"> were not amended a few years ago.</w:t>
      </w:r>
      <w:r w:rsidRPr="00223ED4">
        <w:rPr>
          <w:rFonts w:ascii="Arial" w:eastAsia="Calibri" w:hAnsi="Arial" w:cs="Arial"/>
          <w:sz w:val="24"/>
          <w:vertAlign w:val="superscript"/>
        </w:rPr>
        <w:footnoteReference w:id="80"/>
      </w:r>
      <w:r w:rsidRPr="00223ED4">
        <w:rPr>
          <w:rFonts w:ascii="Arial" w:eastAsia="Calibri" w:hAnsi="Arial" w:cs="Arial"/>
          <w:sz w:val="24"/>
        </w:rPr>
        <w:t xml:space="preserve"> In particular, the legislative amendments provided this DPA with a broader capacity to co-operate with other DPAs during investigations </w:t>
      </w:r>
      <w:r w:rsidR="00627F70" w:rsidRPr="00223ED4">
        <w:rPr>
          <w:rFonts w:ascii="Arial" w:eastAsia="Calibri" w:hAnsi="Arial" w:cs="Arial"/>
          <w:sz w:val="24"/>
        </w:rPr>
        <w:t>including the</w:t>
      </w:r>
      <w:r w:rsidRPr="00223ED4">
        <w:rPr>
          <w:rFonts w:ascii="Arial" w:eastAsia="Calibri" w:hAnsi="Arial" w:cs="Arial"/>
          <w:sz w:val="24"/>
        </w:rPr>
        <w:t xml:space="preserve"> power to share information and work in concert with other DPAs.</w:t>
      </w:r>
      <w:r w:rsidRPr="00223ED4">
        <w:rPr>
          <w:rFonts w:ascii="Arial" w:eastAsia="Calibri" w:hAnsi="Arial" w:cs="Arial"/>
          <w:sz w:val="24"/>
          <w:vertAlign w:val="superscript"/>
        </w:rPr>
        <w:footnoteReference w:id="81"/>
      </w:r>
      <w:r w:rsidRPr="00223ED4">
        <w:rPr>
          <w:rFonts w:ascii="Arial" w:eastAsia="Calibri" w:hAnsi="Arial" w:cs="Arial"/>
          <w:sz w:val="24"/>
        </w:rPr>
        <w:t xml:space="preserve"> </w:t>
      </w:r>
    </w:p>
    <w:p w14:paraId="0551765F" w14:textId="4E8890C2" w:rsidR="00F37181" w:rsidRPr="00223ED4" w:rsidRDefault="00F37181" w:rsidP="00F37181">
      <w:pPr>
        <w:spacing w:after="200" w:line="360" w:lineRule="auto"/>
        <w:ind w:firstLine="851"/>
        <w:rPr>
          <w:rFonts w:ascii="Arial" w:eastAsia="Calibri" w:hAnsi="Arial" w:cs="Arial"/>
          <w:sz w:val="24"/>
        </w:rPr>
      </w:pPr>
      <w:r w:rsidRPr="00223ED4">
        <w:rPr>
          <w:rFonts w:ascii="Arial" w:eastAsia="Calibri" w:hAnsi="Arial" w:cs="Arial"/>
          <w:sz w:val="24"/>
        </w:rPr>
        <w:t xml:space="preserve">Secondly, although the DPAs had the requisite regulatory capacities, Investigation 4 would not have </w:t>
      </w:r>
      <w:r w:rsidR="00AD580B" w:rsidRPr="00223ED4">
        <w:rPr>
          <w:rFonts w:ascii="Arial" w:eastAsia="Calibri" w:hAnsi="Arial" w:cs="Arial"/>
          <w:sz w:val="24"/>
        </w:rPr>
        <w:t>brought</w:t>
      </w:r>
      <w:r w:rsidRPr="00223ED4">
        <w:rPr>
          <w:rFonts w:ascii="Arial" w:eastAsia="Calibri" w:hAnsi="Arial" w:cs="Arial"/>
          <w:sz w:val="24"/>
        </w:rPr>
        <w:t xml:space="preserve"> the operations of </w:t>
      </w:r>
      <w:r w:rsidR="001620BA">
        <w:rPr>
          <w:rFonts w:ascii="Arial" w:eastAsia="Calibri" w:hAnsi="Arial" w:cs="Arial"/>
          <w:sz w:val="24"/>
        </w:rPr>
        <w:t xml:space="preserve">CP 4 </w:t>
      </w:r>
      <w:r w:rsidRPr="00223ED4">
        <w:rPr>
          <w:rFonts w:ascii="Arial" w:eastAsia="Calibri" w:hAnsi="Arial" w:cs="Arial"/>
          <w:sz w:val="24"/>
        </w:rPr>
        <w:t xml:space="preserve">in line with the shared data protection principles of the two DPAs if the regulatory capacities of the two DPAs, as set out in </w:t>
      </w:r>
      <w:r w:rsidR="00627F70" w:rsidRPr="00223ED4">
        <w:rPr>
          <w:rFonts w:ascii="Arial" w:eastAsia="Calibri" w:hAnsi="Arial" w:cs="Arial"/>
          <w:sz w:val="24"/>
        </w:rPr>
        <w:t>the relevant legislative frameworks</w:t>
      </w:r>
      <w:r w:rsidRPr="00223ED4">
        <w:rPr>
          <w:rFonts w:ascii="Arial" w:eastAsia="Calibri" w:hAnsi="Arial" w:cs="Arial"/>
          <w:sz w:val="24"/>
        </w:rPr>
        <w:t xml:space="preserve">, were not further fleshed out in facilitative instruments, such as </w:t>
      </w:r>
      <w:r w:rsidR="00627F70" w:rsidRPr="00223ED4">
        <w:rPr>
          <w:rFonts w:ascii="Arial" w:eastAsia="Calibri" w:hAnsi="Arial" w:cs="Arial"/>
          <w:sz w:val="24"/>
        </w:rPr>
        <w:t xml:space="preserve">the </w:t>
      </w:r>
      <w:r w:rsidRPr="00223ED4">
        <w:rPr>
          <w:rFonts w:ascii="Arial" w:eastAsia="Calibri" w:hAnsi="Arial" w:cs="Arial"/>
          <w:sz w:val="24"/>
        </w:rPr>
        <w:t>memoranda of understanding. Both DPAs entered into a memorandum of understanding (‘MoU1’) before Investigation 4 was triggered.</w:t>
      </w:r>
      <w:r w:rsidRPr="00223ED4">
        <w:rPr>
          <w:rFonts w:ascii="Arial" w:eastAsia="Calibri" w:hAnsi="Arial" w:cs="Arial"/>
          <w:sz w:val="24"/>
          <w:vertAlign w:val="superscript"/>
        </w:rPr>
        <w:footnoteReference w:id="82"/>
      </w:r>
      <w:r w:rsidRPr="00223ED4">
        <w:rPr>
          <w:rFonts w:ascii="Arial" w:eastAsia="Calibri" w:hAnsi="Arial" w:cs="Arial"/>
          <w:sz w:val="24"/>
        </w:rPr>
        <w:t xml:space="preserve"> For avoidance of doubt, MoU1 did not only </w:t>
      </w:r>
      <w:r w:rsidRPr="00223ED4">
        <w:rPr>
          <w:rFonts w:ascii="Arial" w:eastAsia="Calibri" w:hAnsi="Arial" w:cs="Arial"/>
          <w:sz w:val="24"/>
        </w:rPr>
        <w:lastRenderedPageBreak/>
        <w:t xml:space="preserve">govern how Investigation 4 would be carried out but also set out the responsibilities of each DPA during various types of collaborative tasks including investigations. </w:t>
      </w:r>
      <w:r w:rsidR="0068126D" w:rsidRPr="00223ED4">
        <w:rPr>
          <w:rFonts w:ascii="Arial" w:eastAsia="Calibri" w:hAnsi="Arial" w:cs="Arial"/>
          <w:sz w:val="24"/>
        </w:rPr>
        <w:t>My</w:t>
      </w:r>
      <w:r w:rsidRPr="00223ED4">
        <w:rPr>
          <w:rFonts w:ascii="Arial" w:eastAsia="Calibri" w:hAnsi="Arial" w:cs="Arial"/>
          <w:sz w:val="24"/>
        </w:rPr>
        <w:t xml:space="preserve"> analysis of the terms of MoU1</w:t>
      </w:r>
      <w:r w:rsidRPr="00223ED4">
        <w:rPr>
          <w:rFonts w:ascii="Arial" w:eastAsia="Calibri" w:hAnsi="Arial" w:cs="Arial"/>
          <w:sz w:val="24"/>
          <w:vertAlign w:val="superscript"/>
        </w:rPr>
        <w:footnoteReference w:id="83"/>
      </w:r>
      <w:r w:rsidRPr="00223ED4">
        <w:rPr>
          <w:rFonts w:ascii="Arial" w:eastAsia="Calibri" w:hAnsi="Arial" w:cs="Arial"/>
          <w:sz w:val="24"/>
        </w:rPr>
        <w:t xml:space="preserve"> showed that most of the agreed terms were similar in scope and wording to the terms of other memoranda of understanding agreed between other DPAs.</w:t>
      </w:r>
      <w:r w:rsidRPr="00223ED4">
        <w:rPr>
          <w:rFonts w:ascii="Arial" w:eastAsia="Calibri" w:hAnsi="Arial" w:cs="Arial"/>
          <w:sz w:val="24"/>
          <w:vertAlign w:val="superscript"/>
        </w:rPr>
        <w:t xml:space="preserve"> </w:t>
      </w:r>
      <w:r w:rsidRPr="00223ED4">
        <w:rPr>
          <w:rFonts w:ascii="Arial" w:eastAsia="Calibri" w:hAnsi="Arial" w:cs="Arial"/>
          <w:sz w:val="24"/>
          <w:vertAlign w:val="superscript"/>
        </w:rPr>
        <w:footnoteReference w:id="84"/>
      </w:r>
      <w:r w:rsidRPr="00223ED4">
        <w:rPr>
          <w:rFonts w:ascii="Arial" w:eastAsia="Calibri" w:hAnsi="Arial" w:cs="Arial"/>
          <w:sz w:val="24"/>
        </w:rPr>
        <w:t xml:space="preserve"> However MoU1 was different from these other memoranda of understanding as it also explicitly identified joint investigations as an area of collaboration which had ‘priority.’</w:t>
      </w:r>
      <w:r w:rsidRPr="00223ED4">
        <w:rPr>
          <w:rFonts w:ascii="Arial" w:eastAsia="Calibri" w:hAnsi="Arial" w:cs="Arial"/>
          <w:sz w:val="24"/>
          <w:vertAlign w:val="superscript"/>
        </w:rPr>
        <w:footnoteReference w:id="85"/>
      </w:r>
      <w:r w:rsidRPr="00223ED4">
        <w:rPr>
          <w:rFonts w:ascii="Arial" w:eastAsia="Calibri" w:hAnsi="Arial" w:cs="Arial"/>
          <w:sz w:val="24"/>
        </w:rPr>
        <w:t xml:space="preserve"> </w:t>
      </w:r>
      <w:r w:rsidR="0066054B" w:rsidRPr="00223ED4">
        <w:rPr>
          <w:rFonts w:ascii="Arial" w:eastAsia="Calibri" w:hAnsi="Arial" w:cs="Arial"/>
          <w:sz w:val="24"/>
        </w:rPr>
        <w:t xml:space="preserve"> </w:t>
      </w:r>
      <w:r w:rsidRPr="00223ED4">
        <w:rPr>
          <w:rFonts w:ascii="Arial" w:eastAsia="Calibri" w:hAnsi="Arial" w:cs="Arial"/>
          <w:sz w:val="24"/>
        </w:rPr>
        <w:t>MoU1 facilitated the conduct of Investigation 4 by detailing the parameters within which cross-border enforcement co-operation would take place between the two DPAs.</w:t>
      </w:r>
      <w:r w:rsidRPr="00223ED4">
        <w:rPr>
          <w:rFonts w:ascii="Arial" w:eastAsia="Calibri" w:hAnsi="Arial" w:cs="Arial"/>
          <w:sz w:val="24"/>
          <w:vertAlign w:val="superscript"/>
        </w:rPr>
        <w:footnoteReference w:id="86"/>
      </w:r>
      <w:r w:rsidRPr="00223ED4">
        <w:rPr>
          <w:rFonts w:ascii="Arial" w:eastAsia="Calibri" w:hAnsi="Arial" w:cs="Arial"/>
          <w:sz w:val="24"/>
        </w:rPr>
        <w:t xml:space="preserve"> For example, MoU1 detailed </w:t>
      </w:r>
      <w:r w:rsidRPr="00223ED4">
        <w:rPr>
          <w:rFonts w:ascii="Arial" w:eastAsia="Calibri" w:hAnsi="Arial" w:cs="Arial"/>
          <w:sz w:val="24"/>
        </w:rPr>
        <w:lastRenderedPageBreak/>
        <w:t>the resources which could be exchanged between the two DPAs and how collaborative tasks would occur in practice.</w:t>
      </w:r>
      <w:r w:rsidRPr="00223ED4">
        <w:rPr>
          <w:rFonts w:ascii="Arial" w:eastAsia="Calibri" w:hAnsi="Arial" w:cs="Arial"/>
          <w:sz w:val="24"/>
          <w:vertAlign w:val="superscript"/>
        </w:rPr>
        <w:footnoteReference w:id="87"/>
      </w:r>
      <w:r w:rsidRPr="00223ED4">
        <w:rPr>
          <w:rFonts w:ascii="Arial" w:eastAsia="Calibri" w:hAnsi="Arial" w:cs="Arial"/>
          <w:sz w:val="24"/>
        </w:rPr>
        <w:t xml:space="preserve"> </w:t>
      </w:r>
    </w:p>
    <w:p w14:paraId="2136CFCA" w14:textId="77777777" w:rsidR="00F37181" w:rsidRPr="00223ED4" w:rsidRDefault="00F37181" w:rsidP="00F37181">
      <w:pPr>
        <w:autoSpaceDE w:val="0"/>
        <w:autoSpaceDN w:val="0"/>
        <w:adjustRightInd w:val="0"/>
        <w:spacing w:after="0" w:line="240" w:lineRule="auto"/>
        <w:rPr>
          <w:rFonts w:ascii="Arial" w:hAnsi="Arial" w:cs="Arial"/>
          <w:color w:val="000000"/>
          <w:sz w:val="24"/>
        </w:rPr>
      </w:pPr>
    </w:p>
    <w:p w14:paraId="4ECE317A" w14:textId="21E9EB6F" w:rsidR="00F37181" w:rsidRPr="00223ED4" w:rsidRDefault="00F37181" w:rsidP="00F37181">
      <w:pPr>
        <w:spacing w:after="200" w:line="360" w:lineRule="auto"/>
        <w:ind w:firstLine="851"/>
        <w:rPr>
          <w:rFonts w:ascii="Arial" w:eastAsia="Calibri" w:hAnsi="Arial" w:cs="Arial"/>
          <w:sz w:val="24"/>
        </w:rPr>
      </w:pPr>
      <w:r w:rsidRPr="00223ED4">
        <w:rPr>
          <w:rFonts w:ascii="Arial" w:eastAsia="Calibri" w:hAnsi="Arial" w:cs="Arial"/>
          <w:sz w:val="24"/>
        </w:rPr>
        <w:t>Thirdly, beyond regulatory capacities and facilitative instruments,</w:t>
      </w:r>
      <w:r w:rsidR="00937FC5" w:rsidRPr="00223ED4">
        <w:rPr>
          <w:rFonts w:ascii="Arial" w:eastAsia="Calibri" w:hAnsi="Arial" w:cs="Arial"/>
          <w:sz w:val="24"/>
        </w:rPr>
        <w:t xml:space="preserve"> </w:t>
      </w:r>
      <w:r w:rsidR="00692AA0" w:rsidRPr="00223ED4">
        <w:rPr>
          <w:rFonts w:ascii="Arial" w:hAnsi="Arial"/>
          <w:sz w:val="24"/>
        </w:rPr>
        <w:t>various</w:t>
      </w:r>
      <w:r w:rsidRPr="00223ED4">
        <w:rPr>
          <w:rFonts w:ascii="Arial" w:hAnsi="Arial"/>
          <w:sz w:val="24"/>
        </w:rPr>
        <w:t xml:space="preserve"> practices also enacted</w:t>
      </w:r>
      <w:r w:rsidR="00473F11">
        <w:rPr>
          <w:rFonts w:ascii="Arial" w:hAnsi="Arial"/>
          <w:sz w:val="24"/>
        </w:rPr>
        <w:t xml:space="preserve"> (in the socio-legal sense of </w:t>
      </w:r>
      <w:r w:rsidR="00172DCE" w:rsidRPr="00172DCE">
        <w:rPr>
          <w:rFonts w:ascii="Arial" w:hAnsi="Arial"/>
          <w:i/>
          <w:sz w:val="24"/>
        </w:rPr>
        <w:t>helped</w:t>
      </w:r>
      <w:r w:rsidR="00172DCE">
        <w:rPr>
          <w:rFonts w:ascii="Arial" w:hAnsi="Arial"/>
          <w:sz w:val="24"/>
        </w:rPr>
        <w:t xml:space="preserve"> to make</w:t>
      </w:r>
      <w:r w:rsidR="00473F11">
        <w:rPr>
          <w:rFonts w:ascii="Arial" w:hAnsi="Arial"/>
          <w:sz w:val="24"/>
        </w:rPr>
        <w:t>)</w:t>
      </w:r>
      <w:r w:rsidRPr="00223ED4">
        <w:rPr>
          <w:rFonts w:ascii="Arial" w:hAnsi="Arial"/>
          <w:sz w:val="24"/>
        </w:rPr>
        <w:t xml:space="preserve"> In</w:t>
      </w:r>
      <w:r w:rsidR="00473F11">
        <w:rPr>
          <w:rFonts w:ascii="Arial" w:eastAsia="Calibri" w:hAnsi="Arial" w:cs="Arial"/>
          <w:sz w:val="24"/>
        </w:rPr>
        <w:t xml:space="preserve">vestigation 4. </w:t>
      </w:r>
      <w:r w:rsidRPr="00223ED4">
        <w:rPr>
          <w:rFonts w:ascii="Arial" w:eastAsia="Calibri" w:hAnsi="Arial" w:cs="Arial"/>
          <w:sz w:val="24"/>
        </w:rPr>
        <w:t>Although such practices are neither set out in law nor in MoU1, these practices are evidently framed to some extent by these (and potentially other) factors.</w:t>
      </w:r>
      <w:r w:rsidRPr="00223ED4">
        <w:rPr>
          <w:rFonts w:ascii="Arial" w:eastAsia="Calibri" w:hAnsi="Arial" w:cs="Arial"/>
          <w:sz w:val="24"/>
          <w:vertAlign w:val="superscript"/>
        </w:rPr>
        <w:footnoteReference w:id="88"/>
      </w:r>
      <w:r w:rsidRPr="00223ED4">
        <w:rPr>
          <w:rFonts w:ascii="Arial" w:eastAsia="Calibri" w:hAnsi="Arial" w:cs="Arial"/>
          <w:sz w:val="24"/>
        </w:rPr>
        <w:t xml:space="preserve"> In terms of practices, both DPAs had to navigate through a rich and complex tapestry of distinct professional and local cultures in order to achieve the aims of Investigation 4.</w:t>
      </w:r>
      <w:r w:rsidRPr="00223ED4">
        <w:rPr>
          <w:rFonts w:ascii="Arial" w:eastAsia="Calibri" w:hAnsi="Arial" w:cs="Arial"/>
          <w:sz w:val="24"/>
          <w:vertAlign w:val="superscript"/>
        </w:rPr>
        <w:footnoteReference w:id="89"/>
      </w:r>
      <w:r w:rsidRPr="00223ED4">
        <w:rPr>
          <w:rFonts w:ascii="Arial" w:eastAsia="Calibri" w:hAnsi="Arial" w:cs="Arial"/>
          <w:sz w:val="24"/>
        </w:rPr>
        <w:t xml:space="preserve"> To some extent, the two DPAs managed to overcome some of</w:t>
      </w:r>
      <w:r w:rsidR="00052269" w:rsidRPr="00223ED4">
        <w:rPr>
          <w:rFonts w:ascii="Arial" w:eastAsia="Calibri" w:hAnsi="Arial" w:cs="Arial"/>
          <w:sz w:val="24"/>
        </w:rPr>
        <w:t xml:space="preserve"> the</w:t>
      </w:r>
      <w:r w:rsidRPr="00223ED4">
        <w:rPr>
          <w:rFonts w:ascii="Arial" w:eastAsia="Calibri" w:hAnsi="Arial" w:cs="Arial"/>
          <w:sz w:val="24"/>
        </w:rPr>
        <w:t xml:space="preserve"> potential issues raised by these differences through their shared </w:t>
      </w:r>
      <w:r w:rsidRPr="00223ED4">
        <w:rPr>
          <w:rFonts w:ascii="Arial" w:eastAsia="Calibri" w:hAnsi="Arial" w:cs="Arial"/>
          <w:sz w:val="24"/>
        </w:rPr>
        <w:lastRenderedPageBreak/>
        <w:t>world views, namely, that the data protection issues raised by CP 4 required a joint response, a common</w:t>
      </w:r>
      <w:r w:rsidRPr="00223ED4">
        <w:rPr>
          <w:rFonts w:ascii="Arial" w:eastAsia="Calibri" w:hAnsi="Arial" w:cs="Arial"/>
          <w:sz w:val="24"/>
          <w:vertAlign w:val="superscript"/>
        </w:rPr>
        <w:footnoteReference w:id="90"/>
      </w:r>
      <w:r w:rsidR="00627F70" w:rsidRPr="00223ED4">
        <w:rPr>
          <w:rFonts w:ascii="Arial" w:eastAsia="Calibri" w:hAnsi="Arial" w:cs="Arial"/>
          <w:sz w:val="24"/>
        </w:rPr>
        <w:t xml:space="preserve"> </w:t>
      </w:r>
      <w:r w:rsidRPr="00223ED4">
        <w:rPr>
          <w:rFonts w:ascii="Arial" w:eastAsia="Calibri" w:hAnsi="Arial" w:cs="Arial"/>
          <w:sz w:val="24"/>
        </w:rPr>
        <w:t>set of data protection principles derived from the applicable data protection laws (e.g. security)</w:t>
      </w:r>
      <w:r w:rsidR="00C07143" w:rsidRPr="00223ED4">
        <w:rPr>
          <w:rFonts w:ascii="Arial" w:eastAsia="Calibri" w:hAnsi="Arial" w:cs="Arial"/>
          <w:sz w:val="24"/>
        </w:rPr>
        <w:t>,</w:t>
      </w:r>
      <w:r w:rsidRPr="00223ED4">
        <w:rPr>
          <w:rFonts w:ascii="Arial" w:eastAsia="Calibri" w:hAnsi="Arial" w:cs="Arial"/>
          <w:sz w:val="24"/>
        </w:rPr>
        <w:t xml:space="preserve"> and similar regulatory roles (e.g. investigations).</w:t>
      </w:r>
      <w:r w:rsidRPr="00223ED4">
        <w:rPr>
          <w:rFonts w:ascii="Arial" w:eastAsia="Calibri" w:hAnsi="Arial" w:cs="Arial"/>
          <w:sz w:val="24"/>
          <w:vertAlign w:val="superscript"/>
        </w:rPr>
        <w:footnoteReference w:id="91"/>
      </w:r>
      <w:r w:rsidRPr="00223ED4">
        <w:rPr>
          <w:rFonts w:ascii="Arial" w:eastAsia="Calibri" w:hAnsi="Arial" w:cs="Arial"/>
          <w:sz w:val="24"/>
        </w:rPr>
        <w:t xml:space="preserve"> This shared understanding did not exist</w:t>
      </w:r>
      <w:r w:rsidR="005A0F26" w:rsidRPr="00223ED4">
        <w:rPr>
          <w:rFonts w:ascii="Arial" w:eastAsia="Calibri" w:hAnsi="Arial" w:cs="Arial"/>
          <w:sz w:val="24"/>
        </w:rPr>
        <w:t xml:space="preserve"> </w:t>
      </w:r>
      <w:r w:rsidR="005A0F26" w:rsidRPr="001620BA">
        <w:rPr>
          <w:rFonts w:ascii="Arial" w:eastAsia="Calibri" w:hAnsi="Arial" w:cs="Arial"/>
          <w:i/>
          <w:sz w:val="24"/>
        </w:rPr>
        <w:t>a priori</w:t>
      </w:r>
      <w:r w:rsidR="00613060">
        <w:rPr>
          <w:rFonts w:ascii="Arial" w:eastAsia="Calibri" w:hAnsi="Arial" w:cs="Arial"/>
          <w:sz w:val="24"/>
        </w:rPr>
        <w:t xml:space="preserve"> </w:t>
      </w:r>
      <w:r w:rsidR="00CD00DF" w:rsidRPr="00223ED4">
        <w:rPr>
          <w:rFonts w:ascii="Arial" w:eastAsia="Calibri" w:hAnsi="Arial" w:cs="Arial"/>
          <w:sz w:val="24"/>
        </w:rPr>
        <w:t>in</w:t>
      </w:r>
      <w:r w:rsidRPr="00223ED4">
        <w:rPr>
          <w:rFonts w:ascii="Arial" w:eastAsia="Calibri" w:hAnsi="Arial" w:cs="Arial"/>
          <w:sz w:val="24"/>
        </w:rPr>
        <w:t xml:space="preserve"> a state of nature but rather emerged from the constant conversations of and deliberations by the two DPAs.</w:t>
      </w:r>
      <w:r w:rsidRPr="00223ED4">
        <w:rPr>
          <w:rFonts w:ascii="Arial" w:eastAsia="Calibri" w:hAnsi="Arial" w:cs="Arial"/>
          <w:sz w:val="24"/>
          <w:vertAlign w:val="superscript"/>
        </w:rPr>
        <w:footnoteReference w:id="92"/>
      </w:r>
      <w:r w:rsidRPr="00223ED4">
        <w:rPr>
          <w:rFonts w:ascii="Arial" w:eastAsia="Calibri" w:hAnsi="Arial" w:cs="Arial"/>
          <w:sz w:val="24"/>
        </w:rPr>
        <w:t xml:space="preserve"> As discussed later, the DPAs developed specific strategies to manage the differences which could not be overcome, such as their distinct enforcement powers.  </w:t>
      </w:r>
    </w:p>
    <w:p w14:paraId="574CFEE5" w14:textId="77777777" w:rsidR="00F37181" w:rsidRPr="00223ED4" w:rsidRDefault="00F37181" w:rsidP="00F37181">
      <w:pPr>
        <w:spacing w:after="200" w:line="360" w:lineRule="auto"/>
        <w:ind w:firstLine="709"/>
        <w:rPr>
          <w:rFonts w:ascii="Arial" w:eastAsia="Calibri" w:hAnsi="Arial" w:cs="Arial"/>
          <w:sz w:val="24"/>
        </w:rPr>
      </w:pPr>
      <w:r w:rsidRPr="00223ED4">
        <w:rPr>
          <w:rFonts w:ascii="Arial" w:eastAsia="Calibri" w:hAnsi="Arial" w:cs="Arial"/>
          <w:sz w:val="24"/>
        </w:rPr>
        <w:lastRenderedPageBreak/>
        <w:t>Deliberations and consultations between these two DPAs were also key in fleshing out the specific regulatory capacities of the two DPAs. Before initiating Investigation 4, both DPAs engaged in substantial and ‘up front’ strategic discussions about how best to allocate the investigative responsibilities between them.</w:t>
      </w:r>
      <w:r w:rsidRPr="00223ED4">
        <w:rPr>
          <w:rFonts w:ascii="Arial" w:eastAsia="Calibri" w:hAnsi="Arial" w:cs="Arial"/>
          <w:sz w:val="24"/>
          <w:vertAlign w:val="superscript"/>
        </w:rPr>
        <w:footnoteReference w:id="93"/>
      </w:r>
      <w:r w:rsidRPr="00223ED4">
        <w:rPr>
          <w:rFonts w:ascii="Arial" w:eastAsia="Calibri" w:hAnsi="Arial" w:cs="Arial"/>
          <w:sz w:val="24"/>
        </w:rPr>
        <w:t xml:space="preserve"> Here</w:t>
      </w:r>
      <w:r w:rsidR="002D403F" w:rsidRPr="00223ED4">
        <w:rPr>
          <w:rFonts w:ascii="Arial" w:eastAsia="Calibri" w:hAnsi="Arial" w:cs="Arial"/>
          <w:sz w:val="24"/>
        </w:rPr>
        <w:t>,</w:t>
      </w:r>
      <w:r w:rsidRPr="00223ED4">
        <w:rPr>
          <w:rFonts w:ascii="Arial" w:eastAsia="Calibri" w:hAnsi="Arial" w:cs="Arial"/>
          <w:sz w:val="24"/>
        </w:rPr>
        <w:t xml:space="preserve"> each DPA had to understand what the other could bring to the table in terms of resources and sector-specific expertise.</w:t>
      </w:r>
      <w:r w:rsidRPr="00223ED4">
        <w:rPr>
          <w:rFonts w:ascii="Arial" w:eastAsia="Calibri" w:hAnsi="Arial" w:cs="Arial"/>
          <w:sz w:val="24"/>
          <w:vertAlign w:val="superscript"/>
        </w:rPr>
        <w:footnoteReference w:id="94"/>
      </w:r>
      <w:r w:rsidRPr="00223ED4">
        <w:rPr>
          <w:rFonts w:ascii="Arial" w:eastAsia="Calibri" w:hAnsi="Arial" w:cs="Arial"/>
          <w:sz w:val="24"/>
        </w:rPr>
        <w:t xml:space="preserve"> Following extensive deliberations, the two DPAs agreed that one DPA would be solely responsible for technically testing various operations of CP 4 whilst the other DPA would be in charge of communicating with CP 4.</w:t>
      </w:r>
      <w:r w:rsidRPr="00223ED4">
        <w:rPr>
          <w:rFonts w:ascii="Arial" w:eastAsia="Calibri" w:hAnsi="Arial" w:cs="Arial"/>
          <w:sz w:val="24"/>
          <w:vertAlign w:val="superscript"/>
        </w:rPr>
        <w:footnoteReference w:id="95"/>
      </w:r>
      <w:r w:rsidRPr="00223ED4">
        <w:rPr>
          <w:rFonts w:ascii="Arial" w:eastAsia="Calibri" w:hAnsi="Arial" w:cs="Arial"/>
          <w:sz w:val="24"/>
        </w:rPr>
        <w:t xml:space="preserve"> Moreover, although each DPA had its own tasks, the other DPA would often contribute to the performance of such tasks where relevant. For ex</w:t>
      </w:r>
      <w:r w:rsidRPr="00223ED4">
        <w:rPr>
          <w:rFonts w:ascii="Arial" w:eastAsia="Calibri" w:hAnsi="Arial" w:cs="Arial"/>
          <w:sz w:val="24"/>
        </w:rPr>
        <w:lastRenderedPageBreak/>
        <w:t>ample, although one of the DPAs was in charge of communicating with CP 4, such communications were joint enterprises in the sense of being vetted by the other DPA before being sent to CP 4 and being sent under joint cover.</w:t>
      </w:r>
      <w:r w:rsidRPr="00223ED4">
        <w:rPr>
          <w:rFonts w:ascii="Arial" w:eastAsia="Calibri" w:hAnsi="Arial" w:cs="Arial"/>
          <w:sz w:val="24"/>
          <w:vertAlign w:val="superscript"/>
        </w:rPr>
        <w:footnoteReference w:id="96"/>
      </w:r>
    </w:p>
    <w:p w14:paraId="79694C9E" w14:textId="551F86C5" w:rsidR="00F37181" w:rsidRPr="00223ED4" w:rsidRDefault="00F37181" w:rsidP="00051CAC">
      <w:pPr>
        <w:spacing w:after="200" w:line="360" w:lineRule="auto"/>
        <w:ind w:firstLine="709"/>
        <w:rPr>
          <w:rFonts w:ascii="Arial" w:eastAsia="Calibri" w:hAnsi="Arial" w:cs="Arial"/>
          <w:sz w:val="24"/>
        </w:rPr>
      </w:pPr>
      <w:r w:rsidRPr="00223ED4">
        <w:rPr>
          <w:rFonts w:ascii="Arial" w:eastAsia="Calibri" w:hAnsi="Arial" w:cs="Arial"/>
          <w:sz w:val="24"/>
        </w:rPr>
        <w:t>Other potential issues, such as those raised by the distinct enforcement powers of each DPA, were successfully dealt with by both DPAs by acknowledging these national differences before initiating Investigation 4, agreeing on the strategies to accommodate these differences and bearing these strategies in mind during Investigation 4.</w:t>
      </w:r>
      <w:r w:rsidRPr="00223ED4">
        <w:rPr>
          <w:rFonts w:ascii="Arial" w:eastAsia="Calibri" w:hAnsi="Arial" w:cs="Arial"/>
          <w:sz w:val="24"/>
          <w:vertAlign w:val="superscript"/>
        </w:rPr>
        <w:footnoteReference w:id="97"/>
      </w:r>
      <w:r w:rsidR="00E51D9F" w:rsidRPr="00223ED4">
        <w:rPr>
          <w:rFonts w:ascii="Arial" w:eastAsia="Calibri" w:hAnsi="Arial" w:cs="Arial"/>
          <w:sz w:val="24"/>
        </w:rPr>
        <w:t xml:space="preserve"> </w:t>
      </w:r>
      <w:r w:rsidRPr="00223ED4">
        <w:rPr>
          <w:rFonts w:ascii="Arial" w:eastAsia="Calibri" w:hAnsi="Arial" w:cs="Arial"/>
          <w:sz w:val="24"/>
        </w:rPr>
        <w:t>For example, in order to deal with their distinct enforcement powers, the two DPAs devised the following strategy. They investigated specific aspects of CP4, such as the adequacy of the security measures implemented by CP 4 to generate passwords for its users, by referring to shared data protection principles (e.g. security). Moreover, both DPAs worked in concert with one another to analyse their investigative findings and determine to what extent CP 4`s processing operations were in compliance with the shared data protection principles.</w:t>
      </w:r>
      <w:r w:rsidRPr="00223ED4">
        <w:rPr>
          <w:rFonts w:ascii="Arial" w:eastAsia="Calibri" w:hAnsi="Arial" w:cs="Arial"/>
          <w:sz w:val="24"/>
          <w:vertAlign w:val="superscript"/>
        </w:rPr>
        <w:footnoteReference w:id="98"/>
      </w:r>
      <w:r w:rsidRPr="00223ED4">
        <w:rPr>
          <w:rFonts w:ascii="Arial" w:eastAsia="Calibri" w:hAnsi="Arial" w:cs="Arial"/>
          <w:sz w:val="24"/>
        </w:rPr>
        <w:t xml:space="preserve"> At this point, the two </w:t>
      </w:r>
      <w:r w:rsidRPr="00223ED4">
        <w:rPr>
          <w:rFonts w:ascii="Arial" w:eastAsia="Calibri" w:hAnsi="Arial" w:cs="Arial"/>
          <w:sz w:val="24"/>
        </w:rPr>
        <w:lastRenderedPageBreak/>
        <w:t>DPAs circulated a preliminary report of their findings to CP 4 to provide the latter with the opportunity to respond to the findings or implement specific changes before the final report was issued.</w:t>
      </w:r>
      <w:r w:rsidRPr="00223ED4">
        <w:rPr>
          <w:rFonts w:ascii="Arial" w:eastAsia="Calibri" w:hAnsi="Arial" w:cs="Arial"/>
          <w:sz w:val="24"/>
          <w:vertAlign w:val="superscript"/>
        </w:rPr>
        <w:footnoteReference w:id="99"/>
      </w:r>
      <w:r w:rsidRPr="00223ED4">
        <w:rPr>
          <w:rFonts w:ascii="Arial" w:eastAsia="Calibri" w:hAnsi="Arial" w:cs="Arial"/>
          <w:sz w:val="24"/>
        </w:rPr>
        <w:t xml:space="preserve"> However, when tackling the final report, each DPA reached its own conclusions by applying its national data protection laws. The conclusions reached by each DPA at the end of Investigation 4 were similar although each DPA adopted different legal rules and procedures to reach such conclusions.</w:t>
      </w:r>
      <w:r w:rsidRPr="00223ED4">
        <w:rPr>
          <w:rFonts w:ascii="Arial" w:eastAsia="Calibri" w:hAnsi="Arial" w:cs="Arial"/>
          <w:sz w:val="24"/>
          <w:vertAlign w:val="superscript"/>
        </w:rPr>
        <w:footnoteReference w:id="100"/>
      </w:r>
      <w:r w:rsidRPr="00223ED4">
        <w:rPr>
          <w:rFonts w:ascii="Arial" w:eastAsia="Calibri" w:hAnsi="Arial" w:cs="Arial"/>
          <w:sz w:val="24"/>
        </w:rPr>
        <w:t xml:space="preserve"> </w:t>
      </w:r>
    </w:p>
    <w:p w14:paraId="64120AAE" w14:textId="40F442DA" w:rsidR="00051CAC" w:rsidRPr="00223ED4" w:rsidRDefault="00F37181" w:rsidP="00E51D9F">
      <w:pPr>
        <w:spacing w:after="200" w:line="360" w:lineRule="auto"/>
        <w:ind w:firstLine="851"/>
        <w:rPr>
          <w:rFonts w:ascii="Arial" w:eastAsia="Calibri" w:hAnsi="Arial" w:cs="Arial"/>
          <w:sz w:val="24"/>
        </w:rPr>
      </w:pPr>
      <w:r w:rsidRPr="00223ED4">
        <w:rPr>
          <w:rFonts w:ascii="Arial" w:hAnsi="Arial"/>
          <w:sz w:val="24"/>
        </w:rPr>
        <w:t>Having analysed how Cloud Investiga</w:t>
      </w:r>
      <w:r w:rsidR="00E51D9F" w:rsidRPr="00223ED4">
        <w:rPr>
          <w:rFonts w:ascii="Arial" w:hAnsi="Arial"/>
          <w:sz w:val="24"/>
        </w:rPr>
        <w:t>tions can be complex</w:t>
      </w:r>
      <w:r w:rsidR="00051CAC" w:rsidRPr="00223ED4">
        <w:rPr>
          <w:rFonts w:ascii="Arial" w:hAnsi="Arial"/>
          <w:sz w:val="24"/>
        </w:rPr>
        <w:t xml:space="preserve"> </w:t>
      </w:r>
      <w:r w:rsidRPr="00223ED4">
        <w:rPr>
          <w:rFonts w:ascii="Arial" w:hAnsi="Arial"/>
          <w:sz w:val="24"/>
        </w:rPr>
        <w:t>regulatory processes which</w:t>
      </w:r>
      <w:r w:rsidR="00526A0A" w:rsidRPr="00223ED4">
        <w:rPr>
          <w:rFonts w:ascii="Arial" w:hAnsi="Arial"/>
          <w:sz w:val="24"/>
        </w:rPr>
        <w:t xml:space="preserve"> can</w:t>
      </w:r>
      <w:r w:rsidRPr="00223ED4">
        <w:rPr>
          <w:rFonts w:ascii="Arial" w:hAnsi="Arial"/>
          <w:sz w:val="24"/>
        </w:rPr>
        <w:t xml:space="preserve"> often involve </w:t>
      </w:r>
      <w:r w:rsidR="00E51D9F" w:rsidRPr="00223ED4">
        <w:rPr>
          <w:rFonts w:ascii="Arial" w:hAnsi="Arial"/>
          <w:sz w:val="24"/>
        </w:rPr>
        <w:t>high-level collaborations bet</w:t>
      </w:r>
      <w:r w:rsidR="00526A0A" w:rsidRPr="00223ED4">
        <w:rPr>
          <w:rFonts w:ascii="Arial" w:hAnsi="Arial"/>
          <w:sz w:val="24"/>
        </w:rPr>
        <w:t>ween several actors</w:t>
      </w:r>
      <w:r w:rsidR="00526A0A" w:rsidRPr="00223ED4">
        <w:rPr>
          <w:rFonts w:ascii="Arial" w:eastAsia="Calibri" w:hAnsi="Arial" w:cs="Arial"/>
          <w:sz w:val="24"/>
        </w:rPr>
        <w:t xml:space="preserve"> (e.g. DPAs), </w:t>
      </w:r>
      <w:r w:rsidR="00E51D9F" w:rsidRPr="00223ED4">
        <w:rPr>
          <w:rFonts w:ascii="Arial" w:eastAsia="Calibri" w:hAnsi="Arial" w:cs="Arial"/>
          <w:sz w:val="24"/>
        </w:rPr>
        <w:t xml:space="preserve">next, I draw on some of </w:t>
      </w:r>
      <w:r w:rsidR="00692AA0" w:rsidRPr="00223ED4">
        <w:rPr>
          <w:rFonts w:ascii="Arial" w:eastAsia="Calibri" w:hAnsi="Arial" w:cs="Arial"/>
          <w:sz w:val="24"/>
        </w:rPr>
        <w:t xml:space="preserve">my other </w:t>
      </w:r>
      <w:r w:rsidR="00E51D9F" w:rsidRPr="00223ED4">
        <w:rPr>
          <w:rFonts w:ascii="Arial" w:eastAsia="Calibri" w:hAnsi="Arial" w:cs="Arial"/>
          <w:sz w:val="24"/>
        </w:rPr>
        <w:t xml:space="preserve">empirical findings to analyse how Cloud </w:t>
      </w:r>
      <w:r w:rsidR="00E51D9F" w:rsidRPr="00223ED4">
        <w:rPr>
          <w:rFonts w:ascii="Arial" w:hAnsi="Arial"/>
          <w:sz w:val="24"/>
        </w:rPr>
        <w:t>Investigations can also be dynamic regulatory processes.</w:t>
      </w:r>
    </w:p>
    <w:p w14:paraId="2D802F9C" w14:textId="13AE0B10" w:rsidR="00F37181" w:rsidRPr="00223ED4" w:rsidRDefault="00952C2D" w:rsidP="00952C2D">
      <w:pPr>
        <w:pStyle w:val="Heading1"/>
        <w:numPr>
          <w:ilvl w:val="0"/>
          <w:numId w:val="0"/>
        </w:numPr>
        <w:spacing w:line="360" w:lineRule="auto"/>
        <w:rPr>
          <w:b w:val="0"/>
          <w:sz w:val="32"/>
        </w:rPr>
      </w:pPr>
      <w:bookmarkStart w:id="7" w:name="_Toc412898999"/>
      <w:r w:rsidRPr="00223ED4">
        <w:rPr>
          <w:b w:val="0"/>
          <w:sz w:val="32"/>
        </w:rPr>
        <w:lastRenderedPageBreak/>
        <w:t xml:space="preserve">CLOUD INVESTIGATIONS: REGULATORY </w:t>
      </w:r>
      <w:r w:rsidR="00613060">
        <w:rPr>
          <w:b w:val="0"/>
          <w:sz w:val="32"/>
        </w:rPr>
        <w:t xml:space="preserve">ENFORCEMENT </w:t>
      </w:r>
      <w:r w:rsidRPr="00223ED4">
        <w:rPr>
          <w:b w:val="0"/>
          <w:sz w:val="32"/>
        </w:rPr>
        <w:t xml:space="preserve">STYLES, </w:t>
      </w:r>
      <w:r w:rsidR="00051CAC" w:rsidRPr="00223ED4">
        <w:rPr>
          <w:b w:val="0"/>
          <w:sz w:val="32"/>
        </w:rPr>
        <w:t xml:space="preserve">AND </w:t>
      </w:r>
      <w:r w:rsidRPr="00223ED4">
        <w:rPr>
          <w:b w:val="0"/>
          <w:sz w:val="32"/>
        </w:rPr>
        <w:t>COMPLIANCE ATTITUDES</w:t>
      </w:r>
      <w:bookmarkEnd w:id="7"/>
    </w:p>
    <w:p w14:paraId="482D983E" w14:textId="2AE2C730" w:rsidR="00E51D9F" w:rsidRPr="00223ED4" w:rsidRDefault="00937FC5" w:rsidP="00CA4BA7">
      <w:pPr>
        <w:spacing w:after="0" w:line="360" w:lineRule="auto"/>
        <w:jc w:val="both"/>
        <w:rPr>
          <w:rFonts w:ascii="Arial" w:eastAsia="Times New Roman" w:hAnsi="Arial" w:cs="Arial"/>
          <w:sz w:val="24"/>
        </w:rPr>
      </w:pPr>
      <w:r w:rsidRPr="00223ED4">
        <w:rPr>
          <w:rFonts w:ascii="Arial" w:eastAsia="Times New Roman" w:hAnsi="Arial" w:cs="Arial"/>
          <w:sz w:val="24"/>
        </w:rPr>
        <w:t xml:space="preserve">An examination of the relationships between some of the actors involved in Cloud Investigations shows that </w:t>
      </w:r>
      <w:r w:rsidR="00CA4BA7" w:rsidRPr="00223ED4">
        <w:rPr>
          <w:rFonts w:ascii="Arial" w:eastAsia="Times New Roman" w:hAnsi="Arial" w:cs="Arial"/>
          <w:sz w:val="24"/>
        </w:rPr>
        <w:t xml:space="preserve">such relationships can often be characterised by constant change and activity. I rely on some of my empirical findings on the evolving regulatory </w:t>
      </w:r>
      <w:r w:rsidR="001620BA">
        <w:rPr>
          <w:rFonts w:ascii="Arial" w:eastAsia="Times New Roman" w:hAnsi="Arial" w:cs="Arial"/>
          <w:sz w:val="24"/>
        </w:rPr>
        <w:t xml:space="preserve">enforcement </w:t>
      </w:r>
      <w:r w:rsidR="00CA4BA7" w:rsidRPr="00223ED4">
        <w:rPr>
          <w:rFonts w:ascii="Arial" w:eastAsia="Times New Roman" w:hAnsi="Arial" w:cs="Arial"/>
          <w:sz w:val="24"/>
        </w:rPr>
        <w:t>styles and compliance attitudes which can be present during some Cloud Investigations to illustrate this point.</w:t>
      </w:r>
    </w:p>
    <w:p w14:paraId="21DC12A9" w14:textId="77777777" w:rsidR="00F37181" w:rsidRPr="00223ED4" w:rsidRDefault="00F37181" w:rsidP="00952C2D">
      <w:pPr>
        <w:pStyle w:val="Heading2"/>
        <w:numPr>
          <w:ilvl w:val="0"/>
          <w:numId w:val="0"/>
        </w:numPr>
        <w:ind w:left="576" w:hanging="576"/>
        <w:rPr>
          <w:b/>
          <w:sz w:val="24"/>
        </w:rPr>
      </w:pPr>
      <w:bookmarkStart w:id="8" w:name="_Toc412899002"/>
      <w:r w:rsidRPr="00223ED4">
        <w:rPr>
          <w:b/>
          <w:sz w:val="24"/>
        </w:rPr>
        <w:t>Regulatory Enforcement Styles of EU DPAs</w:t>
      </w:r>
      <w:bookmarkEnd w:id="8"/>
    </w:p>
    <w:p w14:paraId="12C4B4FD" w14:textId="7C573D62" w:rsidR="00F37181" w:rsidRPr="00223ED4" w:rsidRDefault="00F37181" w:rsidP="00F37181">
      <w:pPr>
        <w:spacing w:line="360" w:lineRule="auto"/>
        <w:rPr>
          <w:rFonts w:ascii="Arial" w:hAnsi="Arial" w:cs="Arial"/>
          <w:sz w:val="24"/>
        </w:rPr>
      </w:pPr>
      <w:r w:rsidRPr="00223ED4">
        <w:rPr>
          <w:rFonts w:ascii="Arial" w:hAnsi="Arial" w:cs="Arial"/>
          <w:sz w:val="24"/>
        </w:rPr>
        <w:t>Regulatory enforcement styles</w:t>
      </w:r>
      <w:r w:rsidR="00051CAC" w:rsidRPr="00223ED4">
        <w:rPr>
          <w:rFonts w:ascii="Arial" w:hAnsi="Arial" w:cs="Arial"/>
          <w:sz w:val="24"/>
        </w:rPr>
        <w:t xml:space="preserve"> during Cloud Investigations</w:t>
      </w:r>
      <w:r w:rsidRPr="00223ED4">
        <w:rPr>
          <w:rFonts w:ascii="Arial" w:hAnsi="Arial" w:cs="Arial"/>
          <w:sz w:val="24"/>
        </w:rPr>
        <w:t xml:space="preserve"> vary from EU DPA to EU DPA depending on </w:t>
      </w:r>
      <w:r w:rsidR="004E1608" w:rsidRPr="00223ED4">
        <w:rPr>
          <w:rFonts w:ascii="Arial" w:hAnsi="Arial" w:cs="Arial"/>
          <w:sz w:val="24"/>
        </w:rPr>
        <w:t xml:space="preserve">several </w:t>
      </w:r>
      <w:r w:rsidRPr="00223ED4">
        <w:rPr>
          <w:rFonts w:ascii="Arial" w:hAnsi="Arial" w:cs="Arial"/>
          <w:sz w:val="24"/>
        </w:rPr>
        <w:t>factors, such as the applicable administrative laws,</w:t>
      </w:r>
      <w:r w:rsidRPr="00223ED4">
        <w:rPr>
          <w:rFonts w:ascii="Arial" w:hAnsi="Arial" w:cs="Arial"/>
          <w:sz w:val="24"/>
          <w:vertAlign w:val="superscript"/>
        </w:rPr>
        <w:footnoteReference w:id="101"/>
      </w:r>
      <w:r w:rsidRPr="00223ED4">
        <w:rPr>
          <w:rFonts w:ascii="Arial" w:hAnsi="Arial" w:cs="Arial"/>
          <w:sz w:val="24"/>
        </w:rPr>
        <w:t xml:space="preserve"> the EU DPAs` enforcement powers,</w:t>
      </w:r>
      <w:r w:rsidRPr="00223ED4">
        <w:rPr>
          <w:rFonts w:ascii="Arial" w:hAnsi="Arial" w:cs="Arial"/>
          <w:sz w:val="24"/>
          <w:vertAlign w:val="superscript"/>
        </w:rPr>
        <w:footnoteReference w:id="102"/>
      </w:r>
      <w:r w:rsidRPr="00223ED4">
        <w:rPr>
          <w:rFonts w:ascii="Arial" w:hAnsi="Arial" w:cs="Arial"/>
          <w:sz w:val="24"/>
        </w:rPr>
        <w:t xml:space="preserve"> and the </w:t>
      </w:r>
      <w:r w:rsidR="00692AA0" w:rsidRPr="00223ED4">
        <w:rPr>
          <w:rFonts w:ascii="Arial" w:hAnsi="Arial" w:cs="Arial"/>
          <w:sz w:val="24"/>
        </w:rPr>
        <w:t>compliance attitudes of</w:t>
      </w:r>
      <w:r w:rsidR="00051CAC" w:rsidRPr="00223ED4">
        <w:rPr>
          <w:rFonts w:ascii="Arial" w:hAnsi="Arial" w:cs="Arial"/>
          <w:sz w:val="24"/>
        </w:rPr>
        <w:t xml:space="preserve"> Cloud Providers.</w:t>
      </w:r>
      <w:r w:rsidR="004E1608" w:rsidRPr="00223ED4">
        <w:rPr>
          <w:rFonts w:ascii="Arial" w:hAnsi="Arial" w:cs="Arial"/>
          <w:sz w:val="24"/>
        </w:rPr>
        <w:t xml:space="preserve">  Due to the inter</w:t>
      </w:r>
      <w:r w:rsidR="004E1608" w:rsidRPr="00223ED4">
        <w:rPr>
          <w:rFonts w:ascii="Arial" w:hAnsi="Arial" w:cs="Arial"/>
          <w:sz w:val="24"/>
        </w:rPr>
        <w:lastRenderedPageBreak/>
        <w:t>connections between regulatory enforcement styles and c</w:t>
      </w:r>
      <w:r w:rsidR="0003415E" w:rsidRPr="00223ED4">
        <w:rPr>
          <w:rFonts w:ascii="Arial" w:hAnsi="Arial" w:cs="Arial"/>
          <w:sz w:val="24"/>
        </w:rPr>
        <w:t xml:space="preserve">ompliance attitudes, </w:t>
      </w:r>
      <w:r w:rsidR="00526A0A" w:rsidRPr="00223ED4">
        <w:rPr>
          <w:rFonts w:ascii="Arial" w:hAnsi="Arial" w:cs="Arial"/>
          <w:sz w:val="24"/>
        </w:rPr>
        <w:t xml:space="preserve">in this section, </w:t>
      </w:r>
      <w:r w:rsidR="0003415E" w:rsidRPr="00223ED4">
        <w:rPr>
          <w:rFonts w:ascii="Arial" w:hAnsi="Arial" w:cs="Arial"/>
          <w:sz w:val="24"/>
        </w:rPr>
        <w:t>I may occasionally refer</w:t>
      </w:r>
      <w:r w:rsidR="004E1608" w:rsidRPr="00223ED4">
        <w:rPr>
          <w:rFonts w:ascii="Arial" w:hAnsi="Arial" w:cs="Arial"/>
          <w:sz w:val="24"/>
        </w:rPr>
        <w:t xml:space="preserve"> to compliance attitudes where </w:t>
      </w:r>
      <w:r w:rsidR="00692AA0" w:rsidRPr="00223ED4">
        <w:rPr>
          <w:rFonts w:ascii="Arial" w:hAnsi="Arial" w:cs="Arial"/>
          <w:sz w:val="24"/>
        </w:rPr>
        <w:t>relevant</w:t>
      </w:r>
      <w:r w:rsidR="004E1608" w:rsidRPr="00223ED4">
        <w:rPr>
          <w:rFonts w:ascii="Arial" w:hAnsi="Arial" w:cs="Arial"/>
          <w:sz w:val="24"/>
        </w:rPr>
        <w:t>.</w:t>
      </w:r>
      <w:r w:rsidR="004E1608" w:rsidRPr="00223ED4">
        <w:rPr>
          <w:rFonts w:ascii="Arial" w:eastAsia="Times New Roman" w:hAnsi="Arial" w:cs="Arial"/>
          <w:sz w:val="24"/>
          <w:vertAlign w:val="superscript"/>
        </w:rPr>
        <w:footnoteReference w:id="103"/>
      </w:r>
      <w:r w:rsidR="0003415E" w:rsidRPr="00223ED4">
        <w:rPr>
          <w:rFonts w:ascii="Arial" w:hAnsi="Arial" w:cs="Arial"/>
          <w:sz w:val="24"/>
        </w:rPr>
        <w:t xml:space="preserve"> </w:t>
      </w:r>
      <w:r w:rsidR="004E1608" w:rsidRPr="00223ED4">
        <w:rPr>
          <w:rFonts w:ascii="Arial" w:hAnsi="Arial" w:cs="Arial"/>
          <w:sz w:val="24"/>
        </w:rPr>
        <w:t xml:space="preserve">I analyse the compliance </w:t>
      </w:r>
      <w:r w:rsidR="00CA4BA7" w:rsidRPr="00223ED4">
        <w:rPr>
          <w:rFonts w:ascii="Arial" w:hAnsi="Arial" w:cs="Arial"/>
          <w:sz w:val="24"/>
        </w:rPr>
        <w:t>attitudes</w:t>
      </w:r>
      <w:r w:rsidR="004E1608" w:rsidRPr="00223ED4">
        <w:rPr>
          <w:rFonts w:ascii="Arial" w:hAnsi="Arial" w:cs="Arial"/>
          <w:sz w:val="24"/>
        </w:rPr>
        <w:t xml:space="preserve"> (e.g. unresponsive etc.) of Cloud Providers in more detail in the next section. </w:t>
      </w:r>
    </w:p>
    <w:p w14:paraId="1F600E5A" w14:textId="59003CCD" w:rsidR="00F37181" w:rsidRPr="00223ED4" w:rsidRDefault="00051CAC" w:rsidP="00F37181">
      <w:pPr>
        <w:spacing w:line="360" w:lineRule="auto"/>
        <w:ind w:firstLine="851"/>
        <w:rPr>
          <w:rFonts w:ascii="Arial" w:hAnsi="Arial" w:cs="Arial"/>
          <w:sz w:val="24"/>
        </w:rPr>
      </w:pPr>
      <w:r w:rsidRPr="00223ED4">
        <w:rPr>
          <w:rFonts w:ascii="Arial" w:hAnsi="Arial" w:cs="Arial"/>
          <w:sz w:val="24"/>
        </w:rPr>
        <w:t>My</w:t>
      </w:r>
      <w:r w:rsidR="00F37181" w:rsidRPr="00223ED4">
        <w:rPr>
          <w:rFonts w:ascii="Arial" w:hAnsi="Arial" w:cs="Arial"/>
          <w:sz w:val="24"/>
        </w:rPr>
        <w:t xml:space="preserve"> empirical data suggests that EU </w:t>
      </w:r>
      <w:r w:rsidR="00F37181" w:rsidRPr="00223ED4">
        <w:rPr>
          <w:rFonts w:ascii="Arial" w:hAnsi="Arial"/>
          <w:sz w:val="24"/>
        </w:rPr>
        <w:t xml:space="preserve">DPAs can adopt different regulatory </w:t>
      </w:r>
      <w:r w:rsidR="001620BA">
        <w:rPr>
          <w:rFonts w:ascii="Arial" w:hAnsi="Arial"/>
          <w:sz w:val="24"/>
        </w:rPr>
        <w:t xml:space="preserve">enforcement </w:t>
      </w:r>
      <w:r w:rsidR="00F37181" w:rsidRPr="00223ED4">
        <w:rPr>
          <w:rFonts w:ascii="Arial" w:hAnsi="Arial"/>
          <w:sz w:val="24"/>
        </w:rPr>
        <w:t>styles during one Cloud Investigation depending on how the Cloud Provider responds</w:t>
      </w:r>
      <w:r w:rsidR="00DF5613" w:rsidRPr="00223ED4">
        <w:rPr>
          <w:rFonts w:ascii="Arial" w:hAnsi="Arial"/>
          <w:sz w:val="24"/>
        </w:rPr>
        <w:t xml:space="preserve"> to its regulatory strategies</w:t>
      </w:r>
      <w:r w:rsidR="00DF5613" w:rsidRPr="00223ED4">
        <w:rPr>
          <w:rFonts w:ascii="Arial" w:hAnsi="Arial" w:cs="Arial"/>
          <w:sz w:val="24"/>
        </w:rPr>
        <w:t xml:space="preserve">. </w:t>
      </w:r>
      <w:r w:rsidR="00F37181" w:rsidRPr="00223ED4">
        <w:rPr>
          <w:rFonts w:ascii="Arial" w:hAnsi="Arial" w:cs="Arial"/>
          <w:sz w:val="24"/>
        </w:rPr>
        <w:t xml:space="preserve">One key finding </w:t>
      </w:r>
      <w:r w:rsidR="00F2736B" w:rsidRPr="00223ED4">
        <w:rPr>
          <w:rFonts w:ascii="Arial" w:hAnsi="Arial" w:cs="Arial"/>
          <w:sz w:val="24"/>
        </w:rPr>
        <w:t>of</w:t>
      </w:r>
      <w:r w:rsidR="00F37181" w:rsidRPr="00223ED4">
        <w:rPr>
          <w:rFonts w:ascii="Arial" w:hAnsi="Arial" w:cs="Arial"/>
          <w:sz w:val="24"/>
        </w:rPr>
        <w:t xml:space="preserve"> </w:t>
      </w:r>
      <w:r w:rsidR="0068126D" w:rsidRPr="00223ED4">
        <w:rPr>
          <w:rFonts w:ascii="Arial" w:hAnsi="Arial" w:cs="Arial"/>
          <w:sz w:val="24"/>
        </w:rPr>
        <w:t>my</w:t>
      </w:r>
      <w:r w:rsidR="00F37181" w:rsidRPr="00223ED4">
        <w:rPr>
          <w:rFonts w:ascii="Arial" w:hAnsi="Arial" w:cs="Arial"/>
          <w:sz w:val="24"/>
        </w:rPr>
        <w:t xml:space="preserve"> data analysis is that during Cloud Investigations, </w:t>
      </w:r>
      <w:r w:rsidR="00F37181" w:rsidRPr="00223ED4">
        <w:rPr>
          <w:rFonts w:ascii="Arial" w:hAnsi="Arial"/>
          <w:sz w:val="24"/>
        </w:rPr>
        <w:t xml:space="preserve">regulatory </w:t>
      </w:r>
      <w:r w:rsidR="001620BA">
        <w:rPr>
          <w:rFonts w:ascii="Arial" w:hAnsi="Arial"/>
          <w:sz w:val="24"/>
        </w:rPr>
        <w:t xml:space="preserve">enforcement </w:t>
      </w:r>
      <w:r w:rsidR="00F37181" w:rsidRPr="00223ED4">
        <w:rPr>
          <w:rFonts w:ascii="Arial" w:hAnsi="Arial"/>
          <w:sz w:val="24"/>
        </w:rPr>
        <w:t xml:space="preserve">styles are not deployed in a linear direction (i.e. from soft to hard regulatory strategies) but rather dynamically (e.g. from soft to hard to soft again </w:t>
      </w:r>
      <w:r w:rsidR="0003415E" w:rsidRPr="00223ED4">
        <w:rPr>
          <w:rFonts w:ascii="Arial" w:hAnsi="Arial"/>
          <w:sz w:val="24"/>
        </w:rPr>
        <w:t>etc.</w:t>
      </w:r>
      <w:r w:rsidR="00F37181" w:rsidRPr="00223ED4">
        <w:rPr>
          <w:rFonts w:ascii="Arial" w:hAnsi="Arial"/>
          <w:sz w:val="24"/>
        </w:rPr>
        <w:t>) depending on whether the Cloud Provider is unresponsive, recalcitrant, or incompetent or otherwise. T</w:t>
      </w:r>
      <w:r w:rsidR="00F37181" w:rsidRPr="00223ED4">
        <w:rPr>
          <w:rFonts w:ascii="Arial" w:hAnsi="Arial" w:cs="Arial"/>
          <w:sz w:val="24"/>
        </w:rPr>
        <w:t>he Cloud Provider is not seen as a static actor that behaves in only one way during the regulatory encounter. Consequently, regulatory encounters between the EU DPAs and Cloud providers are fluid rather than static ones.</w:t>
      </w:r>
      <w:r w:rsidR="00F37181" w:rsidRPr="00223ED4">
        <w:rPr>
          <w:rFonts w:ascii="Arial" w:hAnsi="Arial" w:cs="Arial"/>
          <w:sz w:val="24"/>
          <w:vertAlign w:val="superscript"/>
        </w:rPr>
        <w:footnoteReference w:id="104"/>
      </w:r>
      <w:r w:rsidR="00F37181" w:rsidRPr="00223ED4">
        <w:rPr>
          <w:rFonts w:ascii="Arial" w:eastAsia="Times New Roman" w:hAnsi="Arial" w:cs="Arial"/>
          <w:sz w:val="24"/>
          <w:vertAlign w:val="superscript"/>
        </w:rPr>
        <w:t xml:space="preserve"> </w:t>
      </w:r>
    </w:p>
    <w:p w14:paraId="43134E43" w14:textId="2271BF4A" w:rsidR="00F37181" w:rsidRPr="00223ED4" w:rsidRDefault="009B3290" w:rsidP="00F37181">
      <w:pPr>
        <w:spacing w:line="360" w:lineRule="auto"/>
        <w:ind w:firstLine="851"/>
        <w:rPr>
          <w:rFonts w:ascii="Arial" w:hAnsi="Arial" w:cs="Arial"/>
          <w:sz w:val="24"/>
        </w:rPr>
      </w:pPr>
      <w:r w:rsidRPr="00223ED4">
        <w:rPr>
          <w:rFonts w:ascii="Arial" w:hAnsi="Arial" w:cs="Arial"/>
          <w:sz w:val="24"/>
        </w:rPr>
        <w:lastRenderedPageBreak/>
        <w:t>Before EU DPAs formally trigger a Cloud Investigation</w:t>
      </w:r>
      <w:r w:rsidR="00F53886" w:rsidRPr="00223ED4">
        <w:rPr>
          <w:rFonts w:ascii="Arial" w:hAnsi="Arial" w:cs="Arial"/>
          <w:sz w:val="24"/>
        </w:rPr>
        <w:t>,</w:t>
      </w:r>
      <w:r w:rsidR="00F37181" w:rsidRPr="00223ED4">
        <w:rPr>
          <w:rFonts w:ascii="Arial" w:hAnsi="Arial" w:cs="Arial"/>
          <w:sz w:val="24"/>
          <w:vertAlign w:val="superscript"/>
        </w:rPr>
        <w:footnoteReference w:id="105"/>
      </w:r>
      <w:r w:rsidR="00F37181" w:rsidRPr="00223ED4">
        <w:rPr>
          <w:rFonts w:ascii="Arial" w:hAnsi="Arial" w:cs="Arial"/>
          <w:sz w:val="24"/>
        </w:rPr>
        <w:t xml:space="preserve"> most EU DPAs engage in substantial and lengthy discussions with the investigated Cloud </w:t>
      </w:r>
      <w:r w:rsidRPr="00223ED4">
        <w:rPr>
          <w:rFonts w:ascii="Arial" w:hAnsi="Arial" w:cs="Arial"/>
          <w:sz w:val="24"/>
        </w:rPr>
        <w:t>P</w:t>
      </w:r>
      <w:r w:rsidR="00F37181" w:rsidRPr="00223ED4">
        <w:rPr>
          <w:rFonts w:ascii="Arial" w:hAnsi="Arial" w:cs="Arial"/>
          <w:sz w:val="24"/>
        </w:rPr>
        <w:t>rovider o</w:t>
      </w:r>
      <w:r w:rsidR="00CD00DF" w:rsidRPr="00223ED4">
        <w:rPr>
          <w:rFonts w:ascii="Arial" w:hAnsi="Arial" w:cs="Arial"/>
          <w:sz w:val="24"/>
        </w:rPr>
        <w:t xml:space="preserve">ver a long period of time (usually </w:t>
      </w:r>
      <w:r w:rsidR="00F37181" w:rsidRPr="00223ED4">
        <w:rPr>
          <w:rFonts w:ascii="Arial" w:hAnsi="Arial" w:cs="Arial"/>
          <w:sz w:val="24"/>
        </w:rPr>
        <w:t xml:space="preserve">one year plus) to persuade the Cloud </w:t>
      </w:r>
      <w:r w:rsidRPr="00223ED4">
        <w:rPr>
          <w:rFonts w:ascii="Arial" w:hAnsi="Arial" w:cs="Arial"/>
          <w:sz w:val="24"/>
        </w:rPr>
        <w:t>P</w:t>
      </w:r>
      <w:r w:rsidR="00F37181" w:rsidRPr="00223ED4">
        <w:rPr>
          <w:rFonts w:ascii="Arial" w:hAnsi="Arial" w:cs="Arial"/>
          <w:sz w:val="24"/>
        </w:rPr>
        <w:t xml:space="preserve">rovider to meet </w:t>
      </w:r>
      <w:r w:rsidR="0003415E" w:rsidRPr="00223ED4">
        <w:rPr>
          <w:rFonts w:ascii="Arial" w:hAnsi="Arial" w:cs="Arial"/>
          <w:sz w:val="24"/>
        </w:rPr>
        <w:t>its</w:t>
      </w:r>
      <w:r w:rsidR="00F37181" w:rsidRPr="00223ED4">
        <w:rPr>
          <w:rFonts w:ascii="Arial" w:hAnsi="Arial" w:cs="Arial"/>
          <w:sz w:val="24"/>
        </w:rPr>
        <w:t xml:space="preserve"> obligations under data protection laws.</w:t>
      </w:r>
      <w:r w:rsidR="00F37181" w:rsidRPr="00223ED4">
        <w:rPr>
          <w:rFonts w:ascii="Arial" w:hAnsi="Arial" w:cs="Arial"/>
          <w:sz w:val="24"/>
          <w:vertAlign w:val="superscript"/>
        </w:rPr>
        <w:footnoteReference w:id="106"/>
      </w:r>
      <w:r w:rsidR="00F37181" w:rsidRPr="00223ED4">
        <w:rPr>
          <w:rFonts w:ascii="Arial" w:hAnsi="Arial" w:cs="Arial"/>
          <w:sz w:val="24"/>
        </w:rPr>
        <w:t xml:space="preserve"> Typically, at the outset</w:t>
      </w:r>
      <w:r w:rsidR="009D1138" w:rsidRPr="00223ED4">
        <w:rPr>
          <w:rFonts w:ascii="Arial" w:hAnsi="Arial" w:cs="Arial"/>
          <w:sz w:val="24"/>
        </w:rPr>
        <w:t xml:space="preserve"> of many Cloud Investigations</w:t>
      </w:r>
      <w:r w:rsidR="00F37181" w:rsidRPr="00223ED4">
        <w:rPr>
          <w:rFonts w:ascii="Arial" w:hAnsi="Arial" w:cs="Arial"/>
          <w:sz w:val="24"/>
        </w:rPr>
        <w:t xml:space="preserve">, </w:t>
      </w:r>
      <w:r w:rsidR="009D1138" w:rsidRPr="00223ED4">
        <w:rPr>
          <w:rFonts w:ascii="Arial" w:hAnsi="Arial" w:cs="Arial"/>
          <w:sz w:val="24"/>
        </w:rPr>
        <w:t xml:space="preserve">some </w:t>
      </w:r>
      <w:r w:rsidR="00F37181" w:rsidRPr="00223ED4">
        <w:rPr>
          <w:rFonts w:ascii="Arial" w:hAnsi="Arial" w:cs="Arial"/>
          <w:sz w:val="24"/>
        </w:rPr>
        <w:t>EU DPAs interact with the Cloud Providers on the assumption that they are well-intentioned but perhaps ill-informed companies that are unaware of their data protection obligations.</w:t>
      </w:r>
      <w:r w:rsidR="00F37181" w:rsidRPr="00223ED4">
        <w:rPr>
          <w:rFonts w:ascii="Arial" w:hAnsi="Arial" w:cs="Arial"/>
          <w:sz w:val="24"/>
          <w:vertAlign w:val="superscript"/>
        </w:rPr>
        <w:footnoteReference w:id="107"/>
      </w:r>
      <w:r w:rsidR="00350937">
        <w:rPr>
          <w:rFonts w:ascii="Arial" w:hAnsi="Arial" w:cs="Arial"/>
          <w:sz w:val="24"/>
        </w:rPr>
        <w:t xml:space="preserve"> </w:t>
      </w:r>
      <w:r w:rsidR="00F37181" w:rsidRPr="00223ED4">
        <w:rPr>
          <w:rFonts w:ascii="Arial" w:hAnsi="Arial" w:cs="Arial"/>
          <w:sz w:val="24"/>
        </w:rPr>
        <w:t xml:space="preserve">As one of </w:t>
      </w:r>
      <w:r w:rsidR="0068126D" w:rsidRPr="00223ED4">
        <w:rPr>
          <w:rFonts w:ascii="Arial" w:hAnsi="Arial" w:cs="Arial"/>
          <w:sz w:val="24"/>
        </w:rPr>
        <w:t>my</w:t>
      </w:r>
      <w:r w:rsidR="00F37181" w:rsidRPr="00223ED4">
        <w:rPr>
          <w:rFonts w:ascii="Arial" w:hAnsi="Arial" w:cs="Arial"/>
          <w:sz w:val="24"/>
        </w:rPr>
        <w:t xml:space="preserve"> respondents says:</w:t>
      </w:r>
    </w:p>
    <w:p w14:paraId="56AE49B0" w14:textId="6229E001" w:rsidR="00F37181" w:rsidRPr="00223ED4" w:rsidRDefault="00F6484C" w:rsidP="00F37181">
      <w:pPr>
        <w:spacing w:line="360" w:lineRule="auto"/>
        <w:ind w:left="720"/>
        <w:rPr>
          <w:rFonts w:ascii="Arial" w:hAnsi="Arial" w:cs="Arial"/>
          <w:sz w:val="24"/>
        </w:rPr>
      </w:pPr>
      <w:r>
        <w:rPr>
          <w:rFonts w:ascii="Arial" w:eastAsia="Times New Roman" w:hAnsi="Arial" w:cs="Times New Roman"/>
          <w:sz w:val="24"/>
          <w:lang w:eastAsia="en-GB"/>
        </w:rPr>
        <w:t>‘</w:t>
      </w:r>
      <w:r w:rsidR="00F37181" w:rsidRPr="00223ED4">
        <w:rPr>
          <w:rFonts w:ascii="Arial" w:eastAsia="Times New Roman" w:hAnsi="Arial" w:cs="Times New Roman"/>
          <w:sz w:val="24"/>
          <w:lang w:eastAsia="en-GB"/>
        </w:rPr>
        <w:t>…</w:t>
      </w:r>
      <w:r w:rsidR="00B67F0D" w:rsidRPr="00223ED4">
        <w:rPr>
          <w:rFonts w:ascii="Arial" w:eastAsia="Times New Roman" w:hAnsi="Arial" w:cs="Times New Roman"/>
          <w:sz w:val="24"/>
          <w:lang w:eastAsia="en-GB"/>
        </w:rPr>
        <w:t>we</w:t>
      </w:r>
      <w:r w:rsidR="00F37181" w:rsidRPr="00223ED4">
        <w:rPr>
          <w:rFonts w:ascii="Arial" w:eastAsia="Times New Roman" w:hAnsi="Arial" w:cs="Times New Roman"/>
          <w:sz w:val="24"/>
          <w:lang w:eastAsia="en-GB"/>
        </w:rPr>
        <w:t xml:space="preserve"> do not go in on the assumption that you are breaking the law. </w:t>
      </w:r>
      <w:r w:rsidR="00B67F0D" w:rsidRPr="00223ED4">
        <w:rPr>
          <w:rFonts w:ascii="Arial" w:eastAsia="Times New Roman" w:hAnsi="Arial" w:cs="Times New Roman"/>
          <w:sz w:val="24"/>
          <w:lang w:eastAsia="en-GB"/>
        </w:rPr>
        <w:t>We</w:t>
      </w:r>
      <w:r w:rsidR="00F37181" w:rsidRPr="00223ED4">
        <w:rPr>
          <w:rFonts w:ascii="Arial" w:eastAsia="Times New Roman" w:hAnsi="Arial" w:cs="Times New Roman"/>
          <w:sz w:val="24"/>
          <w:lang w:eastAsia="en-GB"/>
        </w:rPr>
        <w:t xml:space="preserve"> are going in on the basis that you</w:t>
      </w:r>
      <w:r w:rsidR="00B67F0D" w:rsidRPr="00223ED4">
        <w:rPr>
          <w:rFonts w:ascii="Arial" w:eastAsia="Times New Roman" w:hAnsi="Arial" w:cs="Times New Roman"/>
          <w:sz w:val="24"/>
          <w:lang w:eastAsia="en-GB"/>
        </w:rPr>
        <w:t xml:space="preserve"> [the Cloud Provider]</w:t>
      </w:r>
      <w:r w:rsidR="00F37181" w:rsidRPr="00223ED4">
        <w:rPr>
          <w:rFonts w:ascii="Arial" w:eastAsia="Times New Roman" w:hAnsi="Arial" w:cs="Times New Roman"/>
          <w:sz w:val="24"/>
          <w:lang w:eastAsia="en-GB"/>
        </w:rPr>
        <w:t xml:space="preserve"> are dealing with a complex area of law and if you are an American entity you have to domesticate to EU standards. And </w:t>
      </w:r>
      <w:r w:rsidR="00B67F0D" w:rsidRPr="00223ED4">
        <w:rPr>
          <w:rFonts w:ascii="Arial" w:eastAsia="Times New Roman" w:hAnsi="Arial" w:cs="Times New Roman"/>
          <w:sz w:val="24"/>
          <w:lang w:eastAsia="en-GB"/>
        </w:rPr>
        <w:t xml:space="preserve">we are </w:t>
      </w:r>
      <w:r w:rsidR="00F37181" w:rsidRPr="00223ED4">
        <w:rPr>
          <w:rFonts w:ascii="Arial" w:eastAsia="Times New Roman" w:hAnsi="Arial" w:cs="Times New Roman"/>
          <w:sz w:val="24"/>
          <w:lang w:eastAsia="en-GB"/>
        </w:rPr>
        <w:t>here to help you.</w:t>
      </w:r>
      <w:r>
        <w:rPr>
          <w:rFonts w:ascii="Arial" w:eastAsia="Times New Roman" w:hAnsi="Arial" w:cs="Times New Roman"/>
          <w:sz w:val="24"/>
          <w:lang w:eastAsia="en-GB"/>
        </w:rPr>
        <w:t>’</w:t>
      </w:r>
      <w:r w:rsidR="00F37181" w:rsidRPr="00223ED4">
        <w:rPr>
          <w:rFonts w:ascii="Arial" w:eastAsia="Times New Roman" w:hAnsi="Arial" w:cs="Times New Roman"/>
          <w:sz w:val="24"/>
          <w:vertAlign w:val="superscript"/>
          <w:lang w:eastAsia="en-GB"/>
        </w:rPr>
        <w:footnoteReference w:id="108"/>
      </w:r>
    </w:p>
    <w:p w14:paraId="774DCD9C" w14:textId="6A30F610" w:rsidR="00F37181" w:rsidRPr="00223ED4" w:rsidRDefault="00F37181" w:rsidP="00F37181">
      <w:pPr>
        <w:spacing w:after="0" w:line="360" w:lineRule="auto"/>
        <w:jc w:val="both"/>
        <w:rPr>
          <w:rFonts w:ascii="Arial" w:hAnsi="Arial" w:cs="Arial"/>
          <w:sz w:val="24"/>
        </w:rPr>
      </w:pPr>
      <w:r w:rsidRPr="00223ED4">
        <w:rPr>
          <w:rFonts w:ascii="Arial" w:hAnsi="Arial" w:cs="Arial"/>
          <w:sz w:val="24"/>
        </w:rPr>
        <w:lastRenderedPageBreak/>
        <w:t>Here, EU DPAs educate the Cloud Providers about their data protection rights and obligations and explain to them which particular processing operation or policy provision breach</w:t>
      </w:r>
      <w:r w:rsidR="001179DD" w:rsidRPr="00223ED4">
        <w:rPr>
          <w:rFonts w:ascii="Arial" w:hAnsi="Arial" w:cs="Arial"/>
          <w:sz w:val="24"/>
        </w:rPr>
        <w:t>es</w:t>
      </w:r>
      <w:r w:rsidRPr="00223ED4">
        <w:rPr>
          <w:rFonts w:ascii="Arial" w:hAnsi="Arial" w:cs="Arial"/>
          <w:sz w:val="24"/>
        </w:rPr>
        <w:t xml:space="preserve"> the applicable laws.</w:t>
      </w:r>
      <w:r w:rsidRPr="00223ED4">
        <w:rPr>
          <w:rFonts w:ascii="Arial" w:hAnsi="Arial" w:cs="Arial"/>
          <w:sz w:val="24"/>
          <w:vertAlign w:val="superscript"/>
        </w:rPr>
        <w:footnoteReference w:id="109"/>
      </w:r>
      <w:r w:rsidRPr="00223ED4">
        <w:rPr>
          <w:rFonts w:ascii="Arial" w:hAnsi="Arial" w:cs="Arial"/>
          <w:sz w:val="24"/>
        </w:rPr>
        <w:t xml:space="preserve"> </w:t>
      </w:r>
    </w:p>
    <w:p w14:paraId="7ED5D05B" w14:textId="77777777" w:rsidR="00F37181" w:rsidRPr="00223ED4" w:rsidRDefault="00F37181" w:rsidP="00F37181">
      <w:pPr>
        <w:spacing w:after="0" w:line="360" w:lineRule="auto"/>
        <w:jc w:val="both"/>
        <w:rPr>
          <w:rFonts w:ascii="Arial" w:hAnsi="Arial" w:cs="Arial"/>
          <w:sz w:val="24"/>
        </w:rPr>
      </w:pPr>
    </w:p>
    <w:p w14:paraId="6BA72878" w14:textId="658716A4" w:rsidR="00F37181" w:rsidRPr="00223ED4" w:rsidRDefault="00F37181" w:rsidP="00F37181">
      <w:pPr>
        <w:spacing w:after="0" w:line="360" w:lineRule="auto"/>
        <w:ind w:firstLine="851"/>
        <w:jc w:val="both"/>
        <w:rPr>
          <w:rFonts w:ascii="Arial" w:hAnsi="Arial" w:cs="Arial"/>
          <w:sz w:val="24"/>
        </w:rPr>
      </w:pPr>
      <w:r w:rsidRPr="00223ED4">
        <w:rPr>
          <w:rFonts w:ascii="Arial" w:hAnsi="Arial" w:cs="Arial"/>
          <w:sz w:val="24"/>
        </w:rPr>
        <w:t xml:space="preserve">However, EU DPAs can deploy other regulatory </w:t>
      </w:r>
      <w:r w:rsidR="001620BA">
        <w:rPr>
          <w:rFonts w:ascii="Arial" w:hAnsi="Arial" w:cs="Arial"/>
          <w:sz w:val="24"/>
        </w:rPr>
        <w:t xml:space="preserve">enforcement </w:t>
      </w:r>
      <w:r w:rsidRPr="00223ED4">
        <w:rPr>
          <w:rFonts w:ascii="Arial" w:hAnsi="Arial" w:cs="Arial"/>
          <w:sz w:val="24"/>
        </w:rPr>
        <w:t xml:space="preserve">styles and strategies during subsequent stages of the Cloud Investigations if the Cloud Providers become recalcitrant. For example, one of </w:t>
      </w:r>
      <w:r w:rsidR="0068126D" w:rsidRPr="00223ED4">
        <w:rPr>
          <w:rFonts w:ascii="Arial" w:hAnsi="Arial" w:cs="Arial"/>
          <w:sz w:val="24"/>
        </w:rPr>
        <w:t>my</w:t>
      </w:r>
      <w:r w:rsidRPr="00223ED4">
        <w:rPr>
          <w:rFonts w:ascii="Arial" w:hAnsi="Arial" w:cs="Arial"/>
          <w:sz w:val="24"/>
        </w:rPr>
        <w:t xml:space="preserve"> EU DPA respondents investigated a well-known multinational Cloud Provider which offers a suite of cloud solutions to corporate users.</w:t>
      </w:r>
      <w:r w:rsidRPr="00223ED4">
        <w:rPr>
          <w:rFonts w:ascii="Arial" w:hAnsi="Arial" w:cs="Arial"/>
          <w:sz w:val="24"/>
          <w:vertAlign w:val="superscript"/>
        </w:rPr>
        <w:footnoteReference w:id="110"/>
      </w:r>
      <w:r w:rsidRPr="00223ED4">
        <w:rPr>
          <w:rFonts w:ascii="Arial" w:hAnsi="Arial" w:cs="Arial"/>
          <w:sz w:val="24"/>
        </w:rPr>
        <w:t xml:space="preserve"> The central question raised by this investigation was whether the personal data</w:t>
      </w:r>
      <w:r w:rsidRPr="00223ED4">
        <w:rPr>
          <w:rFonts w:ascii="Arial" w:hAnsi="Arial" w:cs="Arial"/>
          <w:sz w:val="24"/>
          <w:vertAlign w:val="superscript"/>
        </w:rPr>
        <w:footnoteReference w:id="111"/>
      </w:r>
      <w:r w:rsidRPr="00223ED4">
        <w:rPr>
          <w:rFonts w:ascii="Arial" w:hAnsi="Arial" w:cs="Arial"/>
          <w:sz w:val="24"/>
        </w:rPr>
        <w:t xml:space="preserve"> processed by </w:t>
      </w:r>
      <w:r w:rsidR="009B3290" w:rsidRPr="00223ED4">
        <w:rPr>
          <w:rFonts w:ascii="Arial" w:hAnsi="Arial" w:cs="Arial"/>
          <w:sz w:val="24"/>
        </w:rPr>
        <w:t>the Cloud Provider</w:t>
      </w:r>
      <w:r w:rsidRPr="00223ED4">
        <w:rPr>
          <w:rFonts w:ascii="Arial" w:hAnsi="Arial" w:cs="Arial"/>
          <w:sz w:val="24"/>
        </w:rPr>
        <w:t xml:space="preserve"> would be transferred to a </w:t>
      </w:r>
      <w:r w:rsidR="00613060">
        <w:rPr>
          <w:rFonts w:ascii="Arial" w:hAnsi="Arial" w:cs="Arial"/>
          <w:sz w:val="24"/>
        </w:rPr>
        <w:t xml:space="preserve">non-European Economic Area </w:t>
      </w:r>
      <w:r w:rsidRPr="00223ED4">
        <w:rPr>
          <w:rFonts w:ascii="Arial" w:hAnsi="Arial" w:cs="Arial"/>
          <w:sz w:val="24"/>
        </w:rPr>
        <w:t>country.</w:t>
      </w:r>
      <w:r w:rsidRPr="00223ED4">
        <w:rPr>
          <w:rFonts w:ascii="Arial" w:hAnsi="Arial" w:cs="Arial"/>
          <w:sz w:val="24"/>
          <w:vertAlign w:val="superscript"/>
        </w:rPr>
        <w:footnoteReference w:id="112"/>
      </w:r>
      <w:r w:rsidRPr="00223ED4">
        <w:rPr>
          <w:rFonts w:ascii="Arial" w:hAnsi="Arial" w:cs="Arial"/>
          <w:sz w:val="24"/>
        </w:rPr>
        <w:t xml:space="preserve"> Initially, the Cloud Provider was </w:t>
      </w:r>
      <w:r w:rsidR="00E8233D" w:rsidRPr="00223ED4">
        <w:rPr>
          <w:rFonts w:ascii="Arial" w:hAnsi="Arial" w:cs="Arial"/>
          <w:sz w:val="24"/>
        </w:rPr>
        <w:lastRenderedPageBreak/>
        <w:t xml:space="preserve">reluctant </w:t>
      </w:r>
      <w:r w:rsidRPr="00223ED4">
        <w:rPr>
          <w:rFonts w:ascii="Arial" w:hAnsi="Arial" w:cs="Arial"/>
          <w:sz w:val="24"/>
        </w:rPr>
        <w:t xml:space="preserve">to provide the EU DPA with any information about whether </w:t>
      </w:r>
      <w:r w:rsidR="0003415E" w:rsidRPr="00223ED4">
        <w:rPr>
          <w:rFonts w:ascii="Arial" w:hAnsi="Arial" w:cs="Arial"/>
          <w:sz w:val="24"/>
        </w:rPr>
        <w:t xml:space="preserve">the </w:t>
      </w:r>
      <w:r w:rsidRPr="00223ED4">
        <w:rPr>
          <w:rFonts w:ascii="Arial" w:hAnsi="Arial" w:cs="Arial"/>
          <w:sz w:val="24"/>
        </w:rPr>
        <w:t xml:space="preserve">personal data </w:t>
      </w:r>
      <w:r w:rsidR="0003415E" w:rsidRPr="00223ED4">
        <w:rPr>
          <w:rFonts w:ascii="Arial" w:hAnsi="Arial" w:cs="Arial"/>
          <w:sz w:val="24"/>
        </w:rPr>
        <w:t>would be</w:t>
      </w:r>
      <w:r w:rsidRPr="00223ED4">
        <w:rPr>
          <w:rFonts w:ascii="Arial" w:hAnsi="Arial" w:cs="Arial"/>
          <w:sz w:val="24"/>
        </w:rPr>
        <w:t xml:space="preserve"> transferred to a </w:t>
      </w:r>
      <w:r w:rsidR="00613060">
        <w:rPr>
          <w:rFonts w:ascii="Arial" w:hAnsi="Arial" w:cs="Arial"/>
          <w:sz w:val="24"/>
        </w:rPr>
        <w:t xml:space="preserve">non-European Economic Area </w:t>
      </w:r>
      <w:r w:rsidRPr="00223ED4">
        <w:rPr>
          <w:rFonts w:ascii="Arial" w:hAnsi="Arial" w:cs="Arial"/>
          <w:sz w:val="24"/>
        </w:rPr>
        <w:t>country during processing.</w:t>
      </w:r>
      <w:r w:rsidRPr="00223ED4">
        <w:rPr>
          <w:rFonts w:ascii="Arial" w:hAnsi="Arial" w:cs="Arial"/>
          <w:sz w:val="24"/>
          <w:vertAlign w:val="superscript"/>
        </w:rPr>
        <w:footnoteReference w:id="113"/>
      </w:r>
      <w:r w:rsidRPr="00223ED4">
        <w:rPr>
          <w:rFonts w:ascii="Arial" w:hAnsi="Arial" w:cs="Arial"/>
          <w:sz w:val="24"/>
        </w:rPr>
        <w:t xml:space="preserve"> At first, the EU DPA assumed that the company was not aware of the relevant data protection laws. Consequently, on several occasions, the EU DPA explained to the Cloud Provider the </w:t>
      </w:r>
      <w:r w:rsidR="0003415E" w:rsidRPr="00223ED4">
        <w:rPr>
          <w:rFonts w:ascii="Arial" w:hAnsi="Arial" w:cs="Arial"/>
          <w:sz w:val="24"/>
        </w:rPr>
        <w:t xml:space="preserve">legal </w:t>
      </w:r>
      <w:r w:rsidRPr="00223ED4">
        <w:rPr>
          <w:rFonts w:ascii="Arial" w:hAnsi="Arial" w:cs="Arial"/>
          <w:sz w:val="24"/>
        </w:rPr>
        <w:t xml:space="preserve">restrictions which were imposed on </w:t>
      </w:r>
      <w:r w:rsidR="00613060">
        <w:rPr>
          <w:rFonts w:ascii="Arial" w:hAnsi="Arial" w:cs="Arial"/>
          <w:sz w:val="24"/>
        </w:rPr>
        <w:t xml:space="preserve">non-European Economic Area </w:t>
      </w:r>
      <w:r w:rsidRPr="00223ED4">
        <w:rPr>
          <w:rFonts w:ascii="Arial" w:hAnsi="Arial" w:cs="Arial"/>
          <w:sz w:val="24"/>
        </w:rPr>
        <w:t>transfers. At that point, the Cloud Provider countered that it could not precisely know where the personal data in question were at any given moment in time ‘…due to the nature of cloud computing [which means] that data [were] constantly circulating around.’ The EU DPA realised that it was not dealing with an ill-informed regulatee but rather a well-informed regulatee which was employing a series of distinct arguments to evade compliance.</w:t>
      </w:r>
      <w:r w:rsidRPr="00223ED4">
        <w:rPr>
          <w:rFonts w:ascii="Arial" w:hAnsi="Arial" w:cs="Arial"/>
          <w:sz w:val="24"/>
          <w:vertAlign w:val="superscript"/>
        </w:rPr>
        <w:footnoteReference w:id="114"/>
      </w:r>
      <w:r w:rsidRPr="00223ED4">
        <w:rPr>
          <w:rFonts w:ascii="Arial" w:hAnsi="Arial" w:cs="Arial"/>
          <w:sz w:val="24"/>
        </w:rPr>
        <w:t xml:space="preserve"> </w:t>
      </w:r>
    </w:p>
    <w:p w14:paraId="06C875B7" w14:textId="77777777" w:rsidR="00F37181" w:rsidRPr="00223ED4" w:rsidRDefault="00F37181" w:rsidP="00F37181">
      <w:pPr>
        <w:spacing w:after="0" w:line="360" w:lineRule="auto"/>
        <w:ind w:firstLine="851"/>
        <w:jc w:val="both"/>
        <w:rPr>
          <w:rFonts w:ascii="Arial" w:hAnsi="Arial" w:cs="Arial"/>
          <w:sz w:val="24"/>
        </w:rPr>
      </w:pPr>
    </w:p>
    <w:p w14:paraId="5358932B" w14:textId="2B30F49E" w:rsidR="00F37181" w:rsidRPr="00223ED4" w:rsidRDefault="00F37181" w:rsidP="00F37181">
      <w:pPr>
        <w:spacing w:after="0" w:line="360" w:lineRule="auto"/>
        <w:ind w:firstLine="851"/>
        <w:jc w:val="both"/>
        <w:rPr>
          <w:rFonts w:ascii="Arial" w:eastAsia="Times New Roman" w:hAnsi="Arial" w:cs="Arial"/>
          <w:sz w:val="24"/>
        </w:rPr>
      </w:pPr>
      <w:r w:rsidRPr="00223ED4">
        <w:rPr>
          <w:rFonts w:ascii="Arial" w:hAnsi="Arial" w:cs="Arial"/>
          <w:sz w:val="24"/>
        </w:rPr>
        <w:t xml:space="preserve">The EU DPA persevered in questioning the Cloud Provider about its knowledge of the location of the </w:t>
      </w:r>
      <w:r w:rsidR="003A6ECD">
        <w:rPr>
          <w:rFonts w:ascii="Arial" w:hAnsi="Arial" w:cs="Arial"/>
          <w:sz w:val="24"/>
        </w:rPr>
        <w:t xml:space="preserve">personal </w:t>
      </w:r>
      <w:r w:rsidRPr="00223ED4">
        <w:rPr>
          <w:rFonts w:ascii="Arial" w:hAnsi="Arial" w:cs="Arial"/>
          <w:sz w:val="24"/>
        </w:rPr>
        <w:t xml:space="preserve">data during processing as it was increasingly apparent to this EU DPA </w:t>
      </w:r>
      <w:r w:rsidRPr="00223ED4">
        <w:rPr>
          <w:rFonts w:ascii="Arial" w:hAnsi="Arial" w:cs="Arial"/>
          <w:sz w:val="24"/>
        </w:rPr>
        <w:lastRenderedPageBreak/>
        <w:t>that the company in fact knew where the data would be stored</w:t>
      </w:r>
      <w:r w:rsidRPr="00223ED4">
        <w:rPr>
          <w:rFonts w:ascii="Arial" w:hAnsi="Arial"/>
          <w:sz w:val="24"/>
        </w:rPr>
        <w:t>. After a while, this EU DPA changed strategy and used economic arguments to p</w:t>
      </w:r>
      <w:r w:rsidRPr="00223ED4">
        <w:rPr>
          <w:rFonts w:ascii="Arial" w:hAnsi="Arial" w:cs="Arial"/>
          <w:sz w:val="24"/>
        </w:rPr>
        <w:t>ersuade the Cloud Provider to give to the EU DPA specific assurances regarding data transfers.</w:t>
      </w:r>
      <w:r w:rsidRPr="00223ED4">
        <w:rPr>
          <w:rFonts w:ascii="Arial" w:hAnsi="Arial" w:cs="Arial"/>
          <w:sz w:val="24"/>
          <w:vertAlign w:val="superscript"/>
        </w:rPr>
        <w:footnoteReference w:id="115"/>
      </w:r>
      <w:r w:rsidRPr="00223ED4">
        <w:rPr>
          <w:rFonts w:ascii="Arial" w:hAnsi="Arial" w:cs="Arial"/>
          <w:sz w:val="24"/>
        </w:rPr>
        <w:t xml:space="preserve"> Thus, during one encounter, the EU DPA informed the Cloud Provider that it would be unable to market its suite of cloud solutions in </w:t>
      </w:r>
      <w:r w:rsidR="00CD00DF" w:rsidRPr="00223ED4">
        <w:rPr>
          <w:rFonts w:ascii="Arial" w:hAnsi="Arial" w:cs="Arial"/>
          <w:sz w:val="24"/>
        </w:rPr>
        <w:t xml:space="preserve">the </w:t>
      </w:r>
      <w:r w:rsidRPr="00223ED4">
        <w:rPr>
          <w:rFonts w:ascii="Arial" w:hAnsi="Arial" w:cs="Arial"/>
          <w:sz w:val="24"/>
        </w:rPr>
        <w:t>jurisdiction</w:t>
      </w:r>
      <w:r w:rsidR="00CD00DF" w:rsidRPr="00223ED4">
        <w:rPr>
          <w:rFonts w:ascii="Arial" w:hAnsi="Arial" w:cs="Arial"/>
          <w:sz w:val="24"/>
        </w:rPr>
        <w:t xml:space="preserve"> of the EU DPA</w:t>
      </w:r>
      <w:r w:rsidRPr="00223ED4">
        <w:rPr>
          <w:rFonts w:ascii="Arial" w:hAnsi="Arial" w:cs="Arial"/>
          <w:sz w:val="24"/>
        </w:rPr>
        <w:t xml:space="preserve"> unless it could guarantee where</w:t>
      </w:r>
      <w:r w:rsidR="003A6ECD">
        <w:rPr>
          <w:rFonts w:ascii="Arial" w:hAnsi="Arial" w:cs="Arial"/>
          <w:sz w:val="24"/>
        </w:rPr>
        <w:t xml:space="preserve"> the personal</w:t>
      </w:r>
      <w:r w:rsidRPr="00223ED4">
        <w:rPr>
          <w:rFonts w:ascii="Arial" w:hAnsi="Arial" w:cs="Arial"/>
          <w:sz w:val="24"/>
        </w:rPr>
        <w:t xml:space="preserve"> data would be transferred during processing.</w:t>
      </w:r>
      <w:r w:rsidRPr="00223ED4">
        <w:rPr>
          <w:rFonts w:ascii="Arial" w:hAnsi="Arial" w:cs="Arial"/>
          <w:sz w:val="24"/>
          <w:vertAlign w:val="superscript"/>
        </w:rPr>
        <w:footnoteReference w:id="116"/>
      </w:r>
      <w:r w:rsidRPr="00223ED4">
        <w:rPr>
          <w:rFonts w:ascii="Arial" w:hAnsi="Arial" w:cs="Arial"/>
          <w:sz w:val="24"/>
        </w:rPr>
        <w:t xml:space="preserve"> </w:t>
      </w:r>
      <w:r w:rsidR="0003415E" w:rsidRPr="00223ED4">
        <w:rPr>
          <w:rFonts w:ascii="Arial" w:hAnsi="Arial" w:cs="Arial"/>
          <w:sz w:val="24"/>
        </w:rPr>
        <w:t>Consequently</w:t>
      </w:r>
      <w:r w:rsidRPr="00223ED4">
        <w:rPr>
          <w:rFonts w:ascii="Arial" w:hAnsi="Arial" w:cs="Arial"/>
          <w:sz w:val="24"/>
        </w:rPr>
        <w:t xml:space="preserve">, the wayward Cloud Provider agreed to provide the EU DPA with a guarantee that the personal data would not be transferred to any </w:t>
      </w:r>
      <w:r w:rsidR="00705AE9">
        <w:rPr>
          <w:rFonts w:ascii="Arial" w:hAnsi="Arial" w:cs="Arial"/>
          <w:sz w:val="24"/>
        </w:rPr>
        <w:t>non-European Economic Area</w:t>
      </w:r>
      <w:r w:rsidR="00705AE9" w:rsidRPr="00223ED4">
        <w:rPr>
          <w:rFonts w:ascii="Arial" w:hAnsi="Arial" w:cs="Arial"/>
          <w:sz w:val="24"/>
        </w:rPr>
        <w:t xml:space="preserve"> </w:t>
      </w:r>
      <w:r w:rsidRPr="00223ED4">
        <w:rPr>
          <w:rFonts w:ascii="Arial" w:hAnsi="Arial" w:cs="Arial"/>
          <w:sz w:val="24"/>
        </w:rPr>
        <w:t xml:space="preserve">country except the United States of America where the company and its subsidiaries were </w:t>
      </w:r>
      <w:r w:rsidR="001179DD" w:rsidRPr="00223ED4">
        <w:rPr>
          <w:rFonts w:ascii="Arial" w:hAnsi="Arial" w:cs="Arial"/>
          <w:sz w:val="24"/>
        </w:rPr>
        <w:t xml:space="preserve">Safe Harbor </w:t>
      </w:r>
      <w:r w:rsidRPr="00223ED4">
        <w:rPr>
          <w:rFonts w:ascii="Arial" w:hAnsi="Arial" w:cs="Arial"/>
          <w:sz w:val="24"/>
        </w:rPr>
        <w:t>certified.</w:t>
      </w:r>
      <w:r w:rsidRPr="00223ED4">
        <w:rPr>
          <w:rFonts w:ascii="Arial" w:hAnsi="Arial" w:cs="Arial"/>
          <w:sz w:val="24"/>
          <w:vertAlign w:val="superscript"/>
        </w:rPr>
        <w:footnoteReference w:id="117"/>
      </w:r>
      <w:r w:rsidRPr="00223ED4">
        <w:rPr>
          <w:rFonts w:ascii="Arial" w:eastAsia="Times New Roman" w:hAnsi="Arial" w:cs="Arial"/>
          <w:sz w:val="24"/>
        </w:rPr>
        <w:t xml:space="preserve"> </w:t>
      </w:r>
    </w:p>
    <w:p w14:paraId="0812C07A" w14:textId="77777777" w:rsidR="00F37181" w:rsidRPr="00223ED4" w:rsidRDefault="00F37181" w:rsidP="00F37181">
      <w:pPr>
        <w:spacing w:after="0" w:line="360" w:lineRule="auto"/>
        <w:jc w:val="both"/>
        <w:rPr>
          <w:rFonts w:ascii="Arial" w:eastAsia="Times New Roman" w:hAnsi="Arial" w:cs="Arial"/>
          <w:sz w:val="24"/>
        </w:rPr>
      </w:pPr>
    </w:p>
    <w:p w14:paraId="526EB25B" w14:textId="6E4EEDA3" w:rsidR="00F37181" w:rsidRPr="00223ED4" w:rsidRDefault="00F37181" w:rsidP="00F37181">
      <w:pPr>
        <w:spacing w:line="360" w:lineRule="auto"/>
        <w:ind w:firstLine="851"/>
        <w:rPr>
          <w:rFonts w:ascii="Arial" w:hAnsi="Arial" w:cs="Arial"/>
          <w:sz w:val="24"/>
        </w:rPr>
      </w:pPr>
      <w:r w:rsidRPr="00223ED4">
        <w:rPr>
          <w:rFonts w:ascii="Arial" w:hAnsi="Arial"/>
          <w:sz w:val="24"/>
        </w:rPr>
        <w:t xml:space="preserve">Another example derived from </w:t>
      </w:r>
      <w:r w:rsidR="0068126D" w:rsidRPr="00223ED4">
        <w:rPr>
          <w:rFonts w:ascii="Arial" w:hAnsi="Arial"/>
          <w:sz w:val="24"/>
        </w:rPr>
        <w:t>my</w:t>
      </w:r>
      <w:r w:rsidRPr="00223ED4">
        <w:rPr>
          <w:rFonts w:ascii="Arial" w:hAnsi="Arial"/>
          <w:sz w:val="24"/>
        </w:rPr>
        <w:t xml:space="preserve"> data analysis highlights how EU DPAs can escalate and de-escalate their regulatory </w:t>
      </w:r>
      <w:r w:rsidR="001620BA">
        <w:rPr>
          <w:rFonts w:ascii="Arial" w:hAnsi="Arial"/>
          <w:sz w:val="24"/>
        </w:rPr>
        <w:t xml:space="preserve">enforcement </w:t>
      </w:r>
      <w:r w:rsidRPr="00223ED4">
        <w:rPr>
          <w:rFonts w:ascii="Arial" w:hAnsi="Arial"/>
          <w:sz w:val="24"/>
        </w:rPr>
        <w:t>styles and strategies within the same Cloud In</w:t>
      </w:r>
      <w:r w:rsidRPr="00223ED4">
        <w:rPr>
          <w:rFonts w:ascii="Arial" w:hAnsi="Arial"/>
          <w:sz w:val="24"/>
        </w:rPr>
        <w:lastRenderedPageBreak/>
        <w:t>vestigation.</w:t>
      </w:r>
      <w:r w:rsidRPr="00223ED4">
        <w:rPr>
          <w:rFonts w:ascii="Arial" w:hAnsi="Arial" w:cs="Arial"/>
          <w:sz w:val="24"/>
        </w:rPr>
        <w:t xml:space="preserve"> </w:t>
      </w:r>
      <w:r w:rsidR="0003415E" w:rsidRPr="00223ED4">
        <w:rPr>
          <w:rFonts w:ascii="Arial" w:hAnsi="Arial" w:cs="Arial"/>
          <w:sz w:val="24"/>
        </w:rPr>
        <w:t>T</w:t>
      </w:r>
      <w:r w:rsidRPr="00223ED4">
        <w:rPr>
          <w:rFonts w:ascii="Arial" w:hAnsi="Arial" w:cs="Arial"/>
          <w:sz w:val="24"/>
        </w:rPr>
        <w:t>his EU DPA was investigating a multinational Cloud Provider that had a physical presence in its jurisdiction for its European activities. Consequently, this EU DPA had jurisdiction over this Cloud Provider`s European operations.</w:t>
      </w:r>
      <w:r w:rsidRPr="00223ED4">
        <w:rPr>
          <w:rFonts w:ascii="Arial" w:hAnsi="Arial" w:cs="Arial"/>
          <w:sz w:val="24"/>
          <w:vertAlign w:val="superscript"/>
        </w:rPr>
        <w:footnoteReference w:id="118"/>
      </w:r>
      <w:r w:rsidRPr="00223ED4">
        <w:rPr>
          <w:rFonts w:ascii="Arial" w:hAnsi="Arial" w:cs="Arial"/>
          <w:sz w:val="24"/>
        </w:rPr>
        <w:t xml:space="preserve"> At the start of this investigation, this EU DPA used numerous soft tools, such as informing the Cloud Provider about its data protection obligations, and learning about its business operations, through numerous and regular interactions with the senior employees of the relevant teams of the Cloud Provider including management, public policy, and engineering.</w:t>
      </w:r>
      <w:r w:rsidRPr="00223ED4">
        <w:rPr>
          <w:rFonts w:ascii="Arial" w:hAnsi="Arial" w:cs="Arial"/>
          <w:sz w:val="24"/>
          <w:vertAlign w:val="superscript"/>
        </w:rPr>
        <w:footnoteReference w:id="119"/>
      </w:r>
      <w:r w:rsidRPr="00223ED4">
        <w:rPr>
          <w:rFonts w:ascii="Arial" w:hAnsi="Arial" w:cs="Arial"/>
          <w:sz w:val="24"/>
        </w:rPr>
        <w:t xml:space="preserve"> Subsequently, the EU DPA thoroughly inspected most of the data processing operations and policies of the Clou</w:t>
      </w:r>
      <w:r w:rsidR="0003415E" w:rsidRPr="00223ED4">
        <w:rPr>
          <w:rFonts w:ascii="Arial" w:hAnsi="Arial" w:cs="Arial"/>
          <w:sz w:val="24"/>
        </w:rPr>
        <w:t>d Provider to evaluate whether it</w:t>
      </w:r>
      <w:r w:rsidRPr="00223ED4">
        <w:rPr>
          <w:rFonts w:ascii="Arial" w:hAnsi="Arial" w:cs="Arial"/>
          <w:sz w:val="24"/>
        </w:rPr>
        <w:t xml:space="preserve"> complied with the applicable </w:t>
      </w:r>
      <w:r w:rsidR="00613060">
        <w:rPr>
          <w:rFonts w:ascii="Arial" w:hAnsi="Arial" w:cs="Arial"/>
          <w:sz w:val="24"/>
        </w:rPr>
        <w:t>laws</w:t>
      </w:r>
      <w:r w:rsidRPr="00223ED4">
        <w:rPr>
          <w:rFonts w:ascii="Arial" w:hAnsi="Arial" w:cs="Arial"/>
          <w:sz w:val="24"/>
        </w:rPr>
        <w:t>.</w:t>
      </w:r>
      <w:r w:rsidRPr="00223ED4">
        <w:rPr>
          <w:rFonts w:ascii="Arial" w:hAnsi="Arial" w:cs="Arial"/>
          <w:sz w:val="24"/>
          <w:vertAlign w:val="superscript"/>
        </w:rPr>
        <w:footnoteReference w:id="120"/>
      </w:r>
      <w:r w:rsidRPr="00223ED4">
        <w:rPr>
          <w:rFonts w:ascii="Arial" w:hAnsi="Arial" w:cs="Arial"/>
          <w:sz w:val="24"/>
        </w:rPr>
        <w:t xml:space="preserve"> The EU DPA made an informal preliminary assessment of compliance which it explained to the Cloud Provider.</w:t>
      </w:r>
      <w:r w:rsidRPr="00223ED4">
        <w:rPr>
          <w:rFonts w:ascii="Arial" w:hAnsi="Arial" w:cs="Arial"/>
          <w:sz w:val="24"/>
          <w:vertAlign w:val="superscript"/>
        </w:rPr>
        <w:footnoteReference w:id="121"/>
      </w:r>
      <w:r w:rsidRPr="00223ED4">
        <w:rPr>
          <w:rFonts w:ascii="Arial" w:hAnsi="Arial" w:cs="Arial"/>
          <w:sz w:val="24"/>
        </w:rPr>
        <w:t xml:space="preserve"> Both parties engaged in lengthy negotiations to reach mutually acceptable solutions (i.e. solutions which would bring the Cloud Provider`s operations and policies in line with the relevant laws </w:t>
      </w:r>
      <w:r w:rsidRPr="00223ED4">
        <w:rPr>
          <w:rFonts w:ascii="Arial" w:hAnsi="Arial" w:cs="Arial"/>
          <w:sz w:val="24"/>
        </w:rPr>
        <w:lastRenderedPageBreak/>
        <w:t>whilst not damaging its business interests).</w:t>
      </w:r>
      <w:r w:rsidRPr="00223ED4">
        <w:rPr>
          <w:rFonts w:ascii="Arial" w:hAnsi="Arial" w:cs="Arial"/>
          <w:sz w:val="24"/>
          <w:vertAlign w:val="superscript"/>
        </w:rPr>
        <w:footnoteReference w:id="122"/>
      </w:r>
      <w:r w:rsidRPr="00223ED4">
        <w:rPr>
          <w:rFonts w:ascii="Arial" w:hAnsi="Arial" w:cs="Arial"/>
          <w:sz w:val="24"/>
        </w:rPr>
        <w:t xml:space="preserve"> However, at one point during the Cloud Investigation, the otherwise co-operative Cloud Provider, started objecting to some of the recommendations of the EU DPA.</w:t>
      </w:r>
      <w:r w:rsidRPr="00223ED4">
        <w:rPr>
          <w:rFonts w:ascii="Arial" w:hAnsi="Arial" w:cs="Arial"/>
          <w:sz w:val="24"/>
          <w:vertAlign w:val="superscript"/>
        </w:rPr>
        <w:footnoteReference w:id="123"/>
      </w:r>
      <w:r w:rsidRPr="00223ED4">
        <w:rPr>
          <w:rFonts w:ascii="Arial" w:hAnsi="Arial" w:cs="Arial"/>
          <w:sz w:val="24"/>
        </w:rPr>
        <w:t xml:space="preserve"> In particular, the Cloud Provider was unwilling to implement some recommendations which were designed to bring its operations and policies in line with the data protection laws of another European member state.</w:t>
      </w:r>
      <w:r w:rsidRPr="00223ED4">
        <w:rPr>
          <w:rFonts w:ascii="Arial" w:hAnsi="Arial" w:cs="Arial"/>
          <w:sz w:val="24"/>
          <w:vertAlign w:val="superscript"/>
        </w:rPr>
        <w:footnoteReference w:id="124"/>
      </w:r>
      <w:r w:rsidRPr="00223ED4">
        <w:rPr>
          <w:rFonts w:ascii="Arial" w:hAnsi="Arial" w:cs="Arial"/>
          <w:sz w:val="24"/>
        </w:rPr>
        <w:t xml:space="preserve"> Here:</w:t>
      </w:r>
    </w:p>
    <w:p w14:paraId="7BBD2313" w14:textId="23692EC1" w:rsidR="00F37181" w:rsidRPr="00223ED4" w:rsidRDefault="00F6484C" w:rsidP="00F37181">
      <w:pPr>
        <w:spacing w:line="360" w:lineRule="auto"/>
        <w:ind w:left="720"/>
        <w:rPr>
          <w:rFonts w:ascii="Arial" w:eastAsia="Times New Roman" w:hAnsi="Arial" w:cs="Times New Roman"/>
          <w:sz w:val="24"/>
          <w:lang w:eastAsia="en-GB"/>
        </w:rPr>
      </w:pPr>
      <w:r>
        <w:rPr>
          <w:rFonts w:ascii="Arial" w:hAnsi="Arial" w:cs="Arial"/>
          <w:sz w:val="24"/>
        </w:rPr>
        <w:t>‘</w:t>
      </w:r>
      <w:r w:rsidR="00F37181" w:rsidRPr="00223ED4">
        <w:rPr>
          <w:rFonts w:ascii="Arial" w:hAnsi="Arial" w:cs="Arial"/>
          <w:sz w:val="24"/>
        </w:rPr>
        <w:t xml:space="preserve">….in [this investigation] </w:t>
      </w:r>
      <w:r w:rsidR="00F37181" w:rsidRPr="00223ED4">
        <w:rPr>
          <w:rFonts w:ascii="Arial" w:eastAsia="Times New Roman" w:hAnsi="Arial" w:cs="Times New Roman"/>
          <w:sz w:val="24"/>
          <w:lang w:eastAsia="en-GB"/>
        </w:rPr>
        <w:t>at the last moment it could have turned out a different outcome. There could have been a bit of an enforcement action taken by us. There was a bit of a b</w:t>
      </w:r>
      <w:r w:rsidR="005602F2" w:rsidRPr="00223ED4">
        <w:rPr>
          <w:rFonts w:ascii="Arial" w:eastAsia="Times New Roman" w:hAnsi="Arial" w:cs="Times New Roman"/>
          <w:sz w:val="24"/>
          <w:lang w:eastAsia="en-GB"/>
        </w:rPr>
        <w:t>reakd</w:t>
      </w:r>
      <w:r>
        <w:rPr>
          <w:rFonts w:ascii="Arial" w:eastAsia="Times New Roman" w:hAnsi="Arial" w:cs="Times New Roman"/>
          <w:sz w:val="24"/>
          <w:lang w:eastAsia="en-GB"/>
        </w:rPr>
        <w:t>own in communication…(sic)’</w:t>
      </w:r>
      <w:r w:rsidR="00F37181" w:rsidRPr="00223ED4">
        <w:rPr>
          <w:rFonts w:ascii="Arial" w:eastAsia="Times New Roman" w:hAnsi="Arial" w:cs="Times New Roman"/>
          <w:sz w:val="24"/>
          <w:vertAlign w:val="superscript"/>
          <w:lang w:eastAsia="en-GB"/>
        </w:rPr>
        <w:footnoteReference w:id="125"/>
      </w:r>
    </w:p>
    <w:p w14:paraId="21F77DD3" w14:textId="1533719D" w:rsidR="00F37181" w:rsidRPr="00223ED4" w:rsidRDefault="00F37181" w:rsidP="00F37181">
      <w:pPr>
        <w:spacing w:line="360" w:lineRule="auto"/>
        <w:rPr>
          <w:rFonts w:ascii="Arial" w:eastAsia="Times New Roman" w:hAnsi="Arial" w:cs="Times New Roman"/>
          <w:sz w:val="24"/>
          <w:lang w:eastAsia="en-GB"/>
        </w:rPr>
      </w:pPr>
      <w:r w:rsidRPr="00223ED4">
        <w:rPr>
          <w:rFonts w:ascii="Arial" w:eastAsia="Times New Roman" w:hAnsi="Arial" w:cs="Times New Roman"/>
          <w:sz w:val="24"/>
          <w:lang w:eastAsia="en-GB"/>
        </w:rPr>
        <w:lastRenderedPageBreak/>
        <w:t>At that point, the interactions between the Cloud Provider and the EU DPA became very strained.</w:t>
      </w:r>
      <w:r w:rsidRPr="00223ED4">
        <w:rPr>
          <w:rFonts w:ascii="Arial" w:eastAsia="Times New Roman" w:hAnsi="Arial" w:cs="Times New Roman"/>
          <w:sz w:val="24"/>
          <w:vertAlign w:val="superscript"/>
          <w:lang w:eastAsia="en-GB"/>
        </w:rPr>
        <w:footnoteReference w:id="126"/>
      </w:r>
      <w:r w:rsidRPr="00223ED4">
        <w:rPr>
          <w:rFonts w:ascii="Arial" w:eastAsia="Times New Roman" w:hAnsi="Arial" w:cs="Times New Roman"/>
          <w:sz w:val="24"/>
          <w:lang w:eastAsia="en-GB"/>
        </w:rPr>
        <w:t xml:space="preserve"> The EU DPA threatened the </w:t>
      </w:r>
      <w:r w:rsidRPr="00223ED4">
        <w:rPr>
          <w:rFonts w:ascii="Arial" w:hAnsi="Arial" w:cs="Arial"/>
          <w:sz w:val="24"/>
        </w:rPr>
        <w:t>Cloud Provider</w:t>
      </w:r>
      <w:r w:rsidRPr="00223ED4">
        <w:rPr>
          <w:rFonts w:ascii="Arial" w:eastAsia="Times New Roman" w:hAnsi="Arial" w:cs="Times New Roman"/>
          <w:sz w:val="24"/>
          <w:lang w:eastAsia="en-GB"/>
        </w:rPr>
        <w:t xml:space="preserve"> that it would initiate a stronger enforcement action against it.</w:t>
      </w:r>
      <w:r w:rsidRPr="00223ED4">
        <w:rPr>
          <w:rFonts w:ascii="Arial" w:eastAsia="Times New Roman" w:hAnsi="Arial" w:cs="Times New Roman"/>
          <w:sz w:val="24"/>
          <w:vertAlign w:val="superscript"/>
          <w:lang w:eastAsia="en-GB"/>
        </w:rPr>
        <w:footnoteReference w:id="127"/>
      </w:r>
      <w:r w:rsidRPr="00223ED4">
        <w:rPr>
          <w:rFonts w:ascii="Arial" w:eastAsia="Times New Roman" w:hAnsi="Arial" w:cs="Times New Roman"/>
          <w:sz w:val="24"/>
          <w:lang w:eastAsia="en-GB"/>
        </w:rPr>
        <w:t xml:space="preserve"> The Cloud Provider retaliated that the EU DPA did not have the power to impose recommendations which were derived from the national data protection laws of another European jurisdiction.</w:t>
      </w:r>
      <w:r w:rsidRPr="00223ED4">
        <w:rPr>
          <w:rFonts w:ascii="Arial" w:eastAsia="Times New Roman" w:hAnsi="Arial" w:cs="Times New Roman"/>
          <w:sz w:val="24"/>
          <w:vertAlign w:val="superscript"/>
          <w:lang w:eastAsia="en-GB"/>
        </w:rPr>
        <w:footnoteReference w:id="128"/>
      </w:r>
      <w:r w:rsidRPr="00223ED4">
        <w:rPr>
          <w:rFonts w:ascii="Arial" w:eastAsia="Times New Roman" w:hAnsi="Arial" w:cs="Times New Roman"/>
          <w:sz w:val="24"/>
          <w:lang w:eastAsia="en-GB"/>
        </w:rPr>
        <w:t xml:space="preserve">  Unfazed, the EU DPA retaliated in kind ‘…you say I can’t do this…I say…ok take me to court.’</w:t>
      </w:r>
      <w:r w:rsidRPr="00223ED4">
        <w:rPr>
          <w:rFonts w:ascii="Arial" w:eastAsia="Times New Roman" w:hAnsi="Arial" w:cs="Times New Roman"/>
          <w:sz w:val="24"/>
          <w:vertAlign w:val="superscript"/>
          <w:lang w:eastAsia="en-GB"/>
        </w:rPr>
        <w:footnoteReference w:id="129"/>
      </w:r>
      <w:r w:rsidRPr="00223ED4">
        <w:rPr>
          <w:rFonts w:ascii="Arial" w:eastAsia="Times New Roman" w:hAnsi="Arial" w:cs="Times New Roman"/>
          <w:sz w:val="24"/>
          <w:lang w:eastAsia="en-GB"/>
        </w:rPr>
        <w:t xml:space="preserve"> All in all, in the words of this EU DPA, at this stage, the approach was ‘…very unlegal.</w:t>
      </w:r>
      <w:r w:rsidRPr="00223ED4">
        <w:rPr>
          <w:rFonts w:ascii="Arial" w:hAnsi="Arial"/>
          <w:sz w:val="24"/>
        </w:rPr>
        <w:t>’</w:t>
      </w:r>
      <w:r w:rsidRPr="00223ED4">
        <w:rPr>
          <w:rFonts w:ascii="Arial" w:hAnsi="Arial"/>
          <w:sz w:val="24"/>
          <w:vertAlign w:val="superscript"/>
        </w:rPr>
        <w:footnoteReference w:id="130"/>
      </w:r>
      <w:r w:rsidRPr="00223ED4">
        <w:rPr>
          <w:rFonts w:ascii="Arial" w:hAnsi="Arial"/>
          <w:sz w:val="24"/>
        </w:rPr>
        <w:t xml:space="preserve"> Eventually</w:t>
      </w:r>
      <w:r w:rsidR="00237327" w:rsidRPr="00223ED4">
        <w:rPr>
          <w:rFonts w:ascii="Arial" w:eastAsia="Times New Roman" w:hAnsi="Arial" w:cs="Times New Roman"/>
          <w:sz w:val="24"/>
          <w:lang w:eastAsia="en-GB"/>
        </w:rPr>
        <w:t>,</w:t>
      </w:r>
      <w:r w:rsidRPr="00223ED4">
        <w:rPr>
          <w:rFonts w:ascii="Arial" w:hAnsi="Arial"/>
          <w:sz w:val="24"/>
        </w:rPr>
        <w:t xml:space="preserve"> the EU DPA managed to persuade the Cloud Provider to change its stance by using its wider connections in another branch of the Cloud Provider.</w:t>
      </w:r>
      <w:r w:rsidRPr="00223ED4">
        <w:rPr>
          <w:rFonts w:ascii="Arial" w:hAnsi="Arial"/>
          <w:sz w:val="24"/>
          <w:vertAlign w:val="superscript"/>
        </w:rPr>
        <w:footnoteReference w:id="131"/>
      </w:r>
      <w:r w:rsidRPr="00223ED4">
        <w:rPr>
          <w:rFonts w:ascii="Arial" w:eastAsia="Times New Roman" w:hAnsi="Arial" w:cs="Times New Roman"/>
          <w:sz w:val="24"/>
          <w:lang w:eastAsia="en-GB"/>
        </w:rPr>
        <w:t xml:space="preserve"> Once the Cloud Provider agreed to implement all the recommendations of the EU DPA, the latter de-escalated its regulatory</w:t>
      </w:r>
      <w:r w:rsidR="00705AE9">
        <w:rPr>
          <w:rFonts w:ascii="Arial" w:eastAsia="Times New Roman" w:hAnsi="Arial" w:cs="Times New Roman"/>
          <w:sz w:val="24"/>
          <w:lang w:eastAsia="en-GB"/>
        </w:rPr>
        <w:t xml:space="preserve"> enforcement</w:t>
      </w:r>
      <w:r w:rsidRPr="00223ED4">
        <w:rPr>
          <w:rFonts w:ascii="Arial" w:eastAsia="Times New Roman" w:hAnsi="Arial" w:cs="Times New Roman"/>
          <w:sz w:val="24"/>
          <w:lang w:eastAsia="en-GB"/>
        </w:rPr>
        <w:t xml:space="preserve"> style to a more co-operative one. As this EU DPA says:</w:t>
      </w:r>
    </w:p>
    <w:p w14:paraId="2EA2CD1D" w14:textId="4134F45E" w:rsidR="00F37181" w:rsidRPr="00223ED4" w:rsidRDefault="00F6484C" w:rsidP="00F37181">
      <w:pPr>
        <w:spacing w:after="0" w:line="360" w:lineRule="auto"/>
        <w:ind w:left="720"/>
        <w:jc w:val="both"/>
        <w:rPr>
          <w:rFonts w:ascii="Arial" w:eastAsia="Times New Roman" w:hAnsi="Arial" w:cs="Arial"/>
          <w:sz w:val="24"/>
        </w:rPr>
      </w:pPr>
      <w:r>
        <w:rPr>
          <w:rFonts w:ascii="Arial" w:eastAsia="Times New Roman" w:hAnsi="Arial" w:cs="Times New Roman"/>
          <w:sz w:val="24"/>
          <w:lang w:eastAsia="en-GB"/>
        </w:rPr>
        <w:lastRenderedPageBreak/>
        <w:t>“</w:t>
      </w:r>
      <w:r w:rsidR="00F37181" w:rsidRPr="00223ED4">
        <w:rPr>
          <w:rFonts w:ascii="Arial" w:eastAsia="Times New Roman" w:hAnsi="Arial" w:cs="Times New Roman"/>
          <w:sz w:val="24"/>
          <w:lang w:eastAsia="en-GB"/>
        </w:rPr>
        <w:t>…Once the company is co-operating</w:t>
      </w:r>
      <w:r w:rsidR="00237327" w:rsidRPr="00223ED4">
        <w:rPr>
          <w:rFonts w:ascii="Arial" w:eastAsia="Times New Roman" w:hAnsi="Arial" w:cs="Times New Roman"/>
          <w:sz w:val="24"/>
          <w:lang w:eastAsia="en-GB"/>
        </w:rPr>
        <w:t>,</w:t>
      </w:r>
      <w:r w:rsidR="00F37181" w:rsidRPr="00223ED4">
        <w:rPr>
          <w:rFonts w:ascii="Arial" w:eastAsia="Times New Roman" w:hAnsi="Arial" w:cs="Times New Roman"/>
          <w:sz w:val="24"/>
          <w:lang w:eastAsia="en-GB"/>
        </w:rPr>
        <w:t xml:space="preserve"> </w:t>
      </w:r>
      <w:r w:rsidR="00B67F0D" w:rsidRPr="00223ED4">
        <w:rPr>
          <w:rFonts w:ascii="Arial" w:eastAsia="Times New Roman" w:hAnsi="Arial" w:cs="Times New Roman"/>
          <w:sz w:val="24"/>
          <w:lang w:eastAsia="en-GB"/>
        </w:rPr>
        <w:t xml:space="preserve">we </w:t>
      </w:r>
      <w:r w:rsidR="00F37181" w:rsidRPr="00223ED4">
        <w:rPr>
          <w:rFonts w:ascii="Arial" w:eastAsia="Times New Roman" w:hAnsi="Arial" w:cs="Times New Roman"/>
          <w:sz w:val="24"/>
          <w:lang w:eastAsia="en-GB"/>
        </w:rPr>
        <w:t xml:space="preserve">stand behind the company. </w:t>
      </w:r>
      <w:r w:rsidR="00B67F0D" w:rsidRPr="00223ED4">
        <w:rPr>
          <w:rFonts w:ascii="Arial" w:eastAsia="Times New Roman" w:hAnsi="Arial" w:cs="Times New Roman"/>
          <w:sz w:val="24"/>
          <w:lang w:eastAsia="en-GB"/>
        </w:rPr>
        <w:t>We</w:t>
      </w:r>
      <w:r w:rsidR="00F37181" w:rsidRPr="00223ED4">
        <w:rPr>
          <w:rFonts w:ascii="Arial" w:eastAsia="Times New Roman" w:hAnsi="Arial" w:cs="Times New Roman"/>
          <w:sz w:val="24"/>
          <w:lang w:eastAsia="en-GB"/>
        </w:rPr>
        <w:t xml:space="preserve"> will say they did co-operate. They are committed to doing it. </w:t>
      </w:r>
      <w:r w:rsidR="00B67F0D" w:rsidRPr="00223ED4">
        <w:rPr>
          <w:rFonts w:ascii="Arial" w:eastAsia="Times New Roman" w:hAnsi="Arial" w:cs="Times New Roman"/>
          <w:sz w:val="24"/>
          <w:lang w:eastAsia="en-GB"/>
        </w:rPr>
        <w:t xml:space="preserve">We are </w:t>
      </w:r>
      <w:r w:rsidR="00F37181" w:rsidRPr="00223ED4">
        <w:rPr>
          <w:rFonts w:ascii="Arial" w:eastAsia="Times New Roman" w:hAnsi="Arial" w:cs="Times New Roman"/>
          <w:sz w:val="24"/>
          <w:lang w:eastAsia="en-GB"/>
        </w:rPr>
        <w:t>satisfied in so far that</w:t>
      </w:r>
      <w:r w:rsidR="00B67F0D" w:rsidRPr="00223ED4">
        <w:rPr>
          <w:rFonts w:ascii="Arial" w:eastAsia="Times New Roman" w:hAnsi="Arial" w:cs="Times New Roman"/>
          <w:sz w:val="24"/>
          <w:lang w:eastAsia="en-GB"/>
        </w:rPr>
        <w:t xml:space="preserve"> we</w:t>
      </w:r>
      <w:r w:rsidR="00F37181" w:rsidRPr="00223ED4">
        <w:rPr>
          <w:rFonts w:ascii="Arial" w:eastAsia="Times New Roman" w:hAnsi="Arial" w:cs="Times New Roman"/>
          <w:sz w:val="24"/>
          <w:lang w:eastAsia="en-GB"/>
        </w:rPr>
        <w:t xml:space="preserve"> can be that they will be compliant once they implement these recommendations.</w:t>
      </w:r>
      <w:r w:rsidR="00F37181" w:rsidRPr="00223ED4">
        <w:rPr>
          <w:rFonts w:ascii="Arial" w:eastAsia="Times New Roman" w:hAnsi="Arial" w:cs="Arial"/>
          <w:sz w:val="24"/>
        </w:rPr>
        <w:t xml:space="preserve"> I have used this phrase before: '</w:t>
      </w:r>
      <w:r>
        <w:rPr>
          <w:rFonts w:ascii="Arial" w:eastAsia="Times New Roman" w:hAnsi="Arial" w:cs="Arial"/>
          <w:sz w:val="24"/>
        </w:rPr>
        <w:t>w</w:t>
      </w:r>
      <w:r w:rsidR="00B67F0D" w:rsidRPr="00223ED4">
        <w:rPr>
          <w:rFonts w:ascii="Arial" w:eastAsia="Times New Roman" w:hAnsi="Arial" w:cs="Arial"/>
          <w:sz w:val="24"/>
        </w:rPr>
        <w:t>e</w:t>
      </w:r>
      <w:r w:rsidR="00F37181" w:rsidRPr="00223ED4">
        <w:rPr>
          <w:rFonts w:ascii="Arial" w:eastAsia="Times New Roman" w:hAnsi="Arial" w:cs="Arial"/>
          <w:sz w:val="24"/>
        </w:rPr>
        <w:t xml:space="preserve"> beat people up behind closed doors and then come out smiling</w:t>
      </w:r>
      <w:r>
        <w:rPr>
          <w:rFonts w:ascii="Arial" w:eastAsia="Times New Roman" w:hAnsi="Arial" w:cs="Arial"/>
          <w:sz w:val="24"/>
        </w:rPr>
        <w:t>.’”</w:t>
      </w:r>
      <w:r w:rsidR="00F37181" w:rsidRPr="00223ED4">
        <w:rPr>
          <w:rFonts w:ascii="Arial" w:eastAsia="Times New Roman" w:hAnsi="Arial" w:cs="Arial"/>
          <w:sz w:val="24"/>
          <w:vertAlign w:val="superscript"/>
        </w:rPr>
        <w:footnoteReference w:id="132"/>
      </w:r>
    </w:p>
    <w:p w14:paraId="36A3939F" w14:textId="77777777" w:rsidR="00F37181" w:rsidRPr="00223ED4" w:rsidRDefault="00F37181" w:rsidP="00F37181">
      <w:pPr>
        <w:spacing w:after="0" w:line="360" w:lineRule="auto"/>
        <w:ind w:left="720"/>
        <w:jc w:val="both"/>
        <w:rPr>
          <w:rFonts w:ascii="Arial" w:eastAsia="Times New Roman" w:hAnsi="Arial" w:cs="Arial"/>
          <w:sz w:val="24"/>
        </w:rPr>
      </w:pPr>
    </w:p>
    <w:p w14:paraId="4A586286" w14:textId="63CCC70C" w:rsidR="005602F2" w:rsidRPr="00223ED4" w:rsidRDefault="00F37181" w:rsidP="00F37181">
      <w:pPr>
        <w:spacing w:line="360" w:lineRule="auto"/>
        <w:rPr>
          <w:rFonts w:ascii="Arial" w:eastAsia="Times New Roman" w:hAnsi="Arial" w:cs="Times New Roman"/>
          <w:sz w:val="24"/>
          <w:lang w:eastAsia="en-GB"/>
        </w:rPr>
      </w:pPr>
      <w:r w:rsidRPr="00223ED4">
        <w:rPr>
          <w:rFonts w:ascii="Arial" w:eastAsia="Times New Roman" w:hAnsi="Arial" w:cs="Times New Roman"/>
          <w:sz w:val="24"/>
          <w:lang w:eastAsia="en-GB"/>
        </w:rPr>
        <w:t>The escalation and de-escalation of regulatory</w:t>
      </w:r>
      <w:r w:rsidR="001620BA">
        <w:rPr>
          <w:rFonts w:ascii="Arial" w:eastAsia="Times New Roman" w:hAnsi="Arial" w:cs="Times New Roman"/>
          <w:sz w:val="24"/>
          <w:lang w:eastAsia="en-GB"/>
        </w:rPr>
        <w:t xml:space="preserve"> enforcement</w:t>
      </w:r>
      <w:r w:rsidRPr="00223ED4">
        <w:rPr>
          <w:rFonts w:ascii="Arial" w:eastAsia="Times New Roman" w:hAnsi="Arial" w:cs="Times New Roman"/>
          <w:sz w:val="24"/>
          <w:lang w:eastAsia="en-GB"/>
        </w:rPr>
        <w:t xml:space="preserve"> styles and strategies are not always apparent to another stakeholder (e.g. general public) as the ‘messiness’ and fractious aspects of the Cloud Investigations can often be glossed over in cases where the findings of the Cloud Investigations are published. </w:t>
      </w:r>
      <w:r w:rsidR="005602F2" w:rsidRPr="00223ED4">
        <w:rPr>
          <w:rFonts w:ascii="Arial" w:eastAsia="Times New Roman" w:hAnsi="Arial" w:cs="Times New Roman"/>
          <w:sz w:val="24"/>
          <w:lang w:eastAsia="en-GB"/>
        </w:rPr>
        <w:t>Such instances of ‘glossing over’ can often amount to occasions where specific types of information are arranged in particular way</w:t>
      </w:r>
      <w:r w:rsidR="00FA60DA" w:rsidRPr="00223ED4">
        <w:rPr>
          <w:rFonts w:ascii="Arial" w:eastAsia="Times New Roman" w:hAnsi="Arial" w:cs="Times New Roman"/>
          <w:sz w:val="24"/>
          <w:lang w:eastAsia="en-GB"/>
        </w:rPr>
        <w:t>s</w:t>
      </w:r>
      <w:r w:rsidR="005602F2" w:rsidRPr="00223ED4">
        <w:rPr>
          <w:rFonts w:ascii="Arial" w:eastAsia="Times New Roman" w:hAnsi="Arial" w:cs="Times New Roman"/>
          <w:sz w:val="24"/>
          <w:lang w:eastAsia="en-GB"/>
        </w:rPr>
        <w:t xml:space="preserve"> to convey one account of compliance, such as the image of a co-operative Cloud Provider that is keen to implement the recommendations of the regulator.</w:t>
      </w:r>
      <w:r w:rsidR="005602F2" w:rsidRPr="00223ED4">
        <w:rPr>
          <w:rStyle w:val="FootnoteReference"/>
          <w:rFonts w:ascii="Arial" w:eastAsia="Times New Roman" w:hAnsi="Arial" w:cs="Times New Roman"/>
          <w:sz w:val="24"/>
          <w:lang w:eastAsia="en-GB"/>
        </w:rPr>
        <w:footnoteReference w:id="133"/>
      </w:r>
      <w:r w:rsidR="005602F2" w:rsidRPr="00223ED4">
        <w:rPr>
          <w:rFonts w:ascii="Arial" w:eastAsia="Times New Roman" w:hAnsi="Arial" w:cs="Times New Roman"/>
          <w:sz w:val="24"/>
          <w:lang w:eastAsia="en-GB"/>
        </w:rPr>
        <w:t xml:space="preserve"> </w:t>
      </w:r>
    </w:p>
    <w:p w14:paraId="414ADBE9" w14:textId="3A8100DC" w:rsidR="00F37181" w:rsidRPr="00223ED4" w:rsidRDefault="004414E3" w:rsidP="00F37181">
      <w:pPr>
        <w:spacing w:line="360" w:lineRule="auto"/>
        <w:ind w:firstLine="851"/>
        <w:rPr>
          <w:rFonts w:ascii="Arial" w:hAnsi="Arial" w:cs="Arial"/>
          <w:sz w:val="24"/>
        </w:rPr>
      </w:pPr>
      <w:r w:rsidRPr="00223ED4">
        <w:rPr>
          <w:rFonts w:ascii="Arial" w:eastAsia="Times New Roman" w:hAnsi="Arial" w:cs="Times New Roman"/>
          <w:sz w:val="24"/>
          <w:lang w:eastAsia="en-GB"/>
        </w:rPr>
        <w:lastRenderedPageBreak/>
        <w:t>I</w:t>
      </w:r>
      <w:r w:rsidR="00F37181" w:rsidRPr="00223ED4">
        <w:rPr>
          <w:rFonts w:ascii="Arial" w:eastAsia="Times New Roman" w:hAnsi="Arial" w:cs="Times New Roman"/>
          <w:sz w:val="24"/>
          <w:lang w:eastAsia="en-GB"/>
        </w:rPr>
        <w:t xml:space="preserve">n some cases, </w:t>
      </w:r>
      <w:r w:rsidR="00F37181" w:rsidRPr="00223ED4">
        <w:rPr>
          <w:rFonts w:ascii="Arial" w:hAnsi="Arial" w:cs="Arial"/>
          <w:sz w:val="24"/>
        </w:rPr>
        <w:t>de-escalation may not always</w:t>
      </w:r>
      <w:r w:rsidR="006B598C" w:rsidRPr="00223ED4">
        <w:rPr>
          <w:rFonts w:ascii="Arial" w:hAnsi="Arial" w:cs="Arial"/>
          <w:sz w:val="24"/>
        </w:rPr>
        <w:t xml:space="preserve"> be possible once matters have </w:t>
      </w:r>
      <w:r w:rsidR="00F37181" w:rsidRPr="00223ED4">
        <w:rPr>
          <w:rFonts w:ascii="Arial" w:hAnsi="Arial" w:cs="Arial"/>
          <w:sz w:val="24"/>
        </w:rPr>
        <w:t>escalated. Where the Cloud Provider does not respond to specific threats of the EU DPA following a Cloud Investigation, such as the threat to fine the Cloud Provider, then some EU DPAs have no other option than to impose such fines.</w:t>
      </w:r>
      <w:r w:rsidR="00F37181" w:rsidRPr="00223ED4">
        <w:rPr>
          <w:rFonts w:ascii="Arial" w:hAnsi="Arial" w:cs="Arial"/>
          <w:sz w:val="24"/>
          <w:vertAlign w:val="superscript"/>
        </w:rPr>
        <w:footnoteReference w:id="134"/>
      </w:r>
      <w:r w:rsidR="00F37181" w:rsidRPr="00223ED4">
        <w:rPr>
          <w:rFonts w:ascii="Arial" w:hAnsi="Arial" w:cs="Arial"/>
          <w:sz w:val="24"/>
        </w:rPr>
        <w:t xml:space="preserve"> It is clear that for most EU </w:t>
      </w:r>
      <w:r w:rsidR="00CD00DF" w:rsidRPr="00223ED4">
        <w:rPr>
          <w:rFonts w:ascii="Arial" w:hAnsi="Arial" w:cs="Arial"/>
          <w:sz w:val="24"/>
        </w:rPr>
        <w:t xml:space="preserve">DPAs </w:t>
      </w:r>
      <w:r w:rsidR="00F37181" w:rsidRPr="00223ED4">
        <w:rPr>
          <w:rFonts w:ascii="Arial" w:hAnsi="Arial" w:cs="Arial"/>
          <w:sz w:val="24"/>
        </w:rPr>
        <w:t>this level of escalation is seen as the ‘last resort’</w:t>
      </w:r>
      <w:r w:rsidR="00F37181" w:rsidRPr="00223ED4">
        <w:rPr>
          <w:rFonts w:ascii="Arial" w:hAnsi="Arial" w:cs="Arial"/>
          <w:sz w:val="24"/>
          <w:vertAlign w:val="superscript"/>
        </w:rPr>
        <w:footnoteReference w:id="135"/>
      </w:r>
      <w:r w:rsidR="00F37181" w:rsidRPr="00223ED4">
        <w:rPr>
          <w:rFonts w:ascii="Arial" w:hAnsi="Arial" w:cs="Arial"/>
          <w:sz w:val="24"/>
        </w:rPr>
        <w:t xml:space="preserve"> when they are dealing with large multinational Cloud Providers that are unwilling to bring their activities in line with the relevant laws. One can question the effectiveness of fines as in cases where EU DPAs have imposed them after Cloud Investigation, such fines have not brought about a systematic change in terms of </w:t>
      </w:r>
      <w:r w:rsidR="00350937">
        <w:rPr>
          <w:rFonts w:ascii="Arial" w:hAnsi="Arial" w:cs="Arial"/>
          <w:sz w:val="24"/>
        </w:rPr>
        <w:t>the Cloud Provider`s</w:t>
      </w:r>
      <w:r w:rsidR="00F37181" w:rsidRPr="00223ED4">
        <w:rPr>
          <w:rFonts w:ascii="Arial" w:hAnsi="Arial" w:cs="Arial"/>
          <w:sz w:val="24"/>
        </w:rPr>
        <w:t xml:space="preserve"> data protection operations and policies. </w:t>
      </w:r>
      <w:r w:rsidR="00F37181" w:rsidRPr="00223ED4">
        <w:rPr>
          <w:rFonts w:ascii="Arial" w:hAnsi="Arial" w:cs="Arial"/>
          <w:sz w:val="24"/>
          <w:vertAlign w:val="superscript"/>
        </w:rPr>
        <w:footnoteReference w:id="136"/>
      </w:r>
      <w:r w:rsidR="00F37181" w:rsidRPr="00223ED4">
        <w:rPr>
          <w:rFonts w:ascii="Arial" w:hAnsi="Arial" w:cs="Arial"/>
          <w:sz w:val="24"/>
        </w:rPr>
        <w:t xml:space="preserve"> This finding is limited to one specific Cloud Provider that refused to implement the recommendations of several EU DPAs following their Cloud Investigations.</w:t>
      </w:r>
      <w:r w:rsidR="00F37181" w:rsidRPr="00223ED4">
        <w:rPr>
          <w:rFonts w:ascii="Arial" w:hAnsi="Arial" w:cs="Arial"/>
          <w:sz w:val="24"/>
          <w:vertAlign w:val="superscript"/>
        </w:rPr>
        <w:footnoteReference w:id="137"/>
      </w:r>
      <w:r w:rsidR="00F37181" w:rsidRPr="00223ED4">
        <w:rPr>
          <w:rFonts w:ascii="Arial" w:hAnsi="Arial" w:cs="Arial"/>
          <w:sz w:val="24"/>
        </w:rPr>
        <w:t xml:space="preserve"> Its non-compliance attitudes can be partly explain</w:t>
      </w:r>
      <w:r w:rsidR="00710C3D" w:rsidRPr="00223ED4">
        <w:rPr>
          <w:rFonts w:ascii="Arial" w:hAnsi="Arial" w:cs="Arial"/>
          <w:sz w:val="24"/>
        </w:rPr>
        <w:t>ed</w:t>
      </w:r>
      <w:r w:rsidR="00F37181" w:rsidRPr="00223ED4">
        <w:rPr>
          <w:rFonts w:ascii="Arial" w:hAnsi="Arial" w:cs="Arial"/>
          <w:sz w:val="24"/>
        </w:rPr>
        <w:t xml:space="preserve"> </w:t>
      </w:r>
      <w:r w:rsidR="00F37181" w:rsidRPr="00223ED4">
        <w:rPr>
          <w:rFonts w:ascii="Arial" w:hAnsi="Arial" w:cs="Arial"/>
          <w:sz w:val="24"/>
        </w:rPr>
        <w:lastRenderedPageBreak/>
        <w:t>by its deep pockets and its treatment of such fines as ‘…the cost of doing business’</w:t>
      </w:r>
      <w:r w:rsidR="00F37181" w:rsidRPr="00223ED4">
        <w:rPr>
          <w:rFonts w:ascii="Arial" w:hAnsi="Arial" w:cs="Arial"/>
          <w:sz w:val="24"/>
          <w:vertAlign w:val="superscript"/>
        </w:rPr>
        <w:footnoteReference w:id="138"/>
      </w:r>
      <w:r w:rsidR="00F37181" w:rsidRPr="00223ED4">
        <w:rPr>
          <w:rFonts w:ascii="Arial" w:hAnsi="Arial" w:cs="Arial"/>
          <w:sz w:val="24"/>
        </w:rPr>
        <w:t xml:space="preserve"> in Europe.</w:t>
      </w:r>
    </w:p>
    <w:p w14:paraId="7DEE3952" w14:textId="04F8F293" w:rsidR="006B598C" w:rsidRPr="00223ED4" w:rsidRDefault="00F37181" w:rsidP="00F37181">
      <w:pPr>
        <w:spacing w:line="360" w:lineRule="auto"/>
        <w:ind w:firstLine="851"/>
        <w:rPr>
          <w:rFonts w:ascii="Arial" w:hAnsi="Arial" w:cs="Arial"/>
          <w:sz w:val="24"/>
        </w:rPr>
      </w:pPr>
      <w:r w:rsidRPr="00223ED4">
        <w:rPr>
          <w:rFonts w:ascii="Arial" w:hAnsi="Arial" w:cs="Arial"/>
          <w:sz w:val="24"/>
        </w:rPr>
        <w:t xml:space="preserve">So which regulatory </w:t>
      </w:r>
      <w:r w:rsidR="00705AE9">
        <w:rPr>
          <w:rFonts w:ascii="Arial" w:hAnsi="Arial" w:cs="Arial"/>
          <w:sz w:val="24"/>
        </w:rPr>
        <w:t xml:space="preserve">enforcement </w:t>
      </w:r>
      <w:r w:rsidRPr="00223ED4">
        <w:rPr>
          <w:rFonts w:ascii="Arial" w:hAnsi="Arial" w:cs="Arial"/>
          <w:sz w:val="24"/>
        </w:rPr>
        <w:t xml:space="preserve">style secures the best outcome, in terms of bringing the current operations of the investigated Cloud Provider in line with data protection laws? </w:t>
      </w:r>
      <w:r w:rsidR="009B3290" w:rsidRPr="00223ED4">
        <w:rPr>
          <w:rFonts w:ascii="Arial" w:hAnsi="Arial"/>
          <w:sz w:val="24"/>
        </w:rPr>
        <w:t>My</w:t>
      </w:r>
      <w:r w:rsidRPr="00223ED4">
        <w:rPr>
          <w:rFonts w:ascii="Arial" w:hAnsi="Arial"/>
          <w:sz w:val="24"/>
        </w:rPr>
        <w:t xml:space="preserve"> data analysis suggests that regulatory </w:t>
      </w:r>
      <w:r w:rsidR="001620BA">
        <w:rPr>
          <w:rFonts w:ascii="Arial" w:hAnsi="Arial"/>
          <w:sz w:val="24"/>
        </w:rPr>
        <w:t xml:space="preserve">enforcement </w:t>
      </w:r>
      <w:r w:rsidRPr="00223ED4">
        <w:rPr>
          <w:rFonts w:ascii="Arial" w:hAnsi="Arial"/>
          <w:sz w:val="24"/>
        </w:rPr>
        <w:t>styles which can seamlessly move from one end of the spectrum (soft) to the other (hard) and back are the most effective ones</w:t>
      </w:r>
      <w:r w:rsidRPr="00223ED4">
        <w:rPr>
          <w:rFonts w:ascii="Arial" w:hAnsi="Arial" w:cs="Arial"/>
          <w:sz w:val="24"/>
        </w:rPr>
        <w:t xml:space="preserve">. Moreover, regulatory </w:t>
      </w:r>
      <w:r w:rsidR="001620BA">
        <w:rPr>
          <w:rFonts w:ascii="Arial" w:hAnsi="Arial" w:cs="Arial"/>
          <w:sz w:val="24"/>
        </w:rPr>
        <w:t xml:space="preserve">enforcement </w:t>
      </w:r>
      <w:r w:rsidRPr="00223ED4">
        <w:rPr>
          <w:rFonts w:ascii="Arial" w:hAnsi="Arial" w:cs="Arial"/>
          <w:sz w:val="24"/>
        </w:rPr>
        <w:t>styles which recognise the ‘business drivers’ of the Cloud Providers</w:t>
      </w:r>
      <w:r w:rsidR="00A46F1C">
        <w:rPr>
          <w:rFonts w:ascii="Arial" w:hAnsi="Arial" w:cs="Arial"/>
          <w:sz w:val="24"/>
        </w:rPr>
        <w:t>,</w:t>
      </w:r>
      <w:r w:rsidRPr="00223ED4">
        <w:rPr>
          <w:rFonts w:ascii="Arial" w:hAnsi="Arial" w:cs="Arial"/>
          <w:sz w:val="24"/>
          <w:vertAlign w:val="superscript"/>
        </w:rPr>
        <w:footnoteReference w:id="139"/>
      </w:r>
      <w:r w:rsidRPr="00223ED4">
        <w:rPr>
          <w:rFonts w:ascii="Arial" w:hAnsi="Arial" w:cs="Arial"/>
          <w:sz w:val="24"/>
        </w:rPr>
        <w:t xml:space="preserve"> make attempts to find mutually convenient solutions, and do not rely heavily on formalistic tools have so far yielded better outcomes.</w:t>
      </w:r>
      <w:r w:rsidRPr="00223ED4">
        <w:rPr>
          <w:rFonts w:ascii="Arial" w:hAnsi="Arial" w:cs="Arial"/>
          <w:sz w:val="24"/>
          <w:vertAlign w:val="superscript"/>
        </w:rPr>
        <w:footnoteReference w:id="140"/>
      </w:r>
      <w:r w:rsidR="006B598C" w:rsidRPr="00223ED4">
        <w:rPr>
          <w:rFonts w:ascii="Arial" w:hAnsi="Arial" w:cs="Arial"/>
          <w:sz w:val="24"/>
        </w:rPr>
        <w:t xml:space="preserve"> As mentioned earlier, r</w:t>
      </w:r>
      <w:r w:rsidRPr="00223ED4">
        <w:rPr>
          <w:rFonts w:ascii="Arial" w:hAnsi="Arial" w:cs="Arial"/>
          <w:sz w:val="24"/>
        </w:rPr>
        <w:t xml:space="preserve">egulatory </w:t>
      </w:r>
      <w:r w:rsidR="001620BA">
        <w:rPr>
          <w:rFonts w:ascii="Arial" w:hAnsi="Arial" w:cs="Arial"/>
          <w:sz w:val="24"/>
        </w:rPr>
        <w:t xml:space="preserve">enforcement </w:t>
      </w:r>
      <w:r w:rsidRPr="00223ED4">
        <w:rPr>
          <w:rFonts w:ascii="Arial" w:hAnsi="Arial" w:cs="Arial"/>
          <w:sz w:val="24"/>
        </w:rPr>
        <w:t xml:space="preserve">styles </w:t>
      </w:r>
      <w:r w:rsidR="006B598C" w:rsidRPr="00223ED4">
        <w:rPr>
          <w:rFonts w:ascii="Arial" w:hAnsi="Arial" w:cs="Arial"/>
          <w:sz w:val="24"/>
        </w:rPr>
        <w:t>do not exist in a vacuum but are closely linked to the complianc</w:t>
      </w:r>
      <w:r w:rsidR="00FA60DA" w:rsidRPr="00223ED4">
        <w:rPr>
          <w:rFonts w:ascii="Arial" w:hAnsi="Arial" w:cs="Arial"/>
          <w:sz w:val="24"/>
        </w:rPr>
        <w:t xml:space="preserve">e attitudes of Cloud Providers. </w:t>
      </w:r>
      <w:r w:rsidR="006B598C" w:rsidRPr="00223ED4">
        <w:rPr>
          <w:rFonts w:ascii="Arial" w:hAnsi="Arial"/>
          <w:sz w:val="24"/>
        </w:rPr>
        <w:t xml:space="preserve">Next, </w:t>
      </w:r>
      <w:r w:rsidR="002409C1" w:rsidRPr="00223ED4">
        <w:rPr>
          <w:rFonts w:ascii="Arial" w:hAnsi="Arial"/>
          <w:sz w:val="24"/>
        </w:rPr>
        <w:t>I</w:t>
      </w:r>
      <w:r w:rsidRPr="00223ED4">
        <w:rPr>
          <w:rFonts w:ascii="Arial" w:hAnsi="Arial"/>
          <w:sz w:val="24"/>
        </w:rPr>
        <w:t xml:space="preserve"> examine</w:t>
      </w:r>
      <w:r w:rsidR="006B598C" w:rsidRPr="00223ED4">
        <w:rPr>
          <w:rFonts w:ascii="Arial" w:hAnsi="Arial"/>
          <w:sz w:val="24"/>
        </w:rPr>
        <w:t xml:space="preserve"> some of the plural and constantly evolving compliance </w:t>
      </w:r>
      <w:r w:rsidR="00CA4BA7" w:rsidRPr="00223ED4">
        <w:rPr>
          <w:rFonts w:ascii="Arial" w:hAnsi="Arial"/>
          <w:sz w:val="24"/>
        </w:rPr>
        <w:lastRenderedPageBreak/>
        <w:t>attitudes</w:t>
      </w:r>
      <w:r w:rsidR="006B598C" w:rsidRPr="00223ED4">
        <w:rPr>
          <w:rFonts w:ascii="Arial" w:hAnsi="Arial"/>
          <w:sz w:val="24"/>
        </w:rPr>
        <w:t xml:space="preserve"> of Cloud Providers to illustrate another way in which Cloud Investigations are dynamic regulatory processes.</w:t>
      </w:r>
      <w:r w:rsidR="006B598C" w:rsidRPr="00223ED4">
        <w:rPr>
          <w:rFonts w:ascii="Arial" w:hAnsi="Arial"/>
          <w:sz w:val="24"/>
          <w:vertAlign w:val="superscript"/>
        </w:rPr>
        <w:footnoteReference w:id="141"/>
      </w:r>
      <w:r w:rsidR="006B598C" w:rsidRPr="00223ED4">
        <w:rPr>
          <w:rFonts w:ascii="Arial" w:hAnsi="Arial" w:cs="Arial"/>
          <w:sz w:val="24"/>
        </w:rPr>
        <w:t xml:space="preserve"> </w:t>
      </w:r>
    </w:p>
    <w:p w14:paraId="7CBC2819" w14:textId="1C73E302" w:rsidR="00F37181" w:rsidRPr="00223ED4" w:rsidRDefault="00F37181" w:rsidP="006B598C">
      <w:pPr>
        <w:pStyle w:val="Heading2"/>
        <w:numPr>
          <w:ilvl w:val="0"/>
          <w:numId w:val="0"/>
        </w:numPr>
        <w:rPr>
          <w:b/>
          <w:sz w:val="24"/>
        </w:rPr>
      </w:pPr>
      <w:bookmarkStart w:id="9" w:name="_Toc412899003"/>
      <w:r w:rsidRPr="00223ED4">
        <w:rPr>
          <w:b/>
          <w:sz w:val="24"/>
        </w:rPr>
        <w:t xml:space="preserve">Cloud Providers: Of Plural </w:t>
      </w:r>
      <w:bookmarkEnd w:id="9"/>
      <w:r w:rsidR="00CA4BA7" w:rsidRPr="00223ED4">
        <w:rPr>
          <w:b/>
          <w:sz w:val="24"/>
        </w:rPr>
        <w:t>Compliance Attitudes</w:t>
      </w:r>
    </w:p>
    <w:p w14:paraId="595B43B0" w14:textId="020AC733" w:rsidR="00F37181" w:rsidRPr="00223ED4" w:rsidRDefault="00F37181" w:rsidP="00F37181">
      <w:pPr>
        <w:spacing w:after="0" w:line="360" w:lineRule="auto"/>
        <w:jc w:val="both"/>
        <w:rPr>
          <w:rFonts w:ascii="Arial" w:hAnsi="Arial" w:cs="Arial"/>
          <w:sz w:val="24"/>
        </w:rPr>
      </w:pPr>
      <w:r w:rsidRPr="00223ED4">
        <w:rPr>
          <w:rFonts w:ascii="Arial" w:eastAsia="Times New Roman" w:hAnsi="Arial" w:cs="Arial"/>
          <w:sz w:val="24"/>
        </w:rPr>
        <w:t>The DPD</w:t>
      </w:r>
      <w:r w:rsidRPr="00223ED4">
        <w:rPr>
          <w:rFonts w:ascii="Arial" w:eastAsia="Times New Roman" w:hAnsi="Arial" w:cs="Arial"/>
          <w:sz w:val="24"/>
          <w:vertAlign w:val="superscript"/>
        </w:rPr>
        <w:footnoteReference w:id="142"/>
      </w:r>
      <w:r w:rsidR="00CF56E7">
        <w:rPr>
          <w:rFonts w:ascii="Arial" w:eastAsia="Times New Roman" w:hAnsi="Arial" w:cs="Arial"/>
          <w:sz w:val="24"/>
        </w:rPr>
        <w:t xml:space="preserve"> makes specific provisions for</w:t>
      </w:r>
      <w:r w:rsidRPr="00223ED4">
        <w:rPr>
          <w:rFonts w:ascii="Arial" w:eastAsia="Times New Roman" w:hAnsi="Arial" w:cs="Arial"/>
          <w:sz w:val="24"/>
        </w:rPr>
        <w:t xml:space="preserve"> the investigative powers of EU DPAs (e.g. power to collection information </w:t>
      </w:r>
      <w:r w:rsidR="006B598C" w:rsidRPr="00223ED4">
        <w:rPr>
          <w:rFonts w:ascii="Arial" w:eastAsia="Times New Roman" w:hAnsi="Arial" w:cs="Arial"/>
          <w:sz w:val="24"/>
        </w:rPr>
        <w:t>etc.</w:t>
      </w:r>
      <w:r w:rsidRPr="00223ED4">
        <w:rPr>
          <w:rFonts w:ascii="Arial" w:eastAsia="Times New Roman" w:hAnsi="Arial" w:cs="Arial"/>
          <w:sz w:val="24"/>
        </w:rPr>
        <w:t>) which concurrently impose implicit (in the sense of unspecified) obligations on the investi</w:t>
      </w:r>
      <w:r w:rsidR="00FA60DA" w:rsidRPr="00223ED4">
        <w:rPr>
          <w:rFonts w:ascii="Arial" w:eastAsia="Times New Roman" w:hAnsi="Arial" w:cs="Arial"/>
          <w:sz w:val="24"/>
        </w:rPr>
        <w:t>gated data controllers, such as</w:t>
      </w:r>
      <w:r w:rsidRPr="00223ED4">
        <w:rPr>
          <w:rFonts w:ascii="Arial" w:eastAsia="Times New Roman" w:hAnsi="Arial" w:cs="Arial"/>
          <w:sz w:val="24"/>
        </w:rPr>
        <w:t xml:space="preserve"> the obligation </w:t>
      </w:r>
      <w:r w:rsidR="006B598C" w:rsidRPr="00223ED4">
        <w:rPr>
          <w:rFonts w:ascii="Arial" w:eastAsia="Times New Roman" w:hAnsi="Arial" w:cs="Arial"/>
          <w:sz w:val="24"/>
        </w:rPr>
        <w:t xml:space="preserve">to provide the EU DPA </w:t>
      </w:r>
      <w:r w:rsidR="00350937">
        <w:rPr>
          <w:rFonts w:ascii="Arial" w:eastAsia="Times New Roman" w:hAnsi="Arial" w:cs="Arial"/>
          <w:sz w:val="24"/>
        </w:rPr>
        <w:t xml:space="preserve">with </w:t>
      </w:r>
      <w:r w:rsidRPr="00223ED4">
        <w:rPr>
          <w:rFonts w:ascii="Arial" w:eastAsia="Times New Roman" w:hAnsi="Arial" w:cs="Arial"/>
          <w:sz w:val="24"/>
        </w:rPr>
        <w:t xml:space="preserve">access to the requested information. </w:t>
      </w:r>
      <w:r w:rsidR="00CD00DF" w:rsidRPr="00223ED4">
        <w:rPr>
          <w:rFonts w:ascii="Arial" w:eastAsia="Times New Roman" w:hAnsi="Arial" w:cs="Arial"/>
          <w:sz w:val="24"/>
        </w:rPr>
        <w:t>However,</w:t>
      </w:r>
      <w:r w:rsidRPr="00223ED4">
        <w:rPr>
          <w:rFonts w:ascii="Arial" w:eastAsia="Times New Roman" w:hAnsi="Arial" w:cs="Arial"/>
          <w:sz w:val="24"/>
        </w:rPr>
        <w:t xml:space="preserve"> the obligations of data controllers to provide EU DPA</w:t>
      </w:r>
      <w:r w:rsidR="006B598C" w:rsidRPr="00223ED4">
        <w:rPr>
          <w:rFonts w:ascii="Arial" w:eastAsia="Times New Roman" w:hAnsi="Arial" w:cs="Arial"/>
          <w:sz w:val="24"/>
        </w:rPr>
        <w:t>s</w:t>
      </w:r>
      <w:r w:rsidRPr="00223ED4">
        <w:rPr>
          <w:rFonts w:ascii="Arial" w:eastAsia="Times New Roman" w:hAnsi="Arial" w:cs="Arial"/>
          <w:sz w:val="24"/>
        </w:rPr>
        <w:t xml:space="preserve"> with access to the requested information and/or premises have been inconsistently fleshed out by the implementing national data protection laws.</w:t>
      </w:r>
      <w:r w:rsidR="006B598C" w:rsidRPr="00223ED4">
        <w:rPr>
          <w:rStyle w:val="FootnoteReference"/>
          <w:rFonts w:ascii="Arial" w:eastAsia="Times New Roman" w:hAnsi="Arial" w:cs="Arial"/>
          <w:sz w:val="24"/>
        </w:rPr>
        <w:footnoteReference w:id="143"/>
      </w:r>
      <w:r w:rsidRPr="00223ED4">
        <w:rPr>
          <w:rFonts w:ascii="Arial" w:eastAsia="Times New Roman" w:hAnsi="Arial" w:cs="Arial"/>
          <w:sz w:val="24"/>
        </w:rPr>
        <w:t xml:space="preserve"> Thus, even if the national laws implementing the DPD impose a duty on data controllers to co-operate with EU DPAs during their investigations, such laws invariably do not specify the </w:t>
      </w:r>
      <w:r w:rsidRPr="00223ED4">
        <w:rPr>
          <w:rFonts w:ascii="Arial" w:eastAsia="Times New Roman" w:hAnsi="Arial" w:cs="Arial"/>
          <w:i/>
          <w:sz w:val="24"/>
        </w:rPr>
        <w:t>extent</w:t>
      </w:r>
      <w:r w:rsidRPr="00223ED4">
        <w:rPr>
          <w:rFonts w:ascii="Arial" w:eastAsia="Times New Roman" w:hAnsi="Arial" w:cs="Arial"/>
          <w:sz w:val="24"/>
        </w:rPr>
        <w:t xml:space="preserve"> to which the data controllers have to be open and transparent with the EU DPAs during the investigations </w:t>
      </w:r>
      <w:r w:rsidRPr="00223ED4">
        <w:rPr>
          <w:rFonts w:ascii="Arial" w:eastAsia="Times New Roman" w:hAnsi="Arial" w:cs="Arial"/>
          <w:sz w:val="24"/>
        </w:rPr>
        <w:lastRenderedPageBreak/>
        <w:t>or may provide the data controllers with a right to withhold information in specific circumstances</w:t>
      </w:r>
      <w:r w:rsidRPr="00223ED4">
        <w:rPr>
          <w:rFonts w:ascii="Arial" w:eastAsia="Times New Roman" w:hAnsi="Arial" w:cs="Arial"/>
          <w:i/>
          <w:sz w:val="24"/>
        </w:rPr>
        <w:t>.</w:t>
      </w:r>
      <w:r w:rsidR="00692AA0" w:rsidRPr="00223ED4">
        <w:rPr>
          <w:rStyle w:val="FootnoteReference"/>
          <w:rFonts w:ascii="Arial" w:eastAsia="Times New Roman" w:hAnsi="Arial" w:cs="Arial"/>
          <w:sz w:val="24"/>
        </w:rPr>
        <w:footnoteReference w:id="144"/>
      </w:r>
      <w:r w:rsidRPr="00223ED4">
        <w:rPr>
          <w:rFonts w:ascii="Arial" w:eastAsia="Times New Roman" w:hAnsi="Arial" w:cs="Arial"/>
          <w:i/>
          <w:sz w:val="24"/>
        </w:rPr>
        <w:t xml:space="preserve"> </w:t>
      </w:r>
      <w:r w:rsidRPr="00223ED4">
        <w:rPr>
          <w:rFonts w:ascii="Arial" w:eastAsia="Times New Roman" w:hAnsi="Arial" w:cs="Arial"/>
          <w:sz w:val="24"/>
        </w:rPr>
        <w:t>So to what extent are Cloud Providers open and transparent with EU DPAs</w:t>
      </w:r>
      <w:r w:rsidRPr="00223ED4">
        <w:rPr>
          <w:rFonts w:ascii="Arial" w:eastAsia="Times New Roman" w:hAnsi="Arial" w:cs="Arial"/>
          <w:i/>
          <w:sz w:val="24"/>
        </w:rPr>
        <w:t xml:space="preserve"> </w:t>
      </w:r>
      <w:r w:rsidRPr="00223ED4">
        <w:rPr>
          <w:rFonts w:ascii="Arial" w:eastAsia="Times New Roman" w:hAnsi="Arial" w:cs="Arial"/>
          <w:sz w:val="24"/>
        </w:rPr>
        <w:t xml:space="preserve">during investigations? </w:t>
      </w:r>
      <w:r w:rsidR="009B3290" w:rsidRPr="00223ED4">
        <w:rPr>
          <w:rFonts w:ascii="Arial" w:eastAsia="Times New Roman" w:hAnsi="Arial" w:cs="Arial"/>
          <w:sz w:val="24"/>
        </w:rPr>
        <w:t>My</w:t>
      </w:r>
      <w:r w:rsidRPr="00223ED4">
        <w:rPr>
          <w:rFonts w:ascii="Arial" w:eastAsia="Times New Roman" w:hAnsi="Arial" w:cs="Arial"/>
          <w:sz w:val="24"/>
        </w:rPr>
        <w:t xml:space="preserve"> data analysis shows that </w:t>
      </w:r>
      <w:r w:rsidR="00A46F1C">
        <w:rPr>
          <w:rFonts w:ascii="Arial" w:eastAsia="Times New Roman" w:hAnsi="Arial" w:cs="Arial"/>
          <w:sz w:val="24"/>
        </w:rPr>
        <w:t xml:space="preserve">some </w:t>
      </w:r>
      <w:r w:rsidRPr="00223ED4">
        <w:rPr>
          <w:rFonts w:ascii="Arial" w:eastAsia="Times New Roman" w:hAnsi="Arial" w:cs="Arial"/>
          <w:sz w:val="24"/>
        </w:rPr>
        <w:t>Cloud Providers can often be motiva</w:t>
      </w:r>
      <w:r w:rsidR="007512B7" w:rsidRPr="00223ED4">
        <w:rPr>
          <w:rFonts w:ascii="Arial" w:eastAsia="Times New Roman" w:hAnsi="Arial" w:cs="Arial"/>
          <w:sz w:val="24"/>
        </w:rPr>
        <w:t xml:space="preserve">ted to be open and transparent, </w:t>
      </w:r>
      <w:r w:rsidRPr="00223ED4">
        <w:rPr>
          <w:rFonts w:ascii="Arial" w:eastAsia="Times New Roman" w:hAnsi="Arial" w:cs="Arial"/>
          <w:sz w:val="24"/>
        </w:rPr>
        <w:t>to varying degrees and subject to commercial considerations</w:t>
      </w:r>
      <w:r w:rsidR="007512B7" w:rsidRPr="00223ED4">
        <w:rPr>
          <w:rFonts w:ascii="Arial" w:eastAsia="Times New Roman" w:hAnsi="Arial" w:cs="Arial"/>
          <w:sz w:val="24"/>
        </w:rPr>
        <w:t>,</w:t>
      </w:r>
      <w:r w:rsidRPr="00223ED4">
        <w:rPr>
          <w:rFonts w:ascii="Arial" w:eastAsia="Times New Roman" w:hAnsi="Arial" w:cs="Arial"/>
          <w:sz w:val="24"/>
        </w:rPr>
        <w:t xml:space="preserve"> during Cloud In</w:t>
      </w:r>
      <w:r w:rsidR="00607616" w:rsidRPr="00223ED4">
        <w:rPr>
          <w:rFonts w:ascii="Arial" w:eastAsia="Times New Roman" w:hAnsi="Arial" w:cs="Arial"/>
          <w:sz w:val="24"/>
        </w:rPr>
        <w:t xml:space="preserve">vestigations for three reasons. </w:t>
      </w:r>
    </w:p>
    <w:p w14:paraId="1D40937A" w14:textId="77777777" w:rsidR="00F37181" w:rsidRPr="00223ED4" w:rsidRDefault="00F37181" w:rsidP="00F37181">
      <w:pPr>
        <w:spacing w:after="0" w:line="360" w:lineRule="auto"/>
        <w:jc w:val="both"/>
        <w:rPr>
          <w:rFonts w:ascii="Arial" w:eastAsia="Times New Roman" w:hAnsi="Arial" w:cs="Arial"/>
          <w:sz w:val="24"/>
        </w:rPr>
      </w:pPr>
    </w:p>
    <w:p w14:paraId="51666F4F" w14:textId="295D1B76" w:rsidR="00F37181" w:rsidRPr="00223ED4" w:rsidRDefault="00F37181" w:rsidP="00F37181">
      <w:pPr>
        <w:spacing w:after="0" w:line="360" w:lineRule="auto"/>
        <w:ind w:firstLine="851"/>
        <w:jc w:val="both"/>
        <w:rPr>
          <w:rFonts w:ascii="Arial" w:eastAsia="Times New Roman" w:hAnsi="Arial" w:cs="Arial"/>
          <w:sz w:val="24"/>
        </w:rPr>
      </w:pPr>
      <w:r w:rsidRPr="00223ED4">
        <w:rPr>
          <w:rFonts w:ascii="Arial" w:eastAsia="Times New Roman" w:hAnsi="Arial" w:cs="Arial"/>
          <w:sz w:val="24"/>
        </w:rPr>
        <w:t>Firstly, some Cloud Providers are often motivated to be open and transparent with the EU DPAs during Cloud Investigations to generate trust with their customers.</w:t>
      </w:r>
      <w:r w:rsidRPr="00223ED4">
        <w:rPr>
          <w:rFonts w:ascii="Arial" w:eastAsia="Times New Roman" w:hAnsi="Arial" w:cs="Arial"/>
          <w:sz w:val="24"/>
          <w:vertAlign w:val="superscript"/>
        </w:rPr>
        <w:footnoteReference w:id="145"/>
      </w:r>
      <w:r w:rsidRPr="00223ED4">
        <w:rPr>
          <w:rFonts w:ascii="Arial" w:eastAsia="Times New Roman" w:hAnsi="Arial" w:cs="Arial"/>
          <w:sz w:val="24"/>
        </w:rPr>
        <w:t xml:space="preserve"> Trust</w:t>
      </w:r>
      <w:r w:rsidRPr="00223ED4">
        <w:rPr>
          <w:rFonts w:ascii="Arial" w:eastAsia="Times New Roman" w:hAnsi="Arial" w:cs="Arial"/>
          <w:sz w:val="24"/>
          <w:vertAlign w:val="superscript"/>
        </w:rPr>
        <w:footnoteReference w:id="146"/>
      </w:r>
      <w:r w:rsidRPr="00223ED4">
        <w:rPr>
          <w:rFonts w:ascii="Arial" w:eastAsia="Times New Roman" w:hAnsi="Arial" w:cs="Arial"/>
          <w:sz w:val="24"/>
        </w:rPr>
        <w:t xml:space="preserve"> refers to the reliance of the customers on the competence and willingness of Cloud Providers to look </w:t>
      </w:r>
      <w:r w:rsidRPr="00223ED4">
        <w:rPr>
          <w:rFonts w:ascii="Arial" w:eastAsia="Times New Roman" w:hAnsi="Arial" w:cs="Arial"/>
          <w:sz w:val="24"/>
        </w:rPr>
        <w:lastRenderedPageBreak/>
        <w:t xml:space="preserve">after rather than harm the </w:t>
      </w:r>
      <w:r w:rsidR="003A6ECD">
        <w:rPr>
          <w:rFonts w:ascii="Arial" w:eastAsia="Times New Roman" w:hAnsi="Arial" w:cs="Arial"/>
          <w:sz w:val="24"/>
        </w:rPr>
        <w:t xml:space="preserve">personal </w:t>
      </w:r>
      <w:r w:rsidRPr="00223ED4">
        <w:rPr>
          <w:rFonts w:ascii="Arial" w:eastAsia="Times New Roman" w:hAnsi="Arial" w:cs="Arial"/>
          <w:sz w:val="24"/>
        </w:rPr>
        <w:t>data that have been entrusted to their care.</w:t>
      </w:r>
      <w:r w:rsidRPr="00223ED4">
        <w:rPr>
          <w:rFonts w:ascii="Arial" w:eastAsia="Times New Roman" w:hAnsi="Arial" w:cs="Arial"/>
          <w:sz w:val="24"/>
          <w:vertAlign w:val="superscript"/>
        </w:rPr>
        <w:footnoteReference w:id="147"/>
      </w:r>
      <w:r w:rsidRPr="00223ED4">
        <w:rPr>
          <w:rFonts w:ascii="Arial" w:eastAsia="Times New Roman" w:hAnsi="Arial" w:cs="Arial"/>
          <w:sz w:val="24"/>
        </w:rPr>
        <w:t xml:space="preserve"> Many Cloud Providers interact openly and transparently with EU DPAs during Cloud Investigations to generate various dimensions of trust, such as commitment (demonstrating to their customers that they are committed to protecting their </w:t>
      </w:r>
      <w:r w:rsidR="003A6ECD">
        <w:rPr>
          <w:rFonts w:ascii="Arial" w:eastAsia="Times New Roman" w:hAnsi="Arial" w:cs="Arial"/>
          <w:sz w:val="24"/>
        </w:rPr>
        <w:t xml:space="preserve">personal </w:t>
      </w:r>
      <w:r w:rsidRPr="00223ED4">
        <w:rPr>
          <w:rFonts w:ascii="Arial" w:eastAsia="Times New Roman" w:hAnsi="Arial" w:cs="Arial"/>
          <w:sz w:val="24"/>
        </w:rPr>
        <w:t xml:space="preserve">data), competence (showing to their customers that they operate in accordance with existing laws), and predictability (showing to their customers that the Cloud Providers will continue interacting with the EU DPA after the Cloud Investigation to ensure that its future processing operations or technologies or policies </w:t>
      </w:r>
      <w:r w:rsidR="007512B7" w:rsidRPr="00223ED4">
        <w:rPr>
          <w:rFonts w:ascii="Arial" w:eastAsia="Times New Roman" w:hAnsi="Arial" w:cs="Arial"/>
          <w:sz w:val="24"/>
        </w:rPr>
        <w:t xml:space="preserve">comply </w:t>
      </w:r>
      <w:r w:rsidRPr="00223ED4">
        <w:rPr>
          <w:rFonts w:ascii="Arial" w:eastAsia="Times New Roman" w:hAnsi="Arial" w:cs="Arial"/>
          <w:sz w:val="24"/>
        </w:rPr>
        <w:t xml:space="preserve"> with the relevant laws).</w:t>
      </w:r>
      <w:r w:rsidRPr="00223ED4">
        <w:rPr>
          <w:rFonts w:ascii="Arial" w:eastAsia="Times New Roman" w:hAnsi="Arial" w:cs="Arial"/>
          <w:sz w:val="24"/>
          <w:vertAlign w:val="superscript"/>
        </w:rPr>
        <w:footnoteReference w:id="148"/>
      </w:r>
      <w:r w:rsidRPr="00223ED4">
        <w:rPr>
          <w:rFonts w:ascii="Arial" w:eastAsia="Times New Roman" w:hAnsi="Arial" w:cs="Arial"/>
          <w:sz w:val="24"/>
        </w:rPr>
        <w:t xml:space="preserve"> Cloud Investigations can often be effective and persuasive tools used by Cloud Providers to in</w:t>
      </w:r>
      <w:r w:rsidR="000C2648">
        <w:rPr>
          <w:rFonts w:ascii="Arial" w:eastAsia="Times New Roman" w:hAnsi="Arial" w:cs="Arial"/>
          <w:sz w:val="24"/>
        </w:rPr>
        <w:t xml:space="preserve">form their customers that they </w:t>
      </w:r>
      <w:r w:rsidR="00F6484C">
        <w:rPr>
          <w:rFonts w:ascii="Arial" w:eastAsia="Times New Roman" w:hAnsi="Arial" w:cs="Arial"/>
          <w:sz w:val="24"/>
        </w:rPr>
        <w:t>‘</w:t>
      </w:r>
      <w:r w:rsidRPr="00223ED4">
        <w:rPr>
          <w:rFonts w:ascii="Arial" w:eastAsia="Times New Roman" w:hAnsi="Arial" w:cs="Arial"/>
          <w:sz w:val="24"/>
        </w:rPr>
        <w:t xml:space="preserve">… can trust us with their data…trust that </w:t>
      </w:r>
      <w:r w:rsidR="00607616" w:rsidRPr="00223ED4">
        <w:rPr>
          <w:rFonts w:ascii="Arial" w:hAnsi="Arial"/>
          <w:sz w:val="24"/>
        </w:rPr>
        <w:t>we are</w:t>
      </w:r>
      <w:r w:rsidRPr="00223ED4">
        <w:rPr>
          <w:rFonts w:ascii="Arial" w:hAnsi="Arial"/>
          <w:sz w:val="24"/>
        </w:rPr>
        <w:t xml:space="preserve"> doing</w:t>
      </w:r>
      <w:r w:rsidR="00607616" w:rsidRPr="00223ED4">
        <w:rPr>
          <w:rFonts w:ascii="Arial" w:eastAsia="Times New Roman" w:hAnsi="Arial" w:cs="Arial"/>
          <w:sz w:val="24"/>
        </w:rPr>
        <w:t xml:space="preserve"> </w:t>
      </w:r>
      <w:r w:rsidRPr="00223ED4">
        <w:rPr>
          <w:rFonts w:ascii="Arial" w:eastAsia="Times New Roman" w:hAnsi="Arial" w:cs="Arial"/>
          <w:sz w:val="24"/>
        </w:rPr>
        <w:t xml:space="preserve">the right choices when it </w:t>
      </w:r>
      <w:r w:rsidR="000C2648">
        <w:rPr>
          <w:rFonts w:ascii="Arial" w:eastAsia="Times New Roman" w:hAnsi="Arial" w:cs="Arial"/>
          <w:sz w:val="24"/>
        </w:rPr>
        <w:t>comes to processing their data.</w:t>
      </w:r>
      <w:r w:rsidR="00F6484C">
        <w:rPr>
          <w:rFonts w:ascii="Arial" w:eastAsia="Times New Roman" w:hAnsi="Arial" w:cs="Arial"/>
          <w:sz w:val="24"/>
        </w:rPr>
        <w:t>’</w:t>
      </w:r>
      <w:r w:rsidRPr="00223ED4">
        <w:rPr>
          <w:rFonts w:ascii="Arial" w:eastAsia="Times New Roman" w:hAnsi="Arial" w:cs="Arial"/>
          <w:sz w:val="24"/>
          <w:vertAlign w:val="superscript"/>
        </w:rPr>
        <w:footnoteReference w:id="149"/>
      </w:r>
      <w:r w:rsidRPr="00223ED4">
        <w:rPr>
          <w:rFonts w:ascii="Arial" w:eastAsia="Times New Roman" w:hAnsi="Arial" w:cs="Arial"/>
          <w:sz w:val="24"/>
        </w:rPr>
        <w:t xml:space="preserve"> A positive Cloud Investigation – that is one which concludes that the Cloud Provider is mostly compliant and will rectify areas of non-compliance within a specific timeframe under the supervision of the EU DPA – can often reassure the customers of the Cloud Provider because </w:t>
      </w:r>
      <w:r w:rsidRPr="00223ED4">
        <w:rPr>
          <w:rFonts w:ascii="Arial" w:eastAsia="Times New Roman" w:hAnsi="Arial" w:cs="Arial"/>
          <w:sz w:val="24"/>
        </w:rPr>
        <w:lastRenderedPageBreak/>
        <w:t>a ‘trustworthy…third party…acting for the state’</w:t>
      </w:r>
      <w:r w:rsidRPr="00223ED4">
        <w:rPr>
          <w:rFonts w:ascii="Arial" w:eastAsia="Times New Roman" w:hAnsi="Arial" w:cs="Arial"/>
          <w:sz w:val="24"/>
          <w:vertAlign w:val="superscript"/>
        </w:rPr>
        <w:footnoteReference w:id="150"/>
      </w:r>
      <w:r w:rsidRPr="00223ED4">
        <w:rPr>
          <w:rFonts w:ascii="Arial" w:eastAsia="Times New Roman" w:hAnsi="Arial" w:cs="Arial"/>
          <w:sz w:val="24"/>
        </w:rPr>
        <w:t xml:space="preserve"> has assessed its compliance with existing laws </w:t>
      </w:r>
      <w:r w:rsidR="00CD00DF" w:rsidRPr="00223ED4">
        <w:rPr>
          <w:rFonts w:ascii="Arial" w:eastAsia="Times New Roman" w:hAnsi="Arial" w:cs="Arial"/>
          <w:sz w:val="24"/>
        </w:rPr>
        <w:t xml:space="preserve">and </w:t>
      </w:r>
      <w:r w:rsidRPr="00223ED4">
        <w:rPr>
          <w:rFonts w:ascii="Arial" w:eastAsia="Times New Roman" w:hAnsi="Arial" w:cs="Arial"/>
          <w:sz w:val="24"/>
        </w:rPr>
        <w:t>will carry on monitor</w:t>
      </w:r>
      <w:r w:rsidR="00540359">
        <w:rPr>
          <w:rFonts w:ascii="Arial" w:eastAsia="Times New Roman" w:hAnsi="Arial" w:cs="Arial"/>
          <w:sz w:val="24"/>
        </w:rPr>
        <w:t>ing</w:t>
      </w:r>
      <w:r w:rsidRPr="00223ED4">
        <w:rPr>
          <w:rFonts w:ascii="Arial" w:eastAsia="Times New Roman" w:hAnsi="Arial" w:cs="Arial"/>
          <w:sz w:val="24"/>
        </w:rPr>
        <w:t xml:space="preserve"> its future compliance. </w:t>
      </w:r>
    </w:p>
    <w:p w14:paraId="61C9082F" w14:textId="77777777" w:rsidR="00F37181" w:rsidRPr="00223ED4" w:rsidRDefault="00F37181" w:rsidP="00F37181">
      <w:pPr>
        <w:spacing w:after="0" w:line="360" w:lineRule="auto"/>
        <w:ind w:firstLine="851"/>
        <w:jc w:val="both"/>
        <w:rPr>
          <w:rFonts w:ascii="Arial" w:eastAsia="Times New Roman" w:hAnsi="Arial" w:cs="Arial"/>
          <w:sz w:val="24"/>
        </w:rPr>
      </w:pPr>
    </w:p>
    <w:p w14:paraId="784BCEC9" w14:textId="18658C91" w:rsidR="00F37181" w:rsidRPr="00223ED4" w:rsidRDefault="00CA4BA7" w:rsidP="00F37181">
      <w:pPr>
        <w:spacing w:after="0" w:line="360" w:lineRule="auto"/>
        <w:ind w:firstLine="851"/>
        <w:jc w:val="both"/>
        <w:rPr>
          <w:rFonts w:ascii="Arial" w:eastAsia="Times New Roman" w:hAnsi="Arial" w:cs="Arial"/>
          <w:sz w:val="24"/>
        </w:rPr>
      </w:pPr>
      <w:r w:rsidRPr="00223ED4">
        <w:rPr>
          <w:rFonts w:ascii="Arial" w:eastAsia="Times New Roman" w:hAnsi="Arial" w:cs="Arial"/>
          <w:sz w:val="24"/>
        </w:rPr>
        <w:t>In reality, t</w:t>
      </w:r>
      <w:r w:rsidR="00F37181" w:rsidRPr="00223ED4">
        <w:rPr>
          <w:rFonts w:ascii="Arial" w:eastAsia="Times New Roman" w:hAnsi="Arial" w:cs="Arial"/>
          <w:sz w:val="24"/>
        </w:rPr>
        <w:t xml:space="preserve">he extent to which Cloud Investigations can reassure customers </w:t>
      </w:r>
      <w:r w:rsidR="009B3290" w:rsidRPr="00223ED4">
        <w:rPr>
          <w:rFonts w:ascii="Arial" w:eastAsia="Times New Roman" w:hAnsi="Arial" w:cs="Arial"/>
          <w:sz w:val="24"/>
        </w:rPr>
        <w:t>should not be overstated</w:t>
      </w:r>
      <w:r w:rsidR="00F37181" w:rsidRPr="00223ED4">
        <w:rPr>
          <w:rFonts w:ascii="Arial" w:eastAsia="Times New Roman" w:hAnsi="Arial" w:cs="Arial"/>
          <w:sz w:val="24"/>
        </w:rPr>
        <w:t xml:space="preserve">. It is outside the scope of this </w:t>
      </w:r>
      <w:r w:rsidR="009B3290" w:rsidRPr="00223ED4">
        <w:rPr>
          <w:rFonts w:ascii="Arial" w:eastAsia="Times New Roman" w:hAnsi="Arial" w:cs="Arial"/>
          <w:sz w:val="24"/>
        </w:rPr>
        <w:t xml:space="preserve">chapter </w:t>
      </w:r>
      <w:r w:rsidR="00F37181" w:rsidRPr="00223ED4">
        <w:rPr>
          <w:rFonts w:ascii="Arial" w:eastAsia="Times New Roman" w:hAnsi="Arial" w:cs="Arial"/>
          <w:sz w:val="24"/>
        </w:rPr>
        <w:t>to analyse this point fully. However, generating trust or re-establishing trust</w:t>
      </w:r>
      <w:r w:rsidR="00F37181" w:rsidRPr="00223ED4">
        <w:rPr>
          <w:rFonts w:ascii="Arial" w:eastAsia="Times New Roman" w:hAnsi="Arial" w:cs="Arial"/>
          <w:sz w:val="24"/>
          <w:vertAlign w:val="superscript"/>
        </w:rPr>
        <w:footnoteReference w:id="151"/>
      </w:r>
      <w:r w:rsidR="00F37181" w:rsidRPr="00223ED4">
        <w:rPr>
          <w:rFonts w:ascii="Arial" w:eastAsia="Times New Roman" w:hAnsi="Arial" w:cs="Arial"/>
          <w:sz w:val="24"/>
        </w:rPr>
        <w:t xml:space="preserve"> in cases of distrust depends on </w:t>
      </w:r>
      <w:r w:rsidR="000C2648">
        <w:rPr>
          <w:rFonts w:ascii="Arial" w:eastAsia="Times New Roman" w:hAnsi="Arial" w:cs="Arial"/>
          <w:sz w:val="24"/>
        </w:rPr>
        <w:t>several</w:t>
      </w:r>
      <w:r w:rsidR="00F37181" w:rsidRPr="00223ED4">
        <w:rPr>
          <w:rFonts w:ascii="Arial" w:eastAsia="Times New Roman" w:hAnsi="Arial" w:cs="Arial"/>
          <w:sz w:val="24"/>
        </w:rPr>
        <w:t xml:space="preserve"> factors including customer awareness (e.g. of the Cloud Investigation and its outcomes), and individual customer traits (e.g. the extent to which they are anxious or ill-at-ease with the operations of a specific Cloud Provider). In the words</w:t>
      </w:r>
      <w:r w:rsidR="001707FE" w:rsidRPr="00223ED4">
        <w:rPr>
          <w:rFonts w:ascii="Arial" w:eastAsia="Times New Roman" w:hAnsi="Arial" w:cs="Arial"/>
          <w:sz w:val="24"/>
        </w:rPr>
        <w:t xml:space="preserve"> of</w:t>
      </w:r>
      <w:r w:rsidR="00F37181" w:rsidRPr="00223ED4">
        <w:rPr>
          <w:rFonts w:ascii="Arial" w:eastAsia="Times New Roman" w:hAnsi="Arial" w:cs="Arial"/>
          <w:sz w:val="24"/>
        </w:rPr>
        <w:t xml:space="preserve"> a former employee of one of the EU DPAs:</w:t>
      </w:r>
    </w:p>
    <w:p w14:paraId="0F48DB73" w14:textId="77777777" w:rsidR="00F37181" w:rsidRPr="00223ED4" w:rsidRDefault="00F37181" w:rsidP="00F37181">
      <w:pPr>
        <w:spacing w:after="0" w:line="360" w:lineRule="auto"/>
        <w:jc w:val="both"/>
        <w:rPr>
          <w:rFonts w:ascii="Arial" w:eastAsia="Times New Roman" w:hAnsi="Arial" w:cs="Arial"/>
          <w:sz w:val="24"/>
        </w:rPr>
      </w:pPr>
    </w:p>
    <w:p w14:paraId="791789F0" w14:textId="006CE91A" w:rsidR="00F37181" w:rsidRPr="00223ED4" w:rsidRDefault="006B598C" w:rsidP="00F37181">
      <w:pPr>
        <w:spacing w:after="0" w:line="360" w:lineRule="auto"/>
        <w:ind w:left="720"/>
        <w:jc w:val="both"/>
        <w:rPr>
          <w:rFonts w:ascii="Arial" w:eastAsia="Times New Roman" w:hAnsi="Arial" w:cs="Arial"/>
          <w:sz w:val="24"/>
        </w:rPr>
      </w:pPr>
      <w:r w:rsidRPr="00223ED4">
        <w:rPr>
          <w:rFonts w:ascii="Arial" w:eastAsia="Times New Roman" w:hAnsi="Arial" w:cs="Arial"/>
          <w:sz w:val="24"/>
        </w:rPr>
        <w:t xml:space="preserve"> </w:t>
      </w:r>
      <w:r w:rsidR="00F6484C">
        <w:rPr>
          <w:rFonts w:ascii="Arial" w:eastAsia="Times New Roman" w:hAnsi="Arial" w:cs="Arial"/>
          <w:sz w:val="24"/>
        </w:rPr>
        <w:t>‘</w:t>
      </w:r>
      <w:r w:rsidR="00F37181" w:rsidRPr="00223ED4">
        <w:rPr>
          <w:rFonts w:ascii="Arial" w:eastAsia="Times New Roman" w:hAnsi="Arial" w:cs="Arial"/>
          <w:sz w:val="24"/>
        </w:rPr>
        <w:t xml:space="preserve">… </w:t>
      </w:r>
      <w:r w:rsidRPr="00223ED4">
        <w:rPr>
          <w:rFonts w:ascii="Arial" w:eastAsia="Times New Roman" w:hAnsi="Arial" w:cs="Arial"/>
          <w:sz w:val="24"/>
        </w:rPr>
        <w:t>We</w:t>
      </w:r>
      <w:r w:rsidR="00F37181" w:rsidRPr="00223ED4">
        <w:rPr>
          <w:rFonts w:ascii="Arial" w:eastAsia="Times New Roman" w:hAnsi="Arial" w:cs="Arial"/>
          <w:sz w:val="24"/>
        </w:rPr>
        <w:t xml:space="preserve"> can all live in a bit of a fishbowl here [when a Cloud Investigation is being conducted], where </w:t>
      </w:r>
      <w:r w:rsidR="00B67F0D" w:rsidRPr="00223ED4">
        <w:rPr>
          <w:rFonts w:ascii="Arial" w:eastAsia="Times New Roman" w:hAnsi="Arial" w:cs="Arial"/>
          <w:sz w:val="24"/>
        </w:rPr>
        <w:t>we</w:t>
      </w:r>
      <w:r w:rsidR="00F37181" w:rsidRPr="00223ED4">
        <w:rPr>
          <w:rFonts w:ascii="Arial" w:eastAsia="Times New Roman" w:hAnsi="Arial" w:cs="Arial"/>
          <w:sz w:val="24"/>
        </w:rPr>
        <w:t xml:space="preserve"> might have the sense that - and I speak as much [from</w:t>
      </w:r>
      <w:r w:rsidR="001707FE" w:rsidRPr="00223ED4">
        <w:rPr>
          <w:rFonts w:ascii="Arial" w:eastAsia="Times New Roman" w:hAnsi="Arial" w:cs="Arial"/>
          <w:sz w:val="24"/>
        </w:rPr>
        <w:t xml:space="preserve"> the viewpoint </w:t>
      </w:r>
      <w:r w:rsidR="001707FE" w:rsidRPr="00223ED4">
        <w:rPr>
          <w:rFonts w:ascii="Arial" w:eastAsia="Times New Roman" w:hAnsi="Arial" w:cs="Arial"/>
          <w:sz w:val="24"/>
        </w:rPr>
        <w:lastRenderedPageBreak/>
        <w:t>of</w:t>
      </w:r>
      <w:r w:rsidR="00F37181" w:rsidRPr="00223ED4">
        <w:rPr>
          <w:rFonts w:ascii="Arial" w:eastAsia="Times New Roman" w:hAnsi="Arial" w:cs="Arial"/>
          <w:sz w:val="24"/>
        </w:rPr>
        <w:t xml:space="preserve">] the regulator in this respect. </w:t>
      </w:r>
      <w:r w:rsidR="00B67F0D" w:rsidRPr="00223ED4">
        <w:rPr>
          <w:rFonts w:ascii="Arial" w:eastAsia="Times New Roman" w:hAnsi="Arial" w:cs="Arial"/>
          <w:sz w:val="24"/>
        </w:rPr>
        <w:t xml:space="preserve">We </w:t>
      </w:r>
      <w:r w:rsidR="00F37181" w:rsidRPr="00223ED4">
        <w:rPr>
          <w:rFonts w:ascii="Arial" w:eastAsia="Times New Roman" w:hAnsi="Arial" w:cs="Arial"/>
          <w:sz w:val="24"/>
        </w:rPr>
        <w:t xml:space="preserve">might have a sense that everybody is watching and that everybody is going to be influenced by the outcome of the [Cloud Investigation]. </w:t>
      </w:r>
    </w:p>
    <w:p w14:paraId="1713C11D" w14:textId="77777777" w:rsidR="00F37181" w:rsidRPr="00223ED4" w:rsidRDefault="00F37181" w:rsidP="00F37181">
      <w:pPr>
        <w:spacing w:after="0" w:line="360" w:lineRule="auto"/>
        <w:ind w:left="720"/>
        <w:jc w:val="both"/>
        <w:rPr>
          <w:rFonts w:ascii="Arial" w:eastAsia="Times New Roman" w:hAnsi="Arial" w:cs="Arial"/>
          <w:sz w:val="24"/>
        </w:rPr>
      </w:pPr>
    </w:p>
    <w:p w14:paraId="6BE43200" w14:textId="54D75683" w:rsidR="00F37181" w:rsidRPr="00223ED4" w:rsidRDefault="00F37181" w:rsidP="00F37181">
      <w:pPr>
        <w:spacing w:after="0" w:line="360" w:lineRule="auto"/>
        <w:ind w:left="720"/>
        <w:jc w:val="both"/>
        <w:rPr>
          <w:rFonts w:ascii="Arial" w:eastAsia="Times New Roman" w:hAnsi="Arial" w:cs="Arial"/>
          <w:sz w:val="24"/>
        </w:rPr>
      </w:pPr>
      <w:r w:rsidRPr="00223ED4">
        <w:rPr>
          <w:rFonts w:ascii="Arial" w:eastAsia="Times New Roman" w:hAnsi="Arial" w:cs="Arial"/>
          <w:sz w:val="24"/>
        </w:rPr>
        <w:t>I'm not sure if that's the case. Actually, I think if there was a very negative [Cloud Investigation], I think people would certainly reflect on that. But in general, provid</w:t>
      </w:r>
      <w:r w:rsidR="00B67F0D" w:rsidRPr="00223ED4">
        <w:rPr>
          <w:rFonts w:ascii="Arial" w:eastAsia="Times New Roman" w:hAnsi="Arial" w:cs="Arial"/>
          <w:sz w:val="24"/>
        </w:rPr>
        <w:t>ed</w:t>
      </w:r>
      <w:r w:rsidRPr="00223ED4">
        <w:rPr>
          <w:rFonts w:ascii="Arial" w:eastAsia="Times New Roman" w:hAnsi="Arial" w:cs="Arial"/>
          <w:sz w:val="24"/>
        </w:rPr>
        <w:t xml:space="preserve"> things are relatively okay, I don't think users pa</w:t>
      </w:r>
      <w:r w:rsidR="006B598C" w:rsidRPr="00223ED4">
        <w:rPr>
          <w:rFonts w:ascii="Arial" w:eastAsia="Times New Roman" w:hAnsi="Arial" w:cs="Arial"/>
          <w:sz w:val="24"/>
        </w:rPr>
        <w:t>y</w:t>
      </w:r>
      <w:r w:rsidR="00F6484C">
        <w:rPr>
          <w:rFonts w:ascii="Arial" w:eastAsia="Times New Roman" w:hAnsi="Arial" w:cs="Arial"/>
          <w:sz w:val="24"/>
        </w:rPr>
        <w:t xml:space="preserve"> that much of attention to it.’</w:t>
      </w:r>
      <w:r w:rsidRPr="00223ED4">
        <w:rPr>
          <w:rFonts w:ascii="Arial" w:eastAsia="Times New Roman" w:hAnsi="Arial" w:cs="Arial"/>
          <w:sz w:val="24"/>
          <w:vertAlign w:val="superscript"/>
        </w:rPr>
        <w:footnoteReference w:id="152"/>
      </w:r>
    </w:p>
    <w:p w14:paraId="2C5F1A3E" w14:textId="77777777" w:rsidR="00F37181" w:rsidRPr="00223ED4" w:rsidRDefault="00F37181" w:rsidP="00F37181">
      <w:pPr>
        <w:spacing w:after="0" w:line="360" w:lineRule="auto"/>
        <w:jc w:val="both"/>
        <w:rPr>
          <w:rFonts w:ascii="Arial" w:eastAsia="Times New Roman" w:hAnsi="Arial" w:cs="Arial"/>
          <w:sz w:val="24"/>
        </w:rPr>
      </w:pPr>
    </w:p>
    <w:p w14:paraId="63EBC735" w14:textId="2B1D2170" w:rsidR="00F37181" w:rsidRPr="00223ED4" w:rsidRDefault="00F37181" w:rsidP="00F37181">
      <w:pPr>
        <w:spacing w:after="0" w:line="360" w:lineRule="auto"/>
        <w:jc w:val="both"/>
        <w:rPr>
          <w:rFonts w:ascii="Arial" w:eastAsia="Times New Roman" w:hAnsi="Arial" w:cs="Arial"/>
          <w:sz w:val="24"/>
        </w:rPr>
      </w:pPr>
      <w:r w:rsidRPr="00223ED4">
        <w:rPr>
          <w:rFonts w:ascii="Arial" w:eastAsia="Times New Roman" w:hAnsi="Arial" w:cs="Arial"/>
          <w:sz w:val="24"/>
        </w:rPr>
        <w:t>Secondly, Cloud Providers are often motivated to be</w:t>
      </w:r>
      <w:r w:rsidR="00607616" w:rsidRPr="00223ED4">
        <w:rPr>
          <w:rFonts w:ascii="Arial" w:eastAsia="Times New Roman" w:hAnsi="Arial" w:cs="Arial"/>
          <w:sz w:val="24"/>
        </w:rPr>
        <w:t xml:space="preserve"> open and transparent </w:t>
      </w:r>
      <w:r w:rsidR="007512B7" w:rsidRPr="00223ED4">
        <w:rPr>
          <w:rFonts w:ascii="Arial" w:eastAsia="Times New Roman" w:hAnsi="Arial" w:cs="Arial"/>
          <w:sz w:val="24"/>
        </w:rPr>
        <w:t>with</w:t>
      </w:r>
      <w:r w:rsidRPr="00223ED4">
        <w:rPr>
          <w:rFonts w:ascii="Arial" w:eastAsia="Times New Roman" w:hAnsi="Arial" w:cs="Arial"/>
          <w:sz w:val="24"/>
        </w:rPr>
        <w:t xml:space="preserve"> EU DPAs during Cloud Investigations to avoid a </w:t>
      </w:r>
      <w:r w:rsidR="007512B7" w:rsidRPr="00223ED4">
        <w:rPr>
          <w:rFonts w:ascii="Arial" w:eastAsia="Times New Roman" w:hAnsi="Arial" w:cs="Arial"/>
          <w:sz w:val="24"/>
        </w:rPr>
        <w:t xml:space="preserve">negative </w:t>
      </w:r>
      <w:r w:rsidRPr="00223ED4">
        <w:rPr>
          <w:rFonts w:ascii="Arial" w:eastAsia="Times New Roman" w:hAnsi="Arial" w:cs="Arial"/>
          <w:sz w:val="24"/>
        </w:rPr>
        <w:t>binding decision being taken against them.</w:t>
      </w:r>
      <w:r w:rsidRPr="00223ED4">
        <w:rPr>
          <w:rFonts w:ascii="Arial" w:eastAsia="Times New Roman" w:hAnsi="Arial" w:cs="Arial"/>
          <w:sz w:val="24"/>
          <w:vertAlign w:val="superscript"/>
        </w:rPr>
        <w:footnoteReference w:id="153"/>
      </w:r>
      <w:r w:rsidRPr="00223ED4">
        <w:rPr>
          <w:rFonts w:ascii="Arial" w:eastAsia="Times New Roman" w:hAnsi="Arial" w:cs="Arial"/>
          <w:sz w:val="24"/>
        </w:rPr>
        <w:t xml:space="preserve"> </w:t>
      </w:r>
      <w:r w:rsidR="00692AA0" w:rsidRPr="00223ED4">
        <w:rPr>
          <w:rFonts w:ascii="Arial" w:eastAsia="Times New Roman" w:hAnsi="Arial" w:cs="Arial"/>
          <w:sz w:val="24"/>
        </w:rPr>
        <w:t>This</w:t>
      </w:r>
      <w:r w:rsidRPr="00223ED4">
        <w:rPr>
          <w:rFonts w:ascii="Arial" w:eastAsia="Times New Roman" w:hAnsi="Arial" w:cs="Arial"/>
          <w:sz w:val="24"/>
        </w:rPr>
        <w:t xml:space="preserve"> has been a more prominent motivation since the ruling of the Grand Chamber of the Court of Justice of the European Union (‘CJEU’) in </w:t>
      </w:r>
      <w:r w:rsidRPr="00223ED4">
        <w:rPr>
          <w:rFonts w:ascii="Arial" w:eastAsia="Times New Roman" w:hAnsi="Arial" w:cs="Arial"/>
          <w:i/>
          <w:sz w:val="24"/>
        </w:rPr>
        <w:t xml:space="preserve">Google Spain SL and Google Inc. v Agencia Española de Protección de Datos and Mario Costeja González </w:t>
      </w:r>
      <w:r w:rsidRPr="00223ED4">
        <w:rPr>
          <w:rFonts w:ascii="Arial" w:eastAsia="Times New Roman" w:hAnsi="Arial" w:cs="Arial"/>
          <w:sz w:val="24"/>
        </w:rPr>
        <w:t>(‘</w:t>
      </w:r>
      <w:r w:rsidRPr="00223ED4">
        <w:rPr>
          <w:rFonts w:ascii="Arial" w:eastAsia="Times New Roman" w:hAnsi="Arial" w:cs="Arial"/>
          <w:i/>
          <w:sz w:val="24"/>
        </w:rPr>
        <w:t>Google Spain</w:t>
      </w:r>
      <w:r w:rsidRPr="00223ED4">
        <w:rPr>
          <w:rFonts w:ascii="Arial" w:eastAsia="Times New Roman" w:hAnsi="Arial" w:cs="Arial"/>
          <w:sz w:val="24"/>
        </w:rPr>
        <w:t>’).</w:t>
      </w:r>
      <w:r w:rsidRPr="00223ED4">
        <w:rPr>
          <w:rFonts w:ascii="Arial" w:eastAsia="Times New Roman" w:hAnsi="Arial" w:cs="Arial"/>
          <w:sz w:val="24"/>
          <w:vertAlign w:val="superscript"/>
        </w:rPr>
        <w:footnoteReference w:id="154"/>
      </w:r>
      <w:r w:rsidR="006B598C" w:rsidRPr="00223ED4">
        <w:rPr>
          <w:rFonts w:ascii="Arial" w:eastAsia="Times New Roman" w:hAnsi="Arial" w:cs="Arial"/>
          <w:sz w:val="24"/>
        </w:rPr>
        <w:t xml:space="preserve"> </w:t>
      </w:r>
      <w:r w:rsidRPr="00223ED4">
        <w:rPr>
          <w:rFonts w:ascii="Arial" w:eastAsia="Times New Roman" w:hAnsi="Arial" w:cs="Arial"/>
          <w:sz w:val="24"/>
        </w:rPr>
        <w:t xml:space="preserve">In </w:t>
      </w:r>
      <w:r w:rsidRPr="00223ED4">
        <w:rPr>
          <w:rFonts w:ascii="Arial" w:eastAsia="Times New Roman" w:hAnsi="Arial" w:cs="Arial"/>
          <w:i/>
          <w:sz w:val="24"/>
        </w:rPr>
        <w:t xml:space="preserve">Google </w:t>
      </w:r>
      <w:r w:rsidRPr="00223ED4">
        <w:rPr>
          <w:rFonts w:ascii="Arial" w:eastAsia="Times New Roman" w:hAnsi="Arial" w:cs="Arial"/>
          <w:i/>
          <w:sz w:val="24"/>
        </w:rPr>
        <w:lastRenderedPageBreak/>
        <w:t>Spain</w:t>
      </w:r>
      <w:r w:rsidRPr="00223ED4">
        <w:rPr>
          <w:rFonts w:ascii="Arial" w:eastAsia="Times New Roman" w:hAnsi="Arial" w:cs="Arial"/>
          <w:sz w:val="24"/>
        </w:rPr>
        <w:t>, Mario Costeja González, a Spanish national, made a complaint to the Spanish Data Protection Agency (‘AEPD’) against La Vanguardia newspaper, Google Spain and Google Inc., in relation to pages in the newspaper which appeared in</w:t>
      </w:r>
      <w:r w:rsidR="006B598C" w:rsidRPr="00223ED4">
        <w:rPr>
          <w:rFonts w:ascii="Arial" w:eastAsia="Times New Roman" w:hAnsi="Arial" w:cs="Arial"/>
          <w:sz w:val="24"/>
        </w:rPr>
        <w:t xml:space="preserve"> the</w:t>
      </w:r>
      <w:r w:rsidRPr="00223ED4">
        <w:rPr>
          <w:rFonts w:ascii="Arial" w:eastAsia="Times New Roman" w:hAnsi="Arial" w:cs="Arial"/>
          <w:sz w:val="24"/>
        </w:rPr>
        <w:t xml:space="preserve"> Google search results when his name was searched for. The pages contained an announcement for a real estate auction following proceedings for the recovery of social security debts owed by Mr Costeja González. The AEPD rejected the claim against La Vanguardia as the information had been lawfully published by it, but upheld the complaint against both Google entities and requested that they take the necessary measures to withdraw the personal data from their indexes. Google Spain and Google Inc. brought actions before the Spanish High Court seeking to have the AEPD decision annulled. The Spanish High Court referred the matter to the Court of Justice of the European Union (‘CJEU’) under the preliminary ruling procedure. </w:t>
      </w:r>
      <w:r w:rsidR="002C12A4">
        <w:rPr>
          <w:rFonts w:ascii="Arial" w:eastAsia="Times New Roman" w:hAnsi="Arial" w:cs="Arial"/>
          <w:sz w:val="24"/>
        </w:rPr>
        <w:t xml:space="preserve">The CJEU ruled that </w:t>
      </w:r>
      <w:r w:rsidR="00E14B11">
        <w:rPr>
          <w:rFonts w:ascii="Arial" w:eastAsia="Times New Roman" w:hAnsi="Arial" w:cs="Arial"/>
          <w:sz w:val="24"/>
        </w:rPr>
        <w:t xml:space="preserve">the </w:t>
      </w:r>
      <w:r w:rsidR="002C12A4">
        <w:rPr>
          <w:rFonts w:ascii="Arial" w:eastAsia="Times New Roman" w:hAnsi="Arial" w:cs="Arial"/>
          <w:sz w:val="24"/>
        </w:rPr>
        <w:t xml:space="preserve">activities of Google Inc. – physically located in the United State of America - and Google Spain were </w:t>
      </w:r>
      <w:r w:rsidR="00621D23">
        <w:rPr>
          <w:rFonts w:ascii="Arial" w:eastAsia="Times New Roman" w:hAnsi="Arial" w:cs="Arial"/>
          <w:sz w:val="24"/>
        </w:rPr>
        <w:t>‘</w:t>
      </w:r>
      <w:r w:rsidR="002C12A4">
        <w:rPr>
          <w:rFonts w:ascii="Arial" w:eastAsia="Times New Roman" w:hAnsi="Arial" w:cs="Arial"/>
          <w:sz w:val="24"/>
        </w:rPr>
        <w:t>inextricably link</w:t>
      </w:r>
      <w:r w:rsidR="00621D23">
        <w:rPr>
          <w:rFonts w:ascii="Arial" w:eastAsia="Times New Roman" w:hAnsi="Arial" w:cs="Arial"/>
          <w:sz w:val="24"/>
        </w:rPr>
        <w:t>[</w:t>
      </w:r>
      <w:r w:rsidR="002C12A4">
        <w:rPr>
          <w:rFonts w:ascii="Arial" w:eastAsia="Times New Roman" w:hAnsi="Arial" w:cs="Arial"/>
          <w:sz w:val="24"/>
        </w:rPr>
        <w:t>ed</w:t>
      </w:r>
      <w:r w:rsidR="00621D23">
        <w:rPr>
          <w:rFonts w:ascii="Arial" w:eastAsia="Times New Roman" w:hAnsi="Arial" w:cs="Arial"/>
          <w:sz w:val="24"/>
        </w:rPr>
        <w:t>]’</w:t>
      </w:r>
      <w:r w:rsidR="002C12A4">
        <w:rPr>
          <w:rFonts w:ascii="Arial" w:eastAsia="Times New Roman" w:hAnsi="Arial" w:cs="Arial"/>
          <w:sz w:val="24"/>
        </w:rPr>
        <w:t xml:space="preserve"> because the advertising activities of Google Spain rendered the activities of Google Inc.`s search engine economically viable. </w:t>
      </w:r>
      <w:r w:rsidR="00621D23">
        <w:rPr>
          <w:rFonts w:ascii="Arial" w:eastAsia="Times New Roman" w:hAnsi="Arial" w:cs="Arial"/>
          <w:sz w:val="24"/>
        </w:rPr>
        <w:t>Consequently</w:t>
      </w:r>
      <w:r w:rsidR="002C12A4">
        <w:rPr>
          <w:rFonts w:ascii="Arial" w:eastAsia="Times New Roman" w:hAnsi="Arial" w:cs="Arial"/>
          <w:sz w:val="24"/>
        </w:rPr>
        <w:t xml:space="preserve">, the processing </w:t>
      </w:r>
      <w:r w:rsidR="00540359">
        <w:rPr>
          <w:rFonts w:ascii="Arial" w:eastAsia="Times New Roman" w:hAnsi="Arial" w:cs="Arial"/>
          <w:sz w:val="24"/>
        </w:rPr>
        <w:lastRenderedPageBreak/>
        <w:t>by Google Inc</w:t>
      </w:r>
      <w:r w:rsidR="00E14B11">
        <w:rPr>
          <w:rFonts w:ascii="Arial" w:eastAsia="Times New Roman" w:hAnsi="Arial" w:cs="Arial"/>
          <w:sz w:val="24"/>
        </w:rPr>
        <w:t>.`</w:t>
      </w:r>
      <w:r w:rsidR="00621D23">
        <w:rPr>
          <w:rFonts w:ascii="Arial" w:eastAsia="Times New Roman" w:hAnsi="Arial" w:cs="Arial"/>
          <w:sz w:val="24"/>
        </w:rPr>
        <w:t xml:space="preserve">s search engine took place </w:t>
      </w:r>
      <w:r w:rsidR="00F6484C">
        <w:rPr>
          <w:rFonts w:ascii="Arial" w:eastAsia="Times New Roman" w:hAnsi="Arial" w:cs="Arial"/>
          <w:sz w:val="24"/>
        </w:rPr>
        <w:t>‘</w:t>
      </w:r>
      <w:r w:rsidR="00621D23">
        <w:rPr>
          <w:rFonts w:ascii="Arial" w:eastAsia="Times New Roman" w:hAnsi="Arial" w:cs="Arial"/>
          <w:sz w:val="24"/>
        </w:rPr>
        <w:t>in the context</w:t>
      </w:r>
      <w:r w:rsidR="00F6484C">
        <w:rPr>
          <w:rFonts w:ascii="Arial" w:eastAsia="Times New Roman" w:hAnsi="Arial" w:cs="Arial"/>
          <w:sz w:val="24"/>
        </w:rPr>
        <w:t>’</w:t>
      </w:r>
      <w:r w:rsidR="00621D23">
        <w:rPr>
          <w:rFonts w:ascii="Arial" w:eastAsia="Times New Roman" w:hAnsi="Arial" w:cs="Arial"/>
          <w:sz w:val="24"/>
        </w:rPr>
        <w:t xml:space="preserve"> of Google Spain`s establishment in Spain.</w:t>
      </w:r>
      <w:r w:rsidRPr="00621D23">
        <w:rPr>
          <w:rFonts w:ascii="Arial" w:eastAsia="Times New Roman" w:hAnsi="Arial" w:cs="Arial"/>
          <w:sz w:val="24"/>
          <w:vertAlign w:val="superscript"/>
        </w:rPr>
        <w:footnoteReference w:id="155"/>
      </w:r>
      <w:r w:rsidRPr="00223ED4">
        <w:rPr>
          <w:rFonts w:ascii="Arial" w:eastAsia="Times New Roman" w:hAnsi="Arial" w:cs="Arial"/>
          <w:sz w:val="24"/>
        </w:rPr>
        <w:t xml:space="preserve"> In effect</w:t>
      </w:r>
      <w:r w:rsidR="007512B7" w:rsidRPr="00223ED4">
        <w:rPr>
          <w:rFonts w:ascii="Arial" w:eastAsia="Times New Roman" w:hAnsi="Arial" w:cs="Arial"/>
          <w:sz w:val="24"/>
        </w:rPr>
        <w:t>,</w:t>
      </w:r>
      <w:r w:rsidRPr="00223ED4">
        <w:rPr>
          <w:rFonts w:ascii="Arial" w:eastAsia="Times New Roman" w:hAnsi="Arial" w:cs="Arial"/>
          <w:sz w:val="24"/>
        </w:rPr>
        <w:t xml:space="preserve"> this means that Google Inc. is potentially subject to the data protection laws of every European jurisdiction where it ha</w:t>
      </w:r>
      <w:r w:rsidR="007512B7" w:rsidRPr="00223ED4">
        <w:rPr>
          <w:rFonts w:ascii="Arial" w:eastAsia="Times New Roman" w:hAnsi="Arial" w:cs="Arial"/>
          <w:sz w:val="24"/>
        </w:rPr>
        <w:t xml:space="preserve">s similar ‘inextricable links.’ </w:t>
      </w:r>
      <w:r w:rsidR="002C12A4">
        <w:rPr>
          <w:rFonts w:ascii="Arial" w:eastAsia="Times New Roman" w:hAnsi="Arial" w:cs="Arial"/>
          <w:sz w:val="24"/>
        </w:rPr>
        <w:t xml:space="preserve"> </w:t>
      </w:r>
      <w:r w:rsidRPr="00223ED4">
        <w:rPr>
          <w:rFonts w:ascii="Arial" w:eastAsia="Times New Roman" w:hAnsi="Arial" w:cs="Arial"/>
          <w:sz w:val="24"/>
        </w:rPr>
        <w:t xml:space="preserve">As one of </w:t>
      </w:r>
      <w:r w:rsidR="0068126D" w:rsidRPr="00223ED4">
        <w:rPr>
          <w:rFonts w:ascii="Arial" w:eastAsia="Times New Roman" w:hAnsi="Arial" w:cs="Arial"/>
          <w:sz w:val="24"/>
        </w:rPr>
        <w:t>my</w:t>
      </w:r>
      <w:r w:rsidRPr="00223ED4">
        <w:rPr>
          <w:rFonts w:ascii="Arial" w:eastAsia="Times New Roman" w:hAnsi="Arial" w:cs="Arial"/>
          <w:sz w:val="24"/>
        </w:rPr>
        <w:t xml:space="preserve"> respondents says:</w:t>
      </w:r>
    </w:p>
    <w:p w14:paraId="67461DF5" w14:textId="77777777" w:rsidR="00F37181" w:rsidRPr="00223ED4" w:rsidRDefault="00F37181" w:rsidP="00F37181">
      <w:pPr>
        <w:spacing w:after="0" w:line="360" w:lineRule="auto"/>
        <w:jc w:val="both"/>
        <w:rPr>
          <w:rFonts w:ascii="Arial" w:eastAsia="Times New Roman" w:hAnsi="Arial" w:cs="Arial"/>
          <w:sz w:val="24"/>
        </w:rPr>
      </w:pPr>
      <w:r w:rsidRPr="00223ED4">
        <w:rPr>
          <w:rFonts w:ascii="Arial" w:eastAsia="Times New Roman" w:hAnsi="Arial" w:cs="Arial"/>
          <w:sz w:val="24"/>
        </w:rPr>
        <w:t xml:space="preserve"> </w:t>
      </w:r>
    </w:p>
    <w:p w14:paraId="07F83AD1" w14:textId="443FDA9E" w:rsidR="00F37181" w:rsidRPr="00223ED4" w:rsidRDefault="00F6484C" w:rsidP="00F37181">
      <w:pPr>
        <w:widowControl w:val="0"/>
        <w:spacing w:after="0" w:line="360" w:lineRule="auto"/>
        <w:ind w:left="720"/>
        <w:jc w:val="both"/>
        <w:rPr>
          <w:rFonts w:ascii="Arial" w:eastAsia="Times New Roman" w:hAnsi="Arial" w:cs="Times New Roman"/>
          <w:sz w:val="24"/>
          <w:lang w:eastAsia="en-GB"/>
        </w:rPr>
      </w:pPr>
      <w:r>
        <w:rPr>
          <w:rFonts w:ascii="Arial" w:eastAsia="Times New Roman" w:hAnsi="Arial" w:cs="Arial"/>
          <w:sz w:val="24"/>
        </w:rPr>
        <w:t>‘</w:t>
      </w:r>
      <w:r w:rsidR="00F37181" w:rsidRPr="00223ED4">
        <w:rPr>
          <w:rFonts w:ascii="Arial" w:eastAsia="Times New Roman" w:hAnsi="Arial" w:cs="Arial"/>
          <w:sz w:val="24"/>
        </w:rPr>
        <w:t>…</w:t>
      </w:r>
      <w:r w:rsidR="00F37181" w:rsidRPr="00223ED4">
        <w:rPr>
          <w:rFonts w:ascii="Arial" w:eastAsia="Times New Roman" w:hAnsi="Arial" w:cs="Times New Roman"/>
          <w:sz w:val="24"/>
          <w:lang w:eastAsia="en-GB"/>
        </w:rPr>
        <w:t>you take a company that has not been co-operative generally, Google, they are now waking up to the consequences of that approach. You get an ECJ</w:t>
      </w:r>
      <w:r w:rsidR="000B79BE" w:rsidRPr="00223ED4">
        <w:rPr>
          <w:rFonts w:ascii="Arial" w:eastAsia="Times New Roman" w:hAnsi="Arial" w:cs="Times New Roman"/>
          <w:sz w:val="24"/>
          <w:lang w:eastAsia="en-GB"/>
        </w:rPr>
        <w:t xml:space="preserve"> [CJEU]</w:t>
      </w:r>
      <w:r w:rsidR="00F37181" w:rsidRPr="00223ED4">
        <w:rPr>
          <w:rFonts w:ascii="Arial" w:eastAsia="Times New Roman" w:hAnsi="Arial" w:cs="Times New Roman"/>
          <w:sz w:val="24"/>
          <w:lang w:eastAsia="en-GB"/>
        </w:rPr>
        <w:t xml:space="preserve"> judgment that says that you are subject to every EU DPA, and gives you, to be fair to Google, a horrible job to be done in terms of dealing with deletion requests. So the rest of the multinationals can see that not playing ball with the regulator is extremely bad for business. Google of course still makes a lot of money. But in terms of reputat</w:t>
      </w:r>
      <w:r>
        <w:rPr>
          <w:rFonts w:ascii="Arial" w:eastAsia="Times New Roman" w:hAnsi="Arial" w:cs="Times New Roman"/>
          <w:sz w:val="24"/>
          <w:lang w:eastAsia="en-GB"/>
        </w:rPr>
        <w:t>ion, it is seriously suffering.’</w:t>
      </w:r>
      <w:r w:rsidR="00F37181" w:rsidRPr="00223ED4">
        <w:rPr>
          <w:rFonts w:ascii="Arial" w:eastAsia="Times New Roman" w:hAnsi="Arial" w:cs="Times New Roman"/>
          <w:sz w:val="24"/>
          <w:vertAlign w:val="superscript"/>
          <w:lang w:eastAsia="en-GB"/>
        </w:rPr>
        <w:footnoteReference w:id="156"/>
      </w:r>
    </w:p>
    <w:p w14:paraId="58F50C3C" w14:textId="77777777" w:rsidR="00F37181" w:rsidRPr="00223ED4" w:rsidRDefault="00F37181" w:rsidP="00F37181">
      <w:pPr>
        <w:spacing w:after="0" w:line="360" w:lineRule="auto"/>
        <w:jc w:val="both"/>
        <w:rPr>
          <w:rFonts w:ascii="Arial" w:eastAsia="Times New Roman" w:hAnsi="Arial" w:cs="Arial"/>
          <w:sz w:val="24"/>
        </w:rPr>
      </w:pPr>
    </w:p>
    <w:p w14:paraId="4BE34F5C" w14:textId="223FB44D" w:rsidR="00F37181" w:rsidRPr="00223ED4" w:rsidRDefault="00692AA0" w:rsidP="00F37181">
      <w:pPr>
        <w:spacing w:after="0" w:line="360" w:lineRule="auto"/>
        <w:jc w:val="both"/>
        <w:rPr>
          <w:rFonts w:ascii="Arial" w:eastAsia="Times New Roman" w:hAnsi="Arial" w:cs="Arial"/>
          <w:sz w:val="24"/>
        </w:rPr>
      </w:pPr>
      <w:r w:rsidRPr="00223ED4">
        <w:rPr>
          <w:rFonts w:ascii="Arial" w:eastAsia="Times New Roman" w:hAnsi="Arial" w:cs="Arial"/>
          <w:sz w:val="24"/>
        </w:rPr>
        <w:lastRenderedPageBreak/>
        <w:t>Since</w:t>
      </w:r>
      <w:r w:rsidR="00F37181" w:rsidRPr="00223ED4">
        <w:rPr>
          <w:rFonts w:ascii="Arial" w:eastAsia="Times New Roman" w:hAnsi="Arial" w:cs="Arial"/>
          <w:sz w:val="24"/>
        </w:rPr>
        <w:t xml:space="preserve"> the </w:t>
      </w:r>
      <w:r w:rsidR="00F37181" w:rsidRPr="00223ED4">
        <w:rPr>
          <w:rFonts w:ascii="Arial" w:eastAsia="Times New Roman" w:hAnsi="Arial" w:cs="Arial"/>
          <w:i/>
          <w:sz w:val="24"/>
        </w:rPr>
        <w:t>Google Spain</w:t>
      </w:r>
      <w:r w:rsidR="00F37181" w:rsidRPr="00223ED4">
        <w:rPr>
          <w:rFonts w:ascii="Arial" w:eastAsia="Times New Roman" w:hAnsi="Arial" w:cs="Arial"/>
          <w:sz w:val="24"/>
        </w:rPr>
        <w:t xml:space="preserve"> judgment, many big Cloud Providers are keener to co-operate and interact more with EU DPAs during Cloud Investigations</w:t>
      </w:r>
      <w:r w:rsidR="00F37181" w:rsidRPr="00223ED4">
        <w:rPr>
          <w:rFonts w:ascii="Arial" w:eastAsia="Times New Roman" w:hAnsi="Arial" w:cs="Arial"/>
          <w:sz w:val="24"/>
          <w:vertAlign w:val="superscript"/>
        </w:rPr>
        <w:footnoteReference w:id="157"/>
      </w:r>
      <w:r w:rsidR="00F37181" w:rsidRPr="00223ED4">
        <w:rPr>
          <w:rFonts w:ascii="Arial" w:eastAsia="Times New Roman" w:hAnsi="Arial" w:cs="Arial"/>
          <w:sz w:val="24"/>
        </w:rPr>
        <w:t xml:space="preserve"> to prevent (as much as possible) EU DPAs from escalating matters. </w:t>
      </w:r>
      <w:r w:rsidR="00F91A8E" w:rsidRPr="00223ED4">
        <w:rPr>
          <w:rFonts w:ascii="Arial" w:hAnsi="Arial"/>
          <w:sz w:val="24"/>
        </w:rPr>
        <w:t xml:space="preserve">The desire to avoid the </w:t>
      </w:r>
      <w:r w:rsidR="00F6484C">
        <w:rPr>
          <w:rFonts w:ascii="Arial" w:hAnsi="Arial"/>
          <w:sz w:val="24"/>
        </w:rPr>
        <w:t>‘</w:t>
      </w:r>
      <w:r w:rsidR="00F37181" w:rsidRPr="00223ED4">
        <w:rPr>
          <w:rFonts w:ascii="Arial" w:hAnsi="Arial"/>
          <w:sz w:val="24"/>
        </w:rPr>
        <w:t>…</w:t>
      </w:r>
      <w:r w:rsidR="00F6484C">
        <w:rPr>
          <w:rFonts w:ascii="Arial" w:hAnsi="Arial"/>
          <w:sz w:val="24"/>
        </w:rPr>
        <w:t>production of citable materials’</w:t>
      </w:r>
      <w:r w:rsidR="00F37181" w:rsidRPr="00223ED4">
        <w:rPr>
          <w:rFonts w:ascii="Arial" w:hAnsi="Arial"/>
          <w:sz w:val="24"/>
          <w:vertAlign w:val="superscript"/>
        </w:rPr>
        <w:footnoteReference w:id="158"/>
      </w:r>
      <w:r w:rsidR="00F37181" w:rsidRPr="00223ED4">
        <w:rPr>
          <w:rFonts w:ascii="Arial" w:hAnsi="Arial"/>
          <w:sz w:val="24"/>
        </w:rPr>
        <w:t xml:space="preserve"> – which mean a court ruling which settles specific questions, such as whether an EU DPA has jurisdiction over the activities of a multinational Cloud Provider – is a key motivation for some Cloud Providers to co-operate more fully with EU DPAs during Cloud Investigations</w:t>
      </w:r>
      <w:r w:rsidR="002E7DCB" w:rsidRPr="00223ED4">
        <w:rPr>
          <w:rFonts w:ascii="Arial" w:eastAsia="Times New Roman" w:hAnsi="Arial" w:cs="Arial"/>
          <w:sz w:val="24"/>
        </w:rPr>
        <w:t>,</w:t>
      </w:r>
      <w:r w:rsidR="00F37181" w:rsidRPr="00223ED4">
        <w:rPr>
          <w:rFonts w:ascii="Arial" w:hAnsi="Arial"/>
          <w:sz w:val="24"/>
        </w:rPr>
        <w:t xml:space="preserve"> even where the EU DPAs may arguably not have jurisdiction over their activities.</w:t>
      </w:r>
      <w:r w:rsidR="00F37181" w:rsidRPr="00223ED4">
        <w:rPr>
          <w:rFonts w:ascii="Arial" w:hAnsi="Arial"/>
          <w:sz w:val="24"/>
          <w:vertAlign w:val="superscript"/>
        </w:rPr>
        <w:footnoteReference w:id="159"/>
      </w:r>
      <w:r w:rsidR="00F37181" w:rsidRPr="00223ED4">
        <w:rPr>
          <w:rFonts w:ascii="Arial" w:eastAsia="Times New Roman" w:hAnsi="Arial" w:cs="Arial"/>
          <w:sz w:val="24"/>
        </w:rPr>
        <w:t xml:space="preserve"> For example, in one Cloud Investigation, the EU DPA was unsure whether it had jurisdiction over the Cloud Provider.</w:t>
      </w:r>
      <w:r w:rsidR="00F37181" w:rsidRPr="00223ED4">
        <w:rPr>
          <w:rFonts w:ascii="Arial" w:eastAsia="Times New Roman" w:hAnsi="Arial" w:cs="Arial"/>
          <w:sz w:val="24"/>
          <w:vertAlign w:val="superscript"/>
        </w:rPr>
        <w:footnoteReference w:id="160"/>
      </w:r>
      <w:r w:rsidR="00F37181" w:rsidRPr="00223ED4">
        <w:rPr>
          <w:rFonts w:ascii="Arial" w:eastAsia="Times New Roman" w:hAnsi="Arial" w:cs="Arial"/>
          <w:sz w:val="24"/>
        </w:rPr>
        <w:t xml:space="preserve"> During the preliminary stages of the Cloud Investigation, the Cloud Provider raised this point.</w:t>
      </w:r>
      <w:r w:rsidR="00F37181" w:rsidRPr="00223ED4">
        <w:rPr>
          <w:rFonts w:ascii="Arial" w:eastAsia="Times New Roman" w:hAnsi="Arial" w:cs="Arial"/>
          <w:sz w:val="24"/>
          <w:vertAlign w:val="superscript"/>
        </w:rPr>
        <w:footnoteReference w:id="161"/>
      </w:r>
      <w:r w:rsidR="00F37181" w:rsidRPr="00223ED4">
        <w:rPr>
          <w:rFonts w:ascii="Arial" w:eastAsia="Times New Roman" w:hAnsi="Arial" w:cs="Arial"/>
          <w:sz w:val="24"/>
        </w:rPr>
        <w:t xml:space="preserve"> The EU DPA informed the Cloud Provider that it would refer the question to the national courts if the Cloud Provider kept questioning its authority.</w:t>
      </w:r>
      <w:r w:rsidR="00F37181" w:rsidRPr="00223ED4">
        <w:rPr>
          <w:rFonts w:ascii="Arial" w:eastAsia="Times New Roman" w:hAnsi="Arial" w:cs="Arial"/>
          <w:sz w:val="24"/>
          <w:vertAlign w:val="superscript"/>
        </w:rPr>
        <w:footnoteReference w:id="162"/>
      </w:r>
      <w:r w:rsidR="00F37181" w:rsidRPr="00223ED4">
        <w:rPr>
          <w:rFonts w:ascii="Arial" w:eastAsia="Times New Roman" w:hAnsi="Arial" w:cs="Arial"/>
          <w:sz w:val="24"/>
        </w:rPr>
        <w:t xml:space="preserve"> The Cloud Provider ‘kept </w:t>
      </w:r>
      <w:r w:rsidR="00F37181" w:rsidRPr="00223ED4">
        <w:rPr>
          <w:rFonts w:ascii="Arial" w:eastAsia="Times New Roman" w:hAnsi="Arial" w:cs="Arial"/>
          <w:sz w:val="24"/>
        </w:rPr>
        <w:lastRenderedPageBreak/>
        <w:t>talking’ to the EU DPA to resolve its data protection concerns.</w:t>
      </w:r>
      <w:r w:rsidR="00F37181" w:rsidRPr="00223ED4">
        <w:rPr>
          <w:rFonts w:ascii="Arial" w:eastAsia="Times New Roman" w:hAnsi="Arial" w:cs="Arial"/>
          <w:sz w:val="24"/>
          <w:vertAlign w:val="superscript"/>
        </w:rPr>
        <w:footnoteReference w:id="163"/>
      </w:r>
      <w:r w:rsidR="00F37181" w:rsidRPr="00223ED4">
        <w:rPr>
          <w:rFonts w:ascii="Arial" w:eastAsia="Times New Roman" w:hAnsi="Arial" w:cs="Arial"/>
          <w:sz w:val="24"/>
        </w:rPr>
        <w:t xml:space="preserve"> </w:t>
      </w:r>
      <w:r w:rsidR="00F6484C">
        <w:rPr>
          <w:rFonts w:ascii="Arial" w:eastAsia="Times New Roman" w:hAnsi="Arial" w:cs="Arial"/>
          <w:sz w:val="24"/>
        </w:rPr>
        <w:t>‘</w:t>
      </w:r>
      <w:r w:rsidR="00F37181" w:rsidRPr="00223ED4">
        <w:rPr>
          <w:rFonts w:ascii="Arial" w:eastAsia="Times New Roman" w:hAnsi="Arial" w:cs="Arial"/>
          <w:sz w:val="24"/>
        </w:rPr>
        <w:t>They [Cloud Providers] like to keep this uncertainty</w:t>
      </w:r>
      <w:r w:rsidR="00F6484C">
        <w:rPr>
          <w:rFonts w:ascii="Arial" w:eastAsia="Times New Roman" w:hAnsi="Arial" w:cs="Arial"/>
          <w:sz w:val="24"/>
        </w:rPr>
        <w:t>’</w:t>
      </w:r>
      <w:r w:rsidR="00F37181" w:rsidRPr="00223ED4">
        <w:rPr>
          <w:rFonts w:ascii="Arial" w:eastAsia="Times New Roman" w:hAnsi="Arial" w:cs="Arial"/>
          <w:sz w:val="24"/>
        </w:rPr>
        <w:t xml:space="preserve"> rather than having a ruling which is similar in effect to the </w:t>
      </w:r>
      <w:r w:rsidR="00F37181" w:rsidRPr="00223ED4">
        <w:rPr>
          <w:rFonts w:ascii="Arial" w:eastAsia="Times New Roman" w:hAnsi="Arial" w:cs="Arial"/>
          <w:i/>
          <w:sz w:val="24"/>
        </w:rPr>
        <w:t>Google Spain</w:t>
      </w:r>
      <w:r w:rsidR="00F37181" w:rsidRPr="00223ED4">
        <w:rPr>
          <w:rFonts w:ascii="Arial" w:eastAsia="Times New Roman" w:hAnsi="Arial" w:cs="Arial"/>
          <w:sz w:val="24"/>
        </w:rPr>
        <w:t xml:space="preserve"> judgment.</w:t>
      </w:r>
      <w:r w:rsidR="00F37181" w:rsidRPr="00223ED4">
        <w:rPr>
          <w:rFonts w:ascii="Arial" w:eastAsia="Times New Roman" w:hAnsi="Arial" w:cs="Arial"/>
          <w:sz w:val="24"/>
          <w:vertAlign w:val="superscript"/>
        </w:rPr>
        <w:footnoteReference w:id="164"/>
      </w:r>
      <w:r w:rsidR="00F37181" w:rsidRPr="00223ED4">
        <w:rPr>
          <w:rFonts w:ascii="Arial" w:eastAsia="Times New Roman" w:hAnsi="Arial" w:cs="Arial"/>
          <w:sz w:val="24"/>
        </w:rPr>
        <w:t xml:space="preserve"> </w:t>
      </w:r>
    </w:p>
    <w:p w14:paraId="6A685609" w14:textId="77777777" w:rsidR="00F37181" w:rsidRPr="00223ED4" w:rsidRDefault="00F37181" w:rsidP="00F37181">
      <w:pPr>
        <w:spacing w:after="0" w:line="360" w:lineRule="auto"/>
        <w:jc w:val="both"/>
        <w:rPr>
          <w:rFonts w:ascii="Arial" w:eastAsia="Times New Roman" w:hAnsi="Arial" w:cs="Arial"/>
          <w:sz w:val="24"/>
        </w:rPr>
      </w:pPr>
    </w:p>
    <w:p w14:paraId="3FB97A66" w14:textId="45C5FF05" w:rsidR="00F37181" w:rsidRPr="00223ED4" w:rsidRDefault="00F37181" w:rsidP="00F37181">
      <w:pPr>
        <w:spacing w:after="0" w:line="360" w:lineRule="auto"/>
        <w:ind w:firstLine="851"/>
        <w:jc w:val="both"/>
        <w:rPr>
          <w:rFonts w:ascii="Arial" w:eastAsia="Times New Roman" w:hAnsi="Arial" w:cs="Arial"/>
          <w:sz w:val="24"/>
        </w:rPr>
      </w:pPr>
      <w:r w:rsidRPr="00223ED4">
        <w:rPr>
          <w:rFonts w:ascii="Arial" w:hAnsi="Arial"/>
          <w:sz w:val="24"/>
        </w:rPr>
        <w:t>Thirdly,</w:t>
      </w:r>
      <w:r w:rsidR="00CA4BA7" w:rsidRPr="00223ED4">
        <w:rPr>
          <w:rFonts w:ascii="Arial" w:hAnsi="Arial"/>
          <w:sz w:val="24"/>
        </w:rPr>
        <w:t xml:space="preserve"> </w:t>
      </w:r>
      <w:r w:rsidRPr="00223ED4">
        <w:rPr>
          <w:rFonts w:ascii="Arial" w:hAnsi="Arial"/>
          <w:sz w:val="24"/>
        </w:rPr>
        <w:t xml:space="preserve">normative considerations </w:t>
      </w:r>
      <w:r w:rsidR="00B55E9A">
        <w:rPr>
          <w:rFonts w:ascii="Arial" w:hAnsi="Arial"/>
          <w:sz w:val="24"/>
        </w:rPr>
        <w:t>may</w:t>
      </w:r>
      <w:r w:rsidRPr="00223ED4">
        <w:rPr>
          <w:rFonts w:ascii="Arial" w:hAnsi="Arial"/>
          <w:sz w:val="24"/>
        </w:rPr>
        <w:t xml:space="preserve"> also influence how Cloud Providers behave during Cloud Investigations</w:t>
      </w:r>
      <w:r w:rsidRPr="00223ED4">
        <w:rPr>
          <w:rFonts w:ascii="Arial" w:eastAsia="Times New Roman" w:hAnsi="Arial" w:cs="Arial"/>
          <w:sz w:val="24"/>
        </w:rPr>
        <w:t xml:space="preserve">. </w:t>
      </w:r>
      <w:r w:rsidR="00E731A5" w:rsidRPr="00223ED4">
        <w:rPr>
          <w:rFonts w:ascii="Arial" w:eastAsia="Times New Roman" w:hAnsi="Arial" w:cs="Arial"/>
          <w:sz w:val="24"/>
        </w:rPr>
        <w:t>My</w:t>
      </w:r>
      <w:r w:rsidRPr="00223ED4">
        <w:rPr>
          <w:rFonts w:ascii="Arial" w:eastAsia="Times New Roman" w:hAnsi="Arial" w:cs="Arial"/>
          <w:sz w:val="24"/>
        </w:rPr>
        <w:t xml:space="preserve"> data analysis shows that these normative motivations do not operate in a vacuum but are often interlinked </w:t>
      </w:r>
      <w:r w:rsidRPr="00223ED4">
        <w:rPr>
          <w:rFonts w:ascii="Arial" w:hAnsi="Arial"/>
          <w:sz w:val="24"/>
        </w:rPr>
        <w:t>with other considerations, such as economic ones. As always the ‘what’ and ‘how’ of such interactions are context-specific</w:t>
      </w:r>
      <w:r w:rsidRPr="00223ED4">
        <w:rPr>
          <w:rFonts w:ascii="Arial" w:eastAsia="Times New Roman" w:hAnsi="Arial" w:cs="Arial"/>
          <w:sz w:val="24"/>
        </w:rPr>
        <w:t xml:space="preserve">. </w:t>
      </w:r>
      <w:r w:rsidR="002409C1" w:rsidRPr="00223ED4">
        <w:rPr>
          <w:rFonts w:ascii="Arial" w:eastAsia="Times New Roman" w:hAnsi="Arial" w:cs="Arial"/>
          <w:sz w:val="24"/>
        </w:rPr>
        <w:t>I</w:t>
      </w:r>
      <w:r w:rsidRPr="00223ED4">
        <w:rPr>
          <w:rFonts w:ascii="Arial" w:eastAsia="Times New Roman" w:hAnsi="Arial" w:cs="Arial"/>
          <w:sz w:val="24"/>
        </w:rPr>
        <w:t xml:space="preserve"> illustrate this point by exploring two behavioural patterns of two specific Cloud Providers during two Cloud Investigations. </w:t>
      </w:r>
      <w:r w:rsidR="000B79BE" w:rsidRPr="00223ED4">
        <w:rPr>
          <w:rFonts w:ascii="Arial" w:eastAsia="Times New Roman" w:hAnsi="Arial" w:cs="Arial"/>
          <w:sz w:val="24"/>
        </w:rPr>
        <w:t>My</w:t>
      </w:r>
      <w:r w:rsidRPr="00223ED4">
        <w:rPr>
          <w:rFonts w:ascii="Arial" w:eastAsia="Times New Roman" w:hAnsi="Arial" w:cs="Arial"/>
          <w:sz w:val="24"/>
        </w:rPr>
        <w:t xml:space="preserve"> first Cloud Provider is motivated by normative concerns during Cloud Investigations in the sense of recognising the legitimacy of European data</w:t>
      </w:r>
      <w:r w:rsidR="00607616" w:rsidRPr="00223ED4">
        <w:rPr>
          <w:rFonts w:ascii="Arial" w:eastAsia="Times New Roman" w:hAnsi="Arial" w:cs="Arial"/>
          <w:sz w:val="24"/>
        </w:rPr>
        <w:t xml:space="preserve"> protection laws. It thus has  </w:t>
      </w:r>
      <w:r w:rsidR="00F6484C">
        <w:rPr>
          <w:rFonts w:ascii="Arial" w:eastAsia="Times New Roman" w:hAnsi="Arial" w:cs="Arial"/>
          <w:sz w:val="24"/>
        </w:rPr>
        <w:t>‘</w:t>
      </w:r>
      <w:r w:rsidRPr="00223ED4">
        <w:rPr>
          <w:rFonts w:ascii="Arial" w:eastAsia="Times New Roman" w:hAnsi="Arial" w:cs="Arial"/>
          <w:sz w:val="24"/>
        </w:rPr>
        <w:t>…an overall policy of fully cooperating with [European] data protection authorities because</w:t>
      </w:r>
      <w:r w:rsidR="000B79BE" w:rsidRPr="00223ED4">
        <w:rPr>
          <w:rFonts w:ascii="Arial" w:eastAsia="Times New Roman" w:hAnsi="Arial" w:cs="Arial"/>
          <w:sz w:val="24"/>
        </w:rPr>
        <w:t xml:space="preserve"> [it]</w:t>
      </w:r>
      <w:r w:rsidRPr="00223ED4">
        <w:rPr>
          <w:rFonts w:ascii="Arial" w:eastAsia="Times New Roman" w:hAnsi="Arial" w:cs="Arial"/>
          <w:sz w:val="24"/>
        </w:rPr>
        <w:t xml:space="preserve"> fully recognise</w:t>
      </w:r>
      <w:r w:rsidR="000B79BE" w:rsidRPr="00223ED4">
        <w:rPr>
          <w:rFonts w:ascii="Arial" w:eastAsia="Times New Roman" w:hAnsi="Arial" w:cs="Arial"/>
          <w:sz w:val="24"/>
        </w:rPr>
        <w:t>[s]</w:t>
      </w:r>
      <w:r w:rsidRPr="00223ED4">
        <w:rPr>
          <w:rFonts w:ascii="Arial" w:eastAsia="Times New Roman" w:hAnsi="Arial" w:cs="Arial"/>
          <w:sz w:val="24"/>
        </w:rPr>
        <w:t xml:space="preserve"> the important position that they</w:t>
      </w:r>
      <w:r w:rsidR="000B79BE" w:rsidRPr="00223ED4">
        <w:rPr>
          <w:rFonts w:ascii="Arial" w:eastAsia="Times New Roman" w:hAnsi="Arial" w:cs="Arial"/>
          <w:sz w:val="24"/>
        </w:rPr>
        <w:t xml:space="preserve"> [EU DPAs]</w:t>
      </w:r>
      <w:r w:rsidRPr="00223ED4">
        <w:rPr>
          <w:rFonts w:ascii="Arial" w:eastAsia="Times New Roman" w:hAnsi="Arial" w:cs="Arial"/>
          <w:sz w:val="24"/>
        </w:rPr>
        <w:t xml:space="preserve"> have in relation to enforcing </w:t>
      </w:r>
      <w:r w:rsidR="000B79BE" w:rsidRPr="00223ED4">
        <w:rPr>
          <w:rFonts w:ascii="Arial" w:eastAsia="Times New Roman" w:hAnsi="Arial" w:cs="Arial"/>
          <w:sz w:val="24"/>
        </w:rPr>
        <w:t xml:space="preserve">data </w:t>
      </w:r>
      <w:r w:rsidR="000B79BE" w:rsidRPr="00223ED4">
        <w:rPr>
          <w:rFonts w:ascii="Arial" w:eastAsia="Times New Roman" w:hAnsi="Arial" w:cs="Arial"/>
          <w:sz w:val="24"/>
        </w:rPr>
        <w:lastRenderedPageBreak/>
        <w:t>protection rights</w:t>
      </w:r>
      <w:r w:rsidRPr="00223ED4">
        <w:rPr>
          <w:rFonts w:ascii="Arial" w:eastAsia="Times New Roman" w:hAnsi="Arial" w:cs="Arial"/>
          <w:sz w:val="24"/>
        </w:rPr>
        <w:t xml:space="preserve"> with</w:t>
      </w:r>
      <w:r w:rsidR="00F6484C">
        <w:rPr>
          <w:rFonts w:ascii="Arial" w:eastAsia="Times New Roman" w:hAnsi="Arial" w:cs="Arial"/>
          <w:sz w:val="24"/>
        </w:rPr>
        <w:t>in Europe (sic).’</w:t>
      </w:r>
      <w:r w:rsidRPr="00223ED4">
        <w:rPr>
          <w:rFonts w:ascii="Arial" w:eastAsia="Times New Roman" w:hAnsi="Arial" w:cs="Arial"/>
          <w:sz w:val="24"/>
          <w:vertAlign w:val="superscript"/>
        </w:rPr>
        <w:footnoteReference w:id="165"/>
      </w:r>
      <w:r w:rsidR="007512B7" w:rsidRPr="00223ED4">
        <w:rPr>
          <w:rFonts w:ascii="Arial" w:eastAsia="Times New Roman" w:hAnsi="Arial" w:cs="Arial"/>
          <w:sz w:val="24"/>
        </w:rPr>
        <w:t xml:space="preserve"> </w:t>
      </w:r>
      <w:r w:rsidRPr="00223ED4">
        <w:rPr>
          <w:rFonts w:ascii="Arial" w:eastAsia="Times New Roman" w:hAnsi="Arial" w:cs="Arial"/>
          <w:sz w:val="24"/>
        </w:rPr>
        <w:t xml:space="preserve">Its approach can be explained by the fact that the Cloud Provider has been trading in Europe for </w:t>
      </w:r>
      <w:r w:rsidR="00540359">
        <w:rPr>
          <w:rFonts w:ascii="Arial" w:eastAsia="Times New Roman" w:hAnsi="Arial" w:cs="Arial"/>
          <w:sz w:val="24"/>
        </w:rPr>
        <w:t>many</w:t>
      </w:r>
      <w:r w:rsidRPr="00223ED4">
        <w:rPr>
          <w:rFonts w:ascii="Arial" w:eastAsia="Times New Roman" w:hAnsi="Arial" w:cs="Arial"/>
          <w:sz w:val="24"/>
        </w:rPr>
        <w:t xml:space="preserve"> decades. Consequently, this Cloud Provider has been interacting with EU DPAs for a long time in the context of its European activities and has not disputed their jurisdiction over its activities.</w:t>
      </w:r>
      <w:r w:rsidRPr="00223ED4">
        <w:rPr>
          <w:rFonts w:ascii="Arial" w:eastAsia="Times New Roman" w:hAnsi="Arial" w:cs="Arial"/>
          <w:sz w:val="24"/>
          <w:vertAlign w:val="superscript"/>
        </w:rPr>
        <w:footnoteReference w:id="166"/>
      </w:r>
      <w:r w:rsidRPr="00223ED4">
        <w:rPr>
          <w:rFonts w:ascii="Arial" w:eastAsia="Times New Roman" w:hAnsi="Arial" w:cs="Arial"/>
          <w:sz w:val="24"/>
        </w:rPr>
        <w:t xml:space="preserve"> This Cloud Provider also recognises that the EU DPA, which is c</w:t>
      </w:r>
      <w:r w:rsidR="00607616" w:rsidRPr="00223ED4">
        <w:rPr>
          <w:rFonts w:ascii="Arial" w:eastAsia="Times New Roman" w:hAnsi="Arial" w:cs="Arial"/>
          <w:sz w:val="24"/>
        </w:rPr>
        <w:t xml:space="preserve">urrently investigating it, has </w:t>
      </w:r>
      <w:r w:rsidR="00F6484C">
        <w:rPr>
          <w:rFonts w:ascii="Arial" w:eastAsia="Times New Roman" w:hAnsi="Arial" w:cs="Arial"/>
          <w:sz w:val="24"/>
        </w:rPr>
        <w:t>‘</w:t>
      </w:r>
      <w:r w:rsidRPr="00223ED4">
        <w:rPr>
          <w:rFonts w:ascii="Arial" w:eastAsia="Times New Roman" w:hAnsi="Arial" w:cs="Arial"/>
          <w:sz w:val="24"/>
        </w:rPr>
        <w:t>strong powers</w:t>
      </w:r>
      <w:r w:rsidR="00F6484C">
        <w:rPr>
          <w:rFonts w:ascii="Arial" w:eastAsia="Times New Roman" w:hAnsi="Arial" w:cs="Arial"/>
          <w:sz w:val="24"/>
        </w:rPr>
        <w:t>’</w:t>
      </w:r>
      <w:r w:rsidRPr="00223ED4">
        <w:rPr>
          <w:rFonts w:ascii="Arial" w:eastAsia="Times New Roman" w:hAnsi="Arial" w:cs="Arial"/>
          <w:sz w:val="24"/>
        </w:rPr>
        <w:t xml:space="preserve"> of investigation,</w:t>
      </w:r>
      <w:r w:rsidRPr="00223ED4">
        <w:rPr>
          <w:rFonts w:ascii="Arial" w:eastAsia="Times New Roman" w:hAnsi="Arial" w:cs="Arial"/>
          <w:sz w:val="24"/>
          <w:vertAlign w:val="superscript"/>
        </w:rPr>
        <w:footnoteReference w:id="167"/>
      </w:r>
      <w:r w:rsidRPr="00223ED4">
        <w:rPr>
          <w:rFonts w:ascii="Arial" w:eastAsia="Times New Roman" w:hAnsi="Arial" w:cs="Arial"/>
          <w:sz w:val="24"/>
        </w:rPr>
        <w:t xml:space="preserve"> such as the power to conduct on-spot inspections, search premises and seize equipment without a jud</w:t>
      </w:r>
      <w:r w:rsidR="000B79BE" w:rsidRPr="00223ED4">
        <w:rPr>
          <w:rFonts w:ascii="Arial" w:eastAsia="Times New Roman" w:hAnsi="Arial" w:cs="Arial"/>
          <w:sz w:val="24"/>
        </w:rPr>
        <w:t>icial warrant. Consequently, such an</w:t>
      </w:r>
      <w:r w:rsidR="00F6484C">
        <w:rPr>
          <w:rFonts w:ascii="Arial" w:eastAsia="Times New Roman" w:hAnsi="Arial" w:cs="Arial"/>
          <w:sz w:val="24"/>
        </w:rPr>
        <w:t xml:space="preserve"> EU DPA ‘</w:t>
      </w:r>
      <w:r w:rsidRPr="00223ED4">
        <w:rPr>
          <w:rFonts w:ascii="Arial" w:eastAsia="Times New Roman" w:hAnsi="Arial" w:cs="Arial"/>
          <w:sz w:val="24"/>
        </w:rPr>
        <w:t>…ha[s]</w:t>
      </w:r>
      <w:r w:rsidR="00F6484C">
        <w:rPr>
          <w:rFonts w:ascii="Arial" w:eastAsia="Times New Roman" w:hAnsi="Arial" w:cs="Arial"/>
          <w:sz w:val="24"/>
        </w:rPr>
        <w:t xml:space="preserve"> to be given every cooperation.’</w:t>
      </w:r>
      <w:r w:rsidRPr="00223ED4">
        <w:rPr>
          <w:rFonts w:ascii="Arial" w:eastAsia="Times New Roman" w:hAnsi="Arial" w:cs="Arial"/>
          <w:sz w:val="24"/>
          <w:vertAlign w:val="superscript"/>
        </w:rPr>
        <w:footnoteReference w:id="168"/>
      </w:r>
      <w:r w:rsidRPr="00223ED4">
        <w:rPr>
          <w:rFonts w:ascii="Arial" w:eastAsia="Times New Roman" w:hAnsi="Arial" w:cs="Arial"/>
          <w:sz w:val="24"/>
        </w:rPr>
        <w:t xml:space="preserve"> Moreover, the </w:t>
      </w:r>
      <w:r w:rsidR="00F6484C">
        <w:rPr>
          <w:rFonts w:ascii="Arial" w:eastAsia="Times New Roman" w:hAnsi="Arial" w:cs="Arial"/>
          <w:sz w:val="24"/>
        </w:rPr>
        <w:t>‘</w:t>
      </w:r>
      <w:r w:rsidR="009E674D">
        <w:rPr>
          <w:rFonts w:ascii="Arial" w:eastAsia="Times New Roman" w:hAnsi="Arial" w:cs="Arial"/>
          <w:sz w:val="24"/>
        </w:rPr>
        <w:t>open</w:t>
      </w:r>
      <w:r w:rsidR="00F6484C">
        <w:rPr>
          <w:rFonts w:ascii="Arial" w:eastAsia="Times New Roman" w:hAnsi="Arial" w:cs="Arial"/>
          <w:sz w:val="24"/>
        </w:rPr>
        <w:t>’</w:t>
      </w:r>
      <w:r w:rsidRPr="00223ED4">
        <w:rPr>
          <w:rFonts w:ascii="Arial" w:eastAsia="Times New Roman" w:hAnsi="Arial" w:cs="Arial"/>
          <w:sz w:val="24"/>
          <w:vertAlign w:val="superscript"/>
        </w:rPr>
        <w:footnoteReference w:id="169"/>
      </w:r>
      <w:r w:rsidRPr="00223ED4">
        <w:rPr>
          <w:rFonts w:ascii="Arial" w:eastAsia="Times New Roman" w:hAnsi="Arial" w:cs="Arial"/>
          <w:sz w:val="24"/>
        </w:rPr>
        <w:t xml:space="preserve"> and co-operative attitude of this Cloud Provider during this Cloud Investigation can also be explained by its business model which does not </w:t>
      </w:r>
      <w:r w:rsidR="00DE62F2">
        <w:rPr>
          <w:rFonts w:ascii="Arial" w:eastAsia="Times New Roman" w:hAnsi="Arial" w:cs="Arial"/>
          <w:sz w:val="24"/>
        </w:rPr>
        <w:t>monetise</w:t>
      </w:r>
      <w:r w:rsidRPr="00223ED4">
        <w:rPr>
          <w:rFonts w:ascii="Arial" w:eastAsia="Times New Roman" w:hAnsi="Arial" w:cs="Arial"/>
          <w:sz w:val="24"/>
        </w:rPr>
        <w:t xml:space="preserve"> the personal data of its users. Therefore, this Cloud Provider feels that </w:t>
      </w:r>
      <w:r w:rsidR="00F6484C">
        <w:rPr>
          <w:rFonts w:ascii="Arial" w:eastAsia="Times New Roman" w:hAnsi="Arial" w:cs="Arial"/>
          <w:sz w:val="24"/>
        </w:rPr>
        <w:t>‘</w:t>
      </w:r>
      <w:r w:rsidR="00607616" w:rsidRPr="00223ED4">
        <w:rPr>
          <w:rFonts w:ascii="Arial" w:eastAsia="Times New Roman" w:hAnsi="Arial" w:cs="Arial"/>
          <w:sz w:val="24"/>
        </w:rPr>
        <w:t>… [</w:t>
      </w:r>
      <w:r w:rsidRPr="00223ED4">
        <w:rPr>
          <w:rFonts w:ascii="Arial" w:eastAsia="Times New Roman" w:hAnsi="Arial" w:cs="Arial"/>
          <w:sz w:val="24"/>
        </w:rPr>
        <w:t xml:space="preserve">its] privacy story is </w:t>
      </w:r>
      <w:r w:rsidRPr="00223ED4">
        <w:rPr>
          <w:rFonts w:ascii="Arial" w:eastAsia="Times New Roman" w:hAnsi="Arial" w:cs="Arial"/>
          <w:sz w:val="24"/>
        </w:rPr>
        <w:lastRenderedPageBreak/>
        <w:t>one that</w:t>
      </w:r>
      <w:r w:rsidR="00DE62F2">
        <w:rPr>
          <w:rFonts w:ascii="Arial" w:eastAsia="Times New Roman" w:hAnsi="Arial" w:cs="Arial"/>
          <w:sz w:val="24"/>
        </w:rPr>
        <w:t xml:space="preserve"> [it]</w:t>
      </w:r>
      <w:r w:rsidR="00607616" w:rsidRPr="00223ED4">
        <w:rPr>
          <w:rFonts w:ascii="Arial" w:eastAsia="Times New Roman" w:hAnsi="Arial" w:cs="Arial"/>
          <w:sz w:val="24"/>
        </w:rPr>
        <w:t xml:space="preserve"> can be open about</w:t>
      </w:r>
      <w:r w:rsidR="00F6484C">
        <w:rPr>
          <w:rFonts w:ascii="Arial" w:eastAsia="Times New Roman" w:hAnsi="Arial" w:cs="Arial"/>
          <w:sz w:val="24"/>
        </w:rPr>
        <w:t>’</w:t>
      </w:r>
      <w:r w:rsidRPr="00223ED4">
        <w:rPr>
          <w:rFonts w:ascii="Arial" w:eastAsia="Times New Roman" w:hAnsi="Arial" w:cs="Arial"/>
          <w:sz w:val="24"/>
        </w:rPr>
        <w:t xml:space="preserve"> as its business model does not involve ‘commodifying’</w:t>
      </w:r>
      <w:r w:rsidRPr="00223ED4">
        <w:rPr>
          <w:rFonts w:ascii="Arial" w:eastAsia="Times New Roman" w:hAnsi="Arial" w:cs="Arial"/>
          <w:sz w:val="24"/>
          <w:vertAlign w:val="superscript"/>
        </w:rPr>
        <w:footnoteReference w:id="170"/>
      </w:r>
      <w:r w:rsidRPr="00223ED4">
        <w:rPr>
          <w:rFonts w:ascii="Arial" w:eastAsia="Times New Roman" w:hAnsi="Arial" w:cs="Arial"/>
          <w:sz w:val="24"/>
        </w:rPr>
        <w:t xml:space="preserve"> its users` personal data.</w:t>
      </w:r>
      <w:r w:rsidRPr="00223ED4">
        <w:rPr>
          <w:rFonts w:ascii="Arial" w:eastAsia="Times New Roman" w:hAnsi="Arial" w:cs="Arial"/>
          <w:sz w:val="24"/>
          <w:vertAlign w:val="superscript"/>
        </w:rPr>
        <w:footnoteReference w:id="171"/>
      </w:r>
      <w:r w:rsidR="000B79BE" w:rsidRPr="00223ED4">
        <w:rPr>
          <w:rFonts w:ascii="Arial" w:eastAsia="Times New Roman" w:hAnsi="Arial" w:cs="Arial"/>
          <w:sz w:val="24"/>
        </w:rPr>
        <w:t xml:space="preserve"> </w:t>
      </w:r>
      <w:r w:rsidRPr="00223ED4">
        <w:rPr>
          <w:rFonts w:ascii="Arial" w:eastAsia="Times New Roman" w:hAnsi="Arial" w:cs="Arial"/>
          <w:sz w:val="24"/>
        </w:rPr>
        <w:t>Here</w:t>
      </w:r>
      <w:r w:rsidR="007642BF" w:rsidRPr="00223ED4">
        <w:rPr>
          <w:rFonts w:ascii="Arial" w:eastAsia="Times New Roman" w:hAnsi="Arial" w:cs="Arial"/>
          <w:sz w:val="24"/>
        </w:rPr>
        <w:t>,</w:t>
      </w:r>
      <w:r w:rsidRPr="00223ED4">
        <w:rPr>
          <w:rFonts w:ascii="Arial" w:eastAsia="Times New Roman" w:hAnsi="Arial" w:cs="Arial"/>
          <w:sz w:val="24"/>
        </w:rPr>
        <w:t xml:space="preserve"> specific normative and commercial considerations impact on their behaviours towards EU DPAs Cloud Investigations (‘Scenario A</w:t>
      </w:r>
      <w:r w:rsidR="00607616" w:rsidRPr="00223ED4">
        <w:rPr>
          <w:rFonts w:ascii="Arial" w:eastAsia="Times New Roman" w:hAnsi="Arial" w:cs="Arial"/>
          <w:sz w:val="24"/>
        </w:rPr>
        <w:t>’</w:t>
      </w:r>
      <w:r w:rsidRPr="00223ED4">
        <w:rPr>
          <w:rFonts w:ascii="Arial" w:eastAsia="Times New Roman" w:hAnsi="Arial" w:cs="Arial"/>
          <w:sz w:val="24"/>
        </w:rPr>
        <w:t>).</w:t>
      </w:r>
    </w:p>
    <w:p w14:paraId="499980CF" w14:textId="77777777" w:rsidR="00F37181" w:rsidRPr="00223ED4" w:rsidRDefault="00F37181" w:rsidP="00F37181">
      <w:pPr>
        <w:spacing w:after="0" w:line="360" w:lineRule="auto"/>
        <w:jc w:val="both"/>
        <w:rPr>
          <w:rFonts w:ascii="Arial" w:eastAsia="Times New Roman" w:hAnsi="Arial" w:cs="Arial"/>
          <w:sz w:val="24"/>
        </w:rPr>
      </w:pPr>
    </w:p>
    <w:p w14:paraId="0421B3E9" w14:textId="37F7DC66" w:rsidR="000B79BE" w:rsidRPr="00223ED4" w:rsidRDefault="00B80AA7" w:rsidP="000B79BE">
      <w:pPr>
        <w:spacing w:after="0" w:line="360" w:lineRule="auto"/>
        <w:ind w:firstLine="851"/>
        <w:jc w:val="both"/>
        <w:rPr>
          <w:rFonts w:ascii="Arial" w:eastAsia="Times New Roman" w:hAnsi="Arial" w:cs="Arial"/>
          <w:sz w:val="24"/>
          <w:vertAlign w:val="superscript"/>
        </w:rPr>
      </w:pPr>
      <w:r w:rsidRPr="00223ED4">
        <w:rPr>
          <w:rFonts w:ascii="Arial" w:eastAsia="Times New Roman" w:hAnsi="Arial" w:cs="Arial"/>
          <w:sz w:val="24"/>
        </w:rPr>
        <w:t>My</w:t>
      </w:r>
      <w:r w:rsidR="00F37181" w:rsidRPr="00223ED4">
        <w:rPr>
          <w:rFonts w:ascii="Arial" w:eastAsia="Times New Roman" w:hAnsi="Arial" w:cs="Arial"/>
          <w:sz w:val="24"/>
        </w:rPr>
        <w:t xml:space="preserve"> second Cloud Provider is also motivated by normative and economic concerns during Cloud Investigation (‘Scenario B’). However, these concerns and their interconnections are different from the ones present in Scenario A. The Cloud Provider in Scenario B is motivated to co-operate as fully and openly as possible with the EU DPA during its current Cloud Investigation because this EU DPA will be the main regulator for its European operations.</w:t>
      </w:r>
      <w:r w:rsidR="00F37181" w:rsidRPr="00223ED4">
        <w:rPr>
          <w:rFonts w:ascii="Arial" w:eastAsia="Times New Roman" w:hAnsi="Arial" w:cs="Arial"/>
          <w:sz w:val="24"/>
          <w:vertAlign w:val="superscript"/>
        </w:rPr>
        <w:footnoteReference w:id="172"/>
      </w:r>
      <w:r w:rsidR="00F37181" w:rsidRPr="00223ED4">
        <w:rPr>
          <w:rFonts w:ascii="Arial" w:eastAsia="Times New Roman" w:hAnsi="Arial" w:cs="Arial"/>
          <w:sz w:val="24"/>
        </w:rPr>
        <w:t xml:space="preserve"> Consequently, this Cloud Provider is willing to invest </w:t>
      </w:r>
      <w:r w:rsidR="00DE62F2">
        <w:rPr>
          <w:rFonts w:ascii="Arial" w:eastAsia="Times New Roman" w:hAnsi="Arial" w:cs="Arial"/>
          <w:sz w:val="24"/>
        </w:rPr>
        <w:t xml:space="preserve">its time and resources to </w:t>
      </w:r>
      <w:r w:rsidR="00F37181" w:rsidRPr="00223ED4">
        <w:rPr>
          <w:rFonts w:ascii="Arial" w:eastAsia="Times New Roman" w:hAnsi="Arial" w:cs="Arial"/>
          <w:sz w:val="24"/>
        </w:rPr>
        <w:t>engage in the Cloud Investigation for various reasons including establishing a productive working relationship with the EU DPA, educating the EU DPA about its operations and policies, ascertaining to what extent it complies with the relevant data protection laws of a jurisdiction where it has recently relocated to, and avoiding the deployment of formal procedures by the EU DPA (e.g. formal adjudication of a complaint by a data subject).</w:t>
      </w:r>
      <w:r w:rsidR="00F37181" w:rsidRPr="00223ED4">
        <w:rPr>
          <w:rFonts w:ascii="Arial" w:eastAsia="Times New Roman" w:hAnsi="Arial" w:cs="Arial"/>
          <w:sz w:val="24"/>
          <w:vertAlign w:val="superscript"/>
        </w:rPr>
        <w:t xml:space="preserve"> </w:t>
      </w:r>
      <w:r w:rsidR="00F37181" w:rsidRPr="00223ED4">
        <w:rPr>
          <w:rFonts w:ascii="Arial" w:eastAsia="Times New Roman" w:hAnsi="Arial" w:cs="Arial"/>
          <w:sz w:val="24"/>
          <w:vertAlign w:val="superscript"/>
        </w:rPr>
        <w:footnoteReference w:id="173"/>
      </w:r>
      <w:bookmarkStart w:id="10" w:name="_Toc349912727"/>
      <w:bookmarkStart w:id="11" w:name="_Toc399774908"/>
      <w:bookmarkStart w:id="12" w:name="_Toc412899007"/>
    </w:p>
    <w:p w14:paraId="3AC7586A" w14:textId="77777777" w:rsidR="000B79BE" w:rsidRPr="00223ED4" w:rsidRDefault="000B79BE" w:rsidP="000B79BE">
      <w:pPr>
        <w:spacing w:after="0" w:line="360" w:lineRule="auto"/>
        <w:ind w:firstLine="851"/>
        <w:jc w:val="both"/>
        <w:rPr>
          <w:rFonts w:ascii="Arial" w:eastAsia="Times New Roman" w:hAnsi="Arial" w:cs="Arial"/>
          <w:sz w:val="24"/>
          <w:vertAlign w:val="superscript"/>
        </w:rPr>
      </w:pPr>
    </w:p>
    <w:p w14:paraId="25115F3F" w14:textId="45DC7EB4" w:rsidR="000B79BE" w:rsidRPr="00223ED4" w:rsidRDefault="000B79BE" w:rsidP="000B79BE">
      <w:pPr>
        <w:spacing w:after="0" w:line="360" w:lineRule="auto"/>
        <w:ind w:firstLine="851"/>
        <w:jc w:val="both"/>
        <w:rPr>
          <w:rFonts w:ascii="Arial" w:eastAsia="Times New Roman" w:hAnsi="Arial" w:cs="Arial"/>
          <w:sz w:val="24"/>
          <w:vertAlign w:val="superscript"/>
        </w:rPr>
      </w:pPr>
      <w:r w:rsidRPr="00223ED4">
        <w:rPr>
          <w:rFonts w:ascii="Arial" w:hAnsi="Arial"/>
          <w:kern w:val="32"/>
          <w:sz w:val="24"/>
        </w:rPr>
        <w:t xml:space="preserve">Consequently, the compliance attitudes of Cloud Providers constantly evolve depending on several factors, such as the </w:t>
      </w:r>
      <w:r w:rsidR="00683252" w:rsidRPr="00223ED4">
        <w:rPr>
          <w:rFonts w:ascii="Arial" w:hAnsi="Arial"/>
          <w:kern w:val="32"/>
          <w:sz w:val="24"/>
        </w:rPr>
        <w:t xml:space="preserve">EU DPAs` </w:t>
      </w:r>
      <w:r w:rsidRPr="00223ED4">
        <w:rPr>
          <w:rFonts w:ascii="Arial" w:hAnsi="Arial"/>
          <w:kern w:val="32"/>
          <w:sz w:val="24"/>
        </w:rPr>
        <w:t xml:space="preserve">enforcement powers, the organisation`s prior dealings with EU DPAs, and the </w:t>
      </w:r>
      <w:r w:rsidR="00683252" w:rsidRPr="00223ED4">
        <w:rPr>
          <w:rFonts w:ascii="Arial" w:hAnsi="Arial"/>
          <w:kern w:val="32"/>
          <w:sz w:val="24"/>
        </w:rPr>
        <w:t>Cloud Provider</w:t>
      </w:r>
      <w:r w:rsidR="007512B7" w:rsidRPr="00223ED4">
        <w:rPr>
          <w:rFonts w:ascii="Arial" w:hAnsi="Arial"/>
          <w:kern w:val="32"/>
          <w:sz w:val="24"/>
        </w:rPr>
        <w:t xml:space="preserve">s` </w:t>
      </w:r>
      <w:r w:rsidR="00683252" w:rsidRPr="00223ED4">
        <w:rPr>
          <w:rFonts w:ascii="Arial" w:hAnsi="Arial"/>
          <w:kern w:val="32"/>
          <w:sz w:val="24"/>
        </w:rPr>
        <w:t>business model</w:t>
      </w:r>
      <w:r w:rsidR="007512B7" w:rsidRPr="00223ED4">
        <w:rPr>
          <w:rFonts w:ascii="Arial" w:hAnsi="Arial"/>
          <w:kern w:val="32"/>
          <w:sz w:val="24"/>
        </w:rPr>
        <w:t>s</w:t>
      </w:r>
      <w:r w:rsidR="00607616" w:rsidRPr="00223ED4">
        <w:rPr>
          <w:rFonts w:ascii="Arial" w:hAnsi="Arial"/>
          <w:kern w:val="32"/>
          <w:sz w:val="24"/>
        </w:rPr>
        <w:t xml:space="preserve"> (e.g. the extent to which their business models revolve around the personal data of their customers)</w:t>
      </w:r>
      <w:r w:rsidR="00683252" w:rsidRPr="00223ED4">
        <w:rPr>
          <w:rFonts w:ascii="Arial" w:hAnsi="Arial"/>
          <w:kern w:val="32"/>
          <w:sz w:val="24"/>
        </w:rPr>
        <w:t>.</w:t>
      </w:r>
    </w:p>
    <w:p w14:paraId="4AA43C50" w14:textId="14BBC6AE" w:rsidR="00F37181" w:rsidRPr="00223ED4" w:rsidRDefault="00952C2D" w:rsidP="00952C2D">
      <w:pPr>
        <w:keepNext/>
        <w:spacing w:before="100" w:beforeAutospacing="1" w:after="100" w:afterAutospacing="1" w:line="360" w:lineRule="auto"/>
        <w:jc w:val="both"/>
        <w:outlineLvl w:val="0"/>
        <w:rPr>
          <w:rFonts w:ascii="Arial" w:hAnsi="Arial" w:cs="Arial"/>
          <w:bCs/>
          <w:kern w:val="32"/>
          <w:sz w:val="28"/>
        </w:rPr>
      </w:pPr>
      <w:r w:rsidRPr="00223ED4">
        <w:rPr>
          <w:rFonts w:ascii="Arial" w:hAnsi="Arial" w:cs="Arial"/>
          <w:bCs/>
          <w:kern w:val="32"/>
          <w:sz w:val="28"/>
        </w:rPr>
        <w:t>CONCLUSION</w:t>
      </w:r>
      <w:bookmarkEnd w:id="10"/>
      <w:bookmarkEnd w:id="11"/>
      <w:bookmarkEnd w:id="12"/>
    </w:p>
    <w:p w14:paraId="7024D798" w14:textId="10475AB0" w:rsidR="00683252" w:rsidRPr="00223ED4" w:rsidRDefault="00F37181" w:rsidP="00A86899">
      <w:pPr>
        <w:spacing w:line="360" w:lineRule="auto"/>
        <w:jc w:val="both"/>
        <w:rPr>
          <w:rFonts w:ascii="Arial" w:hAnsi="Arial" w:cs="Arial"/>
          <w:sz w:val="24"/>
        </w:rPr>
      </w:pPr>
      <w:r w:rsidRPr="00223ED4">
        <w:rPr>
          <w:rFonts w:ascii="Arial" w:hAnsi="Arial" w:cs="Arial"/>
          <w:bCs/>
          <w:sz w:val="24"/>
        </w:rPr>
        <w:t xml:space="preserve">In this </w:t>
      </w:r>
      <w:r w:rsidR="002409C1" w:rsidRPr="00223ED4">
        <w:rPr>
          <w:rFonts w:ascii="Arial" w:hAnsi="Arial" w:cs="Arial"/>
          <w:bCs/>
          <w:sz w:val="24"/>
        </w:rPr>
        <w:t>chapter</w:t>
      </w:r>
      <w:r w:rsidRPr="00223ED4">
        <w:rPr>
          <w:rFonts w:ascii="Arial" w:hAnsi="Arial" w:cs="Arial"/>
          <w:bCs/>
          <w:sz w:val="24"/>
        </w:rPr>
        <w:t xml:space="preserve"> </w:t>
      </w:r>
      <w:r w:rsidR="002409C1" w:rsidRPr="00223ED4">
        <w:rPr>
          <w:rFonts w:ascii="Arial" w:hAnsi="Arial" w:cs="Arial"/>
          <w:bCs/>
          <w:sz w:val="24"/>
        </w:rPr>
        <w:t>I</w:t>
      </w:r>
      <w:r w:rsidRPr="00223ED4">
        <w:rPr>
          <w:rFonts w:ascii="Arial" w:hAnsi="Arial" w:cs="Arial"/>
          <w:bCs/>
          <w:sz w:val="24"/>
        </w:rPr>
        <w:t xml:space="preserve"> have argued </w:t>
      </w:r>
      <w:r w:rsidR="000B79BE" w:rsidRPr="00223ED4">
        <w:rPr>
          <w:rFonts w:ascii="Arial" w:hAnsi="Arial" w:cs="Arial"/>
          <w:bCs/>
          <w:sz w:val="24"/>
        </w:rPr>
        <w:t xml:space="preserve">two points. Firstly, Cloud Investigations are </w:t>
      </w:r>
      <w:r w:rsidRPr="00223ED4">
        <w:rPr>
          <w:rFonts w:ascii="Arial" w:hAnsi="Arial" w:cs="Arial"/>
          <w:sz w:val="24"/>
        </w:rPr>
        <w:t>regulatory processes that often involve different co-operative relationships between various actors, such as DPAs operating across many jurisdictions. In practice, manifold interactions and practices, such as</w:t>
      </w:r>
      <w:r w:rsidR="00CA4BA7" w:rsidRPr="00223ED4">
        <w:rPr>
          <w:rFonts w:ascii="Arial" w:hAnsi="Arial" w:cs="Arial"/>
          <w:sz w:val="24"/>
        </w:rPr>
        <w:t xml:space="preserve"> </w:t>
      </w:r>
      <w:r w:rsidRPr="00223ED4">
        <w:rPr>
          <w:rFonts w:ascii="Arial" w:hAnsi="Arial"/>
          <w:sz w:val="24"/>
        </w:rPr>
        <w:t>facilitative instruments</w:t>
      </w:r>
      <w:r w:rsidRPr="00223ED4">
        <w:rPr>
          <w:rFonts w:ascii="Arial" w:hAnsi="Arial" w:cs="Arial"/>
          <w:sz w:val="24"/>
        </w:rPr>
        <w:t xml:space="preserve">, are deployed to form and perform such </w:t>
      </w:r>
      <w:r w:rsidR="007512B7" w:rsidRPr="00223ED4">
        <w:rPr>
          <w:rFonts w:ascii="Arial" w:hAnsi="Arial" w:cs="Arial"/>
          <w:sz w:val="24"/>
        </w:rPr>
        <w:t xml:space="preserve">high-level </w:t>
      </w:r>
      <w:r w:rsidRPr="00223ED4">
        <w:rPr>
          <w:rFonts w:ascii="Arial" w:hAnsi="Arial" w:cs="Arial"/>
          <w:sz w:val="24"/>
        </w:rPr>
        <w:t xml:space="preserve">collaborations which are significant to ensure the consistent application and enforcement of common data protection principles in an increasingly globalised context. Secondly, regulation through Cloud Investigation is dynamic as it involves continually evolving regulatory </w:t>
      </w:r>
      <w:r w:rsidR="001620BA">
        <w:rPr>
          <w:rFonts w:ascii="Arial" w:hAnsi="Arial" w:cs="Arial"/>
          <w:sz w:val="24"/>
        </w:rPr>
        <w:t xml:space="preserve">enforcement </w:t>
      </w:r>
      <w:r w:rsidRPr="00223ED4">
        <w:rPr>
          <w:rFonts w:ascii="Arial" w:hAnsi="Arial" w:cs="Arial"/>
          <w:sz w:val="24"/>
        </w:rPr>
        <w:t xml:space="preserve">styles and compliance attitudes. This means that the regulatory encounters between Cloud Providers and EU DPAs during an investigation often involve ceaseless change. </w:t>
      </w:r>
      <w:r w:rsidR="001B71CC" w:rsidRPr="00223ED4">
        <w:rPr>
          <w:rFonts w:ascii="Arial" w:hAnsi="Arial" w:cs="Arial"/>
          <w:sz w:val="24"/>
        </w:rPr>
        <w:t>In practical terms, this selective empirical expos</w:t>
      </w:r>
      <w:r w:rsidR="007512B7" w:rsidRPr="00223ED4">
        <w:rPr>
          <w:rFonts w:ascii="Arial" w:hAnsi="Arial" w:cs="Arial"/>
          <w:sz w:val="24"/>
        </w:rPr>
        <w:t>é</w:t>
      </w:r>
      <w:r w:rsidR="001B71CC" w:rsidRPr="00223ED4">
        <w:rPr>
          <w:rFonts w:ascii="Arial" w:hAnsi="Arial" w:cs="Arial"/>
          <w:sz w:val="24"/>
        </w:rPr>
        <w:t xml:space="preserve"> on Cloud Investigations show</w:t>
      </w:r>
      <w:r w:rsidR="000C5621" w:rsidRPr="00223ED4">
        <w:rPr>
          <w:rFonts w:ascii="Arial" w:hAnsi="Arial" w:cs="Arial"/>
          <w:sz w:val="24"/>
        </w:rPr>
        <w:t>s</w:t>
      </w:r>
      <w:r w:rsidR="001B71CC" w:rsidRPr="00223ED4">
        <w:rPr>
          <w:rFonts w:ascii="Arial" w:hAnsi="Arial" w:cs="Arial"/>
          <w:sz w:val="24"/>
        </w:rPr>
        <w:t xml:space="preserve"> that the regulation of personal data through the investigative tool is not a simple, linear, and uncontested process flowing from the EU DPA to the Cloud Provider. Rather, regulation through Cloud Investigations can involve fluid and multiple resources, practices, and actors that are linked with one another in specific ways in the here and now. Several reasons, such as the potential for rapport-building between the EU DPA and Cloud Provider,</w:t>
      </w:r>
      <w:r w:rsidR="00A86899" w:rsidRPr="00223ED4">
        <w:rPr>
          <w:rStyle w:val="FootnoteReference"/>
          <w:rFonts w:ascii="Arial" w:hAnsi="Arial" w:cs="Arial"/>
          <w:sz w:val="24"/>
        </w:rPr>
        <w:footnoteReference w:id="174"/>
      </w:r>
      <w:r w:rsidR="001B71CC" w:rsidRPr="00223ED4">
        <w:rPr>
          <w:rFonts w:ascii="Arial" w:hAnsi="Arial" w:cs="Arial"/>
          <w:sz w:val="24"/>
        </w:rPr>
        <w:t xml:space="preserve"> the relocation of </w:t>
      </w:r>
      <w:r w:rsidRPr="00223ED4">
        <w:rPr>
          <w:rFonts w:ascii="Arial" w:hAnsi="Arial" w:cs="Arial"/>
          <w:sz w:val="24"/>
        </w:rPr>
        <w:t>some of the operations of multinational Cloud Providers to Europe</w:t>
      </w:r>
      <w:r w:rsidR="001B71CC" w:rsidRPr="00223ED4">
        <w:rPr>
          <w:rFonts w:ascii="Arial" w:hAnsi="Arial" w:cs="Arial"/>
          <w:sz w:val="24"/>
        </w:rPr>
        <w:t>,</w:t>
      </w:r>
      <w:r w:rsidR="00A86899" w:rsidRPr="00223ED4">
        <w:rPr>
          <w:rStyle w:val="FootnoteReference"/>
          <w:rFonts w:ascii="Arial" w:hAnsi="Arial" w:cs="Arial"/>
          <w:sz w:val="24"/>
        </w:rPr>
        <w:footnoteReference w:id="175"/>
      </w:r>
      <w:r w:rsidR="001B71CC" w:rsidRPr="00223ED4">
        <w:rPr>
          <w:rFonts w:ascii="Arial" w:hAnsi="Arial" w:cs="Arial"/>
          <w:sz w:val="24"/>
        </w:rPr>
        <w:t xml:space="preserve"> and </w:t>
      </w:r>
      <w:r w:rsidR="00A86899" w:rsidRPr="00223ED4">
        <w:rPr>
          <w:rFonts w:ascii="Arial" w:hAnsi="Arial" w:cs="Arial"/>
          <w:sz w:val="24"/>
        </w:rPr>
        <w:t xml:space="preserve">the potential for the EU DPA to know its regulatee ‘in-depth’, may well mean that Cloud Investigations keep growing in </w:t>
      </w:r>
      <w:r w:rsidRPr="00223ED4">
        <w:rPr>
          <w:rFonts w:ascii="Arial" w:hAnsi="Arial" w:cs="Arial"/>
          <w:sz w:val="24"/>
        </w:rPr>
        <w:t>frequency in Europe.</w:t>
      </w:r>
      <w:r w:rsidR="000C5621" w:rsidRPr="00223ED4">
        <w:rPr>
          <w:rStyle w:val="FootnoteReference"/>
          <w:rFonts w:ascii="Arial" w:hAnsi="Arial" w:cs="Arial"/>
          <w:sz w:val="24"/>
        </w:rPr>
        <w:footnoteReference w:id="176"/>
      </w:r>
      <w:r w:rsidRPr="00223ED4">
        <w:rPr>
          <w:rFonts w:ascii="Arial" w:hAnsi="Arial" w:cs="Arial"/>
          <w:sz w:val="24"/>
        </w:rPr>
        <w:t xml:space="preserve"> </w:t>
      </w:r>
      <w:r w:rsidR="00A86899" w:rsidRPr="00223ED4">
        <w:rPr>
          <w:rFonts w:ascii="Arial" w:hAnsi="Arial" w:cs="Arial"/>
          <w:sz w:val="24"/>
        </w:rPr>
        <w:t xml:space="preserve">Interestingly, my data analysis also shows that the rhetoric surrounding Cloud Investigations (e.g. </w:t>
      </w:r>
      <w:r w:rsidR="000C5621" w:rsidRPr="00223ED4">
        <w:rPr>
          <w:rFonts w:ascii="Arial" w:hAnsi="Arial" w:cs="Arial"/>
          <w:sz w:val="24"/>
        </w:rPr>
        <w:t>used in the</w:t>
      </w:r>
      <w:r w:rsidR="00A86899" w:rsidRPr="00223ED4">
        <w:rPr>
          <w:rFonts w:ascii="Arial" w:hAnsi="Arial" w:cs="Arial"/>
          <w:sz w:val="24"/>
        </w:rPr>
        <w:t xml:space="preserve"> investigation reports, press releases or </w:t>
      </w:r>
      <w:r w:rsidR="000C5621" w:rsidRPr="00223ED4">
        <w:rPr>
          <w:rFonts w:ascii="Arial" w:hAnsi="Arial" w:cs="Arial"/>
          <w:sz w:val="24"/>
        </w:rPr>
        <w:t xml:space="preserve">by the respondents in </w:t>
      </w:r>
      <w:r w:rsidR="00A86899" w:rsidRPr="00223ED4">
        <w:rPr>
          <w:rFonts w:ascii="Arial" w:hAnsi="Arial" w:cs="Arial"/>
          <w:sz w:val="24"/>
        </w:rPr>
        <w:t>my own interviews</w:t>
      </w:r>
      <w:r w:rsidR="00A86899" w:rsidRPr="00223ED4">
        <w:rPr>
          <w:rFonts w:ascii="Arial" w:hAnsi="Arial"/>
          <w:sz w:val="24"/>
        </w:rPr>
        <w:t>) does not as yet explicitly bring in the technical considerations underpinning the cloud, such as how different cloud models</w:t>
      </w:r>
      <w:r w:rsidR="00F53886" w:rsidRPr="00223ED4">
        <w:rPr>
          <w:rStyle w:val="FootnoteReference"/>
          <w:rFonts w:ascii="Arial" w:hAnsi="Arial"/>
          <w:sz w:val="24"/>
        </w:rPr>
        <w:footnoteReference w:id="177"/>
      </w:r>
      <w:r w:rsidR="00F53886" w:rsidRPr="00223ED4">
        <w:rPr>
          <w:rFonts w:ascii="Arial" w:hAnsi="Arial"/>
          <w:sz w:val="24"/>
        </w:rPr>
        <w:t xml:space="preserve"> </w:t>
      </w:r>
      <w:r w:rsidR="00A86899" w:rsidRPr="00223ED4">
        <w:rPr>
          <w:rFonts w:ascii="Arial" w:hAnsi="Arial"/>
          <w:sz w:val="24"/>
        </w:rPr>
        <w:t>can raise data control and security issues to varying degrees.</w:t>
      </w:r>
      <w:r w:rsidR="00A86899" w:rsidRPr="00223ED4">
        <w:rPr>
          <w:rFonts w:ascii="Arial" w:hAnsi="Arial"/>
          <w:sz w:val="24"/>
          <w:vertAlign w:val="superscript"/>
        </w:rPr>
        <w:footnoteReference w:id="178"/>
      </w:r>
      <w:r w:rsidR="00A86899" w:rsidRPr="00223ED4">
        <w:rPr>
          <w:rFonts w:ascii="Arial" w:hAnsi="Arial" w:cs="Arial"/>
          <w:sz w:val="24"/>
        </w:rPr>
        <w:t xml:space="preserve"> As more Cloud Providers</w:t>
      </w:r>
      <w:r w:rsidR="000C5621" w:rsidRPr="00223ED4">
        <w:rPr>
          <w:rFonts w:ascii="Arial" w:hAnsi="Arial" w:cs="Arial"/>
          <w:sz w:val="24"/>
        </w:rPr>
        <w:t>,</w:t>
      </w:r>
      <w:r w:rsidR="00A86899" w:rsidRPr="00223ED4">
        <w:rPr>
          <w:rFonts w:ascii="Arial" w:hAnsi="Arial" w:cs="Arial"/>
          <w:sz w:val="24"/>
        </w:rPr>
        <w:t xml:space="preserve"> with distinct offerings targeted at both individual and corporate users, </w:t>
      </w:r>
      <w:r w:rsidR="000C5621" w:rsidRPr="00223ED4">
        <w:rPr>
          <w:rFonts w:ascii="Arial" w:hAnsi="Arial" w:cs="Arial"/>
          <w:sz w:val="24"/>
        </w:rPr>
        <w:t xml:space="preserve">are investigated </w:t>
      </w:r>
      <w:r w:rsidR="00A86899" w:rsidRPr="00223ED4">
        <w:rPr>
          <w:rFonts w:ascii="Arial" w:hAnsi="Arial" w:cs="Arial"/>
          <w:sz w:val="24"/>
        </w:rPr>
        <w:t xml:space="preserve">it would be interesting to examine whether such investigations become more focussed on specific technical </w:t>
      </w:r>
      <w:r w:rsidR="000C5621" w:rsidRPr="00223ED4">
        <w:rPr>
          <w:rFonts w:ascii="Arial" w:hAnsi="Arial" w:cs="Arial"/>
          <w:sz w:val="24"/>
        </w:rPr>
        <w:t xml:space="preserve">cloud </w:t>
      </w:r>
      <w:r w:rsidR="00607616" w:rsidRPr="00223ED4">
        <w:rPr>
          <w:rFonts w:ascii="Arial" w:hAnsi="Arial" w:cs="Arial"/>
          <w:sz w:val="24"/>
        </w:rPr>
        <w:t>considerations.</w:t>
      </w:r>
    </w:p>
    <w:p w14:paraId="30C19186" w14:textId="77777777" w:rsidR="00927C14" w:rsidRDefault="00927C14" w:rsidP="00A86899">
      <w:pPr>
        <w:spacing w:line="360" w:lineRule="auto"/>
        <w:jc w:val="both"/>
        <w:rPr>
          <w:rFonts w:ascii="Arial" w:hAnsi="Arial" w:cs="Arial"/>
          <w:sz w:val="24"/>
        </w:rPr>
      </w:pPr>
    </w:p>
    <w:p w14:paraId="4117BE2B" w14:textId="77777777" w:rsidR="00CA3A4A" w:rsidRDefault="00CA3A4A" w:rsidP="00A86899">
      <w:pPr>
        <w:spacing w:line="360" w:lineRule="auto"/>
        <w:jc w:val="both"/>
        <w:rPr>
          <w:rFonts w:ascii="Arial" w:hAnsi="Arial" w:cs="Arial"/>
          <w:sz w:val="24"/>
        </w:rPr>
      </w:pPr>
    </w:p>
    <w:p w14:paraId="43C08547" w14:textId="77777777" w:rsidR="00CA3A4A" w:rsidRDefault="00CA3A4A" w:rsidP="00A86899">
      <w:pPr>
        <w:spacing w:line="360" w:lineRule="auto"/>
        <w:jc w:val="both"/>
        <w:rPr>
          <w:rFonts w:ascii="Arial" w:hAnsi="Arial" w:cs="Arial"/>
          <w:sz w:val="24"/>
        </w:rPr>
      </w:pPr>
    </w:p>
    <w:p w14:paraId="299DDFFE" w14:textId="77777777" w:rsidR="008E623E" w:rsidRDefault="008E623E" w:rsidP="00C5137F">
      <w:pPr>
        <w:spacing w:line="360" w:lineRule="auto"/>
        <w:jc w:val="both"/>
        <w:rPr>
          <w:rFonts w:ascii="Arial" w:hAnsi="Arial" w:cs="Arial"/>
          <w:sz w:val="24"/>
        </w:rPr>
      </w:pPr>
      <w:bookmarkStart w:id="13" w:name="_Toc349912734"/>
    </w:p>
    <w:p w14:paraId="572D7832" w14:textId="0668EDE9" w:rsidR="00AD032C" w:rsidRDefault="00AD032C">
      <w:pPr>
        <w:rPr>
          <w:rFonts w:ascii="Arial" w:hAnsi="Arial" w:cs="Arial"/>
          <w:sz w:val="24"/>
        </w:rPr>
      </w:pPr>
      <w:r>
        <w:rPr>
          <w:rFonts w:ascii="Arial" w:hAnsi="Arial" w:cs="Arial"/>
          <w:sz w:val="24"/>
        </w:rPr>
        <w:br w:type="page"/>
      </w:r>
    </w:p>
    <w:p w14:paraId="6F7D1BED" w14:textId="5C880E7C" w:rsidR="00607616" w:rsidRPr="00F317CC" w:rsidRDefault="00F317CC" w:rsidP="00C5137F">
      <w:pPr>
        <w:spacing w:line="360" w:lineRule="auto"/>
        <w:jc w:val="both"/>
        <w:rPr>
          <w:rFonts w:ascii="Arial" w:eastAsia="Times New Roman" w:hAnsi="Arial" w:cs="Arial"/>
          <w:b/>
          <w:bCs/>
          <w:kern w:val="32"/>
          <w:sz w:val="24"/>
        </w:rPr>
      </w:pPr>
      <w:r>
        <w:rPr>
          <w:rFonts w:ascii="Arial" w:eastAsia="Times New Roman" w:hAnsi="Arial" w:cs="Arial"/>
          <w:b/>
          <w:bCs/>
          <w:kern w:val="32"/>
          <w:sz w:val="24"/>
        </w:rPr>
        <w:t>Bibliography</w:t>
      </w:r>
    </w:p>
    <w:p w14:paraId="7CD5D5F6" w14:textId="05C1F2CB" w:rsidR="00F37181" w:rsidRPr="00223ED4" w:rsidRDefault="00893285"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Ay</w:t>
      </w:r>
      <w:r w:rsidR="00F37181" w:rsidRPr="00223ED4">
        <w:rPr>
          <w:rFonts w:ascii="Arial" w:eastAsia="Times New Roman" w:hAnsi="Arial" w:cs="Arial"/>
          <w:sz w:val="24"/>
        </w:rPr>
        <w:t xml:space="preserve">res I and Braithwaite J, </w:t>
      </w:r>
      <w:r w:rsidR="00F37181" w:rsidRPr="00223ED4">
        <w:rPr>
          <w:rFonts w:ascii="Arial" w:eastAsia="Times New Roman" w:hAnsi="Arial" w:cs="Arial"/>
          <w:i/>
          <w:sz w:val="24"/>
        </w:rPr>
        <w:t>Response Regulation: Transcending the Deregulation Debate</w:t>
      </w:r>
      <w:r w:rsidR="00952C2D" w:rsidRPr="00223ED4">
        <w:rPr>
          <w:rFonts w:ascii="Arial" w:eastAsia="Times New Roman" w:hAnsi="Arial" w:cs="Arial"/>
          <w:sz w:val="24"/>
        </w:rPr>
        <w:t xml:space="preserve"> (Oxford University Press 1992)</w:t>
      </w:r>
    </w:p>
    <w:p w14:paraId="7C8C156F" w14:textId="77777777" w:rsidR="00893285" w:rsidRPr="00223ED4" w:rsidRDefault="00893285" w:rsidP="00F37181">
      <w:pPr>
        <w:tabs>
          <w:tab w:val="left" w:pos="6180"/>
        </w:tabs>
        <w:spacing w:after="0" w:line="360" w:lineRule="auto"/>
        <w:jc w:val="both"/>
        <w:rPr>
          <w:rFonts w:ascii="Arial" w:eastAsia="Times New Roman" w:hAnsi="Arial" w:cs="Arial"/>
          <w:sz w:val="24"/>
        </w:rPr>
      </w:pPr>
    </w:p>
    <w:p w14:paraId="327E3A4D"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Baier A C, ‘Trust and antitrust,’ (1986) 96(2) 231</w:t>
      </w:r>
    </w:p>
    <w:p w14:paraId="3EC49DF0" w14:textId="77777777" w:rsidR="004B5F94" w:rsidRPr="00223ED4" w:rsidRDefault="004B5F94" w:rsidP="004B5F94">
      <w:pPr>
        <w:tabs>
          <w:tab w:val="left" w:pos="6180"/>
        </w:tabs>
        <w:spacing w:after="0" w:line="360" w:lineRule="auto"/>
        <w:jc w:val="both"/>
        <w:rPr>
          <w:rFonts w:ascii="Arial" w:eastAsia="Times New Roman" w:hAnsi="Arial" w:cs="Arial"/>
          <w:sz w:val="24"/>
        </w:rPr>
      </w:pPr>
    </w:p>
    <w:p w14:paraId="560CA938" w14:textId="77777777" w:rsidR="004B5F94" w:rsidRPr="00223ED4" w:rsidRDefault="004B5F94" w:rsidP="004B5F94">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Baldwin R and Black J, ‘Really Responsive Regulation,’ (2008) 71(1) Modern Law Review 59</w:t>
      </w:r>
    </w:p>
    <w:p w14:paraId="7E6B7CAC"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7C9ACE43" w14:textId="3EB8D0A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Baldwin Robert, Cave Martin, and Lodge Martin, Understanding</w:t>
      </w:r>
      <w:r w:rsidRPr="00223ED4">
        <w:rPr>
          <w:rFonts w:ascii="Arial" w:eastAsia="Times New Roman" w:hAnsi="Arial" w:cs="Arial"/>
          <w:i/>
          <w:sz w:val="24"/>
        </w:rPr>
        <w:t xml:space="preserve"> regulation: theory, strategy, and practice</w:t>
      </w:r>
      <w:r w:rsidRPr="00223ED4">
        <w:rPr>
          <w:rFonts w:ascii="Arial" w:eastAsia="Times New Roman" w:hAnsi="Arial" w:cs="Arial"/>
          <w:sz w:val="24"/>
        </w:rPr>
        <w:t xml:space="preserve"> (Oxford University Press 2012)</w:t>
      </w:r>
    </w:p>
    <w:p w14:paraId="7AB33C0A" w14:textId="77777777" w:rsidR="00586B55" w:rsidRPr="00223ED4" w:rsidRDefault="00586B55" w:rsidP="00586B55">
      <w:pPr>
        <w:tabs>
          <w:tab w:val="left" w:pos="6180"/>
        </w:tabs>
        <w:spacing w:after="0" w:line="360" w:lineRule="auto"/>
        <w:jc w:val="both"/>
        <w:rPr>
          <w:rFonts w:ascii="Arial" w:eastAsia="Times New Roman" w:hAnsi="Arial" w:cs="Arial"/>
          <w:sz w:val="24"/>
        </w:rPr>
      </w:pPr>
    </w:p>
    <w:p w14:paraId="106FC64B" w14:textId="20A6B30F" w:rsidR="00586B55" w:rsidRDefault="00586B55" w:rsidP="00586B55">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Bennett Colin J, ‘The privacy commissioner of Canada: Multiple roles, diverse expectations and structural dilemmas,’ (2003) 46(2) </w:t>
      </w:r>
      <w:r w:rsidRPr="00223ED4">
        <w:rPr>
          <w:rFonts w:ascii="Arial" w:eastAsia="Times New Roman" w:hAnsi="Arial" w:cs="Arial"/>
          <w:iCs/>
          <w:sz w:val="24"/>
        </w:rPr>
        <w:t>Canadian Public Administration</w:t>
      </w:r>
      <w:r w:rsidRPr="00223ED4">
        <w:rPr>
          <w:rFonts w:ascii="Arial" w:eastAsia="Times New Roman" w:hAnsi="Arial" w:cs="Arial"/>
          <w:sz w:val="24"/>
        </w:rPr>
        <w:t xml:space="preserve"> 218</w:t>
      </w:r>
    </w:p>
    <w:p w14:paraId="3A046AFC" w14:textId="77777777" w:rsidR="00F317CC" w:rsidRPr="00223ED4" w:rsidRDefault="00F317CC" w:rsidP="00586B55">
      <w:pPr>
        <w:tabs>
          <w:tab w:val="left" w:pos="6180"/>
        </w:tabs>
        <w:spacing w:after="0" w:line="360" w:lineRule="auto"/>
        <w:jc w:val="both"/>
        <w:rPr>
          <w:rFonts w:ascii="Arial" w:eastAsia="Times New Roman" w:hAnsi="Arial" w:cs="Arial"/>
          <w:sz w:val="24"/>
        </w:rPr>
      </w:pPr>
    </w:p>
    <w:p w14:paraId="2CF686AD" w14:textId="12FAC92C" w:rsidR="00F317CC" w:rsidRPr="00F317CC" w:rsidRDefault="00F317CC" w:rsidP="00F317CC">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Bennett Colin J,</w:t>
      </w:r>
      <w:r>
        <w:rPr>
          <w:rFonts w:ascii="Arial" w:eastAsia="Times New Roman" w:hAnsi="Arial" w:cs="Arial"/>
          <w:sz w:val="24"/>
        </w:rPr>
        <w:t xml:space="preserve"> </w:t>
      </w:r>
      <w:r w:rsidRPr="00F317CC">
        <w:rPr>
          <w:rFonts w:ascii="Arial" w:eastAsia="Times New Roman" w:hAnsi="Arial" w:cs="Arial"/>
          <w:i/>
          <w:sz w:val="24"/>
        </w:rPr>
        <w:t>Regulating Privacy: Data Protection and Public Policy in Europe and the United States</w:t>
      </w:r>
      <w:r w:rsidRPr="00F317CC">
        <w:rPr>
          <w:rFonts w:ascii="Arial" w:eastAsia="Times New Roman" w:hAnsi="Arial" w:cs="Arial"/>
          <w:sz w:val="24"/>
        </w:rPr>
        <w:t xml:space="preserve"> (Cornell University Press 1</w:t>
      </w:r>
      <w:r>
        <w:rPr>
          <w:rFonts w:ascii="Arial" w:eastAsia="Times New Roman" w:hAnsi="Arial" w:cs="Arial"/>
          <w:sz w:val="24"/>
        </w:rPr>
        <w:t>992)</w:t>
      </w:r>
    </w:p>
    <w:p w14:paraId="22C526AB"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28948E6D" w14:textId="6DCEDBF8" w:rsidR="00586B55" w:rsidRDefault="00586B55" w:rsidP="00586B55">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Bennett Colin J and Raab Charles D, </w:t>
      </w:r>
      <w:r w:rsidRPr="00223ED4">
        <w:rPr>
          <w:rFonts w:ascii="Arial" w:eastAsia="Times New Roman" w:hAnsi="Arial" w:cs="Arial"/>
          <w:i/>
          <w:iCs/>
          <w:sz w:val="24"/>
        </w:rPr>
        <w:t>The Governance of Privacy</w:t>
      </w:r>
      <w:r w:rsidRPr="00223ED4">
        <w:rPr>
          <w:rFonts w:ascii="Arial" w:eastAsia="Times New Roman" w:hAnsi="Arial" w:cs="Arial"/>
          <w:sz w:val="24"/>
        </w:rPr>
        <w:t xml:space="preserve">: </w:t>
      </w:r>
      <w:r w:rsidRPr="00223ED4">
        <w:rPr>
          <w:rFonts w:ascii="Arial" w:eastAsia="Times New Roman" w:hAnsi="Arial" w:cs="Arial"/>
          <w:i/>
          <w:sz w:val="24"/>
        </w:rPr>
        <w:t>Policy Instruments in Global Perspectives</w:t>
      </w:r>
      <w:r w:rsidRPr="00223ED4">
        <w:rPr>
          <w:rFonts w:ascii="Arial" w:eastAsia="Times New Roman" w:hAnsi="Arial" w:cs="Arial"/>
          <w:sz w:val="24"/>
        </w:rPr>
        <w:t xml:space="preserve"> (MIT Press 2006)</w:t>
      </w:r>
    </w:p>
    <w:p w14:paraId="2301FFC9" w14:textId="77777777" w:rsidR="00F317CC" w:rsidRPr="00223ED4" w:rsidRDefault="00F317CC" w:rsidP="00586B55">
      <w:pPr>
        <w:tabs>
          <w:tab w:val="left" w:pos="6180"/>
        </w:tabs>
        <w:spacing w:after="0" w:line="360" w:lineRule="auto"/>
        <w:jc w:val="both"/>
        <w:rPr>
          <w:rFonts w:ascii="Arial" w:eastAsia="Times New Roman" w:hAnsi="Arial" w:cs="Arial"/>
          <w:sz w:val="24"/>
        </w:rPr>
      </w:pPr>
    </w:p>
    <w:p w14:paraId="6AA09DE9" w14:textId="2CCF2D1A" w:rsidR="00F317CC" w:rsidRPr="00F317CC" w:rsidRDefault="00F317CC" w:rsidP="00F317CC">
      <w:pPr>
        <w:tabs>
          <w:tab w:val="left" w:pos="6180"/>
        </w:tabs>
        <w:spacing w:after="0" w:line="360" w:lineRule="auto"/>
        <w:jc w:val="both"/>
        <w:rPr>
          <w:rFonts w:ascii="Arial" w:eastAsia="Times New Roman" w:hAnsi="Arial" w:cs="Arial"/>
          <w:sz w:val="24"/>
        </w:rPr>
      </w:pPr>
      <w:r w:rsidRPr="00F317CC">
        <w:rPr>
          <w:rFonts w:ascii="Arial" w:eastAsia="Times New Roman" w:hAnsi="Arial" w:cs="Arial"/>
          <w:sz w:val="24"/>
        </w:rPr>
        <w:t xml:space="preserve">Bignami F, ‘Co-operative Legalism and the Non-Americanisation of European Regulatory Styles: The Case of Data Privacy,’ (2011) 59(2) </w:t>
      </w:r>
      <w:r w:rsidRPr="00F317CC">
        <w:rPr>
          <w:rFonts w:ascii="Arial" w:eastAsia="Times New Roman" w:hAnsi="Arial" w:cs="Arial"/>
          <w:iCs/>
          <w:sz w:val="24"/>
        </w:rPr>
        <w:t>American Journal of Comparative Law</w:t>
      </w:r>
      <w:r>
        <w:rPr>
          <w:rFonts w:ascii="Arial" w:eastAsia="Times New Roman" w:hAnsi="Arial" w:cs="Arial"/>
          <w:iCs/>
          <w:sz w:val="24"/>
        </w:rPr>
        <w:t xml:space="preserve"> 411</w:t>
      </w:r>
    </w:p>
    <w:p w14:paraId="123BB6F0" w14:textId="77777777" w:rsidR="00586B55" w:rsidRPr="00223ED4" w:rsidRDefault="00586B55" w:rsidP="00F37181">
      <w:pPr>
        <w:tabs>
          <w:tab w:val="left" w:pos="6180"/>
        </w:tabs>
        <w:spacing w:after="0" w:line="360" w:lineRule="auto"/>
        <w:jc w:val="both"/>
        <w:rPr>
          <w:rFonts w:ascii="Arial" w:eastAsia="Times New Roman" w:hAnsi="Arial" w:cs="Arial"/>
          <w:sz w:val="24"/>
        </w:rPr>
      </w:pPr>
    </w:p>
    <w:p w14:paraId="3BC74FE0" w14:textId="7A3F3FAA" w:rsidR="00F37181"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Black Julia, ‘Enrolling actors in regulatory systems: Examples from UK financial services re</w:t>
      </w:r>
      <w:r w:rsidR="001371A1">
        <w:rPr>
          <w:rFonts w:ascii="Arial" w:eastAsia="Times New Roman" w:hAnsi="Arial" w:cs="Arial"/>
          <w:sz w:val="24"/>
        </w:rPr>
        <w:t>gulation,’ (2003) Public Law 63</w:t>
      </w:r>
    </w:p>
    <w:p w14:paraId="677A498D" w14:textId="77777777" w:rsidR="001371A1" w:rsidRPr="00223ED4" w:rsidRDefault="001371A1" w:rsidP="00F37181">
      <w:pPr>
        <w:tabs>
          <w:tab w:val="left" w:pos="6180"/>
        </w:tabs>
        <w:spacing w:after="0" w:line="360" w:lineRule="auto"/>
        <w:jc w:val="both"/>
        <w:rPr>
          <w:rFonts w:ascii="Arial" w:eastAsia="Times New Roman" w:hAnsi="Arial" w:cs="Arial"/>
          <w:sz w:val="24"/>
        </w:rPr>
      </w:pPr>
    </w:p>
    <w:p w14:paraId="68500EA0" w14:textId="77777777" w:rsidR="00F37181" w:rsidRPr="00223ED4" w:rsidRDefault="00F37181" w:rsidP="00F37181">
      <w:pPr>
        <w:spacing w:after="0" w:line="360" w:lineRule="auto"/>
        <w:rPr>
          <w:rFonts w:ascii="Arial" w:eastAsia="Times New Roman" w:hAnsi="Arial" w:cs="Arial"/>
          <w:sz w:val="24"/>
        </w:rPr>
      </w:pPr>
      <w:r w:rsidRPr="00223ED4">
        <w:rPr>
          <w:rFonts w:ascii="Arial" w:eastAsia="Times New Roman" w:hAnsi="Arial" w:cs="Arial"/>
          <w:color w:val="222222"/>
          <w:sz w:val="24"/>
          <w:shd w:val="clear" w:color="auto" w:fill="FFFFFF"/>
        </w:rPr>
        <w:t>Braithwaite Valerie et al, ‘Regulatory Styles, Motivational Postures and Nursing Home Compliance,’ (1994) 16(4</w:t>
      </w:r>
      <w:r w:rsidRPr="00223ED4">
        <w:rPr>
          <w:rFonts w:ascii="Arial" w:eastAsia="Times New Roman" w:hAnsi="Arial" w:cs="Arial"/>
          <w:i/>
          <w:color w:val="222222"/>
          <w:sz w:val="24"/>
          <w:shd w:val="clear" w:color="auto" w:fill="FFFFFF"/>
        </w:rPr>
        <w:t>) </w:t>
      </w:r>
      <w:r w:rsidRPr="00223ED4">
        <w:rPr>
          <w:rFonts w:ascii="Arial" w:eastAsia="Times New Roman" w:hAnsi="Arial" w:cs="Arial"/>
          <w:i/>
          <w:iCs/>
          <w:color w:val="222222"/>
          <w:sz w:val="24"/>
          <w:shd w:val="clear" w:color="auto" w:fill="FFFFFF"/>
        </w:rPr>
        <w:t>Law &amp; Policy</w:t>
      </w:r>
      <w:r w:rsidRPr="00223ED4">
        <w:rPr>
          <w:rFonts w:ascii="Arial" w:eastAsia="Times New Roman" w:hAnsi="Arial" w:cs="Arial"/>
          <w:color w:val="222222"/>
          <w:sz w:val="24"/>
          <w:shd w:val="clear" w:color="auto" w:fill="FFFFFF"/>
        </w:rPr>
        <w:t> 363</w:t>
      </w:r>
    </w:p>
    <w:p w14:paraId="44ACA080" w14:textId="77777777" w:rsidR="00F37181" w:rsidRPr="00223ED4" w:rsidRDefault="00F37181" w:rsidP="00F37181">
      <w:pPr>
        <w:spacing w:after="0" w:line="360" w:lineRule="auto"/>
        <w:jc w:val="both"/>
        <w:rPr>
          <w:rFonts w:ascii="Arial" w:eastAsia="Times New Roman" w:hAnsi="Arial" w:cs="Arial"/>
          <w:sz w:val="24"/>
        </w:rPr>
      </w:pPr>
    </w:p>
    <w:p w14:paraId="2D961DDA" w14:textId="77777777" w:rsidR="00F37181" w:rsidRPr="00223ED4" w:rsidRDefault="00F37181" w:rsidP="00F37181">
      <w:pPr>
        <w:rPr>
          <w:rFonts w:ascii="Arial" w:hAnsi="Arial" w:cs="Arial"/>
          <w:color w:val="222222"/>
          <w:sz w:val="24"/>
          <w:shd w:val="clear" w:color="auto" w:fill="FFFFFF"/>
        </w:rPr>
      </w:pPr>
      <w:r w:rsidRPr="00223ED4">
        <w:rPr>
          <w:rFonts w:ascii="Arial" w:hAnsi="Arial" w:cs="Arial"/>
          <w:color w:val="222222"/>
          <w:sz w:val="24"/>
          <w:shd w:val="clear" w:color="auto" w:fill="FFFFFF"/>
        </w:rPr>
        <w:t>Bryman Alan, </w:t>
      </w:r>
      <w:r w:rsidRPr="00223ED4">
        <w:rPr>
          <w:rFonts w:ascii="Arial" w:hAnsi="Arial" w:cs="Arial"/>
          <w:i/>
          <w:iCs/>
          <w:color w:val="222222"/>
          <w:sz w:val="24"/>
          <w:shd w:val="clear" w:color="auto" w:fill="FFFFFF"/>
        </w:rPr>
        <w:t>Social Research Methods</w:t>
      </w:r>
      <w:r w:rsidRPr="00223ED4">
        <w:rPr>
          <w:rFonts w:ascii="Arial" w:hAnsi="Arial" w:cs="Arial"/>
          <w:color w:val="222222"/>
          <w:sz w:val="24"/>
          <w:shd w:val="clear" w:color="auto" w:fill="FFFFFF"/>
        </w:rPr>
        <w:t xml:space="preserve"> (OUP 2012) </w:t>
      </w:r>
    </w:p>
    <w:p w14:paraId="7303F561"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79E98B7D"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Bygrave Lee A, </w:t>
      </w:r>
      <w:r w:rsidRPr="00223ED4">
        <w:rPr>
          <w:rFonts w:ascii="Arial" w:eastAsia="Times New Roman" w:hAnsi="Arial" w:cs="Arial"/>
          <w:i/>
          <w:sz w:val="24"/>
        </w:rPr>
        <w:t>Data Protection Law: Approaching its Rationale, Logic and Limits</w:t>
      </w:r>
      <w:r w:rsidRPr="00223ED4">
        <w:rPr>
          <w:rFonts w:ascii="Arial" w:eastAsia="Times New Roman" w:hAnsi="Arial" w:cs="Arial"/>
          <w:sz w:val="24"/>
        </w:rPr>
        <w:t xml:space="preserve"> (Kluwer Law International 2002)</w:t>
      </w:r>
    </w:p>
    <w:p w14:paraId="251F2C4D" w14:textId="77777777" w:rsidR="00893285" w:rsidRPr="00223ED4" w:rsidRDefault="00893285" w:rsidP="00F37181">
      <w:pPr>
        <w:tabs>
          <w:tab w:val="left" w:pos="6180"/>
        </w:tabs>
        <w:spacing w:after="0" w:line="360" w:lineRule="auto"/>
        <w:jc w:val="both"/>
        <w:rPr>
          <w:rFonts w:ascii="Arial" w:eastAsia="Times New Roman" w:hAnsi="Arial" w:cs="Arial"/>
          <w:sz w:val="24"/>
        </w:rPr>
      </w:pPr>
    </w:p>
    <w:p w14:paraId="0F9920FE" w14:textId="77777777" w:rsidR="00F37181" w:rsidRPr="00223ED4" w:rsidRDefault="00F37181" w:rsidP="00F37181">
      <w:pPr>
        <w:spacing w:after="0" w:line="360" w:lineRule="auto"/>
        <w:jc w:val="both"/>
        <w:rPr>
          <w:rFonts w:ascii="Arial" w:eastAsia="Times New Roman" w:hAnsi="Arial" w:cs="Arial"/>
          <w:sz w:val="24"/>
        </w:rPr>
      </w:pPr>
      <w:r w:rsidRPr="00223ED4">
        <w:rPr>
          <w:rFonts w:ascii="Arial" w:eastAsia="Times New Roman" w:hAnsi="Arial" w:cs="Arial"/>
          <w:sz w:val="24"/>
        </w:rPr>
        <w:t xml:space="preserve">Carey P, </w:t>
      </w:r>
      <w:r w:rsidRPr="00223ED4">
        <w:rPr>
          <w:rFonts w:ascii="Arial" w:eastAsia="Times New Roman" w:hAnsi="Arial" w:cs="Arial"/>
          <w:i/>
          <w:iCs/>
          <w:sz w:val="24"/>
        </w:rPr>
        <w:t>Data Protection: A Practical Guide to UK and EU Law</w:t>
      </w:r>
      <w:r w:rsidRPr="00223ED4">
        <w:rPr>
          <w:rFonts w:ascii="Arial" w:eastAsia="Times New Roman" w:hAnsi="Arial" w:cs="Arial"/>
          <w:sz w:val="24"/>
        </w:rPr>
        <w:t xml:space="preserve"> (OUP 2011)</w:t>
      </w:r>
    </w:p>
    <w:p w14:paraId="58B535DE"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3AE05DE1"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Crouch Mira, and McKenzie Heather, ‘The logic of small samples in interview-based qualitative research,’ (2006) 45(4) Social science information 483</w:t>
      </w:r>
    </w:p>
    <w:p w14:paraId="2A554996" w14:textId="77777777" w:rsidR="00F317CC" w:rsidRDefault="00F317CC" w:rsidP="00F317CC">
      <w:pPr>
        <w:tabs>
          <w:tab w:val="left" w:pos="6180"/>
        </w:tabs>
        <w:spacing w:after="0" w:line="360" w:lineRule="auto"/>
        <w:jc w:val="both"/>
        <w:rPr>
          <w:rFonts w:ascii="Arial" w:eastAsia="Times New Roman" w:hAnsi="Arial" w:cs="Arial"/>
          <w:sz w:val="24"/>
        </w:rPr>
      </w:pPr>
    </w:p>
    <w:p w14:paraId="5F9E7A72" w14:textId="76620B38" w:rsidR="00F317CC" w:rsidRPr="00F317CC" w:rsidRDefault="00F317CC" w:rsidP="00F317CC">
      <w:pPr>
        <w:tabs>
          <w:tab w:val="left" w:pos="6180"/>
        </w:tabs>
        <w:spacing w:after="0" w:line="360" w:lineRule="auto"/>
        <w:jc w:val="both"/>
        <w:rPr>
          <w:rFonts w:ascii="Arial" w:eastAsia="Times New Roman" w:hAnsi="Arial" w:cs="Arial"/>
          <w:sz w:val="24"/>
        </w:rPr>
      </w:pPr>
      <w:r w:rsidRPr="00F317CC">
        <w:rPr>
          <w:rFonts w:ascii="Arial" w:eastAsia="Times New Roman" w:hAnsi="Arial" w:cs="Arial"/>
          <w:sz w:val="24"/>
        </w:rPr>
        <w:t xml:space="preserve">Flaherty David H, </w:t>
      </w:r>
      <w:r w:rsidRPr="00F317CC">
        <w:rPr>
          <w:rFonts w:ascii="Arial" w:eastAsia="Times New Roman" w:hAnsi="Arial" w:cs="Arial"/>
          <w:i/>
          <w:iCs/>
          <w:sz w:val="24"/>
        </w:rPr>
        <w:t>Protecting privacy in surveillance societies: The federal republic of Germany, Sweden, France, Canada, and the United States</w:t>
      </w:r>
      <w:r>
        <w:rPr>
          <w:rFonts w:ascii="Arial" w:eastAsia="Times New Roman" w:hAnsi="Arial" w:cs="Arial"/>
          <w:sz w:val="24"/>
        </w:rPr>
        <w:t xml:space="preserve"> (UNC Press Books, 1989)</w:t>
      </w:r>
    </w:p>
    <w:p w14:paraId="4C7E42D3"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22D67A70"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Galligan Denis, </w:t>
      </w:r>
      <w:r w:rsidRPr="00223ED4">
        <w:rPr>
          <w:rFonts w:ascii="Arial" w:eastAsia="Times New Roman" w:hAnsi="Arial" w:cs="Arial"/>
          <w:i/>
          <w:sz w:val="24"/>
        </w:rPr>
        <w:t>Law in Modern Society</w:t>
      </w:r>
      <w:r w:rsidRPr="00223ED4">
        <w:rPr>
          <w:rFonts w:ascii="Arial" w:eastAsia="Times New Roman" w:hAnsi="Arial" w:cs="Arial"/>
          <w:sz w:val="24"/>
        </w:rPr>
        <w:t xml:space="preserve"> (Oxford University Press 2007) </w:t>
      </w:r>
    </w:p>
    <w:p w14:paraId="1923CFBD" w14:textId="77777777" w:rsidR="00F37181" w:rsidRPr="00223ED4" w:rsidRDefault="00F37181" w:rsidP="00F37181">
      <w:pPr>
        <w:rPr>
          <w:rFonts w:ascii="Arial" w:hAnsi="Arial" w:cs="Arial"/>
          <w:color w:val="222222"/>
          <w:sz w:val="24"/>
          <w:shd w:val="clear" w:color="auto" w:fill="FFFFFF"/>
        </w:rPr>
      </w:pPr>
    </w:p>
    <w:p w14:paraId="0DE55038" w14:textId="77777777" w:rsidR="00F37181" w:rsidRPr="00223ED4" w:rsidRDefault="00F37181" w:rsidP="00F37181">
      <w:pPr>
        <w:spacing w:line="360" w:lineRule="auto"/>
        <w:rPr>
          <w:rFonts w:ascii="Arial" w:hAnsi="Arial" w:cs="Arial"/>
          <w:color w:val="222222"/>
          <w:sz w:val="24"/>
          <w:shd w:val="clear" w:color="auto" w:fill="FFFFFF"/>
        </w:rPr>
      </w:pPr>
      <w:r w:rsidRPr="00223ED4">
        <w:rPr>
          <w:rFonts w:ascii="Arial" w:hAnsi="Arial" w:cs="Arial"/>
          <w:color w:val="222222"/>
          <w:sz w:val="24"/>
          <w:shd w:val="clear" w:color="auto" w:fill="FFFFFF"/>
        </w:rPr>
        <w:t xml:space="preserve">Gerson Kathleen and Horowitz Ruth, ‘Observation and interviewing: Options and choices in qualitative research,’ (2002) </w:t>
      </w:r>
      <w:r w:rsidRPr="00223ED4">
        <w:rPr>
          <w:rFonts w:ascii="Arial" w:hAnsi="Arial" w:cs="Arial"/>
          <w:iCs/>
          <w:color w:val="222222"/>
          <w:sz w:val="24"/>
          <w:shd w:val="clear" w:color="auto" w:fill="FFFFFF"/>
        </w:rPr>
        <w:t>Qualitative research in action</w:t>
      </w:r>
      <w:r w:rsidRPr="00223ED4">
        <w:rPr>
          <w:rFonts w:ascii="Arial" w:hAnsi="Arial" w:cs="Arial"/>
          <w:color w:val="222222"/>
          <w:sz w:val="24"/>
          <w:shd w:val="clear" w:color="auto" w:fill="FFFFFF"/>
        </w:rPr>
        <w:t> 199</w:t>
      </w:r>
    </w:p>
    <w:p w14:paraId="31431D8E"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76D1A6AD"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Govier T, ‘Distrust as a practical problem,’ (1992) 23 Journal of Social Philosophy 52</w:t>
      </w:r>
    </w:p>
    <w:p w14:paraId="63F42FBC"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29D826ED"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Grasmick Harold G and Bursik RJ Jr. ‘Conscience, significant others, and rational choice: Extending the deterrence model,’ (1990) Law and society review (1990) 837</w:t>
      </w:r>
    </w:p>
    <w:p w14:paraId="645A0D97"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6DC83C3C"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Guba GE and Lincoln YS, ‘Competing paradigms in qualitative research,’ (1994) 2 Handbook of Qualitative Research 163</w:t>
      </w:r>
    </w:p>
    <w:p w14:paraId="35BBB698"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4073093C" w14:textId="6C4E4B5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Gunningham N, ‘Enforcement and compliance strategies,’ in Baldwin Robert, Cave Martin, and Lodge Martin (eds) </w:t>
      </w:r>
      <w:r w:rsidRPr="00223ED4">
        <w:rPr>
          <w:rFonts w:ascii="Arial" w:eastAsia="Times New Roman" w:hAnsi="Arial" w:cs="Arial"/>
          <w:i/>
          <w:sz w:val="24"/>
        </w:rPr>
        <w:t>The Oxford Handbook of Regulation</w:t>
      </w:r>
      <w:r w:rsidRPr="00223ED4">
        <w:rPr>
          <w:rFonts w:ascii="Arial" w:eastAsia="Times New Roman" w:hAnsi="Arial" w:cs="Arial"/>
          <w:sz w:val="24"/>
        </w:rPr>
        <w:t xml:space="preserve"> (OUP 2010) 120</w:t>
      </w:r>
    </w:p>
    <w:p w14:paraId="5C3F5F0F" w14:textId="77777777" w:rsidR="004B5F94" w:rsidRPr="00223ED4" w:rsidRDefault="004B5F94" w:rsidP="004B5F94">
      <w:pPr>
        <w:tabs>
          <w:tab w:val="left" w:pos="6180"/>
        </w:tabs>
        <w:spacing w:after="0" w:line="360" w:lineRule="auto"/>
        <w:jc w:val="both"/>
        <w:rPr>
          <w:rFonts w:ascii="Arial" w:eastAsia="Times New Roman" w:hAnsi="Arial" w:cs="Arial"/>
          <w:sz w:val="24"/>
        </w:rPr>
      </w:pPr>
    </w:p>
    <w:p w14:paraId="001D9445" w14:textId="10A2262C" w:rsidR="001371A1" w:rsidRDefault="001371A1" w:rsidP="001371A1">
      <w:pPr>
        <w:tabs>
          <w:tab w:val="left" w:pos="6180"/>
        </w:tabs>
        <w:spacing w:after="0" w:line="360" w:lineRule="auto"/>
        <w:jc w:val="both"/>
        <w:rPr>
          <w:rFonts w:ascii="Arial" w:eastAsia="Times New Roman" w:hAnsi="Arial" w:cs="Arial"/>
          <w:sz w:val="24"/>
        </w:rPr>
      </w:pPr>
      <w:r w:rsidRPr="001371A1">
        <w:rPr>
          <w:rFonts w:ascii="Arial" w:eastAsia="Times New Roman" w:hAnsi="Arial" w:cs="Arial"/>
          <w:sz w:val="24"/>
        </w:rPr>
        <w:t xml:space="preserve">Gunningham N and Grabosky P, </w:t>
      </w:r>
      <w:r w:rsidRPr="001371A1">
        <w:rPr>
          <w:rFonts w:ascii="Arial" w:eastAsia="Times New Roman" w:hAnsi="Arial" w:cs="Arial"/>
          <w:i/>
          <w:sz w:val="24"/>
        </w:rPr>
        <w:t>Smart Regulation: Designing Environmental Policy</w:t>
      </w:r>
      <w:r w:rsidRPr="001371A1">
        <w:rPr>
          <w:rFonts w:ascii="Arial" w:eastAsia="Times New Roman" w:hAnsi="Arial" w:cs="Arial"/>
          <w:sz w:val="24"/>
        </w:rPr>
        <w:t xml:space="preserve"> (Oxford Universi</w:t>
      </w:r>
      <w:r>
        <w:rPr>
          <w:rFonts w:ascii="Arial" w:eastAsia="Times New Roman" w:hAnsi="Arial" w:cs="Arial"/>
          <w:sz w:val="24"/>
        </w:rPr>
        <w:t>ty Press 1998)</w:t>
      </w:r>
    </w:p>
    <w:p w14:paraId="54606226" w14:textId="77777777" w:rsidR="001371A1" w:rsidRPr="001371A1" w:rsidRDefault="001371A1" w:rsidP="001371A1">
      <w:pPr>
        <w:tabs>
          <w:tab w:val="left" w:pos="6180"/>
        </w:tabs>
        <w:spacing w:after="0" w:line="360" w:lineRule="auto"/>
        <w:jc w:val="both"/>
        <w:rPr>
          <w:rFonts w:ascii="Arial" w:eastAsia="Times New Roman" w:hAnsi="Arial" w:cs="Arial"/>
          <w:sz w:val="24"/>
        </w:rPr>
      </w:pPr>
    </w:p>
    <w:p w14:paraId="73746A2D" w14:textId="3EDA6AC8" w:rsidR="004B5F94" w:rsidRPr="00223ED4" w:rsidRDefault="004B5F94" w:rsidP="004B5F94">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Hawkins K, </w:t>
      </w:r>
      <w:r w:rsidRPr="00223ED4">
        <w:rPr>
          <w:rFonts w:ascii="Arial" w:eastAsia="Times New Roman" w:hAnsi="Arial" w:cs="Arial"/>
          <w:i/>
          <w:sz w:val="24"/>
        </w:rPr>
        <w:t>Environment and Enforcement</w:t>
      </w:r>
      <w:r w:rsidRPr="00223ED4">
        <w:rPr>
          <w:rFonts w:ascii="Arial" w:eastAsia="Times New Roman" w:hAnsi="Arial" w:cs="Arial"/>
          <w:sz w:val="24"/>
        </w:rPr>
        <w:t xml:space="preserve"> (New York Oxford University Press, 1984)</w:t>
      </w:r>
    </w:p>
    <w:p w14:paraId="71E3FAA5"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52137B0F"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Hon W Kuan, Millard Christopher, and Walden Ian, ‘What is Regulated as Personal Data in Millard Christopher (ed) </w:t>
      </w:r>
      <w:r w:rsidRPr="00223ED4">
        <w:rPr>
          <w:rFonts w:ascii="Arial" w:eastAsia="Times New Roman" w:hAnsi="Arial" w:cs="Arial"/>
          <w:i/>
          <w:sz w:val="24"/>
        </w:rPr>
        <w:t>Cloud Computing Law</w:t>
      </w:r>
      <w:r w:rsidRPr="00223ED4">
        <w:rPr>
          <w:rFonts w:ascii="Arial" w:eastAsia="Times New Roman" w:hAnsi="Arial" w:cs="Arial"/>
          <w:sz w:val="24"/>
        </w:rPr>
        <w:t xml:space="preserve"> (Oxford University Press 2013)</w:t>
      </w:r>
    </w:p>
    <w:p w14:paraId="12AD4464" w14:textId="77777777" w:rsidR="00586B55" w:rsidRPr="00223ED4" w:rsidRDefault="00586B55" w:rsidP="00F37181">
      <w:pPr>
        <w:tabs>
          <w:tab w:val="left" w:pos="6180"/>
        </w:tabs>
        <w:spacing w:after="0" w:line="360" w:lineRule="auto"/>
        <w:jc w:val="both"/>
        <w:rPr>
          <w:rFonts w:ascii="Arial" w:eastAsia="Times New Roman" w:hAnsi="Arial" w:cs="Arial"/>
          <w:sz w:val="24"/>
        </w:rPr>
      </w:pPr>
    </w:p>
    <w:p w14:paraId="5064D6AC"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Hon W Kuan, Millard Christopher, ‘Cloud Technologies and Services,’ in Millard Christopher (ed) </w:t>
      </w:r>
      <w:r w:rsidRPr="00223ED4">
        <w:rPr>
          <w:rFonts w:ascii="Arial" w:eastAsia="Times New Roman" w:hAnsi="Arial" w:cs="Arial"/>
          <w:i/>
          <w:sz w:val="24"/>
        </w:rPr>
        <w:t>Cloud Computing Law</w:t>
      </w:r>
      <w:r w:rsidRPr="00223ED4">
        <w:rPr>
          <w:rFonts w:ascii="Arial" w:eastAsia="Times New Roman" w:hAnsi="Arial" w:cs="Arial"/>
          <w:sz w:val="24"/>
        </w:rPr>
        <w:t xml:space="preserve"> (Oxford University Press 2013)</w:t>
      </w:r>
    </w:p>
    <w:p w14:paraId="16858624" w14:textId="77777777" w:rsidR="004B5F94" w:rsidRPr="00223ED4" w:rsidRDefault="004B5F94" w:rsidP="00F37181">
      <w:pPr>
        <w:tabs>
          <w:tab w:val="left" w:pos="6180"/>
        </w:tabs>
        <w:spacing w:after="0" w:line="360" w:lineRule="auto"/>
        <w:jc w:val="both"/>
        <w:rPr>
          <w:rFonts w:ascii="Arial" w:eastAsia="Times New Roman" w:hAnsi="Arial" w:cs="Arial"/>
          <w:sz w:val="24"/>
        </w:rPr>
      </w:pPr>
    </w:p>
    <w:p w14:paraId="1B77C2BC" w14:textId="032BA926" w:rsidR="004B5F94" w:rsidRPr="00223ED4" w:rsidRDefault="004B5F94"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Hunter Susan and Waterman Richard W, ‘Determining an Agency's Regulatory Style: How Does the EPA Water Office Enforce the Law?’ (1992) </w:t>
      </w:r>
      <w:r w:rsidRPr="00223ED4">
        <w:rPr>
          <w:rFonts w:ascii="Arial" w:eastAsia="Times New Roman" w:hAnsi="Arial" w:cs="Arial"/>
          <w:iCs/>
          <w:sz w:val="24"/>
        </w:rPr>
        <w:t>The Western Political Quarterly</w:t>
      </w:r>
      <w:r w:rsidRPr="00223ED4">
        <w:rPr>
          <w:rFonts w:ascii="Arial" w:eastAsia="Times New Roman" w:hAnsi="Arial" w:cs="Arial"/>
          <w:sz w:val="24"/>
        </w:rPr>
        <w:t> 403</w:t>
      </w:r>
    </w:p>
    <w:p w14:paraId="06BDE78E"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3E68D521"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Jolls Christine, Cass R Sunstein, and Thaler Richard, ‘A behavioral approach to law and economics,’ (1998) Stanford Law Review 1471</w:t>
      </w:r>
    </w:p>
    <w:p w14:paraId="56C522B6"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63D18425"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Kasperson R E, Golding D, &amp; Tuler S, ‘Social distrust as a factor in siting hazardous facilities and communicating risk,’ (1992) 48(4) Journal of Social Issues 161</w:t>
      </w:r>
    </w:p>
    <w:p w14:paraId="77C76C16"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7C3763C1" w14:textId="77777777" w:rsidR="00A46F1C" w:rsidRDefault="00F37181" w:rsidP="00A46F1C">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King N and Horrocks C, </w:t>
      </w:r>
      <w:r w:rsidRPr="00223ED4">
        <w:rPr>
          <w:rFonts w:ascii="Arial" w:eastAsia="Times New Roman" w:hAnsi="Arial" w:cs="Arial"/>
          <w:i/>
          <w:sz w:val="24"/>
        </w:rPr>
        <w:t>Interviews in qualitative research</w:t>
      </w:r>
      <w:r w:rsidRPr="00223ED4">
        <w:rPr>
          <w:rFonts w:ascii="Arial" w:eastAsia="Times New Roman" w:hAnsi="Arial" w:cs="Arial"/>
          <w:sz w:val="24"/>
        </w:rPr>
        <w:t xml:space="preserve"> (Sage 2010)</w:t>
      </w:r>
    </w:p>
    <w:p w14:paraId="7782B3B0" w14:textId="77777777" w:rsidR="00A46F1C" w:rsidRDefault="00A46F1C" w:rsidP="00A46F1C">
      <w:pPr>
        <w:tabs>
          <w:tab w:val="left" w:pos="6180"/>
        </w:tabs>
        <w:spacing w:after="0" w:line="360" w:lineRule="auto"/>
        <w:jc w:val="both"/>
        <w:rPr>
          <w:rFonts w:ascii="Arial" w:eastAsia="Times New Roman" w:hAnsi="Arial" w:cs="Arial"/>
          <w:sz w:val="24"/>
        </w:rPr>
      </w:pPr>
    </w:p>
    <w:p w14:paraId="7BB96B93" w14:textId="46007708" w:rsidR="00A46F1C" w:rsidRDefault="00A46F1C" w:rsidP="00A46F1C">
      <w:pPr>
        <w:tabs>
          <w:tab w:val="left" w:pos="6180"/>
        </w:tabs>
        <w:spacing w:after="0" w:line="360" w:lineRule="auto"/>
        <w:jc w:val="both"/>
        <w:rPr>
          <w:rFonts w:ascii="Arial" w:hAnsi="Arial" w:cs="Arial"/>
          <w:sz w:val="24"/>
          <w:szCs w:val="18"/>
        </w:rPr>
      </w:pPr>
      <w:r w:rsidRPr="00A46F1C">
        <w:rPr>
          <w:rFonts w:ascii="Arial" w:hAnsi="Arial" w:cs="Arial"/>
          <w:sz w:val="24"/>
          <w:szCs w:val="18"/>
        </w:rPr>
        <w:t>Kuner C, ‘The Court of Justice of the EU Judgment on Data Protection and Internet Search Engines,’ (September 15, 2014 LSE Legal Studies Working Paper No. 3/2015 &lt;http</w:t>
      </w:r>
      <w:r>
        <w:rPr>
          <w:rFonts w:ascii="Arial" w:hAnsi="Arial" w:cs="Arial"/>
          <w:sz w:val="24"/>
          <w:szCs w:val="18"/>
        </w:rPr>
        <w:t>://ssrn.com/abstract=2496060</w:t>
      </w:r>
      <w:r w:rsidRPr="00A46F1C">
        <w:rPr>
          <w:rFonts w:ascii="Arial" w:hAnsi="Arial" w:cs="Arial"/>
          <w:sz w:val="24"/>
          <w:szCs w:val="18"/>
        </w:rPr>
        <w:t>&gt; accessed March 29, 2015</w:t>
      </w:r>
    </w:p>
    <w:p w14:paraId="7B7ECD86" w14:textId="77777777" w:rsidR="00A46F1C" w:rsidRPr="00A46F1C" w:rsidRDefault="00A46F1C" w:rsidP="00A46F1C">
      <w:pPr>
        <w:tabs>
          <w:tab w:val="left" w:pos="6180"/>
        </w:tabs>
        <w:spacing w:after="0" w:line="360" w:lineRule="auto"/>
        <w:jc w:val="both"/>
        <w:rPr>
          <w:rFonts w:ascii="Arial" w:eastAsia="Times New Roman" w:hAnsi="Arial" w:cs="Arial"/>
          <w:sz w:val="28"/>
        </w:rPr>
      </w:pPr>
    </w:p>
    <w:p w14:paraId="1CFFBCC6" w14:textId="77777777" w:rsidR="00F37181" w:rsidRPr="00223ED4" w:rsidRDefault="00F37181" w:rsidP="00F37181">
      <w:pPr>
        <w:spacing w:after="0" w:line="360" w:lineRule="auto"/>
        <w:jc w:val="both"/>
        <w:rPr>
          <w:rFonts w:ascii="Arial" w:eastAsia="Times New Roman" w:hAnsi="Arial" w:cs="Arial"/>
          <w:sz w:val="24"/>
        </w:rPr>
      </w:pPr>
      <w:r w:rsidRPr="00223ED4">
        <w:rPr>
          <w:rFonts w:ascii="Arial" w:eastAsia="Times New Roman" w:hAnsi="Arial" w:cs="Arial"/>
          <w:sz w:val="24"/>
        </w:rPr>
        <w:t xml:space="preserve">Kuner Chris, </w:t>
      </w:r>
      <w:r w:rsidRPr="00223ED4">
        <w:rPr>
          <w:rFonts w:ascii="Arial" w:eastAsia="Times New Roman" w:hAnsi="Arial" w:cs="Arial"/>
          <w:i/>
          <w:sz w:val="24"/>
        </w:rPr>
        <w:t>Transborder Data Flows and Data Privacy Law</w:t>
      </w:r>
      <w:r w:rsidRPr="00223ED4">
        <w:rPr>
          <w:rFonts w:ascii="Arial" w:eastAsia="Times New Roman" w:hAnsi="Arial" w:cs="Arial"/>
          <w:sz w:val="24"/>
        </w:rPr>
        <w:t xml:space="preserve"> (OUP 2013)</w:t>
      </w:r>
    </w:p>
    <w:p w14:paraId="19F9BDFE"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1CFA6662"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Kuner C, ‘An international legal framework for data protection: Issues and prospects,’ (2009) 25(4) Computer Law &amp; Security Review 307</w:t>
      </w:r>
    </w:p>
    <w:p w14:paraId="4D367E6A"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3E9C86EB"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Lange Bettina, ‘Compliance construction in the context of environmental regulation,’ (1999) 8(4) Social &amp; Legal Studies 549</w:t>
      </w:r>
    </w:p>
    <w:p w14:paraId="15F0BA1E" w14:textId="77777777" w:rsidR="00F37181" w:rsidRPr="00223ED4" w:rsidRDefault="00F37181" w:rsidP="00F37181">
      <w:pPr>
        <w:spacing w:after="0" w:line="360" w:lineRule="auto"/>
        <w:jc w:val="both"/>
        <w:rPr>
          <w:rFonts w:ascii="Arial" w:eastAsia="Times New Roman" w:hAnsi="Arial" w:cs="Arial"/>
          <w:sz w:val="24"/>
        </w:rPr>
      </w:pPr>
    </w:p>
    <w:p w14:paraId="4F20D515" w14:textId="77777777" w:rsidR="00F37181" w:rsidRPr="00223ED4" w:rsidRDefault="00F37181" w:rsidP="00F37181">
      <w:pPr>
        <w:spacing w:after="0" w:line="360" w:lineRule="auto"/>
        <w:jc w:val="both"/>
        <w:rPr>
          <w:rFonts w:ascii="Arial" w:eastAsia="Times New Roman" w:hAnsi="Arial" w:cs="Arial"/>
          <w:sz w:val="24"/>
        </w:rPr>
      </w:pPr>
      <w:r w:rsidRPr="00223ED4">
        <w:rPr>
          <w:rFonts w:ascii="Arial" w:eastAsia="Times New Roman" w:hAnsi="Arial" w:cs="Arial"/>
          <w:sz w:val="24"/>
        </w:rPr>
        <w:t xml:space="preserve">Latour Bruno, </w:t>
      </w:r>
      <w:r w:rsidRPr="00223ED4">
        <w:rPr>
          <w:rFonts w:ascii="Arial" w:eastAsia="Times New Roman" w:hAnsi="Arial" w:cs="Arial"/>
          <w:i/>
          <w:sz w:val="24"/>
        </w:rPr>
        <w:t>Reassembling the Social. An Introduction to Actor-Network-Theory</w:t>
      </w:r>
      <w:r w:rsidRPr="00223ED4">
        <w:rPr>
          <w:rFonts w:ascii="Arial" w:eastAsia="Times New Roman" w:hAnsi="Arial" w:cs="Arial"/>
          <w:sz w:val="24"/>
        </w:rPr>
        <w:t xml:space="preserve"> (Oxford University Press 2005)</w:t>
      </w:r>
    </w:p>
    <w:p w14:paraId="399B6BB5"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66E46B00"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Lodge, Martin, Kai Wegrich, and Gail McElroy, ‘Dodgy kebabs everywhere? Variety of worldviews and regulatory change,’ (2010) 88(1) Public Administration 247 </w:t>
      </w:r>
    </w:p>
    <w:p w14:paraId="63E9DB9B"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1D9AA5C6" w14:textId="77777777" w:rsidR="00F37181" w:rsidRPr="00223ED4" w:rsidRDefault="00F37181" w:rsidP="00F37181">
      <w:pPr>
        <w:spacing w:after="0" w:line="360" w:lineRule="auto"/>
        <w:jc w:val="both"/>
        <w:rPr>
          <w:rFonts w:ascii="Arial" w:eastAsia="Times New Roman" w:hAnsi="Arial" w:cs="Arial"/>
          <w:sz w:val="24"/>
        </w:rPr>
      </w:pPr>
      <w:r w:rsidRPr="00223ED4">
        <w:rPr>
          <w:rFonts w:ascii="Arial" w:eastAsia="Times New Roman" w:hAnsi="Arial" w:cs="Arial"/>
          <w:sz w:val="24"/>
        </w:rPr>
        <w:t>Lynskey O,’ Deconstructing Data Protection: The Added-Value of a Right to Data Protection in the EU Legal Order,’ (2014) 63(3) International and Comparative Law Quarterly, 63(03), 569</w:t>
      </w:r>
    </w:p>
    <w:p w14:paraId="5B9979D0" w14:textId="77777777" w:rsidR="004B5F94" w:rsidRPr="00223ED4" w:rsidRDefault="004B5F94" w:rsidP="00F37181">
      <w:pPr>
        <w:spacing w:after="0" w:line="360" w:lineRule="auto"/>
        <w:jc w:val="both"/>
        <w:rPr>
          <w:rFonts w:ascii="Arial" w:eastAsia="Times New Roman" w:hAnsi="Arial" w:cs="Arial"/>
          <w:sz w:val="24"/>
        </w:rPr>
      </w:pPr>
    </w:p>
    <w:p w14:paraId="4E826B6E" w14:textId="139BD079" w:rsidR="004B5F94" w:rsidRPr="00223ED4" w:rsidRDefault="004B5F94" w:rsidP="004B5F94">
      <w:pPr>
        <w:spacing w:after="0" w:line="360" w:lineRule="auto"/>
        <w:jc w:val="both"/>
        <w:rPr>
          <w:rFonts w:ascii="Arial" w:eastAsia="Times New Roman" w:hAnsi="Arial" w:cs="Arial"/>
          <w:sz w:val="24"/>
        </w:rPr>
      </w:pPr>
      <w:r w:rsidRPr="00223ED4">
        <w:rPr>
          <w:rFonts w:ascii="Arial" w:eastAsia="Times New Roman" w:hAnsi="Arial" w:cs="Arial"/>
          <w:sz w:val="24"/>
        </w:rPr>
        <w:t>May Peter J, ‘Compliance Motivations: Affirmative and Negative Bases,’ (2004) 38(1) Law &amp; Society Review 41</w:t>
      </w:r>
    </w:p>
    <w:p w14:paraId="14B76086" w14:textId="77777777" w:rsidR="004B5F94" w:rsidRPr="00223ED4" w:rsidRDefault="004B5F94" w:rsidP="00F37181">
      <w:pPr>
        <w:spacing w:after="0" w:line="360" w:lineRule="auto"/>
        <w:jc w:val="both"/>
        <w:rPr>
          <w:rFonts w:ascii="Arial" w:eastAsia="Times New Roman" w:hAnsi="Arial" w:cs="Arial"/>
          <w:sz w:val="24"/>
        </w:rPr>
      </w:pPr>
    </w:p>
    <w:p w14:paraId="096B16AF" w14:textId="355B9030" w:rsidR="004B5F94" w:rsidRPr="00223ED4" w:rsidRDefault="004B5F94" w:rsidP="004B5F94">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McAllister L K, ‘Dimensions of Enforcement Style: Factoring in Regulatory Autonomy and Capacity,’ (2010) 32(1) Law &amp; Policy 61</w:t>
      </w:r>
    </w:p>
    <w:p w14:paraId="45240D0F"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77AD4706" w14:textId="0884E1B2" w:rsidR="004B5F94" w:rsidRPr="00223ED4" w:rsidRDefault="004B5F94" w:rsidP="004B5F94">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Newman Abraham, </w:t>
      </w:r>
      <w:r w:rsidRPr="00223ED4">
        <w:rPr>
          <w:rFonts w:ascii="Arial" w:eastAsia="Times New Roman" w:hAnsi="Arial" w:cs="Arial"/>
          <w:i/>
          <w:sz w:val="24"/>
        </w:rPr>
        <w:t>Protectors of Privacy: Regulating Personal Data in the Global Economy</w:t>
      </w:r>
      <w:r w:rsidRPr="00223ED4">
        <w:rPr>
          <w:rFonts w:ascii="Arial" w:eastAsia="Times New Roman" w:hAnsi="Arial" w:cs="Arial"/>
          <w:sz w:val="24"/>
        </w:rPr>
        <w:t xml:space="preserve"> (Ithaca NY Cornell University Press 2008)</w:t>
      </w:r>
    </w:p>
    <w:p w14:paraId="7FE7D6F0" w14:textId="77777777" w:rsidR="004B5F94" w:rsidRPr="00223ED4" w:rsidRDefault="004B5F94" w:rsidP="00F37181">
      <w:pPr>
        <w:tabs>
          <w:tab w:val="left" w:pos="6180"/>
        </w:tabs>
        <w:spacing w:after="0" w:line="360" w:lineRule="auto"/>
        <w:jc w:val="both"/>
        <w:rPr>
          <w:rFonts w:ascii="Arial" w:eastAsia="Times New Roman" w:hAnsi="Arial" w:cs="Arial"/>
          <w:sz w:val="24"/>
        </w:rPr>
      </w:pPr>
    </w:p>
    <w:p w14:paraId="79D2F246"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Raab Charles D, ‘Networks for Regulation: Privacy Commissioners in a Changing World,’ (2011) 13(2) Journal of Comparative Policy Analysis 195</w:t>
      </w:r>
    </w:p>
    <w:p w14:paraId="2CA56190"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5F9CAE26" w14:textId="77777777" w:rsidR="00F37181" w:rsidRPr="00223ED4" w:rsidRDefault="00F37181" w:rsidP="00F37181">
      <w:pPr>
        <w:spacing w:line="360" w:lineRule="auto"/>
        <w:rPr>
          <w:rFonts w:ascii="Arial" w:hAnsi="Arial" w:cs="Arial"/>
          <w:color w:val="222222"/>
          <w:sz w:val="24"/>
          <w:shd w:val="clear" w:color="auto" w:fill="FFFFFF"/>
        </w:rPr>
      </w:pPr>
      <w:r w:rsidRPr="00223ED4">
        <w:rPr>
          <w:rFonts w:ascii="Arial" w:hAnsi="Arial" w:cs="Arial"/>
          <w:color w:val="222222"/>
          <w:sz w:val="24"/>
          <w:shd w:val="clear" w:color="auto" w:fill="FFFFFF"/>
        </w:rPr>
        <w:t xml:space="preserve">Raab Charles D, ‘Information privacy: networks of regulation at the subglobal level,’ (2010) 1(3) </w:t>
      </w:r>
      <w:r w:rsidRPr="00223ED4">
        <w:rPr>
          <w:rFonts w:ascii="Arial" w:hAnsi="Arial" w:cs="Arial"/>
          <w:iCs/>
          <w:color w:val="222222"/>
          <w:sz w:val="24"/>
          <w:shd w:val="clear" w:color="auto" w:fill="FFFFFF"/>
        </w:rPr>
        <w:t>Global Policy</w:t>
      </w:r>
      <w:r w:rsidRPr="00223ED4">
        <w:rPr>
          <w:rFonts w:ascii="Arial" w:hAnsi="Arial" w:cs="Arial"/>
          <w:color w:val="222222"/>
          <w:sz w:val="24"/>
          <w:shd w:val="clear" w:color="auto" w:fill="FFFFFF"/>
        </w:rPr>
        <w:t> 291</w:t>
      </w:r>
    </w:p>
    <w:p w14:paraId="0304937A"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59062FFC" w14:textId="7BA2BB0F" w:rsidR="00F37181" w:rsidRPr="00223ED4" w:rsidRDefault="00F37181" w:rsidP="004B5F94">
      <w:pPr>
        <w:tabs>
          <w:tab w:val="left" w:pos="6180"/>
        </w:tabs>
        <w:spacing w:line="360" w:lineRule="auto"/>
        <w:jc w:val="both"/>
        <w:rPr>
          <w:rFonts w:ascii="Arial" w:hAnsi="Arial" w:cs="Arial"/>
          <w:sz w:val="24"/>
        </w:rPr>
      </w:pPr>
      <w:r w:rsidRPr="00223ED4">
        <w:rPr>
          <w:rFonts w:ascii="Arial" w:hAnsi="Arial" w:cs="Arial"/>
          <w:sz w:val="24"/>
        </w:rPr>
        <w:t xml:space="preserve">Raab CD and De Hert P, ‘The Regulation of Technology: Policy Tools and Policy Actors,’ in (ed) Yeung K and Brownsword R, </w:t>
      </w:r>
      <w:r w:rsidRPr="00223ED4">
        <w:rPr>
          <w:rFonts w:ascii="Arial" w:hAnsi="Arial" w:cs="Arial"/>
          <w:i/>
          <w:sz w:val="24"/>
        </w:rPr>
        <w:t>Regulating technologies: Legal Futures, Regulatory Frames and Technological Fixes</w:t>
      </w:r>
      <w:r w:rsidRPr="00223ED4">
        <w:rPr>
          <w:rFonts w:ascii="Arial" w:hAnsi="Arial" w:cs="Arial"/>
          <w:sz w:val="24"/>
        </w:rPr>
        <w:t xml:space="preserve"> (Hart 2008)</w:t>
      </w:r>
    </w:p>
    <w:p w14:paraId="5D6BB15C"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Reed C, </w:t>
      </w:r>
      <w:r w:rsidRPr="00223ED4">
        <w:rPr>
          <w:rFonts w:ascii="Arial" w:eastAsia="Times New Roman" w:hAnsi="Arial" w:cs="Arial"/>
          <w:i/>
          <w:sz w:val="24"/>
        </w:rPr>
        <w:t>Making Laws for Cyberspace</w:t>
      </w:r>
      <w:r w:rsidRPr="00223ED4">
        <w:rPr>
          <w:rFonts w:ascii="Arial" w:eastAsia="Times New Roman" w:hAnsi="Arial" w:cs="Arial"/>
          <w:sz w:val="24"/>
        </w:rPr>
        <w:t xml:space="preserve"> (OUP, 2012) </w:t>
      </w:r>
    </w:p>
    <w:p w14:paraId="07AF0CB4" w14:textId="77777777" w:rsidR="004B5F94" w:rsidRPr="00223ED4" w:rsidRDefault="004B5F94" w:rsidP="004B5F94">
      <w:pPr>
        <w:tabs>
          <w:tab w:val="left" w:pos="6180"/>
        </w:tabs>
        <w:spacing w:after="0" w:line="360" w:lineRule="auto"/>
        <w:jc w:val="both"/>
        <w:rPr>
          <w:rFonts w:ascii="Arial" w:eastAsia="Times New Roman" w:hAnsi="Arial" w:cs="Arial"/>
          <w:sz w:val="24"/>
        </w:rPr>
      </w:pPr>
    </w:p>
    <w:p w14:paraId="421B1B61" w14:textId="2CFD2CDE" w:rsidR="004B5F94" w:rsidRPr="00223ED4" w:rsidRDefault="004B5F94" w:rsidP="004B5F94">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Schütz Philip, ‘The Set Up of Data Protection Authorities as a New Regulatory Approach,’ in Gutwirth S et al (eds) </w:t>
      </w:r>
      <w:r w:rsidRPr="00223ED4">
        <w:rPr>
          <w:rFonts w:ascii="Arial" w:eastAsia="Times New Roman" w:hAnsi="Arial" w:cs="Arial"/>
          <w:i/>
          <w:iCs/>
          <w:sz w:val="24"/>
        </w:rPr>
        <w:t>European Data Protection: In Good Health?</w:t>
      </w:r>
      <w:r w:rsidRPr="00223ED4">
        <w:rPr>
          <w:rFonts w:ascii="Arial" w:eastAsia="Times New Roman" w:hAnsi="Arial" w:cs="Arial"/>
          <w:sz w:val="24"/>
        </w:rPr>
        <w:t xml:space="preserve"> (Springer Netherlands 2012) 125</w:t>
      </w:r>
    </w:p>
    <w:p w14:paraId="1BD01BBD" w14:textId="77777777" w:rsidR="004B5F94" w:rsidRPr="00223ED4" w:rsidRDefault="004B5F94" w:rsidP="004B5F94">
      <w:pPr>
        <w:tabs>
          <w:tab w:val="left" w:pos="6180"/>
        </w:tabs>
        <w:spacing w:after="0" w:line="360" w:lineRule="auto"/>
        <w:jc w:val="both"/>
        <w:rPr>
          <w:rFonts w:ascii="Arial" w:eastAsia="Times New Roman" w:hAnsi="Arial" w:cs="Arial"/>
          <w:sz w:val="24"/>
        </w:rPr>
      </w:pPr>
    </w:p>
    <w:p w14:paraId="2CEF38EB" w14:textId="3CB2360B" w:rsidR="004B5F94" w:rsidRPr="00223ED4" w:rsidRDefault="004B5F94" w:rsidP="004B5F94">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Shapiro S and Rabinowitz R, ‘Punishment versus Co-operation in Regulatory Enforcement: A Case Study of OSHA,’ (1997) 14 Administrative Law Review 713</w:t>
      </w:r>
    </w:p>
    <w:p w14:paraId="23DEBD8B" w14:textId="77777777" w:rsidR="004B5F94" w:rsidRPr="00223ED4" w:rsidRDefault="004B5F94" w:rsidP="004B5F94">
      <w:pPr>
        <w:tabs>
          <w:tab w:val="left" w:pos="6180"/>
        </w:tabs>
        <w:spacing w:after="0" w:line="360" w:lineRule="auto"/>
        <w:jc w:val="both"/>
        <w:rPr>
          <w:rFonts w:ascii="Arial" w:eastAsia="Times New Roman" w:hAnsi="Arial" w:cs="Arial"/>
          <w:sz w:val="24"/>
        </w:rPr>
      </w:pPr>
    </w:p>
    <w:p w14:paraId="4778FA2C" w14:textId="34E3D7E8" w:rsidR="004B5F94" w:rsidRPr="00223ED4" w:rsidRDefault="004B5F94" w:rsidP="004B5F94">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Simpson S, </w:t>
      </w:r>
      <w:r w:rsidRPr="00223ED4">
        <w:rPr>
          <w:rFonts w:ascii="Arial" w:eastAsia="Times New Roman" w:hAnsi="Arial" w:cs="Arial"/>
          <w:i/>
          <w:sz w:val="24"/>
        </w:rPr>
        <w:t xml:space="preserve">Corporate Crime and Social Control </w:t>
      </w:r>
      <w:r w:rsidRPr="00223ED4">
        <w:rPr>
          <w:rFonts w:ascii="Arial" w:eastAsia="Times New Roman" w:hAnsi="Arial" w:cs="Arial"/>
          <w:sz w:val="24"/>
        </w:rPr>
        <w:t>(Cambridge University Press 2002)</w:t>
      </w:r>
    </w:p>
    <w:p w14:paraId="077FF5F6"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530B822F" w14:textId="77777777" w:rsidR="00F37181" w:rsidRPr="00223ED4" w:rsidRDefault="00F37181" w:rsidP="00F37181">
      <w:pPr>
        <w:tabs>
          <w:tab w:val="left" w:pos="6180"/>
        </w:tabs>
        <w:spacing w:after="0" w:line="360" w:lineRule="auto"/>
        <w:jc w:val="both"/>
        <w:rPr>
          <w:rFonts w:ascii="Arial" w:hAnsi="Arial" w:cs="Arial"/>
          <w:color w:val="222222"/>
          <w:sz w:val="24"/>
          <w:szCs w:val="18"/>
          <w:shd w:val="clear" w:color="auto" w:fill="FFFFFF"/>
        </w:rPr>
      </w:pPr>
      <w:r w:rsidRPr="00223ED4">
        <w:rPr>
          <w:rFonts w:ascii="Arial" w:hAnsi="Arial" w:cs="Arial"/>
          <w:color w:val="222222"/>
          <w:sz w:val="24"/>
          <w:szCs w:val="18"/>
          <w:shd w:val="clear" w:color="auto" w:fill="FFFFFF"/>
        </w:rPr>
        <w:t>Singh Jatinder et al, ‘Regional clouds: technical considerations,’ </w:t>
      </w:r>
      <w:r w:rsidRPr="00223ED4">
        <w:rPr>
          <w:rFonts w:ascii="Arial" w:hAnsi="Arial" w:cs="Arial"/>
          <w:iCs/>
          <w:color w:val="222222"/>
          <w:sz w:val="24"/>
          <w:szCs w:val="18"/>
          <w:shd w:val="clear" w:color="auto" w:fill="FFFFFF"/>
        </w:rPr>
        <w:t>University of Cambridge, Computer Laboratory, Tech. Rep. UCAM-CLTR-863</w:t>
      </w:r>
      <w:r w:rsidRPr="00223ED4">
        <w:rPr>
          <w:rFonts w:ascii="Arial" w:hAnsi="Arial" w:cs="Arial"/>
          <w:color w:val="222222"/>
          <w:sz w:val="24"/>
          <w:szCs w:val="18"/>
          <w:shd w:val="clear" w:color="auto" w:fill="FFFFFF"/>
        </w:rPr>
        <w:t> (2014)</w:t>
      </w:r>
    </w:p>
    <w:p w14:paraId="1B7FFA88"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17BAE610" w14:textId="77777777" w:rsidR="00F37181" w:rsidRPr="00223ED4" w:rsidRDefault="00F37181" w:rsidP="00F37181">
      <w:pPr>
        <w:spacing w:after="0" w:line="360" w:lineRule="auto"/>
        <w:rPr>
          <w:rFonts w:ascii="Arial" w:eastAsia="Times New Roman" w:hAnsi="Arial" w:cs="Times New Roman"/>
          <w:sz w:val="24"/>
          <w:szCs w:val="20"/>
        </w:rPr>
      </w:pPr>
      <w:r w:rsidRPr="00223ED4">
        <w:rPr>
          <w:rFonts w:ascii="Arial" w:eastAsia="Times New Roman" w:hAnsi="Arial" w:cs="Times New Roman"/>
          <w:sz w:val="24"/>
          <w:szCs w:val="20"/>
        </w:rPr>
        <w:t>Strathern Marilyn, ‘Abstraction and decontextualisation: an anthropological comment or: e for ethnography’ (Undated Pre-Publication Draft) &lt;http://virtualsociety.sbs.ox.ac.uk/GRpapers/strathern.htm&gt; accessed 10 February 2015</w:t>
      </w:r>
    </w:p>
    <w:p w14:paraId="78189F31"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672C39E3" w14:textId="77777777" w:rsidR="00F37181" w:rsidRPr="00223ED4" w:rsidRDefault="00F37181" w:rsidP="00F37181">
      <w:pPr>
        <w:spacing w:line="360" w:lineRule="auto"/>
        <w:rPr>
          <w:rFonts w:ascii="Arial" w:hAnsi="Arial" w:cs="Arial"/>
          <w:sz w:val="24"/>
        </w:rPr>
      </w:pPr>
      <w:r w:rsidRPr="00223ED4">
        <w:rPr>
          <w:rFonts w:ascii="Arial" w:hAnsi="Arial" w:cs="Arial"/>
          <w:sz w:val="24"/>
        </w:rPr>
        <w:t xml:space="preserve">Warren C A B, ‘Qualitative Interviewing,’ in Gubrium J F and Holstein J A (eds) </w:t>
      </w:r>
      <w:r w:rsidRPr="00223ED4">
        <w:rPr>
          <w:rFonts w:ascii="Arial" w:hAnsi="Arial" w:cs="Arial"/>
          <w:i/>
          <w:sz w:val="24"/>
        </w:rPr>
        <w:t>Handbook of Interview Research: Context and Method</w:t>
      </w:r>
      <w:r w:rsidRPr="00223ED4">
        <w:rPr>
          <w:rFonts w:ascii="Arial" w:hAnsi="Arial" w:cs="Arial"/>
          <w:sz w:val="24"/>
        </w:rPr>
        <w:t xml:space="preserve"> (Thousand Oaks CA Sage 2002)</w:t>
      </w:r>
    </w:p>
    <w:p w14:paraId="26B5A00B"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20C99306" w14:textId="77777777"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Wouter Poortinga and Pidgeon Nick F, ‘Exploring the dimensionality of trust in risk regulation,’ (2003) 23(5) Risk analysis 961 </w:t>
      </w:r>
    </w:p>
    <w:p w14:paraId="701A1C87" w14:textId="77777777" w:rsidR="00F37181" w:rsidRPr="00223ED4" w:rsidRDefault="00F37181" w:rsidP="00F37181">
      <w:pPr>
        <w:tabs>
          <w:tab w:val="left" w:pos="6180"/>
        </w:tabs>
        <w:spacing w:after="0" w:line="360" w:lineRule="auto"/>
        <w:jc w:val="both"/>
        <w:rPr>
          <w:rFonts w:ascii="Arial" w:eastAsia="Times New Roman" w:hAnsi="Arial" w:cs="Arial"/>
          <w:sz w:val="24"/>
        </w:rPr>
      </w:pPr>
    </w:p>
    <w:p w14:paraId="79F0E17A" w14:textId="0AA53F1C" w:rsidR="00F37181" w:rsidRPr="00223ED4" w:rsidRDefault="00F37181" w:rsidP="00F37181">
      <w:pPr>
        <w:tabs>
          <w:tab w:val="left" w:pos="6180"/>
        </w:tabs>
        <w:spacing w:after="0" w:line="360" w:lineRule="auto"/>
        <w:jc w:val="both"/>
        <w:rPr>
          <w:rFonts w:ascii="Arial" w:eastAsia="Times New Roman" w:hAnsi="Arial" w:cs="Arial"/>
          <w:sz w:val="24"/>
        </w:rPr>
      </w:pPr>
      <w:r w:rsidRPr="00223ED4">
        <w:rPr>
          <w:rFonts w:ascii="Arial" w:eastAsia="Times New Roman" w:hAnsi="Arial" w:cs="Arial"/>
          <w:sz w:val="24"/>
        </w:rPr>
        <w:t xml:space="preserve">Yin Robert K, </w:t>
      </w:r>
      <w:r w:rsidRPr="00223ED4">
        <w:rPr>
          <w:rFonts w:ascii="Arial" w:eastAsia="Times New Roman" w:hAnsi="Arial" w:cs="Arial"/>
          <w:i/>
          <w:sz w:val="24"/>
        </w:rPr>
        <w:t>Qualitative Research: Design and Methods</w:t>
      </w:r>
      <w:r w:rsidR="00893285" w:rsidRPr="00223ED4">
        <w:rPr>
          <w:rFonts w:ascii="Arial" w:eastAsia="Times New Roman" w:hAnsi="Arial" w:cs="Arial"/>
          <w:sz w:val="24"/>
        </w:rPr>
        <w:t xml:space="preserve"> (Sage 2013)</w:t>
      </w:r>
    </w:p>
    <w:p w14:paraId="2907097F" w14:textId="77777777" w:rsidR="00F37181" w:rsidRPr="00223ED4" w:rsidRDefault="00F37181" w:rsidP="00F37181">
      <w:pPr>
        <w:tabs>
          <w:tab w:val="left" w:pos="6180"/>
        </w:tabs>
        <w:spacing w:after="0" w:line="360" w:lineRule="auto"/>
        <w:jc w:val="both"/>
        <w:rPr>
          <w:rFonts w:ascii="Arial" w:eastAsia="Times New Roman" w:hAnsi="Arial" w:cs="Arial"/>
          <w:sz w:val="24"/>
        </w:rPr>
      </w:pPr>
    </w:p>
    <w:bookmarkEnd w:id="5"/>
    <w:bookmarkEnd w:id="13"/>
    <w:p w14:paraId="452A541A" w14:textId="77777777" w:rsidR="002409C1" w:rsidRPr="00223ED4" w:rsidRDefault="002409C1">
      <w:pPr>
        <w:rPr>
          <w:sz w:val="24"/>
        </w:rPr>
      </w:pPr>
    </w:p>
    <w:sectPr w:rsidR="002409C1" w:rsidRPr="00223ED4" w:rsidSect="002409C1">
      <w:headerReference w:type="default" r:id="rId8"/>
      <w:footerReference w:type="default" r:id="rId9"/>
      <w:headerReference w:type="first" r:id="rId10"/>
      <w:footerReference w:type="first" r:id="rId11"/>
      <w:pgSz w:w="11900" w:h="16840" w:code="1"/>
      <w:pgMar w:top="1673" w:right="1418" w:bottom="1418" w:left="1418" w:header="851" w:footer="2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0730C" w14:textId="77777777" w:rsidR="00F80E71" w:rsidRDefault="00F80E71" w:rsidP="00F37181">
      <w:pPr>
        <w:spacing w:after="0" w:line="240" w:lineRule="auto"/>
      </w:pPr>
      <w:r>
        <w:separator/>
      </w:r>
    </w:p>
  </w:endnote>
  <w:endnote w:type="continuationSeparator" w:id="0">
    <w:p w14:paraId="503107D8" w14:textId="77777777" w:rsidR="00F80E71" w:rsidRDefault="00F80E71" w:rsidP="00F37181">
      <w:pPr>
        <w:spacing w:after="0" w:line="240" w:lineRule="auto"/>
      </w:pPr>
      <w:r>
        <w:continuationSeparator/>
      </w:r>
    </w:p>
  </w:endnote>
  <w:endnote w:type="continuationNotice" w:id="1">
    <w:p w14:paraId="12B8FCCA" w14:textId="77777777" w:rsidR="00F80E71" w:rsidRDefault="00F80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33703"/>
      <w:docPartObj>
        <w:docPartGallery w:val="Page Numbers (Bottom of Page)"/>
        <w:docPartUnique/>
      </w:docPartObj>
    </w:sdtPr>
    <w:sdtEndPr>
      <w:rPr>
        <w:rFonts w:ascii="Arial" w:hAnsi="Arial" w:cs="Arial"/>
        <w:noProof/>
        <w:sz w:val="14"/>
      </w:rPr>
    </w:sdtEndPr>
    <w:sdtContent>
      <w:p w14:paraId="7508A889" w14:textId="0F6F1E85" w:rsidR="00473F11" w:rsidRPr="009D756D" w:rsidRDefault="00473F11">
        <w:pPr>
          <w:pStyle w:val="Footer"/>
          <w:jc w:val="right"/>
          <w:rPr>
            <w:rFonts w:ascii="Arial" w:hAnsi="Arial" w:cs="Arial"/>
            <w:sz w:val="14"/>
          </w:rPr>
        </w:pPr>
        <w:r w:rsidRPr="009D756D">
          <w:rPr>
            <w:rFonts w:ascii="Arial" w:hAnsi="Arial" w:cs="Arial"/>
            <w:sz w:val="14"/>
          </w:rPr>
          <w:fldChar w:fldCharType="begin"/>
        </w:r>
        <w:r w:rsidRPr="009D756D">
          <w:rPr>
            <w:rFonts w:ascii="Arial" w:hAnsi="Arial" w:cs="Arial"/>
            <w:sz w:val="14"/>
          </w:rPr>
          <w:instrText xml:space="preserve"> PAGE   \* MERGEFORMAT </w:instrText>
        </w:r>
        <w:r w:rsidRPr="009D756D">
          <w:rPr>
            <w:rFonts w:ascii="Arial" w:hAnsi="Arial" w:cs="Arial"/>
            <w:sz w:val="14"/>
          </w:rPr>
          <w:fldChar w:fldCharType="separate"/>
        </w:r>
        <w:r w:rsidR="008F2179">
          <w:rPr>
            <w:rFonts w:ascii="Arial" w:hAnsi="Arial" w:cs="Arial"/>
            <w:noProof/>
            <w:sz w:val="14"/>
          </w:rPr>
          <w:t>2</w:t>
        </w:r>
        <w:r w:rsidRPr="009D756D">
          <w:rPr>
            <w:rFonts w:ascii="Arial" w:hAnsi="Arial" w:cs="Arial"/>
            <w:noProof/>
            <w:sz w:val="14"/>
          </w:rPr>
          <w:fldChar w:fldCharType="end"/>
        </w:r>
      </w:p>
    </w:sdtContent>
  </w:sdt>
  <w:p w14:paraId="5F21F4EF" w14:textId="77777777" w:rsidR="00473F11" w:rsidRDefault="00473F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6E10" w14:textId="77777777" w:rsidR="00473F11" w:rsidRPr="00CA361F" w:rsidRDefault="00473F11" w:rsidP="002409C1">
    <w:pPr>
      <w:pStyle w:val="Footer"/>
      <w:tabs>
        <w:tab w:val="left" w:pos="6912"/>
      </w:tabs>
      <w:rPr>
        <w:color w:val="A6A6A6"/>
        <w:sz w:val="16"/>
        <w:szCs w:val="16"/>
      </w:rPr>
    </w:pPr>
    <w:r w:rsidRPr="00CA361F">
      <w:rPr>
        <w:color w:val="A6A6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43A21" w14:textId="77777777" w:rsidR="00F80E71" w:rsidRDefault="00F80E71" w:rsidP="00F37181">
      <w:pPr>
        <w:spacing w:after="0" w:line="240" w:lineRule="auto"/>
      </w:pPr>
      <w:r>
        <w:separator/>
      </w:r>
    </w:p>
  </w:footnote>
  <w:footnote w:type="continuationSeparator" w:id="0">
    <w:p w14:paraId="4F5F57DF" w14:textId="77777777" w:rsidR="00F80E71" w:rsidRDefault="00F80E71" w:rsidP="00F37181">
      <w:pPr>
        <w:spacing w:after="0" w:line="240" w:lineRule="auto"/>
      </w:pPr>
      <w:r>
        <w:continuationSeparator/>
      </w:r>
    </w:p>
  </w:footnote>
  <w:footnote w:type="continuationNotice" w:id="1">
    <w:p w14:paraId="779D7AB1" w14:textId="77777777" w:rsidR="00F80E71" w:rsidRDefault="00F80E71">
      <w:pPr>
        <w:spacing w:after="0" w:line="240" w:lineRule="auto"/>
      </w:pPr>
    </w:p>
  </w:footnote>
  <w:footnote w:id="2">
    <w:p w14:paraId="571F65BB" w14:textId="2E1337D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This chapter is derived from the research that the author has undertaken for the </w:t>
      </w:r>
      <w:r w:rsidR="005A4EBE">
        <w:rPr>
          <w:rFonts w:cs="Arial"/>
          <w:szCs w:val="18"/>
        </w:rPr>
        <w:t>‘</w:t>
      </w:r>
      <w:r w:rsidRPr="00AD032C">
        <w:rPr>
          <w:rFonts w:cs="Arial"/>
          <w:szCs w:val="18"/>
        </w:rPr>
        <w:t>Accountability for Cloud</w:t>
      </w:r>
      <w:r w:rsidR="005A4EBE">
        <w:rPr>
          <w:rFonts w:cs="Arial"/>
          <w:szCs w:val="18"/>
        </w:rPr>
        <w:t>’</w:t>
      </w:r>
      <w:r w:rsidRPr="00AD032C">
        <w:rPr>
          <w:rFonts w:cs="Arial"/>
          <w:szCs w:val="18"/>
        </w:rPr>
        <w:t xml:space="preserve"> research project which is funded by the European Commission. The author is grateful to Professor Chris Reed, Dr Bettina Lange, Dr Orla Lynskey, and Professor Christopher Millard for their useful comments on earlier drafts of the chapter. The author is also grateful to István Fancsik for his research assistance. Responsibility for all omissions and opinions remains with the author.</w:t>
      </w:r>
    </w:p>
  </w:footnote>
  <w:footnote w:id="3">
    <w:p w14:paraId="2E6F92B4" w14:textId="4518E3E9" w:rsidR="00473F11" w:rsidRPr="00AD032C" w:rsidRDefault="00473F11" w:rsidP="00894ED6">
      <w:pPr>
        <w:autoSpaceDE w:val="0"/>
        <w:autoSpaceDN w:val="0"/>
        <w:adjustRightInd w:val="0"/>
        <w:spacing w:before="240" w:after="0" w:line="240" w:lineRule="auto"/>
        <w:rPr>
          <w:rFonts w:ascii="Arial" w:hAnsi="Arial" w:cs="Arial"/>
          <w:bCs/>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E.g. European </w:t>
      </w:r>
      <w:r w:rsidRPr="00AD032C">
        <w:rPr>
          <w:rFonts w:ascii="Arial" w:hAnsi="Arial" w:cs="Arial"/>
          <w:bCs/>
          <w:sz w:val="20"/>
          <w:szCs w:val="18"/>
        </w:rPr>
        <w:t>Commission, ‘Unleashing the Potential of Cloud Computing in Europe’ COM (2012) 529 final.</w:t>
      </w:r>
    </w:p>
  </w:footnote>
  <w:footnote w:id="4">
    <w:p w14:paraId="1F944809"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W Kuan Hon and Christopher Millard, ‘Cloud Technologies and Services,’ in (eds) Christopher Millard, </w:t>
      </w:r>
      <w:r w:rsidRPr="00AD032C">
        <w:rPr>
          <w:rFonts w:cs="Arial"/>
          <w:i/>
          <w:szCs w:val="18"/>
        </w:rPr>
        <w:t>Cloud Computing Law</w:t>
      </w:r>
      <w:r w:rsidRPr="00AD032C">
        <w:rPr>
          <w:rFonts w:cs="Arial"/>
          <w:szCs w:val="18"/>
        </w:rPr>
        <w:t xml:space="preserve"> (Oxford University Press 2013) 1.</w:t>
      </w:r>
    </w:p>
  </w:footnote>
  <w:footnote w:id="5">
    <w:p w14:paraId="06210134" w14:textId="2DF2491A"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A recent research by the European Commission has estimated that cloud computing could contribute up to €250 Billion to the European GDP in 2020 and 3.8 </w:t>
      </w:r>
      <w:r w:rsidR="005A4EBE">
        <w:rPr>
          <w:rFonts w:cs="Arial"/>
          <w:szCs w:val="18"/>
        </w:rPr>
        <w:t>m</w:t>
      </w:r>
      <w:r w:rsidRPr="00AD032C">
        <w:rPr>
          <w:rFonts w:cs="Arial"/>
          <w:szCs w:val="18"/>
        </w:rPr>
        <w:t xml:space="preserve">illion jobs. See C et al Bradshaw, </w:t>
      </w:r>
      <w:r w:rsidR="00894ED6" w:rsidRPr="00AD032C">
        <w:rPr>
          <w:rFonts w:cs="Arial"/>
          <w:szCs w:val="18"/>
        </w:rPr>
        <w:t>‘</w:t>
      </w:r>
      <w:r w:rsidRPr="00AD032C">
        <w:rPr>
          <w:rFonts w:cs="Arial"/>
          <w:szCs w:val="18"/>
        </w:rPr>
        <w:t>Quantitative Estimates of the Demand for Cloud Computing in Europe and the Likely Barriers to Uptake,</w:t>
      </w:r>
      <w:r w:rsidR="00894ED6" w:rsidRPr="00AD032C">
        <w:rPr>
          <w:rFonts w:cs="Arial"/>
          <w:szCs w:val="18"/>
        </w:rPr>
        <w:t>’</w:t>
      </w:r>
      <w:r w:rsidRPr="00AD032C">
        <w:rPr>
          <w:rFonts w:cs="Arial"/>
          <w:szCs w:val="18"/>
        </w:rPr>
        <w:t xml:space="preserve"> (IDC Research Report, July 2012) &lt; http://www.icon-project.eu%2Fdocs%2Fupload%2F201310%2FCloud-Computing.pdf&amp;ei=55TtVKTfHZLOaKqkgoAL&amp;usg=AFQjCNG0Y_sgKVs-Vs-cFstuQvT_y7Mkog&amp;sig2=Lze7JjH1532krz92UZlbGg&gt; accessed February 10, 2015.</w:t>
      </w:r>
    </w:p>
  </w:footnote>
  <w:footnote w:id="6">
    <w:p w14:paraId="3B37D7FF" w14:textId="408501C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the adoption of a multi-million pound cloud-based telecoms, network, contact centre and mobile contract solutions by the automotive organisation Scania UK [Business Cloud News, ‘Scania drives its comms platform into the cloud,’ (24 February 2015) &lt; http://www.businesscloudnews.com/2015/02/24/scania-drives-its-comms-platform-into-the-cloud/&gt; accessed February 24, 2015].</w:t>
      </w:r>
    </w:p>
  </w:footnote>
  <w:footnote w:id="7">
    <w:p w14:paraId="38AE261F" w14:textId="209B5BF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W Kuan Hon et al, ‘What is Regulated as Personal Data?’ in Christopher Millard (ed) </w:t>
      </w:r>
      <w:r w:rsidRPr="00AD032C">
        <w:rPr>
          <w:rFonts w:cs="Arial"/>
          <w:i/>
          <w:szCs w:val="18"/>
        </w:rPr>
        <w:t>Cloud Computing Law</w:t>
      </w:r>
      <w:r w:rsidRPr="00AD032C">
        <w:rPr>
          <w:rFonts w:cs="Arial"/>
          <w:szCs w:val="18"/>
        </w:rPr>
        <w:t xml:space="preserve"> (Oxford Universit</w:t>
      </w:r>
      <w:r w:rsidR="005A4EBE">
        <w:rPr>
          <w:rFonts w:cs="Arial"/>
          <w:szCs w:val="18"/>
        </w:rPr>
        <w:t>y Press 2013). See O Lynskey, ‘</w:t>
      </w:r>
      <w:r w:rsidRPr="00AD032C">
        <w:rPr>
          <w:rFonts w:cs="Arial"/>
          <w:szCs w:val="18"/>
        </w:rPr>
        <w:t>Deconstructing Data Protection: The Added-Value of a Right to Data Protection in the EU Legal Order,’ (2014) 63(3) International and Comparative Law Quarterly 569 for the differences between data protection and privacy.</w:t>
      </w:r>
    </w:p>
  </w:footnote>
  <w:footnote w:id="8">
    <w:p w14:paraId="23F8B120" w14:textId="57C57F9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w:t>
      </w:r>
      <w:r w:rsidRPr="00AD032C">
        <w:rPr>
          <w:rFonts w:cs="Arial"/>
          <w:szCs w:val="18"/>
          <w:lang w:eastAsia="en-GB"/>
        </w:rPr>
        <w:t xml:space="preserve">Article 2(d) of the </w:t>
      </w:r>
      <w:r w:rsidRPr="00AD032C">
        <w:rPr>
          <w:rFonts w:cs="Arial"/>
          <w:szCs w:val="18"/>
        </w:rPr>
        <w:t xml:space="preserve">directive 95/46/EC of the European Parliament and of the Council of 24 October 1995 on the protection of individuals with regard to the processing of personal data and on the free movement of such data [1995] OJ L281/31 (‘DPD’) </w:t>
      </w:r>
      <w:r w:rsidRPr="00AD032C">
        <w:rPr>
          <w:rFonts w:cs="Arial"/>
          <w:szCs w:val="18"/>
          <w:lang w:eastAsia="en-GB"/>
        </w:rPr>
        <w:t>defines the ‘data controller’ as a ‘</w:t>
      </w:r>
      <w:r w:rsidRPr="00AD032C">
        <w:rPr>
          <w:rFonts w:cs="Arial"/>
          <w:szCs w:val="18"/>
        </w:rPr>
        <w:t>natural or legal person, public authority, agency or any other body which alone or jointly with others determines the purposes and means of the processing of personal data.’</w:t>
      </w:r>
    </w:p>
  </w:footnote>
  <w:footnote w:id="9">
    <w:p w14:paraId="3065929A" w14:textId="6806048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00894ED6" w:rsidRPr="00AD032C">
        <w:rPr>
          <w:rFonts w:cs="Arial"/>
          <w:szCs w:val="18"/>
        </w:rPr>
        <w:t xml:space="preserve"> Article 2</w:t>
      </w:r>
      <w:r w:rsidRPr="00AD032C">
        <w:rPr>
          <w:rFonts w:cs="Arial"/>
          <w:szCs w:val="18"/>
        </w:rPr>
        <w:t>(e) of the DPD (ibid) defines a data processor as ‘a natural or legal person, public authority, agency or any other body which processes personal data on behalf of the controller’. See Article 29 Data Protection Working Party, Opinion 1/2010 on the Concepts of ‘Controller’ and ‘Processor’ (16 February 2010) &lt; http://ec.europa.eu/justice/policies/privacy/docs/wpdocs/2010/wp169_en.pdf&gt; accessed February 10, 2015.</w:t>
      </w:r>
    </w:p>
  </w:footnote>
  <w:footnote w:id="10">
    <w:p w14:paraId="43B5DB50" w14:textId="78BFCD2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7.</w:t>
      </w:r>
    </w:p>
  </w:footnote>
  <w:footnote w:id="11">
    <w:p w14:paraId="32AB5CD6" w14:textId="6D78FC2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14.</w:t>
      </w:r>
    </w:p>
  </w:footnote>
  <w:footnote w:id="12">
    <w:p w14:paraId="2A97C73E" w14:textId="291AE311" w:rsidR="00473F11" w:rsidRPr="00AD032C" w:rsidRDefault="00473F11" w:rsidP="00894ED6">
      <w:pPr>
        <w:pStyle w:val="FootnoteText"/>
        <w:spacing w:before="240"/>
        <w:rPr>
          <w:rFonts w:cs="Arial"/>
          <w:szCs w:val="18"/>
        </w:rPr>
      </w:pPr>
      <w:r w:rsidRPr="00AD032C">
        <w:rPr>
          <w:rStyle w:val="FootnoteReference"/>
          <w:rFonts w:cs="Arial"/>
          <w:color w:val="000000" w:themeColor="text1"/>
          <w:szCs w:val="18"/>
        </w:rPr>
        <w:footnoteRef/>
      </w:r>
      <w:r w:rsidRPr="00AD032C">
        <w:rPr>
          <w:rFonts w:cs="Arial"/>
          <w:color w:val="000000" w:themeColor="text1"/>
          <w:szCs w:val="18"/>
        </w:rPr>
        <w:t xml:space="preserve"> E.g. Interviews 1, 2, 3 (n 62).</w:t>
      </w:r>
    </w:p>
  </w:footnote>
  <w:footnote w:id="13">
    <w:p w14:paraId="6E6FAD8D" w14:textId="3E67BDE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This was the view of most of my respondents (ibid). Other reasons, such as the central role of personal information in the business models of many Cloud Providers, can also be relevant here. </w:t>
      </w:r>
    </w:p>
  </w:footnote>
  <w:footnote w:id="14">
    <w:p w14:paraId="4D61F5A1" w14:textId="34DE9B3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14 (n 62).</w:t>
      </w:r>
    </w:p>
  </w:footnote>
  <w:footnote w:id="15">
    <w:p w14:paraId="7315503C" w14:textId="27085F2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A29WP, Google Privacy Policy: Main Findings and Recommendations (16 October 2012) &lt; http://www.cnil.fr/fileadmin/documents/en/GOOGLE_PRIVACY_POLICY-_RECOMMENDATIONS-FINAL-EN.pdf&gt; accessed February 10, 2015; Letter from A29WP to Google (16 October 2012) &lt; http://dataprotection.ie/documents/press/Letter_from_the_Article_29_Working_Party_to_Google_in_relation_to_its_new_privacy_policy.pdf&gt; accessed February 10, 2015; Office of the Privacy Commissioner of Canada and the College Bescherming Persoonsgegevens, ‘WhatsApp`s violation of privacy law partly resolved after investigation by data protection authorities,’ (Press Release 28 January 2013) &lt; https://www.priv.gc.ca/media/nr-c/2013/nr-c_130128_e.asp&gt; accessed February 10, 2015. </w:t>
      </w:r>
    </w:p>
  </w:footnote>
  <w:footnote w:id="16">
    <w:p w14:paraId="6ECA2815" w14:textId="6215E5DE" w:rsidR="00473F11" w:rsidRPr="00AD032C" w:rsidRDefault="00473F11" w:rsidP="00894ED6">
      <w:pPr>
        <w:spacing w:before="240" w:after="0" w:line="240" w:lineRule="auto"/>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See </w:t>
      </w:r>
      <w:r w:rsidRPr="00AD032C">
        <w:rPr>
          <w:rFonts w:ascii="Arial" w:hAnsi="Arial" w:cs="Arial"/>
          <w:sz w:val="20"/>
          <w:szCs w:val="18"/>
          <w:lang w:eastAsia="en-GB"/>
        </w:rPr>
        <w:t xml:space="preserve">Lee A Bygrave, </w:t>
      </w:r>
      <w:r w:rsidRPr="00AD032C">
        <w:rPr>
          <w:rFonts w:ascii="Arial" w:hAnsi="Arial" w:cs="Arial"/>
          <w:i/>
          <w:iCs/>
          <w:sz w:val="20"/>
          <w:szCs w:val="18"/>
          <w:lang w:eastAsia="en-GB"/>
        </w:rPr>
        <w:t>Data Protection Law: Approaching its Rationale, Logic and Limits</w:t>
      </w:r>
      <w:r w:rsidRPr="00AD032C">
        <w:rPr>
          <w:rFonts w:ascii="Arial" w:hAnsi="Arial" w:cs="Arial"/>
          <w:sz w:val="20"/>
          <w:szCs w:val="18"/>
          <w:lang w:eastAsia="en-GB"/>
        </w:rPr>
        <w:t xml:space="preserve"> (Kluwer Law International 2002).</w:t>
      </w:r>
    </w:p>
  </w:footnote>
  <w:footnote w:id="17">
    <w:p w14:paraId="5C70AAC2" w14:textId="005E43FA" w:rsidR="00473F11" w:rsidRPr="00AD032C" w:rsidRDefault="00473F11" w:rsidP="00894ED6">
      <w:pPr>
        <w:spacing w:before="240" w:after="0" w:line="240" w:lineRule="auto"/>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Various terms, such as supervisory authorities and privacy commissioners, are used to refer to the statutory independent public regulatory bodies which apply and enforce data protection laws. See n 29. </w:t>
      </w:r>
    </w:p>
  </w:footnote>
  <w:footnote w:id="18">
    <w:p w14:paraId="63C2F2CF" w14:textId="0B5EF06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Article 2(a), DPD (n 7) </w:t>
      </w:r>
    </w:p>
  </w:footnote>
  <w:footnote w:id="19">
    <w:p w14:paraId="6953BB80" w14:textId="7E7BC292"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w:t>
      </w:r>
      <w:r w:rsidR="003A6ECD">
        <w:rPr>
          <w:rFonts w:cs="Arial"/>
          <w:szCs w:val="18"/>
          <w:lang w:eastAsia="en-GB"/>
        </w:rPr>
        <w:t>n 7.</w:t>
      </w:r>
    </w:p>
  </w:footnote>
  <w:footnote w:id="20">
    <w:p w14:paraId="406F8956" w14:textId="6CE462BB" w:rsidR="00473F11" w:rsidRPr="00AD032C" w:rsidRDefault="00473F11" w:rsidP="00894ED6">
      <w:pPr>
        <w:pStyle w:val="FootnoteText"/>
        <w:spacing w:before="240"/>
        <w:rPr>
          <w:rFonts w:cs="Arial"/>
          <w:szCs w:val="18"/>
          <w:lang w:eastAsia="en-GB"/>
        </w:rPr>
      </w:pPr>
      <w:r w:rsidRPr="00AD032C">
        <w:rPr>
          <w:rStyle w:val="FootnoteReference"/>
          <w:rFonts w:cs="Arial"/>
          <w:szCs w:val="18"/>
        </w:rPr>
        <w:footnoteRef/>
      </w:r>
      <w:r w:rsidRPr="00AD032C">
        <w:rPr>
          <w:rFonts w:cs="Arial"/>
          <w:szCs w:val="18"/>
        </w:rPr>
        <w:t xml:space="preserve"> Article 28(3), DPD (n 7) has been inconsistently transposed by various European member states. For more on this, see </w:t>
      </w:r>
      <w:r w:rsidRPr="00AD032C">
        <w:rPr>
          <w:rFonts w:cs="Arial"/>
          <w:szCs w:val="18"/>
          <w:lang w:eastAsia="en-GB"/>
        </w:rPr>
        <w:t xml:space="preserve">Bygrave (n 15), 71ff.  </w:t>
      </w:r>
    </w:p>
  </w:footnote>
  <w:footnote w:id="21">
    <w:p w14:paraId="55147C31" w14:textId="4BD7F33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Socio-legal studies refers to the study of law in context. See </w:t>
      </w:r>
      <w:r w:rsidRPr="00AD032C">
        <w:rPr>
          <w:rFonts w:cs="Arial"/>
          <w:bCs/>
          <w:szCs w:val="18"/>
        </w:rPr>
        <w:t xml:space="preserve">Denis Galligan, </w:t>
      </w:r>
      <w:r w:rsidRPr="00AD032C">
        <w:rPr>
          <w:rFonts w:cs="Arial"/>
          <w:bCs/>
          <w:i/>
          <w:szCs w:val="18"/>
        </w:rPr>
        <w:t xml:space="preserve">Law in Modern Society </w:t>
      </w:r>
      <w:r w:rsidRPr="00AD032C">
        <w:rPr>
          <w:rFonts w:cs="Arial"/>
          <w:bCs/>
          <w:szCs w:val="18"/>
        </w:rPr>
        <w:t>(Oxford University Press 2007).</w:t>
      </w:r>
    </w:p>
  </w:footnote>
  <w:footnote w:id="22">
    <w:p w14:paraId="7E0B340A" w14:textId="57E7F08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Interviews 1, 2, 3, 4, 5, 9, 14 and 15 (n 62); n 63 and n 64.  </w:t>
      </w:r>
    </w:p>
  </w:footnote>
  <w:footnote w:id="23">
    <w:p w14:paraId="0F40ED3D" w14:textId="7A1B0C0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Colin J Bennett, </w:t>
      </w:r>
      <w:r w:rsidRPr="00AD032C">
        <w:rPr>
          <w:rFonts w:cs="Arial"/>
          <w:i/>
          <w:szCs w:val="18"/>
        </w:rPr>
        <w:t>Regulating Privacy: Data Protection and Public Policy in Europe and the United States</w:t>
      </w:r>
      <w:r w:rsidRPr="00AD032C">
        <w:rPr>
          <w:rFonts w:cs="Arial"/>
          <w:szCs w:val="18"/>
        </w:rPr>
        <w:t>, (Cornell University Press 1992).</w:t>
      </w:r>
    </w:p>
  </w:footnote>
  <w:footnote w:id="24">
    <w:p w14:paraId="01DFBA50" w14:textId="3116E59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Abraham Newman, </w:t>
      </w:r>
      <w:r w:rsidRPr="00AD032C">
        <w:rPr>
          <w:rFonts w:cs="Arial"/>
          <w:i/>
          <w:szCs w:val="18"/>
        </w:rPr>
        <w:t>Protectors of Privacy: Regulating Personal Data in the Global Economy</w:t>
      </w:r>
      <w:r w:rsidRPr="00AD032C">
        <w:rPr>
          <w:rFonts w:cs="Arial"/>
          <w:szCs w:val="18"/>
        </w:rPr>
        <w:t xml:space="preserve"> (Ithaca NY Cornell University Press 2008).  </w:t>
      </w:r>
    </w:p>
  </w:footnote>
  <w:footnote w:id="25">
    <w:p w14:paraId="7EFB4D8D" w14:textId="77777777" w:rsidR="00473F11" w:rsidRPr="00AD032C" w:rsidRDefault="00473F11" w:rsidP="00894ED6">
      <w:pPr>
        <w:autoSpaceDE w:val="0"/>
        <w:autoSpaceDN w:val="0"/>
        <w:adjustRightInd w:val="0"/>
        <w:spacing w:before="240" w:after="0"/>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Ibid, 27.</w:t>
      </w:r>
    </w:p>
  </w:footnote>
  <w:footnote w:id="26">
    <w:p w14:paraId="18D904BD" w14:textId="04D04D92"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26. </w:t>
      </w:r>
    </w:p>
  </w:footnote>
  <w:footnote w:id="27">
    <w:p w14:paraId="106C2AB7" w14:textId="0442408E" w:rsidR="00473F11" w:rsidRPr="00AD032C" w:rsidRDefault="00473F11" w:rsidP="00894ED6">
      <w:pPr>
        <w:spacing w:before="240" w:after="0"/>
        <w:rPr>
          <w:rFonts w:ascii="Arial" w:hAnsi="Arial" w:cs="Arial"/>
          <w:sz w:val="20"/>
          <w:szCs w:val="18"/>
          <w:lang w:eastAsia="en-GB"/>
        </w:rPr>
      </w:pPr>
      <w:r w:rsidRPr="00AD032C">
        <w:rPr>
          <w:rStyle w:val="FootnoteReference"/>
          <w:rFonts w:ascii="Arial" w:hAnsi="Arial" w:cs="Arial"/>
          <w:sz w:val="20"/>
          <w:szCs w:val="18"/>
        </w:rPr>
        <w:footnoteRef/>
      </w:r>
      <w:r w:rsidRPr="00AD032C">
        <w:rPr>
          <w:rFonts w:ascii="Arial" w:hAnsi="Arial" w:cs="Arial"/>
          <w:sz w:val="20"/>
          <w:szCs w:val="18"/>
        </w:rPr>
        <w:t xml:space="preserve"> E.g. P Carey, </w:t>
      </w:r>
      <w:r w:rsidRPr="00AD032C">
        <w:rPr>
          <w:rFonts w:ascii="Arial" w:hAnsi="Arial" w:cs="Arial"/>
          <w:i/>
          <w:sz w:val="20"/>
          <w:szCs w:val="18"/>
        </w:rPr>
        <w:t>Data Protection: A Practical Guide to UK and EU Law</w:t>
      </w:r>
      <w:r w:rsidRPr="00AD032C">
        <w:rPr>
          <w:rFonts w:ascii="Arial" w:hAnsi="Arial" w:cs="Arial"/>
          <w:sz w:val="20"/>
          <w:szCs w:val="18"/>
        </w:rPr>
        <w:t xml:space="preserve"> (OUP 2011) 69 and 127;</w:t>
      </w:r>
      <w:r w:rsidRPr="00AD032C">
        <w:rPr>
          <w:rFonts w:ascii="Arial" w:hAnsi="Arial" w:cs="Arial"/>
          <w:color w:val="222222"/>
          <w:sz w:val="20"/>
          <w:szCs w:val="18"/>
          <w:shd w:val="clear" w:color="auto" w:fill="FFFFFF"/>
        </w:rPr>
        <w:t xml:space="preserve"> Philip Schütz, ‘The Set Up of Data Protection Authorities as a New Regulatory Approach,’  in S Gutwirth et al </w:t>
      </w:r>
      <w:r w:rsidRPr="00AD032C">
        <w:rPr>
          <w:rFonts w:ascii="Arial" w:hAnsi="Arial" w:cs="Arial"/>
          <w:i/>
          <w:iCs/>
          <w:color w:val="222222"/>
          <w:sz w:val="20"/>
          <w:szCs w:val="18"/>
          <w:shd w:val="clear" w:color="auto" w:fill="FFFFFF"/>
        </w:rPr>
        <w:t>European Data Protection: In Good Health?</w:t>
      </w:r>
      <w:r w:rsidRPr="00AD032C">
        <w:rPr>
          <w:rFonts w:ascii="Arial" w:hAnsi="Arial" w:cs="Arial"/>
          <w:color w:val="222222"/>
          <w:sz w:val="20"/>
          <w:szCs w:val="18"/>
          <w:shd w:val="clear" w:color="auto" w:fill="FFFFFF"/>
        </w:rPr>
        <w:t xml:space="preserve"> (Springer Netherlands 2012) 125.</w:t>
      </w:r>
    </w:p>
  </w:footnote>
  <w:footnote w:id="28">
    <w:p w14:paraId="20AF6136" w14:textId="77777777" w:rsidR="00473F11" w:rsidRPr="00AD032C" w:rsidRDefault="00473F11" w:rsidP="00894ED6">
      <w:pPr>
        <w:spacing w:before="240" w:after="0"/>
        <w:rPr>
          <w:rFonts w:ascii="Arial" w:hAnsi="Arial" w:cs="Arial"/>
          <w:sz w:val="20"/>
          <w:szCs w:val="18"/>
          <w:lang w:eastAsia="en-GB"/>
        </w:rPr>
      </w:pPr>
      <w:r w:rsidRPr="00AD032C">
        <w:rPr>
          <w:rStyle w:val="FootnoteReference"/>
          <w:rFonts w:ascii="Arial" w:hAnsi="Arial" w:cs="Arial"/>
          <w:sz w:val="20"/>
          <w:szCs w:val="18"/>
        </w:rPr>
        <w:footnoteRef/>
      </w:r>
      <w:r w:rsidRPr="00AD032C">
        <w:rPr>
          <w:rFonts w:ascii="Arial" w:hAnsi="Arial" w:cs="Arial"/>
          <w:sz w:val="20"/>
          <w:szCs w:val="18"/>
        </w:rPr>
        <w:t xml:space="preserve"> E.g. </w:t>
      </w:r>
      <w:r w:rsidRPr="00AD032C">
        <w:rPr>
          <w:rFonts w:ascii="Arial" w:hAnsi="Arial" w:cs="Arial"/>
          <w:sz w:val="20"/>
          <w:szCs w:val="18"/>
          <w:lang w:eastAsia="en-GB"/>
        </w:rPr>
        <w:t>ibid.</w:t>
      </w:r>
    </w:p>
  </w:footnote>
  <w:footnote w:id="29">
    <w:p w14:paraId="033106F9" w14:textId="188E1FEA" w:rsidR="00473F11" w:rsidRPr="00AD032C" w:rsidRDefault="00473F11" w:rsidP="00894ED6">
      <w:pPr>
        <w:spacing w:before="240" w:after="0"/>
        <w:rPr>
          <w:rFonts w:ascii="Arial" w:hAnsi="Arial" w:cs="Arial"/>
          <w:sz w:val="20"/>
          <w:szCs w:val="18"/>
          <w:lang w:eastAsia="en-GB"/>
        </w:rPr>
      </w:pPr>
      <w:r w:rsidRPr="00AD032C">
        <w:rPr>
          <w:rStyle w:val="FootnoteReference"/>
          <w:rFonts w:ascii="Arial" w:hAnsi="Arial" w:cs="Arial"/>
          <w:sz w:val="20"/>
          <w:szCs w:val="18"/>
        </w:rPr>
        <w:footnoteRef/>
      </w:r>
      <w:r w:rsidRPr="00AD032C">
        <w:rPr>
          <w:rFonts w:ascii="Arial" w:hAnsi="Arial" w:cs="Arial"/>
          <w:sz w:val="20"/>
          <w:szCs w:val="18"/>
        </w:rPr>
        <w:t xml:space="preserve"> E.g. </w:t>
      </w:r>
      <w:r w:rsidRPr="00AD032C">
        <w:rPr>
          <w:rFonts w:ascii="Arial" w:hAnsi="Arial" w:cs="Arial"/>
          <w:sz w:val="20"/>
          <w:szCs w:val="18"/>
          <w:lang w:eastAsia="en-GB"/>
        </w:rPr>
        <w:t xml:space="preserve">n 15, chapter 4. </w:t>
      </w:r>
    </w:p>
  </w:footnote>
  <w:footnote w:id="30">
    <w:p w14:paraId="4DE1D84D" w14:textId="19B22DC9" w:rsidR="00473F11" w:rsidRPr="00AD032C" w:rsidRDefault="00473F11" w:rsidP="00894ED6">
      <w:pPr>
        <w:pStyle w:val="FootnoteText"/>
        <w:spacing w:before="240"/>
        <w:rPr>
          <w:rFonts w:cs="Arial"/>
          <w:bCs/>
          <w:szCs w:val="18"/>
        </w:rPr>
      </w:pPr>
      <w:r w:rsidRPr="00AD032C">
        <w:rPr>
          <w:rStyle w:val="FootnoteReference"/>
          <w:rFonts w:cs="Arial"/>
          <w:szCs w:val="18"/>
        </w:rPr>
        <w:footnoteRef/>
      </w:r>
      <w:r w:rsidRPr="00AD032C">
        <w:rPr>
          <w:rFonts w:cs="Arial"/>
          <w:szCs w:val="18"/>
        </w:rPr>
        <w:t xml:space="preserve"> E.g. See Charles Raab and Paul de Hert, ‘</w:t>
      </w:r>
      <w:r w:rsidRPr="00AD032C">
        <w:rPr>
          <w:rFonts w:cs="Arial"/>
          <w:bCs/>
          <w:szCs w:val="18"/>
        </w:rPr>
        <w:t>The Regulation of Technology: Policy Tools and Policy Actors,’ in (ed) Karen Yeung and Roger Brownsword</w:t>
      </w:r>
      <w:r w:rsidRPr="00AD032C">
        <w:rPr>
          <w:rFonts w:cs="Arial"/>
          <w:bCs/>
          <w:i/>
          <w:szCs w:val="18"/>
        </w:rPr>
        <w:t xml:space="preserve">, </w:t>
      </w:r>
      <w:r w:rsidRPr="00AD032C">
        <w:rPr>
          <w:rFonts w:cs="Arial"/>
          <w:bCs/>
          <w:i/>
          <w:iCs/>
          <w:szCs w:val="18"/>
        </w:rPr>
        <w:t>Regulating technologies: legal futures, regulatory frames and technological fixes</w:t>
      </w:r>
      <w:r w:rsidRPr="00AD032C">
        <w:rPr>
          <w:rFonts w:cs="Arial"/>
          <w:bCs/>
          <w:i/>
          <w:szCs w:val="18"/>
        </w:rPr>
        <w:t xml:space="preserve"> </w:t>
      </w:r>
      <w:r w:rsidRPr="00AD032C">
        <w:rPr>
          <w:rFonts w:cs="Arial"/>
          <w:bCs/>
          <w:szCs w:val="18"/>
        </w:rPr>
        <w:t>(Hart 2008) 265ff.</w:t>
      </w:r>
    </w:p>
  </w:footnote>
  <w:footnote w:id="31">
    <w:p w14:paraId="6F5C9F76" w14:textId="4D8AB30A" w:rsidR="00473F11" w:rsidRPr="00AD032C" w:rsidRDefault="00473F11" w:rsidP="00894ED6">
      <w:pPr>
        <w:spacing w:before="240" w:after="0"/>
        <w:rPr>
          <w:rFonts w:ascii="Arial" w:eastAsia="Times New Roman" w:hAnsi="Arial" w:cs="Arial"/>
          <w:sz w:val="20"/>
          <w:szCs w:val="18"/>
          <w:lang w:eastAsia="en-GB"/>
        </w:rPr>
      </w:pPr>
      <w:r w:rsidRPr="00AD032C">
        <w:rPr>
          <w:rStyle w:val="FootnoteReference"/>
          <w:rFonts w:ascii="Arial" w:hAnsi="Arial" w:cs="Arial"/>
          <w:sz w:val="20"/>
          <w:szCs w:val="18"/>
        </w:rPr>
        <w:footnoteRef/>
      </w:r>
      <w:r w:rsidRPr="00AD032C">
        <w:rPr>
          <w:rFonts w:ascii="Arial" w:hAnsi="Arial" w:cs="Arial"/>
          <w:sz w:val="20"/>
          <w:szCs w:val="18"/>
        </w:rPr>
        <w:t xml:space="preserve"> </w:t>
      </w:r>
      <w:r w:rsidRPr="00AD032C">
        <w:rPr>
          <w:rFonts w:ascii="Arial" w:hAnsi="Arial" w:cs="Arial"/>
          <w:sz w:val="20"/>
          <w:szCs w:val="18"/>
          <w:lang w:eastAsia="en-GB"/>
        </w:rPr>
        <w:t xml:space="preserve">Colin J Bennett, ‘The privacy commissioner of Canada: Multiple roles, diverse expectations and structural dilemmas,’ (2003) 46(2) </w:t>
      </w:r>
      <w:r w:rsidRPr="00AD032C">
        <w:rPr>
          <w:rFonts w:ascii="Arial" w:hAnsi="Arial" w:cs="Arial"/>
          <w:iCs/>
          <w:sz w:val="20"/>
          <w:szCs w:val="18"/>
          <w:lang w:eastAsia="en-GB"/>
        </w:rPr>
        <w:t>Canadian Public Administration</w:t>
      </w:r>
      <w:r w:rsidRPr="00AD032C">
        <w:rPr>
          <w:rFonts w:ascii="Arial" w:hAnsi="Arial" w:cs="Arial"/>
          <w:sz w:val="20"/>
          <w:szCs w:val="18"/>
          <w:lang w:eastAsia="en-GB"/>
        </w:rPr>
        <w:t xml:space="preserve"> 218; Colin J Bennett and Charles D Raab, </w:t>
      </w:r>
      <w:r w:rsidRPr="00AD032C">
        <w:rPr>
          <w:rFonts w:ascii="Arial" w:hAnsi="Arial" w:cs="Arial"/>
          <w:i/>
          <w:iCs/>
          <w:sz w:val="20"/>
          <w:szCs w:val="18"/>
          <w:lang w:eastAsia="en-GB"/>
        </w:rPr>
        <w:t>The Governance of Privacy</w:t>
      </w:r>
      <w:r w:rsidRPr="00AD032C">
        <w:rPr>
          <w:rFonts w:ascii="Arial" w:hAnsi="Arial" w:cs="Arial"/>
          <w:sz w:val="20"/>
          <w:szCs w:val="18"/>
          <w:lang w:eastAsia="en-GB"/>
        </w:rPr>
        <w:t xml:space="preserve">: Policy Instruments in Global Perspectives (MIT Press 2006); </w:t>
      </w:r>
      <w:r w:rsidRPr="00AD032C">
        <w:rPr>
          <w:rFonts w:ascii="Arial" w:eastAsia="Times New Roman" w:hAnsi="Arial" w:cs="Arial"/>
          <w:sz w:val="20"/>
          <w:szCs w:val="18"/>
          <w:lang w:eastAsia="en-GB"/>
        </w:rPr>
        <w:t xml:space="preserve">David H Flaherty, </w:t>
      </w:r>
      <w:r w:rsidRPr="00AD032C">
        <w:rPr>
          <w:rFonts w:ascii="Arial" w:eastAsia="Times New Roman" w:hAnsi="Arial" w:cs="Arial"/>
          <w:i/>
          <w:iCs/>
          <w:sz w:val="20"/>
          <w:szCs w:val="18"/>
          <w:lang w:eastAsia="en-GB"/>
        </w:rPr>
        <w:t>Protecting privacy in surveillance societies: The federal republic of Germany, Sweden, France, Canada, and the United States</w:t>
      </w:r>
      <w:r w:rsidRPr="00AD032C">
        <w:rPr>
          <w:rFonts w:ascii="Arial" w:eastAsia="Times New Roman" w:hAnsi="Arial" w:cs="Arial"/>
          <w:sz w:val="20"/>
          <w:szCs w:val="18"/>
          <w:lang w:eastAsia="en-GB"/>
        </w:rPr>
        <w:t xml:space="preserve"> (UNC Press Books 1989).</w:t>
      </w:r>
    </w:p>
  </w:footnote>
  <w:footnote w:id="32">
    <w:p w14:paraId="79FCE165" w14:textId="463C7DC8" w:rsidR="00473F11" w:rsidRPr="00AD032C" w:rsidRDefault="00473F11" w:rsidP="00894ED6">
      <w:pPr>
        <w:pStyle w:val="FootnoteText"/>
        <w:spacing w:before="240"/>
        <w:rPr>
          <w:rFonts w:cs="Arial"/>
          <w:iCs/>
          <w:szCs w:val="18"/>
        </w:rPr>
      </w:pPr>
      <w:r w:rsidRPr="00AD032C">
        <w:rPr>
          <w:rStyle w:val="FootnoteReference"/>
          <w:rFonts w:cs="Arial"/>
          <w:szCs w:val="18"/>
        </w:rPr>
        <w:footnoteRef/>
      </w:r>
      <w:r w:rsidRPr="00AD032C">
        <w:rPr>
          <w:rFonts w:cs="Arial"/>
          <w:szCs w:val="18"/>
        </w:rPr>
        <w:t xml:space="preserve"> See F Bignami, ‘Co-operative Legalism and the Non-Americanisation of European Regulatory Styles: The Case of Data Privacy,’ (2011) 59(2) </w:t>
      </w:r>
      <w:r w:rsidRPr="00AD032C">
        <w:rPr>
          <w:rFonts w:cs="Arial"/>
          <w:iCs/>
          <w:szCs w:val="18"/>
        </w:rPr>
        <w:t xml:space="preserve">American Journal </w:t>
      </w:r>
      <w:r w:rsidRPr="00AD032C">
        <w:rPr>
          <w:rStyle w:val="searchword"/>
          <w:rFonts w:cs="Arial"/>
          <w:iCs/>
          <w:szCs w:val="18"/>
        </w:rPr>
        <w:t>of</w:t>
      </w:r>
      <w:r w:rsidRPr="00AD032C">
        <w:rPr>
          <w:rFonts w:cs="Arial"/>
          <w:iCs/>
          <w:szCs w:val="18"/>
        </w:rPr>
        <w:t xml:space="preserve"> Comparative Law 411.</w:t>
      </w:r>
    </w:p>
  </w:footnote>
  <w:footnote w:id="33">
    <w:p w14:paraId="58DBE2C8" w14:textId="6753C63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33.</w:t>
      </w:r>
    </w:p>
    <w:p w14:paraId="2A5726F9" w14:textId="77777777" w:rsidR="00473F11" w:rsidRPr="00AD032C" w:rsidRDefault="00473F11" w:rsidP="00894ED6">
      <w:pPr>
        <w:pStyle w:val="FootnoteText"/>
        <w:spacing w:before="240"/>
        <w:rPr>
          <w:rFonts w:cs="Arial"/>
          <w:szCs w:val="18"/>
        </w:rPr>
      </w:pPr>
    </w:p>
  </w:footnote>
  <w:footnote w:id="34">
    <w:p w14:paraId="17015ED9" w14:textId="6393407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Interview 1 (n 62).</w:t>
      </w:r>
    </w:p>
  </w:footnote>
  <w:footnote w:id="35">
    <w:p w14:paraId="7CE9236F" w14:textId="374347FA" w:rsidR="00473F11" w:rsidRPr="00AD032C" w:rsidRDefault="00473F11" w:rsidP="00894ED6">
      <w:pPr>
        <w:pStyle w:val="FootnoteText"/>
        <w:spacing w:before="240"/>
        <w:rPr>
          <w:rFonts w:cs="Arial"/>
          <w:color w:val="222222"/>
          <w:szCs w:val="18"/>
          <w:shd w:val="clear" w:color="auto" w:fill="FFFFFF"/>
        </w:rPr>
      </w:pPr>
      <w:r w:rsidRPr="00AD032C">
        <w:rPr>
          <w:rStyle w:val="FootnoteReference"/>
          <w:rFonts w:cs="Arial"/>
          <w:szCs w:val="18"/>
        </w:rPr>
        <w:footnoteRef/>
      </w:r>
      <w:r w:rsidRPr="00AD032C">
        <w:rPr>
          <w:rFonts w:cs="Arial"/>
          <w:szCs w:val="18"/>
        </w:rPr>
        <w:t xml:space="preserve"> J </w:t>
      </w:r>
      <w:r w:rsidRPr="00AD032C">
        <w:rPr>
          <w:rFonts w:cs="Arial"/>
          <w:color w:val="222222"/>
          <w:szCs w:val="18"/>
          <w:shd w:val="clear" w:color="auto" w:fill="FFFFFF"/>
        </w:rPr>
        <w:t xml:space="preserve">Black, ‘Enrolling actors in regulatory systems: examples from UK financial services regulation,’ (2003) </w:t>
      </w:r>
      <w:r w:rsidRPr="00AD032C">
        <w:rPr>
          <w:rFonts w:cs="Arial"/>
          <w:iCs/>
          <w:color w:val="222222"/>
          <w:szCs w:val="18"/>
          <w:shd w:val="clear" w:color="auto" w:fill="FFFFFF"/>
        </w:rPr>
        <w:t>Public Law</w:t>
      </w:r>
      <w:r w:rsidRPr="00AD032C">
        <w:rPr>
          <w:rStyle w:val="apple-converted-space"/>
          <w:rFonts w:cs="Arial"/>
          <w:color w:val="222222"/>
          <w:szCs w:val="18"/>
          <w:shd w:val="clear" w:color="auto" w:fill="FFFFFF"/>
        </w:rPr>
        <w:t> </w:t>
      </w:r>
      <w:r w:rsidRPr="00AD032C">
        <w:rPr>
          <w:rFonts w:cs="Arial"/>
          <w:color w:val="222222"/>
          <w:szCs w:val="18"/>
          <w:shd w:val="clear" w:color="auto" w:fill="FFFFFF"/>
        </w:rPr>
        <w:t>63.</w:t>
      </w:r>
    </w:p>
  </w:footnote>
  <w:footnote w:id="36">
    <w:p w14:paraId="23CB4BD7" w14:textId="794679B2"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33. </w:t>
      </w:r>
    </w:p>
  </w:footnote>
  <w:footnote w:id="37">
    <w:p w14:paraId="492947BA" w14:textId="6436A30B" w:rsidR="00473F11" w:rsidRPr="00AD032C" w:rsidRDefault="00473F11" w:rsidP="00894ED6">
      <w:pPr>
        <w:pStyle w:val="FootnoteText"/>
        <w:spacing w:before="240"/>
        <w:rPr>
          <w:rFonts w:cs="Arial"/>
          <w:color w:val="222222"/>
          <w:szCs w:val="18"/>
          <w:shd w:val="clear" w:color="auto" w:fill="FFFFFF"/>
        </w:rPr>
      </w:pPr>
      <w:r w:rsidRPr="00AD032C">
        <w:rPr>
          <w:rStyle w:val="FootnoteReference"/>
          <w:rFonts w:cs="Arial"/>
          <w:szCs w:val="18"/>
        </w:rPr>
        <w:footnoteRef/>
      </w:r>
      <w:r w:rsidRPr="00AD032C">
        <w:rPr>
          <w:rFonts w:cs="Arial"/>
          <w:szCs w:val="18"/>
        </w:rPr>
        <w:t xml:space="preserve"> S </w:t>
      </w:r>
      <w:r w:rsidRPr="00AD032C">
        <w:rPr>
          <w:rFonts w:cs="Arial"/>
          <w:color w:val="222222"/>
          <w:szCs w:val="18"/>
          <w:shd w:val="clear" w:color="auto" w:fill="FFFFFF"/>
        </w:rPr>
        <w:t>Hunter and Richard W Waterman, ‘Determining an Agency's Regulatory Style: How Does the EPA Water Office Enforce the Law?’ (1992)</w:t>
      </w:r>
      <w:r w:rsidRPr="00AD032C">
        <w:rPr>
          <w:rStyle w:val="apple-converted-space"/>
          <w:rFonts w:cs="Arial"/>
          <w:color w:val="222222"/>
          <w:szCs w:val="18"/>
          <w:shd w:val="clear" w:color="auto" w:fill="FFFFFF"/>
        </w:rPr>
        <w:t> </w:t>
      </w:r>
      <w:r w:rsidRPr="00AD032C">
        <w:rPr>
          <w:rFonts w:cs="Arial"/>
          <w:iCs/>
          <w:color w:val="222222"/>
          <w:szCs w:val="18"/>
          <w:shd w:val="clear" w:color="auto" w:fill="FFFFFF"/>
        </w:rPr>
        <w:t>The Western Political Quarterly</w:t>
      </w:r>
      <w:r w:rsidRPr="00AD032C">
        <w:rPr>
          <w:rStyle w:val="apple-converted-space"/>
          <w:rFonts w:cs="Arial"/>
          <w:color w:val="222222"/>
          <w:szCs w:val="18"/>
          <w:shd w:val="clear" w:color="auto" w:fill="FFFFFF"/>
        </w:rPr>
        <w:t> </w:t>
      </w:r>
      <w:r w:rsidRPr="00AD032C">
        <w:rPr>
          <w:rFonts w:cs="Arial"/>
          <w:color w:val="222222"/>
          <w:szCs w:val="18"/>
          <w:shd w:val="clear" w:color="auto" w:fill="FFFFFF"/>
        </w:rPr>
        <w:t>403.</w:t>
      </w:r>
    </w:p>
  </w:footnote>
  <w:footnote w:id="38">
    <w:p w14:paraId="4FB1957E" w14:textId="3C9B727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L K McAllister, ‘Dimensions of Enforcement Style: Factoring in Regulatory Autonomy and Capacity,’ (2010) 32(1) Law &amp; Policy 61.</w:t>
      </w:r>
    </w:p>
  </w:footnote>
  <w:footnote w:id="39">
    <w:p w14:paraId="129947E2" w14:textId="701CB762"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See N Gunningham and P Grabosky, </w:t>
      </w:r>
      <w:r w:rsidRPr="00AD032C">
        <w:rPr>
          <w:rFonts w:cs="Arial"/>
          <w:i/>
          <w:szCs w:val="18"/>
        </w:rPr>
        <w:t>Smart Regulation: Designing Environmental Policy</w:t>
      </w:r>
      <w:r w:rsidRPr="00AD032C">
        <w:rPr>
          <w:rFonts w:cs="Arial"/>
          <w:szCs w:val="18"/>
        </w:rPr>
        <w:t xml:space="preserve"> (Oxford University Press 1998).</w:t>
      </w:r>
    </w:p>
  </w:footnote>
  <w:footnote w:id="40">
    <w:p w14:paraId="1D67778E" w14:textId="18B4105B"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w:t>
      </w:r>
      <w:r w:rsidRPr="00AD032C">
        <w:rPr>
          <w:rFonts w:cs="Arial"/>
          <w:color w:val="222222"/>
          <w:szCs w:val="18"/>
          <w:shd w:val="clear" w:color="auto" w:fill="FFFFFF"/>
        </w:rPr>
        <w:t xml:space="preserve">Neil Gunningham, ‘Enforcement and compliance strategies,’ in R Baldwin et al (eds) </w:t>
      </w:r>
      <w:r w:rsidRPr="00AD032C">
        <w:rPr>
          <w:rFonts w:cs="Arial"/>
          <w:i/>
          <w:iCs/>
          <w:color w:val="222222"/>
          <w:szCs w:val="18"/>
          <w:shd w:val="clear" w:color="auto" w:fill="FFFFFF"/>
        </w:rPr>
        <w:t>The Oxford Handbook of Regulation</w:t>
      </w:r>
      <w:r w:rsidRPr="00AD032C">
        <w:rPr>
          <w:rStyle w:val="apple-converted-space"/>
          <w:rFonts w:cs="Arial"/>
          <w:color w:val="222222"/>
          <w:szCs w:val="18"/>
          <w:shd w:val="clear" w:color="auto" w:fill="FFFFFF"/>
        </w:rPr>
        <w:t xml:space="preserve"> (OUP 2010) 131, 120. </w:t>
      </w:r>
    </w:p>
  </w:footnote>
  <w:footnote w:id="41">
    <w:p w14:paraId="6AC0E454" w14:textId="2583FAF5"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See K Hawkins, </w:t>
      </w:r>
      <w:r w:rsidRPr="00AD032C">
        <w:rPr>
          <w:rFonts w:cs="Arial"/>
          <w:i/>
          <w:szCs w:val="18"/>
        </w:rPr>
        <w:t>Environment and Enforcement</w:t>
      </w:r>
      <w:r w:rsidRPr="00AD032C">
        <w:rPr>
          <w:rFonts w:cs="Arial"/>
          <w:szCs w:val="18"/>
        </w:rPr>
        <w:t xml:space="preserve"> (New York Oxford University Press, 1984).</w:t>
      </w:r>
    </w:p>
  </w:footnote>
  <w:footnote w:id="42">
    <w:p w14:paraId="05045764" w14:textId="354687E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For a criticisms of the idea of regulatory enforcement styles as being sanction-based only, see S Simpson, </w:t>
      </w:r>
      <w:r w:rsidRPr="00AD032C">
        <w:rPr>
          <w:rFonts w:cs="Arial"/>
          <w:i/>
          <w:szCs w:val="18"/>
        </w:rPr>
        <w:t xml:space="preserve">Corporate Crime and Social Control </w:t>
      </w:r>
      <w:r w:rsidRPr="00AD032C">
        <w:rPr>
          <w:rFonts w:cs="Arial"/>
          <w:szCs w:val="18"/>
        </w:rPr>
        <w:t xml:space="preserve">(Cambridge University Press, 2002). For a critical evaluation of the idea of regulatory enforcement styles as being persuasion-based only, see S Shapiro and R Rabinowitz, ‘Punishment versus Co-operation in Regulatory Enforcement: A Case Study of OSHA,’ (1997) 14 Administrative Law Review 713.  </w:t>
      </w:r>
    </w:p>
  </w:footnote>
  <w:footnote w:id="43">
    <w:p w14:paraId="1197D12F" w14:textId="366825A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 Ayres and J Braithwaite, </w:t>
      </w:r>
      <w:r w:rsidRPr="00AD032C">
        <w:rPr>
          <w:rFonts w:cs="Arial"/>
          <w:i/>
          <w:szCs w:val="18"/>
        </w:rPr>
        <w:t>Responsive Regulation: Transcending the Deregulation Debate</w:t>
      </w:r>
      <w:r w:rsidRPr="00AD032C">
        <w:rPr>
          <w:rFonts w:cs="Arial"/>
          <w:szCs w:val="18"/>
        </w:rPr>
        <w:t xml:space="preserve"> (Oxford University Press 1992).</w:t>
      </w:r>
    </w:p>
  </w:footnote>
  <w:footnote w:id="44">
    <w:p w14:paraId="4F27B0BD" w14:textId="4D1BFB3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37.</w:t>
      </w:r>
    </w:p>
  </w:footnote>
  <w:footnote w:id="45">
    <w:p w14:paraId="04639EE0" w14:textId="54067D4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See Peter J May, ‘Compliance Motivations: Affirmative and Negative Bases,’ (2004) 38(1) Law &amp; Society Review 41. Also see Bettina Lange, ‘Compliance construction in the context of environmental regulation,’ (1999) 8(4) Social &amp; Legal Studies 549.</w:t>
      </w:r>
    </w:p>
  </w:footnote>
  <w:footnote w:id="46">
    <w:p w14:paraId="31D70E7D" w14:textId="6964411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For more see, n 62- 64 below. At times, I interviewed more than one person working for the DPAs especially when interviewing large DPAs.</w:t>
      </w:r>
    </w:p>
  </w:footnote>
  <w:footnote w:id="47">
    <w:p w14:paraId="21CE6F10" w14:textId="5C6E39D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In Germany, the Federal Data Protection Act (BDSG) in the version promulgated on  January 14, 2003 (Federal Law Gazette I p. 66), as most recently amended by Article 1 of the Act of 14 August 2009 (Federal Law Gazette I p. 2814) &lt; http://www.gesetze-im-internet.de/englisch_bdsg/englisch_bdsg.html#p0008&gt; accessed February 10, 2015. In France, the Act No 78-17 of January 6, 1978 on Information Technology, Data Files and Civil Liberties (France). In Ireland, the Data Protection Act 1988 as amended in 2003, and DPD n 7.</w:t>
      </w:r>
    </w:p>
  </w:footnote>
  <w:footnote w:id="48">
    <w:p w14:paraId="73CD67F9" w14:textId="2340546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The drafts of the proposed General Data Protection Regulation. E.g. Commission, ‘Proposal for a Regulation of the European Parliament and of The Council on the protection of individuals with regard to the processing of personal data and on the free movement of such data (General Data Protection Regulation)’ COM 2012 (011) final &lt;http://eur-lex.europa.eu/LexUriServ/LexUriServ.do?uri=CELEX:52012PC0011:en:NOT&gt;; </w:t>
      </w:r>
      <w:r w:rsidRPr="00AD032C">
        <w:rPr>
          <w:rFonts w:eastAsiaTheme="minorHAnsi" w:cs="Arial"/>
          <w:szCs w:val="18"/>
        </w:rPr>
        <w:t>European Parliament legislative resolution of  March 12, 2014 on the proposal for a regulation of the European Parliament and of the Council on the protection of individuals with regard to the processing of personal data and on the free movement of such data (General Data Protection Regulation) COM 2012 (011) &lt;http://www.europarl.europa.eu/sides/getDoc.do?pubRef=-//EP//TEXT+TA+P7-TA-2014-0212+0+DOC+XML+V0//EN&gt;</w:t>
      </w:r>
      <w:r w:rsidRPr="00AD032C">
        <w:rPr>
          <w:rFonts w:cs="Arial"/>
          <w:szCs w:val="18"/>
        </w:rPr>
        <w:t>; and Council document 17831/13 &lt;http://register.consilium.europa.eu/doc/srv?l=EN&amp;t=PDF&amp;gc=true&amp;sc=false&amp;f=ST%2017831%202013%20INIT&gt; all accessed  February 10, 2015) (‘GDPR’).</w:t>
      </w:r>
    </w:p>
  </w:footnote>
  <w:footnote w:id="49">
    <w:p w14:paraId="2A1A9ED0" w14:textId="77777777" w:rsidR="00473F11" w:rsidRPr="00AD032C" w:rsidRDefault="00473F11" w:rsidP="00894ED6">
      <w:pPr>
        <w:spacing w:before="240" w:after="0"/>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E.g. Viviane Reding, ‘Strong and independent data protection authorities: the bedrock of the EU's data protection reform,’ (Speech 12/316, 3 April 2012) &lt; http://europa.eu/rapid/press-release_SPEECH-12-316_en.htm&gt; accessed 6 July 2014. </w:t>
      </w:r>
    </w:p>
  </w:footnote>
  <w:footnote w:id="50">
    <w:p w14:paraId="2A3A85DA" w14:textId="78B473F7" w:rsidR="00473F11" w:rsidRPr="00AD032C" w:rsidRDefault="00473F11" w:rsidP="00894ED6">
      <w:pPr>
        <w:pStyle w:val="FootnoteText"/>
        <w:spacing w:before="240"/>
        <w:rPr>
          <w:rFonts w:cs="Arial"/>
          <w:bCs/>
          <w:szCs w:val="18"/>
        </w:rPr>
      </w:pPr>
      <w:r w:rsidRPr="00AD032C">
        <w:rPr>
          <w:rStyle w:val="FootnoteReference"/>
          <w:rFonts w:cs="Arial"/>
          <w:szCs w:val="18"/>
        </w:rPr>
        <w:footnoteRef/>
      </w:r>
      <w:r w:rsidRPr="00AD032C">
        <w:rPr>
          <w:rFonts w:cs="Arial"/>
          <w:szCs w:val="18"/>
        </w:rPr>
        <w:t xml:space="preserve"> E.g. </w:t>
      </w:r>
      <w:r w:rsidRPr="00AD032C">
        <w:rPr>
          <w:rFonts w:cs="Arial"/>
          <w:bCs/>
          <w:szCs w:val="18"/>
        </w:rPr>
        <w:t>Mark Zuckerberg, ‘Our Commitment to the Facebook community,’ (Facebook, 29 November 2011) &lt;</w:t>
      </w:r>
      <w:r w:rsidRPr="00AD032C">
        <w:rPr>
          <w:rFonts w:cs="Arial"/>
          <w:szCs w:val="18"/>
        </w:rPr>
        <w:t xml:space="preserve"> </w:t>
      </w:r>
      <w:r w:rsidRPr="00AD032C">
        <w:rPr>
          <w:rFonts w:cs="Arial"/>
          <w:bCs/>
          <w:szCs w:val="18"/>
        </w:rPr>
        <w:t>https://blog.facebook.com/blog.php?post=10150378701937131&gt; accessed July 1, 2014.</w:t>
      </w:r>
    </w:p>
  </w:footnote>
  <w:footnote w:id="51">
    <w:p w14:paraId="224D362C" w14:textId="3DD1BA7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14.</w:t>
      </w:r>
    </w:p>
  </w:footnote>
  <w:footnote w:id="52">
    <w:p w14:paraId="0CA28D49" w14:textId="31EAA10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53">
    <w:p w14:paraId="1733431C" w14:textId="5F2C583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European Data Protection Days 2014 &lt; http://www.euroforum.de/edpd/#*&gt; accessed July 6, 2014 which was held in Berlin on May, 12 and 132014. </w:t>
      </w:r>
    </w:p>
  </w:footnote>
  <w:footnote w:id="54">
    <w:p w14:paraId="24A2578D" w14:textId="45658BBB" w:rsidR="00473F11" w:rsidRPr="00AD032C" w:rsidRDefault="00473F11" w:rsidP="00894ED6">
      <w:pPr>
        <w:pStyle w:val="FootnoteText"/>
        <w:spacing w:before="240"/>
        <w:rPr>
          <w:rFonts w:cs="Arial"/>
          <w:color w:val="222222"/>
          <w:szCs w:val="18"/>
          <w:shd w:val="clear" w:color="auto" w:fill="FFFFFF"/>
        </w:rPr>
      </w:pPr>
      <w:r w:rsidRPr="00AD032C">
        <w:rPr>
          <w:rStyle w:val="FootnoteReference"/>
          <w:rFonts w:cs="Arial"/>
          <w:szCs w:val="18"/>
        </w:rPr>
        <w:footnoteRef/>
      </w:r>
      <w:r w:rsidRPr="00AD032C">
        <w:rPr>
          <w:rFonts w:cs="Arial"/>
          <w:szCs w:val="18"/>
        </w:rPr>
        <w:t xml:space="preserve"> E.g.  </w:t>
      </w:r>
      <w:r w:rsidRPr="00AD032C">
        <w:rPr>
          <w:rFonts w:cs="Arial"/>
          <w:color w:val="222222"/>
          <w:szCs w:val="18"/>
          <w:shd w:val="clear" w:color="auto" w:fill="FFFFFF"/>
        </w:rPr>
        <w:t>Mira Crouch and Heather McKenzie, ‘The logic of small samples in interview-based qualitative research,’ (2006) 45(4)</w:t>
      </w:r>
      <w:r w:rsidRPr="00AD032C">
        <w:rPr>
          <w:rStyle w:val="apple-converted-space"/>
          <w:rFonts w:cs="Arial"/>
          <w:color w:val="222222"/>
          <w:szCs w:val="18"/>
          <w:shd w:val="clear" w:color="auto" w:fill="FFFFFF"/>
        </w:rPr>
        <w:t> </w:t>
      </w:r>
      <w:r w:rsidRPr="00AD032C">
        <w:rPr>
          <w:rFonts w:cs="Arial"/>
          <w:iCs/>
          <w:color w:val="222222"/>
          <w:szCs w:val="18"/>
          <w:shd w:val="clear" w:color="auto" w:fill="FFFFFF"/>
        </w:rPr>
        <w:t>Social Science Information</w:t>
      </w:r>
      <w:r w:rsidRPr="00AD032C">
        <w:rPr>
          <w:rStyle w:val="apple-converted-space"/>
          <w:rFonts w:cs="Arial"/>
          <w:color w:val="222222"/>
          <w:szCs w:val="18"/>
          <w:shd w:val="clear" w:color="auto" w:fill="FFFFFF"/>
        </w:rPr>
        <w:t> </w:t>
      </w:r>
      <w:r w:rsidRPr="00AD032C">
        <w:rPr>
          <w:rFonts w:cs="Arial"/>
          <w:color w:val="222222"/>
          <w:szCs w:val="18"/>
          <w:shd w:val="clear" w:color="auto" w:fill="FFFFFF"/>
        </w:rPr>
        <w:t>483.</w:t>
      </w:r>
    </w:p>
  </w:footnote>
  <w:footnote w:id="55">
    <w:p w14:paraId="530F3827" w14:textId="4116709A"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There are no rules governing the minimum acceptable sampling size for qualitative interviews. For example, see C A B Warren, ‘Qualitative Interviewing,’ in J F Gubrium and J A Holstein (eds) </w:t>
      </w:r>
      <w:r w:rsidRPr="00AD032C">
        <w:rPr>
          <w:rFonts w:cs="Arial"/>
          <w:i/>
          <w:szCs w:val="18"/>
        </w:rPr>
        <w:t>Handbook of Interview Research: Context and Method</w:t>
      </w:r>
      <w:r w:rsidRPr="00AD032C">
        <w:rPr>
          <w:rFonts w:cs="Arial"/>
          <w:szCs w:val="18"/>
        </w:rPr>
        <w:t xml:space="preserve"> (Thousand Oaks CA Sage, 2002) 99 suggests that 20-30 interviews support valid conclusions. However, </w:t>
      </w:r>
      <w:r w:rsidRPr="00AD032C">
        <w:rPr>
          <w:rFonts w:cs="Arial"/>
          <w:color w:val="222222"/>
          <w:szCs w:val="18"/>
          <w:shd w:val="clear" w:color="auto" w:fill="FFFFFF"/>
        </w:rPr>
        <w:t xml:space="preserve">Kathleen Gerson and Ruth Horowitz, ‘Observation and interviewing: Options and choices in qualitative research,’ (2002) </w:t>
      </w:r>
      <w:r w:rsidRPr="00AD032C">
        <w:rPr>
          <w:rFonts w:cs="Arial"/>
          <w:iCs/>
          <w:color w:val="222222"/>
          <w:szCs w:val="18"/>
          <w:shd w:val="clear" w:color="auto" w:fill="FFFFFF"/>
        </w:rPr>
        <w:t>Qualitative research in action</w:t>
      </w:r>
      <w:r w:rsidRPr="00AD032C">
        <w:rPr>
          <w:rStyle w:val="apple-converted-space"/>
          <w:rFonts w:cs="Arial"/>
          <w:color w:val="222222"/>
          <w:szCs w:val="18"/>
          <w:shd w:val="clear" w:color="auto" w:fill="FFFFFF"/>
        </w:rPr>
        <w:t> </w:t>
      </w:r>
      <w:r w:rsidRPr="00AD032C">
        <w:rPr>
          <w:rFonts w:cs="Arial"/>
          <w:color w:val="222222"/>
          <w:szCs w:val="18"/>
          <w:shd w:val="clear" w:color="auto" w:fill="FFFFFF"/>
        </w:rPr>
        <w:t xml:space="preserve">199, 223 </w:t>
      </w:r>
      <w:r w:rsidRPr="00AD032C">
        <w:rPr>
          <w:rFonts w:cs="Arial"/>
          <w:szCs w:val="18"/>
        </w:rPr>
        <w:t xml:space="preserve">argue that fewer than 60 interviews can be used to generate valid conclusions. The general rule of thumb is that the adequate number of qualitative interviews for a research project is always context-specific. The sample size should not be too small to prevent data saturation, theoretical saturation or informational redundancy. Additionally the sample size should not be too large so that the researcher is unable to understand the object of study in-depth. See </w:t>
      </w:r>
      <w:r w:rsidRPr="00AD032C">
        <w:rPr>
          <w:rFonts w:cs="Arial"/>
          <w:color w:val="222222"/>
          <w:szCs w:val="18"/>
          <w:shd w:val="clear" w:color="auto" w:fill="FFFFFF"/>
        </w:rPr>
        <w:t>Alan Bryman,</w:t>
      </w:r>
      <w:r w:rsidRPr="00AD032C">
        <w:rPr>
          <w:rStyle w:val="apple-converted-space"/>
          <w:rFonts w:cs="Arial"/>
          <w:color w:val="222222"/>
          <w:szCs w:val="18"/>
          <w:shd w:val="clear" w:color="auto" w:fill="FFFFFF"/>
        </w:rPr>
        <w:t> </w:t>
      </w:r>
      <w:r w:rsidRPr="00AD032C">
        <w:rPr>
          <w:rFonts w:cs="Arial"/>
          <w:i/>
          <w:iCs/>
          <w:color w:val="222222"/>
          <w:szCs w:val="18"/>
          <w:shd w:val="clear" w:color="auto" w:fill="FFFFFF"/>
        </w:rPr>
        <w:t>Social Research Methods</w:t>
      </w:r>
      <w:r w:rsidRPr="00AD032C">
        <w:rPr>
          <w:rFonts w:cs="Arial"/>
          <w:color w:val="222222"/>
          <w:szCs w:val="18"/>
          <w:shd w:val="clear" w:color="auto" w:fill="FFFFFF"/>
        </w:rPr>
        <w:t xml:space="preserve"> (OUP 2012) 425ff</w:t>
      </w:r>
      <w:r w:rsidRPr="00AD032C">
        <w:rPr>
          <w:rFonts w:cs="Arial"/>
          <w:szCs w:val="18"/>
        </w:rPr>
        <w:t xml:space="preserve">. In my present research project, between 10-20 interviews would provide a valid sample as Cloud Investigations in Europe are a recent phenomenon. Thus I target respondents whose activities are directly relevant to my research questions. For more on the virtues of a small sample (under twenty) see Crouch and Mackenzie (n 53). </w:t>
      </w:r>
    </w:p>
  </w:footnote>
  <w:footnote w:id="56">
    <w:p w14:paraId="09EA0F8E" w14:textId="14EA92FF"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Some EU DPAs have fining powers whereas others do not. Section 55 A of the Data Protection Act 1998 authorises the UK DPA to impose a monetary penalty on a data controller in specific circumstances. Conversely, the Irish DPA has no fining power (n 46).</w:t>
      </w:r>
    </w:p>
  </w:footnote>
  <w:footnote w:id="57">
    <w:p w14:paraId="736376D3" w14:textId="06160C5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Some DPAs, such as the German federal and state DPAs, are bound by administrative laws when they exercise their powers. See n 30.</w:t>
      </w:r>
    </w:p>
  </w:footnote>
  <w:footnote w:id="58">
    <w:p w14:paraId="505583EE" w14:textId="79AB366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62.</w:t>
      </w:r>
    </w:p>
  </w:footnote>
  <w:footnote w:id="59">
    <w:p w14:paraId="127CB8B1" w14:textId="752EA17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14.</w:t>
      </w:r>
    </w:p>
  </w:footnote>
  <w:footnote w:id="60">
    <w:p w14:paraId="55C62063"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For more on sampling for qualitative interviews, see </w:t>
      </w:r>
      <w:r w:rsidRPr="00AD032C">
        <w:rPr>
          <w:rFonts w:cs="Arial"/>
          <w:color w:val="222222"/>
          <w:szCs w:val="18"/>
          <w:shd w:val="clear" w:color="auto" w:fill="FFFFFF"/>
        </w:rPr>
        <w:t xml:space="preserve">Nigel King and Christine Horrocks </w:t>
      </w:r>
      <w:r w:rsidRPr="00AD032C">
        <w:rPr>
          <w:rFonts w:cs="Arial"/>
          <w:i/>
          <w:iCs/>
          <w:color w:val="222222"/>
          <w:szCs w:val="18"/>
          <w:shd w:val="clear" w:color="auto" w:fill="FFFFFF"/>
        </w:rPr>
        <w:t>Interviews in qualitative research</w:t>
      </w:r>
      <w:r w:rsidRPr="00AD032C">
        <w:rPr>
          <w:rFonts w:cs="Arial"/>
          <w:color w:val="222222"/>
          <w:szCs w:val="18"/>
          <w:shd w:val="clear" w:color="auto" w:fill="FFFFFF"/>
        </w:rPr>
        <w:t xml:space="preserve"> (Sage, 2010).</w:t>
      </w:r>
    </w:p>
  </w:footnote>
  <w:footnote w:id="61">
    <w:p w14:paraId="159271D4" w14:textId="27C53B5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For more on purposive sampling and its validity, see Bryman (n 54, 417 ff).</w:t>
      </w:r>
    </w:p>
  </w:footnote>
  <w:footnote w:id="62">
    <w:p w14:paraId="23ADBD19"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The Research Ethics Committee of Queen Mary, University of London granted ethical approval on 21 May 2014. Letter on file with author.</w:t>
      </w:r>
    </w:p>
  </w:footnote>
  <w:footnote w:id="63">
    <w:p w14:paraId="3F152407" w14:textId="1788CB4F"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of the Commissioner of one EU DPA conducted by the author on May 30, 2014 (‘Interview 1’), interview of a senior official of another EU DPA conducted by the author on July 25, 2014 (‘Interview 2’), interview of a senior official of another EU DPA conducted by the author on July 1, 2014 (‘Interview 3’), interview of a senior official of another EU DPA conducted by the author on July 8, 2014 (‘Interview 4’), interview of a senior official of another EU DPA conducted by the author on July 11, 2014 (‘Interview 5), interview of a senior official of another EU DPA conducted by the author on June 6, 2014 (‘Interview 9), interview of a senior official of another EU DPA conducted by the author on December 5, 2014 (‘Interview 14’), and interview of the head of department of the team of a DPA that conducts Cloud Investigations by the author on December 4, 2014 (‘Interview 15’).  </w:t>
      </w:r>
    </w:p>
  </w:footnote>
  <w:footnote w:id="64">
    <w:p w14:paraId="2913F01E" w14:textId="1F99E83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of a senior legal counsel of one large multinational Cloud Provider conducted by the author on July 10, 2014 (‘Interview  10’), interview of a senior legal counsel of another large multinational Cloud Provider conducted by the author on July 8, 2014 (‘Interview 11’), interview of a senior legal counsel of another popular multinational Cloud Provider conducted by the author on September 16, 2014 (‘Interview 12’), and  interview of another large multinational Cloud Provider conducted by the author on November 4, 2014 (‘Interview 13’).</w:t>
      </w:r>
    </w:p>
  </w:footnote>
  <w:footnote w:id="65">
    <w:p w14:paraId="2E257E13" w14:textId="1488019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of a senior representative of one of the European institutions conducted by the author on July 11, 2014 (‘Interview 7’) and interview of a senior representation of another European institution conducted by the author on June 26, 2014 (‘Interview 8’).</w:t>
      </w:r>
    </w:p>
  </w:footnote>
  <w:footnote w:id="66">
    <w:p w14:paraId="4DAB013D" w14:textId="7F3DDCA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Bryman (n 54), 425.</w:t>
      </w:r>
    </w:p>
  </w:footnote>
  <w:footnote w:id="67">
    <w:p w14:paraId="548DE527" w14:textId="001C7DFF"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60, 148.</w:t>
      </w:r>
    </w:p>
  </w:footnote>
  <w:footnote w:id="68">
    <w:p w14:paraId="390B0666" w14:textId="6C49B8D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61, 51.</w:t>
      </w:r>
    </w:p>
  </w:footnote>
  <w:footnote w:id="69">
    <w:p w14:paraId="77013EC2" w14:textId="7007C77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Edward Snowden is a former contractor of the US National Surveillance Agency (‘NSA’). In June 2013, Mr Snowden leaked the details of extensive internet and phone surveillance by the NSA. These leaks were followed by further revelations in several newspapers that the NSA directly tapped into the servers of various internet companies including multinational Cloud Providers such as Facebook, Google, Microsoft and Yahoo to track online communications. For more see ‘Edward Snowden: Leaks that exposed US spy programme,’ (BBC News 17 January 2014) &lt; http://www.bbc.co.uk/news/world-us-canada-23123964&gt; accessed February 10, 2015.</w:t>
      </w:r>
    </w:p>
  </w:footnote>
  <w:footnote w:id="70">
    <w:p w14:paraId="05D1922A" w14:textId="6417EE85"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See Bryman (n 54). Also Robert K Yin, </w:t>
      </w:r>
      <w:r w:rsidRPr="00AD032C">
        <w:rPr>
          <w:rFonts w:cs="Arial"/>
          <w:i/>
          <w:szCs w:val="18"/>
        </w:rPr>
        <w:t>Qualitative Research: Design and Methods</w:t>
      </w:r>
      <w:r w:rsidRPr="00AD032C">
        <w:rPr>
          <w:rFonts w:cs="Arial"/>
          <w:szCs w:val="18"/>
        </w:rPr>
        <w:t xml:space="preserve"> (Sage 2013).</w:t>
      </w:r>
    </w:p>
  </w:footnote>
  <w:footnote w:id="71">
    <w:p w14:paraId="53E10822" w14:textId="590C989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72">
    <w:p w14:paraId="7B01E700" w14:textId="1102B6A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73">
    <w:p w14:paraId="26BC346F" w14:textId="77722AB8" w:rsidR="00473F11" w:rsidRPr="00AD032C" w:rsidRDefault="00473F11" w:rsidP="00894ED6">
      <w:pPr>
        <w:spacing w:before="240" w:after="0" w:line="240" w:lineRule="auto"/>
        <w:rPr>
          <w:rFonts w:ascii="Arial" w:eastAsia="Calibri"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w:t>
      </w:r>
      <w:r w:rsidRPr="00AD032C">
        <w:rPr>
          <w:rFonts w:ascii="Arial" w:eastAsia="Calibri" w:hAnsi="Arial" w:cs="Arial"/>
          <w:sz w:val="20"/>
          <w:szCs w:val="18"/>
        </w:rPr>
        <w:t xml:space="preserve">GE Guba and YS Lincoln, ‘Competing paradigms in qualitative research,’ (1994) 2 </w:t>
      </w:r>
      <w:r w:rsidRPr="00AD032C">
        <w:rPr>
          <w:rFonts w:ascii="Arial" w:eastAsia="Calibri" w:hAnsi="Arial" w:cs="Arial"/>
          <w:iCs/>
          <w:sz w:val="20"/>
          <w:szCs w:val="18"/>
        </w:rPr>
        <w:t>Handbook of Qualitative Research</w:t>
      </w:r>
      <w:r w:rsidRPr="00AD032C">
        <w:rPr>
          <w:rFonts w:ascii="Arial" w:eastAsia="Calibri" w:hAnsi="Arial" w:cs="Arial"/>
          <w:sz w:val="20"/>
          <w:szCs w:val="18"/>
        </w:rPr>
        <w:t xml:space="preserve"> 163.</w:t>
      </w:r>
    </w:p>
    <w:p w14:paraId="71DDCBAD" w14:textId="77777777" w:rsidR="00473F11" w:rsidRPr="00AD032C" w:rsidRDefault="00473F11" w:rsidP="00894ED6">
      <w:pPr>
        <w:spacing w:before="240" w:after="0" w:line="240" w:lineRule="auto"/>
        <w:rPr>
          <w:rFonts w:ascii="Arial" w:eastAsia="Calibri" w:hAnsi="Arial" w:cs="Arial"/>
          <w:sz w:val="20"/>
          <w:szCs w:val="18"/>
        </w:rPr>
      </w:pPr>
    </w:p>
  </w:footnote>
  <w:footnote w:id="74">
    <w:p w14:paraId="49E84032" w14:textId="2BB1C216" w:rsidR="00473F11" w:rsidRPr="00AD032C" w:rsidRDefault="00473F11" w:rsidP="00894ED6">
      <w:pPr>
        <w:spacing w:before="240" w:after="0" w:line="240" w:lineRule="auto"/>
        <w:jc w:val="both"/>
        <w:rPr>
          <w:rFonts w:ascii="Arial" w:eastAsia="Times New Roman"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w:t>
      </w:r>
      <w:r w:rsidRPr="00AD032C">
        <w:rPr>
          <w:rFonts w:ascii="Arial" w:eastAsia="Times New Roman" w:hAnsi="Arial" w:cs="Arial"/>
          <w:sz w:val="20"/>
          <w:szCs w:val="18"/>
        </w:rPr>
        <w:t xml:space="preserve">Chris Kuner, </w:t>
      </w:r>
      <w:r w:rsidRPr="00AD032C">
        <w:rPr>
          <w:rFonts w:ascii="Arial" w:eastAsia="Times New Roman" w:hAnsi="Arial" w:cs="Arial"/>
          <w:i/>
          <w:sz w:val="20"/>
          <w:szCs w:val="18"/>
        </w:rPr>
        <w:t>Transborder Data Flows and Data Privacy Law</w:t>
      </w:r>
      <w:r w:rsidRPr="00AD032C">
        <w:rPr>
          <w:rFonts w:ascii="Arial" w:eastAsia="Times New Roman" w:hAnsi="Arial" w:cs="Arial"/>
          <w:sz w:val="20"/>
          <w:szCs w:val="18"/>
        </w:rPr>
        <w:t xml:space="preserve"> (OUP 2013). </w:t>
      </w:r>
      <w:r w:rsidRPr="00AD032C">
        <w:rPr>
          <w:rFonts w:ascii="Arial" w:hAnsi="Arial" w:cs="Arial"/>
          <w:sz w:val="20"/>
          <w:szCs w:val="18"/>
        </w:rPr>
        <w:t xml:space="preserve">Other collaborations between DPAs can also be relevant in the cloud context. For example, EU DPAs often collaborate with one another during Cloud Investigations during the meetings of the technology sub-group of the Article 29 Working Party (‘A29WP’). The A29WP is </w:t>
      </w:r>
      <w:r w:rsidRPr="00AD032C">
        <w:rPr>
          <w:rFonts w:ascii="Arial" w:eastAsia="Times New Roman" w:hAnsi="Arial" w:cs="Arial"/>
          <w:sz w:val="20"/>
          <w:szCs w:val="18"/>
        </w:rPr>
        <w:t>an advisory body which is composed of the representatives of the EU DPAs, the European Data Protection Supervisor</w:t>
      </w:r>
      <w:r w:rsidRPr="00AD032C">
        <w:rPr>
          <w:rFonts w:ascii="Arial" w:hAnsi="Arial" w:cs="Arial"/>
          <w:sz w:val="20"/>
          <w:szCs w:val="18"/>
          <w:vertAlign w:val="superscript"/>
        </w:rPr>
        <w:t xml:space="preserve"> </w:t>
      </w:r>
      <w:r w:rsidRPr="00AD032C">
        <w:rPr>
          <w:rFonts w:ascii="Arial" w:eastAsia="Times New Roman" w:hAnsi="Arial" w:cs="Arial"/>
          <w:sz w:val="20"/>
          <w:szCs w:val="18"/>
        </w:rPr>
        <w:t>and the European Commission</w:t>
      </w:r>
      <w:r w:rsidRPr="00AD032C">
        <w:rPr>
          <w:rFonts w:ascii="Arial" w:hAnsi="Arial" w:cs="Arial"/>
          <w:sz w:val="20"/>
          <w:szCs w:val="18"/>
        </w:rPr>
        <w:t xml:space="preserve">. It holds five plenary meetings annually. During the </w:t>
      </w:r>
      <w:r w:rsidRPr="00AD032C">
        <w:rPr>
          <w:rFonts w:ascii="Arial" w:eastAsia="Times New Roman" w:hAnsi="Arial" w:cs="Arial"/>
          <w:sz w:val="20"/>
          <w:szCs w:val="18"/>
        </w:rPr>
        <w:t>plenary meetings, various sub-groups of the A29WP, such as the</w:t>
      </w:r>
      <w:r w:rsidRPr="00AD032C">
        <w:rPr>
          <w:rFonts w:ascii="Arial" w:hAnsi="Arial" w:cs="Arial"/>
          <w:sz w:val="20"/>
          <w:szCs w:val="18"/>
        </w:rPr>
        <w:t xml:space="preserve"> technology sub-group,</w:t>
      </w:r>
      <w:r w:rsidRPr="00AD032C">
        <w:rPr>
          <w:rFonts w:ascii="Arial" w:eastAsia="Times New Roman" w:hAnsi="Arial" w:cs="Arial"/>
          <w:sz w:val="20"/>
          <w:szCs w:val="18"/>
        </w:rPr>
        <w:t xml:space="preserve"> also meet to address specific data protection issues raised by the Internet and similar technologies</w:t>
      </w:r>
      <w:r w:rsidRPr="00AD032C">
        <w:rPr>
          <w:rFonts w:ascii="Arial" w:hAnsi="Arial" w:cs="Arial"/>
          <w:sz w:val="20"/>
          <w:szCs w:val="18"/>
        </w:rPr>
        <w:t>. Interviews 1, 2, 4 and 9 (n 62).</w:t>
      </w:r>
    </w:p>
  </w:footnote>
  <w:footnote w:id="75">
    <w:p w14:paraId="64DA147C" w14:textId="548EE0F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For more on the importance of transnational enforcement action in ensuring that shared data protection principles are applied and enforced consistently, see C Reed, </w:t>
      </w:r>
      <w:r w:rsidRPr="00AD032C">
        <w:rPr>
          <w:rFonts w:cs="Arial"/>
          <w:i/>
          <w:szCs w:val="18"/>
        </w:rPr>
        <w:t>Making Laws for Cyberspace</w:t>
      </w:r>
      <w:r w:rsidRPr="00AD032C">
        <w:rPr>
          <w:rFonts w:cs="Arial"/>
          <w:szCs w:val="18"/>
        </w:rPr>
        <w:t xml:space="preserve"> (OUP, 2012) 49ff.</w:t>
      </w:r>
    </w:p>
  </w:footnote>
  <w:footnote w:id="76">
    <w:p w14:paraId="02F8AF8A" w14:textId="5AE2BAC7" w:rsidR="00473F11" w:rsidRPr="00AD032C" w:rsidRDefault="00473F11" w:rsidP="00894ED6">
      <w:pPr>
        <w:spacing w:before="240" w:after="0" w:line="240" w:lineRule="auto"/>
        <w:rPr>
          <w:rFonts w:ascii="Arial" w:eastAsia="Calibri"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Interview 15 (n 62).</w:t>
      </w:r>
      <w:r w:rsidRPr="00AD032C">
        <w:rPr>
          <w:rFonts w:ascii="Arial" w:eastAsia="Calibri" w:hAnsi="Arial" w:cs="Arial"/>
          <w:sz w:val="20"/>
          <w:szCs w:val="18"/>
        </w:rPr>
        <w:t xml:space="preserve"> Tempting as it may be, we should not reach conclusions about joint Cloud Investigations that extend beyond the confines of the analysed data given that my findings relate only to one joint Cloud Investigation. </w:t>
      </w:r>
    </w:p>
  </w:footnote>
  <w:footnote w:id="77">
    <w:p w14:paraId="7736CFBD" w14:textId="661CB35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Outcome means whether the investigation succeeds in bringing the operations and policies of the Cloud Provider in line with the relevant data protection laws.</w:t>
      </w:r>
    </w:p>
  </w:footnote>
  <w:footnote w:id="78">
    <w:p w14:paraId="65159092" w14:textId="100D576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Other factors, such as compliance attitudes of Cloud Provider, can be relevant here. However, as I did not interview CP4. I do not wish to speculate on its compliance responses to Investigation 4. </w:t>
      </w:r>
    </w:p>
  </w:footnote>
  <w:footnote w:id="79">
    <w:p w14:paraId="2B025475" w14:textId="34AE419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77.</w:t>
      </w:r>
    </w:p>
  </w:footnote>
  <w:footnote w:id="80">
    <w:p w14:paraId="136ED6C3" w14:textId="04436B4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81">
    <w:p w14:paraId="1E31AA8B" w14:textId="298936F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w:t>
      </w:r>
    </w:p>
  </w:footnote>
  <w:footnote w:id="82">
    <w:p w14:paraId="726856B5" w14:textId="238EB22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Other instruments which can govern collaborative work between DPAs include the APEC Cross-border Privacy Enforcement Arrangement in which various regulators such as the Canadian DPA and the United States Federal Trade Commission have entered into since 16 July 2010. For more see &lt;http://www.apec.org/Groups/Committee-on-Trade-and-Investment/Electronic-Commerce-Steering-Group/Cross-border-Privacy-Enforcement-Arrangement.aspx&gt; accessed February 10, 2015.</w:t>
      </w:r>
    </w:p>
  </w:footnote>
  <w:footnote w:id="83">
    <w:p w14:paraId="27D35125" w14:textId="077482E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The relevant Memorandum of Understanding is a public document. However, I cannot identify it as it would disclose the identities of my respondents. ibid.</w:t>
      </w:r>
    </w:p>
  </w:footnote>
  <w:footnote w:id="84">
    <w:p w14:paraId="70DCC7CA" w14:textId="0CDEA51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On  June 26, 2013, the Irish DPA and the United States Federal Trade Commission entered into a Memorandum of Understanding which sets out the terms under which each party agrees to mutually assist one another when dealing with data protection issues. See Memorandum of understanding between the united states federal trade commission and the office of the data protection commissioner of Ireland on mutual assistance in the enforcement of laws protecting personal information in the private sector (June 26, 2013) &lt;http://www.dataprotection.ie/documents/MOU/MOU.pdf&gt; February 10, 2015.</w:t>
      </w:r>
    </w:p>
  </w:footnote>
  <w:footnote w:id="85">
    <w:p w14:paraId="60E977EF" w14:textId="2969855F"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84.</w:t>
      </w:r>
    </w:p>
  </w:footnote>
  <w:footnote w:id="86">
    <w:p w14:paraId="77AAE6DC"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87">
    <w:p w14:paraId="72677A5C"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88">
    <w:p w14:paraId="06CDFFC1"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These interactions take place within the context of applicable laws and MoU.</w:t>
      </w:r>
    </w:p>
  </w:footnote>
  <w:footnote w:id="89">
    <w:p w14:paraId="27D94AFC" w14:textId="1D74A625"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77 and 84.</w:t>
      </w:r>
    </w:p>
  </w:footnote>
  <w:footnote w:id="90">
    <w:p w14:paraId="561E5E0B" w14:textId="77777777" w:rsidR="00473F11" w:rsidRPr="00AD032C" w:rsidRDefault="00473F11" w:rsidP="00894ED6">
      <w:pPr>
        <w:autoSpaceDE w:val="0"/>
        <w:autoSpaceDN w:val="0"/>
        <w:adjustRightInd w:val="0"/>
        <w:spacing w:before="240" w:after="0" w:line="240" w:lineRule="auto"/>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By using the term common, I do not imply that the differences between the data protection laws of specific jurisdictions are negligible. However, such an analysis is beyond the scope of this paper. I use the term ‘common’ to refer to the idea that at an abstract level, various data protection laws share common principles such as purpose specification and security. However, there can often be considerable variation in how such principles are implemented. For more, see Christopher</w:t>
      </w:r>
      <w:r w:rsidRPr="00AD032C">
        <w:rPr>
          <w:rFonts w:ascii="Arial" w:hAnsi="Arial" w:cs="Arial"/>
          <w:color w:val="222222"/>
          <w:sz w:val="20"/>
          <w:szCs w:val="18"/>
          <w:shd w:val="clear" w:color="auto" w:fill="FFFFFF"/>
        </w:rPr>
        <w:t xml:space="preserve"> Kuner, ‘An international legal framework for data protection: Issues and prospects,’ (2009) 25(4)</w:t>
      </w:r>
      <w:r w:rsidRPr="00AD032C">
        <w:rPr>
          <w:rStyle w:val="apple-converted-space"/>
          <w:rFonts w:ascii="Arial" w:hAnsi="Arial" w:cs="Arial"/>
          <w:color w:val="222222"/>
          <w:sz w:val="20"/>
          <w:szCs w:val="18"/>
          <w:shd w:val="clear" w:color="auto" w:fill="FFFFFF"/>
        </w:rPr>
        <w:t> </w:t>
      </w:r>
      <w:r w:rsidRPr="00AD032C">
        <w:rPr>
          <w:rFonts w:ascii="Arial" w:hAnsi="Arial" w:cs="Arial"/>
          <w:iCs/>
          <w:color w:val="222222"/>
          <w:sz w:val="20"/>
          <w:szCs w:val="18"/>
          <w:shd w:val="clear" w:color="auto" w:fill="FFFFFF"/>
        </w:rPr>
        <w:t>Computer Law &amp; Security Review</w:t>
      </w:r>
      <w:r w:rsidRPr="00AD032C">
        <w:rPr>
          <w:rStyle w:val="apple-converted-space"/>
          <w:rFonts w:ascii="Arial" w:hAnsi="Arial" w:cs="Arial"/>
          <w:color w:val="222222"/>
          <w:sz w:val="20"/>
          <w:szCs w:val="18"/>
          <w:shd w:val="clear" w:color="auto" w:fill="FFFFFF"/>
        </w:rPr>
        <w:t> </w:t>
      </w:r>
      <w:r w:rsidRPr="00AD032C">
        <w:rPr>
          <w:rFonts w:ascii="Arial" w:hAnsi="Arial" w:cs="Arial"/>
          <w:color w:val="222222"/>
          <w:sz w:val="20"/>
          <w:szCs w:val="18"/>
          <w:shd w:val="clear" w:color="auto" w:fill="FFFFFF"/>
        </w:rPr>
        <w:t>307.</w:t>
      </w:r>
    </w:p>
  </w:footnote>
  <w:footnote w:id="91">
    <w:p w14:paraId="660AA42F" w14:textId="4105B24C" w:rsidR="00473F11" w:rsidRPr="00AD032C" w:rsidRDefault="00473F11" w:rsidP="00894ED6">
      <w:pPr>
        <w:pStyle w:val="FootnoteText"/>
        <w:spacing w:before="240"/>
        <w:rPr>
          <w:rFonts w:cs="Arial"/>
          <w:color w:val="222222"/>
          <w:szCs w:val="18"/>
          <w:shd w:val="clear" w:color="auto" w:fill="FFFFFF"/>
        </w:rPr>
      </w:pPr>
      <w:r w:rsidRPr="00AD032C">
        <w:rPr>
          <w:rStyle w:val="FootnoteReference"/>
          <w:rFonts w:cs="Arial"/>
          <w:szCs w:val="18"/>
        </w:rPr>
        <w:footnoteRef/>
      </w:r>
      <w:r w:rsidRPr="00AD032C">
        <w:rPr>
          <w:rFonts w:cs="Arial"/>
          <w:szCs w:val="18"/>
        </w:rPr>
        <w:t xml:space="preserve"> For more on the importance of shared world views in the context of concerted regulation, see </w:t>
      </w:r>
      <w:r w:rsidRPr="00AD032C">
        <w:rPr>
          <w:rFonts w:cs="Arial"/>
          <w:color w:val="222222"/>
          <w:szCs w:val="18"/>
          <w:shd w:val="clear" w:color="auto" w:fill="FFFFFF"/>
        </w:rPr>
        <w:t>Martin Lodge, Kai Wegrich, and Gail McElroy, ‘Dodgy kebabs everywhere? Variety of worldviews and regulatory change,’ (2010) 88(1)</w:t>
      </w:r>
      <w:r w:rsidRPr="00AD032C">
        <w:rPr>
          <w:rStyle w:val="apple-converted-space"/>
          <w:rFonts w:cs="Arial"/>
          <w:color w:val="222222"/>
          <w:szCs w:val="18"/>
          <w:shd w:val="clear" w:color="auto" w:fill="FFFFFF"/>
        </w:rPr>
        <w:t> </w:t>
      </w:r>
      <w:r w:rsidRPr="00AD032C">
        <w:rPr>
          <w:rFonts w:cs="Arial"/>
          <w:iCs/>
          <w:color w:val="222222"/>
          <w:szCs w:val="18"/>
          <w:shd w:val="clear" w:color="auto" w:fill="FFFFFF"/>
        </w:rPr>
        <w:t>Public Administration</w:t>
      </w:r>
      <w:r w:rsidRPr="00AD032C">
        <w:rPr>
          <w:rStyle w:val="apple-converted-space"/>
          <w:rFonts w:cs="Arial"/>
          <w:color w:val="222222"/>
          <w:szCs w:val="18"/>
          <w:shd w:val="clear" w:color="auto" w:fill="FFFFFF"/>
        </w:rPr>
        <w:t> </w:t>
      </w:r>
      <w:r w:rsidRPr="00AD032C">
        <w:rPr>
          <w:rFonts w:cs="Arial"/>
          <w:color w:val="222222"/>
          <w:szCs w:val="18"/>
          <w:shd w:val="clear" w:color="auto" w:fill="FFFFFF"/>
        </w:rPr>
        <w:t xml:space="preserve">247. Also see </w:t>
      </w:r>
      <w:r w:rsidRPr="00AD032C">
        <w:rPr>
          <w:rFonts w:cs="Arial"/>
          <w:szCs w:val="18"/>
        </w:rPr>
        <w:t xml:space="preserve">Charles D Raab, ‘Networks for regulation: privacy commissioners in a changing world,’ (2011) 13(2) Journal of Comparative Policy Analysis 195 </w:t>
      </w:r>
      <w:r w:rsidRPr="00AD032C">
        <w:rPr>
          <w:rFonts w:cs="Arial"/>
          <w:color w:val="222222"/>
          <w:szCs w:val="18"/>
          <w:shd w:val="clear" w:color="auto" w:fill="FFFFFF"/>
        </w:rPr>
        <w:t>on the areas of commonalities between DPAs generally.</w:t>
      </w:r>
    </w:p>
  </w:footnote>
  <w:footnote w:id="92">
    <w:p w14:paraId="41499742" w14:textId="6E5784C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Other factors include the incremental move in the field of data protection towards concerted enforcement actions by DPAs to deal consistently with the data protection issues raised by cross-border data flows. See </w:t>
      </w:r>
      <w:r w:rsidRPr="00AD032C">
        <w:rPr>
          <w:rFonts w:cs="Arial"/>
          <w:color w:val="222222"/>
          <w:szCs w:val="18"/>
          <w:shd w:val="clear" w:color="auto" w:fill="FFFFFF"/>
        </w:rPr>
        <w:t xml:space="preserve">Charles D Raab, ‘Information privacy: networks of regulation at the subglobal level,’ (2010) 1(3) </w:t>
      </w:r>
      <w:r w:rsidRPr="00AD032C">
        <w:rPr>
          <w:rFonts w:cs="Arial"/>
          <w:iCs/>
          <w:color w:val="222222"/>
          <w:szCs w:val="18"/>
          <w:shd w:val="clear" w:color="auto" w:fill="FFFFFF"/>
        </w:rPr>
        <w:t>Global Policy</w:t>
      </w:r>
      <w:r w:rsidRPr="00AD032C">
        <w:rPr>
          <w:rStyle w:val="apple-converted-space"/>
          <w:rFonts w:cs="Arial"/>
          <w:color w:val="222222"/>
          <w:szCs w:val="18"/>
          <w:shd w:val="clear" w:color="auto" w:fill="FFFFFF"/>
        </w:rPr>
        <w:t> </w:t>
      </w:r>
      <w:r w:rsidRPr="00AD032C">
        <w:rPr>
          <w:rFonts w:cs="Arial"/>
          <w:color w:val="222222"/>
          <w:szCs w:val="18"/>
          <w:shd w:val="clear" w:color="auto" w:fill="FFFFFF"/>
        </w:rPr>
        <w:t>29</w:t>
      </w:r>
      <w:r w:rsidRPr="00AD032C">
        <w:rPr>
          <w:rFonts w:cs="Arial"/>
          <w:szCs w:val="18"/>
        </w:rPr>
        <w:t xml:space="preserve">.  For more on the roles of deliberations and discussions in producing shared views amongst actors, see </w:t>
      </w:r>
      <w:r w:rsidRPr="00AD032C">
        <w:rPr>
          <w:rFonts w:cs="Arial"/>
          <w:color w:val="222222"/>
          <w:szCs w:val="18"/>
          <w:shd w:val="clear" w:color="auto" w:fill="FFFFFF"/>
        </w:rPr>
        <w:t>Robert Baldwin, Martin Cave, and Martin Lodge,</w:t>
      </w:r>
      <w:r w:rsidRPr="00AD032C">
        <w:rPr>
          <w:rStyle w:val="apple-converted-space"/>
          <w:rFonts w:cs="Arial"/>
          <w:color w:val="222222"/>
          <w:szCs w:val="18"/>
          <w:shd w:val="clear" w:color="auto" w:fill="FFFFFF"/>
        </w:rPr>
        <w:t> </w:t>
      </w:r>
      <w:r w:rsidRPr="00AD032C">
        <w:rPr>
          <w:rFonts w:cs="Arial"/>
          <w:i/>
          <w:iCs/>
          <w:color w:val="222222"/>
          <w:szCs w:val="18"/>
          <w:shd w:val="clear" w:color="auto" w:fill="FFFFFF"/>
        </w:rPr>
        <w:t>Understanding regulation: theory, strategy, and practice</w:t>
      </w:r>
      <w:r w:rsidRPr="00AD032C">
        <w:rPr>
          <w:rFonts w:cs="Arial"/>
          <w:color w:val="222222"/>
          <w:szCs w:val="18"/>
          <w:shd w:val="clear" w:color="auto" w:fill="FFFFFF"/>
        </w:rPr>
        <w:t>. (Oxford University Press 2012) 51ff.</w:t>
      </w:r>
    </w:p>
  </w:footnote>
  <w:footnote w:id="93">
    <w:p w14:paraId="3F3CA64E" w14:textId="6C2A8B52"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77.</w:t>
      </w:r>
    </w:p>
  </w:footnote>
  <w:footnote w:id="94">
    <w:p w14:paraId="14C4C452" w14:textId="7D279A7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95">
    <w:p w14:paraId="5BAC4A4A" w14:textId="7827E46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96">
    <w:p w14:paraId="7BAAE42D" w14:textId="282719AA"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97">
    <w:p w14:paraId="660096BE" w14:textId="35E3630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98">
    <w:p w14:paraId="3FA3F5BA"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99">
    <w:p w14:paraId="1016C055" w14:textId="3676F7C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00">
    <w:p w14:paraId="53DD3599" w14:textId="40B7032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The reports published by both DPAs at the end of Investigation 4 are public documents. However, I cannot identify it as it would disclose the identities of my respondents</w:t>
      </w:r>
    </w:p>
  </w:footnote>
  <w:footnote w:id="101">
    <w:p w14:paraId="19D0EA43" w14:textId="1C95F41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For example in France, where a data controller fails to implement the recommendations of the French DPA, the matter is then referred to the Sanctions Committee of the French DPA which determines the sanction which will be imposed on the data controller. See Article 45 (n 46). </w:t>
      </w:r>
    </w:p>
  </w:footnote>
  <w:footnote w:id="102">
    <w:p w14:paraId="7EB7C428" w14:textId="29324B1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55. </w:t>
      </w:r>
    </w:p>
  </w:footnote>
  <w:footnote w:id="103">
    <w:p w14:paraId="341187FF" w14:textId="324781A8" w:rsidR="00473F11" w:rsidRPr="00AD032C" w:rsidRDefault="00473F11" w:rsidP="00894ED6">
      <w:pPr>
        <w:spacing w:before="240" w:after="0" w:line="240" w:lineRule="auto"/>
        <w:rPr>
          <w:rFonts w:ascii="Arial" w:eastAsia="Times New Roman" w:hAnsi="Arial" w:cs="Arial"/>
          <w:sz w:val="20"/>
          <w:szCs w:val="18"/>
          <w:lang w:eastAsia="en-GB"/>
        </w:rPr>
      </w:pPr>
      <w:r w:rsidRPr="00AD032C">
        <w:rPr>
          <w:rStyle w:val="FootnoteReference"/>
          <w:rFonts w:ascii="Arial" w:hAnsi="Arial" w:cs="Arial"/>
          <w:sz w:val="20"/>
          <w:szCs w:val="18"/>
        </w:rPr>
        <w:footnoteRef/>
      </w:r>
      <w:r w:rsidRPr="00AD032C">
        <w:rPr>
          <w:rFonts w:ascii="Arial" w:hAnsi="Arial" w:cs="Arial"/>
          <w:sz w:val="20"/>
          <w:szCs w:val="18"/>
        </w:rPr>
        <w:t xml:space="preserve"> E.g. </w:t>
      </w:r>
      <w:r w:rsidRPr="00AD032C">
        <w:rPr>
          <w:rFonts w:ascii="Arial" w:eastAsia="Times New Roman" w:hAnsi="Arial" w:cs="Arial"/>
          <w:sz w:val="20"/>
          <w:szCs w:val="18"/>
          <w:lang w:eastAsia="en-GB"/>
        </w:rPr>
        <w:t xml:space="preserve">Ayres and </w:t>
      </w:r>
      <w:r w:rsidRPr="00AD032C">
        <w:rPr>
          <w:rFonts w:ascii="Arial" w:hAnsi="Arial" w:cs="Arial"/>
          <w:sz w:val="20"/>
          <w:szCs w:val="18"/>
          <w:lang w:eastAsia="en-GB"/>
        </w:rPr>
        <w:t>Braithwaite (n 42).</w:t>
      </w:r>
    </w:p>
  </w:footnote>
  <w:footnote w:id="104">
    <w:p w14:paraId="7D98AA99" w14:textId="7BF1C02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w:t>
      </w:r>
      <w:r w:rsidRPr="00AD032C">
        <w:rPr>
          <w:rFonts w:cs="Arial"/>
          <w:color w:val="222222"/>
          <w:szCs w:val="18"/>
          <w:shd w:val="clear" w:color="auto" w:fill="FFFFFF"/>
        </w:rPr>
        <w:t>Valerie Braithwaite et al, ‘Regulatory Styles, Motivational Postures and Nursing Home Compliance,’ (1994) 16(4</w:t>
      </w:r>
      <w:r w:rsidRPr="00AD032C">
        <w:rPr>
          <w:rFonts w:cs="Arial"/>
          <w:i/>
          <w:color w:val="222222"/>
          <w:szCs w:val="18"/>
          <w:shd w:val="clear" w:color="auto" w:fill="FFFFFF"/>
        </w:rPr>
        <w:t>)</w:t>
      </w:r>
      <w:r w:rsidRPr="00AD032C">
        <w:rPr>
          <w:rStyle w:val="apple-converted-space"/>
          <w:rFonts w:cs="Arial"/>
          <w:i/>
          <w:color w:val="222222"/>
          <w:szCs w:val="18"/>
          <w:shd w:val="clear" w:color="auto" w:fill="FFFFFF"/>
        </w:rPr>
        <w:t> </w:t>
      </w:r>
      <w:r w:rsidRPr="00AD032C">
        <w:rPr>
          <w:rFonts w:cs="Arial"/>
          <w:iCs/>
          <w:color w:val="222222"/>
          <w:szCs w:val="18"/>
          <w:shd w:val="clear" w:color="auto" w:fill="FFFFFF"/>
        </w:rPr>
        <w:t>Law &amp; Policy</w:t>
      </w:r>
      <w:r w:rsidRPr="00AD032C">
        <w:rPr>
          <w:rStyle w:val="apple-converted-space"/>
          <w:rFonts w:cs="Arial"/>
          <w:color w:val="222222"/>
          <w:szCs w:val="18"/>
          <w:shd w:val="clear" w:color="auto" w:fill="FFFFFF"/>
        </w:rPr>
        <w:t> </w:t>
      </w:r>
      <w:r w:rsidRPr="00AD032C">
        <w:rPr>
          <w:rFonts w:cs="Arial"/>
          <w:color w:val="222222"/>
          <w:szCs w:val="18"/>
          <w:shd w:val="clear" w:color="auto" w:fill="FFFFFF"/>
        </w:rPr>
        <w:t>363.</w:t>
      </w:r>
    </w:p>
  </w:footnote>
  <w:footnote w:id="105">
    <w:p w14:paraId="713383D1" w14:textId="6321CDE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This is determined by the applicable national data protection laws and the administrative laws which may govern the EU DPA`s activities.</w:t>
      </w:r>
    </w:p>
  </w:footnote>
  <w:footnote w:id="106">
    <w:p w14:paraId="6054E5C1" w14:textId="56FCF2AA"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Interviews 1, 2, 3, and 4 (n 62).</w:t>
      </w:r>
    </w:p>
  </w:footnote>
  <w:footnote w:id="107">
    <w:p w14:paraId="33FF0EA1" w14:textId="11E0F11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08">
    <w:p w14:paraId="5AE11772" w14:textId="488AB1F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33.</w:t>
      </w:r>
    </w:p>
  </w:footnote>
  <w:footnote w:id="109">
    <w:p w14:paraId="084D4BE8" w14:textId="4A172E5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ibid. </w:t>
      </w:r>
    </w:p>
  </w:footnote>
  <w:footnote w:id="110">
    <w:p w14:paraId="1865AE71" w14:textId="451E204B"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14 (n 62).</w:t>
      </w:r>
    </w:p>
  </w:footnote>
  <w:footnote w:id="111">
    <w:p w14:paraId="0FE1F082"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r w:rsidRPr="00AD032C">
        <w:rPr>
          <w:rFonts w:cs="Arial"/>
          <w:szCs w:val="18"/>
        </w:rPr>
        <w:tab/>
      </w:r>
    </w:p>
  </w:footnote>
  <w:footnote w:id="112">
    <w:p w14:paraId="12C096E3" w14:textId="183BCC0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r w:rsidRPr="00AD032C">
        <w:rPr>
          <w:rFonts w:cs="Arial"/>
          <w:bCs/>
          <w:szCs w:val="18"/>
          <w:shd w:val="clear" w:color="auto" w:fill="FFFFFF"/>
        </w:rPr>
        <w:t xml:space="preserve"> Under Article 25 (1) of the DPD (n 7),</w:t>
      </w:r>
      <w:r w:rsidRPr="00AD032C">
        <w:rPr>
          <w:rFonts w:cs="Arial"/>
          <w:b/>
          <w:bCs/>
          <w:szCs w:val="18"/>
          <w:shd w:val="clear" w:color="auto" w:fill="FFFFFF"/>
        </w:rPr>
        <w:t xml:space="preserve"> </w:t>
      </w:r>
      <w:r w:rsidRPr="00AD032C">
        <w:rPr>
          <w:rFonts w:cs="Arial"/>
          <w:bCs/>
          <w:szCs w:val="18"/>
          <w:shd w:val="clear" w:color="auto" w:fill="FFFFFF"/>
        </w:rPr>
        <w:t>personal data cannot be exported to non-European Economic Area Countries (‘Third Countries’) unless such Third Countries ensure ‘an adequate level of protection.’ There are various derogations to this restriction. ‘Safe Harbor’ refers to the arrangement authorising the transfer of personal data from any EEA country to the United States without breaching the export ban contained in Article 25(1) of the DPD. For more on the Safe Harbor scheme, see Carey (n 25).</w:t>
      </w:r>
      <w:r w:rsidRPr="00AD032C">
        <w:rPr>
          <w:rFonts w:cs="Arial"/>
          <w:b/>
          <w:bCs/>
          <w:szCs w:val="18"/>
          <w:shd w:val="clear" w:color="auto" w:fill="FFFFFF"/>
        </w:rPr>
        <w:t xml:space="preserve"> </w:t>
      </w:r>
      <w:r w:rsidRPr="00AD032C">
        <w:rPr>
          <w:rFonts w:cs="Arial"/>
          <w:bCs/>
          <w:szCs w:val="18"/>
          <w:shd w:val="clear" w:color="auto" w:fill="FFFFFF"/>
        </w:rPr>
        <w:t xml:space="preserve">For the ongoing challenge of the Safe Harbor arrangement, see C- 362/14 </w:t>
      </w:r>
      <w:r w:rsidRPr="00AD032C">
        <w:rPr>
          <w:rFonts w:cs="Arial"/>
          <w:bCs/>
          <w:i/>
          <w:szCs w:val="18"/>
          <w:shd w:val="clear" w:color="auto" w:fill="FFFFFF"/>
        </w:rPr>
        <w:t>Maximillian Schrems v Data Protection Commissioner</w:t>
      </w:r>
      <w:r w:rsidRPr="00AD032C">
        <w:rPr>
          <w:rFonts w:cs="Arial"/>
          <w:bCs/>
          <w:szCs w:val="18"/>
          <w:shd w:val="clear" w:color="auto" w:fill="FFFFFF"/>
        </w:rPr>
        <w:t xml:space="preserve"> [Reference for a preliminary ruling from the High Court of Ireland made on July 25, 2014].</w:t>
      </w:r>
    </w:p>
  </w:footnote>
  <w:footnote w:id="113">
    <w:p w14:paraId="01692F20"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14">
    <w:p w14:paraId="3B419BFE" w14:textId="3297381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r w:rsidR="00350937" w:rsidRPr="00AD032C">
        <w:rPr>
          <w:rFonts w:cs="Arial"/>
          <w:szCs w:val="18"/>
        </w:rPr>
        <w:t xml:space="preserve"> This was the view of a senior employee of the DPA who was involved in this investigation.</w:t>
      </w:r>
    </w:p>
  </w:footnote>
  <w:footnote w:id="115">
    <w:p w14:paraId="5F0A300C" w14:textId="6D14C17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16">
    <w:p w14:paraId="24E21A52" w14:textId="6E0164F5"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My respondent did not clarify which institutional actor would have the power to prevent the Cloud Provider from selling its technologies in the jurisdiction. </w:t>
      </w:r>
    </w:p>
  </w:footnote>
  <w:footnote w:id="117">
    <w:p w14:paraId="11188D17" w14:textId="52A71E8C" w:rsidR="00473F11" w:rsidRPr="00AD032C" w:rsidRDefault="00473F11" w:rsidP="00894ED6">
      <w:pPr>
        <w:pStyle w:val="FootnoteText"/>
        <w:spacing w:before="240"/>
        <w:rPr>
          <w:rFonts w:cs="Arial"/>
          <w:b/>
          <w:bCs/>
          <w:color w:val="333333"/>
          <w:szCs w:val="18"/>
          <w:shd w:val="clear" w:color="auto" w:fill="FFFFFF"/>
        </w:rPr>
      </w:pPr>
      <w:r w:rsidRPr="00AD032C">
        <w:rPr>
          <w:rStyle w:val="FootnoteReference"/>
          <w:rFonts w:cs="Arial"/>
          <w:szCs w:val="18"/>
        </w:rPr>
        <w:footnoteRef/>
      </w:r>
      <w:r w:rsidRPr="00AD032C">
        <w:rPr>
          <w:rFonts w:cs="Arial"/>
          <w:szCs w:val="18"/>
        </w:rPr>
        <w:t xml:space="preserve"> Ibid.</w:t>
      </w:r>
      <w:r w:rsidRPr="00AD032C">
        <w:rPr>
          <w:rFonts w:cs="Arial"/>
          <w:b/>
          <w:bCs/>
          <w:szCs w:val="18"/>
          <w:shd w:val="clear" w:color="auto" w:fill="FFFFFF"/>
        </w:rPr>
        <w:t xml:space="preserve"> </w:t>
      </w:r>
    </w:p>
  </w:footnote>
  <w:footnote w:id="118">
    <w:p w14:paraId="75E961E6" w14:textId="13D7804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This does not necessarily preclude other EU DPAs from investigating this Cloud Provider. n 32.</w:t>
      </w:r>
    </w:p>
  </w:footnote>
  <w:footnote w:id="119">
    <w:p w14:paraId="155DBDC0" w14:textId="50853C5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and Interview 13 (n 63). </w:t>
      </w:r>
    </w:p>
  </w:footnote>
  <w:footnote w:id="120">
    <w:p w14:paraId="484538B4"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21">
    <w:p w14:paraId="229D35F2"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22">
    <w:p w14:paraId="042B559E"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23">
    <w:p w14:paraId="0D803391"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w:t>
      </w:r>
    </w:p>
  </w:footnote>
  <w:footnote w:id="124">
    <w:p w14:paraId="0A46F8C0"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25">
    <w:p w14:paraId="5FC1A4A1" w14:textId="0F00B8D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33.</w:t>
      </w:r>
    </w:p>
  </w:footnote>
  <w:footnote w:id="126">
    <w:p w14:paraId="22D5AE40" w14:textId="5CFE896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27">
    <w:p w14:paraId="7A8A8717" w14:textId="6CE5C4E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33.</w:t>
      </w:r>
    </w:p>
  </w:footnote>
  <w:footnote w:id="128">
    <w:p w14:paraId="2F6D8640" w14:textId="76387EE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29">
    <w:p w14:paraId="17C419B2" w14:textId="16CB2415"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33.</w:t>
      </w:r>
    </w:p>
  </w:footnote>
  <w:footnote w:id="130">
    <w:p w14:paraId="591A9056"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w:t>
      </w:r>
    </w:p>
  </w:footnote>
  <w:footnote w:id="131">
    <w:p w14:paraId="6B2028CD" w14:textId="016215BF"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32">
    <w:p w14:paraId="06D0E2D4" w14:textId="73F357A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Interview 13 (n 63).</w:t>
      </w:r>
    </w:p>
  </w:footnote>
  <w:footnote w:id="133">
    <w:p w14:paraId="3534D825" w14:textId="2779937B"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See Bruno Latour, </w:t>
      </w:r>
      <w:r w:rsidRPr="00AD032C">
        <w:rPr>
          <w:rFonts w:cs="Arial"/>
          <w:i/>
          <w:szCs w:val="18"/>
        </w:rPr>
        <w:t>Reassembling the Social. An Introduction to Actor-Network-Theory</w:t>
      </w:r>
      <w:r w:rsidRPr="00AD032C">
        <w:rPr>
          <w:rFonts w:cs="Arial"/>
          <w:szCs w:val="18"/>
        </w:rPr>
        <w:t xml:space="preserve"> (Oxford University Press 2005) for the idea of the performance of truths. See Marilyn Strathern, ‘Abstraction and decontextualisation: an anthropological comment or: e for ethnography’ (Undated Pre-Publication Draft) &lt; http://virtualsociety.sbs.ox.ac.uk/GRpapers/strathern.htm&gt; accessed February 10, 2015 for the idea of constructing realities during investigations, such as audits. Also ibid.</w:t>
      </w:r>
    </w:p>
  </w:footnote>
  <w:footnote w:id="134">
    <w:p w14:paraId="29175EE9" w14:textId="40FE93F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Interview 2 (n 62).</w:t>
      </w:r>
    </w:p>
  </w:footnote>
  <w:footnote w:id="135">
    <w:p w14:paraId="00A0D00A" w14:textId="71A004C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Ibid, n 62.</w:t>
      </w:r>
    </w:p>
  </w:footnote>
  <w:footnote w:id="136">
    <w:p w14:paraId="3459B65F" w14:textId="282CAD8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33.</w:t>
      </w:r>
    </w:p>
  </w:footnote>
  <w:footnote w:id="137">
    <w:p w14:paraId="70B630D4" w14:textId="14CDA82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62.</w:t>
      </w:r>
    </w:p>
  </w:footnote>
  <w:footnote w:id="138">
    <w:p w14:paraId="187C23F3" w14:textId="5A7A17AC"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33.</w:t>
      </w:r>
    </w:p>
  </w:footnote>
  <w:footnote w:id="139">
    <w:p w14:paraId="6D7BE4EF" w14:textId="5BEBCF3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40">
    <w:p w14:paraId="450AA5DA" w14:textId="63F4F35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136. </w:t>
      </w:r>
    </w:p>
  </w:footnote>
  <w:footnote w:id="141">
    <w:p w14:paraId="2BFA3AD0" w14:textId="5C2D2AEC" w:rsidR="00473F11" w:rsidRPr="00AD032C" w:rsidRDefault="00473F11" w:rsidP="00894ED6">
      <w:pPr>
        <w:spacing w:before="240" w:after="0" w:line="240" w:lineRule="auto"/>
        <w:rPr>
          <w:rFonts w:ascii="Arial" w:eastAsia="Times New Roman" w:hAnsi="Arial" w:cs="Arial"/>
          <w:sz w:val="20"/>
          <w:szCs w:val="18"/>
          <w:lang w:eastAsia="en-GB"/>
        </w:rPr>
      </w:pPr>
      <w:r w:rsidRPr="00AD032C">
        <w:rPr>
          <w:rStyle w:val="FootnoteReference"/>
          <w:rFonts w:ascii="Arial" w:hAnsi="Arial" w:cs="Arial"/>
          <w:sz w:val="20"/>
          <w:szCs w:val="18"/>
        </w:rPr>
        <w:footnoteRef/>
      </w:r>
      <w:r w:rsidRPr="00AD032C">
        <w:rPr>
          <w:rFonts w:ascii="Arial" w:hAnsi="Arial" w:cs="Arial"/>
          <w:sz w:val="20"/>
          <w:szCs w:val="18"/>
        </w:rPr>
        <w:t xml:space="preserve"> E.g. see</w:t>
      </w:r>
      <w:r w:rsidRPr="00AD032C">
        <w:rPr>
          <w:rFonts w:ascii="Arial" w:eastAsia="Times New Roman" w:hAnsi="Arial" w:cs="Arial"/>
          <w:sz w:val="20"/>
          <w:szCs w:val="18"/>
          <w:lang w:eastAsia="en-GB"/>
        </w:rPr>
        <w:t xml:space="preserve"> Christine Jolls, Cass R Sunstein, and Richard Thaler, ‘A behavioral approach to law and economics,’ (1998) </w:t>
      </w:r>
      <w:r w:rsidRPr="00AD032C">
        <w:rPr>
          <w:rFonts w:ascii="Arial" w:eastAsia="Times New Roman" w:hAnsi="Arial" w:cs="Arial"/>
          <w:iCs/>
          <w:sz w:val="20"/>
          <w:szCs w:val="18"/>
          <w:lang w:eastAsia="en-GB"/>
        </w:rPr>
        <w:t>Stanford Law Review</w:t>
      </w:r>
      <w:r w:rsidRPr="00AD032C">
        <w:rPr>
          <w:rFonts w:ascii="Arial" w:eastAsia="Times New Roman" w:hAnsi="Arial" w:cs="Arial"/>
          <w:sz w:val="20"/>
          <w:szCs w:val="18"/>
          <w:lang w:eastAsia="en-GB"/>
        </w:rPr>
        <w:t xml:space="preserve"> 1471.</w:t>
      </w:r>
    </w:p>
  </w:footnote>
  <w:footnote w:id="142">
    <w:p w14:paraId="7D517F7A" w14:textId="395D086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Article 28(3), DPD (n 7).</w:t>
      </w:r>
    </w:p>
  </w:footnote>
  <w:footnote w:id="143">
    <w:p w14:paraId="263EFC91" w14:textId="490EB7FA"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Bygrave (n 15).</w:t>
      </w:r>
    </w:p>
  </w:footnote>
  <w:footnote w:id="144">
    <w:p w14:paraId="1982C6D9" w14:textId="17500C2E" w:rsidR="00473F11" w:rsidRPr="00AD032C" w:rsidRDefault="00473F11" w:rsidP="00894ED6">
      <w:pPr>
        <w:spacing w:before="240" w:after="0"/>
        <w:jc w:val="both"/>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For example, in Germany, s 38, sub-s 3 sentence 2 BDSG (n 46) grants data controllers a right to withhold information which could incriminate them or a person closely related to them. S 38 sub-s3 sentence 2 BDSG refers to s 383, sub-s 1, no 1 to 3 of the German Code of Civil Procedure (</w:t>
      </w:r>
      <w:r w:rsidRPr="00AD032C">
        <w:rPr>
          <w:rFonts w:ascii="Arial" w:hAnsi="Arial" w:cs="Arial"/>
          <w:i/>
          <w:sz w:val="20"/>
          <w:szCs w:val="18"/>
        </w:rPr>
        <w:t>Zivilprozessordnung</w:t>
      </w:r>
      <w:r w:rsidRPr="00AD032C">
        <w:rPr>
          <w:rFonts w:ascii="Arial" w:hAnsi="Arial" w:cs="Arial"/>
          <w:sz w:val="20"/>
          <w:szCs w:val="18"/>
        </w:rPr>
        <w:t xml:space="preserve">) where ‘closely related persons’ are defined as fiancées, registered partners and spouses. </w:t>
      </w:r>
    </w:p>
  </w:footnote>
  <w:footnote w:id="145">
    <w:p w14:paraId="59E932BF" w14:textId="59A909D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For more on the plural motivations of the regulatee to comply or not see </w:t>
      </w:r>
      <w:r w:rsidRPr="00AD032C">
        <w:rPr>
          <w:rFonts w:cs="Arial"/>
          <w:color w:val="222222"/>
          <w:szCs w:val="18"/>
          <w:shd w:val="clear" w:color="auto" w:fill="FFFFFF"/>
        </w:rPr>
        <w:t xml:space="preserve">Harold G Grasmick, and Robert J Bursik Jr, ‘Conscience, significant others, and rational choice: Extending the deterrence model,’ (1990) </w:t>
      </w:r>
      <w:r w:rsidRPr="00AD032C">
        <w:rPr>
          <w:rStyle w:val="apple-converted-space"/>
          <w:rFonts w:cs="Arial"/>
          <w:color w:val="222222"/>
          <w:szCs w:val="18"/>
          <w:shd w:val="clear" w:color="auto" w:fill="FFFFFF"/>
        </w:rPr>
        <w:t>Law</w:t>
      </w:r>
      <w:r w:rsidRPr="00AD032C">
        <w:rPr>
          <w:rFonts w:cs="Arial"/>
          <w:iCs/>
          <w:color w:val="222222"/>
          <w:szCs w:val="18"/>
          <w:shd w:val="clear" w:color="auto" w:fill="FFFFFF"/>
        </w:rPr>
        <w:t xml:space="preserve"> and society review</w:t>
      </w:r>
      <w:r w:rsidRPr="00AD032C">
        <w:rPr>
          <w:rFonts w:cs="Arial"/>
          <w:color w:val="222222"/>
          <w:szCs w:val="18"/>
          <w:shd w:val="clear" w:color="auto" w:fill="FFFFFF"/>
        </w:rPr>
        <w:t xml:space="preserve"> 827.</w:t>
      </w:r>
    </w:p>
  </w:footnote>
  <w:footnote w:id="146">
    <w:p w14:paraId="624CBBE0" w14:textId="3561FEDF" w:rsidR="00473F11" w:rsidRPr="00AD032C" w:rsidRDefault="00473F11" w:rsidP="00894ED6">
      <w:pPr>
        <w:spacing w:before="240" w:after="0" w:line="240" w:lineRule="auto"/>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E.g. </w:t>
      </w:r>
      <w:r w:rsidRPr="00AD032C">
        <w:rPr>
          <w:rFonts w:ascii="Arial" w:hAnsi="Arial" w:cs="Arial"/>
          <w:color w:val="222222"/>
          <w:sz w:val="20"/>
          <w:szCs w:val="18"/>
          <w:shd w:val="clear" w:color="auto" w:fill="FFFFFF"/>
        </w:rPr>
        <w:t>Wouter Poortinga and Nick F Pidgeon, ‘Exploring the dimensionality of trust in risk regulation,’ (2003) 23(5)</w:t>
      </w:r>
      <w:r w:rsidRPr="00AD032C">
        <w:rPr>
          <w:rStyle w:val="apple-converted-space"/>
          <w:rFonts w:ascii="Arial" w:hAnsi="Arial" w:cs="Arial"/>
          <w:color w:val="222222"/>
          <w:sz w:val="20"/>
          <w:szCs w:val="18"/>
          <w:shd w:val="clear" w:color="auto" w:fill="FFFFFF"/>
        </w:rPr>
        <w:t> </w:t>
      </w:r>
      <w:r w:rsidRPr="00AD032C">
        <w:rPr>
          <w:rFonts w:ascii="Arial" w:hAnsi="Arial" w:cs="Arial"/>
          <w:iCs/>
          <w:color w:val="222222"/>
          <w:sz w:val="20"/>
          <w:szCs w:val="18"/>
          <w:shd w:val="clear" w:color="auto" w:fill="FFFFFF"/>
        </w:rPr>
        <w:t>Risk analysis</w:t>
      </w:r>
      <w:r w:rsidRPr="00AD032C">
        <w:rPr>
          <w:rStyle w:val="apple-converted-space"/>
          <w:rFonts w:ascii="Arial" w:hAnsi="Arial" w:cs="Arial"/>
          <w:color w:val="222222"/>
          <w:sz w:val="20"/>
          <w:szCs w:val="18"/>
          <w:shd w:val="clear" w:color="auto" w:fill="FFFFFF"/>
        </w:rPr>
        <w:t> </w:t>
      </w:r>
      <w:r w:rsidRPr="00AD032C">
        <w:rPr>
          <w:rFonts w:ascii="Arial" w:hAnsi="Arial" w:cs="Arial"/>
          <w:color w:val="222222"/>
          <w:sz w:val="20"/>
          <w:szCs w:val="18"/>
          <w:shd w:val="clear" w:color="auto" w:fill="FFFFFF"/>
        </w:rPr>
        <w:t>961.</w:t>
      </w:r>
    </w:p>
  </w:footnote>
  <w:footnote w:id="147">
    <w:p w14:paraId="34D06F32"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A C Baier, ‘Trust and antitrust,’ (1986) </w:t>
      </w:r>
      <w:r w:rsidRPr="00AD032C">
        <w:rPr>
          <w:rFonts w:cs="Arial"/>
          <w:iCs/>
          <w:szCs w:val="18"/>
        </w:rPr>
        <w:t>Ethics 236.</w:t>
      </w:r>
    </w:p>
  </w:footnote>
  <w:footnote w:id="148">
    <w:p w14:paraId="3B469D71" w14:textId="0C969C7A" w:rsidR="00473F11" w:rsidRPr="00AD032C" w:rsidRDefault="00473F11" w:rsidP="00894ED6">
      <w:pPr>
        <w:autoSpaceDE w:val="0"/>
        <w:autoSpaceDN w:val="0"/>
        <w:adjustRightInd w:val="0"/>
        <w:spacing w:before="240" w:after="0" w:line="240" w:lineRule="auto"/>
        <w:rPr>
          <w:rFonts w:ascii="Arial" w:hAnsi="Arial" w:cs="Arial"/>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See R E Kasperson, D Golding &amp; S Tuler, (1992). ‘Social distrust as a factor in siting hazardous facilities and communicating risk,’ (1992) 48(4) </w:t>
      </w:r>
      <w:r w:rsidRPr="00AD032C">
        <w:rPr>
          <w:rFonts w:ascii="Arial" w:hAnsi="Arial" w:cs="Arial"/>
          <w:iCs/>
          <w:sz w:val="20"/>
          <w:szCs w:val="18"/>
        </w:rPr>
        <w:t>Journal of Social Issues</w:t>
      </w:r>
      <w:r w:rsidRPr="00AD032C">
        <w:rPr>
          <w:rFonts w:ascii="Arial" w:hAnsi="Arial" w:cs="Arial"/>
          <w:sz w:val="20"/>
          <w:szCs w:val="18"/>
        </w:rPr>
        <w:t xml:space="preserve"> 161 on the dimensions of trust. </w:t>
      </w:r>
    </w:p>
  </w:footnote>
  <w:footnote w:id="149">
    <w:p w14:paraId="1F12CE72" w14:textId="206E2DEB" w:rsidR="00473F11" w:rsidRPr="00AD032C" w:rsidRDefault="00473F11" w:rsidP="001371A1">
      <w:pPr>
        <w:pStyle w:val="FootnoteText"/>
        <w:tabs>
          <w:tab w:val="left" w:pos="2850"/>
        </w:tabs>
        <w:spacing w:before="240"/>
        <w:rPr>
          <w:rFonts w:cs="Arial"/>
          <w:szCs w:val="18"/>
        </w:rPr>
      </w:pPr>
      <w:r w:rsidRPr="00AD032C">
        <w:rPr>
          <w:rStyle w:val="FootnoteReference"/>
          <w:rFonts w:cs="Arial"/>
          <w:szCs w:val="18"/>
        </w:rPr>
        <w:footnoteRef/>
      </w:r>
      <w:r w:rsidRPr="00AD032C">
        <w:rPr>
          <w:rFonts w:cs="Arial"/>
          <w:szCs w:val="18"/>
        </w:rPr>
        <w:t xml:space="preserve"> Interview 13 (n 63).</w:t>
      </w:r>
      <w:r w:rsidR="001371A1" w:rsidRPr="00AD032C">
        <w:rPr>
          <w:rFonts w:cs="Arial"/>
          <w:szCs w:val="18"/>
        </w:rPr>
        <w:tab/>
      </w:r>
    </w:p>
  </w:footnote>
  <w:footnote w:id="150">
    <w:p w14:paraId="2F86AF73" w14:textId="4B51886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51">
    <w:p w14:paraId="5D05A5EB" w14:textId="77777777" w:rsidR="00473F11" w:rsidRPr="00AD032C" w:rsidRDefault="00473F11" w:rsidP="00894ED6">
      <w:pPr>
        <w:autoSpaceDE w:val="0"/>
        <w:autoSpaceDN w:val="0"/>
        <w:adjustRightInd w:val="0"/>
        <w:spacing w:before="240" w:after="0" w:line="240" w:lineRule="auto"/>
        <w:rPr>
          <w:rFonts w:ascii="Arial" w:hAnsi="Arial" w:cs="Arial"/>
          <w:i/>
          <w:iCs/>
          <w:color w:val="FFFFFF"/>
          <w:sz w:val="20"/>
          <w:szCs w:val="18"/>
        </w:rPr>
      </w:pPr>
      <w:r w:rsidRPr="00AD032C">
        <w:rPr>
          <w:rStyle w:val="FootnoteReference"/>
          <w:rFonts w:ascii="Arial" w:hAnsi="Arial" w:cs="Arial"/>
          <w:sz w:val="20"/>
          <w:szCs w:val="18"/>
        </w:rPr>
        <w:footnoteRef/>
      </w:r>
      <w:r w:rsidRPr="00AD032C">
        <w:rPr>
          <w:rFonts w:ascii="Arial" w:hAnsi="Arial" w:cs="Arial"/>
          <w:sz w:val="20"/>
          <w:szCs w:val="18"/>
        </w:rPr>
        <w:t xml:space="preserve"> Re-establishing trust after distrust has set in is an even more arduous task depending on factors including whether the self-perpetuating cycle of distrust can be brought to an end. For more on the difficulties of overcoming distrust, see T Govier, ‘Distrust as a practical problem,’ (1992) Journal</w:t>
      </w:r>
      <w:r w:rsidRPr="00AD032C">
        <w:rPr>
          <w:rFonts w:ascii="Arial" w:hAnsi="Arial" w:cs="Arial"/>
          <w:iCs/>
          <w:sz w:val="20"/>
          <w:szCs w:val="18"/>
        </w:rPr>
        <w:t xml:space="preserve"> of Social Philosophy,</w:t>
      </w:r>
      <w:r w:rsidRPr="00AD032C">
        <w:rPr>
          <w:rFonts w:ascii="Arial" w:hAnsi="Arial" w:cs="Arial"/>
          <w:i/>
          <w:iCs/>
          <w:sz w:val="20"/>
          <w:szCs w:val="18"/>
        </w:rPr>
        <w:t xml:space="preserve"> </w:t>
      </w:r>
      <w:r w:rsidRPr="00AD032C">
        <w:rPr>
          <w:rFonts w:ascii="Arial" w:hAnsi="Arial" w:cs="Arial"/>
          <w:iCs/>
          <w:sz w:val="20"/>
          <w:szCs w:val="18"/>
        </w:rPr>
        <w:t>23</w:t>
      </w:r>
      <w:r w:rsidRPr="00AD032C">
        <w:rPr>
          <w:rFonts w:ascii="Arial" w:hAnsi="Arial" w:cs="Arial"/>
          <w:i/>
          <w:iCs/>
          <w:sz w:val="20"/>
          <w:szCs w:val="18"/>
        </w:rPr>
        <w:t>.</w:t>
      </w:r>
      <w:r w:rsidRPr="00AD032C">
        <w:rPr>
          <w:rFonts w:ascii="Arial" w:hAnsi="Arial" w:cs="Arial"/>
          <w:color w:val="FFFFFF"/>
          <w:sz w:val="20"/>
          <w:szCs w:val="18"/>
        </w:rPr>
        <w:t>63.</w:t>
      </w:r>
    </w:p>
  </w:footnote>
  <w:footnote w:id="152">
    <w:p w14:paraId="3CBB0BBA" w14:textId="11EA46C9"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12 (n 63).</w:t>
      </w:r>
    </w:p>
  </w:footnote>
  <w:footnote w:id="153">
    <w:p w14:paraId="6EBDB2DD" w14:textId="5CB51C3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Interviews 1, and 3 (n 62). </w:t>
      </w:r>
    </w:p>
  </w:footnote>
  <w:footnote w:id="154">
    <w:p w14:paraId="7E83AF62" w14:textId="121C267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Case C-131/12 </w:t>
      </w:r>
      <w:r w:rsidRPr="00AD032C">
        <w:rPr>
          <w:rFonts w:cs="Arial"/>
          <w:i/>
          <w:szCs w:val="18"/>
        </w:rPr>
        <w:t xml:space="preserve">Google Spain SL v Agencia Española de Protección de Datos </w:t>
      </w:r>
      <w:r w:rsidRPr="00AD032C">
        <w:rPr>
          <w:rFonts w:cs="Arial"/>
          <w:szCs w:val="18"/>
        </w:rPr>
        <w:t>(2014)</w:t>
      </w:r>
      <w:r w:rsidRPr="00AD032C">
        <w:rPr>
          <w:rFonts w:cs="Arial"/>
          <w:i/>
          <w:szCs w:val="18"/>
        </w:rPr>
        <w:t xml:space="preserve"> </w:t>
      </w:r>
      <w:r w:rsidRPr="00AD032C">
        <w:rPr>
          <w:rFonts w:cs="Arial"/>
          <w:szCs w:val="18"/>
        </w:rPr>
        <w:t>&lt;http://curia.europa.eu/juris/document/document.jsf;jsessionid=9ea7d2dc30dd7a8d4de5f8924b8981908f4c6ceda6bb.e34KaxiLc3qMb40Rch0SaxuPb3z0?text=&amp;docid=153853&amp;pageIndex=0&amp;doclang=EN&amp;mode=req&amp;dir=&amp;occ=first&amp;part=1&amp;cid=53717&gt; accessed February 10, 2015, ibid. For a critical evaluation of the case, see Chris Kuner, ‘The Court of Justice of the EU Judgment on Data Protection and Internet Search Engines,’ (LSE Legal S</w:t>
      </w:r>
      <w:r w:rsidR="00331630">
        <w:rPr>
          <w:rFonts w:cs="Arial"/>
          <w:szCs w:val="18"/>
        </w:rPr>
        <w:t>tudies Working Paper No. 3/2015)</w:t>
      </w:r>
      <w:r w:rsidR="00AC681B">
        <w:rPr>
          <w:rFonts w:cs="Arial"/>
          <w:szCs w:val="18"/>
        </w:rPr>
        <w:t xml:space="preserve"> </w:t>
      </w:r>
      <w:r w:rsidRPr="00AD032C">
        <w:rPr>
          <w:rFonts w:cs="Arial"/>
          <w:szCs w:val="18"/>
        </w:rPr>
        <w:t xml:space="preserve">&lt;http://ssrn.com/abstract=2496060&gt; accessed March 29, 2015. </w:t>
      </w:r>
    </w:p>
  </w:footnote>
  <w:footnote w:id="155">
    <w:p w14:paraId="1CEC4069"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Para 55 </w:t>
      </w:r>
    </w:p>
  </w:footnote>
  <w:footnote w:id="156">
    <w:p w14:paraId="55019014" w14:textId="5F10DFA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33.</w:t>
      </w:r>
    </w:p>
  </w:footnote>
  <w:footnote w:id="157">
    <w:p w14:paraId="38012C54" w14:textId="6D69BDF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3 (n 62).</w:t>
      </w:r>
    </w:p>
  </w:footnote>
  <w:footnote w:id="158">
    <w:p w14:paraId="200E5CEC" w14:textId="04AFCA52"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59">
    <w:p w14:paraId="620F8B5F" w14:textId="555C1FD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0">
    <w:p w14:paraId="096299DA" w14:textId="2E2EB0A6"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1">
    <w:p w14:paraId="26B4E79C"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2">
    <w:p w14:paraId="052613FB"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3">
    <w:p w14:paraId="20D94287"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4">
    <w:p w14:paraId="49D9ED50" w14:textId="1A2C53F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5">
    <w:p w14:paraId="586BC74D" w14:textId="319CDC8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12 (n 63).</w:t>
      </w:r>
    </w:p>
  </w:footnote>
  <w:footnote w:id="166">
    <w:p w14:paraId="39C9BB2D" w14:textId="7510DCFD"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w:t>
      </w:r>
    </w:p>
  </w:footnote>
  <w:footnote w:id="167">
    <w:p w14:paraId="0B1E7DE6" w14:textId="2790A2EA"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8">
    <w:p w14:paraId="2BD09E26" w14:textId="73968E58"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69">
    <w:p w14:paraId="7D4FD71E" w14:textId="4EF89EE0"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70">
    <w:p w14:paraId="7AFC8664"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This refers to the process of turning personal data in commodities which can be traded by the data controllers to other parties, such as advertisers, for the purposes of making a profit. </w:t>
      </w:r>
    </w:p>
  </w:footnote>
  <w:footnote w:id="171">
    <w:p w14:paraId="44BCAB21" w14:textId="79B9995A"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174.</w:t>
      </w:r>
    </w:p>
  </w:footnote>
  <w:footnote w:id="172">
    <w:p w14:paraId="14FDF41F" w14:textId="603CFB1E"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Interview 11 (n 63).</w:t>
      </w:r>
    </w:p>
  </w:footnote>
  <w:footnote w:id="173">
    <w:p w14:paraId="6D8B08A6" w14:textId="60FD899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 </w:t>
      </w:r>
    </w:p>
    <w:p w14:paraId="1C45CD7C" w14:textId="77777777" w:rsidR="00473F11" w:rsidRPr="00AD032C" w:rsidRDefault="00473F11" w:rsidP="00894ED6">
      <w:pPr>
        <w:pStyle w:val="FootnoteText"/>
        <w:spacing w:before="240"/>
        <w:rPr>
          <w:rFonts w:cs="Arial"/>
          <w:szCs w:val="18"/>
        </w:rPr>
      </w:pPr>
    </w:p>
  </w:footnote>
  <w:footnote w:id="174">
    <w:p w14:paraId="1D396A89" w14:textId="4BC5C4D1"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E.g. n 162.</w:t>
      </w:r>
    </w:p>
  </w:footnote>
  <w:footnote w:id="175">
    <w:p w14:paraId="286A9DEE" w14:textId="44873464"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Ibid.</w:t>
      </w:r>
    </w:p>
  </w:footnote>
  <w:footnote w:id="176">
    <w:p w14:paraId="675841DD" w14:textId="11F1CA5B"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62, 63, 64.</w:t>
      </w:r>
    </w:p>
  </w:footnote>
  <w:footnote w:id="177">
    <w:p w14:paraId="28135BA9" w14:textId="75049063"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szCs w:val="18"/>
        </w:rPr>
        <w:t xml:space="preserve"> n 3. </w:t>
      </w:r>
    </w:p>
  </w:footnote>
  <w:footnote w:id="178">
    <w:p w14:paraId="0B049613" w14:textId="77777777" w:rsidR="00473F11" w:rsidRPr="00AD032C" w:rsidRDefault="00473F11" w:rsidP="00894ED6">
      <w:pPr>
        <w:pStyle w:val="FootnoteText"/>
        <w:spacing w:before="240"/>
        <w:rPr>
          <w:rFonts w:cs="Arial"/>
          <w:szCs w:val="18"/>
        </w:rPr>
      </w:pPr>
      <w:r w:rsidRPr="00AD032C">
        <w:rPr>
          <w:rStyle w:val="FootnoteReference"/>
          <w:rFonts w:cs="Arial"/>
          <w:szCs w:val="18"/>
        </w:rPr>
        <w:footnoteRef/>
      </w:r>
      <w:r w:rsidRPr="00AD032C">
        <w:rPr>
          <w:rFonts w:cs="Arial"/>
          <w:color w:val="222222"/>
          <w:szCs w:val="18"/>
          <w:shd w:val="clear" w:color="auto" w:fill="FFFFFF"/>
        </w:rPr>
        <w:t>Jatinder Singh, et al, ‘Regional clouds: technical considerations,’ </w:t>
      </w:r>
      <w:r w:rsidRPr="00AD032C">
        <w:rPr>
          <w:rFonts w:cs="Arial"/>
          <w:iCs/>
          <w:color w:val="222222"/>
          <w:szCs w:val="18"/>
          <w:shd w:val="clear" w:color="auto" w:fill="FFFFFF"/>
        </w:rPr>
        <w:t>University of Cambridge, Computer Laboratory, Tech. Rep. UCAM-CLTR-863</w:t>
      </w:r>
      <w:r w:rsidRPr="00AD032C">
        <w:rPr>
          <w:rFonts w:cs="Arial"/>
          <w:color w:val="222222"/>
          <w:szCs w:val="18"/>
          <w:shd w:val="clear" w:color="auto" w:fill="FFFFFF"/>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EAF4" w14:textId="77777777" w:rsidR="00473F11" w:rsidRPr="00D9648B" w:rsidRDefault="00473F11" w:rsidP="002409C1">
    <w:pPr>
      <w:pStyle w:val="Header"/>
      <w:rPr>
        <w:b/>
        <w:sz w:val="36"/>
        <w:szCs w:val="32"/>
      </w:rPr>
    </w:pPr>
  </w:p>
  <w:p w14:paraId="3CC64DFC" w14:textId="77777777" w:rsidR="00473F11" w:rsidRDefault="00473F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11166" w14:textId="77777777" w:rsidR="00473F11" w:rsidRDefault="00473F11" w:rsidP="002409C1">
    <w:pPr>
      <w:pStyle w:val="Header"/>
    </w:pPr>
    <w:r>
      <w:rPr>
        <w:noProof/>
        <w:lang w:eastAsia="en-GB"/>
      </w:rPr>
      <mc:AlternateContent>
        <mc:Choice Requires="wps">
          <w:drawing>
            <wp:anchor distT="0" distB="0" distL="114300" distR="114300" simplePos="0" relativeHeight="251657216" behindDoc="0" locked="0" layoutInCell="1" allowOverlap="1" wp14:anchorId="66B4C9DE" wp14:editId="40B143B5">
              <wp:simplePos x="0" y="0"/>
              <wp:positionH relativeFrom="column">
                <wp:posOffset>3397250</wp:posOffset>
              </wp:positionH>
              <wp:positionV relativeFrom="paragraph">
                <wp:posOffset>-418465</wp:posOffset>
              </wp:positionV>
              <wp:extent cx="3154680" cy="5334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33400"/>
                      </a:xfrm>
                      <a:prstGeom prst="rect">
                        <a:avLst/>
                      </a:prstGeom>
                      <a:solidFill>
                        <a:srgbClr val="FFFFFF"/>
                      </a:solidFill>
                      <a:ln w="9525">
                        <a:noFill/>
                        <a:miter lim="800000"/>
                        <a:headEnd/>
                        <a:tailEnd/>
                      </a:ln>
                    </wps:spPr>
                    <wps:txbx>
                      <w:txbxContent>
                        <w:p w14:paraId="47878367" w14:textId="77777777" w:rsidR="00473F11" w:rsidRDefault="00473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4C9DE" id="_x0000_t202" coordsize="21600,21600" o:spt="202" path="m,l,21600r21600,l21600,xe">
              <v:stroke joinstyle="miter"/>
              <v:path gradientshapeok="t" o:connecttype="rect"/>
            </v:shapetype>
            <v:shape id="Text Box 2" o:spid="_x0000_s1026" type="#_x0000_t202" style="position:absolute;margin-left:267.5pt;margin-top:-32.95pt;width:248.4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eIQIAAB0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" stroked="f">
              <v:textbox>
                <w:txbxContent>
                  <w:p w14:paraId="47878367" w14:textId="77777777" w:rsidR="00473F11" w:rsidRDefault="00473F1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F4F"/>
    <w:multiLevelType w:val="hybridMultilevel"/>
    <w:tmpl w:val="01CC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46349"/>
    <w:multiLevelType w:val="multilevel"/>
    <w:tmpl w:val="5658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52227"/>
    <w:multiLevelType w:val="hybridMultilevel"/>
    <w:tmpl w:val="C1543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0507C"/>
    <w:multiLevelType w:val="multilevel"/>
    <w:tmpl w:val="722679D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2C35106"/>
    <w:multiLevelType w:val="hybridMultilevel"/>
    <w:tmpl w:val="483A62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5F0451"/>
    <w:multiLevelType w:val="hybridMultilevel"/>
    <w:tmpl w:val="58948862"/>
    <w:lvl w:ilvl="0" w:tplc="49CA5402">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DF4148"/>
    <w:multiLevelType w:val="multilevel"/>
    <w:tmpl w:val="75F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726ED"/>
    <w:multiLevelType w:val="hybridMultilevel"/>
    <w:tmpl w:val="02EA25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051E1"/>
    <w:multiLevelType w:val="hybridMultilevel"/>
    <w:tmpl w:val="C2FCE3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4266BC"/>
    <w:multiLevelType w:val="hybridMultilevel"/>
    <w:tmpl w:val="EC1A5092"/>
    <w:lvl w:ilvl="0" w:tplc="581A62F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43487"/>
    <w:multiLevelType w:val="multilevel"/>
    <w:tmpl w:val="F4F033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D7406ED"/>
    <w:multiLevelType w:val="multilevel"/>
    <w:tmpl w:val="B3E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266FC"/>
    <w:multiLevelType w:val="multilevel"/>
    <w:tmpl w:val="3A90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E10B71"/>
    <w:multiLevelType w:val="multilevel"/>
    <w:tmpl w:val="5BC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6B7E17"/>
    <w:multiLevelType w:val="hybridMultilevel"/>
    <w:tmpl w:val="932A4D3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A943FD"/>
    <w:multiLevelType w:val="hybridMultilevel"/>
    <w:tmpl w:val="DD9EAE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3C3E4A"/>
    <w:multiLevelType w:val="hybridMultilevel"/>
    <w:tmpl w:val="6A142204"/>
    <w:lvl w:ilvl="0" w:tplc="ED32354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435457"/>
    <w:multiLevelType w:val="hybridMultilevel"/>
    <w:tmpl w:val="9B1289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71681F"/>
    <w:multiLevelType w:val="hybridMultilevel"/>
    <w:tmpl w:val="24B6C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3"/>
  </w:num>
  <w:num w:numId="5">
    <w:abstractNumId w:val="9"/>
  </w:num>
  <w:num w:numId="6">
    <w:abstractNumId w:val="12"/>
  </w:num>
  <w:num w:numId="7">
    <w:abstractNumId w:val="1"/>
  </w:num>
  <w:num w:numId="8">
    <w:abstractNumId w:val="8"/>
  </w:num>
  <w:num w:numId="9">
    <w:abstractNumId w:val="7"/>
  </w:num>
  <w:num w:numId="10">
    <w:abstractNumId w:val="16"/>
  </w:num>
  <w:num w:numId="11">
    <w:abstractNumId w:val="14"/>
  </w:num>
  <w:num w:numId="12">
    <w:abstractNumId w:val="18"/>
  </w:num>
  <w:num w:numId="13">
    <w:abstractNumId w:val="4"/>
  </w:num>
  <w:num w:numId="14">
    <w:abstractNumId w:val="17"/>
  </w:num>
  <w:num w:numId="15">
    <w:abstractNumId w:val="6"/>
  </w:num>
  <w:num w:numId="16">
    <w:abstractNumId w:val="11"/>
  </w:num>
  <w:num w:numId="17">
    <w:abstractNumId w:val="1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81"/>
    <w:rsid w:val="000214E1"/>
    <w:rsid w:val="0003415E"/>
    <w:rsid w:val="00045A5E"/>
    <w:rsid w:val="00050F29"/>
    <w:rsid w:val="00051CAC"/>
    <w:rsid w:val="000520B9"/>
    <w:rsid w:val="00052269"/>
    <w:rsid w:val="000536FF"/>
    <w:rsid w:val="00071036"/>
    <w:rsid w:val="000730E8"/>
    <w:rsid w:val="00084200"/>
    <w:rsid w:val="00085341"/>
    <w:rsid w:val="00093002"/>
    <w:rsid w:val="000A61B8"/>
    <w:rsid w:val="000B6CA8"/>
    <w:rsid w:val="000B79BE"/>
    <w:rsid w:val="000B7E23"/>
    <w:rsid w:val="000C2648"/>
    <w:rsid w:val="000C5621"/>
    <w:rsid w:val="000D16D5"/>
    <w:rsid w:val="000D58F9"/>
    <w:rsid w:val="000D5D9B"/>
    <w:rsid w:val="000D6B25"/>
    <w:rsid w:val="000E41A5"/>
    <w:rsid w:val="000E5DC7"/>
    <w:rsid w:val="000F2088"/>
    <w:rsid w:val="000F7DC7"/>
    <w:rsid w:val="00104D29"/>
    <w:rsid w:val="001147EF"/>
    <w:rsid w:val="001179DD"/>
    <w:rsid w:val="00120411"/>
    <w:rsid w:val="0012192B"/>
    <w:rsid w:val="001231C0"/>
    <w:rsid w:val="001371A1"/>
    <w:rsid w:val="001377CC"/>
    <w:rsid w:val="001408F4"/>
    <w:rsid w:val="001409DA"/>
    <w:rsid w:val="00156660"/>
    <w:rsid w:val="001620BA"/>
    <w:rsid w:val="00162B7C"/>
    <w:rsid w:val="001707FE"/>
    <w:rsid w:val="001714B5"/>
    <w:rsid w:val="00172DCE"/>
    <w:rsid w:val="001845D8"/>
    <w:rsid w:val="00185DE2"/>
    <w:rsid w:val="001940D6"/>
    <w:rsid w:val="00195512"/>
    <w:rsid w:val="001B0DD4"/>
    <w:rsid w:val="001B4A25"/>
    <w:rsid w:val="001B71CC"/>
    <w:rsid w:val="001D447C"/>
    <w:rsid w:val="00207F57"/>
    <w:rsid w:val="00210B7A"/>
    <w:rsid w:val="00216E59"/>
    <w:rsid w:val="00223ED4"/>
    <w:rsid w:val="002306E7"/>
    <w:rsid w:val="00230A4F"/>
    <w:rsid w:val="002333FB"/>
    <w:rsid w:val="00237327"/>
    <w:rsid w:val="002409C1"/>
    <w:rsid w:val="00241952"/>
    <w:rsid w:val="002508F2"/>
    <w:rsid w:val="002511CE"/>
    <w:rsid w:val="00260848"/>
    <w:rsid w:val="002A1FAF"/>
    <w:rsid w:val="002A549B"/>
    <w:rsid w:val="002A610B"/>
    <w:rsid w:val="002B5FBE"/>
    <w:rsid w:val="002B69C0"/>
    <w:rsid w:val="002C12A4"/>
    <w:rsid w:val="002C3A40"/>
    <w:rsid w:val="002D403F"/>
    <w:rsid w:val="002D7B7C"/>
    <w:rsid w:val="002E7DCB"/>
    <w:rsid w:val="003015D2"/>
    <w:rsid w:val="00310268"/>
    <w:rsid w:val="0031786D"/>
    <w:rsid w:val="00331630"/>
    <w:rsid w:val="00337C76"/>
    <w:rsid w:val="00350937"/>
    <w:rsid w:val="00353247"/>
    <w:rsid w:val="00361AE8"/>
    <w:rsid w:val="003769DE"/>
    <w:rsid w:val="0038332D"/>
    <w:rsid w:val="00396099"/>
    <w:rsid w:val="003A60F5"/>
    <w:rsid w:val="003A6ECD"/>
    <w:rsid w:val="003C63C8"/>
    <w:rsid w:val="003D41E5"/>
    <w:rsid w:val="003E1DD0"/>
    <w:rsid w:val="003E78FE"/>
    <w:rsid w:val="004162A3"/>
    <w:rsid w:val="00420A96"/>
    <w:rsid w:val="00427203"/>
    <w:rsid w:val="00427653"/>
    <w:rsid w:val="004414E3"/>
    <w:rsid w:val="0044191E"/>
    <w:rsid w:val="00473F11"/>
    <w:rsid w:val="00485109"/>
    <w:rsid w:val="00485237"/>
    <w:rsid w:val="004855A6"/>
    <w:rsid w:val="0049206C"/>
    <w:rsid w:val="004B352F"/>
    <w:rsid w:val="004B5F94"/>
    <w:rsid w:val="004C0801"/>
    <w:rsid w:val="004C4759"/>
    <w:rsid w:val="004C4D8A"/>
    <w:rsid w:val="004C63B4"/>
    <w:rsid w:val="004E1608"/>
    <w:rsid w:val="004E3137"/>
    <w:rsid w:val="004F41F9"/>
    <w:rsid w:val="004F72F0"/>
    <w:rsid w:val="00501D87"/>
    <w:rsid w:val="00526A0A"/>
    <w:rsid w:val="00527A66"/>
    <w:rsid w:val="00540359"/>
    <w:rsid w:val="00554C30"/>
    <w:rsid w:val="005574EB"/>
    <w:rsid w:val="005602F2"/>
    <w:rsid w:val="005675D0"/>
    <w:rsid w:val="005722DE"/>
    <w:rsid w:val="00572D78"/>
    <w:rsid w:val="00580051"/>
    <w:rsid w:val="00586B55"/>
    <w:rsid w:val="005877AA"/>
    <w:rsid w:val="00592437"/>
    <w:rsid w:val="00596B01"/>
    <w:rsid w:val="005A0D82"/>
    <w:rsid w:val="005A0F26"/>
    <w:rsid w:val="005A4A23"/>
    <w:rsid w:val="005A4EBE"/>
    <w:rsid w:val="005A63A4"/>
    <w:rsid w:val="005A6637"/>
    <w:rsid w:val="005D5B18"/>
    <w:rsid w:val="00605EA9"/>
    <w:rsid w:val="00606D71"/>
    <w:rsid w:val="00607616"/>
    <w:rsid w:val="00613060"/>
    <w:rsid w:val="00613D48"/>
    <w:rsid w:val="00614F5C"/>
    <w:rsid w:val="00617BA3"/>
    <w:rsid w:val="00621D23"/>
    <w:rsid w:val="00627F70"/>
    <w:rsid w:val="00634E8A"/>
    <w:rsid w:val="00654BD5"/>
    <w:rsid w:val="00657F21"/>
    <w:rsid w:val="0066054B"/>
    <w:rsid w:val="006720A7"/>
    <w:rsid w:val="00672DA0"/>
    <w:rsid w:val="0068126D"/>
    <w:rsid w:val="00683252"/>
    <w:rsid w:val="00692A1C"/>
    <w:rsid w:val="00692AA0"/>
    <w:rsid w:val="00697C8E"/>
    <w:rsid w:val="006B41FD"/>
    <w:rsid w:val="006B598C"/>
    <w:rsid w:val="006C11AC"/>
    <w:rsid w:val="006C5F46"/>
    <w:rsid w:val="006D1CE7"/>
    <w:rsid w:val="006D7347"/>
    <w:rsid w:val="006E1254"/>
    <w:rsid w:val="007038D2"/>
    <w:rsid w:val="00705938"/>
    <w:rsid w:val="00705AE9"/>
    <w:rsid w:val="00710C3D"/>
    <w:rsid w:val="00711FA3"/>
    <w:rsid w:val="00713E11"/>
    <w:rsid w:val="0072324D"/>
    <w:rsid w:val="007512B7"/>
    <w:rsid w:val="007642BF"/>
    <w:rsid w:val="0076712D"/>
    <w:rsid w:val="00791773"/>
    <w:rsid w:val="007B3251"/>
    <w:rsid w:val="007B65F7"/>
    <w:rsid w:val="007F036C"/>
    <w:rsid w:val="007F67C1"/>
    <w:rsid w:val="0080750B"/>
    <w:rsid w:val="00811236"/>
    <w:rsid w:val="008141A3"/>
    <w:rsid w:val="008175B9"/>
    <w:rsid w:val="008176E3"/>
    <w:rsid w:val="00820D63"/>
    <w:rsid w:val="00823555"/>
    <w:rsid w:val="0083787E"/>
    <w:rsid w:val="00843DA1"/>
    <w:rsid w:val="00855B81"/>
    <w:rsid w:val="0087467F"/>
    <w:rsid w:val="00893285"/>
    <w:rsid w:val="00894BFA"/>
    <w:rsid w:val="00894ED6"/>
    <w:rsid w:val="00894F5F"/>
    <w:rsid w:val="008959A4"/>
    <w:rsid w:val="008B3A0A"/>
    <w:rsid w:val="008B5C46"/>
    <w:rsid w:val="008C5067"/>
    <w:rsid w:val="008D3DF6"/>
    <w:rsid w:val="008D4451"/>
    <w:rsid w:val="008D5A5A"/>
    <w:rsid w:val="008D7490"/>
    <w:rsid w:val="008E10A6"/>
    <w:rsid w:val="008E1125"/>
    <w:rsid w:val="008E1498"/>
    <w:rsid w:val="008E623E"/>
    <w:rsid w:val="008F2179"/>
    <w:rsid w:val="00910237"/>
    <w:rsid w:val="00922D5A"/>
    <w:rsid w:val="00927C14"/>
    <w:rsid w:val="00930CAC"/>
    <w:rsid w:val="00935C7A"/>
    <w:rsid w:val="00935F34"/>
    <w:rsid w:val="00937FC5"/>
    <w:rsid w:val="00952C2D"/>
    <w:rsid w:val="00980D93"/>
    <w:rsid w:val="00997272"/>
    <w:rsid w:val="009B22C6"/>
    <w:rsid w:val="009B3290"/>
    <w:rsid w:val="009B6D84"/>
    <w:rsid w:val="009C4096"/>
    <w:rsid w:val="009C5E3C"/>
    <w:rsid w:val="009C746C"/>
    <w:rsid w:val="009C79CC"/>
    <w:rsid w:val="009D1138"/>
    <w:rsid w:val="009D5044"/>
    <w:rsid w:val="009D6C8C"/>
    <w:rsid w:val="009D756D"/>
    <w:rsid w:val="009D7AE6"/>
    <w:rsid w:val="009E674D"/>
    <w:rsid w:val="009F29FC"/>
    <w:rsid w:val="00A01211"/>
    <w:rsid w:val="00A31784"/>
    <w:rsid w:val="00A447A5"/>
    <w:rsid w:val="00A46F1C"/>
    <w:rsid w:val="00A601E7"/>
    <w:rsid w:val="00A665AE"/>
    <w:rsid w:val="00A86899"/>
    <w:rsid w:val="00A93584"/>
    <w:rsid w:val="00AA3067"/>
    <w:rsid w:val="00AA68BD"/>
    <w:rsid w:val="00AB0D73"/>
    <w:rsid w:val="00AC681B"/>
    <w:rsid w:val="00AD009C"/>
    <w:rsid w:val="00AD032C"/>
    <w:rsid w:val="00AD580B"/>
    <w:rsid w:val="00AE0B47"/>
    <w:rsid w:val="00AE729A"/>
    <w:rsid w:val="00AF29F0"/>
    <w:rsid w:val="00B11D56"/>
    <w:rsid w:val="00B1262F"/>
    <w:rsid w:val="00B1444A"/>
    <w:rsid w:val="00B15D7F"/>
    <w:rsid w:val="00B27C74"/>
    <w:rsid w:val="00B3473F"/>
    <w:rsid w:val="00B55E9A"/>
    <w:rsid w:val="00B5742E"/>
    <w:rsid w:val="00B67F0D"/>
    <w:rsid w:val="00B80AA7"/>
    <w:rsid w:val="00B8560B"/>
    <w:rsid w:val="00B8564E"/>
    <w:rsid w:val="00B92F95"/>
    <w:rsid w:val="00B94DD5"/>
    <w:rsid w:val="00B96C2F"/>
    <w:rsid w:val="00BC6B9E"/>
    <w:rsid w:val="00BE0F7F"/>
    <w:rsid w:val="00BE2099"/>
    <w:rsid w:val="00BE3056"/>
    <w:rsid w:val="00BE3735"/>
    <w:rsid w:val="00C07143"/>
    <w:rsid w:val="00C40486"/>
    <w:rsid w:val="00C462D5"/>
    <w:rsid w:val="00C46566"/>
    <w:rsid w:val="00C5137F"/>
    <w:rsid w:val="00C539A9"/>
    <w:rsid w:val="00C60195"/>
    <w:rsid w:val="00C63C5F"/>
    <w:rsid w:val="00CA3A4A"/>
    <w:rsid w:val="00CA4BA7"/>
    <w:rsid w:val="00CB4707"/>
    <w:rsid w:val="00CD00DF"/>
    <w:rsid w:val="00CE4C82"/>
    <w:rsid w:val="00CE592E"/>
    <w:rsid w:val="00CE5B2E"/>
    <w:rsid w:val="00CF56E7"/>
    <w:rsid w:val="00D02EC4"/>
    <w:rsid w:val="00D0500D"/>
    <w:rsid w:val="00D36A12"/>
    <w:rsid w:val="00D45202"/>
    <w:rsid w:val="00D573CD"/>
    <w:rsid w:val="00D63949"/>
    <w:rsid w:val="00D66C9C"/>
    <w:rsid w:val="00D811E6"/>
    <w:rsid w:val="00D846FA"/>
    <w:rsid w:val="00D84DA4"/>
    <w:rsid w:val="00DA17A0"/>
    <w:rsid w:val="00DC62A8"/>
    <w:rsid w:val="00DC6C31"/>
    <w:rsid w:val="00DD0356"/>
    <w:rsid w:val="00DD1EFF"/>
    <w:rsid w:val="00DD5F08"/>
    <w:rsid w:val="00DE4786"/>
    <w:rsid w:val="00DE62F2"/>
    <w:rsid w:val="00DE7FF0"/>
    <w:rsid w:val="00DF5613"/>
    <w:rsid w:val="00E129DF"/>
    <w:rsid w:val="00E14B11"/>
    <w:rsid w:val="00E33B06"/>
    <w:rsid w:val="00E51D9F"/>
    <w:rsid w:val="00E66593"/>
    <w:rsid w:val="00E731A5"/>
    <w:rsid w:val="00E8233D"/>
    <w:rsid w:val="00E83AE7"/>
    <w:rsid w:val="00E90908"/>
    <w:rsid w:val="00EA3AE1"/>
    <w:rsid w:val="00EA3E41"/>
    <w:rsid w:val="00EC2511"/>
    <w:rsid w:val="00EC78E8"/>
    <w:rsid w:val="00EE09B4"/>
    <w:rsid w:val="00EF1EAF"/>
    <w:rsid w:val="00EF692D"/>
    <w:rsid w:val="00F10719"/>
    <w:rsid w:val="00F17C14"/>
    <w:rsid w:val="00F22FAC"/>
    <w:rsid w:val="00F251A6"/>
    <w:rsid w:val="00F2736B"/>
    <w:rsid w:val="00F317CC"/>
    <w:rsid w:val="00F37181"/>
    <w:rsid w:val="00F47B8C"/>
    <w:rsid w:val="00F50F43"/>
    <w:rsid w:val="00F5371C"/>
    <w:rsid w:val="00F53886"/>
    <w:rsid w:val="00F6484C"/>
    <w:rsid w:val="00F662CE"/>
    <w:rsid w:val="00F66AA2"/>
    <w:rsid w:val="00F80E71"/>
    <w:rsid w:val="00F863C6"/>
    <w:rsid w:val="00F90AEE"/>
    <w:rsid w:val="00F91A8E"/>
    <w:rsid w:val="00F971CD"/>
    <w:rsid w:val="00FA60DA"/>
    <w:rsid w:val="00FC7253"/>
    <w:rsid w:val="00FD0528"/>
    <w:rsid w:val="00FF271B"/>
    <w:rsid w:val="00FF4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7E597"/>
  <w15:docId w15:val="{C0F93601-046B-401A-9E86-9722DFD0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7181"/>
    <w:pPr>
      <w:keepNext/>
      <w:numPr>
        <w:numId w:val="1"/>
      </w:numPr>
      <w:spacing w:before="100" w:beforeAutospacing="1" w:after="100" w:afterAutospacing="1" w:line="240" w:lineRule="auto"/>
      <w:outlineLvl w:val="0"/>
    </w:pPr>
    <w:rPr>
      <w:rFonts w:ascii="Arial" w:eastAsia="Times New Roman" w:hAnsi="Arial" w:cs="Arial"/>
      <w:b/>
      <w:bCs/>
      <w:kern w:val="32"/>
      <w:sz w:val="24"/>
      <w:szCs w:val="32"/>
    </w:rPr>
  </w:style>
  <w:style w:type="paragraph" w:styleId="Heading2">
    <w:name w:val="heading 2"/>
    <w:basedOn w:val="Heading1"/>
    <w:next w:val="Normal"/>
    <w:link w:val="Heading2Char"/>
    <w:qFormat/>
    <w:rsid w:val="00F37181"/>
    <w:pPr>
      <w:numPr>
        <w:ilvl w:val="1"/>
      </w:numPr>
      <w:outlineLvl w:val="1"/>
    </w:pPr>
    <w:rPr>
      <w:b w:val="0"/>
      <w:bCs w:val="0"/>
      <w:iCs/>
      <w:sz w:val="20"/>
    </w:rPr>
  </w:style>
  <w:style w:type="paragraph" w:styleId="Heading3">
    <w:name w:val="heading 3"/>
    <w:basedOn w:val="Heading2"/>
    <w:next w:val="Normal"/>
    <w:link w:val="Heading3Char"/>
    <w:qFormat/>
    <w:rsid w:val="00F37181"/>
    <w:pPr>
      <w:numPr>
        <w:ilvl w:val="2"/>
      </w:numPr>
      <w:outlineLvl w:val="2"/>
    </w:pPr>
    <w:rPr>
      <w:b/>
      <w:bCs/>
      <w:szCs w:val="26"/>
    </w:rPr>
  </w:style>
  <w:style w:type="paragraph" w:styleId="Heading4">
    <w:name w:val="heading 4"/>
    <w:basedOn w:val="Heading3"/>
    <w:next w:val="Normal"/>
    <w:link w:val="Heading4Char"/>
    <w:qFormat/>
    <w:rsid w:val="00F37181"/>
    <w:pPr>
      <w:numPr>
        <w:ilvl w:val="3"/>
      </w:numPr>
      <w:outlineLvl w:val="3"/>
    </w:pPr>
    <w:rPr>
      <w:b w:val="0"/>
      <w:bCs w:val="0"/>
      <w:szCs w:val="28"/>
    </w:rPr>
  </w:style>
  <w:style w:type="paragraph" w:styleId="Heading5">
    <w:name w:val="heading 5"/>
    <w:basedOn w:val="Heading4"/>
    <w:next w:val="Normal"/>
    <w:link w:val="Heading5Char"/>
    <w:qFormat/>
    <w:rsid w:val="00F37181"/>
    <w:pPr>
      <w:numPr>
        <w:ilvl w:val="4"/>
      </w:numPr>
      <w:outlineLvl w:val="4"/>
    </w:pPr>
    <w:rPr>
      <w:b/>
      <w:bCs/>
      <w:i/>
      <w:iCs w:val="0"/>
      <w:szCs w:val="26"/>
    </w:rPr>
  </w:style>
  <w:style w:type="paragraph" w:styleId="Heading6">
    <w:name w:val="heading 6"/>
    <w:basedOn w:val="Heading5"/>
    <w:next w:val="Normal"/>
    <w:link w:val="Heading6Char"/>
    <w:qFormat/>
    <w:rsid w:val="00F37181"/>
    <w:pPr>
      <w:numPr>
        <w:ilvl w:val="5"/>
      </w:numPr>
      <w:outlineLvl w:val="5"/>
    </w:pPr>
    <w:rPr>
      <w:rFonts w:ascii="Times New Roman" w:hAnsi="Times New Roman"/>
      <w:b w:val="0"/>
      <w:bCs w:val="0"/>
      <w:szCs w:val="22"/>
    </w:rPr>
  </w:style>
  <w:style w:type="paragraph" w:styleId="Heading7">
    <w:name w:val="heading 7"/>
    <w:basedOn w:val="Heading6"/>
    <w:next w:val="Normal"/>
    <w:link w:val="Heading7Char"/>
    <w:qFormat/>
    <w:rsid w:val="00F37181"/>
    <w:pPr>
      <w:numPr>
        <w:ilvl w:val="6"/>
      </w:numPr>
      <w:outlineLvl w:val="6"/>
    </w:pPr>
  </w:style>
  <w:style w:type="paragraph" w:styleId="Heading8">
    <w:name w:val="heading 8"/>
    <w:basedOn w:val="Heading7"/>
    <w:next w:val="Normal"/>
    <w:link w:val="Heading8Char"/>
    <w:qFormat/>
    <w:rsid w:val="00F37181"/>
    <w:pPr>
      <w:numPr>
        <w:ilvl w:val="7"/>
      </w:numPr>
      <w:outlineLvl w:val="7"/>
    </w:pPr>
    <w:rPr>
      <w:i w:val="0"/>
      <w:iCs/>
    </w:rPr>
  </w:style>
  <w:style w:type="paragraph" w:styleId="Heading9">
    <w:name w:val="heading 9"/>
    <w:basedOn w:val="Heading8"/>
    <w:next w:val="Normal"/>
    <w:link w:val="Heading9Char"/>
    <w:qFormat/>
    <w:rsid w:val="00F3718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181"/>
    <w:rPr>
      <w:rFonts w:ascii="Arial" w:eastAsia="Times New Roman" w:hAnsi="Arial" w:cs="Arial"/>
      <w:b/>
      <w:bCs/>
      <w:kern w:val="32"/>
      <w:sz w:val="24"/>
      <w:szCs w:val="32"/>
    </w:rPr>
  </w:style>
  <w:style w:type="character" w:customStyle="1" w:styleId="Heading2Char">
    <w:name w:val="Heading 2 Char"/>
    <w:basedOn w:val="DefaultParagraphFont"/>
    <w:link w:val="Heading2"/>
    <w:rsid w:val="00F37181"/>
    <w:rPr>
      <w:rFonts w:ascii="Arial" w:eastAsia="Times New Roman" w:hAnsi="Arial" w:cs="Arial"/>
      <w:iCs/>
      <w:kern w:val="32"/>
      <w:sz w:val="20"/>
      <w:szCs w:val="32"/>
    </w:rPr>
  </w:style>
  <w:style w:type="character" w:customStyle="1" w:styleId="Heading3Char">
    <w:name w:val="Heading 3 Char"/>
    <w:basedOn w:val="DefaultParagraphFont"/>
    <w:link w:val="Heading3"/>
    <w:rsid w:val="00F37181"/>
    <w:rPr>
      <w:rFonts w:ascii="Arial" w:eastAsia="Times New Roman" w:hAnsi="Arial" w:cs="Arial"/>
      <w:b/>
      <w:bCs/>
      <w:iCs/>
      <w:kern w:val="32"/>
      <w:sz w:val="20"/>
      <w:szCs w:val="26"/>
    </w:rPr>
  </w:style>
  <w:style w:type="character" w:customStyle="1" w:styleId="Heading4Char">
    <w:name w:val="Heading 4 Char"/>
    <w:basedOn w:val="DefaultParagraphFont"/>
    <w:link w:val="Heading4"/>
    <w:rsid w:val="00F37181"/>
    <w:rPr>
      <w:rFonts w:ascii="Arial" w:eastAsia="Times New Roman" w:hAnsi="Arial" w:cs="Arial"/>
      <w:iCs/>
      <w:kern w:val="32"/>
      <w:sz w:val="20"/>
      <w:szCs w:val="28"/>
    </w:rPr>
  </w:style>
  <w:style w:type="character" w:customStyle="1" w:styleId="Heading5Char">
    <w:name w:val="Heading 5 Char"/>
    <w:basedOn w:val="DefaultParagraphFont"/>
    <w:link w:val="Heading5"/>
    <w:rsid w:val="00F37181"/>
    <w:rPr>
      <w:rFonts w:ascii="Arial" w:eastAsia="Times New Roman" w:hAnsi="Arial" w:cs="Arial"/>
      <w:b/>
      <w:bCs/>
      <w:i/>
      <w:kern w:val="32"/>
      <w:sz w:val="20"/>
      <w:szCs w:val="26"/>
    </w:rPr>
  </w:style>
  <w:style w:type="character" w:customStyle="1" w:styleId="Heading6Char">
    <w:name w:val="Heading 6 Char"/>
    <w:basedOn w:val="DefaultParagraphFont"/>
    <w:link w:val="Heading6"/>
    <w:rsid w:val="00F37181"/>
    <w:rPr>
      <w:rFonts w:ascii="Times New Roman" w:eastAsia="Times New Roman" w:hAnsi="Times New Roman" w:cs="Arial"/>
      <w:i/>
      <w:kern w:val="32"/>
      <w:sz w:val="20"/>
    </w:rPr>
  </w:style>
  <w:style w:type="character" w:customStyle="1" w:styleId="Heading7Char">
    <w:name w:val="Heading 7 Char"/>
    <w:basedOn w:val="DefaultParagraphFont"/>
    <w:link w:val="Heading7"/>
    <w:rsid w:val="00F37181"/>
    <w:rPr>
      <w:rFonts w:ascii="Times New Roman" w:eastAsia="Times New Roman" w:hAnsi="Times New Roman" w:cs="Arial"/>
      <w:i/>
      <w:kern w:val="32"/>
      <w:sz w:val="20"/>
    </w:rPr>
  </w:style>
  <w:style w:type="character" w:customStyle="1" w:styleId="Heading8Char">
    <w:name w:val="Heading 8 Char"/>
    <w:basedOn w:val="DefaultParagraphFont"/>
    <w:link w:val="Heading8"/>
    <w:rsid w:val="00F37181"/>
    <w:rPr>
      <w:rFonts w:ascii="Times New Roman" w:eastAsia="Times New Roman" w:hAnsi="Times New Roman" w:cs="Arial"/>
      <w:iCs/>
      <w:kern w:val="32"/>
      <w:sz w:val="20"/>
    </w:rPr>
  </w:style>
  <w:style w:type="character" w:customStyle="1" w:styleId="Heading9Char">
    <w:name w:val="Heading 9 Char"/>
    <w:basedOn w:val="DefaultParagraphFont"/>
    <w:link w:val="Heading9"/>
    <w:rsid w:val="00F37181"/>
    <w:rPr>
      <w:rFonts w:ascii="Times New Roman" w:eastAsia="Times New Roman" w:hAnsi="Times New Roman" w:cs="Arial"/>
      <w:iCs/>
      <w:kern w:val="32"/>
      <w:sz w:val="20"/>
    </w:rPr>
  </w:style>
  <w:style w:type="paragraph" w:styleId="Header">
    <w:name w:val="header"/>
    <w:basedOn w:val="Normal"/>
    <w:link w:val="HeaderChar"/>
    <w:uiPriority w:val="99"/>
    <w:unhideWhenUsed/>
    <w:rsid w:val="00F37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81"/>
  </w:style>
  <w:style w:type="paragraph" w:styleId="Footer">
    <w:name w:val="footer"/>
    <w:basedOn w:val="Normal"/>
    <w:link w:val="FooterChar"/>
    <w:uiPriority w:val="99"/>
    <w:unhideWhenUsed/>
    <w:rsid w:val="00F37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81"/>
  </w:style>
  <w:style w:type="character" w:styleId="Hyperlink">
    <w:name w:val="Hyperlink"/>
    <w:basedOn w:val="DefaultParagraphFont"/>
    <w:uiPriority w:val="99"/>
    <w:rsid w:val="00F37181"/>
    <w:rPr>
      <w:color w:val="0000FF"/>
      <w:u w:val="single"/>
    </w:rPr>
  </w:style>
  <w:style w:type="table" w:styleId="TableGrid">
    <w:name w:val="Table Grid"/>
    <w:basedOn w:val="TableNormal"/>
    <w:uiPriority w:val="39"/>
    <w:rsid w:val="00F37181"/>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F37181"/>
    <w:pPr>
      <w:spacing w:after="0" w:line="240" w:lineRule="auto"/>
    </w:pPr>
    <w:rPr>
      <w:rFonts w:ascii="Arial" w:eastAsia="Times New Roman" w:hAnsi="Arial" w:cs="Times New Roman"/>
      <w:sz w:val="24"/>
      <w:szCs w:val="24"/>
      <w:lang w:eastAsia="en-GB"/>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paragraph" w:styleId="FootnoteText">
    <w:name w:val="footnote text"/>
    <w:basedOn w:val="Normal"/>
    <w:link w:val="FootnoteTextChar"/>
    <w:uiPriority w:val="99"/>
    <w:unhideWhenUsed/>
    <w:rsid w:val="00F3718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F371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37181"/>
    <w:rPr>
      <w:vertAlign w:val="superscript"/>
    </w:rPr>
  </w:style>
  <w:style w:type="paragraph" w:customStyle="1" w:styleId="Default">
    <w:name w:val="Default"/>
    <w:rsid w:val="00F37181"/>
    <w:pPr>
      <w:autoSpaceDE w:val="0"/>
      <w:autoSpaceDN w:val="0"/>
      <w:adjustRightInd w:val="0"/>
      <w:spacing w:after="0" w:line="240" w:lineRule="auto"/>
    </w:pPr>
    <w:rPr>
      <w:rFonts w:ascii="Arial Unicode MS" w:eastAsia="Arial Unicode MS" w:hAnsi="Times New Roman" w:cs="Arial Unicode MS"/>
      <w:color w:val="000000"/>
      <w:sz w:val="24"/>
      <w:szCs w:val="24"/>
      <w:lang w:eastAsia="en-GB"/>
    </w:rPr>
  </w:style>
  <w:style w:type="character" w:customStyle="1" w:styleId="nlmyear">
    <w:name w:val="nlm_year"/>
    <w:uiPriority w:val="99"/>
    <w:rsid w:val="00F37181"/>
  </w:style>
  <w:style w:type="paragraph" w:customStyle="1" w:styleId="a3320titrep10">
    <w:name w:val="a__33__20_titre_p10"/>
    <w:basedOn w:val="Normal"/>
    <w:rsid w:val="00F37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37181"/>
    <w:rPr>
      <w:color w:val="808080"/>
    </w:rPr>
  </w:style>
  <w:style w:type="paragraph" w:styleId="CommentText">
    <w:name w:val="annotation text"/>
    <w:basedOn w:val="Normal"/>
    <w:link w:val="CommentTextChar"/>
    <w:uiPriority w:val="99"/>
    <w:unhideWhenUsed/>
    <w:rsid w:val="00F37181"/>
    <w:pPr>
      <w:spacing w:line="240" w:lineRule="auto"/>
    </w:pPr>
    <w:rPr>
      <w:sz w:val="20"/>
      <w:szCs w:val="20"/>
    </w:rPr>
  </w:style>
  <w:style w:type="character" w:customStyle="1" w:styleId="CommentTextChar">
    <w:name w:val="Comment Text Char"/>
    <w:basedOn w:val="DefaultParagraphFont"/>
    <w:link w:val="CommentText"/>
    <w:uiPriority w:val="99"/>
    <w:rsid w:val="00F37181"/>
    <w:rPr>
      <w:sz w:val="20"/>
      <w:szCs w:val="20"/>
    </w:rPr>
  </w:style>
  <w:style w:type="character" w:customStyle="1" w:styleId="CommentSubjectChar">
    <w:name w:val="Comment Subject Char"/>
    <w:basedOn w:val="CommentTextChar"/>
    <w:link w:val="CommentSubject"/>
    <w:uiPriority w:val="99"/>
    <w:semiHidden/>
    <w:rsid w:val="00F37181"/>
    <w:rPr>
      <w:b/>
      <w:bCs/>
      <w:sz w:val="20"/>
      <w:szCs w:val="20"/>
    </w:rPr>
  </w:style>
  <w:style w:type="paragraph" w:styleId="CommentSubject">
    <w:name w:val="annotation subject"/>
    <w:basedOn w:val="CommentText"/>
    <w:next w:val="CommentText"/>
    <w:link w:val="CommentSubjectChar"/>
    <w:uiPriority w:val="99"/>
    <w:semiHidden/>
    <w:unhideWhenUsed/>
    <w:rsid w:val="00F37181"/>
    <w:rPr>
      <w:b/>
      <w:bCs/>
    </w:rPr>
  </w:style>
  <w:style w:type="character" w:customStyle="1" w:styleId="BalloonTextChar">
    <w:name w:val="Balloon Text Char"/>
    <w:basedOn w:val="DefaultParagraphFont"/>
    <w:link w:val="BalloonText"/>
    <w:uiPriority w:val="99"/>
    <w:semiHidden/>
    <w:rsid w:val="00F37181"/>
    <w:rPr>
      <w:rFonts w:ascii="Segoe UI" w:hAnsi="Segoe UI" w:cs="Segoe UI"/>
      <w:sz w:val="18"/>
      <w:szCs w:val="18"/>
    </w:rPr>
  </w:style>
  <w:style w:type="paragraph" w:styleId="BalloonText">
    <w:name w:val="Balloon Text"/>
    <w:basedOn w:val="Normal"/>
    <w:link w:val="BalloonTextChar"/>
    <w:uiPriority w:val="99"/>
    <w:semiHidden/>
    <w:unhideWhenUsed/>
    <w:rsid w:val="00F37181"/>
    <w:pPr>
      <w:spacing w:after="0" w:line="240" w:lineRule="auto"/>
    </w:pPr>
    <w:rPr>
      <w:rFonts w:ascii="Segoe UI" w:hAnsi="Segoe UI" w:cs="Segoe UI"/>
      <w:sz w:val="18"/>
      <w:szCs w:val="18"/>
    </w:rPr>
  </w:style>
  <w:style w:type="paragraph" w:styleId="ListParagraph">
    <w:name w:val="List Paragraph"/>
    <w:basedOn w:val="Normal"/>
    <w:uiPriority w:val="34"/>
    <w:qFormat/>
    <w:rsid w:val="00F37181"/>
    <w:pPr>
      <w:ind w:left="720"/>
      <w:contextualSpacing/>
    </w:pPr>
  </w:style>
  <w:style w:type="paragraph" w:styleId="TOC1">
    <w:name w:val="toc 1"/>
    <w:basedOn w:val="Normal"/>
    <w:next w:val="Normal"/>
    <w:autoRedefine/>
    <w:uiPriority w:val="39"/>
    <w:unhideWhenUsed/>
    <w:rsid w:val="00F37181"/>
    <w:pPr>
      <w:spacing w:after="100"/>
    </w:pPr>
  </w:style>
  <w:style w:type="paragraph" w:styleId="TOC2">
    <w:name w:val="toc 2"/>
    <w:basedOn w:val="Normal"/>
    <w:next w:val="Normal"/>
    <w:autoRedefine/>
    <w:uiPriority w:val="39"/>
    <w:unhideWhenUsed/>
    <w:rsid w:val="00F37181"/>
    <w:pPr>
      <w:tabs>
        <w:tab w:val="left" w:pos="880"/>
        <w:tab w:val="right" w:leader="dot" w:pos="9054"/>
      </w:tabs>
      <w:spacing w:after="120" w:line="240" w:lineRule="auto"/>
      <w:ind w:left="220"/>
    </w:pPr>
  </w:style>
  <w:style w:type="character" w:styleId="Strong">
    <w:name w:val="Strong"/>
    <w:basedOn w:val="DefaultParagraphFont"/>
    <w:uiPriority w:val="22"/>
    <w:qFormat/>
    <w:rsid w:val="00F37181"/>
    <w:rPr>
      <w:b/>
      <w:bCs/>
    </w:rPr>
  </w:style>
  <w:style w:type="character" w:styleId="Emphasis">
    <w:name w:val="Emphasis"/>
    <w:basedOn w:val="DefaultParagraphFont"/>
    <w:uiPriority w:val="20"/>
    <w:qFormat/>
    <w:rsid w:val="00F37181"/>
    <w:rPr>
      <w:i/>
      <w:iCs/>
    </w:rPr>
  </w:style>
  <w:style w:type="character" w:customStyle="1" w:styleId="apple-converted-space">
    <w:name w:val="apple-converted-space"/>
    <w:basedOn w:val="DefaultParagraphFont"/>
    <w:rsid w:val="00F37181"/>
  </w:style>
  <w:style w:type="paragraph" w:styleId="NormalWeb">
    <w:name w:val="Normal (Web)"/>
    <w:basedOn w:val="Normal"/>
    <w:unhideWhenUsed/>
    <w:rsid w:val="00F371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F37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E1254"/>
    <w:rPr>
      <w:sz w:val="16"/>
      <w:szCs w:val="16"/>
    </w:rPr>
  </w:style>
  <w:style w:type="character" w:customStyle="1" w:styleId="searchword">
    <w:name w:val="searchword"/>
    <w:basedOn w:val="DefaultParagraphFont"/>
    <w:rsid w:val="004C4759"/>
  </w:style>
  <w:style w:type="paragraph" w:styleId="Revision">
    <w:name w:val="Revision"/>
    <w:hidden/>
    <w:uiPriority w:val="99"/>
    <w:semiHidden/>
    <w:rsid w:val="00527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28491">
      <w:bodyDiv w:val="1"/>
      <w:marLeft w:val="0"/>
      <w:marRight w:val="0"/>
      <w:marTop w:val="0"/>
      <w:marBottom w:val="0"/>
      <w:divBdr>
        <w:top w:val="none" w:sz="0" w:space="0" w:color="auto"/>
        <w:left w:val="none" w:sz="0" w:space="0" w:color="auto"/>
        <w:bottom w:val="none" w:sz="0" w:space="0" w:color="auto"/>
        <w:right w:val="none" w:sz="0" w:space="0" w:color="auto"/>
      </w:divBdr>
    </w:div>
    <w:div w:id="1967808100">
      <w:bodyDiv w:val="1"/>
      <w:marLeft w:val="0"/>
      <w:marRight w:val="0"/>
      <w:marTop w:val="0"/>
      <w:marBottom w:val="0"/>
      <w:divBdr>
        <w:top w:val="none" w:sz="0" w:space="0" w:color="auto"/>
        <w:left w:val="none" w:sz="0" w:space="0" w:color="auto"/>
        <w:bottom w:val="none" w:sz="0" w:space="0" w:color="auto"/>
        <w:right w:val="none" w:sz="0" w:space="0" w:color="auto"/>
      </w:divBdr>
      <w:divsChild>
        <w:div w:id="132916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8450-1DBD-4D00-BB27-0851065A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25AA7963</Template>
  <TotalTime>1</TotalTime>
  <Pages>39</Pages>
  <Words>8713</Words>
  <Characters>49668</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Vranaki</dc:creator>
  <cp:lastModifiedBy>Walker, Ian</cp:lastModifiedBy>
  <cp:revision>2</cp:revision>
  <dcterms:created xsi:type="dcterms:W3CDTF">2016-09-15T13:08:00Z</dcterms:created>
  <dcterms:modified xsi:type="dcterms:W3CDTF">2016-09-15T13:08:00Z</dcterms:modified>
</cp:coreProperties>
</file>