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A40" w:rsidRPr="0032381C" w:rsidRDefault="00BE2A40" w:rsidP="00BE2A40">
      <w:pPr>
        <w:spacing w:line="360" w:lineRule="auto"/>
        <w:rPr>
          <w:rFonts w:ascii="Arial" w:hAnsi="Arial" w:cs="Arial"/>
          <w:sz w:val="24"/>
          <w:szCs w:val="24"/>
        </w:rPr>
      </w:pPr>
      <w:bookmarkStart w:id="0" w:name="_GoBack"/>
      <w:bookmarkEnd w:id="0"/>
      <w:r w:rsidRPr="0032381C">
        <w:rPr>
          <w:rFonts w:ascii="Arial" w:hAnsi="Arial" w:cs="Arial"/>
          <w:sz w:val="24"/>
          <w:szCs w:val="24"/>
        </w:rPr>
        <w:t>Dr. Joanna Fox</w:t>
      </w:r>
    </w:p>
    <w:p w:rsidR="00BE2A40" w:rsidRPr="0032381C" w:rsidRDefault="00BE2A40" w:rsidP="00BE2A40">
      <w:pPr>
        <w:spacing w:line="360" w:lineRule="auto"/>
        <w:rPr>
          <w:rFonts w:ascii="Arial" w:hAnsi="Arial" w:cs="Arial"/>
          <w:sz w:val="24"/>
          <w:szCs w:val="24"/>
        </w:rPr>
      </w:pPr>
      <w:r w:rsidRPr="0032381C">
        <w:rPr>
          <w:rFonts w:ascii="Arial" w:hAnsi="Arial" w:cs="Arial"/>
          <w:sz w:val="24"/>
          <w:szCs w:val="24"/>
        </w:rPr>
        <w:t>Dept of Education and Social Care</w:t>
      </w:r>
    </w:p>
    <w:p w:rsidR="00BE2A40" w:rsidRPr="0032381C" w:rsidRDefault="00BE2A40" w:rsidP="00BE2A40">
      <w:pPr>
        <w:spacing w:line="360" w:lineRule="auto"/>
        <w:rPr>
          <w:rFonts w:ascii="Arial" w:hAnsi="Arial" w:cs="Arial"/>
          <w:sz w:val="24"/>
          <w:szCs w:val="24"/>
        </w:rPr>
      </w:pPr>
      <w:r w:rsidRPr="0032381C">
        <w:rPr>
          <w:rFonts w:ascii="Arial" w:hAnsi="Arial" w:cs="Arial"/>
          <w:sz w:val="24"/>
          <w:szCs w:val="24"/>
        </w:rPr>
        <w:t>Anglia Ruskin University</w:t>
      </w:r>
    </w:p>
    <w:p w:rsidR="00BE2A40" w:rsidRPr="0032381C" w:rsidRDefault="00BE2A40" w:rsidP="00BE2A40">
      <w:pPr>
        <w:spacing w:line="360" w:lineRule="auto"/>
        <w:rPr>
          <w:rFonts w:ascii="Arial" w:hAnsi="Arial" w:cs="Arial"/>
          <w:sz w:val="24"/>
          <w:szCs w:val="24"/>
        </w:rPr>
      </w:pPr>
      <w:r w:rsidRPr="0032381C">
        <w:rPr>
          <w:rFonts w:ascii="Arial" w:hAnsi="Arial" w:cs="Arial"/>
          <w:sz w:val="24"/>
          <w:szCs w:val="24"/>
        </w:rPr>
        <w:t xml:space="preserve">East Road </w:t>
      </w:r>
    </w:p>
    <w:p w:rsidR="00BE2A40" w:rsidRPr="0032381C" w:rsidRDefault="00BE2A40" w:rsidP="00BE2A40">
      <w:pPr>
        <w:spacing w:line="360" w:lineRule="auto"/>
        <w:rPr>
          <w:rFonts w:ascii="Arial" w:hAnsi="Arial" w:cs="Arial"/>
          <w:sz w:val="24"/>
          <w:szCs w:val="24"/>
        </w:rPr>
      </w:pPr>
      <w:r w:rsidRPr="0032381C">
        <w:rPr>
          <w:rFonts w:ascii="Arial" w:hAnsi="Arial" w:cs="Arial"/>
          <w:sz w:val="24"/>
          <w:szCs w:val="24"/>
        </w:rPr>
        <w:t>Cambridge</w:t>
      </w:r>
    </w:p>
    <w:p w:rsidR="00BE2A40" w:rsidRPr="0032381C" w:rsidRDefault="00BE2A40" w:rsidP="00BE2A40">
      <w:pPr>
        <w:spacing w:line="360" w:lineRule="auto"/>
        <w:rPr>
          <w:rFonts w:ascii="Arial" w:hAnsi="Arial" w:cs="Arial"/>
          <w:sz w:val="24"/>
          <w:szCs w:val="24"/>
        </w:rPr>
      </w:pPr>
      <w:r w:rsidRPr="0032381C">
        <w:rPr>
          <w:rFonts w:ascii="Arial" w:hAnsi="Arial" w:cs="Arial"/>
          <w:sz w:val="24"/>
          <w:szCs w:val="24"/>
        </w:rPr>
        <w:t>CB1 1PT</w:t>
      </w:r>
    </w:p>
    <w:p w:rsidR="00BE2A40" w:rsidRPr="0032381C" w:rsidRDefault="00BE2A40" w:rsidP="00BE2A40">
      <w:pPr>
        <w:spacing w:line="360" w:lineRule="auto"/>
        <w:rPr>
          <w:rFonts w:ascii="Arial" w:hAnsi="Arial" w:cs="Arial"/>
          <w:sz w:val="24"/>
          <w:szCs w:val="24"/>
        </w:rPr>
      </w:pPr>
    </w:p>
    <w:p w:rsidR="00BE2A40" w:rsidRPr="0032381C" w:rsidRDefault="00BE2A40" w:rsidP="00BE2A40">
      <w:pPr>
        <w:spacing w:line="360" w:lineRule="auto"/>
        <w:rPr>
          <w:rFonts w:ascii="Arial" w:hAnsi="Arial" w:cs="Arial"/>
          <w:sz w:val="24"/>
          <w:szCs w:val="24"/>
        </w:rPr>
      </w:pPr>
      <w:r>
        <w:rPr>
          <w:rFonts w:ascii="Arial" w:hAnsi="Arial" w:cs="Arial"/>
          <w:sz w:val="24"/>
          <w:szCs w:val="24"/>
        </w:rPr>
        <w:t xml:space="preserve">(0044) (0) </w:t>
      </w:r>
      <w:r w:rsidRPr="0032381C">
        <w:rPr>
          <w:rFonts w:ascii="Arial" w:hAnsi="Arial" w:cs="Arial"/>
          <w:sz w:val="24"/>
          <w:szCs w:val="24"/>
        </w:rPr>
        <w:t>1223 363271 x 2939</w:t>
      </w:r>
    </w:p>
    <w:p w:rsidR="00BE2A40" w:rsidRDefault="00DC46BC" w:rsidP="00BE2A40">
      <w:pPr>
        <w:spacing w:line="360" w:lineRule="auto"/>
        <w:rPr>
          <w:rFonts w:ascii="Arial" w:hAnsi="Arial" w:cs="Arial"/>
          <w:sz w:val="24"/>
          <w:szCs w:val="24"/>
        </w:rPr>
      </w:pPr>
      <w:hyperlink r:id="rId8" w:history="1">
        <w:r w:rsidR="00BE2A40" w:rsidRPr="0032381C">
          <w:rPr>
            <w:rStyle w:val="Hyperlink"/>
            <w:rFonts w:ascii="Arial" w:hAnsi="Arial" w:cs="Arial"/>
            <w:sz w:val="24"/>
            <w:szCs w:val="24"/>
          </w:rPr>
          <w:t>Joanna.Fox@anglia.ac.uk</w:t>
        </w:r>
      </w:hyperlink>
    </w:p>
    <w:p w:rsidR="00BE2A40" w:rsidRDefault="00BE2A40">
      <w:pPr>
        <w:rPr>
          <w:rFonts w:ascii="Arial" w:hAnsi="Arial" w:cs="Arial"/>
          <w:sz w:val="24"/>
          <w:szCs w:val="24"/>
        </w:rPr>
      </w:pPr>
      <w:r>
        <w:rPr>
          <w:rFonts w:ascii="Arial" w:hAnsi="Arial" w:cs="Arial"/>
          <w:sz w:val="24"/>
          <w:szCs w:val="24"/>
        </w:rPr>
        <w:br w:type="page"/>
      </w:r>
    </w:p>
    <w:p w:rsidR="00D12E6E" w:rsidRPr="00887A1F" w:rsidRDefault="005126E6" w:rsidP="00887A1F">
      <w:pPr>
        <w:spacing w:line="360" w:lineRule="auto"/>
        <w:rPr>
          <w:rFonts w:ascii="Arial" w:hAnsi="Arial" w:cs="Arial"/>
          <w:sz w:val="24"/>
          <w:szCs w:val="24"/>
        </w:rPr>
      </w:pPr>
      <w:r w:rsidRPr="00887A1F">
        <w:rPr>
          <w:rFonts w:ascii="Arial" w:hAnsi="Arial" w:cs="Arial"/>
          <w:sz w:val="24"/>
          <w:szCs w:val="24"/>
        </w:rPr>
        <w:lastRenderedPageBreak/>
        <w:t xml:space="preserve">Being a service user and </w:t>
      </w:r>
      <w:r w:rsidR="002E6BF0" w:rsidRPr="00887A1F">
        <w:rPr>
          <w:rFonts w:ascii="Arial" w:hAnsi="Arial" w:cs="Arial"/>
          <w:sz w:val="24"/>
          <w:szCs w:val="24"/>
        </w:rPr>
        <w:t xml:space="preserve">a </w:t>
      </w:r>
      <w:r w:rsidRPr="00887A1F">
        <w:rPr>
          <w:rFonts w:ascii="Arial" w:hAnsi="Arial" w:cs="Arial"/>
          <w:sz w:val="24"/>
          <w:szCs w:val="24"/>
        </w:rPr>
        <w:t xml:space="preserve">social work academic: balancing </w:t>
      </w:r>
      <w:r w:rsidR="00A35DBF" w:rsidRPr="00887A1F">
        <w:rPr>
          <w:rFonts w:ascii="Arial" w:hAnsi="Arial" w:cs="Arial"/>
          <w:sz w:val="24"/>
          <w:szCs w:val="24"/>
        </w:rPr>
        <w:t xml:space="preserve">expert </w:t>
      </w:r>
      <w:r w:rsidRPr="00887A1F">
        <w:rPr>
          <w:rFonts w:ascii="Arial" w:hAnsi="Arial" w:cs="Arial"/>
          <w:sz w:val="24"/>
          <w:szCs w:val="24"/>
        </w:rPr>
        <w:t>identities</w:t>
      </w:r>
      <w:r w:rsidR="00B2100E" w:rsidRPr="00887A1F">
        <w:rPr>
          <w:rFonts w:ascii="Arial" w:hAnsi="Arial" w:cs="Arial"/>
          <w:sz w:val="24"/>
          <w:szCs w:val="24"/>
        </w:rPr>
        <w:t xml:space="preserve"> </w:t>
      </w:r>
    </w:p>
    <w:p w:rsidR="00C6590B" w:rsidRPr="00887A1F" w:rsidRDefault="00C6590B" w:rsidP="00887A1F">
      <w:pPr>
        <w:spacing w:line="360" w:lineRule="auto"/>
        <w:rPr>
          <w:rFonts w:ascii="Arial" w:hAnsi="Arial" w:cs="Arial"/>
          <w:sz w:val="24"/>
          <w:szCs w:val="24"/>
        </w:rPr>
      </w:pPr>
    </w:p>
    <w:p w:rsidR="00C6590B" w:rsidRPr="00887A1F" w:rsidRDefault="00C6590B" w:rsidP="00887A1F">
      <w:pPr>
        <w:spacing w:line="360" w:lineRule="auto"/>
        <w:rPr>
          <w:rFonts w:ascii="Arial" w:hAnsi="Arial" w:cs="Arial"/>
          <w:sz w:val="24"/>
          <w:szCs w:val="24"/>
        </w:rPr>
      </w:pPr>
      <w:r w:rsidRPr="00887A1F">
        <w:rPr>
          <w:rFonts w:ascii="Arial" w:hAnsi="Arial" w:cs="Arial"/>
          <w:sz w:val="24"/>
          <w:szCs w:val="24"/>
        </w:rPr>
        <w:t>No grant awards made.</w:t>
      </w:r>
    </w:p>
    <w:p w:rsidR="00C6590B" w:rsidRPr="00887A1F" w:rsidRDefault="00C6590B" w:rsidP="00887A1F">
      <w:pPr>
        <w:spacing w:line="360" w:lineRule="auto"/>
        <w:rPr>
          <w:rFonts w:ascii="Arial" w:hAnsi="Arial" w:cs="Arial"/>
          <w:sz w:val="24"/>
          <w:szCs w:val="24"/>
        </w:rPr>
      </w:pPr>
      <w:r w:rsidRPr="00887A1F">
        <w:rPr>
          <w:rFonts w:ascii="Arial" w:hAnsi="Arial" w:cs="Arial"/>
          <w:sz w:val="24"/>
          <w:szCs w:val="24"/>
        </w:rPr>
        <w:br w:type="page"/>
      </w:r>
    </w:p>
    <w:p w:rsidR="00C6590B" w:rsidRPr="00887A1F" w:rsidRDefault="00C6590B" w:rsidP="00887A1F">
      <w:pPr>
        <w:spacing w:line="360" w:lineRule="auto"/>
        <w:rPr>
          <w:rFonts w:ascii="Arial" w:hAnsi="Arial" w:cs="Arial"/>
          <w:sz w:val="24"/>
          <w:szCs w:val="24"/>
        </w:rPr>
      </w:pPr>
      <w:r w:rsidRPr="00887A1F">
        <w:rPr>
          <w:rFonts w:ascii="Arial" w:hAnsi="Arial" w:cs="Arial"/>
          <w:sz w:val="24"/>
          <w:szCs w:val="24"/>
        </w:rPr>
        <w:lastRenderedPageBreak/>
        <w:t xml:space="preserve">Being a service user and a social work academic: balancing expert identities </w:t>
      </w:r>
    </w:p>
    <w:p w:rsidR="00C6590B" w:rsidRPr="00887A1F" w:rsidRDefault="00C6590B" w:rsidP="00887A1F">
      <w:pPr>
        <w:spacing w:line="360" w:lineRule="auto"/>
        <w:rPr>
          <w:rFonts w:ascii="Arial" w:hAnsi="Arial" w:cs="Arial"/>
          <w:sz w:val="24"/>
          <w:szCs w:val="24"/>
        </w:rPr>
      </w:pPr>
    </w:p>
    <w:p w:rsidR="00D12E6E" w:rsidRPr="00887A1F" w:rsidRDefault="00D12E6E" w:rsidP="00887A1F">
      <w:pPr>
        <w:spacing w:line="360" w:lineRule="auto"/>
        <w:rPr>
          <w:rFonts w:ascii="Arial" w:hAnsi="Arial" w:cs="Arial"/>
          <w:sz w:val="24"/>
          <w:szCs w:val="24"/>
        </w:rPr>
      </w:pPr>
      <w:r w:rsidRPr="00887A1F">
        <w:rPr>
          <w:rFonts w:ascii="Arial" w:hAnsi="Arial" w:cs="Arial"/>
          <w:sz w:val="24"/>
          <w:szCs w:val="24"/>
        </w:rPr>
        <w:t xml:space="preserve">I am a service user and academic </w:t>
      </w:r>
      <w:r w:rsidR="00190A85" w:rsidRPr="00887A1F">
        <w:rPr>
          <w:rFonts w:ascii="Arial" w:hAnsi="Arial" w:cs="Arial"/>
          <w:sz w:val="24"/>
          <w:szCs w:val="24"/>
        </w:rPr>
        <w:t xml:space="preserve">working in a university social work department.  </w:t>
      </w:r>
      <w:r w:rsidR="004A2994" w:rsidRPr="00887A1F">
        <w:rPr>
          <w:rFonts w:ascii="Arial" w:hAnsi="Arial" w:cs="Arial"/>
          <w:sz w:val="24"/>
          <w:szCs w:val="24"/>
        </w:rPr>
        <w:t xml:space="preserve">My </w:t>
      </w:r>
      <w:r w:rsidRPr="00887A1F">
        <w:rPr>
          <w:rFonts w:ascii="Arial" w:hAnsi="Arial" w:cs="Arial"/>
          <w:sz w:val="24"/>
          <w:szCs w:val="24"/>
        </w:rPr>
        <w:t xml:space="preserve">hybrid identity </w:t>
      </w:r>
      <w:r w:rsidR="004A2994" w:rsidRPr="00887A1F">
        <w:rPr>
          <w:rFonts w:ascii="Arial" w:hAnsi="Arial" w:cs="Arial"/>
          <w:sz w:val="24"/>
          <w:szCs w:val="24"/>
        </w:rPr>
        <w:t xml:space="preserve">allows me to </w:t>
      </w:r>
      <w:r w:rsidR="00190A85" w:rsidRPr="00887A1F">
        <w:rPr>
          <w:rFonts w:ascii="Arial" w:hAnsi="Arial" w:cs="Arial"/>
          <w:sz w:val="24"/>
          <w:szCs w:val="24"/>
        </w:rPr>
        <w:t xml:space="preserve">draw on </w:t>
      </w:r>
      <w:r w:rsidR="004A2994" w:rsidRPr="00887A1F">
        <w:rPr>
          <w:rFonts w:ascii="Arial" w:hAnsi="Arial" w:cs="Arial"/>
          <w:sz w:val="24"/>
          <w:szCs w:val="24"/>
        </w:rPr>
        <w:t xml:space="preserve">different types of knowledge in all aspects of my work, including: </w:t>
      </w:r>
      <w:r w:rsidR="00190A85" w:rsidRPr="00887A1F">
        <w:rPr>
          <w:rFonts w:ascii="Arial" w:hAnsi="Arial" w:cs="Arial"/>
          <w:sz w:val="24"/>
          <w:szCs w:val="24"/>
        </w:rPr>
        <w:t xml:space="preserve">academic, practice and experiential wisdom.  </w:t>
      </w:r>
      <w:r w:rsidR="00172336" w:rsidRPr="00887A1F">
        <w:rPr>
          <w:rFonts w:ascii="Arial" w:hAnsi="Arial" w:cs="Arial"/>
          <w:sz w:val="24"/>
          <w:szCs w:val="24"/>
        </w:rPr>
        <w:t xml:space="preserve">Service user involvement is mandated across social work education but the scope and breadth of different kinds of participation is developed in diverse ways across university contexts.  </w:t>
      </w:r>
      <w:r w:rsidRPr="00887A1F">
        <w:rPr>
          <w:rFonts w:ascii="Arial" w:hAnsi="Arial" w:cs="Arial"/>
          <w:sz w:val="24"/>
          <w:szCs w:val="24"/>
        </w:rPr>
        <w:t xml:space="preserve">This article affirms the value of service user involvement in </w:t>
      </w:r>
      <w:r w:rsidR="00172336" w:rsidRPr="00887A1F">
        <w:rPr>
          <w:rFonts w:ascii="Arial" w:hAnsi="Arial" w:cs="Arial"/>
          <w:sz w:val="24"/>
          <w:szCs w:val="24"/>
        </w:rPr>
        <w:t xml:space="preserve">health and </w:t>
      </w:r>
      <w:r w:rsidRPr="00887A1F">
        <w:rPr>
          <w:rFonts w:ascii="Arial" w:hAnsi="Arial" w:cs="Arial"/>
          <w:sz w:val="24"/>
          <w:szCs w:val="24"/>
        </w:rPr>
        <w:t xml:space="preserve">social </w:t>
      </w:r>
      <w:r w:rsidR="00172336" w:rsidRPr="00887A1F">
        <w:rPr>
          <w:rFonts w:ascii="Arial" w:hAnsi="Arial" w:cs="Arial"/>
          <w:sz w:val="24"/>
          <w:szCs w:val="24"/>
        </w:rPr>
        <w:t>care</w:t>
      </w:r>
      <w:r w:rsidRPr="00887A1F">
        <w:rPr>
          <w:rFonts w:ascii="Arial" w:hAnsi="Arial" w:cs="Arial"/>
          <w:sz w:val="24"/>
          <w:szCs w:val="24"/>
        </w:rPr>
        <w:t xml:space="preserve"> education</w:t>
      </w:r>
      <w:r w:rsidR="004A2994" w:rsidRPr="00887A1F">
        <w:rPr>
          <w:rFonts w:ascii="Arial" w:hAnsi="Arial" w:cs="Arial"/>
          <w:sz w:val="24"/>
          <w:szCs w:val="24"/>
        </w:rPr>
        <w:t>,</w:t>
      </w:r>
      <w:r w:rsidRPr="00887A1F">
        <w:rPr>
          <w:rFonts w:ascii="Arial" w:hAnsi="Arial" w:cs="Arial"/>
          <w:sz w:val="24"/>
          <w:szCs w:val="24"/>
        </w:rPr>
        <w:t xml:space="preserve"> exploring its positive impact on students.</w:t>
      </w:r>
      <w:r w:rsidR="00DC3D67" w:rsidRPr="00887A1F">
        <w:rPr>
          <w:rFonts w:ascii="Arial" w:hAnsi="Arial" w:cs="Arial"/>
          <w:sz w:val="24"/>
          <w:szCs w:val="24"/>
        </w:rPr>
        <w:t xml:space="preserve">  When lecturers share personal experience of using services alongside practice and academic wisdom in the course of teaching, sometimes the value of experiential knowledge is doubted and its</w:t>
      </w:r>
      <w:r w:rsidR="004A2994" w:rsidRPr="00887A1F">
        <w:rPr>
          <w:rFonts w:ascii="Arial" w:hAnsi="Arial" w:cs="Arial"/>
          <w:sz w:val="24"/>
          <w:szCs w:val="24"/>
        </w:rPr>
        <w:t xml:space="preserve"> influence dismissed.  I examine</w:t>
      </w:r>
      <w:r w:rsidR="00DC3D67" w:rsidRPr="00887A1F">
        <w:rPr>
          <w:rFonts w:ascii="Arial" w:hAnsi="Arial" w:cs="Arial"/>
          <w:sz w:val="24"/>
          <w:szCs w:val="24"/>
        </w:rPr>
        <w:t xml:space="preserve"> the importance of experiential wisdom in social work education, specifically when it is embedded in </w:t>
      </w:r>
      <w:r w:rsidR="004A2994" w:rsidRPr="00887A1F">
        <w:rPr>
          <w:rFonts w:ascii="Arial" w:hAnsi="Arial" w:cs="Arial"/>
          <w:sz w:val="24"/>
          <w:szCs w:val="24"/>
        </w:rPr>
        <w:t xml:space="preserve">an academic role in a </w:t>
      </w:r>
      <w:r w:rsidR="00DC3D67" w:rsidRPr="00887A1F">
        <w:rPr>
          <w:rFonts w:ascii="Arial" w:hAnsi="Arial" w:cs="Arial"/>
          <w:sz w:val="24"/>
          <w:szCs w:val="24"/>
        </w:rPr>
        <w:t>un</w:t>
      </w:r>
      <w:r w:rsidR="004A2994" w:rsidRPr="00887A1F">
        <w:rPr>
          <w:rFonts w:ascii="Arial" w:hAnsi="Arial" w:cs="Arial"/>
          <w:sz w:val="24"/>
          <w:szCs w:val="24"/>
        </w:rPr>
        <w:t>iversity social work department</w:t>
      </w:r>
      <w:r w:rsidR="00172336" w:rsidRPr="00887A1F">
        <w:rPr>
          <w:rFonts w:ascii="Arial" w:hAnsi="Arial" w:cs="Arial"/>
          <w:sz w:val="24"/>
          <w:szCs w:val="24"/>
        </w:rPr>
        <w:t xml:space="preserve">, and consider how it </w:t>
      </w:r>
      <w:r w:rsidR="00172336" w:rsidRPr="00887A1F">
        <w:rPr>
          <w:rFonts w:ascii="Arial" w:hAnsi="Arial" w:cs="Arial"/>
          <w:sz w:val="24"/>
          <w:szCs w:val="24"/>
        </w:rPr>
        <w:lastRenderedPageBreak/>
        <w:t>can be respected and valued</w:t>
      </w:r>
      <w:r w:rsidR="00DC3D67" w:rsidRPr="00887A1F">
        <w:rPr>
          <w:rFonts w:ascii="Arial" w:hAnsi="Arial" w:cs="Arial"/>
          <w:sz w:val="24"/>
          <w:szCs w:val="24"/>
        </w:rPr>
        <w:t xml:space="preserve">.  </w:t>
      </w:r>
      <w:r w:rsidR="00190A85" w:rsidRPr="00887A1F">
        <w:rPr>
          <w:rFonts w:ascii="Arial" w:hAnsi="Arial" w:cs="Arial"/>
          <w:sz w:val="24"/>
          <w:szCs w:val="24"/>
        </w:rPr>
        <w:t>The par</w:t>
      </w:r>
      <w:r w:rsidR="00172336" w:rsidRPr="00887A1F">
        <w:rPr>
          <w:rFonts w:ascii="Arial" w:hAnsi="Arial" w:cs="Arial"/>
          <w:sz w:val="24"/>
          <w:szCs w:val="24"/>
        </w:rPr>
        <w:t>allel experiences of involving p</w:t>
      </w:r>
      <w:r w:rsidR="00190A85" w:rsidRPr="00887A1F">
        <w:rPr>
          <w:rFonts w:ascii="Arial" w:hAnsi="Arial" w:cs="Arial"/>
          <w:sz w:val="24"/>
          <w:szCs w:val="24"/>
        </w:rPr>
        <w:t>eer support workers in mental health services, who use their knowledge of recovery t</w:t>
      </w:r>
      <w:r w:rsidR="00296635" w:rsidRPr="00887A1F">
        <w:rPr>
          <w:rFonts w:ascii="Arial" w:hAnsi="Arial" w:cs="Arial"/>
          <w:sz w:val="24"/>
          <w:szCs w:val="24"/>
        </w:rPr>
        <w:t>o mentor other service users, are</w:t>
      </w:r>
      <w:r w:rsidR="00190A85" w:rsidRPr="00887A1F">
        <w:rPr>
          <w:rFonts w:ascii="Arial" w:hAnsi="Arial" w:cs="Arial"/>
          <w:sz w:val="24"/>
          <w:szCs w:val="24"/>
        </w:rPr>
        <w:t xml:space="preserve"> then brie</w:t>
      </w:r>
      <w:r w:rsidR="00172336" w:rsidRPr="00887A1F">
        <w:rPr>
          <w:rFonts w:ascii="Arial" w:hAnsi="Arial" w:cs="Arial"/>
          <w:sz w:val="24"/>
          <w:szCs w:val="24"/>
        </w:rPr>
        <w:t xml:space="preserve">fly examined, </w:t>
      </w:r>
      <w:r w:rsidR="004A2994" w:rsidRPr="00887A1F">
        <w:rPr>
          <w:rFonts w:ascii="Arial" w:hAnsi="Arial" w:cs="Arial"/>
          <w:sz w:val="24"/>
          <w:szCs w:val="24"/>
        </w:rPr>
        <w:t xml:space="preserve">together </w:t>
      </w:r>
      <w:r w:rsidR="00172336" w:rsidRPr="00887A1F">
        <w:rPr>
          <w:rFonts w:ascii="Arial" w:hAnsi="Arial" w:cs="Arial"/>
          <w:sz w:val="24"/>
          <w:szCs w:val="24"/>
        </w:rPr>
        <w:t xml:space="preserve">with reflection </w:t>
      </w:r>
      <w:r w:rsidR="004A2994" w:rsidRPr="00887A1F">
        <w:rPr>
          <w:rFonts w:ascii="Arial" w:hAnsi="Arial" w:cs="Arial"/>
          <w:sz w:val="24"/>
          <w:szCs w:val="24"/>
        </w:rPr>
        <w:t xml:space="preserve">of the </w:t>
      </w:r>
      <w:r w:rsidR="00190A85" w:rsidRPr="00887A1F">
        <w:rPr>
          <w:rFonts w:ascii="Arial" w:hAnsi="Arial" w:cs="Arial"/>
          <w:sz w:val="24"/>
          <w:szCs w:val="24"/>
        </w:rPr>
        <w:t xml:space="preserve">concerns across mental health </w:t>
      </w:r>
      <w:r w:rsidR="004A2994" w:rsidRPr="00887A1F">
        <w:rPr>
          <w:rFonts w:ascii="Arial" w:hAnsi="Arial" w:cs="Arial"/>
          <w:sz w:val="24"/>
          <w:szCs w:val="24"/>
        </w:rPr>
        <w:t>with</w:t>
      </w:r>
      <w:r w:rsidR="00190A85" w:rsidRPr="00887A1F">
        <w:rPr>
          <w:rFonts w:ascii="Arial" w:hAnsi="Arial" w:cs="Arial"/>
          <w:sz w:val="24"/>
          <w:szCs w:val="24"/>
        </w:rPr>
        <w:t xml:space="preserve"> professionals sharing their </w:t>
      </w:r>
      <w:r w:rsidR="004A2994" w:rsidRPr="00887A1F">
        <w:rPr>
          <w:rFonts w:ascii="Arial" w:hAnsi="Arial" w:cs="Arial"/>
          <w:sz w:val="24"/>
          <w:szCs w:val="24"/>
        </w:rPr>
        <w:t xml:space="preserve">experiential wisdom </w:t>
      </w:r>
      <w:r w:rsidR="00190A85" w:rsidRPr="00887A1F">
        <w:rPr>
          <w:rFonts w:ascii="Arial" w:hAnsi="Arial" w:cs="Arial"/>
          <w:sz w:val="24"/>
          <w:szCs w:val="24"/>
        </w:rPr>
        <w:t>with the people that they support.</w:t>
      </w:r>
      <w:r w:rsidR="00DC3D67" w:rsidRPr="00887A1F">
        <w:rPr>
          <w:rFonts w:ascii="Arial" w:hAnsi="Arial" w:cs="Arial"/>
          <w:sz w:val="24"/>
          <w:szCs w:val="24"/>
        </w:rPr>
        <w:t xml:space="preserve"> </w:t>
      </w:r>
    </w:p>
    <w:p w:rsidR="00172336" w:rsidRPr="00887A1F" w:rsidRDefault="00172336" w:rsidP="00887A1F">
      <w:pPr>
        <w:spacing w:line="360" w:lineRule="auto"/>
        <w:rPr>
          <w:rFonts w:ascii="Arial" w:hAnsi="Arial" w:cs="Arial"/>
          <w:sz w:val="24"/>
          <w:szCs w:val="24"/>
        </w:rPr>
      </w:pPr>
    </w:p>
    <w:p w:rsidR="00172336" w:rsidRPr="00887A1F" w:rsidRDefault="00296635" w:rsidP="00887A1F">
      <w:pPr>
        <w:spacing w:line="360" w:lineRule="auto"/>
        <w:rPr>
          <w:rFonts w:ascii="Arial" w:hAnsi="Arial" w:cs="Arial"/>
          <w:sz w:val="24"/>
          <w:szCs w:val="24"/>
        </w:rPr>
      </w:pPr>
      <w:r w:rsidRPr="00887A1F">
        <w:rPr>
          <w:rFonts w:ascii="Arial" w:hAnsi="Arial" w:cs="Arial"/>
          <w:sz w:val="24"/>
          <w:szCs w:val="24"/>
        </w:rPr>
        <w:t>199</w:t>
      </w:r>
    </w:p>
    <w:p w:rsidR="0012177A" w:rsidRDefault="00C6590B" w:rsidP="00887A1F">
      <w:pPr>
        <w:spacing w:line="360" w:lineRule="auto"/>
        <w:rPr>
          <w:rFonts w:ascii="Arial" w:hAnsi="Arial" w:cs="Arial"/>
          <w:sz w:val="24"/>
          <w:szCs w:val="24"/>
          <w:u w:val="single"/>
        </w:rPr>
      </w:pPr>
      <w:r w:rsidRPr="00887A1F">
        <w:rPr>
          <w:rFonts w:ascii="Arial" w:hAnsi="Arial" w:cs="Arial"/>
          <w:sz w:val="24"/>
          <w:szCs w:val="24"/>
        </w:rPr>
        <w:t>Keywords: social work education, service user involvement, expertise-by-experience, mental health service user, experiential knowledge</w:t>
      </w:r>
    </w:p>
    <w:p w:rsidR="0012177A" w:rsidRDefault="0012177A">
      <w:pPr>
        <w:rPr>
          <w:rFonts w:ascii="Arial" w:hAnsi="Arial" w:cs="Arial"/>
          <w:sz w:val="24"/>
          <w:szCs w:val="24"/>
          <w:u w:val="single"/>
        </w:rPr>
      </w:pPr>
      <w:r>
        <w:rPr>
          <w:rFonts w:ascii="Arial" w:hAnsi="Arial" w:cs="Arial"/>
          <w:sz w:val="24"/>
          <w:szCs w:val="24"/>
          <w:u w:val="single"/>
        </w:rPr>
        <w:br w:type="page"/>
      </w:r>
    </w:p>
    <w:p w:rsidR="00AA7FFD" w:rsidRPr="00887A1F" w:rsidRDefault="00AA7FFD" w:rsidP="00887A1F">
      <w:pPr>
        <w:spacing w:line="360" w:lineRule="auto"/>
        <w:rPr>
          <w:rFonts w:ascii="Arial" w:hAnsi="Arial" w:cs="Arial"/>
          <w:sz w:val="24"/>
          <w:szCs w:val="24"/>
          <w:u w:val="single"/>
        </w:rPr>
      </w:pPr>
      <w:r w:rsidRPr="00887A1F">
        <w:rPr>
          <w:rFonts w:ascii="Arial" w:hAnsi="Arial" w:cs="Arial"/>
          <w:sz w:val="24"/>
          <w:szCs w:val="24"/>
          <w:u w:val="single"/>
        </w:rPr>
        <w:lastRenderedPageBreak/>
        <w:t>Introduction</w:t>
      </w:r>
    </w:p>
    <w:p w:rsidR="000E19F9" w:rsidRPr="00887A1F" w:rsidRDefault="007F2761" w:rsidP="00887A1F">
      <w:pPr>
        <w:spacing w:line="360" w:lineRule="auto"/>
        <w:rPr>
          <w:rFonts w:ascii="Arial" w:hAnsi="Arial" w:cs="Arial"/>
          <w:sz w:val="24"/>
          <w:szCs w:val="24"/>
        </w:rPr>
      </w:pPr>
      <w:r w:rsidRPr="00887A1F">
        <w:rPr>
          <w:rFonts w:ascii="Arial" w:hAnsi="Arial" w:cs="Arial"/>
          <w:sz w:val="24"/>
          <w:szCs w:val="24"/>
        </w:rPr>
        <w:t xml:space="preserve">Service users are increasingly </w:t>
      </w:r>
      <w:r w:rsidR="00AD182E" w:rsidRPr="00887A1F">
        <w:rPr>
          <w:rFonts w:ascii="Arial" w:hAnsi="Arial" w:cs="Arial"/>
          <w:sz w:val="24"/>
          <w:szCs w:val="24"/>
        </w:rPr>
        <w:t xml:space="preserve">becoming </w:t>
      </w:r>
      <w:r w:rsidRPr="00887A1F">
        <w:rPr>
          <w:rFonts w:ascii="Arial" w:hAnsi="Arial" w:cs="Arial"/>
          <w:sz w:val="24"/>
          <w:szCs w:val="24"/>
        </w:rPr>
        <w:t xml:space="preserve">involved in all aspects of </w:t>
      </w:r>
      <w:r w:rsidR="00EE3473">
        <w:rPr>
          <w:rFonts w:ascii="Arial" w:hAnsi="Arial" w:cs="Arial"/>
          <w:sz w:val="24"/>
          <w:szCs w:val="24"/>
        </w:rPr>
        <w:t xml:space="preserve">UK </w:t>
      </w:r>
      <w:r w:rsidR="00C37EE9" w:rsidRPr="00887A1F">
        <w:rPr>
          <w:rFonts w:ascii="Arial" w:hAnsi="Arial" w:cs="Arial"/>
          <w:sz w:val="24"/>
          <w:szCs w:val="24"/>
        </w:rPr>
        <w:t xml:space="preserve">health and social care </w:t>
      </w:r>
      <w:r w:rsidRPr="00887A1F">
        <w:rPr>
          <w:rFonts w:ascii="Arial" w:hAnsi="Arial" w:cs="Arial"/>
          <w:sz w:val="24"/>
          <w:szCs w:val="24"/>
        </w:rPr>
        <w:t xml:space="preserve">professionals’ pre-qualifying training </w:t>
      </w:r>
      <w:r w:rsidR="00A617D0" w:rsidRPr="00887A1F">
        <w:rPr>
          <w:rFonts w:ascii="Arial" w:hAnsi="Arial" w:cs="Arial"/>
          <w:sz w:val="24"/>
          <w:szCs w:val="24"/>
        </w:rPr>
        <w:t>(</w:t>
      </w:r>
      <w:r w:rsidR="00D97978" w:rsidRPr="00887A1F">
        <w:rPr>
          <w:rFonts w:ascii="Arial" w:hAnsi="Arial" w:cs="Arial"/>
          <w:sz w:val="24"/>
          <w:szCs w:val="24"/>
        </w:rPr>
        <w:t xml:space="preserve">Anghel &amp; Ramon, 2009; </w:t>
      </w:r>
      <w:r w:rsidR="00A617D0" w:rsidRPr="00887A1F">
        <w:rPr>
          <w:rFonts w:ascii="Arial" w:hAnsi="Arial" w:cs="Arial"/>
          <w:sz w:val="24"/>
          <w:szCs w:val="24"/>
        </w:rPr>
        <w:t>Rush</w:t>
      </w:r>
      <w:r w:rsidR="00D97978" w:rsidRPr="00887A1F">
        <w:rPr>
          <w:rFonts w:ascii="Arial" w:hAnsi="Arial" w:cs="Arial"/>
          <w:sz w:val="24"/>
          <w:szCs w:val="24"/>
        </w:rPr>
        <w:t>,</w:t>
      </w:r>
      <w:r w:rsidR="00A617D0" w:rsidRPr="00887A1F">
        <w:rPr>
          <w:rFonts w:ascii="Arial" w:hAnsi="Arial" w:cs="Arial"/>
          <w:sz w:val="24"/>
          <w:szCs w:val="24"/>
        </w:rPr>
        <w:t xml:space="preserve"> 2008) </w:t>
      </w:r>
      <w:r w:rsidRPr="00887A1F">
        <w:rPr>
          <w:rFonts w:ascii="Arial" w:hAnsi="Arial" w:cs="Arial"/>
          <w:sz w:val="24"/>
          <w:szCs w:val="24"/>
        </w:rPr>
        <w:t>and often in their continuing professional development</w:t>
      </w:r>
      <w:r w:rsidR="00D9697B" w:rsidRPr="00887A1F">
        <w:rPr>
          <w:rFonts w:ascii="Arial" w:hAnsi="Arial" w:cs="Arial"/>
          <w:sz w:val="24"/>
          <w:szCs w:val="24"/>
        </w:rPr>
        <w:t xml:space="preserve"> (</w:t>
      </w:r>
      <w:r w:rsidR="00D97978" w:rsidRPr="00887A1F">
        <w:rPr>
          <w:rFonts w:ascii="Arial" w:hAnsi="Arial" w:cs="Arial"/>
          <w:color w:val="231F20"/>
          <w:sz w:val="24"/>
          <w:szCs w:val="24"/>
        </w:rPr>
        <w:t>Webber &amp;</w:t>
      </w:r>
      <w:r w:rsidR="00D9697B" w:rsidRPr="00887A1F">
        <w:rPr>
          <w:rFonts w:ascii="Arial" w:hAnsi="Arial" w:cs="Arial"/>
          <w:color w:val="231F20"/>
          <w:sz w:val="24"/>
          <w:szCs w:val="24"/>
        </w:rPr>
        <w:t xml:space="preserve"> Robinson, 2012), with</w:t>
      </w:r>
      <w:r w:rsidR="00201179" w:rsidRPr="00887A1F">
        <w:rPr>
          <w:rFonts w:ascii="Arial" w:hAnsi="Arial" w:cs="Arial"/>
          <w:color w:val="231F20"/>
          <w:sz w:val="24"/>
          <w:szCs w:val="24"/>
        </w:rPr>
        <w:t xml:space="preserve"> social work having adopted</w:t>
      </w:r>
      <w:r w:rsidR="00D9697B" w:rsidRPr="00887A1F">
        <w:rPr>
          <w:rFonts w:ascii="Arial" w:hAnsi="Arial" w:cs="Arial"/>
          <w:color w:val="231F20"/>
          <w:sz w:val="24"/>
          <w:szCs w:val="24"/>
        </w:rPr>
        <w:t xml:space="preserve"> this requirement </w:t>
      </w:r>
      <w:r w:rsidR="003604BA">
        <w:rPr>
          <w:rFonts w:ascii="Arial" w:hAnsi="Arial" w:cs="Arial"/>
          <w:color w:val="231F20"/>
          <w:sz w:val="24"/>
          <w:szCs w:val="24"/>
        </w:rPr>
        <w:t xml:space="preserve">for their participation </w:t>
      </w:r>
      <w:r w:rsidR="009B6920" w:rsidRPr="00887A1F">
        <w:rPr>
          <w:rFonts w:ascii="Arial" w:hAnsi="Arial" w:cs="Arial"/>
          <w:color w:val="231F20"/>
          <w:sz w:val="24"/>
          <w:szCs w:val="24"/>
        </w:rPr>
        <w:t xml:space="preserve">in qualifying courses </w:t>
      </w:r>
      <w:r w:rsidR="00D9697B" w:rsidRPr="00887A1F">
        <w:rPr>
          <w:rFonts w:ascii="Arial" w:hAnsi="Arial" w:cs="Arial"/>
          <w:color w:val="231F20"/>
          <w:sz w:val="24"/>
          <w:szCs w:val="24"/>
        </w:rPr>
        <w:t>since 2002 (Levin, 2004)</w:t>
      </w:r>
      <w:r w:rsidRPr="00887A1F">
        <w:rPr>
          <w:rFonts w:ascii="Arial" w:hAnsi="Arial" w:cs="Arial"/>
          <w:sz w:val="24"/>
          <w:szCs w:val="24"/>
        </w:rPr>
        <w:t xml:space="preserve">.  </w:t>
      </w:r>
      <w:r w:rsidR="00EE3473">
        <w:rPr>
          <w:rFonts w:ascii="Arial" w:hAnsi="Arial" w:cs="Arial"/>
          <w:sz w:val="24"/>
          <w:szCs w:val="24"/>
        </w:rPr>
        <w:t>The professional regulator of UK s</w:t>
      </w:r>
      <w:r w:rsidR="00D139AF" w:rsidRPr="00887A1F">
        <w:rPr>
          <w:rFonts w:ascii="Arial" w:hAnsi="Arial" w:cs="Arial"/>
          <w:sz w:val="24"/>
          <w:szCs w:val="24"/>
        </w:rPr>
        <w:t>ocial work education</w:t>
      </w:r>
      <w:r w:rsidR="00EE3473">
        <w:rPr>
          <w:rFonts w:ascii="Arial" w:hAnsi="Arial" w:cs="Arial"/>
          <w:sz w:val="24"/>
          <w:szCs w:val="24"/>
        </w:rPr>
        <w:t>, formerly the General Social Care Council</w:t>
      </w:r>
      <w:r w:rsidR="00D139AF" w:rsidRPr="00887A1F">
        <w:rPr>
          <w:rFonts w:ascii="Arial" w:hAnsi="Arial" w:cs="Arial"/>
          <w:sz w:val="24"/>
          <w:szCs w:val="24"/>
        </w:rPr>
        <w:t xml:space="preserve"> (Levin, 2004)</w:t>
      </w:r>
      <w:r w:rsidR="00D139AF">
        <w:rPr>
          <w:rFonts w:ascii="Arial" w:hAnsi="Arial" w:cs="Arial"/>
          <w:sz w:val="24"/>
          <w:szCs w:val="24"/>
        </w:rPr>
        <w:t xml:space="preserve"> </w:t>
      </w:r>
      <w:r w:rsidR="003604BA">
        <w:rPr>
          <w:rFonts w:ascii="Arial" w:hAnsi="Arial" w:cs="Arial"/>
          <w:sz w:val="24"/>
          <w:szCs w:val="24"/>
        </w:rPr>
        <w:t>and now</w:t>
      </w:r>
      <w:r w:rsidR="00EE3473">
        <w:rPr>
          <w:rFonts w:ascii="Arial" w:hAnsi="Arial" w:cs="Arial"/>
          <w:sz w:val="24"/>
          <w:szCs w:val="24"/>
        </w:rPr>
        <w:t xml:space="preserve"> the Health and Care Professions Council</w:t>
      </w:r>
      <w:r w:rsidR="00F44F37">
        <w:rPr>
          <w:rFonts w:ascii="Arial" w:hAnsi="Arial" w:cs="Arial"/>
          <w:sz w:val="24"/>
          <w:szCs w:val="24"/>
        </w:rPr>
        <w:t xml:space="preserve"> </w:t>
      </w:r>
      <w:r w:rsidR="003C397F">
        <w:rPr>
          <w:rFonts w:ascii="Arial" w:hAnsi="Arial" w:cs="Arial"/>
          <w:sz w:val="24"/>
          <w:szCs w:val="24"/>
        </w:rPr>
        <w:t xml:space="preserve">[HCPC] </w:t>
      </w:r>
      <w:r w:rsidR="00F44F37">
        <w:rPr>
          <w:rFonts w:ascii="Arial" w:hAnsi="Arial" w:cs="Arial"/>
          <w:sz w:val="24"/>
          <w:szCs w:val="24"/>
        </w:rPr>
        <w:t>(</w:t>
      </w:r>
      <w:r w:rsidR="003C397F">
        <w:rPr>
          <w:rFonts w:ascii="Arial" w:hAnsi="Arial" w:cs="Arial"/>
          <w:sz w:val="24"/>
          <w:szCs w:val="24"/>
        </w:rPr>
        <w:t xml:space="preserve">HCPC, </w:t>
      </w:r>
      <w:r w:rsidR="00F44F37">
        <w:rPr>
          <w:rFonts w:ascii="Arial" w:hAnsi="Arial" w:cs="Arial"/>
          <w:sz w:val="24"/>
          <w:szCs w:val="24"/>
        </w:rPr>
        <w:t>2009)</w:t>
      </w:r>
      <w:r w:rsidR="00EE3473">
        <w:rPr>
          <w:rFonts w:ascii="Arial" w:hAnsi="Arial" w:cs="Arial"/>
          <w:sz w:val="24"/>
          <w:szCs w:val="24"/>
        </w:rPr>
        <w:t xml:space="preserve">, </w:t>
      </w:r>
      <w:r w:rsidR="00D139AF">
        <w:rPr>
          <w:rFonts w:ascii="Arial" w:hAnsi="Arial" w:cs="Arial"/>
          <w:sz w:val="24"/>
          <w:szCs w:val="24"/>
        </w:rPr>
        <w:t xml:space="preserve">mandates the involvement of </w:t>
      </w:r>
      <w:r w:rsidR="00FC5D4F">
        <w:rPr>
          <w:rFonts w:ascii="Arial" w:hAnsi="Arial" w:cs="Arial"/>
          <w:sz w:val="24"/>
          <w:szCs w:val="24"/>
        </w:rPr>
        <w:t xml:space="preserve">people who use services and their carers </w:t>
      </w:r>
      <w:r w:rsidR="006C2900">
        <w:rPr>
          <w:rFonts w:ascii="Arial" w:hAnsi="Arial" w:cs="Arial"/>
          <w:sz w:val="24"/>
          <w:szCs w:val="24"/>
        </w:rPr>
        <w:t xml:space="preserve">in </w:t>
      </w:r>
      <w:r w:rsidR="00D139AF">
        <w:rPr>
          <w:rFonts w:ascii="Arial" w:hAnsi="Arial" w:cs="Arial"/>
          <w:sz w:val="24"/>
          <w:szCs w:val="24"/>
        </w:rPr>
        <w:t xml:space="preserve">all aspects of pre-qualifying training including: programme development, admissions processes, assessment practices, teaching and learning, and programme management.  </w:t>
      </w:r>
      <w:r w:rsidR="00AD182E" w:rsidRPr="00887A1F">
        <w:rPr>
          <w:rFonts w:ascii="Arial" w:hAnsi="Arial" w:cs="Arial"/>
          <w:sz w:val="24"/>
          <w:szCs w:val="24"/>
        </w:rPr>
        <w:t>The i</w:t>
      </w:r>
      <w:r w:rsidR="00201179" w:rsidRPr="00887A1F">
        <w:rPr>
          <w:rFonts w:ascii="Arial" w:hAnsi="Arial" w:cs="Arial"/>
          <w:sz w:val="24"/>
          <w:szCs w:val="24"/>
        </w:rPr>
        <w:t xml:space="preserve">ncreased participation of service users in </w:t>
      </w:r>
      <w:r w:rsidR="00D93D9B" w:rsidRPr="00887A1F">
        <w:rPr>
          <w:rFonts w:ascii="Arial" w:hAnsi="Arial" w:cs="Arial"/>
          <w:sz w:val="24"/>
          <w:szCs w:val="24"/>
        </w:rPr>
        <w:t>health and social care</w:t>
      </w:r>
      <w:r w:rsidR="003F5C93" w:rsidRPr="00887A1F">
        <w:rPr>
          <w:rFonts w:ascii="Arial" w:hAnsi="Arial" w:cs="Arial"/>
          <w:sz w:val="24"/>
          <w:szCs w:val="24"/>
        </w:rPr>
        <w:t xml:space="preserve"> </w:t>
      </w:r>
      <w:r w:rsidR="00AD182E" w:rsidRPr="00887A1F">
        <w:rPr>
          <w:rFonts w:ascii="Arial" w:hAnsi="Arial" w:cs="Arial"/>
          <w:sz w:val="24"/>
          <w:szCs w:val="24"/>
        </w:rPr>
        <w:t>education demands</w:t>
      </w:r>
      <w:r w:rsidRPr="00887A1F">
        <w:rPr>
          <w:rFonts w:ascii="Arial" w:hAnsi="Arial" w:cs="Arial"/>
          <w:sz w:val="24"/>
          <w:szCs w:val="24"/>
        </w:rPr>
        <w:t xml:space="preserve"> </w:t>
      </w:r>
      <w:r w:rsidR="00C912E5">
        <w:rPr>
          <w:rFonts w:ascii="Arial" w:hAnsi="Arial" w:cs="Arial"/>
          <w:sz w:val="24"/>
          <w:szCs w:val="24"/>
        </w:rPr>
        <w:t xml:space="preserve">their </w:t>
      </w:r>
      <w:r w:rsidRPr="00887A1F">
        <w:rPr>
          <w:rFonts w:ascii="Arial" w:hAnsi="Arial" w:cs="Arial"/>
          <w:sz w:val="24"/>
          <w:szCs w:val="24"/>
        </w:rPr>
        <w:t xml:space="preserve">recognition </w:t>
      </w:r>
      <w:r w:rsidR="00201179" w:rsidRPr="00887A1F">
        <w:rPr>
          <w:rFonts w:ascii="Arial" w:hAnsi="Arial" w:cs="Arial"/>
          <w:sz w:val="24"/>
          <w:szCs w:val="24"/>
        </w:rPr>
        <w:t>as expert</w:t>
      </w:r>
      <w:r w:rsidR="000A394E">
        <w:rPr>
          <w:rFonts w:ascii="Arial" w:hAnsi="Arial" w:cs="Arial"/>
          <w:sz w:val="24"/>
          <w:szCs w:val="24"/>
        </w:rPr>
        <w:t>s</w:t>
      </w:r>
      <w:r w:rsidR="00201179" w:rsidRPr="00887A1F">
        <w:rPr>
          <w:rFonts w:ascii="Arial" w:hAnsi="Arial" w:cs="Arial"/>
          <w:sz w:val="24"/>
          <w:szCs w:val="24"/>
        </w:rPr>
        <w:t>-</w:t>
      </w:r>
      <w:r w:rsidRPr="00887A1F">
        <w:rPr>
          <w:rFonts w:ascii="Arial" w:hAnsi="Arial" w:cs="Arial"/>
          <w:sz w:val="24"/>
          <w:szCs w:val="24"/>
        </w:rPr>
        <w:t>by</w:t>
      </w:r>
      <w:r w:rsidR="00201179" w:rsidRPr="00887A1F">
        <w:rPr>
          <w:rFonts w:ascii="Arial" w:hAnsi="Arial" w:cs="Arial"/>
          <w:sz w:val="24"/>
          <w:szCs w:val="24"/>
        </w:rPr>
        <w:t>-</w:t>
      </w:r>
      <w:r w:rsidRPr="00887A1F">
        <w:rPr>
          <w:rFonts w:ascii="Arial" w:hAnsi="Arial" w:cs="Arial"/>
          <w:sz w:val="24"/>
          <w:szCs w:val="24"/>
        </w:rPr>
        <w:t>experience</w:t>
      </w:r>
      <w:r w:rsidR="00201179" w:rsidRPr="00887A1F">
        <w:rPr>
          <w:rFonts w:ascii="Arial" w:hAnsi="Arial" w:cs="Arial"/>
          <w:sz w:val="24"/>
          <w:szCs w:val="24"/>
        </w:rPr>
        <w:t xml:space="preserve">.  This inevitably changes the perception of their </w:t>
      </w:r>
      <w:r w:rsidR="009B6920" w:rsidRPr="00887A1F">
        <w:rPr>
          <w:rFonts w:ascii="Arial" w:hAnsi="Arial" w:cs="Arial"/>
          <w:sz w:val="24"/>
          <w:szCs w:val="24"/>
        </w:rPr>
        <w:t>role from</w:t>
      </w:r>
      <w:r w:rsidRPr="00887A1F">
        <w:rPr>
          <w:rFonts w:ascii="Arial" w:hAnsi="Arial" w:cs="Arial"/>
          <w:sz w:val="24"/>
          <w:szCs w:val="24"/>
        </w:rPr>
        <w:t xml:space="preserve"> passive recipients of service</w:t>
      </w:r>
      <w:r w:rsidR="008076C3" w:rsidRPr="00887A1F">
        <w:rPr>
          <w:rFonts w:ascii="Arial" w:hAnsi="Arial" w:cs="Arial"/>
          <w:sz w:val="24"/>
          <w:szCs w:val="24"/>
        </w:rPr>
        <w:t>s</w:t>
      </w:r>
      <w:r w:rsidR="009B6920" w:rsidRPr="00887A1F">
        <w:rPr>
          <w:rFonts w:ascii="Arial" w:hAnsi="Arial" w:cs="Arial"/>
          <w:sz w:val="24"/>
          <w:szCs w:val="24"/>
        </w:rPr>
        <w:t xml:space="preserve"> to active citizens</w:t>
      </w:r>
      <w:r w:rsidR="00D97978" w:rsidRPr="00887A1F">
        <w:rPr>
          <w:rFonts w:ascii="Arial" w:hAnsi="Arial" w:cs="Arial"/>
          <w:sz w:val="24"/>
          <w:szCs w:val="24"/>
        </w:rPr>
        <w:t xml:space="preserve"> (Barnes &amp;</w:t>
      </w:r>
      <w:r w:rsidR="00201179" w:rsidRPr="00887A1F">
        <w:rPr>
          <w:rFonts w:ascii="Arial" w:hAnsi="Arial" w:cs="Arial"/>
          <w:sz w:val="24"/>
          <w:szCs w:val="24"/>
        </w:rPr>
        <w:t xml:space="preserve"> Bowls</w:t>
      </w:r>
      <w:r w:rsidR="00BD5C9B" w:rsidRPr="00887A1F">
        <w:rPr>
          <w:rFonts w:ascii="Arial" w:hAnsi="Arial" w:cs="Arial"/>
          <w:sz w:val="24"/>
          <w:szCs w:val="24"/>
        </w:rPr>
        <w:t>, 2001</w:t>
      </w:r>
      <w:r w:rsidR="00201179" w:rsidRPr="00887A1F">
        <w:rPr>
          <w:rFonts w:ascii="Arial" w:hAnsi="Arial" w:cs="Arial"/>
          <w:sz w:val="24"/>
          <w:szCs w:val="24"/>
        </w:rPr>
        <w:t>)</w:t>
      </w:r>
      <w:r w:rsidR="00AD182E" w:rsidRPr="00887A1F">
        <w:rPr>
          <w:rFonts w:ascii="Arial" w:hAnsi="Arial" w:cs="Arial"/>
          <w:sz w:val="24"/>
          <w:szCs w:val="24"/>
        </w:rPr>
        <w:t>; how</w:t>
      </w:r>
      <w:r w:rsidR="00AD182E" w:rsidRPr="00887A1F">
        <w:rPr>
          <w:rFonts w:ascii="Arial" w:hAnsi="Arial" w:cs="Arial"/>
          <w:sz w:val="24"/>
          <w:szCs w:val="24"/>
        </w:rPr>
        <w:lastRenderedPageBreak/>
        <w:t>ever m</w:t>
      </w:r>
      <w:r w:rsidR="00201179" w:rsidRPr="00887A1F">
        <w:rPr>
          <w:rFonts w:ascii="Arial" w:hAnsi="Arial" w:cs="Arial"/>
          <w:sz w:val="24"/>
          <w:szCs w:val="24"/>
        </w:rPr>
        <w:t xml:space="preserve">any </w:t>
      </w:r>
      <w:r w:rsidR="00D9697B" w:rsidRPr="00887A1F">
        <w:rPr>
          <w:rFonts w:ascii="Arial" w:hAnsi="Arial" w:cs="Arial"/>
          <w:sz w:val="24"/>
          <w:szCs w:val="24"/>
        </w:rPr>
        <w:t xml:space="preserve">questions remain </w:t>
      </w:r>
      <w:r w:rsidR="00201179" w:rsidRPr="00887A1F">
        <w:rPr>
          <w:rFonts w:ascii="Arial" w:hAnsi="Arial" w:cs="Arial"/>
          <w:sz w:val="24"/>
          <w:szCs w:val="24"/>
        </w:rPr>
        <w:t xml:space="preserve">unresolved </w:t>
      </w:r>
      <w:r w:rsidR="000E19F9" w:rsidRPr="00887A1F">
        <w:rPr>
          <w:rFonts w:ascii="Arial" w:hAnsi="Arial" w:cs="Arial"/>
          <w:sz w:val="24"/>
          <w:szCs w:val="24"/>
        </w:rPr>
        <w:t xml:space="preserve">about the </w:t>
      </w:r>
      <w:r w:rsidR="00D9697B" w:rsidRPr="00887A1F">
        <w:rPr>
          <w:rFonts w:ascii="Arial" w:hAnsi="Arial" w:cs="Arial"/>
          <w:sz w:val="24"/>
          <w:szCs w:val="24"/>
        </w:rPr>
        <w:t xml:space="preserve">nature </w:t>
      </w:r>
      <w:r w:rsidR="00201179" w:rsidRPr="00887A1F">
        <w:rPr>
          <w:rFonts w:ascii="Arial" w:hAnsi="Arial" w:cs="Arial"/>
          <w:sz w:val="24"/>
          <w:szCs w:val="24"/>
        </w:rPr>
        <w:t xml:space="preserve">of a service user’s </w:t>
      </w:r>
      <w:r w:rsidR="00D9697B" w:rsidRPr="00887A1F">
        <w:rPr>
          <w:rFonts w:ascii="Arial" w:hAnsi="Arial" w:cs="Arial"/>
          <w:sz w:val="24"/>
          <w:szCs w:val="24"/>
        </w:rPr>
        <w:t xml:space="preserve">authority </w:t>
      </w:r>
      <w:r w:rsidR="00201179" w:rsidRPr="00887A1F">
        <w:rPr>
          <w:rFonts w:ascii="Arial" w:hAnsi="Arial" w:cs="Arial"/>
          <w:sz w:val="24"/>
          <w:szCs w:val="24"/>
        </w:rPr>
        <w:t>and expertise as they contribute their knowledge from experience</w:t>
      </w:r>
      <w:r w:rsidR="000E19F9" w:rsidRPr="00887A1F">
        <w:rPr>
          <w:rFonts w:ascii="Arial" w:hAnsi="Arial" w:cs="Arial"/>
          <w:sz w:val="24"/>
          <w:szCs w:val="24"/>
        </w:rPr>
        <w:t xml:space="preserve"> to developing </w:t>
      </w:r>
      <w:r w:rsidR="003F5C93" w:rsidRPr="00887A1F">
        <w:rPr>
          <w:rFonts w:ascii="Arial" w:hAnsi="Arial" w:cs="Arial"/>
          <w:sz w:val="24"/>
          <w:szCs w:val="24"/>
        </w:rPr>
        <w:t>and</w:t>
      </w:r>
      <w:r w:rsidR="000E19F9" w:rsidRPr="00887A1F">
        <w:rPr>
          <w:rFonts w:ascii="Arial" w:hAnsi="Arial" w:cs="Arial"/>
          <w:sz w:val="24"/>
          <w:szCs w:val="24"/>
        </w:rPr>
        <w:t xml:space="preserve"> delivering education</w:t>
      </w:r>
      <w:r w:rsidR="003F5C93" w:rsidRPr="00887A1F">
        <w:rPr>
          <w:rFonts w:ascii="Arial" w:hAnsi="Arial" w:cs="Arial"/>
          <w:sz w:val="24"/>
          <w:szCs w:val="24"/>
        </w:rPr>
        <w:t>.</w:t>
      </w:r>
      <w:r w:rsidR="00201179" w:rsidRPr="00887A1F">
        <w:rPr>
          <w:rFonts w:ascii="Arial" w:hAnsi="Arial" w:cs="Arial"/>
          <w:sz w:val="24"/>
          <w:szCs w:val="24"/>
        </w:rPr>
        <w:t xml:space="preserve"> </w:t>
      </w:r>
    </w:p>
    <w:p w:rsidR="000E19F9" w:rsidRPr="00887A1F" w:rsidRDefault="000E19F9" w:rsidP="00887A1F">
      <w:pPr>
        <w:spacing w:line="360" w:lineRule="auto"/>
        <w:rPr>
          <w:rFonts w:ascii="Arial" w:hAnsi="Arial" w:cs="Arial"/>
          <w:sz w:val="24"/>
          <w:szCs w:val="24"/>
        </w:rPr>
      </w:pPr>
    </w:p>
    <w:p w:rsidR="00D93D9B" w:rsidRPr="00887A1F" w:rsidRDefault="005867B6" w:rsidP="00887A1F">
      <w:pPr>
        <w:spacing w:line="360" w:lineRule="auto"/>
        <w:rPr>
          <w:rFonts w:ascii="Arial" w:hAnsi="Arial" w:cs="Arial"/>
          <w:sz w:val="24"/>
          <w:szCs w:val="24"/>
        </w:rPr>
      </w:pPr>
      <w:r w:rsidRPr="00887A1F">
        <w:rPr>
          <w:rFonts w:ascii="Arial" w:hAnsi="Arial" w:cs="Arial"/>
          <w:sz w:val="24"/>
          <w:szCs w:val="24"/>
        </w:rPr>
        <w:t xml:space="preserve">Although it is a requirement that service users and carers contribute to </w:t>
      </w:r>
      <w:r w:rsidR="00EF64EC" w:rsidRPr="00887A1F">
        <w:rPr>
          <w:rFonts w:ascii="Arial" w:hAnsi="Arial" w:cs="Arial"/>
          <w:sz w:val="24"/>
          <w:szCs w:val="24"/>
        </w:rPr>
        <w:t>social work education</w:t>
      </w:r>
      <w:r w:rsidR="00A52039" w:rsidRPr="00887A1F">
        <w:rPr>
          <w:rFonts w:ascii="Arial" w:hAnsi="Arial" w:cs="Arial"/>
          <w:sz w:val="24"/>
          <w:szCs w:val="24"/>
        </w:rPr>
        <w:t xml:space="preserve"> (</w:t>
      </w:r>
      <w:r w:rsidR="00F44F37">
        <w:rPr>
          <w:rFonts w:ascii="Arial" w:hAnsi="Arial" w:cs="Arial"/>
          <w:sz w:val="24"/>
          <w:szCs w:val="24"/>
        </w:rPr>
        <w:t xml:space="preserve">HCPC, 2009; </w:t>
      </w:r>
      <w:r w:rsidR="00A52039" w:rsidRPr="00887A1F">
        <w:rPr>
          <w:rFonts w:ascii="Arial" w:hAnsi="Arial" w:cs="Arial"/>
          <w:sz w:val="24"/>
          <w:szCs w:val="24"/>
        </w:rPr>
        <w:t>Levin, 2004)</w:t>
      </w:r>
      <w:r w:rsidR="00EF64EC" w:rsidRPr="00887A1F">
        <w:rPr>
          <w:rFonts w:ascii="Arial" w:hAnsi="Arial" w:cs="Arial"/>
          <w:sz w:val="24"/>
          <w:szCs w:val="24"/>
        </w:rPr>
        <w:t xml:space="preserve">, in many university contexts, there is a divide between the </w:t>
      </w:r>
      <w:r w:rsidR="003604BA">
        <w:rPr>
          <w:rFonts w:ascii="Arial" w:hAnsi="Arial" w:cs="Arial"/>
          <w:sz w:val="24"/>
          <w:szCs w:val="24"/>
        </w:rPr>
        <w:t xml:space="preserve">status to the </w:t>
      </w:r>
      <w:r w:rsidR="00EF64EC" w:rsidRPr="00887A1F">
        <w:rPr>
          <w:rFonts w:ascii="Arial" w:hAnsi="Arial" w:cs="Arial"/>
          <w:sz w:val="24"/>
          <w:szCs w:val="24"/>
        </w:rPr>
        <w:t xml:space="preserve">different </w:t>
      </w:r>
      <w:r w:rsidR="00F25003" w:rsidRPr="00887A1F">
        <w:rPr>
          <w:rFonts w:ascii="Arial" w:hAnsi="Arial" w:cs="Arial"/>
          <w:sz w:val="24"/>
          <w:szCs w:val="24"/>
        </w:rPr>
        <w:t>kind</w:t>
      </w:r>
      <w:r w:rsidR="003604BA">
        <w:rPr>
          <w:rFonts w:ascii="Arial" w:hAnsi="Arial" w:cs="Arial"/>
          <w:sz w:val="24"/>
          <w:szCs w:val="24"/>
        </w:rPr>
        <w:t>s</w:t>
      </w:r>
      <w:r w:rsidR="00F25003" w:rsidRPr="00887A1F">
        <w:rPr>
          <w:rFonts w:ascii="Arial" w:hAnsi="Arial" w:cs="Arial"/>
          <w:sz w:val="24"/>
          <w:szCs w:val="24"/>
        </w:rPr>
        <w:t xml:space="preserve"> of knowledge </w:t>
      </w:r>
      <w:r w:rsidR="00A85C1D">
        <w:rPr>
          <w:rFonts w:ascii="Arial" w:hAnsi="Arial" w:cs="Arial"/>
          <w:sz w:val="24"/>
          <w:szCs w:val="24"/>
        </w:rPr>
        <w:t>possessed by s</w:t>
      </w:r>
      <w:r w:rsidR="00EF64EC" w:rsidRPr="00887A1F">
        <w:rPr>
          <w:rFonts w:ascii="Arial" w:hAnsi="Arial" w:cs="Arial"/>
          <w:sz w:val="24"/>
          <w:szCs w:val="24"/>
        </w:rPr>
        <w:t>ervice users and lecturers</w:t>
      </w:r>
      <w:r w:rsidR="00F25003" w:rsidRPr="00887A1F">
        <w:rPr>
          <w:rFonts w:ascii="Arial" w:hAnsi="Arial" w:cs="Arial"/>
          <w:sz w:val="24"/>
          <w:szCs w:val="24"/>
        </w:rPr>
        <w:t xml:space="preserve"> </w:t>
      </w:r>
      <w:r w:rsidR="00A85C1D">
        <w:rPr>
          <w:rFonts w:ascii="Arial" w:hAnsi="Arial" w:cs="Arial"/>
          <w:sz w:val="24"/>
          <w:szCs w:val="24"/>
        </w:rPr>
        <w:t>respectively</w:t>
      </w:r>
      <w:r w:rsidR="00C0401A">
        <w:rPr>
          <w:rFonts w:ascii="Arial" w:hAnsi="Arial" w:cs="Arial"/>
          <w:sz w:val="24"/>
          <w:szCs w:val="24"/>
        </w:rPr>
        <w:t>:</w:t>
      </w:r>
      <w:r w:rsidR="00DE5BEC" w:rsidRPr="00887A1F">
        <w:rPr>
          <w:rFonts w:ascii="Arial" w:hAnsi="Arial" w:cs="Arial"/>
          <w:sz w:val="24"/>
          <w:szCs w:val="24"/>
        </w:rPr>
        <w:t xml:space="preserve"> experiential</w:t>
      </w:r>
      <w:r w:rsidR="00F25003" w:rsidRPr="00887A1F">
        <w:rPr>
          <w:rFonts w:ascii="Arial" w:hAnsi="Arial" w:cs="Arial"/>
          <w:sz w:val="24"/>
          <w:szCs w:val="24"/>
        </w:rPr>
        <w:t>,</w:t>
      </w:r>
      <w:r w:rsidR="00DE5BEC" w:rsidRPr="00887A1F">
        <w:rPr>
          <w:rFonts w:ascii="Arial" w:hAnsi="Arial" w:cs="Arial"/>
          <w:sz w:val="24"/>
          <w:szCs w:val="24"/>
        </w:rPr>
        <w:t xml:space="preserve"> </w:t>
      </w:r>
      <w:r w:rsidR="00EF64EC" w:rsidRPr="00887A1F">
        <w:rPr>
          <w:rFonts w:ascii="Arial" w:hAnsi="Arial" w:cs="Arial"/>
          <w:sz w:val="24"/>
          <w:szCs w:val="24"/>
        </w:rPr>
        <w:t xml:space="preserve">practice </w:t>
      </w:r>
      <w:r w:rsidR="003F5C93" w:rsidRPr="00887A1F">
        <w:rPr>
          <w:rFonts w:ascii="Arial" w:hAnsi="Arial" w:cs="Arial"/>
          <w:sz w:val="24"/>
          <w:szCs w:val="24"/>
        </w:rPr>
        <w:t xml:space="preserve">and academic </w:t>
      </w:r>
      <w:r w:rsidR="00EF64EC" w:rsidRPr="00887A1F">
        <w:rPr>
          <w:rFonts w:ascii="Arial" w:hAnsi="Arial" w:cs="Arial"/>
          <w:sz w:val="24"/>
          <w:szCs w:val="24"/>
        </w:rPr>
        <w:t xml:space="preserve">wisdom. </w:t>
      </w:r>
      <w:r w:rsidR="00DA3E93" w:rsidRPr="00887A1F">
        <w:rPr>
          <w:rFonts w:ascii="Arial" w:hAnsi="Arial" w:cs="Arial"/>
          <w:sz w:val="24"/>
          <w:szCs w:val="24"/>
        </w:rPr>
        <w:t xml:space="preserve"> I am a social work lecturer, a service user, a </w:t>
      </w:r>
      <w:r w:rsidR="00DE5BEC" w:rsidRPr="00887A1F">
        <w:rPr>
          <w:rFonts w:ascii="Arial" w:hAnsi="Arial" w:cs="Arial"/>
          <w:sz w:val="24"/>
          <w:szCs w:val="24"/>
        </w:rPr>
        <w:t xml:space="preserve">social work </w:t>
      </w:r>
      <w:r w:rsidR="00DA3E93" w:rsidRPr="00887A1F">
        <w:rPr>
          <w:rFonts w:ascii="Arial" w:hAnsi="Arial" w:cs="Arial"/>
          <w:sz w:val="24"/>
          <w:szCs w:val="24"/>
        </w:rPr>
        <w:t>researcher</w:t>
      </w:r>
      <w:r w:rsidR="00244144" w:rsidRPr="00887A1F">
        <w:rPr>
          <w:rFonts w:ascii="Arial" w:hAnsi="Arial" w:cs="Arial"/>
          <w:sz w:val="24"/>
          <w:szCs w:val="24"/>
        </w:rPr>
        <w:t>,</w:t>
      </w:r>
      <w:r w:rsidR="00DA3E93" w:rsidRPr="00887A1F">
        <w:rPr>
          <w:rFonts w:ascii="Arial" w:hAnsi="Arial" w:cs="Arial"/>
          <w:sz w:val="24"/>
          <w:szCs w:val="24"/>
        </w:rPr>
        <w:t xml:space="preserve"> and an activist; a hybrid identity central to all aspects of my work.  In the classroom, I share many of my own experiences of mental ill-health with students to enable them to understand this lived reality and to underline the need for mental health services to support recovery.  I</w:t>
      </w:r>
      <w:r w:rsidRPr="00887A1F">
        <w:rPr>
          <w:rFonts w:ascii="Arial" w:hAnsi="Arial" w:cs="Arial"/>
          <w:sz w:val="24"/>
          <w:szCs w:val="24"/>
        </w:rPr>
        <w:t>n my capacity as a service user</w:t>
      </w:r>
      <w:r w:rsidR="009D7807" w:rsidRPr="00887A1F">
        <w:rPr>
          <w:rFonts w:ascii="Arial" w:hAnsi="Arial" w:cs="Arial"/>
          <w:sz w:val="24"/>
          <w:szCs w:val="24"/>
        </w:rPr>
        <w:t>, alongside that of being a social work academic,</w:t>
      </w:r>
      <w:r w:rsidRPr="00887A1F">
        <w:rPr>
          <w:rFonts w:ascii="Arial" w:hAnsi="Arial" w:cs="Arial"/>
          <w:sz w:val="24"/>
          <w:szCs w:val="24"/>
        </w:rPr>
        <w:t xml:space="preserve"> I</w:t>
      </w:r>
      <w:r w:rsidR="00DA3E93" w:rsidRPr="00887A1F">
        <w:rPr>
          <w:rFonts w:ascii="Arial" w:hAnsi="Arial" w:cs="Arial"/>
          <w:sz w:val="24"/>
          <w:szCs w:val="24"/>
        </w:rPr>
        <w:t xml:space="preserve"> am able to reflect on experiences of oppression, discrimination and stigmatisation which are central to my identity as a mental health service user</w:t>
      </w:r>
      <w:r w:rsidR="00B228F9" w:rsidRPr="00887A1F">
        <w:rPr>
          <w:rFonts w:ascii="Arial" w:hAnsi="Arial" w:cs="Arial"/>
          <w:sz w:val="24"/>
          <w:szCs w:val="24"/>
        </w:rPr>
        <w:t xml:space="preserve">, and am able </w:t>
      </w:r>
      <w:r w:rsidR="00B228F9" w:rsidRPr="00887A1F">
        <w:rPr>
          <w:rFonts w:ascii="Arial" w:hAnsi="Arial" w:cs="Arial"/>
          <w:sz w:val="24"/>
          <w:szCs w:val="24"/>
        </w:rPr>
        <w:lastRenderedPageBreak/>
        <w:t xml:space="preserve">to convey </w:t>
      </w:r>
      <w:r w:rsidR="00F25003" w:rsidRPr="00887A1F">
        <w:rPr>
          <w:rFonts w:ascii="Arial" w:hAnsi="Arial" w:cs="Arial"/>
          <w:sz w:val="24"/>
          <w:szCs w:val="24"/>
        </w:rPr>
        <w:t>multiple perspectives</w:t>
      </w:r>
      <w:r w:rsidRPr="00887A1F">
        <w:rPr>
          <w:rFonts w:ascii="Arial" w:hAnsi="Arial" w:cs="Arial"/>
          <w:sz w:val="24"/>
          <w:szCs w:val="24"/>
        </w:rPr>
        <w:t xml:space="preserve"> derived from experience, academia and practice</w:t>
      </w:r>
      <w:r w:rsidR="00DA3E93" w:rsidRPr="00887A1F">
        <w:rPr>
          <w:rFonts w:ascii="Arial" w:hAnsi="Arial" w:cs="Arial"/>
          <w:sz w:val="24"/>
          <w:szCs w:val="24"/>
        </w:rPr>
        <w:t xml:space="preserve">.  </w:t>
      </w:r>
    </w:p>
    <w:p w:rsidR="00D93D9B" w:rsidRPr="00887A1F" w:rsidRDefault="00D93D9B" w:rsidP="00887A1F">
      <w:pPr>
        <w:spacing w:line="360" w:lineRule="auto"/>
        <w:rPr>
          <w:rFonts w:ascii="Arial" w:hAnsi="Arial" w:cs="Arial"/>
          <w:sz w:val="24"/>
          <w:szCs w:val="24"/>
        </w:rPr>
      </w:pPr>
    </w:p>
    <w:p w:rsidR="008A69C1" w:rsidRDefault="00B22585" w:rsidP="00887A1F">
      <w:pPr>
        <w:spacing w:line="360" w:lineRule="auto"/>
        <w:rPr>
          <w:rFonts w:ascii="Arial" w:hAnsi="Arial" w:cs="Arial"/>
          <w:sz w:val="24"/>
          <w:szCs w:val="24"/>
        </w:rPr>
      </w:pPr>
      <w:r w:rsidRPr="00887A1F">
        <w:rPr>
          <w:rFonts w:ascii="Arial" w:hAnsi="Arial" w:cs="Arial"/>
          <w:sz w:val="24"/>
          <w:szCs w:val="24"/>
        </w:rPr>
        <w:t>My experience as a person who both uses mental health services and teaches social work lead</w:t>
      </w:r>
      <w:r w:rsidR="003F5C93" w:rsidRPr="00887A1F">
        <w:rPr>
          <w:rFonts w:ascii="Arial" w:hAnsi="Arial" w:cs="Arial"/>
          <w:sz w:val="24"/>
          <w:szCs w:val="24"/>
        </w:rPr>
        <w:t>s</w:t>
      </w:r>
      <w:r w:rsidRPr="00887A1F">
        <w:rPr>
          <w:rFonts w:ascii="Arial" w:hAnsi="Arial" w:cs="Arial"/>
          <w:sz w:val="24"/>
          <w:szCs w:val="24"/>
        </w:rPr>
        <w:t xml:space="preserve"> me to disclose personal experience, and </w:t>
      </w:r>
      <w:r w:rsidR="00EB64CB" w:rsidRPr="00887A1F">
        <w:rPr>
          <w:rFonts w:ascii="Arial" w:hAnsi="Arial" w:cs="Arial"/>
          <w:sz w:val="24"/>
          <w:szCs w:val="24"/>
        </w:rPr>
        <w:t xml:space="preserve">mix discussion of </w:t>
      </w:r>
      <w:r w:rsidRPr="00887A1F">
        <w:rPr>
          <w:rFonts w:ascii="Arial" w:hAnsi="Arial" w:cs="Arial"/>
          <w:sz w:val="24"/>
          <w:szCs w:val="24"/>
        </w:rPr>
        <w:t xml:space="preserve">what occupies the personal and the professional realms.  </w:t>
      </w:r>
      <w:r w:rsidR="00633B3E">
        <w:rPr>
          <w:rFonts w:ascii="Arial" w:hAnsi="Arial" w:cs="Arial"/>
          <w:sz w:val="24"/>
          <w:szCs w:val="24"/>
        </w:rPr>
        <w:t xml:space="preserve">I encourage students to consider how services may be perceived by the user as oppressive </w:t>
      </w:r>
      <w:r w:rsidR="003E7CB5">
        <w:rPr>
          <w:rFonts w:ascii="Arial" w:hAnsi="Arial" w:cs="Arial"/>
          <w:sz w:val="24"/>
          <w:szCs w:val="24"/>
        </w:rPr>
        <w:t xml:space="preserve">when practitioners consider them to be supportive and effective in managing risk.  </w:t>
      </w:r>
      <w:r w:rsidR="00633B3E">
        <w:rPr>
          <w:rFonts w:ascii="Arial" w:hAnsi="Arial" w:cs="Arial"/>
          <w:sz w:val="24"/>
          <w:szCs w:val="24"/>
        </w:rPr>
        <w:t>F</w:t>
      </w:r>
      <w:r w:rsidR="0044649A">
        <w:rPr>
          <w:rFonts w:ascii="Arial" w:hAnsi="Arial" w:cs="Arial"/>
          <w:sz w:val="24"/>
          <w:szCs w:val="24"/>
        </w:rPr>
        <w:t>or example, when</w:t>
      </w:r>
      <w:r w:rsidR="003604BA">
        <w:rPr>
          <w:rFonts w:ascii="Arial" w:hAnsi="Arial" w:cs="Arial"/>
          <w:sz w:val="24"/>
          <w:szCs w:val="24"/>
        </w:rPr>
        <w:t xml:space="preserve"> I relate that</w:t>
      </w:r>
      <w:r w:rsidR="00633B3E">
        <w:rPr>
          <w:rFonts w:ascii="Arial" w:hAnsi="Arial" w:cs="Arial"/>
          <w:sz w:val="24"/>
          <w:szCs w:val="24"/>
        </w:rPr>
        <w:t>,</w:t>
      </w:r>
      <w:r w:rsidR="0044649A">
        <w:rPr>
          <w:rFonts w:ascii="Arial" w:hAnsi="Arial" w:cs="Arial"/>
          <w:sz w:val="24"/>
          <w:szCs w:val="24"/>
        </w:rPr>
        <w:t xml:space="preserve"> </w:t>
      </w:r>
      <w:r w:rsidR="004F46E1">
        <w:rPr>
          <w:rFonts w:ascii="Arial" w:hAnsi="Arial" w:cs="Arial"/>
          <w:sz w:val="24"/>
          <w:szCs w:val="24"/>
        </w:rPr>
        <w:t>as both a prospective mother and an identified mental health service user</w:t>
      </w:r>
      <w:r w:rsidR="00633B3E">
        <w:rPr>
          <w:rFonts w:ascii="Arial" w:hAnsi="Arial" w:cs="Arial"/>
          <w:sz w:val="24"/>
          <w:szCs w:val="24"/>
        </w:rPr>
        <w:t>, I was provided with an enhanced provision from maternity services</w:t>
      </w:r>
      <w:r w:rsidR="007174DC">
        <w:rPr>
          <w:rFonts w:ascii="Arial" w:hAnsi="Arial" w:cs="Arial"/>
          <w:sz w:val="24"/>
          <w:szCs w:val="24"/>
        </w:rPr>
        <w:t xml:space="preserve"> (Fox, 2012;</w:t>
      </w:r>
      <w:r w:rsidR="004F46E1">
        <w:rPr>
          <w:rFonts w:ascii="Arial" w:hAnsi="Arial" w:cs="Arial"/>
          <w:sz w:val="24"/>
          <w:szCs w:val="24"/>
        </w:rPr>
        <w:t xml:space="preserve"> 2016)</w:t>
      </w:r>
      <w:r w:rsidR="003E7CB5">
        <w:rPr>
          <w:rFonts w:ascii="Arial" w:hAnsi="Arial" w:cs="Arial"/>
          <w:sz w:val="24"/>
          <w:szCs w:val="24"/>
        </w:rPr>
        <w:t xml:space="preserve"> </w:t>
      </w:r>
      <w:r w:rsidR="003604BA">
        <w:rPr>
          <w:rFonts w:ascii="Arial" w:hAnsi="Arial" w:cs="Arial"/>
          <w:sz w:val="24"/>
          <w:szCs w:val="24"/>
        </w:rPr>
        <w:t>I reflect on how I</w:t>
      </w:r>
      <w:r w:rsidR="00031052">
        <w:rPr>
          <w:rFonts w:ascii="Arial" w:hAnsi="Arial" w:cs="Arial"/>
          <w:sz w:val="24"/>
          <w:szCs w:val="24"/>
        </w:rPr>
        <w:t xml:space="preserve"> </w:t>
      </w:r>
      <w:r w:rsidR="003E58F8">
        <w:rPr>
          <w:rFonts w:ascii="Arial" w:hAnsi="Arial" w:cs="Arial"/>
          <w:sz w:val="24"/>
          <w:szCs w:val="24"/>
        </w:rPr>
        <w:t xml:space="preserve">felt I </w:t>
      </w:r>
      <w:r w:rsidR="003604BA">
        <w:rPr>
          <w:rFonts w:ascii="Arial" w:hAnsi="Arial" w:cs="Arial"/>
          <w:sz w:val="24"/>
          <w:szCs w:val="24"/>
        </w:rPr>
        <w:t>had</w:t>
      </w:r>
      <w:r w:rsidR="00031052">
        <w:rPr>
          <w:rFonts w:ascii="Arial" w:hAnsi="Arial" w:cs="Arial"/>
          <w:sz w:val="24"/>
          <w:szCs w:val="24"/>
        </w:rPr>
        <w:t xml:space="preserve"> to </w:t>
      </w:r>
      <w:r w:rsidR="003E58F8">
        <w:rPr>
          <w:rFonts w:ascii="Arial" w:hAnsi="Arial" w:cs="Arial"/>
          <w:sz w:val="24"/>
          <w:szCs w:val="24"/>
        </w:rPr>
        <w:t>be</w:t>
      </w:r>
      <w:r w:rsidR="0044649A">
        <w:rPr>
          <w:rFonts w:ascii="Arial" w:hAnsi="Arial" w:cs="Arial"/>
          <w:sz w:val="24"/>
          <w:szCs w:val="24"/>
        </w:rPr>
        <w:t xml:space="preserve"> </w:t>
      </w:r>
      <w:r w:rsidR="004A3DCD">
        <w:rPr>
          <w:rFonts w:ascii="Arial" w:hAnsi="Arial" w:cs="Arial"/>
          <w:sz w:val="24"/>
          <w:szCs w:val="24"/>
        </w:rPr>
        <w:t xml:space="preserve">a </w:t>
      </w:r>
      <w:r w:rsidR="00FC5D4F">
        <w:rPr>
          <w:rFonts w:ascii="Arial" w:hAnsi="Arial" w:cs="Arial"/>
          <w:sz w:val="24"/>
          <w:szCs w:val="24"/>
        </w:rPr>
        <w:t>compliant patient</w:t>
      </w:r>
      <w:r w:rsidR="0003780E">
        <w:rPr>
          <w:rFonts w:ascii="Arial" w:hAnsi="Arial" w:cs="Arial"/>
          <w:sz w:val="24"/>
          <w:szCs w:val="24"/>
        </w:rPr>
        <w:t xml:space="preserve"> </w:t>
      </w:r>
      <w:r w:rsidR="003E58F8">
        <w:rPr>
          <w:rFonts w:ascii="Arial" w:hAnsi="Arial" w:cs="Arial"/>
          <w:sz w:val="24"/>
          <w:szCs w:val="24"/>
        </w:rPr>
        <w:t xml:space="preserve">as I was </w:t>
      </w:r>
      <w:r w:rsidR="004A3DCD">
        <w:rPr>
          <w:rFonts w:ascii="Arial" w:hAnsi="Arial" w:cs="Arial"/>
          <w:sz w:val="24"/>
          <w:szCs w:val="24"/>
        </w:rPr>
        <w:t xml:space="preserve">subject to </w:t>
      </w:r>
      <w:r w:rsidR="0003780E">
        <w:rPr>
          <w:rFonts w:ascii="Arial" w:hAnsi="Arial" w:cs="Arial"/>
          <w:sz w:val="24"/>
          <w:szCs w:val="24"/>
        </w:rPr>
        <w:t xml:space="preserve">professionals’ </w:t>
      </w:r>
      <w:r w:rsidR="004A3DCD">
        <w:rPr>
          <w:rFonts w:ascii="Arial" w:hAnsi="Arial" w:cs="Arial"/>
          <w:sz w:val="24"/>
          <w:szCs w:val="24"/>
        </w:rPr>
        <w:t xml:space="preserve">authority </w:t>
      </w:r>
      <w:r w:rsidR="003E58F8">
        <w:rPr>
          <w:rFonts w:ascii="Arial" w:hAnsi="Arial" w:cs="Arial"/>
          <w:sz w:val="24"/>
          <w:szCs w:val="24"/>
        </w:rPr>
        <w:t xml:space="preserve">and yet wanted </w:t>
      </w:r>
      <w:r w:rsidR="004A3DCD">
        <w:rPr>
          <w:rFonts w:ascii="Arial" w:hAnsi="Arial" w:cs="Arial"/>
          <w:sz w:val="24"/>
          <w:szCs w:val="24"/>
        </w:rPr>
        <w:t xml:space="preserve">to be </w:t>
      </w:r>
      <w:r w:rsidR="008755E2">
        <w:rPr>
          <w:rFonts w:ascii="Arial" w:hAnsi="Arial" w:cs="Arial"/>
          <w:sz w:val="24"/>
          <w:szCs w:val="24"/>
        </w:rPr>
        <w:t xml:space="preserve">a </w:t>
      </w:r>
      <w:r w:rsidR="00FC5D4F">
        <w:rPr>
          <w:rFonts w:ascii="Arial" w:hAnsi="Arial" w:cs="Arial"/>
          <w:sz w:val="24"/>
          <w:szCs w:val="24"/>
        </w:rPr>
        <w:t>self-advocate</w:t>
      </w:r>
      <w:r w:rsidR="0003780E">
        <w:rPr>
          <w:rFonts w:ascii="Arial" w:hAnsi="Arial" w:cs="Arial"/>
          <w:sz w:val="24"/>
          <w:szCs w:val="24"/>
        </w:rPr>
        <w:t xml:space="preserve"> who challenged</w:t>
      </w:r>
      <w:r w:rsidR="008755E2">
        <w:rPr>
          <w:rFonts w:ascii="Arial" w:hAnsi="Arial" w:cs="Arial"/>
          <w:sz w:val="24"/>
          <w:szCs w:val="24"/>
        </w:rPr>
        <w:t xml:space="preserve"> </w:t>
      </w:r>
      <w:r w:rsidR="00633B3E">
        <w:rPr>
          <w:rFonts w:ascii="Arial" w:hAnsi="Arial" w:cs="Arial"/>
          <w:sz w:val="24"/>
          <w:szCs w:val="24"/>
        </w:rPr>
        <w:t>deficits</w:t>
      </w:r>
      <w:r w:rsidR="008755E2">
        <w:rPr>
          <w:rFonts w:ascii="Arial" w:hAnsi="Arial" w:cs="Arial"/>
          <w:sz w:val="24"/>
          <w:szCs w:val="24"/>
        </w:rPr>
        <w:t>-</w:t>
      </w:r>
      <w:r w:rsidR="003E7CB5">
        <w:rPr>
          <w:rFonts w:ascii="Arial" w:hAnsi="Arial" w:cs="Arial"/>
          <w:sz w:val="24"/>
          <w:szCs w:val="24"/>
        </w:rPr>
        <w:t xml:space="preserve">focused </w:t>
      </w:r>
      <w:r w:rsidR="008755E2">
        <w:rPr>
          <w:rFonts w:ascii="Arial" w:hAnsi="Arial" w:cs="Arial"/>
          <w:sz w:val="24"/>
          <w:szCs w:val="24"/>
        </w:rPr>
        <w:t>practice</w:t>
      </w:r>
      <w:r w:rsidR="004A3DCD">
        <w:rPr>
          <w:rFonts w:ascii="Arial" w:hAnsi="Arial" w:cs="Arial"/>
          <w:sz w:val="24"/>
          <w:szCs w:val="24"/>
        </w:rPr>
        <w:t>.</w:t>
      </w:r>
      <w:r w:rsidR="00FC5D4F">
        <w:rPr>
          <w:rFonts w:ascii="Arial" w:hAnsi="Arial" w:cs="Arial"/>
          <w:sz w:val="24"/>
          <w:szCs w:val="24"/>
        </w:rPr>
        <w:t xml:space="preserve"> </w:t>
      </w:r>
      <w:r w:rsidR="008A69C1">
        <w:rPr>
          <w:rFonts w:ascii="Arial" w:hAnsi="Arial" w:cs="Arial"/>
          <w:sz w:val="24"/>
          <w:szCs w:val="24"/>
        </w:rPr>
        <w:t xml:space="preserve">  </w:t>
      </w:r>
      <w:r w:rsidR="00031052">
        <w:rPr>
          <w:rFonts w:ascii="Arial" w:hAnsi="Arial" w:cs="Arial"/>
          <w:sz w:val="24"/>
          <w:szCs w:val="24"/>
        </w:rPr>
        <w:t xml:space="preserve">Yet </w:t>
      </w:r>
      <w:r w:rsidR="0044649A">
        <w:rPr>
          <w:rFonts w:ascii="Arial" w:hAnsi="Arial" w:cs="Arial"/>
          <w:sz w:val="24"/>
          <w:szCs w:val="24"/>
        </w:rPr>
        <w:t>s</w:t>
      </w:r>
      <w:r w:rsidR="00EB64CB" w:rsidRPr="00887A1F">
        <w:rPr>
          <w:rFonts w:ascii="Arial" w:hAnsi="Arial" w:cs="Arial"/>
          <w:sz w:val="24"/>
          <w:szCs w:val="24"/>
        </w:rPr>
        <w:t xml:space="preserve">hould we as social worker lecturers share experience or should we focus on ‘scientific’ and theoretically based academic and practice wisdom?  </w:t>
      </w:r>
    </w:p>
    <w:p w:rsidR="008A69C1" w:rsidRDefault="008A69C1" w:rsidP="00887A1F">
      <w:pPr>
        <w:spacing w:line="360" w:lineRule="auto"/>
        <w:rPr>
          <w:rFonts w:ascii="Arial" w:hAnsi="Arial" w:cs="Arial"/>
          <w:sz w:val="24"/>
          <w:szCs w:val="24"/>
        </w:rPr>
      </w:pPr>
    </w:p>
    <w:p w:rsidR="00193C86" w:rsidRPr="00887A1F" w:rsidRDefault="00B22585" w:rsidP="00887A1F">
      <w:pPr>
        <w:spacing w:line="360" w:lineRule="auto"/>
        <w:rPr>
          <w:rFonts w:ascii="Arial" w:hAnsi="Arial" w:cs="Arial"/>
          <w:sz w:val="24"/>
          <w:szCs w:val="24"/>
        </w:rPr>
      </w:pPr>
      <w:r w:rsidRPr="00887A1F">
        <w:rPr>
          <w:rFonts w:ascii="Arial" w:hAnsi="Arial" w:cs="Arial"/>
          <w:sz w:val="24"/>
          <w:szCs w:val="24"/>
        </w:rPr>
        <w:t>This consideration is underpinned by an implicit belief in how we value the different kinds of wisdom derived from experience, practice and education, and how we utilise these different perspectives in the professional arena. It leads to questions about</w:t>
      </w:r>
      <w:r w:rsidR="00EB64CB" w:rsidRPr="00887A1F">
        <w:rPr>
          <w:rFonts w:ascii="Arial" w:hAnsi="Arial" w:cs="Arial"/>
          <w:sz w:val="24"/>
          <w:szCs w:val="24"/>
        </w:rPr>
        <w:t xml:space="preserve"> the nature of expertise</w:t>
      </w:r>
      <w:r w:rsidR="00607DFD">
        <w:rPr>
          <w:rFonts w:ascii="Arial" w:hAnsi="Arial" w:cs="Arial"/>
          <w:sz w:val="24"/>
          <w:szCs w:val="24"/>
        </w:rPr>
        <w:t xml:space="preserve">, </w:t>
      </w:r>
      <w:r w:rsidR="00EB64CB" w:rsidRPr="00887A1F">
        <w:rPr>
          <w:rFonts w:ascii="Arial" w:hAnsi="Arial" w:cs="Arial"/>
          <w:sz w:val="24"/>
          <w:szCs w:val="24"/>
        </w:rPr>
        <w:t>authority</w:t>
      </w:r>
      <w:r w:rsidR="000A394E">
        <w:rPr>
          <w:rFonts w:ascii="Arial" w:hAnsi="Arial" w:cs="Arial"/>
          <w:sz w:val="24"/>
          <w:szCs w:val="24"/>
        </w:rPr>
        <w:t>,</w:t>
      </w:r>
      <w:r w:rsidR="00EB64CB" w:rsidRPr="00887A1F">
        <w:rPr>
          <w:rFonts w:ascii="Arial" w:hAnsi="Arial" w:cs="Arial"/>
          <w:sz w:val="24"/>
          <w:szCs w:val="24"/>
        </w:rPr>
        <w:t xml:space="preserve"> and wisdom.  </w:t>
      </w:r>
      <w:r w:rsidRPr="00887A1F">
        <w:rPr>
          <w:rFonts w:ascii="Arial" w:hAnsi="Arial" w:cs="Arial"/>
          <w:sz w:val="24"/>
          <w:szCs w:val="24"/>
        </w:rPr>
        <w:t>In this article t</w:t>
      </w:r>
      <w:r w:rsidR="00876113" w:rsidRPr="00887A1F">
        <w:rPr>
          <w:rFonts w:ascii="Arial" w:hAnsi="Arial" w:cs="Arial"/>
          <w:sz w:val="24"/>
          <w:szCs w:val="24"/>
        </w:rPr>
        <w:t xml:space="preserve">he value of user </w:t>
      </w:r>
      <w:r w:rsidR="00337134" w:rsidRPr="00887A1F">
        <w:rPr>
          <w:rFonts w:ascii="Arial" w:hAnsi="Arial" w:cs="Arial"/>
          <w:sz w:val="24"/>
          <w:szCs w:val="24"/>
        </w:rPr>
        <w:t>involvement is underlined in health and social care education</w:t>
      </w:r>
      <w:r w:rsidR="000D7B8B" w:rsidRPr="00887A1F">
        <w:rPr>
          <w:rFonts w:ascii="Arial" w:hAnsi="Arial" w:cs="Arial"/>
          <w:sz w:val="24"/>
          <w:szCs w:val="24"/>
        </w:rPr>
        <w:t xml:space="preserve"> by highlighting the impact </w:t>
      </w:r>
      <w:r w:rsidR="00F25003" w:rsidRPr="00887A1F">
        <w:rPr>
          <w:rFonts w:ascii="Arial" w:hAnsi="Arial" w:cs="Arial"/>
          <w:sz w:val="24"/>
          <w:szCs w:val="24"/>
        </w:rPr>
        <w:t>of experiential knowledge on</w:t>
      </w:r>
      <w:r w:rsidR="000D7B8B" w:rsidRPr="00887A1F">
        <w:rPr>
          <w:rFonts w:ascii="Arial" w:hAnsi="Arial" w:cs="Arial"/>
          <w:sz w:val="24"/>
          <w:szCs w:val="24"/>
        </w:rPr>
        <w:t xml:space="preserve"> student learning</w:t>
      </w:r>
      <w:r w:rsidR="00414924" w:rsidRPr="00887A1F">
        <w:rPr>
          <w:rFonts w:ascii="Arial" w:hAnsi="Arial" w:cs="Arial"/>
          <w:sz w:val="24"/>
          <w:szCs w:val="24"/>
        </w:rPr>
        <w:t xml:space="preserve">, with </w:t>
      </w:r>
      <w:r w:rsidR="00A95A48">
        <w:rPr>
          <w:rFonts w:ascii="Arial" w:hAnsi="Arial" w:cs="Arial"/>
          <w:sz w:val="24"/>
          <w:szCs w:val="24"/>
        </w:rPr>
        <w:t xml:space="preserve">consideration </w:t>
      </w:r>
      <w:r w:rsidR="00414924" w:rsidRPr="00887A1F">
        <w:rPr>
          <w:rFonts w:ascii="Arial" w:hAnsi="Arial" w:cs="Arial"/>
          <w:sz w:val="24"/>
          <w:szCs w:val="24"/>
        </w:rPr>
        <w:t>of the diverse ways in which they contribute to education programmes</w:t>
      </w:r>
      <w:r w:rsidR="000D7B8B" w:rsidRPr="00887A1F">
        <w:rPr>
          <w:rFonts w:ascii="Arial" w:hAnsi="Arial" w:cs="Arial"/>
          <w:sz w:val="24"/>
          <w:szCs w:val="24"/>
        </w:rPr>
        <w:t xml:space="preserve">.  This </w:t>
      </w:r>
      <w:r w:rsidR="00337134" w:rsidRPr="00887A1F">
        <w:rPr>
          <w:rFonts w:ascii="Arial" w:hAnsi="Arial" w:cs="Arial"/>
          <w:sz w:val="24"/>
          <w:szCs w:val="24"/>
        </w:rPr>
        <w:t xml:space="preserve">leads to discussion of the </w:t>
      </w:r>
      <w:r w:rsidR="00876113" w:rsidRPr="00887A1F">
        <w:rPr>
          <w:rFonts w:ascii="Arial" w:hAnsi="Arial" w:cs="Arial"/>
          <w:sz w:val="24"/>
          <w:szCs w:val="24"/>
        </w:rPr>
        <w:t xml:space="preserve">potential role of the service user lecturer </w:t>
      </w:r>
      <w:r w:rsidR="007D1CA5" w:rsidRPr="00887A1F">
        <w:rPr>
          <w:rFonts w:ascii="Arial" w:hAnsi="Arial" w:cs="Arial"/>
          <w:sz w:val="24"/>
          <w:szCs w:val="24"/>
        </w:rPr>
        <w:t>in</w:t>
      </w:r>
      <w:r w:rsidR="00876113" w:rsidRPr="00887A1F">
        <w:rPr>
          <w:rFonts w:ascii="Arial" w:hAnsi="Arial" w:cs="Arial"/>
          <w:sz w:val="24"/>
          <w:szCs w:val="24"/>
        </w:rPr>
        <w:t xml:space="preserve"> </w:t>
      </w:r>
      <w:r w:rsidRPr="00887A1F">
        <w:rPr>
          <w:rFonts w:ascii="Arial" w:hAnsi="Arial" w:cs="Arial"/>
          <w:sz w:val="24"/>
          <w:szCs w:val="24"/>
        </w:rPr>
        <w:t xml:space="preserve">social work </w:t>
      </w:r>
      <w:r w:rsidR="00876113" w:rsidRPr="00887A1F">
        <w:rPr>
          <w:rFonts w:ascii="Arial" w:hAnsi="Arial" w:cs="Arial"/>
          <w:sz w:val="24"/>
          <w:szCs w:val="24"/>
        </w:rPr>
        <w:t>academia</w:t>
      </w:r>
      <w:r w:rsidR="00337134" w:rsidRPr="00887A1F">
        <w:rPr>
          <w:rFonts w:ascii="Arial" w:hAnsi="Arial" w:cs="Arial"/>
          <w:sz w:val="24"/>
          <w:szCs w:val="24"/>
        </w:rPr>
        <w:t xml:space="preserve">, </w:t>
      </w:r>
      <w:r w:rsidR="003E58F8">
        <w:rPr>
          <w:rFonts w:ascii="Arial" w:hAnsi="Arial" w:cs="Arial"/>
          <w:sz w:val="24"/>
          <w:szCs w:val="24"/>
        </w:rPr>
        <w:t xml:space="preserve">and reflection </w:t>
      </w:r>
      <w:r w:rsidR="00337134" w:rsidRPr="00887A1F">
        <w:rPr>
          <w:rFonts w:ascii="Arial" w:hAnsi="Arial" w:cs="Arial"/>
          <w:sz w:val="24"/>
          <w:szCs w:val="24"/>
        </w:rPr>
        <w:t xml:space="preserve">on the nature of </w:t>
      </w:r>
      <w:r w:rsidR="0005645D">
        <w:rPr>
          <w:rFonts w:ascii="Arial" w:hAnsi="Arial" w:cs="Arial"/>
          <w:sz w:val="24"/>
          <w:szCs w:val="24"/>
        </w:rPr>
        <w:t xml:space="preserve">their </w:t>
      </w:r>
      <w:r w:rsidR="00337134" w:rsidRPr="00887A1F">
        <w:rPr>
          <w:rFonts w:ascii="Arial" w:hAnsi="Arial" w:cs="Arial"/>
          <w:sz w:val="24"/>
          <w:szCs w:val="24"/>
        </w:rPr>
        <w:t>wisdom and experience</w:t>
      </w:r>
      <w:r w:rsidR="00A95A48">
        <w:rPr>
          <w:rFonts w:ascii="Arial" w:hAnsi="Arial" w:cs="Arial"/>
          <w:sz w:val="24"/>
          <w:szCs w:val="24"/>
        </w:rPr>
        <w:t xml:space="preserve">.  The article concludes with </w:t>
      </w:r>
      <w:r w:rsidR="000D7B8B" w:rsidRPr="00887A1F">
        <w:rPr>
          <w:rFonts w:ascii="Arial" w:hAnsi="Arial" w:cs="Arial"/>
          <w:sz w:val="24"/>
          <w:szCs w:val="24"/>
        </w:rPr>
        <w:t>consideration of the be</w:t>
      </w:r>
      <w:r w:rsidRPr="00887A1F">
        <w:rPr>
          <w:rFonts w:ascii="Arial" w:hAnsi="Arial" w:cs="Arial"/>
          <w:sz w:val="24"/>
          <w:szCs w:val="24"/>
        </w:rPr>
        <w:t xml:space="preserve">st ways to embed </w:t>
      </w:r>
      <w:r w:rsidR="000D7B8B" w:rsidRPr="00887A1F">
        <w:rPr>
          <w:rFonts w:ascii="Arial" w:hAnsi="Arial" w:cs="Arial"/>
          <w:sz w:val="24"/>
          <w:szCs w:val="24"/>
        </w:rPr>
        <w:t xml:space="preserve">real learning from </w:t>
      </w:r>
      <w:r w:rsidRPr="00887A1F">
        <w:rPr>
          <w:rFonts w:ascii="Arial" w:hAnsi="Arial" w:cs="Arial"/>
          <w:sz w:val="24"/>
          <w:szCs w:val="24"/>
        </w:rPr>
        <w:t>expertise-by-experience in social work education</w:t>
      </w:r>
      <w:r w:rsidR="00876113" w:rsidRPr="00887A1F">
        <w:rPr>
          <w:rFonts w:ascii="Arial" w:hAnsi="Arial" w:cs="Arial"/>
          <w:sz w:val="24"/>
          <w:szCs w:val="24"/>
        </w:rPr>
        <w:t>.</w:t>
      </w:r>
      <w:r w:rsidR="00B228F9" w:rsidRPr="00887A1F">
        <w:rPr>
          <w:rFonts w:ascii="Arial" w:hAnsi="Arial" w:cs="Arial"/>
          <w:sz w:val="24"/>
          <w:szCs w:val="24"/>
        </w:rPr>
        <w:t xml:space="preserve"> </w:t>
      </w:r>
    </w:p>
    <w:p w:rsidR="00E47D99" w:rsidRPr="00887A1F" w:rsidRDefault="00E47D99" w:rsidP="00887A1F">
      <w:pPr>
        <w:spacing w:line="360" w:lineRule="auto"/>
        <w:rPr>
          <w:rFonts w:ascii="Arial" w:hAnsi="Arial" w:cs="Arial"/>
          <w:sz w:val="24"/>
          <w:szCs w:val="24"/>
          <w:u w:val="single"/>
        </w:rPr>
      </w:pPr>
    </w:p>
    <w:p w:rsidR="00944F94" w:rsidRPr="00887A1F" w:rsidRDefault="00EF64EC" w:rsidP="00887A1F">
      <w:pPr>
        <w:spacing w:line="360" w:lineRule="auto"/>
        <w:rPr>
          <w:rFonts w:ascii="Arial" w:hAnsi="Arial" w:cs="Arial"/>
          <w:sz w:val="24"/>
          <w:szCs w:val="24"/>
          <w:u w:val="single"/>
        </w:rPr>
      </w:pPr>
      <w:r w:rsidRPr="00887A1F">
        <w:rPr>
          <w:rFonts w:ascii="Arial" w:hAnsi="Arial" w:cs="Arial"/>
          <w:sz w:val="24"/>
          <w:szCs w:val="24"/>
          <w:u w:val="single"/>
        </w:rPr>
        <w:t>B</w:t>
      </w:r>
      <w:r w:rsidR="00944F94" w:rsidRPr="00887A1F">
        <w:rPr>
          <w:rFonts w:ascii="Arial" w:hAnsi="Arial" w:cs="Arial"/>
          <w:sz w:val="24"/>
          <w:szCs w:val="24"/>
          <w:u w:val="single"/>
        </w:rPr>
        <w:t>ackground</w:t>
      </w:r>
    </w:p>
    <w:p w:rsidR="003D343A" w:rsidRPr="00887A1F" w:rsidRDefault="00A95A48" w:rsidP="00887A1F">
      <w:pPr>
        <w:spacing w:line="360" w:lineRule="auto"/>
        <w:rPr>
          <w:rFonts w:ascii="Arial" w:hAnsi="Arial" w:cs="Arial"/>
          <w:sz w:val="24"/>
          <w:szCs w:val="24"/>
        </w:rPr>
      </w:pPr>
      <w:r>
        <w:rPr>
          <w:rFonts w:ascii="Arial" w:hAnsi="Arial" w:cs="Arial"/>
          <w:sz w:val="24"/>
          <w:szCs w:val="24"/>
        </w:rPr>
        <w:lastRenderedPageBreak/>
        <w:t>As previously stated, s</w:t>
      </w:r>
      <w:r w:rsidR="007D4004" w:rsidRPr="00887A1F">
        <w:rPr>
          <w:rFonts w:ascii="Arial" w:hAnsi="Arial" w:cs="Arial"/>
          <w:sz w:val="24"/>
          <w:szCs w:val="24"/>
        </w:rPr>
        <w:t>ervice use</w:t>
      </w:r>
      <w:r w:rsidR="007D1CA5" w:rsidRPr="00887A1F">
        <w:rPr>
          <w:rFonts w:ascii="Arial" w:hAnsi="Arial" w:cs="Arial"/>
          <w:sz w:val="24"/>
          <w:szCs w:val="24"/>
        </w:rPr>
        <w:t xml:space="preserve">rs’ contribution to health and social care </w:t>
      </w:r>
      <w:r w:rsidR="007D4004" w:rsidRPr="00887A1F">
        <w:rPr>
          <w:rFonts w:ascii="Arial" w:hAnsi="Arial" w:cs="Arial"/>
          <w:sz w:val="24"/>
          <w:szCs w:val="24"/>
        </w:rPr>
        <w:t xml:space="preserve">programmes can enable students to </w:t>
      </w:r>
      <w:r w:rsidR="00293221" w:rsidRPr="00887A1F">
        <w:rPr>
          <w:rFonts w:ascii="Arial" w:hAnsi="Arial" w:cs="Arial"/>
          <w:sz w:val="24"/>
          <w:szCs w:val="24"/>
        </w:rPr>
        <w:t xml:space="preserve"> relate to </w:t>
      </w:r>
      <w:r>
        <w:rPr>
          <w:rFonts w:ascii="Arial" w:hAnsi="Arial" w:cs="Arial"/>
          <w:sz w:val="24"/>
          <w:szCs w:val="24"/>
        </w:rPr>
        <w:t xml:space="preserve">their clients </w:t>
      </w:r>
      <w:r w:rsidR="00293221" w:rsidRPr="00887A1F">
        <w:rPr>
          <w:rFonts w:ascii="Arial" w:hAnsi="Arial" w:cs="Arial"/>
          <w:sz w:val="24"/>
          <w:szCs w:val="24"/>
        </w:rPr>
        <w:t xml:space="preserve"> as experts</w:t>
      </w:r>
      <w:r w:rsidR="0005645D">
        <w:rPr>
          <w:rFonts w:ascii="Arial" w:hAnsi="Arial" w:cs="Arial"/>
          <w:sz w:val="24"/>
          <w:szCs w:val="24"/>
        </w:rPr>
        <w:t>-</w:t>
      </w:r>
      <w:r w:rsidR="00293221" w:rsidRPr="00887A1F">
        <w:rPr>
          <w:rFonts w:ascii="Arial" w:hAnsi="Arial" w:cs="Arial"/>
          <w:sz w:val="24"/>
          <w:szCs w:val="24"/>
        </w:rPr>
        <w:t>by</w:t>
      </w:r>
      <w:r w:rsidR="0005645D">
        <w:rPr>
          <w:rFonts w:ascii="Arial" w:hAnsi="Arial" w:cs="Arial"/>
          <w:sz w:val="24"/>
          <w:szCs w:val="24"/>
        </w:rPr>
        <w:t>-</w:t>
      </w:r>
      <w:r w:rsidR="00293221" w:rsidRPr="00887A1F">
        <w:rPr>
          <w:rFonts w:ascii="Arial" w:hAnsi="Arial" w:cs="Arial"/>
          <w:sz w:val="24"/>
          <w:szCs w:val="24"/>
        </w:rPr>
        <w:t xml:space="preserve">experience </w:t>
      </w:r>
      <w:r w:rsidR="00906933" w:rsidRPr="00887A1F">
        <w:rPr>
          <w:rFonts w:ascii="Arial" w:hAnsi="Arial" w:cs="Arial"/>
          <w:sz w:val="24"/>
          <w:szCs w:val="24"/>
        </w:rPr>
        <w:t>(Anghel &amp;</w:t>
      </w:r>
      <w:r w:rsidR="007D4004" w:rsidRPr="00887A1F">
        <w:rPr>
          <w:rFonts w:ascii="Arial" w:hAnsi="Arial" w:cs="Arial"/>
          <w:sz w:val="24"/>
          <w:szCs w:val="24"/>
        </w:rPr>
        <w:t xml:space="preserve"> Ramon, 2009) </w:t>
      </w:r>
      <w:r w:rsidR="0005645D">
        <w:rPr>
          <w:rFonts w:ascii="Arial" w:hAnsi="Arial" w:cs="Arial"/>
          <w:sz w:val="24"/>
          <w:szCs w:val="24"/>
        </w:rPr>
        <w:t>leading them</w:t>
      </w:r>
      <w:r w:rsidR="00293221" w:rsidRPr="00887A1F">
        <w:rPr>
          <w:rFonts w:ascii="Arial" w:hAnsi="Arial" w:cs="Arial"/>
          <w:sz w:val="24"/>
          <w:szCs w:val="24"/>
        </w:rPr>
        <w:t xml:space="preserve"> to apply the strengths approach in their practice (Fukai</w:t>
      </w:r>
      <w:r w:rsidR="00906933" w:rsidRPr="00887A1F">
        <w:rPr>
          <w:rFonts w:ascii="Arial" w:hAnsi="Arial" w:cs="Arial"/>
          <w:sz w:val="24"/>
          <w:szCs w:val="24"/>
        </w:rPr>
        <w:t>, Goscha, &amp; Rapp</w:t>
      </w:r>
      <w:r w:rsidR="00293221" w:rsidRPr="00887A1F">
        <w:rPr>
          <w:rFonts w:ascii="Arial" w:hAnsi="Arial" w:cs="Arial"/>
          <w:sz w:val="24"/>
          <w:szCs w:val="24"/>
        </w:rPr>
        <w:t xml:space="preserve">, 2012).    </w:t>
      </w:r>
      <w:r w:rsidR="002B1B9A" w:rsidRPr="00887A1F">
        <w:rPr>
          <w:rFonts w:ascii="Arial" w:hAnsi="Arial" w:cs="Arial"/>
          <w:sz w:val="24"/>
          <w:szCs w:val="24"/>
        </w:rPr>
        <w:t>Gregor &amp; Smith (2009, p. 24) note that social work students may ‘embark on their social work training with a strong conviction that they want to ‘help’ people in distress and it may therefore be more difficult for them to reconcile the fact that service users are indeed capable individuals who</w:t>
      </w:r>
      <w:r w:rsidR="003D4AC9" w:rsidRPr="00887A1F">
        <w:rPr>
          <w:rFonts w:ascii="Arial" w:hAnsi="Arial" w:cs="Arial"/>
          <w:sz w:val="24"/>
          <w:szCs w:val="24"/>
        </w:rPr>
        <w:t xml:space="preserve"> may not always require ‘help’.’</w:t>
      </w:r>
      <w:r w:rsidR="002B1B9A" w:rsidRPr="00887A1F">
        <w:rPr>
          <w:rFonts w:ascii="Arial" w:hAnsi="Arial" w:cs="Arial"/>
          <w:sz w:val="24"/>
          <w:szCs w:val="24"/>
        </w:rPr>
        <w:t xml:space="preserve"> </w:t>
      </w:r>
      <w:r w:rsidR="009D7807" w:rsidRPr="00887A1F">
        <w:rPr>
          <w:rFonts w:ascii="Arial" w:hAnsi="Arial" w:cs="Arial"/>
          <w:sz w:val="24"/>
          <w:szCs w:val="24"/>
        </w:rPr>
        <w:t>Service user involvement in education has the potential to rebalance and redefine power relationships (Fox, 2015)</w:t>
      </w:r>
      <w:r w:rsidR="002B1B9A" w:rsidRPr="00887A1F">
        <w:rPr>
          <w:rFonts w:ascii="Arial" w:hAnsi="Arial" w:cs="Arial"/>
          <w:sz w:val="24"/>
          <w:szCs w:val="24"/>
        </w:rPr>
        <w:t xml:space="preserve"> even when social workers traditionally hold the power; as indeed with additional training as Appr</w:t>
      </w:r>
      <w:r w:rsidR="006E7759">
        <w:rPr>
          <w:rFonts w:ascii="Arial" w:hAnsi="Arial" w:cs="Arial"/>
          <w:sz w:val="24"/>
          <w:szCs w:val="24"/>
        </w:rPr>
        <w:t>oved Mental Health Professionals</w:t>
      </w:r>
      <w:r w:rsidR="002B1B9A" w:rsidRPr="00887A1F">
        <w:rPr>
          <w:rFonts w:ascii="Arial" w:hAnsi="Arial" w:cs="Arial"/>
          <w:sz w:val="24"/>
          <w:szCs w:val="24"/>
        </w:rPr>
        <w:t xml:space="preserve"> social workers may invoke the law in specific circumstances to compel people experiencing mental ill health to be detained in hospital (Golightley, 2014).  </w:t>
      </w:r>
      <w:r w:rsidR="009D7807" w:rsidRPr="00887A1F">
        <w:rPr>
          <w:rFonts w:ascii="Arial" w:hAnsi="Arial" w:cs="Arial"/>
          <w:sz w:val="24"/>
          <w:szCs w:val="24"/>
        </w:rPr>
        <w:t xml:space="preserve">  </w:t>
      </w:r>
    </w:p>
    <w:p w:rsidR="003D343A" w:rsidRPr="00887A1F" w:rsidRDefault="003D343A" w:rsidP="00887A1F">
      <w:pPr>
        <w:spacing w:line="360" w:lineRule="auto"/>
        <w:rPr>
          <w:rFonts w:ascii="Arial" w:hAnsi="Arial" w:cs="Arial"/>
          <w:sz w:val="24"/>
          <w:szCs w:val="24"/>
        </w:rPr>
      </w:pPr>
    </w:p>
    <w:p w:rsidR="009D7807" w:rsidRPr="00887A1F" w:rsidRDefault="003A2AA3" w:rsidP="00887A1F">
      <w:pPr>
        <w:spacing w:line="360" w:lineRule="auto"/>
        <w:rPr>
          <w:rFonts w:ascii="Arial" w:hAnsi="Arial" w:cs="Arial"/>
          <w:sz w:val="24"/>
          <w:szCs w:val="24"/>
        </w:rPr>
      </w:pPr>
      <w:r w:rsidRPr="00887A1F">
        <w:rPr>
          <w:rFonts w:ascii="Arial" w:hAnsi="Arial" w:cs="Arial"/>
          <w:sz w:val="24"/>
          <w:szCs w:val="24"/>
        </w:rPr>
        <w:t>Similarly, t</w:t>
      </w:r>
      <w:r w:rsidR="001065DF" w:rsidRPr="00887A1F">
        <w:rPr>
          <w:rFonts w:ascii="Arial" w:hAnsi="Arial" w:cs="Arial"/>
          <w:sz w:val="24"/>
          <w:szCs w:val="24"/>
        </w:rPr>
        <w:t xml:space="preserve">here is now growing evidence of the positive influence of service user involvement in the adjoining </w:t>
      </w:r>
      <w:r w:rsidR="001065DF" w:rsidRPr="00887A1F">
        <w:rPr>
          <w:rFonts w:ascii="Arial" w:hAnsi="Arial" w:cs="Arial"/>
          <w:sz w:val="24"/>
          <w:szCs w:val="24"/>
        </w:rPr>
        <w:lastRenderedPageBreak/>
        <w:t>field of nursing education</w:t>
      </w:r>
      <w:r w:rsidR="003D4AC9" w:rsidRPr="00887A1F">
        <w:rPr>
          <w:rFonts w:ascii="Arial" w:hAnsi="Arial" w:cs="Arial"/>
          <w:sz w:val="24"/>
          <w:szCs w:val="24"/>
        </w:rPr>
        <w:t xml:space="preserve"> (Rush, 2008)</w:t>
      </w:r>
      <w:r w:rsidR="001065DF" w:rsidRPr="00887A1F">
        <w:rPr>
          <w:rFonts w:ascii="Arial" w:hAnsi="Arial" w:cs="Arial"/>
          <w:sz w:val="24"/>
          <w:szCs w:val="24"/>
        </w:rPr>
        <w:t>, with it now becoming an integral part of health care training</w:t>
      </w:r>
      <w:r w:rsidR="003D4AC9" w:rsidRPr="00887A1F">
        <w:rPr>
          <w:rFonts w:ascii="Arial" w:hAnsi="Arial" w:cs="Arial"/>
          <w:sz w:val="24"/>
          <w:szCs w:val="24"/>
        </w:rPr>
        <w:t xml:space="preserve"> (The Willis Commission, 2012)</w:t>
      </w:r>
      <w:r w:rsidR="001065DF" w:rsidRPr="00887A1F">
        <w:rPr>
          <w:rFonts w:ascii="Arial" w:hAnsi="Arial" w:cs="Arial"/>
          <w:sz w:val="24"/>
          <w:szCs w:val="24"/>
        </w:rPr>
        <w:t xml:space="preserve">.  Rush (2008), in an early study in nursing training, highlights how nursing students experienced a sense of transformational learning (Mezirow, 2000) as they participated in a module developed in partnership between educationalists and service recipients.  This </w:t>
      </w:r>
      <w:r w:rsidR="000A394E">
        <w:rPr>
          <w:rFonts w:ascii="Arial" w:hAnsi="Arial" w:cs="Arial"/>
          <w:sz w:val="24"/>
          <w:szCs w:val="24"/>
        </w:rPr>
        <w:t>allowed</w:t>
      </w:r>
      <w:r w:rsidR="008A42A2">
        <w:rPr>
          <w:rFonts w:ascii="Arial" w:hAnsi="Arial" w:cs="Arial"/>
          <w:sz w:val="24"/>
          <w:szCs w:val="24"/>
        </w:rPr>
        <w:t xml:space="preserve"> the </w:t>
      </w:r>
      <w:r w:rsidR="001065DF" w:rsidRPr="00887A1F">
        <w:rPr>
          <w:rFonts w:ascii="Arial" w:hAnsi="Arial" w:cs="Arial"/>
          <w:sz w:val="24"/>
          <w:szCs w:val="24"/>
        </w:rPr>
        <w:t xml:space="preserve">power and authority </w:t>
      </w:r>
      <w:r w:rsidR="008A42A2">
        <w:rPr>
          <w:rFonts w:ascii="Arial" w:hAnsi="Arial" w:cs="Arial"/>
          <w:sz w:val="24"/>
          <w:szCs w:val="24"/>
        </w:rPr>
        <w:t xml:space="preserve">between the different stakeholders </w:t>
      </w:r>
      <w:r w:rsidR="001065DF" w:rsidRPr="00887A1F">
        <w:rPr>
          <w:rFonts w:ascii="Arial" w:hAnsi="Arial" w:cs="Arial"/>
          <w:sz w:val="24"/>
          <w:szCs w:val="24"/>
        </w:rPr>
        <w:t>to be redefined:  the student</w:t>
      </w:r>
      <w:r w:rsidR="009D7807" w:rsidRPr="00887A1F">
        <w:rPr>
          <w:rFonts w:ascii="Arial" w:hAnsi="Arial" w:cs="Arial"/>
          <w:sz w:val="24"/>
          <w:szCs w:val="24"/>
        </w:rPr>
        <w:t>s</w:t>
      </w:r>
      <w:r w:rsidR="001065DF" w:rsidRPr="00887A1F">
        <w:rPr>
          <w:rFonts w:ascii="Arial" w:hAnsi="Arial" w:cs="Arial"/>
          <w:sz w:val="24"/>
          <w:szCs w:val="24"/>
        </w:rPr>
        <w:t xml:space="preserve"> sought to make sense of the service user’s story by </w:t>
      </w:r>
      <w:r w:rsidR="007D1CA5" w:rsidRPr="00887A1F">
        <w:rPr>
          <w:rFonts w:ascii="Arial" w:hAnsi="Arial" w:cs="Arial"/>
          <w:sz w:val="24"/>
          <w:szCs w:val="24"/>
        </w:rPr>
        <w:t xml:space="preserve">engaging in dialogue </w:t>
      </w:r>
      <w:r w:rsidR="001065DF" w:rsidRPr="00887A1F">
        <w:rPr>
          <w:rFonts w:ascii="Arial" w:hAnsi="Arial" w:cs="Arial"/>
          <w:sz w:val="24"/>
          <w:szCs w:val="24"/>
        </w:rPr>
        <w:t>with the service user and learning about their experiences.  This demanded a reversal of the traditional roles with the service user becoming the helper and the student</w:t>
      </w:r>
      <w:r w:rsidR="009D7807" w:rsidRPr="00887A1F">
        <w:rPr>
          <w:rFonts w:ascii="Arial" w:hAnsi="Arial" w:cs="Arial"/>
          <w:sz w:val="24"/>
          <w:szCs w:val="24"/>
        </w:rPr>
        <w:t>s</w:t>
      </w:r>
      <w:r w:rsidR="001065DF" w:rsidRPr="00887A1F">
        <w:rPr>
          <w:rFonts w:ascii="Arial" w:hAnsi="Arial" w:cs="Arial"/>
          <w:sz w:val="24"/>
          <w:szCs w:val="24"/>
        </w:rPr>
        <w:t xml:space="preserve"> the helped. This approach</w:t>
      </w:r>
      <w:r w:rsidR="00A85C1D">
        <w:rPr>
          <w:rFonts w:ascii="Arial" w:hAnsi="Arial" w:cs="Arial"/>
          <w:sz w:val="24"/>
          <w:szCs w:val="24"/>
        </w:rPr>
        <w:t>,</w:t>
      </w:r>
      <w:r w:rsidR="001065DF" w:rsidRPr="00887A1F">
        <w:rPr>
          <w:rFonts w:ascii="Arial" w:hAnsi="Arial" w:cs="Arial"/>
          <w:sz w:val="24"/>
          <w:szCs w:val="24"/>
        </w:rPr>
        <w:t xml:space="preserve"> which emphasised a change in power differentials influenced the emotions of the student as their assumptions about people with mental health needs were changed.  This led them to resolve to change future practice, thus reflecting a process of transformational learning.   </w:t>
      </w:r>
    </w:p>
    <w:p w:rsidR="009D7807" w:rsidRPr="00887A1F" w:rsidRDefault="009D7807" w:rsidP="00887A1F">
      <w:pPr>
        <w:spacing w:line="360" w:lineRule="auto"/>
        <w:rPr>
          <w:rFonts w:ascii="Arial" w:hAnsi="Arial" w:cs="Arial"/>
          <w:sz w:val="24"/>
          <w:szCs w:val="24"/>
        </w:rPr>
      </w:pPr>
    </w:p>
    <w:p w:rsidR="00293221" w:rsidRPr="00887A1F" w:rsidRDefault="00293221" w:rsidP="00887A1F">
      <w:pPr>
        <w:spacing w:line="360" w:lineRule="auto"/>
        <w:rPr>
          <w:rFonts w:ascii="Arial" w:hAnsi="Arial" w:cs="Arial"/>
          <w:sz w:val="24"/>
          <w:szCs w:val="24"/>
        </w:rPr>
      </w:pPr>
      <w:r w:rsidRPr="00887A1F">
        <w:rPr>
          <w:rFonts w:ascii="Arial" w:hAnsi="Arial" w:cs="Arial"/>
          <w:sz w:val="24"/>
          <w:szCs w:val="24"/>
        </w:rPr>
        <w:lastRenderedPageBreak/>
        <w:t>There is a strong evidence base of the positive impact of service users’ contribution to the training of social work students (</w:t>
      </w:r>
      <w:r w:rsidR="007174DC" w:rsidRPr="00887A1F">
        <w:rPr>
          <w:rFonts w:ascii="Arial" w:hAnsi="Arial" w:cs="Arial"/>
          <w:sz w:val="24"/>
          <w:szCs w:val="24"/>
        </w:rPr>
        <w:t xml:space="preserve">Allain </w:t>
      </w:r>
      <w:r w:rsidR="007174DC" w:rsidRPr="00887A1F">
        <w:rPr>
          <w:rFonts w:ascii="Arial" w:hAnsi="Arial" w:cs="Arial"/>
          <w:i/>
          <w:sz w:val="24"/>
          <w:szCs w:val="24"/>
        </w:rPr>
        <w:t>et al</w:t>
      </w:r>
      <w:r w:rsidR="007174DC" w:rsidRPr="00887A1F">
        <w:rPr>
          <w:rFonts w:ascii="Arial" w:hAnsi="Arial" w:cs="Arial"/>
          <w:sz w:val="24"/>
          <w:szCs w:val="24"/>
        </w:rPr>
        <w:t>, 2006</w:t>
      </w:r>
      <w:r w:rsidR="007174DC">
        <w:rPr>
          <w:rFonts w:ascii="Arial" w:hAnsi="Arial" w:cs="Arial"/>
          <w:sz w:val="24"/>
          <w:szCs w:val="24"/>
        </w:rPr>
        <w:t xml:space="preserve">; </w:t>
      </w:r>
      <w:r w:rsidRPr="00887A1F">
        <w:rPr>
          <w:rFonts w:ascii="Arial" w:hAnsi="Arial" w:cs="Arial"/>
          <w:sz w:val="24"/>
          <w:szCs w:val="24"/>
        </w:rPr>
        <w:t>An</w:t>
      </w:r>
      <w:r w:rsidR="00906933" w:rsidRPr="00887A1F">
        <w:rPr>
          <w:rFonts w:ascii="Arial" w:hAnsi="Arial" w:cs="Arial"/>
          <w:sz w:val="24"/>
          <w:szCs w:val="24"/>
        </w:rPr>
        <w:t>ghel &amp; Ramon, 2009; Gregor &amp;</w:t>
      </w:r>
      <w:r w:rsidRPr="00887A1F">
        <w:rPr>
          <w:rFonts w:ascii="Arial" w:hAnsi="Arial" w:cs="Arial"/>
          <w:sz w:val="24"/>
          <w:szCs w:val="24"/>
        </w:rPr>
        <w:t xml:space="preserve"> Smith, 2009)</w:t>
      </w:r>
      <w:r w:rsidR="003D4AC9" w:rsidRPr="00887A1F">
        <w:rPr>
          <w:rFonts w:ascii="Arial" w:hAnsi="Arial" w:cs="Arial"/>
          <w:sz w:val="24"/>
          <w:szCs w:val="24"/>
        </w:rPr>
        <w:t>.  A</w:t>
      </w:r>
      <w:r w:rsidR="007D4004" w:rsidRPr="00887A1F">
        <w:rPr>
          <w:rFonts w:ascii="Arial" w:hAnsi="Arial" w:cs="Arial"/>
          <w:sz w:val="24"/>
          <w:szCs w:val="24"/>
        </w:rPr>
        <w:t xml:space="preserve">lthough many small scale qualitative studies have been undertaken in which the value of user involvement in education has been confirmed, </w:t>
      </w:r>
      <w:r w:rsidRPr="00887A1F">
        <w:rPr>
          <w:rFonts w:ascii="Arial" w:hAnsi="Arial" w:cs="Arial"/>
          <w:sz w:val="24"/>
          <w:szCs w:val="24"/>
        </w:rPr>
        <w:t xml:space="preserve">a limitation of current research is its focus on evaluation of the process of service user involvement with little consideration of its </w:t>
      </w:r>
      <w:r w:rsidR="00906933" w:rsidRPr="00887A1F">
        <w:rPr>
          <w:rFonts w:ascii="Arial" w:hAnsi="Arial" w:cs="Arial"/>
          <w:sz w:val="24"/>
          <w:szCs w:val="24"/>
        </w:rPr>
        <w:t>impact on outcomes (Robinson &amp;</w:t>
      </w:r>
      <w:r w:rsidRPr="00887A1F">
        <w:rPr>
          <w:rFonts w:ascii="Arial" w:hAnsi="Arial" w:cs="Arial"/>
          <w:sz w:val="24"/>
          <w:szCs w:val="24"/>
        </w:rPr>
        <w:t xml:space="preserve"> Webber, 2012), </w:t>
      </w:r>
    </w:p>
    <w:p w:rsidR="001065DF" w:rsidRPr="00887A1F" w:rsidRDefault="001065DF" w:rsidP="00887A1F">
      <w:pPr>
        <w:autoSpaceDE w:val="0"/>
        <w:autoSpaceDN w:val="0"/>
        <w:adjustRightInd w:val="0"/>
        <w:spacing w:after="0" w:line="360" w:lineRule="auto"/>
        <w:rPr>
          <w:rFonts w:ascii="Arial" w:hAnsi="Arial" w:cs="Arial"/>
          <w:sz w:val="24"/>
          <w:szCs w:val="24"/>
        </w:rPr>
      </w:pPr>
    </w:p>
    <w:p w:rsidR="00794C0F" w:rsidRPr="00887A1F" w:rsidRDefault="003C4453" w:rsidP="00887A1F">
      <w:pPr>
        <w:autoSpaceDE w:val="0"/>
        <w:autoSpaceDN w:val="0"/>
        <w:adjustRightInd w:val="0"/>
        <w:spacing w:after="0" w:line="360" w:lineRule="auto"/>
        <w:rPr>
          <w:rFonts w:ascii="Arial" w:hAnsi="Arial" w:cs="Arial"/>
          <w:sz w:val="24"/>
          <w:szCs w:val="24"/>
        </w:rPr>
      </w:pPr>
      <w:r w:rsidRPr="00887A1F">
        <w:rPr>
          <w:rFonts w:ascii="Arial" w:hAnsi="Arial" w:cs="Arial"/>
          <w:sz w:val="24"/>
          <w:szCs w:val="24"/>
        </w:rPr>
        <w:t xml:space="preserve">Arnstein’s (1969) Ladder of Involvement </w:t>
      </w:r>
      <w:r w:rsidR="002F3C84" w:rsidRPr="00887A1F">
        <w:rPr>
          <w:rFonts w:ascii="Arial" w:hAnsi="Arial" w:cs="Arial"/>
          <w:sz w:val="24"/>
          <w:szCs w:val="24"/>
        </w:rPr>
        <w:t xml:space="preserve">was the first </w:t>
      </w:r>
      <w:r w:rsidR="00F25003" w:rsidRPr="00887A1F">
        <w:rPr>
          <w:rFonts w:ascii="Arial" w:hAnsi="Arial" w:cs="Arial"/>
          <w:sz w:val="24"/>
          <w:szCs w:val="24"/>
        </w:rPr>
        <w:t>model</w:t>
      </w:r>
      <w:r w:rsidR="002F3C84" w:rsidRPr="00887A1F">
        <w:rPr>
          <w:rFonts w:ascii="Arial" w:hAnsi="Arial" w:cs="Arial"/>
          <w:sz w:val="24"/>
          <w:szCs w:val="24"/>
        </w:rPr>
        <w:t xml:space="preserve"> that sought to quantify </w:t>
      </w:r>
      <w:r w:rsidR="00D406ED" w:rsidRPr="00887A1F">
        <w:rPr>
          <w:rFonts w:ascii="Arial" w:hAnsi="Arial" w:cs="Arial"/>
          <w:sz w:val="24"/>
          <w:szCs w:val="24"/>
        </w:rPr>
        <w:t xml:space="preserve">and understand the </w:t>
      </w:r>
      <w:r w:rsidR="002F3C84" w:rsidRPr="00887A1F">
        <w:rPr>
          <w:rFonts w:ascii="Arial" w:hAnsi="Arial" w:cs="Arial"/>
          <w:sz w:val="24"/>
          <w:szCs w:val="24"/>
        </w:rPr>
        <w:t xml:space="preserve">nature of service users’ involvement in decision-making processes.   </w:t>
      </w:r>
      <w:r w:rsidR="00D406ED" w:rsidRPr="00887A1F">
        <w:rPr>
          <w:rFonts w:ascii="Arial" w:hAnsi="Arial" w:cs="Arial"/>
          <w:sz w:val="24"/>
          <w:szCs w:val="24"/>
        </w:rPr>
        <w:t xml:space="preserve">This has been widely used in </w:t>
      </w:r>
      <w:r w:rsidR="009358C6" w:rsidRPr="00887A1F">
        <w:rPr>
          <w:rFonts w:ascii="Arial" w:hAnsi="Arial" w:cs="Arial"/>
          <w:sz w:val="24"/>
          <w:szCs w:val="24"/>
        </w:rPr>
        <w:t xml:space="preserve">community development work to evaluate the nature of power and influence that service users hold; </w:t>
      </w:r>
      <w:r w:rsidR="0084011C">
        <w:rPr>
          <w:rFonts w:ascii="Arial" w:hAnsi="Arial" w:cs="Arial"/>
          <w:sz w:val="24"/>
          <w:szCs w:val="24"/>
        </w:rPr>
        <w:t xml:space="preserve">similarly </w:t>
      </w:r>
      <w:r w:rsidR="009358C6" w:rsidRPr="00887A1F">
        <w:rPr>
          <w:rFonts w:ascii="Arial" w:hAnsi="Arial" w:cs="Arial"/>
          <w:sz w:val="24"/>
          <w:szCs w:val="24"/>
        </w:rPr>
        <w:t>it can be</w:t>
      </w:r>
      <w:r w:rsidR="006A11C6" w:rsidRPr="00887A1F">
        <w:rPr>
          <w:rFonts w:ascii="Arial" w:hAnsi="Arial" w:cs="Arial"/>
          <w:sz w:val="24"/>
          <w:szCs w:val="24"/>
        </w:rPr>
        <w:t xml:space="preserve"> used in education.  </w:t>
      </w:r>
      <w:r w:rsidR="00794C0F" w:rsidRPr="00887A1F">
        <w:rPr>
          <w:rFonts w:ascii="Arial" w:hAnsi="Arial" w:cs="Arial"/>
          <w:sz w:val="24"/>
          <w:szCs w:val="24"/>
        </w:rPr>
        <w:t xml:space="preserve">Building on Arnstein’s </w:t>
      </w:r>
      <w:r w:rsidR="00906933" w:rsidRPr="00887A1F">
        <w:rPr>
          <w:rFonts w:ascii="Arial" w:hAnsi="Arial" w:cs="Arial"/>
          <w:sz w:val="24"/>
          <w:szCs w:val="24"/>
        </w:rPr>
        <w:t xml:space="preserve">(1969) </w:t>
      </w:r>
      <w:r w:rsidR="00794C0F" w:rsidRPr="00887A1F">
        <w:rPr>
          <w:rFonts w:ascii="Arial" w:hAnsi="Arial" w:cs="Arial"/>
          <w:sz w:val="24"/>
          <w:szCs w:val="24"/>
        </w:rPr>
        <w:t xml:space="preserve">Ladder of Involvement, </w:t>
      </w:r>
      <w:r w:rsidR="00BD5C9B" w:rsidRPr="00887A1F">
        <w:rPr>
          <w:rFonts w:ascii="Arial" w:hAnsi="Arial" w:cs="Arial"/>
          <w:sz w:val="24"/>
          <w:szCs w:val="24"/>
        </w:rPr>
        <w:t xml:space="preserve">Tew, Gell, &amp; Foster </w:t>
      </w:r>
      <w:r w:rsidR="00794C0F" w:rsidRPr="00887A1F">
        <w:rPr>
          <w:rFonts w:ascii="Arial" w:hAnsi="Arial" w:cs="Arial"/>
          <w:sz w:val="24"/>
          <w:szCs w:val="24"/>
        </w:rPr>
        <w:t>(2004) proposed five stages of service user involvement that can be applied to professional training:</w:t>
      </w:r>
    </w:p>
    <w:p w:rsidR="00794C0F" w:rsidRPr="00887A1F" w:rsidRDefault="00794C0F" w:rsidP="00887A1F">
      <w:pPr>
        <w:autoSpaceDE w:val="0"/>
        <w:autoSpaceDN w:val="0"/>
        <w:adjustRightInd w:val="0"/>
        <w:spacing w:after="0" w:line="360" w:lineRule="auto"/>
        <w:rPr>
          <w:rFonts w:ascii="Arial" w:hAnsi="Arial" w:cs="Arial"/>
          <w:sz w:val="24"/>
          <w:szCs w:val="24"/>
        </w:rPr>
      </w:pPr>
    </w:p>
    <w:p w:rsidR="00794C0F" w:rsidRPr="00887A1F" w:rsidRDefault="00794C0F" w:rsidP="00887A1F">
      <w:pPr>
        <w:autoSpaceDE w:val="0"/>
        <w:autoSpaceDN w:val="0"/>
        <w:adjustRightInd w:val="0"/>
        <w:spacing w:after="0" w:line="360" w:lineRule="auto"/>
        <w:rPr>
          <w:rFonts w:ascii="Arial" w:hAnsi="Arial" w:cs="Arial"/>
          <w:sz w:val="24"/>
          <w:szCs w:val="24"/>
        </w:rPr>
      </w:pPr>
      <w:r w:rsidRPr="00887A1F">
        <w:rPr>
          <w:rFonts w:ascii="Arial" w:hAnsi="Arial" w:cs="Arial"/>
          <w:sz w:val="24"/>
          <w:szCs w:val="24"/>
        </w:rPr>
        <w:lastRenderedPageBreak/>
        <w:t>Level 1: no involvement</w:t>
      </w:r>
    </w:p>
    <w:p w:rsidR="00794C0F" w:rsidRPr="00887A1F" w:rsidRDefault="00794C0F" w:rsidP="00887A1F">
      <w:pPr>
        <w:autoSpaceDE w:val="0"/>
        <w:autoSpaceDN w:val="0"/>
        <w:adjustRightInd w:val="0"/>
        <w:spacing w:after="0" w:line="360" w:lineRule="auto"/>
        <w:rPr>
          <w:rFonts w:ascii="Arial" w:hAnsi="Arial" w:cs="Arial"/>
          <w:sz w:val="24"/>
          <w:szCs w:val="24"/>
        </w:rPr>
      </w:pPr>
      <w:r w:rsidRPr="00887A1F">
        <w:rPr>
          <w:rFonts w:ascii="Arial" w:hAnsi="Arial" w:cs="Arial"/>
          <w:sz w:val="24"/>
          <w:szCs w:val="24"/>
        </w:rPr>
        <w:t>Level 2: limited involvement</w:t>
      </w:r>
    </w:p>
    <w:p w:rsidR="00794C0F" w:rsidRPr="00887A1F" w:rsidRDefault="00794C0F" w:rsidP="00887A1F">
      <w:pPr>
        <w:autoSpaceDE w:val="0"/>
        <w:autoSpaceDN w:val="0"/>
        <w:adjustRightInd w:val="0"/>
        <w:spacing w:after="0" w:line="360" w:lineRule="auto"/>
        <w:rPr>
          <w:rFonts w:ascii="Arial" w:hAnsi="Arial" w:cs="Arial"/>
          <w:sz w:val="24"/>
          <w:szCs w:val="24"/>
        </w:rPr>
      </w:pPr>
      <w:r w:rsidRPr="00887A1F">
        <w:rPr>
          <w:rFonts w:ascii="Arial" w:hAnsi="Arial" w:cs="Arial"/>
          <w:sz w:val="24"/>
          <w:szCs w:val="24"/>
        </w:rPr>
        <w:t>Level 3: growing involvement</w:t>
      </w:r>
    </w:p>
    <w:p w:rsidR="00794C0F" w:rsidRPr="00887A1F" w:rsidRDefault="00794C0F" w:rsidP="00887A1F">
      <w:pPr>
        <w:autoSpaceDE w:val="0"/>
        <w:autoSpaceDN w:val="0"/>
        <w:adjustRightInd w:val="0"/>
        <w:spacing w:after="0" w:line="360" w:lineRule="auto"/>
        <w:rPr>
          <w:rFonts w:ascii="Arial" w:hAnsi="Arial" w:cs="Arial"/>
          <w:sz w:val="24"/>
          <w:szCs w:val="24"/>
        </w:rPr>
      </w:pPr>
      <w:r w:rsidRPr="00887A1F">
        <w:rPr>
          <w:rFonts w:ascii="Arial" w:hAnsi="Arial" w:cs="Arial"/>
          <w:sz w:val="24"/>
          <w:szCs w:val="24"/>
        </w:rPr>
        <w:t>Level 4: collaboration</w:t>
      </w:r>
    </w:p>
    <w:p w:rsidR="00794C0F" w:rsidRPr="00887A1F" w:rsidRDefault="00794C0F" w:rsidP="00887A1F">
      <w:pPr>
        <w:autoSpaceDE w:val="0"/>
        <w:autoSpaceDN w:val="0"/>
        <w:adjustRightInd w:val="0"/>
        <w:spacing w:after="0" w:line="360" w:lineRule="auto"/>
        <w:rPr>
          <w:rFonts w:ascii="Arial" w:hAnsi="Arial" w:cs="Arial"/>
          <w:sz w:val="24"/>
          <w:szCs w:val="24"/>
        </w:rPr>
      </w:pPr>
      <w:r w:rsidRPr="00887A1F">
        <w:rPr>
          <w:rFonts w:ascii="Arial" w:hAnsi="Arial" w:cs="Arial"/>
          <w:sz w:val="24"/>
          <w:szCs w:val="24"/>
        </w:rPr>
        <w:t xml:space="preserve">Level 5: partnership.  </w:t>
      </w:r>
    </w:p>
    <w:p w:rsidR="00794C0F" w:rsidRPr="00887A1F" w:rsidRDefault="00794C0F" w:rsidP="00887A1F">
      <w:pPr>
        <w:autoSpaceDE w:val="0"/>
        <w:autoSpaceDN w:val="0"/>
        <w:adjustRightInd w:val="0"/>
        <w:spacing w:after="0" w:line="360" w:lineRule="auto"/>
        <w:rPr>
          <w:rFonts w:ascii="Arial" w:hAnsi="Arial" w:cs="Arial"/>
          <w:sz w:val="24"/>
          <w:szCs w:val="24"/>
        </w:rPr>
      </w:pPr>
    </w:p>
    <w:p w:rsidR="00794C0F" w:rsidRPr="00887A1F" w:rsidRDefault="009D7807" w:rsidP="00887A1F">
      <w:pPr>
        <w:autoSpaceDE w:val="0"/>
        <w:autoSpaceDN w:val="0"/>
        <w:adjustRightInd w:val="0"/>
        <w:spacing w:after="0" w:line="360" w:lineRule="auto"/>
        <w:rPr>
          <w:rFonts w:ascii="Arial" w:hAnsi="Arial" w:cs="Arial"/>
          <w:color w:val="231F20"/>
          <w:sz w:val="24"/>
          <w:szCs w:val="24"/>
        </w:rPr>
      </w:pPr>
      <w:r w:rsidRPr="00887A1F">
        <w:rPr>
          <w:rFonts w:ascii="Arial" w:hAnsi="Arial" w:cs="Arial"/>
          <w:sz w:val="24"/>
          <w:szCs w:val="24"/>
        </w:rPr>
        <w:t xml:space="preserve">Additionally </w:t>
      </w:r>
      <w:r w:rsidR="00906933" w:rsidRPr="00887A1F">
        <w:rPr>
          <w:rFonts w:ascii="Arial" w:hAnsi="Arial" w:cs="Arial"/>
          <w:sz w:val="24"/>
          <w:szCs w:val="24"/>
        </w:rPr>
        <w:t>Webber &amp;</w:t>
      </w:r>
      <w:r w:rsidR="00794C0F" w:rsidRPr="00887A1F">
        <w:rPr>
          <w:rFonts w:ascii="Arial" w:hAnsi="Arial" w:cs="Arial"/>
          <w:sz w:val="24"/>
          <w:szCs w:val="24"/>
        </w:rPr>
        <w:t xml:space="preserve"> Robinson (2012) evaluated service user involvement in the training of post qualifying social work students and developed four levels of involvement: consultation, partnership, political and user control.  This model reflects the stages developed by Tew </w:t>
      </w:r>
      <w:r w:rsidR="00794C0F" w:rsidRPr="00887A1F">
        <w:rPr>
          <w:rFonts w:ascii="Arial" w:hAnsi="Arial" w:cs="Arial"/>
          <w:i/>
          <w:sz w:val="24"/>
          <w:szCs w:val="24"/>
        </w:rPr>
        <w:t>et al</w:t>
      </w:r>
      <w:r w:rsidR="00794C0F" w:rsidRPr="00887A1F">
        <w:rPr>
          <w:rFonts w:ascii="Arial" w:hAnsi="Arial" w:cs="Arial"/>
          <w:sz w:val="24"/>
          <w:szCs w:val="24"/>
        </w:rPr>
        <w:t xml:space="preserve"> (2004)</w:t>
      </w:r>
      <w:r w:rsidR="00562E28" w:rsidRPr="00887A1F">
        <w:rPr>
          <w:rFonts w:ascii="Arial" w:hAnsi="Arial" w:cs="Arial"/>
          <w:sz w:val="24"/>
          <w:szCs w:val="24"/>
        </w:rPr>
        <w:t>, building on Arnstein’s (1969) work</w:t>
      </w:r>
      <w:r w:rsidR="00C40E16" w:rsidRPr="00887A1F">
        <w:rPr>
          <w:rFonts w:ascii="Arial" w:hAnsi="Arial" w:cs="Arial"/>
          <w:sz w:val="24"/>
          <w:szCs w:val="24"/>
        </w:rPr>
        <w:t>.  H</w:t>
      </w:r>
      <w:r w:rsidR="0054590F" w:rsidRPr="00887A1F">
        <w:rPr>
          <w:rFonts w:ascii="Arial" w:hAnsi="Arial" w:cs="Arial"/>
          <w:sz w:val="24"/>
          <w:szCs w:val="24"/>
        </w:rPr>
        <w:t xml:space="preserve">owever the latter two stages of political </w:t>
      </w:r>
      <w:r w:rsidR="00C40E16" w:rsidRPr="00887A1F">
        <w:rPr>
          <w:rFonts w:ascii="Arial" w:hAnsi="Arial" w:cs="Arial"/>
          <w:sz w:val="24"/>
          <w:szCs w:val="24"/>
        </w:rPr>
        <w:t>involvement and user control</w:t>
      </w:r>
      <w:r w:rsidR="0054590F" w:rsidRPr="00887A1F">
        <w:rPr>
          <w:rFonts w:ascii="Arial" w:hAnsi="Arial" w:cs="Arial"/>
          <w:sz w:val="24"/>
          <w:szCs w:val="24"/>
        </w:rPr>
        <w:t xml:space="preserve"> emphasise the importance of utilising a democratic mode</w:t>
      </w:r>
      <w:r w:rsidR="0001748C" w:rsidRPr="00887A1F">
        <w:rPr>
          <w:rFonts w:ascii="Arial" w:hAnsi="Arial" w:cs="Arial"/>
          <w:sz w:val="24"/>
          <w:szCs w:val="24"/>
        </w:rPr>
        <w:t xml:space="preserve">l of involvement that </w:t>
      </w:r>
      <w:r w:rsidR="00C40E16" w:rsidRPr="00887A1F">
        <w:rPr>
          <w:rFonts w:ascii="Arial" w:hAnsi="Arial" w:cs="Arial"/>
          <w:sz w:val="24"/>
          <w:szCs w:val="24"/>
        </w:rPr>
        <w:t xml:space="preserve">is underpinned by </w:t>
      </w:r>
      <w:r w:rsidR="0054590F" w:rsidRPr="00887A1F">
        <w:rPr>
          <w:rFonts w:ascii="Arial" w:hAnsi="Arial" w:cs="Arial"/>
          <w:sz w:val="24"/>
          <w:szCs w:val="24"/>
        </w:rPr>
        <w:t xml:space="preserve">equality </w:t>
      </w:r>
      <w:r w:rsidR="0001748C" w:rsidRPr="00887A1F">
        <w:rPr>
          <w:rFonts w:ascii="Arial" w:hAnsi="Arial" w:cs="Arial"/>
          <w:sz w:val="24"/>
          <w:szCs w:val="24"/>
        </w:rPr>
        <w:t xml:space="preserve">between </w:t>
      </w:r>
      <w:r w:rsidR="0054590F" w:rsidRPr="00887A1F">
        <w:rPr>
          <w:rFonts w:ascii="Arial" w:hAnsi="Arial" w:cs="Arial"/>
          <w:sz w:val="24"/>
          <w:szCs w:val="24"/>
        </w:rPr>
        <w:t xml:space="preserve">service users </w:t>
      </w:r>
      <w:r w:rsidR="0001748C" w:rsidRPr="00887A1F">
        <w:rPr>
          <w:rFonts w:ascii="Arial" w:hAnsi="Arial" w:cs="Arial"/>
          <w:sz w:val="24"/>
          <w:szCs w:val="24"/>
        </w:rPr>
        <w:t>and</w:t>
      </w:r>
      <w:r w:rsidR="00906933" w:rsidRPr="00887A1F">
        <w:rPr>
          <w:rFonts w:ascii="Arial" w:hAnsi="Arial" w:cs="Arial"/>
          <w:sz w:val="24"/>
          <w:szCs w:val="24"/>
        </w:rPr>
        <w:t xml:space="preserve"> other partners.  Webber &amp;</w:t>
      </w:r>
      <w:r w:rsidR="0054590F" w:rsidRPr="00887A1F">
        <w:rPr>
          <w:rFonts w:ascii="Arial" w:hAnsi="Arial" w:cs="Arial"/>
          <w:sz w:val="24"/>
          <w:szCs w:val="24"/>
        </w:rPr>
        <w:t xml:space="preserve"> Robinson (2012, p.1268) </w:t>
      </w:r>
      <w:r w:rsidR="00C40E16" w:rsidRPr="00887A1F">
        <w:rPr>
          <w:rFonts w:ascii="Arial" w:hAnsi="Arial" w:cs="Arial"/>
          <w:sz w:val="24"/>
          <w:szCs w:val="24"/>
        </w:rPr>
        <w:t xml:space="preserve">highlight </w:t>
      </w:r>
      <w:r w:rsidR="00562E28" w:rsidRPr="00887A1F">
        <w:rPr>
          <w:rFonts w:ascii="Arial" w:hAnsi="Arial" w:cs="Arial"/>
          <w:sz w:val="24"/>
          <w:szCs w:val="24"/>
        </w:rPr>
        <w:t>the political aspects of s</w:t>
      </w:r>
      <w:r w:rsidR="00794C0F" w:rsidRPr="00887A1F">
        <w:rPr>
          <w:rFonts w:ascii="Arial" w:hAnsi="Arial" w:cs="Arial"/>
          <w:sz w:val="24"/>
          <w:szCs w:val="24"/>
        </w:rPr>
        <w:t xml:space="preserve">ervice user involvement </w:t>
      </w:r>
      <w:r w:rsidR="00562E28" w:rsidRPr="00887A1F">
        <w:rPr>
          <w:rFonts w:ascii="Arial" w:hAnsi="Arial" w:cs="Arial"/>
          <w:sz w:val="24"/>
          <w:szCs w:val="24"/>
        </w:rPr>
        <w:t xml:space="preserve">which </w:t>
      </w:r>
      <w:r w:rsidR="00794C0F" w:rsidRPr="00887A1F">
        <w:rPr>
          <w:rFonts w:ascii="Arial" w:hAnsi="Arial" w:cs="Arial"/>
          <w:sz w:val="24"/>
          <w:szCs w:val="24"/>
        </w:rPr>
        <w:t>‘</w:t>
      </w:r>
      <w:r w:rsidR="00794C0F" w:rsidRPr="00887A1F">
        <w:rPr>
          <w:rFonts w:ascii="Arial" w:hAnsi="Arial" w:cs="Arial"/>
          <w:color w:val="231F20"/>
          <w:sz w:val="24"/>
          <w:szCs w:val="24"/>
        </w:rPr>
        <w:t>model radical social work… by building a community of service users and carers and by seeking to contri</w:t>
      </w:r>
      <w:r w:rsidR="0054590F" w:rsidRPr="00887A1F">
        <w:rPr>
          <w:rFonts w:ascii="Arial" w:hAnsi="Arial" w:cs="Arial"/>
          <w:color w:val="231F20"/>
          <w:sz w:val="24"/>
          <w:szCs w:val="24"/>
        </w:rPr>
        <w:t>bute to wider political change’.</w:t>
      </w:r>
    </w:p>
    <w:p w:rsidR="00794C0F" w:rsidRPr="00887A1F" w:rsidRDefault="00794C0F" w:rsidP="00887A1F">
      <w:pPr>
        <w:autoSpaceDE w:val="0"/>
        <w:autoSpaceDN w:val="0"/>
        <w:adjustRightInd w:val="0"/>
        <w:spacing w:after="0" w:line="360" w:lineRule="auto"/>
        <w:rPr>
          <w:rFonts w:ascii="Arial" w:hAnsi="Arial" w:cs="Arial"/>
          <w:color w:val="231F20"/>
          <w:sz w:val="24"/>
          <w:szCs w:val="24"/>
        </w:rPr>
      </w:pPr>
    </w:p>
    <w:p w:rsidR="00AE129B" w:rsidRPr="00887A1F" w:rsidRDefault="00FF206A" w:rsidP="00887A1F">
      <w:pPr>
        <w:autoSpaceDE w:val="0"/>
        <w:autoSpaceDN w:val="0"/>
        <w:adjustRightInd w:val="0"/>
        <w:spacing w:after="0" w:line="360" w:lineRule="auto"/>
        <w:rPr>
          <w:rFonts w:ascii="Arial" w:hAnsi="Arial" w:cs="Arial"/>
          <w:sz w:val="24"/>
          <w:szCs w:val="24"/>
        </w:rPr>
      </w:pPr>
      <w:r w:rsidRPr="00887A1F">
        <w:rPr>
          <w:rFonts w:ascii="Arial" w:hAnsi="Arial" w:cs="Arial"/>
          <w:sz w:val="24"/>
          <w:szCs w:val="24"/>
        </w:rPr>
        <w:lastRenderedPageBreak/>
        <w:t>Despite strategic mandates which drive the participation agenda forward (</w:t>
      </w:r>
      <w:r w:rsidR="00926F36">
        <w:rPr>
          <w:rFonts w:ascii="Arial" w:hAnsi="Arial" w:cs="Arial"/>
          <w:sz w:val="24"/>
          <w:szCs w:val="24"/>
        </w:rPr>
        <w:t xml:space="preserve">HCPC, 2009; </w:t>
      </w:r>
      <w:r w:rsidRPr="00887A1F">
        <w:rPr>
          <w:rFonts w:ascii="Arial" w:hAnsi="Arial" w:cs="Arial"/>
          <w:sz w:val="24"/>
          <w:szCs w:val="24"/>
        </w:rPr>
        <w:t>Levin, 2004; Willis Commission, 2012)</w:t>
      </w:r>
      <w:r w:rsidR="009D7807" w:rsidRPr="00887A1F">
        <w:rPr>
          <w:rFonts w:ascii="Arial" w:hAnsi="Arial" w:cs="Arial"/>
          <w:sz w:val="24"/>
          <w:szCs w:val="24"/>
        </w:rPr>
        <w:t>, a</w:t>
      </w:r>
      <w:r w:rsidR="007D4004" w:rsidRPr="00887A1F">
        <w:rPr>
          <w:rFonts w:ascii="Arial" w:hAnsi="Arial" w:cs="Arial"/>
          <w:sz w:val="24"/>
          <w:szCs w:val="24"/>
        </w:rPr>
        <w:t>s teaching programmes are developed, p</w:t>
      </w:r>
      <w:r w:rsidR="003E345E" w:rsidRPr="00887A1F">
        <w:rPr>
          <w:rFonts w:ascii="Arial" w:hAnsi="Arial" w:cs="Arial"/>
          <w:sz w:val="24"/>
          <w:szCs w:val="24"/>
        </w:rPr>
        <w:t xml:space="preserve">ower and control </w:t>
      </w:r>
      <w:r w:rsidR="00C40E16" w:rsidRPr="00887A1F">
        <w:rPr>
          <w:rFonts w:ascii="Arial" w:hAnsi="Arial" w:cs="Arial"/>
          <w:sz w:val="24"/>
          <w:szCs w:val="24"/>
        </w:rPr>
        <w:t xml:space="preserve">tends to become concentrated </w:t>
      </w:r>
      <w:r w:rsidR="003E345E" w:rsidRPr="00887A1F">
        <w:rPr>
          <w:rFonts w:ascii="Arial" w:hAnsi="Arial" w:cs="Arial"/>
          <w:sz w:val="24"/>
          <w:szCs w:val="24"/>
        </w:rPr>
        <w:t>in the hands of educationalists rather than in those of service user</w:t>
      </w:r>
      <w:r w:rsidR="0084011C">
        <w:rPr>
          <w:rFonts w:ascii="Arial" w:hAnsi="Arial" w:cs="Arial"/>
          <w:sz w:val="24"/>
          <w:szCs w:val="24"/>
        </w:rPr>
        <w:t>s;</w:t>
      </w:r>
      <w:r w:rsidRPr="00887A1F">
        <w:rPr>
          <w:rFonts w:ascii="Arial" w:hAnsi="Arial" w:cs="Arial"/>
          <w:sz w:val="24"/>
          <w:szCs w:val="24"/>
        </w:rPr>
        <w:t xml:space="preserve"> although e</w:t>
      </w:r>
      <w:r w:rsidR="00F359E6" w:rsidRPr="00887A1F">
        <w:rPr>
          <w:rFonts w:ascii="Arial" w:hAnsi="Arial" w:cs="Arial"/>
          <w:sz w:val="24"/>
          <w:szCs w:val="24"/>
        </w:rPr>
        <w:t>ducators may choose, from a position of authority, to share some of their power with service users</w:t>
      </w:r>
      <w:r w:rsidRPr="00887A1F">
        <w:rPr>
          <w:rFonts w:ascii="Arial" w:hAnsi="Arial" w:cs="Arial"/>
          <w:sz w:val="24"/>
          <w:szCs w:val="24"/>
        </w:rPr>
        <w:t>.</w:t>
      </w:r>
      <w:r w:rsidR="00F359E6" w:rsidRPr="00887A1F">
        <w:rPr>
          <w:rFonts w:ascii="Arial" w:hAnsi="Arial" w:cs="Arial"/>
          <w:sz w:val="24"/>
          <w:szCs w:val="24"/>
        </w:rPr>
        <w:t xml:space="preserve"> S</w:t>
      </w:r>
      <w:r w:rsidR="00A86872" w:rsidRPr="00887A1F">
        <w:rPr>
          <w:rFonts w:ascii="Arial" w:hAnsi="Arial" w:cs="Arial"/>
          <w:sz w:val="24"/>
          <w:szCs w:val="24"/>
        </w:rPr>
        <w:t>ome lecturers confine user involvement to that of wheeling out the service user</w:t>
      </w:r>
      <w:r w:rsidR="00906933" w:rsidRPr="00887A1F">
        <w:rPr>
          <w:rFonts w:ascii="Arial" w:hAnsi="Arial" w:cs="Arial"/>
          <w:sz w:val="24"/>
          <w:szCs w:val="24"/>
        </w:rPr>
        <w:t xml:space="preserve"> to tell their story (Gregor &amp;</w:t>
      </w:r>
      <w:r w:rsidR="00A86872" w:rsidRPr="00887A1F">
        <w:rPr>
          <w:rFonts w:ascii="Arial" w:hAnsi="Arial" w:cs="Arial"/>
          <w:sz w:val="24"/>
          <w:szCs w:val="24"/>
        </w:rPr>
        <w:t xml:space="preserve"> Smith, 2009); this reduces user knowledge merely to the service user identity and undermines the potential ways in which experts</w:t>
      </w:r>
      <w:r w:rsidR="008A42A2">
        <w:rPr>
          <w:rFonts w:ascii="Arial" w:hAnsi="Arial" w:cs="Arial"/>
          <w:sz w:val="24"/>
          <w:szCs w:val="24"/>
        </w:rPr>
        <w:t>-</w:t>
      </w:r>
      <w:r w:rsidR="00A86872" w:rsidRPr="00887A1F">
        <w:rPr>
          <w:rFonts w:ascii="Arial" w:hAnsi="Arial" w:cs="Arial"/>
          <w:sz w:val="24"/>
          <w:szCs w:val="24"/>
        </w:rPr>
        <w:t>by</w:t>
      </w:r>
      <w:r w:rsidR="008A42A2">
        <w:rPr>
          <w:rFonts w:ascii="Arial" w:hAnsi="Arial" w:cs="Arial"/>
          <w:sz w:val="24"/>
          <w:szCs w:val="24"/>
        </w:rPr>
        <w:t>-</w:t>
      </w:r>
      <w:r w:rsidR="00A86872" w:rsidRPr="00887A1F">
        <w:rPr>
          <w:rFonts w:ascii="Arial" w:hAnsi="Arial" w:cs="Arial"/>
          <w:sz w:val="24"/>
          <w:szCs w:val="24"/>
        </w:rPr>
        <w:t>experience can contribute to professional development. This aligns in part to Arnstein</w:t>
      </w:r>
      <w:r w:rsidR="003D4AC9" w:rsidRPr="00887A1F">
        <w:rPr>
          <w:rFonts w:ascii="Arial" w:hAnsi="Arial" w:cs="Arial"/>
          <w:sz w:val="24"/>
          <w:szCs w:val="24"/>
        </w:rPr>
        <w:t xml:space="preserve">’s (1969) notion of ‘tokenism’; </w:t>
      </w:r>
      <w:r w:rsidR="00A86872" w:rsidRPr="00887A1F">
        <w:rPr>
          <w:rFonts w:ascii="Arial" w:hAnsi="Arial" w:cs="Arial"/>
          <w:sz w:val="24"/>
          <w:szCs w:val="24"/>
        </w:rPr>
        <w:t xml:space="preserve">and merely reinforces the idea of service users as passive recipients of services rather than active citizens who are experts-by-experience (Barnes </w:t>
      </w:r>
      <w:r w:rsidR="00906933" w:rsidRPr="00887A1F">
        <w:rPr>
          <w:rFonts w:ascii="Arial" w:hAnsi="Arial" w:cs="Arial"/>
          <w:sz w:val="24"/>
          <w:szCs w:val="24"/>
        </w:rPr>
        <w:t xml:space="preserve">&amp; </w:t>
      </w:r>
      <w:r w:rsidR="00A86872" w:rsidRPr="00887A1F">
        <w:rPr>
          <w:rFonts w:ascii="Arial" w:hAnsi="Arial" w:cs="Arial"/>
          <w:sz w:val="24"/>
          <w:szCs w:val="24"/>
        </w:rPr>
        <w:t>Bowl</w:t>
      </w:r>
      <w:r w:rsidR="001D1932" w:rsidRPr="00887A1F">
        <w:rPr>
          <w:rFonts w:ascii="Arial" w:hAnsi="Arial" w:cs="Arial"/>
          <w:sz w:val="24"/>
          <w:szCs w:val="24"/>
        </w:rPr>
        <w:t>, 2001</w:t>
      </w:r>
      <w:r w:rsidR="00A86872" w:rsidRPr="00887A1F">
        <w:rPr>
          <w:rFonts w:ascii="Arial" w:hAnsi="Arial" w:cs="Arial"/>
          <w:sz w:val="24"/>
          <w:szCs w:val="24"/>
        </w:rPr>
        <w:t xml:space="preserve">).  </w:t>
      </w:r>
      <w:r w:rsidR="003E345E" w:rsidRPr="00887A1F">
        <w:rPr>
          <w:rFonts w:ascii="Arial" w:hAnsi="Arial" w:cs="Arial"/>
          <w:sz w:val="24"/>
          <w:szCs w:val="24"/>
        </w:rPr>
        <w:t>Despite this, wh</w:t>
      </w:r>
      <w:r w:rsidR="00C912E5">
        <w:rPr>
          <w:rFonts w:ascii="Arial" w:hAnsi="Arial" w:cs="Arial"/>
          <w:sz w:val="24"/>
          <w:szCs w:val="24"/>
        </w:rPr>
        <w:t>en all stakeholders collaborate to build effective involvement</w:t>
      </w:r>
      <w:r w:rsidR="003E345E" w:rsidRPr="00887A1F">
        <w:rPr>
          <w:rFonts w:ascii="Arial" w:hAnsi="Arial" w:cs="Arial"/>
          <w:sz w:val="24"/>
          <w:szCs w:val="24"/>
        </w:rPr>
        <w:t xml:space="preserve">, service users </w:t>
      </w:r>
      <w:r w:rsidR="008A42A2">
        <w:rPr>
          <w:rFonts w:ascii="Arial" w:hAnsi="Arial" w:cs="Arial"/>
          <w:sz w:val="24"/>
          <w:szCs w:val="24"/>
        </w:rPr>
        <w:t>can begin to</w:t>
      </w:r>
      <w:r w:rsidR="003E345E" w:rsidRPr="00887A1F">
        <w:rPr>
          <w:rFonts w:ascii="Arial" w:hAnsi="Arial" w:cs="Arial"/>
          <w:sz w:val="24"/>
          <w:szCs w:val="24"/>
        </w:rPr>
        <w:t xml:space="preserve"> share</w:t>
      </w:r>
      <w:r w:rsidR="00F359E6" w:rsidRPr="00887A1F">
        <w:rPr>
          <w:rFonts w:ascii="Arial" w:hAnsi="Arial" w:cs="Arial"/>
          <w:sz w:val="24"/>
          <w:szCs w:val="24"/>
        </w:rPr>
        <w:t xml:space="preserve"> power.   Allain </w:t>
      </w:r>
      <w:r w:rsidR="00F359E6" w:rsidRPr="00887A1F">
        <w:rPr>
          <w:rFonts w:ascii="Arial" w:hAnsi="Arial" w:cs="Arial"/>
          <w:i/>
          <w:sz w:val="24"/>
          <w:szCs w:val="24"/>
        </w:rPr>
        <w:t>et al</w:t>
      </w:r>
      <w:r w:rsidR="00F359E6" w:rsidRPr="00887A1F">
        <w:rPr>
          <w:rFonts w:ascii="Arial" w:hAnsi="Arial" w:cs="Arial"/>
          <w:sz w:val="24"/>
          <w:szCs w:val="24"/>
        </w:rPr>
        <w:t xml:space="preserve"> (2006</w:t>
      </w:r>
      <w:r w:rsidR="00C912E5">
        <w:rPr>
          <w:rFonts w:ascii="Arial" w:hAnsi="Arial" w:cs="Arial"/>
          <w:sz w:val="24"/>
          <w:szCs w:val="24"/>
        </w:rPr>
        <w:t xml:space="preserve">, </w:t>
      </w:r>
      <w:r w:rsidR="00C912E5" w:rsidRPr="00887A1F">
        <w:rPr>
          <w:rFonts w:ascii="Arial" w:hAnsi="Arial" w:cs="Arial"/>
          <w:sz w:val="24"/>
          <w:szCs w:val="24"/>
        </w:rPr>
        <w:t>p. 412</w:t>
      </w:r>
      <w:r w:rsidR="003E345E" w:rsidRPr="00887A1F">
        <w:rPr>
          <w:rFonts w:ascii="Arial" w:hAnsi="Arial" w:cs="Arial"/>
          <w:sz w:val="24"/>
          <w:szCs w:val="24"/>
        </w:rPr>
        <w:t xml:space="preserve">) note that as </w:t>
      </w:r>
      <w:r w:rsidR="00F359E6" w:rsidRPr="00887A1F">
        <w:rPr>
          <w:rFonts w:ascii="Arial" w:hAnsi="Arial" w:cs="Arial"/>
          <w:sz w:val="24"/>
          <w:szCs w:val="24"/>
        </w:rPr>
        <w:t>experts</w:t>
      </w:r>
      <w:r w:rsidR="00A85C1D">
        <w:rPr>
          <w:rFonts w:ascii="Arial" w:hAnsi="Arial" w:cs="Arial"/>
          <w:sz w:val="24"/>
          <w:szCs w:val="24"/>
        </w:rPr>
        <w:t>-</w:t>
      </w:r>
      <w:r w:rsidR="00F359E6" w:rsidRPr="00887A1F">
        <w:rPr>
          <w:rFonts w:ascii="Arial" w:hAnsi="Arial" w:cs="Arial"/>
          <w:sz w:val="24"/>
          <w:szCs w:val="24"/>
        </w:rPr>
        <w:t>by</w:t>
      </w:r>
      <w:r w:rsidR="00A85C1D">
        <w:rPr>
          <w:rFonts w:ascii="Arial" w:hAnsi="Arial" w:cs="Arial"/>
          <w:sz w:val="24"/>
          <w:szCs w:val="24"/>
        </w:rPr>
        <w:t>-</w:t>
      </w:r>
      <w:r w:rsidR="00F359E6" w:rsidRPr="00887A1F">
        <w:rPr>
          <w:rFonts w:ascii="Arial" w:hAnsi="Arial" w:cs="Arial"/>
          <w:sz w:val="24"/>
          <w:szCs w:val="24"/>
        </w:rPr>
        <w:t>experience</w:t>
      </w:r>
      <w:r w:rsidR="003E345E" w:rsidRPr="00887A1F">
        <w:rPr>
          <w:rFonts w:ascii="Arial" w:hAnsi="Arial" w:cs="Arial"/>
          <w:sz w:val="24"/>
          <w:szCs w:val="24"/>
        </w:rPr>
        <w:t xml:space="preserve"> contributed in more creative and innovative ways to the </w:t>
      </w:r>
      <w:r w:rsidR="003E345E" w:rsidRPr="00887A1F">
        <w:rPr>
          <w:rFonts w:ascii="Arial" w:hAnsi="Arial" w:cs="Arial"/>
          <w:sz w:val="24"/>
          <w:szCs w:val="24"/>
        </w:rPr>
        <w:lastRenderedPageBreak/>
        <w:t xml:space="preserve">development of the social work programme </w:t>
      </w:r>
      <w:r w:rsidR="00C912E5">
        <w:rPr>
          <w:rFonts w:ascii="Arial" w:hAnsi="Arial" w:cs="Arial"/>
          <w:sz w:val="24"/>
          <w:szCs w:val="24"/>
        </w:rPr>
        <w:t xml:space="preserve">at Middlesex University </w:t>
      </w:r>
      <w:r w:rsidR="003E345E" w:rsidRPr="00887A1F">
        <w:rPr>
          <w:rFonts w:ascii="Arial" w:hAnsi="Arial" w:cs="Arial"/>
          <w:sz w:val="24"/>
          <w:szCs w:val="24"/>
        </w:rPr>
        <w:t xml:space="preserve">they began to feel they had “reached rung six (partnership) where we are just beginning to negotiate a more effective participatory role.” </w:t>
      </w:r>
    </w:p>
    <w:p w:rsidR="001343CD" w:rsidRPr="00887A1F" w:rsidRDefault="001343CD" w:rsidP="00887A1F">
      <w:pPr>
        <w:autoSpaceDE w:val="0"/>
        <w:autoSpaceDN w:val="0"/>
        <w:adjustRightInd w:val="0"/>
        <w:spacing w:after="0" w:line="360" w:lineRule="auto"/>
        <w:rPr>
          <w:rFonts w:ascii="Arial" w:hAnsi="Arial" w:cs="Arial"/>
          <w:sz w:val="24"/>
          <w:szCs w:val="24"/>
        </w:rPr>
      </w:pPr>
    </w:p>
    <w:p w:rsidR="005F09ED" w:rsidRDefault="00A86872" w:rsidP="00887A1F">
      <w:pPr>
        <w:autoSpaceDE w:val="0"/>
        <w:autoSpaceDN w:val="0"/>
        <w:adjustRightInd w:val="0"/>
        <w:spacing w:after="0" w:line="360" w:lineRule="auto"/>
        <w:rPr>
          <w:rFonts w:ascii="Arial" w:hAnsi="Arial" w:cs="Arial"/>
          <w:sz w:val="24"/>
          <w:szCs w:val="24"/>
        </w:rPr>
      </w:pPr>
      <w:r w:rsidRPr="00887A1F">
        <w:rPr>
          <w:rFonts w:ascii="Arial" w:hAnsi="Arial" w:cs="Arial"/>
          <w:sz w:val="24"/>
          <w:szCs w:val="24"/>
        </w:rPr>
        <w:t>S</w:t>
      </w:r>
      <w:r w:rsidR="006811F8" w:rsidRPr="00887A1F">
        <w:rPr>
          <w:rFonts w:ascii="Arial" w:hAnsi="Arial" w:cs="Arial"/>
          <w:sz w:val="24"/>
          <w:szCs w:val="24"/>
        </w:rPr>
        <w:t>ometimes lecturers</w:t>
      </w:r>
      <w:r w:rsidRPr="00887A1F">
        <w:rPr>
          <w:rFonts w:ascii="Arial" w:hAnsi="Arial" w:cs="Arial"/>
          <w:sz w:val="24"/>
          <w:szCs w:val="24"/>
        </w:rPr>
        <w:t>, from a position of power,</w:t>
      </w:r>
      <w:r w:rsidR="006811F8" w:rsidRPr="00887A1F">
        <w:rPr>
          <w:rFonts w:ascii="Arial" w:hAnsi="Arial" w:cs="Arial"/>
          <w:sz w:val="24"/>
          <w:szCs w:val="24"/>
        </w:rPr>
        <w:t xml:space="preserve"> are anxious about </w:t>
      </w:r>
      <w:r w:rsidR="008A67C0" w:rsidRPr="00887A1F">
        <w:rPr>
          <w:rFonts w:ascii="Arial" w:hAnsi="Arial" w:cs="Arial"/>
          <w:sz w:val="24"/>
          <w:szCs w:val="24"/>
        </w:rPr>
        <w:t>the negative impact</w:t>
      </w:r>
      <w:r w:rsidR="00554C2F" w:rsidRPr="00887A1F">
        <w:rPr>
          <w:rFonts w:ascii="Arial" w:hAnsi="Arial" w:cs="Arial"/>
          <w:sz w:val="24"/>
          <w:szCs w:val="24"/>
        </w:rPr>
        <w:t xml:space="preserve"> of involvement on service users’ well-being; despite </w:t>
      </w:r>
      <w:r w:rsidR="008A42A2">
        <w:rPr>
          <w:rFonts w:ascii="Arial" w:hAnsi="Arial" w:cs="Arial"/>
          <w:sz w:val="24"/>
          <w:szCs w:val="24"/>
        </w:rPr>
        <w:t>service users</w:t>
      </w:r>
      <w:r w:rsidR="008A42A2" w:rsidRPr="00887A1F">
        <w:rPr>
          <w:rFonts w:ascii="Arial" w:hAnsi="Arial" w:cs="Arial"/>
          <w:sz w:val="24"/>
          <w:szCs w:val="24"/>
        </w:rPr>
        <w:t xml:space="preserve"> </w:t>
      </w:r>
      <w:r w:rsidR="00554C2F" w:rsidRPr="00887A1F">
        <w:rPr>
          <w:rFonts w:ascii="Arial" w:hAnsi="Arial" w:cs="Arial"/>
          <w:sz w:val="24"/>
          <w:szCs w:val="24"/>
        </w:rPr>
        <w:t xml:space="preserve">often demanding their </w:t>
      </w:r>
      <w:r w:rsidR="008A42A2">
        <w:rPr>
          <w:rFonts w:ascii="Arial" w:hAnsi="Arial" w:cs="Arial"/>
          <w:sz w:val="24"/>
          <w:szCs w:val="24"/>
        </w:rPr>
        <w:t xml:space="preserve">increased </w:t>
      </w:r>
      <w:r w:rsidR="00554C2F" w:rsidRPr="00887A1F">
        <w:rPr>
          <w:rFonts w:ascii="Arial" w:hAnsi="Arial" w:cs="Arial"/>
          <w:sz w:val="24"/>
          <w:szCs w:val="24"/>
        </w:rPr>
        <w:t xml:space="preserve">participation </w:t>
      </w:r>
      <w:r w:rsidR="006811F8" w:rsidRPr="00887A1F">
        <w:rPr>
          <w:rFonts w:ascii="Arial" w:hAnsi="Arial" w:cs="Arial"/>
          <w:sz w:val="24"/>
          <w:szCs w:val="24"/>
        </w:rPr>
        <w:t xml:space="preserve">in </w:t>
      </w:r>
      <w:r w:rsidR="004038AF">
        <w:rPr>
          <w:rFonts w:ascii="Arial" w:hAnsi="Arial" w:cs="Arial"/>
          <w:sz w:val="24"/>
          <w:szCs w:val="24"/>
        </w:rPr>
        <w:t xml:space="preserve">ever more </w:t>
      </w:r>
      <w:r w:rsidR="006811F8" w:rsidRPr="00887A1F">
        <w:rPr>
          <w:rFonts w:ascii="Arial" w:hAnsi="Arial" w:cs="Arial"/>
          <w:sz w:val="24"/>
          <w:szCs w:val="24"/>
        </w:rPr>
        <w:t>creative and innovative ways.  Duffy, Das &amp; Davidson (2013) discuss how students and staff perceived service users</w:t>
      </w:r>
      <w:r w:rsidR="00516E0A" w:rsidRPr="00887A1F">
        <w:rPr>
          <w:rFonts w:ascii="Arial" w:hAnsi="Arial" w:cs="Arial"/>
          <w:sz w:val="24"/>
          <w:szCs w:val="24"/>
        </w:rPr>
        <w:t>’</w:t>
      </w:r>
      <w:r w:rsidR="006811F8" w:rsidRPr="00887A1F">
        <w:rPr>
          <w:rFonts w:ascii="Arial" w:hAnsi="Arial" w:cs="Arial"/>
          <w:sz w:val="24"/>
          <w:szCs w:val="24"/>
        </w:rPr>
        <w:t xml:space="preserve"> involvement </w:t>
      </w:r>
      <w:r w:rsidR="002443DB" w:rsidRPr="00887A1F">
        <w:rPr>
          <w:rFonts w:ascii="Arial" w:hAnsi="Arial" w:cs="Arial"/>
          <w:sz w:val="24"/>
          <w:szCs w:val="24"/>
        </w:rPr>
        <w:t xml:space="preserve">in role plays </w:t>
      </w:r>
      <w:r w:rsidR="008A67C0" w:rsidRPr="00887A1F">
        <w:rPr>
          <w:rFonts w:ascii="Arial" w:hAnsi="Arial" w:cs="Arial"/>
          <w:sz w:val="24"/>
          <w:szCs w:val="24"/>
        </w:rPr>
        <w:t xml:space="preserve">which were used </w:t>
      </w:r>
      <w:r w:rsidR="002443DB" w:rsidRPr="00887A1F">
        <w:rPr>
          <w:rFonts w:ascii="Arial" w:hAnsi="Arial" w:cs="Arial"/>
          <w:sz w:val="24"/>
          <w:szCs w:val="24"/>
        </w:rPr>
        <w:t>in</w:t>
      </w:r>
      <w:r w:rsidR="006811F8" w:rsidRPr="00887A1F">
        <w:rPr>
          <w:rFonts w:ascii="Arial" w:hAnsi="Arial" w:cs="Arial"/>
          <w:sz w:val="24"/>
          <w:szCs w:val="24"/>
        </w:rPr>
        <w:t xml:space="preserve"> </w:t>
      </w:r>
      <w:r w:rsidR="002443DB" w:rsidRPr="00887A1F">
        <w:rPr>
          <w:rFonts w:ascii="Arial" w:hAnsi="Arial" w:cs="Arial"/>
          <w:sz w:val="24"/>
          <w:szCs w:val="24"/>
        </w:rPr>
        <w:t xml:space="preserve">a </w:t>
      </w:r>
      <w:r w:rsidR="008A67C0" w:rsidRPr="00887A1F">
        <w:rPr>
          <w:rFonts w:ascii="Arial" w:hAnsi="Arial" w:cs="Arial"/>
          <w:sz w:val="24"/>
          <w:szCs w:val="24"/>
        </w:rPr>
        <w:t xml:space="preserve">social work </w:t>
      </w:r>
      <w:r w:rsidR="002443DB" w:rsidRPr="00887A1F">
        <w:rPr>
          <w:rFonts w:ascii="Arial" w:hAnsi="Arial" w:cs="Arial"/>
          <w:sz w:val="24"/>
          <w:szCs w:val="24"/>
        </w:rPr>
        <w:t xml:space="preserve">module </w:t>
      </w:r>
      <w:r w:rsidR="008A67C0" w:rsidRPr="00887A1F">
        <w:rPr>
          <w:rFonts w:ascii="Arial" w:hAnsi="Arial" w:cs="Arial"/>
          <w:sz w:val="24"/>
          <w:szCs w:val="24"/>
        </w:rPr>
        <w:t xml:space="preserve">to assess </w:t>
      </w:r>
      <w:r w:rsidR="002443DB" w:rsidRPr="00887A1F">
        <w:rPr>
          <w:rFonts w:ascii="Arial" w:hAnsi="Arial" w:cs="Arial"/>
          <w:sz w:val="24"/>
          <w:szCs w:val="24"/>
        </w:rPr>
        <w:t xml:space="preserve">students’ </w:t>
      </w:r>
      <w:r w:rsidR="006811F8" w:rsidRPr="00887A1F">
        <w:rPr>
          <w:rFonts w:ascii="Arial" w:hAnsi="Arial" w:cs="Arial"/>
          <w:sz w:val="24"/>
          <w:szCs w:val="24"/>
        </w:rPr>
        <w:t>readiness for direct practice</w:t>
      </w:r>
      <w:r w:rsidR="002443DB" w:rsidRPr="00887A1F">
        <w:rPr>
          <w:rFonts w:ascii="Arial" w:hAnsi="Arial" w:cs="Arial"/>
          <w:sz w:val="24"/>
          <w:szCs w:val="24"/>
        </w:rPr>
        <w:t xml:space="preserve">.  Concerns were expressed about using </w:t>
      </w:r>
      <w:r w:rsidR="002443DB" w:rsidRPr="00887A1F">
        <w:rPr>
          <w:rFonts w:ascii="Arial" w:hAnsi="Arial" w:cs="Arial"/>
          <w:i/>
          <w:sz w:val="24"/>
          <w:szCs w:val="24"/>
        </w:rPr>
        <w:t xml:space="preserve">real </w:t>
      </w:r>
      <w:r w:rsidR="008A67C0" w:rsidRPr="00887A1F">
        <w:rPr>
          <w:rFonts w:ascii="Arial" w:hAnsi="Arial" w:cs="Arial"/>
          <w:sz w:val="24"/>
          <w:szCs w:val="24"/>
        </w:rPr>
        <w:t>service users in the</w:t>
      </w:r>
      <w:r w:rsidR="002443DB" w:rsidRPr="00887A1F">
        <w:rPr>
          <w:rFonts w:ascii="Arial" w:hAnsi="Arial" w:cs="Arial"/>
          <w:sz w:val="24"/>
          <w:szCs w:val="24"/>
        </w:rPr>
        <w:t xml:space="preserve"> role play </w:t>
      </w:r>
      <w:r w:rsidR="008A67C0" w:rsidRPr="00887A1F">
        <w:rPr>
          <w:rFonts w:ascii="Arial" w:hAnsi="Arial" w:cs="Arial"/>
          <w:sz w:val="24"/>
          <w:szCs w:val="24"/>
        </w:rPr>
        <w:t xml:space="preserve">scenario as it was believed </w:t>
      </w:r>
      <w:r w:rsidR="002443DB" w:rsidRPr="00887A1F">
        <w:rPr>
          <w:rFonts w:ascii="Arial" w:hAnsi="Arial" w:cs="Arial"/>
          <w:sz w:val="24"/>
          <w:szCs w:val="24"/>
        </w:rPr>
        <w:t xml:space="preserve">that </w:t>
      </w:r>
      <w:r w:rsidR="004038AF">
        <w:rPr>
          <w:rFonts w:ascii="Arial" w:hAnsi="Arial" w:cs="Arial"/>
          <w:sz w:val="24"/>
          <w:szCs w:val="24"/>
        </w:rPr>
        <w:t xml:space="preserve">they </w:t>
      </w:r>
      <w:r w:rsidR="002443DB" w:rsidRPr="00887A1F">
        <w:rPr>
          <w:rFonts w:ascii="Arial" w:hAnsi="Arial" w:cs="Arial"/>
          <w:sz w:val="24"/>
          <w:szCs w:val="24"/>
        </w:rPr>
        <w:t xml:space="preserve">could </w:t>
      </w:r>
      <w:r w:rsidR="006811F8" w:rsidRPr="00887A1F">
        <w:rPr>
          <w:rFonts w:ascii="Arial" w:hAnsi="Arial" w:cs="Arial"/>
          <w:sz w:val="24"/>
          <w:szCs w:val="24"/>
        </w:rPr>
        <w:t>be neg</w:t>
      </w:r>
      <w:r w:rsidR="002443DB" w:rsidRPr="00887A1F">
        <w:rPr>
          <w:rFonts w:ascii="Arial" w:hAnsi="Arial" w:cs="Arial"/>
          <w:sz w:val="24"/>
          <w:szCs w:val="24"/>
        </w:rPr>
        <w:t xml:space="preserve">atively impacted by insensitive </w:t>
      </w:r>
      <w:r w:rsidR="006811F8" w:rsidRPr="00887A1F">
        <w:rPr>
          <w:rFonts w:ascii="Arial" w:hAnsi="Arial" w:cs="Arial"/>
          <w:sz w:val="24"/>
          <w:szCs w:val="24"/>
        </w:rPr>
        <w:t>questioning</w:t>
      </w:r>
      <w:r w:rsidR="008A67C0" w:rsidRPr="00887A1F">
        <w:rPr>
          <w:rFonts w:ascii="Arial" w:hAnsi="Arial" w:cs="Arial"/>
          <w:sz w:val="24"/>
          <w:szCs w:val="24"/>
        </w:rPr>
        <w:t xml:space="preserve"> from</w:t>
      </w:r>
      <w:r w:rsidR="002443DB" w:rsidRPr="00887A1F">
        <w:rPr>
          <w:rFonts w:ascii="Arial" w:hAnsi="Arial" w:cs="Arial"/>
          <w:sz w:val="24"/>
          <w:szCs w:val="24"/>
        </w:rPr>
        <w:t xml:space="preserve"> inexperienced students.  Does this coincide with a </w:t>
      </w:r>
      <w:r w:rsidR="00B16766" w:rsidRPr="00887A1F">
        <w:rPr>
          <w:rFonts w:ascii="Arial" w:hAnsi="Arial" w:cs="Arial"/>
          <w:sz w:val="24"/>
          <w:szCs w:val="24"/>
        </w:rPr>
        <w:t xml:space="preserve">professional’s </w:t>
      </w:r>
      <w:r w:rsidR="002443DB" w:rsidRPr="00887A1F">
        <w:rPr>
          <w:rFonts w:ascii="Arial" w:hAnsi="Arial" w:cs="Arial"/>
          <w:sz w:val="24"/>
          <w:szCs w:val="24"/>
        </w:rPr>
        <w:t xml:space="preserve">duty of care to protect service users </w:t>
      </w:r>
      <w:r w:rsidR="00191478" w:rsidRPr="00887A1F">
        <w:rPr>
          <w:rFonts w:ascii="Arial" w:hAnsi="Arial" w:cs="Arial"/>
          <w:sz w:val="24"/>
          <w:szCs w:val="24"/>
        </w:rPr>
        <w:t>from harm</w:t>
      </w:r>
      <w:r w:rsidR="004038AF">
        <w:rPr>
          <w:rFonts w:ascii="Arial" w:hAnsi="Arial" w:cs="Arial"/>
          <w:sz w:val="24"/>
          <w:szCs w:val="24"/>
        </w:rPr>
        <w:t>?  Or</w:t>
      </w:r>
      <w:r w:rsidR="00B16766" w:rsidRPr="00887A1F">
        <w:rPr>
          <w:rFonts w:ascii="Arial" w:hAnsi="Arial" w:cs="Arial"/>
          <w:sz w:val="24"/>
          <w:szCs w:val="24"/>
        </w:rPr>
        <w:t xml:space="preserve"> does it concord with risk averse practice</w:t>
      </w:r>
      <w:r w:rsidR="004038AF">
        <w:rPr>
          <w:rFonts w:ascii="Arial" w:hAnsi="Arial" w:cs="Arial"/>
          <w:sz w:val="24"/>
          <w:szCs w:val="24"/>
        </w:rPr>
        <w:t xml:space="preserve">?  </w:t>
      </w:r>
      <w:r w:rsidR="00920F9C" w:rsidRPr="00887A1F">
        <w:rPr>
          <w:rFonts w:ascii="Arial" w:hAnsi="Arial" w:cs="Arial"/>
          <w:sz w:val="24"/>
          <w:szCs w:val="24"/>
        </w:rPr>
        <w:t>Social role valorisation (Wolfensberger, 1972)</w:t>
      </w:r>
      <w:r w:rsidR="009E55DF" w:rsidRPr="00887A1F">
        <w:rPr>
          <w:rFonts w:ascii="Arial" w:hAnsi="Arial" w:cs="Arial"/>
          <w:sz w:val="24"/>
          <w:szCs w:val="24"/>
        </w:rPr>
        <w:t>,</w:t>
      </w:r>
      <w:r w:rsidR="00920F9C" w:rsidRPr="00887A1F">
        <w:rPr>
          <w:rFonts w:ascii="Arial" w:hAnsi="Arial" w:cs="Arial"/>
          <w:sz w:val="24"/>
          <w:szCs w:val="24"/>
        </w:rPr>
        <w:t xml:space="preserve"> an early concept devel</w:t>
      </w:r>
      <w:r w:rsidR="00920F9C" w:rsidRPr="00887A1F">
        <w:rPr>
          <w:rFonts w:ascii="Arial" w:hAnsi="Arial" w:cs="Arial"/>
          <w:sz w:val="24"/>
          <w:szCs w:val="24"/>
        </w:rPr>
        <w:lastRenderedPageBreak/>
        <w:t xml:space="preserve">oped during </w:t>
      </w:r>
      <w:r w:rsidR="009E55DF" w:rsidRPr="00887A1F">
        <w:rPr>
          <w:rFonts w:ascii="Arial" w:hAnsi="Arial" w:cs="Arial"/>
          <w:sz w:val="24"/>
          <w:szCs w:val="24"/>
        </w:rPr>
        <w:t>transition</w:t>
      </w:r>
      <w:r w:rsidR="00E36110" w:rsidRPr="00887A1F">
        <w:rPr>
          <w:rFonts w:ascii="Arial" w:hAnsi="Arial" w:cs="Arial"/>
          <w:sz w:val="24"/>
          <w:szCs w:val="24"/>
        </w:rPr>
        <w:t xml:space="preserve"> from institutionalised care to independent living in the community, r</w:t>
      </w:r>
      <w:r w:rsidR="00920F9C" w:rsidRPr="00887A1F">
        <w:rPr>
          <w:rFonts w:ascii="Arial" w:hAnsi="Arial" w:cs="Arial"/>
          <w:sz w:val="24"/>
          <w:szCs w:val="24"/>
        </w:rPr>
        <w:t>einforce</w:t>
      </w:r>
      <w:r w:rsidR="009E55DF" w:rsidRPr="00887A1F">
        <w:rPr>
          <w:rFonts w:ascii="Arial" w:hAnsi="Arial" w:cs="Arial"/>
          <w:sz w:val="24"/>
          <w:szCs w:val="24"/>
        </w:rPr>
        <w:t>s</w:t>
      </w:r>
      <w:r w:rsidR="00920F9C" w:rsidRPr="00887A1F">
        <w:rPr>
          <w:rFonts w:ascii="Arial" w:hAnsi="Arial" w:cs="Arial"/>
          <w:sz w:val="24"/>
          <w:szCs w:val="24"/>
        </w:rPr>
        <w:t xml:space="preserve"> the need for professionals to support service users to develop positive social identities that can be respected by the wider community.  </w:t>
      </w:r>
      <w:r w:rsidR="00906933" w:rsidRPr="00887A1F">
        <w:rPr>
          <w:rFonts w:ascii="Arial" w:hAnsi="Arial" w:cs="Arial"/>
          <w:bCs/>
          <w:sz w:val="24"/>
          <w:szCs w:val="24"/>
        </w:rPr>
        <w:t xml:space="preserve">Ion, Cowan, &amp; Lindsay </w:t>
      </w:r>
      <w:r w:rsidR="005F09ED" w:rsidRPr="00887A1F">
        <w:rPr>
          <w:rFonts w:ascii="Arial" w:hAnsi="Arial" w:cs="Arial"/>
          <w:sz w:val="24"/>
          <w:szCs w:val="24"/>
        </w:rPr>
        <w:t xml:space="preserve">(2010) </w:t>
      </w:r>
      <w:r w:rsidR="009E55DF" w:rsidRPr="00887A1F">
        <w:rPr>
          <w:rFonts w:ascii="Arial" w:hAnsi="Arial" w:cs="Arial"/>
          <w:sz w:val="24"/>
          <w:szCs w:val="24"/>
        </w:rPr>
        <w:t xml:space="preserve">note how </w:t>
      </w:r>
      <w:r w:rsidR="00905B3F" w:rsidRPr="00887A1F">
        <w:rPr>
          <w:rFonts w:ascii="Arial" w:hAnsi="Arial" w:cs="Arial"/>
          <w:sz w:val="24"/>
          <w:szCs w:val="24"/>
        </w:rPr>
        <w:t xml:space="preserve">this concept can help us to understand the respect and authority that </w:t>
      </w:r>
      <w:r w:rsidR="009E55DF" w:rsidRPr="00887A1F">
        <w:rPr>
          <w:rFonts w:ascii="Arial" w:hAnsi="Arial" w:cs="Arial"/>
          <w:sz w:val="24"/>
          <w:szCs w:val="24"/>
        </w:rPr>
        <w:t xml:space="preserve">service users </w:t>
      </w:r>
      <w:r w:rsidR="001343CD" w:rsidRPr="00887A1F">
        <w:rPr>
          <w:rFonts w:ascii="Arial" w:hAnsi="Arial" w:cs="Arial"/>
          <w:sz w:val="24"/>
          <w:szCs w:val="24"/>
        </w:rPr>
        <w:t xml:space="preserve">can </w:t>
      </w:r>
      <w:r w:rsidR="00905B3F" w:rsidRPr="00887A1F">
        <w:rPr>
          <w:rFonts w:ascii="Arial" w:hAnsi="Arial" w:cs="Arial"/>
          <w:sz w:val="24"/>
          <w:szCs w:val="24"/>
        </w:rPr>
        <w:t xml:space="preserve">gain when they </w:t>
      </w:r>
      <w:r w:rsidR="00920F9C" w:rsidRPr="00887A1F">
        <w:rPr>
          <w:rFonts w:ascii="Arial" w:hAnsi="Arial" w:cs="Arial"/>
          <w:sz w:val="24"/>
          <w:szCs w:val="24"/>
        </w:rPr>
        <w:t>make a useful contribution to</w:t>
      </w:r>
      <w:r w:rsidR="00191478" w:rsidRPr="00887A1F">
        <w:rPr>
          <w:rFonts w:ascii="Arial" w:hAnsi="Arial" w:cs="Arial"/>
          <w:sz w:val="24"/>
          <w:szCs w:val="24"/>
        </w:rPr>
        <w:t xml:space="preserve"> training mental health professionals.  </w:t>
      </w:r>
    </w:p>
    <w:p w:rsidR="0029382E" w:rsidRDefault="0029382E" w:rsidP="00887A1F">
      <w:pPr>
        <w:autoSpaceDE w:val="0"/>
        <w:autoSpaceDN w:val="0"/>
        <w:adjustRightInd w:val="0"/>
        <w:spacing w:after="0" w:line="360" w:lineRule="auto"/>
        <w:rPr>
          <w:rFonts w:ascii="Arial" w:hAnsi="Arial" w:cs="Arial"/>
          <w:sz w:val="24"/>
          <w:szCs w:val="24"/>
        </w:rPr>
      </w:pPr>
    </w:p>
    <w:p w:rsidR="0029382E" w:rsidRPr="00887A1F" w:rsidRDefault="0029382E" w:rsidP="00887A1F">
      <w:pPr>
        <w:autoSpaceDE w:val="0"/>
        <w:autoSpaceDN w:val="0"/>
        <w:adjustRightInd w:val="0"/>
        <w:spacing w:after="0" w:line="360" w:lineRule="auto"/>
        <w:rPr>
          <w:rFonts w:ascii="Arial" w:hAnsi="Arial" w:cs="Arial"/>
          <w:sz w:val="24"/>
          <w:szCs w:val="24"/>
        </w:rPr>
      </w:pPr>
      <w:r w:rsidRPr="0020772C">
        <w:rPr>
          <w:rFonts w:ascii="Arial" w:hAnsi="Arial" w:cs="Arial"/>
          <w:sz w:val="24"/>
          <w:szCs w:val="24"/>
        </w:rPr>
        <w:t xml:space="preserve">Despite this, it is noted that the attainment of a ‘positive’ identity, which is central to the notion of social role valorisation (Wolfensberger, 1972), is framed by the constructions of the community – i.e. a valued role is socially constructed by the normative framework.  Moreover the recognition that is acceded to expertise-by-experience in social work education is also socially constructed and framed by those who have the power; this means that expertise-by-experience and its value and acceptability in social work education is defined by the dominant social work discourse.  This begs the </w:t>
      </w:r>
      <w:r w:rsidRPr="0020772C">
        <w:rPr>
          <w:rFonts w:ascii="Arial" w:hAnsi="Arial" w:cs="Arial"/>
          <w:sz w:val="24"/>
          <w:szCs w:val="24"/>
        </w:rPr>
        <w:lastRenderedPageBreak/>
        <w:t>question: is the place of expertise-by-experience in social work education transient or is it perceived as a permanent and powerful aspect of social work education?</w:t>
      </w:r>
    </w:p>
    <w:p w:rsidR="001065DF" w:rsidRPr="00887A1F" w:rsidRDefault="001065DF" w:rsidP="00887A1F">
      <w:pPr>
        <w:autoSpaceDE w:val="0"/>
        <w:autoSpaceDN w:val="0"/>
        <w:adjustRightInd w:val="0"/>
        <w:spacing w:after="0" w:line="360" w:lineRule="auto"/>
        <w:rPr>
          <w:rFonts w:ascii="Arial" w:hAnsi="Arial" w:cs="Arial"/>
          <w:sz w:val="24"/>
          <w:szCs w:val="24"/>
        </w:rPr>
      </w:pPr>
    </w:p>
    <w:p w:rsidR="00795FEC" w:rsidRPr="00887A1F" w:rsidRDefault="001065DF" w:rsidP="00887A1F">
      <w:pPr>
        <w:spacing w:line="360" w:lineRule="auto"/>
        <w:rPr>
          <w:rFonts w:ascii="Arial" w:hAnsi="Arial" w:cs="Arial"/>
          <w:sz w:val="24"/>
          <w:szCs w:val="24"/>
        </w:rPr>
      </w:pPr>
      <w:r w:rsidRPr="00887A1F">
        <w:rPr>
          <w:rFonts w:ascii="Arial" w:hAnsi="Arial" w:cs="Arial"/>
          <w:sz w:val="24"/>
          <w:szCs w:val="24"/>
        </w:rPr>
        <w:t>Coulter, Campbell, Duffy &amp; Reilly (2013), drawing on Freire’s (1970) work, emphasised the notion of education as a liberating</w:t>
      </w:r>
      <w:r w:rsidR="00AC6F5C" w:rsidRPr="00887A1F">
        <w:rPr>
          <w:rFonts w:ascii="Arial" w:hAnsi="Arial" w:cs="Arial"/>
          <w:sz w:val="24"/>
          <w:szCs w:val="24"/>
        </w:rPr>
        <w:t>,</w:t>
      </w:r>
      <w:r w:rsidRPr="00887A1F">
        <w:rPr>
          <w:rFonts w:ascii="Arial" w:hAnsi="Arial" w:cs="Arial"/>
          <w:sz w:val="24"/>
          <w:szCs w:val="24"/>
        </w:rPr>
        <w:t xml:space="preserve"> anti-oppressive</w:t>
      </w:r>
      <w:r w:rsidR="00AC6F5C" w:rsidRPr="00887A1F">
        <w:rPr>
          <w:rFonts w:ascii="Arial" w:hAnsi="Arial" w:cs="Arial"/>
          <w:sz w:val="24"/>
          <w:szCs w:val="24"/>
        </w:rPr>
        <w:t>,</w:t>
      </w:r>
      <w:r w:rsidR="00077BF4" w:rsidRPr="00887A1F">
        <w:rPr>
          <w:rFonts w:ascii="Arial" w:hAnsi="Arial" w:cs="Arial"/>
          <w:sz w:val="24"/>
          <w:szCs w:val="24"/>
        </w:rPr>
        <w:t xml:space="preserve"> political</w:t>
      </w:r>
      <w:r w:rsidRPr="00887A1F">
        <w:rPr>
          <w:rFonts w:ascii="Arial" w:hAnsi="Arial" w:cs="Arial"/>
          <w:sz w:val="24"/>
          <w:szCs w:val="24"/>
        </w:rPr>
        <w:t xml:space="preserve"> endeavour</w:t>
      </w:r>
      <w:r w:rsidR="00077BF4" w:rsidRPr="00887A1F">
        <w:rPr>
          <w:rFonts w:ascii="Arial" w:hAnsi="Arial" w:cs="Arial"/>
          <w:sz w:val="24"/>
          <w:szCs w:val="24"/>
        </w:rPr>
        <w:t>, in their context in a university setting in Northern Ireland</w:t>
      </w:r>
      <w:r w:rsidRPr="00887A1F">
        <w:rPr>
          <w:rFonts w:ascii="Arial" w:hAnsi="Arial" w:cs="Arial"/>
          <w:sz w:val="24"/>
          <w:szCs w:val="24"/>
        </w:rPr>
        <w:t xml:space="preserve">.   Their study, based </w:t>
      </w:r>
      <w:r w:rsidR="00FF206A" w:rsidRPr="00887A1F">
        <w:rPr>
          <w:rFonts w:ascii="Arial" w:hAnsi="Arial" w:cs="Arial"/>
          <w:sz w:val="24"/>
          <w:szCs w:val="24"/>
        </w:rPr>
        <w:t xml:space="preserve">in </w:t>
      </w:r>
      <w:r w:rsidR="00A87A2C">
        <w:rPr>
          <w:rFonts w:ascii="Arial" w:hAnsi="Arial" w:cs="Arial"/>
          <w:sz w:val="24"/>
          <w:szCs w:val="24"/>
        </w:rPr>
        <w:t xml:space="preserve">a </w:t>
      </w:r>
      <w:r w:rsidR="00FF206A" w:rsidRPr="00887A1F">
        <w:rPr>
          <w:rFonts w:ascii="Arial" w:hAnsi="Arial" w:cs="Arial"/>
          <w:sz w:val="24"/>
          <w:szCs w:val="24"/>
        </w:rPr>
        <w:t>community</w:t>
      </w:r>
      <w:r w:rsidRPr="00887A1F">
        <w:rPr>
          <w:rFonts w:ascii="Arial" w:hAnsi="Arial" w:cs="Arial"/>
          <w:sz w:val="24"/>
          <w:szCs w:val="24"/>
        </w:rPr>
        <w:t xml:space="preserve"> </w:t>
      </w:r>
      <w:r w:rsidR="00A87A2C">
        <w:rPr>
          <w:rFonts w:ascii="Arial" w:hAnsi="Arial" w:cs="Arial"/>
          <w:sz w:val="24"/>
          <w:szCs w:val="24"/>
        </w:rPr>
        <w:t xml:space="preserve">which had </w:t>
      </w:r>
      <w:r w:rsidRPr="00887A1F">
        <w:rPr>
          <w:rFonts w:ascii="Arial" w:hAnsi="Arial" w:cs="Arial"/>
          <w:sz w:val="24"/>
          <w:szCs w:val="24"/>
        </w:rPr>
        <w:t>experienced the political conflict of the ‘Troubles’, evaluated the student</w:t>
      </w:r>
      <w:r w:rsidR="00795FEC" w:rsidRPr="00887A1F">
        <w:rPr>
          <w:rFonts w:ascii="Arial" w:hAnsi="Arial" w:cs="Arial"/>
          <w:sz w:val="24"/>
          <w:szCs w:val="24"/>
        </w:rPr>
        <w:t>s’ response</w:t>
      </w:r>
      <w:r w:rsidR="00A87A2C">
        <w:rPr>
          <w:rFonts w:ascii="Arial" w:hAnsi="Arial" w:cs="Arial"/>
          <w:sz w:val="24"/>
          <w:szCs w:val="24"/>
        </w:rPr>
        <w:t>s</w:t>
      </w:r>
      <w:r w:rsidR="00795FEC" w:rsidRPr="00887A1F">
        <w:rPr>
          <w:rFonts w:ascii="Arial" w:hAnsi="Arial" w:cs="Arial"/>
          <w:sz w:val="24"/>
          <w:szCs w:val="24"/>
        </w:rPr>
        <w:t xml:space="preserve"> </w:t>
      </w:r>
      <w:r w:rsidRPr="00887A1F">
        <w:rPr>
          <w:rFonts w:ascii="Arial" w:hAnsi="Arial" w:cs="Arial"/>
          <w:sz w:val="24"/>
          <w:szCs w:val="24"/>
        </w:rPr>
        <w:t xml:space="preserve">as lecturers brought the ‘victims’ and ‘perpetrators’ of political violence into the classroom.  This </w:t>
      </w:r>
      <w:r w:rsidR="008E361F" w:rsidRPr="00887A1F">
        <w:rPr>
          <w:rFonts w:ascii="Arial" w:hAnsi="Arial" w:cs="Arial"/>
          <w:sz w:val="24"/>
          <w:szCs w:val="24"/>
        </w:rPr>
        <w:t xml:space="preserve">process </w:t>
      </w:r>
      <w:r w:rsidRPr="00887A1F">
        <w:rPr>
          <w:rFonts w:ascii="Arial" w:hAnsi="Arial" w:cs="Arial"/>
          <w:sz w:val="24"/>
          <w:szCs w:val="24"/>
        </w:rPr>
        <w:t xml:space="preserve">enabled the social work students to reflect on the </w:t>
      </w:r>
      <w:r w:rsidR="00795FEC" w:rsidRPr="00887A1F">
        <w:rPr>
          <w:rFonts w:ascii="Arial" w:hAnsi="Arial" w:cs="Arial"/>
          <w:sz w:val="24"/>
          <w:szCs w:val="24"/>
        </w:rPr>
        <w:t>possible</w:t>
      </w:r>
      <w:r w:rsidRPr="00887A1F">
        <w:rPr>
          <w:rFonts w:ascii="Arial" w:hAnsi="Arial" w:cs="Arial"/>
          <w:sz w:val="24"/>
          <w:szCs w:val="24"/>
        </w:rPr>
        <w:t xml:space="preserve"> challenges </w:t>
      </w:r>
      <w:r w:rsidR="00795FEC" w:rsidRPr="00887A1F">
        <w:rPr>
          <w:rFonts w:ascii="Arial" w:hAnsi="Arial" w:cs="Arial"/>
          <w:sz w:val="24"/>
          <w:szCs w:val="24"/>
        </w:rPr>
        <w:t xml:space="preserve">of working with people who had both experienced and perpetuated </w:t>
      </w:r>
      <w:r w:rsidR="00FF206A" w:rsidRPr="00887A1F">
        <w:rPr>
          <w:rFonts w:ascii="Arial" w:hAnsi="Arial" w:cs="Arial"/>
          <w:sz w:val="24"/>
          <w:szCs w:val="24"/>
        </w:rPr>
        <w:t xml:space="preserve">political violence.  </w:t>
      </w:r>
      <w:r w:rsidR="008E361F" w:rsidRPr="00887A1F">
        <w:rPr>
          <w:rFonts w:ascii="Arial" w:hAnsi="Arial" w:cs="Arial"/>
          <w:sz w:val="24"/>
          <w:szCs w:val="24"/>
        </w:rPr>
        <w:t xml:space="preserve">Focusing on sharing diverse and challenging perspectives </w:t>
      </w:r>
      <w:r w:rsidR="00AC6F5C" w:rsidRPr="00887A1F">
        <w:rPr>
          <w:rFonts w:ascii="Arial" w:hAnsi="Arial" w:cs="Arial"/>
          <w:sz w:val="24"/>
          <w:szCs w:val="24"/>
        </w:rPr>
        <w:t xml:space="preserve">of conflict </w:t>
      </w:r>
      <w:r w:rsidR="008E361F" w:rsidRPr="00887A1F">
        <w:rPr>
          <w:rFonts w:ascii="Arial" w:hAnsi="Arial" w:cs="Arial"/>
          <w:sz w:val="24"/>
          <w:szCs w:val="24"/>
        </w:rPr>
        <w:t xml:space="preserve">underlines the premise that </w:t>
      </w:r>
      <w:r w:rsidRPr="00887A1F">
        <w:rPr>
          <w:rFonts w:ascii="Arial" w:hAnsi="Arial" w:cs="Arial"/>
          <w:sz w:val="24"/>
          <w:szCs w:val="24"/>
        </w:rPr>
        <w:t xml:space="preserve">user involvement in education </w:t>
      </w:r>
      <w:r w:rsidR="008E361F" w:rsidRPr="00887A1F">
        <w:rPr>
          <w:rFonts w:ascii="Arial" w:hAnsi="Arial" w:cs="Arial"/>
          <w:sz w:val="24"/>
          <w:szCs w:val="24"/>
        </w:rPr>
        <w:t>can be</w:t>
      </w:r>
      <w:r w:rsidR="00795FEC" w:rsidRPr="00887A1F">
        <w:rPr>
          <w:rFonts w:ascii="Arial" w:hAnsi="Arial" w:cs="Arial"/>
          <w:sz w:val="24"/>
          <w:szCs w:val="24"/>
        </w:rPr>
        <w:t xml:space="preserve"> a form of political expression</w:t>
      </w:r>
      <w:r w:rsidR="00FF206A" w:rsidRPr="00887A1F">
        <w:rPr>
          <w:rFonts w:ascii="Arial" w:hAnsi="Arial" w:cs="Arial"/>
          <w:sz w:val="24"/>
          <w:szCs w:val="24"/>
        </w:rPr>
        <w:t xml:space="preserve"> (Freire, 1970; Webber &amp; Robinson, 2012)</w:t>
      </w:r>
      <w:r w:rsidR="008E361F" w:rsidRPr="00887A1F">
        <w:rPr>
          <w:rFonts w:ascii="Arial" w:hAnsi="Arial" w:cs="Arial"/>
          <w:sz w:val="24"/>
          <w:szCs w:val="24"/>
        </w:rPr>
        <w:t xml:space="preserve"> as</w:t>
      </w:r>
      <w:r w:rsidRPr="00887A1F">
        <w:rPr>
          <w:rFonts w:ascii="Arial" w:hAnsi="Arial" w:cs="Arial"/>
          <w:sz w:val="24"/>
          <w:szCs w:val="24"/>
        </w:rPr>
        <w:t xml:space="preserve"> </w:t>
      </w:r>
      <w:r w:rsidR="008E361F" w:rsidRPr="00887A1F">
        <w:rPr>
          <w:rFonts w:ascii="Arial" w:hAnsi="Arial" w:cs="Arial"/>
          <w:sz w:val="24"/>
          <w:szCs w:val="24"/>
        </w:rPr>
        <w:t xml:space="preserve">indeed </w:t>
      </w:r>
      <w:r w:rsidR="00FF206A" w:rsidRPr="00887A1F">
        <w:rPr>
          <w:rFonts w:ascii="Arial" w:hAnsi="Arial" w:cs="Arial"/>
          <w:sz w:val="24"/>
          <w:szCs w:val="24"/>
        </w:rPr>
        <w:t xml:space="preserve">the students own political </w:t>
      </w:r>
      <w:r w:rsidR="00FF206A" w:rsidRPr="00887A1F">
        <w:rPr>
          <w:rFonts w:ascii="Arial" w:hAnsi="Arial" w:cs="Arial"/>
          <w:sz w:val="24"/>
          <w:szCs w:val="24"/>
        </w:rPr>
        <w:lastRenderedPageBreak/>
        <w:t xml:space="preserve">perspectives were </w:t>
      </w:r>
      <w:r w:rsidR="00795FEC" w:rsidRPr="00887A1F">
        <w:rPr>
          <w:rFonts w:ascii="Arial" w:hAnsi="Arial" w:cs="Arial"/>
          <w:sz w:val="24"/>
          <w:szCs w:val="24"/>
        </w:rPr>
        <w:t>challenged and confronted</w:t>
      </w:r>
      <w:r w:rsidR="00FF206A" w:rsidRPr="00887A1F">
        <w:rPr>
          <w:rFonts w:ascii="Arial" w:hAnsi="Arial" w:cs="Arial"/>
          <w:sz w:val="24"/>
          <w:szCs w:val="24"/>
        </w:rPr>
        <w:t>.</w:t>
      </w:r>
      <w:r w:rsidR="00795FEC" w:rsidRPr="00887A1F">
        <w:rPr>
          <w:rFonts w:ascii="Arial" w:hAnsi="Arial" w:cs="Arial"/>
          <w:sz w:val="24"/>
          <w:szCs w:val="24"/>
        </w:rPr>
        <w:t xml:space="preserve">  </w:t>
      </w:r>
      <w:r w:rsidR="00077BF4" w:rsidRPr="00887A1F">
        <w:rPr>
          <w:rFonts w:ascii="Arial" w:hAnsi="Arial" w:cs="Arial"/>
          <w:sz w:val="24"/>
          <w:szCs w:val="24"/>
        </w:rPr>
        <w:t xml:space="preserve">In support of this, </w:t>
      </w:r>
      <w:r w:rsidRPr="00887A1F">
        <w:rPr>
          <w:rFonts w:ascii="Arial" w:hAnsi="Arial" w:cs="Arial"/>
          <w:sz w:val="24"/>
          <w:szCs w:val="24"/>
        </w:rPr>
        <w:t>Mc La</w:t>
      </w:r>
      <w:r w:rsidR="00906933" w:rsidRPr="00887A1F">
        <w:rPr>
          <w:rFonts w:ascii="Arial" w:hAnsi="Arial" w:cs="Arial"/>
          <w:sz w:val="24"/>
          <w:szCs w:val="24"/>
        </w:rPr>
        <w:t>ughlin (2009</w:t>
      </w:r>
      <w:r w:rsidR="00792B75">
        <w:rPr>
          <w:rFonts w:ascii="Arial" w:hAnsi="Arial" w:cs="Arial"/>
          <w:sz w:val="24"/>
          <w:szCs w:val="24"/>
        </w:rPr>
        <w:t>,</w:t>
      </w:r>
      <w:r w:rsidR="00906933" w:rsidRPr="00887A1F">
        <w:rPr>
          <w:rFonts w:ascii="Arial" w:hAnsi="Arial" w:cs="Arial"/>
          <w:sz w:val="24"/>
          <w:szCs w:val="24"/>
        </w:rPr>
        <w:t xml:space="preserve"> cited in Duffy &amp;</w:t>
      </w:r>
      <w:r w:rsidRPr="00887A1F">
        <w:rPr>
          <w:rFonts w:ascii="Arial" w:hAnsi="Arial" w:cs="Arial"/>
          <w:sz w:val="24"/>
          <w:szCs w:val="24"/>
        </w:rPr>
        <w:t xml:space="preserve"> Hayes</w:t>
      </w:r>
      <w:r w:rsidR="00792B75">
        <w:rPr>
          <w:rFonts w:ascii="Arial" w:hAnsi="Arial" w:cs="Arial"/>
          <w:sz w:val="24"/>
          <w:szCs w:val="24"/>
        </w:rPr>
        <w:t xml:space="preserve">, </w:t>
      </w:r>
      <w:r w:rsidRPr="00887A1F">
        <w:rPr>
          <w:rFonts w:ascii="Arial" w:hAnsi="Arial" w:cs="Arial"/>
          <w:sz w:val="24"/>
          <w:szCs w:val="24"/>
        </w:rPr>
        <w:t xml:space="preserve">2012) </w:t>
      </w:r>
      <w:r w:rsidR="00795FEC" w:rsidRPr="00887A1F">
        <w:rPr>
          <w:rFonts w:ascii="Arial" w:hAnsi="Arial" w:cs="Arial"/>
          <w:sz w:val="24"/>
          <w:szCs w:val="24"/>
        </w:rPr>
        <w:t xml:space="preserve">reminds us of </w:t>
      </w:r>
      <w:r w:rsidRPr="00887A1F">
        <w:rPr>
          <w:rFonts w:ascii="Arial" w:hAnsi="Arial" w:cs="Arial"/>
          <w:sz w:val="24"/>
          <w:szCs w:val="24"/>
        </w:rPr>
        <w:t xml:space="preserve">the anti-oppressive nature of social work and its underpinning tradition of </w:t>
      </w:r>
      <w:r w:rsidR="00D06FC5" w:rsidRPr="00887A1F">
        <w:rPr>
          <w:rFonts w:ascii="Arial" w:hAnsi="Arial" w:cs="Arial"/>
          <w:sz w:val="24"/>
          <w:szCs w:val="24"/>
        </w:rPr>
        <w:t xml:space="preserve">sharing power by </w:t>
      </w:r>
      <w:r w:rsidRPr="00887A1F">
        <w:rPr>
          <w:rFonts w:ascii="Arial" w:hAnsi="Arial" w:cs="Arial"/>
          <w:sz w:val="24"/>
          <w:szCs w:val="24"/>
        </w:rPr>
        <w:t>working in partnership with those who receive serv</w:t>
      </w:r>
      <w:r w:rsidR="00256287" w:rsidRPr="00887A1F">
        <w:rPr>
          <w:rFonts w:ascii="Arial" w:hAnsi="Arial" w:cs="Arial"/>
          <w:sz w:val="24"/>
          <w:szCs w:val="24"/>
        </w:rPr>
        <w:t>ices</w:t>
      </w:r>
      <w:r w:rsidR="00795FEC" w:rsidRPr="00887A1F">
        <w:rPr>
          <w:rFonts w:ascii="Arial" w:hAnsi="Arial" w:cs="Arial"/>
          <w:sz w:val="24"/>
          <w:szCs w:val="24"/>
        </w:rPr>
        <w:t xml:space="preserve"> or who have experienced violence and oppression</w:t>
      </w:r>
      <w:r w:rsidR="00077BF4" w:rsidRPr="00887A1F">
        <w:rPr>
          <w:rFonts w:ascii="Arial" w:hAnsi="Arial" w:cs="Arial"/>
          <w:sz w:val="24"/>
          <w:szCs w:val="24"/>
        </w:rPr>
        <w:t>, reinforcing its political nature</w:t>
      </w:r>
      <w:r w:rsidR="00256287" w:rsidRPr="00887A1F">
        <w:rPr>
          <w:rFonts w:ascii="Arial" w:hAnsi="Arial" w:cs="Arial"/>
          <w:sz w:val="24"/>
          <w:szCs w:val="24"/>
        </w:rPr>
        <w:t xml:space="preserve">.  </w:t>
      </w:r>
      <w:r w:rsidR="00D06FC5" w:rsidRPr="00887A1F">
        <w:rPr>
          <w:rFonts w:ascii="Arial" w:hAnsi="Arial" w:cs="Arial"/>
          <w:sz w:val="24"/>
          <w:szCs w:val="24"/>
        </w:rPr>
        <w:t>More</w:t>
      </w:r>
      <w:r w:rsidR="00077BF4" w:rsidRPr="00887A1F">
        <w:rPr>
          <w:rFonts w:ascii="Arial" w:hAnsi="Arial" w:cs="Arial"/>
          <w:sz w:val="24"/>
          <w:szCs w:val="24"/>
        </w:rPr>
        <w:t xml:space="preserve"> widely</w:t>
      </w:r>
      <w:r w:rsidR="00D06FC5" w:rsidRPr="00887A1F">
        <w:rPr>
          <w:rFonts w:ascii="Arial" w:hAnsi="Arial" w:cs="Arial"/>
          <w:sz w:val="24"/>
          <w:szCs w:val="24"/>
        </w:rPr>
        <w:t>, t</w:t>
      </w:r>
      <w:r w:rsidRPr="00887A1F">
        <w:rPr>
          <w:rFonts w:ascii="Arial" w:hAnsi="Arial" w:cs="Arial"/>
          <w:sz w:val="24"/>
          <w:szCs w:val="24"/>
        </w:rPr>
        <w:t xml:space="preserve">he discourse of expertise by experience (Fox 2015), which </w:t>
      </w:r>
      <w:r w:rsidR="008E361F" w:rsidRPr="00887A1F">
        <w:rPr>
          <w:rFonts w:ascii="Arial" w:hAnsi="Arial" w:cs="Arial"/>
          <w:sz w:val="24"/>
          <w:szCs w:val="24"/>
        </w:rPr>
        <w:t xml:space="preserve">highlights </w:t>
      </w:r>
      <w:r w:rsidRPr="00887A1F">
        <w:rPr>
          <w:rFonts w:ascii="Arial" w:hAnsi="Arial" w:cs="Arial"/>
          <w:sz w:val="24"/>
          <w:szCs w:val="24"/>
        </w:rPr>
        <w:t>the capacity and skills of people who receive services, goes some way to challenging th</w:t>
      </w:r>
      <w:r w:rsidR="00795FEC" w:rsidRPr="00887A1F">
        <w:rPr>
          <w:rFonts w:ascii="Arial" w:hAnsi="Arial" w:cs="Arial"/>
          <w:sz w:val="24"/>
          <w:szCs w:val="24"/>
        </w:rPr>
        <w:t xml:space="preserve">e prevailing belief in professional hegemony </w:t>
      </w:r>
      <w:r w:rsidR="008E361F" w:rsidRPr="00887A1F">
        <w:rPr>
          <w:rFonts w:ascii="Arial" w:hAnsi="Arial" w:cs="Arial"/>
          <w:sz w:val="24"/>
          <w:szCs w:val="24"/>
        </w:rPr>
        <w:t xml:space="preserve">by underlining </w:t>
      </w:r>
      <w:r w:rsidR="00795FEC" w:rsidRPr="00887A1F">
        <w:rPr>
          <w:rFonts w:ascii="Arial" w:hAnsi="Arial" w:cs="Arial"/>
          <w:sz w:val="24"/>
          <w:szCs w:val="24"/>
        </w:rPr>
        <w:t>the value of experiential wisdom</w:t>
      </w:r>
      <w:r w:rsidR="00077BF4" w:rsidRPr="00887A1F">
        <w:rPr>
          <w:rFonts w:ascii="Arial" w:hAnsi="Arial" w:cs="Arial"/>
          <w:sz w:val="24"/>
          <w:szCs w:val="24"/>
        </w:rPr>
        <w:t xml:space="preserve"> – emphasising the political nature of user expert knowledge</w:t>
      </w:r>
      <w:r w:rsidR="00795FEC" w:rsidRPr="00887A1F">
        <w:rPr>
          <w:rFonts w:ascii="Arial" w:hAnsi="Arial" w:cs="Arial"/>
          <w:sz w:val="24"/>
          <w:szCs w:val="24"/>
        </w:rPr>
        <w:t>.</w:t>
      </w:r>
      <w:r w:rsidR="00C41714">
        <w:rPr>
          <w:rFonts w:ascii="Arial" w:hAnsi="Arial" w:cs="Arial"/>
          <w:sz w:val="24"/>
          <w:szCs w:val="24"/>
        </w:rPr>
        <w:t xml:space="preserve"> </w:t>
      </w:r>
    </w:p>
    <w:p w:rsidR="004E6198" w:rsidRPr="00887A1F" w:rsidRDefault="00795FEC" w:rsidP="00887A1F">
      <w:pPr>
        <w:spacing w:line="360" w:lineRule="auto"/>
        <w:rPr>
          <w:rFonts w:ascii="Arial" w:hAnsi="Arial" w:cs="Arial"/>
          <w:sz w:val="24"/>
          <w:szCs w:val="24"/>
        </w:rPr>
      </w:pPr>
      <w:r w:rsidRPr="00887A1F">
        <w:rPr>
          <w:rFonts w:ascii="Arial" w:hAnsi="Arial" w:cs="Arial"/>
          <w:sz w:val="24"/>
          <w:szCs w:val="24"/>
        </w:rPr>
        <w:t xml:space="preserve"> </w:t>
      </w:r>
    </w:p>
    <w:p w:rsidR="00876113" w:rsidRPr="00887A1F" w:rsidRDefault="00667BB5" w:rsidP="00887A1F">
      <w:pPr>
        <w:spacing w:line="360" w:lineRule="auto"/>
        <w:rPr>
          <w:rFonts w:ascii="Arial" w:hAnsi="Arial" w:cs="Arial"/>
          <w:sz w:val="24"/>
          <w:szCs w:val="24"/>
        </w:rPr>
      </w:pPr>
      <w:r w:rsidRPr="00887A1F">
        <w:rPr>
          <w:rFonts w:ascii="Arial" w:hAnsi="Arial" w:cs="Arial"/>
          <w:sz w:val="24"/>
          <w:szCs w:val="24"/>
        </w:rPr>
        <w:t xml:space="preserve">This article has explored </w:t>
      </w:r>
      <w:r w:rsidR="00876113" w:rsidRPr="00887A1F">
        <w:rPr>
          <w:rFonts w:ascii="Arial" w:hAnsi="Arial" w:cs="Arial"/>
          <w:sz w:val="24"/>
          <w:szCs w:val="24"/>
        </w:rPr>
        <w:t>the nature of user involvement in education as a catalyst for trans</w:t>
      </w:r>
      <w:r w:rsidR="00825344" w:rsidRPr="00887A1F">
        <w:rPr>
          <w:rFonts w:ascii="Arial" w:hAnsi="Arial" w:cs="Arial"/>
          <w:sz w:val="24"/>
          <w:szCs w:val="24"/>
        </w:rPr>
        <w:t>formative learning (Rush, 2008);</w:t>
      </w:r>
      <w:r w:rsidR="00876113" w:rsidRPr="00887A1F">
        <w:rPr>
          <w:rFonts w:ascii="Arial" w:hAnsi="Arial" w:cs="Arial"/>
          <w:sz w:val="24"/>
          <w:szCs w:val="24"/>
        </w:rPr>
        <w:t xml:space="preserve"> as an anti-oppressive </w:t>
      </w:r>
      <w:r w:rsidR="00EE01C4" w:rsidRPr="00887A1F">
        <w:rPr>
          <w:rFonts w:ascii="Arial" w:hAnsi="Arial" w:cs="Arial"/>
          <w:sz w:val="24"/>
          <w:szCs w:val="24"/>
        </w:rPr>
        <w:t>and liberating process (Coulter</w:t>
      </w:r>
      <w:r w:rsidR="00876113" w:rsidRPr="00887A1F">
        <w:rPr>
          <w:rFonts w:ascii="Arial" w:hAnsi="Arial" w:cs="Arial"/>
          <w:sz w:val="24"/>
          <w:szCs w:val="24"/>
        </w:rPr>
        <w:t xml:space="preserve"> </w:t>
      </w:r>
      <w:r w:rsidR="00EE01C4" w:rsidRPr="00887A1F">
        <w:rPr>
          <w:rFonts w:ascii="Arial" w:hAnsi="Arial" w:cs="Arial"/>
          <w:sz w:val="24"/>
          <w:szCs w:val="24"/>
        </w:rPr>
        <w:t>et al</w:t>
      </w:r>
      <w:r w:rsidR="00876113" w:rsidRPr="00887A1F">
        <w:rPr>
          <w:rFonts w:ascii="Arial" w:hAnsi="Arial" w:cs="Arial"/>
          <w:sz w:val="24"/>
          <w:szCs w:val="24"/>
        </w:rPr>
        <w:t>, 2013)</w:t>
      </w:r>
      <w:r w:rsidR="00825344" w:rsidRPr="00887A1F">
        <w:rPr>
          <w:rFonts w:ascii="Arial" w:hAnsi="Arial" w:cs="Arial"/>
          <w:sz w:val="24"/>
          <w:szCs w:val="24"/>
        </w:rPr>
        <w:t>;</w:t>
      </w:r>
      <w:r w:rsidR="00876113" w:rsidRPr="00887A1F">
        <w:rPr>
          <w:rFonts w:ascii="Arial" w:hAnsi="Arial" w:cs="Arial"/>
          <w:sz w:val="24"/>
          <w:szCs w:val="24"/>
        </w:rPr>
        <w:t xml:space="preserve"> and as a potentia</w:t>
      </w:r>
      <w:r w:rsidR="00906933" w:rsidRPr="00887A1F">
        <w:rPr>
          <w:rFonts w:ascii="Arial" w:hAnsi="Arial" w:cs="Arial"/>
          <w:sz w:val="24"/>
          <w:szCs w:val="24"/>
        </w:rPr>
        <w:t>lly political action (Webber &amp;</w:t>
      </w:r>
      <w:r w:rsidR="00825344" w:rsidRPr="00887A1F">
        <w:rPr>
          <w:rFonts w:ascii="Arial" w:hAnsi="Arial" w:cs="Arial"/>
          <w:sz w:val="24"/>
          <w:szCs w:val="24"/>
        </w:rPr>
        <w:t xml:space="preserve"> Robinson, 2012</w:t>
      </w:r>
      <w:r w:rsidRPr="00887A1F">
        <w:rPr>
          <w:rFonts w:ascii="Arial" w:hAnsi="Arial" w:cs="Arial"/>
          <w:sz w:val="24"/>
          <w:szCs w:val="24"/>
        </w:rPr>
        <w:t>)</w:t>
      </w:r>
      <w:r w:rsidR="00A73C4C" w:rsidRPr="00887A1F">
        <w:rPr>
          <w:rFonts w:ascii="Arial" w:hAnsi="Arial" w:cs="Arial"/>
          <w:sz w:val="24"/>
          <w:szCs w:val="24"/>
        </w:rPr>
        <w:t>.  In the next section I reflect on my hybrid identity as a lecturer who uses services and consider wheth</w:t>
      </w:r>
      <w:r w:rsidR="00032334" w:rsidRPr="00887A1F">
        <w:rPr>
          <w:rFonts w:ascii="Arial" w:hAnsi="Arial" w:cs="Arial"/>
          <w:sz w:val="24"/>
          <w:szCs w:val="24"/>
        </w:rPr>
        <w:t xml:space="preserve">er this is seen </w:t>
      </w:r>
      <w:r w:rsidR="00032334" w:rsidRPr="00887A1F">
        <w:rPr>
          <w:rFonts w:ascii="Arial" w:hAnsi="Arial" w:cs="Arial"/>
          <w:sz w:val="24"/>
          <w:szCs w:val="24"/>
        </w:rPr>
        <w:lastRenderedPageBreak/>
        <w:t>as an authori</w:t>
      </w:r>
      <w:r w:rsidR="00A73C4C" w:rsidRPr="00887A1F">
        <w:rPr>
          <w:rFonts w:ascii="Arial" w:hAnsi="Arial" w:cs="Arial"/>
          <w:sz w:val="24"/>
          <w:szCs w:val="24"/>
        </w:rPr>
        <w:t>tative and</w:t>
      </w:r>
      <w:r w:rsidR="00032334" w:rsidRPr="00887A1F">
        <w:rPr>
          <w:rFonts w:ascii="Arial" w:hAnsi="Arial" w:cs="Arial"/>
          <w:sz w:val="24"/>
          <w:szCs w:val="24"/>
        </w:rPr>
        <w:t xml:space="preserve"> effective way to convey the reality of experience.</w:t>
      </w:r>
    </w:p>
    <w:p w:rsidR="00876113" w:rsidRPr="00887A1F" w:rsidRDefault="00876113" w:rsidP="00887A1F">
      <w:pPr>
        <w:spacing w:line="360" w:lineRule="auto"/>
        <w:rPr>
          <w:rFonts w:ascii="Arial" w:hAnsi="Arial" w:cs="Arial"/>
          <w:sz w:val="24"/>
          <w:szCs w:val="24"/>
          <w:u w:val="single"/>
        </w:rPr>
      </w:pPr>
    </w:p>
    <w:p w:rsidR="00337134" w:rsidRPr="00887A1F" w:rsidRDefault="00337134" w:rsidP="00887A1F">
      <w:pPr>
        <w:spacing w:line="360" w:lineRule="auto"/>
        <w:rPr>
          <w:rFonts w:ascii="Arial" w:hAnsi="Arial" w:cs="Arial"/>
          <w:sz w:val="24"/>
          <w:szCs w:val="24"/>
          <w:u w:val="single"/>
        </w:rPr>
      </w:pPr>
      <w:r w:rsidRPr="00887A1F">
        <w:rPr>
          <w:rFonts w:ascii="Arial" w:hAnsi="Arial" w:cs="Arial"/>
          <w:sz w:val="24"/>
          <w:szCs w:val="24"/>
          <w:u w:val="single"/>
        </w:rPr>
        <w:t>Discussion</w:t>
      </w:r>
    </w:p>
    <w:p w:rsidR="00A73C4C" w:rsidRPr="00887A1F" w:rsidRDefault="004E6198" w:rsidP="00887A1F">
      <w:pPr>
        <w:spacing w:line="360" w:lineRule="auto"/>
        <w:rPr>
          <w:rFonts w:ascii="Arial" w:hAnsi="Arial" w:cs="Arial"/>
          <w:sz w:val="24"/>
          <w:szCs w:val="24"/>
        </w:rPr>
      </w:pPr>
      <w:r w:rsidRPr="00887A1F">
        <w:rPr>
          <w:rFonts w:ascii="Arial" w:hAnsi="Arial" w:cs="Arial"/>
          <w:sz w:val="24"/>
          <w:szCs w:val="24"/>
        </w:rPr>
        <w:t xml:space="preserve">Social workers are encouraged to be reflective practitioners who critically consider the connections </w:t>
      </w:r>
      <w:r w:rsidR="00244144" w:rsidRPr="00887A1F">
        <w:rPr>
          <w:rFonts w:ascii="Arial" w:hAnsi="Arial" w:cs="Arial"/>
          <w:sz w:val="24"/>
          <w:szCs w:val="24"/>
        </w:rPr>
        <w:t>between</w:t>
      </w:r>
      <w:r w:rsidRPr="00887A1F">
        <w:rPr>
          <w:rFonts w:ascii="Arial" w:hAnsi="Arial" w:cs="Arial"/>
          <w:sz w:val="24"/>
          <w:szCs w:val="24"/>
        </w:rPr>
        <w:t xml:space="preserve"> their personal and professional ethics and how these </w:t>
      </w:r>
      <w:r w:rsidR="00244144" w:rsidRPr="00887A1F">
        <w:rPr>
          <w:rFonts w:ascii="Arial" w:hAnsi="Arial" w:cs="Arial"/>
          <w:sz w:val="24"/>
          <w:szCs w:val="24"/>
        </w:rPr>
        <w:t xml:space="preserve">influence </w:t>
      </w:r>
      <w:r w:rsidR="00215771" w:rsidRPr="00887A1F">
        <w:rPr>
          <w:rFonts w:ascii="Arial" w:hAnsi="Arial" w:cs="Arial"/>
          <w:sz w:val="24"/>
          <w:szCs w:val="24"/>
        </w:rPr>
        <w:t xml:space="preserve">their behaviour (Beckett &amp; </w:t>
      </w:r>
      <w:r w:rsidRPr="00887A1F">
        <w:rPr>
          <w:rFonts w:ascii="Arial" w:hAnsi="Arial" w:cs="Arial"/>
          <w:sz w:val="24"/>
          <w:szCs w:val="24"/>
        </w:rPr>
        <w:t xml:space="preserve">Maynard, 2013).  When lecturers have lived experience of using services, which is central to their teaching, it is unclear </w:t>
      </w:r>
      <w:r w:rsidR="00BB3F24" w:rsidRPr="00887A1F">
        <w:rPr>
          <w:rFonts w:ascii="Arial" w:hAnsi="Arial" w:cs="Arial"/>
          <w:sz w:val="24"/>
          <w:szCs w:val="24"/>
        </w:rPr>
        <w:t xml:space="preserve">on </w:t>
      </w:r>
      <w:r w:rsidRPr="00887A1F">
        <w:rPr>
          <w:rFonts w:ascii="Arial" w:hAnsi="Arial" w:cs="Arial"/>
          <w:sz w:val="24"/>
          <w:szCs w:val="24"/>
        </w:rPr>
        <w:t xml:space="preserve">what basis their </w:t>
      </w:r>
      <w:r w:rsidR="00BB3F24" w:rsidRPr="00887A1F">
        <w:rPr>
          <w:rFonts w:ascii="Arial" w:hAnsi="Arial" w:cs="Arial"/>
          <w:sz w:val="24"/>
          <w:szCs w:val="24"/>
        </w:rPr>
        <w:t xml:space="preserve">authority is founded and how their </w:t>
      </w:r>
      <w:r w:rsidRPr="00887A1F">
        <w:rPr>
          <w:rFonts w:ascii="Arial" w:hAnsi="Arial" w:cs="Arial"/>
          <w:sz w:val="24"/>
          <w:szCs w:val="24"/>
        </w:rPr>
        <w:t xml:space="preserve">wisdom is </w:t>
      </w:r>
      <w:r w:rsidR="00BB3F24" w:rsidRPr="00887A1F">
        <w:rPr>
          <w:rFonts w:ascii="Arial" w:hAnsi="Arial" w:cs="Arial"/>
          <w:sz w:val="24"/>
          <w:szCs w:val="24"/>
        </w:rPr>
        <w:t>valued</w:t>
      </w:r>
      <w:r w:rsidR="00077BF4" w:rsidRPr="00887A1F">
        <w:rPr>
          <w:rFonts w:ascii="Arial" w:hAnsi="Arial" w:cs="Arial"/>
          <w:sz w:val="24"/>
          <w:szCs w:val="24"/>
        </w:rPr>
        <w:t xml:space="preserve"> by both lecturers and students in academia</w:t>
      </w:r>
      <w:r w:rsidRPr="00887A1F">
        <w:rPr>
          <w:rFonts w:ascii="Arial" w:hAnsi="Arial" w:cs="Arial"/>
          <w:sz w:val="24"/>
          <w:szCs w:val="24"/>
        </w:rPr>
        <w:t xml:space="preserve">.  </w:t>
      </w:r>
      <w:r w:rsidR="00A73C4C" w:rsidRPr="00887A1F">
        <w:rPr>
          <w:rFonts w:ascii="Arial" w:hAnsi="Arial" w:cs="Arial"/>
          <w:sz w:val="24"/>
          <w:szCs w:val="24"/>
        </w:rPr>
        <w:t xml:space="preserve">My authority as an academic in the classroom is derived from my professional knowledge, yet it is </w:t>
      </w:r>
      <w:r w:rsidR="00244144" w:rsidRPr="00887A1F">
        <w:rPr>
          <w:rFonts w:ascii="Arial" w:hAnsi="Arial" w:cs="Arial"/>
          <w:sz w:val="24"/>
          <w:szCs w:val="24"/>
        </w:rPr>
        <w:t xml:space="preserve">the story of </w:t>
      </w:r>
      <w:r w:rsidR="00A73C4C" w:rsidRPr="00887A1F">
        <w:rPr>
          <w:rFonts w:ascii="Arial" w:hAnsi="Arial" w:cs="Arial"/>
          <w:sz w:val="24"/>
          <w:szCs w:val="24"/>
        </w:rPr>
        <w:t xml:space="preserve">my lived experiences that </w:t>
      </w:r>
      <w:r w:rsidR="00244144" w:rsidRPr="00887A1F">
        <w:rPr>
          <w:rFonts w:ascii="Arial" w:hAnsi="Arial" w:cs="Arial"/>
          <w:sz w:val="24"/>
          <w:szCs w:val="24"/>
        </w:rPr>
        <w:t>most inspire</w:t>
      </w:r>
      <w:r w:rsidR="0001748C" w:rsidRPr="00887A1F">
        <w:rPr>
          <w:rFonts w:ascii="Arial" w:hAnsi="Arial" w:cs="Arial"/>
          <w:sz w:val="24"/>
          <w:szCs w:val="24"/>
        </w:rPr>
        <w:t>s my</w:t>
      </w:r>
      <w:r w:rsidR="00244144" w:rsidRPr="00887A1F">
        <w:rPr>
          <w:rFonts w:ascii="Arial" w:hAnsi="Arial" w:cs="Arial"/>
          <w:sz w:val="24"/>
          <w:szCs w:val="24"/>
        </w:rPr>
        <w:t xml:space="preserve"> students</w:t>
      </w:r>
      <w:r w:rsidR="0001748C" w:rsidRPr="00887A1F">
        <w:rPr>
          <w:rFonts w:ascii="Arial" w:hAnsi="Arial" w:cs="Arial"/>
          <w:sz w:val="24"/>
          <w:szCs w:val="24"/>
        </w:rPr>
        <w:t xml:space="preserve">.  </w:t>
      </w:r>
      <w:r w:rsidR="00077BF4" w:rsidRPr="00887A1F">
        <w:rPr>
          <w:rFonts w:ascii="Arial" w:hAnsi="Arial" w:cs="Arial"/>
          <w:sz w:val="24"/>
          <w:szCs w:val="24"/>
        </w:rPr>
        <w:t>In order to resolve this conundrum, i</w:t>
      </w:r>
      <w:r w:rsidR="00032334" w:rsidRPr="00887A1F">
        <w:rPr>
          <w:rFonts w:ascii="Arial" w:hAnsi="Arial" w:cs="Arial"/>
          <w:sz w:val="24"/>
          <w:szCs w:val="24"/>
        </w:rPr>
        <w:t xml:space="preserve">t is necessary to explore </w:t>
      </w:r>
      <w:r w:rsidR="00244144" w:rsidRPr="00887A1F">
        <w:rPr>
          <w:rFonts w:ascii="Arial" w:hAnsi="Arial" w:cs="Arial"/>
          <w:sz w:val="24"/>
          <w:szCs w:val="24"/>
        </w:rPr>
        <w:t xml:space="preserve">how </w:t>
      </w:r>
      <w:r w:rsidR="00365778" w:rsidRPr="00887A1F">
        <w:rPr>
          <w:rFonts w:ascii="Arial" w:hAnsi="Arial" w:cs="Arial"/>
          <w:sz w:val="24"/>
          <w:szCs w:val="24"/>
        </w:rPr>
        <w:t>academic and experiential wisdom interact and to consi</w:t>
      </w:r>
      <w:r w:rsidR="00032334" w:rsidRPr="00887A1F">
        <w:rPr>
          <w:rFonts w:ascii="Arial" w:hAnsi="Arial" w:cs="Arial"/>
          <w:sz w:val="24"/>
          <w:szCs w:val="24"/>
        </w:rPr>
        <w:t xml:space="preserve">der what happens when the lines between professional and personal </w:t>
      </w:r>
      <w:r w:rsidR="00A73C4C" w:rsidRPr="00887A1F">
        <w:rPr>
          <w:rFonts w:ascii="Arial" w:hAnsi="Arial" w:cs="Arial"/>
          <w:sz w:val="24"/>
          <w:szCs w:val="24"/>
        </w:rPr>
        <w:lastRenderedPageBreak/>
        <w:t>knowledge are blurred</w:t>
      </w:r>
      <w:r w:rsidR="002D3D2E">
        <w:rPr>
          <w:rFonts w:ascii="Arial" w:hAnsi="Arial" w:cs="Arial"/>
          <w:sz w:val="24"/>
          <w:szCs w:val="24"/>
        </w:rPr>
        <w:t>, and more widely how user involvement can be most effectively embedded in social work education</w:t>
      </w:r>
      <w:r w:rsidR="006B0392">
        <w:rPr>
          <w:rFonts w:ascii="Arial" w:hAnsi="Arial" w:cs="Arial"/>
          <w:sz w:val="24"/>
          <w:szCs w:val="24"/>
        </w:rPr>
        <w:t xml:space="preserve">.  </w:t>
      </w:r>
    </w:p>
    <w:p w:rsidR="00FC3CBA" w:rsidRPr="00266F65" w:rsidRDefault="00FC3CBA" w:rsidP="00266F65">
      <w:pPr>
        <w:autoSpaceDE w:val="0"/>
        <w:autoSpaceDN w:val="0"/>
        <w:adjustRightInd w:val="0"/>
        <w:spacing w:after="0" w:line="360" w:lineRule="auto"/>
        <w:rPr>
          <w:rFonts w:ascii="Arial" w:hAnsi="Arial" w:cs="Arial"/>
          <w:sz w:val="24"/>
          <w:szCs w:val="24"/>
        </w:rPr>
      </w:pPr>
    </w:p>
    <w:p w:rsidR="00C65CEB" w:rsidRPr="00887A1F" w:rsidRDefault="00365778" w:rsidP="00887A1F">
      <w:pPr>
        <w:autoSpaceDE w:val="0"/>
        <w:autoSpaceDN w:val="0"/>
        <w:adjustRightInd w:val="0"/>
        <w:spacing w:after="0" w:line="360" w:lineRule="auto"/>
        <w:rPr>
          <w:rFonts w:ascii="Arial" w:hAnsi="Arial" w:cs="Arial"/>
          <w:sz w:val="24"/>
          <w:szCs w:val="24"/>
        </w:rPr>
      </w:pPr>
      <w:r w:rsidRPr="00266F65">
        <w:rPr>
          <w:rFonts w:ascii="Arial" w:hAnsi="Arial" w:cs="Arial"/>
          <w:sz w:val="24"/>
          <w:szCs w:val="24"/>
        </w:rPr>
        <w:t>Intersectionality, developed by Crensh</w:t>
      </w:r>
      <w:r w:rsidR="001D1932" w:rsidRPr="00266F65">
        <w:rPr>
          <w:rFonts w:ascii="Arial" w:hAnsi="Arial" w:cs="Arial"/>
          <w:sz w:val="24"/>
          <w:szCs w:val="24"/>
        </w:rPr>
        <w:t>a</w:t>
      </w:r>
      <w:r w:rsidRPr="00266F65">
        <w:rPr>
          <w:rFonts w:ascii="Arial" w:hAnsi="Arial" w:cs="Arial"/>
          <w:sz w:val="24"/>
          <w:szCs w:val="24"/>
        </w:rPr>
        <w:t xml:space="preserve">w (1989), provides a framework for </w:t>
      </w:r>
      <w:r w:rsidR="00B609C3" w:rsidRPr="00266F65">
        <w:rPr>
          <w:rFonts w:ascii="Arial" w:hAnsi="Arial" w:cs="Arial"/>
          <w:sz w:val="24"/>
          <w:szCs w:val="24"/>
        </w:rPr>
        <w:t xml:space="preserve">understanding </w:t>
      </w:r>
      <w:r w:rsidRPr="00266F65">
        <w:rPr>
          <w:rFonts w:ascii="Arial" w:hAnsi="Arial" w:cs="Arial"/>
          <w:sz w:val="24"/>
          <w:szCs w:val="24"/>
        </w:rPr>
        <w:t xml:space="preserve">how the different identities that people </w:t>
      </w:r>
      <w:r w:rsidR="00FD4318" w:rsidRPr="00266F65">
        <w:rPr>
          <w:rFonts w:ascii="Arial" w:hAnsi="Arial" w:cs="Arial"/>
          <w:sz w:val="24"/>
          <w:szCs w:val="24"/>
        </w:rPr>
        <w:t>possess</w:t>
      </w:r>
      <w:r w:rsidRPr="00266F65">
        <w:rPr>
          <w:rFonts w:ascii="Arial" w:hAnsi="Arial" w:cs="Arial"/>
          <w:sz w:val="24"/>
          <w:szCs w:val="24"/>
        </w:rPr>
        <w:t xml:space="preserve"> can compound their sense of </w:t>
      </w:r>
      <w:r w:rsidR="00B609C3" w:rsidRPr="00266F65">
        <w:rPr>
          <w:rFonts w:ascii="Arial" w:hAnsi="Arial" w:cs="Arial"/>
          <w:sz w:val="24"/>
          <w:szCs w:val="24"/>
        </w:rPr>
        <w:t xml:space="preserve">oppression.  </w:t>
      </w:r>
      <w:r w:rsidR="00F40E34" w:rsidRPr="00266F65">
        <w:rPr>
          <w:rFonts w:ascii="Arial" w:hAnsi="Arial" w:cs="Arial"/>
          <w:sz w:val="24"/>
          <w:szCs w:val="24"/>
        </w:rPr>
        <w:t>Crenshaw (1989) reflected on the multiple experiences of oppression of African American women in USA</w:t>
      </w:r>
      <w:r w:rsidR="00AA5290" w:rsidRPr="00266F65">
        <w:rPr>
          <w:rFonts w:ascii="Arial" w:hAnsi="Arial" w:cs="Arial"/>
          <w:sz w:val="24"/>
          <w:szCs w:val="24"/>
        </w:rPr>
        <w:t xml:space="preserve"> arguing that this was not related</w:t>
      </w:r>
      <w:r w:rsidR="00830415" w:rsidRPr="00266F65">
        <w:rPr>
          <w:rFonts w:ascii="Arial" w:hAnsi="Arial" w:cs="Arial"/>
          <w:sz w:val="24"/>
          <w:szCs w:val="24"/>
        </w:rPr>
        <w:t xml:space="preserve"> merely to</w:t>
      </w:r>
      <w:r w:rsidR="00F40E34" w:rsidRPr="00266F65">
        <w:rPr>
          <w:rFonts w:ascii="Arial" w:hAnsi="Arial" w:cs="Arial"/>
          <w:sz w:val="24"/>
          <w:szCs w:val="24"/>
        </w:rPr>
        <w:t xml:space="preserve"> their gender or their ethnicity, but was rather located in the intersectionality o</w:t>
      </w:r>
      <w:r w:rsidR="0030243B" w:rsidRPr="00266F65">
        <w:rPr>
          <w:rFonts w:ascii="Arial" w:hAnsi="Arial" w:cs="Arial"/>
          <w:sz w:val="24"/>
          <w:szCs w:val="24"/>
        </w:rPr>
        <w:t>f both identities.  The multi-di</w:t>
      </w:r>
      <w:r w:rsidR="00F40E34" w:rsidRPr="00266F65">
        <w:rPr>
          <w:rFonts w:ascii="Arial" w:hAnsi="Arial" w:cs="Arial"/>
          <w:sz w:val="24"/>
          <w:szCs w:val="24"/>
        </w:rPr>
        <w:t xml:space="preserve">mensional experiences of exclusion experienced by women of colour were derived from </w:t>
      </w:r>
      <w:r w:rsidR="00FD4318" w:rsidRPr="00266F65">
        <w:rPr>
          <w:rFonts w:ascii="Arial" w:hAnsi="Arial" w:cs="Arial"/>
          <w:sz w:val="24"/>
          <w:szCs w:val="24"/>
        </w:rPr>
        <w:t xml:space="preserve">being a part of </w:t>
      </w:r>
      <w:r w:rsidR="00F40E34" w:rsidRPr="00266F65">
        <w:rPr>
          <w:rFonts w:ascii="Arial" w:hAnsi="Arial" w:cs="Arial"/>
          <w:sz w:val="24"/>
          <w:szCs w:val="24"/>
        </w:rPr>
        <w:t>a society that was patriarchal and which co</w:t>
      </w:r>
      <w:r w:rsidR="00555254" w:rsidRPr="00266F65">
        <w:rPr>
          <w:rFonts w:ascii="Arial" w:hAnsi="Arial" w:cs="Arial"/>
          <w:sz w:val="24"/>
          <w:szCs w:val="24"/>
        </w:rPr>
        <w:t xml:space="preserve">mprised </w:t>
      </w:r>
      <w:r w:rsidR="00F40E34" w:rsidRPr="00266F65">
        <w:rPr>
          <w:rFonts w:ascii="Arial" w:hAnsi="Arial" w:cs="Arial"/>
          <w:sz w:val="24"/>
          <w:szCs w:val="24"/>
        </w:rPr>
        <w:t xml:space="preserve">a white majority, locating power in the hands of white men who failed to understand and relate to the needs of women of colour.  </w:t>
      </w:r>
      <w:r w:rsidR="001C620E">
        <w:rPr>
          <w:rFonts w:ascii="Arial" w:hAnsi="Arial" w:cs="Arial"/>
          <w:sz w:val="24"/>
          <w:szCs w:val="24"/>
        </w:rPr>
        <w:t xml:space="preserve">  A</w:t>
      </w:r>
      <w:r w:rsidR="001C620E" w:rsidRPr="00266F65">
        <w:rPr>
          <w:rFonts w:ascii="Arial" w:hAnsi="Arial" w:cs="Arial"/>
          <w:sz w:val="24"/>
          <w:szCs w:val="24"/>
        </w:rPr>
        <w:t xml:space="preserve">s a lecturer I possess the authority from </w:t>
      </w:r>
      <w:r w:rsidR="001C620E">
        <w:rPr>
          <w:rFonts w:ascii="Arial" w:hAnsi="Arial" w:cs="Arial"/>
          <w:sz w:val="24"/>
          <w:szCs w:val="24"/>
        </w:rPr>
        <w:t>my</w:t>
      </w:r>
      <w:r w:rsidR="001C620E" w:rsidRPr="00266F65">
        <w:rPr>
          <w:rFonts w:ascii="Arial" w:hAnsi="Arial" w:cs="Arial"/>
          <w:sz w:val="24"/>
          <w:szCs w:val="24"/>
        </w:rPr>
        <w:t xml:space="preserve"> status </w:t>
      </w:r>
      <w:r w:rsidR="001C620E">
        <w:rPr>
          <w:rFonts w:ascii="Arial" w:hAnsi="Arial" w:cs="Arial"/>
          <w:sz w:val="24"/>
          <w:szCs w:val="24"/>
        </w:rPr>
        <w:t xml:space="preserve">as an academic </w:t>
      </w:r>
      <w:r w:rsidR="00802E15" w:rsidRPr="00266F65">
        <w:rPr>
          <w:rFonts w:ascii="Arial" w:hAnsi="Arial" w:cs="Arial"/>
          <w:sz w:val="24"/>
          <w:szCs w:val="24"/>
        </w:rPr>
        <w:t xml:space="preserve">located in </w:t>
      </w:r>
      <w:r w:rsidR="00482A4D">
        <w:rPr>
          <w:rFonts w:ascii="Arial" w:hAnsi="Arial" w:cs="Arial"/>
          <w:sz w:val="24"/>
          <w:szCs w:val="24"/>
        </w:rPr>
        <w:t>a</w:t>
      </w:r>
      <w:r w:rsidR="00802E15" w:rsidRPr="00266F65">
        <w:rPr>
          <w:rFonts w:ascii="Arial" w:hAnsi="Arial" w:cs="Arial"/>
          <w:sz w:val="24"/>
          <w:szCs w:val="24"/>
        </w:rPr>
        <w:t xml:space="preserve"> </w:t>
      </w:r>
      <w:r w:rsidR="00802E15">
        <w:rPr>
          <w:rFonts w:ascii="Arial" w:hAnsi="Arial" w:cs="Arial"/>
          <w:sz w:val="24"/>
          <w:szCs w:val="24"/>
        </w:rPr>
        <w:t xml:space="preserve">university </w:t>
      </w:r>
      <w:r w:rsidR="00482A4D">
        <w:rPr>
          <w:rFonts w:ascii="Arial" w:hAnsi="Arial" w:cs="Arial"/>
          <w:sz w:val="24"/>
          <w:szCs w:val="24"/>
        </w:rPr>
        <w:t>institution</w:t>
      </w:r>
      <w:r w:rsidR="00802E15" w:rsidRPr="00266F65">
        <w:rPr>
          <w:rFonts w:ascii="Arial" w:hAnsi="Arial" w:cs="Arial"/>
          <w:sz w:val="24"/>
          <w:szCs w:val="24"/>
        </w:rPr>
        <w:t xml:space="preserve"> which </w:t>
      </w:r>
      <w:r w:rsidR="007539DF">
        <w:rPr>
          <w:rFonts w:ascii="Arial" w:hAnsi="Arial" w:cs="Arial"/>
          <w:sz w:val="24"/>
          <w:szCs w:val="24"/>
        </w:rPr>
        <w:t>ex</w:t>
      </w:r>
      <w:r w:rsidR="00482A4D">
        <w:rPr>
          <w:rFonts w:ascii="Arial" w:hAnsi="Arial" w:cs="Arial"/>
          <w:sz w:val="24"/>
          <w:szCs w:val="24"/>
        </w:rPr>
        <w:t xml:space="preserve">pounds </w:t>
      </w:r>
      <w:r w:rsidR="00802E15" w:rsidRPr="00266F65">
        <w:rPr>
          <w:rFonts w:ascii="Arial" w:hAnsi="Arial" w:cs="Arial"/>
          <w:sz w:val="24"/>
          <w:szCs w:val="24"/>
        </w:rPr>
        <w:t>academic</w:t>
      </w:r>
      <w:r w:rsidR="00802E15">
        <w:rPr>
          <w:rFonts w:ascii="Arial" w:hAnsi="Arial" w:cs="Arial"/>
          <w:sz w:val="24"/>
          <w:szCs w:val="24"/>
        </w:rPr>
        <w:t xml:space="preserve"> and scientific knowledge </w:t>
      </w:r>
      <w:r w:rsidR="001C620E" w:rsidRPr="00266F65">
        <w:rPr>
          <w:rFonts w:ascii="Arial" w:hAnsi="Arial" w:cs="Arial"/>
          <w:sz w:val="24"/>
          <w:szCs w:val="24"/>
        </w:rPr>
        <w:t>intersecting with the powerless</w:t>
      </w:r>
      <w:r w:rsidR="001C620E" w:rsidRPr="00266F65">
        <w:rPr>
          <w:rFonts w:ascii="Arial" w:hAnsi="Arial" w:cs="Arial"/>
          <w:sz w:val="24"/>
          <w:szCs w:val="24"/>
        </w:rPr>
        <w:lastRenderedPageBreak/>
        <w:t>ness and stigma of being a service user</w:t>
      </w:r>
      <w:r w:rsidR="00482A4D">
        <w:rPr>
          <w:rFonts w:ascii="Arial" w:hAnsi="Arial" w:cs="Arial"/>
          <w:sz w:val="24"/>
          <w:szCs w:val="24"/>
        </w:rPr>
        <w:t xml:space="preserve"> in a discriminatory society</w:t>
      </w:r>
      <w:r w:rsidR="001C620E" w:rsidRPr="00266F65">
        <w:rPr>
          <w:rFonts w:ascii="Arial" w:hAnsi="Arial" w:cs="Arial"/>
          <w:sz w:val="24"/>
          <w:szCs w:val="24"/>
        </w:rPr>
        <w:t xml:space="preserve">.   How do students relate to this </w:t>
      </w:r>
      <w:r w:rsidR="001C620E">
        <w:rPr>
          <w:rFonts w:ascii="Arial" w:hAnsi="Arial" w:cs="Arial"/>
          <w:sz w:val="24"/>
          <w:szCs w:val="24"/>
        </w:rPr>
        <w:t xml:space="preserve">authority </w:t>
      </w:r>
      <w:r w:rsidR="001C620E" w:rsidRPr="00266F65">
        <w:rPr>
          <w:rFonts w:ascii="Arial" w:hAnsi="Arial" w:cs="Arial"/>
          <w:sz w:val="24"/>
          <w:szCs w:val="24"/>
        </w:rPr>
        <w:t xml:space="preserve">that intersects with experiences of powerlessness and discrimination?  </w:t>
      </w:r>
    </w:p>
    <w:p w:rsidR="00C65CEB" w:rsidRPr="00887A1F" w:rsidRDefault="00215771" w:rsidP="00887A1F">
      <w:pPr>
        <w:autoSpaceDE w:val="0"/>
        <w:autoSpaceDN w:val="0"/>
        <w:adjustRightInd w:val="0"/>
        <w:spacing w:after="0" w:line="360" w:lineRule="auto"/>
        <w:rPr>
          <w:rFonts w:ascii="Arial" w:hAnsi="Arial" w:cs="Arial"/>
          <w:sz w:val="24"/>
          <w:szCs w:val="24"/>
        </w:rPr>
      </w:pPr>
      <w:r w:rsidRPr="00887A1F">
        <w:rPr>
          <w:rFonts w:ascii="Arial" w:hAnsi="Arial" w:cs="Arial"/>
          <w:sz w:val="24"/>
          <w:szCs w:val="24"/>
        </w:rPr>
        <w:t>Gregor &amp;</w:t>
      </w:r>
      <w:r w:rsidR="00CF6852" w:rsidRPr="00887A1F">
        <w:rPr>
          <w:rFonts w:ascii="Arial" w:hAnsi="Arial" w:cs="Arial"/>
          <w:sz w:val="24"/>
          <w:szCs w:val="24"/>
        </w:rPr>
        <w:t xml:space="preserve"> Smith, (2009) noted that when a service user comes into a classroom and becomes the lecturer, i</w:t>
      </w:r>
      <w:r w:rsidR="00C65CEB" w:rsidRPr="00887A1F">
        <w:rPr>
          <w:rFonts w:ascii="Arial" w:hAnsi="Arial" w:cs="Arial"/>
          <w:sz w:val="24"/>
          <w:szCs w:val="24"/>
        </w:rPr>
        <w:t>t can be difficult for the lecturer labelled as the service user to maintain a sense of authority, they may instead be labelled as ‘that person who has done really well to ge</w:t>
      </w:r>
      <w:r w:rsidR="00F70BB2" w:rsidRPr="00887A1F">
        <w:rPr>
          <w:rFonts w:ascii="Arial" w:hAnsi="Arial" w:cs="Arial"/>
          <w:sz w:val="24"/>
          <w:szCs w:val="24"/>
        </w:rPr>
        <w:t>t to where they are’. Gregor &amp;</w:t>
      </w:r>
      <w:r w:rsidR="00C65CEB" w:rsidRPr="00887A1F">
        <w:rPr>
          <w:rFonts w:ascii="Arial" w:hAnsi="Arial" w:cs="Arial"/>
          <w:sz w:val="24"/>
          <w:szCs w:val="24"/>
        </w:rPr>
        <w:t xml:space="preserve"> Smith (2009, p.27) consider that the ‘service user identity can be confusing for all parties, for they are neither a fulltime service user, nor social worker, nor full-time lecturer. This either / or / neither / nor’ can be projected on to the student group who may also become confused as to what role the service user is fulfilling’.  They however highlight that because one in six people experience mental ill-health at one point in their lives there may inevitably be a blurring of boundaries between who is the service user and who is the potential professional; despite this they contend that it is often easier for students to ‘other’ service users by putting them into pigeon holes.  </w:t>
      </w:r>
      <w:r w:rsidR="00C65CEB" w:rsidRPr="00887A1F">
        <w:rPr>
          <w:rFonts w:ascii="Arial" w:hAnsi="Arial" w:cs="Arial"/>
          <w:sz w:val="24"/>
          <w:szCs w:val="24"/>
        </w:rPr>
        <w:lastRenderedPageBreak/>
        <w:t xml:space="preserve">Ion et al (2010, p.7) reflect that students may hold ‘damaging stereotypes’ about people with mental health issues and that ‘by introducing students to service users in the role of lecturer, we go some way to challenging these unhelpful and corrosive portrayals of, most often, very ordinary people who are struggling to cope with extraordinary experiences and circumstances’.  </w:t>
      </w:r>
    </w:p>
    <w:p w:rsidR="00B8412A" w:rsidRPr="00887A1F" w:rsidRDefault="00B8412A" w:rsidP="00887A1F">
      <w:pPr>
        <w:autoSpaceDE w:val="0"/>
        <w:autoSpaceDN w:val="0"/>
        <w:adjustRightInd w:val="0"/>
        <w:spacing w:after="0" w:line="360" w:lineRule="auto"/>
        <w:rPr>
          <w:rFonts w:ascii="Arial" w:hAnsi="Arial" w:cs="Arial"/>
          <w:sz w:val="24"/>
          <w:szCs w:val="24"/>
        </w:rPr>
      </w:pPr>
    </w:p>
    <w:p w:rsidR="00C5063B" w:rsidRPr="00887A1F" w:rsidRDefault="00B8412A" w:rsidP="00887A1F">
      <w:pPr>
        <w:autoSpaceDE w:val="0"/>
        <w:autoSpaceDN w:val="0"/>
        <w:adjustRightInd w:val="0"/>
        <w:spacing w:after="0" w:line="360" w:lineRule="auto"/>
        <w:rPr>
          <w:rFonts w:ascii="Arial" w:hAnsi="Arial" w:cs="Arial"/>
          <w:sz w:val="24"/>
          <w:szCs w:val="24"/>
        </w:rPr>
      </w:pPr>
      <w:r w:rsidRPr="00887A1F">
        <w:rPr>
          <w:rFonts w:ascii="Arial" w:hAnsi="Arial" w:cs="Arial"/>
          <w:sz w:val="24"/>
          <w:szCs w:val="24"/>
        </w:rPr>
        <w:t xml:space="preserve">Simons et al (2007) </w:t>
      </w:r>
      <w:r w:rsidR="00817C68" w:rsidRPr="00887A1F">
        <w:rPr>
          <w:rFonts w:ascii="Arial" w:hAnsi="Arial" w:cs="Arial"/>
          <w:sz w:val="24"/>
          <w:szCs w:val="24"/>
        </w:rPr>
        <w:t xml:space="preserve">advocate </w:t>
      </w:r>
      <w:r w:rsidR="00CF6852" w:rsidRPr="00887A1F">
        <w:rPr>
          <w:rFonts w:ascii="Arial" w:hAnsi="Arial" w:cs="Arial"/>
          <w:sz w:val="24"/>
          <w:szCs w:val="24"/>
        </w:rPr>
        <w:t xml:space="preserve">that the best way for service user knowledge and authority to be embedded in </w:t>
      </w:r>
      <w:r w:rsidR="00AA5290" w:rsidRPr="00887A1F">
        <w:rPr>
          <w:rFonts w:ascii="Arial" w:hAnsi="Arial" w:cs="Arial"/>
          <w:sz w:val="24"/>
          <w:szCs w:val="24"/>
        </w:rPr>
        <w:t xml:space="preserve">a </w:t>
      </w:r>
      <w:r w:rsidR="00CF6852" w:rsidRPr="00887A1F">
        <w:rPr>
          <w:rFonts w:ascii="Arial" w:hAnsi="Arial" w:cs="Arial"/>
          <w:sz w:val="24"/>
          <w:szCs w:val="24"/>
        </w:rPr>
        <w:t xml:space="preserve">university context is </w:t>
      </w:r>
      <w:r w:rsidR="007470BD" w:rsidRPr="00887A1F">
        <w:rPr>
          <w:rFonts w:ascii="Arial" w:hAnsi="Arial" w:cs="Arial"/>
          <w:sz w:val="24"/>
          <w:szCs w:val="24"/>
        </w:rPr>
        <w:t xml:space="preserve">for </w:t>
      </w:r>
      <w:r w:rsidRPr="00887A1F">
        <w:rPr>
          <w:rFonts w:ascii="Arial" w:hAnsi="Arial" w:cs="Arial"/>
          <w:sz w:val="24"/>
          <w:szCs w:val="24"/>
        </w:rPr>
        <w:t xml:space="preserve">the creation of a service user academic post to </w:t>
      </w:r>
      <w:r w:rsidR="00AA5290" w:rsidRPr="00887A1F">
        <w:rPr>
          <w:rFonts w:ascii="Arial" w:hAnsi="Arial" w:cs="Arial"/>
          <w:sz w:val="24"/>
          <w:szCs w:val="24"/>
        </w:rPr>
        <w:t>support the participation agenda.</w:t>
      </w:r>
      <w:r w:rsidR="007470BD" w:rsidRPr="00887A1F">
        <w:rPr>
          <w:rFonts w:ascii="Arial" w:hAnsi="Arial" w:cs="Arial"/>
          <w:sz w:val="24"/>
          <w:szCs w:val="24"/>
        </w:rPr>
        <w:t xml:space="preserve">  They</w:t>
      </w:r>
      <w:r w:rsidRPr="00887A1F">
        <w:rPr>
          <w:rFonts w:ascii="Arial" w:hAnsi="Arial" w:cs="Arial"/>
          <w:sz w:val="24"/>
          <w:szCs w:val="24"/>
        </w:rPr>
        <w:t xml:space="preserve"> built on </w:t>
      </w:r>
      <w:r w:rsidR="00830415" w:rsidRPr="00887A1F">
        <w:rPr>
          <w:rFonts w:ascii="Arial" w:hAnsi="Arial" w:cs="Arial"/>
          <w:sz w:val="24"/>
          <w:szCs w:val="24"/>
        </w:rPr>
        <w:t>a model developed in</w:t>
      </w:r>
      <w:r w:rsidRPr="00887A1F">
        <w:rPr>
          <w:rFonts w:ascii="Arial" w:hAnsi="Arial" w:cs="Arial"/>
          <w:sz w:val="24"/>
          <w:szCs w:val="24"/>
        </w:rPr>
        <w:t xml:space="preserve"> </w:t>
      </w:r>
      <w:r w:rsidR="00FD4318" w:rsidRPr="00887A1F">
        <w:rPr>
          <w:rFonts w:ascii="Arial" w:hAnsi="Arial" w:cs="Arial"/>
          <w:sz w:val="24"/>
          <w:szCs w:val="24"/>
        </w:rPr>
        <w:t xml:space="preserve">an </w:t>
      </w:r>
      <w:r w:rsidRPr="00887A1F">
        <w:rPr>
          <w:rFonts w:ascii="Arial" w:hAnsi="Arial" w:cs="Arial"/>
          <w:sz w:val="24"/>
          <w:szCs w:val="24"/>
        </w:rPr>
        <w:t>Au</w:t>
      </w:r>
      <w:r w:rsidR="00830415" w:rsidRPr="00887A1F">
        <w:rPr>
          <w:rFonts w:ascii="Arial" w:hAnsi="Arial" w:cs="Arial"/>
          <w:sz w:val="24"/>
          <w:szCs w:val="24"/>
        </w:rPr>
        <w:t>stralia</w:t>
      </w:r>
      <w:r w:rsidR="00FD4318" w:rsidRPr="00887A1F">
        <w:rPr>
          <w:rFonts w:ascii="Arial" w:hAnsi="Arial" w:cs="Arial"/>
          <w:sz w:val="24"/>
          <w:szCs w:val="24"/>
        </w:rPr>
        <w:t xml:space="preserve">n university </w:t>
      </w:r>
      <w:r w:rsidR="00830415" w:rsidRPr="00887A1F">
        <w:rPr>
          <w:rFonts w:ascii="Arial" w:hAnsi="Arial" w:cs="Arial"/>
          <w:sz w:val="24"/>
          <w:szCs w:val="24"/>
        </w:rPr>
        <w:t xml:space="preserve">that sought to develop the specific role of </w:t>
      </w:r>
      <w:r w:rsidRPr="00887A1F">
        <w:rPr>
          <w:rFonts w:ascii="Arial" w:hAnsi="Arial" w:cs="Arial"/>
          <w:sz w:val="24"/>
          <w:szCs w:val="24"/>
        </w:rPr>
        <w:t>service user acade</w:t>
      </w:r>
      <w:r w:rsidR="00F70BB2" w:rsidRPr="00887A1F">
        <w:rPr>
          <w:rFonts w:ascii="Arial" w:hAnsi="Arial" w:cs="Arial"/>
          <w:sz w:val="24"/>
          <w:szCs w:val="24"/>
        </w:rPr>
        <w:t xml:space="preserve">mic (Happel, Pinikahana, &amp; Roper </w:t>
      </w:r>
      <w:r w:rsidRPr="00887A1F">
        <w:rPr>
          <w:rFonts w:ascii="Arial" w:hAnsi="Arial" w:cs="Arial"/>
          <w:sz w:val="24"/>
          <w:szCs w:val="24"/>
        </w:rPr>
        <w:t xml:space="preserve">2003).  However </w:t>
      </w:r>
      <w:r w:rsidR="00533F31" w:rsidRPr="00887A1F">
        <w:rPr>
          <w:rFonts w:ascii="Arial" w:hAnsi="Arial" w:cs="Arial"/>
          <w:sz w:val="24"/>
          <w:szCs w:val="24"/>
        </w:rPr>
        <w:t xml:space="preserve">some failures </w:t>
      </w:r>
      <w:r w:rsidR="00AA5290" w:rsidRPr="00887A1F">
        <w:rPr>
          <w:rFonts w:ascii="Arial" w:hAnsi="Arial" w:cs="Arial"/>
          <w:sz w:val="24"/>
          <w:szCs w:val="24"/>
        </w:rPr>
        <w:t xml:space="preserve">with this model </w:t>
      </w:r>
      <w:r w:rsidR="00FD4318" w:rsidRPr="00887A1F">
        <w:rPr>
          <w:rFonts w:ascii="Arial" w:hAnsi="Arial" w:cs="Arial"/>
          <w:sz w:val="24"/>
          <w:szCs w:val="24"/>
        </w:rPr>
        <w:t xml:space="preserve">in the English context </w:t>
      </w:r>
      <w:r w:rsidR="00B95DD1" w:rsidRPr="00887A1F">
        <w:rPr>
          <w:rFonts w:ascii="Arial" w:hAnsi="Arial" w:cs="Arial"/>
          <w:sz w:val="24"/>
          <w:szCs w:val="24"/>
        </w:rPr>
        <w:t xml:space="preserve">were highlighted </w:t>
      </w:r>
      <w:r w:rsidR="00FD4318" w:rsidRPr="00887A1F">
        <w:rPr>
          <w:rFonts w:ascii="Arial" w:hAnsi="Arial" w:cs="Arial"/>
          <w:sz w:val="24"/>
          <w:szCs w:val="24"/>
        </w:rPr>
        <w:t xml:space="preserve">by Simons et al (2007) </w:t>
      </w:r>
      <w:r w:rsidR="00BB3F24" w:rsidRPr="00887A1F">
        <w:rPr>
          <w:rFonts w:ascii="Arial" w:hAnsi="Arial" w:cs="Arial"/>
          <w:sz w:val="24"/>
          <w:szCs w:val="24"/>
        </w:rPr>
        <w:t>during</w:t>
      </w:r>
      <w:r w:rsidR="00B95DD1" w:rsidRPr="00887A1F">
        <w:rPr>
          <w:rFonts w:ascii="Arial" w:hAnsi="Arial" w:cs="Arial"/>
          <w:sz w:val="24"/>
          <w:szCs w:val="24"/>
        </w:rPr>
        <w:t xml:space="preserve"> </w:t>
      </w:r>
      <w:r w:rsidR="00AA5290" w:rsidRPr="00887A1F">
        <w:rPr>
          <w:rFonts w:ascii="Arial" w:hAnsi="Arial" w:cs="Arial"/>
          <w:sz w:val="24"/>
          <w:szCs w:val="24"/>
        </w:rPr>
        <w:t>implementation;</w:t>
      </w:r>
      <w:r w:rsidR="00E4362A" w:rsidRPr="00887A1F">
        <w:rPr>
          <w:rFonts w:ascii="Arial" w:hAnsi="Arial" w:cs="Arial"/>
          <w:sz w:val="24"/>
          <w:szCs w:val="24"/>
        </w:rPr>
        <w:t xml:space="preserve"> </w:t>
      </w:r>
      <w:r w:rsidR="00FD4318" w:rsidRPr="00887A1F">
        <w:rPr>
          <w:rFonts w:ascii="Arial" w:hAnsi="Arial" w:cs="Arial"/>
          <w:sz w:val="24"/>
          <w:szCs w:val="24"/>
        </w:rPr>
        <w:t xml:space="preserve">they </w:t>
      </w:r>
      <w:r w:rsidR="00B95DD1" w:rsidRPr="00887A1F">
        <w:rPr>
          <w:rFonts w:ascii="Arial" w:hAnsi="Arial" w:cs="Arial"/>
          <w:sz w:val="24"/>
          <w:szCs w:val="24"/>
        </w:rPr>
        <w:t>note</w:t>
      </w:r>
      <w:r w:rsidR="00FD4318" w:rsidRPr="00887A1F">
        <w:rPr>
          <w:rFonts w:ascii="Arial" w:hAnsi="Arial" w:cs="Arial"/>
          <w:sz w:val="24"/>
          <w:szCs w:val="24"/>
        </w:rPr>
        <w:t>d</w:t>
      </w:r>
      <w:r w:rsidR="00B95DD1" w:rsidRPr="00887A1F">
        <w:rPr>
          <w:rFonts w:ascii="Arial" w:hAnsi="Arial" w:cs="Arial"/>
          <w:sz w:val="24"/>
          <w:szCs w:val="24"/>
        </w:rPr>
        <w:t xml:space="preserve"> that </w:t>
      </w:r>
      <w:r w:rsidR="00533F31" w:rsidRPr="00887A1F">
        <w:rPr>
          <w:rFonts w:ascii="Arial" w:hAnsi="Arial" w:cs="Arial"/>
          <w:sz w:val="24"/>
          <w:szCs w:val="24"/>
        </w:rPr>
        <w:t>t</w:t>
      </w:r>
      <w:r w:rsidRPr="00887A1F">
        <w:rPr>
          <w:rFonts w:ascii="Arial" w:hAnsi="Arial" w:cs="Arial"/>
          <w:sz w:val="24"/>
          <w:szCs w:val="24"/>
        </w:rPr>
        <w:t xml:space="preserve">he service user academic didn’t have the normal employment support </w:t>
      </w:r>
      <w:r w:rsidR="00A85C1D">
        <w:rPr>
          <w:rFonts w:ascii="Arial" w:hAnsi="Arial" w:cs="Arial"/>
          <w:sz w:val="24"/>
          <w:szCs w:val="24"/>
        </w:rPr>
        <w:t xml:space="preserve">such as </w:t>
      </w:r>
      <w:r w:rsidRPr="00887A1F">
        <w:rPr>
          <w:rFonts w:ascii="Arial" w:hAnsi="Arial" w:cs="Arial"/>
          <w:sz w:val="24"/>
          <w:szCs w:val="24"/>
        </w:rPr>
        <w:t xml:space="preserve"> an academic induction and she </w:t>
      </w:r>
      <w:r w:rsidRPr="00887A1F">
        <w:rPr>
          <w:rFonts w:ascii="Arial" w:hAnsi="Arial" w:cs="Arial"/>
          <w:sz w:val="24"/>
          <w:szCs w:val="24"/>
        </w:rPr>
        <w:lastRenderedPageBreak/>
        <w:t xml:space="preserve">failed to undertake normal academic roles (like marking) as part of her normal day-to-day duties.  This was designed to enable her to focus her </w:t>
      </w:r>
      <w:r w:rsidR="00B95DD1" w:rsidRPr="00887A1F">
        <w:rPr>
          <w:rFonts w:ascii="Arial" w:hAnsi="Arial" w:cs="Arial"/>
          <w:sz w:val="24"/>
          <w:szCs w:val="24"/>
        </w:rPr>
        <w:t xml:space="preserve">time on developing </w:t>
      </w:r>
      <w:r w:rsidRPr="00887A1F">
        <w:rPr>
          <w:rFonts w:ascii="Arial" w:hAnsi="Arial" w:cs="Arial"/>
          <w:sz w:val="24"/>
          <w:szCs w:val="24"/>
        </w:rPr>
        <w:t xml:space="preserve">service user involvement but her role </w:t>
      </w:r>
      <w:r w:rsidR="00B95DD1" w:rsidRPr="00887A1F">
        <w:rPr>
          <w:rFonts w:ascii="Arial" w:hAnsi="Arial" w:cs="Arial"/>
          <w:sz w:val="24"/>
          <w:szCs w:val="24"/>
        </w:rPr>
        <w:t xml:space="preserve">was </w:t>
      </w:r>
      <w:r w:rsidR="00BB3F24" w:rsidRPr="00887A1F">
        <w:rPr>
          <w:rFonts w:ascii="Arial" w:hAnsi="Arial" w:cs="Arial"/>
          <w:sz w:val="24"/>
          <w:szCs w:val="24"/>
        </w:rPr>
        <w:t>inevitably perceived</w:t>
      </w:r>
      <w:r w:rsidR="00B95DD1" w:rsidRPr="00887A1F">
        <w:rPr>
          <w:rFonts w:ascii="Arial" w:hAnsi="Arial" w:cs="Arial"/>
          <w:sz w:val="24"/>
          <w:szCs w:val="24"/>
        </w:rPr>
        <w:t xml:space="preserve"> as </w:t>
      </w:r>
      <w:r w:rsidR="00AA5290" w:rsidRPr="00887A1F">
        <w:rPr>
          <w:rFonts w:ascii="Arial" w:hAnsi="Arial" w:cs="Arial"/>
          <w:sz w:val="24"/>
          <w:szCs w:val="24"/>
        </w:rPr>
        <w:t xml:space="preserve">endowing her with </w:t>
      </w:r>
      <w:r w:rsidRPr="00887A1F">
        <w:rPr>
          <w:rFonts w:ascii="Arial" w:hAnsi="Arial" w:cs="Arial"/>
          <w:sz w:val="24"/>
          <w:szCs w:val="24"/>
        </w:rPr>
        <w:t xml:space="preserve">less authority and influence.  </w:t>
      </w:r>
    </w:p>
    <w:p w:rsidR="006B372C" w:rsidRPr="00887A1F" w:rsidRDefault="006B372C" w:rsidP="00887A1F">
      <w:pPr>
        <w:autoSpaceDE w:val="0"/>
        <w:autoSpaceDN w:val="0"/>
        <w:adjustRightInd w:val="0"/>
        <w:spacing w:after="0" w:line="360" w:lineRule="auto"/>
        <w:rPr>
          <w:rFonts w:ascii="Arial" w:hAnsi="Arial" w:cs="Arial"/>
          <w:sz w:val="24"/>
          <w:szCs w:val="24"/>
        </w:rPr>
      </w:pPr>
    </w:p>
    <w:p w:rsidR="001D1097" w:rsidRDefault="00F70BB2" w:rsidP="00945ADA">
      <w:pPr>
        <w:autoSpaceDE w:val="0"/>
        <w:autoSpaceDN w:val="0"/>
        <w:adjustRightInd w:val="0"/>
        <w:spacing w:after="0" w:line="360" w:lineRule="auto"/>
        <w:rPr>
          <w:rFonts w:ascii="Arial" w:eastAsia="Times New Roman" w:hAnsi="Arial" w:cs="Arial"/>
          <w:color w:val="000000"/>
          <w:sz w:val="24"/>
          <w:szCs w:val="24"/>
        </w:rPr>
      </w:pPr>
      <w:r w:rsidRPr="00887A1F">
        <w:rPr>
          <w:rFonts w:ascii="Arial" w:hAnsi="Arial" w:cs="Arial"/>
          <w:sz w:val="24"/>
          <w:szCs w:val="24"/>
        </w:rPr>
        <w:t>Webber &amp;</w:t>
      </w:r>
      <w:r w:rsidR="00B8412A" w:rsidRPr="00887A1F">
        <w:rPr>
          <w:rFonts w:ascii="Arial" w:hAnsi="Arial" w:cs="Arial"/>
          <w:sz w:val="24"/>
          <w:szCs w:val="24"/>
        </w:rPr>
        <w:t xml:space="preserve"> Robinson (2012</w:t>
      </w:r>
      <w:r w:rsidR="003377DE">
        <w:rPr>
          <w:rFonts w:ascii="Arial" w:hAnsi="Arial" w:cs="Arial"/>
          <w:sz w:val="24"/>
          <w:szCs w:val="24"/>
        </w:rPr>
        <w:t xml:space="preserve">, </w:t>
      </w:r>
      <w:r w:rsidR="003377DE" w:rsidRPr="00887A1F">
        <w:rPr>
          <w:rFonts w:ascii="Arial" w:hAnsi="Arial" w:cs="Arial"/>
          <w:color w:val="231F20"/>
          <w:sz w:val="24"/>
          <w:szCs w:val="24"/>
        </w:rPr>
        <w:t>p. 1264</w:t>
      </w:r>
      <w:r w:rsidR="00B8412A" w:rsidRPr="00887A1F">
        <w:rPr>
          <w:rFonts w:ascii="Arial" w:hAnsi="Arial" w:cs="Arial"/>
          <w:sz w:val="24"/>
          <w:szCs w:val="24"/>
        </w:rPr>
        <w:t xml:space="preserve">) </w:t>
      </w:r>
      <w:r w:rsidR="00FD4318" w:rsidRPr="00887A1F">
        <w:rPr>
          <w:rFonts w:ascii="Arial" w:hAnsi="Arial" w:cs="Arial"/>
          <w:sz w:val="24"/>
          <w:szCs w:val="24"/>
        </w:rPr>
        <w:t>argue</w:t>
      </w:r>
      <w:r w:rsidR="00BB3F24" w:rsidRPr="00887A1F">
        <w:rPr>
          <w:rFonts w:ascii="Arial" w:hAnsi="Arial" w:cs="Arial"/>
          <w:sz w:val="24"/>
          <w:szCs w:val="24"/>
        </w:rPr>
        <w:t xml:space="preserve"> that meaningful involvement ‘i</w:t>
      </w:r>
      <w:r w:rsidR="00BB3F24" w:rsidRPr="00887A1F">
        <w:rPr>
          <w:rFonts w:ascii="Arial" w:hAnsi="Arial" w:cs="Arial"/>
          <w:color w:val="231F20"/>
          <w:sz w:val="24"/>
          <w:szCs w:val="24"/>
        </w:rPr>
        <w:t>deally requires embedding service users and carers in university social work departments as lecturers.</w:t>
      </w:r>
      <w:r w:rsidR="003377DE">
        <w:rPr>
          <w:rFonts w:ascii="Arial" w:hAnsi="Arial" w:cs="Arial"/>
          <w:color w:val="231F20"/>
          <w:sz w:val="24"/>
          <w:szCs w:val="24"/>
        </w:rPr>
        <w:t>’</w:t>
      </w:r>
      <w:r w:rsidR="00BB3F24" w:rsidRPr="00887A1F">
        <w:rPr>
          <w:rFonts w:ascii="Arial" w:hAnsi="Arial" w:cs="Arial"/>
          <w:color w:val="231F20"/>
          <w:sz w:val="24"/>
          <w:szCs w:val="24"/>
        </w:rPr>
        <w:t xml:space="preserve">  </w:t>
      </w:r>
      <w:r w:rsidR="00E97E6B">
        <w:rPr>
          <w:rFonts w:ascii="Arial" w:hAnsi="Arial" w:cs="Arial"/>
          <w:color w:val="231F20"/>
          <w:sz w:val="24"/>
          <w:szCs w:val="24"/>
        </w:rPr>
        <w:t xml:space="preserve">They </w:t>
      </w:r>
      <w:r w:rsidR="00CF6852" w:rsidRPr="00887A1F">
        <w:rPr>
          <w:rFonts w:ascii="Arial" w:eastAsia="Times New Roman" w:hAnsi="Arial" w:cs="Arial"/>
          <w:color w:val="000000"/>
          <w:sz w:val="24"/>
          <w:szCs w:val="24"/>
        </w:rPr>
        <w:t xml:space="preserve">however </w:t>
      </w:r>
      <w:r w:rsidR="00FD4318" w:rsidRPr="00887A1F">
        <w:rPr>
          <w:rFonts w:ascii="Arial" w:eastAsia="Times New Roman" w:hAnsi="Arial" w:cs="Arial"/>
          <w:color w:val="000000"/>
          <w:sz w:val="24"/>
          <w:szCs w:val="24"/>
        </w:rPr>
        <w:t xml:space="preserve">highlight </w:t>
      </w:r>
      <w:r w:rsidR="00F40E34" w:rsidRPr="00887A1F">
        <w:rPr>
          <w:rFonts w:ascii="Arial" w:eastAsia="Times New Roman" w:hAnsi="Arial" w:cs="Arial"/>
          <w:color w:val="000000"/>
          <w:sz w:val="24"/>
          <w:szCs w:val="24"/>
        </w:rPr>
        <w:t xml:space="preserve">that </w:t>
      </w:r>
      <w:r w:rsidR="005E378D" w:rsidRPr="00887A1F">
        <w:rPr>
          <w:rFonts w:ascii="Arial" w:eastAsia="Times New Roman" w:hAnsi="Arial" w:cs="Arial"/>
          <w:color w:val="000000"/>
          <w:sz w:val="24"/>
          <w:szCs w:val="24"/>
        </w:rPr>
        <w:t xml:space="preserve">such a </w:t>
      </w:r>
      <w:r w:rsidR="00F20575" w:rsidRPr="00887A1F">
        <w:rPr>
          <w:rFonts w:ascii="Arial" w:eastAsia="Times New Roman" w:hAnsi="Arial" w:cs="Arial"/>
          <w:color w:val="000000"/>
          <w:sz w:val="24"/>
          <w:szCs w:val="24"/>
        </w:rPr>
        <w:t>role</w:t>
      </w:r>
      <w:r w:rsidR="005E378D" w:rsidRPr="00887A1F">
        <w:rPr>
          <w:rFonts w:ascii="Arial" w:eastAsia="Times New Roman" w:hAnsi="Arial" w:cs="Arial"/>
          <w:color w:val="000000"/>
          <w:sz w:val="24"/>
          <w:szCs w:val="24"/>
        </w:rPr>
        <w:t xml:space="preserve"> </w:t>
      </w:r>
      <w:r w:rsidR="00125540" w:rsidRPr="00887A1F">
        <w:rPr>
          <w:rFonts w:ascii="Arial" w:eastAsia="Times New Roman" w:hAnsi="Arial" w:cs="Arial"/>
          <w:color w:val="000000"/>
          <w:sz w:val="24"/>
          <w:szCs w:val="24"/>
        </w:rPr>
        <w:t xml:space="preserve">concords with </w:t>
      </w:r>
      <w:r w:rsidR="005E378D" w:rsidRPr="00887A1F">
        <w:rPr>
          <w:rFonts w:ascii="Arial" w:eastAsia="Times New Roman" w:hAnsi="Arial" w:cs="Arial"/>
          <w:color w:val="000000"/>
          <w:sz w:val="24"/>
          <w:szCs w:val="24"/>
        </w:rPr>
        <w:t xml:space="preserve">the </w:t>
      </w:r>
      <w:r w:rsidR="00F20575" w:rsidRPr="00887A1F">
        <w:rPr>
          <w:rFonts w:ascii="Arial" w:eastAsia="Times New Roman" w:hAnsi="Arial" w:cs="Arial"/>
          <w:color w:val="000000"/>
          <w:sz w:val="24"/>
          <w:szCs w:val="24"/>
        </w:rPr>
        <w:t xml:space="preserve">model of consultation, as presented earlier, </w:t>
      </w:r>
      <w:r w:rsidR="00125540" w:rsidRPr="00887A1F">
        <w:rPr>
          <w:rFonts w:ascii="Arial" w:eastAsia="Times New Roman" w:hAnsi="Arial" w:cs="Arial"/>
          <w:color w:val="000000"/>
          <w:sz w:val="24"/>
          <w:szCs w:val="24"/>
        </w:rPr>
        <w:t xml:space="preserve">rather than that of </w:t>
      </w:r>
      <w:r w:rsidR="00F20575" w:rsidRPr="00887A1F">
        <w:rPr>
          <w:rFonts w:ascii="Arial" w:eastAsia="Times New Roman" w:hAnsi="Arial" w:cs="Arial"/>
          <w:color w:val="000000"/>
          <w:sz w:val="24"/>
          <w:szCs w:val="24"/>
        </w:rPr>
        <w:t xml:space="preserve">political or </w:t>
      </w:r>
      <w:r w:rsidR="00125540" w:rsidRPr="00887A1F">
        <w:rPr>
          <w:rFonts w:ascii="Arial" w:eastAsia="Times New Roman" w:hAnsi="Arial" w:cs="Arial"/>
          <w:color w:val="000000"/>
          <w:sz w:val="24"/>
          <w:szCs w:val="24"/>
        </w:rPr>
        <w:t xml:space="preserve">user control.  </w:t>
      </w:r>
      <w:r w:rsidR="00F40E34" w:rsidRPr="00887A1F">
        <w:rPr>
          <w:rFonts w:ascii="Arial" w:eastAsia="Times New Roman" w:hAnsi="Arial" w:cs="Arial"/>
          <w:color w:val="000000"/>
          <w:sz w:val="24"/>
          <w:szCs w:val="24"/>
        </w:rPr>
        <w:t xml:space="preserve">They argue that </w:t>
      </w:r>
      <w:r w:rsidR="00F40E34" w:rsidRPr="00887A1F">
        <w:rPr>
          <w:rFonts w:ascii="Arial" w:hAnsi="Arial" w:cs="Arial"/>
          <w:color w:val="231F20"/>
          <w:sz w:val="24"/>
          <w:szCs w:val="24"/>
        </w:rPr>
        <w:t>t</w:t>
      </w:r>
      <w:r w:rsidR="00125540" w:rsidRPr="00887A1F">
        <w:rPr>
          <w:rFonts w:ascii="Arial" w:hAnsi="Arial" w:cs="Arial"/>
          <w:color w:val="231F20"/>
          <w:sz w:val="24"/>
          <w:szCs w:val="24"/>
        </w:rPr>
        <w:t xml:space="preserve">his </w:t>
      </w:r>
      <w:r w:rsidR="006B6A43" w:rsidRPr="00887A1F">
        <w:rPr>
          <w:rFonts w:ascii="Arial" w:hAnsi="Arial" w:cs="Arial"/>
          <w:color w:val="231F20"/>
          <w:sz w:val="24"/>
          <w:szCs w:val="24"/>
        </w:rPr>
        <w:t xml:space="preserve">framework </w:t>
      </w:r>
      <w:r w:rsidR="00485B22" w:rsidRPr="00887A1F">
        <w:rPr>
          <w:rFonts w:ascii="Arial" w:hAnsi="Arial" w:cs="Arial"/>
          <w:color w:val="231F20"/>
          <w:sz w:val="24"/>
          <w:szCs w:val="24"/>
        </w:rPr>
        <w:t xml:space="preserve">is focused on consulting a limited number of people rather than </w:t>
      </w:r>
      <w:r w:rsidR="00F20575" w:rsidRPr="00887A1F">
        <w:rPr>
          <w:rFonts w:ascii="Arial" w:hAnsi="Arial" w:cs="Arial"/>
          <w:color w:val="231F20"/>
          <w:sz w:val="24"/>
          <w:szCs w:val="24"/>
        </w:rPr>
        <w:t xml:space="preserve">genuinely empowering service users or </w:t>
      </w:r>
      <w:r w:rsidR="00485B22" w:rsidRPr="00887A1F">
        <w:rPr>
          <w:rFonts w:ascii="Arial" w:hAnsi="Arial" w:cs="Arial"/>
          <w:color w:val="231F20"/>
          <w:sz w:val="24"/>
          <w:szCs w:val="24"/>
        </w:rPr>
        <w:t xml:space="preserve">fostering a movement of control to </w:t>
      </w:r>
      <w:r w:rsidR="00F20575" w:rsidRPr="00887A1F">
        <w:rPr>
          <w:rFonts w:ascii="Arial" w:hAnsi="Arial" w:cs="Arial"/>
          <w:color w:val="231F20"/>
          <w:sz w:val="24"/>
          <w:szCs w:val="24"/>
        </w:rPr>
        <w:t>them</w:t>
      </w:r>
      <w:r w:rsidR="00394FB7" w:rsidRPr="00887A1F">
        <w:rPr>
          <w:rFonts w:ascii="Arial" w:hAnsi="Arial" w:cs="Arial"/>
          <w:color w:val="231F20"/>
          <w:sz w:val="24"/>
          <w:szCs w:val="24"/>
        </w:rPr>
        <w:t xml:space="preserve"> – although </w:t>
      </w:r>
      <w:r w:rsidR="00FD4318" w:rsidRPr="00887A1F">
        <w:rPr>
          <w:rFonts w:ascii="Arial" w:hAnsi="Arial" w:cs="Arial"/>
          <w:color w:val="231F20"/>
          <w:sz w:val="24"/>
          <w:szCs w:val="24"/>
        </w:rPr>
        <w:t xml:space="preserve">acknowledging that </w:t>
      </w:r>
      <w:r w:rsidR="00394FB7" w:rsidRPr="00887A1F">
        <w:rPr>
          <w:rFonts w:ascii="Arial" w:hAnsi="Arial" w:cs="Arial"/>
          <w:color w:val="231F20"/>
          <w:sz w:val="24"/>
          <w:szCs w:val="24"/>
        </w:rPr>
        <w:t>different service user academics will utilise such a role in different ways depending on their strengths and skills</w:t>
      </w:r>
      <w:r w:rsidR="00830415" w:rsidRPr="00887A1F">
        <w:rPr>
          <w:rFonts w:ascii="Arial" w:hAnsi="Arial" w:cs="Arial"/>
          <w:color w:val="231F20"/>
          <w:sz w:val="24"/>
          <w:szCs w:val="24"/>
        </w:rPr>
        <w:t>.</w:t>
      </w:r>
      <w:r w:rsidR="00A87A2C">
        <w:rPr>
          <w:rFonts w:ascii="Arial" w:hAnsi="Arial" w:cs="Arial"/>
          <w:color w:val="231F20"/>
          <w:sz w:val="24"/>
          <w:szCs w:val="24"/>
        </w:rPr>
        <w:t xml:space="preserve">  </w:t>
      </w:r>
      <w:r w:rsidR="00A87A2C" w:rsidRPr="00945ADA">
        <w:rPr>
          <w:rFonts w:ascii="Arial" w:hAnsi="Arial" w:cs="Arial"/>
          <w:color w:val="231F20"/>
          <w:sz w:val="24"/>
          <w:szCs w:val="24"/>
        </w:rPr>
        <w:t>Furthermore</w:t>
      </w:r>
      <w:r w:rsidR="001D1097" w:rsidRPr="00945ADA">
        <w:rPr>
          <w:rFonts w:ascii="Arial" w:hAnsi="Arial" w:cs="Arial"/>
          <w:color w:val="231F20"/>
          <w:sz w:val="24"/>
          <w:szCs w:val="24"/>
        </w:rPr>
        <w:t xml:space="preserve"> B</w:t>
      </w:r>
      <w:r w:rsidR="001D1097" w:rsidRPr="00945ADA">
        <w:rPr>
          <w:rFonts w:ascii="Arial" w:hAnsi="Arial" w:cs="Arial"/>
          <w:sz w:val="24"/>
          <w:szCs w:val="24"/>
        </w:rPr>
        <w:t xml:space="preserve">eresford &amp; Branfield (2012) note that current models of service user involvement draw on the consumerist model of involvement rather than the </w:t>
      </w:r>
      <w:r w:rsidR="001D1097" w:rsidRPr="00945ADA">
        <w:rPr>
          <w:rFonts w:ascii="Arial" w:hAnsi="Arial" w:cs="Arial"/>
          <w:sz w:val="24"/>
          <w:szCs w:val="24"/>
        </w:rPr>
        <w:lastRenderedPageBreak/>
        <w:t xml:space="preserve">democratic model.  </w:t>
      </w:r>
      <w:r w:rsidR="001D1097" w:rsidRPr="00945ADA">
        <w:rPr>
          <w:rFonts w:ascii="Arial" w:eastAsia="Times New Roman" w:hAnsi="Arial" w:cs="Arial"/>
          <w:color w:val="000000"/>
          <w:sz w:val="24"/>
          <w:szCs w:val="24"/>
        </w:rPr>
        <w:t xml:space="preserve">The </w:t>
      </w:r>
      <w:r w:rsidR="00945ADA" w:rsidRPr="00945ADA">
        <w:rPr>
          <w:rFonts w:ascii="Arial" w:eastAsia="Times New Roman" w:hAnsi="Arial" w:cs="Arial"/>
          <w:color w:val="000000"/>
          <w:sz w:val="24"/>
          <w:szCs w:val="24"/>
        </w:rPr>
        <w:t xml:space="preserve">former is based </w:t>
      </w:r>
      <w:r w:rsidR="00945ADA" w:rsidRPr="00084BB2">
        <w:rPr>
          <w:rFonts w:ascii="Arial" w:hAnsi="Arial" w:cs="Arial"/>
          <w:color w:val="303030"/>
          <w:sz w:val="24"/>
          <w:szCs w:val="24"/>
          <w:lang w:val="en"/>
        </w:rPr>
        <w:t>on the idea of market forces in public</w:t>
      </w:r>
      <w:r w:rsidR="00084BB2">
        <w:rPr>
          <w:rFonts w:ascii="Arial" w:hAnsi="Arial" w:cs="Arial"/>
          <w:color w:val="303030"/>
          <w:sz w:val="24"/>
          <w:szCs w:val="24"/>
          <w:lang w:val="en"/>
        </w:rPr>
        <w:t xml:space="preserve"> services</w:t>
      </w:r>
      <w:r w:rsidR="004C5E9F" w:rsidRPr="00945ADA">
        <w:rPr>
          <w:rFonts w:ascii="Arial" w:eastAsia="Times New Roman" w:hAnsi="Arial" w:cs="Arial"/>
          <w:color w:val="000000"/>
          <w:sz w:val="24"/>
          <w:szCs w:val="24"/>
        </w:rPr>
        <w:t xml:space="preserve">, whereas the </w:t>
      </w:r>
      <w:r w:rsidR="00945ADA" w:rsidRPr="00945ADA">
        <w:rPr>
          <w:rFonts w:ascii="Arial" w:eastAsia="Times New Roman" w:hAnsi="Arial" w:cs="Arial"/>
          <w:color w:val="000000"/>
          <w:sz w:val="24"/>
          <w:szCs w:val="24"/>
        </w:rPr>
        <w:t xml:space="preserve">latter </w:t>
      </w:r>
      <w:r w:rsidR="001D1097" w:rsidRPr="00945ADA">
        <w:rPr>
          <w:rFonts w:ascii="Arial" w:eastAsia="Times New Roman" w:hAnsi="Arial" w:cs="Arial"/>
          <w:color w:val="000000"/>
          <w:sz w:val="24"/>
          <w:szCs w:val="24"/>
        </w:rPr>
        <w:t>emphasises the importance of citizenship, equal opportunities and the development of a rights- and responsibility-based society</w:t>
      </w:r>
      <w:r w:rsidR="00084BB2">
        <w:rPr>
          <w:rFonts w:ascii="Arial" w:eastAsia="Times New Roman" w:hAnsi="Arial" w:cs="Arial"/>
          <w:color w:val="000000"/>
          <w:sz w:val="24"/>
          <w:szCs w:val="24"/>
        </w:rPr>
        <w:t xml:space="preserve"> (Beresford, 2002)</w:t>
      </w:r>
      <w:r w:rsidR="001D1097" w:rsidRPr="00945ADA">
        <w:rPr>
          <w:rFonts w:ascii="Arial" w:eastAsia="Times New Roman" w:hAnsi="Arial" w:cs="Arial"/>
          <w:color w:val="000000"/>
          <w:sz w:val="24"/>
          <w:szCs w:val="24"/>
        </w:rPr>
        <w:t>.</w:t>
      </w:r>
      <w:r w:rsidR="001D1097" w:rsidRPr="00887A1F">
        <w:rPr>
          <w:rFonts w:ascii="Arial" w:eastAsia="Times New Roman" w:hAnsi="Arial" w:cs="Arial"/>
          <w:color w:val="000000"/>
          <w:sz w:val="24"/>
          <w:szCs w:val="24"/>
        </w:rPr>
        <w:t xml:space="preserve">  </w:t>
      </w:r>
    </w:p>
    <w:p w:rsidR="00D621B3" w:rsidRDefault="00D621B3" w:rsidP="00887A1F">
      <w:pPr>
        <w:autoSpaceDE w:val="0"/>
        <w:autoSpaceDN w:val="0"/>
        <w:adjustRightInd w:val="0"/>
        <w:spacing w:after="0" w:line="360" w:lineRule="auto"/>
        <w:rPr>
          <w:rFonts w:ascii="Arial" w:eastAsia="Times New Roman" w:hAnsi="Arial" w:cs="Arial"/>
          <w:color w:val="000000"/>
          <w:sz w:val="24"/>
          <w:szCs w:val="24"/>
        </w:rPr>
      </w:pPr>
    </w:p>
    <w:p w:rsidR="00937C39" w:rsidRDefault="004C5E9F" w:rsidP="00887A1F">
      <w:pPr>
        <w:autoSpaceDE w:val="0"/>
        <w:autoSpaceDN w:val="0"/>
        <w:adjustRightInd w:val="0"/>
        <w:spacing w:after="0" w:line="360" w:lineRule="auto"/>
        <w:rPr>
          <w:rFonts w:ascii="Arial" w:hAnsi="Arial" w:cs="Arial"/>
          <w:sz w:val="24"/>
          <w:szCs w:val="24"/>
        </w:rPr>
      </w:pPr>
      <w:r>
        <w:rPr>
          <w:rFonts w:ascii="Arial" w:eastAsia="Times New Roman" w:hAnsi="Arial" w:cs="Arial"/>
          <w:color w:val="000000"/>
          <w:sz w:val="24"/>
          <w:szCs w:val="24"/>
        </w:rPr>
        <w:t>Furthermore a</w:t>
      </w:r>
      <w:r w:rsidR="002D3D2E">
        <w:rPr>
          <w:rFonts w:ascii="Arial" w:hAnsi="Arial" w:cs="Arial"/>
          <w:color w:val="231F20"/>
          <w:sz w:val="24"/>
          <w:szCs w:val="24"/>
        </w:rPr>
        <w:t xml:space="preserve"> consideration </w:t>
      </w:r>
      <w:r w:rsidR="006B17DD">
        <w:rPr>
          <w:rFonts w:ascii="Arial" w:hAnsi="Arial" w:cs="Arial"/>
          <w:color w:val="231F20"/>
          <w:sz w:val="24"/>
          <w:szCs w:val="24"/>
        </w:rPr>
        <w:t xml:space="preserve">of </w:t>
      </w:r>
      <w:r w:rsidR="002D3D2E">
        <w:rPr>
          <w:rFonts w:ascii="Arial" w:hAnsi="Arial" w:cs="Arial"/>
          <w:color w:val="231F20"/>
          <w:sz w:val="24"/>
          <w:szCs w:val="24"/>
        </w:rPr>
        <w:t xml:space="preserve">the </w:t>
      </w:r>
      <w:r w:rsidR="006B17DD">
        <w:rPr>
          <w:rFonts w:ascii="Arial" w:hAnsi="Arial" w:cs="Arial"/>
          <w:color w:val="231F20"/>
          <w:sz w:val="24"/>
          <w:szCs w:val="24"/>
        </w:rPr>
        <w:t xml:space="preserve">changes in health and social care </w:t>
      </w:r>
      <w:r w:rsidR="007539DF">
        <w:rPr>
          <w:rFonts w:ascii="Arial" w:hAnsi="Arial" w:cs="Arial"/>
          <w:color w:val="231F20"/>
          <w:sz w:val="24"/>
          <w:szCs w:val="24"/>
        </w:rPr>
        <w:t xml:space="preserve">discourse, </w:t>
      </w:r>
      <w:r w:rsidR="006B17DD">
        <w:rPr>
          <w:rFonts w:ascii="Arial" w:hAnsi="Arial" w:cs="Arial"/>
          <w:color w:val="231F20"/>
          <w:sz w:val="24"/>
          <w:szCs w:val="24"/>
        </w:rPr>
        <w:t xml:space="preserve">shows that it </w:t>
      </w:r>
      <w:r w:rsidR="004B429D">
        <w:rPr>
          <w:rFonts w:ascii="Arial" w:hAnsi="Arial" w:cs="Arial"/>
          <w:sz w:val="24"/>
          <w:szCs w:val="24"/>
        </w:rPr>
        <w:t>i</w:t>
      </w:r>
      <w:r w:rsidR="003D776C">
        <w:rPr>
          <w:rFonts w:ascii="Arial" w:hAnsi="Arial" w:cs="Arial"/>
          <w:sz w:val="24"/>
          <w:szCs w:val="24"/>
        </w:rPr>
        <w:t xml:space="preserve">s </w:t>
      </w:r>
      <w:r w:rsidR="004B429D">
        <w:rPr>
          <w:rFonts w:ascii="Arial" w:hAnsi="Arial" w:cs="Arial"/>
          <w:sz w:val="24"/>
          <w:szCs w:val="24"/>
        </w:rPr>
        <w:t>a</w:t>
      </w:r>
      <w:r w:rsidR="003D776C">
        <w:rPr>
          <w:rFonts w:ascii="Arial" w:hAnsi="Arial" w:cs="Arial"/>
          <w:sz w:val="24"/>
          <w:szCs w:val="24"/>
        </w:rPr>
        <w:t xml:space="preserve"> </w:t>
      </w:r>
      <w:r w:rsidR="003D776C" w:rsidRPr="0029382E">
        <w:rPr>
          <w:rFonts w:ascii="Arial" w:hAnsi="Arial" w:cs="Arial"/>
          <w:i/>
          <w:sz w:val="24"/>
          <w:szCs w:val="24"/>
        </w:rPr>
        <w:t xml:space="preserve">collective </w:t>
      </w:r>
      <w:r w:rsidR="003D776C">
        <w:rPr>
          <w:rFonts w:ascii="Arial" w:hAnsi="Arial" w:cs="Arial"/>
          <w:sz w:val="24"/>
          <w:szCs w:val="24"/>
        </w:rPr>
        <w:t xml:space="preserve">movement </w:t>
      </w:r>
      <w:r w:rsidR="004B429D">
        <w:rPr>
          <w:rFonts w:ascii="Arial" w:hAnsi="Arial" w:cs="Arial"/>
          <w:sz w:val="24"/>
          <w:szCs w:val="24"/>
        </w:rPr>
        <w:t xml:space="preserve">that challenges </w:t>
      </w:r>
      <w:r w:rsidR="00084BB2">
        <w:rPr>
          <w:rFonts w:ascii="Arial" w:hAnsi="Arial" w:cs="Arial"/>
          <w:sz w:val="24"/>
          <w:szCs w:val="24"/>
        </w:rPr>
        <w:t>established</w:t>
      </w:r>
      <w:r w:rsidR="004B429D">
        <w:rPr>
          <w:rFonts w:ascii="Arial" w:hAnsi="Arial" w:cs="Arial"/>
          <w:sz w:val="24"/>
          <w:szCs w:val="24"/>
        </w:rPr>
        <w:t xml:space="preserve"> power, rather than</w:t>
      </w:r>
      <w:r>
        <w:rPr>
          <w:rFonts w:ascii="Arial" w:hAnsi="Arial" w:cs="Arial"/>
          <w:sz w:val="24"/>
          <w:szCs w:val="24"/>
        </w:rPr>
        <w:t xml:space="preserve"> the actions of </w:t>
      </w:r>
      <w:r w:rsidR="004B429D">
        <w:rPr>
          <w:rFonts w:ascii="Arial" w:hAnsi="Arial" w:cs="Arial"/>
          <w:i/>
          <w:sz w:val="24"/>
          <w:szCs w:val="24"/>
        </w:rPr>
        <w:t xml:space="preserve">individual </w:t>
      </w:r>
      <w:r w:rsidR="004B429D">
        <w:rPr>
          <w:rFonts w:ascii="Arial" w:hAnsi="Arial" w:cs="Arial"/>
          <w:sz w:val="24"/>
          <w:szCs w:val="24"/>
        </w:rPr>
        <w:t xml:space="preserve">experts.  For example, </w:t>
      </w:r>
      <w:r w:rsidR="003D776C">
        <w:rPr>
          <w:rFonts w:ascii="Arial" w:hAnsi="Arial" w:cs="Arial"/>
          <w:sz w:val="24"/>
          <w:szCs w:val="24"/>
        </w:rPr>
        <w:t>physically disabled people</w:t>
      </w:r>
      <w:r w:rsidR="004B429D">
        <w:rPr>
          <w:rFonts w:ascii="Arial" w:hAnsi="Arial" w:cs="Arial"/>
          <w:sz w:val="24"/>
          <w:szCs w:val="24"/>
        </w:rPr>
        <w:t xml:space="preserve">, as a collective group rather than </w:t>
      </w:r>
      <w:r>
        <w:rPr>
          <w:rFonts w:ascii="Arial" w:hAnsi="Arial" w:cs="Arial"/>
          <w:sz w:val="24"/>
          <w:szCs w:val="24"/>
        </w:rPr>
        <w:t xml:space="preserve">as </w:t>
      </w:r>
      <w:r w:rsidR="004B429D">
        <w:rPr>
          <w:rFonts w:ascii="Arial" w:hAnsi="Arial" w:cs="Arial"/>
          <w:sz w:val="24"/>
          <w:szCs w:val="24"/>
        </w:rPr>
        <w:t>individual experts,</w:t>
      </w:r>
      <w:r w:rsidR="00084BB2">
        <w:rPr>
          <w:rFonts w:ascii="Arial" w:hAnsi="Arial" w:cs="Arial"/>
          <w:sz w:val="24"/>
          <w:szCs w:val="24"/>
        </w:rPr>
        <w:t xml:space="preserve"> redefined established knowledge </w:t>
      </w:r>
      <w:r w:rsidR="003D776C" w:rsidRPr="00266F65">
        <w:rPr>
          <w:rFonts w:ascii="Arial" w:eastAsia="Times New Roman" w:hAnsi="Arial" w:cs="Arial"/>
          <w:color w:val="000000"/>
          <w:sz w:val="24"/>
          <w:szCs w:val="24"/>
        </w:rPr>
        <w:t xml:space="preserve">as they </w:t>
      </w:r>
      <w:r w:rsidR="003D776C">
        <w:rPr>
          <w:rFonts w:ascii="Arial" w:eastAsia="Times New Roman" w:hAnsi="Arial" w:cs="Arial"/>
          <w:color w:val="000000"/>
          <w:sz w:val="24"/>
          <w:szCs w:val="24"/>
        </w:rPr>
        <w:t xml:space="preserve">developed the social model of disability </w:t>
      </w:r>
      <w:r w:rsidR="003D776C" w:rsidRPr="00AA45F7">
        <w:rPr>
          <w:rFonts w:ascii="Arial" w:hAnsi="Arial" w:cs="Arial"/>
          <w:color w:val="292526"/>
          <w:sz w:val="24"/>
          <w:szCs w:val="24"/>
        </w:rPr>
        <w:t>(Finkel</w:t>
      </w:r>
      <w:r w:rsidR="003377DE">
        <w:rPr>
          <w:rFonts w:ascii="Arial" w:hAnsi="Arial" w:cs="Arial"/>
          <w:color w:val="292526"/>
          <w:sz w:val="24"/>
          <w:szCs w:val="24"/>
        </w:rPr>
        <w:t>stein 1990; Oliver 1983;</w:t>
      </w:r>
      <w:r w:rsidR="003D776C">
        <w:rPr>
          <w:rFonts w:ascii="Arial" w:hAnsi="Arial" w:cs="Arial"/>
          <w:color w:val="292526"/>
          <w:sz w:val="24"/>
          <w:szCs w:val="24"/>
        </w:rPr>
        <w:t xml:space="preserve"> 1990; </w:t>
      </w:r>
      <w:r w:rsidR="003D776C" w:rsidRPr="00AA45F7">
        <w:rPr>
          <w:rFonts w:ascii="Arial" w:hAnsi="Arial" w:cs="Arial"/>
          <w:color w:val="292526"/>
          <w:sz w:val="24"/>
          <w:szCs w:val="24"/>
        </w:rPr>
        <w:t>Shakespeare</w:t>
      </w:r>
      <w:r w:rsidR="003D776C">
        <w:rPr>
          <w:rFonts w:ascii="Arial" w:hAnsi="Arial" w:cs="Arial"/>
          <w:color w:val="292526"/>
          <w:sz w:val="24"/>
          <w:szCs w:val="24"/>
        </w:rPr>
        <w:t>,</w:t>
      </w:r>
      <w:r w:rsidR="003D776C" w:rsidRPr="00AA45F7">
        <w:rPr>
          <w:rFonts w:ascii="Arial" w:hAnsi="Arial" w:cs="Arial"/>
          <w:color w:val="292526"/>
          <w:sz w:val="24"/>
          <w:szCs w:val="24"/>
        </w:rPr>
        <w:t xml:space="preserve"> 2006)</w:t>
      </w:r>
      <w:r w:rsidR="003D776C">
        <w:rPr>
          <w:rFonts w:ascii="Arial" w:hAnsi="Arial" w:cs="Arial"/>
          <w:color w:val="292526"/>
          <w:sz w:val="24"/>
          <w:szCs w:val="24"/>
        </w:rPr>
        <w:t xml:space="preserve">.  </w:t>
      </w:r>
      <w:r w:rsidR="003D776C" w:rsidRPr="00266F65">
        <w:rPr>
          <w:rFonts w:ascii="Arial" w:eastAsia="Times New Roman" w:hAnsi="Arial" w:cs="Arial"/>
          <w:color w:val="000000"/>
          <w:sz w:val="24"/>
          <w:szCs w:val="24"/>
        </w:rPr>
        <w:t xml:space="preserve"> </w:t>
      </w:r>
      <w:r w:rsidR="003D776C">
        <w:rPr>
          <w:rFonts w:ascii="Arial" w:eastAsia="Times New Roman" w:hAnsi="Arial" w:cs="Arial"/>
          <w:color w:val="000000"/>
          <w:sz w:val="24"/>
          <w:szCs w:val="24"/>
        </w:rPr>
        <w:t>This radical movement led to a reinterpretation of</w:t>
      </w:r>
      <w:r w:rsidR="003D776C" w:rsidRPr="00266F65">
        <w:rPr>
          <w:rFonts w:ascii="Arial" w:eastAsia="Times New Roman" w:hAnsi="Arial" w:cs="Arial"/>
          <w:color w:val="000000"/>
          <w:sz w:val="24"/>
          <w:szCs w:val="24"/>
        </w:rPr>
        <w:t xml:space="preserve"> the </w:t>
      </w:r>
      <w:r w:rsidR="003D776C">
        <w:rPr>
          <w:rFonts w:ascii="Arial" w:eastAsia="Times New Roman" w:hAnsi="Arial" w:cs="Arial"/>
          <w:color w:val="000000"/>
          <w:sz w:val="24"/>
          <w:szCs w:val="24"/>
        </w:rPr>
        <w:t xml:space="preserve">way physical barriers which prevented disabled people’s access to and </w:t>
      </w:r>
      <w:r w:rsidR="003D776C" w:rsidRPr="00266F65">
        <w:rPr>
          <w:rFonts w:ascii="Arial" w:eastAsia="Times New Roman" w:hAnsi="Arial" w:cs="Arial"/>
          <w:color w:val="000000"/>
          <w:sz w:val="24"/>
          <w:szCs w:val="24"/>
        </w:rPr>
        <w:t xml:space="preserve">participation in </w:t>
      </w:r>
      <w:r w:rsidR="003D776C">
        <w:rPr>
          <w:rFonts w:ascii="Arial" w:eastAsia="Times New Roman" w:hAnsi="Arial" w:cs="Arial"/>
          <w:color w:val="000000"/>
          <w:sz w:val="24"/>
          <w:szCs w:val="24"/>
        </w:rPr>
        <w:t xml:space="preserve">society were understood.  </w:t>
      </w:r>
      <w:r w:rsidR="00084BB2">
        <w:rPr>
          <w:rFonts w:ascii="Arial" w:hAnsi="Arial" w:cs="Arial"/>
          <w:color w:val="000000" w:themeColor="text1"/>
          <w:sz w:val="24"/>
          <w:szCs w:val="24"/>
        </w:rPr>
        <w:t xml:space="preserve">This action </w:t>
      </w:r>
      <w:r w:rsidR="00F00DBB">
        <w:rPr>
          <w:rFonts w:ascii="Arial" w:hAnsi="Arial" w:cs="Arial"/>
          <w:color w:val="000000" w:themeColor="text1"/>
          <w:sz w:val="24"/>
          <w:szCs w:val="24"/>
        </w:rPr>
        <w:t xml:space="preserve">by disabled people </w:t>
      </w:r>
      <w:r w:rsidR="003D776C" w:rsidRPr="00AA45F7">
        <w:rPr>
          <w:rFonts w:ascii="Arial" w:hAnsi="Arial" w:cs="Arial"/>
          <w:color w:val="000000" w:themeColor="text1"/>
          <w:sz w:val="24"/>
          <w:szCs w:val="24"/>
        </w:rPr>
        <w:t xml:space="preserve">began to </w:t>
      </w:r>
      <w:r w:rsidR="00084BB2">
        <w:rPr>
          <w:rFonts w:ascii="Arial" w:hAnsi="Arial" w:cs="Arial"/>
          <w:color w:val="000000" w:themeColor="text1"/>
          <w:sz w:val="24"/>
          <w:szCs w:val="24"/>
        </w:rPr>
        <w:t>define</w:t>
      </w:r>
      <w:r w:rsidR="003D776C" w:rsidRPr="00AA45F7">
        <w:rPr>
          <w:rFonts w:ascii="Arial" w:hAnsi="Arial" w:cs="Arial"/>
          <w:color w:val="000000" w:themeColor="text1"/>
          <w:sz w:val="24"/>
          <w:szCs w:val="24"/>
        </w:rPr>
        <w:t xml:space="preserve"> the role of service users not just as service recipients but as citizens living beyond the label of their impairment</w:t>
      </w:r>
      <w:r w:rsidR="00F64D69">
        <w:rPr>
          <w:rFonts w:ascii="Arial" w:hAnsi="Arial" w:cs="Arial"/>
          <w:color w:val="000000" w:themeColor="text1"/>
          <w:sz w:val="24"/>
          <w:szCs w:val="24"/>
        </w:rPr>
        <w:t xml:space="preserve"> (Shakespeare, 2006)</w:t>
      </w:r>
      <w:r w:rsidR="003D776C" w:rsidRPr="00AA45F7">
        <w:rPr>
          <w:rFonts w:ascii="Arial" w:hAnsi="Arial" w:cs="Arial"/>
          <w:color w:val="292526"/>
          <w:sz w:val="24"/>
          <w:szCs w:val="24"/>
        </w:rPr>
        <w:t>.</w:t>
      </w:r>
      <w:r w:rsidR="003D776C">
        <w:rPr>
          <w:rFonts w:ascii="Arial" w:hAnsi="Arial" w:cs="Arial"/>
          <w:sz w:val="24"/>
          <w:szCs w:val="24"/>
        </w:rPr>
        <w:t xml:space="preserve">  </w:t>
      </w:r>
      <w:r w:rsidR="004B429D">
        <w:rPr>
          <w:rFonts w:ascii="Arial" w:hAnsi="Arial" w:cs="Arial"/>
          <w:sz w:val="24"/>
          <w:szCs w:val="24"/>
        </w:rPr>
        <w:t xml:space="preserve">Similarly the </w:t>
      </w:r>
      <w:r w:rsidR="001B1842">
        <w:rPr>
          <w:rFonts w:ascii="Arial" w:hAnsi="Arial" w:cs="Arial"/>
          <w:sz w:val="24"/>
          <w:szCs w:val="24"/>
        </w:rPr>
        <w:t xml:space="preserve">collective power of the </w:t>
      </w:r>
      <w:r w:rsidR="004B429D">
        <w:rPr>
          <w:rFonts w:ascii="Arial" w:hAnsi="Arial" w:cs="Arial"/>
          <w:sz w:val="24"/>
          <w:szCs w:val="24"/>
        </w:rPr>
        <w:t xml:space="preserve">mental health service user </w:t>
      </w:r>
      <w:r w:rsidR="004B429D">
        <w:rPr>
          <w:rFonts w:ascii="Arial" w:hAnsi="Arial" w:cs="Arial"/>
          <w:sz w:val="24"/>
          <w:szCs w:val="24"/>
        </w:rPr>
        <w:lastRenderedPageBreak/>
        <w:t xml:space="preserve">movement </w:t>
      </w:r>
      <w:r w:rsidR="001B1842">
        <w:rPr>
          <w:rFonts w:ascii="Arial" w:hAnsi="Arial" w:cs="Arial"/>
          <w:sz w:val="24"/>
          <w:szCs w:val="24"/>
        </w:rPr>
        <w:t xml:space="preserve">led to </w:t>
      </w:r>
      <w:r w:rsidR="00937C39">
        <w:rPr>
          <w:rFonts w:ascii="Arial" w:hAnsi="Arial" w:cs="Arial"/>
          <w:sz w:val="24"/>
          <w:szCs w:val="24"/>
        </w:rPr>
        <w:t>user involvement in service review and development (Rose, 2001)</w:t>
      </w:r>
      <w:r w:rsidR="001D1097">
        <w:rPr>
          <w:rFonts w:ascii="Arial" w:hAnsi="Arial" w:cs="Arial"/>
          <w:sz w:val="24"/>
          <w:szCs w:val="24"/>
        </w:rPr>
        <w:t>.</w:t>
      </w:r>
    </w:p>
    <w:p w:rsidR="00937C39" w:rsidRDefault="00937C39" w:rsidP="00887A1F">
      <w:pPr>
        <w:autoSpaceDE w:val="0"/>
        <w:autoSpaceDN w:val="0"/>
        <w:adjustRightInd w:val="0"/>
        <w:spacing w:after="0" w:line="360" w:lineRule="auto"/>
        <w:rPr>
          <w:rFonts w:ascii="Arial" w:hAnsi="Arial" w:cs="Arial"/>
          <w:sz w:val="24"/>
          <w:szCs w:val="24"/>
        </w:rPr>
      </w:pPr>
    </w:p>
    <w:p w:rsidR="00E07C4E" w:rsidRDefault="002D3D2E" w:rsidP="00E07C4E">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This </w:t>
      </w:r>
      <w:r w:rsidR="00084BB2">
        <w:rPr>
          <w:rFonts w:ascii="Arial" w:hAnsi="Arial" w:cs="Arial"/>
          <w:sz w:val="24"/>
          <w:szCs w:val="24"/>
        </w:rPr>
        <w:t xml:space="preserve">above </w:t>
      </w:r>
      <w:r>
        <w:rPr>
          <w:rFonts w:ascii="Arial" w:hAnsi="Arial" w:cs="Arial"/>
          <w:sz w:val="24"/>
          <w:szCs w:val="24"/>
        </w:rPr>
        <w:t>discussion highlights wider concerns about the nature of effective user involvement in social work education a</w:t>
      </w:r>
      <w:r w:rsidR="00246963">
        <w:rPr>
          <w:rFonts w:ascii="Arial" w:hAnsi="Arial" w:cs="Arial"/>
          <w:sz w:val="24"/>
          <w:szCs w:val="24"/>
        </w:rPr>
        <w:t>nd the concomitant value</w:t>
      </w:r>
      <w:r>
        <w:rPr>
          <w:rFonts w:ascii="Arial" w:hAnsi="Arial" w:cs="Arial"/>
          <w:sz w:val="24"/>
          <w:szCs w:val="24"/>
        </w:rPr>
        <w:t xml:space="preserve"> placed on individual</w:t>
      </w:r>
      <w:r w:rsidR="00937C39">
        <w:rPr>
          <w:rFonts w:ascii="Arial" w:hAnsi="Arial" w:cs="Arial"/>
          <w:sz w:val="24"/>
          <w:szCs w:val="24"/>
        </w:rPr>
        <w:t>ised</w:t>
      </w:r>
      <w:r>
        <w:rPr>
          <w:rFonts w:ascii="Arial" w:hAnsi="Arial" w:cs="Arial"/>
          <w:sz w:val="24"/>
          <w:szCs w:val="24"/>
        </w:rPr>
        <w:t xml:space="preserve"> expert experience compared to that of collective knowledge.</w:t>
      </w:r>
      <w:r w:rsidR="001B1842">
        <w:rPr>
          <w:rFonts w:ascii="Arial" w:eastAsia="Times New Roman" w:hAnsi="Arial" w:cs="Arial"/>
          <w:color w:val="000000"/>
          <w:sz w:val="24"/>
          <w:szCs w:val="24"/>
        </w:rPr>
        <w:t xml:space="preserve">  </w:t>
      </w:r>
      <w:r w:rsidR="00E07C4E" w:rsidRPr="002103D4">
        <w:rPr>
          <w:rFonts w:ascii="Arial" w:hAnsi="Arial" w:cs="Arial"/>
          <w:sz w:val="24"/>
          <w:szCs w:val="24"/>
        </w:rPr>
        <w:t xml:space="preserve">Harrison (2002), in an early paper on </w:t>
      </w:r>
      <w:r w:rsidR="00E07C4E" w:rsidRPr="00AD40B0">
        <w:rPr>
          <w:rFonts w:ascii="Arial" w:hAnsi="Arial" w:cs="Arial"/>
          <w:sz w:val="24"/>
          <w:szCs w:val="24"/>
        </w:rPr>
        <w:t xml:space="preserve">representation of users in service </w:t>
      </w:r>
      <w:r w:rsidR="00E07C4E">
        <w:rPr>
          <w:rFonts w:ascii="Arial" w:hAnsi="Arial" w:cs="Arial"/>
          <w:sz w:val="24"/>
          <w:szCs w:val="24"/>
        </w:rPr>
        <w:t xml:space="preserve">development and service review, questions the status of </w:t>
      </w:r>
      <w:r w:rsidR="00175E0A">
        <w:rPr>
          <w:rFonts w:ascii="Arial" w:hAnsi="Arial" w:cs="Arial"/>
          <w:sz w:val="24"/>
          <w:szCs w:val="24"/>
        </w:rPr>
        <w:t>the individual service user</w:t>
      </w:r>
      <w:r w:rsidR="00E07C4E">
        <w:rPr>
          <w:rFonts w:ascii="Arial" w:hAnsi="Arial" w:cs="Arial"/>
          <w:sz w:val="24"/>
          <w:szCs w:val="24"/>
        </w:rPr>
        <w:t xml:space="preserve"> as </w:t>
      </w:r>
      <w:r w:rsidR="00175E0A">
        <w:rPr>
          <w:rFonts w:ascii="Arial" w:hAnsi="Arial" w:cs="Arial"/>
          <w:sz w:val="24"/>
          <w:szCs w:val="24"/>
        </w:rPr>
        <w:t xml:space="preserve">an effective </w:t>
      </w:r>
      <w:r w:rsidR="00E07C4E">
        <w:rPr>
          <w:rFonts w:ascii="Arial" w:hAnsi="Arial" w:cs="Arial"/>
          <w:sz w:val="24"/>
          <w:szCs w:val="24"/>
        </w:rPr>
        <w:t>representative.  He notes</w:t>
      </w:r>
      <w:r w:rsidR="00E07C4E" w:rsidRPr="00AD40B0">
        <w:rPr>
          <w:rFonts w:ascii="Arial" w:hAnsi="Arial" w:cs="Arial"/>
          <w:sz w:val="24"/>
          <w:szCs w:val="24"/>
        </w:rPr>
        <w:t xml:space="preserve"> </w:t>
      </w:r>
      <w:r w:rsidR="003377DE">
        <w:rPr>
          <w:rFonts w:ascii="Arial" w:hAnsi="Arial" w:cs="Arial"/>
          <w:color w:val="000000"/>
          <w:sz w:val="24"/>
          <w:szCs w:val="24"/>
        </w:rPr>
        <w:t xml:space="preserve">(ibid, p. 29) </w:t>
      </w:r>
      <w:r w:rsidR="00E07C4E">
        <w:rPr>
          <w:rFonts w:ascii="Arial" w:hAnsi="Arial" w:cs="Arial"/>
          <w:sz w:val="24"/>
          <w:szCs w:val="24"/>
        </w:rPr>
        <w:t>that s</w:t>
      </w:r>
      <w:r w:rsidR="00E07C4E" w:rsidRPr="00AD40B0">
        <w:rPr>
          <w:rFonts w:ascii="Arial" w:hAnsi="Arial" w:cs="Arial"/>
          <w:sz w:val="24"/>
          <w:szCs w:val="24"/>
        </w:rPr>
        <w:t xml:space="preserve">ervice users who speak on behalf </w:t>
      </w:r>
      <w:r w:rsidR="00E07C4E">
        <w:rPr>
          <w:rFonts w:ascii="Arial" w:hAnsi="Arial" w:cs="Arial"/>
          <w:sz w:val="24"/>
          <w:szCs w:val="24"/>
        </w:rPr>
        <w:t>of their peers</w:t>
      </w:r>
      <w:r w:rsidR="00E07C4E" w:rsidRPr="00AD40B0">
        <w:rPr>
          <w:rFonts w:ascii="Arial" w:hAnsi="Arial" w:cs="Arial"/>
          <w:sz w:val="24"/>
          <w:szCs w:val="24"/>
        </w:rPr>
        <w:t xml:space="preserve"> can be perceived as </w:t>
      </w:r>
      <w:r w:rsidR="00E07C4E" w:rsidRPr="00AA45F7">
        <w:rPr>
          <w:rFonts w:ascii="Arial" w:hAnsi="Arial" w:cs="Arial"/>
          <w:color w:val="000000"/>
          <w:sz w:val="24"/>
          <w:szCs w:val="24"/>
        </w:rPr>
        <w:t>professio</w:t>
      </w:r>
      <w:r w:rsidR="003377DE">
        <w:rPr>
          <w:rFonts w:ascii="Arial" w:hAnsi="Arial" w:cs="Arial"/>
          <w:color w:val="000000"/>
          <w:sz w:val="24"/>
          <w:szCs w:val="24"/>
        </w:rPr>
        <w:t>nal users, ‘</w:t>
      </w:r>
      <w:r w:rsidR="00E07C4E">
        <w:rPr>
          <w:rFonts w:ascii="Arial" w:hAnsi="Arial" w:cs="Arial"/>
          <w:color w:val="000000"/>
          <w:sz w:val="24"/>
          <w:szCs w:val="24"/>
        </w:rPr>
        <w:t>not typical users</w:t>
      </w:r>
      <w:r w:rsidR="003377DE">
        <w:rPr>
          <w:rFonts w:ascii="Arial" w:hAnsi="Arial" w:cs="Arial"/>
          <w:color w:val="000000"/>
          <w:sz w:val="24"/>
          <w:szCs w:val="24"/>
        </w:rPr>
        <w:t>.’</w:t>
      </w:r>
      <w:r w:rsidR="00E07C4E">
        <w:rPr>
          <w:rFonts w:ascii="Arial" w:hAnsi="Arial" w:cs="Arial"/>
          <w:color w:val="000000"/>
          <w:sz w:val="24"/>
          <w:szCs w:val="24"/>
        </w:rPr>
        <w:t> </w:t>
      </w:r>
      <w:r w:rsidR="00E07C4E" w:rsidRPr="00AA45F7">
        <w:rPr>
          <w:rFonts w:ascii="Arial" w:hAnsi="Arial" w:cs="Arial"/>
          <w:color w:val="000000"/>
          <w:sz w:val="24"/>
          <w:szCs w:val="24"/>
        </w:rPr>
        <w:t xml:space="preserve"> </w:t>
      </w:r>
      <w:r w:rsidR="00E07C4E">
        <w:rPr>
          <w:rFonts w:ascii="Arial" w:hAnsi="Arial" w:cs="Arial"/>
          <w:color w:val="000000"/>
          <w:sz w:val="24"/>
          <w:szCs w:val="24"/>
        </w:rPr>
        <w:t xml:space="preserve">He considers that </w:t>
      </w:r>
      <w:r w:rsidR="00E07C4E" w:rsidRPr="00AD40B0">
        <w:rPr>
          <w:rFonts w:ascii="Arial" w:hAnsi="Arial" w:cs="Arial"/>
          <w:sz w:val="24"/>
          <w:szCs w:val="24"/>
        </w:rPr>
        <w:t xml:space="preserve">it is very difficult for service users to represent their </w:t>
      </w:r>
      <w:r w:rsidR="00E07C4E">
        <w:rPr>
          <w:rFonts w:ascii="Arial" w:hAnsi="Arial" w:cs="Arial"/>
          <w:sz w:val="24"/>
          <w:szCs w:val="24"/>
        </w:rPr>
        <w:t xml:space="preserve">group’s </w:t>
      </w:r>
      <w:r w:rsidR="00E07C4E" w:rsidRPr="00AD40B0">
        <w:rPr>
          <w:rFonts w:ascii="Arial" w:hAnsi="Arial" w:cs="Arial"/>
          <w:sz w:val="24"/>
          <w:szCs w:val="24"/>
        </w:rPr>
        <w:t>views unless accountability processes are transparent</w:t>
      </w:r>
      <w:r w:rsidR="00084BB2">
        <w:rPr>
          <w:rFonts w:ascii="Arial" w:hAnsi="Arial" w:cs="Arial"/>
          <w:sz w:val="24"/>
          <w:szCs w:val="24"/>
        </w:rPr>
        <w:t>;</w:t>
      </w:r>
      <w:r w:rsidR="00E07C4E">
        <w:rPr>
          <w:rFonts w:ascii="Arial" w:hAnsi="Arial" w:cs="Arial"/>
          <w:sz w:val="24"/>
          <w:szCs w:val="24"/>
        </w:rPr>
        <w:t xml:space="preserve"> where this does happen, </w:t>
      </w:r>
      <w:r w:rsidR="00E07C4E" w:rsidRPr="00AA45F7">
        <w:rPr>
          <w:rFonts w:ascii="Arial" w:hAnsi="Arial" w:cs="Arial"/>
          <w:color w:val="000000"/>
          <w:sz w:val="24"/>
          <w:szCs w:val="24"/>
        </w:rPr>
        <w:t>their credibility as service consultants is increased, and thereby their credibility with other professionals.   Wi</w:t>
      </w:r>
      <w:r w:rsidR="00E07C4E" w:rsidRPr="003912A0">
        <w:rPr>
          <w:rFonts w:ascii="Arial" w:hAnsi="Arial" w:cs="Arial"/>
          <w:color w:val="000000"/>
          <w:sz w:val="24"/>
          <w:szCs w:val="24"/>
        </w:rPr>
        <w:t>thout an established network, a representative cannot take a</w:t>
      </w:r>
      <w:r w:rsidR="00E07C4E" w:rsidRPr="00AA45F7">
        <w:rPr>
          <w:rFonts w:ascii="Arial" w:hAnsi="Arial" w:cs="Arial"/>
          <w:color w:val="000000"/>
          <w:sz w:val="24"/>
          <w:szCs w:val="24"/>
        </w:rPr>
        <w:t xml:space="preserve"> mandate from their peers, they are not accountable to the group, and cannot be said to represent the group (Barnes, 1997).</w:t>
      </w:r>
      <w:r w:rsidR="00E07C4E">
        <w:rPr>
          <w:rFonts w:ascii="Arial" w:hAnsi="Arial" w:cs="Arial"/>
          <w:color w:val="000000"/>
          <w:sz w:val="24"/>
          <w:szCs w:val="24"/>
        </w:rPr>
        <w:t xml:space="preserve">  </w:t>
      </w:r>
      <w:r w:rsidR="006279EA">
        <w:rPr>
          <w:rFonts w:ascii="Arial" w:hAnsi="Arial" w:cs="Arial"/>
          <w:color w:val="000000"/>
          <w:sz w:val="24"/>
          <w:szCs w:val="24"/>
        </w:rPr>
        <w:lastRenderedPageBreak/>
        <w:t xml:space="preserve">This </w:t>
      </w:r>
      <w:r w:rsidR="00BE0BF9">
        <w:rPr>
          <w:rFonts w:ascii="Arial" w:hAnsi="Arial" w:cs="Arial"/>
          <w:color w:val="000000"/>
          <w:sz w:val="24"/>
          <w:szCs w:val="24"/>
        </w:rPr>
        <w:t xml:space="preserve">analysis </w:t>
      </w:r>
      <w:r w:rsidR="006279EA">
        <w:rPr>
          <w:rFonts w:ascii="Arial" w:hAnsi="Arial" w:cs="Arial"/>
          <w:color w:val="000000"/>
          <w:sz w:val="24"/>
          <w:szCs w:val="24"/>
        </w:rPr>
        <w:t>directly challenges the premise that embedding a lecturer with lived experience in a university department is a sustainable model for implementing user involvement in social work education.</w:t>
      </w:r>
    </w:p>
    <w:p w:rsidR="00E07C4E" w:rsidRDefault="00E07C4E" w:rsidP="0029382E">
      <w:pPr>
        <w:spacing w:before="100" w:beforeAutospacing="1" w:after="100" w:afterAutospacing="1" w:line="360" w:lineRule="auto"/>
        <w:rPr>
          <w:rFonts w:ascii="Arial" w:hAnsi="Arial" w:cs="Arial"/>
          <w:sz w:val="24"/>
          <w:szCs w:val="24"/>
        </w:rPr>
      </w:pPr>
    </w:p>
    <w:p w:rsidR="00BE0BF9" w:rsidRDefault="006279EA" w:rsidP="00E07C4E">
      <w:pPr>
        <w:spacing w:before="100" w:beforeAutospacing="1" w:after="100" w:afterAutospacing="1" w:line="360" w:lineRule="auto"/>
        <w:rPr>
          <w:rFonts w:ascii="Arial" w:hAnsi="Arial" w:cs="Arial"/>
          <w:sz w:val="24"/>
          <w:szCs w:val="24"/>
        </w:rPr>
      </w:pPr>
      <w:r>
        <w:rPr>
          <w:rFonts w:ascii="Arial" w:hAnsi="Arial" w:cs="Arial"/>
          <w:sz w:val="24"/>
          <w:szCs w:val="24"/>
        </w:rPr>
        <w:t xml:space="preserve">Furthermore </w:t>
      </w:r>
      <w:r w:rsidR="00817C68" w:rsidRPr="00887A1F">
        <w:rPr>
          <w:rFonts w:ascii="Arial" w:hAnsi="Arial" w:cs="Arial"/>
          <w:sz w:val="24"/>
          <w:szCs w:val="24"/>
        </w:rPr>
        <w:t xml:space="preserve">Stickley (2006) radically questions the reality of service user involvement in mental health services </w:t>
      </w:r>
      <w:r w:rsidR="00F25AE9" w:rsidRPr="00887A1F">
        <w:rPr>
          <w:rFonts w:ascii="Arial" w:hAnsi="Arial" w:cs="Arial"/>
          <w:sz w:val="24"/>
          <w:szCs w:val="24"/>
        </w:rPr>
        <w:t xml:space="preserve">by </w:t>
      </w:r>
      <w:r w:rsidR="00817C68" w:rsidRPr="00887A1F">
        <w:rPr>
          <w:rFonts w:ascii="Arial" w:hAnsi="Arial" w:cs="Arial"/>
          <w:sz w:val="24"/>
          <w:szCs w:val="24"/>
        </w:rPr>
        <w:t>asking if the participat</w:t>
      </w:r>
      <w:r w:rsidR="00E6408C" w:rsidRPr="00887A1F">
        <w:rPr>
          <w:rFonts w:ascii="Arial" w:hAnsi="Arial" w:cs="Arial"/>
          <w:sz w:val="24"/>
          <w:szCs w:val="24"/>
        </w:rPr>
        <w:t>ion agenda is tokenistic, conform</w:t>
      </w:r>
      <w:r w:rsidR="00394FB7" w:rsidRPr="00887A1F">
        <w:rPr>
          <w:rFonts w:ascii="Arial" w:hAnsi="Arial" w:cs="Arial"/>
          <w:sz w:val="24"/>
          <w:szCs w:val="24"/>
        </w:rPr>
        <w:t>ing</w:t>
      </w:r>
      <w:r w:rsidR="00E6408C" w:rsidRPr="00887A1F">
        <w:rPr>
          <w:rFonts w:ascii="Arial" w:hAnsi="Arial" w:cs="Arial"/>
          <w:sz w:val="24"/>
          <w:szCs w:val="24"/>
        </w:rPr>
        <w:t xml:space="preserve"> to empty</w:t>
      </w:r>
      <w:r w:rsidR="00817C68" w:rsidRPr="00887A1F">
        <w:rPr>
          <w:rFonts w:ascii="Arial" w:hAnsi="Arial" w:cs="Arial"/>
          <w:sz w:val="24"/>
          <w:szCs w:val="24"/>
        </w:rPr>
        <w:t xml:space="preserve"> rhetoric</w:t>
      </w:r>
      <w:r w:rsidR="00394FB7" w:rsidRPr="00887A1F">
        <w:rPr>
          <w:rFonts w:ascii="Arial" w:hAnsi="Arial" w:cs="Arial"/>
          <w:sz w:val="24"/>
          <w:szCs w:val="24"/>
        </w:rPr>
        <w:t>.</w:t>
      </w:r>
      <w:r w:rsidR="00817C68" w:rsidRPr="00887A1F">
        <w:rPr>
          <w:rFonts w:ascii="Arial" w:hAnsi="Arial" w:cs="Arial"/>
          <w:sz w:val="24"/>
          <w:szCs w:val="24"/>
        </w:rPr>
        <w:t xml:space="preserve">   </w:t>
      </w:r>
      <w:r w:rsidR="00BE0BF9">
        <w:rPr>
          <w:rFonts w:ascii="Arial" w:hAnsi="Arial" w:cs="Arial"/>
          <w:color w:val="231F20"/>
          <w:sz w:val="24"/>
          <w:szCs w:val="24"/>
        </w:rPr>
        <w:t xml:space="preserve">He </w:t>
      </w:r>
      <w:r w:rsidR="00817C68" w:rsidRPr="00887A1F">
        <w:rPr>
          <w:rFonts w:ascii="Arial" w:hAnsi="Arial" w:cs="Arial"/>
          <w:sz w:val="24"/>
          <w:szCs w:val="24"/>
        </w:rPr>
        <w:t>argues that if service users sit on committee</w:t>
      </w:r>
      <w:r w:rsidR="00E6408C" w:rsidRPr="00887A1F">
        <w:rPr>
          <w:rFonts w:ascii="Arial" w:hAnsi="Arial" w:cs="Arial"/>
          <w:sz w:val="24"/>
          <w:szCs w:val="24"/>
        </w:rPr>
        <w:t>s</w:t>
      </w:r>
      <w:r w:rsidR="00817C68" w:rsidRPr="00887A1F">
        <w:rPr>
          <w:rFonts w:ascii="Arial" w:hAnsi="Arial" w:cs="Arial"/>
          <w:sz w:val="24"/>
          <w:szCs w:val="24"/>
        </w:rPr>
        <w:t xml:space="preserve"> and become too professionalised then they can no longer challenge the dominant mental health discourse which has disempowered and disabled service users throughout many years.</w:t>
      </w:r>
      <w:r w:rsidR="00F25AE9" w:rsidRPr="00887A1F">
        <w:rPr>
          <w:rFonts w:ascii="Arial" w:hAnsi="Arial" w:cs="Arial"/>
          <w:sz w:val="24"/>
          <w:szCs w:val="24"/>
        </w:rPr>
        <w:t xml:space="preserve">  Stickley (2006, p. 576) contends</w:t>
      </w:r>
      <w:r w:rsidR="00817C68" w:rsidRPr="00887A1F">
        <w:rPr>
          <w:rFonts w:ascii="Arial" w:hAnsi="Arial" w:cs="Arial"/>
          <w:sz w:val="24"/>
          <w:szCs w:val="24"/>
        </w:rPr>
        <w:t xml:space="preserve"> </w:t>
      </w:r>
      <w:r w:rsidR="0030243B" w:rsidRPr="00887A1F">
        <w:rPr>
          <w:rFonts w:ascii="Arial" w:hAnsi="Arial" w:cs="Arial"/>
          <w:color w:val="231F20"/>
          <w:sz w:val="24"/>
          <w:szCs w:val="24"/>
        </w:rPr>
        <w:t xml:space="preserve">that </w:t>
      </w:r>
      <w:r w:rsidR="0030243B" w:rsidRPr="00887A1F">
        <w:rPr>
          <w:rFonts w:ascii="Arial" w:hAnsi="Arial" w:cs="Arial"/>
          <w:sz w:val="24"/>
          <w:szCs w:val="24"/>
        </w:rPr>
        <w:t>‘</w:t>
      </w:r>
      <w:r w:rsidR="00817C68" w:rsidRPr="00887A1F">
        <w:rPr>
          <w:rFonts w:ascii="Arial" w:hAnsi="Arial" w:cs="Arial"/>
          <w:sz w:val="24"/>
          <w:szCs w:val="24"/>
        </w:rPr>
        <w:t>The very system employed by those within positions of power to apparently promote more democratic change, that is, service user involvement in the existing powerful psychiatric system, is the very structure that will con</w:t>
      </w:r>
      <w:r w:rsidR="0030243B" w:rsidRPr="00887A1F">
        <w:rPr>
          <w:rFonts w:ascii="Arial" w:hAnsi="Arial" w:cs="Arial"/>
          <w:sz w:val="24"/>
          <w:szCs w:val="24"/>
        </w:rPr>
        <w:t>tinue to retain overall control’</w:t>
      </w:r>
      <w:r w:rsidR="00817C68" w:rsidRPr="00887A1F">
        <w:rPr>
          <w:rFonts w:ascii="Arial" w:hAnsi="Arial" w:cs="Arial"/>
          <w:sz w:val="24"/>
          <w:szCs w:val="24"/>
        </w:rPr>
        <w:t xml:space="preserve">. He </w:t>
      </w:r>
      <w:r w:rsidR="00125540" w:rsidRPr="00887A1F">
        <w:rPr>
          <w:rFonts w:ascii="Arial" w:hAnsi="Arial" w:cs="Arial"/>
          <w:sz w:val="24"/>
          <w:szCs w:val="24"/>
        </w:rPr>
        <w:t>argues for the necessity to c</w:t>
      </w:r>
      <w:r w:rsidR="0030243B" w:rsidRPr="00887A1F">
        <w:rPr>
          <w:rFonts w:ascii="Arial" w:hAnsi="Arial" w:cs="Arial"/>
          <w:sz w:val="24"/>
          <w:szCs w:val="24"/>
        </w:rPr>
        <w:t>onfront</w:t>
      </w:r>
      <w:r w:rsidR="00125540" w:rsidRPr="00887A1F">
        <w:rPr>
          <w:rFonts w:ascii="Arial" w:hAnsi="Arial" w:cs="Arial"/>
          <w:sz w:val="24"/>
          <w:szCs w:val="24"/>
        </w:rPr>
        <w:t xml:space="preserve"> the hegemonic authorities </w:t>
      </w:r>
      <w:r w:rsidR="00817C68" w:rsidRPr="00887A1F">
        <w:rPr>
          <w:rFonts w:ascii="Arial" w:hAnsi="Arial" w:cs="Arial"/>
          <w:sz w:val="24"/>
          <w:szCs w:val="24"/>
        </w:rPr>
        <w:t xml:space="preserve">to enable service users to challenge the oppression of mental health services. </w:t>
      </w:r>
    </w:p>
    <w:p w:rsidR="00BE0BF9" w:rsidRDefault="00BE0BF9" w:rsidP="0029382E">
      <w:pPr>
        <w:autoSpaceDE w:val="0"/>
        <w:autoSpaceDN w:val="0"/>
        <w:adjustRightInd w:val="0"/>
        <w:spacing w:after="0" w:line="360" w:lineRule="auto"/>
        <w:rPr>
          <w:rFonts w:ascii="Arial" w:hAnsi="Arial" w:cs="Arial"/>
          <w:sz w:val="24"/>
          <w:szCs w:val="24"/>
        </w:rPr>
      </w:pPr>
    </w:p>
    <w:p w:rsidR="00EB0888" w:rsidRDefault="00BE0BF9" w:rsidP="00887A1F">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This analysis highlights that the </w:t>
      </w:r>
      <w:r w:rsidR="00246963">
        <w:rPr>
          <w:rFonts w:ascii="Arial" w:hAnsi="Arial" w:cs="Arial"/>
          <w:sz w:val="24"/>
          <w:szCs w:val="24"/>
        </w:rPr>
        <w:t xml:space="preserve">very </w:t>
      </w:r>
      <w:r w:rsidR="004D4624">
        <w:rPr>
          <w:rFonts w:ascii="Arial" w:hAnsi="Arial" w:cs="Arial"/>
          <w:sz w:val="24"/>
          <w:szCs w:val="24"/>
        </w:rPr>
        <w:t>processes of involvement impact on what we consider are effective ways to convey authentic and tangible expertise-by-experience to health and social care students.</w:t>
      </w:r>
      <w:r>
        <w:rPr>
          <w:rFonts w:ascii="Arial" w:hAnsi="Arial" w:cs="Arial"/>
          <w:sz w:val="24"/>
          <w:szCs w:val="24"/>
        </w:rPr>
        <w:t xml:space="preserve">  </w:t>
      </w:r>
      <w:r>
        <w:rPr>
          <w:rFonts w:ascii="Arial" w:eastAsia="Times New Roman" w:hAnsi="Arial" w:cs="Arial"/>
          <w:color w:val="000000"/>
          <w:sz w:val="24"/>
          <w:szCs w:val="24"/>
        </w:rPr>
        <w:t>However the questions remains: d</w:t>
      </w:r>
      <w:r w:rsidRPr="00887A1F">
        <w:rPr>
          <w:rFonts w:ascii="Arial" w:hAnsi="Arial" w:cs="Arial"/>
          <w:color w:val="231F20"/>
          <w:sz w:val="24"/>
          <w:szCs w:val="24"/>
        </w:rPr>
        <w:t xml:space="preserve">oes my role as a service user and lecturer suggest an innovation that has potential to transform education and focus it on user expertise, or does it rather suggest a concession to the user involvement agenda?  </w:t>
      </w:r>
      <w:r>
        <w:rPr>
          <w:rFonts w:ascii="Arial" w:hAnsi="Arial" w:cs="Arial"/>
          <w:color w:val="231F20"/>
          <w:sz w:val="24"/>
          <w:szCs w:val="24"/>
        </w:rPr>
        <w:t>And even more widely</w:t>
      </w:r>
      <w:r w:rsidR="00246963">
        <w:rPr>
          <w:rFonts w:ascii="Arial" w:hAnsi="Arial" w:cs="Arial"/>
          <w:color w:val="231F20"/>
          <w:sz w:val="24"/>
          <w:szCs w:val="24"/>
        </w:rPr>
        <w:t>;</w:t>
      </w:r>
      <w:r>
        <w:rPr>
          <w:rFonts w:ascii="Arial" w:hAnsi="Arial" w:cs="Arial"/>
          <w:color w:val="231F20"/>
          <w:sz w:val="24"/>
          <w:szCs w:val="24"/>
        </w:rPr>
        <w:t xml:space="preserve"> </w:t>
      </w:r>
      <w:r>
        <w:rPr>
          <w:rFonts w:ascii="Arial" w:hAnsi="Arial" w:cs="Arial"/>
          <w:color w:val="000000"/>
          <w:sz w:val="24"/>
          <w:szCs w:val="24"/>
        </w:rPr>
        <w:t>i</w:t>
      </w:r>
      <w:r>
        <w:rPr>
          <w:rFonts w:ascii="Arial" w:eastAsia="Times New Roman" w:hAnsi="Arial" w:cs="Arial"/>
          <w:color w:val="000000"/>
          <w:sz w:val="24"/>
          <w:szCs w:val="24"/>
        </w:rPr>
        <w:t xml:space="preserve">s a singular model of user representation credible or should a collective model of representation be developed in university social work departments?  </w:t>
      </w:r>
      <w:r>
        <w:rPr>
          <w:rFonts w:ascii="Arial" w:hAnsi="Arial" w:cs="Arial"/>
          <w:color w:val="231F20"/>
          <w:sz w:val="24"/>
          <w:szCs w:val="24"/>
        </w:rPr>
        <w:t xml:space="preserve">This allows us to </w:t>
      </w:r>
      <w:r w:rsidR="00EB0888">
        <w:rPr>
          <w:rFonts w:ascii="Arial" w:hAnsi="Arial" w:cs="Arial"/>
          <w:color w:val="231F20"/>
          <w:sz w:val="24"/>
          <w:szCs w:val="24"/>
        </w:rPr>
        <w:t>r</w:t>
      </w:r>
      <w:r w:rsidR="00C57071">
        <w:rPr>
          <w:rFonts w:ascii="Arial" w:hAnsi="Arial" w:cs="Arial"/>
          <w:color w:val="231F20"/>
          <w:sz w:val="24"/>
          <w:szCs w:val="24"/>
        </w:rPr>
        <w:t>eturn to the original question</w:t>
      </w:r>
      <w:r w:rsidR="00EB0888">
        <w:rPr>
          <w:rFonts w:ascii="Arial" w:hAnsi="Arial" w:cs="Arial"/>
          <w:color w:val="231F20"/>
          <w:sz w:val="24"/>
          <w:szCs w:val="24"/>
        </w:rPr>
        <w:t>:</w:t>
      </w:r>
      <w:r w:rsidR="00C57071">
        <w:rPr>
          <w:rFonts w:ascii="Arial" w:hAnsi="Arial" w:cs="Arial"/>
          <w:color w:val="231F20"/>
          <w:sz w:val="24"/>
          <w:szCs w:val="24"/>
        </w:rPr>
        <w:t xml:space="preserve"> </w:t>
      </w:r>
      <w:r w:rsidR="00C57071">
        <w:rPr>
          <w:rFonts w:ascii="Arial" w:hAnsi="Arial" w:cs="Arial"/>
          <w:sz w:val="24"/>
          <w:szCs w:val="24"/>
        </w:rPr>
        <w:t>how and</w:t>
      </w:r>
      <w:r w:rsidR="008E28D0" w:rsidRPr="00887A1F">
        <w:rPr>
          <w:rFonts w:ascii="Arial" w:hAnsi="Arial" w:cs="Arial"/>
          <w:sz w:val="24"/>
          <w:szCs w:val="24"/>
        </w:rPr>
        <w:t xml:space="preserve"> when </w:t>
      </w:r>
      <w:r w:rsidR="00C57071">
        <w:rPr>
          <w:rFonts w:ascii="Arial" w:hAnsi="Arial" w:cs="Arial"/>
          <w:sz w:val="24"/>
          <w:szCs w:val="24"/>
        </w:rPr>
        <w:t xml:space="preserve">should </w:t>
      </w:r>
      <w:r w:rsidR="007F6B34" w:rsidRPr="00887A1F">
        <w:rPr>
          <w:rFonts w:ascii="Arial" w:hAnsi="Arial" w:cs="Arial"/>
          <w:sz w:val="24"/>
          <w:szCs w:val="24"/>
        </w:rPr>
        <w:t xml:space="preserve">lecturers </w:t>
      </w:r>
      <w:r w:rsidR="008E28D0" w:rsidRPr="00887A1F">
        <w:rPr>
          <w:rFonts w:ascii="Arial" w:hAnsi="Arial" w:cs="Arial"/>
          <w:sz w:val="24"/>
          <w:szCs w:val="24"/>
        </w:rPr>
        <w:t xml:space="preserve">who use services </w:t>
      </w:r>
      <w:r w:rsidR="007F6B34" w:rsidRPr="00887A1F">
        <w:rPr>
          <w:rFonts w:ascii="Arial" w:hAnsi="Arial" w:cs="Arial"/>
          <w:sz w:val="24"/>
          <w:szCs w:val="24"/>
        </w:rPr>
        <w:t xml:space="preserve">share </w:t>
      </w:r>
      <w:r w:rsidR="00830415" w:rsidRPr="00887A1F">
        <w:rPr>
          <w:rFonts w:ascii="Arial" w:hAnsi="Arial" w:cs="Arial"/>
          <w:sz w:val="24"/>
          <w:szCs w:val="24"/>
        </w:rPr>
        <w:t>experiential wisdom</w:t>
      </w:r>
      <w:r w:rsidR="00037317" w:rsidRPr="00887A1F">
        <w:rPr>
          <w:rFonts w:ascii="Arial" w:hAnsi="Arial" w:cs="Arial"/>
          <w:sz w:val="24"/>
          <w:szCs w:val="24"/>
        </w:rPr>
        <w:t xml:space="preserve"> in teaching and what is the nature </w:t>
      </w:r>
      <w:r w:rsidR="00AC75DB" w:rsidRPr="00887A1F">
        <w:rPr>
          <w:rFonts w:ascii="Arial" w:hAnsi="Arial" w:cs="Arial"/>
          <w:sz w:val="24"/>
          <w:szCs w:val="24"/>
        </w:rPr>
        <w:t>of their expertise and authorit</w:t>
      </w:r>
      <w:r w:rsidR="00C57071">
        <w:rPr>
          <w:rFonts w:ascii="Arial" w:hAnsi="Arial" w:cs="Arial"/>
          <w:sz w:val="24"/>
          <w:szCs w:val="24"/>
        </w:rPr>
        <w:t>y?</w:t>
      </w:r>
      <w:r w:rsidR="007F6B34" w:rsidRPr="00887A1F">
        <w:rPr>
          <w:rFonts w:ascii="Arial" w:hAnsi="Arial" w:cs="Arial"/>
          <w:sz w:val="24"/>
          <w:szCs w:val="24"/>
        </w:rPr>
        <w:t xml:space="preserve">  </w:t>
      </w:r>
    </w:p>
    <w:p w:rsidR="00EB0888" w:rsidRDefault="00EB0888" w:rsidP="00887A1F">
      <w:pPr>
        <w:autoSpaceDE w:val="0"/>
        <w:autoSpaceDN w:val="0"/>
        <w:adjustRightInd w:val="0"/>
        <w:spacing w:after="0" w:line="360" w:lineRule="auto"/>
        <w:rPr>
          <w:rFonts w:ascii="Arial" w:hAnsi="Arial" w:cs="Arial"/>
          <w:sz w:val="24"/>
          <w:szCs w:val="24"/>
        </w:rPr>
      </w:pPr>
    </w:p>
    <w:p w:rsidR="008E28D0" w:rsidRPr="00887A1F" w:rsidRDefault="00246963" w:rsidP="00887A1F">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Contention </w:t>
      </w:r>
      <w:r w:rsidR="00852822">
        <w:rPr>
          <w:rFonts w:ascii="Arial" w:hAnsi="Arial" w:cs="Arial"/>
          <w:sz w:val="24"/>
          <w:szCs w:val="24"/>
        </w:rPr>
        <w:t xml:space="preserve">about the knowledge that a professional lecturer should share when teaching social work students </w:t>
      </w:r>
      <w:r w:rsidR="00394FB7" w:rsidRPr="00887A1F">
        <w:rPr>
          <w:rFonts w:ascii="Arial" w:hAnsi="Arial" w:cs="Arial"/>
          <w:sz w:val="24"/>
          <w:szCs w:val="24"/>
        </w:rPr>
        <w:t xml:space="preserve">parallels </w:t>
      </w:r>
      <w:r w:rsidR="00917F1A" w:rsidRPr="00887A1F">
        <w:rPr>
          <w:rFonts w:ascii="Arial" w:hAnsi="Arial" w:cs="Arial"/>
          <w:sz w:val="24"/>
          <w:szCs w:val="24"/>
        </w:rPr>
        <w:t xml:space="preserve">much debate </w:t>
      </w:r>
      <w:r w:rsidR="00394FB7" w:rsidRPr="00887A1F">
        <w:rPr>
          <w:rFonts w:ascii="Arial" w:hAnsi="Arial" w:cs="Arial"/>
          <w:sz w:val="24"/>
          <w:szCs w:val="24"/>
        </w:rPr>
        <w:t xml:space="preserve">in mental health care as we consider the role of </w:t>
      </w:r>
      <w:r w:rsidR="00E4362A" w:rsidRPr="00887A1F">
        <w:rPr>
          <w:rFonts w:ascii="Arial" w:hAnsi="Arial" w:cs="Arial"/>
          <w:sz w:val="24"/>
          <w:szCs w:val="24"/>
        </w:rPr>
        <w:t>Peer Support Workers (</w:t>
      </w:r>
      <w:r w:rsidR="000B7446" w:rsidRPr="00887A1F">
        <w:rPr>
          <w:rFonts w:ascii="Arial" w:hAnsi="Arial" w:cs="Arial"/>
          <w:sz w:val="24"/>
          <w:szCs w:val="24"/>
        </w:rPr>
        <w:t>PSWs</w:t>
      </w:r>
      <w:r w:rsidR="00E4362A" w:rsidRPr="00887A1F">
        <w:rPr>
          <w:rFonts w:ascii="Arial" w:hAnsi="Arial" w:cs="Arial"/>
          <w:sz w:val="24"/>
          <w:szCs w:val="24"/>
        </w:rPr>
        <w:t>)</w:t>
      </w:r>
      <w:r w:rsidR="000B7446" w:rsidRPr="00887A1F">
        <w:rPr>
          <w:rFonts w:ascii="Arial" w:hAnsi="Arial" w:cs="Arial"/>
          <w:sz w:val="24"/>
          <w:szCs w:val="24"/>
        </w:rPr>
        <w:t xml:space="preserve"> </w:t>
      </w:r>
      <w:r w:rsidR="000B7446" w:rsidRPr="00887A1F">
        <w:rPr>
          <w:rFonts w:ascii="Arial" w:hAnsi="Arial" w:cs="Arial"/>
          <w:sz w:val="24"/>
          <w:szCs w:val="24"/>
        </w:rPr>
        <w:lastRenderedPageBreak/>
        <w:t>in supporting recovery</w:t>
      </w:r>
      <w:r w:rsidR="00394FB7" w:rsidRPr="00887A1F">
        <w:rPr>
          <w:rFonts w:ascii="Arial" w:hAnsi="Arial" w:cs="Arial"/>
          <w:sz w:val="24"/>
          <w:szCs w:val="24"/>
        </w:rPr>
        <w:t>.</w:t>
      </w:r>
      <w:r w:rsidR="000B7446" w:rsidRPr="00887A1F">
        <w:rPr>
          <w:rFonts w:ascii="Arial" w:hAnsi="Arial" w:cs="Arial"/>
          <w:sz w:val="24"/>
          <w:szCs w:val="24"/>
        </w:rPr>
        <w:t xml:space="preserve"> </w:t>
      </w:r>
      <w:r w:rsidR="002008AA">
        <w:rPr>
          <w:rFonts w:ascii="Arial" w:hAnsi="Arial" w:cs="Arial"/>
          <w:sz w:val="24"/>
          <w:szCs w:val="24"/>
        </w:rPr>
        <w:t xml:space="preserve">PSWs </w:t>
      </w:r>
      <w:r w:rsidR="00FD4318" w:rsidRPr="00887A1F">
        <w:rPr>
          <w:rFonts w:ascii="Arial" w:hAnsi="Arial" w:cs="Arial"/>
          <w:sz w:val="24"/>
          <w:szCs w:val="24"/>
        </w:rPr>
        <w:t xml:space="preserve">are employed to </w:t>
      </w:r>
      <w:r w:rsidR="00914794" w:rsidRPr="00887A1F">
        <w:rPr>
          <w:rFonts w:ascii="Arial" w:hAnsi="Arial" w:cs="Arial"/>
          <w:sz w:val="24"/>
          <w:szCs w:val="24"/>
        </w:rPr>
        <w:t xml:space="preserve">use their experiences of recovery to mentor other service users and are beginning to </w:t>
      </w:r>
      <w:r>
        <w:rPr>
          <w:rFonts w:ascii="Arial" w:hAnsi="Arial" w:cs="Arial"/>
          <w:sz w:val="24"/>
          <w:szCs w:val="24"/>
        </w:rPr>
        <w:t>gain</w:t>
      </w:r>
      <w:r w:rsidR="00914794" w:rsidRPr="00887A1F">
        <w:rPr>
          <w:rFonts w:ascii="Arial" w:hAnsi="Arial" w:cs="Arial"/>
          <w:sz w:val="24"/>
          <w:szCs w:val="24"/>
        </w:rPr>
        <w:t xml:space="preserve"> a greater presence i</w:t>
      </w:r>
      <w:r w:rsidR="00F70BB2" w:rsidRPr="00887A1F">
        <w:rPr>
          <w:rFonts w:ascii="Arial" w:hAnsi="Arial" w:cs="Arial"/>
          <w:sz w:val="24"/>
          <w:szCs w:val="24"/>
        </w:rPr>
        <w:t>n mental health care (</w:t>
      </w:r>
      <w:r w:rsidR="003377DE" w:rsidRPr="00887A1F">
        <w:rPr>
          <w:rFonts w:ascii="Arial" w:hAnsi="Arial" w:cs="Arial"/>
          <w:sz w:val="24"/>
          <w:szCs w:val="24"/>
        </w:rPr>
        <w:t>Ockwell, 2012</w:t>
      </w:r>
      <w:r w:rsidR="003377DE">
        <w:rPr>
          <w:rFonts w:ascii="Arial" w:hAnsi="Arial" w:cs="Arial"/>
          <w:sz w:val="24"/>
          <w:szCs w:val="24"/>
        </w:rPr>
        <w:t xml:space="preserve">; </w:t>
      </w:r>
      <w:r w:rsidR="00F70BB2" w:rsidRPr="00887A1F">
        <w:rPr>
          <w:rFonts w:ascii="Arial" w:hAnsi="Arial" w:cs="Arial"/>
          <w:sz w:val="24"/>
          <w:szCs w:val="24"/>
        </w:rPr>
        <w:t>Repper &amp;</w:t>
      </w:r>
      <w:r w:rsidR="00914794" w:rsidRPr="00887A1F">
        <w:rPr>
          <w:rFonts w:ascii="Arial" w:hAnsi="Arial" w:cs="Arial"/>
          <w:sz w:val="24"/>
          <w:szCs w:val="24"/>
        </w:rPr>
        <w:t xml:space="preserve"> Carter, 2010) as their authority is becoming more recognised</w:t>
      </w:r>
      <w:r w:rsidR="00E4362A" w:rsidRPr="00887A1F">
        <w:rPr>
          <w:rFonts w:ascii="Arial" w:hAnsi="Arial" w:cs="Arial"/>
          <w:sz w:val="24"/>
          <w:szCs w:val="24"/>
        </w:rPr>
        <w:t xml:space="preserve">.  </w:t>
      </w:r>
      <w:r w:rsidR="00F1660D" w:rsidRPr="00887A1F">
        <w:rPr>
          <w:rFonts w:ascii="Arial" w:hAnsi="Arial" w:cs="Arial"/>
          <w:sz w:val="24"/>
          <w:szCs w:val="24"/>
        </w:rPr>
        <w:t>The</w:t>
      </w:r>
      <w:r w:rsidR="0022564F" w:rsidRPr="00887A1F">
        <w:rPr>
          <w:rFonts w:ascii="Arial" w:hAnsi="Arial" w:cs="Arial"/>
          <w:sz w:val="24"/>
          <w:szCs w:val="24"/>
        </w:rPr>
        <w:t xml:space="preserve"> debate </w:t>
      </w:r>
      <w:r w:rsidR="00F1660D" w:rsidRPr="00887A1F">
        <w:rPr>
          <w:rFonts w:ascii="Arial" w:hAnsi="Arial" w:cs="Arial"/>
          <w:sz w:val="24"/>
          <w:szCs w:val="24"/>
        </w:rPr>
        <w:t xml:space="preserve">about the role of PSWs in mental health care </w:t>
      </w:r>
      <w:r w:rsidR="0022564F" w:rsidRPr="00887A1F">
        <w:rPr>
          <w:rFonts w:ascii="Arial" w:hAnsi="Arial" w:cs="Arial"/>
          <w:sz w:val="24"/>
          <w:szCs w:val="24"/>
        </w:rPr>
        <w:t xml:space="preserve">can help us to locate </w:t>
      </w:r>
      <w:r w:rsidR="00F1660D" w:rsidRPr="00887A1F">
        <w:rPr>
          <w:rFonts w:ascii="Arial" w:hAnsi="Arial" w:cs="Arial"/>
          <w:sz w:val="24"/>
          <w:szCs w:val="24"/>
        </w:rPr>
        <w:t xml:space="preserve">current arguments about </w:t>
      </w:r>
      <w:r w:rsidR="0022564F" w:rsidRPr="00887A1F">
        <w:rPr>
          <w:rFonts w:ascii="Arial" w:hAnsi="Arial" w:cs="Arial"/>
          <w:sz w:val="24"/>
          <w:szCs w:val="24"/>
        </w:rPr>
        <w:t>the role of the service user lecturer in social work education</w:t>
      </w:r>
      <w:r w:rsidR="00FD4318" w:rsidRPr="00887A1F">
        <w:rPr>
          <w:rFonts w:ascii="Arial" w:hAnsi="Arial" w:cs="Arial"/>
          <w:sz w:val="24"/>
          <w:szCs w:val="24"/>
        </w:rPr>
        <w:t xml:space="preserve"> for</w:t>
      </w:r>
      <w:r w:rsidR="00917F1A" w:rsidRPr="00887A1F">
        <w:rPr>
          <w:rFonts w:ascii="Arial" w:hAnsi="Arial" w:cs="Arial"/>
          <w:sz w:val="24"/>
          <w:szCs w:val="24"/>
        </w:rPr>
        <w:t xml:space="preserve"> </w:t>
      </w:r>
      <w:r w:rsidR="00F1660D" w:rsidRPr="00887A1F">
        <w:rPr>
          <w:rFonts w:ascii="Arial" w:hAnsi="Arial" w:cs="Arial"/>
          <w:sz w:val="24"/>
          <w:szCs w:val="24"/>
        </w:rPr>
        <w:t>there are many parallel issues.</w:t>
      </w:r>
    </w:p>
    <w:p w:rsidR="008E28D0" w:rsidRPr="00887A1F" w:rsidRDefault="008E28D0" w:rsidP="00887A1F">
      <w:pPr>
        <w:autoSpaceDE w:val="0"/>
        <w:autoSpaceDN w:val="0"/>
        <w:adjustRightInd w:val="0"/>
        <w:spacing w:after="0" w:line="360" w:lineRule="auto"/>
        <w:rPr>
          <w:rFonts w:ascii="Arial" w:hAnsi="Arial" w:cs="Arial"/>
          <w:sz w:val="24"/>
          <w:szCs w:val="24"/>
        </w:rPr>
      </w:pPr>
    </w:p>
    <w:p w:rsidR="000B18EF" w:rsidRPr="00887A1F" w:rsidRDefault="004343BC" w:rsidP="00887A1F">
      <w:pPr>
        <w:autoSpaceDE w:val="0"/>
        <w:autoSpaceDN w:val="0"/>
        <w:adjustRightInd w:val="0"/>
        <w:spacing w:after="0" w:line="360" w:lineRule="auto"/>
        <w:rPr>
          <w:rFonts w:ascii="Arial" w:hAnsi="Arial" w:cs="Arial"/>
          <w:sz w:val="24"/>
          <w:szCs w:val="24"/>
        </w:rPr>
      </w:pPr>
      <w:r w:rsidRPr="00887A1F">
        <w:rPr>
          <w:rFonts w:ascii="Arial" w:hAnsi="Arial" w:cs="Arial"/>
          <w:sz w:val="24"/>
          <w:szCs w:val="24"/>
        </w:rPr>
        <w:t>When service user</w:t>
      </w:r>
      <w:r w:rsidR="00634C42" w:rsidRPr="00887A1F">
        <w:rPr>
          <w:rFonts w:ascii="Arial" w:hAnsi="Arial" w:cs="Arial"/>
          <w:sz w:val="24"/>
          <w:szCs w:val="24"/>
        </w:rPr>
        <w:t>s</w:t>
      </w:r>
      <w:r w:rsidRPr="00887A1F">
        <w:rPr>
          <w:rFonts w:ascii="Arial" w:hAnsi="Arial" w:cs="Arial"/>
          <w:sz w:val="24"/>
          <w:szCs w:val="24"/>
        </w:rPr>
        <w:t xml:space="preserve"> contribute to education</w:t>
      </w:r>
      <w:r w:rsidR="00246963">
        <w:rPr>
          <w:rFonts w:ascii="Arial" w:hAnsi="Arial" w:cs="Arial"/>
          <w:sz w:val="24"/>
          <w:szCs w:val="24"/>
        </w:rPr>
        <w:t>,</w:t>
      </w:r>
      <w:r w:rsidRPr="00887A1F">
        <w:rPr>
          <w:rFonts w:ascii="Arial" w:hAnsi="Arial" w:cs="Arial"/>
          <w:sz w:val="24"/>
          <w:szCs w:val="24"/>
        </w:rPr>
        <w:t xml:space="preserve"> they can help students to understand the need to work from a strengths perspective (Fukai et al, 2012) and to work in a way which promotes hope and optimism – </w:t>
      </w:r>
      <w:r w:rsidR="00634C42" w:rsidRPr="00887A1F">
        <w:rPr>
          <w:rFonts w:ascii="Arial" w:hAnsi="Arial" w:cs="Arial"/>
          <w:sz w:val="24"/>
          <w:szCs w:val="24"/>
        </w:rPr>
        <w:t>in a context which is akin to the contribution that PSWs can make to the service users they mentor</w:t>
      </w:r>
      <w:r w:rsidR="00654D43" w:rsidRPr="00887A1F">
        <w:rPr>
          <w:rFonts w:ascii="Arial" w:hAnsi="Arial" w:cs="Arial"/>
          <w:sz w:val="24"/>
          <w:szCs w:val="24"/>
        </w:rPr>
        <w:t xml:space="preserve"> (Ockwell, 2012)</w:t>
      </w:r>
      <w:r w:rsidR="00634C42" w:rsidRPr="00887A1F">
        <w:rPr>
          <w:rFonts w:ascii="Arial" w:hAnsi="Arial" w:cs="Arial"/>
          <w:sz w:val="24"/>
          <w:szCs w:val="24"/>
        </w:rPr>
        <w:t xml:space="preserve">.  </w:t>
      </w:r>
      <w:r w:rsidR="000C4BFC" w:rsidRPr="00887A1F">
        <w:rPr>
          <w:rFonts w:ascii="Arial" w:hAnsi="Arial" w:cs="Arial"/>
          <w:sz w:val="24"/>
          <w:szCs w:val="24"/>
        </w:rPr>
        <w:t>H</w:t>
      </w:r>
      <w:r w:rsidR="007257C1" w:rsidRPr="00887A1F">
        <w:rPr>
          <w:rFonts w:ascii="Arial" w:hAnsi="Arial" w:cs="Arial"/>
          <w:sz w:val="24"/>
          <w:szCs w:val="24"/>
        </w:rPr>
        <w:t xml:space="preserve">ealth and social care </w:t>
      </w:r>
      <w:r w:rsidR="00555254" w:rsidRPr="00887A1F">
        <w:rPr>
          <w:rFonts w:ascii="Arial" w:hAnsi="Arial" w:cs="Arial"/>
          <w:sz w:val="24"/>
          <w:szCs w:val="24"/>
        </w:rPr>
        <w:t xml:space="preserve">lecturers </w:t>
      </w:r>
      <w:r w:rsidR="000C4BFC" w:rsidRPr="00887A1F">
        <w:rPr>
          <w:rFonts w:ascii="Arial" w:hAnsi="Arial" w:cs="Arial"/>
          <w:sz w:val="24"/>
          <w:szCs w:val="24"/>
        </w:rPr>
        <w:t xml:space="preserve">often </w:t>
      </w:r>
      <w:r w:rsidR="00F31D38" w:rsidRPr="00887A1F">
        <w:rPr>
          <w:rFonts w:ascii="Arial" w:hAnsi="Arial" w:cs="Arial"/>
          <w:sz w:val="24"/>
          <w:szCs w:val="24"/>
        </w:rPr>
        <w:t>question the ability of ser</w:t>
      </w:r>
      <w:r w:rsidR="00555254" w:rsidRPr="00887A1F">
        <w:rPr>
          <w:rFonts w:ascii="Arial" w:hAnsi="Arial" w:cs="Arial"/>
          <w:sz w:val="24"/>
          <w:szCs w:val="24"/>
        </w:rPr>
        <w:t xml:space="preserve">vice users </w:t>
      </w:r>
      <w:r w:rsidR="00F31D38" w:rsidRPr="00887A1F">
        <w:rPr>
          <w:rFonts w:ascii="Arial" w:hAnsi="Arial" w:cs="Arial"/>
          <w:sz w:val="24"/>
          <w:szCs w:val="24"/>
        </w:rPr>
        <w:t>to maintain</w:t>
      </w:r>
      <w:r w:rsidR="007257C1" w:rsidRPr="00887A1F">
        <w:rPr>
          <w:rFonts w:ascii="Arial" w:hAnsi="Arial" w:cs="Arial"/>
          <w:sz w:val="24"/>
          <w:szCs w:val="24"/>
        </w:rPr>
        <w:t xml:space="preserve"> </w:t>
      </w:r>
      <w:r w:rsidR="00634C42" w:rsidRPr="00887A1F">
        <w:rPr>
          <w:rFonts w:ascii="Arial" w:hAnsi="Arial" w:cs="Arial"/>
          <w:sz w:val="24"/>
          <w:szCs w:val="24"/>
        </w:rPr>
        <w:t xml:space="preserve">appropriate </w:t>
      </w:r>
      <w:r w:rsidR="007257C1" w:rsidRPr="00887A1F">
        <w:rPr>
          <w:rFonts w:ascii="Arial" w:hAnsi="Arial" w:cs="Arial"/>
          <w:sz w:val="24"/>
          <w:szCs w:val="24"/>
        </w:rPr>
        <w:t>professional boundaries</w:t>
      </w:r>
      <w:r w:rsidR="000B7446" w:rsidRPr="00887A1F">
        <w:rPr>
          <w:rFonts w:ascii="Arial" w:hAnsi="Arial" w:cs="Arial"/>
          <w:sz w:val="24"/>
          <w:szCs w:val="24"/>
        </w:rPr>
        <w:t xml:space="preserve"> between themselves and students</w:t>
      </w:r>
      <w:r w:rsidR="00F31D38" w:rsidRPr="00887A1F">
        <w:rPr>
          <w:rFonts w:ascii="Arial" w:hAnsi="Arial" w:cs="Arial"/>
          <w:sz w:val="24"/>
          <w:szCs w:val="24"/>
        </w:rPr>
        <w:t xml:space="preserve">; this </w:t>
      </w:r>
      <w:r w:rsidR="007257C1" w:rsidRPr="00887A1F">
        <w:rPr>
          <w:rFonts w:ascii="Arial" w:hAnsi="Arial" w:cs="Arial"/>
          <w:sz w:val="24"/>
          <w:szCs w:val="24"/>
        </w:rPr>
        <w:t xml:space="preserve">is </w:t>
      </w:r>
      <w:r w:rsidR="002F6C12" w:rsidRPr="00887A1F">
        <w:rPr>
          <w:rFonts w:ascii="Arial" w:hAnsi="Arial" w:cs="Arial"/>
          <w:sz w:val="24"/>
          <w:szCs w:val="24"/>
        </w:rPr>
        <w:t xml:space="preserve">similarly </w:t>
      </w:r>
      <w:r w:rsidR="007257C1" w:rsidRPr="00887A1F">
        <w:rPr>
          <w:rFonts w:ascii="Arial" w:hAnsi="Arial" w:cs="Arial"/>
          <w:sz w:val="24"/>
          <w:szCs w:val="24"/>
        </w:rPr>
        <w:t>highlighted by pr</w:t>
      </w:r>
      <w:r w:rsidR="000C4BFC" w:rsidRPr="00887A1F">
        <w:rPr>
          <w:rFonts w:ascii="Arial" w:hAnsi="Arial" w:cs="Arial"/>
          <w:sz w:val="24"/>
          <w:szCs w:val="24"/>
        </w:rPr>
        <w:t>actitioners</w:t>
      </w:r>
      <w:r w:rsidR="007257C1" w:rsidRPr="00887A1F">
        <w:rPr>
          <w:rFonts w:ascii="Arial" w:hAnsi="Arial" w:cs="Arial"/>
          <w:sz w:val="24"/>
          <w:szCs w:val="24"/>
        </w:rPr>
        <w:t xml:space="preserve"> as they consider the role of PSWs </w:t>
      </w:r>
      <w:r w:rsidR="000B7446" w:rsidRPr="00887A1F">
        <w:rPr>
          <w:rFonts w:ascii="Arial" w:hAnsi="Arial" w:cs="Arial"/>
          <w:sz w:val="24"/>
          <w:szCs w:val="24"/>
        </w:rPr>
        <w:t xml:space="preserve">working with service </w:t>
      </w:r>
      <w:r w:rsidR="000B7446" w:rsidRPr="00887A1F">
        <w:rPr>
          <w:rFonts w:ascii="Arial" w:hAnsi="Arial" w:cs="Arial"/>
          <w:sz w:val="24"/>
          <w:szCs w:val="24"/>
        </w:rPr>
        <w:lastRenderedPageBreak/>
        <w:t xml:space="preserve">users and </w:t>
      </w:r>
      <w:r w:rsidR="000B18EF" w:rsidRPr="00887A1F">
        <w:rPr>
          <w:rFonts w:ascii="Arial" w:hAnsi="Arial" w:cs="Arial"/>
          <w:sz w:val="24"/>
          <w:szCs w:val="24"/>
        </w:rPr>
        <w:t xml:space="preserve">in </w:t>
      </w:r>
      <w:r w:rsidR="000B7446" w:rsidRPr="00887A1F">
        <w:rPr>
          <w:rFonts w:ascii="Arial" w:hAnsi="Arial" w:cs="Arial"/>
          <w:sz w:val="24"/>
          <w:szCs w:val="24"/>
        </w:rPr>
        <w:t xml:space="preserve">using their own experiences to support recovery </w:t>
      </w:r>
      <w:r w:rsidR="00F70BB2" w:rsidRPr="00887A1F">
        <w:rPr>
          <w:rFonts w:ascii="Arial" w:hAnsi="Arial" w:cs="Arial"/>
          <w:sz w:val="24"/>
          <w:szCs w:val="24"/>
        </w:rPr>
        <w:t>(Repper &amp;</w:t>
      </w:r>
      <w:r w:rsidR="00EE01C4" w:rsidRPr="00887A1F">
        <w:rPr>
          <w:rFonts w:ascii="Arial" w:hAnsi="Arial" w:cs="Arial"/>
          <w:sz w:val="24"/>
          <w:szCs w:val="24"/>
        </w:rPr>
        <w:t xml:space="preserve"> Carter, 2010).  Duffy et al </w:t>
      </w:r>
      <w:r w:rsidR="007257C1" w:rsidRPr="00887A1F">
        <w:rPr>
          <w:rFonts w:ascii="Arial" w:hAnsi="Arial" w:cs="Arial"/>
          <w:sz w:val="24"/>
          <w:szCs w:val="24"/>
        </w:rPr>
        <w:t xml:space="preserve">(2013) </w:t>
      </w:r>
      <w:r w:rsidR="000C4BFC" w:rsidRPr="00887A1F">
        <w:rPr>
          <w:rFonts w:ascii="Arial" w:hAnsi="Arial" w:cs="Arial"/>
          <w:sz w:val="24"/>
          <w:szCs w:val="24"/>
        </w:rPr>
        <w:t>wanted to protect t</w:t>
      </w:r>
      <w:r w:rsidR="007257C1" w:rsidRPr="00887A1F">
        <w:rPr>
          <w:rFonts w:ascii="Arial" w:hAnsi="Arial" w:cs="Arial"/>
          <w:sz w:val="24"/>
          <w:szCs w:val="24"/>
        </w:rPr>
        <w:t xml:space="preserve">he mental well-being of service users </w:t>
      </w:r>
      <w:r w:rsidR="00F31D38" w:rsidRPr="00887A1F">
        <w:rPr>
          <w:rFonts w:ascii="Arial" w:hAnsi="Arial" w:cs="Arial"/>
          <w:sz w:val="24"/>
          <w:szCs w:val="24"/>
        </w:rPr>
        <w:t xml:space="preserve">as they </w:t>
      </w:r>
      <w:r w:rsidR="000B7446" w:rsidRPr="00887A1F">
        <w:rPr>
          <w:rFonts w:ascii="Arial" w:hAnsi="Arial" w:cs="Arial"/>
          <w:sz w:val="24"/>
          <w:szCs w:val="24"/>
        </w:rPr>
        <w:t>consider</w:t>
      </w:r>
      <w:r w:rsidR="008E28D0" w:rsidRPr="00887A1F">
        <w:rPr>
          <w:rFonts w:ascii="Arial" w:hAnsi="Arial" w:cs="Arial"/>
          <w:sz w:val="24"/>
          <w:szCs w:val="24"/>
        </w:rPr>
        <w:t>ed</w:t>
      </w:r>
      <w:r w:rsidR="000B7446" w:rsidRPr="00887A1F">
        <w:rPr>
          <w:rFonts w:ascii="Arial" w:hAnsi="Arial" w:cs="Arial"/>
          <w:sz w:val="24"/>
          <w:szCs w:val="24"/>
        </w:rPr>
        <w:t xml:space="preserve"> whether they should take </w:t>
      </w:r>
      <w:r w:rsidR="00F31D38" w:rsidRPr="00887A1F">
        <w:rPr>
          <w:rFonts w:ascii="Arial" w:hAnsi="Arial" w:cs="Arial"/>
          <w:sz w:val="24"/>
          <w:szCs w:val="24"/>
        </w:rPr>
        <w:t>part</w:t>
      </w:r>
      <w:r w:rsidR="007257C1" w:rsidRPr="00887A1F">
        <w:rPr>
          <w:rFonts w:ascii="Arial" w:hAnsi="Arial" w:cs="Arial"/>
          <w:sz w:val="24"/>
          <w:szCs w:val="24"/>
        </w:rPr>
        <w:t xml:space="preserve"> in role play scenarios</w:t>
      </w:r>
      <w:r w:rsidR="00246963">
        <w:rPr>
          <w:rFonts w:ascii="Arial" w:hAnsi="Arial" w:cs="Arial"/>
          <w:sz w:val="24"/>
          <w:szCs w:val="24"/>
        </w:rPr>
        <w:t>;</w:t>
      </w:r>
      <w:r w:rsidR="000C4BFC" w:rsidRPr="00887A1F">
        <w:rPr>
          <w:rFonts w:ascii="Arial" w:hAnsi="Arial" w:cs="Arial"/>
          <w:sz w:val="24"/>
          <w:szCs w:val="24"/>
        </w:rPr>
        <w:t xml:space="preserve"> such concerns are </w:t>
      </w:r>
      <w:r w:rsidR="007257C1" w:rsidRPr="00887A1F">
        <w:rPr>
          <w:rFonts w:ascii="Arial" w:hAnsi="Arial" w:cs="Arial"/>
          <w:sz w:val="24"/>
          <w:szCs w:val="24"/>
        </w:rPr>
        <w:t xml:space="preserve">similarly held by health professionals as they </w:t>
      </w:r>
      <w:r w:rsidR="000C4BFC" w:rsidRPr="00887A1F">
        <w:rPr>
          <w:rFonts w:ascii="Arial" w:hAnsi="Arial" w:cs="Arial"/>
          <w:sz w:val="24"/>
          <w:szCs w:val="24"/>
        </w:rPr>
        <w:t>consider the</w:t>
      </w:r>
      <w:r w:rsidR="00F70BB2" w:rsidRPr="00887A1F">
        <w:rPr>
          <w:rFonts w:ascii="Arial" w:hAnsi="Arial" w:cs="Arial"/>
          <w:sz w:val="24"/>
          <w:szCs w:val="24"/>
        </w:rPr>
        <w:t xml:space="preserve"> needs of PSWs (Repper &amp;</w:t>
      </w:r>
      <w:r w:rsidR="007257C1" w:rsidRPr="00887A1F">
        <w:rPr>
          <w:rFonts w:ascii="Arial" w:hAnsi="Arial" w:cs="Arial"/>
          <w:sz w:val="24"/>
          <w:szCs w:val="24"/>
        </w:rPr>
        <w:t xml:space="preserve"> Carter, 2010</w:t>
      </w:r>
      <w:r w:rsidR="00511D03" w:rsidRPr="00887A1F">
        <w:rPr>
          <w:rFonts w:ascii="Arial" w:hAnsi="Arial" w:cs="Arial"/>
          <w:sz w:val="24"/>
          <w:szCs w:val="24"/>
        </w:rPr>
        <w:t>)</w:t>
      </w:r>
      <w:r w:rsidR="000B18EF" w:rsidRPr="00887A1F">
        <w:rPr>
          <w:rFonts w:ascii="Arial" w:hAnsi="Arial" w:cs="Arial"/>
          <w:sz w:val="24"/>
          <w:szCs w:val="24"/>
        </w:rPr>
        <w:t>, highlighting the need to ensure they didn’t take on too many shifts particularly during waking nights</w:t>
      </w:r>
      <w:r w:rsidR="00511D03" w:rsidRPr="00887A1F">
        <w:rPr>
          <w:rFonts w:ascii="Arial" w:hAnsi="Arial" w:cs="Arial"/>
          <w:sz w:val="24"/>
          <w:szCs w:val="24"/>
        </w:rPr>
        <w:t xml:space="preserve">.   </w:t>
      </w:r>
    </w:p>
    <w:p w:rsidR="000B18EF" w:rsidRPr="00887A1F" w:rsidRDefault="000B18EF" w:rsidP="00887A1F">
      <w:pPr>
        <w:autoSpaceDE w:val="0"/>
        <w:autoSpaceDN w:val="0"/>
        <w:adjustRightInd w:val="0"/>
        <w:spacing w:after="0" w:line="360" w:lineRule="auto"/>
        <w:rPr>
          <w:rFonts w:ascii="Arial" w:hAnsi="Arial" w:cs="Arial"/>
          <w:sz w:val="24"/>
          <w:szCs w:val="24"/>
        </w:rPr>
      </w:pPr>
    </w:p>
    <w:p w:rsidR="003818C8" w:rsidRPr="00887A1F" w:rsidRDefault="000B18EF" w:rsidP="00887A1F">
      <w:pPr>
        <w:autoSpaceDE w:val="0"/>
        <w:autoSpaceDN w:val="0"/>
        <w:adjustRightInd w:val="0"/>
        <w:spacing w:after="0" w:line="360" w:lineRule="auto"/>
        <w:rPr>
          <w:rFonts w:ascii="Arial" w:hAnsi="Arial" w:cs="Arial"/>
          <w:sz w:val="24"/>
          <w:szCs w:val="24"/>
        </w:rPr>
      </w:pPr>
      <w:r w:rsidRPr="00887A1F">
        <w:rPr>
          <w:rFonts w:ascii="Arial" w:hAnsi="Arial" w:cs="Arial"/>
          <w:sz w:val="24"/>
          <w:szCs w:val="24"/>
        </w:rPr>
        <w:t>In a wider debate, c</w:t>
      </w:r>
      <w:r w:rsidR="000C4BFC" w:rsidRPr="00887A1F">
        <w:rPr>
          <w:rFonts w:ascii="Arial" w:hAnsi="Arial" w:cs="Arial"/>
          <w:sz w:val="24"/>
          <w:szCs w:val="24"/>
        </w:rPr>
        <w:t xml:space="preserve">oncerns </w:t>
      </w:r>
      <w:r w:rsidR="00F17B9C" w:rsidRPr="00887A1F">
        <w:rPr>
          <w:rFonts w:ascii="Arial" w:hAnsi="Arial" w:cs="Arial"/>
          <w:sz w:val="24"/>
          <w:szCs w:val="24"/>
        </w:rPr>
        <w:t xml:space="preserve">expressed about social work </w:t>
      </w:r>
      <w:r w:rsidR="00F1660D" w:rsidRPr="00887A1F">
        <w:rPr>
          <w:rFonts w:ascii="Arial" w:hAnsi="Arial" w:cs="Arial"/>
          <w:sz w:val="24"/>
          <w:szCs w:val="24"/>
        </w:rPr>
        <w:t xml:space="preserve">educators </w:t>
      </w:r>
      <w:r w:rsidR="000C4BFC" w:rsidRPr="00887A1F">
        <w:rPr>
          <w:rFonts w:ascii="Arial" w:hAnsi="Arial" w:cs="Arial"/>
          <w:sz w:val="24"/>
          <w:szCs w:val="24"/>
        </w:rPr>
        <w:t>incorporating</w:t>
      </w:r>
      <w:r w:rsidR="00917F1A" w:rsidRPr="00887A1F">
        <w:rPr>
          <w:rFonts w:ascii="Arial" w:hAnsi="Arial" w:cs="Arial"/>
          <w:sz w:val="24"/>
          <w:szCs w:val="24"/>
        </w:rPr>
        <w:t xml:space="preserve"> experiential</w:t>
      </w:r>
      <w:r w:rsidR="000C4BFC" w:rsidRPr="00887A1F">
        <w:rPr>
          <w:rFonts w:ascii="Arial" w:hAnsi="Arial" w:cs="Arial"/>
          <w:sz w:val="24"/>
          <w:szCs w:val="24"/>
        </w:rPr>
        <w:t xml:space="preserve"> wisdom alongside </w:t>
      </w:r>
      <w:r w:rsidR="00917F1A" w:rsidRPr="00887A1F">
        <w:rPr>
          <w:rFonts w:ascii="Arial" w:hAnsi="Arial" w:cs="Arial"/>
          <w:sz w:val="24"/>
          <w:szCs w:val="24"/>
        </w:rPr>
        <w:t xml:space="preserve">practice and academic wisdom </w:t>
      </w:r>
      <w:r w:rsidR="00F1660D" w:rsidRPr="00887A1F">
        <w:rPr>
          <w:rFonts w:ascii="Arial" w:hAnsi="Arial" w:cs="Arial"/>
          <w:sz w:val="24"/>
          <w:szCs w:val="24"/>
        </w:rPr>
        <w:t xml:space="preserve">in teaching </w:t>
      </w:r>
      <w:r w:rsidR="000C4BFC" w:rsidRPr="00887A1F">
        <w:rPr>
          <w:rFonts w:ascii="Arial" w:hAnsi="Arial" w:cs="Arial"/>
          <w:sz w:val="24"/>
          <w:szCs w:val="24"/>
        </w:rPr>
        <w:t xml:space="preserve">is paralleled in </w:t>
      </w:r>
      <w:r w:rsidR="00F1660D" w:rsidRPr="00887A1F">
        <w:rPr>
          <w:rFonts w:ascii="Arial" w:hAnsi="Arial" w:cs="Arial"/>
          <w:sz w:val="24"/>
          <w:szCs w:val="24"/>
        </w:rPr>
        <w:t>debates in practice. H</w:t>
      </w:r>
      <w:r w:rsidR="0022564F" w:rsidRPr="00887A1F">
        <w:rPr>
          <w:rFonts w:ascii="Arial" w:hAnsi="Arial" w:cs="Arial"/>
          <w:sz w:val="24"/>
          <w:szCs w:val="24"/>
        </w:rPr>
        <w:t>ow do</w:t>
      </w:r>
      <w:r w:rsidR="00917F1A" w:rsidRPr="00887A1F">
        <w:rPr>
          <w:rFonts w:ascii="Arial" w:hAnsi="Arial" w:cs="Arial"/>
          <w:sz w:val="24"/>
          <w:szCs w:val="24"/>
        </w:rPr>
        <w:t xml:space="preserve"> we locate </w:t>
      </w:r>
      <w:r w:rsidR="000C4BFC" w:rsidRPr="00887A1F">
        <w:rPr>
          <w:rFonts w:ascii="Arial" w:hAnsi="Arial" w:cs="Arial"/>
          <w:sz w:val="24"/>
          <w:szCs w:val="24"/>
        </w:rPr>
        <w:t xml:space="preserve">the place of </w:t>
      </w:r>
      <w:r w:rsidR="0022564F" w:rsidRPr="00887A1F">
        <w:rPr>
          <w:rFonts w:ascii="Arial" w:hAnsi="Arial" w:cs="Arial"/>
          <w:sz w:val="24"/>
          <w:szCs w:val="24"/>
        </w:rPr>
        <w:t xml:space="preserve">trained professionals, such as social workers, CPNs, and psychiatrists, who also use services, and want to use experiential wisdom to support their practice?  </w:t>
      </w:r>
      <w:r w:rsidR="000C4BFC" w:rsidRPr="00887A1F">
        <w:rPr>
          <w:rFonts w:ascii="Arial" w:hAnsi="Arial" w:cs="Arial"/>
          <w:sz w:val="24"/>
          <w:szCs w:val="24"/>
        </w:rPr>
        <w:t>Indeed,</w:t>
      </w:r>
      <w:r w:rsidR="00F1660D" w:rsidRPr="00887A1F">
        <w:rPr>
          <w:rFonts w:ascii="Arial" w:hAnsi="Arial" w:cs="Arial"/>
          <w:sz w:val="24"/>
          <w:szCs w:val="24"/>
        </w:rPr>
        <w:t xml:space="preserve"> all such debates relate to occupational and professional status and </w:t>
      </w:r>
      <w:r w:rsidRPr="00887A1F">
        <w:rPr>
          <w:rFonts w:ascii="Arial" w:hAnsi="Arial" w:cs="Arial"/>
          <w:sz w:val="24"/>
          <w:szCs w:val="24"/>
        </w:rPr>
        <w:t xml:space="preserve">what is the best way to deliver </w:t>
      </w:r>
      <w:r w:rsidR="00F1660D" w:rsidRPr="00887A1F">
        <w:rPr>
          <w:rFonts w:ascii="Arial" w:hAnsi="Arial" w:cs="Arial"/>
          <w:sz w:val="24"/>
          <w:szCs w:val="24"/>
        </w:rPr>
        <w:t>best practice</w:t>
      </w:r>
      <w:r w:rsidR="000C4BFC" w:rsidRPr="00887A1F">
        <w:rPr>
          <w:rFonts w:ascii="Arial" w:hAnsi="Arial" w:cs="Arial"/>
          <w:sz w:val="24"/>
          <w:szCs w:val="24"/>
        </w:rPr>
        <w:t xml:space="preserve"> </w:t>
      </w:r>
      <w:r w:rsidRPr="00887A1F">
        <w:rPr>
          <w:rFonts w:ascii="Arial" w:hAnsi="Arial" w:cs="Arial"/>
          <w:sz w:val="24"/>
          <w:szCs w:val="24"/>
        </w:rPr>
        <w:t xml:space="preserve">care and support </w:t>
      </w:r>
      <w:r w:rsidR="00F1660D" w:rsidRPr="00887A1F">
        <w:rPr>
          <w:rFonts w:ascii="Arial" w:hAnsi="Arial" w:cs="Arial"/>
          <w:sz w:val="24"/>
          <w:szCs w:val="24"/>
        </w:rPr>
        <w:t xml:space="preserve">in education, practice and research.  </w:t>
      </w:r>
      <w:r w:rsidR="00F17B9C" w:rsidRPr="00887A1F">
        <w:rPr>
          <w:rFonts w:ascii="Arial" w:hAnsi="Arial" w:cs="Arial"/>
          <w:sz w:val="24"/>
          <w:szCs w:val="24"/>
        </w:rPr>
        <w:t xml:space="preserve">As a service user lecturer I share many of the experiences similarly played out in </w:t>
      </w:r>
      <w:r w:rsidR="00F17B9C" w:rsidRPr="00887A1F">
        <w:rPr>
          <w:rFonts w:ascii="Arial" w:hAnsi="Arial" w:cs="Arial"/>
          <w:sz w:val="24"/>
          <w:szCs w:val="24"/>
        </w:rPr>
        <w:lastRenderedPageBreak/>
        <w:t>mental health services, these are based on the stigmatisation of mental ill health and the accompanying suspicion that it is better to remain silent about these experiences and confine them to the personal realms.</w:t>
      </w:r>
    </w:p>
    <w:p w:rsidR="00852822" w:rsidRDefault="00852822" w:rsidP="00887A1F">
      <w:pPr>
        <w:autoSpaceDE w:val="0"/>
        <w:autoSpaceDN w:val="0"/>
        <w:adjustRightInd w:val="0"/>
        <w:spacing w:after="0" w:line="360" w:lineRule="auto"/>
        <w:rPr>
          <w:rFonts w:ascii="Arial" w:hAnsi="Arial" w:cs="Arial"/>
          <w:sz w:val="24"/>
          <w:szCs w:val="24"/>
          <w:u w:val="single"/>
        </w:rPr>
      </w:pPr>
    </w:p>
    <w:p w:rsidR="006163A5" w:rsidRPr="00887A1F" w:rsidRDefault="006163A5" w:rsidP="00887A1F">
      <w:pPr>
        <w:autoSpaceDE w:val="0"/>
        <w:autoSpaceDN w:val="0"/>
        <w:adjustRightInd w:val="0"/>
        <w:spacing w:after="0" w:line="360" w:lineRule="auto"/>
        <w:rPr>
          <w:rFonts w:ascii="Arial" w:hAnsi="Arial" w:cs="Arial"/>
          <w:sz w:val="24"/>
          <w:szCs w:val="24"/>
          <w:u w:val="single"/>
        </w:rPr>
      </w:pPr>
      <w:r w:rsidRPr="00887A1F">
        <w:rPr>
          <w:rFonts w:ascii="Arial" w:hAnsi="Arial" w:cs="Arial"/>
          <w:sz w:val="24"/>
          <w:szCs w:val="24"/>
          <w:u w:val="single"/>
        </w:rPr>
        <w:t>Conclusion</w:t>
      </w:r>
    </w:p>
    <w:p w:rsidR="000B18EF" w:rsidRPr="00887A1F" w:rsidRDefault="00F82D6A" w:rsidP="00887A1F">
      <w:pPr>
        <w:autoSpaceDE w:val="0"/>
        <w:autoSpaceDN w:val="0"/>
        <w:adjustRightInd w:val="0"/>
        <w:spacing w:after="0" w:line="360" w:lineRule="auto"/>
        <w:rPr>
          <w:rFonts w:ascii="Arial" w:hAnsi="Arial" w:cs="Arial"/>
          <w:sz w:val="24"/>
          <w:szCs w:val="24"/>
        </w:rPr>
      </w:pPr>
      <w:r w:rsidRPr="00887A1F">
        <w:rPr>
          <w:rFonts w:ascii="Arial" w:hAnsi="Arial" w:cs="Arial"/>
          <w:sz w:val="24"/>
          <w:szCs w:val="24"/>
        </w:rPr>
        <w:t>This article has described the evidence base that under</w:t>
      </w:r>
      <w:r w:rsidR="00246963">
        <w:rPr>
          <w:rFonts w:ascii="Arial" w:hAnsi="Arial" w:cs="Arial"/>
          <w:sz w:val="24"/>
          <w:szCs w:val="24"/>
        </w:rPr>
        <w:t>pins</w:t>
      </w:r>
      <w:r w:rsidRPr="00887A1F">
        <w:rPr>
          <w:rFonts w:ascii="Arial" w:hAnsi="Arial" w:cs="Arial"/>
          <w:sz w:val="24"/>
          <w:szCs w:val="24"/>
        </w:rPr>
        <w:t xml:space="preserve"> the usefulness of service user involvement in health and so</w:t>
      </w:r>
      <w:r w:rsidR="004A19E5" w:rsidRPr="00887A1F">
        <w:rPr>
          <w:rFonts w:ascii="Arial" w:hAnsi="Arial" w:cs="Arial"/>
          <w:sz w:val="24"/>
          <w:szCs w:val="24"/>
        </w:rPr>
        <w:t>cial care education</w:t>
      </w:r>
      <w:r w:rsidR="00F17B9C" w:rsidRPr="00887A1F">
        <w:rPr>
          <w:rFonts w:ascii="Arial" w:hAnsi="Arial" w:cs="Arial"/>
          <w:sz w:val="24"/>
          <w:szCs w:val="24"/>
        </w:rPr>
        <w:t>, and considered the diversity of the ways in which service users contribute to different programmes</w:t>
      </w:r>
      <w:r w:rsidR="00377C9A" w:rsidRPr="00887A1F">
        <w:rPr>
          <w:rFonts w:ascii="Arial" w:hAnsi="Arial" w:cs="Arial"/>
          <w:sz w:val="24"/>
          <w:szCs w:val="24"/>
        </w:rPr>
        <w:t xml:space="preserve">.  </w:t>
      </w:r>
      <w:r w:rsidRPr="00887A1F">
        <w:rPr>
          <w:rFonts w:ascii="Arial" w:hAnsi="Arial" w:cs="Arial"/>
          <w:sz w:val="24"/>
          <w:szCs w:val="24"/>
        </w:rPr>
        <w:t xml:space="preserve">I </w:t>
      </w:r>
      <w:r w:rsidR="00852822">
        <w:rPr>
          <w:rFonts w:ascii="Arial" w:hAnsi="Arial" w:cs="Arial"/>
          <w:sz w:val="24"/>
          <w:szCs w:val="24"/>
        </w:rPr>
        <w:t xml:space="preserve">have </w:t>
      </w:r>
      <w:r w:rsidR="00377C9A" w:rsidRPr="00887A1F">
        <w:rPr>
          <w:rFonts w:ascii="Arial" w:hAnsi="Arial" w:cs="Arial"/>
          <w:sz w:val="24"/>
          <w:szCs w:val="24"/>
        </w:rPr>
        <w:t xml:space="preserve">considered </w:t>
      </w:r>
      <w:r w:rsidRPr="00887A1F">
        <w:rPr>
          <w:rFonts w:ascii="Arial" w:hAnsi="Arial" w:cs="Arial"/>
          <w:sz w:val="24"/>
          <w:szCs w:val="24"/>
        </w:rPr>
        <w:t xml:space="preserve">the potential ways in which the authority and influence of service users can be secured </w:t>
      </w:r>
      <w:r w:rsidR="00377C9A" w:rsidRPr="00887A1F">
        <w:rPr>
          <w:rFonts w:ascii="Arial" w:hAnsi="Arial" w:cs="Arial"/>
          <w:sz w:val="24"/>
          <w:szCs w:val="24"/>
        </w:rPr>
        <w:t xml:space="preserve">in social work education by embedding them in academic roles </w:t>
      </w:r>
      <w:r w:rsidRPr="00887A1F">
        <w:rPr>
          <w:rFonts w:ascii="Arial" w:hAnsi="Arial" w:cs="Arial"/>
          <w:sz w:val="24"/>
          <w:szCs w:val="24"/>
        </w:rPr>
        <w:t>in universities</w:t>
      </w:r>
      <w:r w:rsidR="006279EA">
        <w:rPr>
          <w:rFonts w:ascii="Arial" w:hAnsi="Arial" w:cs="Arial"/>
          <w:sz w:val="24"/>
          <w:szCs w:val="24"/>
        </w:rPr>
        <w:t xml:space="preserve">, and </w:t>
      </w:r>
      <w:r w:rsidR="00175E0A">
        <w:rPr>
          <w:rFonts w:ascii="Arial" w:hAnsi="Arial" w:cs="Arial"/>
          <w:sz w:val="24"/>
          <w:szCs w:val="24"/>
        </w:rPr>
        <w:t xml:space="preserve">highlighted </w:t>
      </w:r>
      <w:r w:rsidR="006279EA">
        <w:rPr>
          <w:rFonts w:ascii="Arial" w:hAnsi="Arial" w:cs="Arial"/>
          <w:sz w:val="24"/>
          <w:szCs w:val="24"/>
        </w:rPr>
        <w:t xml:space="preserve">the challenges to this </w:t>
      </w:r>
      <w:r w:rsidR="009A70BC">
        <w:rPr>
          <w:rFonts w:ascii="Arial" w:hAnsi="Arial" w:cs="Arial"/>
          <w:color w:val="231F20"/>
          <w:sz w:val="24"/>
          <w:szCs w:val="24"/>
        </w:rPr>
        <w:t xml:space="preserve">more widely, by asking if </w:t>
      </w:r>
      <w:r w:rsidR="009A70BC">
        <w:rPr>
          <w:rFonts w:ascii="Arial" w:eastAsia="Times New Roman" w:hAnsi="Arial" w:cs="Arial"/>
          <w:color w:val="000000"/>
          <w:sz w:val="24"/>
          <w:szCs w:val="24"/>
        </w:rPr>
        <w:t xml:space="preserve">a singular model of user representation is even credible </w:t>
      </w:r>
      <w:r w:rsidR="00607DFD">
        <w:rPr>
          <w:rFonts w:ascii="Arial" w:eastAsia="Times New Roman" w:hAnsi="Arial" w:cs="Arial"/>
          <w:color w:val="000000"/>
          <w:sz w:val="24"/>
          <w:szCs w:val="24"/>
        </w:rPr>
        <w:t>or</w:t>
      </w:r>
      <w:r w:rsidR="009A70BC">
        <w:rPr>
          <w:rFonts w:ascii="Arial" w:eastAsia="Times New Roman" w:hAnsi="Arial" w:cs="Arial"/>
          <w:color w:val="000000"/>
          <w:sz w:val="24"/>
          <w:szCs w:val="24"/>
        </w:rPr>
        <w:t xml:space="preserve"> whether it should be replaced by a collective model of involvement</w:t>
      </w:r>
      <w:r w:rsidR="009A70BC">
        <w:rPr>
          <w:rFonts w:ascii="Arial" w:hAnsi="Arial" w:cs="Arial"/>
          <w:sz w:val="24"/>
          <w:szCs w:val="24"/>
        </w:rPr>
        <w:t xml:space="preserve">  </w:t>
      </w:r>
      <w:r w:rsidR="00852822">
        <w:rPr>
          <w:rFonts w:ascii="Arial" w:hAnsi="Arial" w:cs="Arial"/>
          <w:sz w:val="24"/>
          <w:szCs w:val="24"/>
        </w:rPr>
        <w:t xml:space="preserve">  </w:t>
      </w:r>
      <w:r w:rsidRPr="00887A1F">
        <w:rPr>
          <w:rFonts w:ascii="Arial" w:hAnsi="Arial" w:cs="Arial"/>
          <w:sz w:val="24"/>
          <w:szCs w:val="24"/>
        </w:rPr>
        <w:t xml:space="preserve">I have concluded by drawing parallels between the </w:t>
      </w:r>
      <w:r w:rsidR="00377C9A" w:rsidRPr="00887A1F">
        <w:rPr>
          <w:rFonts w:ascii="Arial" w:hAnsi="Arial" w:cs="Arial"/>
          <w:sz w:val="24"/>
          <w:szCs w:val="24"/>
        </w:rPr>
        <w:t xml:space="preserve">experiences of </w:t>
      </w:r>
      <w:r w:rsidRPr="00887A1F">
        <w:rPr>
          <w:rFonts w:ascii="Arial" w:hAnsi="Arial" w:cs="Arial"/>
          <w:sz w:val="24"/>
          <w:szCs w:val="24"/>
        </w:rPr>
        <w:t xml:space="preserve">PSWs in mental health services and </w:t>
      </w:r>
      <w:r w:rsidR="00262543" w:rsidRPr="00887A1F">
        <w:rPr>
          <w:rFonts w:ascii="Arial" w:hAnsi="Arial" w:cs="Arial"/>
          <w:sz w:val="24"/>
          <w:szCs w:val="24"/>
        </w:rPr>
        <w:t xml:space="preserve">service user </w:t>
      </w:r>
      <w:r w:rsidR="00F5725C" w:rsidRPr="00887A1F">
        <w:rPr>
          <w:rFonts w:ascii="Arial" w:hAnsi="Arial" w:cs="Arial"/>
          <w:sz w:val="24"/>
          <w:szCs w:val="24"/>
        </w:rPr>
        <w:t>lecture</w:t>
      </w:r>
      <w:r w:rsidR="00377C9A" w:rsidRPr="00887A1F">
        <w:rPr>
          <w:rFonts w:ascii="Arial" w:hAnsi="Arial" w:cs="Arial"/>
          <w:sz w:val="24"/>
          <w:szCs w:val="24"/>
        </w:rPr>
        <w:t>r</w:t>
      </w:r>
      <w:r w:rsidR="00F5725C" w:rsidRPr="00887A1F">
        <w:rPr>
          <w:rFonts w:ascii="Arial" w:hAnsi="Arial" w:cs="Arial"/>
          <w:sz w:val="24"/>
          <w:szCs w:val="24"/>
        </w:rPr>
        <w:t xml:space="preserve">s </w:t>
      </w:r>
      <w:r w:rsidR="00377C9A" w:rsidRPr="00887A1F">
        <w:rPr>
          <w:rFonts w:ascii="Arial" w:hAnsi="Arial" w:cs="Arial"/>
          <w:sz w:val="24"/>
          <w:szCs w:val="24"/>
        </w:rPr>
        <w:t>in social work education</w:t>
      </w:r>
      <w:r w:rsidR="009A70BC">
        <w:rPr>
          <w:rFonts w:ascii="Arial" w:hAnsi="Arial" w:cs="Arial"/>
          <w:sz w:val="24"/>
          <w:szCs w:val="24"/>
        </w:rPr>
        <w:t xml:space="preserve">.  </w:t>
      </w:r>
    </w:p>
    <w:p w:rsidR="000B18EF" w:rsidRPr="00887A1F" w:rsidRDefault="000B18EF" w:rsidP="00887A1F">
      <w:pPr>
        <w:autoSpaceDE w:val="0"/>
        <w:autoSpaceDN w:val="0"/>
        <w:adjustRightInd w:val="0"/>
        <w:spacing w:after="0" w:line="360" w:lineRule="auto"/>
        <w:rPr>
          <w:rFonts w:ascii="Arial" w:hAnsi="Arial" w:cs="Arial"/>
          <w:sz w:val="24"/>
          <w:szCs w:val="24"/>
        </w:rPr>
      </w:pPr>
      <w:r w:rsidRPr="00887A1F">
        <w:rPr>
          <w:rFonts w:ascii="Arial" w:hAnsi="Arial" w:cs="Arial"/>
          <w:sz w:val="24"/>
          <w:szCs w:val="24"/>
        </w:rPr>
        <w:lastRenderedPageBreak/>
        <w:t>Many studies have indicated that students themselves value listening to service users’ experiences in education (Anghel &amp; Ramon, 2009) and note how it can lead to transformative learning (Rush, 2008).  Students themselves affirm experiential wisdom is important in changing practice, therefore we must seek to increase the opportunities they have to learn from authentic experience.  This will enable us to ensure that education is based on parity of influence between different stakeholders (Tew</w:t>
      </w:r>
      <w:r w:rsidR="00EE01C4" w:rsidRPr="00887A1F">
        <w:rPr>
          <w:rFonts w:ascii="Arial" w:hAnsi="Arial" w:cs="Arial"/>
          <w:sz w:val="24"/>
          <w:szCs w:val="24"/>
        </w:rPr>
        <w:t xml:space="preserve"> </w:t>
      </w:r>
      <w:r w:rsidR="00EE01C4" w:rsidRPr="00607DFD">
        <w:rPr>
          <w:rFonts w:ascii="Arial" w:hAnsi="Arial" w:cs="Arial"/>
          <w:i/>
          <w:sz w:val="24"/>
          <w:szCs w:val="24"/>
        </w:rPr>
        <w:t>et al</w:t>
      </w:r>
      <w:r w:rsidR="00EE01C4" w:rsidRPr="00887A1F">
        <w:rPr>
          <w:rFonts w:ascii="Arial" w:hAnsi="Arial" w:cs="Arial"/>
          <w:sz w:val="24"/>
          <w:szCs w:val="24"/>
        </w:rPr>
        <w:t xml:space="preserve">, </w:t>
      </w:r>
      <w:r w:rsidRPr="00887A1F">
        <w:rPr>
          <w:rFonts w:ascii="Arial" w:hAnsi="Arial" w:cs="Arial"/>
          <w:sz w:val="24"/>
          <w:szCs w:val="24"/>
        </w:rPr>
        <w:t xml:space="preserve">2004), and not on a foundation that allows lecturers to confine the service user perspective to them ‘telling their story’ (Gregor &amp; Smith, 2009) – which often points to tokenism rather than partnership working (Arnstein, 1969).   </w:t>
      </w:r>
    </w:p>
    <w:p w:rsidR="00F82D6A" w:rsidRPr="00887A1F" w:rsidRDefault="00F82D6A" w:rsidP="00887A1F">
      <w:pPr>
        <w:autoSpaceDE w:val="0"/>
        <w:autoSpaceDN w:val="0"/>
        <w:adjustRightInd w:val="0"/>
        <w:spacing w:after="0" w:line="360" w:lineRule="auto"/>
        <w:rPr>
          <w:rFonts w:ascii="Arial" w:hAnsi="Arial" w:cs="Arial"/>
          <w:sz w:val="24"/>
          <w:szCs w:val="24"/>
        </w:rPr>
      </w:pPr>
    </w:p>
    <w:p w:rsidR="00193C86" w:rsidRPr="00887A1F" w:rsidRDefault="002008AA" w:rsidP="00887A1F">
      <w:pPr>
        <w:autoSpaceDE w:val="0"/>
        <w:autoSpaceDN w:val="0"/>
        <w:adjustRightInd w:val="0"/>
        <w:spacing w:after="0" w:line="360" w:lineRule="auto"/>
        <w:rPr>
          <w:rFonts w:ascii="Arial" w:hAnsi="Arial" w:cs="Arial"/>
          <w:sz w:val="24"/>
          <w:szCs w:val="24"/>
        </w:rPr>
      </w:pPr>
      <w:r>
        <w:rPr>
          <w:rFonts w:ascii="Arial" w:eastAsia="Times New Roman" w:hAnsi="Arial" w:cs="Arial"/>
          <w:color w:val="000000"/>
          <w:sz w:val="24"/>
          <w:szCs w:val="24"/>
        </w:rPr>
        <w:t xml:space="preserve">As </w:t>
      </w:r>
      <w:r w:rsidR="006F58D1" w:rsidRPr="00887A1F">
        <w:rPr>
          <w:rFonts w:ascii="Arial" w:hAnsi="Arial" w:cs="Arial"/>
          <w:sz w:val="24"/>
          <w:szCs w:val="24"/>
        </w:rPr>
        <w:t xml:space="preserve">I </w:t>
      </w:r>
      <w:r w:rsidR="00EC5360" w:rsidRPr="00887A1F">
        <w:rPr>
          <w:rFonts w:ascii="Arial" w:hAnsi="Arial" w:cs="Arial"/>
          <w:sz w:val="24"/>
          <w:szCs w:val="24"/>
        </w:rPr>
        <w:t>teach students about social work</w:t>
      </w:r>
      <w:r w:rsidR="006F53EF" w:rsidRPr="00887A1F">
        <w:rPr>
          <w:rFonts w:ascii="Arial" w:hAnsi="Arial" w:cs="Arial"/>
          <w:sz w:val="24"/>
          <w:szCs w:val="24"/>
        </w:rPr>
        <w:t xml:space="preserve"> </w:t>
      </w:r>
      <w:r w:rsidR="00EC5360" w:rsidRPr="00887A1F">
        <w:rPr>
          <w:rFonts w:ascii="Arial" w:hAnsi="Arial" w:cs="Arial"/>
          <w:sz w:val="24"/>
          <w:szCs w:val="24"/>
        </w:rPr>
        <w:t>I mix</w:t>
      </w:r>
      <w:r w:rsidR="006F58D1" w:rsidRPr="00887A1F">
        <w:rPr>
          <w:rFonts w:ascii="Arial" w:hAnsi="Arial" w:cs="Arial"/>
          <w:sz w:val="24"/>
          <w:szCs w:val="24"/>
        </w:rPr>
        <w:t xml:space="preserve"> professional language and underpinning theory</w:t>
      </w:r>
      <w:r w:rsidR="00EC5360" w:rsidRPr="00887A1F">
        <w:rPr>
          <w:rFonts w:ascii="Arial" w:hAnsi="Arial" w:cs="Arial"/>
          <w:sz w:val="24"/>
          <w:szCs w:val="24"/>
        </w:rPr>
        <w:t xml:space="preserve"> with personal experience</w:t>
      </w:r>
      <w:r w:rsidR="006F58D1" w:rsidRPr="00887A1F">
        <w:rPr>
          <w:rFonts w:ascii="Arial" w:hAnsi="Arial" w:cs="Arial"/>
          <w:sz w:val="24"/>
          <w:szCs w:val="24"/>
        </w:rPr>
        <w:t xml:space="preserve">.  I remind students of </w:t>
      </w:r>
      <w:r w:rsidR="00201939" w:rsidRPr="00887A1F">
        <w:rPr>
          <w:rFonts w:ascii="Arial" w:hAnsi="Arial" w:cs="Arial"/>
          <w:sz w:val="24"/>
          <w:szCs w:val="24"/>
        </w:rPr>
        <w:t xml:space="preserve">the importance of understanding </w:t>
      </w:r>
      <w:r w:rsidR="006F58D1" w:rsidRPr="00887A1F">
        <w:rPr>
          <w:rFonts w:ascii="Arial" w:hAnsi="Arial" w:cs="Arial"/>
          <w:sz w:val="24"/>
          <w:szCs w:val="24"/>
        </w:rPr>
        <w:t xml:space="preserve">experience </w:t>
      </w:r>
      <w:r w:rsidR="00201939" w:rsidRPr="00887A1F">
        <w:rPr>
          <w:rFonts w:ascii="Arial" w:hAnsi="Arial" w:cs="Arial"/>
          <w:sz w:val="24"/>
          <w:szCs w:val="24"/>
        </w:rPr>
        <w:t xml:space="preserve">through authentic reflection and underline </w:t>
      </w:r>
      <w:r w:rsidR="006F58D1" w:rsidRPr="00887A1F">
        <w:rPr>
          <w:rFonts w:ascii="Arial" w:hAnsi="Arial" w:cs="Arial"/>
          <w:sz w:val="24"/>
          <w:szCs w:val="24"/>
        </w:rPr>
        <w:t>the impact of their power on service users’ lives</w:t>
      </w:r>
      <w:r w:rsidR="003377DE">
        <w:rPr>
          <w:rFonts w:ascii="Arial" w:hAnsi="Arial" w:cs="Arial"/>
          <w:sz w:val="24"/>
          <w:szCs w:val="24"/>
        </w:rPr>
        <w:t xml:space="preserve"> (Fox, 2012;</w:t>
      </w:r>
      <w:r w:rsidR="004D4624">
        <w:rPr>
          <w:rFonts w:ascii="Arial" w:hAnsi="Arial" w:cs="Arial"/>
          <w:sz w:val="24"/>
          <w:szCs w:val="24"/>
        </w:rPr>
        <w:t xml:space="preserve"> 2016)</w:t>
      </w:r>
      <w:r w:rsidR="006F58D1" w:rsidRPr="00887A1F">
        <w:rPr>
          <w:rFonts w:ascii="Arial" w:hAnsi="Arial" w:cs="Arial"/>
          <w:sz w:val="24"/>
          <w:szCs w:val="24"/>
        </w:rPr>
        <w:t xml:space="preserve">.  </w:t>
      </w:r>
      <w:r w:rsidR="00AC75DB" w:rsidRPr="00887A1F">
        <w:rPr>
          <w:rFonts w:ascii="Arial" w:hAnsi="Arial" w:cs="Arial"/>
          <w:sz w:val="24"/>
          <w:szCs w:val="24"/>
        </w:rPr>
        <w:t xml:space="preserve"> </w:t>
      </w:r>
      <w:r w:rsidR="00963649" w:rsidRPr="00887A1F">
        <w:rPr>
          <w:rFonts w:ascii="Arial" w:hAnsi="Arial" w:cs="Arial"/>
          <w:sz w:val="24"/>
          <w:szCs w:val="24"/>
        </w:rPr>
        <w:t>I</w:t>
      </w:r>
      <w:r w:rsidR="00C54D2F" w:rsidRPr="00887A1F">
        <w:rPr>
          <w:rFonts w:ascii="Arial" w:hAnsi="Arial" w:cs="Arial"/>
          <w:sz w:val="24"/>
          <w:szCs w:val="24"/>
        </w:rPr>
        <w:t xml:space="preserve"> am therefore able to make experiences of service receipt real and tangible </w:t>
      </w:r>
      <w:r w:rsidR="00C54D2F" w:rsidRPr="00887A1F">
        <w:rPr>
          <w:rFonts w:ascii="Arial" w:hAnsi="Arial" w:cs="Arial"/>
          <w:sz w:val="24"/>
          <w:szCs w:val="24"/>
        </w:rPr>
        <w:lastRenderedPageBreak/>
        <w:t xml:space="preserve">to students. </w:t>
      </w:r>
      <w:r w:rsidR="00EE2643" w:rsidRPr="00887A1F">
        <w:rPr>
          <w:rFonts w:ascii="Arial" w:hAnsi="Arial" w:cs="Arial"/>
          <w:sz w:val="24"/>
          <w:szCs w:val="24"/>
        </w:rPr>
        <w:t xml:space="preserve">  However more widely the diagnosis of mental ill health continues to be stigmatised and the professional utilisation of experiential experiences in education and in practice is still under-explored and under-valued; despite the mandate that service users and carers should be involved in all aspects of </w:t>
      </w:r>
      <w:r w:rsidR="00302BE6" w:rsidRPr="00887A1F">
        <w:rPr>
          <w:rFonts w:ascii="Arial" w:hAnsi="Arial" w:cs="Arial"/>
          <w:sz w:val="24"/>
          <w:szCs w:val="24"/>
        </w:rPr>
        <w:t>health and social care</w:t>
      </w:r>
      <w:r w:rsidR="00EE2643" w:rsidRPr="00887A1F">
        <w:rPr>
          <w:rFonts w:ascii="Arial" w:hAnsi="Arial" w:cs="Arial"/>
          <w:sz w:val="24"/>
          <w:szCs w:val="24"/>
        </w:rPr>
        <w:t xml:space="preserve"> </w:t>
      </w:r>
      <w:r w:rsidR="00013246" w:rsidRPr="00887A1F">
        <w:rPr>
          <w:rFonts w:ascii="Arial" w:hAnsi="Arial" w:cs="Arial"/>
          <w:sz w:val="24"/>
          <w:szCs w:val="24"/>
        </w:rPr>
        <w:t>education</w:t>
      </w:r>
      <w:r w:rsidR="00EE2643" w:rsidRPr="00887A1F">
        <w:rPr>
          <w:rFonts w:ascii="Arial" w:hAnsi="Arial" w:cs="Arial"/>
          <w:sz w:val="24"/>
          <w:szCs w:val="24"/>
        </w:rPr>
        <w:t>.</w:t>
      </w:r>
      <w:r w:rsidR="006F53EF" w:rsidRPr="00887A1F">
        <w:rPr>
          <w:rFonts w:ascii="Arial" w:hAnsi="Arial" w:cs="Arial"/>
          <w:sz w:val="24"/>
          <w:szCs w:val="24"/>
        </w:rPr>
        <w:t xml:space="preserve">  </w:t>
      </w:r>
      <w:r w:rsidR="000B18EF" w:rsidRPr="00887A1F">
        <w:rPr>
          <w:rFonts w:ascii="Arial" w:hAnsi="Arial" w:cs="Arial"/>
          <w:sz w:val="24"/>
          <w:szCs w:val="24"/>
        </w:rPr>
        <w:t xml:space="preserve">It is important to ensure that </w:t>
      </w:r>
      <w:r w:rsidR="00EE2643" w:rsidRPr="00887A1F">
        <w:rPr>
          <w:rFonts w:ascii="Arial" w:hAnsi="Arial" w:cs="Arial"/>
          <w:sz w:val="24"/>
          <w:szCs w:val="24"/>
        </w:rPr>
        <w:t>lecturers who acquire knowledge through experiential wisdom experience similar levels of authority and power as those who acquire expertise</w:t>
      </w:r>
      <w:r w:rsidR="00B64E29" w:rsidRPr="00887A1F">
        <w:rPr>
          <w:rFonts w:ascii="Arial" w:hAnsi="Arial" w:cs="Arial"/>
          <w:sz w:val="24"/>
          <w:szCs w:val="24"/>
        </w:rPr>
        <w:t xml:space="preserve"> through their education and practice</w:t>
      </w:r>
      <w:r w:rsidR="000B18EF" w:rsidRPr="00887A1F">
        <w:rPr>
          <w:rFonts w:ascii="Arial" w:hAnsi="Arial" w:cs="Arial"/>
          <w:sz w:val="24"/>
          <w:szCs w:val="24"/>
        </w:rPr>
        <w:t>.</w:t>
      </w:r>
      <w:r w:rsidR="00B64E29" w:rsidRPr="00887A1F">
        <w:rPr>
          <w:rFonts w:ascii="Arial" w:hAnsi="Arial" w:cs="Arial"/>
          <w:sz w:val="24"/>
          <w:szCs w:val="24"/>
        </w:rPr>
        <w:t xml:space="preserve"> </w:t>
      </w:r>
      <w:r w:rsidR="00F82D6A" w:rsidRPr="00887A1F">
        <w:rPr>
          <w:rFonts w:ascii="Arial" w:hAnsi="Arial" w:cs="Arial"/>
          <w:sz w:val="24"/>
          <w:szCs w:val="24"/>
        </w:rPr>
        <w:t xml:space="preserve"> </w:t>
      </w:r>
    </w:p>
    <w:p w:rsidR="00302BE6" w:rsidRPr="00887A1F" w:rsidRDefault="00302BE6" w:rsidP="00887A1F">
      <w:pPr>
        <w:autoSpaceDE w:val="0"/>
        <w:autoSpaceDN w:val="0"/>
        <w:adjustRightInd w:val="0"/>
        <w:spacing w:after="0" w:line="360" w:lineRule="auto"/>
        <w:rPr>
          <w:rFonts w:ascii="Arial" w:hAnsi="Arial" w:cs="Arial"/>
          <w:sz w:val="24"/>
          <w:szCs w:val="24"/>
        </w:rPr>
      </w:pPr>
    </w:p>
    <w:p w:rsidR="00302BE6" w:rsidRPr="00887A1F" w:rsidRDefault="00302BE6" w:rsidP="00887A1F">
      <w:pPr>
        <w:autoSpaceDE w:val="0"/>
        <w:autoSpaceDN w:val="0"/>
        <w:adjustRightInd w:val="0"/>
        <w:spacing w:after="0" w:line="360" w:lineRule="auto"/>
        <w:rPr>
          <w:rFonts w:ascii="Arial" w:hAnsi="Arial" w:cs="Arial"/>
          <w:sz w:val="24"/>
          <w:szCs w:val="24"/>
        </w:rPr>
      </w:pPr>
    </w:p>
    <w:p w:rsidR="007C3A03" w:rsidRPr="00887A1F" w:rsidRDefault="007C3A03" w:rsidP="00887A1F">
      <w:pPr>
        <w:spacing w:line="360" w:lineRule="auto"/>
        <w:rPr>
          <w:rFonts w:ascii="Arial" w:hAnsi="Arial" w:cs="Arial"/>
          <w:sz w:val="24"/>
          <w:szCs w:val="24"/>
        </w:rPr>
      </w:pPr>
      <w:r w:rsidRPr="00887A1F">
        <w:rPr>
          <w:rFonts w:ascii="Arial" w:hAnsi="Arial" w:cs="Arial"/>
          <w:sz w:val="24"/>
          <w:szCs w:val="24"/>
        </w:rPr>
        <w:br w:type="page"/>
      </w:r>
    </w:p>
    <w:p w:rsidR="00352570" w:rsidRPr="00887A1F" w:rsidRDefault="00352570" w:rsidP="00887A1F">
      <w:pPr>
        <w:autoSpaceDE w:val="0"/>
        <w:autoSpaceDN w:val="0"/>
        <w:adjustRightInd w:val="0"/>
        <w:spacing w:after="0" w:line="360" w:lineRule="auto"/>
        <w:rPr>
          <w:rFonts w:ascii="Arial" w:hAnsi="Arial" w:cs="Arial"/>
          <w:sz w:val="24"/>
          <w:szCs w:val="24"/>
        </w:rPr>
      </w:pPr>
      <w:r w:rsidRPr="00887A1F">
        <w:rPr>
          <w:rFonts w:ascii="Arial" w:hAnsi="Arial" w:cs="Arial"/>
          <w:sz w:val="24"/>
          <w:szCs w:val="24"/>
        </w:rPr>
        <w:lastRenderedPageBreak/>
        <w:t>References</w:t>
      </w:r>
    </w:p>
    <w:p w:rsidR="008C4597" w:rsidRPr="00887A1F" w:rsidRDefault="008C4597" w:rsidP="00887A1F">
      <w:pPr>
        <w:autoSpaceDE w:val="0"/>
        <w:autoSpaceDN w:val="0"/>
        <w:adjustRightInd w:val="0"/>
        <w:spacing w:after="0" w:line="360" w:lineRule="auto"/>
        <w:rPr>
          <w:rFonts w:ascii="Arial" w:hAnsi="Arial" w:cs="Arial"/>
          <w:sz w:val="24"/>
          <w:szCs w:val="24"/>
        </w:rPr>
      </w:pPr>
    </w:p>
    <w:p w:rsidR="008C4597" w:rsidRPr="00887A1F" w:rsidRDefault="008C4597" w:rsidP="00887A1F">
      <w:pPr>
        <w:autoSpaceDE w:val="0"/>
        <w:autoSpaceDN w:val="0"/>
        <w:adjustRightInd w:val="0"/>
        <w:spacing w:after="0" w:line="360" w:lineRule="auto"/>
        <w:rPr>
          <w:rFonts w:ascii="Arial" w:hAnsi="Arial" w:cs="Arial"/>
          <w:sz w:val="24"/>
          <w:szCs w:val="24"/>
        </w:rPr>
      </w:pPr>
      <w:r w:rsidRPr="00887A1F">
        <w:rPr>
          <w:rFonts w:ascii="Arial" w:hAnsi="Arial" w:cs="Arial"/>
          <w:sz w:val="24"/>
          <w:szCs w:val="24"/>
        </w:rPr>
        <w:t>Allain, L., Cosis Brown, H., Danso, C., Dillon, J., Finnegan, P., Gadhoke</w:t>
      </w:r>
      <w:r w:rsidR="000D188A" w:rsidRPr="00887A1F">
        <w:rPr>
          <w:rFonts w:ascii="Arial" w:hAnsi="Arial" w:cs="Arial"/>
          <w:sz w:val="24"/>
          <w:szCs w:val="24"/>
        </w:rPr>
        <w:t xml:space="preserve">, S., </w:t>
      </w:r>
      <w:r w:rsidRPr="00887A1F">
        <w:rPr>
          <w:rFonts w:ascii="Arial" w:hAnsi="Arial" w:cs="Arial"/>
          <w:sz w:val="24"/>
          <w:szCs w:val="24"/>
        </w:rPr>
        <w:t>Shamash</w:t>
      </w:r>
      <w:r w:rsidR="000D188A" w:rsidRPr="00887A1F">
        <w:rPr>
          <w:rFonts w:ascii="Arial" w:hAnsi="Arial" w:cs="Arial"/>
          <w:sz w:val="24"/>
          <w:szCs w:val="24"/>
        </w:rPr>
        <w:t xml:space="preserve">, M., &amp; </w:t>
      </w:r>
      <w:r w:rsidRPr="00887A1F">
        <w:rPr>
          <w:rFonts w:ascii="Arial" w:hAnsi="Arial" w:cs="Arial"/>
          <w:sz w:val="24"/>
          <w:szCs w:val="24"/>
        </w:rPr>
        <w:t>Whittaker</w:t>
      </w:r>
      <w:r w:rsidR="000D188A" w:rsidRPr="00887A1F">
        <w:rPr>
          <w:rFonts w:ascii="Arial" w:hAnsi="Arial" w:cs="Arial"/>
          <w:sz w:val="24"/>
          <w:szCs w:val="24"/>
        </w:rPr>
        <w:t>, F. (2006)</w:t>
      </w:r>
      <w:r w:rsidR="00336799">
        <w:rPr>
          <w:rFonts w:ascii="Arial" w:hAnsi="Arial" w:cs="Arial"/>
          <w:sz w:val="24"/>
          <w:szCs w:val="24"/>
        </w:rPr>
        <w:t>.</w:t>
      </w:r>
      <w:r w:rsidR="000D188A" w:rsidRPr="00887A1F">
        <w:rPr>
          <w:rFonts w:ascii="Arial" w:hAnsi="Arial" w:cs="Arial"/>
          <w:sz w:val="24"/>
          <w:szCs w:val="24"/>
        </w:rPr>
        <w:t xml:space="preserve"> User and c</w:t>
      </w:r>
      <w:r w:rsidRPr="00887A1F">
        <w:rPr>
          <w:rFonts w:ascii="Arial" w:hAnsi="Arial" w:cs="Arial"/>
          <w:sz w:val="24"/>
          <w:szCs w:val="24"/>
        </w:rPr>
        <w:t>arer</w:t>
      </w:r>
      <w:r w:rsidR="000D188A" w:rsidRPr="00887A1F">
        <w:rPr>
          <w:rFonts w:ascii="Arial" w:hAnsi="Arial" w:cs="Arial"/>
          <w:sz w:val="24"/>
          <w:szCs w:val="24"/>
        </w:rPr>
        <w:t xml:space="preserve"> involvement in social work education:  A university case study: manipulation or c</w:t>
      </w:r>
      <w:r w:rsidRPr="00887A1F">
        <w:rPr>
          <w:rFonts w:ascii="Arial" w:hAnsi="Arial" w:cs="Arial"/>
          <w:sz w:val="24"/>
          <w:szCs w:val="24"/>
        </w:rPr>
        <w:t>itizen</w:t>
      </w:r>
      <w:r w:rsidR="000D188A" w:rsidRPr="00887A1F">
        <w:rPr>
          <w:rFonts w:ascii="Arial" w:hAnsi="Arial" w:cs="Arial"/>
          <w:sz w:val="24"/>
          <w:szCs w:val="24"/>
        </w:rPr>
        <w:t xml:space="preserve"> c</w:t>
      </w:r>
      <w:r w:rsidRPr="00887A1F">
        <w:rPr>
          <w:rFonts w:ascii="Arial" w:hAnsi="Arial" w:cs="Arial"/>
          <w:sz w:val="24"/>
          <w:szCs w:val="24"/>
        </w:rPr>
        <w:t xml:space="preserve">ontrol?, </w:t>
      </w:r>
      <w:r w:rsidRPr="00887A1F">
        <w:rPr>
          <w:rFonts w:ascii="Arial" w:hAnsi="Arial" w:cs="Arial"/>
          <w:i/>
          <w:sz w:val="24"/>
          <w:szCs w:val="24"/>
        </w:rPr>
        <w:t>Social Work Education, 25</w:t>
      </w:r>
      <w:r w:rsidR="000D188A" w:rsidRPr="00887A1F">
        <w:rPr>
          <w:rFonts w:ascii="Arial" w:hAnsi="Arial" w:cs="Arial"/>
          <w:i/>
          <w:sz w:val="24"/>
          <w:szCs w:val="24"/>
        </w:rPr>
        <w:t xml:space="preserve">, </w:t>
      </w:r>
      <w:r w:rsidRPr="00887A1F">
        <w:rPr>
          <w:rFonts w:ascii="Arial" w:hAnsi="Arial" w:cs="Arial"/>
          <w:sz w:val="24"/>
          <w:szCs w:val="24"/>
        </w:rPr>
        <w:t>403-413, DOI: 10.1080/02615470600593790</w:t>
      </w:r>
    </w:p>
    <w:p w:rsidR="00BD5C9B" w:rsidRPr="00887A1F" w:rsidRDefault="00BD5C9B" w:rsidP="00887A1F">
      <w:pPr>
        <w:autoSpaceDE w:val="0"/>
        <w:autoSpaceDN w:val="0"/>
        <w:adjustRightInd w:val="0"/>
        <w:spacing w:after="0" w:line="360" w:lineRule="auto"/>
        <w:rPr>
          <w:rFonts w:ascii="Arial" w:hAnsi="Arial" w:cs="Arial"/>
          <w:sz w:val="24"/>
          <w:szCs w:val="24"/>
        </w:rPr>
      </w:pPr>
    </w:p>
    <w:p w:rsidR="00BD5C9B" w:rsidRPr="00887A1F" w:rsidRDefault="00BD5C9B" w:rsidP="00887A1F">
      <w:pPr>
        <w:autoSpaceDE w:val="0"/>
        <w:autoSpaceDN w:val="0"/>
        <w:adjustRightInd w:val="0"/>
        <w:spacing w:after="0" w:line="360" w:lineRule="auto"/>
        <w:rPr>
          <w:rFonts w:ascii="Arial" w:hAnsi="Arial" w:cs="Arial"/>
          <w:sz w:val="24"/>
          <w:szCs w:val="24"/>
        </w:rPr>
      </w:pPr>
      <w:r w:rsidRPr="00887A1F">
        <w:rPr>
          <w:rFonts w:ascii="Arial" w:hAnsi="Arial" w:cs="Arial"/>
          <w:sz w:val="24"/>
          <w:szCs w:val="24"/>
        </w:rPr>
        <w:t>Anghel, R. &amp; Ramon, S. (2009)</w:t>
      </w:r>
      <w:r w:rsidR="00336799">
        <w:rPr>
          <w:rFonts w:ascii="Arial" w:hAnsi="Arial" w:cs="Arial"/>
          <w:sz w:val="24"/>
          <w:szCs w:val="24"/>
        </w:rPr>
        <w:t>.</w:t>
      </w:r>
      <w:r w:rsidRPr="00887A1F">
        <w:rPr>
          <w:rFonts w:ascii="Arial" w:hAnsi="Arial" w:cs="Arial"/>
          <w:sz w:val="24"/>
          <w:szCs w:val="24"/>
        </w:rPr>
        <w:t xml:space="preserve"> Service users and carers’ involvement in social work education: Lessons from an English case study. </w:t>
      </w:r>
      <w:r w:rsidRPr="00887A1F">
        <w:rPr>
          <w:rFonts w:ascii="Arial" w:hAnsi="Arial" w:cs="Arial"/>
          <w:i/>
          <w:sz w:val="24"/>
          <w:szCs w:val="24"/>
        </w:rPr>
        <w:t>European Journal of Social Work, 12</w:t>
      </w:r>
      <w:r w:rsidRPr="00887A1F">
        <w:rPr>
          <w:rFonts w:ascii="Arial" w:hAnsi="Arial" w:cs="Arial"/>
          <w:sz w:val="24"/>
          <w:szCs w:val="24"/>
        </w:rPr>
        <w:t>, 185-199, DOI: 10.1080/13691450802567416</w:t>
      </w:r>
    </w:p>
    <w:p w:rsidR="002566E9" w:rsidRPr="00887A1F" w:rsidRDefault="002566E9" w:rsidP="00887A1F">
      <w:pPr>
        <w:autoSpaceDE w:val="0"/>
        <w:autoSpaceDN w:val="0"/>
        <w:adjustRightInd w:val="0"/>
        <w:spacing w:after="0" w:line="360" w:lineRule="auto"/>
        <w:rPr>
          <w:rFonts w:ascii="Arial" w:hAnsi="Arial" w:cs="Arial"/>
          <w:sz w:val="24"/>
          <w:szCs w:val="24"/>
        </w:rPr>
      </w:pPr>
    </w:p>
    <w:p w:rsidR="002566E9" w:rsidRPr="00887A1F" w:rsidRDefault="002566E9" w:rsidP="00887A1F">
      <w:pPr>
        <w:autoSpaceDE w:val="0"/>
        <w:autoSpaceDN w:val="0"/>
        <w:adjustRightInd w:val="0"/>
        <w:spacing w:after="0" w:line="360" w:lineRule="auto"/>
        <w:rPr>
          <w:rFonts w:ascii="Arial" w:hAnsi="Arial" w:cs="Arial"/>
          <w:sz w:val="24"/>
          <w:szCs w:val="24"/>
        </w:rPr>
      </w:pPr>
      <w:r w:rsidRPr="00887A1F">
        <w:rPr>
          <w:rFonts w:ascii="Arial" w:hAnsi="Arial" w:cs="Arial"/>
          <w:sz w:val="24"/>
          <w:szCs w:val="24"/>
        </w:rPr>
        <w:t>Arnstein, S. (1969)</w:t>
      </w:r>
      <w:r w:rsidR="00336799">
        <w:rPr>
          <w:rFonts w:ascii="Arial" w:hAnsi="Arial" w:cs="Arial"/>
          <w:sz w:val="24"/>
          <w:szCs w:val="24"/>
        </w:rPr>
        <w:t>.</w:t>
      </w:r>
      <w:r w:rsidRPr="00887A1F">
        <w:rPr>
          <w:rFonts w:ascii="Arial" w:hAnsi="Arial" w:cs="Arial"/>
          <w:sz w:val="24"/>
          <w:szCs w:val="24"/>
        </w:rPr>
        <w:t xml:space="preserve"> A Ladder of Citizen Participation,</w:t>
      </w:r>
      <w:r w:rsidRPr="00887A1F">
        <w:rPr>
          <w:rFonts w:ascii="Arial" w:hAnsi="Arial" w:cs="Arial"/>
          <w:i/>
          <w:sz w:val="24"/>
          <w:szCs w:val="24"/>
        </w:rPr>
        <w:t xml:space="preserve"> JAIP, 35,</w:t>
      </w:r>
      <w:r w:rsidRPr="00887A1F">
        <w:rPr>
          <w:rFonts w:ascii="Arial" w:hAnsi="Arial" w:cs="Arial"/>
          <w:sz w:val="24"/>
          <w:szCs w:val="24"/>
        </w:rPr>
        <w:t xml:space="preserve"> 216-224.</w:t>
      </w:r>
    </w:p>
    <w:p w:rsidR="0098229B" w:rsidRPr="00887A1F" w:rsidRDefault="0098229B" w:rsidP="00887A1F">
      <w:pPr>
        <w:autoSpaceDE w:val="0"/>
        <w:autoSpaceDN w:val="0"/>
        <w:adjustRightInd w:val="0"/>
        <w:spacing w:after="0" w:line="360" w:lineRule="auto"/>
        <w:rPr>
          <w:rFonts w:ascii="Arial" w:hAnsi="Arial" w:cs="Arial"/>
          <w:sz w:val="24"/>
          <w:szCs w:val="24"/>
        </w:rPr>
      </w:pPr>
    </w:p>
    <w:p w:rsidR="0098229B" w:rsidRDefault="0098229B" w:rsidP="00887A1F">
      <w:pPr>
        <w:spacing w:after="0" w:line="360" w:lineRule="auto"/>
        <w:jc w:val="both"/>
        <w:rPr>
          <w:rFonts w:ascii="Arial" w:eastAsia="Times New Roman" w:hAnsi="Arial" w:cs="Arial"/>
          <w:sz w:val="24"/>
          <w:szCs w:val="24"/>
        </w:rPr>
      </w:pPr>
      <w:r w:rsidRPr="00887A1F">
        <w:rPr>
          <w:rFonts w:ascii="Arial" w:eastAsia="Times New Roman" w:hAnsi="Arial" w:cs="Arial"/>
          <w:sz w:val="24"/>
          <w:szCs w:val="24"/>
        </w:rPr>
        <w:t xml:space="preserve">Barnes, M. &amp; Bowl, R. (2001). </w:t>
      </w:r>
      <w:r w:rsidRPr="00887A1F">
        <w:rPr>
          <w:rFonts w:ascii="Arial" w:eastAsia="Times New Roman" w:hAnsi="Arial" w:cs="Arial"/>
          <w:i/>
          <w:sz w:val="24"/>
          <w:szCs w:val="24"/>
        </w:rPr>
        <w:t>Taking over the asylum: Empowerment and mental health</w:t>
      </w:r>
      <w:r w:rsidRPr="00887A1F">
        <w:rPr>
          <w:rFonts w:ascii="Arial" w:eastAsia="Times New Roman" w:hAnsi="Arial" w:cs="Arial"/>
          <w:sz w:val="24"/>
          <w:szCs w:val="24"/>
        </w:rPr>
        <w:t>. New York, NY: Palgrave.</w:t>
      </w:r>
    </w:p>
    <w:p w:rsidR="00515BED" w:rsidRDefault="00515BED" w:rsidP="00887A1F">
      <w:pPr>
        <w:spacing w:after="0" w:line="360" w:lineRule="auto"/>
        <w:jc w:val="both"/>
        <w:rPr>
          <w:rFonts w:ascii="Arial" w:eastAsia="Times New Roman" w:hAnsi="Arial" w:cs="Arial"/>
          <w:sz w:val="24"/>
          <w:szCs w:val="24"/>
        </w:rPr>
      </w:pPr>
    </w:p>
    <w:p w:rsidR="00515BED" w:rsidRPr="004D4624" w:rsidRDefault="00515BED" w:rsidP="004D4624">
      <w:pPr>
        <w:spacing w:before="100" w:beforeAutospacing="1" w:after="100" w:afterAutospacing="1" w:line="360" w:lineRule="auto"/>
        <w:rPr>
          <w:rFonts w:ascii="Arial" w:hAnsi="Arial" w:cs="Arial"/>
          <w:color w:val="000000"/>
          <w:sz w:val="24"/>
          <w:szCs w:val="24"/>
        </w:rPr>
      </w:pPr>
      <w:r w:rsidRPr="0029382E">
        <w:rPr>
          <w:rFonts w:ascii="Arial" w:hAnsi="Arial" w:cs="Arial"/>
          <w:color w:val="000000"/>
          <w:sz w:val="24"/>
          <w:szCs w:val="24"/>
        </w:rPr>
        <w:lastRenderedPageBreak/>
        <w:t>Barnes M (1997)</w:t>
      </w:r>
      <w:r w:rsidR="00336799">
        <w:rPr>
          <w:rFonts w:ascii="Arial" w:hAnsi="Arial" w:cs="Arial"/>
          <w:color w:val="000000"/>
          <w:sz w:val="24"/>
          <w:szCs w:val="24"/>
        </w:rPr>
        <w:t>.</w:t>
      </w:r>
      <w:r w:rsidRPr="0029382E">
        <w:rPr>
          <w:rFonts w:ascii="Arial" w:hAnsi="Arial" w:cs="Arial"/>
          <w:color w:val="000000"/>
          <w:sz w:val="24"/>
          <w:szCs w:val="24"/>
        </w:rPr>
        <w:t xml:space="preserve"> </w:t>
      </w:r>
      <w:r w:rsidR="00336799" w:rsidRPr="00336799">
        <w:rPr>
          <w:rFonts w:ascii="Arial" w:hAnsi="Arial" w:cs="Arial"/>
          <w:i/>
          <w:iCs/>
          <w:color w:val="000000"/>
          <w:sz w:val="24"/>
          <w:szCs w:val="24"/>
        </w:rPr>
        <w:t>Care, communities and c</w:t>
      </w:r>
      <w:r w:rsidRPr="0029382E">
        <w:rPr>
          <w:rFonts w:ascii="Arial" w:hAnsi="Arial" w:cs="Arial"/>
          <w:i/>
          <w:iCs/>
          <w:color w:val="000000"/>
          <w:sz w:val="24"/>
          <w:szCs w:val="24"/>
        </w:rPr>
        <w:t>itizens</w:t>
      </w:r>
      <w:r w:rsidRPr="0029382E">
        <w:rPr>
          <w:rFonts w:ascii="Arial" w:hAnsi="Arial" w:cs="Arial"/>
          <w:color w:val="000000"/>
          <w:sz w:val="24"/>
          <w:szCs w:val="24"/>
        </w:rPr>
        <w:t xml:space="preserve">.  </w:t>
      </w:r>
      <w:r>
        <w:rPr>
          <w:rFonts w:ascii="Arial" w:hAnsi="Arial" w:cs="Arial"/>
          <w:color w:val="000000"/>
          <w:sz w:val="24"/>
          <w:szCs w:val="24"/>
        </w:rPr>
        <w:t xml:space="preserve">Harlow:  </w:t>
      </w:r>
      <w:r w:rsidRPr="0029382E">
        <w:rPr>
          <w:rFonts w:ascii="Arial" w:hAnsi="Arial" w:cs="Arial"/>
          <w:color w:val="000000"/>
          <w:sz w:val="24"/>
          <w:szCs w:val="24"/>
        </w:rPr>
        <w:t xml:space="preserve">Addison Wesley Longman </w:t>
      </w:r>
    </w:p>
    <w:p w:rsidR="00515BED" w:rsidRPr="00887A1F" w:rsidRDefault="00515BED" w:rsidP="00887A1F">
      <w:pPr>
        <w:spacing w:after="0" w:line="360" w:lineRule="auto"/>
        <w:jc w:val="both"/>
        <w:rPr>
          <w:rFonts w:ascii="Arial" w:eastAsia="Times New Roman" w:hAnsi="Arial" w:cs="Arial"/>
          <w:sz w:val="24"/>
          <w:szCs w:val="24"/>
        </w:rPr>
      </w:pPr>
    </w:p>
    <w:p w:rsidR="001036A8" w:rsidRDefault="00B054F1" w:rsidP="00887A1F">
      <w:pPr>
        <w:spacing w:before="100" w:beforeAutospacing="1" w:after="100" w:afterAutospacing="1" w:line="360" w:lineRule="auto"/>
        <w:rPr>
          <w:rFonts w:ascii="Arial" w:eastAsia="Times New Roman" w:hAnsi="Arial" w:cs="Arial"/>
          <w:color w:val="333333"/>
          <w:sz w:val="24"/>
          <w:szCs w:val="24"/>
          <w:lang w:eastAsia="en-GB"/>
        </w:rPr>
      </w:pPr>
      <w:r w:rsidRPr="00887A1F">
        <w:rPr>
          <w:rFonts w:ascii="Arial" w:eastAsia="Times New Roman" w:hAnsi="Arial" w:cs="Arial"/>
          <w:color w:val="333333"/>
          <w:sz w:val="24"/>
          <w:szCs w:val="24"/>
          <w:lang w:eastAsia="en-GB"/>
        </w:rPr>
        <w:t>Beckett, C., &amp; Maynard, A. (2013)</w:t>
      </w:r>
      <w:r w:rsidR="00336799">
        <w:rPr>
          <w:rFonts w:ascii="Arial" w:eastAsia="Times New Roman" w:hAnsi="Arial" w:cs="Arial"/>
          <w:color w:val="333333"/>
          <w:sz w:val="24"/>
          <w:szCs w:val="24"/>
          <w:lang w:eastAsia="en-GB"/>
        </w:rPr>
        <w:t>.</w:t>
      </w:r>
      <w:r w:rsidRPr="00887A1F">
        <w:rPr>
          <w:rFonts w:ascii="Arial" w:eastAsia="Times New Roman" w:hAnsi="Arial" w:cs="Arial"/>
          <w:color w:val="333333"/>
          <w:sz w:val="24"/>
          <w:szCs w:val="24"/>
          <w:lang w:eastAsia="en-GB"/>
        </w:rPr>
        <w:t xml:space="preserve"> </w:t>
      </w:r>
      <w:r w:rsidRPr="00887A1F">
        <w:rPr>
          <w:rFonts w:ascii="Arial" w:eastAsia="Times New Roman" w:hAnsi="Arial" w:cs="Arial"/>
          <w:i/>
          <w:color w:val="333333"/>
          <w:sz w:val="24"/>
          <w:szCs w:val="24"/>
          <w:lang w:eastAsia="en-GB"/>
        </w:rPr>
        <w:t xml:space="preserve">Values and ethics in social work.  </w:t>
      </w:r>
      <w:r w:rsidRPr="00887A1F">
        <w:rPr>
          <w:rFonts w:ascii="Arial" w:eastAsia="Times New Roman" w:hAnsi="Arial" w:cs="Arial"/>
          <w:color w:val="333333"/>
          <w:sz w:val="24"/>
          <w:szCs w:val="24"/>
          <w:lang w:eastAsia="en-GB"/>
        </w:rPr>
        <w:t xml:space="preserve"> </w:t>
      </w:r>
      <w:r w:rsidR="00344134" w:rsidRPr="00887A1F">
        <w:rPr>
          <w:rFonts w:ascii="Arial" w:eastAsia="Times New Roman" w:hAnsi="Arial" w:cs="Arial"/>
          <w:color w:val="333333"/>
          <w:sz w:val="24"/>
          <w:szCs w:val="24"/>
          <w:lang w:eastAsia="en-GB"/>
        </w:rPr>
        <w:t xml:space="preserve">London: </w:t>
      </w:r>
      <w:r w:rsidRPr="00887A1F">
        <w:rPr>
          <w:rFonts w:ascii="Arial" w:eastAsia="Times New Roman" w:hAnsi="Arial" w:cs="Arial"/>
          <w:color w:val="333333"/>
          <w:sz w:val="24"/>
          <w:szCs w:val="24"/>
          <w:lang w:eastAsia="en-GB"/>
        </w:rPr>
        <w:t>Sage Publications Ltd</w:t>
      </w:r>
      <w:r w:rsidR="00344134" w:rsidRPr="00887A1F">
        <w:rPr>
          <w:rFonts w:ascii="Arial" w:eastAsia="Times New Roman" w:hAnsi="Arial" w:cs="Arial"/>
          <w:color w:val="333333"/>
          <w:sz w:val="24"/>
          <w:szCs w:val="24"/>
          <w:lang w:eastAsia="en-GB"/>
        </w:rPr>
        <w:t xml:space="preserve">.  </w:t>
      </w:r>
      <w:r w:rsidRPr="00887A1F">
        <w:rPr>
          <w:rFonts w:ascii="Arial" w:eastAsia="Times New Roman" w:hAnsi="Arial" w:cs="Arial"/>
          <w:color w:val="333333"/>
          <w:sz w:val="24"/>
          <w:szCs w:val="24"/>
          <w:lang w:eastAsia="en-GB"/>
        </w:rPr>
        <w:t>ISBN 9781446203200</w:t>
      </w:r>
    </w:p>
    <w:p w:rsidR="00084BB2" w:rsidRDefault="00084BB2" w:rsidP="00887A1F">
      <w:pPr>
        <w:spacing w:before="100" w:beforeAutospacing="1" w:after="100" w:afterAutospacing="1" w:line="360" w:lineRule="auto"/>
        <w:rPr>
          <w:rFonts w:ascii="Arial" w:eastAsia="Times New Roman" w:hAnsi="Arial" w:cs="Arial"/>
          <w:color w:val="333333"/>
          <w:sz w:val="24"/>
          <w:szCs w:val="24"/>
          <w:lang w:eastAsia="en-GB"/>
        </w:rPr>
      </w:pPr>
    </w:p>
    <w:p w:rsidR="00084BB2" w:rsidRPr="00084BB2" w:rsidRDefault="00084BB2" w:rsidP="00084BB2">
      <w:pPr>
        <w:spacing w:before="100" w:beforeAutospacing="1" w:after="100" w:afterAutospacing="1" w:line="360" w:lineRule="auto"/>
        <w:rPr>
          <w:rFonts w:ascii="Arial" w:eastAsia="Times New Roman" w:hAnsi="Arial" w:cs="Arial"/>
          <w:color w:val="333333"/>
          <w:sz w:val="24"/>
          <w:szCs w:val="24"/>
          <w:lang w:eastAsia="en-GB"/>
        </w:rPr>
      </w:pPr>
      <w:r w:rsidRPr="0029382E">
        <w:rPr>
          <w:rFonts w:ascii="Arial" w:hAnsi="Arial" w:cs="Arial"/>
          <w:color w:val="303030"/>
          <w:sz w:val="24"/>
          <w:szCs w:val="24"/>
          <w:lang w:val="en"/>
        </w:rPr>
        <w:t xml:space="preserve">Beresford, P. (2002). User involvement in research and evaluation: liberation or regulation? </w:t>
      </w:r>
      <w:r w:rsidRPr="0029382E">
        <w:rPr>
          <w:rFonts w:ascii="Arial" w:hAnsi="Arial" w:cs="Arial"/>
          <w:i/>
          <w:color w:val="303030"/>
          <w:sz w:val="24"/>
          <w:szCs w:val="24"/>
          <w:lang w:val="en"/>
        </w:rPr>
        <w:t>Social Policy and Society</w:t>
      </w:r>
      <w:r w:rsidRPr="0029382E">
        <w:rPr>
          <w:rFonts w:ascii="Arial" w:hAnsi="Arial" w:cs="Arial"/>
          <w:color w:val="303030"/>
          <w:sz w:val="24"/>
          <w:szCs w:val="24"/>
          <w:lang w:val="en"/>
        </w:rPr>
        <w:t xml:space="preserve">, </w:t>
      </w:r>
      <w:r w:rsidRPr="0029382E">
        <w:rPr>
          <w:rFonts w:ascii="Arial" w:hAnsi="Arial" w:cs="Arial"/>
          <w:i/>
          <w:color w:val="303030"/>
          <w:sz w:val="24"/>
          <w:szCs w:val="24"/>
          <w:lang w:val="en"/>
        </w:rPr>
        <w:t>1</w:t>
      </w:r>
      <w:r w:rsidRPr="0029382E">
        <w:rPr>
          <w:rFonts w:ascii="Arial" w:hAnsi="Arial" w:cs="Arial"/>
          <w:color w:val="303030"/>
          <w:sz w:val="24"/>
          <w:szCs w:val="24"/>
          <w:lang w:val="en"/>
        </w:rPr>
        <w:t>, 95-105.</w:t>
      </w:r>
    </w:p>
    <w:p w:rsidR="0036048E" w:rsidRPr="00887A1F" w:rsidRDefault="0036048E" w:rsidP="00887A1F">
      <w:pPr>
        <w:spacing w:before="100" w:beforeAutospacing="1" w:after="100" w:afterAutospacing="1" w:line="360" w:lineRule="auto"/>
        <w:rPr>
          <w:rFonts w:ascii="Arial" w:eastAsia="Times New Roman" w:hAnsi="Arial" w:cs="Arial"/>
          <w:color w:val="333333"/>
          <w:sz w:val="24"/>
          <w:szCs w:val="24"/>
          <w:lang w:eastAsia="en-GB"/>
        </w:rPr>
      </w:pPr>
    </w:p>
    <w:p w:rsidR="0036048E" w:rsidRPr="00887A1F" w:rsidRDefault="00F70BB2" w:rsidP="00792B75">
      <w:pPr>
        <w:pStyle w:val="referencetext"/>
        <w:rPr>
          <w:rFonts w:eastAsia="Times New Roman"/>
          <w:color w:val="333333"/>
          <w:lang w:eastAsia="en-GB"/>
        </w:rPr>
      </w:pPr>
      <w:r w:rsidRPr="00887A1F">
        <w:t>Beresford P., &amp;</w:t>
      </w:r>
      <w:r w:rsidR="0036048E" w:rsidRPr="00887A1F">
        <w:t xml:space="preserve"> </w:t>
      </w:r>
      <w:r w:rsidR="0043486E" w:rsidRPr="00887A1F">
        <w:t xml:space="preserve"> </w:t>
      </w:r>
      <w:r w:rsidR="0036048E" w:rsidRPr="00887A1F">
        <w:t>Branfield</w:t>
      </w:r>
      <w:r w:rsidRPr="00887A1F">
        <w:t xml:space="preserve"> F.</w:t>
      </w:r>
      <w:r w:rsidR="0036048E" w:rsidRPr="00887A1F">
        <w:t xml:space="preserve"> </w:t>
      </w:r>
      <w:r w:rsidRPr="00887A1F">
        <w:t>(</w:t>
      </w:r>
      <w:r w:rsidR="0036048E" w:rsidRPr="00887A1F">
        <w:t>2012</w:t>
      </w:r>
      <w:r w:rsidRPr="00887A1F">
        <w:t>)</w:t>
      </w:r>
      <w:r w:rsidR="00336799">
        <w:t>.</w:t>
      </w:r>
      <w:r w:rsidR="0036048E" w:rsidRPr="00887A1F">
        <w:t xml:space="preserve"> Building solidarity, ensuring diversity: lessons from service users and disabled people’s movements.  In M. Barnes  </w:t>
      </w:r>
      <w:r w:rsidR="00A85A31">
        <w:t>&amp;</w:t>
      </w:r>
      <w:r w:rsidR="0036048E" w:rsidRPr="00887A1F">
        <w:t xml:space="preserve"> P. Cotterell  (Eds.)</w:t>
      </w:r>
      <w:r w:rsidR="00FF3C7E">
        <w:t>,</w:t>
      </w:r>
      <w:r w:rsidR="0036048E" w:rsidRPr="00887A1F">
        <w:t xml:space="preserve"> </w:t>
      </w:r>
      <w:r w:rsidR="0036048E" w:rsidRPr="00887A1F">
        <w:rPr>
          <w:i/>
        </w:rPr>
        <w:t xml:space="preserve">Critical perspectives on user involvement </w:t>
      </w:r>
      <w:r w:rsidR="0036048E" w:rsidRPr="00887A1F">
        <w:t>(pp. 33 – 45)</w:t>
      </w:r>
      <w:r w:rsidR="00A85A31">
        <w:t>.</w:t>
      </w:r>
      <w:r w:rsidR="0036048E" w:rsidRPr="00887A1F">
        <w:t xml:space="preserve"> Bristol: Policy Press.  </w:t>
      </w:r>
    </w:p>
    <w:p w:rsidR="001B2E4C" w:rsidRPr="00887A1F" w:rsidRDefault="001B2E4C" w:rsidP="00887A1F">
      <w:pPr>
        <w:spacing w:before="100" w:beforeAutospacing="1" w:after="100" w:afterAutospacing="1" w:line="360" w:lineRule="auto"/>
        <w:rPr>
          <w:rFonts w:ascii="Arial" w:eastAsia="Times New Roman" w:hAnsi="Arial" w:cs="Arial"/>
          <w:color w:val="333333"/>
          <w:sz w:val="24"/>
          <w:szCs w:val="24"/>
          <w:lang w:eastAsia="en-GB"/>
        </w:rPr>
      </w:pPr>
    </w:p>
    <w:p w:rsidR="001B2E4C" w:rsidRPr="00887A1F" w:rsidRDefault="001B2E4C" w:rsidP="00887A1F">
      <w:pPr>
        <w:autoSpaceDE w:val="0"/>
        <w:autoSpaceDN w:val="0"/>
        <w:adjustRightInd w:val="0"/>
        <w:spacing w:after="0" w:line="360" w:lineRule="auto"/>
        <w:rPr>
          <w:rFonts w:ascii="Arial" w:hAnsi="Arial" w:cs="Arial"/>
          <w:sz w:val="24"/>
          <w:szCs w:val="24"/>
        </w:rPr>
      </w:pPr>
      <w:r w:rsidRPr="00887A1F">
        <w:rPr>
          <w:rFonts w:ascii="Arial" w:hAnsi="Arial" w:cs="Arial"/>
          <w:sz w:val="24"/>
          <w:szCs w:val="24"/>
        </w:rPr>
        <w:lastRenderedPageBreak/>
        <w:t>Coulter ,S., Campbell, J., Duffy, J. &amp; Reilly, I. (2013)</w:t>
      </w:r>
      <w:r w:rsidR="00336799">
        <w:rPr>
          <w:rFonts w:ascii="Arial" w:hAnsi="Arial" w:cs="Arial"/>
          <w:sz w:val="24"/>
          <w:szCs w:val="24"/>
        </w:rPr>
        <w:t>.</w:t>
      </w:r>
      <w:r w:rsidRPr="00887A1F">
        <w:rPr>
          <w:rFonts w:ascii="Arial" w:hAnsi="Arial" w:cs="Arial"/>
          <w:sz w:val="24"/>
          <w:szCs w:val="24"/>
        </w:rPr>
        <w:t xml:space="preserve"> Enabling social work students to deal with the consequences of political conflict: Engaging with victim/ survivor service users and a ‘Pedagogy of Discomfort’. </w:t>
      </w:r>
      <w:r w:rsidRPr="00887A1F">
        <w:rPr>
          <w:rFonts w:ascii="Arial" w:hAnsi="Arial" w:cs="Arial"/>
          <w:i/>
          <w:sz w:val="24"/>
          <w:szCs w:val="24"/>
        </w:rPr>
        <w:t>Social Work Education</w:t>
      </w:r>
      <w:r w:rsidRPr="00887A1F">
        <w:rPr>
          <w:rFonts w:ascii="Arial" w:hAnsi="Arial" w:cs="Arial"/>
          <w:sz w:val="24"/>
          <w:szCs w:val="24"/>
        </w:rPr>
        <w:t xml:space="preserve">, </w:t>
      </w:r>
      <w:r w:rsidRPr="00887A1F">
        <w:rPr>
          <w:rFonts w:ascii="Arial" w:hAnsi="Arial" w:cs="Arial"/>
          <w:i/>
          <w:sz w:val="24"/>
          <w:szCs w:val="24"/>
        </w:rPr>
        <w:t>32</w:t>
      </w:r>
      <w:r w:rsidRPr="00887A1F">
        <w:rPr>
          <w:rFonts w:ascii="Arial" w:hAnsi="Arial" w:cs="Arial"/>
          <w:sz w:val="24"/>
          <w:szCs w:val="24"/>
        </w:rPr>
        <w:t>, 439-452.  DOI: 10.1080/02615479.2012.668180</w:t>
      </w:r>
    </w:p>
    <w:p w:rsidR="00A979A3" w:rsidRPr="00887A1F" w:rsidRDefault="00A979A3" w:rsidP="00887A1F">
      <w:pPr>
        <w:autoSpaceDE w:val="0"/>
        <w:autoSpaceDN w:val="0"/>
        <w:adjustRightInd w:val="0"/>
        <w:spacing w:after="0" w:line="360" w:lineRule="auto"/>
        <w:rPr>
          <w:rFonts w:ascii="Arial" w:hAnsi="Arial" w:cs="Arial"/>
          <w:sz w:val="24"/>
          <w:szCs w:val="24"/>
        </w:rPr>
      </w:pPr>
    </w:p>
    <w:p w:rsidR="00A979A3" w:rsidRPr="00887A1F" w:rsidRDefault="00DC46BC" w:rsidP="00887A1F">
      <w:pPr>
        <w:spacing w:line="360" w:lineRule="auto"/>
        <w:rPr>
          <w:rFonts w:ascii="Arial" w:hAnsi="Arial" w:cs="Arial"/>
          <w:sz w:val="24"/>
          <w:szCs w:val="24"/>
        </w:rPr>
      </w:pPr>
      <w:hyperlink r:id="rId9" w:tooltip="Kimberlé Crenshaw" w:history="1">
        <w:r w:rsidR="00A979A3" w:rsidRPr="00887A1F">
          <w:rPr>
            <w:rStyle w:val="Hyperlink"/>
            <w:rFonts w:ascii="Arial" w:hAnsi="Arial" w:cs="Arial"/>
            <w:iCs/>
            <w:color w:val="auto"/>
            <w:sz w:val="24"/>
            <w:szCs w:val="24"/>
            <w:u w:val="none"/>
          </w:rPr>
          <w:t>Crenshaw, K</w:t>
        </w:r>
      </w:hyperlink>
      <w:r w:rsidR="00F70BB2" w:rsidRPr="00887A1F">
        <w:rPr>
          <w:rFonts w:ascii="Arial" w:hAnsi="Arial" w:cs="Arial"/>
          <w:sz w:val="24"/>
          <w:szCs w:val="24"/>
        </w:rPr>
        <w:t>.</w:t>
      </w:r>
      <w:r w:rsidR="00A979A3" w:rsidRPr="00887A1F">
        <w:rPr>
          <w:rStyle w:val="HTMLCite"/>
          <w:rFonts w:ascii="Arial" w:hAnsi="Arial" w:cs="Arial"/>
          <w:sz w:val="24"/>
          <w:szCs w:val="24"/>
        </w:rPr>
        <w:t xml:space="preserve"> </w:t>
      </w:r>
      <w:r w:rsidR="00A979A3" w:rsidRPr="00887A1F">
        <w:rPr>
          <w:rStyle w:val="HTMLCite"/>
          <w:rFonts w:ascii="Arial" w:hAnsi="Arial" w:cs="Arial"/>
          <w:i w:val="0"/>
          <w:sz w:val="24"/>
          <w:szCs w:val="24"/>
        </w:rPr>
        <w:t>(1989).</w:t>
      </w:r>
      <w:r w:rsidR="00A979A3" w:rsidRPr="00887A1F">
        <w:rPr>
          <w:rStyle w:val="HTMLCite"/>
          <w:rFonts w:ascii="Arial" w:hAnsi="Arial" w:cs="Arial"/>
          <w:sz w:val="24"/>
          <w:szCs w:val="24"/>
        </w:rPr>
        <w:t xml:space="preserve"> </w:t>
      </w:r>
      <w:hyperlink r:id="rId10" w:history="1">
        <w:r w:rsidR="00A979A3" w:rsidRPr="00887A1F">
          <w:rPr>
            <w:rStyle w:val="Hyperlink"/>
            <w:rFonts w:ascii="Arial" w:hAnsi="Arial" w:cs="Arial"/>
            <w:iCs/>
            <w:color w:val="auto"/>
            <w:sz w:val="24"/>
            <w:szCs w:val="24"/>
            <w:u w:val="none"/>
          </w:rPr>
          <w:t>Demarginalizing the intersection of race and sex: a black feminist critique of antidiscrimination doctrine, feminist theory and antiracist politics</w:t>
        </w:r>
      </w:hyperlink>
      <w:r w:rsidR="00A979A3" w:rsidRPr="00887A1F">
        <w:rPr>
          <w:rStyle w:val="HTMLCite"/>
          <w:rFonts w:ascii="Arial" w:hAnsi="Arial" w:cs="Arial"/>
          <w:sz w:val="24"/>
          <w:szCs w:val="24"/>
        </w:rPr>
        <w:t xml:space="preserve">. University of Chicago Legal Forum </w:t>
      </w:r>
      <w:r w:rsidR="00A979A3" w:rsidRPr="00887A1F">
        <w:rPr>
          <w:rStyle w:val="HTMLCite"/>
          <w:rFonts w:ascii="Arial" w:hAnsi="Arial" w:cs="Arial"/>
          <w:i w:val="0"/>
          <w:sz w:val="24"/>
          <w:szCs w:val="24"/>
        </w:rPr>
        <w:t>(</w:t>
      </w:r>
      <w:hyperlink r:id="rId11" w:tooltip="PhilPapers" w:history="1">
        <w:r w:rsidR="00A979A3" w:rsidRPr="00887A1F">
          <w:rPr>
            <w:rStyle w:val="Hyperlink"/>
            <w:rFonts w:ascii="Arial" w:hAnsi="Arial" w:cs="Arial"/>
            <w:i/>
            <w:iCs/>
            <w:color w:val="auto"/>
            <w:sz w:val="24"/>
            <w:szCs w:val="24"/>
            <w:u w:val="none"/>
          </w:rPr>
          <w:t>PhilPapers</w:t>
        </w:r>
      </w:hyperlink>
      <w:r w:rsidR="00A979A3" w:rsidRPr="00887A1F">
        <w:rPr>
          <w:rStyle w:val="HTMLCite"/>
          <w:rFonts w:ascii="Arial" w:hAnsi="Arial" w:cs="Arial"/>
          <w:i w:val="0"/>
          <w:sz w:val="24"/>
          <w:szCs w:val="24"/>
        </w:rPr>
        <w:t xml:space="preserve">) </w:t>
      </w:r>
      <w:r w:rsidR="00A979A3" w:rsidRPr="00887A1F">
        <w:rPr>
          <w:rStyle w:val="HTMLCite"/>
          <w:rFonts w:ascii="Arial" w:hAnsi="Arial" w:cs="Arial"/>
          <w:bCs/>
          <w:sz w:val="24"/>
          <w:szCs w:val="24"/>
        </w:rPr>
        <w:t xml:space="preserve">140, </w:t>
      </w:r>
      <w:r w:rsidR="00A979A3" w:rsidRPr="00887A1F">
        <w:rPr>
          <w:rStyle w:val="HTMLCite"/>
          <w:rFonts w:ascii="Arial" w:hAnsi="Arial" w:cs="Arial"/>
          <w:i w:val="0"/>
          <w:sz w:val="24"/>
          <w:szCs w:val="24"/>
        </w:rPr>
        <w:t>139–167</w:t>
      </w:r>
      <w:r w:rsidR="00A979A3" w:rsidRPr="00887A1F">
        <w:rPr>
          <w:rStyle w:val="HTMLCite"/>
          <w:rFonts w:ascii="Arial" w:hAnsi="Arial" w:cs="Arial"/>
          <w:sz w:val="24"/>
          <w:szCs w:val="24"/>
        </w:rPr>
        <w:t>.</w:t>
      </w:r>
      <w:r w:rsidR="00A979A3" w:rsidRPr="00887A1F">
        <w:rPr>
          <w:rStyle w:val="z3988"/>
          <w:rFonts w:ascii="Arial" w:hAnsi="Arial" w:cs="Arial"/>
          <w:vanish/>
          <w:sz w:val="24"/>
          <w:szCs w:val="24"/>
        </w:rPr>
        <w:t> </w:t>
      </w:r>
      <w:r w:rsidR="00A979A3" w:rsidRPr="00887A1F">
        <w:rPr>
          <w:rStyle w:val="reference-text"/>
          <w:rFonts w:ascii="Arial" w:hAnsi="Arial" w:cs="Arial"/>
          <w:sz w:val="24"/>
          <w:szCs w:val="24"/>
        </w:rPr>
        <w:t xml:space="preserve"> </w:t>
      </w:r>
    </w:p>
    <w:p w:rsidR="001B2E4C" w:rsidRPr="00887A1F" w:rsidRDefault="001B2E4C" w:rsidP="00887A1F">
      <w:pPr>
        <w:autoSpaceDE w:val="0"/>
        <w:autoSpaceDN w:val="0"/>
        <w:adjustRightInd w:val="0"/>
        <w:spacing w:after="0" w:line="360" w:lineRule="auto"/>
        <w:rPr>
          <w:rFonts w:ascii="Arial" w:hAnsi="Arial" w:cs="Arial"/>
          <w:sz w:val="24"/>
          <w:szCs w:val="24"/>
        </w:rPr>
      </w:pPr>
    </w:p>
    <w:p w:rsidR="001B2E4C" w:rsidRPr="00887A1F" w:rsidRDefault="001B2E4C" w:rsidP="00887A1F">
      <w:pPr>
        <w:autoSpaceDE w:val="0"/>
        <w:autoSpaceDN w:val="0"/>
        <w:adjustRightInd w:val="0"/>
        <w:spacing w:after="0" w:line="360" w:lineRule="auto"/>
        <w:rPr>
          <w:rFonts w:ascii="Arial" w:hAnsi="Arial" w:cs="Arial"/>
          <w:sz w:val="24"/>
          <w:szCs w:val="24"/>
        </w:rPr>
      </w:pPr>
      <w:r w:rsidRPr="00887A1F">
        <w:rPr>
          <w:rFonts w:ascii="Arial" w:hAnsi="Arial" w:cs="Arial"/>
          <w:sz w:val="24"/>
          <w:szCs w:val="24"/>
        </w:rPr>
        <w:t>Duffy, J., Das, C., &amp; Davidson, G</w:t>
      </w:r>
      <w:r w:rsidR="00F70BB2" w:rsidRPr="00887A1F">
        <w:rPr>
          <w:rFonts w:ascii="Arial" w:hAnsi="Arial" w:cs="Arial"/>
          <w:sz w:val="24"/>
          <w:szCs w:val="24"/>
        </w:rPr>
        <w:t>.</w:t>
      </w:r>
      <w:r w:rsidRPr="00887A1F">
        <w:rPr>
          <w:rFonts w:ascii="Arial" w:hAnsi="Arial" w:cs="Arial"/>
          <w:sz w:val="24"/>
          <w:szCs w:val="24"/>
        </w:rPr>
        <w:t xml:space="preserve"> (2013)</w:t>
      </w:r>
      <w:r w:rsidR="00336799">
        <w:rPr>
          <w:rFonts w:ascii="Arial" w:hAnsi="Arial" w:cs="Arial"/>
          <w:sz w:val="24"/>
          <w:szCs w:val="24"/>
        </w:rPr>
        <w:t>.</w:t>
      </w:r>
      <w:r w:rsidRPr="00887A1F">
        <w:rPr>
          <w:rFonts w:ascii="Arial" w:hAnsi="Arial" w:cs="Arial"/>
          <w:sz w:val="24"/>
          <w:szCs w:val="24"/>
        </w:rPr>
        <w:t xml:space="preserve"> Service user and carer involvement in role-plays to assess readiness for practice.  </w:t>
      </w:r>
      <w:r w:rsidRPr="00887A1F">
        <w:rPr>
          <w:rFonts w:ascii="Arial" w:hAnsi="Arial" w:cs="Arial"/>
          <w:i/>
          <w:sz w:val="24"/>
          <w:szCs w:val="24"/>
        </w:rPr>
        <w:t>Social Work Education, 32</w:t>
      </w:r>
      <w:r w:rsidR="00C55F02" w:rsidRPr="00887A1F">
        <w:rPr>
          <w:rFonts w:ascii="Arial" w:hAnsi="Arial" w:cs="Arial"/>
          <w:sz w:val="24"/>
          <w:szCs w:val="24"/>
        </w:rPr>
        <w:t xml:space="preserve">, </w:t>
      </w:r>
      <w:r w:rsidRPr="00887A1F">
        <w:rPr>
          <w:rFonts w:ascii="Arial" w:hAnsi="Arial" w:cs="Arial"/>
          <w:sz w:val="24"/>
          <w:szCs w:val="24"/>
        </w:rPr>
        <w:t>39-54,</w:t>
      </w:r>
      <w:r w:rsidR="00C55F02" w:rsidRPr="00887A1F">
        <w:rPr>
          <w:rFonts w:ascii="Arial" w:hAnsi="Arial" w:cs="Arial"/>
          <w:sz w:val="24"/>
          <w:szCs w:val="24"/>
        </w:rPr>
        <w:t xml:space="preserve"> </w:t>
      </w:r>
      <w:r w:rsidRPr="00887A1F">
        <w:rPr>
          <w:rFonts w:ascii="Arial" w:hAnsi="Arial" w:cs="Arial"/>
          <w:sz w:val="24"/>
          <w:szCs w:val="24"/>
        </w:rPr>
        <w:t>DOI: 10.1080/02615479.2011.639066</w:t>
      </w:r>
    </w:p>
    <w:p w:rsidR="00897641" w:rsidRPr="00887A1F" w:rsidRDefault="00897641" w:rsidP="00887A1F">
      <w:pPr>
        <w:autoSpaceDE w:val="0"/>
        <w:autoSpaceDN w:val="0"/>
        <w:adjustRightInd w:val="0"/>
        <w:spacing w:after="0" w:line="360" w:lineRule="auto"/>
        <w:rPr>
          <w:rFonts w:ascii="Arial" w:hAnsi="Arial" w:cs="Arial"/>
          <w:sz w:val="24"/>
          <w:szCs w:val="24"/>
        </w:rPr>
      </w:pPr>
    </w:p>
    <w:p w:rsidR="00897641" w:rsidRPr="00887A1F" w:rsidRDefault="00897641" w:rsidP="00887A1F">
      <w:pPr>
        <w:autoSpaceDE w:val="0"/>
        <w:autoSpaceDN w:val="0"/>
        <w:adjustRightInd w:val="0"/>
        <w:spacing w:after="0" w:line="360" w:lineRule="auto"/>
        <w:rPr>
          <w:rFonts w:ascii="Arial" w:hAnsi="Arial" w:cs="Arial"/>
          <w:sz w:val="24"/>
          <w:szCs w:val="24"/>
        </w:rPr>
      </w:pPr>
      <w:r w:rsidRPr="00887A1F">
        <w:rPr>
          <w:rFonts w:ascii="Arial" w:hAnsi="Arial" w:cs="Arial"/>
          <w:sz w:val="24"/>
          <w:szCs w:val="24"/>
        </w:rPr>
        <w:t>Duffy, J., &amp; Hayes, D. (2012)</w:t>
      </w:r>
      <w:r w:rsidR="00336799">
        <w:rPr>
          <w:rFonts w:ascii="Arial" w:hAnsi="Arial" w:cs="Arial"/>
          <w:sz w:val="24"/>
          <w:szCs w:val="24"/>
        </w:rPr>
        <w:t>.</w:t>
      </w:r>
      <w:r w:rsidRPr="00887A1F">
        <w:rPr>
          <w:rFonts w:ascii="Arial" w:hAnsi="Arial" w:cs="Arial"/>
          <w:sz w:val="24"/>
          <w:szCs w:val="24"/>
        </w:rPr>
        <w:t xml:space="preserve"> Social work students learn about social work values from service users and carers.  </w:t>
      </w:r>
      <w:r w:rsidRPr="00887A1F">
        <w:rPr>
          <w:rFonts w:ascii="Arial" w:hAnsi="Arial" w:cs="Arial"/>
          <w:i/>
          <w:sz w:val="24"/>
          <w:szCs w:val="24"/>
        </w:rPr>
        <w:t>Ethics and Social Welfare, 6</w:t>
      </w:r>
      <w:r w:rsidRPr="00887A1F">
        <w:rPr>
          <w:rFonts w:ascii="Arial" w:hAnsi="Arial" w:cs="Arial"/>
          <w:sz w:val="24"/>
          <w:szCs w:val="24"/>
        </w:rPr>
        <w:t>, 368-385, DOI:</w:t>
      </w:r>
    </w:p>
    <w:p w:rsidR="00897641" w:rsidRDefault="00897641" w:rsidP="00887A1F">
      <w:pPr>
        <w:spacing w:line="360" w:lineRule="auto"/>
        <w:rPr>
          <w:rFonts w:ascii="Arial" w:hAnsi="Arial" w:cs="Arial"/>
          <w:sz w:val="24"/>
          <w:szCs w:val="24"/>
        </w:rPr>
      </w:pPr>
      <w:r w:rsidRPr="00887A1F">
        <w:rPr>
          <w:rFonts w:ascii="Arial" w:hAnsi="Arial" w:cs="Arial"/>
          <w:sz w:val="24"/>
          <w:szCs w:val="24"/>
        </w:rPr>
        <w:t>10.1080/17496535.2012.654497</w:t>
      </w:r>
    </w:p>
    <w:p w:rsidR="00905937" w:rsidRPr="00775A3B" w:rsidRDefault="00905937" w:rsidP="00775A3B">
      <w:pPr>
        <w:spacing w:line="360" w:lineRule="auto"/>
        <w:rPr>
          <w:rFonts w:ascii="Arial" w:hAnsi="Arial" w:cs="Arial"/>
          <w:sz w:val="24"/>
          <w:szCs w:val="24"/>
        </w:rPr>
      </w:pPr>
    </w:p>
    <w:p w:rsidR="00905937" w:rsidRDefault="00905937" w:rsidP="0029382E">
      <w:pPr>
        <w:autoSpaceDE w:val="0"/>
        <w:autoSpaceDN w:val="0"/>
        <w:adjustRightInd w:val="0"/>
        <w:spacing w:after="0" w:line="360" w:lineRule="auto"/>
        <w:rPr>
          <w:rFonts w:ascii="Arial" w:hAnsi="Arial" w:cs="Arial"/>
          <w:color w:val="292526"/>
          <w:sz w:val="24"/>
          <w:szCs w:val="24"/>
        </w:rPr>
      </w:pPr>
      <w:r w:rsidRPr="0029382E">
        <w:rPr>
          <w:rFonts w:ascii="Arial" w:hAnsi="Arial" w:cs="Arial"/>
          <w:color w:val="292526"/>
          <w:sz w:val="24"/>
          <w:szCs w:val="24"/>
        </w:rPr>
        <w:t xml:space="preserve">Finkelstein, V. </w:t>
      </w:r>
      <w:r w:rsidR="00336799">
        <w:rPr>
          <w:rFonts w:ascii="Arial" w:hAnsi="Arial" w:cs="Arial"/>
          <w:color w:val="292526"/>
          <w:sz w:val="24"/>
          <w:szCs w:val="24"/>
        </w:rPr>
        <w:t>(</w:t>
      </w:r>
      <w:r w:rsidRPr="0029382E">
        <w:rPr>
          <w:rFonts w:ascii="Arial" w:hAnsi="Arial" w:cs="Arial"/>
          <w:color w:val="292526"/>
          <w:sz w:val="24"/>
          <w:szCs w:val="24"/>
        </w:rPr>
        <w:t>1990</w:t>
      </w:r>
      <w:r w:rsidR="00336799">
        <w:rPr>
          <w:rFonts w:ascii="Arial" w:hAnsi="Arial" w:cs="Arial"/>
          <w:color w:val="292526"/>
          <w:sz w:val="24"/>
          <w:szCs w:val="24"/>
        </w:rPr>
        <w:t>)</w:t>
      </w:r>
      <w:r w:rsidRPr="0029382E">
        <w:rPr>
          <w:rFonts w:ascii="Arial" w:hAnsi="Arial" w:cs="Arial"/>
          <w:color w:val="292526"/>
          <w:sz w:val="24"/>
          <w:szCs w:val="24"/>
        </w:rPr>
        <w:t xml:space="preserve">. Conductive education: A tale of two cities. </w:t>
      </w:r>
      <w:r w:rsidRPr="0029382E">
        <w:rPr>
          <w:rFonts w:ascii="Arial" w:hAnsi="Arial" w:cs="Arial"/>
          <w:i/>
          <w:iCs/>
          <w:color w:val="292526"/>
          <w:sz w:val="24"/>
          <w:szCs w:val="24"/>
        </w:rPr>
        <w:t>Therapy Weekly</w:t>
      </w:r>
      <w:r w:rsidRPr="0029382E">
        <w:rPr>
          <w:rFonts w:ascii="Arial" w:hAnsi="Arial" w:cs="Arial"/>
          <w:color w:val="292526"/>
          <w:sz w:val="24"/>
          <w:szCs w:val="24"/>
        </w:rPr>
        <w:t>, March 22:</w:t>
      </w:r>
      <w:r w:rsidR="00775A3B">
        <w:rPr>
          <w:rFonts w:ascii="Arial" w:hAnsi="Arial" w:cs="Arial"/>
          <w:color w:val="292526"/>
          <w:sz w:val="24"/>
          <w:szCs w:val="24"/>
        </w:rPr>
        <w:t xml:space="preserve"> </w:t>
      </w:r>
      <w:r w:rsidRPr="0029382E">
        <w:rPr>
          <w:rFonts w:ascii="Arial" w:hAnsi="Arial" w:cs="Arial"/>
          <w:color w:val="292526"/>
          <w:sz w:val="24"/>
          <w:szCs w:val="24"/>
        </w:rPr>
        <w:t>6–7.</w:t>
      </w:r>
    </w:p>
    <w:p w:rsidR="00A847F0" w:rsidRDefault="00A847F0" w:rsidP="0029382E">
      <w:pPr>
        <w:autoSpaceDE w:val="0"/>
        <w:autoSpaceDN w:val="0"/>
        <w:adjustRightInd w:val="0"/>
        <w:spacing w:after="0" w:line="360" w:lineRule="auto"/>
        <w:rPr>
          <w:rFonts w:ascii="Arial" w:hAnsi="Arial" w:cs="Arial"/>
          <w:color w:val="292526"/>
          <w:sz w:val="24"/>
          <w:szCs w:val="24"/>
        </w:rPr>
      </w:pPr>
    </w:p>
    <w:p w:rsidR="00A847F0" w:rsidRDefault="00A847F0" w:rsidP="00A847F0">
      <w:pPr>
        <w:spacing w:line="360" w:lineRule="auto"/>
        <w:rPr>
          <w:rFonts w:ascii="Arial" w:hAnsi="Arial" w:cs="Arial"/>
          <w:sz w:val="24"/>
          <w:szCs w:val="24"/>
        </w:rPr>
      </w:pPr>
      <w:r w:rsidRPr="00F40AFA">
        <w:rPr>
          <w:rFonts w:ascii="Arial" w:hAnsi="Arial" w:cs="Arial"/>
          <w:sz w:val="24"/>
          <w:szCs w:val="24"/>
        </w:rPr>
        <w:t>Fox, J.  (2012)</w:t>
      </w:r>
      <w:r w:rsidR="00336799">
        <w:rPr>
          <w:rFonts w:ascii="Arial" w:hAnsi="Arial" w:cs="Arial"/>
          <w:sz w:val="24"/>
          <w:szCs w:val="24"/>
        </w:rPr>
        <w:t>.</w:t>
      </w:r>
      <w:r w:rsidRPr="00F40AFA">
        <w:rPr>
          <w:rFonts w:ascii="Arial" w:hAnsi="Arial" w:cs="Arial"/>
          <w:sz w:val="24"/>
          <w:szCs w:val="24"/>
        </w:rPr>
        <w:t xml:space="preserve"> Best practice in maternity and mental health services: a service user perspective.  </w:t>
      </w:r>
      <w:r w:rsidRPr="00F40AFA">
        <w:rPr>
          <w:rFonts w:ascii="Arial" w:hAnsi="Arial" w:cs="Arial"/>
          <w:i/>
          <w:sz w:val="24"/>
          <w:szCs w:val="24"/>
        </w:rPr>
        <w:t>Schizophrenia Bulletin,</w:t>
      </w:r>
      <w:r w:rsidRPr="006542A4">
        <w:rPr>
          <w:rFonts w:ascii="Arial" w:hAnsi="Arial" w:cs="Arial"/>
          <w:i/>
          <w:sz w:val="24"/>
          <w:szCs w:val="24"/>
        </w:rPr>
        <w:t xml:space="preserve"> </w:t>
      </w:r>
      <w:r w:rsidRPr="0029382E">
        <w:rPr>
          <w:rFonts w:ascii="Arial" w:hAnsi="Arial" w:cs="Arial"/>
          <w:i/>
          <w:sz w:val="24"/>
          <w:szCs w:val="24"/>
        </w:rPr>
        <w:t>38</w:t>
      </w:r>
      <w:r w:rsidRPr="00F44F37">
        <w:rPr>
          <w:rFonts w:ascii="Arial" w:hAnsi="Arial" w:cs="Arial"/>
          <w:sz w:val="24"/>
          <w:szCs w:val="24"/>
        </w:rPr>
        <w:t xml:space="preserve">, </w:t>
      </w:r>
      <w:r w:rsidRPr="00A47028">
        <w:rPr>
          <w:rFonts w:ascii="Arial" w:hAnsi="Arial" w:cs="Arial"/>
          <w:sz w:val="24"/>
          <w:szCs w:val="24"/>
        </w:rPr>
        <w:t xml:space="preserve">651 </w:t>
      </w:r>
      <w:r>
        <w:rPr>
          <w:rFonts w:ascii="Arial" w:hAnsi="Arial" w:cs="Arial"/>
          <w:sz w:val="24"/>
          <w:szCs w:val="24"/>
        </w:rPr>
        <w:t>–</w:t>
      </w:r>
      <w:r w:rsidRPr="00A47028">
        <w:rPr>
          <w:rFonts w:ascii="Arial" w:hAnsi="Arial" w:cs="Arial"/>
          <w:sz w:val="24"/>
          <w:szCs w:val="24"/>
        </w:rPr>
        <w:t xml:space="preserve"> </w:t>
      </w:r>
      <w:r w:rsidRPr="00F40AFA">
        <w:rPr>
          <w:rFonts w:ascii="Arial" w:hAnsi="Arial" w:cs="Arial"/>
          <w:sz w:val="24"/>
          <w:szCs w:val="24"/>
        </w:rPr>
        <w:t>656</w:t>
      </w:r>
    </w:p>
    <w:p w:rsidR="00A847F0" w:rsidRDefault="00A847F0" w:rsidP="00A847F0">
      <w:pPr>
        <w:spacing w:line="360" w:lineRule="auto"/>
        <w:rPr>
          <w:rFonts w:ascii="Arial" w:hAnsi="Arial" w:cs="Arial"/>
          <w:sz w:val="24"/>
          <w:szCs w:val="24"/>
        </w:rPr>
      </w:pPr>
    </w:p>
    <w:p w:rsidR="00A847F0" w:rsidRPr="00C3479F" w:rsidRDefault="00A847F0" w:rsidP="00A847F0">
      <w:pPr>
        <w:autoSpaceDE w:val="0"/>
        <w:autoSpaceDN w:val="0"/>
        <w:adjustRightInd w:val="0"/>
        <w:spacing w:after="0" w:line="360" w:lineRule="auto"/>
        <w:rPr>
          <w:rFonts w:ascii="Arial" w:hAnsi="Arial" w:cs="Arial"/>
          <w:sz w:val="24"/>
          <w:szCs w:val="24"/>
        </w:rPr>
      </w:pPr>
      <w:r w:rsidRPr="00C3479F">
        <w:rPr>
          <w:rFonts w:ascii="Arial" w:hAnsi="Arial" w:cs="Arial"/>
          <w:sz w:val="24"/>
          <w:szCs w:val="24"/>
        </w:rPr>
        <w:t>Fox, J. (2015)</w:t>
      </w:r>
      <w:r w:rsidR="00336799">
        <w:rPr>
          <w:rFonts w:ascii="Arial" w:hAnsi="Arial" w:cs="Arial"/>
          <w:sz w:val="24"/>
          <w:szCs w:val="24"/>
        </w:rPr>
        <w:t>.</w:t>
      </w:r>
      <w:r w:rsidRPr="00C3479F">
        <w:rPr>
          <w:rFonts w:ascii="Arial" w:hAnsi="Arial" w:cs="Arial"/>
          <w:sz w:val="24"/>
          <w:szCs w:val="24"/>
        </w:rPr>
        <w:t xml:space="preserve"> The Contribution of Experiential Wisdom to the Development of the Mental Health Professional Discourse., </w:t>
      </w:r>
      <w:r w:rsidRPr="00C3479F">
        <w:rPr>
          <w:rFonts w:ascii="Arial" w:hAnsi="Arial" w:cs="Arial"/>
          <w:i/>
          <w:sz w:val="24"/>
          <w:szCs w:val="24"/>
        </w:rPr>
        <w:t>Schizophrenia Bulletin</w:t>
      </w:r>
      <w:r w:rsidRPr="00C3479F">
        <w:rPr>
          <w:rFonts w:ascii="Arial" w:hAnsi="Arial" w:cs="Arial"/>
          <w:sz w:val="24"/>
          <w:szCs w:val="24"/>
        </w:rPr>
        <w:t xml:space="preserve"> doi:10.1093/schbul/sbv082</w:t>
      </w:r>
    </w:p>
    <w:p w:rsidR="00F45565" w:rsidRPr="0029382E" w:rsidRDefault="00F45565" w:rsidP="0029382E">
      <w:pPr>
        <w:pStyle w:val="Default"/>
        <w:spacing w:line="360" w:lineRule="auto"/>
        <w:rPr>
          <w:iCs/>
        </w:rPr>
      </w:pPr>
      <w:r w:rsidRPr="0029382E">
        <w:t>Fox, J.</w:t>
      </w:r>
      <w:r w:rsidR="00C3479F">
        <w:t xml:space="preserve"> (</w:t>
      </w:r>
      <w:r w:rsidRPr="0029382E">
        <w:t>2016</w:t>
      </w:r>
      <w:r w:rsidR="00C3479F">
        <w:t>)</w:t>
      </w:r>
      <w:r w:rsidR="00336799">
        <w:t>.</w:t>
      </w:r>
      <w:r w:rsidRPr="0029382E">
        <w:t xml:space="preserve"> A personal reflection on working with parents with mental ill-health: Obstacles and opportunities for delivering best practice.  In M. Diggins (</w:t>
      </w:r>
      <w:r w:rsidR="00FF3C7E">
        <w:t>E</w:t>
      </w:r>
      <w:r w:rsidRPr="0029382E">
        <w:t>d</w:t>
      </w:r>
      <w:r w:rsidR="00FF3C7E">
        <w:t>.</w:t>
      </w:r>
      <w:r w:rsidRPr="0029382E">
        <w:t>)</w:t>
      </w:r>
      <w:r w:rsidR="00FF3C7E">
        <w:t>,</w:t>
      </w:r>
      <w:r w:rsidRPr="0029382E">
        <w:t xml:space="preserve"> </w:t>
      </w:r>
      <w:r w:rsidRPr="0029382E">
        <w:rPr>
          <w:i/>
          <w:iCs/>
        </w:rPr>
        <w:t xml:space="preserve">Parental Mental Health and Child Welfare Work </w:t>
      </w:r>
      <w:r w:rsidR="00A847F0">
        <w:rPr>
          <w:iCs/>
        </w:rPr>
        <w:t xml:space="preserve">(pp. </w:t>
      </w:r>
      <w:r w:rsidR="00A847F0" w:rsidRPr="002103D4">
        <w:rPr>
          <w:iCs/>
        </w:rPr>
        <w:t>25-29</w:t>
      </w:r>
      <w:r w:rsidR="00A847F0">
        <w:rPr>
          <w:iCs/>
        </w:rPr>
        <w:t xml:space="preserve">).  </w:t>
      </w:r>
      <w:r w:rsidR="002F63D5">
        <w:rPr>
          <w:iCs/>
        </w:rPr>
        <w:t xml:space="preserve">Hove:  </w:t>
      </w:r>
      <w:r w:rsidRPr="0029382E">
        <w:rPr>
          <w:iCs/>
        </w:rPr>
        <w:t>Pavilion Publishing a</w:t>
      </w:r>
      <w:r w:rsidR="00F44F37">
        <w:rPr>
          <w:iCs/>
        </w:rPr>
        <w:t>nd Media Ltd,</w:t>
      </w:r>
      <w:r w:rsidR="00F44F37" w:rsidRPr="002103D4">
        <w:rPr>
          <w:iCs/>
        </w:rPr>
        <w:t xml:space="preserve"> </w:t>
      </w:r>
    </w:p>
    <w:p w:rsidR="001B2E4C" w:rsidRPr="00887A1F" w:rsidRDefault="001B2E4C" w:rsidP="00887A1F">
      <w:pPr>
        <w:autoSpaceDE w:val="0"/>
        <w:autoSpaceDN w:val="0"/>
        <w:adjustRightInd w:val="0"/>
        <w:spacing w:after="0" w:line="360" w:lineRule="auto"/>
        <w:rPr>
          <w:rFonts w:ascii="Arial" w:hAnsi="Arial" w:cs="Arial"/>
          <w:sz w:val="24"/>
          <w:szCs w:val="24"/>
        </w:rPr>
      </w:pPr>
    </w:p>
    <w:p w:rsidR="001B2E4C" w:rsidRPr="00887A1F" w:rsidRDefault="001B2E4C" w:rsidP="00887A1F">
      <w:pPr>
        <w:spacing w:line="360" w:lineRule="auto"/>
        <w:rPr>
          <w:rFonts w:ascii="Arial" w:hAnsi="Arial" w:cs="Arial"/>
          <w:sz w:val="24"/>
          <w:szCs w:val="24"/>
        </w:rPr>
      </w:pPr>
      <w:r w:rsidRPr="00887A1F">
        <w:rPr>
          <w:rFonts w:ascii="Arial" w:hAnsi="Arial" w:cs="Arial"/>
          <w:sz w:val="24"/>
          <w:szCs w:val="24"/>
        </w:rPr>
        <w:t>Freire, P. (1970)</w:t>
      </w:r>
      <w:r w:rsidR="00336799">
        <w:rPr>
          <w:rFonts w:ascii="Arial" w:hAnsi="Arial" w:cs="Arial"/>
          <w:sz w:val="24"/>
          <w:szCs w:val="24"/>
        </w:rPr>
        <w:t>.</w:t>
      </w:r>
      <w:r w:rsidRPr="00887A1F">
        <w:rPr>
          <w:rFonts w:ascii="Arial" w:hAnsi="Arial" w:cs="Arial"/>
          <w:sz w:val="24"/>
          <w:szCs w:val="24"/>
        </w:rPr>
        <w:t xml:space="preserve"> </w:t>
      </w:r>
      <w:r w:rsidRPr="00887A1F">
        <w:rPr>
          <w:rFonts w:ascii="Arial" w:hAnsi="Arial" w:cs="Arial"/>
          <w:i/>
          <w:sz w:val="24"/>
          <w:szCs w:val="24"/>
        </w:rPr>
        <w:t>Pedagogy of the Oppressed</w:t>
      </w:r>
      <w:r w:rsidRPr="00887A1F">
        <w:rPr>
          <w:rFonts w:ascii="Arial" w:hAnsi="Arial" w:cs="Arial"/>
          <w:sz w:val="24"/>
          <w:szCs w:val="24"/>
        </w:rPr>
        <w:t xml:space="preserve">. </w:t>
      </w:r>
      <w:r w:rsidR="00393E37" w:rsidRPr="00887A1F">
        <w:rPr>
          <w:rFonts w:ascii="Arial" w:hAnsi="Arial" w:cs="Arial"/>
          <w:sz w:val="24"/>
          <w:szCs w:val="24"/>
        </w:rPr>
        <w:t>New York, NY: Seabury</w:t>
      </w:r>
    </w:p>
    <w:p w:rsidR="005422DD" w:rsidRPr="00887A1F" w:rsidRDefault="005422DD" w:rsidP="00887A1F">
      <w:pPr>
        <w:spacing w:line="360" w:lineRule="auto"/>
        <w:rPr>
          <w:rFonts w:ascii="Arial" w:hAnsi="Arial" w:cs="Arial"/>
          <w:sz w:val="24"/>
          <w:szCs w:val="24"/>
        </w:rPr>
      </w:pPr>
    </w:p>
    <w:p w:rsidR="00E01BBB" w:rsidRPr="00887A1F" w:rsidRDefault="00A979A3" w:rsidP="00887A1F">
      <w:pPr>
        <w:tabs>
          <w:tab w:val="left" w:pos="-864"/>
          <w:tab w:val="left" w:pos="-144"/>
          <w:tab w:val="left" w:pos="1"/>
          <w:tab w:val="left" w:pos="576"/>
          <w:tab w:val="left" w:pos="1116"/>
          <w:tab w:val="left" w:pos="1656"/>
          <w:tab w:val="left" w:pos="2202"/>
          <w:tab w:val="left" w:pos="2736"/>
          <w:tab w:val="left" w:pos="3456"/>
          <w:tab w:val="left" w:pos="4176"/>
          <w:tab w:val="left" w:pos="4896"/>
          <w:tab w:val="left" w:pos="5616"/>
          <w:tab w:val="left" w:pos="6336"/>
          <w:tab w:val="left" w:pos="7056"/>
          <w:tab w:val="left" w:pos="7470"/>
          <w:tab w:val="left" w:pos="7776"/>
          <w:tab w:val="left" w:pos="8496"/>
        </w:tabs>
        <w:spacing w:line="360" w:lineRule="auto"/>
        <w:rPr>
          <w:rFonts w:ascii="Arial" w:hAnsi="Arial" w:cs="Arial"/>
          <w:sz w:val="24"/>
          <w:szCs w:val="24"/>
        </w:rPr>
      </w:pPr>
      <w:r w:rsidRPr="00887A1F">
        <w:rPr>
          <w:rFonts w:ascii="Arial" w:hAnsi="Arial" w:cs="Arial"/>
          <w:sz w:val="24"/>
          <w:szCs w:val="24"/>
        </w:rPr>
        <w:lastRenderedPageBreak/>
        <w:t>Fukai, S., Goscha, R.J., &amp;</w:t>
      </w:r>
      <w:r w:rsidR="00E01BBB" w:rsidRPr="00887A1F">
        <w:rPr>
          <w:rFonts w:ascii="Arial" w:hAnsi="Arial" w:cs="Arial"/>
          <w:sz w:val="24"/>
          <w:szCs w:val="24"/>
        </w:rPr>
        <w:t xml:space="preserve"> Rapp, C.A. (2012)</w:t>
      </w:r>
      <w:r w:rsidR="00336799">
        <w:rPr>
          <w:rFonts w:ascii="Arial" w:hAnsi="Arial" w:cs="Arial"/>
          <w:sz w:val="24"/>
          <w:szCs w:val="24"/>
        </w:rPr>
        <w:t>.</w:t>
      </w:r>
      <w:r w:rsidR="00E01BBB" w:rsidRPr="00887A1F">
        <w:rPr>
          <w:rFonts w:ascii="Arial" w:hAnsi="Arial" w:cs="Arial"/>
          <w:sz w:val="24"/>
          <w:szCs w:val="24"/>
        </w:rPr>
        <w:t xml:space="preserve"> ‘Strengths model case management fidelity scores and client outcomes’, </w:t>
      </w:r>
      <w:r w:rsidR="00E01BBB" w:rsidRPr="00887A1F">
        <w:rPr>
          <w:rFonts w:ascii="Arial" w:hAnsi="Arial" w:cs="Arial"/>
          <w:i/>
          <w:sz w:val="24"/>
          <w:szCs w:val="24"/>
        </w:rPr>
        <w:t>Psychiatric Services</w:t>
      </w:r>
      <w:r w:rsidR="00E01BBB" w:rsidRPr="00887A1F">
        <w:rPr>
          <w:rFonts w:ascii="Arial" w:hAnsi="Arial" w:cs="Arial"/>
          <w:sz w:val="24"/>
          <w:szCs w:val="24"/>
        </w:rPr>
        <w:t xml:space="preserve">, </w:t>
      </w:r>
      <w:r w:rsidR="00E01BBB" w:rsidRPr="00887A1F">
        <w:rPr>
          <w:rFonts w:ascii="Arial" w:hAnsi="Arial" w:cs="Arial"/>
          <w:i/>
          <w:sz w:val="24"/>
          <w:szCs w:val="24"/>
        </w:rPr>
        <w:t>63</w:t>
      </w:r>
      <w:r w:rsidR="00E01BBB" w:rsidRPr="00887A1F">
        <w:rPr>
          <w:rFonts w:ascii="Arial" w:hAnsi="Arial" w:cs="Arial"/>
          <w:sz w:val="24"/>
          <w:szCs w:val="24"/>
        </w:rPr>
        <w:t>, 708-710.</w:t>
      </w:r>
    </w:p>
    <w:p w:rsidR="00344134" w:rsidRPr="00887A1F" w:rsidRDefault="00344134" w:rsidP="00887A1F">
      <w:pPr>
        <w:spacing w:line="360" w:lineRule="auto"/>
        <w:rPr>
          <w:rFonts w:ascii="Arial" w:hAnsi="Arial" w:cs="Arial"/>
          <w:sz w:val="24"/>
          <w:szCs w:val="24"/>
        </w:rPr>
      </w:pPr>
    </w:p>
    <w:p w:rsidR="00344134" w:rsidRPr="00887A1F" w:rsidRDefault="00344134" w:rsidP="00887A1F">
      <w:pPr>
        <w:spacing w:line="360" w:lineRule="auto"/>
        <w:rPr>
          <w:rFonts w:ascii="Arial" w:hAnsi="Arial" w:cs="Arial"/>
          <w:sz w:val="24"/>
          <w:szCs w:val="24"/>
        </w:rPr>
      </w:pPr>
      <w:r w:rsidRPr="00887A1F">
        <w:rPr>
          <w:rFonts w:ascii="Arial" w:hAnsi="Arial" w:cs="Arial"/>
          <w:sz w:val="24"/>
          <w:szCs w:val="24"/>
        </w:rPr>
        <w:t xml:space="preserve">Golightley, M. (2014). </w:t>
      </w:r>
      <w:r w:rsidRPr="00887A1F">
        <w:rPr>
          <w:rFonts w:ascii="Arial" w:hAnsi="Arial" w:cs="Arial"/>
          <w:i/>
          <w:sz w:val="24"/>
          <w:szCs w:val="24"/>
        </w:rPr>
        <w:t>Social work and mental health</w:t>
      </w:r>
      <w:r w:rsidRPr="00887A1F">
        <w:rPr>
          <w:rFonts w:ascii="Arial" w:hAnsi="Arial" w:cs="Arial"/>
          <w:sz w:val="24"/>
          <w:szCs w:val="24"/>
        </w:rPr>
        <w:t xml:space="preserve">. Exeter: Learning matters </w:t>
      </w:r>
    </w:p>
    <w:p w:rsidR="00C55F02" w:rsidRPr="00887A1F" w:rsidRDefault="00C55F02" w:rsidP="00887A1F">
      <w:pPr>
        <w:spacing w:line="360" w:lineRule="auto"/>
        <w:rPr>
          <w:rFonts w:ascii="Arial" w:hAnsi="Arial" w:cs="Arial"/>
          <w:sz w:val="24"/>
          <w:szCs w:val="24"/>
        </w:rPr>
      </w:pPr>
    </w:p>
    <w:p w:rsidR="00C55F02" w:rsidRPr="00887A1F" w:rsidRDefault="00C55F02" w:rsidP="00887A1F">
      <w:pPr>
        <w:autoSpaceDE w:val="0"/>
        <w:autoSpaceDN w:val="0"/>
        <w:adjustRightInd w:val="0"/>
        <w:spacing w:after="0" w:line="360" w:lineRule="auto"/>
        <w:rPr>
          <w:rFonts w:ascii="Arial" w:hAnsi="Arial" w:cs="Arial"/>
          <w:sz w:val="24"/>
          <w:szCs w:val="24"/>
        </w:rPr>
      </w:pPr>
      <w:r w:rsidRPr="00887A1F">
        <w:rPr>
          <w:rFonts w:ascii="Arial" w:hAnsi="Arial" w:cs="Arial"/>
          <w:sz w:val="24"/>
          <w:szCs w:val="24"/>
        </w:rPr>
        <w:t>Gregor C., &amp; Smith</w:t>
      </w:r>
      <w:r w:rsidR="0036048E" w:rsidRPr="00887A1F">
        <w:rPr>
          <w:rFonts w:ascii="Arial" w:hAnsi="Arial" w:cs="Arial"/>
          <w:sz w:val="24"/>
          <w:szCs w:val="24"/>
        </w:rPr>
        <w:t>, H. (2009)</w:t>
      </w:r>
      <w:r w:rsidR="00336799">
        <w:rPr>
          <w:rFonts w:ascii="Arial" w:hAnsi="Arial" w:cs="Arial"/>
          <w:sz w:val="24"/>
          <w:szCs w:val="24"/>
        </w:rPr>
        <w:t>.</w:t>
      </w:r>
      <w:r w:rsidR="0036048E" w:rsidRPr="00887A1F">
        <w:rPr>
          <w:rFonts w:ascii="Arial" w:hAnsi="Arial" w:cs="Arial"/>
          <w:sz w:val="24"/>
          <w:szCs w:val="24"/>
        </w:rPr>
        <w:t xml:space="preserve"> </w:t>
      </w:r>
      <w:r w:rsidRPr="00887A1F">
        <w:rPr>
          <w:rFonts w:ascii="Arial" w:hAnsi="Arial" w:cs="Arial"/>
          <w:sz w:val="24"/>
          <w:szCs w:val="24"/>
        </w:rPr>
        <w:t xml:space="preserve">“I’m not a performing monkey”: Reflections on the emotional experience of developing a collaborative training initiative between service users and lecturers.  </w:t>
      </w:r>
      <w:r w:rsidRPr="00887A1F">
        <w:rPr>
          <w:rFonts w:ascii="Arial" w:hAnsi="Arial" w:cs="Arial"/>
          <w:i/>
          <w:sz w:val="24"/>
          <w:szCs w:val="24"/>
        </w:rPr>
        <w:t>Journal of Social Work Practice, 23,</w:t>
      </w:r>
      <w:r w:rsidRPr="00887A1F">
        <w:rPr>
          <w:rFonts w:ascii="Arial" w:hAnsi="Arial" w:cs="Arial"/>
          <w:sz w:val="24"/>
          <w:szCs w:val="24"/>
        </w:rPr>
        <w:t xml:space="preserve"> 21–34</w:t>
      </w:r>
      <w:r w:rsidR="00887A1F" w:rsidRPr="00887A1F">
        <w:rPr>
          <w:rFonts w:ascii="Arial" w:hAnsi="Arial" w:cs="Arial"/>
          <w:sz w:val="24"/>
          <w:szCs w:val="24"/>
        </w:rPr>
        <w:t>.  DOI: 10.1080/02650530902723290</w:t>
      </w:r>
    </w:p>
    <w:p w:rsidR="00E13484" w:rsidRPr="00887A1F" w:rsidRDefault="00E13484" w:rsidP="00887A1F">
      <w:pPr>
        <w:spacing w:line="360" w:lineRule="auto"/>
        <w:rPr>
          <w:rFonts w:ascii="Arial" w:hAnsi="Arial" w:cs="Arial"/>
          <w:color w:val="231F20"/>
          <w:sz w:val="24"/>
          <w:szCs w:val="24"/>
        </w:rPr>
      </w:pPr>
    </w:p>
    <w:p w:rsidR="00E13484" w:rsidRDefault="00E13484" w:rsidP="00887A1F">
      <w:pPr>
        <w:autoSpaceDE w:val="0"/>
        <w:autoSpaceDN w:val="0"/>
        <w:adjustRightInd w:val="0"/>
        <w:spacing w:after="0" w:line="360" w:lineRule="auto"/>
        <w:rPr>
          <w:rFonts w:ascii="Arial" w:hAnsi="Arial" w:cs="Arial"/>
          <w:sz w:val="24"/>
          <w:szCs w:val="24"/>
        </w:rPr>
      </w:pPr>
      <w:r w:rsidRPr="00887A1F">
        <w:rPr>
          <w:rFonts w:ascii="Arial" w:hAnsi="Arial" w:cs="Arial"/>
          <w:sz w:val="24"/>
          <w:szCs w:val="24"/>
        </w:rPr>
        <w:t>Happell B., Pinikahana J. &amp; Roper C. (2003)</w:t>
      </w:r>
      <w:r w:rsidR="002F63D5">
        <w:rPr>
          <w:rFonts w:ascii="Arial" w:hAnsi="Arial" w:cs="Arial"/>
          <w:sz w:val="24"/>
          <w:szCs w:val="24"/>
        </w:rPr>
        <w:t>.</w:t>
      </w:r>
      <w:r w:rsidRPr="00887A1F">
        <w:rPr>
          <w:rFonts w:ascii="Arial" w:hAnsi="Arial" w:cs="Arial"/>
          <w:sz w:val="24"/>
          <w:szCs w:val="24"/>
        </w:rPr>
        <w:t xml:space="preserve"> Changing attitudes: the role of a consumer academic in the education of postgraduate psychiatric nursing students. </w:t>
      </w:r>
      <w:r w:rsidRPr="00887A1F">
        <w:rPr>
          <w:rFonts w:ascii="Arial" w:hAnsi="Arial" w:cs="Arial"/>
          <w:i/>
          <w:sz w:val="24"/>
          <w:szCs w:val="24"/>
        </w:rPr>
        <w:t>Archives of Psychiatric Nursing XVII,</w:t>
      </w:r>
      <w:r w:rsidRPr="00887A1F">
        <w:rPr>
          <w:rFonts w:ascii="Arial" w:hAnsi="Arial" w:cs="Arial"/>
          <w:sz w:val="24"/>
          <w:szCs w:val="24"/>
        </w:rPr>
        <w:t xml:space="preserve"> 67–76.</w:t>
      </w:r>
    </w:p>
    <w:p w:rsidR="008D3BB3" w:rsidRDefault="008D3BB3" w:rsidP="00887A1F">
      <w:pPr>
        <w:autoSpaceDE w:val="0"/>
        <w:autoSpaceDN w:val="0"/>
        <w:adjustRightInd w:val="0"/>
        <w:spacing w:after="0" w:line="360" w:lineRule="auto"/>
        <w:rPr>
          <w:rFonts w:ascii="Arial" w:hAnsi="Arial" w:cs="Arial"/>
          <w:sz w:val="24"/>
          <w:szCs w:val="24"/>
        </w:rPr>
      </w:pPr>
    </w:p>
    <w:p w:rsidR="008D3BB3" w:rsidRPr="0029382E" w:rsidRDefault="008D3BB3" w:rsidP="0029382E">
      <w:pPr>
        <w:spacing w:before="100" w:beforeAutospacing="1" w:after="100" w:afterAutospacing="1" w:line="360" w:lineRule="auto"/>
        <w:rPr>
          <w:rFonts w:ascii="Arial" w:hAnsi="Arial" w:cs="Arial"/>
          <w:color w:val="000000"/>
          <w:sz w:val="24"/>
          <w:szCs w:val="24"/>
        </w:rPr>
      </w:pPr>
      <w:r w:rsidRPr="0029382E">
        <w:rPr>
          <w:rFonts w:ascii="Arial" w:hAnsi="Arial" w:cs="Arial"/>
          <w:color w:val="000000"/>
          <w:sz w:val="24"/>
          <w:szCs w:val="24"/>
        </w:rPr>
        <w:lastRenderedPageBreak/>
        <w:t>Harrison, M (2002)</w:t>
      </w:r>
      <w:r w:rsidR="002F63D5">
        <w:rPr>
          <w:rFonts w:ascii="Arial" w:hAnsi="Arial" w:cs="Arial"/>
          <w:color w:val="000000"/>
          <w:sz w:val="24"/>
          <w:szCs w:val="24"/>
        </w:rPr>
        <w:t>.</w:t>
      </w:r>
      <w:r w:rsidRPr="0029382E">
        <w:rPr>
          <w:rFonts w:ascii="Arial" w:hAnsi="Arial" w:cs="Arial"/>
          <w:color w:val="000000"/>
          <w:sz w:val="24"/>
          <w:szCs w:val="24"/>
        </w:rPr>
        <w:t xml:space="preserve"> Perils of Engagement.  </w:t>
      </w:r>
      <w:r w:rsidRPr="0029382E">
        <w:rPr>
          <w:rFonts w:ascii="Arial" w:hAnsi="Arial" w:cs="Arial"/>
          <w:i/>
          <w:iCs/>
          <w:color w:val="000000"/>
          <w:sz w:val="24"/>
          <w:szCs w:val="24"/>
        </w:rPr>
        <w:t>Mental Health Today.</w:t>
      </w:r>
      <w:r w:rsidR="00F44F37" w:rsidRPr="002103D4">
        <w:rPr>
          <w:rFonts w:ascii="Arial" w:hAnsi="Arial" w:cs="Arial"/>
          <w:color w:val="000000"/>
          <w:sz w:val="24"/>
          <w:szCs w:val="24"/>
        </w:rPr>
        <w:t>  September,</w:t>
      </w:r>
      <w:r w:rsidRPr="0029382E">
        <w:rPr>
          <w:rFonts w:ascii="Arial" w:hAnsi="Arial" w:cs="Arial"/>
          <w:color w:val="000000"/>
          <w:sz w:val="24"/>
          <w:szCs w:val="24"/>
        </w:rPr>
        <w:t xml:space="preserve"> 28 – 30</w:t>
      </w:r>
    </w:p>
    <w:p w:rsidR="008D3BB3" w:rsidRPr="00887A1F" w:rsidRDefault="00446953" w:rsidP="00887A1F">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Health and Care Professions Council </w:t>
      </w:r>
      <w:r w:rsidR="003C397F">
        <w:rPr>
          <w:rFonts w:ascii="Arial" w:hAnsi="Arial" w:cs="Arial"/>
          <w:sz w:val="24"/>
          <w:szCs w:val="24"/>
        </w:rPr>
        <w:t>[HCPC</w:t>
      </w:r>
      <w:r w:rsidR="00DE5A19">
        <w:rPr>
          <w:rFonts w:ascii="Arial" w:hAnsi="Arial" w:cs="Arial"/>
          <w:sz w:val="24"/>
          <w:szCs w:val="24"/>
        </w:rPr>
        <w:t>]</w:t>
      </w:r>
      <w:r w:rsidR="003C397F">
        <w:rPr>
          <w:rFonts w:ascii="Arial" w:hAnsi="Arial" w:cs="Arial"/>
          <w:sz w:val="24"/>
          <w:szCs w:val="24"/>
        </w:rPr>
        <w:t xml:space="preserve"> </w:t>
      </w:r>
      <w:r>
        <w:rPr>
          <w:rFonts w:ascii="Arial" w:hAnsi="Arial" w:cs="Arial"/>
          <w:sz w:val="24"/>
          <w:szCs w:val="24"/>
        </w:rPr>
        <w:t>(2009)</w:t>
      </w:r>
      <w:r w:rsidR="002F63D5">
        <w:rPr>
          <w:rFonts w:ascii="Arial" w:hAnsi="Arial" w:cs="Arial"/>
          <w:sz w:val="24"/>
          <w:szCs w:val="24"/>
        </w:rPr>
        <w:t>.</w:t>
      </w:r>
      <w:r>
        <w:rPr>
          <w:rFonts w:ascii="Arial" w:hAnsi="Arial" w:cs="Arial"/>
          <w:sz w:val="24"/>
          <w:szCs w:val="24"/>
        </w:rPr>
        <w:t xml:space="preserve"> </w:t>
      </w:r>
      <w:r w:rsidR="00F05D14">
        <w:rPr>
          <w:rFonts w:ascii="Arial" w:hAnsi="Arial" w:cs="Arial"/>
          <w:i/>
          <w:sz w:val="24"/>
          <w:szCs w:val="24"/>
        </w:rPr>
        <w:t xml:space="preserve">Standards of Education and Training.  </w:t>
      </w:r>
      <w:r w:rsidR="00F05D14">
        <w:rPr>
          <w:rFonts w:ascii="Arial" w:hAnsi="Arial" w:cs="Arial"/>
          <w:sz w:val="24"/>
          <w:szCs w:val="24"/>
        </w:rPr>
        <w:t xml:space="preserve">London: HCPC.  Available at:  </w:t>
      </w:r>
      <w:hyperlink r:id="rId12" w:history="1">
        <w:r w:rsidR="00F05D14" w:rsidRPr="00B979EB">
          <w:rPr>
            <w:rStyle w:val="Hyperlink"/>
            <w:rFonts w:ascii="Arial" w:hAnsi="Arial" w:cs="Arial"/>
            <w:sz w:val="24"/>
            <w:szCs w:val="24"/>
          </w:rPr>
          <w:t>http://www.hcpc-uk.org/assets/documents/1000295EStandardsofeducationandtraining-fromSeptember2009.pdf</w:t>
        </w:r>
      </w:hyperlink>
      <w:r w:rsidR="00F05D14">
        <w:rPr>
          <w:rFonts w:ascii="Arial" w:hAnsi="Arial" w:cs="Arial"/>
          <w:sz w:val="24"/>
          <w:szCs w:val="24"/>
        </w:rPr>
        <w:t xml:space="preserve">  </w:t>
      </w:r>
    </w:p>
    <w:p w:rsidR="00945F07" w:rsidRPr="00887A1F" w:rsidRDefault="00945F07" w:rsidP="00887A1F">
      <w:pPr>
        <w:autoSpaceDE w:val="0"/>
        <w:autoSpaceDN w:val="0"/>
        <w:adjustRightInd w:val="0"/>
        <w:spacing w:after="0" w:line="360" w:lineRule="auto"/>
        <w:rPr>
          <w:rFonts w:ascii="Arial" w:hAnsi="Arial" w:cs="Arial"/>
          <w:sz w:val="24"/>
          <w:szCs w:val="24"/>
        </w:rPr>
      </w:pPr>
    </w:p>
    <w:p w:rsidR="00945F07" w:rsidRPr="00887A1F" w:rsidRDefault="00945F07" w:rsidP="00887A1F">
      <w:pPr>
        <w:autoSpaceDE w:val="0"/>
        <w:autoSpaceDN w:val="0"/>
        <w:adjustRightInd w:val="0"/>
        <w:spacing w:after="0" w:line="360" w:lineRule="auto"/>
        <w:rPr>
          <w:rFonts w:ascii="Arial" w:hAnsi="Arial" w:cs="Arial"/>
          <w:sz w:val="24"/>
          <w:szCs w:val="24"/>
        </w:rPr>
      </w:pPr>
      <w:r w:rsidRPr="00887A1F">
        <w:rPr>
          <w:rFonts w:ascii="Arial" w:hAnsi="Arial" w:cs="Arial"/>
          <w:bCs/>
          <w:sz w:val="24"/>
          <w:szCs w:val="24"/>
        </w:rPr>
        <w:t>Ion, R., Cowan, S</w:t>
      </w:r>
      <w:r w:rsidR="00F70BB2" w:rsidRPr="00887A1F">
        <w:rPr>
          <w:rFonts w:ascii="Arial" w:hAnsi="Arial" w:cs="Arial"/>
          <w:bCs/>
          <w:sz w:val="24"/>
          <w:szCs w:val="24"/>
        </w:rPr>
        <w:t>.</w:t>
      </w:r>
      <w:r w:rsidRPr="00887A1F">
        <w:rPr>
          <w:rFonts w:ascii="Arial" w:hAnsi="Arial" w:cs="Arial"/>
          <w:bCs/>
          <w:sz w:val="24"/>
          <w:szCs w:val="24"/>
        </w:rPr>
        <w:t xml:space="preserve">, </w:t>
      </w:r>
      <w:r w:rsidR="00F70BB2" w:rsidRPr="00887A1F">
        <w:rPr>
          <w:rFonts w:ascii="Arial" w:hAnsi="Arial" w:cs="Arial"/>
          <w:bCs/>
          <w:sz w:val="24"/>
          <w:szCs w:val="24"/>
        </w:rPr>
        <w:t xml:space="preserve">&amp; </w:t>
      </w:r>
      <w:r w:rsidRPr="00887A1F">
        <w:rPr>
          <w:rFonts w:ascii="Arial" w:hAnsi="Arial" w:cs="Arial"/>
          <w:bCs/>
          <w:sz w:val="24"/>
          <w:szCs w:val="24"/>
        </w:rPr>
        <w:t>Lindsay, R. (2010)</w:t>
      </w:r>
      <w:r w:rsidR="002F63D5">
        <w:rPr>
          <w:rFonts w:ascii="Arial" w:hAnsi="Arial" w:cs="Arial"/>
          <w:bCs/>
          <w:sz w:val="24"/>
          <w:szCs w:val="24"/>
        </w:rPr>
        <w:t>.</w:t>
      </w:r>
      <w:r w:rsidRPr="00887A1F">
        <w:rPr>
          <w:rFonts w:ascii="Arial" w:hAnsi="Arial" w:cs="Arial"/>
          <w:bCs/>
          <w:sz w:val="24"/>
          <w:szCs w:val="24"/>
        </w:rPr>
        <w:t xml:space="preserve">   Working with people who have been there: the meaningful involvement of mental health service users in curriculum design and delivery.</w:t>
      </w:r>
      <w:r w:rsidRPr="00887A1F">
        <w:rPr>
          <w:rFonts w:ascii="Arial" w:hAnsi="Arial" w:cs="Arial"/>
          <w:b/>
          <w:bCs/>
          <w:sz w:val="24"/>
          <w:szCs w:val="24"/>
        </w:rPr>
        <w:t xml:space="preserve">  </w:t>
      </w:r>
      <w:r w:rsidRPr="00887A1F">
        <w:rPr>
          <w:rFonts w:ascii="Arial" w:hAnsi="Arial" w:cs="Arial"/>
          <w:i/>
          <w:iCs/>
          <w:sz w:val="24"/>
          <w:szCs w:val="24"/>
        </w:rPr>
        <w:t xml:space="preserve">The Journal of Mental Health Training, Education and Practice, </w:t>
      </w:r>
      <w:r w:rsidRPr="00887A1F">
        <w:rPr>
          <w:rFonts w:ascii="Arial" w:hAnsi="Arial" w:cs="Arial"/>
          <w:i/>
          <w:sz w:val="24"/>
          <w:szCs w:val="24"/>
        </w:rPr>
        <w:t>5,</w:t>
      </w:r>
      <w:r w:rsidRPr="00887A1F">
        <w:rPr>
          <w:rFonts w:ascii="Arial" w:hAnsi="Arial" w:cs="Arial"/>
          <w:sz w:val="24"/>
          <w:szCs w:val="24"/>
        </w:rPr>
        <w:t xml:space="preserve"> </w:t>
      </w:r>
      <w:r w:rsidR="00804822" w:rsidRPr="00887A1F">
        <w:rPr>
          <w:rFonts w:ascii="Arial" w:hAnsi="Arial" w:cs="Arial"/>
          <w:sz w:val="24"/>
          <w:szCs w:val="24"/>
        </w:rPr>
        <w:t>4 -10</w:t>
      </w:r>
    </w:p>
    <w:p w:rsidR="00344134" w:rsidRPr="00887A1F" w:rsidRDefault="00344134" w:rsidP="00792B75">
      <w:pPr>
        <w:pStyle w:val="referencetext"/>
      </w:pPr>
    </w:p>
    <w:p w:rsidR="001036A8" w:rsidRPr="00887A1F" w:rsidRDefault="001036A8">
      <w:pPr>
        <w:pStyle w:val="referencetext"/>
      </w:pPr>
      <w:r w:rsidRPr="00887A1F">
        <w:t>Levin, E. (2004)</w:t>
      </w:r>
      <w:r w:rsidR="002F63D5">
        <w:t>.</w:t>
      </w:r>
      <w:r w:rsidRPr="00887A1F">
        <w:t xml:space="preserve"> </w:t>
      </w:r>
      <w:r w:rsidRPr="00887A1F">
        <w:rPr>
          <w:i/>
          <w:iCs/>
        </w:rPr>
        <w:t xml:space="preserve">Involving service users and carers in social work education. </w:t>
      </w:r>
      <w:r w:rsidRPr="00887A1F">
        <w:rPr>
          <w:i/>
        </w:rPr>
        <w:t xml:space="preserve">Resource Guide No 2. </w:t>
      </w:r>
      <w:r w:rsidRPr="00887A1F">
        <w:t xml:space="preserve">London: Social Care Institute for Excellence.  Available through: </w:t>
      </w:r>
      <w:hyperlink r:id="rId13" w:history="1">
        <w:r w:rsidRPr="00887A1F">
          <w:rPr>
            <w:rStyle w:val="Hyperlink"/>
          </w:rPr>
          <w:t>http://www.scie.org.uk/publications/guides/guide04/</w:t>
        </w:r>
      </w:hyperlink>
      <w:r w:rsidRPr="00887A1F">
        <w:t xml:space="preserve"> </w:t>
      </w:r>
    </w:p>
    <w:p w:rsidR="00344134" w:rsidRPr="00887A1F" w:rsidRDefault="00344134">
      <w:pPr>
        <w:pStyle w:val="referencetext"/>
      </w:pPr>
    </w:p>
    <w:p w:rsidR="00344134" w:rsidRPr="00887A1F" w:rsidRDefault="00344134" w:rsidP="00887A1F">
      <w:pPr>
        <w:autoSpaceDE w:val="0"/>
        <w:autoSpaceDN w:val="0"/>
        <w:adjustRightInd w:val="0"/>
        <w:spacing w:after="0" w:line="360" w:lineRule="auto"/>
        <w:rPr>
          <w:rFonts w:ascii="Arial" w:hAnsi="Arial" w:cs="Arial"/>
          <w:sz w:val="24"/>
          <w:szCs w:val="24"/>
        </w:rPr>
      </w:pPr>
      <w:r w:rsidRPr="00887A1F">
        <w:rPr>
          <w:rFonts w:ascii="Arial" w:hAnsi="Arial" w:cs="Arial"/>
          <w:sz w:val="24"/>
          <w:szCs w:val="24"/>
        </w:rPr>
        <w:t xml:space="preserve">Mezirow, J. (2000). Learning to think like an adult: Core concepts of transformation theory. In J. Mezirow </w:t>
      </w:r>
      <w:r w:rsidRPr="00887A1F">
        <w:rPr>
          <w:rFonts w:ascii="Arial" w:hAnsi="Arial" w:cs="Arial"/>
          <w:sz w:val="24"/>
          <w:szCs w:val="24"/>
        </w:rPr>
        <w:lastRenderedPageBreak/>
        <w:t xml:space="preserve">&amp; Associates (Eds), </w:t>
      </w:r>
      <w:r w:rsidRPr="00887A1F">
        <w:rPr>
          <w:rFonts w:ascii="Arial" w:hAnsi="Arial" w:cs="Arial"/>
          <w:i/>
          <w:sz w:val="24"/>
          <w:szCs w:val="24"/>
        </w:rPr>
        <w:t xml:space="preserve">Learning as transformation: Critical perspectives on a theory in progress </w:t>
      </w:r>
      <w:r w:rsidRPr="00887A1F">
        <w:rPr>
          <w:rFonts w:ascii="Arial" w:hAnsi="Arial" w:cs="Arial"/>
          <w:sz w:val="24"/>
          <w:szCs w:val="24"/>
        </w:rPr>
        <w:t xml:space="preserve">(pp. 3–33). San Francisco, </w:t>
      </w:r>
      <w:r w:rsidR="00C55F02" w:rsidRPr="00887A1F">
        <w:rPr>
          <w:rFonts w:ascii="Arial" w:hAnsi="Arial" w:cs="Arial"/>
          <w:sz w:val="24"/>
          <w:szCs w:val="24"/>
        </w:rPr>
        <w:t>CA: Jossey-Bass.</w:t>
      </w:r>
    </w:p>
    <w:p w:rsidR="00C55F02" w:rsidRPr="00887A1F" w:rsidRDefault="00C55F02" w:rsidP="00887A1F">
      <w:pPr>
        <w:autoSpaceDE w:val="0"/>
        <w:autoSpaceDN w:val="0"/>
        <w:adjustRightInd w:val="0"/>
        <w:spacing w:after="0" w:line="360" w:lineRule="auto"/>
        <w:rPr>
          <w:rFonts w:ascii="Arial" w:hAnsi="Arial" w:cs="Arial"/>
          <w:sz w:val="24"/>
          <w:szCs w:val="24"/>
        </w:rPr>
      </w:pPr>
    </w:p>
    <w:p w:rsidR="00C55F02" w:rsidRPr="00775A3B" w:rsidRDefault="00C55F02" w:rsidP="00775A3B">
      <w:pPr>
        <w:autoSpaceDE w:val="0"/>
        <w:autoSpaceDN w:val="0"/>
        <w:adjustRightInd w:val="0"/>
        <w:spacing w:after="0" w:line="360" w:lineRule="auto"/>
        <w:rPr>
          <w:rFonts w:ascii="Arial" w:hAnsi="Arial" w:cs="Arial"/>
          <w:sz w:val="24"/>
          <w:szCs w:val="24"/>
        </w:rPr>
      </w:pPr>
      <w:r w:rsidRPr="00887A1F">
        <w:rPr>
          <w:rFonts w:ascii="Arial" w:hAnsi="Arial" w:cs="Arial"/>
          <w:sz w:val="24"/>
          <w:szCs w:val="24"/>
        </w:rPr>
        <w:t>Ockwell, C. (2012)</w:t>
      </w:r>
      <w:r w:rsidR="002F63D5">
        <w:rPr>
          <w:rFonts w:ascii="Arial" w:hAnsi="Arial" w:cs="Arial"/>
          <w:sz w:val="24"/>
          <w:szCs w:val="24"/>
        </w:rPr>
        <w:t>.</w:t>
      </w:r>
      <w:r w:rsidRPr="00887A1F">
        <w:rPr>
          <w:rFonts w:ascii="Arial" w:hAnsi="Arial" w:cs="Arial"/>
          <w:sz w:val="24"/>
          <w:szCs w:val="24"/>
        </w:rPr>
        <w:t xml:space="preserve"> Challenges and triumphs: developing an inpatient peer support project.</w:t>
      </w:r>
      <w:r w:rsidR="00775A3B">
        <w:rPr>
          <w:rFonts w:ascii="Arial" w:hAnsi="Arial" w:cs="Arial"/>
          <w:sz w:val="24"/>
          <w:szCs w:val="24"/>
        </w:rPr>
        <w:t xml:space="preserve">  </w:t>
      </w:r>
      <w:hyperlink r:id="rId14" w:tooltip="Click to search for more items from this journal" w:history="1">
        <w:r w:rsidRPr="00887A1F">
          <w:rPr>
            <w:rStyle w:val="Strong"/>
            <w:rFonts w:ascii="Arial" w:hAnsi="Arial" w:cs="Arial"/>
            <w:b w:val="0"/>
            <w:i/>
            <w:sz w:val="24"/>
            <w:szCs w:val="24"/>
          </w:rPr>
          <w:t>The Journal of Mental Health Training, Education, and Practice</w:t>
        </w:r>
      </w:hyperlink>
      <w:hyperlink r:id="rId15" w:tooltip="Click to search for more items from this issue" w:history="1">
        <w:r w:rsidRPr="00887A1F">
          <w:rPr>
            <w:rFonts w:ascii="Arial" w:hAnsi="Arial" w:cs="Arial"/>
            <w:noProof/>
            <w:sz w:val="24"/>
            <w:szCs w:val="24"/>
            <w:lang w:eastAsia="en-GB"/>
          </w:rPr>
          <w:t>,7,</w:t>
        </w:r>
        <w:r w:rsidRPr="00887A1F">
          <w:rPr>
            <w:rFonts w:ascii="Arial" w:hAnsi="Arial" w:cs="Arial"/>
            <w:b/>
            <w:noProof/>
            <w:sz w:val="24"/>
            <w:szCs w:val="24"/>
            <w:lang w:eastAsia="en-GB"/>
          </w:rPr>
          <w:drawing>
            <wp:inline distT="0" distB="0" distL="0" distR="0">
              <wp:extent cx="28575" cy="28575"/>
              <wp:effectExtent l="0" t="0" r="0" b="0"/>
              <wp:docPr id="1" name="Picture 1" descr="http://search.proquest.com/assets/r20161.1.0-4/core/spacer.gif">
                <a:hlinkClick xmlns:a="http://schemas.openxmlformats.org/drawingml/2006/main" r:id="rId15"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arch.proquest.com/assets/r20161.1.0-4/core/spacer.gif">
                        <a:hlinkClick r:id="rId15" tooltip="&quot;Click to search for more items from this issu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hyperlink>
      <w:r w:rsidRPr="00887A1F">
        <w:rPr>
          <w:rStyle w:val="titleauthoretc5"/>
          <w:rFonts w:ascii="Arial" w:hAnsi="Arial" w:cs="Arial"/>
          <w:sz w:val="24"/>
          <w:szCs w:val="24"/>
        </w:rPr>
        <w:t>94-100.</w:t>
      </w:r>
      <w:r w:rsidR="00887A1F" w:rsidRPr="00887A1F">
        <w:rPr>
          <w:rStyle w:val="titleauthoretc5"/>
          <w:rFonts w:ascii="Arial" w:hAnsi="Arial" w:cs="Arial"/>
          <w:sz w:val="24"/>
          <w:szCs w:val="24"/>
        </w:rPr>
        <w:t xml:space="preserve">  </w:t>
      </w:r>
      <w:r w:rsidR="00887A1F" w:rsidRPr="00887A1F">
        <w:rPr>
          <w:rFonts w:ascii="Arial" w:hAnsi="Arial" w:cs="Arial"/>
          <w:sz w:val="24"/>
          <w:szCs w:val="24"/>
        </w:rPr>
        <w:t>DOI 10.1108/</w:t>
      </w:r>
      <w:r w:rsidR="00887A1F" w:rsidRPr="00775A3B">
        <w:rPr>
          <w:rFonts w:ascii="Arial" w:hAnsi="Arial" w:cs="Arial"/>
          <w:sz w:val="24"/>
          <w:szCs w:val="24"/>
        </w:rPr>
        <w:t>17556221211236501</w:t>
      </w:r>
    </w:p>
    <w:p w:rsidR="00905937" w:rsidRPr="00775A3B" w:rsidRDefault="00905937" w:rsidP="00775A3B">
      <w:pPr>
        <w:spacing w:line="360" w:lineRule="auto"/>
        <w:rPr>
          <w:rFonts w:ascii="Arial" w:hAnsi="Arial" w:cs="Arial"/>
          <w:sz w:val="24"/>
          <w:szCs w:val="24"/>
        </w:rPr>
      </w:pPr>
    </w:p>
    <w:p w:rsidR="00905937" w:rsidRPr="0029382E" w:rsidRDefault="00905937" w:rsidP="0029382E">
      <w:pPr>
        <w:autoSpaceDE w:val="0"/>
        <w:autoSpaceDN w:val="0"/>
        <w:adjustRightInd w:val="0"/>
        <w:spacing w:after="0" w:line="360" w:lineRule="auto"/>
        <w:rPr>
          <w:rFonts w:ascii="Arial" w:hAnsi="Arial" w:cs="Arial"/>
          <w:color w:val="292526"/>
          <w:sz w:val="24"/>
          <w:szCs w:val="24"/>
        </w:rPr>
      </w:pPr>
      <w:r w:rsidRPr="0029382E">
        <w:rPr>
          <w:rFonts w:ascii="Arial" w:hAnsi="Arial" w:cs="Arial"/>
          <w:color w:val="292526"/>
          <w:sz w:val="24"/>
          <w:szCs w:val="24"/>
        </w:rPr>
        <w:t xml:space="preserve">Oliver, M. </w:t>
      </w:r>
      <w:r w:rsidR="003A42A2">
        <w:rPr>
          <w:rFonts w:ascii="Arial" w:hAnsi="Arial" w:cs="Arial"/>
          <w:color w:val="292526"/>
          <w:sz w:val="24"/>
          <w:szCs w:val="24"/>
        </w:rPr>
        <w:t>(</w:t>
      </w:r>
      <w:r w:rsidRPr="0029382E">
        <w:rPr>
          <w:rFonts w:ascii="Arial" w:hAnsi="Arial" w:cs="Arial"/>
          <w:color w:val="292526"/>
          <w:sz w:val="24"/>
          <w:szCs w:val="24"/>
        </w:rPr>
        <w:t>1983</w:t>
      </w:r>
      <w:r w:rsidR="003A42A2">
        <w:rPr>
          <w:rFonts w:ascii="Arial" w:hAnsi="Arial" w:cs="Arial"/>
          <w:color w:val="292526"/>
          <w:sz w:val="24"/>
          <w:szCs w:val="24"/>
        </w:rPr>
        <w:t>)</w:t>
      </w:r>
      <w:r w:rsidRPr="0029382E">
        <w:rPr>
          <w:rFonts w:ascii="Arial" w:hAnsi="Arial" w:cs="Arial"/>
          <w:color w:val="292526"/>
          <w:sz w:val="24"/>
          <w:szCs w:val="24"/>
        </w:rPr>
        <w:t xml:space="preserve">. </w:t>
      </w:r>
      <w:r w:rsidRPr="0029382E">
        <w:rPr>
          <w:rFonts w:ascii="Arial" w:hAnsi="Arial" w:cs="Arial"/>
          <w:i/>
          <w:iCs/>
          <w:color w:val="292526"/>
          <w:sz w:val="24"/>
          <w:szCs w:val="24"/>
        </w:rPr>
        <w:t xml:space="preserve">Social work with disabled people. </w:t>
      </w:r>
      <w:r w:rsidRPr="0029382E">
        <w:rPr>
          <w:rFonts w:ascii="Arial" w:hAnsi="Arial" w:cs="Arial"/>
          <w:color w:val="292526"/>
          <w:sz w:val="24"/>
          <w:szCs w:val="24"/>
        </w:rPr>
        <w:t>London: Macmillan, British</w:t>
      </w:r>
    </w:p>
    <w:p w:rsidR="00905937" w:rsidRPr="0029382E" w:rsidRDefault="00905937" w:rsidP="0029382E">
      <w:pPr>
        <w:autoSpaceDE w:val="0"/>
        <w:autoSpaceDN w:val="0"/>
        <w:adjustRightInd w:val="0"/>
        <w:spacing w:after="0" w:line="360" w:lineRule="auto"/>
        <w:rPr>
          <w:rFonts w:ascii="Arial" w:hAnsi="Arial" w:cs="Arial"/>
          <w:color w:val="292526"/>
          <w:sz w:val="24"/>
          <w:szCs w:val="24"/>
        </w:rPr>
      </w:pPr>
      <w:r w:rsidRPr="0029382E">
        <w:rPr>
          <w:rFonts w:ascii="Arial" w:hAnsi="Arial" w:cs="Arial"/>
          <w:color w:val="292526"/>
          <w:sz w:val="24"/>
          <w:szCs w:val="24"/>
        </w:rPr>
        <w:t>Association of Social Workers.</w:t>
      </w:r>
    </w:p>
    <w:p w:rsidR="00905937" w:rsidRPr="0029382E" w:rsidRDefault="00905937" w:rsidP="0029382E">
      <w:pPr>
        <w:autoSpaceDE w:val="0"/>
        <w:autoSpaceDN w:val="0"/>
        <w:adjustRightInd w:val="0"/>
        <w:spacing w:after="0" w:line="360" w:lineRule="auto"/>
        <w:rPr>
          <w:rFonts w:ascii="Arial" w:hAnsi="Arial" w:cs="Arial"/>
          <w:color w:val="292526"/>
          <w:sz w:val="24"/>
          <w:szCs w:val="24"/>
        </w:rPr>
      </w:pPr>
    </w:p>
    <w:p w:rsidR="00905937" w:rsidRPr="00775A3B" w:rsidRDefault="00905937" w:rsidP="00775A3B">
      <w:pPr>
        <w:spacing w:line="360" w:lineRule="auto"/>
        <w:rPr>
          <w:rStyle w:val="titleauthoretc5"/>
          <w:rFonts w:ascii="Arial" w:hAnsi="Arial" w:cs="Arial"/>
          <w:sz w:val="24"/>
          <w:szCs w:val="24"/>
        </w:rPr>
      </w:pPr>
      <w:r w:rsidRPr="0029382E">
        <w:rPr>
          <w:rFonts w:ascii="Arial" w:hAnsi="Arial" w:cs="Arial"/>
          <w:color w:val="292526"/>
          <w:sz w:val="24"/>
          <w:szCs w:val="24"/>
        </w:rPr>
        <w:t xml:space="preserve">Oliver, M. </w:t>
      </w:r>
      <w:r w:rsidR="003A42A2">
        <w:rPr>
          <w:rFonts w:ascii="Arial" w:hAnsi="Arial" w:cs="Arial"/>
          <w:color w:val="292526"/>
          <w:sz w:val="24"/>
          <w:szCs w:val="24"/>
        </w:rPr>
        <w:t>(</w:t>
      </w:r>
      <w:r w:rsidRPr="0029382E">
        <w:rPr>
          <w:rFonts w:ascii="Arial" w:hAnsi="Arial" w:cs="Arial"/>
          <w:color w:val="292526"/>
          <w:sz w:val="24"/>
          <w:szCs w:val="24"/>
        </w:rPr>
        <w:t>1990</w:t>
      </w:r>
      <w:r w:rsidR="003A42A2">
        <w:rPr>
          <w:rFonts w:ascii="Arial" w:hAnsi="Arial" w:cs="Arial"/>
          <w:color w:val="292526"/>
          <w:sz w:val="24"/>
          <w:szCs w:val="24"/>
        </w:rPr>
        <w:t>)</w:t>
      </w:r>
      <w:r w:rsidRPr="0029382E">
        <w:rPr>
          <w:rFonts w:ascii="Arial" w:hAnsi="Arial" w:cs="Arial"/>
          <w:color w:val="292526"/>
          <w:sz w:val="24"/>
          <w:szCs w:val="24"/>
        </w:rPr>
        <w:t xml:space="preserve">. </w:t>
      </w:r>
      <w:r w:rsidRPr="0029382E">
        <w:rPr>
          <w:rFonts w:ascii="Arial" w:hAnsi="Arial" w:cs="Arial"/>
          <w:i/>
          <w:iCs/>
          <w:color w:val="292526"/>
          <w:sz w:val="24"/>
          <w:szCs w:val="24"/>
        </w:rPr>
        <w:t xml:space="preserve">The politics of disablement. </w:t>
      </w:r>
      <w:r w:rsidRPr="0029382E">
        <w:rPr>
          <w:rFonts w:ascii="Arial" w:hAnsi="Arial" w:cs="Arial"/>
          <w:color w:val="292526"/>
          <w:sz w:val="24"/>
          <w:szCs w:val="24"/>
        </w:rPr>
        <w:t>Basingstoke: Macmillan.</w:t>
      </w:r>
    </w:p>
    <w:p w:rsidR="00C55F02" w:rsidRPr="00887A1F" w:rsidRDefault="00C55F02" w:rsidP="00887A1F">
      <w:pPr>
        <w:autoSpaceDE w:val="0"/>
        <w:autoSpaceDN w:val="0"/>
        <w:adjustRightInd w:val="0"/>
        <w:spacing w:after="0" w:line="360" w:lineRule="auto"/>
        <w:rPr>
          <w:rFonts w:ascii="Arial" w:hAnsi="Arial" w:cs="Arial"/>
          <w:sz w:val="24"/>
          <w:szCs w:val="24"/>
        </w:rPr>
      </w:pPr>
    </w:p>
    <w:p w:rsidR="0036048E" w:rsidRDefault="00F70BB2" w:rsidP="00887A1F">
      <w:pPr>
        <w:autoSpaceDE w:val="0"/>
        <w:autoSpaceDN w:val="0"/>
        <w:adjustRightInd w:val="0"/>
        <w:spacing w:after="0" w:line="360" w:lineRule="auto"/>
        <w:rPr>
          <w:rStyle w:val="Hyperlink"/>
          <w:rFonts w:ascii="Arial" w:hAnsi="Arial" w:cs="Arial"/>
          <w:sz w:val="24"/>
          <w:szCs w:val="24"/>
        </w:rPr>
      </w:pPr>
      <w:r w:rsidRPr="00887A1F">
        <w:rPr>
          <w:rFonts w:ascii="Arial" w:hAnsi="Arial" w:cs="Arial"/>
          <w:sz w:val="24"/>
          <w:szCs w:val="24"/>
        </w:rPr>
        <w:t>Repper, J. &amp;</w:t>
      </w:r>
      <w:r w:rsidR="0036048E" w:rsidRPr="00887A1F">
        <w:rPr>
          <w:rFonts w:ascii="Arial" w:hAnsi="Arial" w:cs="Arial"/>
          <w:sz w:val="24"/>
          <w:szCs w:val="24"/>
        </w:rPr>
        <w:t xml:space="preserve"> Carter, T. (2010)</w:t>
      </w:r>
      <w:r w:rsidR="002F63D5">
        <w:rPr>
          <w:rFonts w:ascii="Arial" w:hAnsi="Arial" w:cs="Arial"/>
          <w:sz w:val="24"/>
          <w:szCs w:val="24"/>
        </w:rPr>
        <w:t>.</w:t>
      </w:r>
      <w:r w:rsidR="0036048E" w:rsidRPr="00887A1F">
        <w:rPr>
          <w:rFonts w:ascii="Arial" w:hAnsi="Arial" w:cs="Arial"/>
          <w:sz w:val="24"/>
          <w:szCs w:val="24"/>
        </w:rPr>
        <w:t xml:space="preserve"> </w:t>
      </w:r>
      <w:r w:rsidR="0036048E" w:rsidRPr="00887A1F">
        <w:rPr>
          <w:rFonts w:ascii="Arial" w:hAnsi="Arial" w:cs="Arial"/>
          <w:i/>
          <w:sz w:val="24"/>
          <w:szCs w:val="24"/>
        </w:rPr>
        <w:t>Using Personal Experience to Support Others with Similar Difficulties:A Review of the Literature on Mental Health in Peer Support Services.</w:t>
      </w:r>
      <w:r w:rsidR="0036048E" w:rsidRPr="00887A1F">
        <w:rPr>
          <w:rFonts w:ascii="Arial" w:hAnsi="Arial" w:cs="Arial"/>
          <w:sz w:val="24"/>
          <w:szCs w:val="24"/>
        </w:rPr>
        <w:t xml:space="preserve"> University of Nottingham/Together, Nottingham.  Accessed online </w:t>
      </w:r>
      <w:hyperlink r:id="rId17" w:history="1">
        <w:r w:rsidR="0036048E" w:rsidRPr="00887A1F">
          <w:rPr>
            <w:rStyle w:val="Hyperlink"/>
            <w:rFonts w:ascii="Arial" w:hAnsi="Arial" w:cs="Arial"/>
            <w:sz w:val="24"/>
            <w:szCs w:val="24"/>
          </w:rPr>
          <w:t>http://www.together-</w:t>
        </w:r>
        <w:r w:rsidR="0036048E" w:rsidRPr="00887A1F">
          <w:rPr>
            <w:rStyle w:val="Hyperlink"/>
            <w:rFonts w:ascii="Arial" w:hAnsi="Arial" w:cs="Arial"/>
            <w:sz w:val="24"/>
            <w:szCs w:val="24"/>
          </w:rPr>
          <w:lastRenderedPageBreak/>
          <w:t>uk.org/wp-content/uploads/downloads/2011/11/usingpersexperience.pdf</w:t>
        </w:r>
      </w:hyperlink>
      <w:r w:rsidR="00922E4C" w:rsidRPr="00887A1F">
        <w:rPr>
          <w:rStyle w:val="Hyperlink"/>
          <w:rFonts w:ascii="Arial" w:hAnsi="Arial" w:cs="Arial"/>
          <w:sz w:val="24"/>
          <w:szCs w:val="24"/>
        </w:rPr>
        <w:t xml:space="preserve">  </w:t>
      </w:r>
    </w:p>
    <w:p w:rsidR="001B1842" w:rsidRDefault="001B1842" w:rsidP="00887A1F">
      <w:pPr>
        <w:autoSpaceDE w:val="0"/>
        <w:autoSpaceDN w:val="0"/>
        <w:adjustRightInd w:val="0"/>
        <w:spacing w:after="0" w:line="360" w:lineRule="auto"/>
        <w:rPr>
          <w:rStyle w:val="Hyperlink"/>
          <w:rFonts w:ascii="Arial" w:hAnsi="Arial" w:cs="Arial"/>
          <w:sz w:val="24"/>
          <w:szCs w:val="24"/>
        </w:rPr>
      </w:pPr>
    </w:p>
    <w:p w:rsidR="001B1842" w:rsidRPr="001B1842" w:rsidRDefault="001B1842" w:rsidP="00792B75">
      <w:pPr>
        <w:pStyle w:val="referencetext"/>
      </w:pPr>
      <w:r w:rsidRPr="001B1842">
        <w:t xml:space="preserve">Rose, D., </w:t>
      </w:r>
      <w:r w:rsidR="003A42A2">
        <w:t>(</w:t>
      </w:r>
      <w:r w:rsidRPr="001B1842">
        <w:t>2001</w:t>
      </w:r>
      <w:r w:rsidR="003A42A2">
        <w:t>)</w:t>
      </w:r>
      <w:r w:rsidRPr="001B1842">
        <w:t>. Users’ voices:  the perspectives of mental health service users on community and hospital care.  London:  The Sainsbury Centre for Mental Health.</w:t>
      </w:r>
    </w:p>
    <w:p w:rsidR="00D97978" w:rsidRPr="00887A1F" w:rsidRDefault="00D97978" w:rsidP="00887A1F">
      <w:pPr>
        <w:autoSpaceDE w:val="0"/>
        <w:autoSpaceDN w:val="0"/>
        <w:adjustRightInd w:val="0"/>
        <w:spacing w:after="0" w:line="360" w:lineRule="auto"/>
        <w:rPr>
          <w:rFonts w:ascii="Arial" w:hAnsi="Arial" w:cs="Arial"/>
          <w:sz w:val="24"/>
          <w:szCs w:val="24"/>
        </w:rPr>
      </w:pPr>
    </w:p>
    <w:p w:rsidR="00D97978" w:rsidRDefault="00D42AB5" w:rsidP="00887A1F">
      <w:pPr>
        <w:autoSpaceDE w:val="0"/>
        <w:autoSpaceDN w:val="0"/>
        <w:adjustRightInd w:val="0"/>
        <w:spacing w:after="0" w:line="360" w:lineRule="auto"/>
        <w:rPr>
          <w:rFonts w:ascii="Arial" w:hAnsi="Arial" w:cs="Arial"/>
          <w:sz w:val="24"/>
          <w:szCs w:val="24"/>
        </w:rPr>
      </w:pPr>
      <w:r w:rsidRPr="00887A1F">
        <w:rPr>
          <w:rFonts w:ascii="Arial" w:hAnsi="Arial" w:cs="Arial"/>
          <w:sz w:val="24"/>
          <w:szCs w:val="24"/>
        </w:rPr>
        <w:t>Rush, B. (2008)</w:t>
      </w:r>
      <w:r w:rsidR="002F63D5">
        <w:rPr>
          <w:rFonts w:ascii="Arial" w:hAnsi="Arial" w:cs="Arial"/>
          <w:sz w:val="24"/>
          <w:szCs w:val="24"/>
        </w:rPr>
        <w:t>.</w:t>
      </w:r>
      <w:r w:rsidRPr="00887A1F">
        <w:rPr>
          <w:rFonts w:ascii="Arial" w:hAnsi="Arial" w:cs="Arial"/>
          <w:sz w:val="24"/>
          <w:szCs w:val="24"/>
        </w:rPr>
        <w:t xml:space="preserve"> </w:t>
      </w:r>
      <w:r w:rsidR="00D97978" w:rsidRPr="00887A1F">
        <w:rPr>
          <w:rFonts w:ascii="Arial" w:hAnsi="Arial" w:cs="Arial"/>
          <w:sz w:val="24"/>
          <w:szCs w:val="24"/>
        </w:rPr>
        <w:t>Mental health service user involvement in nurse education:</w:t>
      </w:r>
      <w:r w:rsidRPr="00887A1F">
        <w:rPr>
          <w:rFonts w:ascii="Arial" w:hAnsi="Arial" w:cs="Arial"/>
          <w:sz w:val="24"/>
          <w:szCs w:val="24"/>
        </w:rPr>
        <w:t xml:space="preserve"> </w:t>
      </w:r>
      <w:r w:rsidR="00D97978" w:rsidRPr="00887A1F">
        <w:rPr>
          <w:rFonts w:ascii="Arial" w:hAnsi="Arial" w:cs="Arial"/>
          <w:sz w:val="24"/>
          <w:szCs w:val="24"/>
        </w:rPr>
        <w:t>A catalyst for transformative learning</w:t>
      </w:r>
      <w:r w:rsidRPr="00887A1F">
        <w:rPr>
          <w:rFonts w:ascii="Arial" w:hAnsi="Arial" w:cs="Arial"/>
          <w:sz w:val="24"/>
          <w:szCs w:val="24"/>
        </w:rPr>
        <w:t xml:space="preserve">. </w:t>
      </w:r>
      <w:r w:rsidR="00D97978" w:rsidRPr="00887A1F">
        <w:rPr>
          <w:rFonts w:ascii="Arial" w:hAnsi="Arial" w:cs="Arial"/>
          <w:i/>
          <w:sz w:val="24"/>
          <w:szCs w:val="24"/>
        </w:rPr>
        <w:t>Journal of Mental Health,</w:t>
      </w:r>
      <w:r w:rsidRPr="00887A1F">
        <w:rPr>
          <w:rFonts w:ascii="Arial" w:hAnsi="Arial" w:cs="Arial"/>
          <w:i/>
          <w:sz w:val="24"/>
          <w:szCs w:val="24"/>
        </w:rPr>
        <w:t xml:space="preserve"> </w:t>
      </w:r>
      <w:r w:rsidR="00D97978" w:rsidRPr="00887A1F">
        <w:rPr>
          <w:rFonts w:ascii="Arial" w:hAnsi="Arial" w:cs="Arial"/>
          <w:i/>
          <w:sz w:val="24"/>
          <w:szCs w:val="24"/>
        </w:rPr>
        <w:t>1</w:t>
      </w:r>
      <w:r w:rsidRPr="00887A1F">
        <w:rPr>
          <w:rFonts w:ascii="Arial" w:hAnsi="Arial" w:cs="Arial"/>
          <w:i/>
          <w:sz w:val="24"/>
          <w:szCs w:val="24"/>
        </w:rPr>
        <w:t>7</w:t>
      </w:r>
      <w:r w:rsidRPr="00887A1F">
        <w:rPr>
          <w:rFonts w:ascii="Arial" w:hAnsi="Arial" w:cs="Arial"/>
          <w:sz w:val="24"/>
          <w:szCs w:val="24"/>
        </w:rPr>
        <w:t xml:space="preserve">, </w:t>
      </w:r>
      <w:r w:rsidR="00D97978" w:rsidRPr="00887A1F">
        <w:rPr>
          <w:rFonts w:ascii="Arial" w:hAnsi="Arial" w:cs="Arial"/>
          <w:sz w:val="24"/>
          <w:szCs w:val="24"/>
        </w:rPr>
        <w:t>531–542</w:t>
      </w:r>
      <w:r w:rsidR="00887A1F" w:rsidRPr="00887A1F">
        <w:rPr>
          <w:rFonts w:ascii="Arial" w:hAnsi="Arial" w:cs="Arial"/>
          <w:sz w:val="24"/>
          <w:szCs w:val="24"/>
        </w:rPr>
        <w:t>.  DOI: 10.1080/09638230802053383</w:t>
      </w:r>
    </w:p>
    <w:p w:rsidR="00905937" w:rsidRPr="00775A3B" w:rsidRDefault="00905937" w:rsidP="00775A3B">
      <w:pPr>
        <w:autoSpaceDE w:val="0"/>
        <w:autoSpaceDN w:val="0"/>
        <w:adjustRightInd w:val="0"/>
        <w:spacing w:after="0" w:line="360" w:lineRule="auto"/>
        <w:rPr>
          <w:rFonts w:ascii="Arial" w:hAnsi="Arial" w:cs="Arial"/>
          <w:sz w:val="24"/>
          <w:szCs w:val="24"/>
        </w:rPr>
      </w:pPr>
    </w:p>
    <w:p w:rsidR="00905937" w:rsidRPr="00775A3B" w:rsidRDefault="00905937" w:rsidP="00775A3B">
      <w:pPr>
        <w:autoSpaceDE w:val="0"/>
        <w:autoSpaceDN w:val="0"/>
        <w:adjustRightInd w:val="0"/>
        <w:spacing w:after="0" w:line="360" w:lineRule="auto"/>
        <w:rPr>
          <w:rFonts w:ascii="Arial" w:hAnsi="Arial" w:cs="Arial"/>
          <w:sz w:val="24"/>
          <w:szCs w:val="24"/>
        </w:rPr>
      </w:pPr>
      <w:r w:rsidRPr="0029382E">
        <w:rPr>
          <w:rFonts w:ascii="Arial" w:hAnsi="Arial" w:cs="Arial"/>
          <w:color w:val="292526"/>
          <w:sz w:val="24"/>
          <w:szCs w:val="24"/>
        </w:rPr>
        <w:t xml:space="preserve">Shakespeare, T. </w:t>
      </w:r>
      <w:r w:rsidR="003A42A2">
        <w:rPr>
          <w:rFonts w:ascii="Arial" w:hAnsi="Arial" w:cs="Arial"/>
          <w:color w:val="292526"/>
          <w:sz w:val="24"/>
          <w:szCs w:val="24"/>
        </w:rPr>
        <w:t>(</w:t>
      </w:r>
      <w:r w:rsidRPr="0029382E">
        <w:rPr>
          <w:rFonts w:ascii="Arial" w:hAnsi="Arial" w:cs="Arial"/>
          <w:color w:val="292526"/>
          <w:sz w:val="24"/>
          <w:szCs w:val="24"/>
        </w:rPr>
        <w:t>2006</w:t>
      </w:r>
      <w:r w:rsidR="003A42A2">
        <w:rPr>
          <w:rFonts w:ascii="Arial" w:hAnsi="Arial" w:cs="Arial"/>
          <w:color w:val="292526"/>
          <w:sz w:val="24"/>
          <w:szCs w:val="24"/>
        </w:rPr>
        <w:t>)</w:t>
      </w:r>
      <w:r w:rsidRPr="0029382E">
        <w:rPr>
          <w:rFonts w:ascii="Arial" w:hAnsi="Arial" w:cs="Arial"/>
          <w:color w:val="292526"/>
          <w:sz w:val="24"/>
          <w:szCs w:val="24"/>
        </w:rPr>
        <w:t xml:space="preserve">. </w:t>
      </w:r>
      <w:r w:rsidRPr="0029382E">
        <w:rPr>
          <w:rFonts w:ascii="Arial" w:hAnsi="Arial" w:cs="Arial"/>
          <w:i/>
          <w:iCs/>
          <w:color w:val="292526"/>
          <w:sz w:val="24"/>
          <w:szCs w:val="24"/>
        </w:rPr>
        <w:t xml:space="preserve">Disability rights and wrongs. </w:t>
      </w:r>
      <w:r w:rsidRPr="0029382E">
        <w:rPr>
          <w:rFonts w:ascii="Arial" w:hAnsi="Arial" w:cs="Arial"/>
          <w:color w:val="292526"/>
          <w:sz w:val="24"/>
          <w:szCs w:val="24"/>
        </w:rPr>
        <w:t>Abingdon: Routledge.</w:t>
      </w:r>
    </w:p>
    <w:p w:rsidR="00B054F1" w:rsidRPr="00887A1F" w:rsidRDefault="00B054F1" w:rsidP="00887A1F">
      <w:pPr>
        <w:autoSpaceDE w:val="0"/>
        <w:autoSpaceDN w:val="0"/>
        <w:adjustRightInd w:val="0"/>
        <w:spacing w:after="0" w:line="360" w:lineRule="auto"/>
        <w:rPr>
          <w:rFonts w:ascii="Arial" w:hAnsi="Arial" w:cs="Arial"/>
          <w:sz w:val="24"/>
          <w:szCs w:val="24"/>
        </w:rPr>
      </w:pPr>
    </w:p>
    <w:p w:rsidR="00B054F1" w:rsidRPr="00887A1F" w:rsidRDefault="00B054F1" w:rsidP="00887A1F">
      <w:pPr>
        <w:autoSpaceDE w:val="0"/>
        <w:autoSpaceDN w:val="0"/>
        <w:adjustRightInd w:val="0"/>
        <w:spacing w:after="0" w:line="360" w:lineRule="auto"/>
        <w:rPr>
          <w:rFonts w:ascii="Arial" w:hAnsi="Arial" w:cs="Arial"/>
          <w:sz w:val="24"/>
          <w:szCs w:val="24"/>
        </w:rPr>
      </w:pPr>
      <w:r w:rsidRPr="00887A1F">
        <w:rPr>
          <w:rFonts w:ascii="Arial" w:hAnsi="Arial" w:cs="Arial"/>
          <w:sz w:val="24"/>
          <w:szCs w:val="24"/>
        </w:rPr>
        <w:t>Simons, L., Tee, S., Lathlean, J., Burgess, A., Herbert, L.,</w:t>
      </w:r>
      <w:r w:rsidR="00F70BB2" w:rsidRPr="00887A1F">
        <w:rPr>
          <w:rFonts w:ascii="Arial" w:hAnsi="Arial" w:cs="Arial"/>
          <w:sz w:val="24"/>
          <w:szCs w:val="24"/>
        </w:rPr>
        <w:t xml:space="preserve"> &amp; Gibson, C.</w:t>
      </w:r>
      <w:r w:rsidRPr="00887A1F">
        <w:rPr>
          <w:rFonts w:ascii="Arial" w:hAnsi="Arial" w:cs="Arial"/>
          <w:sz w:val="24"/>
          <w:szCs w:val="24"/>
        </w:rPr>
        <w:t xml:space="preserve"> (2007)</w:t>
      </w:r>
      <w:r w:rsidR="002F63D5">
        <w:rPr>
          <w:rFonts w:ascii="Arial" w:hAnsi="Arial" w:cs="Arial"/>
          <w:sz w:val="24"/>
          <w:szCs w:val="24"/>
        </w:rPr>
        <w:t>.</w:t>
      </w:r>
      <w:r w:rsidRPr="00887A1F">
        <w:rPr>
          <w:rFonts w:ascii="Arial" w:hAnsi="Arial" w:cs="Arial"/>
          <w:sz w:val="24"/>
          <w:szCs w:val="24"/>
        </w:rPr>
        <w:t xml:space="preserve"> A socially inclusive approach to user participation in higher education. </w:t>
      </w:r>
      <w:r w:rsidRPr="00887A1F">
        <w:rPr>
          <w:rFonts w:ascii="Arial" w:hAnsi="Arial" w:cs="Arial"/>
          <w:i/>
          <w:sz w:val="24"/>
          <w:szCs w:val="24"/>
        </w:rPr>
        <w:t>Journal of Advanced Nursing 58</w:t>
      </w:r>
      <w:r w:rsidRPr="00887A1F">
        <w:rPr>
          <w:rFonts w:ascii="Arial" w:hAnsi="Arial" w:cs="Arial"/>
          <w:sz w:val="24"/>
          <w:szCs w:val="24"/>
        </w:rPr>
        <w:t>, 246–255.</w:t>
      </w:r>
    </w:p>
    <w:p w:rsidR="004630BD" w:rsidRPr="00887A1F" w:rsidRDefault="004630BD" w:rsidP="00887A1F">
      <w:pPr>
        <w:autoSpaceDE w:val="0"/>
        <w:autoSpaceDN w:val="0"/>
        <w:adjustRightInd w:val="0"/>
        <w:spacing w:after="0" w:line="360" w:lineRule="auto"/>
        <w:rPr>
          <w:rFonts w:ascii="Arial" w:hAnsi="Arial" w:cs="Arial"/>
          <w:sz w:val="24"/>
          <w:szCs w:val="24"/>
        </w:rPr>
      </w:pPr>
    </w:p>
    <w:p w:rsidR="00922E4C" w:rsidRPr="00887A1F" w:rsidRDefault="00922E4C" w:rsidP="00887A1F">
      <w:pPr>
        <w:autoSpaceDE w:val="0"/>
        <w:autoSpaceDN w:val="0"/>
        <w:adjustRightInd w:val="0"/>
        <w:spacing w:after="0" w:line="360" w:lineRule="auto"/>
        <w:rPr>
          <w:rFonts w:ascii="Arial" w:hAnsi="Arial" w:cs="Arial"/>
          <w:sz w:val="24"/>
          <w:szCs w:val="24"/>
        </w:rPr>
      </w:pPr>
      <w:r w:rsidRPr="00887A1F">
        <w:rPr>
          <w:rFonts w:ascii="Arial" w:hAnsi="Arial" w:cs="Arial"/>
          <w:sz w:val="24"/>
          <w:szCs w:val="24"/>
        </w:rPr>
        <w:t xml:space="preserve">Stickley, T. </w:t>
      </w:r>
      <w:r w:rsidR="004630BD" w:rsidRPr="00887A1F">
        <w:rPr>
          <w:rFonts w:ascii="Arial" w:hAnsi="Arial" w:cs="Arial"/>
          <w:sz w:val="24"/>
          <w:szCs w:val="24"/>
        </w:rPr>
        <w:t>(2006)</w:t>
      </w:r>
      <w:r w:rsidR="00FF3C7E">
        <w:rPr>
          <w:rFonts w:ascii="Arial" w:hAnsi="Arial" w:cs="Arial"/>
          <w:sz w:val="24"/>
          <w:szCs w:val="24"/>
        </w:rPr>
        <w:t>.</w:t>
      </w:r>
      <w:r w:rsidR="004630BD" w:rsidRPr="00887A1F">
        <w:rPr>
          <w:rFonts w:ascii="Arial" w:hAnsi="Arial" w:cs="Arial"/>
          <w:sz w:val="24"/>
          <w:szCs w:val="24"/>
        </w:rPr>
        <w:t xml:space="preserve"> </w:t>
      </w:r>
      <w:r w:rsidRPr="00887A1F">
        <w:rPr>
          <w:rFonts w:ascii="Arial" w:hAnsi="Arial" w:cs="Arial"/>
          <w:bCs/>
          <w:sz w:val="24"/>
          <w:szCs w:val="24"/>
        </w:rPr>
        <w:t>Should service user involvement be consigned to history? A critical realist</w:t>
      </w:r>
      <w:r w:rsidR="004630BD" w:rsidRPr="00887A1F">
        <w:rPr>
          <w:rFonts w:ascii="Arial" w:hAnsi="Arial" w:cs="Arial"/>
          <w:bCs/>
          <w:sz w:val="24"/>
          <w:szCs w:val="24"/>
        </w:rPr>
        <w:t xml:space="preserve"> p</w:t>
      </w:r>
      <w:r w:rsidRPr="00887A1F">
        <w:rPr>
          <w:rFonts w:ascii="Arial" w:hAnsi="Arial" w:cs="Arial"/>
          <w:bCs/>
          <w:sz w:val="24"/>
          <w:szCs w:val="24"/>
        </w:rPr>
        <w:t>erspective</w:t>
      </w:r>
      <w:r w:rsidR="004630BD" w:rsidRPr="00887A1F">
        <w:rPr>
          <w:rFonts w:ascii="Arial" w:hAnsi="Arial" w:cs="Arial"/>
          <w:bCs/>
          <w:sz w:val="24"/>
          <w:szCs w:val="24"/>
        </w:rPr>
        <w:t>.</w:t>
      </w:r>
      <w:r w:rsidRPr="00887A1F">
        <w:rPr>
          <w:rFonts w:ascii="Arial" w:hAnsi="Arial" w:cs="Arial"/>
          <w:b/>
          <w:bCs/>
          <w:sz w:val="24"/>
          <w:szCs w:val="24"/>
        </w:rPr>
        <w:t xml:space="preserve">  </w:t>
      </w:r>
      <w:r w:rsidRPr="00887A1F">
        <w:rPr>
          <w:rFonts w:ascii="Arial" w:hAnsi="Arial" w:cs="Arial"/>
          <w:i/>
          <w:iCs/>
          <w:sz w:val="24"/>
          <w:szCs w:val="24"/>
        </w:rPr>
        <w:lastRenderedPageBreak/>
        <w:t>Journal of Psychi</w:t>
      </w:r>
      <w:r w:rsidR="004630BD" w:rsidRPr="00887A1F">
        <w:rPr>
          <w:rFonts w:ascii="Arial" w:hAnsi="Arial" w:cs="Arial"/>
          <w:i/>
          <w:iCs/>
          <w:sz w:val="24"/>
          <w:szCs w:val="24"/>
        </w:rPr>
        <w:t xml:space="preserve">atric and Mental Health Nursing, </w:t>
      </w:r>
      <w:r w:rsidRPr="00887A1F">
        <w:rPr>
          <w:rFonts w:ascii="Arial" w:hAnsi="Arial" w:cs="Arial"/>
          <w:bCs/>
          <w:i/>
          <w:sz w:val="24"/>
          <w:szCs w:val="24"/>
        </w:rPr>
        <w:t>13</w:t>
      </w:r>
      <w:r w:rsidRPr="00887A1F">
        <w:rPr>
          <w:rFonts w:ascii="Arial" w:hAnsi="Arial" w:cs="Arial"/>
          <w:sz w:val="24"/>
          <w:szCs w:val="24"/>
        </w:rPr>
        <w:t xml:space="preserve">, 570–577  </w:t>
      </w:r>
    </w:p>
    <w:p w:rsidR="00D97978" w:rsidRPr="00887A1F" w:rsidRDefault="00D97978" w:rsidP="00887A1F">
      <w:pPr>
        <w:autoSpaceDE w:val="0"/>
        <w:autoSpaceDN w:val="0"/>
        <w:adjustRightInd w:val="0"/>
        <w:spacing w:after="0" w:line="360" w:lineRule="auto"/>
        <w:rPr>
          <w:rFonts w:ascii="Arial" w:hAnsi="Arial" w:cs="Arial"/>
          <w:sz w:val="24"/>
          <w:szCs w:val="24"/>
        </w:rPr>
      </w:pPr>
    </w:p>
    <w:p w:rsidR="00352570" w:rsidRDefault="00D42AB5" w:rsidP="00887A1F">
      <w:pPr>
        <w:autoSpaceDE w:val="0"/>
        <w:autoSpaceDN w:val="0"/>
        <w:adjustRightInd w:val="0"/>
        <w:spacing w:after="0" w:line="360" w:lineRule="auto"/>
        <w:rPr>
          <w:rFonts w:ascii="Arial" w:hAnsi="Arial" w:cs="Arial"/>
          <w:sz w:val="24"/>
          <w:szCs w:val="24"/>
        </w:rPr>
      </w:pPr>
      <w:r w:rsidRPr="00887A1F">
        <w:rPr>
          <w:rFonts w:ascii="Arial" w:hAnsi="Arial" w:cs="Arial"/>
          <w:sz w:val="24"/>
          <w:szCs w:val="24"/>
        </w:rPr>
        <w:t xml:space="preserve">Tew, J., Gell, G., </w:t>
      </w:r>
      <w:r w:rsidR="00BD5C9B" w:rsidRPr="00887A1F">
        <w:rPr>
          <w:rFonts w:ascii="Arial" w:hAnsi="Arial" w:cs="Arial"/>
          <w:sz w:val="24"/>
          <w:szCs w:val="24"/>
        </w:rPr>
        <w:t xml:space="preserve">&amp; </w:t>
      </w:r>
      <w:r w:rsidRPr="00887A1F">
        <w:rPr>
          <w:rFonts w:ascii="Arial" w:hAnsi="Arial" w:cs="Arial"/>
          <w:sz w:val="24"/>
          <w:szCs w:val="24"/>
        </w:rPr>
        <w:t>Foster, S. (</w:t>
      </w:r>
      <w:r w:rsidR="00352570" w:rsidRPr="00887A1F">
        <w:rPr>
          <w:rFonts w:ascii="Arial" w:hAnsi="Arial" w:cs="Arial"/>
          <w:sz w:val="24"/>
          <w:szCs w:val="24"/>
        </w:rPr>
        <w:t>2004</w:t>
      </w:r>
      <w:r w:rsidRPr="00887A1F">
        <w:rPr>
          <w:rFonts w:ascii="Arial" w:hAnsi="Arial" w:cs="Arial"/>
          <w:sz w:val="24"/>
          <w:szCs w:val="24"/>
        </w:rPr>
        <w:t>)</w:t>
      </w:r>
      <w:r w:rsidR="00352570" w:rsidRPr="00887A1F">
        <w:rPr>
          <w:rFonts w:ascii="Arial" w:hAnsi="Arial" w:cs="Arial"/>
          <w:sz w:val="24"/>
          <w:szCs w:val="24"/>
        </w:rPr>
        <w:t xml:space="preserve">. </w:t>
      </w:r>
      <w:r w:rsidR="00352570" w:rsidRPr="00887A1F">
        <w:rPr>
          <w:rFonts w:ascii="Arial" w:hAnsi="Arial" w:cs="Arial"/>
          <w:i/>
          <w:sz w:val="24"/>
          <w:szCs w:val="24"/>
        </w:rPr>
        <w:t>Learning</w:t>
      </w:r>
      <w:r w:rsidRPr="00887A1F">
        <w:rPr>
          <w:rFonts w:ascii="Arial" w:hAnsi="Arial" w:cs="Arial"/>
          <w:i/>
          <w:sz w:val="24"/>
          <w:szCs w:val="24"/>
        </w:rPr>
        <w:t xml:space="preserve"> from experience:  I</w:t>
      </w:r>
      <w:r w:rsidR="00352570" w:rsidRPr="00887A1F">
        <w:rPr>
          <w:rFonts w:ascii="Arial" w:hAnsi="Arial" w:cs="Arial"/>
          <w:i/>
          <w:sz w:val="24"/>
          <w:szCs w:val="24"/>
        </w:rPr>
        <w:t>nvolving service users and carers in mental health education and training. A good practice guide.</w:t>
      </w:r>
      <w:r w:rsidRPr="00887A1F">
        <w:rPr>
          <w:rFonts w:ascii="Arial" w:hAnsi="Arial" w:cs="Arial"/>
          <w:sz w:val="24"/>
          <w:szCs w:val="24"/>
        </w:rPr>
        <w:t xml:space="preserve"> MHHE (</w:t>
      </w:r>
      <w:r w:rsidR="00352570" w:rsidRPr="00887A1F">
        <w:rPr>
          <w:rFonts w:ascii="Arial" w:hAnsi="Arial" w:cs="Arial"/>
          <w:sz w:val="24"/>
          <w:szCs w:val="24"/>
        </w:rPr>
        <w:t>Mental health in higher education) NHS (National Institute for Mental Health in England) Trent NHS Workforce Development Confederation.</w:t>
      </w:r>
    </w:p>
    <w:p w:rsidR="00662DE8" w:rsidRPr="00775A3B" w:rsidRDefault="00662DE8" w:rsidP="00775A3B">
      <w:pPr>
        <w:autoSpaceDE w:val="0"/>
        <w:autoSpaceDN w:val="0"/>
        <w:adjustRightInd w:val="0"/>
        <w:spacing w:after="0" w:line="360" w:lineRule="auto"/>
        <w:rPr>
          <w:rFonts w:ascii="Arial" w:hAnsi="Arial" w:cs="Arial"/>
          <w:sz w:val="24"/>
          <w:szCs w:val="24"/>
        </w:rPr>
      </w:pPr>
    </w:p>
    <w:p w:rsidR="00662DE8" w:rsidRPr="001B1842" w:rsidRDefault="00662DE8" w:rsidP="00792B75">
      <w:pPr>
        <w:pStyle w:val="referencetext"/>
      </w:pPr>
      <w:r w:rsidRPr="001B1842">
        <w:t>Union of Physically Impaired Against Segregation (UP</w:t>
      </w:r>
      <w:r w:rsidR="002F63D5">
        <w:t>IAS)</w:t>
      </w:r>
      <w:r w:rsidRPr="001B1842">
        <w:t xml:space="preserve"> </w:t>
      </w:r>
      <w:r w:rsidR="003A42A2">
        <w:t>(</w:t>
      </w:r>
      <w:r w:rsidRPr="001B1842">
        <w:t>1976</w:t>
      </w:r>
      <w:r w:rsidR="003A42A2">
        <w:t>)</w:t>
      </w:r>
      <w:r w:rsidRPr="001B1842">
        <w:t xml:space="preserve">.  </w:t>
      </w:r>
      <w:r w:rsidRPr="001B1842">
        <w:rPr>
          <w:i/>
        </w:rPr>
        <w:t xml:space="preserve">Fundamental Principles of Disability. </w:t>
      </w:r>
      <w:r w:rsidRPr="001B1842">
        <w:t xml:space="preserve"> London:  UPIAS.</w:t>
      </w:r>
    </w:p>
    <w:p w:rsidR="00BD5C9B" w:rsidRPr="00887A1F" w:rsidRDefault="00BD5C9B" w:rsidP="00887A1F">
      <w:pPr>
        <w:spacing w:after="0" w:line="360" w:lineRule="auto"/>
        <w:jc w:val="both"/>
        <w:rPr>
          <w:rFonts w:ascii="Arial" w:eastAsia="Times New Roman" w:hAnsi="Arial" w:cs="Arial"/>
          <w:sz w:val="24"/>
          <w:szCs w:val="24"/>
        </w:rPr>
      </w:pPr>
    </w:p>
    <w:p w:rsidR="00BD5C9B" w:rsidRDefault="00BD5C9B" w:rsidP="00887A1F">
      <w:pPr>
        <w:autoSpaceDE w:val="0"/>
        <w:autoSpaceDN w:val="0"/>
        <w:adjustRightInd w:val="0"/>
        <w:spacing w:after="0" w:line="360" w:lineRule="auto"/>
        <w:rPr>
          <w:rFonts w:ascii="Arial" w:hAnsi="Arial" w:cs="Arial"/>
          <w:color w:val="231F20"/>
          <w:sz w:val="24"/>
          <w:szCs w:val="24"/>
        </w:rPr>
      </w:pPr>
      <w:r w:rsidRPr="00887A1F">
        <w:rPr>
          <w:rFonts w:ascii="Arial" w:hAnsi="Arial" w:cs="Arial"/>
          <w:color w:val="231F20"/>
          <w:sz w:val="24"/>
          <w:szCs w:val="24"/>
        </w:rPr>
        <w:t>Webber, M., &amp; Robinson, K</w:t>
      </w:r>
      <w:r w:rsidR="00F70BB2" w:rsidRPr="00887A1F">
        <w:rPr>
          <w:rFonts w:ascii="Arial" w:hAnsi="Arial" w:cs="Arial"/>
          <w:color w:val="231F20"/>
          <w:sz w:val="24"/>
          <w:szCs w:val="24"/>
        </w:rPr>
        <w:t>.</w:t>
      </w:r>
      <w:r w:rsidRPr="00887A1F">
        <w:rPr>
          <w:rFonts w:ascii="Arial" w:hAnsi="Arial" w:cs="Arial"/>
          <w:color w:val="231F20"/>
          <w:sz w:val="24"/>
          <w:szCs w:val="24"/>
        </w:rPr>
        <w:t xml:space="preserve"> (2012). The meaningful involvement of service users and c</w:t>
      </w:r>
      <w:r w:rsidR="004C4E34" w:rsidRPr="00887A1F">
        <w:rPr>
          <w:rFonts w:ascii="Arial" w:hAnsi="Arial" w:cs="Arial"/>
          <w:color w:val="231F20"/>
          <w:sz w:val="24"/>
          <w:szCs w:val="24"/>
        </w:rPr>
        <w:t>arers in advanced-level post-qualifying social work e</w:t>
      </w:r>
      <w:r w:rsidRPr="00887A1F">
        <w:rPr>
          <w:rFonts w:ascii="Arial" w:hAnsi="Arial" w:cs="Arial"/>
          <w:color w:val="231F20"/>
          <w:sz w:val="24"/>
          <w:szCs w:val="24"/>
        </w:rPr>
        <w:t xml:space="preserve">ducation: A </w:t>
      </w:r>
      <w:r w:rsidR="004C4E34" w:rsidRPr="00887A1F">
        <w:rPr>
          <w:rFonts w:ascii="Arial" w:hAnsi="Arial" w:cs="Arial"/>
          <w:color w:val="231F20"/>
          <w:sz w:val="24"/>
          <w:szCs w:val="24"/>
        </w:rPr>
        <w:t>qualitative s</w:t>
      </w:r>
      <w:r w:rsidRPr="00887A1F">
        <w:rPr>
          <w:rFonts w:ascii="Arial" w:hAnsi="Arial" w:cs="Arial"/>
          <w:color w:val="231F20"/>
          <w:sz w:val="24"/>
          <w:szCs w:val="24"/>
        </w:rPr>
        <w:t>tudy</w:t>
      </w:r>
      <w:r w:rsidR="004C4E34" w:rsidRPr="00887A1F">
        <w:rPr>
          <w:rFonts w:ascii="Arial" w:hAnsi="Arial" w:cs="Arial"/>
          <w:color w:val="231F20"/>
          <w:sz w:val="24"/>
          <w:szCs w:val="24"/>
        </w:rPr>
        <w:t xml:space="preserve">.  </w:t>
      </w:r>
      <w:r w:rsidRPr="00887A1F">
        <w:rPr>
          <w:rFonts w:ascii="Arial" w:hAnsi="Arial" w:cs="Arial"/>
          <w:i/>
          <w:color w:val="231F20"/>
          <w:sz w:val="24"/>
          <w:szCs w:val="24"/>
        </w:rPr>
        <w:t>Briti</w:t>
      </w:r>
      <w:r w:rsidR="004C4E34" w:rsidRPr="00887A1F">
        <w:rPr>
          <w:rFonts w:ascii="Arial" w:hAnsi="Arial" w:cs="Arial"/>
          <w:i/>
          <w:color w:val="231F20"/>
          <w:sz w:val="24"/>
          <w:szCs w:val="24"/>
        </w:rPr>
        <w:t>sh Journal of Social Work,</w:t>
      </w:r>
      <w:r w:rsidRPr="00887A1F">
        <w:rPr>
          <w:rFonts w:ascii="Arial" w:hAnsi="Arial" w:cs="Arial"/>
          <w:i/>
          <w:color w:val="231F20"/>
          <w:sz w:val="24"/>
          <w:szCs w:val="24"/>
        </w:rPr>
        <w:t xml:space="preserve"> 42,</w:t>
      </w:r>
      <w:r w:rsidRPr="00887A1F">
        <w:rPr>
          <w:rFonts w:ascii="Arial" w:hAnsi="Arial" w:cs="Arial"/>
          <w:color w:val="231F20"/>
          <w:sz w:val="24"/>
          <w:szCs w:val="24"/>
        </w:rPr>
        <w:t xml:space="preserve"> 1256–1274</w:t>
      </w:r>
      <w:r w:rsidR="00887A1F" w:rsidRPr="00887A1F">
        <w:rPr>
          <w:rFonts w:ascii="Arial" w:hAnsi="Arial" w:cs="Arial"/>
          <w:color w:val="231F20"/>
          <w:sz w:val="24"/>
          <w:szCs w:val="24"/>
        </w:rPr>
        <w:t xml:space="preserve">. </w:t>
      </w:r>
    </w:p>
    <w:p w:rsidR="00792B75" w:rsidRDefault="00792B75" w:rsidP="00887A1F">
      <w:pPr>
        <w:autoSpaceDE w:val="0"/>
        <w:autoSpaceDN w:val="0"/>
        <w:adjustRightInd w:val="0"/>
        <w:spacing w:after="0" w:line="360" w:lineRule="auto"/>
        <w:rPr>
          <w:rFonts w:ascii="Arial" w:hAnsi="Arial" w:cs="Arial"/>
          <w:color w:val="231F20"/>
          <w:sz w:val="24"/>
          <w:szCs w:val="24"/>
        </w:rPr>
      </w:pPr>
    </w:p>
    <w:p w:rsidR="00792B75" w:rsidRPr="00C721BB" w:rsidRDefault="00792B75" w:rsidP="00792B75">
      <w:pPr>
        <w:pStyle w:val="referencetext"/>
      </w:pPr>
      <w:r>
        <w:t>Wolfensberger, W.</w:t>
      </w:r>
      <w:r w:rsidRPr="00C721BB">
        <w:t xml:space="preserve"> </w:t>
      </w:r>
      <w:r>
        <w:t>(</w:t>
      </w:r>
      <w:r w:rsidRPr="00C721BB">
        <w:t>1972</w:t>
      </w:r>
      <w:r>
        <w:t>)</w:t>
      </w:r>
      <w:r w:rsidRPr="00C721BB">
        <w:t xml:space="preserve">. </w:t>
      </w:r>
      <w:r w:rsidRPr="0029382E">
        <w:rPr>
          <w:i/>
        </w:rPr>
        <w:t>The principle of normalization in human services</w:t>
      </w:r>
      <w:r w:rsidRPr="00C721BB">
        <w:t>.  Toronto: NIMR</w:t>
      </w:r>
    </w:p>
    <w:p w:rsidR="00906933" w:rsidRPr="00887A1F" w:rsidRDefault="00906933" w:rsidP="00887A1F">
      <w:pPr>
        <w:autoSpaceDE w:val="0"/>
        <w:autoSpaceDN w:val="0"/>
        <w:adjustRightInd w:val="0"/>
        <w:spacing w:after="0" w:line="360" w:lineRule="auto"/>
        <w:rPr>
          <w:rFonts w:ascii="Arial" w:hAnsi="Arial" w:cs="Arial"/>
          <w:color w:val="231F20"/>
          <w:sz w:val="24"/>
          <w:szCs w:val="24"/>
        </w:rPr>
      </w:pPr>
    </w:p>
    <w:p w:rsidR="00906933" w:rsidRPr="00887A1F" w:rsidRDefault="00E32FC5" w:rsidP="00887A1F">
      <w:pPr>
        <w:spacing w:line="360" w:lineRule="auto"/>
        <w:jc w:val="both"/>
        <w:rPr>
          <w:rFonts w:ascii="Arial" w:hAnsi="Arial" w:cs="Arial"/>
          <w:sz w:val="24"/>
          <w:szCs w:val="24"/>
        </w:rPr>
      </w:pPr>
      <w:r w:rsidRPr="00887A1F">
        <w:rPr>
          <w:rFonts w:ascii="Arial" w:hAnsi="Arial" w:cs="Arial"/>
          <w:sz w:val="24"/>
          <w:szCs w:val="24"/>
        </w:rPr>
        <w:t>The Willis Commission (2012)</w:t>
      </w:r>
      <w:r w:rsidR="002F63D5">
        <w:rPr>
          <w:rFonts w:ascii="Arial" w:hAnsi="Arial" w:cs="Arial"/>
          <w:sz w:val="24"/>
          <w:szCs w:val="24"/>
        </w:rPr>
        <w:t>.</w:t>
      </w:r>
      <w:r w:rsidRPr="00887A1F">
        <w:rPr>
          <w:rFonts w:ascii="Arial" w:hAnsi="Arial" w:cs="Arial"/>
          <w:sz w:val="24"/>
          <w:szCs w:val="24"/>
        </w:rPr>
        <w:t xml:space="preserve"> </w:t>
      </w:r>
      <w:r w:rsidR="00906933" w:rsidRPr="00887A1F">
        <w:rPr>
          <w:rFonts w:ascii="Arial" w:hAnsi="Arial" w:cs="Arial"/>
          <w:i/>
          <w:sz w:val="24"/>
          <w:szCs w:val="24"/>
        </w:rPr>
        <w:t>Quality with Compassion: the future of nursing education.  Report of the Willis Commission on Nursing Education</w:t>
      </w:r>
      <w:r w:rsidRPr="00887A1F">
        <w:rPr>
          <w:rFonts w:ascii="Arial" w:hAnsi="Arial" w:cs="Arial"/>
          <w:sz w:val="24"/>
          <w:szCs w:val="24"/>
        </w:rPr>
        <w:t>.</w:t>
      </w:r>
      <w:r w:rsidR="00906933" w:rsidRPr="00887A1F">
        <w:rPr>
          <w:rFonts w:ascii="Arial" w:hAnsi="Arial" w:cs="Arial"/>
          <w:sz w:val="24"/>
          <w:szCs w:val="24"/>
        </w:rPr>
        <w:t xml:space="preserve"> London: Royal College of Nursing.  Available at:  </w:t>
      </w:r>
      <w:hyperlink r:id="rId18" w:history="1">
        <w:r w:rsidR="00906933" w:rsidRPr="00887A1F">
          <w:rPr>
            <w:rStyle w:val="Hyperlink"/>
            <w:rFonts w:ascii="Arial" w:hAnsi="Arial" w:cs="Arial"/>
            <w:sz w:val="24"/>
            <w:szCs w:val="24"/>
          </w:rPr>
          <w:t>www.rcn.org.uk/williscommission</w:t>
        </w:r>
      </w:hyperlink>
      <w:r w:rsidR="00906933" w:rsidRPr="00887A1F">
        <w:rPr>
          <w:rFonts w:ascii="Arial" w:hAnsi="Arial" w:cs="Arial"/>
          <w:sz w:val="24"/>
          <w:szCs w:val="24"/>
        </w:rPr>
        <w:t xml:space="preserve">  </w:t>
      </w:r>
    </w:p>
    <w:p w:rsidR="00906933" w:rsidRPr="00887A1F" w:rsidRDefault="00906933" w:rsidP="00887A1F">
      <w:pPr>
        <w:autoSpaceDE w:val="0"/>
        <w:autoSpaceDN w:val="0"/>
        <w:adjustRightInd w:val="0"/>
        <w:spacing w:after="0" w:line="360" w:lineRule="auto"/>
        <w:rPr>
          <w:rFonts w:ascii="Arial" w:hAnsi="Arial" w:cs="Arial"/>
          <w:color w:val="231F20"/>
          <w:sz w:val="24"/>
          <w:szCs w:val="24"/>
        </w:rPr>
      </w:pPr>
    </w:p>
    <w:p w:rsidR="00BD5C9B" w:rsidRPr="00887A1F" w:rsidRDefault="00BD5C9B" w:rsidP="00887A1F">
      <w:pPr>
        <w:spacing w:after="0" w:line="360" w:lineRule="auto"/>
        <w:jc w:val="both"/>
        <w:rPr>
          <w:rFonts w:ascii="Arial" w:eastAsia="Times New Roman" w:hAnsi="Arial" w:cs="Arial"/>
          <w:sz w:val="24"/>
          <w:szCs w:val="24"/>
        </w:rPr>
      </w:pPr>
    </w:p>
    <w:p w:rsidR="00513BB9" w:rsidRPr="00887A1F" w:rsidRDefault="00513BB9" w:rsidP="00E51899">
      <w:pPr>
        <w:spacing w:line="360" w:lineRule="auto"/>
        <w:rPr>
          <w:rFonts w:ascii="Arial" w:hAnsi="Arial" w:cs="Arial"/>
          <w:sz w:val="24"/>
          <w:szCs w:val="24"/>
        </w:rPr>
      </w:pPr>
    </w:p>
    <w:sectPr w:rsidR="00513BB9" w:rsidRPr="00887A1F" w:rsidSect="007D7B5D">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E6F" w:rsidRDefault="00B56E6F" w:rsidP="00D42B3E">
      <w:pPr>
        <w:spacing w:after="0" w:line="240" w:lineRule="auto"/>
      </w:pPr>
      <w:r>
        <w:separator/>
      </w:r>
    </w:p>
  </w:endnote>
  <w:endnote w:type="continuationSeparator" w:id="0">
    <w:p w:rsidR="00B56E6F" w:rsidRDefault="00B56E6F" w:rsidP="00D42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KGDDLH+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264717"/>
      <w:docPartObj>
        <w:docPartGallery w:val="Page Numbers (Bottom of Page)"/>
        <w:docPartUnique/>
      </w:docPartObj>
    </w:sdtPr>
    <w:sdtEndPr>
      <w:rPr>
        <w:noProof/>
      </w:rPr>
    </w:sdtEndPr>
    <w:sdtContent>
      <w:p w:rsidR="009D7807" w:rsidRDefault="0043486E">
        <w:pPr>
          <w:pStyle w:val="Footer"/>
        </w:pPr>
        <w:r>
          <w:fldChar w:fldCharType="begin"/>
        </w:r>
        <w:r>
          <w:instrText xml:space="preserve"> PAGE   \* MERGEFORMAT </w:instrText>
        </w:r>
        <w:r>
          <w:fldChar w:fldCharType="separate"/>
        </w:r>
        <w:r w:rsidR="00DC46BC">
          <w:rPr>
            <w:noProof/>
          </w:rPr>
          <w:t>2</w:t>
        </w:r>
        <w:r>
          <w:rPr>
            <w:noProof/>
          </w:rPr>
          <w:fldChar w:fldCharType="end"/>
        </w:r>
      </w:p>
    </w:sdtContent>
  </w:sdt>
  <w:p w:rsidR="009D7807" w:rsidRDefault="009D7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E6F" w:rsidRDefault="00B56E6F" w:rsidP="00D42B3E">
      <w:pPr>
        <w:spacing w:after="0" w:line="240" w:lineRule="auto"/>
      </w:pPr>
      <w:r>
        <w:separator/>
      </w:r>
    </w:p>
  </w:footnote>
  <w:footnote w:type="continuationSeparator" w:id="0">
    <w:p w:rsidR="00B56E6F" w:rsidRDefault="00B56E6F" w:rsidP="00D42B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A30CF2"/>
    <w:multiLevelType w:val="hybridMultilevel"/>
    <w:tmpl w:val="D55822B4"/>
    <w:lvl w:ilvl="0" w:tplc="9BD0EA86">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E55"/>
    <w:rsid w:val="00001A3C"/>
    <w:rsid w:val="00002E39"/>
    <w:rsid w:val="00003507"/>
    <w:rsid w:val="00010E3E"/>
    <w:rsid w:val="0001208E"/>
    <w:rsid w:val="00013246"/>
    <w:rsid w:val="0001748C"/>
    <w:rsid w:val="00021C07"/>
    <w:rsid w:val="00026921"/>
    <w:rsid w:val="00027C4E"/>
    <w:rsid w:val="00027CA8"/>
    <w:rsid w:val="00031052"/>
    <w:rsid w:val="00032334"/>
    <w:rsid w:val="00036557"/>
    <w:rsid w:val="00036CA1"/>
    <w:rsid w:val="00036E5F"/>
    <w:rsid w:val="00037317"/>
    <w:rsid w:val="0003780E"/>
    <w:rsid w:val="00044AE8"/>
    <w:rsid w:val="00054493"/>
    <w:rsid w:val="00054859"/>
    <w:rsid w:val="0005645D"/>
    <w:rsid w:val="000608A6"/>
    <w:rsid w:val="00077BF4"/>
    <w:rsid w:val="00084BB2"/>
    <w:rsid w:val="00092BAB"/>
    <w:rsid w:val="00094597"/>
    <w:rsid w:val="00096178"/>
    <w:rsid w:val="0009799C"/>
    <w:rsid w:val="000A0F41"/>
    <w:rsid w:val="000A394E"/>
    <w:rsid w:val="000B18EF"/>
    <w:rsid w:val="000B7446"/>
    <w:rsid w:val="000C1FDF"/>
    <w:rsid w:val="000C4BFC"/>
    <w:rsid w:val="000C7D93"/>
    <w:rsid w:val="000D12B9"/>
    <w:rsid w:val="000D1767"/>
    <w:rsid w:val="000D188A"/>
    <w:rsid w:val="000D342C"/>
    <w:rsid w:val="000D63CC"/>
    <w:rsid w:val="000D732C"/>
    <w:rsid w:val="000D7B8B"/>
    <w:rsid w:val="000E0370"/>
    <w:rsid w:val="000E0EEA"/>
    <w:rsid w:val="000E19F9"/>
    <w:rsid w:val="000E6146"/>
    <w:rsid w:val="001036A8"/>
    <w:rsid w:val="001065DF"/>
    <w:rsid w:val="001132F2"/>
    <w:rsid w:val="0012177A"/>
    <w:rsid w:val="00123AD7"/>
    <w:rsid w:val="00125540"/>
    <w:rsid w:val="0012769E"/>
    <w:rsid w:val="001327D5"/>
    <w:rsid w:val="00133FB3"/>
    <w:rsid w:val="001343CD"/>
    <w:rsid w:val="001348E6"/>
    <w:rsid w:val="001350BE"/>
    <w:rsid w:val="001466A6"/>
    <w:rsid w:val="00150B52"/>
    <w:rsid w:val="00160E9D"/>
    <w:rsid w:val="00162E71"/>
    <w:rsid w:val="0016435E"/>
    <w:rsid w:val="00164FA1"/>
    <w:rsid w:val="00167FA2"/>
    <w:rsid w:val="00172336"/>
    <w:rsid w:val="00175C67"/>
    <w:rsid w:val="00175E0A"/>
    <w:rsid w:val="00177A8D"/>
    <w:rsid w:val="00184DBF"/>
    <w:rsid w:val="001874EF"/>
    <w:rsid w:val="00190A85"/>
    <w:rsid w:val="00190C2F"/>
    <w:rsid w:val="00191478"/>
    <w:rsid w:val="00193C86"/>
    <w:rsid w:val="00194096"/>
    <w:rsid w:val="001B0730"/>
    <w:rsid w:val="001B1842"/>
    <w:rsid w:val="001B2C22"/>
    <w:rsid w:val="001B2E4C"/>
    <w:rsid w:val="001B34DD"/>
    <w:rsid w:val="001C620E"/>
    <w:rsid w:val="001D1097"/>
    <w:rsid w:val="001D1932"/>
    <w:rsid w:val="001D5A42"/>
    <w:rsid w:val="001F36F7"/>
    <w:rsid w:val="001F3A92"/>
    <w:rsid w:val="001F68D6"/>
    <w:rsid w:val="002008AA"/>
    <w:rsid w:val="00201179"/>
    <w:rsid w:val="00201939"/>
    <w:rsid w:val="00203275"/>
    <w:rsid w:val="0020772C"/>
    <w:rsid w:val="002103D4"/>
    <w:rsid w:val="002116F5"/>
    <w:rsid w:val="00215771"/>
    <w:rsid w:val="0022454C"/>
    <w:rsid w:val="002249BB"/>
    <w:rsid w:val="0022539B"/>
    <w:rsid w:val="0022564F"/>
    <w:rsid w:val="0023343E"/>
    <w:rsid w:val="00234D5A"/>
    <w:rsid w:val="00241F25"/>
    <w:rsid w:val="00242309"/>
    <w:rsid w:val="0024378A"/>
    <w:rsid w:val="00244144"/>
    <w:rsid w:val="002443DB"/>
    <w:rsid w:val="00246689"/>
    <w:rsid w:val="00246963"/>
    <w:rsid w:val="00253E34"/>
    <w:rsid w:val="00255489"/>
    <w:rsid w:val="00255A0A"/>
    <w:rsid w:val="00256287"/>
    <w:rsid w:val="002566E9"/>
    <w:rsid w:val="00260B25"/>
    <w:rsid w:val="00262543"/>
    <w:rsid w:val="002634CA"/>
    <w:rsid w:val="00266747"/>
    <w:rsid w:val="00266F65"/>
    <w:rsid w:val="00273B6D"/>
    <w:rsid w:val="00275CC1"/>
    <w:rsid w:val="00276FFB"/>
    <w:rsid w:val="00280B83"/>
    <w:rsid w:val="00283956"/>
    <w:rsid w:val="00285CDD"/>
    <w:rsid w:val="00293221"/>
    <w:rsid w:val="0029382E"/>
    <w:rsid w:val="00296635"/>
    <w:rsid w:val="002A24CD"/>
    <w:rsid w:val="002A4159"/>
    <w:rsid w:val="002A552D"/>
    <w:rsid w:val="002B1B9A"/>
    <w:rsid w:val="002B37B5"/>
    <w:rsid w:val="002B5063"/>
    <w:rsid w:val="002C122B"/>
    <w:rsid w:val="002D3D2E"/>
    <w:rsid w:val="002D5178"/>
    <w:rsid w:val="002D6CF8"/>
    <w:rsid w:val="002E10F5"/>
    <w:rsid w:val="002E6BF0"/>
    <w:rsid w:val="002F3C84"/>
    <w:rsid w:val="002F63D5"/>
    <w:rsid w:val="002F6C12"/>
    <w:rsid w:val="0030243B"/>
    <w:rsid w:val="00302BE6"/>
    <w:rsid w:val="0031204F"/>
    <w:rsid w:val="0031511F"/>
    <w:rsid w:val="00330699"/>
    <w:rsid w:val="0033182F"/>
    <w:rsid w:val="00336799"/>
    <w:rsid w:val="00336F6B"/>
    <w:rsid w:val="00337134"/>
    <w:rsid w:val="00337140"/>
    <w:rsid w:val="003377DE"/>
    <w:rsid w:val="00341DFA"/>
    <w:rsid w:val="00342640"/>
    <w:rsid w:val="00344134"/>
    <w:rsid w:val="00352570"/>
    <w:rsid w:val="00353C43"/>
    <w:rsid w:val="00357D53"/>
    <w:rsid w:val="0036048E"/>
    <w:rsid w:val="003604BA"/>
    <w:rsid w:val="00361865"/>
    <w:rsid w:val="00365778"/>
    <w:rsid w:val="00375D56"/>
    <w:rsid w:val="00377C9A"/>
    <w:rsid w:val="003818C8"/>
    <w:rsid w:val="00382E22"/>
    <w:rsid w:val="003912A0"/>
    <w:rsid w:val="00391F87"/>
    <w:rsid w:val="00393E37"/>
    <w:rsid w:val="00394FB7"/>
    <w:rsid w:val="003961A2"/>
    <w:rsid w:val="003A06C6"/>
    <w:rsid w:val="003A2AA3"/>
    <w:rsid w:val="003A42A2"/>
    <w:rsid w:val="003B735A"/>
    <w:rsid w:val="003C397F"/>
    <w:rsid w:val="003C4453"/>
    <w:rsid w:val="003C4F10"/>
    <w:rsid w:val="003C7DD2"/>
    <w:rsid w:val="003D343A"/>
    <w:rsid w:val="003D4AC9"/>
    <w:rsid w:val="003D6CAE"/>
    <w:rsid w:val="003D776C"/>
    <w:rsid w:val="003E345E"/>
    <w:rsid w:val="003E4293"/>
    <w:rsid w:val="003E58F8"/>
    <w:rsid w:val="003E761C"/>
    <w:rsid w:val="003E7CB5"/>
    <w:rsid w:val="003F0CF4"/>
    <w:rsid w:val="003F4BC5"/>
    <w:rsid w:val="003F5C93"/>
    <w:rsid w:val="003F7FCB"/>
    <w:rsid w:val="004038AF"/>
    <w:rsid w:val="004067E2"/>
    <w:rsid w:val="004102EC"/>
    <w:rsid w:val="00414924"/>
    <w:rsid w:val="00417246"/>
    <w:rsid w:val="00423906"/>
    <w:rsid w:val="00424F71"/>
    <w:rsid w:val="004343BC"/>
    <w:rsid w:val="0043486E"/>
    <w:rsid w:val="00434B32"/>
    <w:rsid w:val="00440554"/>
    <w:rsid w:val="00444C95"/>
    <w:rsid w:val="00445B90"/>
    <w:rsid w:val="0044649A"/>
    <w:rsid w:val="004464DA"/>
    <w:rsid w:val="00446953"/>
    <w:rsid w:val="00450FE7"/>
    <w:rsid w:val="00455F33"/>
    <w:rsid w:val="004630BD"/>
    <w:rsid w:val="00465622"/>
    <w:rsid w:val="00477DB3"/>
    <w:rsid w:val="00480071"/>
    <w:rsid w:val="00481E93"/>
    <w:rsid w:val="00482A4D"/>
    <w:rsid w:val="00485B22"/>
    <w:rsid w:val="00485C1E"/>
    <w:rsid w:val="00496D3C"/>
    <w:rsid w:val="004A19E5"/>
    <w:rsid w:val="004A1DEE"/>
    <w:rsid w:val="004A2972"/>
    <w:rsid w:val="004A2994"/>
    <w:rsid w:val="004A3DCD"/>
    <w:rsid w:val="004B13CD"/>
    <w:rsid w:val="004B429D"/>
    <w:rsid w:val="004C043B"/>
    <w:rsid w:val="004C4E34"/>
    <w:rsid w:val="004C5E9F"/>
    <w:rsid w:val="004D4624"/>
    <w:rsid w:val="004E40F7"/>
    <w:rsid w:val="004E6198"/>
    <w:rsid w:val="004F46E1"/>
    <w:rsid w:val="004F61BF"/>
    <w:rsid w:val="00506D1D"/>
    <w:rsid w:val="005104F4"/>
    <w:rsid w:val="00511D03"/>
    <w:rsid w:val="005126E6"/>
    <w:rsid w:val="00513289"/>
    <w:rsid w:val="00513BB9"/>
    <w:rsid w:val="00515BED"/>
    <w:rsid w:val="00516E0A"/>
    <w:rsid w:val="00521675"/>
    <w:rsid w:val="00522941"/>
    <w:rsid w:val="005247FE"/>
    <w:rsid w:val="005260D2"/>
    <w:rsid w:val="00533F31"/>
    <w:rsid w:val="00536148"/>
    <w:rsid w:val="005422DD"/>
    <w:rsid w:val="005445D5"/>
    <w:rsid w:val="00544B76"/>
    <w:rsid w:val="0054590F"/>
    <w:rsid w:val="00554C2F"/>
    <w:rsid w:val="00555254"/>
    <w:rsid w:val="00562E28"/>
    <w:rsid w:val="00571C83"/>
    <w:rsid w:val="00583068"/>
    <w:rsid w:val="005831C1"/>
    <w:rsid w:val="00585203"/>
    <w:rsid w:val="005867B6"/>
    <w:rsid w:val="005B2CE5"/>
    <w:rsid w:val="005C3A1E"/>
    <w:rsid w:val="005D29F3"/>
    <w:rsid w:val="005D3B55"/>
    <w:rsid w:val="005D4D2A"/>
    <w:rsid w:val="005E27B2"/>
    <w:rsid w:val="005E378D"/>
    <w:rsid w:val="005F09ED"/>
    <w:rsid w:val="005F4276"/>
    <w:rsid w:val="005F5D65"/>
    <w:rsid w:val="0060075D"/>
    <w:rsid w:val="006041D8"/>
    <w:rsid w:val="00607DFD"/>
    <w:rsid w:val="0061603C"/>
    <w:rsid w:val="006163A5"/>
    <w:rsid w:val="00616F46"/>
    <w:rsid w:val="006172FE"/>
    <w:rsid w:val="006233A0"/>
    <w:rsid w:val="006279EA"/>
    <w:rsid w:val="00632A7A"/>
    <w:rsid w:val="00633B3E"/>
    <w:rsid w:val="00634113"/>
    <w:rsid w:val="00634C42"/>
    <w:rsid w:val="006542A4"/>
    <w:rsid w:val="00654D43"/>
    <w:rsid w:val="00661F21"/>
    <w:rsid w:val="00662DE8"/>
    <w:rsid w:val="00667BB5"/>
    <w:rsid w:val="0067372F"/>
    <w:rsid w:val="006770DF"/>
    <w:rsid w:val="00681035"/>
    <w:rsid w:val="006811F8"/>
    <w:rsid w:val="00681872"/>
    <w:rsid w:val="00681A78"/>
    <w:rsid w:val="00682259"/>
    <w:rsid w:val="0068559F"/>
    <w:rsid w:val="006A0397"/>
    <w:rsid w:val="006A11C6"/>
    <w:rsid w:val="006A1F9D"/>
    <w:rsid w:val="006A5AAF"/>
    <w:rsid w:val="006A6C71"/>
    <w:rsid w:val="006B0392"/>
    <w:rsid w:val="006B0DCE"/>
    <w:rsid w:val="006B17DD"/>
    <w:rsid w:val="006B2235"/>
    <w:rsid w:val="006B372C"/>
    <w:rsid w:val="006B6A43"/>
    <w:rsid w:val="006C2900"/>
    <w:rsid w:val="006D512B"/>
    <w:rsid w:val="006E35C9"/>
    <w:rsid w:val="006E7759"/>
    <w:rsid w:val="006E7AC0"/>
    <w:rsid w:val="006F1EF7"/>
    <w:rsid w:val="006F2B17"/>
    <w:rsid w:val="006F4E9A"/>
    <w:rsid w:val="006F53EF"/>
    <w:rsid w:val="006F58D1"/>
    <w:rsid w:val="007116F6"/>
    <w:rsid w:val="007174DC"/>
    <w:rsid w:val="00722D42"/>
    <w:rsid w:val="00724F2C"/>
    <w:rsid w:val="007257C1"/>
    <w:rsid w:val="00726F71"/>
    <w:rsid w:val="0073320D"/>
    <w:rsid w:val="007470BD"/>
    <w:rsid w:val="00751B44"/>
    <w:rsid w:val="00752AFD"/>
    <w:rsid w:val="007539DF"/>
    <w:rsid w:val="007544CD"/>
    <w:rsid w:val="00756BF6"/>
    <w:rsid w:val="00763945"/>
    <w:rsid w:val="00775A3B"/>
    <w:rsid w:val="00783D83"/>
    <w:rsid w:val="0078744B"/>
    <w:rsid w:val="00792B75"/>
    <w:rsid w:val="00794C0F"/>
    <w:rsid w:val="00795FEC"/>
    <w:rsid w:val="007A30EA"/>
    <w:rsid w:val="007A3C96"/>
    <w:rsid w:val="007A5AC0"/>
    <w:rsid w:val="007B6DC7"/>
    <w:rsid w:val="007B7781"/>
    <w:rsid w:val="007C152D"/>
    <w:rsid w:val="007C3A03"/>
    <w:rsid w:val="007D1CA5"/>
    <w:rsid w:val="007D4004"/>
    <w:rsid w:val="007D4D7F"/>
    <w:rsid w:val="007D7B5D"/>
    <w:rsid w:val="007E3683"/>
    <w:rsid w:val="007E5868"/>
    <w:rsid w:val="007E69C4"/>
    <w:rsid w:val="007F2761"/>
    <w:rsid w:val="007F3270"/>
    <w:rsid w:val="007F34A5"/>
    <w:rsid w:val="007F5B9E"/>
    <w:rsid w:val="007F6B34"/>
    <w:rsid w:val="00801CA2"/>
    <w:rsid w:val="00802E15"/>
    <w:rsid w:val="00804822"/>
    <w:rsid w:val="008076C3"/>
    <w:rsid w:val="00815180"/>
    <w:rsid w:val="00816EDB"/>
    <w:rsid w:val="008174B2"/>
    <w:rsid w:val="00817C68"/>
    <w:rsid w:val="00825344"/>
    <w:rsid w:val="008303C7"/>
    <w:rsid w:val="00830415"/>
    <w:rsid w:val="008344A9"/>
    <w:rsid w:val="0084011C"/>
    <w:rsid w:val="00841E7F"/>
    <w:rsid w:val="00845CEF"/>
    <w:rsid w:val="00851AB2"/>
    <w:rsid w:val="00852822"/>
    <w:rsid w:val="0086111F"/>
    <w:rsid w:val="008627A4"/>
    <w:rsid w:val="00863F95"/>
    <w:rsid w:val="008672B4"/>
    <w:rsid w:val="00871100"/>
    <w:rsid w:val="008744D5"/>
    <w:rsid w:val="008755E2"/>
    <w:rsid w:val="008757F1"/>
    <w:rsid w:val="00876113"/>
    <w:rsid w:val="00876E9A"/>
    <w:rsid w:val="00887A1F"/>
    <w:rsid w:val="00890C64"/>
    <w:rsid w:val="00897641"/>
    <w:rsid w:val="008A42A2"/>
    <w:rsid w:val="008A67C0"/>
    <w:rsid w:val="008A69C1"/>
    <w:rsid w:val="008B4D8F"/>
    <w:rsid w:val="008C4597"/>
    <w:rsid w:val="008D3BB3"/>
    <w:rsid w:val="008E28D0"/>
    <w:rsid w:val="008E361F"/>
    <w:rsid w:val="008E46A5"/>
    <w:rsid w:val="008E7CD7"/>
    <w:rsid w:val="008F1FE7"/>
    <w:rsid w:val="008F4121"/>
    <w:rsid w:val="008F6032"/>
    <w:rsid w:val="009032D8"/>
    <w:rsid w:val="00905937"/>
    <w:rsid w:val="00905B3F"/>
    <w:rsid w:val="00906933"/>
    <w:rsid w:val="00913F02"/>
    <w:rsid w:val="00914794"/>
    <w:rsid w:val="00916B61"/>
    <w:rsid w:val="00917F1A"/>
    <w:rsid w:val="00920F9C"/>
    <w:rsid w:val="00922E4C"/>
    <w:rsid w:val="00923D1F"/>
    <w:rsid w:val="00925F05"/>
    <w:rsid w:val="00926F36"/>
    <w:rsid w:val="00927215"/>
    <w:rsid w:val="00930BED"/>
    <w:rsid w:val="009358C6"/>
    <w:rsid w:val="00937C39"/>
    <w:rsid w:val="00943145"/>
    <w:rsid w:val="00943920"/>
    <w:rsid w:val="00944F94"/>
    <w:rsid w:val="00945ADA"/>
    <w:rsid w:val="00945F07"/>
    <w:rsid w:val="00951575"/>
    <w:rsid w:val="00960D00"/>
    <w:rsid w:val="00963649"/>
    <w:rsid w:val="00964D34"/>
    <w:rsid w:val="00966310"/>
    <w:rsid w:val="00976DFE"/>
    <w:rsid w:val="0098229B"/>
    <w:rsid w:val="00991739"/>
    <w:rsid w:val="00993E60"/>
    <w:rsid w:val="009A70BC"/>
    <w:rsid w:val="009B1146"/>
    <w:rsid w:val="009B6920"/>
    <w:rsid w:val="009C1502"/>
    <w:rsid w:val="009C4F2A"/>
    <w:rsid w:val="009D25F8"/>
    <w:rsid w:val="009D7807"/>
    <w:rsid w:val="009E55DF"/>
    <w:rsid w:val="009F54F4"/>
    <w:rsid w:val="009F67FE"/>
    <w:rsid w:val="00A22D2A"/>
    <w:rsid w:val="00A27B8A"/>
    <w:rsid w:val="00A3126F"/>
    <w:rsid w:val="00A35DBF"/>
    <w:rsid w:val="00A427A8"/>
    <w:rsid w:val="00A4516A"/>
    <w:rsid w:val="00A45810"/>
    <w:rsid w:val="00A47028"/>
    <w:rsid w:val="00A47148"/>
    <w:rsid w:val="00A52039"/>
    <w:rsid w:val="00A53E45"/>
    <w:rsid w:val="00A5489B"/>
    <w:rsid w:val="00A617D0"/>
    <w:rsid w:val="00A70EB0"/>
    <w:rsid w:val="00A71C6B"/>
    <w:rsid w:val="00A73C4C"/>
    <w:rsid w:val="00A754DD"/>
    <w:rsid w:val="00A81CBE"/>
    <w:rsid w:val="00A8316A"/>
    <w:rsid w:val="00A847F0"/>
    <w:rsid w:val="00A85A31"/>
    <w:rsid w:val="00A85C1D"/>
    <w:rsid w:val="00A86872"/>
    <w:rsid w:val="00A87A2C"/>
    <w:rsid w:val="00A90593"/>
    <w:rsid w:val="00A951AB"/>
    <w:rsid w:val="00A95A48"/>
    <w:rsid w:val="00A979A3"/>
    <w:rsid w:val="00AA5290"/>
    <w:rsid w:val="00AA7EBB"/>
    <w:rsid w:val="00AA7FFD"/>
    <w:rsid w:val="00AB0B83"/>
    <w:rsid w:val="00AB67E4"/>
    <w:rsid w:val="00AC2542"/>
    <w:rsid w:val="00AC3685"/>
    <w:rsid w:val="00AC6F5C"/>
    <w:rsid w:val="00AC75DB"/>
    <w:rsid w:val="00AD1267"/>
    <w:rsid w:val="00AD141F"/>
    <w:rsid w:val="00AD182E"/>
    <w:rsid w:val="00AD40B0"/>
    <w:rsid w:val="00AD430E"/>
    <w:rsid w:val="00AD655D"/>
    <w:rsid w:val="00AD6792"/>
    <w:rsid w:val="00AE01A1"/>
    <w:rsid w:val="00AE129B"/>
    <w:rsid w:val="00AE2DC4"/>
    <w:rsid w:val="00AF05D8"/>
    <w:rsid w:val="00AF09E5"/>
    <w:rsid w:val="00AF5C02"/>
    <w:rsid w:val="00B054F1"/>
    <w:rsid w:val="00B16766"/>
    <w:rsid w:val="00B2100E"/>
    <w:rsid w:val="00B22585"/>
    <w:rsid w:val="00B228F9"/>
    <w:rsid w:val="00B26212"/>
    <w:rsid w:val="00B32D16"/>
    <w:rsid w:val="00B361CC"/>
    <w:rsid w:val="00B4018C"/>
    <w:rsid w:val="00B42BE1"/>
    <w:rsid w:val="00B44E14"/>
    <w:rsid w:val="00B44F6F"/>
    <w:rsid w:val="00B458C9"/>
    <w:rsid w:val="00B46035"/>
    <w:rsid w:val="00B53DCF"/>
    <w:rsid w:val="00B56E6F"/>
    <w:rsid w:val="00B609C3"/>
    <w:rsid w:val="00B64CDF"/>
    <w:rsid w:val="00B64E29"/>
    <w:rsid w:val="00B66194"/>
    <w:rsid w:val="00B70ECC"/>
    <w:rsid w:val="00B71C2A"/>
    <w:rsid w:val="00B73282"/>
    <w:rsid w:val="00B81CF7"/>
    <w:rsid w:val="00B8412A"/>
    <w:rsid w:val="00B87996"/>
    <w:rsid w:val="00B907FE"/>
    <w:rsid w:val="00B95DD1"/>
    <w:rsid w:val="00B96D38"/>
    <w:rsid w:val="00BA03F0"/>
    <w:rsid w:val="00BA69A0"/>
    <w:rsid w:val="00BB3F24"/>
    <w:rsid w:val="00BD5C9B"/>
    <w:rsid w:val="00BD7A55"/>
    <w:rsid w:val="00BE0BF9"/>
    <w:rsid w:val="00BE16D5"/>
    <w:rsid w:val="00BE2A40"/>
    <w:rsid w:val="00BE3F6C"/>
    <w:rsid w:val="00BF541E"/>
    <w:rsid w:val="00BF676E"/>
    <w:rsid w:val="00C0401A"/>
    <w:rsid w:val="00C04EF2"/>
    <w:rsid w:val="00C14FDE"/>
    <w:rsid w:val="00C3479F"/>
    <w:rsid w:val="00C3615C"/>
    <w:rsid w:val="00C37EE9"/>
    <w:rsid w:val="00C40E16"/>
    <w:rsid w:val="00C41714"/>
    <w:rsid w:val="00C43975"/>
    <w:rsid w:val="00C43A0E"/>
    <w:rsid w:val="00C44952"/>
    <w:rsid w:val="00C46379"/>
    <w:rsid w:val="00C5063B"/>
    <w:rsid w:val="00C515D2"/>
    <w:rsid w:val="00C54D2F"/>
    <w:rsid w:val="00C55F02"/>
    <w:rsid w:val="00C57071"/>
    <w:rsid w:val="00C614A6"/>
    <w:rsid w:val="00C6590B"/>
    <w:rsid w:val="00C65CEB"/>
    <w:rsid w:val="00C814C9"/>
    <w:rsid w:val="00C82351"/>
    <w:rsid w:val="00C82FEC"/>
    <w:rsid w:val="00C907F2"/>
    <w:rsid w:val="00C912E5"/>
    <w:rsid w:val="00CA3360"/>
    <w:rsid w:val="00CC12B9"/>
    <w:rsid w:val="00CC309B"/>
    <w:rsid w:val="00CD5E55"/>
    <w:rsid w:val="00CE0B34"/>
    <w:rsid w:val="00CE6417"/>
    <w:rsid w:val="00CF4310"/>
    <w:rsid w:val="00CF6852"/>
    <w:rsid w:val="00D06FC5"/>
    <w:rsid w:val="00D10AE5"/>
    <w:rsid w:val="00D11CB3"/>
    <w:rsid w:val="00D12E6E"/>
    <w:rsid w:val="00D139AF"/>
    <w:rsid w:val="00D16FAD"/>
    <w:rsid w:val="00D2685B"/>
    <w:rsid w:val="00D30E12"/>
    <w:rsid w:val="00D31A24"/>
    <w:rsid w:val="00D3218F"/>
    <w:rsid w:val="00D34F8F"/>
    <w:rsid w:val="00D406ED"/>
    <w:rsid w:val="00D42AB5"/>
    <w:rsid w:val="00D42B3E"/>
    <w:rsid w:val="00D43FEF"/>
    <w:rsid w:val="00D472FB"/>
    <w:rsid w:val="00D516AD"/>
    <w:rsid w:val="00D605DC"/>
    <w:rsid w:val="00D621B3"/>
    <w:rsid w:val="00D8367E"/>
    <w:rsid w:val="00D8510E"/>
    <w:rsid w:val="00D93D9B"/>
    <w:rsid w:val="00D9697B"/>
    <w:rsid w:val="00D97978"/>
    <w:rsid w:val="00DA3E93"/>
    <w:rsid w:val="00DB00C0"/>
    <w:rsid w:val="00DB6F01"/>
    <w:rsid w:val="00DC3D67"/>
    <w:rsid w:val="00DC46BC"/>
    <w:rsid w:val="00DC6B3A"/>
    <w:rsid w:val="00DD0F41"/>
    <w:rsid w:val="00DD40DD"/>
    <w:rsid w:val="00DD5878"/>
    <w:rsid w:val="00DE4B2C"/>
    <w:rsid w:val="00DE5A19"/>
    <w:rsid w:val="00DE5BEC"/>
    <w:rsid w:val="00DF5EDB"/>
    <w:rsid w:val="00DF6149"/>
    <w:rsid w:val="00E01BBB"/>
    <w:rsid w:val="00E01D9B"/>
    <w:rsid w:val="00E07C4E"/>
    <w:rsid w:val="00E13484"/>
    <w:rsid w:val="00E143C8"/>
    <w:rsid w:val="00E32FC5"/>
    <w:rsid w:val="00E36110"/>
    <w:rsid w:val="00E37E94"/>
    <w:rsid w:val="00E4362A"/>
    <w:rsid w:val="00E47D99"/>
    <w:rsid w:val="00E51899"/>
    <w:rsid w:val="00E53E9C"/>
    <w:rsid w:val="00E6408C"/>
    <w:rsid w:val="00E65AED"/>
    <w:rsid w:val="00E968C1"/>
    <w:rsid w:val="00E97E6B"/>
    <w:rsid w:val="00EA1299"/>
    <w:rsid w:val="00EA29F4"/>
    <w:rsid w:val="00EA75A3"/>
    <w:rsid w:val="00EB0888"/>
    <w:rsid w:val="00EB416B"/>
    <w:rsid w:val="00EB4EFE"/>
    <w:rsid w:val="00EB64CB"/>
    <w:rsid w:val="00EC5360"/>
    <w:rsid w:val="00ED09D2"/>
    <w:rsid w:val="00ED7E89"/>
    <w:rsid w:val="00EE01C4"/>
    <w:rsid w:val="00EE2643"/>
    <w:rsid w:val="00EE3473"/>
    <w:rsid w:val="00EE78DC"/>
    <w:rsid w:val="00EF64EC"/>
    <w:rsid w:val="00F00DBB"/>
    <w:rsid w:val="00F026E8"/>
    <w:rsid w:val="00F0295C"/>
    <w:rsid w:val="00F05D14"/>
    <w:rsid w:val="00F06281"/>
    <w:rsid w:val="00F0679B"/>
    <w:rsid w:val="00F11976"/>
    <w:rsid w:val="00F15ACD"/>
    <w:rsid w:val="00F1660D"/>
    <w:rsid w:val="00F17B9C"/>
    <w:rsid w:val="00F20575"/>
    <w:rsid w:val="00F25003"/>
    <w:rsid w:val="00F25AE9"/>
    <w:rsid w:val="00F2623C"/>
    <w:rsid w:val="00F31D38"/>
    <w:rsid w:val="00F359E6"/>
    <w:rsid w:val="00F40E34"/>
    <w:rsid w:val="00F4224F"/>
    <w:rsid w:val="00F44F37"/>
    <w:rsid w:val="00F45565"/>
    <w:rsid w:val="00F5352C"/>
    <w:rsid w:val="00F5725C"/>
    <w:rsid w:val="00F57BF6"/>
    <w:rsid w:val="00F60BF1"/>
    <w:rsid w:val="00F6197A"/>
    <w:rsid w:val="00F62EDC"/>
    <w:rsid w:val="00F64D69"/>
    <w:rsid w:val="00F65286"/>
    <w:rsid w:val="00F70BB2"/>
    <w:rsid w:val="00F715F6"/>
    <w:rsid w:val="00F736E9"/>
    <w:rsid w:val="00F82D6A"/>
    <w:rsid w:val="00F844A0"/>
    <w:rsid w:val="00F91CFB"/>
    <w:rsid w:val="00F969F4"/>
    <w:rsid w:val="00FC0806"/>
    <w:rsid w:val="00FC3CBA"/>
    <w:rsid w:val="00FC5D4F"/>
    <w:rsid w:val="00FD2FF8"/>
    <w:rsid w:val="00FD4318"/>
    <w:rsid w:val="00FD7BAA"/>
    <w:rsid w:val="00FF0C42"/>
    <w:rsid w:val="00FF206A"/>
    <w:rsid w:val="00FF3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CFF757-DB90-4309-92A2-DFCF0470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5D8"/>
    <w:pPr>
      <w:ind w:left="720"/>
      <w:contextualSpacing/>
    </w:pPr>
  </w:style>
  <w:style w:type="character" w:styleId="Hyperlink">
    <w:name w:val="Hyperlink"/>
    <w:basedOn w:val="DefaultParagraphFont"/>
    <w:uiPriority w:val="99"/>
    <w:unhideWhenUsed/>
    <w:rsid w:val="006E35C9"/>
    <w:rPr>
      <w:color w:val="0563C1" w:themeColor="hyperlink"/>
      <w:u w:val="single"/>
    </w:rPr>
  </w:style>
  <w:style w:type="paragraph" w:styleId="Header">
    <w:name w:val="header"/>
    <w:basedOn w:val="Normal"/>
    <w:link w:val="HeaderChar"/>
    <w:uiPriority w:val="99"/>
    <w:unhideWhenUsed/>
    <w:rsid w:val="00D42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B3E"/>
  </w:style>
  <w:style w:type="paragraph" w:styleId="Footer">
    <w:name w:val="footer"/>
    <w:basedOn w:val="Normal"/>
    <w:link w:val="FooterChar"/>
    <w:uiPriority w:val="99"/>
    <w:unhideWhenUsed/>
    <w:rsid w:val="00D42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B3E"/>
  </w:style>
  <w:style w:type="character" w:styleId="Strong">
    <w:name w:val="Strong"/>
    <w:basedOn w:val="DefaultParagraphFont"/>
    <w:uiPriority w:val="22"/>
    <w:qFormat/>
    <w:rsid w:val="00283956"/>
    <w:rPr>
      <w:b/>
      <w:bCs/>
    </w:rPr>
  </w:style>
  <w:style w:type="character" w:customStyle="1" w:styleId="titleauthoretc5">
    <w:name w:val="titleauthoretc5"/>
    <w:basedOn w:val="DefaultParagraphFont"/>
    <w:rsid w:val="00283956"/>
  </w:style>
  <w:style w:type="paragraph" w:customStyle="1" w:styleId="referencetext">
    <w:name w:val="reference text"/>
    <w:basedOn w:val="Normal"/>
    <w:link w:val="referencetextChar"/>
    <w:autoRedefine/>
    <w:qFormat/>
    <w:rsid w:val="00792B75"/>
    <w:pPr>
      <w:spacing w:after="0" w:line="360" w:lineRule="auto"/>
      <w:jc w:val="both"/>
    </w:pPr>
    <w:rPr>
      <w:rFonts w:ascii="Arial" w:eastAsia="Calibri" w:hAnsi="Arial" w:cs="Arial"/>
      <w:color w:val="000000" w:themeColor="text1"/>
      <w:sz w:val="24"/>
      <w:szCs w:val="24"/>
    </w:rPr>
  </w:style>
  <w:style w:type="character" w:customStyle="1" w:styleId="referencetextChar">
    <w:name w:val="reference text Char"/>
    <w:basedOn w:val="DefaultParagraphFont"/>
    <w:link w:val="referencetext"/>
    <w:rsid w:val="00792B75"/>
    <w:rPr>
      <w:rFonts w:ascii="Arial" w:eastAsia="Calibri" w:hAnsi="Arial" w:cs="Arial"/>
      <w:color w:val="000000" w:themeColor="text1"/>
      <w:sz w:val="24"/>
      <w:szCs w:val="24"/>
    </w:rPr>
  </w:style>
  <w:style w:type="character" w:customStyle="1" w:styleId="publication">
    <w:name w:val="publication"/>
    <w:basedOn w:val="DefaultParagraphFont"/>
    <w:rsid w:val="000C7D93"/>
  </w:style>
  <w:style w:type="character" w:customStyle="1" w:styleId="apple-converted-space">
    <w:name w:val="apple-converted-space"/>
    <w:basedOn w:val="DefaultParagraphFont"/>
    <w:rsid w:val="00234D5A"/>
  </w:style>
  <w:style w:type="character" w:styleId="CommentReference">
    <w:name w:val="annotation reference"/>
    <w:basedOn w:val="DefaultParagraphFont"/>
    <w:uiPriority w:val="99"/>
    <w:semiHidden/>
    <w:unhideWhenUsed/>
    <w:rsid w:val="008744D5"/>
    <w:rPr>
      <w:sz w:val="16"/>
      <w:szCs w:val="16"/>
    </w:rPr>
  </w:style>
  <w:style w:type="paragraph" w:styleId="CommentText">
    <w:name w:val="annotation text"/>
    <w:basedOn w:val="Normal"/>
    <w:link w:val="CommentTextChar"/>
    <w:uiPriority w:val="99"/>
    <w:semiHidden/>
    <w:unhideWhenUsed/>
    <w:rsid w:val="008744D5"/>
    <w:pPr>
      <w:spacing w:line="240" w:lineRule="auto"/>
    </w:pPr>
    <w:rPr>
      <w:sz w:val="20"/>
      <w:szCs w:val="20"/>
    </w:rPr>
  </w:style>
  <w:style w:type="character" w:customStyle="1" w:styleId="CommentTextChar">
    <w:name w:val="Comment Text Char"/>
    <w:basedOn w:val="DefaultParagraphFont"/>
    <w:link w:val="CommentText"/>
    <w:uiPriority w:val="99"/>
    <w:semiHidden/>
    <w:rsid w:val="008744D5"/>
    <w:rPr>
      <w:sz w:val="20"/>
      <w:szCs w:val="20"/>
    </w:rPr>
  </w:style>
  <w:style w:type="paragraph" w:styleId="CommentSubject">
    <w:name w:val="annotation subject"/>
    <w:basedOn w:val="CommentText"/>
    <w:next w:val="CommentText"/>
    <w:link w:val="CommentSubjectChar"/>
    <w:uiPriority w:val="99"/>
    <w:semiHidden/>
    <w:unhideWhenUsed/>
    <w:rsid w:val="008744D5"/>
    <w:rPr>
      <w:b/>
      <w:bCs/>
    </w:rPr>
  </w:style>
  <w:style w:type="character" w:customStyle="1" w:styleId="CommentSubjectChar">
    <w:name w:val="Comment Subject Char"/>
    <w:basedOn w:val="CommentTextChar"/>
    <w:link w:val="CommentSubject"/>
    <w:uiPriority w:val="99"/>
    <w:semiHidden/>
    <w:rsid w:val="008744D5"/>
    <w:rPr>
      <w:b/>
      <w:bCs/>
      <w:sz w:val="20"/>
      <w:szCs w:val="20"/>
    </w:rPr>
  </w:style>
  <w:style w:type="paragraph" w:styleId="BalloonText">
    <w:name w:val="Balloon Text"/>
    <w:basedOn w:val="Normal"/>
    <w:link w:val="BalloonTextChar"/>
    <w:uiPriority w:val="99"/>
    <w:semiHidden/>
    <w:unhideWhenUsed/>
    <w:rsid w:val="00874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4D5"/>
    <w:rPr>
      <w:rFonts w:ascii="Segoe UI" w:hAnsi="Segoe UI" w:cs="Segoe UI"/>
      <w:sz w:val="18"/>
      <w:szCs w:val="18"/>
    </w:rPr>
  </w:style>
  <w:style w:type="character" w:customStyle="1" w:styleId="reference-text">
    <w:name w:val="reference-text"/>
    <w:basedOn w:val="DefaultParagraphFont"/>
    <w:rsid w:val="00EA75A3"/>
  </w:style>
  <w:style w:type="character" w:styleId="HTMLCite">
    <w:name w:val="HTML Cite"/>
    <w:basedOn w:val="DefaultParagraphFont"/>
    <w:uiPriority w:val="99"/>
    <w:semiHidden/>
    <w:unhideWhenUsed/>
    <w:rsid w:val="00EA75A3"/>
    <w:rPr>
      <w:i/>
      <w:iCs/>
    </w:rPr>
  </w:style>
  <w:style w:type="character" w:customStyle="1" w:styleId="z3988">
    <w:name w:val="z3988"/>
    <w:basedOn w:val="DefaultParagraphFont"/>
    <w:rsid w:val="00EA75A3"/>
  </w:style>
  <w:style w:type="paragraph" w:customStyle="1" w:styleId="Default">
    <w:name w:val="Default"/>
    <w:rsid w:val="00F4556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662DE8"/>
    <w:pPr>
      <w:spacing w:after="120" w:line="240" w:lineRule="auto"/>
      <w:jc w:val="both"/>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662DE8"/>
    <w:rPr>
      <w:rFonts w:ascii="Times New Roman" w:eastAsia="Times New Roman" w:hAnsi="Times New Roman" w:cs="Times New Roman"/>
      <w:sz w:val="24"/>
      <w:szCs w:val="24"/>
      <w:lang w:eastAsia="en-GB"/>
    </w:rPr>
  </w:style>
  <w:style w:type="paragraph" w:customStyle="1" w:styleId="Normale">
    <w:name w:val="Normale"/>
    <w:basedOn w:val="Normal"/>
    <w:next w:val="Normal"/>
    <w:rsid w:val="00662DE8"/>
    <w:pPr>
      <w:autoSpaceDE w:val="0"/>
      <w:autoSpaceDN w:val="0"/>
      <w:adjustRightInd w:val="0"/>
      <w:spacing w:after="0" w:line="240" w:lineRule="auto"/>
      <w:jc w:val="both"/>
    </w:pPr>
    <w:rPr>
      <w:rFonts w:ascii="KGDDLH+Arial,Bold" w:eastAsia="Times New Roman" w:hAnsi="KGDDLH+Arial,Bold" w:cs="Times New Roman"/>
      <w:sz w:val="24"/>
      <w:szCs w:val="24"/>
      <w:lang w:eastAsia="en-GB"/>
    </w:rPr>
  </w:style>
  <w:style w:type="paragraph" w:styleId="BodyTextIndent2">
    <w:name w:val="Body Text Indent 2"/>
    <w:basedOn w:val="Normal"/>
    <w:link w:val="BodyTextIndent2Char"/>
    <w:uiPriority w:val="99"/>
    <w:semiHidden/>
    <w:unhideWhenUsed/>
    <w:rsid w:val="00913F02"/>
    <w:pPr>
      <w:spacing w:after="120" w:line="480" w:lineRule="auto"/>
      <w:ind w:left="283"/>
    </w:pPr>
  </w:style>
  <w:style w:type="character" w:customStyle="1" w:styleId="BodyTextIndent2Char">
    <w:name w:val="Body Text Indent 2 Char"/>
    <w:basedOn w:val="DefaultParagraphFont"/>
    <w:link w:val="BodyTextIndent2"/>
    <w:uiPriority w:val="99"/>
    <w:semiHidden/>
    <w:rsid w:val="00913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47588">
      <w:bodyDiv w:val="1"/>
      <w:marLeft w:val="0"/>
      <w:marRight w:val="0"/>
      <w:marTop w:val="0"/>
      <w:marBottom w:val="0"/>
      <w:divBdr>
        <w:top w:val="none" w:sz="0" w:space="0" w:color="auto"/>
        <w:left w:val="none" w:sz="0" w:space="0" w:color="auto"/>
        <w:bottom w:val="none" w:sz="0" w:space="0" w:color="auto"/>
        <w:right w:val="none" w:sz="0" w:space="0" w:color="auto"/>
      </w:divBdr>
    </w:div>
    <w:div w:id="601956775">
      <w:bodyDiv w:val="1"/>
      <w:marLeft w:val="0"/>
      <w:marRight w:val="0"/>
      <w:marTop w:val="0"/>
      <w:marBottom w:val="0"/>
      <w:divBdr>
        <w:top w:val="none" w:sz="0" w:space="0" w:color="auto"/>
        <w:left w:val="none" w:sz="0" w:space="0" w:color="auto"/>
        <w:bottom w:val="none" w:sz="0" w:space="0" w:color="auto"/>
        <w:right w:val="none" w:sz="0" w:space="0" w:color="auto"/>
      </w:divBdr>
    </w:div>
    <w:div w:id="901597942">
      <w:bodyDiv w:val="1"/>
      <w:marLeft w:val="0"/>
      <w:marRight w:val="0"/>
      <w:marTop w:val="0"/>
      <w:marBottom w:val="0"/>
      <w:divBdr>
        <w:top w:val="none" w:sz="0" w:space="0" w:color="auto"/>
        <w:left w:val="none" w:sz="0" w:space="0" w:color="auto"/>
        <w:bottom w:val="none" w:sz="0" w:space="0" w:color="auto"/>
        <w:right w:val="none" w:sz="0" w:space="0" w:color="auto"/>
      </w:divBdr>
    </w:div>
    <w:div w:id="1211915319">
      <w:bodyDiv w:val="1"/>
      <w:marLeft w:val="0"/>
      <w:marRight w:val="0"/>
      <w:marTop w:val="0"/>
      <w:marBottom w:val="0"/>
      <w:divBdr>
        <w:top w:val="none" w:sz="0" w:space="0" w:color="auto"/>
        <w:left w:val="none" w:sz="0" w:space="0" w:color="auto"/>
        <w:bottom w:val="none" w:sz="0" w:space="0" w:color="auto"/>
        <w:right w:val="none" w:sz="0" w:space="0" w:color="auto"/>
      </w:divBdr>
    </w:div>
    <w:div w:id="1296256451">
      <w:bodyDiv w:val="1"/>
      <w:marLeft w:val="0"/>
      <w:marRight w:val="0"/>
      <w:marTop w:val="0"/>
      <w:marBottom w:val="0"/>
      <w:divBdr>
        <w:top w:val="none" w:sz="0" w:space="0" w:color="auto"/>
        <w:left w:val="none" w:sz="0" w:space="0" w:color="auto"/>
        <w:bottom w:val="none" w:sz="0" w:space="0" w:color="auto"/>
        <w:right w:val="none" w:sz="0" w:space="0" w:color="auto"/>
      </w:divBdr>
    </w:div>
    <w:div w:id="1594975957">
      <w:bodyDiv w:val="1"/>
      <w:marLeft w:val="0"/>
      <w:marRight w:val="0"/>
      <w:marTop w:val="0"/>
      <w:marBottom w:val="0"/>
      <w:divBdr>
        <w:top w:val="none" w:sz="0" w:space="0" w:color="auto"/>
        <w:left w:val="none" w:sz="0" w:space="0" w:color="auto"/>
        <w:bottom w:val="none" w:sz="0" w:space="0" w:color="auto"/>
        <w:right w:val="none" w:sz="0" w:space="0" w:color="auto"/>
      </w:divBdr>
      <w:divsChild>
        <w:div w:id="2099405770">
          <w:marLeft w:val="0"/>
          <w:marRight w:val="0"/>
          <w:marTop w:val="0"/>
          <w:marBottom w:val="0"/>
          <w:divBdr>
            <w:top w:val="none" w:sz="0" w:space="0" w:color="auto"/>
            <w:left w:val="none" w:sz="0" w:space="0" w:color="auto"/>
            <w:bottom w:val="none" w:sz="0" w:space="0" w:color="auto"/>
            <w:right w:val="none" w:sz="0" w:space="0" w:color="auto"/>
          </w:divBdr>
          <w:divsChild>
            <w:div w:id="1932078316">
              <w:marLeft w:val="0"/>
              <w:marRight w:val="0"/>
              <w:marTop w:val="0"/>
              <w:marBottom w:val="0"/>
              <w:divBdr>
                <w:top w:val="none" w:sz="0" w:space="0" w:color="auto"/>
                <w:left w:val="none" w:sz="0" w:space="0" w:color="auto"/>
                <w:bottom w:val="none" w:sz="0" w:space="0" w:color="auto"/>
                <w:right w:val="none" w:sz="0" w:space="0" w:color="auto"/>
              </w:divBdr>
              <w:divsChild>
                <w:div w:id="31923325">
                  <w:marLeft w:val="0"/>
                  <w:marRight w:val="0"/>
                  <w:marTop w:val="0"/>
                  <w:marBottom w:val="0"/>
                  <w:divBdr>
                    <w:top w:val="none" w:sz="0" w:space="0" w:color="auto"/>
                    <w:left w:val="none" w:sz="0" w:space="0" w:color="auto"/>
                    <w:bottom w:val="none" w:sz="0" w:space="0" w:color="auto"/>
                    <w:right w:val="none" w:sz="0" w:space="0" w:color="auto"/>
                  </w:divBdr>
                  <w:divsChild>
                    <w:div w:id="837966464">
                      <w:marLeft w:val="0"/>
                      <w:marRight w:val="0"/>
                      <w:marTop w:val="0"/>
                      <w:marBottom w:val="0"/>
                      <w:divBdr>
                        <w:top w:val="none" w:sz="0" w:space="0" w:color="auto"/>
                        <w:left w:val="none" w:sz="0" w:space="0" w:color="auto"/>
                        <w:bottom w:val="none" w:sz="0" w:space="0" w:color="auto"/>
                        <w:right w:val="none" w:sz="0" w:space="0" w:color="auto"/>
                      </w:divBdr>
                      <w:divsChild>
                        <w:div w:id="325279318">
                          <w:marLeft w:val="0"/>
                          <w:marRight w:val="0"/>
                          <w:marTop w:val="0"/>
                          <w:marBottom w:val="0"/>
                          <w:divBdr>
                            <w:top w:val="none" w:sz="0" w:space="0" w:color="auto"/>
                            <w:left w:val="none" w:sz="0" w:space="0" w:color="auto"/>
                            <w:bottom w:val="none" w:sz="0" w:space="0" w:color="auto"/>
                            <w:right w:val="none" w:sz="0" w:space="0" w:color="auto"/>
                          </w:divBdr>
                          <w:divsChild>
                            <w:div w:id="533006684">
                              <w:marLeft w:val="0"/>
                              <w:marRight w:val="0"/>
                              <w:marTop w:val="0"/>
                              <w:marBottom w:val="0"/>
                              <w:divBdr>
                                <w:top w:val="none" w:sz="0" w:space="0" w:color="auto"/>
                                <w:left w:val="none" w:sz="0" w:space="0" w:color="auto"/>
                                <w:bottom w:val="none" w:sz="0" w:space="0" w:color="auto"/>
                                <w:right w:val="none" w:sz="0" w:space="0" w:color="auto"/>
                              </w:divBdr>
                              <w:divsChild>
                                <w:div w:id="2001880807">
                                  <w:marLeft w:val="0"/>
                                  <w:marRight w:val="0"/>
                                  <w:marTop w:val="0"/>
                                  <w:marBottom w:val="0"/>
                                  <w:divBdr>
                                    <w:top w:val="none" w:sz="0" w:space="0" w:color="auto"/>
                                    <w:left w:val="none" w:sz="0" w:space="0" w:color="auto"/>
                                    <w:bottom w:val="none" w:sz="0" w:space="0" w:color="auto"/>
                                    <w:right w:val="none" w:sz="0" w:space="0" w:color="auto"/>
                                  </w:divBdr>
                                  <w:divsChild>
                                    <w:div w:id="193808839">
                                      <w:marLeft w:val="0"/>
                                      <w:marRight w:val="0"/>
                                      <w:marTop w:val="0"/>
                                      <w:marBottom w:val="0"/>
                                      <w:divBdr>
                                        <w:top w:val="none" w:sz="0" w:space="0" w:color="auto"/>
                                        <w:left w:val="none" w:sz="0" w:space="0" w:color="auto"/>
                                        <w:bottom w:val="none" w:sz="0" w:space="0" w:color="auto"/>
                                        <w:right w:val="none" w:sz="0" w:space="0" w:color="auto"/>
                                      </w:divBdr>
                                      <w:divsChild>
                                        <w:div w:id="944658769">
                                          <w:marLeft w:val="0"/>
                                          <w:marRight w:val="0"/>
                                          <w:marTop w:val="0"/>
                                          <w:marBottom w:val="0"/>
                                          <w:divBdr>
                                            <w:top w:val="none" w:sz="0" w:space="0" w:color="auto"/>
                                            <w:left w:val="none" w:sz="0" w:space="0" w:color="auto"/>
                                            <w:bottom w:val="none" w:sz="0" w:space="0" w:color="auto"/>
                                            <w:right w:val="none" w:sz="0" w:space="0" w:color="auto"/>
                                          </w:divBdr>
                                          <w:divsChild>
                                            <w:div w:id="917330645">
                                              <w:marLeft w:val="0"/>
                                              <w:marRight w:val="0"/>
                                              <w:marTop w:val="0"/>
                                              <w:marBottom w:val="0"/>
                                              <w:divBdr>
                                                <w:top w:val="none" w:sz="0" w:space="0" w:color="auto"/>
                                                <w:left w:val="none" w:sz="0" w:space="0" w:color="auto"/>
                                                <w:bottom w:val="none" w:sz="0" w:space="0" w:color="auto"/>
                                                <w:right w:val="none" w:sz="0" w:space="0" w:color="auto"/>
                                              </w:divBdr>
                                              <w:divsChild>
                                                <w:div w:id="824201790">
                                                  <w:marLeft w:val="0"/>
                                                  <w:marRight w:val="0"/>
                                                  <w:marTop w:val="0"/>
                                                  <w:marBottom w:val="0"/>
                                                  <w:divBdr>
                                                    <w:top w:val="none" w:sz="0" w:space="0" w:color="auto"/>
                                                    <w:left w:val="none" w:sz="0" w:space="0" w:color="auto"/>
                                                    <w:bottom w:val="none" w:sz="0" w:space="0" w:color="auto"/>
                                                    <w:right w:val="none" w:sz="0" w:space="0" w:color="auto"/>
                                                  </w:divBdr>
                                                  <w:divsChild>
                                                    <w:div w:id="956447029">
                                                      <w:marLeft w:val="0"/>
                                                      <w:marRight w:val="0"/>
                                                      <w:marTop w:val="0"/>
                                                      <w:marBottom w:val="0"/>
                                                      <w:divBdr>
                                                        <w:top w:val="none" w:sz="0" w:space="0" w:color="auto"/>
                                                        <w:left w:val="none" w:sz="0" w:space="0" w:color="auto"/>
                                                        <w:bottom w:val="none" w:sz="0" w:space="0" w:color="auto"/>
                                                        <w:right w:val="none" w:sz="0" w:space="0" w:color="auto"/>
                                                      </w:divBdr>
                                                      <w:divsChild>
                                                        <w:div w:id="1196426555">
                                                          <w:marLeft w:val="0"/>
                                                          <w:marRight w:val="0"/>
                                                          <w:marTop w:val="0"/>
                                                          <w:marBottom w:val="0"/>
                                                          <w:divBdr>
                                                            <w:top w:val="none" w:sz="0" w:space="0" w:color="auto"/>
                                                            <w:left w:val="none" w:sz="0" w:space="0" w:color="auto"/>
                                                            <w:bottom w:val="none" w:sz="0" w:space="0" w:color="auto"/>
                                                            <w:right w:val="none" w:sz="0" w:space="0" w:color="auto"/>
                                                          </w:divBdr>
                                                          <w:divsChild>
                                                            <w:div w:id="17618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Fox@anglia.ac.uk" TargetMode="External"/><Relationship Id="rId13" Type="http://schemas.openxmlformats.org/officeDocument/2006/relationships/hyperlink" Target="http://www.scie.org.uk/publications/guides/guide04/" TargetMode="External"/><Relationship Id="rId18" Type="http://schemas.openxmlformats.org/officeDocument/2006/relationships/hyperlink" Target="http://www.rcn.org.uk/williscommissi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cpc-uk.org/assets/documents/1000295EStandardsofeducationandtraining-fromSeptember2009.pdf" TargetMode="External"/><Relationship Id="rId17" Type="http://schemas.openxmlformats.org/officeDocument/2006/relationships/hyperlink" Target="http://www.together-uk.org/wp-content/uploads/downloads/2011/11/usingpersexperience.pdf" TargetMode="External"/><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PhilPapers" TargetMode="External"/><Relationship Id="rId5" Type="http://schemas.openxmlformats.org/officeDocument/2006/relationships/webSettings" Target="webSettings.xml"/><Relationship Id="rId15" Type="http://schemas.openxmlformats.org/officeDocument/2006/relationships/hyperlink" Target="http://search.proquest.com/indexingvolumeissuelinkhandler/1006506/The+Journal+of+Mental+Health+Training,+Education,+and+Practice/02012Y04Y01$232012$3b++Vol.+7+$282$29/7/2?accountid=8318" TargetMode="External"/><Relationship Id="rId10" Type="http://schemas.openxmlformats.org/officeDocument/2006/relationships/hyperlink" Target="http://philpapers.org/rec/CREDT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wikipedia.org/wiki/Kimberl%C3%A9_Crenshaw" TargetMode="External"/><Relationship Id="rId14" Type="http://schemas.openxmlformats.org/officeDocument/2006/relationships/hyperlink" Target="http://search.proquest.com/pubidlinkhandler/sng/pubtitle/The+Journal+of+Mental+Health+Training,+Education,+and+Practice/$N/1006506/PagePdf/1022003160/fulltextPDF/$B/1?accountid=8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220C6-1BEB-4954-A112-317DD704F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6B6B1AD8</Template>
  <TotalTime>1</TotalTime>
  <Pages>20</Pages>
  <Words>5660</Words>
  <Characters>32262</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37847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Walker, Ian</cp:lastModifiedBy>
  <cp:revision>2</cp:revision>
  <dcterms:created xsi:type="dcterms:W3CDTF">2016-09-12T09:37:00Z</dcterms:created>
  <dcterms:modified xsi:type="dcterms:W3CDTF">2016-09-12T09:37:00Z</dcterms:modified>
</cp:coreProperties>
</file>