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04" w:rsidRDefault="008B1B04" w:rsidP="000558CD">
      <w:pPr>
        <w:pStyle w:val="AuthorinformationName"/>
        <w:rPr>
          <w:rFonts w:ascii="Arial" w:hAnsi="Arial"/>
          <w:b/>
          <w:sz w:val="34"/>
        </w:rPr>
      </w:pPr>
      <w:r w:rsidRPr="008B1B04">
        <w:rPr>
          <w:rFonts w:ascii="Arial" w:hAnsi="Arial"/>
          <w:b/>
          <w:sz w:val="34"/>
        </w:rPr>
        <w:t>Built Asset Management Climate Change Adaptation Model</w:t>
      </w:r>
    </w:p>
    <w:p w:rsidR="000558CD" w:rsidRDefault="00581D15" w:rsidP="000558CD">
      <w:pPr>
        <w:pStyle w:val="AuthorinformationName"/>
      </w:pPr>
      <w:r>
        <w:t>Keith Jones</w:t>
      </w:r>
      <w:r w:rsidR="000558CD">
        <w:t>,</w:t>
      </w:r>
    </w:p>
    <w:p w:rsidR="000558CD" w:rsidRDefault="00C47309" w:rsidP="000558CD">
      <w:pPr>
        <w:pStyle w:val="AuthorinformationName"/>
      </w:pPr>
      <w:r>
        <w:t>Anglia Ruskin University</w:t>
      </w:r>
    </w:p>
    <w:p w:rsidR="000558CD" w:rsidRDefault="000558CD" w:rsidP="000558CD">
      <w:pPr>
        <w:pStyle w:val="AuthorinformationName"/>
      </w:pPr>
      <w:r>
        <w:t>(</w:t>
      </w:r>
      <w:r w:rsidR="00C47309">
        <w:t xml:space="preserve">email: </w:t>
      </w:r>
      <w:hyperlink r:id="rId7" w:history="1">
        <w:r w:rsidR="006277C5" w:rsidRPr="00E15444">
          <w:rPr>
            <w:rStyle w:val="Hyperlink"/>
          </w:rPr>
          <w:t>keith.jones@anglia.ac.uk</w:t>
        </w:r>
      </w:hyperlink>
      <w:r>
        <w:t>)</w:t>
      </w:r>
    </w:p>
    <w:p w:rsidR="000558CD" w:rsidRDefault="00C47309" w:rsidP="000558CD">
      <w:pPr>
        <w:pStyle w:val="AuthorinformationName"/>
      </w:pPr>
      <w:r>
        <w:t>Api Desai</w:t>
      </w:r>
      <w:r w:rsidR="000558CD">
        <w:t xml:space="preserve">, </w:t>
      </w:r>
    </w:p>
    <w:p w:rsidR="000558CD" w:rsidRDefault="00C47309" w:rsidP="000558CD">
      <w:pPr>
        <w:pStyle w:val="AuthorinformationName"/>
      </w:pPr>
      <w:r>
        <w:t xml:space="preserve">Anglia Ruskin </w:t>
      </w:r>
      <w:r w:rsidR="006277C5">
        <w:t>University</w:t>
      </w:r>
    </w:p>
    <w:p w:rsidR="000558CD" w:rsidRDefault="000558CD" w:rsidP="000558CD">
      <w:pPr>
        <w:pStyle w:val="AuthorinformationName"/>
      </w:pPr>
      <w:r>
        <w:t xml:space="preserve">(email: </w:t>
      </w:r>
      <w:hyperlink r:id="rId8" w:history="1">
        <w:r w:rsidR="006277C5" w:rsidRPr="00E15444">
          <w:rPr>
            <w:rStyle w:val="Hyperlink"/>
          </w:rPr>
          <w:t>api.desai@anglia.ac.uk</w:t>
        </w:r>
      </w:hyperlink>
      <w:r>
        <w:t>)</w:t>
      </w:r>
    </w:p>
    <w:p w:rsidR="006277C5" w:rsidRDefault="006277C5" w:rsidP="000558CD">
      <w:pPr>
        <w:pStyle w:val="AuthorinformationName"/>
      </w:pPr>
      <w:r>
        <w:t>Noel Brosnan</w:t>
      </w:r>
    </w:p>
    <w:p w:rsidR="006277C5" w:rsidRDefault="006277C5" w:rsidP="000558CD">
      <w:pPr>
        <w:pStyle w:val="AuthorinformationName"/>
      </w:pPr>
      <w:r>
        <w:t>Octavia Housing</w:t>
      </w:r>
    </w:p>
    <w:p w:rsidR="006277C5" w:rsidRDefault="006277C5" w:rsidP="000558CD">
      <w:pPr>
        <w:pStyle w:val="AuthorinformationName"/>
      </w:pPr>
      <w:r>
        <w:t xml:space="preserve">(email: </w:t>
      </w:r>
      <w:hyperlink r:id="rId9" w:history="1">
        <w:r w:rsidRPr="00E15444">
          <w:rPr>
            <w:rStyle w:val="Hyperlink"/>
          </w:rPr>
          <w:t>Noel.Brosnan@octavia.org.uk</w:t>
        </w:r>
      </w:hyperlink>
      <w:r>
        <w:t>)</w:t>
      </w:r>
    </w:p>
    <w:p w:rsidR="006277C5" w:rsidRDefault="006277C5" w:rsidP="000558CD">
      <w:pPr>
        <w:pStyle w:val="AuthorinformationName"/>
      </w:pPr>
      <w:r>
        <w:t>Justine Cooper</w:t>
      </w:r>
    </w:p>
    <w:p w:rsidR="006277C5" w:rsidRDefault="006277C5" w:rsidP="000558CD">
      <w:pPr>
        <w:pStyle w:val="AuthorinformationName"/>
      </w:pPr>
      <w:r>
        <w:t xml:space="preserve">(email: </w:t>
      </w:r>
      <w:hyperlink r:id="rId10" w:history="1">
        <w:r w:rsidRPr="00E15444">
          <w:rPr>
            <w:rStyle w:val="Hyperlink"/>
          </w:rPr>
          <w:t>justcoops@yahoo.co.uk</w:t>
        </w:r>
      </w:hyperlink>
      <w:r>
        <w:t>)</w:t>
      </w:r>
    </w:p>
    <w:p w:rsidR="006277C5" w:rsidRDefault="006277C5" w:rsidP="000558CD">
      <w:pPr>
        <w:pStyle w:val="AuthorinformationName"/>
      </w:pPr>
      <w:r>
        <w:t>Fuad Ali</w:t>
      </w:r>
    </w:p>
    <w:p w:rsidR="006277C5" w:rsidRDefault="006277C5" w:rsidP="000558CD">
      <w:pPr>
        <w:pStyle w:val="AuthorinformationName"/>
      </w:pPr>
      <w:r>
        <w:t xml:space="preserve">(email: </w:t>
      </w:r>
      <w:hyperlink r:id="rId11" w:history="1">
        <w:r w:rsidRPr="00E15444">
          <w:rPr>
            <w:rStyle w:val="Hyperlink"/>
          </w:rPr>
          <w:t>fuad.ali@gmail.com</w:t>
        </w:r>
      </w:hyperlink>
      <w:r>
        <w:t>)</w:t>
      </w:r>
    </w:p>
    <w:p w:rsidR="00914AC4" w:rsidRPr="000D3D9F" w:rsidRDefault="000D3D9F" w:rsidP="000D3D9F">
      <w:pPr>
        <w:pStyle w:val="Abstract"/>
      </w:pPr>
      <w:r w:rsidRPr="000D3D9F">
        <w:t>A</w:t>
      </w:r>
      <w:r w:rsidR="00914AC4" w:rsidRPr="000D3D9F">
        <w:t>bstract</w:t>
      </w:r>
    </w:p>
    <w:p w:rsidR="008B1B04" w:rsidRDefault="008B1B04" w:rsidP="008B1B04">
      <w:pPr>
        <w:pStyle w:val="StyleLeft003cmRight003cm"/>
      </w:pPr>
      <w:r>
        <w:t xml:space="preserve">Climate change continues to pose major challenges to those responsible for the management of built assets. Whilst mitigation is largely being driven by legislation and corporate social responsibility, adaptation has to compete alongside general built asset management needs. As such, adaptations to address longer-term building performance issues (such as those posed by climate change) rarely get prioritised above more immediate, short-term needs. However, failure to adapt a built asset to climate change could result in significant premature obsolescence if work is not programmed in a timely fashion. This paper will present the results </w:t>
      </w:r>
      <w:r w:rsidR="00CF53E5">
        <w:t xml:space="preserve">of a </w:t>
      </w:r>
      <w:r>
        <w:t>case study of climate change adaptation of UK social housing.</w:t>
      </w:r>
    </w:p>
    <w:p w:rsidR="006120A7" w:rsidRPr="006120A7" w:rsidRDefault="008B1B04" w:rsidP="008B1B04">
      <w:pPr>
        <w:pStyle w:val="StyleLeft003cmRight003cm"/>
      </w:pPr>
      <w:r>
        <w:t xml:space="preserve">The project reports the results of an in-depth participatory action research project with a London based social landlord to develop and test a 6 stage climate change adaptation framework and risk based model as part of its built asset management strategy. The project developed metrics to analyse the performance of the housing stock against climate change scenarios for current time and 2050. The project also examined the potential (options appraisals and cost/benefit analyses) for a range of adaptation solutions to close the performance gap and developed performance thresholds to prioritise adaptations into long term built asset management plans. These plans were developed against a range of futures scenarios through interviews and workshops with senior decision making stakeholders within the social landlord’s organisation. This paper will present the practical results from this study along with a new theoretical model that integrates resilience theory, risk framing and performance management into built asset management (maintenance and refurbishment) planning. The paper will conclude with a 10 step asset management framework that was developed as an aide memoir to guide other social landlords through the climate change adaptation planning process. </w:t>
      </w:r>
      <w:r w:rsidR="00C940ED">
        <w:t xml:space="preserve"> </w:t>
      </w:r>
    </w:p>
    <w:p w:rsidR="00212A97" w:rsidRDefault="00914AC4">
      <w:pPr>
        <w:pStyle w:val="textbody"/>
        <w:rPr>
          <w:szCs w:val="22"/>
        </w:rPr>
      </w:pPr>
      <w:r>
        <w:rPr>
          <w:b/>
        </w:rPr>
        <w:t xml:space="preserve">Keywords: </w:t>
      </w:r>
      <w:r w:rsidR="008B1B04" w:rsidRPr="008B1B04">
        <w:rPr>
          <w:szCs w:val="22"/>
        </w:rPr>
        <w:t>Adaptation, Built Asset Management, Housing, Risk, Resilience</w:t>
      </w:r>
      <w:r w:rsidR="008B1B04">
        <w:rPr>
          <w:szCs w:val="22"/>
        </w:rPr>
        <w:t>.</w:t>
      </w:r>
    </w:p>
    <w:p w:rsidR="00914AC4" w:rsidRDefault="00212A97" w:rsidP="00212A97">
      <w:pPr>
        <w:pStyle w:val="Heading1"/>
      </w:pPr>
      <w:r>
        <w:rPr>
          <w:szCs w:val="22"/>
        </w:rPr>
        <w:br w:type="page"/>
      </w:r>
      <w:bookmarkStart w:id="0" w:name="_Toc387470082"/>
      <w:bookmarkEnd w:id="0"/>
      <w:r w:rsidR="003F0B46">
        <w:rPr>
          <w:szCs w:val="22"/>
        </w:rPr>
        <w:lastRenderedPageBreak/>
        <w:t xml:space="preserve">Introduction </w:t>
      </w:r>
    </w:p>
    <w:p w:rsidR="008B1B04" w:rsidRPr="00B973BB" w:rsidRDefault="008B1B04" w:rsidP="008B1B04">
      <w:r w:rsidRPr="00B973BB">
        <w:t>The world’s climate is changing in ways that will have a significant impact on both human society and the built environment (</w:t>
      </w:r>
      <w:r w:rsidRPr="00FC4A83">
        <w:t>IPCC, 2014a</w:t>
      </w:r>
      <w:r w:rsidRPr="00B973BB">
        <w:t xml:space="preserve">). These changes affect not only average temperature but also results in changed temperature patterns and in particular the severity and frequency of extreme weather events (ibid). Whilst the impact of climate change is different across the world it is urban centres that are likely to be at greatest risk and where action needs to be taken to improve resilience to climate change </w:t>
      </w:r>
      <w:r>
        <w:t>threats</w:t>
      </w:r>
      <w:r w:rsidRPr="00B973BB">
        <w:t xml:space="preserve"> (IPCC, 2014b). To this end actions that accelerate adaptation of the built environment are required (ibid). In particular actions are needed that reduce the vulnerability and improve the resilience of urban systems (e.g. housing, buildings and infrastructure etc.) and provide the governance, policies and incentives to realise adaptive capacity (ibid). This paper reports the development of a built asset climate change adaptation model for social housing in London. The paper supplements a previous publication by Jones et al (2013) where the climate risks to London </w:t>
      </w:r>
      <w:r>
        <w:t>we</w:t>
      </w:r>
      <w:r w:rsidRPr="00B973BB">
        <w:t>re discussed and the theoretical ba</w:t>
      </w:r>
      <w:r>
        <w:t>se to the risk framework model wa</w:t>
      </w:r>
      <w:r w:rsidRPr="00B973BB">
        <w:t xml:space="preserve">s presented. This paper provides details of </w:t>
      </w:r>
      <w:r>
        <w:t>a participatory action research</w:t>
      </w:r>
      <w:r w:rsidRPr="00B973BB">
        <w:t xml:space="preserve"> project that integrated the risk framework model with built asset management theory and tested the resulting model against approximately 4000 housing units in London. The paper concludes with a 10 step approach to adaptation planning that should allow Facilities Manager</w:t>
      </w:r>
      <w:r>
        <w:t>’s</w:t>
      </w:r>
      <w:r w:rsidRPr="00B973BB">
        <w:t xml:space="preserve"> to develop built asset management plans to reduce the vulnerability and improve the resilience of their built assets. </w:t>
      </w:r>
    </w:p>
    <w:p w:rsidR="008B1B04" w:rsidRPr="00CF53E5" w:rsidRDefault="008B1B04" w:rsidP="00CF53E5">
      <w:pPr>
        <w:pStyle w:val="Heading1"/>
      </w:pPr>
      <w:r w:rsidRPr="00CF53E5">
        <w:t>Background</w:t>
      </w:r>
    </w:p>
    <w:p w:rsidR="008B1B04" w:rsidRPr="00B973BB" w:rsidRDefault="008B1B04" w:rsidP="008B1B04">
      <w:r w:rsidRPr="00B973BB">
        <w:t xml:space="preserve">Whilst in the UK the impact of a changing climate on new buildings can be accommodated through new design standards and planning guidance (CLG, 2007; CLG, 2009; Environment Agency, 2009), the same instruments are not universally applied to existing buildings. As such many existing buildings could be vulnerable to the impacts of climate change, and particularly extreme weather events (EWEs), requiring adaptation if they are to remain viable (Saunders &amp; Phillipson, 2003). Further, in the UK adaptation to climate change is not generally considered part of routine maintenance/refurbishment and it is unclear whether the approaches used by the climate change community (UK climate projections, risk frameworks) can be effectively integrated into built asset management </w:t>
      </w:r>
      <w:r>
        <w:t xml:space="preserve">models. </w:t>
      </w:r>
      <w:r w:rsidRPr="00B973BB">
        <w:t>These issues are particular</w:t>
      </w:r>
      <w:r>
        <w:t>ly</w:t>
      </w:r>
      <w:r w:rsidRPr="00B973BB">
        <w:t xml:space="preserve"> acute in London where it is already apparent that the changing climate </w:t>
      </w:r>
      <w:r>
        <w:t>could have a significant impact on the ability of</w:t>
      </w:r>
      <w:r w:rsidRPr="00B973BB">
        <w:t xml:space="preserve"> existing social housing to provide the quality environment expected by residents</w:t>
      </w:r>
      <w:r>
        <w:t xml:space="preserve"> </w:t>
      </w:r>
      <w:r w:rsidRPr="00B973BB">
        <w:t xml:space="preserve">(Jones </w:t>
      </w:r>
      <w:r w:rsidR="006277C5">
        <w:t xml:space="preserve">et al, </w:t>
      </w:r>
      <w:r w:rsidRPr="00B973BB">
        <w:t xml:space="preserve">2013). This poses a problem for many landlords; how do they prioritise adaptation for an uncertain future climate over solutions that improve the immediate quality of their housing stock today? </w:t>
      </w:r>
    </w:p>
    <w:p w:rsidR="008B1B04" w:rsidRDefault="008B1B04" w:rsidP="008B1B04">
      <w:pPr>
        <w:outlineLvl w:val="0"/>
        <w:rPr>
          <w:rFonts w:eastAsia="Arial Unicode MS"/>
          <w:u w:color="00000A"/>
        </w:rPr>
      </w:pPr>
      <w:r>
        <w:t>The</w:t>
      </w:r>
      <w:r w:rsidRPr="00B973BB">
        <w:t xml:space="preserve"> </w:t>
      </w:r>
      <w:r>
        <w:t xml:space="preserve">EPSRC </w:t>
      </w:r>
      <w:r w:rsidRPr="00B973BB">
        <w:t>Community Resilience to Extreme Weather (CREW) project studied the potential impact that a r</w:t>
      </w:r>
      <w:r>
        <w:t>ange of extreme weather events c</w:t>
      </w:r>
      <w:r w:rsidRPr="00B973BB">
        <w:t xml:space="preserve">ould have on the vulnerability, resilience and adaptive capacity of </w:t>
      </w:r>
      <w:r>
        <w:t xml:space="preserve">buildings in </w:t>
      </w:r>
      <w:r w:rsidRPr="00B973BB">
        <w:t xml:space="preserve">the SE London Resilience zone </w:t>
      </w:r>
      <w:r w:rsidRPr="00E75277">
        <w:t>(Hallet, 2013).</w:t>
      </w:r>
      <w:r w:rsidRPr="00B973BB">
        <w:t xml:space="preserve"> The CREW project used the UKCP</w:t>
      </w:r>
      <w:r>
        <w:t>09</w:t>
      </w:r>
      <w:r w:rsidRPr="00B973BB">
        <w:t xml:space="preserve"> probabilistic weather files to predict weather patterns across SE London and then superimposed these onto topographical </w:t>
      </w:r>
      <w:r>
        <w:t xml:space="preserve">and drainage </w:t>
      </w:r>
      <w:r w:rsidRPr="00B973BB">
        <w:t xml:space="preserve">information to generate extreme weather </w:t>
      </w:r>
      <w:r>
        <w:t xml:space="preserve">impact </w:t>
      </w:r>
      <w:r w:rsidRPr="00B973BB">
        <w:t xml:space="preserve">scenarios for 2020 and 2050. The scenarios were then used to investigate the </w:t>
      </w:r>
      <w:r>
        <w:t xml:space="preserve">risks </w:t>
      </w:r>
      <w:r>
        <w:lastRenderedPageBreak/>
        <w:t xml:space="preserve">to housing </w:t>
      </w:r>
      <w:r w:rsidRPr="00B973BB">
        <w:t>o</w:t>
      </w:r>
      <w:r>
        <w:t>f</w:t>
      </w:r>
      <w:r w:rsidRPr="00B973BB">
        <w:t xml:space="preserve"> overheating and flooding and to identify adaptation solutions that could reduce vulnerability and improve resilience. </w:t>
      </w:r>
      <w:r>
        <w:t xml:space="preserve">One of the key outputs from the </w:t>
      </w:r>
      <w:r w:rsidRPr="00B973BB">
        <w:t xml:space="preserve">CREW project </w:t>
      </w:r>
      <w:r>
        <w:t>was</w:t>
      </w:r>
      <w:r w:rsidRPr="00B973BB">
        <w:t xml:space="preserve"> a </w:t>
      </w:r>
      <w:r>
        <w:rPr>
          <w:rFonts w:eastAsia="Arial Unicode MS"/>
          <w:u w:color="00000A"/>
        </w:rPr>
        <w:t>risk based</w:t>
      </w:r>
      <w:r w:rsidRPr="00B973BB">
        <w:rPr>
          <w:rFonts w:eastAsia="Arial Unicode MS"/>
          <w:u w:color="00000A"/>
        </w:rPr>
        <w:t xml:space="preserve"> adaptation framework (Fig. 1) </w:t>
      </w:r>
      <w:r>
        <w:rPr>
          <w:rFonts w:eastAsia="Arial Unicode MS"/>
          <w:u w:color="00000A"/>
        </w:rPr>
        <w:t>that sought to guide facilities managers through the climate change adaptation assessment process. In this framework future scenarios are used to predict the degree of change over current conditions that could occur to a building(s) as a consequence of climate change. For each potential impact a risk assessment is then performed to identify impacts and cost adaptations. These adaptations are then prioritised and integrated into contingency plans (Jones</w:t>
      </w:r>
      <w:r w:rsidR="008412B3">
        <w:rPr>
          <w:rFonts w:eastAsia="Arial Unicode MS"/>
          <w:u w:color="00000A"/>
        </w:rPr>
        <w:t xml:space="preserve"> et al,</w:t>
      </w:r>
      <w:r>
        <w:rPr>
          <w:rFonts w:eastAsia="Arial Unicode MS"/>
          <w:u w:color="00000A"/>
        </w:rPr>
        <w:t xml:space="preserve"> 2013). The application of the adaptation framework forms the background to this </w:t>
      </w:r>
      <w:r w:rsidR="00CF53E5">
        <w:rPr>
          <w:rFonts w:ascii="Calibri" w:eastAsia="Calibri" w:hAnsi="Calibr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pt;margin-top:143.95pt;width:428.4pt;height:436.65pt;z-index:251660288;mso-position-horizontal-relative:text;mso-position-vertical-relative:text">
            <v:imagedata r:id="rId12" o:title=""/>
            <w10:wrap type="topAndBottom"/>
          </v:shape>
          <o:OLEObject Type="Embed" ProgID="Visio.Drawing.11" ShapeID="_x0000_s1026" DrawAspect="Content" ObjectID="_1519726258" r:id="rId13"/>
        </w:object>
      </w:r>
      <w:r>
        <w:rPr>
          <w:rFonts w:eastAsia="Arial Unicode MS"/>
          <w:u w:color="00000A"/>
        </w:rPr>
        <w:t>project.</w:t>
      </w:r>
    </w:p>
    <w:p w:rsidR="008B1B04" w:rsidRPr="00CF53E5" w:rsidRDefault="008B1B04" w:rsidP="00CF53E5">
      <w:pPr>
        <w:jc w:val="center"/>
        <w:outlineLvl w:val="0"/>
        <w:rPr>
          <w:rFonts w:eastAsia="Arial Unicode MS"/>
          <w:i/>
          <w:u w:color="00000A"/>
        </w:rPr>
      </w:pPr>
      <w:r w:rsidRPr="00CF53E5">
        <w:rPr>
          <w:rFonts w:eastAsia="Arial Unicode MS"/>
          <w:i/>
          <w:u w:color="00000A"/>
        </w:rPr>
        <w:t>Figure 1</w:t>
      </w:r>
      <w:r w:rsidR="004A615E">
        <w:rPr>
          <w:rFonts w:eastAsia="Arial Unicode MS"/>
          <w:i/>
          <w:u w:color="00000A"/>
        </w:rPr>
        <w:t>:</w:t>
      </w:r>
      <w:r w:rsidRPr="00CF53E5">
        <w:rPr>
          <w:rFonts w:eastAsia="Arial Unicode MS"/>
          <w:i/>
          <w:u w:color="00000A"/>
        </w:rPr>
        <w:t xml:space="preserve"> Adaptation Framework</w:t>
      </w:r>
      <w:r w:rsidR="00CF53E5">
        <w:rPr>
          <w:rFonts w:eastAsia="Arial Unicode MS"/>
          <w:i/>
          <w:u w:color="00000A"/>
        </w:rPr>
        <w:t xml:space="preserve"> (Hallett, 2013)</w:t>
      </w:r>
    </w:p>
    <w:p w:rsidR="008B1B04" w:rsidRDefault="008B1B04" w:rsidP="008B1B04">
      <w:pPr>
        <w:outlineLvl w:val="0"/>
        <w:rPr>
          <w:rFonts w:eastAsia="Arial Unicode MS"/>
          <w:color w:val="000000"/>
          <w:u w:color="000000"/>
          <w:lang w:eastAsia="en-GB"/>
        </w:rPr>
      </w:pPr>
      <w:r>
        <w:t xml:space="preserve">In order to test the applicability of the </w:t>
      </w:r>
      <w:r w:rsidRPr="00B973BB">
        <w:t xml:space="preserve">adaptation framework </w:t>
      </w:r>
      <w:r>
        <w:t xml:space="preserve">to inform maintenance and refurbishment plans </w:t>
      </w:r>
      <w:r w:rsidRPr="00B973BB">
        <w:t xml:space="preserve">it </w:t>
      </w:r>
      <w:r>
        <w:t>needs to be</w:t>
      </w:r>
      <w:r w:rsidRPr="00B973BB">
        <w:t xml:space="preserve"> integrated into a </w:t>
      </w:r>
      <w:r w:rsidRPr="00B973BB">
        <w:rPr>
          <w:rFonts w:eastAsia="Arial Unicode MS"/>
          <w:color w:val="000000"/>
          <w:u w:color="000000"/>
          <w:lang w:eastAsia="en-GB"/>
        </w:rPr>
        <w:t xml:space="preserve">performance based built asset management model </w:t>
      </w:r>
      <w:r w:rsidRPr="0091284D">
        <w:rPr>
          <w:rFonts w:eastAsia="Arial Unicode MS"/>
          <w:color w:val="000000"/>
          <w:u w:color="000000"/>
          <w:lang w:eastAsia="en-GB"/>
        </w:rPr>
        <w:t xml:space="preserve">(Jones </w:t>
      </w:r>
      <w:r w:rsidR="008412B3">
        <w:rPr>
          <w:rFonts w:eastAsia="Arial Unicode MS"/>
          <w:color w:val="000000"/>
          <w:u w:color="000000"/>
          <w:lang w:eastAsia="en-GB"/>
        </w:rPr>
        <w:t>and Sharp</w:t>
      </w:r>
      <w:r w:rsidRPr="0091284D">
        <w:rPr>
          <w:rFonts w:eastAsia="Arial Unicode MS"/>
          <w:color w:val="000000"/>
          <w:u w:color="000000"/>
          <w:lang w:eastAsia="en-GB"/>
        </w:rPr>
        <w:t>, 2007)</w:t>
      </w:r>
      <w:r w:rsidRPr="00B973BB">
        <w:rPr>
          <w:rFonts w:eastAsia="Arial Unicode MS"/>
          <w:color w:val="000000"/>
          <w:u w:color="000000"/>
          <w:lang w:eastAsia="en-GB"/>
        </w:rPr>
        <w:t xml:space="preserve"> (Fig. 2). The performance model involve</w:t>
      </w:r>
      <w:r>
        <w:rPr>
          <w:rFonts w:eastAsia="Arial Unicode MS"/>
          <w:color w:val="000000"/>
          <w:u w:color="000000"/>
          <w:lang w:eastAsia="en-GB"/>
        </w:rPr>
        <w:t>s:</w:t>
      </w:r>
      <w:r w:rsidRPr="00B973BB">
        <w:rPr>
          <w:rFonts w:eastAsia="Arial Unicode MS"/>
          <w:color w:val="000000"/>
          <w:u w:color="000000"/>
          <w:lang w:eastAsia="en-GB"/>
        </w:rPr>
        <w:t xml:space="preserve"> identifying the critical success factors (CSF’s) against which maintenance and refurbishment (including climate change </w:t>
      </w:r>
      <w:r w:rsidRPr="00B973BB">
        <w:rPr>
          <w:rFonts w:eastAsia="Arial Unicode MS"/>
          <w:color w:val="000000"/>
          <w:u w:color="000000"/>
          <w:lang w:eastAsia="en-GB"/>
        </w:rPr>
        <w:lastRenderedPageBreak/>
        <w:t>adaptation) will be judged</w:t>
      </w:r>
      <w:r>
        <w:rPr>
          <w:rFonts w:eastAsia="Arial Unicode MS"/>
          <w:color w:val="000000"/>
          <w:u w:color="000000"/>
          <w:lang w:eastAsia="en-GB"/>
        </w:rPr>
        <w:t xml:space="preserve">; </w:t>
      </w:r>
      <w:r w:rsidRPr="00B973BB">
        <w:rPr>
          <w:rFonts w:eastAsia="Arial Unicode MS"/>
          <w:color w:val="000000"/>
          <w:u w:color="000000"/>
          <w:lang w:eastAsia="en-GB"/>
        </w:rPr>
        <w:t>establish</w:t>
      </w:r>
      <w:r>
        <w:rPr>
          <w:rFonts w:eastAsia="Arial Unicode MS"/>
          <w:color w:val="000000"/>
          <w:u w:color="000000"/>
          <w:lang w:eastAsia="en-GB"/>
        </w:rPr>
        <w:t>ing</w:t>
      </w:r>
      <w:r w:rsidRPr="00B973BB">
        <w:rPr>
          <w:rFonts w:eastAsia="Arial Unicode MS"/>
          <w:color w:val="000000"/>
          <w:u w:color="000000"/>
          <w:lang w:eastAsia="en-GB"/>
        </w:rPr>
        <w:t xml:space="preserve"> a series of performance toolkits that measure the performance-in-use of each property</w:t>
      </w:r>
      <w:r>
        <w:rPr>
          <w:rFonts w:eastAsia="Arial Unicode MS"/>
          <w:color w:val="000000"/>
          <w:u w:color="000000"/>
          <w:lang w:eastAsia="en-GB"/>
        </w:rPr>
        <w:t xml:space="preserve">; establishing the underlying cause of any underperformance; developing action statements that describe the required improvements in performance; developing and evaluating </w:t>
      </w:r>
      <w:r w:rsidRPr="00B973BB">
        <w:rPr>
          <w:rFonts w:eastAsia="Arial Unicode MS"/>
          <w:color w:val="000000"/>
          <w:u w:color="000000"/>
          <w:lang w:eastAsia="en-GB"/>
        </w:rPr>
        <w:t>adaptation</w:t>
      </w:r>
      <w:r>
        <w:rPr>
          <w:rFonts w:eastAsia="Arial Unicode MS"/>
          <w:color w:val="000000"/>
          <w:u w:color="000000"/>
          <w:lang w:eastAsia="en-GB"/>
        </w:rPr>
        <w:t xml:space="preserve"> solutions </w:t>
      </w:r>
      <w:r w:rsidRPr="00B973BB">
        <w:rPr>
          <w:rFonts w:eastAsia="Arial Unicode MS"/>
          <w:color w:val="000000"/>
          <w:u w:color="000000"/>
          <w:lang w:eastAsia="en-GB"/>
        </w:rPr>
        <w:t>against the organisations CSF’s</w:t>
      </w:r>
      <w:r>
        <w:rPr>
          <w:rFonts w:eastAsia="Arial Unicode MS"/>
          <w:color w:val="000000"/>
          <w:u w:color="000000"/>
          <w:lang w:eastAsia="en-GB"/>
        </w:rPr>
        <w:t xml:space="preserve">; and evaluating the </w:t>
      </w:r>
      <w:r w:rsidRPr="00B973BB">
        <w:rPr>
          <w:rFonts w:eastAsia="Arial Unicode MS"/>
          <w:color w:val="000000"/>
          <w:u w:color="000000"/>
          <w:lang w:eastAsia="en-GB"/>
        </w:rPr>
        <w:t xml:space="preserve">success of the adaptations and provide feedback to the organisation’s climate change adaptation policy and strategies. </w:t>
      </w:r>
      <w:r>
        <w:rPr>
          <w:rFonts w:eastAsia="Arial Unicode MS"/>
          <w:color w:val="000000"/>
          <w:u w:color="000000"/>
          <w:lang w:eastAsia="en-GB"/>
        </w:rPr>
        <w:t>This project developed the tools necessary to achieve this integration.</w:t>
      </w:r>
      <w:r w:rsidR="00571F59">
        <w:rPr>
          <w:rFonts w:eastAsia="Arial Unicode MS"/>
          <w:color w:val="000000"/>
          <w:u w:color="000000"/>
          <w:lang w:eastAsia="en-GB"/>
        </w:rPr>
        <w:t xml:space="preserve"> This paper builds on work previously published (Jones et al, 2013) where </w:t>
      </w:r>
      <w:r w:rsidR="007E6F70">
        <w:rPr>
          <w:rFonts w:eastAsia="Arial Unicode MS"/>
          <w:color w:val="000000"/>
          <w:u w:color="000000"/>
          <w:lang w:eastAsia="en-GB"/>
        </w:rPr>
        <w:t xml:space="preserve">the background to, and </w:t>
      </w:r>
      <w:r w:rsidR="00571F59">
        <w:rPr>
          <w:rFonts w:eastAsia="Arial Unicode MS"/>
          <w:color w:val="000000"/>
          <w:u w:color="000000"/>
          <w:lang w:eastAsia="en-GB"/>
        </w:rPr>
        <w:t>further details of</w:t>
      </w:r>
      <w:r w:rsidR="007E6F70">
        <w:rPr>
          <w:rFonts w:eastAsia="Arial Unicode MS"/>
          <w:color w:val="000000"/>
          <w:u w:color="000000"/>
          <w:lang w:eastAsia="en-GB"/>
        </w:rPr>
        <w:t xml:space="preserve">, the factors that affect the vulnerability, resilience and adaptive capacity of </w:t>
      </w:r>
      <w:r w:rsidR="00CF53E5">
        <w:rPr>
          <w:rFonts w:eastAsia="Arial Unicode MS"/>
          <w:color w:val="000000"/>
          <w:u w:color="000000"/>
          <w:lang w:eastAsia="en-GB"/>
        </w:rPr>
        <w:t xml:space="preserve">UK </w:t>
      </w:r>
      <w:r w:rsidR="007E6F70">
        <w:rPr>
          <w:rFonts w:eastAsia="Arial Unicode MS"/>
          <w:color w:val="000000"/>
          <w:u w:color="000000"/>
          <w:lang w:eastAsia="en-GB"/>
        </w:rPr>
        <w:t xml:space="preserve">social </w:t>
      </w:r>
      <w:r w:rsidR="00CF53E5" w:rsidRPr="00B973BB">
        <w:rPr>
          <w:noProof/>
          <w:lang w:eastAsia="en-GB"/>
        </w:rPr>
        <w:drawing>
          <wp:anchor distT="0" distB="0" distL="114300" distR="114300" simplePos="0" relativeHeight="251662336" behindDoc="0" locked="0" layoutInCell="1" allowOverlap="1" wp14:anchorId="4CA29747" wp14:editId="14924D19">
            <wp:simplePos x="0" y="0"/>
            <wp:positionH relativeFrom="margin">
              <wp:align>right</wp:align>
            </wp:positionH>
            <wp:positionV relativeFrom="page">
              <wp:posOffset>2819400</wp:posOffset>
            </wp:positionV>
            <wp:extent cx="5381625" cy="2072005"/>
            <wp:effectExtent l="0" t="0" r="9525" b="0"/>
            <wp:wrapTopAndBottom/>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1625" cy="20720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E6F70">
        <w:rPr>
          <w:rFonts w:eastAsia="Arial Unicode MS"/>
          <w:color w:val="000000"/>
          <w:u w:color="000000"/>
          <w:lang w:eastAsia="en-GB"/>
        </w:rPr>
        <w:t>housing to climate change can be found.</w:t>
      </w:r>
      <w:r w:rsidR="00571F59">
        <w:rPr>
          <w:rFonts w:eastAsia="Arial Unicode MS"/>
          <w:color w:val="000000"/>
          <w:u w:color="000000"/>
          <w:lang w:eastAsia="en-GB"/>
        </w:rPr>
        <w:t xml:space="preserve"> </w:t>
      </w:r>
    </w:p>
    <w:p w:rsidR="008B1B04" w:rsidRPr="00CF53E5" w:rsidRDefault="008B1B04" w:rsidP="00CF53E5">
      <w:pPr>
        <w:jc w:val="center"/>
        <w:rPr>
          <w:i/>
        </w:rPr>
      </w:pPr>
      <w:r w:rsidRPr="00CF53E5">
        <w:rPr>
          <w:rFonts w:eastAsia="Arial Unicode MS"/>
          <w:i/>
          <w:color w:val="000000"/>
          <w:u w:color="00000A"/>
        </w:rPr>
        <w:t>Figure 2</w:t>
      </w:r>
      <w:r w:rsidR="004A615E">
        <w:rPr>
          <w:rFonts w:eastAsia="Arial Unicode MS"/>
          <w:i/>
          <w:color w:val="000000"/>
          <w:u w:color="00000A"/>
        </w:rPr>
        <w:t>:</w:t>
      </w:r>
      <w:r w:rsidRPr="00CF53E5">
        <w:rPr>
          <w:rFonts w:eastAsia="Arial Unicode MS"/>
          <w:i/>
          <w:color w:val="000000"/>
          <w:u w:color="00000A"/>
        </w:rPr>
        <w:t xml:space="preserve"> Performance Based Built Asset Management Model (Jones</w:t>
      </w:r>
      <w:r w:rsidR="008412B3" w:rsidRPr="00CF53E5">
        <w:rPr>
          <w:rFonts w:eastAsia="Arial Unicode MS"/>
          <w:i/>
          <w:color w:val="000000"/>
          <w:u w:color="00000A"/>
        </w:rPr>
        <w:t xml:space="preserve"> and Sharp</w:t>
      </w:r>
      <w:r w:rsidRPr="00CF53E5">
        <w:rPr>
          <w:rFonts w:eastAsia="Arial Unicode MS"/>
          <w:i/>
          <w:color w:val="000000"/>
          <w:u w:color="00000A"/>
        </w:rPr>
        <w:t>, 2007)</w:t>
      </w:r>
    </w:p>
    <w:p w:rsidR="008B1B04" w:rsidRPr="00CF53E5" w:rsidRDefault="008B1B04" w:rsidP="00CF53E5">
      <w:pPr>
        <w:pStyle w:val="Heading1"/>
        <w:rPr>
          <w:rFonts w:cs="Arial"/>
          <w:b w:val="0"/>
          <w:szCs w:val="30"/>
        </w:rPr>
      </w:pPr>
      <w:r w:rsidRPr="00CF53E5">
        <w:rPr>
          <w:rFonts w:cs="Arial"/>
          <w:szCs w:val="30"/>
        </w:rPr>
        <w:t>Methodology</w:t>
      </w:r>
    </w:p>
    <w:p w:rsidR="008B1B04" w:rsidRDefault="008B1B04" w:rsidP="008B1B04">
      <w:r w:rsidRPr="00B973BB">
        <w:t xml:space="preserve">The focus of the project was a UK Registered Social Landlord (RSL) that owns and manages approximately 4000 homes, located mainly in inner London. </w:t>
      </w:r>
      <w:r>
        <w:rPr>
          <w:lang w:eastAsia="en-GB"/>
        </w:rPr>
        <w:t>The RSLs property portfolio wa</w:t>
      </w:r>
      <w:r w:rsidRPr="00B973BB">
        <w:rPr>
          <w:lang w:eastAsia="en-GB"/>
        </w:rPr>
        <w:t xml:space="preserve">s extremely diverse, ranging from large modern purpose built blocks, to Victorian street properties. </w:t>
      </w:r>
      <w:r>
        <w:rPr>
          <w:lang w:eastAsia="en-GB"/>
        </w:rPr>
        <w:t xml:space="preserve">Whilst </w:t>
      </w:r>
      <w:r w:rsidRPr="00B973BB">
        <w:rPr>
          <w:lang w:eastAsia="en-GB"/>
        </w:rPr>
        <w:t>he RSL own</w:t>
      </w:r>
      <w:r>
        <w:rPr>
          <w:lang w:eastAsia="en-GB"/>
        </w:rPr>
        <w:t>ed</w:t>
      </w:r>
      <w:r w:rsidRPr="00B973BB">
        <w:rPr>
          <w:lang w:eastAsia="en-GB"/>
        </w:rPr>
        <w:t xml:space="preserve"> few whole hous</w:t>
      </w:r>
      <w:r>
        <w:rPr>
          <w:lang w:eastAsia="en-GB"/>
        </w:rPr>
        <w:t>es, more than 86% of its stock wa</w:t>
      </w:r>
      <w:r w:rsidRPr="00B973BB">
        <w:rPr>
          <w:lang w:eastAsia="en-GB"/>
        </w:rPr>
        <w:t xml:space="preserve">s made up of maisonettes and flats (the majority the result of the conversion of houses rather than purpose built blocks). Forty six percent of the </w:t>
      </w:r>
      <w:r>
        <w:rPr>
          <w:lang w:eastAsia="en-GB"/>
        </w:rPr>
        <w:t>stock were</w:t>
      </w:r>
      <w:r w:rsidRPr="00B973BB">
        <w:rPr>
          <w:lang w:eastAsia="en-GB"/>
        </w:rPr>
        <w:t xml:space="preserve"> bedsits or one bedroom properties, 33% </w:t>
      </w:r>
      <w:r>
        <w:rPr>
          <w:lang w:eastAsia="en-GB"/>
        </w:rPr>
        <w:t xml:space="preserve">were </w:t>
      </w:r>
      <w:r w:rsidRPr="00B973BB">
        <w:rPr>
          <w:lang w:eastAsia="en-GB"/>
        </w:rPr>
        <w:t>two bedroom properties</w:t>
      </w:r>
      <w:r>
        <w:rPr>
          <w:lang w:eastAsia="en-GB"/>
        </w:rPr>
        <w:t>;</w:t>
      </w:r>
      <w:r w:rsidRPr="00B973BB">
        <w:rPr>
          <w:lang w:eastAsia="en-GB"/>
        </w:rPr>
        <w:t xml:space="preserve"> 18% </w:t>
      </w:r>
      <w:r>
        <w:rPr>
          <w:lang w:eastAsia="en-GB"/>
        </w:rPr>
        <w:t>were</w:t>
      </w:r>
      <w:r w:rsidRPr="00B973BB">
        <w:rPr>
          <w:lang w:eastAsia="en-GB"/>
        </w:rPr>
        <w:t xml:space="preserve"> three bedroom properties</w:t>
      </w:r>
      <w:r>
        <w:rPr>
          <w:lang w:eastAsia="en-GB"/>
        </w:rPr>
        <w:t xml:space="preserve">; and </w:t>
      </w:r>
      <w:r w:rsidRPr="00B973BB">
        <w:rPr>
          <w:lang w:eastAsia="en-GB"/>
        </w:rPr>
        <w:t xml:space="preserve">the remaining 3% </w:t>
      </w:r>
      <w:r>
        <w:rPr>
          <w:lang w:eastAsia="en-GB"/>
        </w:rPr>
        <w:t>were</w:t>
      </w:r>
      <w:r w:rsidRPr="00B973BB">
        <w:rPr>
          <w:lang w:eastAsia="en-GB"/>
        </w:rPr>
        <w:t xml:space="preserve"> 4 and 5 bedroom properties. Forty nine percent of the stock was built before 1919</w:t>
      </w:r>
      <w:r>
        <w:rPr>
          <w:lang w:eastAsia="en-GB"/>
        </w:rPr>
        <w:t>;</w:t>
      </w:r>
      <w:r w:rsidRPr="00B973BB">
        <w:rPr>
          <w:lang w:eastAsia="en-GB"/>
        </w:rPr>
        <w:t xml:space="preserve"> 8% between 1919 and 1944</w:t>
      </w:r>
      <w:r>
        <w:rPr>
          <w:lang w:eastAsia="en-GB"/>
        </w:rPr>
        <w:t>;</w:t>
      </w:r>
      <w:r w:rsidRPr="00B973BB">
        <w:rPr>
          <w:lang w:eastAsia="en-GB"/>
        </w:rPr>
        <w:t xml:space="preserve"> 22% between 1945 and 1980</w:t>
      </w:r>
      <w:r>
        <w:rPr>
          <w:lang w:eastAsia="en-GB"/>
        </w:rPr>
        <w:t>;</w:t>
      </w:r>
      <w:r w:rsidRPr="00B973BB">
        <w:rPr>
          <w:lang w:eastAsia="en-GB"/>
        </w:rPr>
        <w:t xml:space="preserve"> and 21% post 1980. A number of </w:t>
      </w:r>
      <w:r w:rsidR="00CF53E5">
        <w:rPr>
          <w:lang w:eastAsia="en-GB"/>
        </w:rPr>
        <w:t xml:space="preserve">the </w:t>
      </w:r>
      <w:r w:rsidRPr="00B973BB">
        <w:rPr>
          <w:lang w:eastAsia="en-GB"/>
        </w:rPr>
        <w:t>RSL</w:t>
      </w:r>
      <w:r>
        <w:rPr>
          <w:lang w:eastAsia="en-GB"/>
        </w:rPr>
        <w:t>s properties were Listed Buildings and others we</w:t>
      </w:r>
      <w:r w:rsidRPr="00B973BB">
        <w:rPr>
          <w:lang w:eastAsia="en-GB"/>
        </w:rPr>
        <w:t xml:space="preserve">re in Conservation Areas. </w:t>
      </w:r>
      <w:r w:rsidRPr="00B973BB">
        <w:t xml:space="preserve">At the time of the project the majority of the stock was in a reasonable state of repair, with the RSL spending approximately £11m per year on maintenance/refurbishment and a further £25m on new build. The RSL had a comprehensive asset management database, including an up to date condition survey of their stock, and had maintenance/refurbishment plans in place for general improvements over a 5, 10 and 30 year period. The RSL also had detailed contingency plans to deal with flooding events. For logistical reasons the fieldwork was limited to a sample of the RSL’s housing, of 1255 properties or 31.46% of their total stock, located in a single London Borough. </w:t>
      </w:r>
    </w:p>
    <w:p w:rsidR="008B1B04" w:rsidRDefault="008B1B04" w:rsidP="008B1B04">
      <w:r>
        <w:t>A</w:t>
      </w:r>
      <w:r w:rsidRPr="00B973BB">
        <w:t xml:space="preserve"> series of </w:t>
      </w:r>
      <w:r>
        <w:t>facilitated</w:t>
      </w:r>
      <w:r w:rsidRPr="00B973BB">
        <w:t xml:space="preserve"> workshops, semi-structured interviews, building surveys of archetype housing units</w:t>
      </w:r>
      <w:r w:rsidR="00CF53E5">
        <w:t xml:space="preserve"> (undertaken by </w:t>
      </w:r>
      <w:r w:rsidR="009027D6">
        <w:t xml:space="preserve">the RSLs </w:t>
      </w:r>
      <w:r w:rsidR="00CF53E5">
        <w:t>consultants using standard UK guidelines)</w:t>
      </w:r>
      <w:r w:rsidRPr="00B973BB">
        <w:t xml:space="preserve">, building </w:t>
      </w:r>
      <w:r w:rsidRPr="00B973BB">
        <w:lastRenderedPageBreak/>
        <w:t xml:space="preserve">simulation models and life cycle costing analyses </w:t>
      </w:r>
      <w:r>
        <w:t xml:space="preserve">were used </w:t>
      </w:r>
      <w:r w:rsidRPr="00B973BB">
        <w:t>to develop and test a range of practical adaptation planning tool</w:t>
      </w:r>
      <w:r>
        <w:t>s</w:t>
      </w:r>
      <w:r w:rsidRPr="00B973BB">
        <w:t xml:space="preserve"> that could be used to integrate climate change adaptation into the built asset management process.  The field work for this project took place in 2012/13. Although the project examined both flooding and overheating for the sake of brevity only the flooding </w:t>
      </w:r>
      <w:r>
        <w:t>results are</w:t>
      </w:r>
      <w:r w:rsidRPr="00B973BB">
        <w:t xml:space="preserve"> presented here.</w:t>
      </w:r>
    </w:p>
    <w:p w:rsidR="008B1B04" w:rsidRPr="009027D6" w:rsidRDefault="008B1B04" w:rsidP="00CF53E5">
      <w:pPr>
        <w:pStyle w:val="Heading1"/>
        <w:rPr>
          <w:rFonts w:ascii="Times New Roman" w:hAnsi="Times New Roman"/>
          <w:szCs w:val="30"/>
        </w:rPr>
      </w:pPr>
      <w:r w:rsidRPr="009027D6">
        <w:rPr>
          <w:rFonts w:cs="Arial"/>
          <w:szCs w:val="30"/>
        </w:rPr>
        <w:t>Results</w:t>
      </w:r>
    </w:p>
    <w:p w:rsidR="008B1B04" w:rsidRPr="00B973BB" w:rsidRDefault="008B1B04" w:rsidP="008B1B04">
      <w:r w:rsidRPr="00B973BB">
        <w:t xml:space="preserve">The following section describes the process that the participatory action research team went through to integrate the adaptation framework (Fig 1) into the performance based built asset management model (Fig 2). </w:t>
      </w:r>
    </w:p>
    <w:p w:rsidR="008B1B04" w:rsidRPr="00B973BB" w:rsidRDefault="008B1B04" w:rsidP="008B1B04">
      <w:pPr>
        <w:outlineLvl w:val="0"/>
        <w:rPr>
          <w:rFonts w:eastAsia="Arial Unicode MS"/>
          <w:color w:val="00000A"/>
          <w:u w:color="00000A"/>
        </w:rPr>
      </w:pPr>
      <w:r w:rsidRPr="00B973BB">
        <w:rPr>
          <w:rFonts w:eastAsia="Arial Unicode MS"/>
          <w:b/>
          <w:i/>
          <w:u w:color="00000A"/>
        </w:rPr>
        <w:t>Step 1 - Identify Policy/Strategy Drivers</w:t>
      </w:r>
      <w:r>
        <w:rPr>
          <w:rFonts w:eastAsia="Arial Unicode MS"/>
          <w:b/>
          <w:i/>
          <w:u w:color="00000A"/>
        </w:rPr>
        <w:t xml:space="preserve">: </w:t>
      </w:r>
      <w:r w:rsidRPr="00B973BB">
        <w:rPr>
          <w:rFonts w:eastAsia="Arial Unicode MS"/>
          <w:color w:val="00000A"/>
          <w:u w:color="00000A"/>
        </w:rPr>
        <w:t xml:space="preserve">The first task was to establish the Critical Success Factors </w:t>
      </w:r>
      <w:r>
        <w:rPr>
          <w:rFonts w:eastAsia="Arial Unicode MS"/>
          <w:color w:val="00000A"/>
          <w:u w:color="00000A"/>
        </w:rPr>
        <w:t xml:space="preserve">(CSFs) </w:t>
      </w:r>
      <w:r w:rsidRPr="00B973BB">
        <w:rPr>
          <w:rFonts w:eastAsia="Arial Unicode MS"/>
          <w:color w:val="00000A"/>
          <w:u w:color="00000A"/>
        </w:rPr>
        <w:t>against which current and future performance would be judged. This was done through discussion with senior managers and by reference to the</w:t>
      </w:r>
      <w:r>
        <w:rPr>
          <w:rFonts w:eastAsia="Arial Unicode MS"/>
          <w:color w:val="00000A"/>
          <w:u w:color="00000A"/>
        </w:rPr>
        <w:t xml:space="preserve"> RSLs </w:t>
      </w:r>
      <w:r w:rsidRPr="00B973BB">
        <w:rPr>
          <w:rFonts w:eastAsia="Arial Unicode MS"/>
          <w:color w:val="00000A"/>
          <w:u w:color="00000A"/>
        </w:rPr>
        <w:t>strategic plan and operational documents. The RSLs approach to the quality of their housing was governed by their ‘Performance Standard’ that describe</w:t>
      </w:r>
      <w:r>
        <w:rPr>
          <w:rFonts w:eastAsia="Arial Unicode MS"/>
          <w:color w:val="00000A"/>
          <w:u w:color="00000A"/>
        </w:rPr>
        <w:t>d</w:t>
      </w:r>
      <w:r w:rsidRPr="00B973BB">
        <w:rPr>
          <w:rFonts w:eastAsia="Arial Unicode MS"/>
          <w:color w:val="00000A"/>
          <w:u w:color="00000A"/>
        </w:rPr>
        <w:t xml:space="preserve"> expectations for the quality of the stock. Although the Standard didn’t explicitly address the impact that climate change could have on a house it did establish the general principle that: </w:t>
      </w:r>
    </w:p>
    <w:p w:rsidR="008B1B04" w:rsidRDefault="008B1B04" w:rsidP="008B1B04">
      <w:pPr>
        <w:widowControl w:val="0"/>
        <w:ind w:left="567" w:right="566"/>
        <w:jc w:val="center"/>
        <w:outlineLvl w:val="0"/>
        <w:rPr>
          <w:i/>
          <w:color w:val="3A3839"/>
          <w:shd w:val="clear" w:color="auto" w:fill="FFFFFF"/>
        </w:rPr>
      </w:pPr>
      <w:r w:rsidRPr="00B973BB">
        <w:rPr>
          <w:i/>
          <w:color w:val="3A3839"/>
          <w:shd w:val="clear" w:color="auto" w:fill="FFFFFF"/>
        </w:rPr>
        <w:t>“Your home should be in good working order and fit for purpose - it should meet a certain set of standards, both inside and outside and in shared and private areas to make it a safe and healthy environment to live in.”</w:t>
      </w:r>
    </w:p>
    <w:p w:rsidR="008B1B04" w:rsidRPr="00B973BB" w:rsidRDefault="008B1B04" w:rsidP="008B1B04">
      <w:pPr>
        <w:widowControl w:val="0"/>
        <w:outlineLvl w:val="0"/>
        <w:rPr>
          <w:rFonts w:eastAsia="Arial Unicode MS"/>
          <w:color w:val="00000A"/>
          <w:u w:color="00000A"/>
        </w:rPr>
      </w:pPr>
      <w:r w:rsidRPr="00B973BB">
        <w:rPr>
          <w:rFonts w:eastAsia="Arial Unicode MS"/>
          <w:color w:val="00000A"/>
          <w:u w:color="00000A"/>
        </w:rPr>
        <w:t>The Standard also implied that the RSL would adopt a proactive approach to ensuring that its homes meet the Standard.  To this end the ‘Standard’ provided the basis from which CSF’s were derived and against w</w:t>
      </w:r>
      <w:r>
        <w:rPr>
          <w:rFonts w:eastAsia="Arial Unicode MS"/>
          <w:color w:val="00000A"/>
          <w:u w:color="00000A"/>
        </w:rPr>
        <w:t xml:space="preserve">hich the success of adaptation solutions </w:t>
      </w:r>
      <w:r w:rsidRPr="00B973BB">
        <w:rPr>
          <w:rFonts w:eastAsia="Arial Unicode MS"/>
          <w:color w:val="00000A"/>
          <w:u w:color="00000A"/>
        </w:rPr>
        <w:t xml:space="preserve">would be measured. </w:t>
      </w:r>
      <w:r>
        <w:rPr>
          <w:rFonts w:eastAsia="Arial Unicode MS"/>
          <w:color w:val="00000A"/>
          <w:u w:color="00000A"/>
        </w:rPr>
        <w:t xml:space="preserve">For flooding </w:t>
      </w:r>
      <w:r w:rsidRPr="00B973BB">
        <w:rPr>
          <w:rFonts w:eastAsia="Arial Unicode MS"/>
          <w:color w:val="00000A"/>
          <w:u w:color="00000A"/>
        </w:rPr>
        <w:t>these were:</w:t>
      </w:r>
    </w:p>
    <w:p w:rsidR="008B1B04" w:rsidRPr="00B973BB" w:rsidRDefault="008B1B04" w:rsidP="008B1B04">
      <w:pPr>
        <w:widowControl w:val="0"/>
        <w:numPr>
          <w:ilvl w:val="0"/>
          <w:numId w:val="10"/>
        </w:numPr>
        <w:overflowPunct/>
        <w:autoSpaceDE/>
        <w:autoSpaceDN/>
        <w:adjustRightInd/>
        <w:spacing w:line="276" w:lineRule="auto"/>
        <w:ind w:left="993" w:right="566"/>
        <w:contextualSpacing/>
        <w:textAlignment w:val="auto"/>
        <w:outlineLvl w:val="0"/>
        <w:rPr>
          <w:rFonts w:eastAsia="Arial Unicode MS"/>
          <w:u w:color="00000A"/>
        </w:rPr>
      </w:pPr>
      <w:r w:rsidRPr="00B973BB">
        <w:rPr>
          <w:rFonts w:eastAsia="Arial Unicode MS"/>
          <w:color w:val="00000A"/>
          <w:u w:color="00000A"/>
        </w:rPr>
        <w:t xml:space="preserve">Reduce disruption to tenants from flooding events. </w:t>
      </w:r>
      <w:r w:rsidRPr="00B973BB">
        <w:rPr>
          <w:rFonts w:eastAsia="Arial Unicode MS"/>
          <w:u w:color="00000A"/>
        </w:rPr>
        <w:t>Performance thresholds to relate to the degree of disruption that a flood event would cause to tenants.</w:t>
      </w:r>
    </w:p>
    <w:p w:rsidR="008B1B04" w:rsidRDefault="008B1B04" w:rsidP="008B1B04">
      <w:pPr>
        <w:widowControl w:val="0"/>
        <w:numPr>
          <w:ilvl w:val="0"/>
          <w:numId w:val="10"/>
        </w:numPr>
        <w:overflowPunct/>
        <w:autoSpaceDE/>
        <w:autoSpaceDN/>
        <w:adjustRightInd/>
        <w:spacing w:line="276" w:lineRule="auto"/>
        <w:ind w:left="993" w:right="566"/>
        <w:contextualSpacing/>
        <w:textAlignment w:val="auto"/>
        <w:outlineLvl w:val="0"/>
        <w:rPr>
          <w:rFonts w:eastAsia="Arial Unicode MS"/>
          <w:u w:color="00000A"/>
        </w:rPr>
      </w:pPr>
      <w:r w:rsidRPr="00B973BB">
        <w:rPr>
          <w:rFonts w:eastAsia="Arial Unicode MS"/>
          <w:color w:val="00000A"/>
          <w:u w:color="00000A"/>
        </w:rPr>
        <w:t xml:space="preserve">To continue to maintain tenant confidence and trust in the RSLs ability to deal with climate change issues. </w:t>
      </w:r>
      <w:r w:rsidRPr="00B973BB">
        <w:rPr>
          <w:rFonts w:eastAsia="Arial Unicode MS"/>
          <w:u w:color="00000A"/>
        </w:rPr>
        <w:t xml:space="preserve">Performance thresholds to be measured through the tenant satisfaction survey. </w:t>
      </w:r>
    </w:p>
    <w:p w:rsidR="008B1B04" w:rsidRDefault="008B1B04" w:rsidP="008B1B04">
      <w:pPr>
        <w:widowControl w:val="0"/>
        <w:ind w:right="566"/>
        <w:contextualSpacing/>
        <w:outlineLvl w:val="0"/>
        <w:rPr>
          <w:rFonts w:eastAsia="Arial Unicode MS"/>
          <w:u w:color="00000A"/>
        </w:rPr>
      </w:pPr>
    </w:p>
    <w:p w:rsidR="008B1B04" w:rsidRPr="00B973BB" w:rsidRDefault="008B1B04" w:rsidP="008B1B04">
      <w:r w:rsidRPr="00B973BB">
        <w:rPr>
          <w:rFonts w:eastAsia="Arial Unicode MS"/>
          <w:color w:val="00000A"/>
          <w:u w:color="00000A"/>
        </w:rPr>
        <w:t xml:space="preserve">Once the CSFs had been established a set of performance toolkits were developed to help identify adaptation needs. </w:t>
      </w:r>
    </w:p>
    <w:p w:rsidR="008B1B04" w:rsidRDefault="008B1B04" w:rsidP="008B1B04">
      <w:pPr>
        <w:widowControl w:val="0"/>
        <w:outlineLvl w:val="0"/>
        <w:rPr>
          <w:rFonts w:eastAsia="Arial Unicode MS"/>
          <w:color w:val="00000A"/>
          <w:u w:color="00000A"/>
        </w:rPr>
      </w:pPr>
      <w:r w:rsidRPr="00B973BB">
        <w:rPr>
          <w:rFonts w:eastAsia="Arial Unicode MS"/>
          <w:b/>
          <w:i/>
          <w:color w:val="00000A"/>
          <w:u w:color="00000A"/>
        </w:rPr>
        <w:t xml:space="preserve">Step 2 - </w:t>
      </w:r>
      <w:r>
        <w:rPr>
          <w:rFonts w:eastAsia="Arial Unicode MS"/>
          <w:b/>
          <w:i/>
          <w:color w:val="00000A"/>
          <w:u w:color="00000A"/>
        </w:rPr>
        <w:t xml:space="preserve">Identify Need: </w:t>
      </w:r>
      <w:r w:rsidRPr="00B973BB">
        <w:rPr>
          <w:rFonts w:eastAsia="Arial Unicode MS"/>
          <w:color w:val="00000A"/>
          <w:u w:color="00000A"/>
        </w:rPr>
        <w:t xml:space="preserve">Toolkit 1 sought to identify those properties that were located in a potential (current and future) flood zone AND were vulnerable to water ingress. This toolkit involved superimposing the RSLs properties onto flood maps using geo-referenced data and a geographical information system to identify those properties that were at potential risk of flooding. Each property was then examined in more detail (using the RSLs asset management database, Google Street View, and external street surveys) to identify the potential for water ingress assuming a 0.5 </w:t>
      </w:r>
      <w:r w:rsidRPr="00B973BB">
        <w:rPr>
          <w:rFonts w:eastAsia="Arial Unicode MS"/>
          <w:color w:val="00000A"/>
          <w:u w:color="00000A"/>
        </w:rPr>
        <w:lastRenderedPageBreak/>
        <w:t xml:space="preserve">m flood in the street immediately adjacent to the property. A combination of the potential flood risk and likelihood of water ingress into the property was used to determine the property’s level of vulnerability (Fig. 3) </w:t>
      </w:r>
    </w:p>
    <w:p w:rsidR="008B1B04" w:rsidRPr="00B973BB" w:rsidRDefault="008B1B04" w:rsidP="008B1B04">
      <w:pPr>
        <w:outlineLvl w:val="0"/>
        <w:rPr>
          <w:rFonts w:eastAsia="Arial Unicode MS"/>
          <w:color w:val="00000A"/>
          <w:u w:color="00000A"/>
        </w:rPr>
      </w:pPr>
      <w:r w:rsidRPr="00B973BB">
        <w:rPr>
          <w:rFonts w:eastAsia="Arial Unicode MS"/>
          <w:color w:val="00000A"/>
          <w:u w:color="00000A"/>
        </w:rPr>
        <w:t xml:space="preserve">Toolkit 2 sought to quantify the impact that exposure to a flood would have on the performance-in-use of those properties at risk of such an event. Assessments of the potential impact of flooding events on a sample of those properties identified as highly vulnerable to such an event was used to identify their coping capacity. A combination of the potential damage that a flood event would cause and the recovery time it would take to return the property to its pre-flood performance level was used to categorise the properties coping capacity </w:t>
      </w:r>
      <w:r w:rsidRPr="00B973BB">
        <w:rPr>
          <w:rFonts w:eastAsia="Arial Unicode MS"/>
          <w:u w:color="00000A"/>
        </w:rPr>
        <w:t xml:space="preserve">threshold </w:t>
      </w:r>
      <w:r w:rsidRPr="00B973BB">
        <w:rPr>
          <w:rFonts w:eastAsia="Arial Unicode MS"/>
          <w:color w:val="00000A"/>
          <w:u w:color="00000A"/>
        </w:rPr>
        <w:t xml:space="preserve">as Low Medium or High. </w:t>
      </w:r>
    </w:p>
    <w:tbl>
      <w:tblPr>
        <w:tblW w:w="8544" w:type="dxa"/>
        <w:tblInd w:w="1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FFFFFF"/>
        <w:tblLayout w:type="fixed"/>
        <w:tblLook w:val="0000" w:firstRow="0" w:lastRow="0" w:firstColumn="0" w:lastColumn="0" w:noHBand="0" w:noVBand="0"/>
      </w:tblPr>
      <w:tblGrid>
        <w:gridCol w:w="859"/>
        <w:gridCol w:w="146"/>
        <w:gridCol w:w="403"/>
        <w:gridCol w:w="255"/>
        <w:gridCol w:w="1021"/>
        <w:gridCol w:w="1587"/>
        <w:gridCol w:w="1424"/>
        <w:gridCol w:w="1424"/>
        <w:gridCol w:w="1425"/>
      </w:tblGrid>
      <w:tr w:rsidR="009027D6" w:rsidRPr="005F4700" w:rsidTr="009027D6">
        <w:trPr>
          <w:cantSplit/>
          <w:trHeight w:hRule="exact" w:val="446"/>
        </w:trPr>
        <w:tc>
          <w:tcPr>
            <w:tcW w:w="1005" w:type="dxa"/>
            <w:gridSpan w:val="2"/>
            <w:tcBorders>
              <w:top w:val="nil"/>
              <w:left w:val="nil"/>
              <w:bottom w:val="nil"/>
              <w:right w:val="nil"/>
            </w:tcBorders>
            <w:shd w:val="clear" w:color="auto" w:fill="FFFFFF"/>
            <w:tcMar>
              <w:top w:w="80" w:type="dxa"/>
              <w:left w:w="0" w:type="dxa"/>
              <w:bottom w:w="80" w:type="dxa"/>
              <w:right w:w="0" w:type="dxa"/>
            </w:tcMar>
          </w:tcPr>
          <w:p w:rsidR="008B1B04" w:rsidRPr="005F4700" w:rsidRDefault="008B1B04" w:rsidP="00A8234B">
            <w:pPr>
              <w:rPr>
                <w:sz w:val="20"/>
              </w:rPr>
            </w:pPr>
          </w:p>
        </w:tc>
        <w:tc>
          <w:tcPr>
            <w:tcW w:w="403" w:type="dxa"/>
            <w:tcBorders>
              <w:top w:val="nil"/>
              <w:left w:val="nil"/>
              <w:bottom w:val="nil"/>
              <w:right w:val="nil"/>
            </w:tcBorders>
            <w:shd w:val="clear" w:color="auto" w:fill="FFFFFF"/>
            <w:tcMar>
              <w:top w:w="80" w:type="dxa"/>
              <w:left w:w="0" w:type="dxa"/>
              <w:bottom w:w="80" w:type="dxa"/>
              <w:right w:w="0" w:type="dxa"/>
            </w:tcMar>
          </w:tcPr>
          <w:p w:rsidR="008B1B04" w:rsidRPr="005F4700" w:rsidRDefault="008B1B04" w:rsidP="00A8234B">
            <w:pPr>
              <w:rPr>
                <w:sz w:val="20"/>
              </w:rPr>
            </w:pPr>
          </w:p>
        </w:tc>
        <w:tc>
          <w:tcPr>
            <w:tcW w:w="1276" w:type="dxa"/>
            <w:gridSpan w:val="2"/>
            <w:tcBorders>
              <w:top w:val="nil"/>
              <w:left w:val="nil"/>
              <w:bottom w:val="nil"/>
              <w:right w:val="single" w:sz="4" w:space="0" w:color="000000"/>
            </w:tcBorders>
            <w:shd w:val="clear" w:color="auto" w:fill="FFFFFF"/>
            <w:tcMar>
              <w:top w:w="80" w:type="dxa"/>
              <w:left w:w="0" w:type="dxa"/>
              <w:bottom w:w="80" w:type="dxa"/>
              <w:right w:w="0" w:type="dxa"/>
            </w:tcMar>
          </w:tcPr>
          <w:p w:rsidR="008B1B04" w:rsidRPr="005F4700" w:rsidRDefault="008B1B04" w:rsidP="00A8234B">
            <w:pPr>
              <w:rPr>
                <w:sz w:val="20"/>
              </w:rPr>
            </w:pPr>
          </w:p>
        </w:tc>
        <w:tc>
          <w:tcPr>
            <w:tcW w:w="5860" w:type="dxa"/>
            <w:gridSpan w:val="4"/>
            <w:tcBorders>
              <w:top w:val="single" w:sz="4" w:space="0" w:color="000000"/>
              <w:left w:val="single" w:sz="4" w:space="0" w:color="000000"/>
              <w:bottom w:val="single" w:sz="6" w:space="0" w:color="000000"/>
            </w:tcBorders>
            <w:shd w:val="clear" w:color="auto" w:fill="FFFFFF"/>
            <w:tcMar>
              <w:top w:w="80" w:type="dxa"/>
              <w:left w:w="753" w:type="dxa"/>
              <w:bottom w:w="80" w:type="dxa"/>
              <w:right w:w="0" w:type="dxa"/>
            </w:tcMar>
          </w:tcPr>
          <w:p w:rsidR="008B1B04" w:rsidRPr="005F4700" w:rsidRDefault="008B1B04" w:rsidP="00A8234B">
            <w:pPr>
              <w:ind w:left="753"/>
              <w:outlineLvl w:val="0"/>
              <w:rPr>
                <w:rFonts w:eastAsia="Arial Unicode MS"/>
                <w:color w:val="00000A"/>
                <w:sz w:val="20"/>
                <w:u w:color="00000A"/>
              </w:rPr>
            </w:pPr>
            <w:r w:rsidRPr="005F4700">
              <w:rPr>
                <w:rFonts w:eastAsia="Arial Unicode MS"/>
                <w:color w:val="00000A"/>
                <w:sz w:val="20"/>
                <w:u w:color="00000A"/>
              </w:rPr>
              <w:t xml:space="preserve">Likelihood of a flood event </w:t>
            </w:r>
          </w:p>
        </w:tc>
      </w:tr>
      <w:tr w:rsidR="009027D6" w:rsidRPr="005F4700" w:rsidTr="009027D6">
        <w:trPr>
          <w:cantSplit/>
          <w:trHeight w:hRule="exact" w:val="446"/>
        </w:trPr>
        <w:tc>
          <w:tcPr>
            <w:tcW w:w="859" w:type="dxa"/>
            <w:tcBorders>
              <w:top w:val="nil"/>
              <w:left w:val="nil"/>
              <w:bottom w:val="nil"/>
              <w:right w:val="nil"/>
            </w:tcBorders>
            <w:shd w:val="clear" w:color="auto" w:fill="FFFFFF"/>
            <w:tcMar>
              <w:top w:w="80" w:type="dxa"/>
              <w:left w:w="0" w:type="dxa"/>
              <w:bottom w:w="80" w:type="dxa"/>
              <w:right w:w="0" w:type="dxa"/>
            </w:tcMar>
          </w:tcPr>
          <w:p w:rsidR="008B1B04" w:rsidRPr="005F4700" w:rsidRDefault="008B1B04" w:rsidP="00A8234B">
            <w:pPr>
              <w:rPr>
                <w:rFonts w:eastAsia="Arial Unicode MS"/>
                <w:color w:val="000000"/>
                <w:sz w:val="20"/>
              </w:rPr>
            </w:pPr>
          </w:p>
        </w:tc>
        <w:tc>
          <w:tcPr>
            <w:tcW w:w="804" w:type="dxa"/>
            <w:gridSpan w:val="3"/>
            <w:tcBorders>
              <w:top w:val="nil"/>
              <w:left w:val="nil"/>
              <w:bottom w:val="nil"/>
              <w:right w:val="nil"/>
            </w:tcBorders>
            <w:shd w:val="clear" w:color="auto" w:fill="FFFFFF"/>
            <w:tcMar>
              <w:top w:w="80" w:type="dxa"/>
              <w:left w:w="0" w:type="dxa"/>
              <w:bottom w:w="80" w:type="dxa"/>
              <w:right w:w="0" w:type="dxa"/>
            </w:tcMar>
          </w:tcPr>
          <w:p w:rsidR="008B1B04" w:rsidRPr="005F4700" w:rsidRDefault="008B1B04" w:rsidP="00A8234B">
            <w:pPr>
              <w:rPr>
                <w:sz w:val="20"/>
              </w:rPr>
            </w:pPr>
          </w:p>
        </w:tc>
        <w:tc>
          <w:tcPr>
            <w:tcW w:w="1021" w:type="dxa"/>
            <w:tcBorders>
              <w:top w:val="nil"/>
              <w:left w:val="nil"/>
              <w:bottom w:val="nil"/>
              <w:right w:val="single" w:sz="6" w:space="0" w:color="000000"/>
            </w:tcBorders>
            <w:shd w:val="clear" w:color="auto" w:fill="FFFFFF"/>
            <w:tcMar>
              <w:top w:w="80" w:type="dxa"/>
              <w:left w:w="0" w:type="dxa"/>
              <w:bottom w:w="80" w:type="dxa"/>
              <w:right w:w="0" w:type="dxa"/>
            </w:tcMar>
          </w:tcPr>
          <w:p w:rsidR="008B1B04" w:rsidRPr="005F4700" w:rsidRDefault="008B1B04" w:rsidP="00A8234B">
            <w:pPr>
              <w:rPr>
                <w:sz w:val="20"/>
              </w:rPr>
            </w:pPr>
          </w:p>
        </w:tc>
        <w:tc>
          <w:tcPr>
            <w:tcW w:w="1587" w:type="dxa"/>
            <w:tcBorders>
              <w:top w:val="single" w:sz="6" w:space="0" w:color="000000"/>
              <w:left w:val="single" w:sz="6" w:space="0" w:color="000000"/>
              <w:bottom w:val="single" w:sz="6" w:space="0" w:color="000000"/>
            </w:tcBorders>
            <w:shd w:val="clear" w:color="auto" w:fill="FFFFFF"/>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No likelihood</w:t>
            </w:r>
          </w:p>
        </w:tc>
        <w:tc>
          <w:tcPr>
            <w:tcW w:w="1424" w:type="dxa"/>
            <w:tcBorders>
              <w:top w:val="single" w:sz="6" w:space="0" w:color="000000"/>
            </w:tcBorders>
            <w:shd w:val="clear" w:color="auto" w:fill="FFFFFF"/>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Low</w:t>
            </w:r>
          </w:p>
        </w:tc>
        <w:tc>
          <w:tcPr>
            <w:tcW w:w="1424" w:type="dxa"/>
            <w:tcBorders>
              <w:top w:val="single" w:sz="6" w:space="0" w:color="000000"/>
            </w:tcBorders>
            <w:shd w:val="clear" w:color="auto" w:fill="FFFFFF"/>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Medium</w:t>
            </w:r>
          </w:p>
        </w:tc>
        <w:tc>
          <w:tcPr>
            <w:tcW w:w="1425" w:type="dxa"/>
            <w:tcBorders>
              <w:top w:val="single" w:sz="6" w:space="0" w:color="000000"/>
            </w:tcBorders>
            <w:shd w:val="clear" w:color="auto" w:fill="FFFFFF"/>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High</w:t>
            </w:r>
          </w:p>
        </w:tc>
      </w:tr>
      <w:tr w:rsidR="009027D6" w:rsidRPr="005F4700" w:rsidTr="009027D6">
        <w:trPr>
          <w:cantSplit/>
          <w:trHeight w:hRule="exact" w:val="446"/>
        </w:trPr>
        <w:tc>
          <w:tcPr>
            <w:tcW w:w="1408" w:type="dxa"/>
            <w:gridSpan w:val="3"/>
            <w:vMerge w:val="restart"/>
            <w:tcBorders>
              <w:top w:val="single" w:sz="6" w:space="0" w:color="000000"/>
              <w:bottom w:val="single" w:sz="4" w:space="0" w:color="000000"/>
            </w:tcBorders>
            <w:shd w:val="clear" w:color="auto" w:fill="FFFFFF"/>
            <w:tcMar>
              <w:top w:w="80" w:type="dxa"/>
              <w:left w:w="0" w:type="dxa"/>
              <w:bottom w:w="80" w:type="dxa"/>
              <w:right w:w="57" w:type="dxa"/>
            </w:tcMar>
            <w:vAlign w:val="center"/>
          </w:tcPr>
          <w:p w:rsidR="008B1B04" w:rsidRPr="005F4700" w:rsidRDefault="008B1B04" w:rsidP="00A8234B">
            <w:pPr>
              <w:ind w:right="57"/>
              <w:jc w:val="center"/>
              <w:outlineLvl w:val="0"/>
              <w:rPr>
                <w:rFonts w:eastAsia="Arial Unicode MS"/>
                <w:color w:val="00000A"/>
                <w:sz w:val="20"/>
                <w:u w:color="00000A"/>
              </w:rPr>
            </w:pPr>
            <w:r w:rsidRPr="005F4700">
              <w:rPr>
                <w:rFonts w:eastAsia="Arial Unicode MS"/>
                <w:color w:val="00000A"/>
                <w:sz w:val="20"/>
                <w:u w:color="00000A"/>
              </w:rPr>
              <w:t>Likelihood of water ingress to the property / damage to critical infrastructure</w:t>
            </w:r>
          </w:p>
        </w:tc>
        <w:tc>
          <w:tcPr>
            <w:tcW w:w="1276" w:type="dxa"/>
            <w:gridSpan w:val="2"/>
            <w:tcBorders>
              <w:top w:val="single" w:sz="6" w:space="0" w:color="000000"/>
              <w:bottom w:val="single" w:sz="6" w:space="0" w:color="000000"/>
            </w:tcBorders>
            <w:shd w:val="clear" w:color="auto" w:fill="FFFFFF"/>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No likelihood</w:t>
            </w:r>
          </w:p>
        </w:tc>
        <w:tc>
          <w:tcPr>
            <w:tcW w:w="1587" w:type="dxa"/>
            <w:tcBorders>
              <w:top w:val="single" w:sz="6" w:space="0" w:color="000000"/>
            </w:tcBorders>
            <w:shd w:val="clear" w:color="auto" w:fill="92D050"/>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Not vulnerable</w:t>
            </w:r>
          </w:p>
        </w:tc>
        <w:tc>
          <w:tcPr>
            <w:tcW w:w="1424" w:type="dxa"/>
            <w:shd w:val="clear" w:color="auto" w:fill="92D050"/>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Not vulnerable</w:t>
            </w:r>
          </w:p>
        </w:tc>
        <w:tc>
          <w:tcPr>
            <w:tcW w:w="1424" w:type="dxa"/>
            <w:shd w:val="clear" w:color="auto" w:fill="92D050"/>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Not vulnerable</w:t>
            </w:r>
          </w:p>
        </w:tc>
        <w:tc>
          <w:tcPr>
            <w:tcW w:w="1425" w:type="dxa"/>
            <w:shd w:val="clear" w:color="auto" w:fill="92D050"/>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Not vulnerable</w:t>
            </w:r>
          </w:p>
        </w:tc>
      </w:tr>
      <w:tr w:rsidR="009027D6" w:rsidRPr="005F4700" w:rsidTr="009027D6">
        <w:trPr>
          <w:cantSplit/>
          <w:trHeight w:hRule="exact" w:val="446"/>
        </w:trPr>
        <w:tc>
          <w:tcPr>
            <w:tcW w:w="1408" w:type="dxa"/>
            <w:gridSpan w:val="3"/>
            <w:vMerge/>
            <w:tcBorders>
              <w:top w:val="single" w:sz="6" w:space="0" w:color="000000"/>
              <w:bottom w:val="single" w:sz="4" w:space="0" w:color="000000"/>
            </w:tcBorders>
            <w:shd w:val="clear" w:color="auto" w:fill="FFFFFF"/>
          </w:tcPr>
          <w:p w:rsidR="008B1B04" w:rsidRPr="005F4700" w:rsidRDefault="008B1B04" w:rsidP="00A8234B">
            <w:pPr>
              <w:rPr>
                <w:rFonts w:eastAsia="Arial Unicode MS"/>
                <w:color w:val="000000"/>
                <w:sz w:val="20"/>
              </w:rPr>
            </w:pPr>
          </w:p>
        </w:tc>
        <w:tc>
          <w:tcPr>
            <w:tcW w:w="1276" w:type="dxa"/>
            <w:gridSpan w:val="2"/>
            <w:tcBorders>
              <w:top w:val="single" w:sz="6" w:space="0" w:color="000000"/>
              <w:bottom w:val="single" w:sz="6" w:space="0" w:color="000000"/>
            </w:tcBorders>
            <w:shd w:val="clear" w:color="auto" w:fill="FFFFFF"/>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Low</w:t>
            </w:r>
          </w:p>
        </w:tc>
        <w:tc>
          <w:tcPr>
            <w:tcW w:w="1587" w:type="dxa"/>
            <w:shd w:val="clear" w:color="auto" w:fill="92D050"/>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Not vulnerable</w:t>
            </w:r>
          </w:p>
        </w:tc>
        <w:tc>
          <w:tcPr>
            <w:tcW w:w="1424" w:type="dxa"/>
            <w:shd w:val="clear" w:color="auto" w:fill="FFFF00"/>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Low vulnerability</w:t>
            </w:r>
          </w:p>
        </w:tc>
        <w:tc>
          <w:tcPr>
            <w:tcW w:w="1424" w:type="dxa"/>
            <w:shd w:val="clear" w:color="auto" w:fill="FFFF00"/>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Low vulnerability</w:t>
            </w:r>
          </w:p>
        </w:tc>
        <w:tc>
          <w:tcPr>
            <w:tcW w:w="1425" w:type="dxa"/>
            <w:shd w:val="clear" w:color="auto" w:fill="FFFF00"/>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Low vulnerability</w:t>
            </w:r>
          </w:p>
        </w:tc>
      </w:tr>
      <w:tr w:rsidR="009027D6" w:rsidRPr="005F4700" w:rsidTr="009027D6">
        <w:trPr>
          <w:cantSplit/>
          <w:trHeight w:hRule="exact" w:val="446"/>
        </w:trPr>
        <w:tc>
          <w:tcPr>
            <w:tcW w:w="1408" w:type="dxa"/>
            <w:gridSpan w:val="3"/>
            <w:vMerge/>
            <w:tcBorders>
              <w:top w:val="single" w:sz="6" w:space="0" w:color="000000"/>
              <w:bottom w:val="single" w:sz="4" w:space="0" w:color="000000"/>
            </w:tcBorders>
            <w:shd w:val="clear" w:color="auto" w:fill="FFFFFF"/>
          </w:tcPr>
          <w:p w:rsidR="008B1B04" w:rsidRPr="005F4700" w:rsidRDefault="008B1B04" w:rsidP="00A8234B">
            <w:pPr>
              <w:rPr>
                <w:rFonts w:eastAsia="Arial Unicode MS"/>
                <w:color w:val="000000"/>
                <w:sz w:val="20"/>
              </w:rPr>
            </w:pPr>
          </w:p>
        </w:tc>
        <w:tc>
          <w:tcPr>
            <w:tcW w:w="1276" w:type="dxa"/>
            <w:gridSpan w:val="2"/>
            <w:tcBorders>
              <w:top w:val="single" w:sz="6" w:space="0" w:color="000000"/>
            </w:tcBorders>
            <w:shd w:val="clear" w:color="auto" w:fill="FFFFFF"/>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Medium</w:t>
            </w:r>
          </w:p>
        </w:tc>
        <w:tc>
          <w:tcPr>
            <w:tcW w:w="1587" w:type="dxa"/>
            <w:shd w:val="clear" w:color="auto" w:fill="92D050"/>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Not vulnerable</w:t>
            </w:r>
          </w:p>
        </w:tc>
        <w:tc>
          <w:tcPr>
            <w:tcW w:w="1424" w:type="dxa"/>
            <w:shd w:val="clear" w:color="auto" w:fill="FFFF00"/>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Low vulnerability</w:t>
            </w:r>
          </w:p>
        </w:tc>
        <w:tc>
          <w:tcPr>
            <w:tcW w:w="1424" w:type="dxa"/>
            <w:shd w:val="clear" w:color="auto" w:fill="FFC000"/>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Medium vulnerability</w:t>
            </w:r>
          </w:p>
        </w:tc>
        <w:tc>
          <w:tcPr>
            <w:tcW w:w="1425" w:type="dxa"/>
            <w:shd w:val="clear" w:color="auto" w:fill="FFC000"/>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Medium vulnerability</w:t>
            </w:r>
          </w:p>
        </w:tc>
      </w:tr>
      <w:tr w:rsidR="009027D6" w:rsidRPr="005F4700" w:rsidTr="009027D6">
        <w:trPr>
          <w:cantSplit/>
          <w:trHeight w:hRule="exact" w:val="446"/>
        </w:trPr>
        <w:tc>
          <w:tcPr>
            <w:tcW w:w="1408" w:type="dxa"/>
            <w:gridSpan w:val="3"/>
            <w:vMerge/>
            <w:tcBorders>
              <w:top w:val="single" w:sz="6" w:space="0" w:color="000000"/>
              <w:bottom w:val="single" w:sz="4" w:space="0" w:color="000000"/>
            </w:tcBorders>
            <w:shd w:val="clear" w:color="auto" w:fill="FFFFFF"/>
          </w:tcPr>
          <w:p w:rsidR="008B1B04" w:rsidRPr="005F4700" w:rsidRDefault="008B1B04" w:rsidP="00A8234B">
            <w:pPr>
              <w:rPr>
                <w:rFonts w:eastAsia="Arial Unicode MS"/>
                <w:color w:val="000000"/>
                <w:sz w:val="20"/>
              </w:rPr>
            </w:pPr>
          </w:p>
        </w:tc>
        <w:tc>
          <w:tcPr>
            <w:tcW w:w="1276" w:type="dxa"/>
            <w:gridSpan w:val="2"/>
            <w:tcBorders>
              <w:bottom w:val="single" w:sz="4" w:space="0" w:color="000000"/>
            </w:tcBorders>
            <w:shd w:val="clear" w:color="auto" w:fill="FFFFFF"/>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High</w:t>
            </w:r>
          </w:p>
        </w:tc>
        <w:tc>
          <w:tcPr>
            <w:tcW w:w="1587" w:type="dxa"/>
            <w:tcBorders>
              <w:bottom w:val="single" w:sz="4" w:space="0" w:color="000000"/>
            </w:tcBorders>
            <w:shd w:val="clear" w:color="auto" w:fill="92D050"/>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Not vulnerable</w:t>
            </w:r>
          </w:p>
        </w:tc>
        <w:tc>
          <w:tcPr>
            <w:tcW w:w="1424" w:type="dxa"/>
            <w:tcBorders>
              <w:bottom w:val="single" w:sz="4" w:space="0" w:color="000000"/>
            </w:tcBorders>
            <w:shd w:val="clear" w:color="auto" w:fill="FFFF00"/>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Low vulnerability</w:t>
            </w:r>
          </w:p>
        </w:tc>
        <w:tc>
          <w:tcPr>
            <w:tcW w:w="1424" w:type="dxa"/>
            <w:tcBorders>
              <w:bottom w:val="single" w:sz="4" w:space="0" w:color="000000"/>
            </w:tcBorders>
            <w:shd w:val="clear" w:color="auto" w:fill="FFC000"/>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Medium vulnerability</w:t>
            </w:r>
          </w:p>
        </w:tc>
        <w:tc>
          <w:tcPr>
            <w:tcW w:w="1425" w:type="dxa"/>
            <w:tcBorders>
              <w:bottom w:val="single" w:sz="4" w:space="0" w:color="000000"/>
            </w:tcBorders>
            <w:shd w:val="clear" w:color="auto" w:fill="FF0000"/>
            <w:tcMar>
              <w:top w:w="80" w:type="dxa"/>
              <w:left w:w="0" w:type="dxa"/>
              <w:bottom w:w="80" w:type="dxa"/>
              <w:right w:w="0" w:type="dxa"/>
            </w:tcMar>
            <w:vAlign w:val="center"/>
          </w:tcPr>
          <w:p w:rsidR="008B1B04" w:rsidRPr="005F4700" w:rsidRDefault="008B1B04" w:rsidP="00A8234B">
            <w:pPr>
              <w:jc w:val="center"/>
              <w:outlineLvl w:val="0"/>
              <w:rPr>
                <w:rFonts w:eastAsia="Arial Unicode MS"/>
                <w:color w:val="00000A"/>
                <w:sz w:val="20"/>
                <w:u w:color="00000A"/>
              </w:rPr>
            </w:pPr>
            <w:r w:rsidRPr="005F4700">
              <w:rPr>
                <w:rFonts w:eastAsia="Arial Unicode MS"/>
                <w:color w:val="00000A"/>
                <w:sz w:val="20"/>
                <w:u w:color="00000A"/>
              </w:rPr>
              <w:t>High vulnerability</w:t>
            </w:r>
          </w:p>
        </w:tc>
      </w:tr>
    </w:tbl>
    <w:p w:rsidR="008B1B04" w:rsidRPr="009027D6" w:rsidRDefault="008B1B04" w:rsidP="009027D6">
      <w:pPr>
        <w:ind w:left="1276" w:hanging="1276"/>
        <w:jc w:val="center"/>
        <w:outlineLvl w:val="0"/>
        <w:rPr>
          <w:rFonts w:eastAsia="Arial Unicode MS"/>
          <w:i/>
          <w:u w:color="00000A"/>
        </w:rPr>
      </w:pPr>
      <w:r w:rsidRPr="009027D6">
        <w:rPr>
          <w:rFonts w:eastAsia="Arial Unicode MS"/>
          <w:i/>
          <w:u w:color="00000A"/>
        </w:rPr>
        <w:t>Figure 3</w:t>
      </w:r>
      <w:r w:rsidR="004A615E">
        <w:rPr>
          <w:rFonts w:eastAsia="Arial Unicode MS"/>
          <w:i/>
          <w:u w:color="00000A"/>
        </w:rPr>
        <w:t>:</w:t>
      </w:r>
      <w:r w:rsidRPr="009027D6">
        <w:rPr>
          <w:rFonts w:eastAsia="Arial Unicode MS"/>
          <w:i/>
          <w:u w:color="00000A"/>
        </w:rPr>
        <w:t xml:space="preserve"> Typical vulnerability threshold matrix for flooding</w:t>
      </w:r>
    </w:p>
    <w:p w:rsidR="008B1B04" w:rsidRDefault="008B1B04" w:rsidP="008B1B04">
      <w:r w:rsidRPr="00B973BB">
        <w:t xml:space="preserve">The vulnerability and coping capacity </w:t>
      </w:r>
      <w:r>
        <w:t>for</w:t>
      </w:r>
      <w:r w:rsidRPr="00B973BB">
        <w:t xml:space="preserve"> each property </w:t>
      </w:r>
      <w:r>
        <w:t xml:space="preserve">identified as </w:t>
      </w:r>
      <w:r w:rsidRPr="00B973BB">
        <w:t xml:space="preserve">‘at risk’ </w:t>
      </w:r>
      <w:r>
        <w:t>of</w:t>
      </w:r>
      <w:r w:rsidRPr="00B973BB">
        <w:t xml:space="preserve"> flooding was plotted onto a </w:t>
      </w:r>
      <w:r>
        <w:t>Resilience Matrix</w:t>
      </w:r>
      <w:r w:rsidRPr="00B973BB">
        <w:t xml:space="preserve"> (Fig.</w:t>
      </w:r>
      <w:r>
        <w:t xml:space="preserve"> 4</w:t>
      </w:r>
      <w:r w:rsidRPr="00B973BB">
        <w:t xml:space="preserve">). From this figure a number of properties were identified as highly vulnerable </w:t>
      </w:r>
      <w:r>
        <w:t>with</w:t>
      </w:r>
      <w:r w:rsidRPr="00B973BB">
        <w:t xml:space="preserve"> a low coping capacity and these would be prioritized for early action in the asset management plan. Those properties that were highly vulnerable but had a Medium/Low coping capacity would be prioritized as short-medium term action in the asset management plan. Those properties that had a low vulnerability and high coping capacity would be reviewed at regular intervals as more climat</w:t>
      </w:r>
      <w:r>
        <w:t>e change data became available.</w:t>
      </w:r>
    </w:p>
    <w:p w:rsidR="008B1B04" w:rsidRDefault="008B1B04" w:rsidP="008B1B04">
      <w:pPr>
        <w:outlineLvl w:val="0"/>
        <w:rPr>
          <w:rFonts w:eastAsia="Arial Unicode MS"/>
          <w:color w:val="00000A"/>
          <w:u w:color="00000A"/>
        </w:rPr>
      </w:pPr>
      <w:r w:rsidRPr="00B973BB">
        <w:rPr>
          <w:rFonts w:eastAsia="Arial Unicode MS"/>
          <w:b/>
          <w:i/>
          <w:color w:val="00000A"/>
          <w:u w:color="00000A"/>
        </w:rPr>
        <w:t>Step 3 - Establish Cause</w:t>
      </w:r>
      <w:r>
        <w:rPr>
          <w:rFonts w:eastAsia="Arial Unicode MS"/>
          <w:b/>
          <w:i/>
          <w:color w:val="00000A"/>
          <w:u w:color="00000A"/>
        </w:rPr>
        <w:t xml:space="preserve">: </w:t>
      </w:r>
      <w:r w:rsidRPr="00B973BB">
        <w:rPr>
          <w:rFonts w:eastAsia="Arial Unicode MS"/>
          <w:color w:val="00000A"/>
          <w:u w:color="00000A"/>
        </w:rPr>
        <w:t xml:space="preserve">Internal surveys of 26 typical properties were undertaken to establish the root cause of flooding </w:t>
      </w:r>
      <w:r>
        <w:rPr>
          <w:rFonts w:eastAsia="Arial Unicode MS"/>
          <w:color w:val="00000A"/>
          <w:u w:color="00000A"/>
        </w:rPr>
        <w:t xml:space="preserve">damage </w:t>
      </w:r>
      <w:r w:rsidRPr="00B973BB">
        <w:rPr>
          <w:rFonts w:eastAsia="Arial Unicode MS"/>
          <w:color w:val="00000A"/>
          <w:u w:color="00000A"/>
        </w:rPr>
        <w:t xml:space="preserve">and to identify potential adaptation solutions. In all cases these solutions were affected by legacy design decisions made when the buildings were newly constructed or underwent major refurbishments. </w:t>
      </w:r>
    </w:p>
    <w:p w:rsidR="008B1B04" w:rsidRDefault="008B1B04" w:rsidP="008B1B04">
      <w:pPr>
        <w:outlineLvl w:val="0"/>
        <w:rPr>
          <w:rFonts w:eastAsia="Arial Unicode MS"/>
          <w:color w:val="00000A"/>
          <w:u w:color="00000A"/>
        </w:rPr>
      </w:pPr>
      <w:r>
        <w:rPr>
          <w:rFonts w:eastAsia="Arial Unicode MS"/>
          <w:color w:val="00000A"/>
          <w:u w:color="00000A"/>
        </w:rPr>
        <w:t>A</w:t>
      </w:r>
      <w:r w:rsidRPr="00B973BB">
        <w:rPr>
          <w:rFonts w:eastAsia="Arial Unicode MS"/>
          <w:color w:val="00000A"/>
          <w:u w:color="00000A"/>
        </w:rPr>
        <w:t xml:space="preserve">daptation options in the form of resistance (preventing water entering the property) and resilience (increasing speed of recovery once the property has flooded) measures were considered for </w:t>
      </w:r>
      <w:r>
        <w:rPr>
          <w:rFonts w:eastAsia="Arial Unicode MS"/>
          <w:color w:val="00000A"/>
          <w:u w:color="00000A"/>
        </w:rPr>
        <w:t>each surveyed property</w:t>
      </w:r>
      <w:r w:rsidRPr="00B973BB">
        <w:rPr>
          <w:rFonts w:eastAsia="Arial Unicode MS"/>
          <w:color w:val="00000A"/>
          <w:u w:color="00000A"/>
        </w:rPr>
        <w:t>. From the surveys it was clear that it would be very difficult (if not impossible) to prevent water ente</w:t>
      </w:r>
      <w:r>
        <w:rPr>
          <w:rFonts w:eastAsia="Arial Unicode MS"/>
          <w:color w:val="00000A"/>
          <w:u w:color="00000A"/>
        </w:rPr>
        <w:t>ring basement flats or basement</w:t>
      </w:r>
      <w:r w:rsidRPr="00B973BB">
        <w:rPr>
          <w:rFonts w:eastAsia="Arial Unicode MS"/>
          <w:color w:val="00000A"/>
          <w:u w:color="00000A"/>
        </w:rPr>
        <w:t xml:space="preserve"> floors of individual houses. Further, once water had entered the property it was likely to cause significant damage to both building components and fixtures &amp; fittings that would require significant work in order to return the property to a habitable condition. Thus the best adaptation strategy for this type of property would be to let it flood but to improve the resilience of building components (non-structural) and </w:t>
      </w:r>
      <w:r w:rsidRPr="00B973BB">
        <w:rPr>
          <w:rFonts w:eastAsia="Arial Unicode MS"/>
          <w:color w:val="00000A"/>
          <w:u w:color="00000A"/>
        </w:rPr>
        <w:lastRenderedPageBreak/>
        <w:t xml:space="preserve">fixtures &amp; fittings to shorten the time it would take to return the property to a habitable condition. </w:t>
      </w:r>
      <w:r>
        <w:rPr>
          <w:rFonts w:eastAsia="Arial Unicode MS"/>
          <w:color w:val="00000A"/>
          <w:u w:color="00000A"/>
        </w:rPr>
        <w:t xml:space="preserve">Similar analyses were undertaken for ground floor flats, houses and communal areas and a set </w:t>
      </w:r>
      <w:r w:rsidR="00A43419">
        <w:rPr>
          <w:rFonts w:eastAsia="Arial Unicode MS"/>
          <w:noProof/>
          <w:color w:val="00000A"/>
          <w:u w:color="00000A"/>
          <w:lang w:eastAsia="en-GB"/>
        </w:rPr>
        <w:object w:dxaOrig="1440" w:dyaOrig="1440">
          <v:shape id="_x0000_s1028" type="#_x0000_t75" style="position:absolute;left:0;text-align:left;margin-left:-.6pt;margin-top:64.95pt;width:430.3pt;height:249pt;z-index:251663360;mso-position-horizontal-relative:text;mso-position-vertical-relative:text" o:allowoverlap="f">
            <v:imagedata r:id="rId15" o:title=""/>
            <w10:wrap type="topAndBottom"/>
          </v:shape>
          <o:OLEObject Type="Embed" ProgID="Visio.Drawing.11" ShapeID="_x0000_s1028" DrawAspect="Content" ObjectID="_1519726259" r:id="rId16"/>
        </w:object>
      </w:r>
      <w:r>
        <w:rPr>
          <w:rFonts w:eastAsia="Arial Unicode MS"/>
          <w:color w:val="00000A"/>
          <w:u w:color="00000A"/>
        </w:rPr>
        <w:t xml:space="preserve">adaptation principles (Fig 5) were developed in the form of an </w:t>
      </w:r>
      <w:r w:rsidRPr="00EE2868">
        <w:rPr>
          <w:rFonts w:eastAsia="Arial Unicode MS"/>
          <w:b/>
          <w:i/>
          <w:color w:val="00000A"/>
          <w:u w:color="00000A"/>
        </w:rPr>
        <w:t>Action Statement (Step 4)</w:t>
      </w:r>
      <w:r>
        <w:rPr>
          <w:rFonts w:eastAsia="Arial Unicode MS"/>
          <w:color w:val="00000A"/>
          <w:u w:color="00000A"/>
        </w:rPr>
        <w:t>.</w:t>
      </w:r>
    </w:p>
    <w:p w:rsidR="00A43419" w:rsidRDefault="00A43419" w:rsidP="00A43419">
      <w:pPr>
        <w:jc w:val="center"/>
        <w:rPr>
          <w:i/>
        </w:rPr>
      </w:pPr>
      <w:r w:rsidRPr="00A43419">
        <w:rPr>
          <w:i/>
        </w:rPr>
        <w:t>Figure 4</w:t>
      </w:r>
      <w:r w:rsidR="004A615E">
        <w:rPr>
          <w:i/>
        </w:rPr>
        <w:t>:</w:t>
      </w:r>
      <w:r w:rsidRPr="00A43419">
        <w:rPr>
          <w:i/>
        </w:rPr>
        <w:t xml:space="preserve"> Generic resilience matrix and specific resilience matrix for flood risk properties</w:t>
      </w:r>
    </w:p>
    <w:p w:rsidR="008B1B04" w:rsidRPr="00B973BB" w:rsidRDefault="008B1B04" w:rsidP="008B1B04">
      <w:pPr>
        <w:outlineLvl w:val="0"/>
        <w:rPr>
          <w:rFonts w:eastAsia="Arial Unicode MS"/>
          <w:color w:val="00000A"/>
          <w:u w:color="00000A"/>
        </w:rPr>
      </w:pPr>
      <w:r w:rsidRPr="004339EE">
        <w:rPr>
          <w:rFonts w:eastAsia="Arial Unicode MS"/>
          <w:noProof/>
          <w:color w:val="00000A"/>
          <w:sz w:val="24"/>
          <w:szCs w:val="24"/>
          <w:u w:color="00000A"/>
          <w:lang w:eastAsia="en-GB"/>
        </w:rPr>
        <mc:AlternateContent>
          <mc:Choice Requires="wps">
            <w:drawing>
              <wp:anchor distT="0" distB="0" distL="114300" distR="114300" simplePos="0" relativeHeight="251661312" behindDoc="0" locked="0" layoutInCell="1" allowOverlap="1" wp14:anchorId="6D84E30B" wp14:editId="1E0721C5">
                <wp:simplePos x="0" y="0"/>
                <wp:positionH relativeFrom="margin">
                  <wp:align>right</wp:align>
                </wp:positionH>
                <wp:positionV relativeFrom="paragraph">
                  <wp:posOffset>9525</wp:posOffset>
                </wp:positionV>
                <wp:extent cx="5372100" cy="1448156"/>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372100" cy="1448156"/>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B1B04" w:rsidRDefault="008B1B04" w:rsidP="008B1B04">
                            <w:pPr>
                              <w:spacing w:after="0"/>
                              <w:jc w:val="center"/>
                              <w:outlineLvl w:val="0"/>
                              <w:rPr>
                                <w:rFonts w:eastAsia="Arial Unicode MS"/>
                                <w:color w:val="00000A"/>
                                <w:sz w:val="24"/>
                                <w:szCs w:val="24"/>
                                <w:u w:color="00000A"/>
                                <w:lang w:val="en-US"/>
                              </w:rPr>
                            </w:pPr>
                            <w:r w:rsidRPr="00542BF0">
                              <w:rPr>
                                <w:rFonts w:eastAsia="Arial Unicode MS"/>
                                <w:color w:val="00000A"/>
                                <w:sz w:val="24"/>
                                <w:szCs w:val="24"/>
                                <w:u w:color="00000A"/>
                                <w:lang w:val="en-US"/>
                              </w:rPr>
                              <w:t>Adaptation Guiding Principles</w:t>
                            </w:r>
                          </w:p>
                          <w:p w:rsidR="008B1B04" w:rsidRPr="007D50B9" w:rsidRDefault="008B1B04" w:rsidP="008B1B04">
                            <w:pPr>
                              <w:shd w:val="clear" w:color="auto" w:fill="DBE5F1" w:themeFill="accent1" w:themeFillTint="33"/>
                              <w:spacing w:after="0"/>
                              <w:jc w:val="center"/>
                              <w:outlineLvl w:val="0"/>
                              <w:rPr>
                                <w:rFonts w:eastAsia="Arial Unicode MS"/>
                                <w:color w:val="00000A"/>
                                <w:sz w:val="24"/>
                                <w:szCs w:val="24"/>
                                <w:u w:color="00000A"/>
                                <w:lang w:val="en-US"/>
                              </w:rPr>
                            </w:pPr>
                          </w:p>
                          <w:p w:rsidR="008B1B04" w:rsidRPr="00996FD9" w:rsidRDefault="008B1B04" w:rsidP="008B1B04">
                            <w:pPr>
                              <w:numPr>
                                <w:ilvl w:val="0"/>
                                <w:numId w:val="11"/>
                              </w:numPr>
                              <w:overflowPunct/>
                              <w:autoSpaceDE/>
                              <w:autoSpaceDN/>
                              <w:adjustRightInd/>
                              <w:spacing w:after="0" w:line="276" w:lineRule="auto"/>
                              <w:ind w:left="284" w:hanging="284"/>
                              <w:contextualSpacing/>
                              <w:textAlignment w:val="auto"/>
                              <w:outlineLvl w:val="0"/>
                              <w:rPr>
                                <w:rFonts w:eastAsia="Arial Unicode MS"/>
                                <w:color w:val="00000A"/>
                                <w:sz w:val="20"/>
                                <w:u w:color="00000A"/>
                                <w:lang w:val="en-US"/>
                              </w:rPr>
                            </w:pPr>
                            <w:r w:rsidRPr="00996FD9">
                              <w:rPr>
                                <w:rFonts w:eastAsia="Arial Unicode MS"/>
                                <w:color w:val="00000A"/>
                                <w:sz w:val="20"/>
                                <w:u w:color="00000A"/>
                                <w:lang w:val="en-US"/>
                              </w:rPr>
                              <w:t xml:space="preserve">If it is economically feasible to prevent flood water entering a property then this </w:t>
                            </w:r>
                            <w:r>
                              <w:rPr>
                                <w:rFonts w:eastAsia="Arial Unicode MS"/>
                                <w:color w:val="00000A"/>
                                <w:sz w:val="20"/>
                                <w:u w:color="00000A"/>
                                <w:lang w:val="en-US"/>
                              </w:rPr>
                              <w:t>s</w:t>
                            </w:r>
                            <w:r w:rsidRPr="00996FD9">
                              <w:rPr>
                                <w:rFonts w:eastAsia="Arial Unicode MS"/>
                                <w:color w:val="00000A"/>
                                <w:sz w:val="20"/>
                                <w:u w:color="00000A"/>
                                <w:lang w:val="en-US"/>
                              </w:rPr>
                              <w:t>hould be adopted.</w:t>
                            </w:r>
                          </w:p>
                          <w:p w:rsidR="008B1B04" w:rsidRPr="00996FD9" w:rsidRDefault="008B1B04" w:rsidP="008B1B04">
                            <w:pPr>
                              <w:numPr>
                                <w:ilvl w:val="0"/>
                                <w:numId w:val="11"/>
                              </w:numPr>
                              <w:overflowPunct/>
                              <w:autoSpaceDE/>
                              <w:autoSpaceDN/>
                              <w:adjustRightInd/>
                              <w:spacing w:after="0" w:line="276" w:lineRule="auto"/>
                              <w:ind w:left="284" w:hanging="284"/>
                              <w:contextualSpacing/>
                              <w:textAlignment w:val="auto"/>
                              <w:outlineLvl w:val="0"/>
                              <w:rPr>
                                <w:rFonts w:eastAsia="Arial Unicode MS"/>
                                <w:color w:val="00000A"/>
                                <w:sz w:val="20"/>
                                <w:u w:color="00000A"/>
                                <w:lang w:val="en-US"/>
                              </w:rPr>
                            </w:pPr>
                            <w:r w:rsidRPr="00996FD9">
                              <w:rPr>
                                <w:rFonts w:eastAsia="Arial Unicode MS"/>
                                <w:color w:val="00000A"/>
                                <w:sz w:val="20"/>
                                <w:u w:color="00000A"/>
                                <w:lang w:val="en-US"/>
                              </w:rPr>
                              <w:t xml:space="preserve">Water resilient components, fixtures and fittings should be installed when flood </w:t>
                            </w:r>
                            <w:r>
                              <w:rPr>
                                <w:rFonts w:eastAsia="Arial Unicode MS"/>
                                <w:color w:val="00000A"/>
                                <w:sz w:val="20"/>
                                <w:u w:color="00000A"/>
                                <w:lang w:val="en-US"/>
                              </w:rPr>
                              <w:t>ingress is</w:t>
                            </w:r>
                            <w:r w:rsidRPr="00996FD9">
                              <w:rPr>
                                <w:rFonts w:eastAsia="Arial Unicode MS"/>
                                <w:color w:val="00000A"/>
                                <w:sz w:val="20"/>
                                <w:u w:color="00000A"/>
                                <w:lang w:val="en-US"/>
                              </w:rPr>
                              <w:t xml:space="preserve"> likely.</w:t>
                            </w:r>
                          </w:p>
                          <w:p w:rsidR="008B1B04" w:rsidRDefault="008B1B04" w:rsidP="008B1B04">
                            <w:pPr>
                              <w:numPr>
                                <w:ilvl w:val="0"/>
                                <w:numId w:val="11"/>
                              </w:numPr>
                              <w:overflowPunct/>
                              <w:autoSpaceDE/>
                              <w:autoSpaceDN/>
                              <w:adjustRightInd/>
                              <w:spacing w:after="0" w:line="276" w:lineRule="auto"/>
                              <w:ind w:left="284" w:hanging="284"/>
                              <w:contextualSpacing/>
                              <w:textAlignment w:val="auto"/>
                              <w:outlineLvl w:val="0"/>
                              <w:rPr>
                                <w:rFonts w:eastAsia="Arial Unicode MS"/>
                                <w:color w:val="00000A"/>
                                <w:sz w:val="20"/>
                                <w:u w:color="00000A"/>
                                <w:lang w:val="en-US"/>
                              </w:rPr>
                            </w:pPr>
                            <w:r w:rsidRPr="00996FD9">
                              <w:rPr>
                                <w:rFonts w:eastAsia="Arial Unicode MS"/>
                                <w:color w:val="00000A"/>
                                <w:sz w:val="20"/>
                                <w:u w:color="00000A"/>
                                <w:lang w:val="en-US"/>
                              </w:rPr>
                              <w:t>Ensure all essential services are resistant to a flooding event.</w:t>
                            </w:r>
                          </w:p>
                          <w:p w:rsidR="008B1B04" w:rsidRPr="005F4700" w:rsidRDefault="008B1B04" w:rsidP="008B1B04">
                            <w:pPr>
                              <w:numPr>
                                <w:ilvl w:val="0"/>
                                <w:numId w:val="11"/>
                              </w:numPr>
                              <w:overflowPunct/>
                              <w:autoSpaceDE/>
                              <w:autoSpaceDN/>
                              <w:adjustRightInd/>
                              <w:spacing w:after="0" w:line="276" w:lineRule="auto"/>
                              <w:ind w:left="284" w:hanging="284"/>
                              <w:contextualSpacing/>
                              <w:textAlignment w:val="auto"/>
                              <w:outlineLvl w:val="0"/>
                              <w:rPr>
                                <w:rFonts w:eastAsia="Arial Unicode MS"/>
                                <w:color w:val="00000A"/>
                                <w:sz w:val="20"/>
                                <w:u w:color="00000A"/>
                                <w:lang w:val="en-US"/>
                              </w:rPr>
                            </w:pPr>
                            <w:r w:rsidRPr="005F4700">
                              <w:rPr>
                                <w:rFonts w:eastAsia="Arial Unicode MS"/>
                                <w:color w:val="00000A"/>
                                <w:sz w:val="20"/>
                                <w:u w:color="00000A"/>
                                <w:lang w:val="en-US"/>
                              </w:rPr>
                              <w:t>Work with residents to prepare personal flood action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4E30B" id="Rectangle 6" o:spid="_x0000_s1026" style="position:absolute;left:0;text-align:left;margin-left:371.8pt;margin-top:.75pt;width:423pt;height:114.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" fillcolor="#dbe5f1 [660]" strokecolor="#243f60 [1604]" strokeweight="2pt">
                <v:textbox>
                  <w:txbxContent>
                    <w:p w:rsidR="008B1B04" w:rsidRDefault="008B1B04" w:rsidP="008B1B04">
                      <w:pPr>
                        <w:spacing w:after="0"/>
                        <w:jc w:val="center"/>
                        <w:outlineLvl w:val="0"/>
                        <w:rPr>
                          <w:rFonts w:eastAsia="Arial Unicode MS"/>
                          <w:color w:val="00000A"/>
                          <w:sz w:val="24"/>
                          <w:szCs w:val="24"/>
                          <w:u w:color="00000A"/>
                          <w:lang w:val="en-US"/>
                        </w:rPr>
                      </w:pPr>
                      <w:r w:rsidRPr="00542BF0">
                        <w:rPr>
                          <w:rFonts w:eastAsia="Arial Unicode MS"/>
                          <w:color w:val="00000A"/>
                          <w:sz w:val="24"/>
                          <w:szCs w:val="24"/>
                          <w:u w:color="00000A"/>
                          <w:lang w:val="en-US"/>
                        </w:rPr>
                        <w:t>Adaptation Guiding Principles</w:t>
                      </w:r>
                    </w:p>
                    <w:p w:rsidR="008B1B04" w:rsidRPr="007D50B9" w:rsidRDefault="008B1B04" w:rsidP="008B1B04">
                      <w:pPr>
                        <w:shd w:val="clear" w:color="auto" w:fill="DBE5F1" w:themeFill="accent1" w:themeFillTint="33"/>
                        <w:spacing w:after="0"/>
                        <w:jc w:val="center"/>
                        <w:outlineLvl w:val="0"/>
                        <w:rPr>
                          <w:rFonts w:eastAsia="Arial Unicode MS"/>
                          <w:color w:val="00000A"/>
                          <w:sz w:val="24"/>
                          <w:szCs w:val="24"/>
                          <w:u w:color="00000A"/>
                          <w:lang w:val="en-US"/>
                        </w:rPr>
                      </w:pPr>
                    </w:p>
                    <w:p w:rsidR="008B1B04" w:rsidRPr="00996FD9" w:rsidRDefault="008B1B04" w:rsidP="008B1B04">
                      <w:pPr>
                        <w:numPr>
                          <w:ilvl w:val="0"/>
                          <w:numId w:val="11"/>
                        </w:numPr>
                        <w:overflowPunct/>
                        <w:autoSpaceDE/>
                        <w:autoSpaceDN/>
                        <w:adjustRightInd/>
                        <w:spacing w:after="0" w:line="276" w:lineRule="auto"/>
                        <w:ind w:left="284" w:hanging="284"/>
                        <w:contextualSpacing/>
                        <w:textAlignment w:val="auto"/>
                        <w:outlineLvl w:val="0"/>
                        <w:rPr>
                          <w:rFonts w:eastAsia="Arial Unicode MS"/>
                          <w:color w:val="00000A"/>
                          <w:sz w:val="20"/>
                          <w:u w:color="00000A"/>
                          <w:lang w:val="en-US"/>
                        </w:rPr>
                      </w:pPr>
                      <w:r w:rsidRPr="00996FD9">
                        <w:rPr>
                          <w:rFonts w:eastAsia="Arial Unicode MS"/>
                          <w:color w:val="00000A"/>
                          <w:sz w:val="20"/>
                          <w:u w:color="00000A"/>
                          <w:lang w:val="en-US"/>
                        </w:rPr>
                        <w:t xml:space="preserve">If it is economically feasible to prevent flood water entering a property then this </w:t>
                      </w:r>
                      <w:r>
                        <w:rPr>
                          <w:rFonts w:eastAsia="Arial Unicode MS"/>
                          <w:color w:val="00000A"/>
                          <w:sz w:val="20"/>
                          <w:u w:color="00000A"/>
                          <w:lang w:val="en-US"/>
                        </w:rPr>
                        <w:t>s</w:t>
                      </w:r>
                      <w:r w:rsidRPr="00996FD9">
                        <w:rPr>
                          <w:rFonts w:eastAsia="Arial Unicode MS"/>
                          <w:color w:val="00000A"/>
                          <w:sz w:val="20"/>
                          <w:u w:color="00000A"/>
                          <w:lang w:val="en-US"/>
                        </w:rPr>
                        <w:t>hould be adopted.</w:t>
                      </w:r>
                    </w:p>
                    <w:p w:rsidR="008B1B04" w:rsidRPr="00996FD9" w:rsidRDefault="008B1B04" w:rsidP="008B1B04">
                      <w:pPr>
                        <w:numPr>
                          <w:ilvl w:val="0"/>
                          <w:numId w:val="11"/>
                        </w:numPr>
                        <w:overflowPunct/>
                        <w:autoSpaceDE/>
                        <w:autoSpaceDN/>
                        <w:adjustRightInd/>
                        <w:spacing w:after="0" w:line="276" w:lineRule="auto"/>
                        <w:ind w:left="284" w:hanging="284"/>
                        <w:contextualSpacing/>
                        <w:textAlignment w:val="auto"/>
                        <w:outlineLvl w:val="0"/>
                        <w:rPr>
                          <w:rFonts w:eastAsia="Arial Unicode MS"/>
                          <w:color w:val="00000A"/>
                          <w:sz w:val="20"/>
                          <w:u w:color="00000A"/>
                          <w:lang w:val="en-US"/>
                        </w:rPr>
                      </w:pPr>
                      <w:r w:rsidRPr="00996FD9">
                        <w:rPr>
                          <w:rFonts w:eastAsia="Arial Unicode MS"/>
                          <w:color w:val="00000A"/>
                          <w:sz w:val="20"/>
                          <w:u w:color="00000A"/>
                          <w:lang w:val="en-US"/>
                        </w:rPr>
                        <w:t xml:space="preserve">Water resilient components, fixtures and fittings should be installed when flood </w:t>
                      </w:r>
                      <w:r>
                        <w:rPr>
                          <w:rFonts w:eastAsia="Arial Unicode MS"/>
                          <w:color w:val="00000A"/>
                          <w:sz w:val="20"/>
                          <w:u w:color="00000A"/>
                          <w:lang w:val="en-US"/>
                        </w:rPr>
                        <w:t>ingress is</w:t>
                      </w:r>
                      <w:r w:rsidRPr="00996FD9">
                        <w:rPr>
                          <w:rFonts w:eastAsia="Arial Unicode MS"/>
                          <w:color w:val="00000A"/>
                          <w:sz w:val="20"/>
                          <w:u w:color="00000A"/>
                          <w:lang w:val="en-US"/>
                        </w:rPr>
                        <w:t xml:space="preserve"> likely.</w:t>
                      </w:r>
                    </w:p>
                    <w:p w:rsidR="008B1B04" w:rsidRDefault="008B1B04" w:rsidP="008B1B04">
                      <w:pPr>
                        <w:numPr>
                          <w:ilvl w:val="0"/>
                          <w:numId w:val="11"/>
                        </w:numPr>
                        <w:overflowPunct/>
                        <w:autoSpaceDE/>
                        <w:autoSpaceDN/>
                        <w:adjustRightInd/>
                        <w:spacing w:after="0" w:line="276" w:lineRule="auto"/>
                        <w:ind w:left="284" w:hanging="284"/>
                        <w:contextualSpacing/>
                        <w:textAlignment w:val="auto"/>
                        <w:outlineLvl w:val="0"/>
                        <w:rPr>
                          <w:rFonts w:eastAsia="Arial Unicode MS"/>
                          <w:color w:val="00000A"/>
                          <w:sz w:val="20"/>
                          <w:u w:color="00000A"/>
                          <w:lang w:val="en-US"/>
                        </w:rPr>
                      </w:pPr>
                      <w:r w:rsidRPr="00996FD9">
                        <w:rPr>
                          <w:rFonts w:eastAsia="Arial Unicode MS"/>
                          <w:color w:val="00000A"/>
                          <w:sz w:val="20"/>
                          <w:u w:color="00000A"/>
                          <w:lang w:val="en-US"/>
                        </w:rPr>
                        <w:t>Ensure all essential services are resistant to a flooding event.</w:t>
                      </w:r>
                    </w:p>
                    <w:p w:rsidR="008B1B04" w:rsidRPr="005F4700" w:rsidRDefault="008B1B04" w:rsidP="008B1B04">
                      <w:pPr>
                        <w:numPr>
                          <w:ilvl w:val="0"/>
                          <w:numId w:val="11"/>
                        </w:numPr>
                        <w:overflowPunct/>
                        <w:autoSpaceDE/>
                        <w:autoSpaceDN/>
                        <w:adjustRightInd/>
                        <w:spacing w:after="0" w:line="276" w:lineRule="auto"/>
                        <w:ind w:left="284" w:hanging="284"/>
                        <w:contextualSpacing/>
                        <w:textAlignment w:val="auto"/>
                        <w:outlineLvl w:val="0"/>
                        <w:rPr>
                          <w:rFonts w:eastAsia="Arial Unicode MS"/>
                          <w:color w:val="00000A"/>
                          <w:sz w:val="20"/>
                          <w:u w:color="00000A"/>
                          <w:lang w:val="en-US"/>
                        </w:rPr>
                      </w:pPr>
                      <w:r w:rsidRPr="005F4700">
                        <w:rPr>
                          <w:rFonts w:eastAsia="Arial Unicode MS"/>
                          <w:color w:val="00000A"/>
                          <w:sz w:val="20"/>
                          <w:u w:color="00000A"/>
                          <w:lang w:val="en-US"/>
                        </w:rPr>
                        <w:t>Work with residents to prepare personal flood action plans.</w:t>
                      </w:r>
                    </w:p>
                  </w:txbxContent>
                </v:textbox>
                <w10:wrap anchorx="margin"/>
              </v:rect>
            </w:pict>
          </mc:Fallback>
        </mc:AlternateContent>
      </w:r>
    </w:p>
    <w:p w:rsidR="008B1B04" w:rsidRPr="00B973BB" w:rsidRDefault="008B1B04" w:rsidP="008B1B04">
      <w:pPr>
        <w:outlineLvl w:val="0"/>
        <w:rPr>
          <w:rFonts w:eastAsia="Arial Unicode MS"/>
          <w:color w:val="00000A"/>
          <w:u w:color="00000A"/>
        </w:rPr>
      </w:pPr>
    </w:p>
    <w:p w:rsidR="008B1B04" w:rsidRDefault="008B1B04" w:rsidP="008B1B04">
      <w:pPr>
        <w:rPr>
          <w:i/>
        </w:rPr>
      </w:pPr>
    </w:p>
    <w:p w:rsidR="008B1B04" w:rsidRDefault="008B1B04" w:rsidP="008B1B04">
      <w:pPr>
        <w:rPr>
          <w:i/>
        </w:rPr>
      </w:pPr>
    </w:p>
    <w:p w:rsidR="008B1B04" w:rsidRPr="00A43419" w:rsidRDefault="008B1B04" w:rsidP="00A43419">
      <w:pPr>
        <w:jc w:val="center"/>
        <w:outlineLvl w:val="0"/>
        <w:rPr>
          <w:rFonts w:eastAsia="Arial Unicode MS"/>
          <w:i/>
          <w:color w:val="00000A"/>
          <w:u w:color="00000A"/>
        </w:rPr>
      </w:pPr>
      <w:r w:rsidRPr="00A43419">
        <w:rPr>
          <w:rFonts w:eastAsia="Arial Unicode MS"/>
          <w:i/>
          <w:color w:val="00000A"/>
          <w:u w:color="00000A"/>
        </w:rPr>
        <w:t>Figure 5</w:t>
      </w:r>
      <w:r w:rsidR="004A615E">
        <w:rPr>
          <w:rFonts w:eastAsia="Arial Unicode MS"/>
          <w:i/>
          <w:color w:val="00000A"/>
          <w:u w:color="00000A"/>
        </w:rPr>
        <w:t>:</w:t>
      </w:r>
      <w:r w:rsidRPr="00A43419">
        <w:rPr>
          <w:rFonts w:eastAsia="Arial Unicode MS"/>
          <w:i/>
          <w:color w:val="00000A"/>
          <w:u w:color="00000A"/>
        </w:rPr>
        <w:t xml:space="preserve"> Adaptation principles</w:t>
      </w:r>
    </w:p>
    <w:p w:rsidR="004A615E" w:rsidRDefault="008B1B04" w:rsidP="004A615E">
      <w:pPr>
        <w:outlineLvl w:val="0"/>
        <w:rPr>
          <w:rFonts w:eastAsia="Arial Unicode MS"/>
          <w:u w:color="00000A"/>
        </w:rPr>
      </w:pPr>
      <w:r w:rsidRPr="00B973BB">
        <w:rPr>
          <w:rFonts w:eastAsia="Arial Unicode MS"/>
          <w:b/>
          <w:i/>
          <w:color w:val="00000A"/>
          <w:u w:color="00000A"/>
        </w:rPr>
        <w:t>Step 5- Develop Solutions</w:t>
      </w:r>
      <w:r>
        <w:rPr>
          <w:rFonts w:eastAsia="Arial Unicode MS"/>
          <w:b/>
          <w:i/>
          <w:color w:val="00000A"/>
          <w:u w:color="00000A"/>
        </w:rPr>
        <w:t xml:space="preserve">: </w:t>
      </w:r>
      <w:r w:rsidRPr="00B973BB">
        <w:t xml:space="preserve">The potential </w:t>
      </w:r>
      <w:r>
        <w:t xml:space="preserve">(technical and cost/benefit) </w:t>
      </w:r>
      <w:r w:rsidRPr="00B973BB">
        <w:t xml:space="preserve">for a wide range of flood resistance and resilience measures were assessed for </w:t>
      </w:r>
      <w:r>
        <w:t xml:space="preserve">each </w:t>
      </w:r>
      <w:r w:rsidRPr="00B973BB">
        <w:t>archetype propert</w:t>
      </w:r>
      <w:r>
        <w:t>y</w:t>
      </w:r>
      <w:r w:rsidRPr="00B973BB">
        <w:t xml:space="preserve">. </w:t>
      </w:r>
      <w:r>
        <w:rPr>
          <w:rFonts w:eastAsia="Arial Unicode MS"/>
          <w:u w:color="00000A"/>
        </w:rPr>
        <w:t>A</w:t>
      </w:r>
      <w:r w:rsidRPr="00B973BB">
        <w:rPr>
          <w:rFonts w:eastAsia="Arial Unicode MS"/>
          <w:u w:color="00000A"/>
        </w:rPr>
        <w:t xml:space="preserve"> set of triggers and thresholds were developed to allow potential adaptations to be prioritised for inclusion into the built asset management plan. At the strategic level these triggers and thresholds tended to be statements of intent or desire, rather than quantified metrics </w:t>
      </w:r>
      <w:r>
        <w:rPr>
          <w:rFonts w:eastAsia="Arial Unicode MS"/>
          <w:u w:color="00000A"/>
        </w:rPr>
        <w:t>to</w:t>
      </w:r>
      <w:r w:rsidRPr="00B973BB">
        <w:rPr>
          <w:rFonts w:eastAsia="Arial Unicode MS"/>
          <w:u w:color="00000A"/>
        </w:rPr>
        <w:t xml:space="preserve"> instigate an action. </w:t>
      </w:r>
      <w:r>
        <w:rPr>
          <w:rFonts w:eastAsia="Arial Unicode MS"/>
          <w:u w:color="00000A"/>
        </w:rPr>
        <w:t xml:space="preserve">These </w:t>
      </w:r>
      <w:r w:rsidRPr="00B973BB">
        <w:rPr>
          <w:rFonts w:eastAsia="Arial Unicode MS"/>
          <w:u w:color="00000A"/>
        </w:rPr>
        <w:t xml:space="preserve">statements of intent </w:t>
      </w:r>
      <w:r>
        <w:rPr>
          <w:rFonts w:eastAsia="Arial Unicode MS"/>
          <w:u w:color="00000A"/>
        </w:rPr>
        <w:t>were</w:t>
      </w:r>
      <w:r w:rsidRPr="00B973BB">
        <w:rPr>
          <w:rFonts w:eastAsia="Arial Unicode MS"/>
          <w:u w:color="00000A"/>
        </w:rPr>
        <w:t xml:space="preserve"> related directly to the RSLs ‘Performance Standard’ and </w:t>
      </w:r>
      <w:r>
        <w:rPr>
          <w:rFonts w:eastAsia="Arial Unicode MS"/>
          <w:u w:color="00000A"/>
        </w:rPr>
        <w:t>we</w:t>
      </w:r>
      <w:r w:rsidRPr="00B973BB">
        <w:rPr>
          <w:rFonts w:eastAsia="Arial Unicode MS"/>
          <w:u w:color="00000A"/>
        </w:rPr>
        <w:t xml:space="preserve">re expressed as commitments for each quadrant of the Impact/Priority Matrix shown in Fig. </w:t>
      </w:r>
      <w:r>
        <w:rPr>
          <w:rFonts w:eastAsia="Arial Unicode MS"/>
          <w:u w:color="00000A"/>
        </w:rPr>
        <w:t>4</w:t>
      </w:r>
      <w:r w:rsidRPr="00B973BB">
        <w:rPr>
          <w:rFonts w:eastAsia="Arial Unicode MS"/>
          <w:u w:color="00000A"/>
        </w:rPr>
        <w:t xml:space="preserve"> and summarized in Table 1.</w:t>
      </w:r>
      <w:r>
        <w:rPr>
          <w:rFonts w:eastAsia="Arial Unicode MS"/>
          <w:u w:color="00000A"/>
        </w:rPr>
        <w:t xml:space="preserve"> </w:t>
      </w:r>
    </w:p>
    <w:p w:rsidR="008B1B04" w:rsidRDefault="004A615E" w:rsidP="008B1B04">
      <w:pPr>
        <w:outlineLvl w:val="0"/>
        <w:rPr>
          <w:rFonts w:eastAsia="Arial Unicode MS"/>
          <w:u w:color="00000A"/>
        </w:rPr>
      </w:pPr>
      <w:r w:rsidRPr="00B973BB">
        <w:rPr>
          <w:rFonts w:eastAsia="Arial Unicode MS"/>
          <w:u w:color="00000A"/>
        </w:rPr>
        <w:t xml:space="preserve">In addition to the generic triggers and thresholds outlined above, specific action should be taken in Year 1 of the adaptation plan to address known, current problems. Where the problems are </w:t>
      </w:r>
      <w:r w:rsidRPr="00B973BB">
        <w:rPr>
          <w:rFonts w:eastAsia="Arial Unicode MS"/>
          <w:u w:color="00000A"/>
        </w:rPr>
        <w:lastRenderedPageBreak/>
        <w:t xml:space="preserve">known, but the scale is unknown, action should be taken in the first 5 years of the adaptation plan to quantify the scale of the problem. Where there is uncertainty about the potential problem or a solution the situation should be regularly monitored. These thresholds and triggers are summarized in Table </w:t>
      </w:r>
      <w:r>
        <w:rPr>
          <w:rFonts w:eastAsia="Arial Unicode MS"/>
          <w:u w:color="00000A"/>
        </w:rPr>
        <w:t>2</w:t>
      </w:r>
      <w:r w:rsidRPr="00B973BB">
        <w:rPr>
          <w:rFonts w:eastAsia="Arial Unicode MS"/>
          <w:u w:color="00000A"/>
        </w:rPr>
        <w:t xml:space="preserve">. </w:t>
      </w:r>
    </w:p>
    <w:p w:rsidR="00A43419" w:rsidRPr="00A43419" w:rsidRDefault="00A43419" w:rsidP="00A43419">
      <w:pPr>
        <w:spacing w:after="0"/>
        <w:jc w:val="center"/>
        <w:outlineLvl w:val="0"/>
        <w:rPr>
          <w:rFonts w:eastAsia="Arial Unicode MS"/>
          <w:i/>
          <w:u w:color="00000A"/>
        </w:rPr>
      </w:pPr>
      <w:r w:rsidRPr="00A43419">
        <w:rPr>
          <w:rFonts w:eastAsia="Arial Unicode MS"/>
          <w:i/>
          <w:u w:color="00000A"/>
        </w:rPr>
        <w:t>Table 1</w:t>
      </w:r>
      <w:r w:rsidR="004A615E">
        <w:rPr>
          <w:rFonts w:eastAsia="Arial Unicode MS"/>
          <w:i/>
          <w:u w:color="00000A"/>
        </w:rPr>
        <w:t xml:space="preserve">: </w:t>
      </w:r>
      <w:r w:rsidRPr="00A43419">
        <w:rPr>
          <w:rFonts w:eastAsia="Arial Unicode MS"/>
          <w:i/>
          <w:u w:color="00000A"/>
        </w:rPr>
        <w:t>Action trigger/thresholds for flooding adaptations</w:t>
      </w:r>
    </w:p>
    <w:tbl>
      <w:tblPr>
        <w:tblStyle w:val="TableGrid"/>
        <w:tblW w:w="8501" w:type="dxa"/>
        <w:tblLook w:val="04A0" w:firstRow="1" w:lastRow="0" w:firstColumn="1" w:lastColumn="0" w:noHBand="0" w:noVBand="1"/>
      </w:tblPr>
      <w:tblGrid>
        <w:gridCol w:w="3513"/>
        <w:gridCol w:w="4988"/>
      </w:tblGrid>
      <w:tr w:rsidR="008B1B04" w:rsidRPr="00B973BB" w:rsidTr="0060762C">
        <w:trPr>
          <w:trHeight w:hRule="exact" w:val="623"/>
        </w:trPr>
        <w:tc>
          <w:tcPr>
            <w:tcW w:w="3513" w:type="dxa"/>
            <w:shd w:val="clear" w:color="auto" w:fill="DBE5F1" w:themeFill="accent1" w:themeFillTint="33"/>
          </w:tcPr>
          <w:p w:rsidR="008B1B04" w:rsidRPr="007D50B9" w:rsidRDefault="008B1B04" w:rsidP="00A8234B">
            <w:pPr>
              <w:spacing w:line="276" w:lineRule="auto"/>
              <w:outlineLvl w:val="0"/>
              <w:rPr>
                <w:rFonts w:ascii="Times New Roman" w:eastAsia="Arial Unicode MS" w:hAnsi="Times New Roman"/>
                <w:sz w:val="20"/>
                <w:szCs w:val="20"/>
                <w:u w:color="00000A"/>
              </w:rPr>
            </w:pPr>
            <w:r w:rsidRPr="007D50B9">
              <w:rPr>
                <w:rFonts w:ascii="Times New Roman" w:eastAsia="Arial Unicode MS" w:hAnsi="Times New Roman"/>
                <w:sz w:val="20"/>
                <w:szCs w:val="20"/>
                <w:u w:color="00000A"/>
              </w:rPr>
              <w:t>Resilience Quadrant</w:t>
            </w:r>
          </w:p>
        </w:tc>
        <w:tc>
          <w:tcPr>
            <w:tcW w:w="4988" w:type="dxa"/>
            <w:shd w:val="clear" w:color="auto" w:fill="DBE5F1" w:themeFill="accent1" w:themeFillTint="33"/>
          </w:tcPr>
          <w:p w:rsidR="008B1B04" w:rsidRPr="007D50B9" w:rsidRDefault="008B1B04" w:rsidP="00A8234B">
            <w:pPr>
              <w:spacing w:line="276" w:lineRule="auto"/>
              <w:outlineLvl w:val="0"/>
              <w:rPr>
                <w:rFonts w:ascii="Times New Roman" w:eastAsia="Arial Unicode MS" w:hAnsi="Times New Roman"/>
                <w:sz w:val="20"/>
                <w:szCs w:val="20"/>
                <w:u w:color="00000A"/>
              </w:rPr>
            </w:pPr>
            <w:r w:rsidRPr="007D50B9">
              <w:rPr>
                <w:rFonts w:ascii="Times New Roman" w:eastAsia="Arial Unicode MS" w:hAnsi="Times New Roman"/>
                <w:sz w:val="20"/>
                <w:szCs w:val="20"/>
                <w:u w:color="00000A"/>
              </w:rPr>
              <w:t>Action Trigger/Threshold</w:t>
            </w:r>
          </w:p>
        </w:tc>
      </w:tr>
      <w:tr w:rsidR="008B1B04" w:rsidRPr="00B973BB" w:rsidTr="0060762C">
        <w:trPr>
          <w:trHeight w:hRule="exact" w:val="623"/>
        </w:trPr>
        <w:tc>
          <w:tcPr>
            <w:tcW w:w="3513" w:type="dxa"/>
          </w:tcPr>
          <w:p w:rsidR="008B1B04" w:rsidRPr="007D50B9" w:rsidRDefault="008B1B04" w:rsidP="00A8234B">
            <w:pPr>
              <w:spacing w:line="276" w:lineRule="auto"/>
              <w:outlineLvl w:val="0"/>
              <w:rPr>
                <w:rFonts w:ascii="Times New Roman" w:eastAsia="Arial Unicode MS" w:hAnsi="Times New Roman"/>
                <w:sz w:val="20"/>
                <w:szCs w:val="20"/>
                <w:u w:color="00000A"/>
              </w:rPr>
            </w:pPr>
            <w:r w:rsidRPr="007D50B9">
              <w:rPr>
                <w:rFonts w:ascii="Times New Roman" w:eastAsia="Arial Unicode MS" w:hAnsi="Times New Roman"/>
                <w:sz w:val="20"/>
                <w:szCs w:val="20"/>
                <w:u w:color="00000A"/>
              </w:rPr>
              <w:t>High Vulnerability / Low Coping Capacity</w:t>
            </w:r>
          </w:p>
        </w:tc>
        <w:tc>
          <w:tcPr>
            <w:tcW w:w="4988" w:type="dxa"/>
          </w:tcPr>
          <w:p w:rsidR="008B1B04" w:rsidRPr="007D50B9" w:rsidRDefault="008B1B04" w:rsidP="00A8234B">
            <w:pPr>
              <w:spacing w:line="276" w:lineRule="auto"/>
              <w:outlineLvl w:val="0"/>
              <w:rPr>
                <w:rFonts w:ascii="Times New Roman" w:eastAsia="Arial Unicode MS" w:hAnsi="Times New Roman"/>
                <w:sz w:val="20"/>
                <w:szCs w:val="20"/>
                <w:u w:color="00000A"/>
              </w:rPr>
            </w:pPr>
            <w:r w:rsidRPr="007D50B9">
              <w:rPr>
                <w:rFonts w:ascii="Times New Roman" w:eastAsia="Arial Unicode MS" w:hAnsi="Times New Roman"/>
                <w:sz w:val="20"/>
                <w:szCs w:val="20"/>
                <w:u w:color="00000A"/>
              </w:rPr>
              <w:t>Take action to improve resistance and/or resilience in the next 5 years.</w:t>
            </w:r>
          </w:p>
        </w:tc>
      </w:tr>
      <w:tr w:rsidR="008B1B04" w:rsidRPr="00B973BB" w:rsidTr="0060762C">
        <w:trPr>
          <w:trHeight w:hRule="exact" w:val="623"/>
        </w:trPr>
        <w:tc>
          <w:tcPr>
            <w:tcW w:w="3513" w:type="dxa"/>
          </w:tcPr>
          <w:p w:rsidR="008B1B04" w:rsidRPr="007D50B9" w:rsidRDefault="008B1B04" w:rsidP="00A8234B">
            <w:pPr>
              <w:spacing w:line="276" w:lineRule="auto"/>
              <w:outlineLvl w:val="0"/>
              <w:rPr>
                <w:rFonts w:ascii="Times New Roman" w:eastAsia="Arial Unicode MS" w:hAnsi="Times New Roman"/>
                <w:sz w:val="20"/>
                <w:szCs w:val="20"/>
                <w:u w:color="00000A"/>
              </w:rPr>
            </w:pPr>
            <w:r w:rsidRPr="007D50B9">
              <w:rPr>
                <w:rFonts w:ascii="Times New Roman" w:eastAsia="Arial Unicode MS" w:hAnsi="Times New Roman"/>
                <w:sz w:val="20"/>
                <w:szCs w:val="20"/>
                <w:u w:color="00000A"/>
              </w:rPr>
              <w:t>High Vulnerability / High Coping Capacity</w:t>
            </w:r>
          </w:p>
        </w:tc>
        <w:tc>
          <w:tcPr>
            <w:tcW w:w="4988" w:type="dxa"/>
          </w:tcPr>
          <w:p w:rsidR="008B1B04" w:rsidRPr="007D50B9" w:rsidRDefault="008B1B04" w:rsidP="00A8234B">
            <w:pPr>
              <w:spacing w:line="276" w:lineRule="auto"/>
              <w:outlineLvl w:val="0"/>
              <w:rPr>
                <w:rFonts w:ascii="Times New Roman" w:eastAsia="Arial Unicode MS" w:hAnsi="Times New Roman"/>
                <w:sz w:val="20"/>
                <w:szCs w:val="20"/>
                <w:u w:color="00000A"/>
              </w:rPr>
            </w:pPr>
            <w:r w:rsidRPr="007D50B9">
              <w:rPr>
                <w:rFonts w:ascii="Times New Roman" w:eastAsia="Arial Unicode MS" w:hAnsi="Times New Roman"/>
                <w:sz w:val="20"/>
                <w:szCs w:val="20"/>
                <w:u w:color="00000A"/>
              </w:rPr>
              <w:t>Take action to improve resistance and/or resilience in years 6 to 10.</w:t>
            </w:r>
          </w:p>
        </w:tc>
      </w:tr>
      <w:tr w:rsidR="008B1B04" w:rsidRPr="00B973BB" w:rsidTr="0060762C">
        <w:trPr>
          <w:trHeight w:hRule="exact" w:val="623"/>
        </w:trPr>
        <w:tc>
          <w:tcPr>
            <w:tcW w:w="3513" w:type="dxa"/>
          </w:tcPr>
          <w:p w:rsidR="008B1B04" w:rsidRPr="007D50B9" w:rsidRDefault="008B1B04" w:rsidP="00A8234B">
            <w:pPr>
              <w:spacing w:line="276" w:lineRule="auto"/>
              <w:outlineLvl w:val="0"/>
              <w:rPr>
                <w:rFonts w:ascii="Times New Roman" w:eastAsia="Arial Unicode MS" w:hAnsi="Times New Roman"/>
                <w:sz w:val="20"/>
                <w:szCs w:val="20"/>
                <w:u w:color="00000A"/>
              </w:rPr>
            </w:pPr>
            <w:r w:rsidRPr="007D50B9">
              <w:rPr>
                <w:rFonts w:ascii="Times New Roman" w:eastAsia="Arial Unicode MS" w:hAnsi="Times New Roman"/>
                <w:sz w:val="20"/>
                <w:szCs w:val="20"/>
                <w:u w:color="00000A"/>
              </w:rPr>
              <w:t>Low Vulnerability / Low Coping Capacity</w:t>
            </w:r>
          </w:p>
        </w:tc>
        <w:tc>
          <w:tcPr>
            <w:tcW w:w="4988" w:type="dxa"/>
          </w:tcPr>
          <w:p w:rsidR="008B1B04" w:rsidRPr="007D50B9" w:rsidRDefault="008B1B04" w:rsidP="00A8234B">
            <w:pPr>
              <w:spacing w:line="276" w:lineRule="auto"/>
              <w:outlineLvl w:val="0"/>
              <w:rPr>
                <w:rFonts w:ascii="Times New Roman" w:eastAsia="Arial Unicode MS" w:hAnsi="Times New Roman"/>
                <w:sz w:val="20"/>
                <w:szCs w:val="20"/>
                <w:u w:color="00000A"/>
              </w:rPr>
            </w:pPr>
            <w:r w:rsidRPr="007D50B9">
              <w:rPr>
                <w:rFonts w:ascii="Times New Roman" w:eastAsia="Arial Unicode MS" w:hAnsi="Times New Roman"/>
                <w:sz w:val="20"/>
                <w:szCs w:val="20"/>
                <w:u w:color="00000A"/>
              </w:rPr>
              <w:t>Take action to improve resistance and/or resilience in years 11 to 30.</w:t>
            </w:r>
          </w:p>
        </w:tc>
      </w:tr>
      <w:tr w:rsidR="008B1B04" w:rsidRPr="00B973BB" w:rsidTr="0060762C">
        <w:trPr>
          <w:trHeight w:hRule="exact" w:val="623"/>
        </w:trPr>
        <w:tc>
          <w:tcPr>
            <w:tcW w:w="3513" w:type="dxa"/>
          </w:tcPr>
          <w:p w:rsidR="008B1B04" w:rsidRPr="007D50B9" w:rsidRDefault="008B1B04" w:rsidP="00A8234B">
            <w:pPr>
              <w:spacing w:line="276" w:lineRule="auto"/>
              <w:outlineLvl w:val="0"/>
              <w:rPr>
                <w:rFonts w:ascii="Times New Roman" w:eastAsia="Arial Unicode MS" w:hAnsi="Times New Roman"/>
                <w:sz w:val="20"/>
                <w:szCs w:val="20"/>
                <w:u w:color="00000A"/>
              </w:rPr>
            </w:pPr>
            <w:r w:rsidRPr="007D50B9">
              <w:rPr>
                <w:rFonts w:ascii="Times New Roman" w:eastAsia="Arial Unicode MS" w:hAnsi="Times New Roman"/>
                <w:sz w:val="20"/>
                <w:szCs w:val="20"/>
                <w:u w:color="00000A"/>
              </w:rPr>
              <w:t>Low Vulnerability / High Coping Capacity</w:t>
            </w:r>
          </w:p>
        </w:tc>
        <w:tc>
          <w:tcPr>
            <w:tcW w:w="4988" w:type="dxa"/>
          </w:tcPr>
          <w:p w:rsidR="008B1B04" w:rsidRPr="007D50B9" w:rsidRDefault="008B1B04" w:rsidP="00A8234B">
            <w:pPr>
              <w:spacing w:line="276" w:lineRule="auto"/>
              <w:outlineLvl w:val="0"/>
              <w:rPr>
                <w:rFonts w:ascii="Times New Roman" w:eastAsia="Arial Unicode MS" w:hAnsi="Times New Roman"/>
                <w:sz w:val="20"/>
                <w:szCs w:val="20"/>
                <w:u w:color="00000A"/>
              </w:rPr>
            </w:pPr>
            <w:r w:rsidRPr="007D50B9">
              <w:rPr>
                <w:rFonts w:ascii="Times New Roman" w:eastAsia="Arial Unicode MS" w:hAnsi="Times New Roman"/>
                <w:sz w:val="20"/>
                <w:szCs w:val="20"/>
                <w:u w:color="00000A"/>
              </w:rPr>
              <w:t>Take no action.</w:t>
            </w:r>
          </w:p>
        </w:tc>
      </w:tr>
    </w:tbl>
    <w:p w:rsidR="008B1B04" w:rsidRDefault="008B1B04" w:rsidP="008B1B04">
      <w:pPr>
        <w:outlineLvl w:val="0"/>
        <w:rPr>
          <w:rFonts w:eastAsia="Arial Unicode MS"/>
          <w:color w:val="00000A"/>
          <w:u w:color="00000A"/>
        </w:rPr>
      </w:pPr>
      <w:r w:rsidRPr="00B973BB">
        <w:rPr>
          <w:rFonts w:eastAsia="Arial Unicode MS"/>
          <w:b/>
          <w:color w:val="00000A"/>
          <w:u w:color="00000A"/>
        </w:rPr>
        <w:t>Step 7 - Adaptation Strategy</w:t>
      </w:r>
      <w:r>
        <w:rPr>
          <w:rFonts w:eastAsia="Arial Unicode MS"/>
          <w:b/>
          <w:color w:val="00000A"/>
          <w:u w:color="00000A"/>
        </w:rPr>
        <w:t xml:space="preserve">: </w:t>
      </w:r>
      <w:r w:rsidRPr="00B973BB">
        <w:rPr>
          <w:rFonts w:eastAsia="Arial Unicode MS"/>
          <w:color w:val="00000A"/>
          <w:u w:color="00000A"/>
        </w:rPr>
        <w:t xml:space="preserve">Once all the previous described steps had been completed an adaptation strategy was developed to address the potential impact of flooding both today, and in the future. A typical part of the adaptation plan is shown in Table </w:t>
      </w:r>
      <w:r>
        <w:rPr>
          <w:rFonts w:eastAsia="Arial Unicode MS"/>
          <w:color w:val="00000A"/>
          <w:u w:color="00000A"/>
        </w:rPr>
        <w:t>3</w:t>
      </w:r>
      <w:r w:rsidRPr="00B973BB">
        <w:rPr>
          <w:rFonts w:eastAsia="Arial Unicode MS"/>
          <w:color w:val="00000A"/>
          <w:u w:color="00000A"/>
        </w:rPr>
        <w:t>.</w:t>
      </w:r>
    </w:p>
    <w:p w:rsidR="00A43419" w:rsidRPr="00A43419" w:rsidRDefault="00A43419" w:rsidP="00A43419">
      <w:pPr>
        <w:spacing w:after="0"/>
        <w:jc w:val="center"/>
        <w:outlineLvl w:val="0"/>
        <w:rPr>
          <w:rFonts w:eastAsia="Arial Unicode MS"/>
          <w:i/>
          <w:u w:color="00000A"/>
        </w:rPr>
      </w:pPr>
      <w:r w:rsidRPr="00A43419">
        <w:rPr>
          <w:rFonts w:eastAsia="Arial Unicode MS"/>
          <w:i/>
          <w:u w:color="00000A"/>
        </w:rPr>
        <w:t>Table 2</w:t>
      </w:r>
      <w:r w:rsidR="004A615E">
        <w:rPr>
          <w:rFonts w:eastAsia="Arial Unicode MS"/>
          <w:i/>
          <w:u w:color="00000A"/>
        </w:rPr>
        <w:t xml:space="preserve">: </w:t>
      </w:r>
      <w:r w:rsidRPr="00A43419">
        <w:rPr>
          <w:rFonts w:eastAsia="Arial Unicode MS"/>
          <w:i/>
          <w:u w:color="00000A"/>
        </w:rPr>
        <w:t>Thresholds and triggers for action in an adaptation plan.</w:t>
      </w:r>
    </w:p>
    <w:tbl>
      <w:tblPr>
        <w:tblStyle w:val="TableGrid"/>
        <w:tblW w:w="0" w:type="auto"/>
        <w:tblLook w:val="04A0" w:firstRow="1" w:lastRow="0" w:firstColumn="1" w:lastColumn="0" w:noHBand="0" w:noVBand="1"/>
      </w:tblPr>
      <w:tblGrid>
        <w:gridCol w:w="1379"/>
        <w:gridCol w:w="4275"/>
        <w:gridCol w:w="2841"/>
      </w:tblGrid>
      <w:tr w:rsidR="008B1B04" w:rsidRPr="00B973BB" w:rsidTr="00A43419">
        <w:trPr>
          <w:trHeight w:hRule="exact" w:val="340"/>
        </w:trPr>
        <w:tc>
          <w:tcPr>
            <w:tcW w:w="1379" w:type="dxa"/>
            <w:shd w:val="clear" w:color="auto" w:fill="DBE5F1" w:themeFill="accent1" w:themeFillTint="33"/>
          </w:tcPr>
          <w:p w:rsidR="008B1B04" w:rsidRPr="007D50B9" w:rsidRDefault="008B1B04" w:rsidP="00A8234B">
            <w:pPr>
              <w:spacing w:line="276" w:lineRule="auto"/>
              <w:outlineLvl w:val="0"/>
              <w:rPr>
                <w:rFonts w:ascii="Times New Roman" w:eastAsia="Arial Unicode MS" w:hAnsi="Times New Roman"/>
                <w:i/>
                <w:sz w:val="20"/>
                <w:szCs w:val="20"/>
                <w:u w:color="00000A"/>
              </w:rPr>
            </w:pPr>
            <w:r w:rsidRPr="007D50B9">
              <w:rPr>
                <w:rFonts w:ascii="Times New Roman" w:eastAsia="Arial Unicode MS" w:hAnsi="Times New Roman"/>
                <w:i/>
                <w:sz w:val="20"/>
                <w:szCs w:val="20"/>
                <w:u w:color="00000A"/>
              </w:rPr>
              <w:t>Year to Action</w:t>
            </w:r>
          </w:p>
        </w:tc>
        <w:tc>
          <w:tcPr>
            <w:tcW w:w="4275" w:type="dxa"/>
            <w:shd w:val="clear" w:color="auto" w:fill="DBE5F1" w:themeFill="accent1" w:themeFillTint="33"/>
          </w:tcPr>
          <w:p w:rsidR="008B1B04" w:rsidRPr="007D50B9" w:rsidRDefault="008B1B04" w:rsidP="00A8234B">
            <w:pPr>
              <w:spacing w:line="276" w:lineRule="auto"/>
              <w:outlineLvl w:val="0"/>
              <w:rPr>
                <w:rFonts w:ascii="Times New Roman" w:eastAsia="Arial Unicode MS" w:hAnsi="Times New Roman"/>
                <w:i/>
                <w:sz w:val="20"/>
                <w:szCs w:val="20"/>
                <w:u w:color="00000A"/>
              </w:rPr>
            </w:pPr>
            <w:r w:rsidRPr="007D50B9">
              <w:rPr>
                <w:rFonts w:ascii="Times New Roman" w:eastAsia="Arial Unicode MS" w:hAnsi="Times New Roman"/>
                <w:i/>
                <w:sz w:val="20"/>
                <w:szCs w:val="20"/>
                <w:u w:color="00000A"/>
              </w:rPr>
              <w:t>Threshold</w:t>
            </w:r>
          </w:p>
        </w:tc>
        <w:tc>
          <w:tcPr>
            <w:tcW w:w="2841" w:type="dxa"/>
            <w:shd w:val="clear" w:color="auto" w:fill="DBE5F1" w:themeFill="accent1" w:themeFillTint="33"/>
          </w:tcPr>
          <w:p w:rsidR="008B1B04" w:rsidRPr="007D50B9" w:rsidRDefault="008B1B04" w:rsidP="00A8234B">
            <w:pPr>
              <w:spacing w:line="276" w:lineRule="auto"/>
              <w:outlineLvl w:val="0"/>
              <w:rPr>
                <w:rFonts w:ascii="Times New Roman" w:eastAsia="Arial Unicode MS" w:hAnsi="Times New Roman"/>
                <w:i/>
                <w:sz w:val="20"/>
                <w:szCs w:val="20"/>
                <w:u w:color="00000A"/>
              </w:rPr>
            </w:pPr>
            <w:r w:rsidRPr="007D50B9">
              <w:rPr>
                <w:rFonts w:ascii="Times New Roman" w:eastAsia="Arial Unicode MS" w:hAnsi="Times New Roman"/>
                <w:i/>
                <w:sz w:val="20"/>
                <w:szCs w:val="20"/>
                <w:u w:color="00000A"/>
              </w:rPr>
              <w:t>Trigger</w:t>
            </w:r>
          </w:p>
        </w:tc>
      </w:tr>
      <w:tr w:rsidR="008B1B04" w:rsidRPr="00B973BB" w:rsidTr="00A43419">
        <w:trPr>
          <w:trHeight w:hRule="exact" w:val="340"/>
        </w:trPr>
        <w:tc>
          <w:tcPr>
            <w:tcW w:w="1379" w:type="dxa"/>
          </w:tcPr>
          <w:p w:rsidR="008B1B04" w:rsidRPr="002D151E" w:rsidRDefault="008B1B04" w:rsidP="00A8234B">
            <w:pPr>
              <w:spacing w:line="276" w:lineRule="auto"/>
              <w:outlineLvl w:val="0"/>
              <w:rPr>
                <w:rFonts w:ascii="Times New Roman" w:eastAsia="Arial Unicode MS" w:hAnsi="Times New Roman"/>
                <w:sz w:val="20"/>
                <w:szCs w:val="20"/>
                <w:u w:color="00000A"/>
              </w:rPr>
            </w:pPr>
            <w:r w:rsidRPr="002D151E">
              <w:rPr>
                <w:rFonts w:ascii="Times New Roman" w:eastAsia="Arial Unicode MS" w:hAnsi="Times New Roman"/>
                <w:sz w:val="20"/>
                <w:szCs w:val="20"/>
                <w:u w:color="00000A"/>
              </w:rPr>
              <w:t>1</w:t>
            </w:r>
          </w:p>
        </w:tc>
        <w:tc>
          <w:tcPr>
            <w:tcW w:w="4275" w:type="dxa"/>
          </w:tcPr>
          <w:p w:rsidR="008B1B04" w:rsidRPr="002D151E" w:rsidRDefault="008B1B04" w:rsidP="00A8234B">
            <w:pPr>
              <w:spacing w:line="276" w:lineRule="auto"/>
              <w:outlineLvl w:val="0"/>
              <w:rPr>
                <w:rFonts w:ascii="Times New Roman" w:eastAsia="Arial Unicode MS" w:hAnsi="Times New Roman"/>
                <w:sz w:val="20"/>
                <w:szCs w:val="20"/>
                <w:u w:color="00000A"/>
              </w:rPr>
            </w:pPr>
            <w:r w:rsidRPr="002D151E">
              <w:rPr>
                <w:rFonts w:ascii="Times New Roman" w:eastAsia="Arial Unicode MS" w:hAnsi="Times New Roman"/>
                <w:sz w:val="20"/>
                <w:szCs w:val="20"/>
                <w:u w:color="00000A"/>
              </w:rPr>
              <w:t>Know scale of problem and solution</w:t>
            </w:r>
          </w:p>
        </w:tc>
        <w:tc>
          <w:tcPr>
            <w:tcW w:w="2841" w:type="dxa"/>
          </w:tcPr>
          <w:p w:rsidR="008B1B04" w:rsidRPr="002D151E" w:rsidRDefault="008B1B04" w:rsidP="00A8234B">
            <w:pPr>
              <w:spacing w:line="276" w:lineRule="auto"/>
              <w:outlineLvl w:val="0"/>
              <w:rPr>
                <w:rFonts w:ascii="Times New Roman" w:eastAsia="Arial Unicode MS" w:hAnsi="Times New Roman"/>
                <w:sz w:val="20"/>
                <w:szCs w:val="20"/>
                <w:u w:color="00000A"/>
              </w:rPr>
            </w:pPr>
            <w:r w:rsidRPr="002D151E">
              <w:rPr>
                <w:rFonts w:ascii="Times New Roman" w:eastAsia="Arial Unicode MS" w:hAnsi="Times New Roman"/>
                <w:sz w:val="20"/>
                <w:szCs w:val="20"/>
                <w:u w:color="00000A"/>
              </w:rPr>
              <w:t>Known level of risk is high</w:t>
            </w:r>
          </w:p>
        </w:tc>
      </w:tr>
      <w:tr w:rsidR="008B1B04" w:rsidRPr="00B973BB" w:rsidTr="00A43419">
        <w:trPr>
          <w:trHeight w:hRule="exact" w:val="340"/>
        </w:trPr>
        <w:tc>
          <w:tcPr>
            <w:tcW w:w="1379" w:type="dxa"/>
          </w:tcPr>
          <w:p w:rsidR="008B1B04" w:rsidRPr="002D151E" w:rsidRDefault="008B1B04" w:rsidP="00A8234B">
            <w:pPr>
              <w:spacing w:line="276" w:lineRule="auto"/>
              <w:outlineLvl w:val="0"/>
              <w:rPr>
                <w:rFonts w:ascii="Times New Roman" w:eastAsia="Arial Unicode MS" w:hAnsi="Times New Roman"/>
                <w:sz w:val="20"/>
                <w:szCs w:val="20"/>
                <w:u w:color="00000A"/>
              </w:rPr>
            </w:pPr>
            <w:r w:rsidRPr="002D151E">
              <w:rPr>
                <w:rFonts w:ascii="Times New Roman" w:eastAsia="Arial Unicode MS" w:hAnsi="Times New Roman"/>
                <w:sz w:val="20"/>
                <w:szCs w:val="20"/>
                <w:u w:color="00000A"/>
              </w:rPr>
              <w:t>2-5</w:t>
            </w:r>
          </w:p>
        </w:tc>
        <w:tc>
          <w:tcPr>
            <w:tcW w:w="4275" w:type="dxa"/>
          </w:tcPr>
          <w:p w:rsidR="008B1B04" w:rsidRPr="002D151E" w:rsidRDefault="008B1B04" w:rsidP="00A8234B">
            <w:pPr>
              <w:spacing w:line="276" w:lineRule="auto"/>
              <w:outlineLvl w:val="0"/>
              <w:rPr>
                <w:rFonts w:ascii="Times New Roman" w:eastAsia="Arial Unicode MS" w:hAnsi="Times New Roman"/>
                <w:sz w:val="20"/>
                <w:szCs w:val="20"/>
                <w:u w:color="00000A"/>
              </w:rPr>
            </w:pPr>
            <w:r w:rsidRPr="002D151E">
              <w:rPr>
                <w:rFonts w:ascii="Times New Roman" w:eastAsia="Arial Unicode MS" w:hAnsi="Times New Roman"/>
                <w:sz w:val="20"/>
                <w:szCs w:val="20"/>
                <w:u w:color="00000A"/>
              </w:rPr>
              <w:t>Know problem exists but don’t know scale or solution</w:t>
            </w:r>
          </w:p>
        </w:tc>
        <w:tc>
          <w:tcPr>
            <w:tcW w:w="2841" w:type="dxa"/>
          </w:tcPr>
          <w:p w:rsidR="008B1B04" w:rsidRPr="002D151E" w:rsidRDefault="008B1B04" w:rsidP="00A8234B">
            <w:pPr>
              <w:spacing w:line="276" w:lineRule="auto"/>
              <w:outlineLvl w:val="0"/>
              <w:rPr>
                <w:rFonts w:ascii="Times New Roman" w:eastAsia="Arial Unicode MS" w:hAnsi="Times New Roman"/>
                <w:sz w:val="20"/>
                <w:szCs w:val="20"/>
                <w:u w:color="00000A"/>
              </w:rPr>
            </w:pPr>
            <w:r w:rsidRPr="002D151E">
              <w:rPr>
                <w:rFonts w:ascii="Times New Roman" w:eastAsia="Arial Unicode MS" w:hAnsi="Times New Roman"/>
                <w:sz w:val="20"/>
                <w:szCs w:val="20"/>
                <w:u w:color="00000A"/>
              </w:rPr>
              <w:t>Establish level of risk</w:t>
            </w:r>
          </w:p>
        </w:tc>
      </w:tr>
      <w:tr w:rsidR="008B1B04" w:rsidRPr="00B973BB" w:rsidTr="00A43419">
        <w:trPr>
          <w:trHeight w:hRule="exact" w:val="340"/>
        </w:trPr>
        <w:tc>
          <w:tcPr>
            <w:tcW w:w="1379" w:type="dxa"/>
          </w:tcPr>
          <w:p w:rsidR="008B1B04" w:rsidRPr="002D151E" w:rsidRDefault="008B1B04" w:rsidP="00A8234B">
            <w:pPr>
              <w:spacing w:line="276" w:lineRule="auto"/>
              <w:outlineLvl w:val="0"/>
              <w:rPr>
                <w:rFonts w:ascii="Times New Roman" w:eastAsia="Arial Unicode MS" w:hAnsi="Times New Roman"/>
                <w:sz w:val="20"/>
                <w:szCs w:val="20"/>
                <w:u w:color="00000A"/>
              </w:rPr>
            </w:pPr>
            <w:r w:rsidRPr="002D151E">
              <w:rPr>
                <w:rFonts w:ascii="Times New Roman" w:eastAsia="Arial Unicode MS" w:hAnsi="Times New Roman"/>
                <w:sz w:val="20"/>
                <w:szCs w:val="20"/>
                <w:u w:color="00000A"/>
              </w:rPr>
              <w:t>6-30</w:t>
            </w:r>
          </w:p>
        </w:tc>
        <w:tc>
          <w:tcPr>
            <w:tcW w:w="4275" w:type="dxa"/>
          </w:tcPr>
          <w:p w:rsidR="008B1B04" w:rsidRPr="002D151E" w:rsidRDefault="008B1B04" w:rsidP="00A8234B">
            <w:pPr>
              <w:spacing w:line="276" w:lineRule="auto"/>
              <w:outlineLvl w:val="0"/>
              <w:rPr>
                <w:rFonts w:ascii="Times New Roman" w:eastAsia="Arial Unicode MS" w:hAnsi="Times New Roman"/>
                <w:sz w:val="20"/>
                <w:szCs w:val="20"/>
                <w:u w:color="00000A"/>
              </w:rPr>
            </w:pPr>
            <w:r w:rsidRPr="002D151E">
              <w:rPr>
                <w:rFonts w:ascii="Times New Roman" w:eastAsia="Arial Unicode MS" w:hAnsi="Times New Roman"/>
                <w:sz w:val="20"/>
                <w:szCs w:val="20"/>
                <w:u w:color="00000A"/>
              </w:rPr>
              <w:t>Unsure if problem exists. Don’t have a solution</w:t>
            </w:r>
          </w:p>
        </w:tc>
        <w:tc>
          <w:tcPr>
            <w:tcW w:w="2841" w:type="dxa"/>
          </w:tcPr>
          <w:p w:rsidR="008B1B04" w:rsidRPr="002D151E" w:rsidRDefault="008B1B04" w:rsidP="00A8234B">
            <w:pPr>
              <w:spacing w:line="276" w:lineRule="auto"/>
              <w:outlineLvl w:val="0"/>
              <w:rPr>
                <w:rFonts w:ascii="Times New Roman" w:eastAsia="Arial Unicode MS" w:hAnsi="Times New Roman"/>
                <w:sz w:val="20"/>
                <w:szCs w:val="20"/>
                <w:u w:color="00000A"/>
              </w:rPr>
            </w:pPr>
            <w:r w:rsidRPr="002D151E">
              <w:rPr>
                <w:rFonts w:ascii="Times New Roman" w:eastAsia="Arial Unicode MS" w:hAnsi="Times New Roman"/>
                <w:sz w:val="20"/>
                <w:szCs w:val="20"/>
                <w:u w:color="00000A"/>
              </w:rPr>
              <w:t>Continue to monitor risk</w:t>
            </w:r>
          </w:p>
        </w:tc>
      </w:tr>
    </w:tbl>
    <w:p w:rsidR="004A615E" w:rsidRDefault="004A615E" w:rsidP="00A43419">
      <w:pPr>
        <w:spacing w:after="0"/>
        <w:jc w:val="center"/>
        <w:outlineLvl w:val="0"/>
        <w:rPr>
          <w:rFonts w:eastAsia="Arial Unicode MS"/>
          <w:i/>
          <w:u w:color="00000A"/>
        </w:rPr>
      </w:pPr>
    </w:p>
    <w:p w:rsidR="00A43419" w:rsidRPr="00A43419" w:rsidRDefault="00A43419" w:rsidP="00A43419">
      <w:pPr>
        <w:spacing w:after="0"/>
        <w:jc w:val="center"/>
        <w:outlineLvl w:val="0"/>
        <w:rPr>
          <w:rFonts w:eastAsia="Arial Unicode MS"/>
          <w:i/>
          <w:color w:val="FF0000"/>
          <w:u w:color="00000A"/>
        </w:rPr>
      </w:pPr>
      <w:r w:rsidRPr="00A43419">
        <w:rPr>
          <w:rFonts w:eastAsia="Arial Unicode MS"/>
          <w:i/>
          <w:u w:color="00000A"/>
        </w:rPr>
        <w:t>Table 3</w:t>
      </w:r>
      <w:r w:rsidR="004A615E">
        <w:rPr>
          <w:rFonts w:eastAsia="Arial Unicode MS"/>
          <w:i/>
          <w:u w:color="00000A"/>
        </w:rPr>
        <w:t xml:space="preserve">: </w:t>
      </w:r>
      <w:r w:rsidRPr="00A43419">
        <w:rPr>
          <w:rFonts w:eastAsia="Arial Unicode MS"/>
          <w:i/>
          <w:u w:color="00000A"/>
        </w:rPr>
        <w:t>Example extracted from the adaptation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5591"/>
        <w:gridCol w:w="1425"/>
      </w:tblGrid>
      <w:tr w:rsidR="008B1B04" w:rsidRPr="00B973BB" w:rsidTr="00A43419">
        <w:trPr>
          <w:trHeight w:hRule="exact" w:val="567"/>
        </w:trPr>
        <w:tc>
          <w:tcPr>
            <w:tcW w:w="1479" w:type="dxa"/>
            <w:shd w:val="clear" w:color="auto" w:fill="DBE5F1" w:themeFill="accent1" w:themeFillTint="33"/>
          </w:tcPr>
          <w:p w:rsidR="008B1B04" w:rsidRPr="007D50B9" w:rsidRDefault="008B1B04" w:rsidP="00A8234B">
            <w:pPr>
              <w:outlineLvl w:val="0"/>
              <w:rPr>
                <w:rFonts w:eastAsia="Arial Unicode MS"/>
                <w:color w:val="00000A"/>
                <w:sz w:val="20"/>
                <w:u w:color="00000A"/>
              </w:rPr>
            </w:pPr>
            <w:r w:rsidRPr="007D50B9">
              <w:rPr>
                <w:rFonts w:eastAsia="Arial Unicode MS"/>
                <w:color w:val="00000A"/>
                <w:sz w:val="20"/>
                <w:u w:color="00000A"/>
              </w:rPr>
              <w:t>Property Type</w:t>
            </w:r>
          </w:p>
        </w:tc>
        <w:tc>
          <w:tcPr>
            <w:tcW w:w="5591" w:type="dxa"/>
            <w:shd w:val="clear" w:color="auto" w:fill="DBE5F1" w:themeFill="accent1" w:themeFillTint="33"/>
          </w:tcPr>
          <w:p w:rsidR="008B1B04" w:rsidRPr="007D50B9" w:rsidRDefault="008B1B04" w:rsidP="00A8234B">
            <w:pPr>
              <w:outlineLvl w:val="0"/>
              <w:rPr>
                <w:rFonts w:eastAsia="Arial Unicode MS"/>
                <w:color w:val="00000A"/>
                <w:sz w:val="20"/>
                <w:u w:color="00000A"/>
              </w:rPr>
            </w:pPr>
            <w:r w:rsidRPr="007D50B9">
              <w:rPr>
                <w:rFonts w:eastAsia="Arial Unicode MS"/>
                <w:color w:val="00000A"/>
                <w:sz w:val="20"/>
                <w:u w:color="00000A"/>
              </w:rPr>
              <w:t>Vulnerability - FLOODING</w:t>
            </w:r>
          </w:p>
        </w:tc>
        <w:tc>
          <w:tcPr>
            <w:tcW w:w="1425" w:type="dxa"/>
            <w:shd w:val="clear" w:color="auto" w:fill="DBE5F1" w:themeFill="accent1" w:themeFillTint="33"/>
          </w:tcPr>
          <w:p w:rsidR="008B1B04" w:rsidRPr="007D50B9" w:rsidRDefault="008B1B04" w:rsidP="00A8234B">
            <w:pPr>
              <w:outlineLvl w:val="0"/>
              <w:rPr>
                <w:rFonts w:eastAsia="Arial Unicode MS"/>
                <w:color w:val="00000A"/>
                <w:sz w:val="20"/>
                <w:u w:color="00000A"/>
              </w:rPr>
            </w:pPr>
            <w:r w:rsidRPr="007D50B9">
              <w:rPr>
                <w:rFonts w:eastAsia="Arial Unicode MS"/>
                <w:color w:val="00000A"/>
                <w:sz w:val="20"/>
                <w:u w:color="00000A"/>
              </w:rPr>
              <w:t>Timescale for Action</w:t>
            </w:r>
          </w:p>
        </w:tc>
      </w:tr>
      <w:tr w:rsidR="008B1B04" w:rsidRPr="00B973BB" w:rsidTr="00A43419">
        <w:trPr>
          <w:trHeight w:val="1408"/>
        </w:trPr>
        <w:tc>
          <w:tcPr>
            <w:tcW w:w="1479" w:type="dxa"/>
            <w:vMerge w:val="restart"/>
          </w:tcPr>
          <w:p w:rsidR="008B1B04" w:rsidRPr="007D50B9" w:rsidRDefault="008B1B04" w:rsidP="00A8234B">
            <w:pPr>
              <w:outlineLvl w:val="0"/>
              <w:rPr>
                <w:rFonts w:eastAsia="Arial Unicode MS"/>
                <w:color w:val="00000A"/>
                <w:sz w:val="20"/>
                <w:u w:color="00000A"/>
              </w:rPr>
            </w:pPr>
            <w:r w:rsidRPr="007D50B9">
              <w:rPr>
                <w:rFonts w:eastAsia="Arial Unicode MS"/>
                <w:color w:val="00000A"/>
                <w:sz w:val="20"/>
                <w:u w:color="00000A"/>
              </w:rPr>
              <w:t>Vulnerable Street Houses</w:t>
            </w:r>
          </w:p>
        </w:tc>
        <w:tc>
          <w:tcPr>
            <w:tcW w:w="5591" w:type="dxa"/>
          </w:tcPr>
          <w:p w:rsidR="008B1B04" w:rsidRPr="007D50B9" w:rsidRDefault="008B1B04" w:rsidP="00A8234B">
            <w:pPr>
              <w:spacing w:after="0"/>
              <w:outlineLvl w:val="0"/>
              <w:rPr>
                <w:rFonts w:eastAsia="Arial Unicode MS"/>
                <w:color w:val="00000A"/>
                <w:sz w:val="20"/>
                <w:u w:color="00000A"/>
              </w:rPr>
            </w:pPr>
            <w:r w:rsidRPr="007D50B9">
              <w:rPr>
                <w:rFonts w:eastAsia="Arial Unicode MS"/>
                <w:color w:val="00000A"/>
                <w:sz w:val="20"/>
                <w:u w:color="00000A"/>
              </w:rPr>
              <w:t xml:space="preserve">Where ever possible floodwater should be prevented from entering the house. Depending on the depth of any water entering the house (will depend on floor level above the street, existence of a basement etc.) resilient fixtures and fittings should be used to ensure that the house can be returned to a habitable condition in the shortest period of time. </w:t>
            </w:r>
          </w:p>
        </w:tc>
        <w:tc>
          <w:tcPr>
            <w:tcW w:w="1425" w:type="dxa"/>
          </w:tcPr>
          <w:p w:rsidR="008B1B04" w:rsidRPr="007D50B9" w:rsidRDefault="008B1B04" w:rsidP="00A8234B">
            <w:pPr>
              <w:outlineLvl w:val="0"/>
              <w:rPr>
                <w:rFonts w:eastAsia="Arial Unicode MS"/>
                <w:color w:val="00000A"/>
                <w:sz w:val="20"/>
                <w:u w:color="00000A"/>
              </w:rPr>
            </w:pPr>
          </w:p>
        </w:tc>
      </w:tr>
      <w:tr w:rsidR="008B1B04" w:rsidRPr="00B973BB" w:rsidTr="00A43419">
        <w:tc>
          <w:tcPr>
            <w:tcW w:w="1479" w:type="dxa"/>
            <w:vMerge/>
          </w:tcPr>
          <w:p w:rsidR="008B1B04" w:rsidRPr="007D50B9" w:rsidRDefault="008B1B04" w:rsidP="00A8234B">
            <w:pPr>
              <w:outlineLvl w:val="0"/>
              <w:rPr>
                <w:rFonts w:eastAsia="Arial Unicode MS"/>
                <w:color w:val="00000A"/>
                <w:sz w:val="20"/>
                <w:u w:color="00000A"/>
              </w:rPr>
            </w:pPr>
          </w:p>
        </w:tc>
        <w:tc>
          <w:tcPr>
            <w:tcW w:w="5591" w:type="dxa"/>
          </w:tcPr>
          <w:p w:rsidR="008B1B04" w:rsidRPr="007D50B9" w:rsidRDefault="008B1B04" w:rsidP="00A8234B">
            <w:pPr>
              <w:contextualSpacing/>
              <w:outlineLvl w:val="0"/>
              <w:rPr>
                <w:rFonts w:eastAsia="Arial Unicode MS"/>
                <w:color w:val="00000A"/>
                <w:sz w:val="20"/>
                <w:u w:color="00000A"/>
              </w:rPr>
            </w:pPr>
            <w:r w:rsidRPr="007D50B9">
              <w:rPr>
                <w:rFonts w:eastAsia="Arial Unicode MS"/>
                <w:color w:val="00000A"/>
                <w:sz w:val="20"/>
                <w:u w:color="00000A"/>
              </w:rPr>
              <w:t xml:space="preserve">Undertake detailed surveys of the vulnerable properties identified in this report to identify the flood resistant actions required to prevent water entering the property (including the sealing of air bricks, appropriateness of door dams, non-return valves on drainage and foul water systems etc.). Identify the impact that any floodwater entering the property would have on the post-flood recovery period. These plans should include a detailed assessment of post-flood </w:t>
            </w:r>
            <w:r w:rsidRPr="007D50B9">
              <w:rPr>
                <w:rFonts w:eastAsia="Arial Unicode MS"/>
                <w:color w:val="00000A"/>
                <w:sz w:val="20"/>
                <w:u w:color="00000A"/>
              </w:rPr>
              <w:lastRenderedPageBreak/>
              <w:t xml:space="preserve">building works and an estimate of the time to return the house to a habitable (or part habitable) condition. </w:t>
            </w:r>
          </w:p>
        </w:tc>
        <w:tc>
          <w:tcPr>
            <w:tcW w:w="1425" w:type="dxa"/>
          </w:tcPr>
          <w:p w:rsidR="008B1B04" w:rsidRPr="007D50B9" w:rsidRDefault="008B1B04" w:rsidP="00A8234B">
            <w:pPr>
              <w:outlineLvl w:val="0"/>
              <w:rPr>
                <w:rFonts w:eastAsia="Arial Unicode MS"/>
                <w:color w:val="00000A"/>
                <w:sz w:val="20"/>
                <w:u w:color="00000A"/>
              </w:rPr>
            </w:pPr>
            <w:r w:rsidRPr="007D50B9">
              <w:rPr>
                <w:rFonts w:eastAsia="Arial Unicode MS"/>
                <w:color w:val="00000A"/>
                <w:sz w:val="20"/>
                <w:u w:color="00000A"/>
              </w:rPr>
              <w:lastRenderedPageBreak/>
              <w:t>Year 2-5</w:t>
            </w:r>
          </w:p>
        </w:tc>
      </w:tr>
      <w:tr w:rsidR="008B1B04" w:rsidRPr="00B973BB" w:rsidTr="00A43419">
        <w:tc>
          <w:tcPr>
            <w:tcW w:w="1479" w:type="dxa"/>
            <w:vMerge/>
          </w:tcPr>
          <w:p w:rsidR="008B1B04" w:rsidRPr="007D50B9" w:rsidRDefault="008B1B04" w:rsidP="00A8234B">
            <w:pPr>
              <w:outlineLvl w:val="0"/>
              <w:rPr>
                <w:rFonts w:eastAsia="Arial Unicode MS"/>
                <w:color w:val="00000A"/>
                <w:sz w:val="20"/>
                <w:u w:color="00000A"/>
              </w:rPr>
            </w:pPr>
          </w:p>
        </w:tc>
        <w:tc>
          <w:tcPr>
            <w:tcW w:w="5591" w:type="dxa"/>
          </w:tcPr>
          <w:p w:rsidR="008B1B04" w:rsidRPr="007D50B9" w:rsidRDefault="008B1B04" w:rsidP="00A8234B">
            <w:pPr>
              <w:contextualSpacing/>
              <w:outlineLvl w:val="0"/>
              <w:rPr>
                <w:rFonts w:eastAsia="Arial Unicode MS"/>
                <w:color w:val="00000A"/>
                <w:sz w:val="20"/>
                <w:u w:color="00000A"/>
              </w:rPr>
            </w:pPr>
            <w:r w:rsidRPr="007D50B9">
              <w:rPr>
                <w:rFonts w:eastAsia="Arial Unicode MS"/>
                <w:color w:val="00000A"/>
                <w:sz w:val="20"/>
                <w:u w:color="00000A"/>
              </w:rPr>
              <w:t>Assess the potential of resilience measures to reduce the estimated time to return the house to a habitable (or part habitable) condition. In particular examine measures that improve the resilience of essential services, kitchen and bathroom areas. Undertake a more detailed cost/benefit analysis of these measures and implement those that are appropriate when next refurbishment is planned.</w:t>
            </w:r>
          </w:p>
        </w:tc>
        <w:tc>
          <w:tcPr>
            <w:tcW w:w="1425" w:type="dxa"/>
          </w:tcPr>
          <w:p w:rsidR="008B1B04" w:rsidRPr="007D50B9" w:rsidRDefault="008B1B04" w:rsidP="00A8234B">
            <w:pPr>
              <w:outlineLvl w:val="0"/>
              <w:rPr>
                <w:rFonts w:eastAsia="Arial Unicode MS"/>
                <w:color w:val="00000A"/>
                <w:sz w:val="20"/>
                <w:u w:color="00000A"/>
              </w:rPr>
            </w:pPr>
            <w:r w:rsidRPr="007D50B9">
              <w:rPr>
                <w:rFonts w:eastAsia="Arial Unicode MS"/>
                <w:color w:val="00000A"/>
                <w:sz w:val="20"/>
                <w:u w:color="00000A"/>
              </w:rPr>
              <w:t>Year 2-5</w:t>
            </w:r>
          </w:p>
        </w:tc>
      </w:tr>
      <w:tr w:rsidR="008B1B04" w:rsidRPr="00B973BB" w:rsidTr="00A43419">
        <w:tc>
          <w:tcPr>
            <w:tcW w:w="1479" w:type="dxa"/>
            <w:vMerge/>
          </w:tcPr>
          <w:p w:rsidR="008B1B04" w:rsidRPr="007D50B9" w:rsidRDefault="008B1B04" w:rsidP="00A8234B">
            <w:pPr>
              <w:outlineLvl w:val="0"/>
              <w:rPr>
                <w:rFonts w:eastAsia="Arial Unicode MS"/>
                <w:color w:val="00000A"/>
                <w:sz w:val="20"/>
                <w:u w:color="00000A"/>
              </w:rPr>
            </w:pPr>
          </w:p>
        </w:tc>
        <w:tc>
          <w:tcPr>
            <w:tcW w:w="5591" w:type="dxa"/>
          </w:tcPr>
          <w:p w:rsidR="008B1B04" w:rsidRPr="007D50B9" w:rsidRDefault="008B1B04" w:rsidP="00A8234B">
            <w:pPr>
              <w:contextualSpacing/>
              <w:outlineLvl w:val="0"/>
              <w:rPr>
                <w:rFonts w:eastAsia="Arial Unicode MS"/>
                <w:color w:val="00000A"/>
                <w:sz w:val="20"/>
                <w:u w:color="00000A"/>
              </w:rPr>
            </w:pPr>
            <w:r w:rsidRPr="007D50B9">
              <w:rPr>
                <w:rFonts w:eastAsia="Arial Unicode MS"/>
                <w:color w:val="00000A"/>
                <w:sz w:val="20"/>
                <w:u w:color="00000A"/>
              </w:rPr>
              <w:t xml:space="preserve">Ensure that </w:t>
            </w:r>
            <w:r>
              <w:rPr>
                <w:rFonts w:eastAsia="Arial Unicode MS"/>
                <w:color w:val="00000A"/>
                <w:sz w:val="20"/>
                <w:u w:color="00000A"/>
              </w:rPr>
              <w:t>the RSL</w:t>
            </w:r>
            <w:r w:rsidRPr="007D50B9">
              <w:rPr>
                <w:rFonts w:eastAsia="Arial Unicode MS"/>
                <w:color w:val="00000A"/>
                <w:sz w:val="20"/>
                <w:u w:color="00000A"/>
              </w:rPr>
              <w:t xml:space="preserve"> is signed up to the environment agency early warning service and develop a communications strategy that informs its residents of an impending flood events and keeps them informed of progress through the clean</w:t>
            </w:r>
            <w:r>
              <w:rPr>
                <w:rFonts w:eastAsia="Arial Unicode MS"/>
                <w:color w:val="00000A"/>
                <w:sz w:val="20"/>
                <w:u w:color="00000A"/>
              </w:rPr>
              <w:t>-</w:t>
            </w:r>
            <w:r w:rsidRPr="007D50B9">
              <w:rPr>
                <w:rFonts w:eastAsia="Arial Unicode MS"/>
                <w:color w:val="00000A"/>
                <w:sz w:val="20"/>
                <w:u w:color="00000A"/>
              </w:rPr>
              <w:t xml:space="preserve">up and repair phase. </w:t>
            </w:r>
          </w:p>
        </w:tc>
        <w:tc>
          <w:tcPr>
            <w:tcW w:w="1425" w:type="dxa"/>
          </w:tcPr>
          <w:p w:rsidR="008B1B04" w:rsidRPr="007D50B9" w:rsidRDefault="008B1B04" w:rsidP="00A8234B">
            <w:pPr>
              <w:outlineLvl w:val="0"/>
              <w:rPr>
                <w:rFonts w:eastAsia="Arial Unicode MS"/>
                <w:color w:val="00000A"/>
                <w:sz w:val="20"/>
                <w:u w:color="00000A"/>
              </w:rPr>
            </w:pPr>
            <w:r w:rsidRPr="007D50B9">
              <w:rPr>
                <w:rFonts w:eastAsia="Arial Unicode MS"/>
                <w:color w:val="00000A"/>
                <w:sz w:val="20"/>
                <w:u w:color="00000A"/>
              </w:rPr>
              <w:t>Year 1</w:t>
            </w:r>
          </w:p>
        </w:tc>
      </w:tr>
      <w:tr w:rsidR="008B1B04" w:rsidRPr="00B973BB" w:rsidTr="00A43419">
        <w:tc>
          <w:tcPr>
            <w:tcW w:w="1479" w:type="dxa"/>
            <w:vMerge/>
          </w:tcPr>
          <w:p w:rsidR="008B1B04" w:rsidRPr="007D50B9" w:rsidRDefault="008B1B04" w:rsidP="00A8234B">
            <w:pPr>
              <w:outlineLvl w:val="0"/>
              <w:rPr>
                <w:rFonts w:eastAsia="Arial Unicode MS"/>
                <w:color w:val="00000A"/>
                <w:sz w:val="20"/>
                <w:u w:color="00000A"/>
              </w:rPr>
            </w:pPr>
          </w:p>
        </w:tc>
        <w:tc>
          <w:tcPr>
            <w:tcW w:w="5591" w:type="dxa"/>
          </w:tcPr>
          <w:p w:rsidR="008B1B04" w:rsidRPr="007D50B9" w:rsidRDefault="008B1B04" w:rsidP="00A8234B">
            <w:pPr>
              <w:contextualSpacing/>
              <w:outlineLvl w:val="0"/>
              <w:rPr>
                <w:rFonts w:eastAsia="Arial Unicode MS"/>
                <w:color w:val="00000A"/>
                <w:sz w:val="20"/>
                <w:u w:color="00000A"/>
              </w:rPr>
            </w:pPr>
            <w:r w:rsidRPr="007D50B9">
              <w:rPr>
                <w:rFonts w:eastAsia="Arial Unicode MS"/>
                <w:color w:val="00000A"/>
                <w:sz w:val="20"/>
                <w:u w:color="00000A"/>
              </w:rPr>
              <w:t>Engage with the residents living in these houses to ensure that they are as prepared as possible for potential flooding events. Consider providing labour to assist residents in the removal of personal and treasured items to the upper floors of the houses.</w:t>
            </w:r>
          </w:p>
        </w:tc>
        <w:tc>
          <w:tcPr>
            <w:tcW w:w="1425" w:type="dxa"/>
          </w:tcPr>
          <w:p w:rsidR="008B1B04" w:rsidRPr="007D50B9" w:rsidRDefault="008B1B04" w:rsidP="00A8234B">
            <w:pPr>
              <w:outlineLvl w:val="0"/>
              <w:rPr>
                <w:rFonts w:eastAsia="Arial Unicode MS"/>
                <w:color w:val="00000A"/>
                <w:sz w:val="20"/>
                <w:u w:color="00000A"/>
              </w:rPr>
            </w:pPr>
            <w:r w:rsidRPr="007D50B9">
              <w:rPr>
                <w:rFonts w:eastAsia="Arial Unicode MS"/>
                <w:color w:val="00000A"/>
                <w:sz w:val="20"/>
                <w:u w:color="00000A"/>
              </w:rPr>
              <w:t>Year 1</w:t>
            </w:r>
          </w:p>
        </w:tc>
      </w:tr>
      <w:tr w:rsidR="008B1B04" w:rsidRPr="00B973BB" w:rsidTr="00A43419">
        <w:tc>
          <w:tcPr>
            <w:tcW w:w="1479" w:type="dxa"/>
            <w:vMerge/>
          </w:tcPr>
          <w:p w:rsidR="008B1B04" w:rsidRPr="007D50B9" w:rsidRDefault="008B1B04" w:rsidP="00A8234B">
            <w:pPr>
              <w:outlineLvl w:val="0"/>
              <w:rPr>
                <w:rFonts w:eastAsia="Arial Unicode MS"/>
                <w:color w:val="00000A"/>
                <w:sz w:val="20"/>
                <w:u w:color="00000A"/>
              </w:rPr>
            </w:pPr>
          </w:p>
        </w:tc>
        <w:tc>
          <w:tcPr>
            <w:tcW w:w="5591" w:type="dxa"/>
          </w:tcPr>
          <w:p w:rsidR="008B1B04" w:rsidRPr="007D50B9" w:rsidRDefault="008B1B04" w:rsidP="00A8234B">
            <w:pPr>
              <w:contextualSpacing/>
              <w:outlineLvl w:val="0"/>
              <w:rPr>
                <w:rFonts w:eastAsia="Arial Unicode MS"/>
                <w:color w:val="00000A"/>
                <w:sz w:val="20"/>
                <w:u w:color="00000A"/>
              </w:rPr>
            </w:pPr>
            <w:r w:rsidRPr="007D50B9">
              <w:rPr>
                <w:rFonts w:eastAsia="Arial Unicode MS"/>
                <w:color w:val="00000A"/>
                <w:sz w:val="20"/>
                <w:u w:color="00000A"/>
              </w:rPr>
              <w:t xml:space="preserve">Ensure that arrangements </w:t>
            </w:r>
            <w:r>
              <w:rPr>
                <w:rFonts w:eastAsia="Arial Unicode MS"/>
                <w:color w:val="00000A"/>
                <w:sz w:val="20"/>
                <w:u w:color="00000A"/>
              </w:rPr>
              <w:t xml:space="preserve">are in place </w:t>
            </w:r>
            <w:r w:rsidRPr="007D50B9">
              <w:rPr>
                <w:rFonts w:eastAsia="Arial Unicode MS"/>
                <w:color w:val="00000A"/>
                <w:sz w:val="20"/>
                <w:u w:color="00000A"/>
              </w:rPr>
              <w:t>with alternative landlords to provide temporary accommodation for those residents displaced by a flood.</w:t>
            </w:r>
          </w:p>
        </w:tc>
        <w:tc>
          <w:tcPr>
            <w:tcW w:w="1425" w:type="dxa"/>
          </w:tcPr>
          <w:p w:rsidR="008B1B04" w:rsidRPr="007D50B9" w:rsidRDefault="008B1B04" w:rsidP="00A8234B">
            <w:pPr>
              <w:outlineLvl w:val="0"/>
              <w:rPr>
                <w:rFonts w:eastAsia="Arial Unicode MS"/>
                <w:color w:val="00000A"/>
                <w:sz w:val="20"/>
                <w:u w:color="00000A"/>
              </w:rPr>
            </w:pPr>
            <w:r w:rsidRPr="007D50B9">
              <w:rPr>
                <w:rFonts w:eastAsia="Arial Unicode MS"/>
                <w:color w:val="00000A"/>
                <w:sz w:val="20"/>
                <w:u w:color="00000A"/>
              </w:rPr>
              <w:t>Year 1</w:t>
            </w:r>
          </w:p>
        </w:tc>
      </w:tr>
    </w:tbl>
    <w:p w:rsidR="008B1B04" w:rsidRPr="00412D6A" w:rsidRDefault="008B1B04" w:rsidP="00CF53E5">
      <w:pPr>
        <w:pStyle w:val="Heading1"/>
        <w:rPr>
          <w:rFonts w:cs="Arial"/>
          <w:b w:val="0"/>
          <w:sz w:val="26"/>
          <w:szCs w:val="26"/>
        </w:rPr>
      </w:pPr>
      <w:r w:rsidRPr="00412D6A">
        <w:rPr>
          <w:rFonts w:cs="Arial"/>
          <w:sz w:val="26"/>
          <w:szCs w:val="26"/>
        </w:rPr>
        <w:t>Discussion</w:t>
      </w:r>
    </w:p>
    <w:p w:rsidR="008B1B04" w:rsidRDefault="008B1B04" w:rsidP="008B1B04">
      <w:pPr>
        <w:outlineLvl w:val="0"/>
      </w:pPr>
      <w:r w:rsidRPr="00B973BB">
        <w:t xml:space="preserve">This project </w:t>
      </w:r>
      <w:r>
        <w:t xml:space="preserve">sought to test the theoretical adaption framework developed through the CREW project by developing a set of tools that could be used to integrate it into a performance based built asset management planning model. Through this process a new 10 step model for adaption planning for future climate change was developed. This model is summarised in Table 4. </w:t>
      </w:r>
    </w:p>
    <w:p w:rsidR="00A43419" w:rsidRPr="00A43419" w:rsidRDefault="00A43419" w:rsidP="00A43419">
      <w:pPr>
        <w:spacing w:after="0"/>
        <w:jc w:val="center"/>
        <w:outlineLvl w:val="0"/>
        <w:rPr>
          <w:i/>
          <w:color w:val="FF0000"/>
        </w:rPr>
      </w:pPr>
      <w:r w:rsidRPr="00A43419">
        <w:rPr>
          <w:i/>
        </w:rPr>
        <w:t>Table 4</w:t>
      </w:r>
      <w:r w:rsidR="004A615E">
        <w:rPr>
          <w:i/>
        </w:rPr>
        <w:t>: Ten</w:t>
      </w:r>
      <w:bookmarkStart w:id="1" w:name="_GoBack"/>
      <w:bookmarkEnd w:id="1"/>
      <w:r w:rsidRPr="00A43419">
        <w:rPr>
          <w:i/>
        </w:rPr>
        <w:t xml:space="preserve"> step adaptation planning model</w:t>
      </w:r>
    </w:p>
    <w:tbl>
      <w:tblPr>
        <w:tblStyle w:val="TableGrid"/>
        <w:tblW w:w="8516" w:type="dxa"/>
        <w:tblInd w:w="-5" w:type="dxa"/>
        <w:tblLayout w:type="fixed"/>
        <w:tblLook w:val="04A0" w:firstRow="1" w:lastRow="0" w:firstColumn="1" w:lastColumn="0" w:noHBand="0" w:noVBand="1"/>
      </w:tblPr>
      <w:tblGrid>
        <w:gridCol w:w="506"/>
        <w:gridCol w:w="2129"/>
        <w:gridCol w:w="5881"/>
      </w:tblGrid>
      <w:tr w:rsidR="008B1B04" w:rsidRPr="00F677AA" w:rsidTr="0060762C">
        <w:trPr>
          <w:trHeight w:val="558"/>
        </w:trPr>
        <w:tc>
          <w:tcPr>
            <w:tcW w:w="2635" w:type="dxa"/>
            <w:gridSpan w:val="2"/>
            <w:shd w:val="clear" w:color="auto" w:fill="DBE5F1" w:themeFill="accent1" w:themeFillTint="33"/>
          </w:tcPr>
          <w:p w:rsidR="008B1B04" w:rsidRPr="00F677AA" w:rsidRDefault="008B1B04" w:rsidP="00A8234B">
            <w:pPr>
              <w:tabs>
                <w:tab w:val="left" w:pos="720"/>
              </w:tabs>
              <w:suppressAutoHyphens/>
              <w:spacing w:line="276" w:lineRule="auto"/>
              <w:outlineLvl w:val="0"/>
              <w:rPr>
                <w:rFonts w:ascii="Times New Roman" w:eastAsia="Arial Unicode MS" w:hAnsi="Times New Roman"/>
                <w:b/>
                <w:sz w:val="20"/>
                <w:szCs w:val="20"/>
                <w:u w:color="00000A"/>
              </w:rPr>
            </w:pPr>
            <w:r w:rsidRPr="00F677AA">
              <w:rPr>
                <w:rFonts w:ascii="Times New Roman" w:eastAsia="Arial Unicode MS" w:hAnsi="Times New Roman"/>
                <w:b/>
                <w:sz w:val="20"/>
                <w:szCs w:val="20"/>
                <w:u w:color="00000A"/>
              </w:rPr>
              <w:t>Step</w:t>
            </w:r>
          </w:p>
        </w:tc>
        <w:tc>
          <w:tcPr>
            <w:tcW w:w="5881" w:type="dxa"/>
            <w:shd w:val="clear" w:color="auto" w:fill="DBE5F1" w:themeFill="accent1" w:themeFillTint="33"/>
          </w:tcPr>
          <w:p w:rsidR="008B1B04" w:rsidRPr="00F677AA" w:rsidRDefault="008B1B04" w:rsidP="00A8234B">
            <w:pPr>
              <w:tabs>
                <w:tab w:val="left" w:pos="720"/>
              </w:tabs>
              <w:suppressAutoHyphens/>
              <w:spacing w:line="276" w:lineRule="auto"/>
              <w:outlineLvl w:val="0"/>
              <w:rPr>
                <w:rFonts w:ascii="Times New Roman" w:eastAsia="Arial Unicode MS" w:hAnsi="Times New Roman"/>
                <w:b/>
                <w:sz w:val="20"/>
                <w:szCs w:val="20"/>
                <w:u w:color="00000A"/>
              </w:rPr>
            </w:pPr>
            <w:r w:rsidRPr="00F677AA">
              <w:rPr>
                <w:rFonts w:ascii="Times New Roman" w:eastAsia="Arial Unicode MS" w:hAnsi="Times New Roman"/>
                <w:b/>
                <w:sz w:val="20"/>
                <w:szCs w:val="20"/>
                <w:u w:color="00000A"/>
              </w:rPr>
              <w:t xml:space="preserve">Actions </w:t>
            </w:r>
          </w:p>
        </w:tc>
      </w:tr>
      <w:tr w:rsidR="008B1B04" w:rsidRPr="00F677AA" w:rsidTr="0060762C">
        <w:trPr>
          <w:trHeight w:val="1133"/>
        </w:trPr>
        <w:tc>
          <w:tcPr>
            <w:tcW w:w="506" w:type="dxa"/>
          </w:tcPr>
          <w:p w:rsidR="008B1B04" w:rsidRPr="00F677AA" w:rsidRDefault="008B1B04" w:rsidP="00A8234B">
            <w:pPr>
              <w:suppressAutoHyphens/>
              <w:spacing w:line="276" w:lineRule="auto"/>
              <w:jc w:val="center"/>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1</w:t>
            </w:r>
          </w:p>
          <w:p w:rsidR="008B1B04" w:rsidRPr="00F677AA" w:rsidRDefault="008B1B04" w:rsidP="00A8234B">
            <w:pPr>
              <w:suppressAutoHyphens/>
              <w:spacing w:line="276" w:lineRule="auto"/>
              <w:jc w:val="center"/>
              <w:outlineLvl w:val="0"/>
              <w:rPr>
                <w:rFonts w:ascii="Times New Roman" w:eastAsia="Arial Unicode MS" w:hAnsi="Times New Roman"/>
                <w:sz w:val="20"/>
                <w:szCs w:val="20"/>
                <w:u w:color="00000A"/>
              </w:rPr>
            </w:pPr>
          </w:p>
        </w:tc>
        <w:tc>
          <w:tcPr>
            <w:tcW w:w="2129" w:type="dxa"/>
          </w:tcPr>
          <w:p w:rsidR="008B1B04" w:rsidRPr="00F677AA" w:rsidRDefault="008B1B04" w:rsidP="00A8234B">
            <w:pPr>
              <w:suppressAutoHyphens/>
              <w:spacing w:line="276" w:lineRule="auto"/>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Identify current climate related threats to your stock</w:t>
            </w:r>
          </w:p>
        </w:tc>
        <w:tc>
          <w:tcPr>
            <w:tcW w:w="5881" w:type="dxa"/>
          </w:tcPr>
          <w:p w:rsidR="008B1B04" w:rsidRPr="00F677AA" w:rsidRDefault="008B1B04" w:rsidP="00A8234B">
            <w:pPr>
              <w:suppressAutoHyphens/>
              <w:spacing w:line="276" w:lineRule="auto"/>
              <w:contextualSpacing/>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Examine local histories for det</w:t>
            </w:r>
            <w:r>
              <w:rPr>
                <w:rFonts w:ascii="Times New Roman" w:eastAsia="Arial Unicode MS" w:hAnsi="Times New Roman"/>
                <w:sz w:val="20"/>
                <w:szCs w:val="20"/>
                <w:u w:color="00000A"/>
              </w:rPr>
              <w:t xml:space="preserve">ails of climate related impacts. This could involve reviewing national and local climate risk assessments (e.g. flood maps) and identifying previous extreme weather events that have affected the region where properties are based. </w:t>
            </w:r>
          </w:p>
        </w:tc>
      </w:tr>
      <w:tr w:rsidR="008B1B04" w:rsidRPr="00F677AA" w:rsidTr="0060762C">
        <w:trPr>
          <w:trHeight w:val="1125"/>
        </w:trPr>
        <w:tc>
          <w:tcPr>
            <w:tcW w:w="506" w:type="dxa"/>
          </w:tcPr>
          <w:p w:rsidR="008B1B04" w:rsidRPr="00F677AA" w:rsidRDefault="008B1B04" w:rsidP="00A8234B">
            <w:pPr>
              <w:suppressAutoHyphens/>
              <w:spacing w:line="276" w:lineRule="auto"/>
              <w:jc w:val="center"/>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2</w:t>
            </w:r>
          </w:p>
        </w:tc>
        <w:tc>
          <w:tcPr>
            <w:tcW w:w="2129" w:type="dxa"/>
          </w:tcPr>
          <w:p w:rsidR="008B1B04" w:rsidRPr="00F677AA" w:rsidRDefault="008B1B04" w:rsidP="00A8234B">
            <w:pPr>
              <w:suppressAutoHyphens/>
              <w:spacing w:line="276" w:lineRule="auto"/>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Develop future climate impacts scenarios that are relevant to your circumstances</w:t>
            </w:r>
          </w:p>
        </w:tc>
        <w:tc>
          <w:tcPr>
            <w:tcW w:w="5881" w:type="dxa"/>
          </w:tcPr>
          <w:p w:rsidR="008B1B04" w:rsidRPr="00F677AA" w:rsidRDefault="008B1B04" w:rsidP="00A8234B">
            <w:pPr>
              <w:tabs>
                <w:tab w:val="left" w:pos="720"/>
              </w:tabs>
              <w:suppressAutoHyphens/>
              <w:spacing w:line="276" w:lineRule="auto"/>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Identify future climate impact change predictions for your area.</w:t>
            </w:r>
            <w:r>
              <w:rPr>
                <w:rFonts w:ascii="Times New Roman" w:eastAsia="Arial Unicode MS" w:hAnsi="Times New Roman"/>
                <w:sz w:val="20"/>
                <w:szCs w:val="20"/>
                <w:u w:color="00000A"/>
              </w:rPr>
              <w:t xml:space="preserve"> This could include reviewing national </w:t>
            </w:r>
            <w:r w:rsidRPr="00F677AA">
              <w:rPr>
                <w:rFonts w:ascii="Times New Roman" w:eastAsia="Arial Unicode MS" w:hAnsi="Times New Roman"/>
                <w:sz w:val="20"/>
                <w:szCs w:val="20"/>
                <w:u w:color="00000A"/>
              </w:rPr>
              <w:t>climate change assessments</w:t>
            </w:r>
            <w:r>
              <w:rPr>
                <w:rFonts w:ascii="Times New Roman" w:eastAsia="Arial Unicode MS" w:hAnsi="Times New Roman"/>
                <w:sz w:val="20"/>
                <w:szCs w:val="20"/>
                <w:u w:color="00000A"/>
              </w:rPr>
              <w:t xml:space="preserve"> where they exist and undertaking absolute </w:t>
            </w:r>
            <w:r w:rsidRPr="00F677AA">
              <w:rPr>
                <w:rFonts w:ascii="Times New Roman" w:eastAsia="Arial Unicode MS" w:hAnsi="Times New Roman"/>
                <w:sz w:val="20"/>
                <w:szCs w:val="20"/>
                <w:u w:color="00000A"/>
              </w:rPr>
              <w:t>climate change assessments</w:t>
            </w:r>
            <w:r>
              <w:rPr>
                <w:rFonts w:ascii="Times New Roman" w:eastAsia="Arial Unicode MS" w:hAnsi="Times New Roman"/>
                <w:sz w:val="20"/>
                <w:szCs w:val="20"/>
                <w:u w:color="00000A"/>
              </w:rPr>
              <w:t xml:space="preserve"> where possible. </w:t>
            </w:r>
            <w:r w:rsidRPr="00CD0A6C">
              <w:rPr>
                <w:rFonts w:ascii="Times New Roman" w:eastAsia="Arial Unicode MS" w:hAnsi="Times New Roman"/>
                <w:sz w:val="20"/>
                <w:szCs w:val="20"/>
                <w:u w:color="00000A"/>
              </w:rPr>
              <w:t xml:space="preserve">In most cases individual organisations will not have access to the resources necessary to undertake absolute assessments so relative (step-up or morphing) </w:t>
            </w:r>
            <w:r>
              <w:rPr>
                <w:rFonts w:ascii="Times New Roman" w:eastAsia="Arial Unicode MS" w:hAnsi="Times New Roman"/>
                <w:sz w:val="20"/>
                <w:szCs w:val="20"/>
                <w:u w:color="00000A"/>
              </w:rPr>
              <w:t xml:space="preserve">assessments can be used as </w:t>
            </w:r>
            <w:r w:rsidRPr="00CD0A6C">
              <w:rPr>
                <w:rFonts w:ascii="Times New Roman" w:eastAsia="Arial Unicode MS" w:hAnsi="Times New Roman"/>
                <w:sz w:val="20"/>
                <w:szCs w:val="20"/>
                <w:u w:color="00000A"/>
              </w:rPr>
              <w:t>an alternative</w:t>
            </w:r>
            <w:r>
              <w:rPr>
                <w:rFonts w:ascii="Times New Roman" w:eastAsia="Arial Unicode MS" w:hAnsi="Times New Roman"/>
                <w:sz w:val="20"/>
                <w:szCs w:val="20"/>
                <w:u w:color="00000A"/>
              </w:rPr>
              <w:t xml:space="preserve"> to predict the scale of potential future extreme weather events. </w:t>
            </w:r>
          </w:p>
        </w:tc>
      </w:tr>
      <w:tr w:rsidR="008B1B04" w:rsidRPr="00F677AA" w:rsidTr="0060762C">
        <w:trPr>
          <w:trHeight w:val="2160"/>
        </w:trPr>
        <w:tc>
          <w:tcPr>
            <w:tcW w:w="506" w:type="dxa"/>
          </w:tcPr>
          <w:p w:rsidR="008B1B04" w:rsidRPr="00F677AA" w:rsidRDefault="008B1B04" w:rsidP="00A8234B">
            <w:pPr>
              <w:suppressAutoHyphens/>
              <w:spacing w:line="276" w:lineRule="auto"/>
              <w:jc w:val="center"/>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lastRenderedPageBreak/>
              <w:t>3</w:t>
            </w:r>
          </w:p>
        </w:tc>
        <w:tc>
          <w:tcPr>
            <w:tcW w:w="2129" w:type="dxa"/>
          </w:tcPr>
          <w:p w:rsidR="008B1B04" w:rsidRPr="00F677AA" w:rsidRDefault="008B1B04" w:rsidP="00A8234B">
            <w:pPr>
              <w:suppressAutoHyphens/>
              <w:spacing w:line="276" w:lineRule="auto"/>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Map current and future climate threats to your property portfolio</w:t>
            </w:r>
          </w:p>
        </w:tc>
        <w:tc>
          <w:tcPr>
            <w:tcW w:w="5881" w:type="dxa"/>
          </w:tcPr>
          <w:p w:rsidR="008B1B04" w:rsidRPr="00F677AA" w:rsidRDefault="008B1B04" w:rsidP="00A8234B">
            <w:pPr>
              <w:tabs>
                <w:tab w:val="left" w:pos="720"/>
              </w:tabs>
              <w:suppressAutoHyphens/>
              <w:spacing w:line="276" w:lineRule="auto"/>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Examine known vulnerabilities of your stock to the key weather impacts.</w:t>
            </w:r>
            <w:r>
              <w:rPr>
                <w:rFonts w:ascii="Times New Roman" w:eastAsia="Arial Unicode MS" w:hAnsi="Times New Roman"/>
                <w:sz w:val="20"/>
                <w:szCs w:val="20"/>
                <w:u w:color="00000A"/>
              </w:rPr>
              <w:t xml:space="preserve"> This would include geo-m</w:t>
            </w:r>
            <w:r w:rsidRPr="00F677AA">
              <w:rPr>
                <w:rFonts w:ascii="Times New Roman" w:eastAsia="Arial Unicode MS" w:hAnsi="Times New Roman"/>
                <w:sz w:val="20"/>
                <w:szCs w:val="20"/>
                <w:u w:color="00000A"/>
              </w:rPr>
              <w:t>ap</w:t>
            </w:r>
            <w:r>
              <w:rPr>
                <w:rFonts w:ascii="Times New Roman" w:eastAsia="Arial Unicode MS" w:hAnsi="Times New Roman"/>
                <w:sz w:val="20"/>
                <w:szCs w:val="20"/>
                <w:u w:color="00000A"/>
              </w:rPr>
              <w:t>ping</w:t>
            </w:r>
            <w:r w:rsidRPr="00F677AA">
              <w:rPr>
                <w:rFonts w:ascii="Times New Roman" w:eastAsia="Arial Unicode MS" w:hAnsi="Times New Roman"/>
                <w:sz w:val="20"/>
                <w:szCs w:val="20"/>
                <w:u w:color="00000A"/>
              </w:rPr>
              <w:t xml:space="preserve"> the location of each of your properties onto current and future </w:t>
            </w:r>
            <w:r>
              <w:rPr>
                <w:rFonts w:ascii="Times New Roman" w:eastAsia="Arial Unicode MS" w:hAnsi="Times New Roman"/>
                <w:sz w:val="20"/>
                <w:szCs w:val="20"/>
                <w:u w:color="00000A"/>
              </w:rPr>
              <w:t xml:space="preserve">climate change </w:t>
            </w:r>
            <w:r w:rsidRPr="00F677AA">
              <w:rPr>
                <w:rFonts w:ascii="Times New Roman" w:eastAsia="Arial Unicode MS" w:hAnsi="Times New Roman"/>
                <w:sz w:val="20"/>
                <w:szCs w:val="20"/>
                <w:u w:color="00000A"/>
              </w:rPr>
              <w:t>risk maps</w:t>
            </w:r>
            <w:r>
              <w:rPr>
                <w:rFonts w:ascii="Times New Roman" w:eastAsia="Arial Unicode MS" w:hAnsi="Times New Roman"/>
                <w:sz w:val="20"/>
                <w:szCs w:val="20"/>
                <w:u w:color="00000A"/>
              </w:rPr>
              <w:t xml:space="preserve"> (e.g. flooding, overheating etc.) and i</w:t>
            </w:r>
            <w:r w:rsidRPr="00F677AA">
              <w:rPr>
                <w:rFonts w:ascii="Times New Roman" w:eastAsia="Arial Unicode MS" w:hAnsi="Times New Roman"/>
                <w:sz w:val="20"/>
                <w:szCs w:val="20"/>
                <w:u w:color="00000A"/>
              </w:rPr>
              <w:t>dentify the numbers of properties at risk and the level of the risk (e.g. flood type, flood depth, flood duration etc.)</w:t>
            </w:r>
            <w:r>
              <w:rPr>
                <w:rFonts w:ascii="Times New Roman" w:eastAsia="Arial Unicode MS" w:hAnsi="Times New Roman"/>
                <w:sz w:val="20"/>
                <w:szCs w:val="20"/>
                <w:u w:color="00000A"/>
              </w:rPr>
              <w:t xml:space="preserve"> for each property</w:t>
            </w:r>
            <w:r w:rsidRPr="00F677AA">
              <w:rPr>
                <w:rFonts w:ascii="Times New Roman" w:eastAsia="Arial Unicode MS" w:hAnsi="Times New Roman"/>
                <w:sz w:val="20"/>
                <w:szCs w:val="20"/>
                <w:u w:color="00000A"/>
              </w:rPr>
              <w:t>. Review the ability of existing disaster planning to cope with any increased incidence of extreme weather events.</w:t>
            </w:r>
          </w:p>
        </w:tc>
      </w:tr>
      <w:tr w:rsidR="008B1B04" w:rsidRPr="00F677AA" w:rsidTr="0060762C">
        <w:trPr>
          <w:trHeight w:val="3021"/>
        </w:trPr>
        <w:tc>
          <w:tcPr>
            <w:tcW w:w="506" w:type="dxa"/>
          </w:tcPr>
          <w:p w:rsidR="008B1B04" w:rsidRPr="00F677AA" w:rsidRDefault="008B1B04" w:rsidP="00A8234B">
            <w:pPr>
              <w:suppressAutoHyphens/>
              <w:spacing w:line="276" w:lineRule="auto"/>
              <w:jc w:val="center"/>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4</w:t>
            </w:r>
          </w:p>
        </w:tc>
        <w:tc>
          <w:tcPr>
            <w:tcW w:w="2129" w:type="dxa"/>
          </w:tcPr>
          <w:p w:rsidR="008B1B04" w:rsidRPr="00F677AA" w:rsidRDefault="008B1B04" w:rsidP="00A8234B">
            <w:pPr>
              <w:suppressAutoHyphens/>
              <w:spacing w:line="276" w:lineRule="auto"/>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Identify the coping capacity of your properties to current and future climate threats</w:t>
            </w:r>
          </w:p>
        </w:tc>
        <w:tc>
          <w:tcPr>
            <w:tcW w:w="5881" w:type="dxa"/>
          </w:tcPr>
          <w:p w:rsidR="008B1B04" w:rsidRPr="00F677AA" w:rsidRDefault="008B1B04" w:rsidP="00A8234B">
            <w:pPr>
              <w:tabs>
                <w:tab w:val="left" w:pos="720"/>
              </w:tabs>
              <w:suppressAutoHyphens/>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Assess the impact that a climate related event would have on your property portfolio.</w:t>
            </w:r>
            <w:r>
              <w:rPr>
                <w:rFonts w:ascii="Times New Roman" w:eastAsia="Arial Unicode MS" w:hAnsi="Times New Roman"/>
                <w:sz w:val="20"/>
                <w:szCs w:val="20"/>
                <w:u w:color="00000A"/>
              </w:rPr>
              <w:t xml:space="preserve"> This would involve i</w:t>
            </w:r>
            <w:r w:rsidRPr="00F677AA">
              <w:rPr>
                <w:rFonts w:ascii="Times New Roman" w:eastAsia="Arial Unicode MS" w:hAnsi="Times New Roman"/>
                <w:sz w:val="20"/>
                <w:szCs w:val="20"/>
                <w:u w:color="00000A"/>
              </w:rPr>
              <w:t>dentify</w:t>
            </w:r>
            <w:r>
              <w:rPr>
                <w:rFonts w:ascii="Times New Roman" w:eastAsia="Arial Unicode MS" w:hAnsi="Times New Roman"/>
                <w:sz w:val="20"/>
                <w:szCs w:val="20"/>
                <w:u w:color="00000A"/>
              </w:rPr>
              <w:t>ing</w:t>
            </w:r>
            <w:r w:rsidRPr="00F677AA">
              <w:rPr>
                <w:rFonts w:ascii="Times New Roman" w:eastAsia="Arial Unicode MS" w:hAnsi="Times New Roman"/>
                <w:sz w:val="20"/>
                <w:szCs w:val="20"/>
                <w:u w:color="00000A"/>
              </w:rPr>
              <w:t xml:space="preserve"> typical property archetypes for </w:t>
            </w:r>
            <w:r>
              <w:rPr>
                <w:rFonts w:ascii="Times New Roman" w:eastAsia="Arial Unicode MS" w:hAnsi="Times New Roman"/>
                <w:sz w:val="20"/>
                <w:szCs w:val="20"/>
                <w:u w:color="00000A"/>
              </w:rPr>
              <w:t>a range of climate change events (</w:t>
            </w:r>
            <w:r w:rsidRPr="00F677AA">
              <w:rPr>
                <w:rFonts w:ascii="Times New Roman" w:eastAsia="Arial Unicode MS" w:hAnsi="Times New Roman"/>
                <w:sz w:val="20"/>
                <w:szCs w:val="20"/>
                <w:u w:color="00000A"/>
              </w:rPr>
              <w:t>flood impact assessments</w:t>
            </w:r>
            <w:r>
              <w:rPr>
                <w:rFonts w:ascii="Times New Roman" w:eastAsia="Arial Unicode MS" w:hAnsi="Times New Roman"/>
                <w:sz w:val="20"/>
                <w:szCs w:val="20"/>
                <w:u w:color="00000A"/>
              </w:rPr>
              <w:t xml:space="preserve">, overheating etc.) ensuring that the organisation have the data (either in their asset management system or through housing surveys) to assess </w:t>
            </w:r>
            <w:r w:rsidRPr="00F677AA">
              <w:rPr>
                <w:rFonts w:ascii="Times New Roman" w:eastAsia="Arial Unicode MS" w:hAnsi="Times New Roman"/>
                <w:sz w:val="20"/>
                <w:szCs w:val="20"/>
                <w:u w:color="00000A"/>
              </w:rPr>
              <w:t xml:space="preserve">the </w:t>
            </w:r>
            <w:r>
              <w:rPr>
                <w:rFonts w:ascii="Times New Roman" w:eastAsia="Arial Unicode MS" w:hAnsi="Times New Roman"/>
                <w:sz w:val="20"/>
                <w:szCs w:val="20"/>
                <w:u w:color="00000A"/>
              </w:rPr>
              <w:t xml:space="preserve">vulnerability and </w:t>
            </w:r>
            <w:r w:rsidRPr="00F677AA">
              <w:rPr>
                <w:rFonts w:ascii="Times New Roman" w:eastAsia="Arial Unicode MS" w:hAnsi="Times New Roman"/>
                <w:sz w:val="20"/>
                <w:szCs w:val="20"/>
                <w:u w:color="00000A"/>
              </w:rPr>
              <w:t xml:space="preserve">coping capacity of the property to </w:t>
            </w:r>
            <w:r>
              <w:rPr>
                <w:rFonts w:ascii="Times New Roman" w:eastAsia="Arial Unicode MS" w:hAnsi="Times New Roman"/>
                <w:sz w:val="20"/>
                <w:szCs w:val="20"/>
                <w:u w:color="00000A"/>
              </w:rPr>
              <w:t>each event. D</w:t>
            </w:r>
            <w:r w:rsidRPr="00F677AA">
              <w:rPr>
                <w:rFonts w:ascii="Times New Roman" w:eastAsia="Arial Unicode MS" w:hAnsi="Times New Roman"/>
                <w:sz w:val="20"/>
                <w:szCs w:val="20"/>
                <w:u w:color="00000A"/>
              </w:rPr>
              <w:t>evelop organisation specific vulnerability and coping capacity thresholds for each property archetype</w:t>
            </w:r>
            <w:r>
              <w:rPr>
                <w:rFonts w:ascii="Times New Roman" w:eastAsia="Arial Unicode MS" w:hAnsi="Times New Roman"/>
                <w:sz w:val="20"/>
                <w:szCs w:val="20"/>
                <w:u w:color="00000A"/>
              </w:rPr>
              <w:t xml:space="preserve"> against each climate change impact. </w:t>
            </w:r>
            <w:r w:rsidRPr="00F677AA">
              <w:rPr>
                <w:rFonts w:ascii="Times New Roman" w:eastAsia="Arial Unicode MS" w:hAnsi="Times New Roman"/>
                <w:sz w:val="20"/>
                <w:szCs w:val="20"/>
                <w:u w:color="00000A"/>
              </w:rPr>
              <w:t>Plot vulnerability and coping capacity onto a</w:t>
            </w:r>
            <w:r>
              <w:rPr>
                <w:rFonts w:ascii="Times New Roman" w:eastAsia="Arial Unicode MS" w:hAnsi="Times New Roman"/>
                <w:sz w:val="20"/>
                <w:szCs w:val="20"/>
                <w:u w:color="00000A"/>
              </w:rPr>
              <w:t xml:space="preserve"> Resilience Matrix</w:t>
            </w:r>
            <w:r w:rsidRPr="00F677AA">
              <w:rPr>
                <w:rFonts w:ascii="Times New Roman" w:eastAsia="Arial Unicode MS" w:hAnsi="Times New Roman"/>
                <w:sz w:val="20"/>
                <w:szCs w:val="20"/>
                <w:u w:color="00000A"/>
              </w:rPr>
              <w:t>.</w:t>
            </w:r>
          </w:p>
        </w:tc>
      </w:tr>
      <w:tr w:rsidR="008B1B04" w:rsidRPr="00F677AA" w:rsidTr="0060762C">
        <w:trPr>
          <w:trHeight w:val="1057"/>
        </w:trPr>
        <w:tc>
          <w:tcPr>
            <w:tcW w:w="506" w:type="dxa"/>
          </w:tcPr>
          <w:p w:rsidR="008B1B04" w:rsidRPr="00F677AA" w:rsidRDefault="008B1B04" w:rsidP="00A8234B">
            <w:pPr>
              <w:suppressAutoHyphens/>
              <w:spacing w:line="276" w:lineRule="auto"/>
              <w:jc w:val="center"/>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5</w:t>
            </w:r>
          </w:p>
        </w:tc>
        <w:tc>
          <w:tcPr>
            <w:tcW w:w="2129" w:type="dxa"/>
          </w:tcPr>
          <w:p w:rsidR="008B1B04" w:rsidRPr="00F677AA" w:rsidRDefault="008B1B04" w:rsidP="00A8234B">
            <w:pPr>
              <w:suppressAutoHyphens/>
              <w:spacing w:line="276" w:lineRule="auto"/>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Identify possible adaptation solutions</w:t>
            </w:r>
          </w:p>
        </w:tc>
        <w:tc>
          <w:tcPr>
            <w:tcW w:w="5881" w:type="dxa"/>
          </w:tcPr>
          <w:p w:rsidR="008B1B04" w:rsidRPr="005E1F92" w:rsidRDefault="008B1B04" w:rsidP="00A8234B">
            <w:pPr>
              <w:suppressAutoHyphens/>
              <w:spacing w:line="276" w:lineRule="auto"/>
              <w:contextualSpacing/>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Identify appropriate resistant and resilience measures</w:t>
            </w:r>
            <w:r>
              <w:rPr>
                <w:rFonts w:ascii="Times New Roman" w:eastAsia="Arial Unicode MS" w:hAnsi="Times New Roman"/>
                <w:sz w:val="20"/>
                <w:szCs w:val="20"/>
                <w:u w:color="00000A"/>
              </w:rPr>
              <w:t xml:space="preserve">. This will include modelling the effect of a range of adaptation options against each archetype for each climate change impact and assessing the </w:t>
            </w:r>
            <w:r w:rsidRPr="00F677AA">
              <w:rPr>
                <w:rFonts w:ascii="Times New Roman" w:eastAsia="Arial Unicode MS" w:hAnsi="Times New Roman"/>
                <w:sz w:val="20"/>
                <w:szCs w:val="20"/>
                <w:u w:color="00000A"/>
              </w:rPr>
              <w:t xml:space="preserve">technical feasibility of retrofitting </w:t>
            </w:r>
            <w:r>
              <w:rPr>
                <w:rFonts w:ascii="Times New Roman" w:eastAsia="Arial Unicode MS" w:hAnsi="Times New Roman"/>
                <w:sz w:val="20"/>
                <w:szCs w:val="20"/>
                <w:u w:color="00000A"/>
              </w:rPr>
              <w:t>adaptation</w:t>
            </w:r>
            <w:r w:rsidRPr="00F677AA">
              <w:rPr>
                <w:rFonts w:ascii="Times New Roman" w:eastAsia="Arial Unicode MS" w:hAnsi="Times New Roman"/>
                <w:sz w:val="20"/>
                <w:szCs w:val="20"/>
                <w:u w:color="00000A"/>
              </w:rPr>
              <w:t xml:space="preserve"> measures.</w:t>
            </w:r>
          </w:p>
        </w:tc>
      </w:tr>
      <w:tr w:rsidR="008B1B04" w:rsidRPr="00F677AA" w:rsidTr="0060762C">
        <w:trPr>
          <w:trHeight w:val="1374"/>
        </w:trPr>
        <w:tc>
          <w:tcPr>
            <w:tcW w:w="506" w:type="dxa"/>
          </w:tcPr>
          <w:p w:rsidR="008B1B04" w:rsidRPr="00F677AA" w:rsidRDefault="008B1B04" w:rsidP="00010768">
            <w:pPr>
              <w:suppressAutoHyphens/>
              <w:spacing w:after="0" w:line="276" w:lineRule="auto"/>
              <w:jc w:val="center"/>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6</w:t>
            </w:r>
          </w:p>
        </w:tc>
        <w:tc>
          <w:tcPr>
            <w:tcW w:w="2129" w:type="dxa"/>
          </w:tcPr>
          <w:p w:rsidR="008B1B04" w:rsidRPr="00F677AA" w:rsidRDefault="008B1B04" w:rsidP="00010768">
            <w:pPr>
              <w:suppressAutoHyphens/>
              <w:spacing w:after="0" w:line="276" w:lineRule="auto"/>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Articulate required improvements to the performance of your properties</w:t>
            </w:r>
          </w:p>
        </w:tc>
        <w:tc>
          <w:tcPr>
            <w:tcW w:w="5881" w:type="dxa"/>
          </w:tcPr>
          <w:p w:rsidR="008B1B04" w:rsidRPr="00F677AA" w:rsidRDefault="008B1B04" w:rsidP="00010768">
            <w:pPr>
              <w:suppressAutoHyphens/>
              <w:spacing w:after="0" w:line="276" w:lineRule="auto"/>
              <w:contextualSpacing/>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 xml:space="preserve">Identify performance expectations for your properties against each climate change impact. For example, </w:t>
            </w:r>
          </w:p>
          <w:p w:rsidR="008B1B04" w:rsidRPr="00F677AA" w:rsidRDefault="008B1B04" w:rsidP="00010768">
            <w:pPr>
              <w:pStyle w:val="ListParagraph"/>
              <w:numPr>
                <w:ilvl w:val="0"/>
                <w:numId w:val="12"/>
              </w:numPr>
              <w:suppressAutoHyphens/>
              <w:spacing w:after="0"/>
              <w:jc w:val="both"/>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Let properties flood and ensure rapid recovery; or</w:t>
            </w:r>
          </w:p>
          <w:p w:rsidR="008B1B04" w:rsidRPr="00F677AA" w:rsidRDefault="008B1B04" w:rsidP="00010768">
            <w:pPr>
              <w:pStyle w:val="ListParagraph"/>
              <w:numPr>
                <w:ilvl w:val="0"/>
                <w:numId w:val="12"/>
              </w:numPr>
              <w:suppressAutoHyphens/>
              <w:spacing w:after="0"/>
              <w:jc w:val="both"/>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Prevent water ingress where ever possible; or</w:t>
            </w:r>
          </w:p>
          <w:p w:rsidR="008B1B04" w:rsidRPr="00F677AA" w:rsidRDefault="008B1B04" w:rsidP="00010768">
            <w:pPr>
              <w:pStyle w:val="ListParagraph"/>
              <w:numPr>
                <w:ilvl w:val="0"/>
                <w:numId w:val="12"/>
              </w:numPr>
              <w:suppressAutoHyphens/>
              <w:spacing w:after="0"/>
              <w:jc w:val="both"/>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Ensure at least one room in every property does not over heat; etc.</w:t>
            </w:r>
          </w:p>
        </w:tc>
      </w:tr>
      <w:tr w:rsidR="008B1B04" w:rsidRPr="00F677AA" w:rsidTr="0060762C">
        <w:trPr>
          <w:trHeight w:val="785"/>
        </w:trPr>
        <w:tc>
          <w:tcPr>
            <w:tcW w:w="506" w:type="dxa"/>
          </w:tcPr>
          <w:p w:rsidR="008B1B04" w:rsidRPr="00F677AA" w:rsidRDefault="008B1B04" w:rsidP="00A8234B">
            <w:pPr>
              <w:suppressAutoHyphens/>
              <w:spacing w:line="276" w:lineRule="auto"/>
              <w:jc w:val="center"/>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7</w:t>
            </w:r>
          </w:p>
        </w:tc>
        <w:tc>
          <w:tcPr>
            <w:tcW w:w="2129" w:type="dxa"/>
          </w:tcPr>
          <w:p w:rsidR="008B1B04" w:rsidRPr="00F677AA" w:rsidRDefault="008B1B04" w:rsidP="00A8234B">
            <w:pPr>
              <w:suppressAutoHyphens/>
              <w:spacing w:line="276" w:lineRule="auto"/>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Identify priorities</w:t>
            </w:r>
          </w:p>
        </w:tc>
        <w:tc>
          <w:tcPr>
            <w:tcW w:w="5881" w:type="dxa"/>
          </w:tcPr>
          <w:p w:rsidR="008B1B04" w:rsidRPr="00F677AA" w:rsidRDefault="008B1B04" w:rsidP="00A8234B">
            <w:pPr>
              <w:suppressAutoHyphens/>
              <w:spacing w:line="276" w:lineRule="auto"/>
              <w:contextualSpacing/>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Develop priority thresholds based on the performance expectations identified in step 6</w:t>
            </w:r>
            <w:r>
              <w:rPr>
                <w:rFonts w:ascii="Times New Roman" w:eastAsia="Arial Unicode MS" w:hAnsi="Times New Roman"/>
                <w:sz w:val="20"/>
                <w:szCs w:val="20"/>
                <w:u w:color="00000A"/>
              </w:rPr>
              <w:t xml:space="preserve">. Identify what </w:t>
            </w:r>
            <w:r w:rsidRPr="00F677AA">
              <w:rPr>
                <w:rFonts w:ascii="Times New Roman" w:eastAsia="Arial Unicode MS" w:hAnsi="Times New Roman"/>
                <w:sz w:val="20"/>
                <w:szCs w:val="20"/>
                <w:u w:color="00000A"/>
              </w:rPr>
              <w:t>types of adaptation should occur in years 1-5</w:t>
            </w:r>
            <w:r>
              <w:rPr>
                <w:rFonts w:ascii="Times New Roman" w:eastAsia="Arial Unicode MS" w:hAnsi="Times New Roman"/>
                <w:sz w:val="20"/>
                <w:szCs w:val="20"/>
                <w:u w:color="00000A"/>
              </w:rPr>
              <w:t xml:space="preserve">; </w:t>
            </w:r>
            <w:r w:rsidRPr="00F677AA">
              <w:rPr>
                <w:rFonts w:ascii="Times New Roman" w:eastAsia="Arial Unicode MS" w:hAnsi="Times New Roman"/>
                <w:sz w:val="20"/>
                <w:szCs w:val="20"/>
                <w:u w:color="00000A"/>
              </w:rPr>
              <w:t>6-10</w:t>
            </w:r>
            <w:r>
              <w:rPr>
                <w:rFonts w:ascii="Times New Roman" w:eastAsia="Arial Unicode MS" w:hAnsi="Times New Roman"/>
                <w:sz w:val="20"/>
                <w:szCs w:val="20"/>
                <w:u w:color="00000A"/>
              </w:rPr>
              <w:t xml:space="preserve">; and </w:t>
            </w:r>
            <w:r w:rsidRPr="00F677AA">
              <w:rPr>
                <w:rFonts w:ascii="Times New Roman" w:eastAsia="Arial Unicode MS" w:hAnsi="Times New Roman"/>
                <w:sz w:val="20"/>
                <w:szCs w:val="20"/>
                <w:u w:color="00000A"/>
              </w:rPr>
              <w:t>year</w:t>
            </w:r>
            <w:r>
              <w:rPr>
                <w:rFonts w:ascii="Times New Roman" w:eastAsia="Arial Unicode MS" w:hAnsi="Times New Roman"/>
                <w:sz w:val="20"/>
                <w:szCs w:val="20"/>
                <w:u w:color="00000A"/>
              </w:rPr>
              <w:t>s</w:t>
            </w:r>
            <w:r w:rsidRPr="00F677AA">
              <w:rPr>
                <w:rFonts w:ascii="Times New Roman" w:eastAsia="Arial Unicode MS" w:hAnsi="Times New Roman"/>
                <w:sz w:val="20"/>
                <w:szCs w:val="20"/>
                <w:u w:color="00000A"/>
              </w:rPr>
              <w:t xml:space="preserve"> 11-30? </w:t>
            </w:r>
          </w:p>
        </w:tc>
      </w:tr>
      <w:tr w:rsidR="008B1B04" w:rsidRPr="00F677AA" w:rsidTr="0060762C">
        <w:trPr>
          <w:trHeight w:val="1510"/>
        </w:trPr>
        <w:tc>
          <w:tcPr>
            <w:tcW w:w="506" w:type="dxa"/>
          </w:tcPr>
          <w:p w:rsidR="008B1B04" w:rsidRPr="00F677AA" w:rsidRDefault="008B1B04" w:rsidP="00A8234B">
            <w:pPr>
              <w:suppressAutoHyphens/>
              <w:spacing w:line="276" w:lineRule="auto"/>
              <w:jc w:val="center"/>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8</w:t>
            </w:r>
          </w:p>
        </w:tc>
        <w:tc>
          <w:tcPr>
            <w:tcW w:w="2129" w:type="dxa"/>
          </w:tcPr>
          <w:p w:rsidR="008B1B04" w:rsidRPr="00F677AA" w:rsidRDefault="008B1B04" w:rsidP="00A8234B">
            <w:pPr>
              <w:suppressAutoHyphens/>
              <w:spacing w:line="276" w:lineRule="auto"/>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Develop adaptation strategy</w:t>
            </w:r>
          </w:p>
        </w:tc>
        <w:tc>
          <w:tcPr>
            <w:tcW w:w="5881" w:type="dxa"/>
          </w:tcPr>
          <w:p w:rsidR="008B1B04" w:rsidRPr="00F677AA" w:rsidRDefault="008B1B04" w:rsidP="00A8234B">
            <w:pPr>
              <w:tabs>
                <w:tab w:val="left" w:pos="600"/>
              </w:tabs>
              <w:suppressAutoHyphens/>
              <w:contextualSpacing/>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Identify the actions to be taken for each vulnerable property archetype</w:t>
            </w:r>
            <w:r>
              <w:rPr>
                <w:rFonts w:ascii="Times New Roman" w:eastAsia="Arial Unicode MS" w:hAnsi="Times New Roman"/>
                <w:sz w:val="20"/>
                <w:szCs w:val="20"/>
                <w:u w:color="00000A"/>
              </w:rPr>
              <w:t>. This could include identifying known problems for immediate action in year 1; gathering missing data (surveys) for high risk properties in years 1-5; and monitor performance of m</w:t>
            </w:r>
            <w:r w:rsidRPr="00F677AA">
              <w:rPr>
                <w:rFonts w:ascii="Times New Roman" w:eastAsia="Arial Unicode MS" w:hAnsi="Times New Roman"/>
                <w:sz w:val="20"/>
                <w:szCs w:val="20"/>
                <w:u w:color="00000A"/>
              </w:rPr>
              <w:t>ediu</w:t>
            </w:r>
            <w:r>
              <w:rPr>
                <w:rFonts w:ascii="Times New Roman" w:eastAsia="Arial Unicode MS" w:hAnsi="Times New Roman"/>
                <w:sz w:val="20"/>
                <w:szCs w:val="20"/>
                <w:u w:color="00000A"/>
              </w:rPr>
              <w:t xml:space="preserve">m risk properties in years 6-30. All other missing data should be collected as a part of the normal re-survey cycle. </w:t>
            </w:r>
          </w:p>
        </w:tc>
      </w:tr>
      <w:tr w:rsidR="008B1B04" w:rsidRPr="00F677AA" w:rsidTr="0060762C">
        <w:trPr>
          <w:trHeight w:val="1858"/>
        </w:trPr>
        <w:tc>
          <w:tcPr>
            <w:tcW w:w="506" w:type="dxa"/>
          </w:tcPr>
          <w:p w:rsidR="008B1B04" w:rsidRPr="00F677AA" w:rsidRDefault="008B1B04" w:rsidP="00A8234B">
            <w:pPr>
              <w:suppressAutoHyphens/>
              <w:spacing w:line="276" w:lineRule="auto"/>
              <w:jc w:val="center"/>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9</w:t>
            </w:r>
          </w:p>
        </w:tc>
        <w:tc>
          <w:tcPr>
            <w:tcW w:w="2129" w:type="dxa"/>
          </w:tcPr>
          <w:p w:rsidR="008B1B04" w:rsidRPr="00F677AA" w:rsidRDefault="008B1B04" w:rsidP="00A8234B">
            <w:pPr>
              <w:suppressAutoHyphens/>
              <w:spacing w:line="276" w:lineRule="auto"/>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Prepare adaptation plan</w:t>
            </w:r>
          </w:p>
        </w:tc>
        <w:tc>
          <w:tcPr>
            <w:tcW w:w="5881" w:type="dxa"/>
          </w:tcPr>
          <w:p w:rsidR="008B1B04" w:rsidRPr="00F677AA" w:rsidRDefault="008B1B04" w:rsidP="00A8234B">
            <w:pPr>
              <w:tabs>
                <w:tab w:val="left" w:pos="601"/>
              </w:tabs>
              <w:suppressAutoHyphens/>
              <w:spacing w:line="276" w:lineRule="auto"/>
              <w:contextualSpacing/>
              <w:outlineLvl w:val="0"/>
              <w:rPr>
                <w:rFonts w:ascii="Times New Roman" w:eastAsia="Arial Unicode MS" w:hAnsi="Times New Roman"/>
                <w:sz w:val="20"/>
                <w:szCs w:val="20"/>
                <w:u w:color="00000A"/>
              </w:rPr>
            </w:pPr>
            <w:r>
              <w:rPr>
                <w:rFonts w:ascii="Times New Roman" w:eastAsia="Arial Unicode MS" w:hAnsi="Times New Roman"/>
                <w:sz w:val="20"/>
                <w:szCs w:val="20"/>
                <w:u w:color="00000A"/>
              </w:rPr>
              <w:t>Identify individual</w:t>
            </w:r>
            <w:r w:rsidRPr="00F677AA">
              <w:rPr>
                <w:rFonts w:ascii="Times New Roman" w:eastAsia="Arial Unicode MS" w:hAnsi="Times New Roman"/>
                <w:sz w:val="20"/>
                <w:szCs w:val="20"/>
                <w:u w:color="00000A"/>
              </w:rPr>
              <w:t xml:space="preserve"> properties requiring action in years 1-5</w:t>
            </w:r>
            <w:r>
              <w:rPr>
                <w:rFonts w:ascii="Times New Roman" w:eastAsia="Arial Unicode MS" w:hAnsi="Times New Roman"/>
                <w:sz w:val="20"/>
                <w:szCs w:val="20"/>
                <w:u w:color="00000A"/>
              </w:rPr>
              <w:t xml:space="preserve"> (steps 3, 4 and 8). This will involve </w:t>
            </w:r>
            <w:r w:rsidRPr="00F677AA">
              <w:rPr>
                <w:rFonts w:ascii="Times New Roman" w:eastAsia="Arial Unicode MS" w:hAnsi="Times New Roman"/>
                <w:sz w:val="20"/>
                <w:szCs w:val="20"/>
                <w:u w:color="00000A"/>
              </w:rPr>
              <w:t xml:space="preserve">detailed (property level) assessments of the potential for different adaptation solutions </w:t>
            </w:r>
            <w:r>
              <w:rPr>
                <w:rFonts w:ascii="Times New Roman" w:eastAsia="Arial Unicode MS" w:hAnsi="Times New Roman"/>
                <w:sz w:val="20"/>
                <w:szCs w:val="20"/>
                <w:u w:color="00000A"/>
              </w:rPr>
              <w:t xml:space="preserve">identified in step 5 to </w:t>
            </w:r>
            <w:r w:rsidRPr="00F677AA">
              <w:rPr>
                <w:rFonts w:ascii="Times New Roman" w:eastAsia="Arial Unicode MS" w:hAnsi="Times New Roman"/>
                <w:sz w:val="20"/>
                <w:szCs w:val="20"/>
                <w:u w:color="00000A"/>
              </w:rPr>
              <w:t>achieve the performance improvements identified in step 6</w:t>
            </w:r>
            <w:r>
              <w:rPr>
                <w:rFonts w:ascii="Times New Roman" w:eastAsia="Arial Unicode MS" w:hAnsi="Times New Roman"/>
                <w:sz w:val="20"/>
                <w:szCs w:val="20"/>
                <w:u w:color="00000A"/>
              </w:rPr>
              <w:t xml:space="preserve">. Use priority thresholds (step 7) to order adaptation actions. </w:t>
            </w:r>
            <w:r w:rsidRPr="00F677AA">
              <w:rPr>
                <w:rFonts w:ascii="Times New Roman" w:eastAsia="Arial Unicode MS" w:hAnsi="Times New Roman"/>
                <w:sz w:val="20"/>
                <w:szCs w:val="20"/>
                <w:u w:color="00000A"/>
              </w:rPr>
              <w:t>Cost each solution and select appropriate ones for i</w:t>
            </w:r>
            <w:r>
              <w:rPr>
                <w:rFonts w:ascii="Times New Roman" w:eastAsia="Arial Unicode MS" w:hAnsi="Times New Roman"/>
                <w:sz w:val="20"/>
                <w:szCs w:val="20"/>
                <w:u w:color="00000A"/>
              </w:rPr>
              <w:t xml:space="preserve">nclusion in the adaptation plan. </w:t>
            </w:r>
            <w:r w:rsidRPr="00F677AA">
              <w:rPr>
                <w:rFonts w:ascii="Times New Roman" w:eastAsia="Arial Unicode MS" w:hAnsi="Times New Roman"/>
                <w:sz w:val="20"/>
                <w:szCs w:val="20"/>
                <w:u w:color="00000A"/>
              </w:rPr>
              <w:t>Develop an adaptation programme for the works over a 5 year period.</w:t>
            </w:r>
          </w:p>
        </w:tc>
      </w:tr>
      <w:tr w:rsidR="008B1B04" w:rsidRPr="00F677AA" w:rsidTr="0060762C">
        <w:trPr>
          <w:trHeight w:val="1133"/>
        </w:trPr>
        <w:tc>
          <w:tcPr>
            <w:tcW w:w="506" w:type="dxa"/>
          </w:tcPr>
          <w:p w:rsidR="008B1B04" w:rsidRPr="00F677AA" w:rsidRDefault="008B1B04" w:rsidP="00A8234B">
            <w:pPr>
              <w:suppressAutoHyphens/>
              <w:spacing w:line="276" w:lineRule="auto"/>
              <w:jc w:val="center"/>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lastRenderedPageBreak/>
              <w:t>10</w:t>
            </w:r>
          </w:p>
        </w:tc>
        <w:tc>
          <w:tcPr>
            <w:tcW w:w="2129" w:type="dxa"/>
          </w:tcPr>
          <w:p w:rsidR="008B1B04" w:rsidRPr="00F677AA" w:rsidRDefault="008B1B04" w:rsidP="00A8234B">
            <w:pPr>
              <w:tabs>
                <w:tab w:val="left" w:pos="720"/>
              </w:tabs>
              <w:suppressAutoHyphens/>
              <w:spacing w:line="276" w:lineRule="auto"/>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Implement and test plan</w:t>
            </w:r>
          </w:p>
          <w:p w:rsidR="008B1B04" w:rsidRPr="00F677AA" w:rsidRDefault="008B1B04" w:rsidP="00A8234B">
            <w:pPr>
              <w:suppressAutoHyphens/>
              <w:spacing w:line="276" w:lineRule="auto"/>
              <w:outlineLvl w:val="0"/>
              <w:rPr>
                <w:rFonts w:ascii="Times New Roman" w:eastAsia="Arial Unicode MS" w:hAnsi="Times New Roman"/>
                <w:sz w:val="20"/>
                <w:szCs w:val="20"/>
                <w:u w:color="00000A"/>
              </w:rPr>
            </w:pPr>
          </w:p>
        </w:tc>
        <w:tc>
          <w:tcPr>
            <w:tcW w:w="5881" w:type="dxa"/>
          </w:tcPr>
          <w:p w:rsidR="008B1B04" w:rsidRPr="00F677AA" w:rsidRDefault="008B1B04" w:rsidP="00A8234B">
            <w:pPr>
              <w:suppressAutoHyphens/>
              <w:spacing w:line="276" w:lineRule="auto"/>
              <w:contextualSpacing/>
              <w:outlineLvl w:val="0"/>
              <w:rPr>
                <w:rFonts w:ascii="Times New Roman" w:eastAsia="Arial Unicode MS" w:hAnsi="Times New Roman"/>
                <w:sz w:val="20"/>
                <w:szCs w:val="20"/>
                <w:u w:color="00000A"/>
              </w:rPr>
            </w:pPr>
            <w:r w:rsidRPr="00F677AA">
              <w:rPr>
                <w:rFonts w:ascii="Times New Roman" w:eastAsia="Arial Unicode MS" w:hAnsi="Times New Roman"/>
                <w:sz w:val="20"/>
                <w:szCs w:val="20"/>
                <w:u w:color="00000A"/>
              </w:rPr>
              <w:t>Monitor effectiveness of interventions and close the feedback loop</w:t>
            </w:r>
            <w:r>
              <w:rPr>
                <w:rFonts w:ascii="Times New Roman" w:eastAsia="Arial Unicode MS" w:hAnsi="Times New Roman"/>
                <w:sz w:val="20"/>
                <w:szCs w:val="20"/>
                <w:u w:color="00000A"/>
              </w:rPr>
              <w:t xml:space="preserve">. </w:t>
            </w:r>
            <w:r w:rsidRPr="00F677AA">
              <w:rPr>
                <w:rFonts w:ascii="Times New Roman" w:eastAsia="Arial Unicode MS" w:hAnsi="Times New Roman"/>
                <w:sz w:val="20"/>
                <w:szCs w:val="20"/>
                <w:u w:color="00000A"/>
              </w:rPr>
              <w:t>If you experience a climate related event how well did your plans work?</w:t>
            </w:r>
            <w:r>
              <w:rPr>
                <w:rFonts w:ascii="Times New Roman" w:eastAsia="Arial Unicode MS" w:hAnsi="Times New Roman"/>
                <w:sz w:val="20"/>
                <w:szCs w:val="20"/>
                <w:u w:color="00000A"/>
              </w:rPr>
              <w:t xml:space="preserve"> </w:t>
            </w:r>
            <w:r w:rsidRPr="00F677AA">
              <w:rPr>
                <w:rFonts w:ascii="Times New Roman" w:eastAsia="Arial Unicode MS" w:hAnsi="Times New Roman"/>
                <w:sz w:val="20"/>
                <w:szCs w:val="20"/>
                <w:u w:color="00000A"/>
              </w:rPr>
              <w:t>If you don’t experience an event then test your plans against a simulation.</w:t>
            </w:r>
            <w:r>
              <w:rPr>
                <w:rFonts w:ascii="Times New Roman" w:eastAsia="Arial Unicode MS" w:hAnsi="Times New Roman"/>
                <w:sz w:val="20"/>
                <w:szCs w:val="20"/>
                <w:u w:color="00000A"/>
              </w:rPr>
              <w:t xml:space="preserve"> </w:t>
            </w:r>
            <w:r w:rsidRPr="00F677AA">
              <w:rPr>
                <w:rFonts w:ascii="Times New Roman" w:eastAsia="Arial Unicode MS" w:hAnsi="Times New Roman"/>
                <w:sz w:val="20"/>
                <w:szCs w:val="20"/>
                <w:u w:color="00000A"/>
              </w:rPr>
              <w:t>Review the effectiveness of your Disaster Management and Contingency Plans</w:t>
            </w:r>
          </w:p>
        </w:tc>
      </w:tr>
    </w:tbl>
    <w:p w:rsidR="008B1B04" w:rsidRDefault="008B1B04" w:rsidP="008B1B04">
      <w:pPr>
        <w:outlineLvl w:val="0"/>
      </w:pPr>
      <w:r>
        <w:t>Whilst the theories supporting the adaptation framework and the performance based built asset management complemented each other, and at the theoretical level integration was fairly easy to achieve, a number of issues were identified that limited its practical application.</w:t>
      </w:r>
    </w:p>
    <w:p w:rsidR="008B1B04" w:rsidRPr="00990862" w:rsidRDefault="008B1B04" w:rsidP="008B1B04">
      <w:pPr>
        <w:tabs>
          <w:tab w:val="left" w:pos="720"/>
        </w:tabs>
        <w:suppressAutoHyphens/>
        <w:outlineLvl w:val="0"/>
        <w:rPr>
          <w:rFonts w:eastAsia="Arial Unicode MS"/>
          <w:u w:color="00000A"/>
        </w:rPr>
      </w:pPr>
      <w:r w:rsidRPr="00E63B6C">
        <w:rPr>
          <w:rFonts w:eastAsia="Arial Unicode MS"/>
          <w:u w:color="00000A"/>
        </w:rPr>
        <w:t>Whist access to public data on past extreme weather events and potential impact of none climate change future events was generally available and suitable to inform step 1 of the adaptation planning model the data required for step</w:t>
      </w:r>
      <w:r>
        <w:rPr>
          <w:rFonts w:eastAsia="Arial Unicode MS"/>
          <w:u w:color="00000A"/>
        </w:rPr>
        <w:t>s</w:t>
      </w:r>
      <w:r w:rsidRPr="00E63B6C">
        <w:rPr>
          <w:rFonts w:eastAsia="Arial Unicode MS"/>
          <w:u w:color="00000A"/>
        </w:rPr>
        <w:t xml:space="preserve"> 2 </w:t>
      </w:r>
      <w:r>
        <w:rPr>
          <w:rFonts w:eastAsia="Arial Unicode MS"/>
          <w:u w:color="00000A"/>
        </w:rPr>
        <w:t xml:space="preserve">and 3 </w:t>
      </w:r>
      <w:r w:rsidRPr="00E63B6C">
        <w:rPr>
          <w:rFonts w:eastAsia="Arial Unicode MS"/>
          <w:u w:color="00000A"/>
        </w:rPr>
        <w:t>wasn’t. Whilst UKCP09 climate change projections provided a means of generating future weather pattern</w:t>
      </w:r>
      <w:r>
        <w:rPr>
          <w:rFonts w:eastAsia="Arial Unicode MS"/>
          <w:u w:color="00000A"/>
        </w:rPr>
        <w:t>s</w:t>
      </w:r>
      <w:r w:rsidRPr="00E63B6C">
        <w:rPr>
          <w:rFonts w:eastAsia="Arial Unicode MS"/>
          <w:u w:color="00000A"/>
        </w:rPr>
        <w:t xml:space="preserve"> the lack of future risk assessments (e.g. future flood risk maps, local heat islands etc.) made it difficult to assess the future </w:t>
      </w:r>
      <w:r w:rsidRPr="00990862">
        <w:rPr>
          <w:rFonts w:eastAsia="Arial Unicode MS"/>
          <w:u w:color="00000A"/>
        </w:rPr>
        <w:t xml:space="preserve">vulnerability and resilience of </w:t>
      </w:r>
      <w:r w:rsidRPr="00E63B6C">
        <w:rPr>
          <w:rFonts w:eastAsia="Arial Unicode MS"/>
          <w:u w:color="00000A"/>
        </w:rPr>
        <w:t xml:space="preserve">the housing </w:t>
      </w:r>
      <w:r w:rsidRPr="00990862">
        <w:rPr>
          <w:rFonts w:eastAsia="Arial Unicode MS"/>
          <w:u w:color="00000A"/>
        </w:rPr>
        <w:t>stock</w:t>
      </w:r>
      <w:r w:rsidRPr="00E63B6C">
        <w:rPr>
          <w:rFonts w:eastAsia="Arial Unicode MS"/>
          <w:u w:color="00000A"/>
        </w:rPr>
        <w:t xml:space="preserve">. </w:t>
      </w:r>
      <w:r w:rsidRPr="00990862">
        <w:rPr>
          <w:rFonts w:eastAsia="Arial Unicode MS"/>
          <w:u w:color="00000A"/>
        </w:rPr>
        <w:t xml:space="preserve"> </w:t>
      </w:r>
      <w:r w:rsidRPr="00E63B6C">
        <w:rPr>
          <w:rFonts w:eastAsia="Arial Unicode MS"/>
          <w:u w:color="00000A"/>
        </w:rPr>
        <w:t>As such the</w:t>
      </w:r>
      <w:r w:rsidRPr="00990862">
        <w:rPr>
          <w:rFonts w:eastAsia="Arial Unicode MS"/>
          <w:u w:color="00000A"/>
        </w:rPr>
        <w:t xml:space="preserve"> project </w:t>
      </w:r>
      <w:r w:rsidRPr="00E63B6C">
        <w:rPr>
          <w:rFonts w:eastAsia="Arial Unicode MS"/>
          <w:u w:color="00000A"/>
        </w:rPr>
        <w:t xml:space="preserve">scenarios </w:t>
      </w:r>
      <w:r>
        <w:rPr>
          <w:rFonts w:eastAsia="Arial Unicode MS"/>
          <w:u w:color="00000A"/>
        </w:rPr>
        <w:t xml:space="preserve">were </w:t>
      </w:r>
      <w:r w:rsidRPr="00E63B6C">
        <w:rPr>
          <w:rFonts w:eastAsia="Arial Unicode MS"/>
          <w:u w:color="00000A"/>
        </w:rPr>
        <w:t>based on possible relative changes to weather impacts</w:t>
      </w:r>
      <w:r w:rsidRPr="00990862">
        <w:rPr>
          <w:rFonts w:eastAsia="Arial Unicode MS"/>
          <w:u w:color="00000A"/>
        </w:rPr>
        <w:t xml:space="preserve"> </w:t>
      </w:r>
      <w:r w:rsidRPr="00E63B6C">
        <w:rPr>
          <w:rFonts w:eastAsia="Arial Unicode MS"/>
          <w:u w:color="00000A"/>
        </w:rPr>
        <w:t xml:space="preserve">rather than absolute risk projections. </w:t>
      </w:r>
      <w:r w:rsidRPr="00990862">
        <w:rPr>
          <w:rFonts w:eastAsia="Arial Unicode MS"/>
          <w:u w:color="00000A"/>
        </w:rPr>
        <w:t xml:space="preserve">Whilst these scenarios worked well when </w:t>
      </w:r>
      <w:r>
        <w:rPr>
          <w:rFonts w:eastAsia="Arial Unicode MS"/>
          <w:u w:color="00000A"/>
        </w:rPr>
        <w:t xml:space="preserve">introducing the problem and </w:t>
      </w:r>
      <w:r w:rsidRPr="00990862">
        <w:rPr>
          <w:rFonts w:eastAsia="Arial Unicode MS"/>
          <w:u w:color="00000A"/>
        </w:rPr>
        <w:t xml:space="preserve">examining the generic vulnerability and resilience of </w:t>
      </w:r>
      <w:r w:rsidRPr="00E63B6C">
        <w:rPr>
          <w:rFonts w:eastAsia="Arial Unicode MS"/>
          <w:u w:color="00000A"/>
        </w:rPr>
        <w:t>the housing</w:t>
      </w:r>
      <w:r w:rsidRPr="00990862">
        <w:rPr>
          <w:rFonts w:eastAsia="Arial Unicode MS"/>
          <w:u w:color="00000A"/>
        </w:rPr>
        <w:t xml:space="preserve"> stock</w:t>
      </w:r>
      <w:r w:rsidR="00010768">
        <w:rPr>
          <w:rFonts w:eastAsia="Arial Unicode MS"/>
          <w:u w:color="00000A"/>
        </w:rPr>
        <w:t xml:space="preserve"> (see Jones et al, 2013 for further details)</w:t>
      </w:r>
      <w:r w:rsidRPr="00990862">
        <w:rPr>
          <w:rFonts w:eastAsia="Arial Unicode MS"/>
          <w:u w:color="00000A"/>
        </w:rPr>
        <w:t>, the</w:t>
      </w:r>
      <w:r>
        <w:rPr>
          <w:rFonts w:eastAsia="Arial Unicode MS"/>
          <w:u w:color="00000A"/>
        </w:rPr>
        <w:t xml:space="preserve"> lack of probability risk factors associated with the different scenarios limited their</w:t>
      </w:r>
      <w:r w:rsidRPr="00990862">
        <w:rPr>
          <w:rFonts w:eastAsia="Arial Unicode MS"/>
          <w:u w:color="00000A"/>
        </w:rPr>
        <w:t xml:space="preserve"> </w:t>
      </w:r>
      <w:r>
        <w:rPr>
          <w:rFonts w:eastAsia="Arial Unicode MS"/>
          <w:u w:color="00000A"/>
        </w:rPr>
        <w:t>credibility</w:t>
      </w:r>
      <w:r w:rsidRPr="00990862">
        <w:rPr>
          <w:rFonts w:eastAsia="Arial Unicode MS"/>
          <w:u w:color="00000A"/>
        </w:rPr>
        <w:t xml:space="preserve"> when trying to prioritise adaptation actions. The lack of projected climate risk data must be addressed if real advances in adaptation planning are to be made.</w:t>
      </w:r>
    </w:p>
    <w:p w:rsidR="008B1B04" w:rsidRPr="00990862" w:rsidRDefault="008B1B04" w:rsidP="008B1B04">
      <w:pPr>
        <w:tabs>
          <w:tab w:val="left" w:pos="720"/>
        </w:tabs>
        <w:suppressAutoHyphens/>
        <w:spacing w:after="240"/>
        <w:outlineLvl w:val="0"/>
        <w:rPr>
          <w:rFonts w:eastAsia="Arial Unicode MS"/>
          <w:u w:color="00000A"/>
        </w:rPr>
      </w:pPr>
      <w:r w:rsidRPr="00970274">
        <w:rPr>
          <w:rFonts w:eastAsia="Arial Unicode MS"/>
          <w:u w:color="00000A"/>
        </w:rPr>
        <w:t>Whilst t</w:t>
      </w:r>
      <w:r w:rsidRPr="00990862">
        <w:rPr>
          <w:rFonts w:eastAsia="Arial Unicode MS"/>
          <w:u w:color="00000A"/>
        </w:rPr>
        <w:t xml:space="preserve">he toolkits </w:t>
      </w:r>
      <w:r w:rsidRPr="00970274">
        <w:rPr>
          <w:rFonts w:eastAsia="Arial Unicode MS"/>
          <w:u w:color="00000A"/>
        </w:rPr>
        <w:t xml:space="preserve">developed </w:t>
      </w:r>
      <w:r w:rsidRPr="00990862">
        <w:rPr>
          <w:rFonts w:eastAsia="Arial Unicode MS"/>
          <w:u w:color="00000A"/>
        </w:rPr>
        <w:t xml:space="preserve">to assess the impact of flooding </w:t>
      </w:r>
      <w:r w:rsidRPr="00970274">
        <w:rPr>
          <w:rFonts w:eastAsia="Arial Unicode MS"/>
          <w:u w:color="00000A"/>
        </w:rPr>
        <w:t>(</w:t>
      </w:r>
      <w:r w:rsidRPr="00990862">
        <w:rPr>
          <w:rFonts w:eastAsia="Arial Unicode MS"/>
          <w:u w:color="00000A"/>
        </w:rPr>
        <w:t>and overheating</w:t>
      </w:r>
      <w:r w:rsidRPr="00970274">
        <w:rPr>
          <w:rFonts w:eastAsia="Arial Unicode MS"/>
          <w:u w:color="00000A"/>
        </w:rPr>
        <w:t>)</w:t>
      </w:r>
      <w:r w:rsidRPr="00990862">
        <w:rPr>
          <w:rFonts w:eastAsia="Arial Unicode MS"/>
          <w:u w:color="00000A"/>
        </w:rPr>
        <w:t xml:space="preserve"> on a range of archetypal properties worked well, allowing ‘potentially at risk’ properties to be clearly identified and generic adaptation solutions to be evaluated, the level of data required by the toolkits was significantly greater than that which existed within </w:t>
      </w:r>
      <w:r>
        <w:rPr>
          <w:rFonts w:eastAsia="Arial Unicode MS"/>
          <w:u w:color="00000A"/>
        </w:rPr>
        <w:t xml:space="preserve">the </w:t>
      </w:r>
      <w:r w:rsidRPr="00970274">
        <w:rPr>
          <w:rFonts w:eastAsia="Arial Unicode MS"/>
          <w:u w:color="00000A"/>
        </w:rPr>
        <w:t>RSLs</w:t>
      </w:r>
      <w:r w:rsidRPr="00990862">
        <w:rPr>
          <w:rFonts w:eastAsia="Arial Unicode MS"/>
          <w:u w:color="00000A"/>
        </w:rPr>
        <w:t xml:space="preserve"> built asset management database</w:t>
      </w:r>
      <w:r w:rsidRPr="00970274">
        <w:rPr>
          <w:rFonts w:eastAsia="Arial Unicode MS"/>
          <w:u w:color="00000A"/>
        </w:rPr>
        <w:t xml:space="preserve"> (step 4)</w:t>
      </w:r>
      <w:r>
        <w:rPr>
          <w:rFonts w:eastAsia="Arial Unicode MS"/>
          <w:u w:color="00000A"/>
        </w:rPr>
        <w:t>. As such re-survey work (</w:t>
      </w:r>
      <w:r w:rsidRPr="00990862">
        <w:rPr>
          <w:rFonts w:eastAsia="Arial Unicode MS"/>
          <w:u w:color="00000A"/>
        </w:rPr>
        <w:t>internal and external</w:t>
      </w:r>
      <w:r>
        <w:rPr>
          <w:rFonts w:eastAsia="Arial Unicode MS"/>
          <w:u w:color="00000A"/>
        </w:rPr>
        <w:t>)</w:t>
      </w:r>
      <w:r w:rsidRPr="00990862">
        <w:rPr>
          <w:rFonts w:eastAsia="Arial Unicode MS"/>
          <w:u w:color="00000A"/>
        </w:rPr>
        <w:t xml:space="preserve"> had to be undertaken to identify the potential impacts that flooding </w:t>
      </w:r>
      <w:r>
        <w:rPr>
          <w:rFonts w:eastAsia="Arial Unicode MS"/>
          <w:u w:color="00000A"/>
        </w:rPr>
        <w:t>(</w:t>
      </w:r>
      <w:r w:rsidRPr="00990862">
        <w:rPr>
          <w:rFonts w:eastAsia="Arial Unicode MS"/>
          <w:u w:color="00000A"/>
        </w:rPr>
        <w:t>and overheating</w:t>
      </w:r>
      <w:r>
        <w:rPr>
          <w:rFonts w:eastAsia="Arial Unicode MS"/>
          <w:u w:color="00000A"/>
        </w:rPr>
        <w:t>)</w:t>
      </w:r>
      <w:r w:rsidRPr="00990862">
        <w:rPr>
          <w:rFonts w:eastAsia="Arial Unicode MS"/>
          <w:u w:color="00000A"/>
        </w:rPr>
        <w:t xml:space="preserve"> would have on the performance of a range of property archetypes </w:t>
      </w:r>
      <w:r>
        <w:rPr>
          <w:rFonts w:eastAsia="Arial Unicode MS"/>
          <w:u w:color="00000A"/>
        </w:rPr>
        <w:t>before</w:t>
      </w:r>
      <w:r w:rsidRPr="00990862">
        <w:rPr>
          <w:rFonts w:eastAsia="Arial Unicode MS"/>
          <w:u w:color="00000A"/>
        </w:rPr>
        <w:t xml:space="preserve"> indicative adaptation solutions </w:t>
      </w:r>
      <w:r>
        <w:rPr>
          <w:rFonts w:eastAsia="Arial Unicode MS"/>
          <w:u w:color="00000A"/>
        </w:rPr>
        <w:t>could</w:t>
      </w:r>
      <w:r w:rsidRPr="00990862">
        <w:rPr>
          <w:rFonts w:eastAsia="Arial Unicode MS"/>
          <w:u w:color="00000A"/>
        </w:rPr>
        <w:t xml:space="preserve"> be identified and evaluated</w:t>
      </w:r>
      <w:r w:rsidRPr="00970274">
        <w:rPr>
          <w:rFonts w:eastAsia="Arial Unicode MS"/>
          <w:u w:color="00000A"/>
        </w:rPr>
        <w:t xml:space="preserve"> (step 5)</w:t>
      </w:r>
      <w:r w:rsidRPr="00990862">
        <w:rPr>
          <w:rFonts w:eastAsia="Arial Unicode MS"/>
          <w:u w:color="00000A"/>
        </w:rPr>
        <w:t>.  Going forward</w:t>
      </w:r>
      <w:r>
        <w:rPr>
          <w:rFonts w:eastAsia="Arial Unicode MS"/>
          <w:u w:color="00000A"/>
        </w:rPr>
        <w:t xml:space="preserve"> the </w:t>
      </w:r>
      <w:r w:rsidRPr="00970274">
        <w:rPr>
          <w:rFonts w:eastAsia="Arial Unicode MS"/>
          <w:u w:color="00000A"/>
        </w:rPr>
        <w:t xml:space="preserve">additional </w:t>
      </w:r>
      <w:r>
        <w:rPr>
          <w:rFonts w:eastAsia="Arial Unicode MS"/>
          <w:u w:color="00000A"/>
        </w:rPr>
        <w:t>data</w:t>
      </w:r>
      <w:r w:rsidRPr="00990862">
        <w:rPr>
          <w:rFonts w:eastAsia="Arial Unicode MS"/>
          <w:u w:color="00000A"/>
        </w:rPr>
        <w:t xml:space="preserve"> needed for adaptation to climate change </w:t>
      </w:r>
      <w:r>
        <w:rPr>
          <w:rFonts w:eastAsia="Arial Unicode MS"/>
          <w:u w:color="00000A"/>
        </w:rPr>
        <w:t>should be gathered as part of the routine st</w:t>
      </w:r>
      <w:r w:rsidRPr="00990862">
        <w:rPr>
          <w:rFonts w:eastAsia="Arial Unicode MS"/>
          <w:u w:color="00000A"/>
        </w:rPr>
        <w:t>ock condition survey process.</w:t>
      </w:r>
    </w:p>
    <w:p w:rsidR="008B1B04" w:rsidRDefault="008B1B04" w:rsidP="008B1B04">
      <w:pPr>
        <w:tabs>
          <w:tab w:val="left" w:pos="720"/>
        </w:tabs>
        <w:suppressAutoHyphens/>
        <w:spacing w:after="0"/>
        <w:ind w:right="-46"/>
        <w:contextualSpacing/>
        <w:outlineLvl w:val="0"/>
        <w:rPr>
          <w:rFonts w:eastAsia="Arial Unicode MS"/>
          <w:u w:color="00000A"/>
        </w:rPr>
      </w:pPr>
      <w:r w:rsidRPr="00674510">
        <w:rPr>
          <w:rFonts w:eastAsia="Arial Unicode MS"/>
          <w:u w:color="00000A"/>
        </w:rPr>
        <w:t>Whilst the RSL had a clear understanding of its performance criteria through its ‘Performance Standard’ translating this in</w:t>
      </w:r>
      <w:r>
        <w:rPr>
          <w:rFonts w:eastAsia="Arial Unicode MS"/>
          <w:u w:color="00000A"/>
        </w:rPr>
        <w:t>to</w:t>
      </w:r>
      <w:r w:rsidRPr="00674510">
        <w:rPr>
          <w:rFonts w:eastAsia="Arial Unicode MS"/>
          <w:u w:color="00000A"/>
        </w:rPr>
        <w:t xml:space="preserve"> generic adaptation principles (step 6) and </w:t>
      </w:r>
      <w:r w:rsidRPr="00990862">
        <w:rPr>
          <w:rFonts w:eastAsia="Arial Unicode MS"/>
          <w:u w:color="00000A"/>
        </w:rPr>
        <w:t xml:space="preserve">strategic level thresholds that trigger inclusion of an adaptation into their built asset management plans </w:t>
      </w:r>
      <w:r w:rsidRPr="00674510">
        <w:rPr>
          <w:rFonts w:eastAsia="Arial Unicode MS"/>
          <w:u w:color="00000A"/>
        </w:rPr>
        <w:t xml:space="preserve">(step 7) </w:t>
      </w:r>
      <w:r w:rsidRPr="00990862">
        <w:rPr>
          <w:rFonts w:eastAsia="Arial Unicode MS"/>
          <w:u w:color="00000A"/>
        </w:rPr>
        <w:t xml:space="preserve">was more </w:t>
      </w:r>
      <w:r>
        <w:rPr>
          <w:rFonts w:eastAsia="Arial Unicode MS"/>
          <w:u w:color="00000A"/>
        </w:rPr>
        <w:t>complicated</w:t>
      </w:r>
      <w:r w:rsidRPr="00990862">
        <w:rPr>
          <w:rFonts w:eastAsia="Arial Unicode MS"/>
          <w:u w:color="00000A"/>
        </w:rPr>
        <w:t xml:space="preserve"> than had originally been considered. </w:t>
      </w:r>
      <w:r w:rsidRPr="00674510">
        <w:rPr>
          <w:rFonts w:eastAsia="Arial Unicode MS"/>
          <w:u w:color="00000A"/>
        </w:rPr>
        <w:t>For example the RSL had</w:t>
      </w:r>
      <w:r w:rsidRPr="00990862">
        <w:rPr>
          <w:rFonts w:eastAsia="Arial Unicode MS"/>
          <w:u w:color="00000A"/>
        </w:rPr>
        <w:t xml:space="preserve"> a number of basement flats </w:t>
      </w:r>
      <w:r w:rsidRPr="00674510">
        <w:rPr>
          <w:rFonts w:eastAsia="Arial Unicode MS"/>
          <w:u w:color="00000A"/>
        </w:rPr>
        <w:t xml:space="preserve">that were </w:t>
      </w:r>
      <w:r w:rsidRPr="00990862">
        <w:rPr>
          <w:rFonts w:eastAsia="Arial Unicode MS"/>
          <w:u w:color="00000A"/>
        </w:rPr>
        <w:t xml:space="preserve">at risk from pluvial flooding. Whilst the initial approach to adaptation </w:t>
      </w:r>
      <w:r w:rsidRPr="00674510">
        <w:rPr>
          <w:rFonts w:eastAsia="Arial Unicode MS"/>
          <w:u w:color="00000A"/>
        </w:rPr>
        <w:t xml:space="preserve">(from the performance standard) </w:t>
      </w:r>
      <w:r w:rsidRPr="00990862">
        <w:rPr>
          <w:rFonts w:eastAsia="Arial Unicode MS"/>
          <w:u w:color="00000A"/>
        </w:rPr>
        <w:t>was to make these properties resistant to flooding, it became clear through the study that such adaptations wo</w:t>
      </w:r>
      <w:r w:rsidRPr="00674510">
        <w:rPr>
          <w:rFonts w:eastAsia="Arial Unicode MS"/>
          <w:u w:color="00000A"/>
        </w:rPr>
        <w:t xml:space="preserve">uld be uneconomical to achieve. </w:t>
      </w:r>
      <w:r w:rsidRPr="00990862">
        <w:rPr>
          <w:rFonts w:eastAsia="Arial Unicode MS"/>
          <w:u w:color="00000A"/>
        </w:rPr>
        <w:t xml:space="preserve">As such </w:t>
      </w:r>
      <w:r w:rsidRPr="00674510">
        <w:rPr>
          <w:rFonts w:eastAsia="Arial Unicode MS"/>
          <w:u w:color="00000A"/>
        </w:rPr>
        <w:t xml:space="preserve">a compromise </w:t>
      </w:r>
      <w:r w:rsidRPr="00990862">
        <w:rPr>
          <w:rFonts w:eastAsia="Arial Unicode MS"/>
          <w:u w:color="00000A"/>
        </w:rPr>
        <w:t xml:space="preserve">threshold </w:t>
      </w:r>
      <w:r w:rsidRPr="00674510">
        <w:rPr>
          <w:rFonts w:eastAsia="Arial Unicode MS"/>
          <w:u w:color="00000A"/>
        </w:rPr>
        <w:t xml:space="preserve">was agreed </w:t>
      </w:r>
      <w:r w:rsidRPr="00990862">
        <w:rPr>
          <w:rFonts w:eastAsia="Arial Unicode MS"/>
          <w:u w:color="00000A"/>
        </w:rPr>
        <w:t xml:space="preserve">for these properties to allow them to flood but improve their resilience to speed up recovery. </w:t>
      </w:r>
      <w:r w:rsidRPr="00674510">
        <w:rPr>
          <w:rFonts w:eastAsia="Arial Unicode MS"/>
          <w:u w:color="00000A"/>
        </w:rPr>
        <w:t xml:space="preserve">Initially the RSL were very concerned that this approach would be interpreted by tenants as a ‘don’t care’ attitude (contrary to the Performance Standard Principles) and as such they added a non-technical adaptation to </w:t>
      </w:r>
      <w:r w:rsidRPr="00990862">
        <w:rPr>
          <w:rFonts w:eastAsia="Arial Unicode MS"/>
          <w:u w:color="00000A"/>
        </w:rPr>
        <w:t xml:space="preserve">work closely with tenants in the potentially </w:t>
      </w:r>
      <w:r w:rsidRPr="00674510">
        <w:rPr>
          <w:rFonts w:eastAsia="Arial Unicode MS"/>
          <w:u w:color="00000A"/>
        </w:rPr>
        <w:t>‘</w:t>
      </w:r>
      <w:r w:rsidRPr="00990862">
        <w:rPr>
          <w:rFonts w:eastAsia="Arial Unicode MS"/>
          <w:u w:color="00000A"/>
        </w:rPr>
        <w:t>at risk</w:t>
      </w:r>
      <w:r w:rsidRPr="00674510">
        <w:rPr>
          <w:rFonts w:eastAsia="Arial Unicode MS"/>
          <w:u w:color="00000A"/>
        </w:rPr>
        <w:t>’</w:t>
      </w:r>
      <w:r w:rsidRPr="00990862">
        <w:rPr>
          <w:rFonts w:eastAsia="Arial Unicode MS"/>
          <w:u w:color="00000A"/>
        </w:rPr>
        <w:t xml:space="preserve"> properties to explain how they will support tenants through</w:t>
      </w:r>
      <w:r>
        <w:rPr>
          <w:rFonts w:eastAsia="Arial Unicode MS"/>
          <w:u w:color="00000A"/>
        </w:rPr>
        <w:t xml:space="preserve"> a flooding event. This included </w:t>
      </w:r>
      <w:r>
        <w:rPr>
          <w:rFonts w:eastAsia="Arial Unicode MS"/>
          <w:u w:color="00000A"/>
        </w:rPr>
        <w:lastRenderedPageBreak/>
        <w:t xml:space="preserve">working with tenants to help them develop personal flood plans; </w:t>
      </w:r>
      <w:r w:rsidRPr="00990862">
        <w:rPr>
          <w:rFonts w:eastAsia="Arial Unicode MS"/>
          <w:u w:color="00000A"/>
        </w:rPr>
        <w:t xml:space="preserve">providing support to </w:t>
      </w:r>
      <w:r>
        <w:rPr>
          <w:rFonts w:eastAsia="Arial Unicode MS"/>
          <w:u w:color="00000A"/>
        </w:rPr>
        <w:t xml:space="preserve">allow tenants to </w:t>
      </w:r>
      <w:r w:rsidRPr="00990862">
        <w:rPr>
          <w:rFonts w:eastAsia="Arial Unicode MS"/>
          <w:u w:color="00000A"/>
        </w:rPr>
        <w:t>protect valuable items</w:t>
      </w:r>
      <w:r>
        <w:rPr>
          <w:rFonts w:eastAsia="Arial Unicode MS"/>
          <w:u w:color="00000A"/>
        </w:rPr>
        <w:t>;</w:t>
      </w:r>
      <w:r w:rsidRPr="00990862">
        <w:rPr>
          <w:rFonts w:eastAsia="Arial Unicode MS"/>
          <w:u w:color="00000A"/>
        </w:rPr>
        <w:t xml:space="preserve"> and having robust relocation plans in place.</w:t>
      </w:r>
      <w:r>
        <w:rPr>
          <w:rFonts w:eastAsia="Arial Unicode MS"/>
          <w:u w:color="00000A"/>
        </w:rPr>
        <w:t xml:space="preserve"> </w:t>
      </w:r>
    </w:p>
    <w:p w:rsidR="008B1B04" w:rsidRDefault="008B1B04" w:rsidP="008B1B04">
      <w:pPr>
        <w:tabs>
          <w:tab w:val="left" w:pos="720"/>
        </w:tabs>
        <w:suppressAutoHyphens/>
        <w:spacing w:after="0"/>
        <w:ind w:right="-46"/>
        <w:contextualSpacing/>
        <w:outlineLvl w:val="0"/>
        <w:rPr>
          <w:rFonts w:eastAsia="Arial Unicode MS"/>
          <w:u w:color="00000A"/>
        </w:rPr>
      </w:pPr>
    </w:p>
    <w:p w:rsidR="008B1B04" w:rsidRDefault="008B1B04" w:rsidP="008B1B04">
      <w:pPr>
        <w:tabs>
          <w:tab w:val="left" w:pos="720"/>
        </w:tabs>
        <w:suppressAutoHyphens/>
        <w:spacing w:after="0"/>
        <w:ind w:right="-46"/>
        <w:contextualSpacing/>
        <w:outlineLvl w:val="0"/>
      </w:pPr>
      <w:r>
        <w:rPr>
          <w:rFonts w:eastAsia="Arial Unicode MS"/>
          <w:u w:color="00000A"/>
        </w:rPr>
        <w:t xml:space="preserve">The other problem with </w:t>
      </w:r>
      <w:r w:rsidRPr="0025178F">
        <w:rPr>
          <w:rFonts w:eastAsia="Arial Unicode MS"/>
          <w:u w:color="00000A"/>
        </w:rPr>
        <w:t xml:space="preserve">setting meaningful priority thresholds (step 7) and developing adaptation plans (steps 8 and 9) </w:t>
      </w:r>
      <w:r>
        <w:rPr>
          <w:rFonts w:eastAsia="Arial Unicode MS"/>
          <w:u w:color="00000A"/>
        </w:rPr>
        <w:t>was the</w:t>
      </w:r>
      <w:r w:rsidRPr="00990862">
        <w:rPr>
          <w:rFonts w:eastAsia="Arial Unicode MS"/>
          <w:u w:color="00000A"/>
        </w:rPr>
        <w:t xml:space="preserve"> lack of </w:t>
      </w:r>
      <w:r w:rsidRPr="0025178F">
        <w:rPr>
          <w:rFonts w:eastAsia="Arial Unicode MS"/>
          <w:u w:color="00000A"/>
        </w:rPr>
        <w:t xml:space="preserve">quantifiable (probabilistic) </w:t>
      </w:r>
      <w:r w:rsidRPr="00990862">
        <w:rPr>
          <w:rFonts w:eastAsia="Arial Unicode MS"/>
          <w:u w:color="00000A"/>
        </w:rPr>
        <w:t xml:space="preserve">projected </w:t>
      </w:r>
      <w:r w:rsidRPr="0025178F">
        <w:rPr>
          <w:rFonts w:eastAsia="Arial Unicode MS"/>
          <w:u w:color="00000A"/>
        </w:rPr>
        <w:t>weather impact</w:t>
      </w:r>
      <w:r w:rsidRPr="00990862">
        <w:rPr>
          <w:rFonts w:eastAsia="Arial Unicode MS"/>
          <w:u w:color="00000A"/>
        </w:rPr>
        <w:t xml:space="preserve"> data </w:t>
      </w:r>
      <w:r w:rsidRPr="0025178F">
        <w:rPr>
          <w:rFonts w:eastAsia="Arial Unicode MS"/>
          <w:u w:color="00000A"/>
        </w:rPr>
        <w:t xml:space="preserve">and the numerous gaps in building data meant that only the most obvious adaptations were prioritised for action with the vast majority of adaptations being put ‘on hold’ until better information is available or until the future risk became obvious. </w:t>
      </w:r>
      <w:r w:rsidRPr="00990862">
        <w:rPr>
          <w:rFonts w:eastAsia="Arial Unicode MS"/>
          <w:u w:color="00000A"/>
        </w:rPr>
        <w:t xml:space="preserve">As such, </w:t>
      </w:r>
      <w:r w:rsidRPr="0025178F">
        <w:rPr>
          <w:rFonts w:eastAsia="Arial Unicode MS"/>
          <w:u w:color="00000A"/>
        </w:rPr>
        <w:t>the</w:t>
      </w:r>
      <w:r w:rsidRPr="00990862">
        <w:rPr>
          <w:rFonts w:eastAsia="Arial Unicode MS"/>
          <w:u w:color="00000A"/>
        </w:rPr>
        <w:t xml:space="preserve"> adaptation strategy can best be described as cautious</w:t>
      </w:r>
      <w:r w:rsidRPr="0025178F">
        <w:rPr>
          <w:rFonts w:eastAsia="Arial Unicode MS"/>
          <w:u w:color="00000A"/>
        </w:rPr>
        <w:t xml:space="preserve"> and reactionary</w:t>
      </w:r>
      <w:r w:rsidRPr="00990862">
        <w:rPr>
          <w:rFonts w:eastAsia="Arial Unicode MS"/>
          <w:u w:color="00000A"/>
        </w:rPr>
        <w:t xml:space="preserve">. </w:t>
      </w:r>
      <w:r w:rsidRPr="0025178F">
        <w:rPr>
          <w:rFonts w:eastAsia="Arial Unicode MS"/>
          <w:u w:color="00000A"/>
        </w:rPr>
        <w:t xml:space="preserve">This approach is at odds with the need to </w:t>
      </w:r>
      <w:r w:rsidRPr="0025178F">
        <w:t xml:space="preserve">accelerate adaptation of the </w:t>
      </w:r>
      <w:r w:rsidR="00010768">
        <w:t xml:space="preserve">existing </w:t>
      </w:r>
      <w:r w:rsidRPr="0025178F">
        <w:t>built environment (IPCC, 2014b).</w:t>
      </w:r>
    </w:p>
    <w:p w:rsidR="008B1B04" w:rsidRPr="00010768" w:rsidRDefault="008B1B04" w:rsidP="00CF53E5">
      <w:pPr>
        <w:pStyle w:val="Heading1"/>
        <w:rPr>
          <w:rFonts w:cs="Arial"/>
          <w:b w:val="0"/>
          <w:szCs w:val="30"/>
        </w:rPr>
      </w:pPr>
      <w:r w:rsidRPr="00010768">
        <w:rPr>
          <w:rFonts w:cs="Arial"/>
          <w:szCs w:val="30"/>
        </w:rPr>
        <w:t>Conclusions</w:t>
      </w:r>
    </w:p>
    <w:p w:rsidR="008B1B04" w:rsidRDefault="008B1B04" w:rsidP="008B1B04">
      <w:pPr>
        <w:outlineLvl w:val="0"/>
        <w:rPr>
          <w:rFonts w:eastAsia="Arial Unicode MS"/>
          <w:u w:color="00000A"/>
        </w:rPr>
      </w:pPr>
      <w:r>
        <w:rPr>
          <w:rFonts w:eastAsia="Arial Unicode MS"/>
          <w:u w:color="00000A"/>
        </w:rPr>
        <w:t>This</w:t>
      </w:r>
      <w:r w:rsidRPr="00B973BB">
        <w:rPr>
          <w:rFonts w:eastAsia="Arial Unicode MS"/>
          <w:u w:color="00000A"/>
        </w:rPr>
        <w:t xml:space="preserve"> project </w:t>
      </w:r>
      <w:r>
        <w:rPr>
          <w:rFonts w:eastAsia="Arial Unicode MS"/>
          <w:u w:color="00000A"/>
        </w:rPr>
        <w:t>sought to integrate a theoretical adaptation framework with a performance based built asset management model to provide an approach by which Facilities Managers could develop short, medium and long term climate change adaptation plans. The project has described how a series of performance toolkits can be used to identify potential impacts of climate change on the performance of a house and how triggers and thresholds based on an organisation’s CSFs can be used to prioritise interventions as part of routine maintenance and refurbishment planning. Although developed for housing the 10 step model should be applicable to most property types.</w:t>
      </w:r>
    </w:p>
    <w:p w:rsidR="008B1B04" w:rsidRDefault="008B1B04" w:rsidP="008B1B04">
      <w:pPr>
        <w:outlineLvl w:val="0"/>
      </w:pPr>
      <w:r>
        <w:t>W</w:t>
      </w:r>
      <w:r w:rsidRPr="00B973BB">
        <w:t xml:space="preserve">hilst the underlying theory and the assessment tools developed in the project worked well, some of the underlying data required to support the tools was lacking or incomplete. As such, working assumptions had to be made that reduced the level of detail and confidence that </w:t>
      </w:r>
      <w:r>
        <w:t>Facilities Managers</w:t>
      </w:r>
      <w:r w:rsidRPr="00B973BB">
        <w:t xml:space="preserve"> had in the final adaptation plans.  At the time of this project there was no consistent UK wide data on the future impact that climate change could have on physical performance of the building stock. Most flood maps that were available didn’t accommodate climate change scenarios and, in the case of pluvial flooding, didn’t map future rainfall predictions onto local drainage topology. As such the future flooding scenarios lack the currency associated with existing fluvial flood assessment. Where there are accepted climate change models, organisations asset management databases don’t generally contain the level of building detail required to develop adaptation solutions. Whilst these issues do not undermine the development of the adaptation strategy, they will influence attitudes towards adaptation planning, resulting in a wait and see approach which is at odds with the needs to plan for the implications of climate change. </w:t>
      </w:r>
      <w:r>
        <w:t>Better national and organisational data sets are needed to address this shortcoming.</w:t>
      </w:r>
    </w:p>
    <w:p w:rsidR="008B1B04" w:rsidRDefault="008B1B04" w:rsidP="008B1B04">
      <w:pPr>
        <w:outlineLvl w:val="0"/>
        <w:rPr>
          <w:b/>
        </w:rPr>
      </w:pPr>
      <w:r>
        <w:t>Finally, whilst the technical approach described in this paper worked well</w:t>
      </w:r>
      <w:r w:rsidR="005D7F4D">
        <w:t>, it was developed within a mature (in climate change adaptation and mitigation terms) organisation that had previously assessed its vulnerability, resilience and adaptive capacity to respond to potential climate change threats (see Jones et al, 2013).  The approach may not be as easy to replicate for organisations who have not gone through this process. Also,</w:t>
      </w:r>
      <w:r>
        <w:t xml:space="preserve"> it should always be remembered that it is people who are ultimately affected by the impacts of climate change and more work does need to be done to understand the factors that affect an individual’s vulnerability and resilience. In this study no account was taken of vulnerable people living in vulnerable houses. </w:t>
      </w:r>
    </w:p>
    <w:p w:rsidR="008B1B04" w:rsidRPr="00010768" w:rsidRDefault="008B1B04" w:rsidP="00010768">
      <w:pPr>
        <w:pStyle w:val="Heading1"/>
      </w:pPr>
      <w:r w:rsidRPr="00010768">
        <w:lastRenderedPageBreak/>
        <w:t>Acknowledgements</w:t>
      </w:r>
    </w:p>
    <w:p w:rsidR="008B1B04" w:rsidRPr="00B973BB" w:rsidRDefault="008B1B04" w:rsidP="008B1B04">
      <w:pPr>
        <w:outlineLvl w:val="0"/>
      </w:pPr>
      <w:r w:rsidRPr="00B973BB">
        <w:t xml:space="preserve">The authors would like to acknowledge the support of the Engineering and Physical Sciences Research Council who funded the initial study (Grant Number </w:t>
      </w:r>
      <w:r w:rsidRPr="00B973BB">
        <w:rPr>
          <w:bCs/>
        </w:rPr>
        <w:t>EP/F035861/1</w:t>
      </w:r>
      <w:r w:rsidRPr="00B973BB">
        <w:t>) that developed the theoretical model on which this work was based and the Technology Strategy Board (Project Number 13839-86229) who funded the development of the adaptation strategy.</w:t>
      </w:r>
    </w:p>
    <w:p w:rsidR="008B1B04" w:rsidRPr="00010768" w:rsidRDefault="008B1B04" w:rsidP="00010768">
      <w:pPr>
        <w:jc w:val="center"/>
        <w:rPr>
          <w:b/>
          <w:sz w:val="30"/>
          <w:szCs w:val="30"/>
        </w:rPr>
      </w:pPr>
      <w:r w:rsidRPr="00010768">
        <w:rPr>
          <w:b/>
          <w:sz w:val="30"/>
          <w:szCs w:val="30"/>
        </w:rPr>
        <w:t>References</w:t>
      </w:r>
    </w:p>
    <w:p w:rsidR="008B1B04" w:rsidRPr="00CD0A6C" w:rsidRDefault="00D70309" w:rsidP="00581D15">
      <w:pPr>
        <w:jc w:val="left"/>
      </w:pPr>
      <w:r>
        <w:t>CLG (2007</w:t>
      </w:r>
      <w:r w:rsidRPr="00D70309">
        <w:rPr>
          <w:i/>
        </w:rPr>
        <w:t xml:space="preserve">)  </w:t>
      </w:r>
      <w:r w:rsidR="008B1B04" w:rsidRPr="00D70309">
        <w:rPr>
          <w:i/>
        </w:rPr>
        <w:t>Improving the Flood Performance of New Buildings</w:t>
      </w:r>
      <w:r w:rsidR="008B1B04" w:rsidRPr="00CD0A6C">
        <w:t xml:space="preserve">, RIBA Publishing, ISBN 978 1 85946 287 4, </w:t>
      </w:r>
      <w:r>
        <w:t>(</w:t>
      </w:r>
      <w:r w:rsidR="008B1B04" w:rsidRPr="00CD0A6C">
        <w:t xml:space="preserve">available </w:t>
      </w:r>
      <w:r>
        <w:t>online</w:t>
      </w:r>
      <w:r w:rsidR="008B1B04" w:rsidRPr="00CD0A6C">
        <w:t xml:space="preserve"> </w:t>
      </w:r>
      <w:hyperlink r:id="rId17" w:history="1">
        <w:r w:rsidR="008B1B04" w:rsidRPr="00CD0A6C">
          <w:rPr>
            <w:rStyle w:val="Hyperlink"/>
          </w:rPr>
          <w:t>http://www.planningportal.gov.uk/uploads/br/flood_performance.pdf</w:t>
        </w:r>
      </w:hyperlink>
      <w:r w:rsidR="00581D15">
        <w:t xml:space="preserve"> </w:t>
      </w:r>
      <w:r>
        <w:t>[</w:t>
      </w:r>
      <w:r w:rsidR="008B1B04" w:rsidRPr="00CD0A6C">
        <w:t xml:space="preserve">accessed </w:t>
      </w:r>
      <w:r>
        <w:t xml:space="preserve">on </w:t>
      </w:r>
      <w:r w:rsidR="008B1B04">
        <w:t>30</w:t>
      </w:r>
      <w:r w:rsidR="008B1B04" w:rsidRPr="00CD0A6C">
        <w:t xml:space="preserve"> </w:t>
      </w:r>
      <w:r w:rsidR="008B1B04">
        <w:t>November</w:t>
      </w:r>
      <w:r w:rsidR="008B1B04" w:rsidRPr="00CD0A6C">
        <w:t xml:space="preserve"> 201</w:t>
      </w:r>
      <w:r w:rsidR="008B1B04">
        <w:t>5</w:t>
      </w:r>
      <w:r>
        <w:t>]</w:t>
      </w:r>
      <w:r w:rsidR="008B1B04" w:rsidRPr="00CD0A6C">
        <w:t>).</w:t>
      </w:r>
    </w:p>
    <w:p w:rsidR="008B1B04" w:rsidRPr="00CD0A6C" w:rsidRDefault="00D70309" w:rsidP="00581D15">
      <w:pPr>
        <w:jc w:val="left"/>
        <w:rPr>
          <w:bCs/>
        </w:rPr>
      </w:pPr>
      <w:r>
        <w:rPr>
          <w:lang w:val="en"/>
        </w:rPr>
        <w:t xml:space="preserve">CLG (2009) </w:t>
      </w:r>
      <w:r w:rsidRPr="00D70309">
        <w:rPr>
          <w:i/>
          <w:lang w:val="en"/>
        </w:rPr>
        <w:t>PPS25 Practice Guide</w:t>
      </w:r>
      <w:r w:rsidR="008B1B04" w:rsidRPr="00CD0A6C">
        <w:rPr>
          <w:lang w:val="en"/>
        </w:rPr>
        <w:t xml:space="preserve">, </w:t>
      </w:r>
      <w:r>
        <w:rPr>
          <w:lang w:val="en"/>
        </w:rPr>
        <w:t>(</w:t>
      </w:r>
      <w:r w:rsidR="008B1B04" w:rsidRPr="00CD0A6C">
        <w:rPr>
          <w:lang w:val="en"/>
        </w:rPr>
        <w:t xml:space="preserve">available </w:t>
      </w:r>
      <w:r>
        <w:rPr>
          <w:lang w:val="en"/>
        </w:rPr>
        <w:t>online</w:t>
      </w:r>
      <w:r w:rsidR="008B1B04" w:rsidRPr="00CD0A6C">
        <w:rPr>
          <w:lang w:val="en"/>
        </w:rPr>
        <w:t xml:space="preserve"> </w:t>
      </w:r>
      <w:hyperlink r:id="rId18" w:history="1">
        <w:r w:rsidR="008B1B04" w:rsidRPr="00CD0A6C">
          <w:rPr>
            <w:rStyle w:val="Hyperlink"/>
            <w:lang w:val="en"/>
          </w:rPr>
          <w:t xml:space="preserve">https://www.gov.uk/government/uploads/system/uploads/attachment_data/file/7772/pps25guideupdate.pdf </w:t>
        </w:r>
      </w:hyperlink>
      <w:r w:rsidR="008B1B04" w:rsidRPr="00CD0A6C">
        <w:rPr>
          <w:lang w:val="en"/>
        </w:rPr>
        <w:t xml:space="preserve"> </w:t>
      </w:r>
      <w:r>
        <w:rPr>
          <w:lang w:val="en"/>
        </w:rPr>
        <w:t>[</w:t>
      </w:r>
      <w:r w:rsidR="008B1B04" w:rsidRPr="00CD0A6C">
        <w:rPr>
          <w:lang w:val="en"/>
        </w:rPr>
        <w:t xml:space="preserve">accessed </w:t>
      </w:r>
      <w:r>
        <w:rPr>
          <w:lang w:val="en"/>
        </w:rPr>
        <w:t xml:space="preserve">on </w:t>
      </w:r>
      <w:r w:rsidR="008B1B04">
        <w:rPr>
          <w:lang w:val="en"/>
        </w:rPr>
        <w:t>30</w:t>
      </w:r>
      <w:r w:rsidR="008B1B04" w:rsidRPr="00CD0A6C">
        <w:rPr>
          <w:lang w:val="en"/>
        </w:rPr>
        <w:t xml:space="preserve"> </w:t>
      </w:r>
      <w:r w:rsidR="008B1B04">
        <w:rPr>
          <w:lang w:val="en"/>
        </w:rPr>
        <w:t>November 2015</w:t>
      </w:r>
      <w:r>
        <w:rPr>
          <w:lang w:val="en"/>
        </w:rPr>
        <w:t>]</w:t>
      </w:r>
      <w:r w:rsidR="008B1B04" w:rsidRPr="00CD0A6C">
        <w:rPr>
          <w:lang w:val="en"/>
        </w:rPr>
        <w:t>).</w:t>
      </w:r>
      <w:r w:rsidR="008B1B04" w:rsidRPr="00CD0A6C">
        <w:rPr>
          <w:bCs/>
        </w:rPr>
        <w:t xml:space="preserve"> </w:t>
      </w:r>
    </w:p>
    <w:p w:rsidR="008B1B04" w:rsidRPr="00CD0A6C" w:rsidRDefault="00D70309" w:rsidP="00581D15">
      <w:pPr>
        <w:jc w:val="left"/>
        <w:rPr>
          <w:lang w:val="en"/>
        </w:rPr>
      </w:pPr>
      <w:r>
        <w:t xml:space="preserve">Environment Agency (2009) </w:t>
      </w:r>
      <w:r w:rsidR="008B1B04" w:rsidRPr="00D70309">
        <w:rPr>
          <w:i/>
          <w:lang w:val="en"/>
        </w:rPr>
        <w:t>The Flood Risk Regulations 2009</w:t>
      </w:r>
      <w:r w:rsidR="008B1B04" w:rsidRPr="00CD0A6C">
        <w:rPr>
          <w:lang w:val="en"/>
        </w:rPr>
        <w:t xml:space="preserve">, </w:t>
      </w:r>
      <w:r>
        <w:rPr>
          <w:lang w:val="en"/>
        </w:rPr>
        <w:t>(</w:t>
      </w:r>
      <w:r w:rsidR="008B1B04" w:rsidRPr="00CD0A6C">
        <w:rPr>
          <w:lang w:val="en"/>
        </w:rPr>
        <w:t xml:space="preserve">available </w:t>
      </w:r>
      <w:r>
        <w:rPr>
          <w:lang w:val="en"/>
        </w:rPr>
        <w:t>online</w:t>
      </w:r>
      <w:r w:rsidR="008B1B04" w:rsidRPr="00CD0A6C">
        <w:rPr>
          <w:lang w:val="en"/>
        </w:rPr>
        <w:t xml:space="preserve"> </w:t>
      </w:r>
      <w:hyperlink r:id="rId19" w:history="1">
        <w:r w:rsidR="008B1B04" w:rsidRPr="00CD0A6C">
          <w:rPr>
            <w:rStyle w:val="Hyperlink"/>
            <w:lang w:val="en"/>
          </w:rPr>
          <w:t>http://www.legislation.gov.uk/uksi/2009/3042/contents/made accessed on 04/02/2013</w:t>
        </w:r>
      </w:hyperlink>
      <w:r>
        <w:rPr>
          <w:lang w:val="en"/>
        </w:rPr>
        <w:t xml:space="preserve"> [</w:t>
      </w:r>
      <w:r w:rsidR="008B1B04" w:rsidRPr="00CD0A6C">
        <w:rPr>
          <w:lang w:val="en"/>
        </w:rPr>
        <w:t xml:space="preserve">accessed </w:t>
      </w:r>
      <w:r>
        <w:rPr>
          <w:lang w:val="en"/>
        </w:rPr>
        <w:t xml:space="preserve">on </w:t>
      </w:r>
      <w:r w:rsidR="008B1B04">
        <w:rPr>
          <w:lang w:val="en"/>
        </w:rPr>
        <w:t>30</w:t>
      </w:r>
      <w:r w:rsidR="008B1B04" w:rsidRPr="00CD0A6C">
        <w:rPr>
          <w:lang w:val="en"/>
        </w:rPr>
        <w:t xml:space="preserve"> </w:t>
      </w:r>
      <w:r w:rsidR="008B1B04">
        <w:rPr>
          <w:lang w:val="en"/>
        </w:rPr>
        <w:t>November 2</w:t>
      </w:r>
      <w:r w:rsidR="008B1B04" w:rsidRPr="00CD0A6C">
        <w:rPr>
          <w:lang w:val="en"/>
        </w:rPr>
        <w:t>01</w:t>
      </w:r>
      <w:r w:rsidR="008B1B04">
        <w:rPr>
          <w:lang w:val="en"/>
        </w:rPr>
        <w:t>5</w:t>
      </w:r>
      <w:r>
        <w:rPr>
          <w:lang w:val="en"/>
        </w:rPr>
        <w:t>]</w:t>
      </w:r>
      <w:r w:rsidR="008B1B04" w:rsidRPr="00CD0A6C">
        <w:rPr>
          <w:lang w:val="en"/>
        </w:rPr>
        <w:t>).</w:t>
      </w:r>
    </w:p>
    <w:p w:rsidR="008B1B04" w:rsidRPr="00CD0A6C" w:rsidRDefault="00D70309" w:rsidP="00581D15">
      <w:pPr>
        <w:jc w:val="left"/>
      </w:pPr>
      <w:r>
        <w:t xml:space="preserve">Hallett, S. (2013) </w:t>
      </w:r>
      <w:r w:rsidR="008B1B04" w:rsidRPr="00D70309">
        <w:rPr>
          <w:i/>
        </w:rPr>
        <w:t>Community Resilience to Extreme Weather- the CREW Project: Final Report</w:t>
      </w:r>
      <w:r w:rsidR="008B1B04" w:rsidRPr="00CD0A6C">
        <w:t xml:space="preserve">, </w:t>
      </w:r>
      <w:r>
        <w:t>(</w:t>
      </w:r>
      <w:r w:rsidR="008B1B04" w:rsidRPr="00CD0A6C">
        <w:t xml:space="preserve">available </w:t>
      </w:r>
      <w:r>
        <w:t xml:space="preserve">online </w:t>
      </w:r>
      <w:hyperlink r:id="rId20" w:history="1">
        <w:r w:rsidR="008B1B04" w:rsidRPr="00CD0A6C">
          <w:rPr>
            <w:rStyle w:val="Hyperlink"/>
          </w:rPr>
          <w:t>www.exytreme-weather-impacts.net</w:t>
        </w:r>
      </w:hyperlink>
      <w:r>
        <w:t>. [</w:t>
      </w:r>
      <w:r w:rsidR="008B1B04" w:rsidRPr="00CD0A6C">
        <w:t xml:space="preserve">accessed </w:t>
      </w:r>
      <w:r>
        <w:t xml:space="preserve">on </w:t>
      </w:r>
      <w:r w:rsidR="008B1B04" w:rsidRPr="00CD0A6C">
        <w:t>20 February 201</w:t>
      </w:r>
      <w:r>
        <w:t>6]</w:t>
      </w:r>
      <w:r w:rsidR="008B1B04" w:rsidRPr="00CD0A6C">
        <w:t>).</w:t>
      </w:r>
    </w:p>
    <w:p w:rsidR="008B1B04" w:rsidRPr="00CD0A6C" w:rsidRDefault="008B1B04" w:rsidP="00581D15">
      <w:pPr>
        <w:jc w:val="left"/>
      </w:pPr>
      <w:r w:rsidRPr="00CD0A6C">
        <w:t xml:space="preserve">IPCC. (2014a) </w:t>
      </w:r>
      <w:r w:rsidRPr="00D70309">
        <w:rPr>
          <w:i/>
        </w:rPr>
        <w:t>Synthesis Report Summary for Policy makers</w:t>
      </w:r>
      <w:r w:rsidR="00D70309">
        <w:rPr>
          <w:i/>
        </w:rPr>
        <w:t>,</w:t>
      </w:r>
      <w:r w:rsidRPr="00CD0A6C">
        <w:t xml:space="preserve"> </w:t>
      </w:r>
      <w:r w:rsidR="00D70309">
        <w:t>(</w:t>
      </w:r>
      <w:r w:rsidRPr="00CD0A6C">
        <w:t xml:space="preserve">available </w:t>
      </w:r>
      <w:r w:rsidR="00D70309">
        <w:t>online</w:t>
      </w:r>
      <w:r w:rsidRPr="00CD0A6C">
        <w:t xml:space="preserve"> </w:t>
      </w:r>
      <w:r>
        <w:t>h</w:t>
      </w:r>
      <w:r w:rsidRPr="00CD0A6C">
        <w:t xml:space="preserve">ttp://www.ipcc.ch/pdf/assessment-report/ar5/syr/AR5_SYR_FINAL_SPM.pdf </w:t>
      </w:r>
      <w:r w:rsidR="00D70309">
        <w:t>[</w:t>
      </w:r>
      <w:r w:rsidRPr="00CD0A6C">
        <w:t xml:space="preserve">accessed </w:t>
      </w:r>
      <w:r w:rsidR="00D70309">
        <w:t xml:space="preserve">on </w:t>
      </w:r>
      <w:r w:rsidRPr="00CD0A6C">
        <w:t>30 Nov 2015</w:t>
      </w:r>
      <w:r w:rsidR="00D70309">
        <w:t>]</w:t>
      </w:r>
      <w:r w:rsidRPr="00CD0A6C">
        <w:t>)</w:t>
      </w:r>
      <w:r w:rsidR="00D70309">
        <w:t>.</w:t>
      </w:r>
    </w:p>
    <w:p w:rsidR="008B1B04" w:rsidRPr="00CD0A6C" w:rsidRDefault="008B1B04" w:rsidP="00581D15">
      <w:pPr>
        <w:jc w:val="left"/>
        <w:rPr>
          <w:color w:val="FF0000"/>
        </w:rPr>
      </w:pPr>
      <w:r w:rsidRPr="00CD0A6C">
        <w:t>IPCC. (2014</w:t>
      </w:r>
      <w:r>
        <w:t>b</w:t>
      </w:r>
      <w:r w:rsidRPr="00CD0A6C">
        <w:t xml:space="preserve">) </w:t>
      </w:r>
      <w:r w:rsidRPr="00D70309">
        <w:rPr>
          <w:i/>
        </w:rPr>
        <w:t>Climate change 2014, impacts, adaptation and vulnerability</w:t>
      </w:r>
      <w:r w:rsidR="00D70309">
        <w:rPr>
          <w:i/>
        </w:rPr>
        <w:t>,</w:t>
      </w:r>
      <w:r w:rsidRPr="00CD0A6C">
        <w:t xml:space="preserve"> </w:t>
      </w:r>
      <w:r w:rsidR="00D70309">
        <w:t>(</w:t>
      </w:r>
      <w:r w:rsidRPr="00CD0A6C">
        <w:t xml:space="preserve">available </w:t>
      </w:r>
      <w:r w:rsidR="00D70309">
        <w:t>online</w:t>
      </w:r>
      <w:r>
        <w:t xml:space="preserve"> </w:t>
      </w:r>
      <w:hyperlink r:id="rId21" w:history="1">
        <w:r w:rsidRPr="00CD0A6C">
          <w:rPr>
            <w:rStyle w:val="Hyperlink"/>
          </w:rPr>
          <w:t>http://ipcc-wg2.gov/AR5/images/uploads/WG2AR5_SPM_FINAL.pdf</w:t>
        </w:r>
      </w:hyperlink>
      <w:r w:rsidR="00D70309">
        <w:t xml:space="preserve"> [</w:t>
      </w:r>
      <w:r w:rsidRPr="00CD0A6C">
        <w:t>accessed on 30 Nov 2015</w:t>
      </w:r>
      <w:r w:rsidR="00D70309">
        <w:t>]).</w:t>
      </w:r>
    </w:p>
    <w:p w:rsidR="008B1B04" w:rsidRPr="00CD0A6C" w:rsidRDefault="008B1B04" w:rsidP="00581D15">
      <w:pPr>
        <w:jc w:val="left"/>
      </w:pPr>
      <w:r w:rsidRPr="00CD0A6C">
        <w:t>Jones, K. G., Brydson, H</w:t>
      </w:r>
      <w:r w:rsidR="001C2ACF">
        <w:t>., Ali, F. &amp; Cooper, J. (2013) “</w:t>
      </w:r>
      <w:r w:rsidRPr="00CD0A6C">
        <w:t>Assessing vulnerability, resilience and adaptive c</w:t>
      </w:r>
      <w:r w:rsidR="001C2ACF">
        <w:t>apacity of a UK Social Landlord”</w:t>
      </w:r>
      <w:r w:rsidRPr="00CD0A6C">
        <w:t xml:space="preserve">, </w:t>
      </w:r>
      <w:r w:rsidRPr="00D70309">
        <w:rPr>
          <w:i/>
        </w:rPr>
        <w:t>International Journal of Disaster Resilience in the Built Environment</w:t>
      </w:r>
      <w:r w:rsidRPr="00CD0A6C">
        <w:t>, Vol 4, No 3, pp287-296.</w:t>
      </w:r>
    </w:p>
    <w:p w:rsidR="008B1B04" w:rsidRPr="00CD0A6C" w:rsidRDefault="001C2ACF" w:rsidP="00581D15">
      <w:pPr>
        <w:jc w:val="left"/>
      </w:pPr>
      <w:r>
        <w:t>Jones, K. and Sharp, M. “</w:t>
      </w:r>
      <w:r w:rsidR="008B1B04" w:rsidRPr="00D70309">
        <w:rPr>
          <w:i/>
        </w:rPr>
        <w:t>A new performance-based process model for built asset maintenanc</w:t>
      </w:r>
      <w:r>
        <w:t>e”</w:t>
      </w:r>
      <w:r w:rsidR="008B1B04" w:rsidRPr="00CD0A6C">
        <w:t xml:space="preserve">, Facilities, Vol 25, No 13/14, 2007, pp 525-535. </w:t>
      </w:r>
    </w:p>
    <w:p w:rsidR="008B1B04" w:rsidRPr="002F783D" w:rsidRDefault="008B1B04" w:rsidP="00581D15">
      <w:pPr>
        <w:jc w:val="left"/>
        <w:rPr>
          <w:lang w:val="en"/>
        </w:rPr>
      </w:pPr>
      <w:r w:rsidRPr="00CD0A6C">
        <w:rPr>
          <w:lang w:val="en"/>
        </w:rPr>
        <w:t xml:space="preserve">Saunders, C. H. and Phillipson, M. C. (2003) "UK Adaptation Strategy and Technical Measures: the impacts of climate change on </w:t>
      </w:r>
      <w:r w:rsidRPr="00CD0A6C">
        <w:rPr>
          <w:rStyle w:val="singlehighlightclass"/>
          <w:lang w:val="en"/>
        </w:rPr>
        <w:t>buildings</w:t>
      </w:r>
      <w:r w:rsidRPr="00CD0A6C">
        <w:rPr>
          <w:rStyle w:val="singlehighlightclass"/>
          <w:rFonts w:eastAsia="SimSun"/>
          <w:lang w:val="en"/>
        </w:rPr>
        <w:t xml:space="preserve">, </w:t>
      </w:r>
      <w:r w:rsidRPr="00CD0A6C">
        <w:rPr>
          <w:rStyle w:val="singlehighlightclass"/>
          <w:rFonts w:eastAsia="SimSun"/>
          <w:i/>
          <w:lang w:val="en"/>
        </w:rPr>
        <w:t>Building Research &amp; Information</w:t>
      </w:r>
      <w:r w:rsidRPr="00CD0A6C">
        <w:rPr>
          <w:rStyle w:val="singlehighlightclass"/>
          <w:rFonts w:eastAsia="SimSun"/>
          <w:lang w:val="en"/>
        </w:rPr>
        <w:t>, Vol 31, No 3-4, pp 210-221</w:t>
      </w:r>
      <w:r w:rsidR="001C2ACF">
        <w:rPr>
          <w:rStyle w:val="singlehighlightclass"/>
          <w:rFonts w:eastAsia="SimSun"/>
          <w:lang w:val="en"/>
        </w:rPr>
        <w:t>.</w:t>
      </w:r>
    </w:p>
    <w:sectPr w:rsidR="008B1B04" w:rsidRPr="002F783D">
      <w:footerReference w:type="default" r:id="rId22"/>
      <w:pgSz w:w="11907" w:h="16840"/>
      <w:pgMar w:top="1701" w:right="1701" w:bottom="1701"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1CB" w:rsidRDefault="000C41CB">
      <w:r>
        <w:separator/>
      </w:r>
    </w:p>
  </w:endnote>
  <w:endnote w:type="continuationSeparator" w:id="0">
    <w:p w:rsidR="000C41CB" w:rsidRDefault="000C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73856"/>
      <w:docPartObj>
        <w:docPartGallery w:val="Page Numbers (Bottom of Page)"/>
        <w:docPartUnique/>
      </w:docPartObj>
    </w:sdtPr>
    <w:sdtEndPr>
      <w:rPr>
        <w:noProof/>
      </w:rPr>
    </w:sdtEndPr>
    <w:sdtContent>
      <w:p w:rsidR="001B715E" w:rsidRDefault="001B715E">
        <w:pPr>
          <w:pStyle w:val="Footer"/>
        </w:pPr>
        <w:r>
          <w:fldChar w:fldCharType="begin"/>
        </w:r>
        <w:r>
          <w:instrText xml:space="preserve"> PAGE   \* MERGEFORMAT </w:instrText>
        </w:r>
        <w:r>
          <w:fldChar w:fldCharType="separate"/>
        </w:r>
        <w:r w:rsidR="00B12088">
          <w:rPr>
            <w:noProof/>
          </w:rPr>
          <w:t>13</w:t>
        </w:r>
        <w:r>
          <w:rPr>
            <w:noProof/>
          </w:rPr>
          <w:fldChar w:fldCharType="end"/>
        </w:r>
      </w:p>
    </w:sdtContent>
  </w:sdt>
  <w:p w:rsidR="001B715E" w:rsidRDefault="001B7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1CB" w:rsidRDefault="000C41CB">
      <w:r>
        <w:separator/>
      </w:r>
    </w:p>
  </w:footnote>
  <w:footnote w:type="continuationSeparator" w:id="0">
    <w:p w:rsidR="000C41CB" w:rsidRDefault="000C4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FF4AA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B8C4900"/>
    <w:lvl w:ilvl="0">
      <w:start w:val="1"/>
      <w:numFmt w:val="decimal"/>
      <w:pStyle w:val="Heading1"/>
      <w:lvlText w:val="%1."/>
      <w:legacy w:legacy="1" w:legacySpace="144" w:legacyIndent="0"/>
      <w:lvlJc w:val="left"/>
      <w:rPr>
        <w:rFonts w:ascii="Arial" w:hAnsi="Arial" w:cs="Arial" w:hint="default"/>
        <w:b/>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FFFFFFFE"/>
    <w:multiLevelType w:val="singleLevel"/>
    <w:tmpl w:val="74741F96"/>
    <w:lvl w:ilvl="0">
      <w:numFmt w:val="decimal"/>
      <w:lvlText w:val="*"/>
      <w:lvlJc w:val="left"/>
    </w:lvl>
  </w:abstractNum>
  <w:abstractNum w:abstractNumId="3"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2"/>
    <w:multiLevelType w:val="singleLevel"/>
    <w:tmpl w:val="00000002"/>
    <w:lvl w:ilvl="0">
      <w:numFmt w:val="bullet"/>
      <w:lvlText w:val=""/>
      <w:lvlJc w:val="left"/>
      <w:pPr>
        <w:tabs>
          <w:tab w:val="num" w:pos="720"/>
        </w:tabs>
        <w:ind w:left="720" w:hanging="360"/>
      </w:pPr>
      <w:rPr>
        <w:rFonts w:ascii="Symbol" w:hAnsi="Symbol"/>
      </w:rPr>
    </w:lvl>
  </w:abstractNum>
  <w:abstractNum w:abstractNumId="5" w15:restartNumberingAfterBreak="0">
    <w:nsid w:val="00000003"/>
    <w:multiLevelType w:val="multilevel"/>
    <w:tmpl w:val="00000003"/>
    <w:name w:val="WW8StyleNum"/>
    <w:lvl w:ilvl="0">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15EA54D1"/>
    <w:multiLevelType w:val="hybridMultilevel"/>
    <w:tmpl w:val="509A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5239B"/>
    <w:multiLevelType w:val="singleLevel"/>
    <w:tmpl w:val="CA2EDC9A"/>
    <w:lvl w:ilvl="0">
      <w:numFmt w:val="decimal"/>
      <w:lvlText w:val="%1"/>
      <w:legacy w:legacy="1" w:legacySpace="0" w:legacyIndent="0"/>
      <w:lvlJc w:val="left"/>
      <w:rPr>
        <w:rFonts w:ascii="Tms Rmn" w:hAnsi="Tms Rmn" w:hint="default"/>
      </w:rPr>
    </w:lvl>
  </w:abstractNum>
  <w:abstractNum w:abstractNumId="9" w15:restartNumberingAfterBreak="0">
    <w:nsid w:val="3EE463DC"/>
    <w:multiLevelType w:val="singleLevel"/>
    <w:tmpl w:val="CA2EDC9A"/>
    <w:lvl w:ilvl="0">
      <w:numFmt w:val="decimal"/>
      <w:lvlText w:val="%1"/>
      <w:legacy w:legacy="1" w:legacySpace="0" w:legacyIndent="0"/>
      <w:lvlJc w:val="left"/>
      <w:rPr>
        <w:rFonts w:ascii="Tms Rmn" w:hAnsi="Tms Rmn" w:hint="default"/>
      </w:rPr>
    </w:lvl>
  </w:abstractNum>
  <w:abstractNum w:abstractNumId="10" w15:restartNumberingAfterBreak="0">
    <w:nsid w:val="600B63C1"/>
    <w:multiLevelType w:val="hybridMultilevel"/>
    <w:tmpl w:val="0AE2FA18"/>
    <w:lvl w:ilvl="0" w:tplc="F29C06EC">
      <w:start w:val="1"/>
      <w:numFmt w:val="decimal"/>
      <w:lvlText w:val="%1."/>
      <w:lvlJc w:val="left"/>
      <w:pPr>
        <w:ind w:left="360" w:hanging="360"/>
      </w:pPr>
      <w:rPr>
        <w:rFonts w:ascii="Arial" w:hAnsi="Arial" w:cs="Arial"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4B2262"/>
    <w:multiLevelType w:val="hybridMultilevel"/>
    <w:tmpl w:val="AA82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F038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5"/>
  </w:num>
  <w:num w:numId="4">
    <w:abstractNumId w:val="3"/>
  </w:num>
  <w:num w:numId="5">
    <w:abstractNumId w:val="4"/>
  </w:num>
  <w:num w:numId="6">
    <w:abstractNumId w:val="6"/>
  </w:num>
  <w:num w:numId="7">
    <w:abstractNumId w:val="9"/>
  </w:num>
  <w:num w:numId="8">
    <w:abstractNumId w:val="8"/>
  </w:num>
  <w:num w:numId="9">
    <w:abstractNumId w:val="0"/>
  </w:num>
  <w:num w:numId="10">
    <w:abstractNumId w:val="12"/>
  </w:num>
  <w:num w:numId="11">
    <w:abstractNumId w:val="7"/>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DE"/>
    <w:rsid w:val="00010768"/>
    <w:rsid w:val="000558CD"/>
    <w:rsid w:val="000C41CB"/>
    <w:rsid w:val="000D3D9F"/>
    <w:rsid w:val="001727E3"/>
    <w:rsid w:val="001B715E"/>
    <w:rsid w:val="001C2ACF"/>
    <w:rsid w:val="00212A97"/>
    <w:rsid w:val="00303ADE"/>
    <w:rsid w:val="003851CE"/>
    <w:rsid w:val="003F0B46"/>
    <w:rsid w:val="004A615E"/>
    <w:rsid w:val="004D2D6D"/>
    <w:rsid w:val="005469F9"/>
    <w:rsid w:val="00560ADE"/>
    <w:rsid w:val="00571F59"/>
    <w:rsid w:val="00581D15"/>
    <w:rsid w:val="005D7F4D"/>
    <w:rsid w:val="0060762C"/>
    <w:rsid w:val="006120A7"/>
    <w:rsid w:val="006277C5"/>
    <w:rsid w:val="007D2E8E"/>
    <w:rsid w:val="007E6F70"/>
    <w:rsid w:val="008412B3"/>
    <w:rsid w:val="008B1B04"/>
    <w:rsid w:val="009027D6"/>
    <w:rsid w:val="0090561E"/>
    <w:rsid w:val="00914AC4"/>
    <w:rsid w:val="00A43419"/>
    <w:rsid w:val="00AB5E68"/>
    <w:rsid w:val="00AE6A87"/>
    <w:rsid w:val="00AF3807"/>
    <w:rsid w:val="00B12088"/>
    <w:rsid w:val="00B16454"/>
    <w:rsid w:val="00BA719D"/>
    <w:rsid w:val="00C47309"/>
    <w:rsid w:val="00C940ED"/>
    <w:rsid w:val="00C9553F"/>
    <w:rsid w:val="00CD2DFC"/>
    <w:rsid w:val="00CF53E5"/>
    <w:rsid w:val="00D20E20"/>
    <w:rsid w:val="00D4046A"/>
    <w:rsid w:val="00D70309"/>
    <w:rsid w:val="00DC5F89"/>
    <w:rsid w:val="00DF71A9"/>
    <w:rsid w:val="00E04FF1"/>
    <w:rsid w:val="00E1711C"/>
    <w:rsid w:val="00F249AE"/>
    <w:rsid w:val="00F3297C"/>
    <w:rsid w:val="00F514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docId w15:val="{4AE61E3D-5F4C-406D-8173-938C8308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300" w:line="300" w:lineRule="exact"/>
      <w:jc w:val="both"/>
      <w:textAlignment w:val="baseline"/>
    </w:pPr>
    <w:rPr>
      <w:sz w:val="22"/>
      <w:lang w:val="en-GB" w:eastAsia="en-US"/>
    </w:rPr>
  </w:style>
  <w:style w:type="paragraph" w:styleId="Heading1">
    <w:name w:val="heading 1"/>
    <w:basedOn w:val="Normal"/>
    <w:next w:val="Normal"/>
    <w:qFormat/>
    <w:pPr>
      <w:keepNext/>
      <w:keepLines/>
      <w:numPr>
        <w:numId w:val="1"/>
      </w:numPr>
      <w:suppressAutoHyphens/>
      <w:spacing w:before="260" w:line="340" w:lineRule="exact"/>
      <w:jc w:val="center"/>
      <w:outlineLvl w:val="0"/>
    </w:pPr>
    <w:rPr>
      <w:rFonts w:ascii="Arial" w:hAnsi="Arial"/>
      <w:b/>
      <w:sz w:val="30"/>
    </w:rPr>
  </w:style>
  <w:style w:type="paragraph" w:styleId="Heading2">
    <w:name w:val="heading 2"/>
    <w:basedOn w:val="Normal"/>
    <w:next w:val="Normal"/>
    <w:qFormat/>
    <w:pPr>
      <w:keepNext/>
      <w:keepLines/>
      <w:numPr>
        <w:ilvl w:val="1"/>
        <w:numId w:val="1"/>
      </w:numPr>
      <w:suppressAutoHyphens/>
      <w:spacing w:before="300"/>
      <w:jc w:val="center"/>
      <w:outlineLvl w:val="1"/>
    </w:pPr>
    <w:rPr>
      <w:rFonts w:ascii="Arial" w:hAnsi="Arial"/>
      <w:b/>
      <w:sz w:val="26"/>
    </w:rPr>
  </w:style>
  <w:style w:type="paragraph" w:styleId="Heading3">
    <w:name w:val="heading 3"/>
    <w:basedOn w:val="Normal"/>
    <w:next w:val="Normal"/>
    <w:qFormat/>
    <w:pPr>
      <w:keepNext/>
      <w:keepLines/>
      <w:numPr>
        <w:ilvl w:val="2"/>
        <w:numId w:val="1"/>
      </w:numPr>
      <w:suppressAutoHyphens/>
      <w:jc w:val="center"/>
      <w:outlineLvl w:val="2"/>
    </w:pPr>
    <w:rPr>
      <w:rFonts w:ascii="Arial" w:hAnsi="Arial"/>
      <w:b/>
    </w:rPr>
  </w:style>
  <w:style w:type="paragraph" w:styleId="Heading4">
    <w:name w:val="heading 4"/>
    <w:basedOn w:val="Normal"/>
    <w:next w:val="Normal"/>
    <w:qFormat/>
    <w:pPr>
      <w:numPr>
        <w:ilvl w:val="3"/>
        <w:numId w:val="1"/>
      </w:numPr>
      <w:suppressLineNumbers/>
      <w:jc w:val="center"/>
      <w:outlineLvl w:val="3"/>
    </w:pPr>
    <w:rPr>
      <w:rFonts w:ascii="Arial" w:hAnsi="Arial"/>
    </w:rPr>
  </w:style>
  <w:style w:type="paragraph" w:styleId="Heading5">
    <w:name w:val="heading 5"/>
    <w:basedOn w:val="Normal"/>
    <w:next w:val="Normal"/>
    <w:qFormat/>
    <w:pPr>
      <w:numPr>
        <w:ilvl w:val="4"/>
        <w:numId w:val="1"/>
      </w:numPr>
      <w:spacing w:after="0" w:line="240" w:lineRule="auto"/>
      <w:jc w:val="left"/>
      <w:outlineLvl w:val="4"/>
    </w:pPr>
    <w:rPr>
      <w:noProof/>
      <w:sz w:val="20"/>
    </w:rPr>
  </w:style>
  <w:style w:type="paragraph" w:styleId="Heading6">
    <w:name w:val="heading 6"/>
    <w:basedOn w:val="Heading1"/>
    <w:next w:val="Normal"/>
    <w:qFormat/>
    <w:pPr>
      <w:numPr>
        <w:ilvl w:val="5"/>
      </w:numPr>
      <w:outlineLvl w:val="5"/>
    </w:pPr>
  </w:style>
  <w:style w:type="paragraph" w:styleId="Heading7">
    <w:name w:val="heading 7"/>
    <w:basedOn w:val="Normal"/>
    <w:next w:val="Normal"/>
    <w:qFormat/>
    <w:pPr>
      <w:keepNext/>
      <w:numPr>
        <w:ilvl w:val="6"/>
        <w:numId w:val="1"/>
      </w:numPr>
      <w:spacing w:line="240" w:lineRule="exact"/>
      <w:outlineLvl w:val="6"/>
    </w:pPr>
    <w:rPr>
      <w:i/>
    </w:rPr>
  </w:style>
  <w:style w:type="paragraph" w:styleId="Heading8">
    <w:name w:val="heading 8"/>
    <w:basedOn w:val="Normal"/>
    <w:next w:val="Normal"/>
    <w:qFormat/>
    <w:pPr>
      <w:numPr>
        <w:ilvl w:val="7"/>
        <w:numId w:val="1"/>
      </w:numPr>
      <w:spacing w:after="280" w:line="240" w:lineRule="exact"/>
      <w:outlineLvl w:val="7"/>
    </w:pPr>
    <w:rPr>
      <w:i/>
    </w:rPr>
  </w:style>
  <w:style w:type="paragraph" w:styleId="Heading9">
    <w:name w:val="heading 9"/>
    <w:basedOn w:val="Heading1"/>
    <w:next w:val="Normal"/>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left" w:pos="2722"/>
        <w:tab w:val="right" w:pos="7145"/>
      </w:tabs>
      <w:spacing w:after="0"/>
      <w:ind w:left="2212" w:hanging="1021"/>
      <w:jc w:val="left"/>
    </w:pPr>
  </w:style>
  <w:style w:type="paragraph" w:styleId="TOC3">
    <w:name w:val="toc 3"/>
    <w:basedOn w:val="Normal"/>
    <w:next w:val="Normal"/>
    <w:semiHidden/>
    <w:pPr>
      <w:tabs>
        <w:tab w:val="left" w:pos="1701"/>
        <w:tab w:val="right" w:pos="7145"/>
      </w:tabs>
      <w:spacing w:after="0"/>
      <w:ind w:left="1248" w:hanging="624"/>
      <w:jc w:val="left"/>
    </w:pPr>
  </w:style>
  <w:style w:type="paragraph" w:styleId="TOC2">
    <w:name w:val="toc 2"/>
    <w:basedOn w:val="Normal"/>
    <w:next w:val="Normal"/>
    <w:semiHidden/>
    <w:pPr>
      <w:tabs>
        <w:tab w:val="left" w:pos="907"/>
        <w:tab w:val="right" w:pos="7145"/>
      </w:tabs>
      <w:spacing w:after="0"/>
      <w:ind w:left="568" w:hanging="284"/>
      <w:jc w:val="left"/>
    </w:pPr>
  </w:style>
  <w:style w:type="paragraph" w:styleId="TOC1">
    <w:name w:val="toc 1"/>
    <w:basedOn w:val="Normal"/>
    <w:next w:val="Normal"/>
    <w:semiHidden/>
    <w:pPr>
      <w:keepNext/>
      <w:tabs>
        <w:tab w:val="left" w:pos="340"/>
        <w:tab w:val="right" w:pos="7145"/>
      </w:tabs>
      <w:spacing w:before="220" w:after="0" w:line="280" w:lineRule="exact"/>
      <w:jc w:val="left"/>
    </w:pPr>
  </w:style>
  <w:style w:type="paragraph" w:styleId="Footer">
    <w:name w:val="footer"/>
    <w:basedOn w:val="Normal"/>
    <w:link w:val="FooterChar"/>
    <w:uiPriority w:val="99"/>
    <w:pPr>
      <w:spacing w:after="0" w:line="240" w:lineRule="auto"/>
      <w:jc w:val="center"/>
    </w:pPr>
  </w:style>
  <w:style w:type="paragraph" w:styleId="Header">
    <w:name w:val="header"/>
    <w:basedOn w:val="Normal"/>
    <w:pPr>
      <w:spacing w:after="360" w:line="240" w:lineRule="auto"/>
      <w:jc w:val="right"/>
    </w:pPr>
  </w:style>
  <w:style w:type="paragraph" w:customStyle="1" w:styleId="PUBtitle">
    <w:name w:val="PUB title"/>
    <w:basedOn w:val="Normal"/>
    <w:pPr>
      <w:widowControl w:val="0"/>
      <w:suppressAutoHyphens/>
      <w:spacing w:after="0" w:line="600" w:lineRule="exact"/>
      <w:jc w:val="center"/>
    </w:pPr>
    <w:rPr>
      <w:rFonts w:ascii="Arial" w:hAnsi="Arial"/>
      <w:b/>
      <w:sz w:val="54"/>
    </w:rPr>
  </w:style>
  <w:style w:type="paragraph" w:customStyle="1" w:styleId="Placeanddate">
    <w:name w:val="Place and date"/>
    <w:basedOn w:val="Normal"/>
    <w:pPr>
      <w:spacing w:after="120" w:line="240" w:lineRule="auto"/>
      <w:jc w:val="center"/>
    </w:pPr>
    <w:rPr>
      <w:rFonts w:ascii="Arial" w:hAnsi="Arial"/>
      <w:sz w:val="26"/>
    </w:rPr>
  </w:style>
  <w:style w:type="paragraph" w:customStyle="1" w:styleId="Organisers">
    <w:name w:val="Organisers"/>
    <w:basedOn w:val="Normal"/>
    <w:pPr>
      <w:spacing w:after="120" w:line="240" w:lineRule="auto"/>
      <w:jc w:val="center"/>
    </w:pPr>
    <w:rPr>
      <w:rFonts w:ascii="Arial" w:hAnsi="Arial"/>
    </w:rPr>
  </w:style>
  <w:style w:type="paragraph" w:customStyle="1" w:styleId="Bibliographicinformation">
    <w:name w:val="Bibliographic information"/>
    <w:basedOn w:val="Normal"/>
    <w:pPr>
      <w:spacing w:after="100" w:line="220" w:lineRule="exact"/>
      <w:jc w:val="left"/>
    </w:pPr>
    <w:rPr>
      <w:sz w:val="18"/>
    </w:rPr>
  </w:style>
  <w:style w:type="paragraph" w:styleId="Caption">
    <w:name w:val="caption"/>
    <w:basedOn w:val="Normal"/>
    <w:next w:val="Normal"/>
    <w:qFormat/>
    <w:rsid w:val="00AE6A87"/>
    <w:pPr>
      <w:spacing w:after="120"/>
      <w:jc w:val="left"/>
    </w:pPr>
    <w:rPr>
      <w:i/>
    </w:rPr>
  </w:style>
  <w:style w:type="paragraph" w:customStyle="1" w:styleId="Kuvailuteksti">
    <w:name w:val="Kuvailuteksti"/>
    <w:basedOn w:val="Normal"/>
    <w:pPr>
      <w:tabs>
        <w:tab w:val="left" w:pos="2160"/>
      </w:tabs>
      <w:spacing w:after="120" w:line="220" w:lineRule="exact"/>
      <w:ind w:left="284"/>
      <w:jc w:val="left"/>
    </w:pPr>
    <w:rPr>
      <w:sz w:val="18"/>
      <w:lang w:val="fi-FI"/>
    </w:rPr>
  </w:style>
  <w:style w:type="paragraph" w:customStyle="1" w:styleId="Preface">
    <w:name w:val="Preface"/>
    <w:basedOn w:val="Heading1"/>
    <w:next w:val="Normal"/>
    <w:pPr>
      <w:tabs>
        <w:tab w:val="left" w:pos="360"/>
      </w:tabs>
      <w:spacing w:before="0" w:after="220"/>
      <w:outlineLvl w:val="9"/>
    </w:pPr>
    <w:rPr>
      <w:sz w:val="34"/>
    </w:rPr>
  </w:style>
  <w:style w:type="paragraph" w:customStyle="1" w:styleId="Contents">
    <w:name w:val="Contents"/>
    <w:basedOn w:val="Heading1"/>
    <w:next w:val="Normal"/>
    <w:pPr>
      <w:pageBreakBefore/>
      <w:tabs>
        <w:tab w:val="left" w:pos="360"/>
      </w:tabs>
      <w:spacing w:before="0" w:after="380"/>
      <w:outlineLvl w:val="9"/>
    </w:pPr>
    <w:rPr>
      <w:sz w:val="34"/>
    </w:rPr>
  </w:style>
  <w:style w:type="paragraph" w:customStyle="1" w:styleId="Listofsymbols">
    <w:name w:val="List of symbols"/>
    <w:basedOn w:val="Heading1"/>
    <w:next w:val="Normal"/>
    <w:pPr>
      <w:tabs>
        <w:tab w:val="left" w:pos="360"/>
      </w:tabs>
      <w:spacing w:after="220" w:line="580" w:lineRule="exact"/>
      <w:outlineLvl w:val="9"/>
    </w:pPr>
    <w:rPr>
      <w:sz w:val="34"/>
    </w:rPr>
  </w:style>
  <w:style w:type="paragraph" w:customStyle="1" w:styleId="References">
    <w:name w:val="References"/>
    <w:basedOn w:val="Heading1"/>
    <w:next w:val="Referencetext"/>
    <w:pPr>
      <w:numPr>
        <w:numId w:val="0"/>
      </w:numPr>
      <w:spacing w:before="0"/>
      <w:outlineLvl w:val="9"/>
    </w:pPr>
  </w:style>
  <w:style w:type="paragraph" w:customStyle="1" w:styleId="AuthorinformationName">
    <w:name w:val="Author information: Name"/>
    <w:basedOn w:val="Authorinformation"/>
    <w:pPr>
      <w:jc w:val="center"/>
    </w:pPr>
  </w:style>
  <w:style w:type="paragraph" w:customStyle="1" w:styleId="Appendixtitle">
    <w:name w:val="Appendix title"/>
    <w:basedOn w:val="Normal"/>
    <w:next w:val="Normal"/>
    <w:pPr>
      <w:spacing w:line="380" w:lineRule="exact"/>
      <w:jc w:val="center"/>
    </w:pPr>
    <w:rPr>
      <w:rFonts w:ascii="Arial" w:hAnsi="Arial"/>
      <w:b/>
      <w:sz w:val="34"/>
    </w:rPr>
  </w:style>
  <w:style w:type="paragraph" w:customStyle="1" w:styleId="Abstract">
    <w:name w:val="Abstract"/>
    <w:basedOn w:val="Normal"/>
    <w:next w:val="Normal"/>
    <w:pPr>
      <w:spacing w:before="600"/>
      <w:jc w:val="center"/>
    </w:pPr>
    <w:rPr>
      <w:rFonts w:ascii="Arial" w:hAnsi="Arial"/>
      <w:b/>
      <w:sz w:val="26"/>
    </w:rPr>
  </w:style>
  <w:style w:type="paragraph" w:customStyle="1" w:styleId="Kuva">
    <w:name w:val="Kuva"/>
    <w:basedOn w:val="Normal"/>
    <w:next w:val="Normal"/>
    <w:pPr>
      <w:spacing w:after="120" w:line="240" w:lineRule="auto"/>
      <w:jc w:val="left"/>
    </w:pPr>
    <w:rPr>
      <w:sz w:val="24"/>
      <w:lang w:val="fi-FI"/>
    </w:rPr>
  </w:style>
  <w:style w:type="paragraph" w:customStyle="1" w:styleId="KuvailuOtsikko">
    <w:name w:val="KuvailuOtsikko"/>
    <w:basedOn w:val="Kuvailuteksti"/>
    <w:next w:val="Normal"/>
    <w:pPr>
      <w:spacing w:line="320" w:lineRule="exact"/>
    </w:pPr>
    <w:rPr>
      <w:b/>
      <w:sz w:val="32"/>
    </w:rPr>
  </w:style>
  <w:style w:type="paragraph" w:customStyle="1" w:styleId="Referencetext">
    <w:name w:val="Reference text"/>
    <w:basedOn w:val="Normal"/>
  </w:style>
  <w:style w:type="paragraph" w:customStyle="1" w:styleId="IndentedNormal">
    <w:name w:val="Indented Normal"/>
    <w:basedOn w:val="Normal"/>
    <w:next w:val="Normal"/>
    <w:pPr>
      <w:ind w:left="284"/>
    </w:pPr>
  </w:style>
  <w:style w:type="paragraph" w:customStyle="1" w:styleId="PUBSubtitle">
    <w:name w:val="PUB Subtitle"/>
    <w:basedOn w:val="Normal"/>
    <w:next w:val="Normal"/>
    <w:pPr>
      <w:spacing w:after="720" w:line="240" w:lineRule="auto"/>
      <w:jc w:val="center"/>
    </w:pPr>
    <w:rPr>
      <w:rFonts w:ascii="Arial" w:hAnsi="Arial"/>
      <w:b/>
      <w:sz w:val="42"/>
    </w:rPr>
  </w:style>
  <w:style w:type="paragraph" w:customStyle="1" w:styleId="AppendixHeading2">
    <w:name w:val="Appendix Heading 2"/>
    <w:basedOn w:val="Heading2"/>
    <w:next w:val="Normal"/>
    <w:pPr>
      <w:tabs>
        <w:tab w:val="left" w:pos="360"/>
      </w:tabs>
      <w:outlineLvl w:val="9"/>
    </w:pPr>
  </w:style>
  <w:style w:type="paragraph" w:customStyle="1" w:styleId="AppendixHeading3">
    <w:name w:val="Appendix Heading 3"/>
    <w:basedOn w:val="Heading3"/>
    <w:next w:val="Normal"/>
    <w:pPr>
      <w:tabs>
        <w:tab w:val="left" w:pos="360"/>
      </w:tabs>
      <w:outlineLvl w:val="9"/>
    </w:pPr>
  </w:style>
  <w:style w:type="paragraph" w:customStyle="1" w:styleId="AppendixHeading4">
    <w:name w:val="Appendix Heading 4"/>
    <w:basedOn w:val="Heading4"/>
    <w:next w:val="Normal"/>
    <w:pPr>
      <w:tabs>
        <w:tab w:val="left" w:pos="360"/>
      </w:tabs>
      <w:outlineLvl w:val="9"/>
    </w:pPr>
  </w:style>
  <w:style w:type="paragraph" w:customStyle="1" w:styleId="Picture">
    <w:name w:val="Picture"/>
    <w:basedOn w:val="Normal"/>
    <w:next w:val="Normal"/>
    <w:pPr>
      <w:spacing w:line="240" w:lineRule="auto"/>
    </w:pPr>
  </w:style>
  <w:style w:type="paragraph" w:styleId="TOC5">
    <w:name w:val="toc 5"/>
    <w:basedOn w:val="Normal"/>
    <w:next w:val="Normal"/>
    <w:semiHidden/>
    <w:pPr>
      <w:tabs>
        <w:tab w:val="right" w:leader="dot" w:pos="7145"/>
      </w:tabs>
      <w:ind w:left="880"/>
    </w:pPr>
  </w:style>
  <w:style w:type="paragraph" w:styleId="TOC6">
    <w:name w:val="toc 6"/>
    <w:basedOn w:val="Normal"/>
    <w:next w:val="Normal"/>
    <w:semiHidden/>
    <w:pPr>
      <w:tabs>
        <w:tab w:val="right" w:leader="dot" w:pos="7145"/>
      </w:tabs>
      <w:ind w:left="1100"/>
    </w:pPr>
  </w:style>
  <w:style w:type="paragraph" w:styleId="TOC7">
    <w:name w:val="toc 7"/>
    <w:basedOn w:val="Normal"/>
    <w:next w:val="Normal"/>
    <w:semiHidden/>
    <w:pPr>
      <w:tabs>
        <w:tab w:val="right" w:leader="dot" w:pos="7145"/>
      </w:tabs>
      <w:ind w:left="1320"/>
    </w:pPr>
  </w:style>
  <w:style w:type="paragraph" w:styleId="TOC8">
    <w:name w:val="toc 8"/>
    <w:basedOn w:val="Normal"/>
    <w:next w:val="Normal"/>
    <w:semiHidden/>
    <w:pPr>
      <w:tabs>
        <w:tab w:val="right" w:leader="dot" w:pos="7145"/>
      </w:tabs>
      <w:ind w:left="1540"/>
    </w:pPr>
  </w:style>
  <w:style w:type="paragraph" w:styleId="TOC9">
    <w:name w:val="toc 9"/>
    <w:basedOn w:val="Normal"/>
    <w:next w:val="Normal"/>
    <w:semiHidden/>
    <w:pPr>
      <w:tabs>
        <w:tab w:val="right" w:leader="dot" w:pos="7145"/>
      </w:tabs>
      <w:ind w:left="1760"/>
    </w:pPr>
  </w:style>
  <w:style w:type="character" w:styleId="PageNumber">
    <w:name w:val="page number"/>
    <w:basedOn w:val="DefaultParagraphFont"/>
  </w:style>
  <w:style w:type="paragraph" w:customStyle="1" w:styleId="Articletitle">
    <w:name w:val="Article title"/>
    <w:basedOn w:val="Preface"/>
    <w:next w:val="Normal"/>
    <w:pPr>
      <w:pageBreakBefore/>
      <w:spacing w:after="520" w:line="380" w:lineRule="exact"/>
    </w:pPr>
  </w:style>
  <w:style w:type="paragraph" w:customStyle="1" w:styleId="Authorinformation">
    <w:name w:val="Author information"/>
    <w:basedOn w:val="Normal"/>
    <w:next w:val="Normal"/>
    <w:pPr>
      <w:spacing w:after="0"/>
    </w:pPr>
  </w:style>
  <w:style w:type="paragraph" w:customStyle="1" w:styleId="KuvailuTiivistelm">
    <w:name w:val="KuvailuTiivistelmä"/>
    <w:basedOn w:val="Kuvailuteksti"/>
    <w:pPr>
      <w:spacing w:line="260" w:lineRule="exact"/>
    </w:pPr>
    <w:rPr>
      <w:sz w:val="22"/>
    </w:rPr>
  </w:style>
  <w:style w:type="character" w:styleId="Hyperlink">
    <w:name w:val="Hyperlink"/>
    <w:rPr>
      <w:color w:val="0000FF"/>
      <w:u w:val="single"/>
    </w:rPr>
  </w:style>
  <w:style w:type="paragraph" w:customStyle="1" w:styleId="pic">
    <w:name w:val="pic"/>
    <w:basedOn w:val="Caption"/>
    <w:pPr>
      <w:spacing w:before="120" w:after="0" w:line="240" w:lineRule="auto"/>
    </w:pPr>
    <w:rPr>
      <w:sz w:val="20"/>
    </w:rPr>
  </w:style>
  <w:style w:type="paragraph" w:customStyle="1" w:styleId="StyleAfter0ptLinespacingsingle">
    <w:name w:val="Style After:  0 pt Line spacing:  single"/>
    <w:basedOn w:val="Normal"/>
    <w:pPr>
      <w:spacing w:after="120" w:line="240" w:lineRule="auto"/>
    </w:pPr>
    <w:rPr>
      <w:sz w:val="24"/>
    </w:rPr>
  </w:style>
  <w:style w:type="paragraph" w:customStyle="1" w:styleId="textbody">
    <w:name w:val="text body"/>
    <w:basedOn w:val="Normal"/>
  </w:style>
  <w:style w:type="character" w:styleId="FollowedHyperlink">
    <w:name w:val="FollowedHyperlink"/>
    <w:rPr>
      <w:color w:val="800080"/>
      <w:u w:val="single"/>
    </w:rPr>
  </w:style>
  <w:style w:type="paragraph" w:styleId="List">
    <w:name w:val="List"/>
    <w:basedOn w:val="Normal"/>
    <w:pPr>
      <w:spacing w:after="120"/>
      <w:ind w:left="284" w:hanging="284"/>
    </w:pPr>
  </w:style>
  <w:style w:type="paragraph" w:customStyle="1" w:styleId="Authorname">
    <w:name w:val="Author name"/>
    <w:basedOn w:val="textbody"/>
    <w:rsid w:val="006120A7"/>
    <w:pPr>
      <w:spacing w:after="0"/>
      <w:jc w:val="center"/>
    </w:pPr>
    <w:rPr>
      <w:b/>
      <w:bCs/>
    </w:rPr>
  </w:style>
  <w:style w:type="paragraph" w:customStyle="1" w:styleId="Tableheading">
    <w:name w:val="Table heading"/>
    <w:basedOn w:val="Caption"/>
    <w:rsid w:val="00D20E20"/>
    <w:rPr>
      <w:b/>
    </w:rPr>
  </w:style>
  <w:style w:type="paragraph" w:customStyle="1" w:styleId="Figureheading">
    <w:name w:val="Figure heading"/>
    <w:basedOn w:val="Caption"/>
    <w:next w:val="Normal"/>
    <w:rsid w:val="00F249AE"/>
    <w:pPr>
      <w:spacing w:after="300"/>
      <w:jc w:val="center"/>
    </w:pPr>
    <w:rPr>
      <w:b/>
    </w:rPr>
  </w:style>
  <w:style w:type="paragraph" w:customStyle="1" w:styleId="StyleLeft003cmRight003cm">
    <w:name w:val="Style Left:  0.03 cm Right:  0.03 cm"/>
    <w:basedOn w:val="Normal"/>
    <w:rsid w:val="000D3D9F"/>
    <w:pPr>
      <w:ind w:left="15" w:right="15"/>
    </w:pPr>
  </w:style>
  <w:style w:type="character" w:customStyle="1" w:styleId="FooterChar">
    <w:name w:val="Footer Char"/>
    <w:basedOn w:val="DefaultParagraphFont"/>
    <w:link w:val="Footer"/>
    <w:uiPriority w:val="99"/>
    <w:rsid w:val="001B715E"/>
    <w:rPr>
      <w:sz w:val="22"/>
      <w:lang w:val="en-GB" w:eastAsia="en-US"/>
    </w:rPr>
  </w:style>
  <w:style w:type="paragraph" w:styleId="ListParagraph">
    <w:name w:val="List Paragraph"/>
    <w:basedOn w:val="Normal"/>
    <w:uiPriority w:val="34"/>
    <w:qFormat/>
    <w:rsid w:val="008B1B04"/>
    <w:pPr>
      <w:overflowPunct/>
      <w:autoSpaceDE/>
      <w:autoSpaceDN/>
      <w:adjustRightInd/>
      <w:spacing w:after="200" w:line="276" w:lineRule="auto"/>
      <w:ind w:left="720"/>
      <w:contextualSpacing/>
      <w:jc w:val="left"/>
      <w:textAlignment w:val="auto"/>
    </w:pPr>
    <w:rPr>
      <w:rFonts w:ascii="Calibri" w:eastAsia="Calibri" w:hAnsi="Calibri"/>
      <w:szCs w:val="22"/>
    </w:rPr>
  </w:style>
  <w:style w:type="table" w:styleId="TableGrid">
    <w:name w:val="Table Grid"/>
    <w:basedOn w:val="TableNormal"/>
    <w:uiPriority w:val="59"/>
    <w:rsid w:val="008B1B0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highlightclass">
    <w:name w:val="single_highlight_class"/>
    <w:rsid w:val="008B1B04"/>
  </w:style>
  <w:style w:type="paragraph" w:styleId="BalloonText">
    <w:name w:val="Balloon Text"/>
    <w:basedOn w:val="Normal"/>
    <w:link w:val="BalloonTextChar"/>
    <w:semiHidden/>
    <w:unhideWhenUsed/>
    <w:rsid w:val="005D7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D7F4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i.desai@anglia.ac.uk" TargetMode="External"/><Relationship Id="rId13" Type="http://schemas.openxmlformats.org/officeDocument/2006/relationships/oleObject" Target="embeddings/Microsoft_Visio_2003-2010_Drawing1.vsd"/><Relationship Id="rId18" Type="http://schemas.openxmlformats.org/officeDocument/2006/relationships/hyperlink" Target="https://www.gov.uk/government/uploads/system/uploads/attachment_data/file/7772/pps25guideupdate.pdf%20accessewd%20on%2004/02/2013" TargetMode="External"/><Relationship Id="rId3" Type="http://schemas.openxmlformats.org/officeDocument/2006/relationships/settings" Target="settings.xml"/><Relationship Id="rId21" Type="http://schemas.openxmlformats.org/officeDocument/2006/relationships/hyperlink" Target="http://ipcc-wg2.gov/AR5/images/uploads/WG2AR5_SPM_FINAL.pdf" TargetMode="External"/><Relationship Id="rId7" Type="http://schemas.openxmlformats.org/officeDocument/2006/relationships/hyperlink" Target="mailto:keith.jones@anglia.ac.uk" TargetMode="External"/><Relationship Id="rId12" Type="http://schemas.openxmlformats.org/officeDocument/2006/relationships/image" Target="media/image1.emf"/><Relationship Id="rId17" Type="http://schemas.openxmlformats.org/officeDocument/2006/relationships/hyperlink" Target="http://www.planningportal.gov.uk/uploads/br/flood_performance.pdf" TargetMode="External"/><Relationship Id="rId2" Type="http://schemas.openxmlformats.org/officeDocument/2006/relationships/styles" Target="styles.xml"/><Relationship Id="rId16" Type="http://schemas.openxmlformats.org/officeDocument/2006/relationships/oleObject" Target="embeddings/Microsoft_Visio_2003-2010_Drawing2.vsd"/><Relationship Id="rId20" Type="http://schemas.openxmlformats.org/officeDocument/2006/relationships/hyperlink" Target="http://www.exytreme-weather-impact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ad.ali@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mailto:justcoops@yahoo.co.uk" TargetMode="External"/><Relationship Id="rId19" Type="http://schemas.openxmlformats.org/officeDocument/2006/relationships/hyperlink" Target="http://www.legislation.gov.uk/uksi/2009/3042/contents/made%20accessed%20on%2004/02/2013" TargetMode="External"/><Relationship Id="rId4" Type="http://schemas.openxmlformats.org/officeDocument/2006/relationships/webSettings" Target="webSettings.xml"/><Relationship Id="rId9" Type="http://schemas.openxmlformats.org/officeDocument/2006/relationships/hyperlink" Target="mailto:Noel.Brosnan@octavia.org.uk" TargetMode="External"/><Relationship Id="rId14" Type="http://schemas.openxmlformats.org/officeDocument/2006/relationships/image" Target="media/image2.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hjat.oma\VTT-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VTT-S-E.dot</Template>
  <TotalTime>0</TotalTime>
  <Pages>13</Pages>
  <Words>5183</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CIB 2005 Full Paper Model</vt:lpstr>
    </vt:vector>
  </TitlesOfParts>
  <Company>VTT</Company>
  <LinksUpToDate>false</LinksUpToDate>
  <CharactersWithSpaces>34658</CharactersWithSpaces>
  <SharedDoc>false</SharedDoc>
  <HLinks>
    <vt:vector size="6" baseType="variant">
      <vt:variant>
        <vt:i4>393244</vt:i4>
      </vt:variant>
      <vt:variant>
        <vt:i4>6</vt:i4>
      </vt:variant>
      <vt:variant>
        <vt:i4>0</vt:i4>
      </vt:variant>
      <vt:variant>
        <vt:i4>5</vt:i4>
      </vt:variant>
      <vt:variant>
        <vt:lpwstr>http://www.gdrc.org/uem/disasters/1-dm_cycle.html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CIB 2005 Full Paper Model</dc:title>
  <dc:creator>Kalle K</dc:creator>
  <cp:lastModifiedBy>Jones, Keith</cp:lastModifiedBy>
  <cp:revision>2</cp:revision>
  <cp:lastPrinted>2016-03-17T13:09:00Z</cp:lastPrinted>
  <dcterms:created xsi:type="dcterms:W3CDTF">2016-03-17T13:24:00Z</dcterms:created>
  <dcterms:modified xsi:type="dcterms:W3CDTF">2016-03-17T13:24:00Z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