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90" w:rsidRDefault="00D32C90" w:rsidP="00D32C90">
      <w:pPr>
        <w:spacing w:after="0" w:line="480" w:lineRule="auto"/>
        <w:rPr>
          <w:rFonts w:ascii="Times New Roman" w:hAnsi="Times New Roman" w:cs="Times New Roman"/>
          <w:sz w:val="24"/>
          <w:szCs w:val="24"/>
        </w:rPr>
      </w:pPr>
    </w:p>
    <w:p w:rsidR="00D32C90" w:rsidRDefault="00D32C90" w:rsidP="00D32C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Change in </w:t>
      </w:r>
      <w:r w:rsidR="004E4815">
        <w:rPr>
          <w:rFonts w:ascii="Times New Roman" w:hAnsi="Times New Roman" w:cs="Times New Roman"/>
          <w:sz w:val="24"/>
          <w:szCs w:val="24"/>
        </w:rPr>
        <w:t>Risk Factors for E</w:t>
      </w:r>
      <w:r>
        <w:rPr>
          <w:rFonts w:ascii="Times New Roman" w:hAnsi="Times New Roman" w:cs="Times New Roman"/>
          <w:sz w:val="24"/>
          <w:szCs w:val="24"/>
        </w:rPr>
        <w:t xml:space="preserve">ating Disorder Symptomatology in Malay Students </w:t>
      </w:r>
      <w:r w:rsidR="001F03D0">
        <w:rPr>
          <w:rFonts w:ascii="Times New Roman" w:hAnsi="Times New Roman" w:cs="Times New Roman"/>
          <w:sz w:val="24"/>
          <w:szCs w:val="24"/>
        </w:rPr>
        <w:t xml:space="preserve">Sojourning </w:t>
      </w:r>
      <w:r>
        <w:rPr>
          <w:rFonts w:ascii="Times New Roman" w:hAnsi="Times New Roman" w:cs="Times New Roman"/>
          <w:sz w:val="24"/>
          <w:szCs w:val="24"/>
        </w:rPr>
        <w:t>in the United Kingdom</w:t>
      </w:r>
    </w:p>
    <w:p w:rsidR="00D32C90" w:rsidRDefault="00D32C90" w:rsidP="00D32C90">
      <w:pPr>
        <w:spacing w:after="0" w:line="480" w:lineRule="auto"/>
        <w:jc w:val="center"/>
        <w:rPr>
          <w:rFonts w:ascii="Times New Roman" w:hAnsi="Times New Roman" w:cs="Times New Roman"/>
          <w:sz w:val="24"/>
          <w:szCs w:val="24"/>
        </w:rPr>
      </w:pPr>
    </w:p>
    <w:p w:rsidR="00D32C90" w:rsidRDefault="00D32C90" w:rsidP="00D32C90">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Viren Swami</w:t>
      </w:r>
    </w:p>
    <w:p w:rsidR="00D32C90" w:rsidRDefault="00D32C90" w:rsidP="00D32C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Anglia Ruskin University, Cambridge, UK</w:t>
      </w:r>
    </w:p>
    <w:p w:rsidR="00D32C90" w:rsidRDefault="00D32C90" w:rsidP="00D32C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HELP University College, Kuala Lumpur, Malaysia</w:t>
      </w:r>
    </w:p>
    <w:p w:rsidR="00D32C90" w:rsidRDefault="00D32C90" w:rsidP="00D32C90">
      <w:pPr>
        <w:spacing w:after="0" w:line="480" w:lineRule="auto"/>
        <w:jc w:val="center"/>
        <w:rPr>
          <w:rFonts w:ascii="Times New Roman" w:hAnsi="Times New Roman" w:cs="Times New Roman"/>
          <w:sz w:val="24"/>
          <w:szCs w:val="24"/>
        </w:rPr>
      </w:pPr>
    </w:p>
    <w:p w:rsidR="00D32C90" w:rsidRDefault="00D32C90" w:rsidP="00D32C90">
      <w:pPr>
        <w:spacing w:after="0" w:line="480" w:lineRule="auto"/>
        <w:jc w:val="center"/>
        <w:rPr>
          <w:rFonts w:ascii="Times New Roman" w:hAnsi="Times New Roman" w:cs="Times New Roman"/>
          <w:sz w:val="24"/>
          <w:szCs w:val="24"/>
        </w:rPr>
      </w:pPr>
    </w:p>
    <w:p w:rsidR="00D32C90" w:rsidRDefault="00D32C90" w:rsidP="00D32C90">
      <w:pPr>
        <w:spacing w:after="0" w:line="480" w:lineRule="auto"/>
        <w:jc w:val="center"/>
        <w:rPr>
          <w:rFonts w:ascii="Times New Roman" w:hAnsi="Times New Roman" w:cs="Times New Roman"/>
          <w:sz w:val="24"/>
          <w:szCs w:val="24"/>
        </w:rPr>
      </w:pPr>
    </w:p>
    <w:p w:rsidR="00D32C90" w:rsidRDefault="00E36177" w:rsidP="00D32C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Text word count, excluding Abstract, References, and Tables: 3</w:t>
      </w:r>
      <w:r w:rsidR="006A729B">
        <w:rPr>
          <w:rFonts w:ascii="Times New Roman" w:hAnsi="Times New Roman" w:cs="Times New Roman"/>
          <w:sz w:val="24"/>
          <w:szCs w:val="24"/>
        </w:rPr>
        <w:t>126</w:t>
      </w:r>
      <w:r>
        <w:rPr>
          <w:rFonts w:ascii="Times New Roman" w:hAnsi="Times New Roman" w:cs="Times New Roman"/>
          <w:sz w:val="24"/>
          <w:szCs w:val="24"/>
        </w:rPr>
        <w:t xml:space="preserve"> words</w:t>
      </w:r>
    </w:p>
    <w:p w:rsidR="00E36177" w:rsidRDefault="00E36177" w:rsidP="00D32C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Abstract word count: </w:t>
      </w:r>
      <w:r w:rsidR="001B33EF">
        <w:rPr>
          <w:rFonts w:ascii="Times New Roman" w:hAnsi="Times New Roman" w:cs="Times New Roman"/>
          <w:sz w:val="24"/>
          <w:szCs w:val="24"/>
        </w:rPr>
        <w:t>21</w:t>
      </w:r>
      <w:r w:rsidR="001F03D0">
        <w:rPr>
          <w:rFonts w:ascii="Times New Roman" w:hAnsi="Times New Roman" w:cs="Times New Roman"/>
          <w:sz w:val="24"/>
          <w:szCs w:val="24"/>
        </w:rPr>
        <w:t>8</w:t>
      </w:r>
      <w:r w:rsidR="001B33EF">
        <w:rPr>
          <w:rFonts w:ascii="Times New Roman" w:hAnsi="Times New Roman" w:cs="Times New Roman"/>
          <w:sz w:val="24"/>
          <w:szCs w:val="24"/>
        </w:rPr>
        <w:t xml:space="preserve"> words</w:t>
      </w:r>
    </w:p>
    <w:p w:rsidR="00D32C90" w:rsidRDefault="00D32C90" w:rsidP="00D32C90">
      <w:pPr>
        <w:spacing w:after="0" w:line="480" w:lineRule="auto"/>
        <w:jc w:val="center"/>
        <w:rPr>
          <w:rFonts w:ascii="Times New Roman" w:hAnsi="Times New Roman" w:cs="Times New Roman"/>
          <w:sz w:val="24"/>
          <w:szCs w:val="24"/>
        </w:rPr>
      </w:pPr>
    </w:p>
    <w:p w:rsidR="00D32C90" w:rsidRDefault="00D32C90" w:rsidP="00D32C90">
      <w:pPr>
        <w:spacing w:after="0" w:line="480" w:lineRule="auto"/>
        <w:jc w:val="center"/>
        <w:rPr>
          <w:rFonts w:ascii="Times New Roman" w:hAnsi="Times New Roman" w:cs="Times New Roman"/>
          <w:sz w:val="24"/>
          <w:szCs w:val="24"/>
        </w:rPr>
      </w:pPr>
    </w:p>
    <w:p w:rsidR="00D32C90" w:rsidRDefault="00D32C90" w:rsidP="00D32C90">
      <w:pPr>
        <w:spacing w:after="0" w:line="480" w:lineRule="auto"/>
        <w:jc w:val="center"/>
        <w:rPr>
          <w:rFonts w:ascii="Times New Roman" w:hAnsi="Times New Roman" w:cs="Times New Roman"/>
          <w:sz w:val="24"/>
          <w:szCs w:val="24"/>
        </w:rPr>
      </w:pPr>
    </w:p>
    <w:p w:rsidR="00E36177" w:rsidRDefault="00E36177" w:rsidP="00D32C90">
      <w:pPr>
        <w:spacing w:after="0" w:line="480" w:lineRule="auto"/>
        <w:jc w:val="center"/>
        <w:rPr>
          <w:rFonts w:ascii="Times New Roman" w:hAnsi="Times New Roman" w:cs="Times New Roman"/>
          <w:sz w:val="24"/>
          <w:szCs w:val="24"/>
        </w:rPr>
      </w:pPr>
    </w:p>
    <w:p w:rsidR="00E36177" w:rsidRDefault="00E36177" w:rsidP="00D32C90">
      <w:pPr>
        <w:spacing w:after="0" w:line="480" w:lineRule="auto"/>
        <w:jc w:val="center"/>
        <w:rPr>
          <w:rFonts w:ascii="Times New Roman" w:hAnsi="Times New Roman" w:cs="Times New Roman"/>
          <w:sz w:val="24"/>
          <w:szCs w:val="24"/>
        </w:rPr>
      </w:pPr>
    </w:p>
    <w:p w:rsidR="00D32C90" w:rsidRDefault="00D32C90" w:rsidP="00D32C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 for correspondence: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Viren Swami, Department of Psychology, Anglia Ruskin University, East Road, Cambridge, </w:t>
      </w:r>
      <w:proofErr w:type="gramStart"/>
      <w:r>
        <w:rPr>
          <w:rFonts w:ascii="Times New Roman" w:hAnsi="Times New Roman" w:cs="Times New Roman"/>
          <w:sz w:val="24"/>
          <w:szCs w:val="24"/>
        </w:rPr>
        <w:t>Cambridgeshire</w:t>
      </w:r>
      <w:proofErr w:type="gramEnd"/>
      <w:r>
        <w:rPr>
          <w:rFonts w:ascii="Times New Roman" w:hAnsi="Times New Roman" w:cs="Times New Roman"/>
          <w:sz w:val="24"/>
          <w:szCs w:val="24"/>
        </w:rPr>
        <w:t xml:space="preserve"> CB1 1PT, UK. Email: </w:t>
      </w:r>
      <w:r w:rsidR="00E36177" w:rsidRPr="00E36177">
        <w:rPr>
          <w:rFonts w:ascii="Times New Roman" w:hAnsi="Times New Roman" w:cs="Times New Roman"/>
          <w:sz w:val="24"/>
          <w:szCs w:val="24"/>
        </w:rPr>
        <w:t>viren.swami@anglia.ac.uk</w:t>
      </w:r>
      <w:r>
        <w:rPr>
          <w:rFonts w:ascii="Times New Roman" w:hAnsi="Times New Roman" w:cs="Times New Roman"/>
          <w:sz w:val="24"/>
          <w:szCs w:val="24"/>
        </w:rPr>
        <w:t>.</w:t>
      </w:r>
    </w:p>
    <w:p w:rsidR="00E36177" w:rsidRDefault="00E36177" w:rsidP="00D32C90">
      <w:pPr>
        <w:spacing w:after="0" w:line="480" w:lineRule="auto"/>
        <w:rPr>
          <w:rFonts w:ascii="Times New Roman" w:hAnsi="Times New Roman" w:cs="Times New Roman"/>
          <w:sz w:val="24"/>
          <w:szCs w:val="24"/>
        </w:rPr>
      </w:pPr>
    </w:p>
    <w:p w:rsidR="00E36177" w:rsidRDefault="00E36177" w:rsidP="00E36177">
      <w:pPr>
        <w:spacing w:after="0" w:line="480" w:lineRule="auto"/>
        <w:jc w:val="center"/>
        <w:rPr>
          <w:rFonts w:ascii="Times New Roman" w:hAnsi="Times New Roman" w:cs="Times New Roman"/>
          <w:sz w:val="24"/>
          <w:szCs w:val="24"/>
        </w:rPr>
      </w:pPr>
    </w:p>
    <w:p w:rsidR="00E36177" w:rsidRDefault="00E36177" w:rsidP="00E36177">
      <w:pPr>
        <w:spacing w:after="0" w:line="480" w:lineRule="auto"/>
        <w:jc w:val="center"/>
        <w:rPr>
          <w:rFonts w:ascii="Times New Roman" w:hAnsi="Times New Roman" w:cs="Times New Roman"/>
          <w:sz w:val="24"/>
          <w:szCs w:val="24"/>
        </w:rPr>
      </w:pPr>
    </w:p>
    <w:p w:rsidR="00D32C90" w:rsidRDefault="00E36177" w:rsidP="00E361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Running head: EATING DISORDERS IN SOJOURNING STUDENTS</w:t>
      </w:r>
      <w:r w:rsidR="00D32C90">
        <w:rPr>
          <w:rFonts w:ascii="Times New Roman" w:hAnsi="Times New Roman" w:cs="Times New Roman"/>
          <w:sz w:val="24"/>
          <w:szCs w:val="24"/>
        </w:rPr>
        <w:br w:type="page"/>
      </w:r>
    </w:p>
    <w:p w:rsidR="00D32C90" w:rsidRDefault="00D32C90" w:rsidP="00D32C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D32C90" w:rsidRDefault="00E36177" w:rsidP="001B33EF">
      <w:pPr>
        <w:spacing w:after="0" w:line="480" w:lineRule="auto"/>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The purpose of this investigation was to examine change in </w:t>
      </w:r>
      <w:r w:rsidR="00AE2895">
        <w:rPr>
          <w:rFonts w:ascii="Times New Roman" w:hAnsi="Times New Roman" w:cs="Times New Roman"/>
          <w:sz w:val="24"/>
          <w:szCs w:val="24"/>
        </w:rPr>
        <w:t>risk for eating disorders in higher education students sojourning in the U</w:t>
      </w:r>
      <w:r w:rsidR="009749DA">
        <w:rPr>
          <w:rFonts w:ascii="Times New Roman" w:hAnsi="Times New Roman" w:cs="Times New Roman"/>
          <w:sz w:val="24"/>
          <w:szCs w:val="24"/>
        </w:rPr>
        <w:t xml:space="preserve">nited </w:t>
      </w:r>
      <w:r w:rsidR="00AE2895">
        <w:rPr>
          <w:rFonts w:ascii="Times New Roman" w:hAnsi="Times New Roman" w:cs="Times New Roman"/>
          <w:sz w:val="24"/>
          <w:szCs w:val="24"/>
        </w:rPr>
        <w:t>K</w:t>
      </w:r>
      <w:r w:rsidR="009749DA">
        <w:rPr>
          <w:rFonts w:ascii="Times New Roman" w:hAnsi="Times New Roman" w:cs="Times New Roman"/>
          <w:sz w:val="24"/>
          <w:szCs w:val="24"/>
        </w:rPr>
        <w:t>ingdom (UK)</w:t>
      </w:r>
      <w:r w:rsidR="00AE2895">
        <w:rPr>
          <w:rFonts w:ascii="Times New Roman" w:hAnsi="Times New Roman" w:cs="Times New Roman"/>
          <w:sz w:val="24"/>
          <w:szCs w:val="24"/>
        </w:rPr>
        <w:t xml:space="preserve">, as well as associations between such risk and experiences in the host culture. </w:t>
      </w:r>
      <w:r w:rsidR="00AE2895">
        <w:rPr>
          <w:rFonts w:ascii="Times New Roman" w:hAnsi="Times New Roman" w:cs="Times New Roman"/>
          <w:b/>
          <w:sz w:val="24"/>
          <w:szCs w:val="24"/>
        </w:rPr>
        <w:t xml:space="preserve">Method: </w:t>
      </w:r>
      <w:r w:rsidR="00AE2895">
        <w:rPr>
          <w:rFonts w:ascii="Times New Roman" w:hAnsi="Times New Roman" w:cs="Times New Roman"/>
          <w:sz w:val="24"/>
          <w:szCs w:val="24"/>
        </w:rPr>
        <w:t xml:space="preserve">Participants were 98 female students from Malaysia, who completed a measure of risk factors for eating disorder symptomatology (the Eating Disorder Inventory-3 subscales of drive for thinness, body dissatisfaction, and bulimia symptoms) at two time points: two months prior to beginning their sojourn in the UK (Time 1) and four months after the sojourn began (Time 2). At Time 2, participants also completed measures of sociocultural adjustment, cultural distance between home and host cultures, and perceived discrimination in the host culture. </w:t>
      </w:r>
      <w:r w:rsidR="00AE2895">
        <w:rPr>
          <w:rFonts w:ascii="Times New Roman" w:hAnsi="Times New Roman" w:cs="Times New Roman"/>
          <w:b/>
          <w:sz w:val="24"/>
          <w:szCs w:val="24"/>
        </w:rPr>
        <w:t xml:space="preserve">Results: </w:t>
      </w:r>
      <w:r w:rsidR="00AE2895">
        <w:rPr>
          <w:rFonts w:ascii="Times New Roman" w:hAnsi="Times New Roman" w:cs="Times New Roman"/>
          <w:sz w:val="24"/>
          <w:szCs w:val="24"/>
        </w:rPr>
        <w:t>Analyses indicated that, compared to scores at Time 1, participants had significantly higher drive for thinness (</w:t>
      </w:r>
      <w:r w:rsidR="00AE2895">
        <w:rPr>
          <w:rFonts w:ascii="Times New Roman" w:hAnsi="Times New Roman" w:cs="Times New Roman"/>
          <w:i/>
          <w:sz w:val="24"/>
          <w:szCs w:val="24"/>
        </w:rPr>
        <w:t>d</w:t>
      </w:r>
      <w:r w:rsidR="00AE2895">
        <w:rPr>
          <w:rFonts w:ascii="Times New Roman" w:hAnsi="Times New Roman" w:cs="Times New Roman"/>
          <w:sz w:val="24"/>
          <w:szCs w:val="24"/>
        </w:rPr>
        <w:t xml:space="preserve"> = </w:t>
      </w:r>
      <w:r w:rsidR="001B33EF">
        <w:rPr>
          <w:rFonts w:ascii="Times New Roman" w:hAnsi="Times New Roman" w:cs="Times New Roman"/>
          <w:sz w:val="24"/>
          <w:szCs w:val="24"/>
        </w:rPr>
        <w:t>0.64), body dissatisfaction (</w:t>
      </w:r>
      <w:r w:rsidR="001B33EF">
        <w:rPr>
          <w:rFonts w:ascii="Times New Roman" w:hAnsi="Times New Roman" w:cs="Times New Roman"/>
          <w:i/>
          <w:sz w:val="24"/>
          <w:szCs w:val="24"/>
        </w:rPr>
        <w:t>d</w:t>
      </w:r>
      <w:r w:rsidR="001B33EF">
        <w:rPr>
          <w:rFonts w:ascii="Times New Roman" w:hAnsi="Times New Roman" w:cs="Times New Roman"/>
          <w:sz w:val="24"/>
          <w:szCs w:val="24"/>
        </w:rPr>
        <w:t xml:space="preserve"> = 0.54), and bulimia symptoms (</w:t>
      </w:r>
      <w:r w:rsidR="001B33EF">
        <w:rPr>
          <w:rFonts w:ascii="Times New Roman" w:hAnsi="Times New Roman" w:cs="Times New Roman"/>
          <w:i/>
          <w:sz w:val="24"/>
          <w:szCs w:val="24"/>
        </w:rPr>
        <w:t>d</w:t>
      </w:r>
      <w:r w:rsidR="001B33EF">
        <w:rPr>
          <w:rFonts w:ascii="Times New Roman" w:hAnsi="Times New Roman" w:cs="Times New Roman"/>
          <w:sz w:val="24"/>
          <w:szCs w:val="24"/>
        </w:rPr>
        <w:t xml:space="preserve"> = 0.29) at Time 2. Poorer sociocultural adjustment and greater perceived discrimination </w:t>
      </w:r>
      <w:r w:rsidR="001F03D0">
        <w:rPr>
          <w:rFonts w:ascii="Times New Roman" w:hAnsi="Times New Roman" w:cs="Times New Roman"/>
          <w:sz w:val="24"/>
          <w:szCs w:val="24"/>
        </w:rPr>
        <w:t xml:space="preserve">significantly </w:t>
      </w:r>
      <w:r w:rsidR="001B33EF">
        <w:rPr>
          <w:rFonts w:ascii="Times New Roman" w:hAnsi="Times New Roman" w:cs="Times New Roman"/>
          <w:sz w:val="24"/>
          <w:szCs w:val="24"/>
        </w:rPr>
        <w:t xml:space="preserve">predicted greater risk of eating disorders at Time 2. </w:t>
      </w:r>
      <w:r w:rsidR="001B33EF">
        <w:rPr>
          <w:rFonts w:ascii="Times New Roman" w:hAnsi="Times New Roman" w:cs="Times New Roman"/>
          <w:b/>
          <w:sz w:val="24"/>
          <w:szCs w:val="24"/>
        </w:rPr>
        <w:t xml:space="preserve">Discussion: </w:t>
      </w:r>
      <w:r w:rsidR="001B33EF">
        <w:rPr>
          <w:rFonts w:ascii="Times New Roman" w:hAnsi="Times New Roman" w:cs="Times New Roman"/>
          <w:sz w:val="24"/>
          <w:szCs w:val="24"/>
        </w:rPr>
        <w:t xml:space="preserve">The stress associated with culture change may place sojourning students at risk for disordered eating. Further research is needed to determine the extent to which this risk is related to culture-change specifically, as opposed to a general set of factors associated with transition-related psychopathology more broadly. </w:t>
      </w:r>
    </w:p>
    <w:p w:rsidR="003766BD" w:rsidRDefault="00D32C90" w:rsidP="001B33EF">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w:t>
      </w:r>
      <w:r w:rsidR="001B33EF">
        <w:rPr>
          <w:rFonts w:ascii="Times New Roman" w:hAnsi="Times New Roman" w:cs="Times New Roman"/>
          <w:sz w:val="24"/>
          <w:szCs w:val="24"/>
        </w:rPr>
        <w:t xml:space="preserve"> Culture-change; Eating disorders; Transmigration; Sociocultural adjustment; Malaysia</w:t>
      </w:r>
    </w:p>
    <w:p w:rsidR="003766BD" w:rsidRDefault="003766BD">
      <w:pPr>
        <w:rPr>
          <w:rFonts w:ascii="Times New Roman" w:hAnsi="Times New Roman" w:cs="Times New Roman"/>
          <w:sz w:val="24"/>
          <w:szCs w:val="24"/>
        </w:rPr>
      </w:pPr>
      <w:r>
        <w:rPr>
          <w:rFonts w:ascii="Times New Roman" w:hAnsi="Times New Roman" w:cs="Times New Roman"/>
          <w:sz w:val="24"/>
          <w:szCs w:val="24"/>
        </w:rPr>
        <w:br w:type="page"/>
      </w:r>
    </w:p>
    <w:p w:rsidR="001B33EF" w:rsidRDefault="000F5056" w:rsidP="001B33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sidR="001B33EF">
        <w:rPr>
          <w:rFonts w:ascii="Times New Roman" w:hAnsi="Times New Roman" w:cs="Times New Roman"/>
          <w:sz w:val="24"/>
          <w:szCs w:val="24"/>
        </w:rPr>
        <w:t>Change in Risk Factors for Eating Disorder Symptomatology in Sojourning Malay Students in the United Kingdom</w:t>
      </w:r>
    </w:p>
    <w:p w:rsidR="00942212" w:rsidRDefault="000F5056" w:rsidP="001B33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Negative body image and eating disorders were historically characterised </w:t>
      </w:r>
      <w:r w:rsidR="003411B6">
        <w:rPr>
          <w:rFonts w:ascii="Times New Roman" w:hAnsi="Times New Roman" w:cs="Times New Roman"/>
          <w:sz w:val="24"/>
          <w:szCs w:val="24"/>
        </w:rPr>
        <w:t xml:space="preserve">as culture-bound experiences, primarily afflicting women in high-income, industrialised, and Western societies </w:t>
      </w:r>
      <w:r w:rsidR="00B95383">
        <w:rPr>
          <w:rFonts w:ascii="Times New Roman" w:hAnsi="Times New Roman" w:cs="Times New Roman"/>
          <w:sz w:val="24"/>
          <w:szCs w:val="24"/>
        </w:rPr>
        <w:t>(1</w:t>
      </w:r>
      <w:r w:rsidR="003411B6">
        <w:rPr>
          <w:rFonts w:ascii="Times New Roman" w:hAnsi="Times New Roman" w:cs="Times New Roman"/>
          <w:sz w:val="24"/>
          <w:szCs w:val="24"/>
        </w:rPr>
        <w:t xml:space="preserve">). However, </w:t>
      </w:r>
      <w:r w:rsidR="00B43F33">
        <w:rPr>
          <w:rFonts w:ascii="Times New Roman" w:hAnsi="Times New Roman" w:cs="Times New Roman"/>
          <w:sz w:val="24"/>
          <w:szCs w:val="24"/>
        </w:rPr>
        <w:t>reports of</w:t>
      </w:r>
      <w:r w:rsidR="003411B6">
        <w:rPr>
          <w:rFonts w:ascii="Times New Roman" w:hAnsi="Times New Roman" w:cs="Times New Roman"/>
          <w:sz w:val="24"/>
          <w:szCs w:val="24"/>
        </w:rPr>
        <w:t xml:space="preserve"> high rates of negative body image and disordered eating globally</w:t>
      </w:r>
      <w:r w:rsidR="00B43F33">
        <w:rPr>
          <w:rFonts w:ascii="Times New Roman" w:hAnsi="Times New Roman" w:cs="Times New Roman"/>
          <w:sz w:val="24"/>
          <w:szCs w:val="24"/>
        </w:rPr>
        <w:t xml:space="preserve"> have change</w:t>
      </w:r>
      <w:r w:rsidR="00FE102D">
        <w:rPr>
          <w:rFonts w:ascii="Times New Roman" w:hAnsi="Times New Roman" w:cs="Times New Roman"/>
          <w:sz w:val="24"/>
          <w:szCs w:val="24"/>
        </w:rPr>
        <w:t>d</w:t>
      </w:r>
      <w:r w:rsidR="00B43F33">
        <w:rPr>
          <w:rFonts w:ascii="Times New Roman" w:hAnsi="Times New Roman" w:cs="Times New Roman"/>
          <w:sz w:val="24"/>
          <w:szCs w:val="24"/>
        </w:rPr>
        <w:t xml:space="preserve"> this perspective</w:t>
      </w:r>
      <w:r w:rsidR="003411B6">
        <w:rPr>
          <w:rFonts w:ascii="Times New Roman" w:hAnsi="Times New Roman" w:cs="Times New Roman"/>
          <w:sz w:val="24"/>
          <w:szCs w:val="24"/>
        </w:rPr>
        <w:t xml:space="preserve"> (</w:t>
      </w:r>
      <w:r w:rsidR="00B95383">
        <w:rPr>
          <w:rFonts w:ascii="Times New Roman" w:hAnsi="Times New Roman" w:cs="Times New Roman"/>
          <w:sz w:val="24"/>
          <w:szCs w:val="24"/>
        </w:rPr>
        <w:t>2-3)</w:t>
      </w:r>
      <w:r w:rsidR="003411B6">
        <w:rPr>
          <w:rFonts w:ascii="Times New Roman" w:hAnsi="Times New Roman" w:cs="Times New Roman"/>
          <w:sz w:val="24"/>
          <w:szCs w:val="24"/>
        </w:rPr>
        <w:t>. To explain this development, some scholars have focused on the combined effects of modernisation, urbanisation, and Westernisation in shaping a globalised thin ideal (</w:t>
      </w:r>
      <w:r w:rsidR="00B95383">
        <w:rPr>
          <w:rFonts w:ascii="Times New Roman" w:hAnsi="Times New Roman" w:cs="Times New Roman"/>
          <w:sz w:val="24"/>
          <w:szCs w:val="24"/>
        </w:rPr>
        <w:t>4</w:t>
      </w:r>
      <w:r w:rsidR="003411B6">
        <w:rPr>
          <w:rFonts w:ascii="Times New Roman" w:hAnsi="Times New Roman" w:cs="Times New Roman"/>
          <w:sz w:val="24"/>
          <w:szCs w:val="24"/>
        </w:rPr>
        <w:t>), which in turn is associated with increased incidence of body image</w:t>
      </w:r>
      <w:r w:rsidR="001F03D0">
        <w:rPr>
          <w:rFonts w:ascii="Times New Roman" w:hAnsi="Times New Roman" w:cs="Times New Roman"/>
          <w:sz w:val="24"/>
          <w:szCs w:val="24"/>
        </w:rPr>
        <w:t xml:space="preserve"> disturbances</w:t>
      </w:r>
      <w:r w:rsidR="003411B6">
        <w:rPr>
          <w:rFonts w:ascii="Times New Roman" w:hAnsi="Times New Roman" w:cs="Times New Roman"/>
          <w:sz w:val="24"/>
          <w:szCs w:val="24"/>
        </w:rPr>
        <w:t xml:space="preserve"> and disordered eating (</w:t>
      </w:r>
      <w:r w:rsidR="00B95383">
        <w:rPr>
          <w:rFonts w:ascii="Times New Roman" w:hAnsi="Times New Roman" w:cs="Times New Roman"/>
          <w:sz w:val="24"/>
          <w:szCs w:val="24"/>
        </w:rPr>
        <w:t>1-2</w:t>
      </w:r>
      <w:r w:rsidR="003411B6">
        <w:rPr>
          <w:rFonts w:ascii="Times New Roman" w:hAnsi="Times New Roman" w:cs="Times New Roman"/>
          <w:sz w:val="24"/>
          <w:szCs w:val="24"/>
        </w:rPr>
        <w:t xml:space="preserve">). </w:t>
      </w:r>
    </w:p>
    <w:p w:rsidR="00BE6BC4" w:rsidRDefault="000272BE" w:rsidP="00D32C9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CC7F5B">
        <w:rPr>
          <w:rFonts w:ascii="Times New Roman" w:hAnsi="Times New Roman" w:cs="Times New Roman"/>
          <w:sz w:val="24"/>
          <w:szCs w:val="24"/>
        </w:rPr>
        <w:t>cultural change (e.g., via transcultural migration) has been associated with increased vulnerability to eating disorders (</w:t>
      </w:r>
      <w:r w:rsidR="00B95383">
        <w:rPr>
          <w:rFonts w:ascii="Times New Roman" w:hAnsi="Times New Roman" w:cs="Times New Roman"/>
          <w:sz w:val="24"/>
          <w:szCs w:val="24"/>
        </w:rPr>
        <w:t>5</w:t>
      </w:r>
      <w:r w:rsidR="00CC7F5B">
        <w:rPr>
          <w:rFonts w:ascii="Times New Roman" w:hAnsi="Times New Roman" w:cs="Times New Roman"/>
          <w:sz w:val="24"/>
          <w:szCs w:val="24"/>
        </w:rPr>
        <w:t xml:space="preserve">). According to </w:t>
      </w:r>
      <w:r w:rsidR="001F03D0">
        <w:rPr>
          <w:rFonts w:ascii="Times New Roman" w:hAnsi="Times New Roman" w:cs="Times New Roman"/>
          <w:sz w:val="24"/>
          <w:szCs w:val="24"/>
        </w:rPr>
        <w:t>this hypothesis</w:t>
      </w:r>
      <w:r w:rsidR="0043556B">
        <w:rPr>
          <w:rFonts w:ascii="Times New Roman" w:hAnsi="Times New Roman" w:cs="Times New Roman"/>
          <w:sz w:val="24"/>
          <w:szCs w:val="24"/>
        </w:rPr>
        <w:t xml:space="preserve"> (6-7)</w:t>
      </w:r>
      <w:r w:rsidR="00CC7F5B">
        <w:rPr>
          <w:rFonts w:ascii="Times New Roman" w:hAnsi="Times New Roman" w:cs="Times New Roman"/>
          <w:sz w:val="24"/>
          <w:szCs w:val="24"/>
        </w:rPr>
        <w:t xml:space="preserve">, eating disorders are more likely to develop </w:t>
      </w:r>
      <w:r w:rsidR="001F03D0">
        <w:rPr>
          <w:rFonts w:ascii="Times New Roman" w:hAnsi="Times New Roman" w:cs="Times New Roman"/>
          <w:sz w:val="24"/>
          <w:szCs w:val="24"/>
        </w:rPr>
        <w:t>because of the</w:t>
      </w:r>
      <w:r w:rsidR="00CC7F5B">
        <w:rPr>
          <w:rFonts w:ascii="Times New Roman" w:hAnsi="Times New Roman" w:cs="Times New Roman"/>
          <w:sz w:val="24"/>
          <w:szCs w:val="24"/>
        </w:rPr>
        <w:t xml:space="preserve"> high levels of stress associated with cultural change.</w:t>
      </w:r>
      <w:r w:rsidR="00BE6BC4">
        <w:rPr>
          <w:rFonts w:ascii="Times New Roman" w:hAnsi="Times New Roman" w:cs="Times New Roman"/>
          <w:sz w:val="24"/>
          <w:szCs w:val="24"/>
        </w:rPr>
        <w:t xml:space="preserve"> Studies of this culture-change hypothesis have generally returned supportive evidence. For example, in a qualitative study of Czech au pairs, it was found that sojourning abroad was an important factor in developing an eating disorder (</w:t>
      </w:r>
      <w:r w:rsidR="0043556B">
        <w:rPr>
          <w:rFonts w:ascii="Times New Roman" w:hAnsi="Times New Roman" w:cs="Times New Roman"/>
          <w:sz w:val="24"/>
          <w:szCs w:val="24"/>
        </w:rPr>
        <w:t>8</w:t>
      </w:r>
      <w:r w:rsidR="00BE6BC4">
        <w:rPr>
          <w:rFonts w:ascii="Times New Roman" w:hAnsi="Times New Roman" w:cs="Times New Roman"/>
          <w:sz w:val="24"/>
          <w:szCs w:val="24"/>
        </w:rPr>
        <w:t>). Likewise, migration from Mexico to the United States has been associated with increased risk for binge eating disorder (</w:t>
      </w:r>
      <w:r w:rsidR="0043556B">
        <w:rPr>
          <w:rFonts w:ascii="Times New Roman" w:hAnsi="Times New Roman" w:cs="Times New Roman"/>
          <w:sz w:val="24"/>
          <w:szCs w:val="24"/>
        </w:rPr>
        <w:t>9</w:t>
      </w:r>
      <w:r w:rsidR="00BE6BC4">
        <w:rPr>
          <w:rFonts w:ascii="Times New Roman" w:hAnsi="Times New Roman" w:cs="Times New Roman"/>
          <w:sz w:val="24"/>
          <w:szCs w:val="24"/>
        </w:rPr>
        <w:t>)</w:t>
      </w:r>
      <w:r w:rsidR="00264B88">
        <w:rPr>
          <w:rFonts w:ascii="Times New Roman" w:hAnsi="Times New Roman" w:cs="Times New Roman"/>
          <w:sz w:val="24"/>
          <w:szCs w:val="24"/>
        </w:rPr>
        <w:t xml:space="preserve"> and the prevalence of disordered eating is generally elevated in migrants (</w:t>
      </w:r>
      <w:r w:rsidR="0043556B">
        <w:rPr>
          <w:rFonts w:ascii="Times New Roman" w:hAnsi="Times New Roman" w:cs="Times New Roman"/>
          <w:sz w:val="24"/>
          <w:szCs w:val="24"/>
        </w:rPr>
        <w:t>10-11</w:t>
      </w:r>
      <w:r w:rsidR="00264B88">
        <w:rPr>
          <w:rFonts w:ascii="Times New Roman" w:hAnsi="Times New Roman" w:cs="Times New Roman"/>
          <w:sz w:val="24"/>
          <w:szCs w:val="24"/>
        </w:rPr>
        <w:t>)</w:t>
      </w:r>
      <w:r w:rsidR="00B43F33">
        <w:rPr>
          <w:rFonts w:ascii="Times New Roman" w:hAnsi="Times New Roman" w:cs="Times New Roman"/>
          <w:sz w:val="24"/>
          <w:szCs w:val="24"/>
        </w:rPr>
        <w:t>. Cross-sectional studies have also suggested that female migrants to the United Kingdom</w:t>
      </w:r>
      <w:r w:rsidR="00A3027F">
        <w:rPr>
          <w:rFonts w:ascii="Times New Roman" w:hAnsi="Times New Roman" w:cs="Times New Roman"/>
          <w:sz w:val="24"/>
          <w:szCs w:val="24"/>
        </w:rPr>
        <w:t xml:space="preserve"> (UK)</w:t>
      </w:r>
      <w:r w:rsidR="00B43F33">
        <w:rPr>
          <w:rFonts w:ascii="Times New Roman" w:hAnsi="Times New Roman" w:cs="Times New Roman"/>
          <w:sz w:val="24"/>
          <w:szCs w:val="24"/>
        </w:rPr>
        <w:t xml:space="preserve"> have greater body image disturbance than women in the country of origin (</w:t>
      </w:r>
      <w:r w:rsidR="009749DA">
        <w:rPr>
          <w:rFonts w:ascii="Times New Roman" w:hAnsi="Times New Roman" w:cs="Times New Roman"/>
          <w:sz w:val="24"/>
          <w:szCs w:val="24"/>
        </w:rPr>
        <w:t>12</w:t>
      </w:r>
      <w:r w:rsidR="00FE102D">
        <w:rPr>
          <w:rFonts w:ascii="Times New Roman" w:hAnsi="Times New Roman" w:cs="Times New Roman"/>
          <w:sz w:val="24"/>
          <w:szCs w:val="24"/>
        </w:rPr>
        <w:t xml:space="preserve">). </w:t>
      </w:r>
      <w:r w:rsidR="00B43F33">
        <w:rPr>
          <w:rFonts w:ascii="Times New Roman" w:hAnsi="Times New Roman" w:cs="Times New Roman"/>
          <w:sz w:val="24"/>
          <w:szCs w:val="24"/>
        </w:rPr>
        <w:t xml:space="preserve"> </w:t>
      </w:r>
    </w:p>
    <w:p w:rsidR="001523BF" w:rsidRDefault="00023265" w:rsidP="00D32C9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03D0">
        <w:rPr>
          <w:rFonts w:ascii="Times New Roman" w:hAnsi="Times New Roman" w:cs="Times New Roman"/>
          <w:sz w:val="24"/>
          <w:szCs w:val="24"/>
        </w:rPr>
        <w:t>T</w:t>
      </w:r>
      <w:r w:rsidR="00CB7589">
        <w:rPr>
          <w:rFonts w:ascii="Times New Roman" w:hAnsi="Times New Roman" w:cs="Times New Roman"/>
          <w:sz w:val="24"/>
          <w:szCs w:val="24"/>
        </w:rPr>
        <w:t>he present</w:t>
      </w:r>
      <w:r>
        <w:rPr>
          <w:rFonts w:ascii="Times New Roman" w:hAnsi="Times New Roman" w:cs="Times New Roman"/>
          <w:sz w:val="24"/>
          <w:szCs w:val="24"/>
        </w:rPr>
        <w:t xml:space="preserve"> study examine</w:t>
      </w:r>
      <w:r w:rsidR="00CB7589">
        <w:rPr>
          <w:rFonts w:ascii="Times New Roman" w:hAnsi="Times New Roman" w:cs="Times New Roman"/>
          <w:sz w:val="24"/>
          <w:szCs w:val="24"/>
        </w:rPr>
        <w:t>d</w:t>
      </w:r>
      <w:r w:rsidR="004E4815">
        <w:rPr>
          <w:rFonts w:ascii="Times New Roman" w:hAnsi="Times New Roman" w:cs="Times New Roman"/>
          <w:sz w:val="24"/>
          <w:szCs w:val="24"/>
        </w:rPr>
        <w:t xml:space="preserve"> risk factors for</w:t>
      </w:r>
      <w:r w:rsidR="00A3027F">
        <w:rPr>
          <w:rFonts w:ascii="Times New Roman" w:hAnsi="Times New Roman" w:cs="Times New Roman"/>
          <w:sz w:val="24"/>
          <w:szCs w:val="24"/>
        </w:rPr>
        <w:t xml:space="preserve"> eating disorder</w:t>
      </w:r>
      <w:r w:rsidR="004E4815">
        <w:rPr>
          <w:rFonts w:ascii="Times New Roman" w:hAnsi="Times New Roman" w:cs="Times New Roman"/>
          <w:sz w:val="24"/>
          <w:szCs w:val="24"/>
        </w:rPr>
        <w:t xml:space="preserve">s </w:t>
      </w:r>
      <w:r w:rsidR="00A3027F">
        <w:rPr>
          <w:rFonts w:ascii="Times New Roman" w:hAnsi="Times New Roman" w:cs="Times New Roman"/>
          <w:sz w:val="24"/>
          <w:szCs w:val="24"/>
        </w:rPr>
        <w:t>in a sample of higher education students sojourning in the UK.</w:t>
      </w:r>
      <w:r w:rsidR="00CB7589">
        <w:rPr>
          <w:rFonts w:ascii="Times New Roman" w:hAnsi="Times New Roman" w:cs="Times New Roman"/>
          <w:sz w:val="24"/>
          <w:szCs w:val="24"/>
        </w:rPr>
        <w:t xml:space="preserve"> Sojourners offer a useful sample in which to examine the culture-change hypothesis because they are likely to experience heightened “culture shock” as a result of the sudden loss of familiar signs, symbols, and social support</w:t>
      </w:r>
      <w:r w:rsidR="008760C2">
        <w:rPr>
          <w:rFonts w:ascii="Times New Roman" w:hAnsi="Times New Roman" w:cs="Times New Roman"/>
          <w:sz w:val="24"/>
          <w:szCs w:val="24"/>
        </w:rPr>
        <w:t xml:space="preserve"> (13)</w:t>
      </w:r>
      <w:r w:rsidR="00CB7589">
        <w:rPr>
          <w:rFonts w:ascii="Times New Roman" w:hAnsi="Times New Roman" w:cs="Times New Roman"/>
          <w:sz w:val="24"/>
          <w:szCs w:val="24"/>
        </w:rPr>
        <w:t xml:space="preserve">. </w:t>
      </w:r>
      <w:r w:rsidR="00515FD9">
        <w:rPr>
          <w:rFonts w:ascii="Times New Roman" w:hAnsi="Times New Roman" w:cs="Times New Roman"/>
          <w:sz w:val="24"/>
          <w:szCs w:val="24"/>
        </w:rPr>
        <w:t xml:space="preserve">This culture shock is known to increase levels of stress, which in turn has a detrimental </w:t>
      </w:r>
      <w:r w:rsidR="00515FD9">
        <w:rPr>
          <w:rFonts w:ascii="Times New Roman" w:hAnsi="Times New Roman" w:cs="Times New Roman"/>
          <w:sz w:val="24"/>
          <w:szCs w:val="24"/>
        </w:rPr>
        <w:lastRenderedPageBreak/>
        <w:t>effect on the psychological well-being and academic performance of sojourning students (</w:t>
      </w:r>
      <w:r w:rsidR="008760C2">
        <w:rPr>
          <w:rFonts w:ascii="Times New Roman" w:hAnsi="Times New Roman" w:cs="Times New Roman"/>
          <w:sz w:val="24"/>
          <w:szCs w:val="24"/>
        </w:rPr>
        <w:t>14-15)</w:t>
      </w:r>
      <w:r w:rsidR="00515FD9">
        <w:rPr>
          <w:rFonts w:ascii="Times New Roman" w:hAnsi="Times New Roman" w:cs="Times New Roman"/>
          <w:sz w:val="24"/>
          <w:szCs w:val="24"/>
        </w:rPr>
        <w:t xml:space="preserve">. </w:t>
      </w:r>
    </w:p>
    <w:p w:rsidR="00262BED" w:rsidRDefault="00262BED" w:rsidP="001523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specifically, the present work focused on Malay students from Malaysia sojourning in the UK. Malaysia has experienced rapid economic liberalisation and industrialisation over the past three decades and the high degree of Westernisation introduced by these changes has led to the idealisation of thinness in sites of high socioeconomic status (16-17) and a concomitant rise in negative body image (18). At the same time, however, Malaysia retains a sense of national identity shaped in part i</w:t>
      </w:r>
      <w:r w:rsidR="001523BF">
        <w:rPr>
          <w:rFonts w:ascii="Times New Roman" w:hAnsi="Times New Roman" w:cs="Times New Roman"/>
          <w:sz w:val="24"/>
          <w:szCs w:val="24"/>
        </w:rPr>
        <w:t>n opposition to Westernisation</w:t>
      </w:r>
      <w:r w:rsidR="00865327">
        <w:rPr>
          <w:rFonts w:ascii="Times New Roman" w:hAnsi="Times New Roman" w:cs="Times New Roman"/>
          <w:sz w:val="24"/>
          <w:szCs w:val="24"/>
        </w:rPr>
        <w:t>, with the role of women in the public sphere circumscribed by patriarchal restrictions (1</w:t>
      </w:r>
      <w:r w:rsidR="00C10E60">
        <w:rPr>
          <w:rFonts w:ascii="Times New Roman" w:hAnsi="Times New Roman" w:cs="Times New Roman"/>
          <w:sz w:val="24"/>
          <w:szCs w:val="24"/>
        </w:rPr>
        <w:t>7</w:t>
      </w:r>
      <w:r w:rsidR="00865327">
        <w:rPr>
          <w:rFonts w:ascii="Times New Roman" w:hAnsi="Times New Roman" w:cs="Times New Roman"/>
          <w:sz w:val="24"/>
          <w:szCs w:val="24"/>
        </w:rPr>
        <w:t>). Ma</w:t>
      </w:r>
      <w:r>
        <w:rPr>
          <w:rFonts w:ascii="Times New Roman" w:hAnsi="Times New Roman" w:cs="Times New Roman"/>
          <w:sz w:val="24"/>
          <w:szCs w:val="24"/>
        </w:rPr>
        <w:t xml:space="preserve">laysia is also an </w:t>
      </w:r>
      <w:r>
        <w:rPr>
          <w:rFonts w:ascii="Times New Roman" w:hAnsi="Times New Roman" w:cs="Times New Roman"/>
          <w:sz w:val="24"/>
          <w:szCs w:val="24"/>
        </w:rPr>
        <w:t>ethnically heterogeneous nation (with a Malay majority and smaller populations of Chinese, Indians, and other indigenous ethnic groups)</w:t>
      </w:r>
      <w:r>
        <w:rPr>
          <w:rFonts w:ascii="Times New Roman" w:hAnsi="Times New Roman" w:cs="Times New Roman"/>
          <w:sz w:val="24"/>
          <w:szCs w:val="24"/>
        </w:rPr>
        <w:t>, although studies indicate only small ethnic differences in negative body image (</w:t>
      </w:r>
      <w:r w:rsidR="00C10E60">
        <w:rPr>
          <w:rFonts w:ascii="Times New Roman" w:hAnsi="Times New Roman" w:cs="Times New Roman"/>
          <w:sz w:val="24"/>
          <w:szCs w:val="24"/>
        </w:rPr>
        <w:t>17</w:t>
      </w:r>
      <w:proofErr w:type="gramStart"/>
      <w:r w:rsidR="00C10E60">
        <w:rPr>
          <w:rFonts w:ascii="Times New Roman" w:hAnsi="Times New Roman" w:cs="Times New Roman"/>
          <w:sz w:val="24"/>
          <w:szCs w:val="24"/>
        </w:rPr>
        <w:t>,</w:t>
      </w:r>
      <w:r>
        <w:rPr>
          <w:rFonts w:ascii="Times New Roman" w:hAnsi="Times New Roman" w:cs="Times New Roman"/>
          <w:sz w:val="24"/>
          <w:szCs w:val="24"/>
        </w:rPr>
        <w:t>19</w:t>
      </w:r>
      <w:proofErr w:type="gramEnd"/>
      <w:r>
        <w:rPr>
          <w:rFonts w:ascii="Times New Roman" w:hAnsi="Times New Roman" w:cs="Times New Roman"/>
          <w:sz w:val="24"/>
          <w:szCs w:val="24"/>
        </w:rPr>
        <w:t>).</w:t>
      </w:r>
      <w:r w:rsidR="001D7C63">
        <w:rPr>
          <w:rFonts w:ascii="Times New Roman" w:hAnsi="Times New Roman" w:cs="Times New Roman"/>
          <w:sz w:val="24"/>
          <w:szCs w:val="24"/>
        </w:rPr>
        <w:t xml:space="preserve"> About a quarter of the 18-25 </w:t>
      </w:r>
      <w:proofErr w:type="gramStart"/>
      <w:r w:rsidR="001D7C63">
        <w:rPr>
          <w:rFonts w:ascii="Times New Roman" w:hAnsi="Times New Roman" w:cs="Times New Roman"/>
          <w:sz w:val="24"/>
          <w:szCs w:val="24"/>
        </w:rPr>
        <w:t>cohort</w:t>
      </w:r>
      <w:proofErr w:type="gramEnd"/>
      <w:r w:rsidR="001D7C63">
        <w:rPr>
          <w:rFonts w:ascii="Times New Roman" w:hAnsi="Times New Roman" w:cs="Times New Roman"/>
          <w:sz w:val="24"/>
          <w:szCs w:val="24"/>
        </w:rPr>
        <w:t xml:space="preserve"> pursues higher (tertiary) education, although a substantial portion do so overseas</w:t>
      </w:r>
      <w:r w:rsidR="00C10E60">
        <w:rPr>
          <w:rFonts w:ascii="Times New Roman" w:hAnsi="Times New Roman" w:cs="Times New Roman"/>
          <w:sz w:val="24"/>
          <w:szCs w:val="24"/>
        </w:rPr>
        <w:t>, with the UK the second-most popular destination after Australia</w:t>
      </w:r>
      <w:r w:rsidR="001D7C63">
        <w:rPr>
          <w:rFonts w:ascii="Times New Roman" w:hAnsi="Times New Roman" w:cs="Times New Roman"/>
          <w:sz w:val="24"/>
          <w:szCs w:val="24"/>
        </w:rPr>
        <w:t xml:space="preserve"> (20). </w:t>
      </w:r>
      <w:r>
        <w:rPr>
          <w:rFonts w:ascii="Times New Roman" w:hAnsi="Times New Roman" w:cs="Times New Roman"/>
          <w:sz w:val="24"/>
          <w:szCs w:val="24"/>
        </w:rPr>
        <w:t xml:space="preserve"> </w:t>
      </w:r>
    </w:p>
    <w:p w:rsidR="00A17A6D" w:rsidRDefault="00515FD9" w:rsidP="00CB7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Here, t</w:t>
      </w:r>
      <w:r w:rsidR="00A3027F">
        <w:rPr>
          <w:rFonts w:ascii="Times New Roman" w:hAnsi="Times New Roman" w:cs="Times New Roman"/>
          <w:sz w:val="24"/>
          <w:szCs w:val="24"/>
        </w:rPr>
        <w:t>he hypothesis that culture change is associated with higher risk of eating disorders was examined by comparing s</w:t>
      </w:r>
      <w:r w:rsidR="004E4815">
        <w:rPr>
          <w:rFonts w:ascii="Times New Roman" w:hAnsi="Times New Roman" w:cs="Times New Roman"/>
          <w:sz w:val="24"/>
          <w:szCs w:val="24"/>
        </w:rPr>
        <w:t>cores</w:t>
      </w:r>
      <w:r w:rsidR="00A3027F">
        <w:rPr>
          <w:rFonts w:ascii="Times New Roman" w:hAnsi="Times New Roman" w:cs="Times New Roman"/>
          <w:sz w:val="24"/>
          <w:szCs w:val="24"/>
        </w:rPr>
        <w:t xml:space="preserve"> before and after</w:t>
      </w:r>
      <w:r w:rsidR="009B322B">
        <w:rPr>
          <w:rFonts w:ascii="Times New Roman" w:hAnsi="Times New Roman" w:cs="Times New Roman"/>
          <w:sz w:val="24"/>
          <w:szCs w:val="24"/>
        </w:rPr>
        <w:t xml:space="preserve"> transmigration had occurred. Based on the review above, it was predicted that participants would report significantly higher levels of </w:t>
      </w:r>
      <w:r w:rsidR="004E4815">
        <w:rPr>
          <w:rFonts w:ascii="Times New Roman" w:hAnsi="Times New Roman" w:cs="Times New Roman"/>
          <w:sz w:val="24"/>
          <w:szCs w:val="24"/>
        </w:rPr>
        <w:t xml:space="preserve">risk factors for </w:t>
      </w:r>
      <w:r w:rsidR="009B322B">
        <w:rPr>
          <w:rFonts w:ascii="Times New Roman" w:hAnsi="Times New Roman" w:cs="Times New Roman"/>
          <w:sz w:val="24"/>
          <w:szCs w:val="24"/>
        </w:rPr>
        <w:t>eating disorder</w:t>
      </w:r>
      <w:r w:rsidR="004E4815">
        <w:rPr>
          <w:rFonts w:ascii="Times New Roman" w:hAnsi="Times New Roman" w:cs="Times New Roman"/>
          <w:sz w:val="24"/>
          <w:szCs w:val="24"/>
        </w:rPr>
        <w:t>s</w:t>
      </w:r>
      <w:r w:rsidR="009B322B">
        <w:rPr>
          <w:rFonts w:ascii="Times New Roman" w:hAnsi="Times New Roman" w:cs="Times New Roman"/>
          <w:sz w:val="24"/>
          <w:szCs w:val="24"/>
        </w:rPr>
        <w:t xml:space="preserve"> post-migration. </w:t>
      </w:r>
      <w:r w:rsidR="00A17A6D">
        <w:rPr>
          <w:rFonts w:ascii="Times New Roman" w:hAnsi="Times New Roman" w:cs="Times New Roman"/>
          <w:sz w:val="24"/>
          <w:szCs w:val="24"/>
        </w:rPr>
        <w:t>As a further examination of the culture-change hypothesis, this study also examined the extent to which participants’</w:t>
      </w:r>
      <w:r w:rsidR="0039061F">
        <w:rPr>
          <w:rFonts w:ascii="Times New Roman" w:hAnsi="Times New Roman" w:cs="Times New Roman"/>
          <w:sz w:val="24"/>
          <w:szCs w:val="24"/>
        </w:rPr>
        <w:t xml:space="preserve"> experiences in the host culture are </w:t>
      </w:r>
      <w:r w:rsidR="00A17A6D">
        <w:rPr>
          <w:rFonts w:ascii="Times New Roman" w:hAnsi="Times New Roman" w:cs="Times New Roman"/>
          <w:sz w:val="24"/>
          <w:szCs w:val="24"/>
        </w:rPr>
        <w:t xml:space="preserve">associated with risk for eating disorders. </w:t>
      </w:r>
      <w:r w:rsidR="0039061F">
        <w:rPr>
          <w:rFonts w:ascii="Times New Roman" w:hAnsi="Times New Roman" w:cs="Times New Roman"/>
          <w:sz w:val="24"/>
          <w:szCs w:val="24"/>
        </w:rPr>
        <w:t xml:space="preserve">Specifically, three facets of the sojourning experience were measured: sociocultural adjustment, cultural distance, and perceived discrimination. </w:t>
      </w:r>
      <w:r w:rsidR="00A17A6D">
        <w:rPr>
          <w:rFonts w:ascii="Times New Roman" w:hAnsi="Times New Roman" w:cs="Times New Roman"/>
          <w:sz w:val="24"/>
          <w:szCs w:val="24"/>
        </w:rPr>
        <w:t>Sociocultural adjustment refers to the behavioural and cognitive factors that are involved in cultural learning and effective performance in a new environment (</w:t>
      </w:r>
      <w:r w:rsidR="008760C2">
        <w:rPr>
          <w:rFonts w:ascii="Times New Roman" w:hAnsi="Times New Roman" w:cs="Times New Roman"/>
          <w:sz w:val="24"/>
          <w:szCs w:val="24"/>
        </w:rPr>
        <w:t>15</w:t>
      </w:r>
      <w:r w:rsidR="0039061F">
        <w:rPr>
          <w:rFonts w:ascii="Times New Roman" w:hAnsi="Times New Roman" w:cs="Times New Roman"/>
          <w:sz w:val="24"/>
          <w:szCs w:val="24"/>
        </w:rPr>
        <w:t>), and p</w:t>
      </w:r>
      <w:r w:rsidR="00A17A6D">
        <w:rPr>
          <w:rFonts w:ascii="Times New Roman" w:hAnsi="Times New Roman" w:cs="Times New Roman"/>
          <w:sz w:val="24"/>
          <w:szCs w:val="24"/>
        </w:rPr>
        <w:t>oorer sociocultural</w:t>
      </w:r>
      <w:r w:rsidR="0039061F">
        <w:rPr>
          <w:rFonts w:ascii="Times New Roman" w:hAnsi="Times New Roman" w:cs="Times New Roman"/>
          <w:sz w:val="24"/>
          <w:szCs w:val="24"/>
        </w:rPr>
        <w:t xml:space="preserve"> adjustment is associated with increased stress and poorer adjustment in the host culture (</w:t>
      </w:r>
      <w:r w:rsidR="00C10E60">
        <w:rPr>
          <w:rFonts w:ascii="Times New Roman" w:hAnsi="Times New Roman" w:cs="Times New Roman"/>
          <w:sz w:val="24"/>
          <w:szCs w:val="24"/>
        </w:rPr>
        <w:t>21</w:t>
      </w:r>
      <w:r w:rsidR="0039061F">
        <w:rPr>
          <w:rFonts w:ascii="Times New Roman" w:hAnsi="Times New Roman" w:cs="Times New Roman"/>
          <w:sz w:val="24"/>
          <w:szCs w:val="24"/>
        </w:rPr>
        <w:t xml:space="preserve">). Likewise, cultural distance (the perceived cultural </w:t>
      </w:r>
      <w:r w:rsidR="0039061F">
        <w:rPr>
          <w:rFonts w:ascii="Times New Roman" w:hAnsi="Times New Roman" w:cs="Times New Roman"/>
          <w:sz w:val="24"/>
          <w:szCs w:val="24"/>
        </w:rPr>
        <w:lastRenderedPageBreak/>
        <w:t>distance between the home and host cultures) and perceived discrimination (experiences of discrimination in the host culture) are known obstacles to sociocultural adjustment, with higher levels being associated with greater difficulty in the transition process (</w:t>
      </w:r>
      <w:r w:rsidR="00C10E60">
        <w:rPr>
          <w:rFonts w:ascii="Times New Roman" w:hAnsi="Times New Roman" w:cs="Times New Roman"/>
          <w:sz w:val="24"/>
          <w:szCs w:val="24"/>
        </w:rPr>
        <w:t>22-23</w:t>
      </w:r>
      <w:r w:rsidR="0039061F">
        <w:rPr>
          <w:rFonts w:ascii="Times New Roman" w:hAnsi="Times New Roman" w:cs="Times New Roman"/>
          <w:sz w:val="24"/>
          <w:szCs w:val="24"/>
        </w:rPr>
        <w:t xml:space="preserve">). </w:t>
      </w:r>
    </w:p>
    <w:p w:rsidR="00023265" w:rsidRDefault="0039061F" w:rsidP="00DC6C4D">
      <w:pPr>
        <w:spacing w:after="0" w:line="480" w:lineRule="auto"/>
        <w:rPr>
          <w:rFonts w:ascii="Times New Roman" w:hAnsi="Times New Roman" w:cs="Times New Roman"/>
          <w:sz w:val="24"/>
          <w:szCs w:val="24"/>
        </w:rPr>
      </w:pPr>
      <w:r>
        <w:rPr>
          <w:rFonts w:ascii="Times New Roman" w:hAnsi="Times New Roman" w:cs="Times New Roman"/>
          <w:sz w:val="24"/>
          <w:szCs w:val="24"/>
        </w:rPr>
        <w:tab/>
        <w:t>Previous work has shown that</w:t>
      </w:r>
      <w:r w:rsidR="00DC6C4D">
        <w:rPr>
          <w:rFonts w:ascii="Times New Roman" w:hAnsi="Times New Roman" w:cs="Times New Roman"/>
          <w:sz w:val="24"/>
          <w:szCs w:val="24"/>
        </w:rPr>
        <w:t xml:space="preserve"> poorer</w:t>
      </w:r>
      <w:r>
        <w:rPr>
          <w:rFonts w:ascii="Times New Roman" w:hAnsi="Times New Roman" w:cs="Times New Roman"/>
          <w:sz w:val="24"/>
          <w:szCs w:val="24"/>
        </w:rPr>
        <w:t xml:space="preserve"> </w:t>
      </w:r>
      <w:r w:rsidR="00DC6C4D">
        <w:rPr>
          <w:rFonts w:ascii="Times New Roman" w:hAnsi="Times New Roman" w:cs="Times New Roman"/>
          <w:sz w:val="24"/>
          <w:szCs w:val="24"/>
        </w:rPr>
        <w:t>sociocultural adjustment, greater cultural distance, and higher perceived discrimination are associated with poorer health status in sojourning Malay students in the UK</w:t>
      </w:r>
      <w:r w:rsidR="003E34F0">
        <w:rPr>
          <w:rFonts w:ascii="Times New Roman" w:hAnsi="Times New Roman" w:cs="Times New Roman"/>
          <w:sz w:val="24"/>
          <w:szCs w:val="24"/>
        </w:rPr>
        <w:t xml:space="preserve"> (</w:t>
      </w:r>
      <w:r w:rsidR="00C10E60">
        <w:rPr>
          <w:rFonts w:ascii="Times New Roman" w:hAnsi="Times New Roman" w:cs="Times New Roman"/>
          <w:sz w:val="24"/>
          <w:szCs w:val="24"/>
        </w:rPr>
        <w:t>24-25</w:t>
      </w:r>
      <w:r w:rsidR="003E34F0">
        <w:rPr>
          <w:rFonts w:ascii="Times New Roman" w:hAnsi="Times New Roman" w:cs="Times New Roman"/>
          <w:sz w:val="24"/>
          <w:szCs w:val="24"/>
        </w:rPr>
        <w:t>).</w:t>
      </w:r>
      <w:r w:rsidR="00DC6C4D">
        <w:rPr>
          <w:rFonts w:ascii="Times New Roman" w:hAnsi="Times New Roman" w:cs="Times New Roman"/>
          <w:sz w:val="24"/>
          <w:szCs w:val="24"/>
        </w:rPr>
        <w:t xml:space="preserve"> However, their associations with risk for disordered eating in the same population has not been previously investigated, which the present study sought to overcome. Based on the available literature, i</w:t>
      </w:r>
      <w:r w:rsidR="003E34F0">
        <w:rPr>
          <w:rFonts w:ascii="Times New Roman" w:hAnsi="Times New Roman" w:cs="Times New Roman"/>
          <w:sz w:val="24"/>
          <w:szCs w:val="24"/>
        </w:rPr>
        <w:t xml:space="preserve">t was predicted that </w:t>
      </w:r>
      <w:r w:rsidR="00DC6C4D">
        <w:rPr>
          <w:rFonts w:ascii="Times New Roman" w:hAnsi="Times New Roman" w:cs="Times New Roman"/>
          <w:sz w:val="24"/>
          <w:szCs w:val="24"/>
        </w:rPr>
        <w:t>poorer</w:t>
      </w:r>
      <w:r w:rsidR="003E34F0">
        <w:rPr>
          <w:rFonts w:ascii="Times New Roman" w:hAnsi="Times New Roman" w:cs="Times New Roman"/>
          <w:sz w:val="24"/>
          <w:szCs w:val="24"/>
        </w:rPr>
        <w:t xml:space="preserve"> sociocultural adjustment, greater cultural distance, and greater perceived discrimination would be associated with higher </w:t>
      </w:r>
      <w:r w:rsidR="004E4815">
        <w:rPr>
          <w:rFonts w:ascii="Times New Roman" w:hAnsi="Times New Roman" w:cs="Times New Roman"/>
          <w:sz w:val="24"/>
          <w:szCs w:val="24"/>
        </w:rPr>
        <w:t xml:space="preserve">risk for </w:t>
      </w:r>
      <w:r w:rsidR="003E34F0">
        <w:rPr>
          <w:rFonts w:ascii="Times New Roman" w:hAnsi="Times New Roman" w:cs="Times New Roman"/>
          <w:sz w:val="24"/>
          <w:szCs w:val="24"/>
        </w:rPr>
        <w:t xml:space="preserve">eating disorders. </w:t>
      </w:r>
    </w:p>
    <w:p w:rsidR="003E34F0" w:rsidRDefault="003E34F0" w:rsidP="003E34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3E34F0" w:rsidRDefault="003E34F0" w:rsidP="003E34F0">
      <w:pPr>
        <w:spacing w:after="0" w:line="480" w:lineRule="auto"/>
        <w:rPr>
          <w:rFonts w:ascii="Times New Roman" w:hAnsi="Times New Roman" w:cs="Times New Roman"/>
          <w:b/>
          <w:sz w:val="24"/>
          <w:szCs w:val="24"/>
        </w:rPr>
      </w:pPr>
      <w:r>
        <w:rPr>
          <w:rFonts w:ascii="Times New Roman" w:hAnsi="Times New Roman" w:cs="Times New Roman"/>
          <w:b/>
          <w:sz w:val="24"/>
          <w:szCs w:val="24"/>
        </w:rPr>
        <w:t>Design</w:t>
      </w:r>
    </w:p>
    <w:p w:rsidR="003E34F0" w:rsidRDefault="003E34F0" w:rsidP="003E34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7E4F">
        <w:rPr>
          <w:rFonts w:ascii="Times New Roman" w:hAnsi="Times New Roman" w:cs="Times New Roman"/>
          <w:sz w:val="24"/>
          <w:szCs w:val="24"/>
        </w:rPr>
        <w:t xml:space="preserve">This study used a mixed longitudinal and cross-sectional design. Two months prior to beginning their sojourn in the UK (Time 1), participants completed a measure of </w:t>
      </w:r>
      <w:r w:rsidR="004E4815">
        <w:rPr>
          <w:rFonts w:ascii="Times New Roman" w:hAnsi="Times New Roman" w:cs="Times New Roman"/>
          <w:sz w:val="24"/>
          <w:szCs w:val="24"/>
        </w:rPr>
        <w:t xml:space="preserve">risk factors for </w:t>
      </w:r>
      <w:r w:rsidR="002C7E4F">
        <w:rPr>
          <w:rFonts w:ascii="Times New Roman" w:hAnsi="Times New Roman" w:cs="Times New Roman"/>
          <w:sz w:val="24"/>
          <w:szCs w:val="24"/>
        </w:rPr>
        <w:t>eating disorder symptomatology. This was repeated four months after the sojourn began (Time 2), when adjustment to the host culture could be expected to have plateaued (</w:t>
      </w:r>
      <w:r w:rsidR="00C40F12">
        <w:rPr>
          <w:rFonts w:ascii="Times New Roman" w:hAnsi="Times New Roman" w:cs="Times New Roman"/>
          <w:sz w:val="24"/>
          <w:szCs w:val="24"/>
        </w:rPr>
        <w:t>13</w:t>
      </w:r>
      <w:proofErr w:type="gramStart"/>
      <w:r w:rsidR="00C40F12">
        <w:rPr>
          <w:rFonts w:ascii="Times New Roman" w:hAnsi="Times New Roman" w:cs="Times New Roman"/>
          <w:sz w:val="24"/>
          <w:szCs w:val="24"/>
        </w:rPr>
        <w:t>,2</w:t>
      </w:r>
      <w:r w:rsidR="00C10E60">
        <w:rPr>
          <w:rFonts w:ascii="Times New Roman" w:hAnsi="Times New Roman" w:cs="Times New Roman"/>
          <w:sz w:val="24"/>
          <w:szCs w:val="24"/>
        </w:rPr>
        <w:t>6</w:t>
      </w:r>
      <w:proofErr w:type="gramEnd"/>
      <w:r w:rsidR="002C7E4F">
        <w:rPr>
          <w:rFonts w:ascii="Times New Roman" w:hAnsi="Times New Roman" w:cs="Times New Roman"/>
          <w:sz w:val="24"/>
          <w:szCs w:val="24"/>
        </w:rPr>
        <w:t xml:space="preserve">). At Time 2, participants also completed </w:t>
      </w:r>
      <w:r w:rsidR="006A48E1">
        <w:rPr>
          <w:rFonts w:ascii="Times New Roman" w:hAnsi="Times New Roman" w:cs="Times New Roman"/>
          <w:sz w:val="24"/>
          <w:szCs w:val="24"/>
        </w:rPr>
        <w:t xml:space="preserve">the </w:t>
      </w:r>
      <w:r w:rsidR="002C7E4F">
        <w:rPr>
          <w:rFonts w:ascii="Times New Roman" w:hAnsi="Times New Roman" w:cs="Times New Roman"/>
          <w:sz w:val="24"/>
          <w:szCs w:val="24"/>
        </w:rPr>
        <w:t xml:space="preserve">measures of </w:t>
      </w:r>
      <w:r w:rsidR="00DC6C4D">
        <w:rPr>
          <w:rFonts w:ascii="Times New Roman" w:hAnsi="Times New Roman" w:cs="Times New Roman"/>
          <w:sz w:val="24"/>
          <w:szCs w:val="24"/>
        </w:rPr>
        <w:t>sociocultural adjustment, cultural distance, and perceived discrimination</w:t>
      </w:r>
      <w:r w:rsidR="006A48E1">
        <w:rPr>
          <w:rFonts w:ascii="Times New Roman" w:hAnsi="Times New Roman" w:cs="Times New Roman"/>
          <w:sz w:val="24"/>
          <w:szCs w:val="24"/>
        </w:rPr>
        <w:t xml:space="preserve"> described below</w:t>
      </w:r>
      <w:r w:rsidR="002C7E4F">
        <w:rPr>
          <w:rFonts w:ascii="Times New Roman" w:hAnsi="Times New Roman" w:cs="Times New Roman"/>
          <w:sz w:val="24"/>
          <w:szCs w:val="24"/>
        </w:rPr>
        <w:t>.</w:t>
      </w:r>
    </w:p>
    <w:p w:rsidR="002C7E4F" w:rsidRDefault="002C7E4F" w:rsidP="003E34F0">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2C7E4F" w:rsidRDefault="002C7E4F" w:rsidP="003E34F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Participants of the study</w:t>
      </w:r>
      <w:r w:rsidR="006A48E1">
        <w:rPr>
          <w:rFonts w:ascii="Times New Roman" w:hAnsi="Times New Roman" w:cs="Times New Roman"/>
          <w:sz w:val="24"/>
          <w:szCs w:val="24"/>
        </w:rPr>
        <w:t xml:space="preserve"> were 98 female students from </w:t>
      </w:r>
      <w:r w:rsidR="00FE102D">
        <w:rPr>
          <w:rFonts w:ascii="Times New Roman" w:hAnsi="Times New Roman" w:cs="Times New Roman"/>
          <w:sz w:val="24"/>
          <w:szCs w:val="24"/>
        </w:rPr>
        <w:t>the state of Selangor</w:t>
      </w:r>
      <w:r w:rsidR="006A48E1">
        <w:rPr>
          <w:rFonts w:ascii="Times New Roman" w:hAnsi="Times New Roman" w:cs="Times New Roman"/>
          <w:sz w:val="24"/>
          <w:szCs w:val="24"/>
        </w:rPr>
        <w:t>, Malaysia, who began their first year in a UK higher education institution in September 2014. Participants ranged in age from 18 to 22 years (</w:t>
      </w:r>
      <w:r w:rsidR="006A48E1">
        <w:rPr>
          <w:rFonts w:ascii="Times New Roman" w:hAnsi="Times New Roman" w:cs="Times New Roman"/>
          <w:i/>
          <w:sz w:val="24"/>
          <w:szCs w:val="24"/>
        </w:rPr>
        <w:t>M</w:t>
      </w:r>
      <w:r w:rsidR="006A48E1">
        <w:rPr>
          <w:rFonts w:ascii="Times New Roman" w:hAnsi="Times New Roman" w:cs="Times New Roman"/>
          <w:sz w:val="24"/>
          <w:szCs w:val="24"/>
        </w:rPr>
        <w:t xml:space="preserve"> = 18.35, </w:t>
      </w:r>
      <w:r w:rsidR="006A48E1">
        <w:rPr>
          <w:rFonts w:ascii="Times New Roman" w:hAnsi="Times New Roman" w:cs="Times New Roman"/>
          <w:i/>
          <w:sz w:val="24"/>
          <w:szCs w:val="24"/>
        </w:rPr>
        <w:t>SD</w:t>
      </w:r>
      <w:r w:rsidR="006A48E1">
        <w:rPr>
          <w:rFonts w:ascii="Times New Roman" w:hAnsi="Times New Roman" w:cs="Times New Roman"/>
          <w:sz w:val="24"/>
          <w:szCs w:val="24"/>
        </w:rPr>
        <w:t xml:space="preserve"> = 0.75) and in self-reported body mass index (BMI) from 17.63 to 31.97 kg/m</w:t>
      </w:r>
      <w:r w:rsidR="006A48E1">
        <w:rPr>
          <w:rFonts w:ascii="Times New Roman" w:hAnsi="Times New Roman" w:cs="Times New Roman"/>
          <w:sz w:val="24"/>
          <w:szCs w:val="24"/>
          <w:vertAlign w:val="superscript"/>
        </w:rPr>
        <w:t>2</w:t>
      </w:r>
      <w:r w:rsidR="006A48E1">
        <w:rPr>
          <w:rFonts w:ascii="Times New Roman" w:hAnsi="Times New Roman" w:cs="Times New Roman"/>
          <w:sz w:val="24"/>
          <w:szCs w:val="24"/>
        </w:rPr>
        <w:t xml:space="preserve"> (</w:t>
      </w:r>
      <w:r w:rsidR="006A48E1">
        <w:rPr>
          <w:rFonts w:ascii="Times New Roman" w:hAnsi="Times New Roman" w:cs="Times New Roman"/>
          <w:i/>
          <w:sz w:val="24"/>
          <w:szCs w:val="24"/>
        </w:rPr>
        <w:t>M</w:t>
      </w:r>
      <w:r w:rsidR="006A48E1">
        <w:rPr>
          <w:rFonts w:ascii="Times New Roman" w:hAnsi="Times New Roman" w:cs="Times New Roman"/>
          <w:sz w:val="24"/>
          <w:szCs w:val="24"/>
        </w:rPr>
        <w:t xml:space="preserve"> = 24.61, </w:t>
      </w:r>
      <w:r w:rsidR="006A48E1">
        <w:rPr>
          <w:rFonts w:ascii="Times New Roman" w:hAnsi="Times New Roman" w:cs="Times New Roman"/>
          <w:i/>
          <w:sz w:val="24"/>
          <w:szCs w:val="24"/>
        </w:rPr>
        <w:t>SD</w:t>
      </w:r>
      <w:r w:rsidR="006A48E1">
        <w:rPr>
          <w:rFonts w:ascii="Times New Roman" w:hAnsi="Times New Roman" w:cs="Times New Roman"/>
          <w:sz w:val="24"/>
          <w:szCs w:val="24"/>
        </w:rPr>
        <w:t xml:space="preserve"> = 3.38). Of the sample, 44.9% attended a university in London, 23.5% in </w:t>
      </w:r>
      <w:r w:rsidR="00593FB8">
        <w:rPr>
          <w:rFonts w:ascii="Times New Roman" w:hAnsi="Times New Roman" w:cs="Times New Roman"/>
          <w:sz w:val="24"/>
          <w:szCs w:val="24"/>
        </w:rPr>
        <w:t>the East Midlands</w:t>
      </w:r>
      <w:r w:rsidR="006A48E1">
        <w:rPr>
          <w:rFonts w:ascii="Times New Roman" w:hAnsi="Times New Roman" w:cs="Times New Roman"/>
          <w:sz w:val="24"/>
          <w:szCs w:val="24"/>
        </w:rPr>
        <w:t xml:space="preserve">, 14.3% in </w:t>
      </w:r>
      <w:r w:rsidR="00593FB8">
        <w:rPr>
          <w:rFonts w:ascii="Times New Roman" w:hAnsi="Times New Roman" w:cs="Times New Roman"/>
          <w:sz w:val="24"/>
          <w:szCs w:val="24"/>
        </w:rPr>
        <w:t>in North West England</w:t>
      </w:r>
      <w:r w:rsidR="006A48E1">
        <w:rPr>
          <w:rFonts w:ascii="Times New Roman" w:hAnsi="Times New Roman" w:cs="Times New Roman"/>
          <w:sz w:val="24"/>
          <w:szCs w:val="24"/>
        </w:rPr>
        <w:t xml:space="preserve">, 9.2% in </w:t>
      </w:r>
      <w:r w:rsidR="00593FB8">
        <w:rPr>
          <w:rFonts w:ascii="Times New Roman" w:hAnsi="Times New Roman" w:cs="Times New Roman"/>
          <w:sz w:val="24"/>
          <w:szCs w:val="24"/>
        </w:rPr>
        <w:t>the West Midlands</w:t>
      </w:r>
      <w:r w:rsidR="006A48E1">
        <w:rPr>
          <w:rFonts w:ascii="Times New Roman" w:hAnsi="Times New Roman" w:cs="Times New Roman"/>
          <w:sz w:val="24"/>
          <w:szCs w:val="24"/>
        </w:rPr>
        <w:t>,</w:t>
      </w:r>
      <w:r w:rsidR="00593FB8">
        <w:rPr>
          <w:rFonts w:ascii="Times New Roman" w:hAnsi="Times New Roman" w:cs="Times New Roman"/>
          <w:sz w:val="24"/>
          <w:szCs w:val="24"/>
        </w:rPr>
        <w:t xml:space="preserve"> and the remainder in some other location in the UK. </w:t>
      </w:r>
      <w:r w:rsidR="006A48E1">
        <w:rPr>
          <w:rFonts w:ascii="Times New Roman" w:hAnsi="Times New Roman" w:cs="Times New Roman"/>
          <w:sz w:val="24"/>
          <w:szCs w:val="24"/>
        </w:rPr>
        <w:t xml:space="preserve"> </w:t>
      </w:r>
      <w:r w:rsidR="00593FB8">
        <w:rPr>
          <w:rFonts w:ascii="Times New Roman" w:hAnsi="Times New Roman" w:cs="Times New Roman"/>
          <w:sz w:val="24"/>
          <w:szCs w:val="24"/>
        </w:rPr>
        <w:lastRenderedPageBreak/>
        <w:t xml:space="preserve">All participants were of Malay ancestry and, by Malaysian constitutional law, all Malays are considered Muslims. Only Malay participants were recruited in order to ensure </w:t>
      </w:r>
      <w:r w:rsidR="00FE102D">
        <w:rPr>
          <w:rFonts w:ascii="Times New Roman" w:hAnsi="Times New Roman" w:cs="Times New Roman"/>
          <w:sz w:val="24"/>
          <w:szCs w:val="24"/>
        </w:rPr>
        <w:t>m</w:t>
      </w:r>
      <w:r w:rsidR="00865327">
        <w:rPr>
          <w:rFonts w:ascii="Times New Roman" w:hAnsi="Times New Roman" w:cs="Times New Roman"/>
          <w:sz w:val="24"/>
          <w:szCs w:val="24"/>
        </w:rPr>
        <w:t>aximum</w:t>
      </w:r>
      <w:r w:rsidR="00FE102D">
        <w:rPr>
          <w:rFonts w:ascii="Times New Roman" w:hAnsi="Times New Roman" w:cs="Times New Roman"/>
          <w:sz w:val="24"/>
          <w:szCs w:val="24"/>
        </w:rPr>
        <w:t xml:space="preserve"> </w:t>
      </w:r>
      <w:r w:rsidR="00593FB8">
        <w:rPr>
          <w:rFonts w:ascii="Times New Roman" w:hAnsi="Times New Roman" w:cs="Times New Roman"/>
          <w:sz w:val="24"/>
          <w:szCs w:val="24"/>
        </w:rPr>
        <w:t>homogeneity of sampling and because this group appear to have greater difficulties adjusting to life in the UK</w:t>
      </w:r>
      <w:r w:rsidR="00FE102D">
        <w:rPr>
          <w:rFonts w:ascii="Times New Roman" w:hAnsi="Times New Roman" w:cs="Times New Roman"/>
          <w:sz w:val="24"/>
          <w:szCs w:val="24"/>
        </w:rPr>
        <w:t xml:space="preserve"> than Malaysians of other ethnic groups</w:t>
      </w:r>
      <w:r w:rsidR="00593FB8">
        <w:rPr>
          <w:rFonts w:ascii="Times New Roman" w:hAnsi="Times New Roman" w:cs="Times New Roman"/>
          <w:sz w:val="24"/>
          <w:szCs w:val="24"/>
        </w:rPr>
        <w:t xml:space="preserve"> (</w:t>
      </w:r>
      <w:r w:rsidR="006A729B">
        <w:rPr>
          <w:rFonts w:ascii="Times New Roman" w:hAnsi="Times New Roman" w:cs="Times New Roman"/>
          <w:sz w:val="24"/>
          <w:szCs w:val="24"/>
        </w:rPr>
        <w:t>2</w:t>
      </w:r>
      <w:r w:rsidR="006E2AAA">
        <w:rPr>
          <w:rFonts w:ascii="Times New Roman" w:hAnsi="Times New Roman" w:cs="Times New Roman"/>
          <w:sz w:val="24"/>
          <w:szCs w:val="24"/>
        </w:rPr>
        <w:t>0</w:t>
      </w:r>
      <w:r w:rsidR="00593FB8">
        <w:rPr>
          <w:rFonts w:ascii="Times New Roman" w:hAnsi="Times New Roman" w:cs="Times New Roman"/>
          <w:sz w:val="24"/>
          <w:szCs w:val="24"/>
        </w:rPr>
        <w:t xml:space="preserve">). </w:t>
      </w:r>
    </w:p>
    <w:p w:rsidR="00593FB8" w:rsidRDefault="00593FB8" w:rsidP="003E34F0">
      <w:pPr>
        <w:spacing w:after="0" w:line="480" w:lineRule="auto"/>
        <w:rPr>
          <w:rFonts w:ascii="Times New Roman" w:hAnsi="Times New Roman" w:cs="Times New Roman"/>
          <w:b/>
          <w:sz w:val="24"/>
          <w:szCs w:val="24"/>
        </w:rPr>
      </w:pPr>
      <w:r>
        <w:rPr>
          <w:rFonts w:ascii="Times New Roman" w:hAnsi="Times New Roman" w:cs="Times New Roman"/>
          <w:b/>
          <w:sz w:val="24"/>
          <w:szCs w:val="24"/>
        </w:rPr>
        <w:t>Materials</w:t>
      </w:r>
    </w:p>
    <w:p w:rsidR="00593FB8" w:rsidRDefault="00593FB8" w:rsidP="003E34F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E4815">
        <w:rPr>
          <w:rFonts w:ascii="Times New Roman" w:hAnsi="Times New Roman" w:cs="Times New Roman"/>
          <w:b/>
          <w:sz w:val="24"/>
          <w:szCs w:val="24"/>
        </w:rPr>
        <w:t>Risk factors for e</w:t>
      </w:r>
      <w:r w:rsidR="000D0B1E">
        <w:rPr>
          <w:rFonts w:ascii="Times New Roman" w:hAnsi="Times New Roman" w:cs="Times New Roman"/>
          <w:b/>
          <w:sz w:val="24"/>
          <w:szCs w:val="24"/>
        </w:rPr>
        <w:t>ating disorder</w:t>
      </w:r>
      <w:r w:rsidR="004E4815">
        <w:rPr>
          <w:rFonts w:ascii="Times New Roman" w:hAnsi="Times New Roman" w:cs="Times New Roman"/>
          <w:b/>
          <w:sz w:val="24"/>
          <w:szCs w:val="24"/>
        </w:rPr>
        <w:t>s</w:t>
      </w:r>
      <w:r w:rsidR="000D0B1E">
        <w:rPr>
          <w:rFonts w:ascii="Times New Roman" w:hAnsi="Times New Roman" w:cs="Times New Roman"/>
          <w:sz w:val="24"/>
          <w:szCs w:val="24"/>
        </w:rPr>
        <w:t>. At Times 1 and 2, participants completed th</w:t>
      </w:r>
      <w:r w:rsidR="006740F5">
        <w:rPr>
          <w:rFonts w:ascii="Times New Roman" w:hAnsi="Times New Roman" w:cs="Times New Roman"/>
          <w:sz w:val="24"/>
          <w:szCs w:val="24"/>
        </w:rPr>
        <w:t>ree subscales of the</w:t>
      </w:r>
      <w:r w:rsidR="000D0B1E">
        <w:rPr>
          <w:rFonts w:ascii="Times New Roman" w:hAnsi="Times New Roman" w:cs="Times New Roman"/>
          <w:sz w:val="24"/>
          <w:szCs w:val="24"/>
        </w:rPr>
        <w:t xml:space="preserve"> Eating Disorders Inventory-3 (EDI-3; </w:t>
      </w:r>
      <w:r w:rsidR="006E2AAA">
        <w:rPr>
          <w:rFonts w:ascii="Times New Roman" w:hAnsi="Times New Roman" w:cs="Times New Roman"/>
          <w:sz w:val="24"/>
          <w:szCs w:val="24"/>
        </w:rPr>
        <w:t>2</w:t>
      </w:r>
      <w:r w:rsidR="00C10E60">
        <w:rPr>
          <w:rFonts w:ascii="Times New Roman" w:hAnsi="Times New Roman" w:cs="Times New Roman"/>
          <w:sz w:val="24"/>
          <w:szCs w:val="24"/>
        </w:rPr>
        <w:t>7</w:t>
      </w:r>
      <w:r w:rsidR="000D0B1E">
        <w:rPr>
          <w:rFonts w:ascii="Times New Roman" w:hAnsi="Times New Roman" w:cs="Times New Roman"/>
          <w:sz w:val="24"/>
          <w:szCs w:val="24"/>
        </w:rPr>
        <w:t>), a self-report questionnaire widely used to assess</w:t>
      </w:r>
      <w:r w:rsidR="004E4815">
        <w:rPr>
          <w:rFonts w:ascii="Times New Roman" w:hAnsi="Times New Roman" w:cs="Times New Roman"/>
          <w:sz w:val="24"/>
          <w:szCs w:val="24"/>
        </w:rPr>
        <w:t xml:space="preserve"> risk factors for</w:t>
      </w:r>
      <w:r w:rsidR="000D0B1E">
        <w:rPr>
          <w:rFonts w:ascii="Times New Roman" w:hAnsi="Times New Roman" w:cs="Times New Roman"/>
          <w:sz w:val="24"/>
          <w:szCs w:val="24"/>
        </w:rPr>
        <w:t xml:space="preserve"> </w:t>
      </w:r>
      <w:r w:rsidR="004E4815">
        <w:rPr>
          <w:rFonts w:ascii="Times New Roman" w:hAnsi="Times New Roman" w:cs="Times New Roman"/>
          <w:sz w:val="24"/>
          <w:szCs w:val="24"/>
        </w:rPr>
        <w:t>e</w:t>
      </w:r>
      <w:r w:rsidR="000D0B1E">
        <w:rPr>
          <w:rFonts w:ascii="Times New Roman" w:hAnsi="Times New Roman" w:cs="Times New Roman"/>
          <w:sz w:val="24"/>
          <w:szCs w:val="24"/>
        </w:rPr>
        <w:t xml:space="preserve">ating disorders. </w:t>
      </w:r>
      <w:r w:rsidR="006740F5">
        <w:rPr>
          <w:rFonts w:ascii="Times New Roman" w:hAnsi="Times New Roman" w:cs="Times New Roman"/>
          <w:sz w:val="24"/>
          <w:szCs w:val="24"/>
        </w:rPr>
        <w:t>The three subscales were drive for thinness (EDI-DT; 7 items), body dissatisfaction (EDI-BD; 9 items), and bulimia (EDI-BS; 7 items).</w:t>
      </w:r>
      <w:r w:rsidR="004E4815">
        <w:rPr>
          <w:rFonts w:ascii="Times New Roman" w:hAnsi="Times New Roman" w:cs="Times New Roman"/>
          <w:sz w:val="24"/>
          <w:szCs w:val="24"/>
        </w:rPr>
        <w:t xml:space="preserve"> Garner (</w:t>
      </w:r>
      <w:r w:rsidR="006E2AAA">
        <w:rPr>
          <w:rFonts w:ascii="Times New Roman" w:hAnsi="Times New Roman" w:cs="Times New Roman"/>
          <w:sz w:val="24"/>
          <w:szCs w:val="24"/>
        </w:rPr>
        <w:t>2</w:t>
      </w:r>
      <w:r w:rsidR="00C10E60">
        <w:rPr>
          <w:rFonts w:ascii="Times New Roman" w:hAnsi="Times New Roman" w:cs="Times New Roman"/>
          <w:sz w:val="24"/>
          <w:szCs w:val="24"/>
        </w:rPr>
        <w:t>7</w:t>
      </w:r>
      <w:r w:rsidR="004E4815">
        <w:rPr>
          <w:rFonts w:ascii="Times New Roman" w:hAnsi="Times New Roman" w:cs="Times New Roman"/>
          <w:sz w:val="24"/>
          <w:szCs w:val="24"/>
        </w:rPr>
        <w:t>) summarised scores on these subscales as representing general risk factors for eating disorders.</w:t>
      </w:r>
      <w:r w:rsidR="006740F5">
        <w:rPr>
          <w:rFonts w:ascii="Times New Roman" w:hAnsi="Times New Roman" w:cs="Times New Roman"/>
          <w:sz w:val="24"/>
          <w:szCs w:val="24"/>
        </w:rPr>
        <w:t xml:space="preserve"> Items were rated on a 5-point scale ranging from 1 (</w:t>
      </w:r>
      <w:r w:rsidR="00F20488">
        <w:rPr>
          <w:rFonts w:ascii="Times New Roman" w:hAnsi="Times New Roman" w:cs="Times New Roman"/>
          <w:i/>
          <w:sz w:val="24"/>
          <w:szCs w:val="24"/>
        </w:rPr>
        <w:t>Never</w:t>
      </w:r>
      <w:r w:rsidR="00F20488">
        <w:rPr>
          <w:rFonts w:ascii="Times New Roman" w:hAnsi="Times New Roman" w:cs="Times New Roman"/>
          <w:sz w:val="24"/>
          <w:szCs w:val="24"/>
        </w:rPr>
        <w:t>) to 5 (</w:t>
      </w:r>
      <w:r w:rsidR="00F20488">
        <w:rPr>
          <w:rFonts w:ascii="Times New Roman" w:hAnsi="Times New Roman" w:cs="Times New Roman"/>
          <w:i/>
          <w:sz w:val="24"/>
          <w:szCs w:val="24"/>
        </w:rPr>
        <w:t>Always</w:t>
      </w:r>
      <w:r w:rsidR="00F20488">
        <w:rPr>
          <w:rFonts w:ascii="Times New Roman" w:hAnsi="Times New Roman" w:cs="Times New Roman"/>
          <w:sz w:val="24"/>
          <w:szCs w:val="24"/>
        </w:rPr>
        <w:t xml:space="preserve">). </w:t>
      </w:r>
      <w:r w:rsidR="00D43A6C">
        <w:rPr>
          <w:rFonts w:ascii="Times New Roman" w:hAnsi="Times New Roman" w:cs="Times New Roman"/>
          <w:sz w:val="24"/>
          <w:szCs w:val="24"/>
        </w:rPr>
        <w:t xml:space="preserve">Subscale scores were computed as the mean of items associated with each factor, such that higher scores reflect greater incidence of eating disorder symptomatology. </w:t>
      </w:r>
      <w:r w:rsidR="00F20488">
        <w:rPr>
          <w:rFonts w:ascii="Times New Roman" w:hAnsi="Times New Roman" w:cs="Times New Roman"/>
          <w:sz w:val="24"/>
          <w:szCs w:val="24"/>
        </w:rPr>
        <w:t>These subscales of the EDI-3 have good factorial validity (</w:t>
      </w:r>
      <w:r w:rsidR="00C10E60">
        <w:rPr>
          <w:rFonts w:ascii="Times New Roman" w:hAnsi="Times New Roman" w:cs="Times New Roman"/>
          <w:sz w:val="24"/>
          <w:szCs w:val="24"/>
        </w:rPr>
        <w:t>27-28</w:t>
      </w:r>
      <w:r w:rsidR="00F20488">
        <w:rPr>
          <w:rFonts w:ascii="Times New Roman" w:hAnsi="Times New Roman" w:cs="Times New Roman"/>
          <w:sz w:val="24"/>
          <w:szCs w:val="24"/>
        </w:rPr>
        <w:t>), excellent internal consistency and test-retest reliability (</w:t>
      </w:r>
      <w:r w:rsidR="00AB47BE">
        <w:rPr>
          <w:rFonts w:ascii="Times New Roman" w:hAnsi="Times New Roman" w:cs="Times New Roman"/>
          <w:sz w:val="24"/>
          <w:szCs w:val="24"/>
        </w:rPr>
        <w:t>2</w:t>
      </w:r>
      <w:r w:rsidR="00C10E60">
        <w:rPr>
          <w:rFonts w:ascii="Times New Roman" w:hAnsi="Times New Roman" w:cs="Times New Roman"/>
          <w:sz w:val="24"/>
          <w:szCs w:val="24"/>
        </w:rPr>
        <w:t>9</w:t>
      </w:r>
      <w:r w:rsidR="00F20488">
        <w:rPr>
          <w:rFonts w:ascii="Times New Roman" w:hAnsi="Times New Roman" w:cs="Times New Roman"/>
          <w:sz w:val="24"/>
          <w:szCs w:val="24"/>
        </w:rPr>
        <w:t>), and good patterns of convergent and discriminant validity (</w:t>
      </w:r>
      <w:r w:rsidR="00AB47BE">
        <w:rPr>
          <w:rFonts w:ascii="Times New Roman" w:hAnsi="Times New Roman" w:cs="Times New Roman"/>
          <w:sz w:val="24"/>
          <w:szCs w:val="24"/>
        </w:rPr>
        <w:t>2</w:t>
      </w:r>
      <w:r w:rsidR="00C10E60">
        <w:rPr>
          <w:rFonts w:ascii="Times New Roman" w:hAnsi="Times New Roman" w:cs="Times New Roman"/>
          <w:sz w:val="24"/>
          <w:szCs w:val="24"/>
        </w:rPr>
        <w:t>7</w:t>
      </w:r>
      <w:r w:rsidR="00F20488">
        <w:rPr>
          <w:rFonts w:ascii="Times New Roman" w:hAnsi="Times New Roman" w:cs="Times New Roman"/>
          <w:sz w:val="24"/>
          <w:szCs w:val="24"/>
        </w:rPr>
        <w:t xml:space="preserve">). In the present study, internal consistency coefficients for all subscales at both time points was very good (all Cronbach’s α ≥ .90). </w:t>
      </w:r>
    </w:p>
    <w:p w:rsidR="00F20488" w:rsidRDefault="00F20488" w:rsidP="003E34F0">
      <w:pPr>
        <w:spacing w:after="0" w:line="480" w:lineRule="auto"/>
        <w:rPr>
          <w:rFonts w:ascii="Times New Roman" w:hAnsi="Times New Roman" w:cs="Times New Roman"/>
          <w:sz w:val="24"/>
          <w:szCs w:val="24"/>
        </w:rPr>
      </w:pPr>
      <w:r>
        <w:rPr>
          <w:rFonts w:ascii="Times New Roman" w:hAnsi="Times New Roman" w:cs="Times New Roman"/>
          <w:b/>
          <w:sz w:val="24"/>
          <w:szCs w:val="24"/>
        </w:rPr>
        <w:tab/>
        <w:t>Sociocultural adjustment</w:t>
      </w:r>
      <w:r>
        <w:rPr>
          <w:rFonts w:ascii="Times New Roman" w:hAnsi="Times New Roman" w:cs="Times New Roman"/>
          <w:sz w:val="24"/>
          <w:szCs w:val="24"/>
        </w:rPr>
        <w:t>. At Time 2, sociocultural adjustment was assessed by 18 items concerning the degree of difficult</w:t>
      </w:r>
      <w:r w:rsidR="00865327">
        <w:rPr>
          <w:rFonts w:ascii="Times New Roman" w:hAnsi="Times New Roman" w:cs="Times New Roman"/>
          <w:sz w:val="24"/>
          <w:szCs w:val="24"/>
        </w:rPr>
        <w:t>y</w:t>
      </w:r>
      <w:r>
        <w:rPr>
          <w:rFonts w:ascii="Times New Roman" w:hAnsi="Times New Roman" w:cs="Times New Roman"/>
          <w:sz w:val="24"/>
          <w:szCs w:val="24"/>
        </w:rPr>
        <w:t xml:space="preserve"> participants faced in dealing with practical, social, and interpersonal communication problems </w:t>
      </w:r>
      <w:r w:rsidR="00D43A6C">
        <w:rPr>
          <w:rFonts w:ascii="Times New Roman" w:hAnsi="Times New Roman" w:cs="Times New Roman"/>
          <w:sz w:val="24"/>
          <w:szCs w:val="24"/>
        </w:rPr>
        <w:t>in the past four months (</w:t>
      </w:r>
      <w:r w:rsidR="00C10E60">
        <w:rPr>
          <w:rFonts w:ascii="Times New Roman" w:hAnsi="Times New Roman" w:cs="Times New Roman"/>
          <w:sz w:val="24"/>
          <w:szCs w:val="24"/>
        </w:rPr>
        <w:t>24</w:t>
      </w:r>
      <w:r w:rsidR="00D43A6C">
        <w:rPr>
          <w:rFonts w:ascii="Times New Roman" w:hAnsi="Times New Roman" w:cs="Times New Roman"/>
          <w:sz w:val="24"/>
          <w:szCs w:val="24"/>
        </w:rPr>
        <w:t>). All items were rated on a 5-point scale ranging from 1 (</w:t>
      </w:r>
      <w:r w:rsidR="00D43A6C">
        <w:rPr>
          <w:rFonts w:ascii="Times New Roman" w:hAnsi="Times New Roman" w:cs="Times New Roman"/>
          <w:i/>
          <w:sz w:val="24"/>
          <w:szCs w:val="24"/>
        </w:rPr>
        <w:t>Not at all</w:t>
      </w:r>
      <w:r w:rsidR="00D43A6C">
        <w:rPr>
          <w:rFonts w:ascii="Times New Roman" w:hAnsi="Times New Roman" w:cs="Times New Roman"/>
          <w:sz w:val="24"/>
          <w:szCs w:val="24"/>
        </w:rPr>
        <w:t>) to 5 (</w:t>
      </w:r>
      <w:r w:rsidR="00D43A6C">
        <w:rPr>
          <w:rFonts w:ascii="Times New Roman" w:hAnsi="Times New Roman" w:cs="Times New Roman"/>
          <w:i/>
          <w:sz w:val="24"/>
          <w:szCs w:val="24"/>
        </w:rPr>
        <w:t>Very much</w:t>
      </w:r>
      <w:r w:rsidR="00D43A6C">
        <w:rPr>
          <w:rFonts w:ascii="Times New Roman" w:hAnsi="Times New Roman" w:cs="Times New Roman"/>
          <w:sz w:val="24"/>
          <w:szCs w:val="24"/>
        </w:rPr>
        <w:t>). An overall score was computed as the mean of all items, with higher scores reflecting poorer sociocultural adjustment to life</w:t>
      </w:r>
      <w:r w:rsidR="00865327">
        <w:rPr>
          <w:rFonts w:ascii="Times New Roman" w:hAnsi="Times New Roman" w:cs="Times New Roman"/>
          <w:sz w:val="24"/>
          <w:szCs w:val="24"/>
        </w:rPr>
        <w:t xml:space="preserve"> in</w:t>
      </w:r>
      <w:r w:rsidR="00D43A6C">
        <w:rPr>
          <w:rFonts w:ascii="Times New Roman" w:hAnsi="Times New Roman" w:cs="Times New Roman"/>
          <w:sz w:val="24"/>
          <w:szCs w:val="24"/>
        </w:rPr>
        <w:t xml:space="preserve"> the UK. This measure of sociocultural adjustment has adequate internal consistency and good patterns of convergent validity (</w:t>
      </w:r>
      <w:r w:rsidR="00C10E60">
        <w:rPr>
          <w:rFonts w:ascii="Times New Roman" w:hAnsi="Times New Roman" w:cs="Times New Roman"/>
          <w:sz w:val="24"/>
          <w:szCs w:val="24"/>
        </w:rPr>
        <w:t>24-25</w:t>
      </w:r>
      <w:r w:rsidR="00D43A6C">
        <w:rPr>
          <w:rFonts w:ascii="Times New Roman" w:hAnsi="Times New Roman" w:cs="Times New Roman"/>
          <w:sz w:val="24"/>
          <w:szCs w:val="24"/>
        </w:rPr>
        <w:t xml:space="preserve">). In the present study, Cronbach’s α for this scale was .79. </w:t>
      </w:r>
    </w:p>
    <w:p w:rsidR="00D43A6C" w:rsidRPr="00EE2D29" w:rsidRDefault="00D43A6C" w:rsidP="003E34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Cultural distance</w:t>
      </w:r>
      <w:r>
        <w:rPr>
          <w:rFonts w:ascii="Times New Roman" w:hAnsi="Times New Roman" w:cs="Times New Roman"/>
          <w:sz w:val="24"/>
          <w:szCs w:val="24"/>
        </w:rPr>
        <w:t>. At Time 2, participants completed a measure of perceived cultural distance between the host and home cultures (</w:t>
      </w:r>
      <w:r w:rsidR="00C10E60">
        <w:rPr>
          <w:rFonts w:ascii="Times New Roman" w:hAnsi="Times New Roman" w:cs="Times New Roman"/>
          <w:sz w:val="24"/>
          <w:szCs w:val="24"/>
        </w:rPr>
        <w:t>21</w:t>
      </w:r>
      <w:r>
        <w:rPr>
          <w:rFonts w:ascii="Times New Roman" w:hAnsi="Times New Roman" w:cs="Times New Roman"/>
          <w:sz w:val="24"/>
          <w:szCs w:val="24"/>
        </w:rPr>
        <w:t xml:space="preserve">). </w:t>
      </w:r>
      <w:r w:rsidR="00EE2D29">
        <w:rPr>
          <w:rFonts w:ascii="Times New Roman" w:hAnsi="Times New Roman" w:cs="Times New Roman"/>
          <w:sz w:val="24"/>
          <w:szCs w:val="24"/>
        </w:rPr>
        <w:t>This scale consists of 36 items that assess perceived distance in a range of everyday life situations, such as family life, gender</w:t>
      </w:r>
      <w:r w:rsidR="00865327">
        <w:rPr>
          <w:rFonts w:ascii="Times New Roman" w:hAnsi="Times New Roman" w:cs="Times New Roman"/>
          <w:sz w:val="24"/>
          <w:szCs w:val="24"/>
        </w:rPr>
        <w:t xml:space="preserve"> relationships, and work habits</w:t>
      </w:r>
      <w:r w:rsidR="00EE2D29">
        <w:rPr>
          <w:rFonts w:ascii="Times New Roman" w:hAnsi="Times New Roman" w:cs="Times New Roman"/>
          <w:sz w:val="24"/>
          <w:szCs w:val="24"/>
        </w:rPr>
        <w:t xml:space="preserve">. All items were rated on a 3-point scale (1 = </w:t>
      </w:r>
      <w:r w:rsidR="00EE2D29">
        <w:rPr>
          <w:rFonts w:ascii="Times New Roman" w:hAnsi="Times New Roman" w:cs="Times New Roman"/>
          <w:i/>
          <w:sz w:val="24"/>
          <w:szCs w:val="24"/>
        </w:rPr>
        <w:t>Less</w:t>
      </w:r>
      <w:r w:rsidR="00EE2D29">
        <w:rPr>
          <w:rFonts w:ascii="Times New Roman" w:hAnsi="Times New Roman" w:cs="Times New Roman"/>
          <w:sz w:val="24"/>
          <w:szCs w:val="24"/>
        </w:rPr>
        <w:t xml:space="preserve">, 2 = </w:t>
      </w:r>
      <w:r w:rsidR="00EE2D29">
        <w:rPr>
          <w:rFonts w:ascii="Times New Roman" w:hAnsi="Times New Roman" w:cs="Times New Roman"/>
          <w:i/>
          <w:sz w:val="24"/>
          <w:szCs w:val="24"/>
        </w:rPr>
        <w:t>Equal</w:t>
      </w:r>
      <w:r w:rsidR="00EE2D29">
        <w:rPr>
          <w:rFonts w:ascii="Times New Roman" w:hAnsi="Times New Roman" w:cs="Times New Roman"/>
          <w:sz w:val="24"/>
          <w:szCs w:val="24"/>
        </w:rPr>
        <w:t xml:space="preserve">, 3 = </w:t>
      </w:r>
      <w:r w:rsidR="00EE2D29">
        <w:rPr>
          <w:rFonts w:ascii="Times New Roman" w:hAnsi="Times New Roman" w:cs="Times New Roman"/>
          <w:i/>
          <w:sz w:val="24"/>
          <w:szCs w:val="24"/>
        </w:rPr>
        <w:t>More</w:t>
      </w:r>
      <w:r w:rsidR="00EE2D29">
        <w:rPr>
          <w:rFonts w:ascii="Times New Roman" w:hAnsi="Times New Roman" w:cs="Times New Roman"/>
          <w:sz w:val="24"/>
          <w:szCs w:val="24"/>
        </w:rPr>
        <w:t>). Responses indicating the perception of a difference between the two cultures were coded as 1 and the absence of difference was coded as 0 (</w:t>
      </w:r>
      <w:r w:rsidR="00C10E60">
        <w:rPr>
          <w:rFonts w:ascii="Times New Roman" w:hAnsi="Times New Roman" w:cs="Times New Roman"/>
          <w:sz w:val="24"/>
          <w:szCs w:val="24"/>
        </w:rPr>
        <w:t>21</w:t>
      </w:r>
      <w:proofErr w:type="gramStart"/>
      <w:r w:rsidR="00C10E60">
        <w:rPr>
          <w:rFonts w:ascii="Times New Roman" w:hAnsi="Times New Roman" w:cs="Times New Roman"/>
          <w:sz w:val="24"/>
          <w:szCs w:val="24"/>
        </w:rPr>
        <w:t>,24</w:t>
      </w:r>
      <w:proofErr w:type="gramEnd"/>
      <w:r w:rsidR="00EE2D29">
        <w:rPr>
          <w:rFonts w:ascii="Times New Roman" w:hAnsi="Times New Roman" w:cs="Times New Roman"/>
          <w:sz w:val="24"/>
          <w:szCs w:val="24"/>
        </w:rPr>
        <w:t>). An overall score was then computed as the mean of responses, with higher scores reflecting greater magnitude of perceived cultural difference. This scale has adequate internal consistency and good patterns of convergent validity (</w:t>
      </w:r>
      <w:r w:rsidR="00C10E60">
        <w:rPr>
          <w:rFonts w:ascii="Times New Roman" w:hAnsi="Times New Roman" w:cs="Times New Roman"/>
          <w:sz w:val="24"/>
          <w:szCs w:val="24"/>
        </w:rPr>
        <w:t>21</w:t>
      </w:r>
      <w:proofErr w:type="gramStart"/>
      <w:r w:rsidR="00C10E60">
        <w:rPr>
          <w:rFonts w:ascii="Times New Roman" w:hAnsi="Times New Roman" w:cs="Times New Roman"/>
          <w:sz w:val="24"/>
          <w:szCs w:val="24"/>
        </w:rPr>
        <w:t>,24</w:t>
      </w:r>
      <w:proofErr w:type="gramEnd"/>
      <w:r w:rsidR="00C10E60">
        <w:rPr>
          <w:rFonts w:ascii="Times New Roman" w:hAnsi="Times New Roman" w:cs="Times New Roman"/>
          <w:sz w:val="24"/>
          <w:szCs w:val="24"/>
        </w:rPr>
        <w:t>)</w:t>
      </w:r>
      <w:r w:rsidR="00EE2D29">
        <w:rPr>
          <w:rFonts w:ascii="Times New Roman" w:hAnsi="Times New Roman" w:cs="Times New Roman"/>
          <w:sz w:val="24"/>
          <w:szCs w:val="24"/>
        </w:rPr>
        <w:t xml:space="preserve">. In the present study, Cronbach’s α for this scale was .82. </w:t>
      </w:r>
    </w:p>
    <w:p w:rsidR="00F20488" w:rsidRPr="00EE2D29" w:rsidRDefault="00EE2D29" w:rsidP="003E34F0">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Perceived discrimination</w:t>
      </w:r>
      <w:r>
        <w:rPr>
          <w:rFonts w:ascii="Times New Roman" w:hAnsi="Times New Roman" w:cs="Times New Roman"/>
          <w:sz w:val="24"/>
          <w:szCs w:val="24"/>
        </w:rPr>
        <w:t>. At Time 2, participants also completed a 6-item measure of perceived discrimination (</w:t>
      </w:r>
      <w:r w:rsidR="00C10E60">
        <w:rPr>
          <w:rFonts w:ascii="Times New Roman" w:hAnsi="Times New Roman" w:cs="Times New Roman"/>
          <w:sz w:val="24"/>
          <w:szCs w:val="24"/>
        </w:rPr>
        <w:t>24</w:t>
      </w:r>
      <w:r>
        <w:rPr>
          <w:rFonts w:ascii="Times New Roman" w:hAnsi="Times New Roman" w:cs="Times New Roman"/>
          <w:sz w:val="24"/>
          <w:szCs w:val="24"/>
        </w:rPr>
        <w:t>). Items on this scale assess the frequency of being treated negatively due to participants’ nationality. All items were rated on a 4-point scale ranging from 1 (</w:t>
      </w:r>
      <w:r>
        <w:rPr>
          <w:rFonts w:ascii="Times New Roman" w:hAnsi="Times New Roman" w:cs="Times New Roman"/>
          <w:i/>
          <w:sz w:val="24"/>
          <w:szCs w:val="24"/>
        </w:rPr>
        <w:t>Never</w:t>
      </w:r>
      <w:r>
        <w:rPr>
          <w:rFonts w:ascii="Times New Roman" w:hAnsi="Times New Roman" w:cs="Times New Roman"/>
          <w:sz w:val="24"/>
          <w:szCs w:val="24"/>
        </w:rPr>
        <w:t>) to 4 (</w:t>
      </w:r>
      <w:r>
        <w:rPr>
          <w:rFonts w:ascii="Times New Roman" w:hAnsi="Times New Roman" w:cs="Times New Roman"/>
          <w:i/>
          <w:sz w:val="24"/>
          <w:szCs w:val="24"/>
        </w:rPr>
        <w:t>Almost always</w:t>
      </w:r>
      <w:r>
        <w:rPr>
          <w:rFonts w:ascii="Times New Roman" w:hAnsi="Times New Roman" w:cs="Times New Roman"/>
          <w:sz w:val="24"/>
          <w:szCs w:val="24"/>
        </w:rPr>
        <w:t>). An overall score was computed as the mean of all 6 items, with higher scores reflecting greater perceived discrimination. Previous work has shown that this measure has good internal consistency and good convergent validity (</w:t>
      </w:r>
      <w:r w:rsidR="00C10E60">
        <w:rPr>
          <w:rFonts w:ascii="Times New Roman" w:hAnsi="Times New Roman" w:cs="Times New Roman"/>
          <w:sz w:val="24"/>
          <w:szCs w:val="24"/>
        </w:rPr>
        <w:t>24-25</w:t>
      </w:r>
      <w:r>
        <w:rPr>
          <w:rFonts w:ascii="Times New Roman" w:hAnsi="Times New Roman" w:cs="Times New Roman"/>
          <w:sz w:val="24"/>
          <w:szCs w:val="24"/>
        </w:rPr>
        <w:t>). In the present study, Cronbach’s α for this scale was .88.</w:t>
      </w:r>
    </w:p>
    <w:p w:rsidR="006740F5" w:rsidRDefault="00911C6A" w:rsidP="003E34F0">
      <w:pPr>
        <w:spacing w:after="0" w:line="480" w:lineRule="auto"/>
        <w:rPr>
          <w:rFonts w:ascii="Times New Roman" w:hAnsi="Times New Roman" w:cs="Times New Roman"/>
          <w:sz w:val="24"/>
          <w:szCs w:val="24"/>
        </w:rPr>
      </w:pPr>
      <w:r>
        <w:rPr>
          <w:rFonts w:ascii="Times New Roman" w:hAnsi="Times New Roman" w:cs="Times New Roman"/>
          <w:b/>
          <w:sz w:val="24"/>
          <w:szCs w:val="24"/>
        </w:rPr>
        <w:tab/>
        <w:t>Demographics</w:t>
      </w:r>
      <w:r>
        <w:rPr>
          <w:rFonts w:ascii="Times New Roman" w:hAnsi="Times New Roman" w:cs="Times New Roman"/>
          <w:sz w:val="24"/>
          <w:szCs w:val="24"/>
        </w:rPr>
        <w:t xml:space="preserve">. At Time </w:t>
      </w:r>
      <w:r w:rsidR="00B7040E">
        <w:rPr>
          <w:rFonts w:ascii="Times New Roman" w:hAnsi="Times New Roman" w:cs="Times New Roman"/>
          <w:sz w:val="24"/>
          <w:szCs w:val="24"/>
        </w:rPr>
        <w:t>1</w:t>
      </w:r>
      <w:r>
        <w:rPr>
          <w:rFonts w:ascii="Times New Roman" w:hAnsi="Times New Roman" w:cs="Times New Roman"/>
          <w:sz w:val="24"/>
          <w:szCs w:val="24"/>
        </w:rPr>
        <w:t>, participants provided their demographic details consisting of age, university location, height, and weight. The latter two items were used to calculate self-reported BMI as kg/m</w:t>
      </w:r>
      <w:r>
        <w:rPr>
          <w:rFonts w:ascii="Times New Roman" w:hAnsi="Times New Roman" w:cs="Times New Roman"/>
          <w:sz w:val="24"/>
          <w:szCs w:val="24"/>
          <w:vertAlign w:val="superscript"/>
        </w:rPr>
        <w:t>2</w:t>
      </w:r>
      <w:r>
        <w:rPr>
          <w:rFonts w:ascii="Times New Roman" w:hAnsi="Times New Roman" w:cs="Times New Roman"/>
          <w:sz w:val="24"/>
          <w:szCs w:val="24"/>
        </w:rPr>
        <w:t>. Self-reported BMI has adequate patterns of validity in Asian samples (</w:t>
      </w:r>
      <w:r w:rsidR="00C10E60">
        <w:rPr>
          <w:rFonts w:ascii="Times New Roman" w:hAnsi="Times New Roman" w:cs="Times New Roman"/>
          <w:sz w:val="24"/>
          <w:szCs w:val="24"/>
        </w:rPr>
        <w:t>30</w:t>
      </w:r>
      <w:r>
        <w:rPr>
          <w:rFonts w:ascii="Times New Roman" w:hAnsi="Times New Roman" w:cs="Times New Roman"/>
          <w:sz w:val="24"/>
          <w:szCs w:val="24"/>
        </w:rPr>
        <w:t xml:space="preserve">). </w:t>
      </w:r>
    </w:p>
    <w:p w:rsidR="006A48E1" w:rsidRDefault="00911C6A" w:rsidP="003E34F0">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w:t>
      </w:r>
    </w:p>
    <w:p w:rsidR="00911C6A" w:rsidRDefault="00911C6A" w:rsidP="003E34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B47BE">
        <w:rPr>
          <w:rFonts w:ascii="Times New Roman" w:hAnsi="Times New Roman" w:cs="Times New Roman"/>
          <w:sz w:val="24"/>
          <w:szCs w:val="24"/>
        </w:rPr>
        <w:t xml:space="preserve">Ethics approval was obtained from the relevant university ethics committee. </w:t>
      </w:r>
      <w:r w:rsidR="000652BC">
        <w:rPr>
          <w:rFonts w:ascii="Times New Roman" w:hAnsi="Times New Roman" w:cs="Times New Roman"/>
          <w:sz w:val="24"/>
          <w:szCs w:val="24"/>
        </w:rPr>
        <w:t xml:space="preserve">Beginning in January 2014, flyers were placed in communal areas of schools and colleges in </w:t>
      </w:r>
      <w:r w:rsidR="00FE102D">
        <w:rPr>
          <w:rFonts w:ascii="Times New Roman" w:hAnsi="Times New Roman" w:cs="Times New Roman"/>
          <w:sz w:val="24"/>
          <w:szCs w:val="24"/>
        </w:rPr>
        <w:t>Selangor</w:t>
      </w:r>
      <w:r w:rsidR="000652BC">
        <w:rPr>
          <w:rFonts w:ascii="Times New Roman" w:hAnsi="Times New Roman" w:cs="Times New Roman"/>
          <w:sz w:val="24"/>
          <w:szCs w:val="24"/>
        </w:rPr>
        <w:t xml:space="preserve">, soliciting participation from Malay students who anticipated joining a higher education institution in the UK in September 2014. Potential participants who responded </w:t>
      </w:r>
      <w:r w:rsidR="000652BC">
        <w:rPr>
          <w:rFonts w:ascii="Times New Roman" w:hAnsi="Times New Roman" w:cs="Times New Roman"/>
          <w:sz w:val="24"/>
          <w:szCs w:val="24"/>
        </w:rPr>
        <w:lastRenderedPageBreak/>
        <w:t>were provided with further information about the study</w:t>
      </w:r>
      <w:r w:rsidR="00262BED">
        <w:rPr>
          <w:rFonts w:ascii="Times New Roman" w:hAnsi="Times New Roman" w:cs="Times New Roman"/>
          <w:sz w:val="24"/>
          <w:szCs w:val="24"/>
        </w:rPr>
        <w:t xml:space="preserve"> (i.e., that it was a study about migration and health)</w:t>
      </w:r>
      <w:r w:rsidR="000652BC">
        <w:rPr>
          <w:rFonts w:ascii="Times New Roman" w:hAnsi="Times New Roman" w:cs="Times New Roman"/>
          <w:sz w:val="24"/>
          <w:szCs w:val="24"/>
        </w:rPr>
        <w:t xml:space="preserve"> </w:t>
      </w:r>
      <w:r w:rsidR="00262BED">
        <w:rPr>
          <w:rFonts w:ascii="Times New Roman" w:hAnsi="Times New Roman" w:cs="Times New Roman"/>
          <w:sz w:val="24"/>
          <w:szCs w:val="24"/>
        </w:rPr>
        <w:t>and</w:t>
      </w:r>
      <w:r w:rsidR="000652BC">
        <w:rPr>
          <w:rFonts w:ascii="Times New Roman" w:hAnsi="Times New Roman" w:cs="Times New Roman"/>
          <w:sz w:val="24"/>
          <w:szCs w:val="24"/>
        </w:rPr>
        <w:t xml:space="preserve"> screened for eligibility. Participants who agreed to take part in the study provided written informed consent. Because travel plans were likely to vary, participants were asked to indicate their departure date during the screening interview. Two months before their departure date, participants were sent a link to an online questionnaire that included the EDI-3</w:t>
      </w:r>
      <w:r w:rsidR="00883D01">
        <w:rPr>
          <w:rFonts w:ascii="Times New Roman" w:hAnsi="Times New Roman" w:cs="Times New Roman"/>
          <w:sz w:val="24"/>
          <w:szCs w:val="24"/>
        </w:rPr>
        <w:t>, the items of which were presented in a random</w:t>
      </w:r>
      <w:r w:rsidR="00B7040E">
        <w:rPr>
          <w:rFonts w:ascii="Times New Roman" w:hAnsi="Times New Roman" w:cs="Times New Roman"/>
          <w:sz w:val="24"/>
          <w:szCs w:val="24"/>
        </w:rPr>
        <w:t>ised order for each participant, and demographic items.</w:t>
      </w:r>
      <w:r w:rsidR="00883D01">
        <w:rPr>
          <w:rFonts w:ascii="Times New Roman" w:hAnsi="Times New Roman" w:cs="Times New Roman"/>
          <w:sz w:val="24"/>
          <w:szCs w:val="24"/>
        </w:rPr>
        <w:t xml:space="preserve"> Where there was no response, invitations were sent again three</w:t>
      </w:r>
      <w:r w:rsidR="00B7040E">
        <w:rPr>
          <w:rFonts w:ascii="Times New Roman" w:hAnsi="Times New Roman" w:cs="Times New Roman"/>
          <w:sz w:val="24"/>
          <w:szCs w:val="24"/>
        </w:rPr>
        <w:t xml:space="preserve"> and six</w:t>
      </w:r>
      <w:r w:rsidR="00883D01">
        <w:rPr>
          <w:rFonts w:ascii="Times New Roman" w:hAnsi="Times New Roman" w:cs="Times New Roman"/>
          <w:sz w:val="24"/>
          <w:szCs w:val="24"/>
        </w:rPr>
        <w:t xml:space="preserve"> days later. A total of 110 participants completed the questionnaire at Time 1. Four months after their departure date, participants were sent a link to a new questionnaire containing all the measures described above, which were presented in a pre-randomised order for each participant. Reminders for non-completion were sent three and six days later. A total of 98 participants complet</w:t>
      </w:r>
      <w:r w:rsidR="0033388F">
        <w:rPr>
          <w:rFonts w:ascii="Times New Roman" w:hAnsi="Times New Roman" w:cs="Times New Roman"/>
          <w:sz w:val="24"/>
          <w:szCs w:val="24"/>
        </w:rPr>
        <w:t xml:space="preserve">ed the questionnaire at Time 2. </w:t>
      </w:r>
      <w:r w:rsidR="00883D01">
        <w:rPr>
          <w:rFonts w:ascii="Times New Roman" w:hAnsi="Times New Roman" w:cs="Times New Roman"/>
          <w:sz w:val="24"/>
          <w:szCs w:val="24"/>
        </w:rPr>
        <w:t xml:space="preserve">Email addresses were used to link questionnaire data from Times 1 and 2, and were destroyed prior to analyses. </w:t>
      </w:r>
      <w:r w:rsidR="0033388F">
        <w:rPr>
          <w:rFonts w:ascii="Times New Roman" w:hAnsi="Times New Roman" w:cs="Times New Roman"/>
          <w:sz w:val="24"/>
          <w:szCs w:val="24"/>
        </w:rPr>
        <w:t>The questionnaires were otherwise anonymous and all participants took part o</w:t>
      </w:r>
      <w:r w:rsidR="00CB09C9">
        <w:rPr>
          <w:rFonts w:ascii="Times New Roman" w:hAnsi="Times New Roman" w:cs="Times New Roman"/>
          <w:sz w:val="24"/>
          <w:szCs w:val="24"/>
        </w:rPr>
        <w:t>n</w:t>
      </w:r>
      <w:r w:rsidR="0033388F">
        <w:rPr>
          <w:rFonts w:ascii="Times New Roman" w:hAnsi="Times New Roman" w:cs="Times New Roman"/>
          <w:sz w:val="24"/>
          <w:szCs w:val="24"/>
        </w:rPr>
        <w:t xml:space="preserve"> a voluntary basis without remuneration. </w:t>
      </w:r>
      <w:r w:rsidR="00EA7CED">
        <w:rPr>
          <w:rFonts w:ascii="Times New Roman" w:hAnsi="Times New Roman" w:cs="Times New Roman"/>
          <w:sz w:val="24"/>
          <w:szCs w:val="24"/>
        </w:rPr>
        <w:t>All questionnaires were presented in English; this was deemed acceptable as all UK higher education institution</w:t>
      </w:r>
      <w:r w:rsidR="00865327">
        <w:rPr>
          <w:rFonts w:ascii="Times New Roman" w:hAnsi="Times New Roman" w:cs="Times New Roman"/>
          <w:sz w:val="24"/>
          <w:szCs w:val="24"/>
        </w:rPr>
        <w:t>s</w:t>
      </w:r>
      <w:r w:rsidR="00EA7CED">
        <w:rPr>
          <w:rFonts w:ascii="Times New Roman" w:hAnsi="Times New Roman" w:cs="Times New Roman"/>
          <w:sz w:val="24"/>
          <w:szCs w:val="24"/>
        </w:rPr>
        <w:t xml:space="preserve"> have minimum requirements for English language proficiency (writing, listening, reading, and speaking). </w:t>
      </w:r>
      <w:r w:rsidR="0033388F">
        <w:rPr>
          <w:rFonts w:ascii="Times New Roman" w:hAnsi="Times New Roman" w:cs="Times New Roman"/>
          <w:sz w:val="24"/>
          <w:szCs w:val="24"/>
        </w:rPr>
        <w:t xml:space="preserve">Following completion of the questionnaire at Time 2, all participants were sent debriefing information. </w:t>
      </w:r>
    </w:p>
    <w:p w:rsidR="0033388F" w:rsidRDefault="0033388F" w:rsidP="003338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33388F" w:rsidRDefault="0033388F" w:rsidP="0033388F">
      <w:pPr>
        <w:spacing w:after="0" w:line="480" w:lineRule="auto"/>
        <w:rPr>
          <w:rFonts w:ascii="Times New Roman" w:hAnsi="Times New Roman" w:cs="Times New Roman"/>
          <w:b/>
          <w:sz w:val="24"/>
          <w:szCs w:val="24"/>
        </w:rPr>
      </w:pPr>
      <w:r>
        <w:rPr>
          <w:rFonts w:ascii="Times New Roman" w:hAnsi="Times New Roman" w:cs="Times New Roman"/>
          <w:b/>
          <w:sz w:val="24"/>
          <w:szCs w:val="24"/>
        </w:rPr>
        <w:t>Attrition</w:t>
      </w:r>
    </w:p>
    <w:p w:rsidR="0033388F" w:rsidRDefault="0033388F" w:rsidP="0033388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attrition rate between Times 1 and 2 was 10.9%. Independent-samples </w:t>
      </w:r>
      <w:r>
        <w:rPr>
          <w:rFonts w:ascii="Times New Roman" w:hAnsi="Times New Roman" w:cs="Times New Roman"/>
          <w:i/>
          <w:sz w:val="24"/>
          <w:szCs w:val="24"/>
        </w:rPr>
        <w:t>t</w:t>
      </w:r>
      <w:r>
        <w:rPr>
          <w:rFonts w:ascii="Times New Roman" w:hAnsi="Times New Roman" w:cs="Times New Roman"/>
          <w:sz w:val="24"/>
          <w:szCs w:val="24"/>
        </w:rPr>
        <w:t xml:space="preserve">-tests indicated no significant differences between those who completed the questionnaires at both time points and those who only completed the questionnaire at Time 1 in terms of age, </w:t>
      </w:r>
      <w:r>
        <w:rPr>
          <w:rFonts w:ascii="Times New Roman" w:hAnsi="Times New Roman" w:cs="Times New Roman"/>
          <w:i/>
          <w:sz w:val="24"/>
          <w:szCs w:val="24"/>
        </w:rPr>
        <w:t>t</w:t>
      </w:r>
      <w:r>
        <w:rPr>
          <w:rFonts w:ascii="Times New Roman" w:hAnsi="Times New Roman" w:cs="Times New Roman"/>
          <w:sz w:val="24"/>
          <w:szCs w:val="24"/>
        </w:rPr>
        <w:t xml:space="preserve">(108) = 1.79, </w:t>
      </w:r>
      <w:r>
        <w:rPr>
          <w:rFonts w:ascii="Times New Roman" w:hAnsi="Times New Roman" w:cs="Times New Roman"/>
          <w:i/>
          <w:sz w:val="24"/>
          <w:szCs w:val="24"/>
        </w:rPr>
        <w:t>p</w:t>
      </w:r>
      <w:r>
        <w:rPr>
          <w:rFonts w:ascii="Times New Roman" w:hAnsi="Times New Roman" w:cs="Times New Roman"/>
          <w:sz w:val="24"/>
          <w:szCs w:val="24"/>
        </w:rPr>
        <w:t xml:space="preserve"> = .076, </w:t>
      </w:r>
      <w:r>
        <w:rPr>
          <w:rFonts w:ascii="Times New Roman" w:hAnsi="Times New Roman" w:cs="Times New Roman"/>
          <w:i/>
          <w:sz w:val="24"/>
          <w:szCs w:val="24"/>
        </w:rPr>
        <w:t>d</w:t>
      </w:r>
      <w:r>
        <w:rPr>
          <w:rFonts w:ascii="Times New Roman" w:hAnsi="Times New Roman" w:cs="Times New Roman"/>
          <w:sz w:val="24"/>
          <w:szCs w:val="24"/>
        </w:rPr>
        <w:t xml:space="preserve"> = 0.34, and BMI, </w:t>
      </w:r>
      <w:r>
        <w:rPr>
          <w:rFonts w:ascii="Times New Roman" w:hAnsi="Times New Roman" w:cs="Times New Roman"/>
          <w:i/>
          <w:sz w:val="24"/>
          <w:szCs w:val="24"/>
        </w:rPr>
        <w:t>t</w:t>
      </w:r>
      <w:r>
        <w:rPr>
          <w:rFonts w:ascii="Times New Roman" w:hAnsi="Times New Roman" w:cs="Times New Roman"/>
          <w:sz w:val="24"/>
          <w:szCs w:val="24"/>
        </w:rPr>
        <w:t xml:space="preserve">(108) = 0.48, </w:t>
      </w:r>
      <w:r>
        <w:rPr>
          <w:rFonts w:ascii="Times New Roman" w:hAnsi="Times New Roman" w:cs="Times New Roman"/>
          <w:i/>
          <w:sz w:val="24"/>
          <w:szCs w:val="24"/>
        </w:rPr>
        <w:t>p</w:t>
      </w:r>
      <w:r>
        <w:rPr>
          <w:rFonts w:ascii="Times New Roman" w:hAnsi="Times New Roman" w:cs="Times New Roman"/>
          <w:sz w:val="24"/>
          <w:szCs w:val="24"/>
        </w:rPr>
        <w:t xml:space="preserve"> = .635, </w:t>
      </w:r>
      <w:r>
        <w:rPr>
          <w:rFonts w:ascii="Times New Roman" w:hAnsi="Times New Roman" w:cs="Times New Roman"/>
          <w:i/>
          <w:sz w:val="24"/>
          <w:szCs w:val="24"/>
        </w:rPr>
        <w:t>d</w:t>
      </w:r>
      <w:r>
        <w:rPr>
          <w:rFonts w:ascii="Times New Roman" w:hAnsi="Times New Roman" w:cs="Times New Roman"/>
          <w:sz w:val="24"/>
          <w:szCs w:val="24"/>
        </w:rPr>
        <w:t xml:space="preserve"> = 0.09. </w:t>
      </w:r>
      <w:r w:rsidR="00B7040E">
        <w:rPr>
          <w:rFonts w:ascii="Times New Roman" w:hAnsi="Times New Roman" w:cs="Times New Roman"/>
          <w:sz w:val="24"/>
          <w:szCs w:val="24"/>
        </w:rPr>
        <w:t xml:space="preserve">This suggests that participation was not compromised by these factors. </w:t>
      </w:r>
    </w:p>
    <w:p w:rsidR="00CB09C9" w:rsidRDefault="00CB09C9" w:rsidP="0033388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Change in Eating Disorder Symptomatology</w:t>
      </w:r>
    </w:p>
    <w:p w:rsidR="00E20E35" w:rsidRDefault="00CB09C9" w:rsidP="0033388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20E35">
        <w:rPr>
          <w:rFonts w:ascii="Times New Roman" w:hAnsi="Times New Roman" w:cs="Times New Roman"/>
          <w:sz w:val="24"/>
          <w:szCs w:val="24"/>
        </w:rPr>
        <w:t>Descriptive statistics for</w:t>
      </w:r>
      <w:r w:rsidR="0094084A">
        <w:rPr>
          <w:rFonts w:ascii="Times New Roman" w:hAnsi="Times New Roman" w:cs="Times New Roman"/>
          <w:sz w:val="24"/>
          <w:szCs w:val="24"/>
        </w:rPr>
        <w:t xml:space="preserve"> </w:t>
      </w:r>
      <w:r w:rsidR="006A729B">
        <w:rPr>
          <w:rFonts w:ascii="Times New Roman" w:hAnsi="Times New Roman" w:cs="Times New Roman"/>
          <w:sz w:val="24"/>
          <w:szCs w:val="24"/>
        </w:rPr>
        <w:t>the EDI-3</w:t>
      </w:r>
      <w:r w:rsidR="0094084A">
        <w:rPr>
          <w:rFonts w:ascii="Times New Roman" w:hAnsi="Times New Roman" w:cs="Times New Roman"/>
          <w:sz w:val="24"/>
          <w:szCs w:val="24"/>
        </w:rPr>
        <w:t xml:space="preserve"> </w:t>
      </w:r>
      <w:r w:rsidR="006A729B">
        <w:rPr>
          <w:rFonts w:ascii="Times New Roman" w:hAnsi="Times New Roman" w:cs="Times New Roman"/>
          <w:sz w:val="24"/>
          <w:szCs w:val="24"/>
        </w:rPr>
        <w:t>subscales</w:t>
      </w:r>
      <w:r w:rsidR="0094084A">
        <w:rPr>
          <w:rFonts w:ascii="Times New Roman" w:hAnsi="Times New Roman" w:cs="Times New Roman"/>
          <w:sz w:val="24"/>
          <w:szCs w:val="24"/>
        </w:rPr>
        <w:t xml:space="preserve"> are presented in Table 1. To examine change in </w:t>
      </w:r>
      <w:r w:rsidR="004E4815">
        <w:rPr>
          <w:rFonts w:ascii="Times New Roman" w:hAnsi="Times New Roman" w:cs="Times New Roman"/>
          <w:sz w:val="24"/>
          <w:szCs w:val="24"/>
        </w:rPr>
        <w:t xml:space="preserve">risk factors </w:t>
      </w:r>
      <w:r w:rsidR="0094084A">
        <w:rPr>
          <w:rFonts w:ascii="Times New Roman" w:hAnsi="Times New Roman" w:cs="Times New Roman"/>
          <w:sz w:val="24"/>
          <w:szCs w:val="24"/>
        </w:rPr>
        <w:t xml:space="preserve">pre- and post-migration, a series of </w:t>
      </w:r>
      <w:proofErr w:type="spellStart"/>
      <w:r w:rsidR="0094084A">
        <w:rPr>
          <w:rFonts w:ascii="Times New Roman" w:hAnsi="Times New Roman" w:cs="Times New Roman"/>
          <w:sz w:val="24"/>
          <w:szCs w:val="24"/>
        </w:rPr>
        <w:t>Bonferroni</w:t>
      </w:r>
      <w:proofErr w:type="spellEnd"/>
      <w:r w:rsidR="0094084A">
        <w:rPr>
          <w:rFonts w:ascii="Times New Roman" w:hAnsi="Times New Roman" w:cs="Times New Roman"/>
          <w:sz w:val="24"/>
          <w:szCs w:val="24"/>
        </w:rPr>
        <w:t>-corrected (</w:t>
      </w:r>
      <w:r w:rsidR="0094084A">
        <w:rPr>
          <w:rFonts w:ascii="Times New Roman" w:hAnsi="Times New Roman" w:cs="Times New Roman"/>
          <w:i/>
          <w:sz w:val="24"/>
          <w:szCs w:val="24"/>
        </w:rPr>
        <w:t>p</w:t>
      </w:r>
      <w:r w:rsidR="0094084A">
        <w:rPr>
          <w:rFonts w:ascii="Times New Roman" w:hAnsi="Times New Roman" w:cs="Times New Roman"/>
          <w:sz w:val="24"/>
          <w:szCs w:val="24"/>
        </w:rPr>
        <w:t xml:space="preserve"> = .05/3 = .017) pairwise </w:t>
      </w:r>
      <w:r w:rsidR="0094084A">
        <w:rPr>
          <w:rFonts w:ascii="Times New Roman" w:hAnsi="Times New Roman" w:cs="Times New Roman"/>
          <w:i/>
          <w:sz w:val="24"/>
          <w:szCs w:val="24"/>
        </w:rPr>
        <w:t>t</w:t>
      </w:r>
      <w:r w:rsidR="0094084A">
        <w:rPr>
          <w:rFonts w:ascii="Times New Roman" w:hAnsi="Times New Roman" w:cs="Times New Roman"/>
          <w:sz w:val="24"/>
          <w:szCs w:val="24"/>
        </w:rPr>
        <w:t xml:space="preserve">-tests were conducted. Results showed that there was a significant increase in drive for </w:t>
      </w:r>
      <w:r w:rsidR="00E04216">
        <w:rPr>
          <w:rFonts w:ascii="Times New Roman" w:hAnsi="Times New Roman" w:cs="Times New Roman"/>
          <w:sz w:val="24"/>
          <w:szCs w:val="24"/>
        </w:rPr>
        <w:t>thinness</w:t>
      </w:r>
      <w:r w:rsidR="0094084A">
        <w:rPr>
          <w:rFonts w:ascii="Times New Roman" w:hAnsi="Times New Roman" w:cs="Times New Roman"/>
          <w:sz w:val="24"/>
          <w:szCs w:val="24"/>
        </w:rPr>
        <w:t xml:space="preserve"> scores post-migration, </w:t>
      </w:r>
      <w:proofErr w:type="gramStart"/>
      <w:r w:rsidR="0094084A">
        <w:rPr>
          <w:rFonts w:ascii="Times New Roman" w:hAnsi="Times New Roman" w:cs="Times New Roman"/>
          <w:i/>
          <w:sz w:val="24"/>
          <w:szCs w:val="24"/>
        </w:rPr>
        <w:t>t</w:t>
      </w:r>
      <w:r w:rsidR="0094084A">
        <w:rPr>
          <w:rFonts w:ascii="Times New Roman" w:hAnsi="Times New Roman" w:cs="Times New Roman"/>
          <w:sz w:val="24"/>
          <w:szCs w:val="24"/>
        </w:rPr>
        <w:t>(</w:t>
      </w:r>
      <w:proofErr w:type="gramEnd"/>
      <w:r w:rsidR="0094084A">
        <w:rPr>
          <w:rFonts w:ascii="Times New Roman" w:hAnsi="Times New Roman" w:cs="Times New Roman"/>
          <w:sz w:val="24"/>
          <w:szCs w:val="24"/>
        </w:rPr>
        <w:t xml:space="preserve">97) = 6.35, </w:t>
      </w:r>
      <w:r w:rsidR="0094084A">
        <w:rPr>
          <w:rFonts w:ascii="Times New Roman" w:hAnsi="Times New Roman" w:cs="Times New Roman"/>
          <w:i/>
          <w:sz w:val="24"/>
          <w:szCs w:val="24"/>
        </w:rPr>
        <w:t>p</w:t>
      </w:r>
      <w:r w:rsidR="0094084A">
        <w:rPr>
          <w:rFonts w:ascii="Times New Roman" w:hAnsi="Times New Roman" w:cs="Times New Roman"/>
          <w:sz w:val="24"/>
          <w:szCs w:val="24"/>
        </w:rPr>
        <w:t xml:space="preserve"> &lt; .001, </w:t>
      </w:r>
      <w:r w:rsidR="005612A7">
        <w:rPr>
          <w:rFonts w:ascii="Times New Roman" w:hAnsi="Times New Roman" w:cs="Times New Roman"/>
          <w:sz w:val="24"/>
          <w:szCs w:val="24"/>
        </w:rPr>
        <w:t xml:space="preserve">95% </w:t>
      </w:r>
      <w:r w:rsidR="0094084A" w:rsidRPr="005612A7">
        <w:rPr>
          <w:rFonts w:ascii="Times New Roman" w:hAnsi="Times New Roman" w:cs="Times New Roman"/>
          <w:sz w:val="24"/>
          <w:szCs w:val="24"/>
        </w:rPr>
        <w:t>CI</w:t>
      </w:r>
      <w:r w:rsidR="0094084A">
        <w:rPr>
          <w:rFonts w:ascii="Times New Roman" w:hAnsi="Times New Roman" w:cs="Times New Roman"/>
          <w:sz w:val="24"/>
          <w:szCs w:val="24"/>
        </w:rPr>
        <w:t xml:space="preserve"> = </w:t>
      </w:r>
      <w:r w:rsidR="005612A7">
        <w:rPr>
          <w:rFonts w:ascii="Times New Roman" w:hAnsi="Times New Roman" w:cs="Times New Roman"/>
          <w:sz w:val="24"/>
          <w:szCs w:val="24"/>
        </w:rPr>
        <w:t xml:space="preserve">.26, .50, </w:t>
      </w:r>
      <w:r w:rsidR="005612A7">
        <w:rPr>
          <w:rFonts w:ascii="Times New Roman" w:hAnsi="Times New Roman" w:cs="Times New Roman"/>
          <w:i/>
          <w:sz w:val="24"/>
          <w:szCs w:val="24"/>
        </w:rPr>
        <w:t>r</w:t>
      </w:r>
      <w:r w:rsidR="005612A7">
        <w:rPr>
          <w:rFonts w:ascii="Times New Roman" w:hAnsi="Times New Roman" w:cs="Times New Roman"/>
          <w:sz w:val="24"/>
          <w:szCs w:val="24"/>
        </w:rPr>
        <w:t xml:space="preserve"> = .87. The dependence-corrected Cohen’s </w:t>
      </w:r>
      <w:r w:rsidR="005612A7">
        <w:rPr>
          <w:rFonts w:ascii="Times New Roman" w:hAnsi="Times New Roman" w:cs="Times New Roman"/>
          <w:i/>
          <w:sz w:val="24"/>
          <w:szCs w:val="24"/>
        </w:rPr>
        <w:t>d</w:t>
      </w:r>
      <w:r w:rsidR="005612A7">
        <w:rPr>
          <w:rFonts w:ascii="Times New Roman" w:hAnsi="Times New Roman" w:cs="Times New Roman"/>
          <w:sz w:val="24"/>
          <w:szCs w:val="24"/>
        </w:rPr>
        <w:t xml:space="preserve"> (</w:t>
      </w:r>
      <w:r w:rsidR="00C10E60">
        <w:rPr>
          <w:rFonts w:ascii="Times New Roman" w:hAnsi="Times New Roman" w:cs="Times New Roman"/>
          <w:sz w:val="24"/>
          <w:szCs w:val="24"/>
        </w:rPr>
        <w:t>31</w:t>
      </w:r>
      <w:r w:rsidR="005612A7">
        <w:rPr>
          <w:rFonts w:ascii="Times New Roman" w:hAnsi="Times New Roman" w:cs="Times New Roman"/>
          <w:sz w:val="24"/>
          <w:szCs w:val="24"/>
        </w:rPr>
        <w:t xml:space="preserve">) was 0.64, </w:t>
      </w:r>
      <w:r w:rsidR="00CF3451">
        <w:rPr>
          <w:rFonts w:ascii="Times New Roman" w:hAnsi="Times New Roman" w:cs="Times New Roman"/>
          <w:sz w:val="24"/>
          <w:szCs w:val="24"/>
        </w:rPr>
        <w:t>suggesting a moderate difference</w:t>
      </w:r>
      <w:r w:rsidR="00A619AB">
        <w:rPr>
          <w:rFonts w:ascii="Times New Roman" w:hAnsi="Times New Roman" w:cs="Times New Roman"/>
          <w:sz w:val="24"/>
          <w:szCs w:val="24"/>
        </w:rPr>
        <w:t xml:space="preserve"> (</w:t>
      </w:r>
      <w:r w:rsidR="00C10E60">
        <w:rPr>
          <w:rFonts w:ascii="Times New Roman" w:hAnsi="Times New Roman" w:cs="Times New Roman"/>
          <w:sz w:val="24"/>
          <w:szCs w:val="24"/>
        </w:rPr>
        <w:t>32</w:t>
      </w:r>
      <w:r w:rsidR="00A619AB">
        <w:rPr>
          <w:rFonts w:ascii="Times New Roman" w:hAnsi="Times New Roman" w:cs="Times New Roman"/>
          <w:sz w:val="24"/>
          <w:szCs w:val="24"/>
        </w:rPr>
        <w:t>)</w:t>
      </w:r>
      <w:r w:rsidR="00CF3451">
        <w:rPr>
          <w:rFonts w:ascii="Times New Roman" w:hAnsi="Times New Roman" w:cs="Times New Roman"/>
          <w:sz w:val="24"/>
          <w:szCs w:val="24"/>
        </w:rPr>
        <w:t xml:space="preserve">. Likewise, there was a significant increase in body dissatisfaction scores post-migration, </w:t>
      </w:r>
      <w:proofErr w:type="gramStart"/>
      <w:r w:rsidR="00CF3451">
        <w:rPr>
          <w:rFonts w:ascii="Times New Roman" w:hAnsi="Times New Roman" w:cs="Times New Roman"/>
          <w:i/>
          <w:sz w:val="24"/>
          <w:szCs w:val="24"/>
        </w:rPr>
        <w:t>t</w:t>
      </w:r>
      <w:r w:rsidR="00CF3451">
        <w:rPr>
          <w:rFonts w:ascii="Times New Roman" w:hAnsi="Times New Roman" w:cs="Times New Roman"/>
          <w:sz w:val="24"/>
          <w:szCs w:val="24"/>
        </w:rPr>
        <w:t>(</w:t>
      </w:r>
      <w:proofErr w:type="gramEnd"/>
      <w:r w:rsidR="00CF3451">
        <w:rPr>
          <w:rFonts w:ascii="Times New Roman" w:hAnsi="Times New Roman" w:cs="Times New Roman"/>
          <w:sz w:val="24"/>
          <w:szCs w:val="24"/>
        </w:rPr>
        <w:t xml:space="preserve">97) = 5.40, </w:t>
      </w:r>
      <w:r w:rsidR="00CF3451">
        <w:rPr>
          <w:rFonts w:ascii="Times New Roman" w:hAnsi="Times New Roman" w:cs="Times New Roman"/>
          <w:i/>
          <w:sz w:val="24"/>
          <w:szCs w:val="24"/>
        </w:rPr>
        <w:t>p</w:t>
      </w:r>
      <w:r w:rsidR="00CF3451">
        <w:rPr>
          <w:rFonts w:ascii="Times New Roman" w:hAnsi="Times New Roman" w:cs="Times New Roman"/>
          <w:sz w:val="24"/>
          <w:szCs w:val="24"/>
        </w:rPr>
        <w:t xml:space="preserve"> &lt; .001, 95% CI = .24, .51, </w:t>
      </w:r>
      <w:r w:rsidR="00CF3451">
        <w:rPr>
          <w:rFonts w:ascii="Times New Roman" w:hAnsi="Times New Roman" w:cs="Times New Roman"/>
          <w:i/>
          <w:sz w:val="24"/>
          <w:szCs w:val="24"/>
        </w:rPr>
        <w:t>r</w:t>
      </w:r>
      <w:r w:rsidR="00CF3451">
        <w:rPr>
          <w:rFonts w:ascii="Times New Roman" w:hAnsi="Times New Roman" w:cs="Times New Roman"/>
          <w:sz w:val="24"/>
          <w:szCs w:val="24"/>
        </w:rPr>
        <w:t xml:space="preserve"> = .55. The dependence-corrected Cohen’s </w:t>
      </w:r>
      <w:r w:rsidR="00CF3451">
        <w:rPr>
          <w:rFonts w:ascii="Times New Roman" w:hAnsi="Times New Roman" w:cs="Times New Roman"/>
          <w:i/>
          <w:sz w:val="24"/>
          <w:szCs w:val="24"/>
        </w:rPr>
        <w:t>d</w:t>
      </w:r>
      <w:r w:rsidR="00CF3451">
        <w:rPr>
          <w:rFonts w:ascii="Times New Roman" w:hAnsi="Times New Roman" w:cs="Times New Roman"/>
          <w:sz w:val="24"/>
          <w:szCs w:val="24"/>
        </w:rPr>
        <w:t xml:space="preserve"> was 0.54, again suggestive of a moderate difference. Finally, the results for bulimia symptoms also showed an increase in scores post-migration, </w:t>
      </w:r>
      <w:proofErr w:type="gramStart"/>
      <w:r w:rsidR="00CF3451">
        <w:rPr>
          <w:rFonts w:ascii="Times New Roman" w:hAnsi="Times New Roman" w:cs="Times New Roman"/>
          <w:i/>
          <w:sz w:val="24"/>
          <w:szCs w:val="24"/>
        </w:rPr>
        <w:t>t</w:t>
      </w:r>
      <w:r w:rsidR="00CF3451">
        <w:rPr>
          <w:rFonts w:ascii="Times New Roman" w:hAnsi="Times New Roman" w:cs="Times New Roman"/>
          <w:sz w:val="24"/>
          <w:szCs w:val="24"/>
        </w:rPr>
        <w:t>(</w:t>
      </w:r>
      <w:proofErr w:type="gramEnd"/>
      <w:r w:rsidR="00CF3451">
        <w:rPr>
          <w:rFonts w:ascii="Times New Roman" w:hAnsi="Times New Roman" w:cs="Times New Roman"/>
          <w:sz w:val="24"/>
          <w:szCs w:val="24"/>
        </w:rPr>
        <w:t xml:space="preserve">97) = 2.90, </w:t>
      </w:r>
      <w:r w:rsidR="00CF3451">
        <w:rPr>
          <w:rFonts w:ascii="Times New Roman" w:hAnsi="Times New Roman" w:cs="Times New Roman"/>
          <w:i/>
          <w:sz w:val="24"/>
          <w:szCs w:val="24"/>
        </w:rPr>
        <w:t>p</w:t>
      </w:r>
      <w:r w:rsidR="00CF3451">
        <w:rPr>
          <w:rFonts w:ascii="Times New Roman" w:hAnsi="Times New Roman" w:cs="Times New Roman"/>
          <w:sz w:val="24"/>
          <w:szCs w:val="24"/>
        </w:rPr>
        <w:t xml:space="preserve"> = .005, 95% CI = .07, .37, </w:t>
      </w:r>
      <w:r w:rsidR="00CF3451">
        <w:rPr>
          <w:rFonts w:ascii="Times New Roman" w:hAnsi="Times New Roman" w:cs="Times New Roman"/>
          <w:i/>
          <w:sz w:val="24"/>
          <w:szCs w:val="24"/>
        </w:rPr>
        <w:t>r</w:t>
      </w:r>
      <w:r w:rsidR="00CF3451">
        <w:rPr>
          <w:rFonts w:ascii="Times New Roman" w:hAnsi="Times New Roman" w:cs="Times New Roman"/>
          <w:sz w:val="24"/>
          <w:szCs w:val="24"/>
        </w:rPr>
        <w:t xml:space="preserve"> = .63. The dependence-corrected Cohen’s </w:t>
      </w:r>
      <w:r w:rsidR="00CF3451">
        <w:rPr>
          <w:rFonts w:ascii="Times New Roman" w:hAnsi="Times New Roman" w:cs="Times New Roman"/>
          <w:i/>
          <w:sz w:val="24"/>
          <w:szCs w:val="24"/>
        </w:rPr>
        <w:t>d</w:t>
      </w:r>
      <w:r w:rsidR="00CF3451">
        <w:rPr>
          <w:rFonts w:ascii="Times New Roman" w:hAnsi="Times New Roman" w:cs="Times New Roman"/>
          <w:sz w:val="24"/>
          <w:szCs w:val="24"/>
        </w:rPr>
        <w:t xml:space="preserve"> of 0.29 was indicative of a small difference.</w:t>
      </w:r>
      <w:r w:rsidR="00510986">
        <w:rPr>
          <w:rFonts w:ascii="Times New Roman" w:hAnsi="Times New Roman" w:cs="Times New Roman"/>
          <w:sz w:val="24"/>
          <w:szCs w:val="24"/>
        </w:rPr>
        <w:t xml:space="preserve"> </w:t>
      </w:r>
    </w:p>
    <w:p w:rsidR="00510986" w:rsidRDefault="00DC6C4D" w:rsidP="0033388F">
      <w:pPr>
        <w:spacing w:after="0" w:line="480" w:lineRule="auto"/>
        <w:rPr>
          <w:rFonts w:ascii="Times New Roman" w:hAnsi="Times New Roman" w:cs="Times New Roman"/>
          <w:b/>
          <w:sz w:val="24"/>
          <w:szCs w:val="24"/>
        </w:rPr>
      </w:pPr>
      <w:r>
        <w:rPr>
          <w:rFonts w:ascii="Times New Roman" w:hAnsi="Times New Roman" w:cs="Times New Roman"/>
          <w:b/>
          <w:sz w:val="24"/>
          <w:szCs w:val="24"/>
        </w:rPr>
        <w:t>Experiences in the Host Culture</w:t>
      </w:r>
    </w:p>
    <w:p w:rsidR="00510986" w:rsidRDefault="00510986" w:rsidP="0033388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examine associations between </w:t>
      </w:r>
      <w:r w:rsidR="004E4815">
        <w:rPr>
          <w:rFonts w:ascii="Times New Roman" w:hAnsi="Times New Roman" w:cs="Times New Roman"/>
          <w:sz w:val="24"/>
          <w:szCs w:val="24"/>
        </w:rPr>
        <w:t xml:space="preserve">risk factors </w:t>
      </w:r>
      <w:r>
        <w:rPr>
          <w:rFonts w:ascii="Times New Roman" w:hAnsi="Times New Roman" w:cs="Times New Roman"/>
          <w:sz w:val="24"/>
          <w:szCs w:val="24"/>
        </w:rPr>
        <w:t xml:space="preserve">and measures of </w:t>
      </w:r>
      <w:r w:rsidR="00DC6C4D">
        <w:rPr>
          <w:rFonts w:ascii="Times New Roman" w:hAnsi="Times New Roman" w:cs="Times New Roman"/>
          <w:sz w:val="24"/>
          <w:szCs w:val="24"/>
        </w:rPr>
        <w:t>experiences in the host culture</w:t>
      </w:r>
      <w:r>
        <w:rPr>
          <w:rFonts w:ascii="Times New Roman" w:hAnsi="Times New Roman" w:cs="Times New Roman"/>
          <w:sz w:val="24"/>
          <w:szCs w:val="24"/>
        </w:rPr>
        <w:t xml:space="preserve">, </w:t>
      </w:r>
      <w:r w:rsidR="00EA7CED">
        <w:rPr>
          <w:rFonts w:ascii="Times New Roman" w:hAnsi="Times New Roman" w:cs="Times New Roman"/>
          <w:sz w:val="24"/>
          <w:szCs w:val="24"/>
        </w:rPr>
        <w:t>three multiple linear regressions were computed with drive for thinness, body dissatisfaction</w:t>
      </w:r>
      <w:r w:rsidR="004E4815">
        <w:rPr>
          <w:rFonts w:ascii="Times New Roman" w:hAnsi="Times New Roman" w:cs="Times New Roman"/>
          <w:sz w:val="24"/>
          <w:szCs w:val="24"/>
        </w:rPr>
        <w:t>, and bulimia symptoms</w:t>
      </w:r>
      <w:r w:rsidR="008F43C7">
        <w:rPr>
          <w:rFonts w:ascii="Times New Roman" w:hAnsi="Times New Roman" w:cs="Times New Roman"/>
          <w:sz w:val="24"/>
          <w:szCs w:val="24"/>
        </w:rPr>
        <w:t xml:space="preserve"> from Time 2</w:t>
      </w:r>
      <w:r w:rsidR="004E4815">
        <w:rPr>
          <w:rFonts w:ascii="Times New Roman" w:hAnsi="Times New Roman" w:cs="Times New Roman"/>
          <w:sz w:val="24"/>
          <w:szCs w:val="24"/>
        </w:rPr>
        <w:t xml:space="preserve"> as criterion variables. Sociocultural adjustment, cultural distance, and perceived discrimination were entered as predictor variables. </w:t>
      </w:r>
      <w:r w:rsidR="008F43C7">
        <w:rPr>
          <w:rFonts w:ascii="Times New Roman" w:hAnsi="Times New Roman" w:cs="Times New Roman"/>
          <w:sz w:val="24"/>
          <w:szCs w:val="24"/>
        </w:rPr>
        <w:t xml:space="preserve">An examination of the variance inflation factors (VIFs) indicated that </w:t>
      </w:r>
      <w:proofErr w:type="spellStart"/>
      <w:r w:rsidR="008F43C7">
        <w:rPr>
          <w:rFonts w:ascii="Times New Roman" w:hAnsi="Times New Roman" w:cs="Times New Roman"/>
          <w:sz w:val="24"/>
          <w:szCs w:val="24"/>
        </w:rPr>
        <w:t>multicollinearity</w:t>
      </w:r>
      <w:proofErr w:type="spellEnd"/>
      <w:r w:rsidR="008F43C7">
        <w:rPr>
          <w:rFonts w:ascii="Times New Roman" w:hAnsi="Times New Roman" w:cs="Times New Roman"/>
          <w:sz w:val="24"/>
          <w:szCs w:val="24"/>
        </w:rPr>
        <w:t xml:space="preserve"> was not a limiting issue in any of the regressions (all VIFs ≤ 1.50). Regression coefficients are reported in Table 2. The regression with drive for thinness was significant, </w:t>
      </w:r>
      <w:proofErr w:type="gramStart"/>
      <w:r w:rsidR="008F43C7">
        <w:rPr>
          <w:rFonts w:ascii="Times New Roman" w:hAnsi="Times New Roman" w:cs="Times New Roman"/>
          <w:i/>
          <w:sz w:val="24"/>
          <w:szCs w:val="24"/>
        </w:rPr>
        <w:t>F</w:t>
      </w:r>
      <w:r w:rsidR="008F43C7">
        <w:rPr>
          <w:rFonts w:ascii="Times New Roman" w:hAnsi="Times New Roman" w:cs="Times New Roman"/>
          <w:sz w:val="24"/>
          <w:szCs w:val="24"/>
        </w:rPr>
        <w:t>(</w:t>
      </w:r>
      <w:proofErr w:type="gramEnd"/>
      <w:r w:rsidR="008F43C7">
        <w:rPr>
          <w:rFonts w:ascii="Times New Roman" w:hAnsi="Times New Roman" w:cs="Times New Roman"/>
          <w:sz w:val="24"/>
          <w:szCs w:val="24"/>
        </w:rPr>
        <w:t>3, 94) = 13.</w:t>
      </w:r>
      <w:r w:rsidR="00454A2C">
        <w:rPr>
          <w:rFonts w:ascii="Times New Roman" w:hAnsi="Times New Roman" w:cs="Times New Roman"/>
          <w:sz w:val="24"/>
          <w:szCs w:val="24"/>
        </w:rPr>
        <w:t>82</w:t>
      </w:r>
      <w:r w:rsidR="008F43C7">
        <w:rPr>
          <w:rFonts w:ascii="Times New Roman" w:hAnsi="Times New Roman" w:cs="Times New Roman"/>
          <w:sz w:val="24"/>
          <w:szCs w:val="24"/>
        </w:rPr>
        <w:t xml:space="preserve">, </w:t>
      </w:r>
      <w:r w:rsidR="008F43C7">
        <w:rPr>
          <w:rFonts w:ascii="Times New Roman" w:hAnsi="Times New Roman" w:cs="Times New Roman"/>
          <w:i/>
          <w:sz w:val="24"/>
          <w:szCs w:val="24"/>
        </w:rPr>
        <w:t>p</w:t>
      </w:r>
      <w:r w:rsidR="008F43C7">
        <w:rPr>
          <w:rFonts w:ascii="Times New Roman" w:hAnsi="Times New Roman" w:cs="Times New Roman"/>
          <w:sz w:val="24"/>
          <w:szCs w:val="24"/>
        </w:rPr>
        <w:t xml:space="preserve"> &lt; .001, Adj. </w:t>
      </w:r>
      <w:r w:rsidR="008F43C7">
        <w:rPr>
          <w:rFonts w:ascii="Times New Roman" w:hAnsi="Times New Roman" w:cs="Times New Roman"/>
          <w:i/>
          <w:sz w:val="24"/>
          <w:szCs w:val="24"/>
        </w:rPr>
        <w:t>R</w:t>
      </w:r>
      <w:r w:rsidR="008F43C7">
        <w:rPr>
          <w:rFonts w:ascii="Times New Roman" w:hAnsi="Times New Roman" w:cs="Times New Roman"/>
          <w:sz w:val="24"/>
          <w:szCs w:val="24"/>
          <w:vertAlign w:val="superscript"/>
        </w:rPr>
        <w:t>2</w:t>
      </w:r>
      <w:r w:rsidR="008F43C7">
        <w:rPr>
          <w:rFonts w:ascii="Times New Roman" w:hAnsi="Times New Roman" w:cs="Times New Roman"/>
          <w:sz w:val="24"/>
          <w:szCs w:val="24"/>
        </w:rPr>
        <w:t xml:space="preserve"> = .2</w:t>
      </w:r>
      <w:r w:rsidR="00454A2C">
        <w:rPr>
          <w:rFonts w:ascii="Times New Roman" w:hAnsi="Times New Roman" w:cs="Times New Roman"/>
          <w:sz w:val="24"/>
          <w:szCs w:val="24"/>
        </w:rPr>
        <w:t>8</w:t>
      </w:r>
      <w:r w:rsidR="008F43C7">
        <w:rPr>
          <w:rFonts w:ascii="Times New Roman" w:hAnsi="Times New Roman" w:cs="Times New Roman"/>
          <w:sz w:val="24"/>
          <w:szCs w:val="24"/>
        </w:rPr>
        <w:t xml:space="preserve">, with poorer sociocultural adjustment, greater cultural distance, and higher perceived discrimination predicting greater drive for thinness. The regression with body dissatisfaction was also significant, </w:t>
      </w:r>
      <w:proofErr w:type="gramStart"/>
      <w:r w:rsidR="008F43C7">
        <w:rPr>
          <w:rFonts w:ascii="Times New Roman" w:hAnsi="Times New Roman" w:cs="Times New Roman"/>
          <w:i/>
          <w:sz w:val="24"/>
          <w:szCs w:val="24"/>
        </w:rPr>
        <w:t>F</w:t>
      </w:r>
      <w:r w:rsidR="008F43C7">
        <w:rPr>
          <w:rFonts w:ascii="Times New Roman" w:hAnsi="Times New Roman" w:cs="Times New Roman"/>
          <w:sz w:val="24"/>
          <w:szCs w:val="24"/>
        </w:rPr>
        <w:t>(</w:t>
      </w:r>
      <w:proofErr w:type="gramEnd"/>
      <w:r w:rsidR="008F43C7">
        <w:rPr>
          <w:rFonts w:ascii="Times New Roman" w:hAnsi="Times New Roman" w:cs="Times New Roman"/>
          <w:sz w:val="24"/>
          <w:szCs w:val="24"/>
        </w:rPr>
        <w:t>3, 94) = 6.</w:t>
      </w:r>
      <w:r w:rsidR="00454A2C">
        <w:rPr>
          <w:rFonts w:ascii="Times New Roman" w:hAnsi="Times New Roman" w:cs="Times New Roman"/>
          <w:sz w:val="24"/>
          <w:szCs w:val="24"/>
        </w:rPr>
        <w:t>12</w:t>
      </w:r>
      <w:r w:rsidR="008F43C7">
        <w:rPr>
          <w:rFonts w:ascii="Times New Roman" w:hAnsi="Times New Roman" w:cs="Times New Roman"/>
          <w:sz w:val="24"/>
          <w:szCs w:val="24"/>
        </w:rPr>
        <w:t xml:space="preserve">, </w:t>
      </w:r>
      <w:r w:rsidR="008F43C7">
        <w:rPr>
          <w:rFonts w:ascii="Times New Roman" w:hAnsi="Times New Roman" w:cs="Times New Roman"/>
          <w:i/>
          <w:sz w:val="24"/>
          <w:szCs w:val="24"/>
        </w:rPr>
        <w:t>p</w:t>
      </w:r>
      <w:r w:rsidR="008F43C7">
        <w:rPr>
          <w:rFonts w:ascii="Times New Roman" w:hAnsi="Times New Roman" w:cs="Times New Roman"/>
          <w:sz w:val="24"/>
          <w:szCs w:val="24"/>
        </w:rPr>
        <w:t xml:space="preserve"> &lt; .001, Adj. </w:t>
      </w:r>
      <w:r w:rsidR="008F43C7">
        <w:rPr>
          <w:rFonts w:ascii="Times New Roman" w:hAnsi="Times New Roman" w:cs="Times New Roman"/>
          <w:i/>
          <w:sz w:val="24"/>
          <w:szCs w:val="24"/>
        </w:rPr>
        <w:t>R</w:t>
      </w:r>
      <w:r w:rsidR="008F43C7">
        <w:rPr>
          <w:rFonts w:ascii="Times New Roman" w:hAnsi="Times New Roman" w:cs="Times New Roman"/>
          <w:sz w:val="24"/>
          <w:szCs w:val="24"/>
          <w:vertAlign w:val="superscript"/>
        </w:rPr>
        <w:t>2</w:t>
      </w:r>
      <w:r w:rsidR="008F43C7">
        <w:rPr>
          <w:rFonts w:ascii="Times New Roman" w:hAnsi="Times New Roman" w:cs="Times New Roman"/>
          <w:sz w:val="24"/>
          <w:szCs w:val="24"/>
        </w:rPr>
        <w:t xml:space="preserve"> = .14, but only poorer sociocultural adjustment and higher perceived discrimination significantly predicted greater body dissatisfaction. </w:t>
      </w:r>
      <w:r w:rsidR="00454A2C">
        <w:rPr>
          <w:rFonts w:ascii="Times New Roman" w:hAnsi="Times New Roman" w:cs="Times New Roman"/>
          <w:sz w:val="24"/>
          <w:szCs w:val="24"/>
        </w:rPr>
        <w:t xml:space="preserve">The regression with bulimia symptoms failed to reach significance, </w:t>
      </w:r>
      <w:proofErr w:type="gramStart"/>
      <w:r w:rsidR="00454A2C">
        <w:rPr>
          <w:rFonts w:ascii="Times New Roman" w:hAnsi="Times New Roman" w:cs="Times New Roman"/>
          <w:i/>
          <w:sz w:val="24"/>
          <w:szCs w:val="24"/>
        </w:rPr>
        <w:t>F</w:t>
      </w:r>
      <w:r w:rsidR="00454A2C">
        <w:rPr>
          <w:rFonts w:ascii="Times New Roman" w:hAnsi="Times New Roman" w:cs="Times New Roman"/>
          <w:sz w:val="24"/>
          <w:szCs w:val="24"/>
        </w:rPr>
        <w:t>(</w:t>
      </w:r>
      <w:proofErr w:type="gramEnd"/>
      <w:r w:rsidR="00454A2C">
        <w:rPr>
          <w:rFonts w:ascii="Times New Roman" w:hAnsi="Times New Roman" w:cs="Times New Roman"/>
          <w:sz w:val="24"/>
          <w:szCs w:val="24"/>
        </w:rPr>
        <w:t xml:space="preserve">3, 94) = 1.34, </w:t>
      </w:r>
      <w:r w:rsidR="00454A2C">
        <w:rPr>
          <w:rFonts w:ascii="Times New Roman" w:hAnsi="Times New Roman" w:cs="Times New Roman"/>
          <w:i/>
          <w:sz w:val="24"/>
          <w:szCs w:val="24"/>
        </w:rPr>
        <w:t>p</w:t>
      </w:r>
      <w:r w:rsidR="00454A2C">
        <w:rPr>
          <w:rFonts w:ascii="Times New Roman" w:hAnsi="Times New Roman" w:cs="Times New Roman"/>
          <w:sz w:val="24"/>
          <w:szCs w:val="24"/>
        </w:rPr>
        <w:t xml:space="preserve"> = .266, Adj. </w:t>
      </w:r>
      <w:r w:rsidR="00454A2C">
        <w:rPr>
          <w:rFonts w:ascii="Times New Roman" w:hAnsi="Times New Roman" w:cs="Times New Roman"/>
          <w:i/>
          <w:sz w:val="24"/>
          <w:szCs w:val="24"/>
        </w:rPr>
        <w:t>R</w:t>
      </w:r>
      <w:r w:rsidR="00454A2C">
        <w:rPr>
          <w:rFonts w:ascii="Times New Roman" w:hAnsi="Times New Roman" w:cs="Times New Roman"/>
          <w:sz w:val="24"/>
          <w:szCs w:val="24"/>
          <w:vertAlign w:val="superscript"/>
        </w:rPr>
        <w:t>2</w:t>
      </w:r>
      <w:r w:rsidR="00454A2C">
        <w:rPr>
          <w:rFonts w:ascii="Times New Roman" w:hAnsi="Times New Roman" w:cs="Times New Roman"/>
          <w:sz w:val="24"/>
          <w:szCs w:val="24"/>
        </w:rPr>
        <w:t xml:space="preserve"> = .01. </w:t>
      </w:r>
    </w:p>
    <w:p w:rsidR="008A4E29" w:rsidRDefault="008A4E29" w:rsidP="0033388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addition to subscale scores, </w:t>
      </w:r>
      <w:r w:rsidR="00A619AB">
        <w:rPr>
          <w:rFonts w:ascii="Times New Roman" w:hAnsi="Times New Roman" w:cs="Times New Roman"/>
          <w:sz w:val="24"/>
          <w:szCs w:val="24"/>
        </w:rPr>
        <w:t>Garner (2</w:t>
      </w:r>
      <w:r w:rsidR="00C10E60">
        <w:rPr>
          <w:rFonts w:ascii="Times New Roman" w:hAnsi="Times New Roman" w:cs="Times New Roman"/>
          <w:sz w:val="24"/>
          <w:szCs w:val="24"/>
        </w:rPr>
        <w:t>7</w:t>
      </w:r>
      <w:r w:rsidR="00A619AB">
        <w:rPr>
          <w:rFonts w:ascii="Times New Roman" w:hAnsi="Times New Roman" w:cs="Times New Roman"/>
          <w:sz w:val="24"/>
          <w:szCs w:val="24"/>
        </w:rPr>
        <w:t>)</w:t>
      </w:r>
      <w:r>
        <w:rPr>
          <w:rFonts w:ascii="Times New Roman" w:hAnsi="Times New Roman" w:cs="Times New Roman"/>
          <w:sz w:val="24"/>
          <w:szCs w:val="24"/>
        </w:rPr>
        <w:t xml:space="preserve"> also allows for a higher-order total risk factor score to be computed comprising of drive for thinness, body dissatisfaction, and bulimia symptoms. In the present work, a total score was computed as the mean of all three subscale scores. This total score was then offered to a multiple linear regression as a criterion variable, with the acculturation scores as predictor variables. This regression was significant,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3, 94) = 12.23, </w:t>
      </w:r>
      <w:r>
        <w:rPr>
          <w:rFonts w:ascii="Times New Roman" w:hAnsi="Times New Roman" w:cs="Times New Roman"/>
          <w:i/>
          <w:sz w:val="24"/>
          <w:szCs w:val="24"/>
        </w:rPr>
        <w:t xml:space="preserve">p </w:t>
      </w:r>
      <w:r>
        <w:rPr>
          <w:rFonts w:ascii="Times New Roman" w:hAnsi="Times New Roman" w:cs="Times New Roman"/>
          <w:sz w:val="24"/>
          <w:szCs w:val="24"/>
        </w:rPr>
        <w:t xml:space="preserve">&lt; .001, Adj. </w:t>
      </w: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.26. Of the variables entered into the model, poorer sociocultural adjustment (B = .36, SE = .11, β = .35, </w:t>
      </w:r>
      <w:r>
        <w:rPr>
          <w:rFonts w:ascii="Times New Roman" w:hAnsi="Times New Roman" w:cs="Times New Roman"/>
          <w:i/>
          <w:sz w:val="24"/>
          <w:szCs w:val="24"/>
        </w:rPr>
        <w:t>t</w:t>
      </w:r>
      <w:r>
        <w:rPr>
          <w:rFonts w:ascii="Times New Roman" w:hAnsi="Times New Roman" w:cs="Times New Roman"/>
          <w:sz w:val="24"/>
          <w:szCs w:val="24"/>
        </w:rPr>
        <w:t xml:space="preserve"> = 3.31, </w:t>
      </w:r>
      <w:r>
        <w:rPr>
          <w:rFonts w:ascii="Times New Roman" w:hAnsi="Times New Roman" w:cs="Times New Roman"/>
          <w:i/>
          <w:sz w:val="24"/>
          <w:szCs w:val="24"/>
        </w:rPr>
        <w:t>p</w:t>
      </w:r>
      <w:r>
        <w:rPr>
          <w:rFonts w:ascii="Times New Roman" w:hAnsi="Times New Roman" w:cs="Times New Roman"/>
          <w:sz w:val="24"/>
          <w:szCs w:val="24"/>
        </w:rPr>
        <w:t xml:space="preserve"> = .001) and greater </w:t>
      </w:r>
      <w:r w:rsidR="00DC6C4D">
        <w:rPr>
          <w:rFonts w:ascii="Times New Roman" w:hAnsi="Times New Roman" w:cs="Times New Roman"/>
          <w:sz w:val="24"/>
          <w:szCs w:val="24"/>
        </w:rPr>
        <w:t xml:space="preserve">perceived discrimination (B = .32, SE = .09, β = .27, </w:t>
      </w:r>
      <w:r w:rsidR="00DC6C4D">
        <w:rPr>
          <w:rFonts w:ascii="Times New Roman" w:hAnsi="Times New Roman" w:cs="Times New Roman"/>
          <w:i/>
          <w:sz w:val="24"/>
          <w:szCs w:val="24"/>
        </w:rPr>
        <w:t>t</w:t>
      </w:r>
      <w:r w:rsidR="00DC6C4D">
        <w:rPr>
          <w:rFonts w:ascii="Times New Roman" w:hAnsi="Times New Roman" w:cs="Times New Roman"/>
          <w:sz w:val="24"/>
          <w:szCs w:val="24"/>
        </w:rPr>
        <w:t xml:space="preserve"> = 3.04, </w:t>
      </w:r>
      <w:r w:rsidR="00DC6C4D">
        <w:rPr>
          <w:rFonts w:ascii="Times New Roman" w:hAnsi="Times New Roman" w:cs="Times New Roman"/>
          <w:i/>
          <w:sz w:val="24"/>
          <w:szCs w:val="24"/>
        </w:rPr>
        <w:t>p</w:t>
      </w:r>
      <w:r w:rsidR="00DC6C4D">
        <w:rPr>
          <w:rFonts w:ascii="Times New Roman" w:hAnsi="Times New Roman" w:cs="Times New Roman"/>
          <w:sz w:val="24"/>
          <w:szCs w:val="24"/>
        </w:rPr>
        <w:t xml:space="preserve"> = .003) emerg</w:t>
      </w:r>
      <w:r w:rsidR="00865327">
        <w:rPr>
          <w:rFonts w:ascii="Times New Roman" w:hAnsi="Times New Roman" w:cs="Times New Roman"/>
          <w:sz w:val="24"/>
          <w:szCs w:val="24"/>
        </w:rPr>
        <w:t>ed</w:t>
      </w:r>
      <w:r w:rsidR="00DC6C4D">
        <w:rPr>
          <w:rFonts w:ascii="Times New Roman" w:hAnsi="Times New Roman" w:cs="Times New Roman"/>
          <w:sz w:val="24"/>
          <w:szCs w:val="24"/>
        </w:rPr>
        <w:t xml:space="preserve"> as significant predictors. </w:t>
      </w:r>
      <w:r w:rsidR="0097544D">
        <w:rPr>
          <w:rFonts w:ascii="Times New Roman" w:hAnsi="Times New Roman" w:cs="Times New Roman"/>
          <w:sz w:val="24"/>
          <w:szCs w:val="24"/>
        </w:rPr>
        <w:t xml:space="preserve">Cultural distance (B = .76, SE = .32, β = .15, </w:t>
      </w:r>
      <w:r w:rsidR="0097544D">
        <w:rPr>
          <w:rFonts w:ascii="Times New Roman" w:hAnsi="Times New Roman" w:cs="Times New Roman"/>
          <w:i/>
          <w:sz w:val="24"/>
          <w:szCs w:val="24"/>
        </w:rPr>
        <w:t>t</w:t>
      </w:r>
      <w:r w:rsidR="0097544D">
        <w:rPr>
          <w:rFonts w:ascii="Times New Roman" w:hAnsi="Times New Roman" w:cs="Times New Roman"/>
          <w:sz w:val="24"/>
          <w:szCs w:val="24"/>
        </w:rPr>
        <w:t xml:space="preserve"> = 1.45, </w:t>
      </w:r>
      <w:r w:rsidR="0097544D">
        <w:rPr>
          <w:rFonts w:ascii="Times New Roman" w:hAnsi="Times New Roman" w:cs="Times New Roman"/>
          <w:i/>
          <w:sz w:val="24"/>
          <w:szCs w:val="24"/>
        </w:rPr>
        <w:t>p</w:t>
      </w:r>
      <w:r w:rsidR="0097544D">
        <w:rPr>
          <w:rFonts w:ascii="Times New Roman" w:hAnsi="Times New Roman" w:cs="Times New Roman"/>
          <w:sz w:val="24"/>
          <w:szCs w:val="24"/>
        </w:rPr>
        <w:t xml:space="preserve"> = .152) did not emerge as a significant predictor and </w:t>
      </w:r>
      <w:proofErr w:type="spellStart"/>
      <w:r w:rsidR="0097544D">
        <w:rPr>
          <w:rFonts w:ascii="Times New Roman" w:hAnsi="Times New Roman" w:cs="Times New Roman"/>
          <w:sz w:val="24"/>
          <w:szCs w:val="24"/>
        </w:rPr>
        <w:t>multicollinearity</w:t>
      </w:r>
      <w:proofErr w:type="spellEnd"/>
      <w:r w:rsidR="0097544D">
        <w:rPr>
          <w:rFonts w:ascii="Times New Roman" w:hAnsi="Times New Roman" w:cs="Times New Roman"/>
          <w:sz w:val="24"/>
          <w:szCs w:val="24"/>
        </w:rPr>
        <w:t xml:space="preserve"> was not a limiting factor in the regression </w:t>
      </w:r>
      <w:proofErr w:type="gramStart"/>
      <w:r w:rsidR="0097544D">
        <w:rPr>
          <w:rFonts w:ascii="Times New Roman" w:hAnsi="Times New Roman" w:cs="Times New Roman"/>
          <w:sz w:val="24"/>
          <w:szCs w:val="24"/>
        </w:rPr>
        <w:t>( all</w:t>
      </w:r>
      <w:proofErr w:type="gramEnd"/>
      <w:r w:rsidR="0097544D">
        <w:rPr>
          <w:rFonts w:ascii="Times New Roman" w:hAnsi="Times New Roman" w:cs="Times New Roman"/>
          <w:sz w:val="24"/>
          <w:szCs w:val="24"/>
        </w:rPr>
        <w:t xml:space="preserve"> VIFs ≤ 1.45). </w:t>
      </w:r>
    </w:p>
    <w:p w:rsidR="0097544D" w:rsidRDefault="0097544D" w:rsidP="009754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97544D" w:rsidRDefault="0097544D" w:rsidP="0097544D">
      <w:pPr>
        <w:spacing w:after="0" w:line="480" w:lineRule="auto"/>
        <w:rPr>
          <w:rFonts w:ascii="Times New Roman" w:hAnsi="Times New Roman" w:cs="Times New Roman"/>
          <w:sz w:val="24"/>
          <w:szCs w:val="24"/>
        </w:rPr>
      </w:pPr>
      <w:r>
        <w:rPr>
          <w:rFonts w:ascii="Times New Roman" w:hAnsi="Times New Roman" w:cs="Times New Roman"/>
          <w:sz w:val="24"/>
          <w:szCs w:val="24"/>
        </w:rPr>
        <w:tab/>
        <w:t>The present study examined the culture-change hypothesis that transition between cultures results in higher rates of, and risk for, disordered eating (</w:t>
      </w:r>
      <w:r w:rsidR="00A619AB">
        <w:rPr>
          <w:rFonts w:ascii="Times New Roman" w:hAnsi="Times New Roman" w:cs="Times New Roman"/>
          <w:sz w:val="24"/>
          <w:szCs w:val="24"/>
        </w:rPr>
        <w:t>6-7)</w:t>
      </w:r>
      <w:r>
        <w:rPr>
          <w:rFonts w:ascii="Times New Roman" w:hAnsi="Times New Roman" w:cs="Times New Roman"/>
          <w:sz w:val="24"/>
          <w:szCs w:val="24"/>
        </w:rPr>
        <w:t>. Findings were supportive of this hypothesis: it was found that sojourning Malay students in the UK had significantly higher risk for disordered eating four months after the onset of their cultural transition compared to two month</w:t>
      </w:r>
      <w:r w:rsidR="00865327">
        <w:rPr>
          <w:rFonts w:ascii="Times New Roman" w:hAnsi="Times New Roman" w:cs="Times New Roman"/>
          <w:sz w:val="24"/>
          <w:szCs w:val="24"/>
        </w:rPr>
        <w:t>s</w:t>
      </w:r>
      <w:r>
        <w:rPr>
          <w:rFonts w:ascii="Times New Roman" w:hAnsi="Times New Roman" w:cs="Times New Roman"/>
          <w:sz w:val="24"/>
          <w:szCs w:val="24"/>
        </w:rPr>
        <w:t xml:space="preserve"> prior to the transition. Specifically, participants in the present study had significantly higher scores of drive for thinness, </w:t>
      </w:r>
      <w:r w:rsidR="00264B88">
        <w:rPr>
          <w:rFonts w:ascii="Times New Roman" w:hAnsi="Times New Roman" w:cs="Times New Roman"/>
          <w:sz w:val="24"/>
          <w:szCs w:val="24"/>
        </w:rPr>
        <w:t>body dissatisfaction, and bulimia symptoms as measured on the EDI-3 post-migration. Broadly speaking, these findings are consistent with earlier work indicating that sojourning abroad is an important factor in developing an eating disorder and negative body image (</w:t>
      </w:r>
      <w:r w:rsidR="00A619AB">
        <w:rPr>
          <w:rFonts w:ascii="Times New Roman" w:hAnsi="Times New Roman" w:cs="Times New Roman"/>
          <w:sz w:val="24"/>
          <w:szCs w:val="24"/>
        </w:rPr>
        <w:t>8-1</w:t>
      </w:r>
      <w:r w:rsidR="00264B88">
        <w:rPr>
          <w:rFonts w:ascii="Times New Roman" w:hAnsi="Times New Roman" w:cs="Times New Roman"/>
          <w:sz w:val="24"/>
          <w:szCs w:val="24"/>
        </w:rPr>
        <w:t>2).</w:t>
      </w:r>
    </w:p>
    <w:p w:rsidR="003C40C6" w:rsidRDefault="00264B88" w:rsidP="00133E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6DDC">
        <w:rPr>
          <w:rFonts w:ascii="Times New Roman" w:hAnsi="Times New Roman" w:cs="Times New Roman"/>
          <w:sz w:val="24"/>
          <w:szCs w:val="24"/>
        </w:rPr>
        <w:t xml:space="preserve">As various scholars have discussed, the onset of eating disorders may be triggered by the stress associated with moving abroad and adjusting to a different cultural environment. For example, in their qualitative interviews with Czech au pairs living abroad, </w:t>
      </w:r>
      <w:r w:rsidR="00A619AB">
        <w:rPr>
          <w:rFonts w:ascii="Times New Roman" w:hAnsi="Times New Roman" w:cs="Times New Roman"/>
          <w:sz w:val="24"/>
          <w:szCs w:val="24"/>
        </w:rPr>
        <w:t>researchers</w:t>
      </w:r>
      <w:r w:rsidR="00916DDC">
        <w:rPr>
          <w:rFonts w:ascii="Times New Roman" w:hAnsi="Times New Roman" w:cs="Times New Roman"/>
          <w:sz w:val="24"/>
          <w:szCs w:val="24"/>
        </w:rPr>
        <w:t xml:space="preserve"> highlighted difficulties with adjusting to the host culture (e.g., fattier foods leading to weight </w:t>
      </w:r>
      <w:r w:rsidR="00916DDC">
        <w:rPr>
          <w:rFonts w:ascii="Times New Roman" w:hAnsi="Times New Roman" w:cs="Times New Roman"/>
          <w:sz w:val="24"/>
          <w:szCs w:val="24"/>
        </w:rPr>
        <w:lastRenderedPageBreak/>
        <w:t>gain) and the loneliness of being away from familiar social support as important factors increasing the risk of eating disorder onset</w:t>
      </w:r>
      <w:r w:rsidR="00A619AB">
        <w:rPr>
          <w:rFonts w:ascii="Times New Roman" w:hAnsi="Times New Roman" w:cs="Times New Roman"/>
          <w:sz w:val="24"/>
          <w:szCs w:val="24"/>
        </w:rPr>
        <w:t xml:space="preserve"> (8)</w:t>
      </w:r>
      <w:r w:rsidR="00916DDC">
        <w:rPr>
          <w:rFonts w:ascii="Times New Roman" w:hAnsi="Times New Roman" w:cs="Times New Roman"/>
          <w:sz w:val="24"/>
          <w:szCs w:val="24"/>
        </w:rPr>
        <w:t xml:space="preserve">. In addition, thinness was seen </w:t>
      </w:r>
      <w:r w:rsidR="00133E4D">
        <w:rPr>
          <w:rFonts w:ascii="Times New Roman" w:hAnsi="Times New Roman" w:cs="Times New Roman"/>
          <w:sz w:val="24"/>
          <w:szCs w:val="24"/>
        </w:rPr>
        <w:t xml:space="preserve">by some respondents </w:t>
      </w:r>
      <w:r w:rsidR="00916DDC">
        <w:rPr>
          <w:rFonts w:ascii="Times New Roman" w:hAnsi="Times New Roman" w:cs="Times New Roman"/>
          <w:sz w:val="24"/>
          <w:szCs w:val="24"/>
        </w:rPr>
        <w:t xml:space="preserve">as a “commodity” </w:t>
      </w:r>
      <w:r w:rsidR="00133E4D">
        <w:rPr>
          <w:rFonts w:ascii="Times New Roman" w:hAnsi="Times New Roman" w:cs="Times New Roman"/>
          <w:sz w:val="24"/>
          <w:szCs w:val="24"/>
        </w:rPr>
        <w:t>to bring home (</w:t>
      </w:r>
      <w:r w:rsidR="00A619AB">
        <w:rPr>
          <w:rFonts w:ascii="Times New Roman" w:hAnsi="Times New Roman" w:cs="Times New Roman"/>
          <w:sz w:val="24"/>
          <w:szCs w:val="24"/>
        </w:rPr>
        <w:t>8</w:t>
      </w:r>
      <w:r w:rsidR="00133E4D">
        <w:rPr>
          <w:rFonts w:ascii="Times New Roman" w:hAnsi="Times New Roman" w:cs="Times New Roman"/>
          <w:sz w:val="24"/>
          <w:szCs w:val="24"/>
        </w:rPr>
        <w:t>). More broadly, exposure to Western popular culture –</w:t>
      </w:r>
      <w:r w:rsidR="00133E4D" w:rsidRPr="00133E4D">
        <w:rPr>
          <w:rFonts w:ascii="Times New Roman" w:hAnsi="Times New Roman" w:cs="Times New Roman"/>
          <w:sz w:val="24"/>
          <w:szCs w:val="24"/>
        </w:rPr>
        <w:t xml:space="preserve"> where thin bodies, strict management of weight, and an ethos of working on the body are strongly valued</w:t>
      </w:r>
      <w:r w:rsidR="00133E4D">
        <w:rPr>
          <w:rFonts w:ascii="Times New Roman" w:hAnsi="Times New Roman" w:cs="Times New Roman"/>
          <w:sz w:val="24"/>
          <w:szCs w:val="24"/>
        </w:rPr>
        <w:t xml:space="preserve"> (</w:t>
      </w:r>
      <w:r w:rsidR="00A619AB">
        <w:rPr>
          <w:rFonts w:ascii="Times New Roman" w:hAnsi="Times New Roman" w:cs="Times New Roman"/>
          <w:sz w:val="24"/>
          <w:szCs w:val="24"/>
        </w:rPr>
        <w:t>4</w:t>
      </w:r>
      <w:proofErr w:type="gramStart"/>
      <w:r w:rsidR="00A619AB">
        <w:rPr>
          <w:rFonts w:ascii="Times New Roman" w:hAnsi="Times New Roman" w:cs="Times New Roman"/>
          <w:sz w:val="24"/>
          <w:szCs w:val="24"/>
        </w:rPr>
        <w:t>,</w:t>
      </w:r>
      <w:r w:rsidR="00C71564">
        <w:rPr>
          <w:rFonts w:ascii="Times New Roman" w:hAnsi="Times New Roman" w:cs="Times New Roman"/>
          <w:sz w:val="24"/>
          <w:szCs w:val="24"/>
        </w:rPr>
        <w:t>33</w:t>
      </w:r>
      <w:proofErr w:type="gramEnd"/>
      <w:r w:rsidR="003C40C6">
        <w:rPr>
          <w:rFonts w:ascii="Times New Roman" w:hAnsi="Times New Roman" w:cs="Times New Roman"/>
          <w:sz w:val="24"/>
          <w:szCs w:val="24"/>
        </w:rPr>
        <w:t xml:space="preserve">) – may lead to an increased risk of eating disorders in sojourners. </w:t>
      </w:r>
    </w:p>
    <w:p w:rsidR="003C40C6" w:rsidRDefault="003C40C6" w:rsidP="00133E4D">
      <w:pPr>
        <w:spacing w:after="0" w:line="480" w:lineRule="auto"/>
        <w:rPr>
          <w:rFonts w:ascii="Times New Roman" w:hAnsi="Times New Roman" w:cs="Times New Roman"/>
          <w:sz w:val="24"/>
          <w:szCs w:val="24"/>
        </w:rPr>
      </w:pPr>
      <w:r>
        <w:rPr>
          <w:rFonts w:ascii="Times New Roman" w:hAnsi="Times New Roman" w:cs="Times New Roman"/>
          <w:sz w:val="24"/>
          <w:szCs w:val="24"/>
        </w:rPr>
        <w:tab/>
        <w:t>Support for the culture-change hypothesis was also provided in the form of significant associations between risk for disordered eating and measures of experiences in the host culture. Specifically, the present study found that poorer sociocultural adjustment and greater perceived discrimination was significantly associated with higher total scores of eating disorder risk. Associations with specific subscales of the EDI-3 were mixed, although generally in line with the afore-mentioned perspective vis-à-vis drive for thinness and body dissatisfaction. The regression with bulimia symptoms failed to reach significance, most likely because of the low variance in scores on this subscale. Overall, however, the present findings suggest that poorer adjustment and greater perceived discrimination in the host culture, in particular, may be factors that heighten risk for disordered eating.</w:t>
      </w:r>
    </w:p>
    <w:p w:rsidR="003C40C6" w:rsidRDefault="003C40C6" w:rsidP="00133E4D">
      <w:pPr>
        <w:spacing w:after="0" w:line="480" w:lineRule="auto"/>
        <w:rPr>
          <w:rFonts w:ascii="Times New Roman" w:hAnsi="Times New Roman" w:cs="Times New Roman"/>
          <w:sz w:val="24"/>
          <w:szCs w:val="24"/>
        </w:rPr>
      </w:pPr>
      <w:r>
        <w:rPr>
          <w:rFonts w:ascii="Times New Roman" w:hAnsi="Times New Roman" w:cs="Times New Roman"/>
          <w:sz w:val="24"/>
          <w:szCs w:val="24"/>
        </w:rPr>
        <w:tab/>
        <w:t>Poo</w:t>
      </w:r>
      <w:r w:rsidR="00FD5D71">
        <w:rPr>
          <w:rFonts w:ascii="Times New Roman" w:hAnsi="Times New Roman" w:cs="Times New Roman"/>
          <w:sz w:val="24"/>
          <w:szCs w:val="24"/>
        </w:rPr>
        <w:t>rer sociocultural adjustment may be indicative of more stressful transitions in the host culture. For example, individuals with poorer sociocultural adjustment may have greater difficulties negotiating the myriad practical requirements of sojourning and dealing with everyday life in the host culture (</w:t>
      </w:r>
      <w:r w:rsidR="00A619AB">
        <w:rPr>
          <w:rFonts w:ascii="Times New Roman" w:hAnsi="Times New Roman" w:cs="Times New Roman"/>
          <w:sz w:val="24"/>
          <w:szCs w:val="24"/>
        </w:rPr>
        <w:t>15</w:t>
      </w:r>
      <w:r w:rsidR="00FD5D71">
        <w:rPr>
          <w:rFonts w:ascii="Times New Roman" w:hAnsi="Times New Roman" w:cs="Times New Roman"/>
          <w:sz w:val="24"/>
          <w:szCs w:val="24"/>
        </w:rPr>
        <w:t>). They may also have greater difficulty forming social relationships with others in the host culture (</w:t>
      </w:r>
      <w:r w:rsidR="00C71564">
        <w:rPr>
          <w:rFonts w:ascii="Times New Roman" w:hAnsi="Times New Roman" w:cs="Times New Roman"/>
          <w:sz w:val="24"/>
          <w:szCs w:val="24"/>
        </w:rPr>
        <w:t>24-25</w:t>
      </w:r>
      <w:r w:rsidR="00FD5D71">
        <w:rPr>
          <w:rFonts w:ascii="Times New Roman" w:hAnsi="Times New Roman" w:cs="Times New Roman"/>
          <w:sz w:val="24"/>
          <w:szCs w:val="24"/>
        </w:rPr>
        <w:t xml:space="preserve">), which may also impact on help-seeking behaviours. These issues may be further </w:t>
      </w:r>
      <w:proofErr w:type="spellStart"/>
      <w:r w:rsidR="00FD5D71">
        <w:rPr>
          <w:rFonts w:ascii="Times New Roman" w:hAnsi="Times New Roman" w:cs="Times New Roman"/>
          <w:sz w:val="24"/>
          <w:szCs w:val="24"/>
        </w:rPr>
        <w:t>problematised</w:t>
      </w:r>
      <w:proofErr w:type="spellEnd"/>
      <w:r w:rsidR="00FD5D71">
        <w:rPr>
          <w:rFonts w:ascii="Times New Roman" w:hAnsi="Times New Roman" w:cs="Times New Roman"/>
          <w:sz w:val="24"/>
          <w:szCs w:val="24"/>
        </w:rPr>
        <w:t xml:space="preserve"> by the experience of discrimination, whether perceived or real, in the host culture. For Malay-Muslims in the UK, in particular, visual signifiers of their ethno-racial identities may have a detrimental effect on interpersonal relationships (</w:t>
      </w:r>
      <w:r w:rsidR="00C71564">
        <w:rPr>
          <w:rFonts w:ascii="Times New Roman" w:hAnsi="Times New Roman" w:cs="Times New Roman"/>
          <w:sz w:val="24"/>
          <w:szCs w:val="24"/>
        </w:rPr>
        <w:t>34-35</w:t>
      </w:r>
      <w:r w:rsidR="00FD5D71">
        <w:rPr>
          <w:rFonts w:ascii="Times New Roman" w:hAnsi="Times New Roman" w:cs="Times New Roman"/>
          <w:sz w:val="24"/>
          <w:szCs w:val="24"/>
        </w:rPr>
        <w:t xml:space="preserve">). </w:t>
      </w:r>
      <w:r w:rsidR="00DC1EEE">
        <w:rPr>
          <w:rFonts w:ascii="Times New Roman" w:hAnsi="Times New Roman" w:cs="Times New Roman"/>
          <w:sz w:val="24"/>
          <w:szCs w:val="24"/>
        </w:rPr>
        <w:t xml:space="preserve">In short, the degree of learning that must occur for a sojourner to “fit </w:t>
      </w:r>
      <w:r w:rsidR="00DC1EEE">
        <w:rPr>
          <w:rFonts w:ascii="Times New Roman" w:hAnsi="Times New Roman" w:cs="Times New Roman"/>
          <w:sz w:val="24"/>
          <w:szCs w:val="24"/>
        </w:rPr>
        <w:lastRenderedPageBreak/>
        <w:t>in” in the host culture appears to place some individuals at heightened risk for eating disorders.</w:t>
      </w:r>
    </w:p>
    <w:p w:rsidR="003C40C6" w:rsidRDefault="00DC1EEE" w:rsidP="00133E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67F9">
        <w:rPr>
          <w:rFonts w:ascii="Times New Roman" w:hAnsi="Times New Roman" w:cs="Times New Roman"/>
          <w:sz w:val="24"/>
          <w:szCs w:val="24"/>
        </w:rPr>
        <w:t>Although the prospective design of this study was a strength, a number of limitations should be considered. First, it is possible that the increased risk for eating disorders seen in the present study could have been accounted for by a general set of factors associated with psychopathology more broadly (</w:t>
      </w:r>
      <w:r w:rsidR="00EC52BB">
        <w:rPr>
          <w:rFonts w:ascii="Times New Roman" w:hAnsi="Times New Roman" w:cs="Times New Roman"/>
          <w:sz w:val="24"/>
          <w:szCs w:val="24"/>
        </w:rPr>
        <w:t>9</w:t>
      </w:r>
      <w:r w:rsidR="006967F9">
        <w:rPr>
          <w:rFonts w:ascii="Times New Roman" w:hAnsi="Times New Roman" w:cs="Times New Roman"/>
          <w:sz w:val="24"/>
          <w:szCs w:val="24"/>
        </w:rPr>
        <w:t>). For example, migration to Western countries is associated with increased risk for a range of psychiatric disorders that are comorbid with disordered eating (</w:t>
      </w:r>
      <w:r w:rsidR="00EC52BB">
        <w:rPr>
          <w:rFonts w:ascii="Times New Roman" w:hAnsi="Times New Roman" w:cs="Times New Roman"/>
          <w:sz w:val="24"/>
          <w:szCs w:val="24"/>
        </w:rPr>
        <w:t>3</w:t>
      </w:r>
      <w:r w:rsidR="00C71564">
        <w:rPr>
          <w:rFonts w:ascii="Times New Roman" w:hAnsi="Times New Roman" w:cs="Times New Roman"/>
          <w:sz w:val="24"/>
          <w:szCs w:val="24"/>
        </w:rPr>
        <w:t>6-37</w:t>
      </w:r>
      <w:r w:rsidR="006967F9">
        <w:rPr>
          <w:rFonts w:ascii="Times New Roman" w:hAnsi="Times New Roman" w:cs="Times New Roman"/>
          <w:sz w:val="24"/>
          <w:szCs w:val="24"/>
        </w:rPr>
        <w:t>). Future work could examine this possibility by statistically adjusting for psychiatric disorders with onset prior to the onset of disordered eating symptomatology (</w:t>
      </w:r>
      <w:r w:rsidR="00EC52BB">
        <w:rPr>
          <w:rFonts w:ascii="Times New Roman" w:hAnsi="Times New Roman" w:cs="Times New Roman"/>
          <w:sz w:val="24"/>
          <w:szCs w:val="24"/>
        </w:rPr>
        <w:t>9</w:t>
      </w:r>
      <w:r w:rsidR="006967F9">
        <w:rPr>
          <w:rFonts w:ascii="Times New Roman" w:hAnsi="Times New Roman" w:cs="Times New Roman"/>
          <w:sz w:val="24"/>
          <w:szCs w:val="24"/>
        </w:rPr>
        <w:t xml:space="preserve">). Likewise, it is possible that the onset of an eating disorder is triggered by acculturation to Western culture specifically, rather than the stress of </w:t>
      </w:r>
      <w:r w:rsidR="005D291F">
        <w:rPr>
          <w:rFonts w:ascii="Times New Roman" w:hAnsi="Times New Roman" w:cs="Times New Roman"/>
          <w:sz w:val="24"/>
          <w:szCs w:val="24"/>
        </w:rPr>
        <w:t>transmigration. One review of the literature concluded that acculturation is associated with eating disorder psychopathology, but that direction and strength of the association depends on the group being studied and how acculturation is measured (</w:t>
      </w:r>
      <w:r w:rsidR="00C71564">
        <w:rPr>
          <w:rFonts w:ascii="Times New Roman" w:hAnsi="Times New Roman" w:cs="Times New Roman"/>
          <w:sz w:val="24"/>
          <w:szCs w:val="24"/>
        </w:rPr>
        <w:t>33</w:t>
      </w:r>
      <w:r w:rsidR="005D291F">
        <w:rPr>
          <w:rFonts w:ascii="Times New Roman" w:hAnsi="Times New Roman" w:cs="Times New Roman"/>
          <w:sz w:val="24"/>
          <w:szCs w:val="24"/>
        </w:rPr>
        <w:t>). Including measures of acculturation to Western society would be another way in which the present design could be improved upon.</w:t>
      </w:r>
    </w:p>
    <w:p w:rsidR="005D291F" w:rsidRDefault="005D291F" w:rsidP="00133E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262BED">
        <w:rPr>
          <w:rFonts w:ascii="Times New Roman" w:hAnsi="Times New Roman" w:cs="Times New Roman"/>
          <w:sz w:val="24"/>
          <w:szCs w:val="24"/>
        </w:rPr>
        <w:t xml:space="preserve">the information provided to potential participants may have introduced an unforeseen sampling bias, in that some individuals may have been more likely to want to participant in a study about migration and health than others. Further, </w:t>
      </w:r>
      <w:r>
        <w:rPr>
          <w:rFonts w:ascii="Times New Roman" w:hAnsi="Times New Roman" w:cs="Times New Roman"/>
          <w:sz w:val="24"/>
          <w:szCs w:val="24"/>
        </w:rPr>
        <w:t xml:space="preserve">while the variables included in the present study explained about a quarter of the variance in total eating disorder risk, it is apparent that there were neglected variables. Future work could, for example, also include measures of contact with individuals from the host and home cultures, which may provide a more direct assessment of social support. Another limitation of the design was the presentation of the questionnaire in English. Although all participants were expected to proficient in English language, as this was a requirement for study in the UK, it is probable that actual within-sample proficiency varied. Including a measure of English-language </w:t>
      </w:r>
      <w:r>
        <w:rPr>
          <w:rFonts w:ascii="Times New Roman" w:hAnsi="Times New Roman" w:cs="Times New Roman"/>
          <w:sz w:val="24"/>
          <w:szCs w:val="24"/>
        </w:rPr>
        <w:lastRenderedPageBreak/>
        <w:t xml:space="preserve">proficiency would be useful, but a better way of approaching this issue would be to develop a Malay-language version of the EDI-3. In particular, it will be important to determine whether responses to this Malay version show the same factorial validity as its English-language parent scale. </w:t>
      </w:r>
      <w:r w:rsidR="005C6F36">
        <w:rPr>
          <w:rFonts w:ascii="Times New Roman" w:hAnsi="Times New Roman" w:cs="Times New Roman"/>
          <w:sz w:val="24"/>
          <w:szCs w:val="24"/>
        </w:rPr>
        <w:t xml:space="preserve">In a similar vein, it may be useful to control for intra-individual differences in socioeconomic status, given previous work suggesting that there may be differences in body image in Malaysian women from sites that vary in socioeconomic (38). </w:t>
      </w:r>
    </w:p>
    <w:p w:rsidR="00FC67DB" w:rsidRDefault="005D291F" w:rsidP="006A729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limitations notwithstanding, the present study provides evidence that </w:t>
      </w:r>
      <w:r w:rsidR="00CC3483">
        <w:rPr>
          <w:rFonts w:ascii="Times New Roman" w:hAnsi="Times New Roman" w:cs="Times New Roman"/>
          <w:sz w:val="24"/>
          <w:szCs w:val="24"/>
        </w:rPr>
        <w:t>transmigration among Malay students sojourning in the UK is associated with increased risk for disordered eating. If these findings can be replicated with other groups (e.g., other ethnics groups from Malaysia, but also sojourners from other nat</w:t>
      </w:r>
      <w:r w:rsidR="00865327">
        <w:rPr>
          <w:rFonts w:ascii="Times New Roman" w:hAnsi="Times New Roman" w:cs="Times New Roman"/>
          <w:sz w:val="24"/>
          <w:szCs w:val="24"/>
        </w:rPr>
        <w:t>ional settings), they may point</w:t>
      </w:r>
      <w:r w:rsidR="00CC3483">
        <w:rPr>
          <w:rFonts w:ascii="Times New Roman" w:hAnsi="Times New Roman" w:cs="Times New Roman"/>
          <w:sz w:val="24"/>
          <w:szCs w:val="24"/>
        </w:rPr>
        <w:t xml:space="preserve"> to sojourning students as an important at-risk group for disordered eating. This, in turn, may require early intervention practices to reduce such risk. For example, it may be possible to mitigate some of the detrimental effects of transmigration by ensuring that sojourning students are better equipped to deal with student life in the UK. Cross-cultural training,</w:t>
      </w:r>
      <w:r w:rsidR="00EC52BB">
        <w:rPr>
          <w:rFonts w:ascii="Times New Roman" w:hAnsi="Times New Roman" w:cs="Times New Roman"/>
          <w:sz w:val="24"/>
          <w:szCs w:val="24"/>
        </w:rPr>
        <w:t xml:space="preserve"> </w:t>
      </w:r>
      <w:r w:rsidR="00CC3483">
        <w:rPr>
          <w:rFonts w:ascii="Times New Roman" w:hAnsi="Times New Roman" w:cs="Times New Roman"/>
          <w:sz w:val="24"/>
          <w:szCs w:val="24"/>
        </w:rPr>
        <w:t>educational programmes aimed at promoting intercultural understanding</w:t>
      </w:r>
      <w:r w:rsidR="00EC52BB">
        <w:rPr>
          <w:rFonts w:ascii="Times New Roman" w:hAnsi="Times New Roman" w:cs="Times New Roman"/>
          <w:sz w:val="24"/>
          <w:szCs w:val="24"/>
        </w:rPr>
        <w:t xml:space="preserve"> (15)</w:t>
      </w:r>
      <w:r w:rsidR="00CC3483">
        <w:rPr>
          <w:rFonts w:ascii="Times New Roman" w:hAnsi="Times New Roman" w:cs="Times New Roman"/>
          <w:sz w:val="24"/>
          <w:szCs w:val="24"/>
        </w:rPr>
        <w:t xml:space="preserve">, and </w:t>
      </w:r>
      <w:r w:rsidR="00FC67DB">
        <w:rPr>
          <w:rFonts w:ascii="Times New Roman" w:hAnsi="Times New Roman" w:cs="Times New Roman"/>
          <w:sz w:val="24"/>
          <w:szCs w:val="24"/>
        </w:rPr>
        <w:t xml:space="preserve">more direct interventionist programmes related to body image and disordered eating may prove important for sojourning students. </w:t>
      </w:r>
      <w:r w:rsidR="00FC67DB">
        <w:rPr>
          <w:rFonts w:ascii="Times New Roman" w:hAnsi="Times New Roman" w:cs="Times New Roman"/>
          <w:sz w:val="24"/>
          <w:szCs w:val="24"/>
        </w:rPr>
        <w:br w:type="page"/>
      </w:r>
    </w:p>
    <w:p w:rsidR="005D291F" w:rsidRDefault="00FC67DB" w:rsidP="00FC67D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13015" w:rsidRDefault="00113015"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Pike KM, </w:t>
      </w:r>
      <w:proofErr w:type="spellStart"/>
      <w:r>
        <w:rPr>
          <w:rFonts w:ascii="Times New Roman" w:hAnsi="Times New Roman" w:cs="Times New Roman"/>
          <w:sz w:val="24"/>
          <w:szCs w:val="24"/>
        </w:rPr>
        <w:t>Joek</w:t>
      </w:r>
      <w:proofErr w:type="spellEnd"/>
      <w:r>
        <w:rPr>
          <w:rFonts w:ascii="Times New Roman" w:hAnsi="Times New Roman" w:cs="Times New Roman"/>
          <w:sz w:val="24"/>
          <w:szCs w:val="24"/>
        </w:rPr>
        <w:t xml:space="preserve"> HW, Dunne, PE. Cultural trends and eating disorders.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Psychiatry 2014</w:t>
      </w:r>
      <w:proofErr w:type="gramStart"/>
      <w:r>
        <w:rPr>
          <w:rFonts w:ascii="Times New Roman" w:hAnsi="Times New Roman" w:cs="Times New Roman"/>
          <w:sz w:val="24"/>
          <w:szCs w:val="24"/>
        </w:rPr>
        <w:t>;27:436</w:t>
      </w:r>
      <w:proofErr w:type="gramEnd"/>
      <w:r>
        <w:rPr>
          <w:rFonts w:ascii="Times New Roman" w:hAnsi="Times New Roman" w:cs="Times New Roman"/>
          <w:sz w:val="24"/>
          <w:szCs w:val="24"/>
        </w:rPr>
        <w:t>-442.</w:t>
      </w:r>
    </w:p>
    <w:p w:rsidR="00D51994" w:rsidRDefault="00D51994"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NL, </w:t>
      </w:r>
      <w:proofErr w:type="spellStart"/>
      <w:r>
        <w:rPr>
          <w:rFonts w:ascii="Times New Roman" w:hAnsi="Times New Roman" w:cs="Times New Roman"/>
          <w:sz w:val="24"/>
          <w:szCs w:val="24"/>
        </w:rPr>
        <w:t>Touyz</w:t>
      </w:r>
      <w:proofErr w:type="spellEnd"/>
      <w:r>
        <w:rPr>
          <w:rFonts w:ascii="Times New Roman" w:hAnsi="Times New Roman" w:cs="Times New Roman"/>
          <w:sz w:val="24"/>
          <w:szCs w:val="24"/>
        </w:rPr>
        <w:t xml:space="preserve"> SW, </w:t>
      </w:r>
      <w:proofErr w:type="spellStart"/>
      <w:r>
        <w:rPr>
          <w:rFonts w:ascii="Times New Roman" w:hAnsi="Times New Roman" w:cs="Times New Roman"/>
          <w:sz w:val="24"/>
          <w:szCs w:val="24"/>
        </w:rPr>
        <w:t>Surgenor</w:t>
      </w:r>
      <w:proofErr w:type="spellEnd"/>
      <w:r>
        <w:rPr>
          <w:rFonts w:ascii="Times New Roman" w:hAnsi="Times New Roman" w:cs="Times New Roman"/>
          <w:sz w:val="24"/>
          <w:szCs w:val="24"/>
        </w:rPr>
        <w:t xml:space="preserve"> LJ. Eating and body image disturbances across cultures: A review.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Eat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Rev 2006</w:t>
      </w:r>
      <w:proofErr w:type="gramStart"/>
      <w:r>
        <w:rPr>
          <w:rFonts w:ascii="Times New Roman" w:hAnsi="Times New Roman" w:cs="Times New Roman"/>
          <w:sz w:val="24"/>
          <w:szCs w:val="24"/>
        </w:rPr>
        <w:t>;14:54</w:t>
      </w:r>
      <w:proofErr w:type="gramEnd"/>
      <w:r>
        <w:rPr>
          <w:rFonts w:ascii="Times New Roman" w:hAnsi="Times New Roman" w:cs="Times New Roman"/>
          <w:sz w:val="24"/>
          <w:szCs w:val="24"/>
        </w:rPr>
        <w:t>-65.</w:t>
      </w:r>
    </w:p>
    <w:p w:rsidR="00D51994" w:rsidRDefault="00D51994"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Frederick DA, </w:t>
      </w:r>
      <w:proofErr w:type="spellStart"/>
      <w:r>
        <w:rPr>
          <w:rFonts w:ascii="Times New Roman" w:hAnsi="Times New Roman" w:cs="Times New Roman"/>
          <w:sz w:val="24"/>
          <w:szCs w:val="24"/>
        </w:rPr>
        <w:t>Aavik</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Alcalay</w:t>
      </w:r>
      <w:proofErr w:type="spellEnd"/>
      <w:r>
        <w:rPr>
          <w:rFonts w:ascii="Times New Roman" w:hAnsi="Times New Roman" w:cs="Times New Roman"/>
          <w:sz w:val="24"/>
          <w:szCs w:val="24"/>
        </w:rPr>
        <w:t xml:space="preserve"> J, Anderson D, et al. Body weight ideals and body dissatisfaction in 26 countries across 10 world regions: Results of the International Body Project I.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Psych Bull 2010</w:t>
      </w:r>
      <w:proofErr w:type="gramStart"/>
      <w:r>
        <w:rPr>
          <w:rFonts w:ascii="Times New Roman" w:hAnsi="Times New Roman" w:cs="Times New Roman"/>
          <w:sz w:val="24"/>
          <w:szCs w:val="24"/>
        </w:rPr>
        <w:t>;36:309</w:t>
      </w:r>
      <w:proofErr w:type="gramEnd"/>
      <w:r>
        <w:rPr>
          <w:rFonts w:ascii="Times New Roman" w:hAnsi="Times New Roman" w:cs="Times New Roman"/>
          <w:sz w:val="24"/>
          <w:szCs w:val="24"/>
        </w:rPr>
        <w:t>-325.</w:t>
      </w:r>
    </w:p>
    <w:p w:rsidR="00B95383" w:rsidRDefault="00B95383"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Cultural influences on body size ideals: Unpacking the impact of Westernisation and modernisation.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Psychologist 2015</w:t>
      </w:r>
      <w:proofErr w:type="gramStart"/>
      <w:r>
        <w:rPr>
          <w:rFonts w:ascii="Times New Roman" w:hAnsi="Times New Roman" w:cs="Times New Roman"/>
          <w:sz w:val="24"/>
          <w:szCs w:val="24"/>
        </w:rPr>
        <w:t>;20:44</w:t>
      </w:r>
      <w:proofErr w:type="gramEnd"/>
      <w:r>
        <w:rPr>
          <w:rFonts w:ascii="Times New Roman" w:hAnsi="Times New Roman" w:cs="Times New Roman"/>
          <w:sz w:val="24"/>
          <w:szCs w:val="24"/>
        </w:rPr>
        <w:t xml:space="preserve">-51. </w:t>
      </w:r>
    </w:p>
    <w:p w:rsidR="00B95383" w:rsidRDefault="00B95383"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Miller M, </w:t>
      </w:r>
      <w:proofErr w:type="spellStart"/>
      <w:r>
        <w:rPr>
          <w:rFonts w:ascii="Times New Roman" w:hAnsi="Times New Roman" w:cs="Times New Roman"/>
          <w:sz w:val="24"/>
          <w:szCs w:val="24"/>
        </w:rPr>
        <w:t>Pumariega</w:t>
      </w:r>
      <w:proofErr w:type="spellEnd"/>
      <w:r>
        <w:rPr>
          <w:rFonts w:ascii="Times New Roman" w:hAnsi="Times New Roman" w:cs="Times New Roman"/>
          <w:sz w:val="24"/>
          <w:szCs w:val="24"/>
        </w:rPr>
        <w:t xml:space="preserve"> AJ. Eating disorders: A historical and cross-cultural review. Psychiatry 2001</w:t>
      </w:r>
      <w:proofErr w:type="gramStart"/>
      <w:r>
        <w:rPr>
          <w:rFonts w:ascii="Times New Roman" w:hAnsi="Times New Roman" w:cs="Times New Roman"/>
          <w:sz w:val="24"/>
          <w:szCs w:val="24"/>
        </w:rPr>
        <w:t>;64:93</w:t>
      </w:r>
      <w:proofErr w:type="gramEnd"/>
      <w:r>
        <w:rPr>
          <w:rFonts w:ascii="Times New Roman" w:hAnsi="Times New Roman" w:cs="Times New Roman"/>
          <w:sz w:val="24"/>
          <w:szCs w:val="24"/>
        </w:rPr>
        <w:t>-110.</w:t>
      </w:r>
    </w:p>
    <w:p w:rsidR="0043556B" w:rsidRDefault="0043556B"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DiNicola</w:t>
      </w:r>
      <w:proofErr w:type="spellEnd"/>
      <w:r>
        <w:rPr>
          <w:rFonts w:ascii="Times New Roman" w:hAnsi="Times New Roman" w:cs="Times New Roman"/>
          <w:sz w:val="24"/>
          <w:szCs w:val="24"/>
        </w:rPr>
        <w:t xml:space="preserve"> V. Anorexia multiform: Self-starvation in historical and cultural context: Anorexia as a culture-reactive syndrome. </w:t>
      </w:r>
      <w:proofErr w:type="spellStart"/>
      <w:r>
        <w:rPr>
          <w:rFonts w:ascii="Times New Roman" w:hAnsi="Times New Roman" w:cs="Times New Roman"/>
          <w:sz w:val="24"/>
          <w:szCs w:val="24"/>
        </w:rPr>
        <w:t>Transcult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Psychiatr</w:t>
      </w:r>
      <w:proofErr w:type="spellEnd"/>
      <w:r>
        <w:rPr>
          <w:rFonts w:ascii="Times New Roman" w:hAnsi="Times New Roman" w:cs="Times New Roman"/>
          <w:sz w:val="24"/>
          <w:szCs w:val="24"/>
        </w:rPr>
        <w:t xml:space="preserve"> Res Rev 1990</w:t>
      </w:r>
      <w:proofErr w:type="gramStart"/>
      <w:r>
        <w:rPr>
          <w:rFonts w:ascii="Times New Roman" w:hAnsi="Times New Roman" w:cs="Times New Roman"/>
          <w:sz w:val="24"/>
          <w:szCs w:val="24"/>
        </w:rPr>
        <w:t>;27:245</w:t>
      </w:r>
      <w:proofErr w:type="gramEnd"/>
      <w:r>
        <w:rPr>
          <w:rFonts w:ascii="Times New Roman" w:hAnsi="Times New Roman" w:cs="Times New Roman"/>
          <w:sz w:val="24"/>
          <w:szCs w:val="24"/>
        </w:rPr>
        <w:t>-286.</w:t>
      </w:r>
    </w:p>
    <w:p w:rsidR="0043556B" w:rsidRDefault="0043556B"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Geller G, Thomas CD. A review of eating disorders in immigrant women: Possible evidence for a culture-change model. Eat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1999</w:t>
      </w:r>
      <w:proofErr w:type="gramStart"/>
      <w:r>
        <w:rPr>
          <w:rFonts w:ascii="Times New Roman" w:hAnsi="Times New Roman" w:cs="Times New Roman"/>
          <w:sz w:val="24"/>
          <w:szCs w:val="24"/>
        </w:rPr>
        <w:t>;7:279</w:t>
      </w:r>
      <w:proofErr w:type="gramEnd"/>
      <w:r>
        <w:rPr>
          <w:rFonts w:ascii="Times New Roman" w:hAnsi="Times New Roman" w:cs="Times New Roman"/>
          <w:sz w:val="24"/>
          <w:szCs w:val="24"/>
        </w:rPr>
        <w:t>-297.</w:t>
      </w:r>
    </w:p>
    <w:p w:rsidR="0043556B" w:rsidRDefault="0043556B"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Pavlova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Uher</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Papeznova</w:t>
      </w:r>
      <w:proofErr w:type="spellEnd"/>
      <w:r>
        <w:rPr>
          <w:rFonts w:ascii="Times New Roman" w:hAnsi="Times New Roman" w:cs="Times New Roman"/>
          <w:sz w:val="24"/>
          <w:szCs w:val="24"/>
        </w:rPr>
        <w:t xml:space="preserve"> H. “It would not have happened to me at home”: Qualitative exploration of sojourns abroad and eating disorders in young Czech women.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Eat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Rev 2008</w:t>
      </w:r>
      <w:proofErr w:type="gramStart"/>
      <w:r>
        <w:rPr>
          <w:rFonts w:ascii="Times New Roman" w:hAnsi="Times New Roman" w:cs="Times New Roman"/>
          <w:sz w:val="24"/>
          <w:szCs w:val="24"/>
        </w:rPr>
        <w:t>;16:207</w:t>
      </w:r>
      <w:proofErr w:type="gramEnd"/>
      <w:r>
        <w:rPr>
          <w:rFonts w:ascii="Times New Roman" w:hAnsi="Times New Roman" w:cs="Times New Roman"/>
          <w:sz w:val="24"/>
          <w:szCs w:val="24"/>
        </w:rPr>
        <w:t>-214.</w:t>
      </w:r>
    </w:p>
    <w:p w:rsidR="0043556B" w:rsidRDefault="0043556B"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Swanson SA, Saito N, Borges G, </w:t>
      </w:r>
      <w:proofErr w:type="spellStart"/>
      <w:r>
        <w:rPr>
          <w:rFonts w:ascii="Times New Roman" w:hAnsi="Times New Roman" w:cs="Times New Roman"/>
          <w:sz w:val="24"/>
          <w:szCs w:val="24"/>
        </w:rPr>
        <w:t>Benjet</w:t>
      </w:r>
      <w:proofErr w:type="spellEnd"/>
      <w:r>
        <w:rPr>
          <w:rFonts w:ascii="Times New Roman" w:hAnsi="Times New Roman" w:cs="Times New Roman"/>
          <w:sz w:val="24"/>
          <w:szCs w:val="24"/>
        </w:rPr>
        <w:t xml:space="preserve"> C, Aguilar-</w:t>
      </w:r>
      <w:proofErr w:type="spellStart"/>
      <w:r>
        <w:rPr>
          <w:rFonts w:ascii="Times New Roman" w:hAnsi="Times New Roman" w:cs="Times New Roman"/>
          <w:sz w:val="24"/>
          <w:szCs w:val="24"/>
        </w:rPr>
        <w:t>Gaxiola</w:t>
      </w:r>
      <w:proofErr w:type="spellEnd"/>
      <w:r>
        <w:rPr>
          <w:rFonts w:ascii="Times New Roman" w:hAnsi="Times New Roman" w:cs="Times New Roman"/>
          <w:sz w:val="24"/>
          <w:szCs w:val="24"/>
        </w:rPr>
        <w:t xml:space="preserve"> S, Medina-</w:t>
      </w:r>
      <w:proofErr w:type="spellStart"/>
      <w:r>
        <w:rPr>
          <w:rFonts w:ascii="Times New Roman" w:hAnsi="Times New Roman" w:cs="Times New Roman"/>
          <w:sz w:val="24"/>
          <w:szCs w:val="24"/>
        </w:rPr>
        <w:t>Mora</w:t>
      </w:r>
      <w:proofErr w:type="spellEnd"/>
      <w:r>
        <w:rPr>
          <w:rFonts w:ascii="Times New Roman" w:hAnsi="Times New Roman" w:cs="Times New Roman"/>
          <w:sz w:val="24"/>
          <w:szCs w:val="24"/>
        </w:rPr>
        <w:t xml:space="preserve"> M, et al. Change in binge eating and binge eating disorder associated with migration from Mexico to the US. J </w:t>
      </w:r>
      <w:proofErr w:type="spellStart"/>
      <w:r>
        <w:rPr>
          <w:rFonts w:ascii="Times New Roman" w:hAnsi="Times New Roman" w:cs="Times New Roman"/>
          <w:sz w:val="24"/>
          <w:szCs w:val="24"/>
        </w:rPr>
        <w:t>Psychiatr</w:t>
      </w:r>
      <w:proofErr w:type="spellEnd"/>
      <w:r>
        <w:rPr>
          <w:rFonts w:ascii="Times New Roman" w:hAnsi="Times New Roman" w:cs="Times New Roman"/>
          <w:sz w:val="24"/>
          <w:szCs w:val="24"/>
        </w:rPr>
        <w:t xml:space="preserve"> Res 2012</w:t>
      </w:r>
      <w:proofErr w:type="gramStart"/>
      <w:r>
        <w:rPr>
          <w:rFonts w:ascii="Times New Roman" w:hAnsi="Times New Roman" w:cs="Times New Roman"/>
          <w:sz w:val="24"/>
          <w:szCs w:val="24"/>
        </w:rPr>
        <w:t>;46:31</w:t>
      </w:r>
      <w:proofErr w:type="gramEnd"/>
      <w:r>
        <w:rPr>
          <w:rFonts w:ascii="Times New Roman" w:hAnsi="Times New Roman" w:cs="Times New Roman"/>
          <w:sz w:val="24"/>
          <w:szCs w:val="24"/>
        </w:rPr>
        <w:t>-37.</w:t>
      </w:r>
    </w:p>
    <w:p w:rsidR="009749DA" w:rsidRDefault="009749DA"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Alegria</w:t>
      </w:r>
      <w:proofErr w:type="spellEnd"/>
      <w:r>
        <w:rPr>
          <w:rFonts w:ascii="Times New Roman" w:hAnsi="Times New Roman" w:cs="Times New Roman"/>
          <w:sz w:val="24"/>
          <w:szCs w:val="24"/>
        </w:rPr>
        <w:t xml:space="preserve"> M, Woo M, Cao M, Torres M, </w:t>
      </w:r>
      <w:proofErr w:type="spellStart"/>
      <w:r>
        <w:rPr>
          <w:rFonts w:ascii="Times New Roman" w:hAnsi="Times New Roman" w:cs="Times New Roman"/>
          <w:sz w:val="24"/>
          <w:szCs w:val="24"/>
        </w:rPr>
        <w:t>Meng</w:t>
      </w:r>
      <w:proofErr w:type="spellEnd"/>
      <w:r>
        <w:rPr>
          <w:rFonts w:ascii="Times New Roman" w:hAnsi="Times New Roman" w:cs="Times New Roman"/>
          <w:sz w:val="24"/>
          <w:szCs w:val="24"/>
        </w:rPr>
        <w:t xml:space="preserve"> XL, </w:t>
      </w:r>
      <w:proofErr w:type="spellStart"/>
      <w:r>
        <w:rPr>
          <w:rFonts w:ascii="Times New Roman" w:hAnsi="Times New Roman" w:cs="Times New Roman"/>
          <w:sz w:val="24"/>
          <w:szCs w:val="24"/>
        </w:rPr>
        <w:t>Striegel</w:t>
      </w:r>
      <w:proofErr w:type="spellEnd"/>
      <w:r>
        <w:rPr>
          <w:rFonts w:ascii="Times New Roman" w:hAnsi="Times New Roman" w:cs="Times New Roman"/>
          <w:sz w:val="24"/>
          <w:szCs w:val="24"/>
        </w:rPr>
        <w:t xml:space="preserve">-Moore R. Prevalence and correlates of eating disorders in Latinos in the United States.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Eat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2007</w:t>
      </w:r>
      <w:proofErr w:type="gramStart"/>
      <w:r>
        <w:rPr>
          <w:rFonts w:ascii="Times New Roman" w:hAnsi="Times New Roman" w:cs="Times New Roman"/>
          <w:sz w:val="24"/>
          <w:szCs w:val="24"/>
        </w:rPr>
        <w:t>;40:S15</w:t>
      </w:r>
      <w:proofErr w:type="gramEnd"/>
      <w:r>
        <w:rPr>
          <w:rFonts w:ascii="Times New Roman" w:hAnsi="Times New Roman" w:cs="Times New Roman"/>
          <w:sz w:val="24"/>
          <w:szCs w:val="24"/>
        </w:rPr>
        <w:t>-S21.</w:t>
      </w:r>
    </w:p>
    <w:p w:rsidR="009749DA" w:rsidRDefault="009749DA"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Gowen</w:t>
      </w:r>
      <w:proofErr w:type="spellEnd"/>
      <w:r>
        <w:rPr>
          <w:rFonts w:ascii="Times New Roman" w:hAnsi="Times New Roman" w:cs="Times New Roman"/>
          <w:sz w:val="24"/>
          <w:szCs w:val="24"/>
        </w:rPr>
        <w:t xml:space="preserve"> LK, Hayward C, Killen JD, Robinson TN, Taylor CB. Acculturation and eating disorder symptoms in adolescent girls. J Res </w:t>
      </w:r>
      <w:proofErr w:type="spellStart"/>
      <w:r>
        <w:rPr>
          <w:rFonts w:ascii="Times New Roman" w:hAnsi="Times New Roman" w:cs="Times New Roman"/>
          <w:sz w:val="24"/>
          <w:szCs w:val="24"/>
        </w:rPr>
        <w:t>Adolesc</w:t>
      </w:r>
      <w:proofErr w:type="spellEnd"/>
      <w:r>
        <w:rPr>
          <w:rFonts w:ascii="Times New Roman" w:hAnsi="Times New Roman" w:cs="Times New Roman"/>
          <w:sz w:val="24"/>
          <w:szCs w:val="24"/>
        </w:rPr>
        <w:t xml:space="preserve"> 1999</w:t>
      </w:r>
      <w:proofErr w:type="gramStart"/>
      <w:r>
        <w:rPr>
          <w:rFonts w:ascii="Times New Roman" w:hAnsi="Times New Roman" w:cs="Times New Roman"/>
          <w:sz w:val="24"/>
          <w:szCs w:val="24"/>
        </w:rPr>
        <w:t>;9:67</w:t>
      </w:r>
      <w:proofErr w:type="gramEnd"/>
      <w:r>
        <w:rPr>
          <w:rFonts w:ascii="Times New Roman" w:hAnsi="Times New Roman" w:cs="Times New Roman"/>
          <w:sz w:val="24"/>
          <w:szCs w:val="24"/>
        </w:rPr>
        <w:t>-83.</w:t>
      </w:r>
    </w:p>
    <w:p w:rsidR="009749DA" w:rsidRDefault="009749DA"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Tovée</w:t>
      </w:r>
      <w:proofErr w:type="spellEnd"/>
      <w:r>
        <w:rPr>
          <w:rFonts w:ascii="Times New Roman" w:hAnsi="Times New Roman" w:cs="Times New Roman"/>
          <w:sz w:val="24"/>
          <w:szCs w:val="24"/>
        </w:rPr>
        <w:t xml:space="preserve"> MJ. Weight discrepancy and body appreciation of Zimbabwean women in Zimbabwe and Britain. Body Image 2012</w:t>
      </w:r>
      <w:proofErr w:type="gramStart"/>
      <w:r>
        <w:rPr>
          <w:rFonts w:ascii="Times New Roman" w:hAnsi="Times New Roman" w:cs="Times New Roman"/>
          <w:sz w:val="24"/>
          <w:szCs w:val="24"/>
        </w:rPr>
        <w:t>;9:559</w:t>
      </w:r>
      <w:proofErr w:type="gramEnd"/>
      <w:r>
        <w:rPr>
          <w:rFonts w:ascii="Times New Roman" w:hAnsi="Times New Roman" w:cs="Times New Roman"/>
          <w:sz w:val="24"/>
          <w:szCs w:val="24"/>
        </w:rPr>
        <w:t>-562.</w:t>
      </w:r>
    </w:p>
    <w:p w:rsidR="009749DA" w:rsidRDefault="008760C2"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Bochner</w:t>
      </w:r>
      <w:proofErr w:type="spellEnd"/>
      <w:r>
        <w:rPr>
          <w:rFonts w:ascii="Times New Roman" w:hAnsi="Times New Roman" w:cs="Times New Roman"/>
          <w:sz w:val="24"/>
          <w:szCs w:val="24"/>
        </w:rPr>
        <w:t xml:space="preserve"> S. Culture shock: Psychological reactions to unfamiliar environments. London: Methuen; 1986.</w:t>
      </w:r>
    </w:p>
    <w:p w:rsidR="008760C2" w:rsidRDefault="008760C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 Psychological theories of culture contact and their implications for intercultural training (3rd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In: Landis D, Bennett J, Bennett M, editors. Handbook of intercultural training. Thousand Oaks, CA: Sage; 2004: p. 185-216.</w:t>
      </w:r>
    </w:p>
    <w:p w:rsidR="008760C2" w:rsidRDefault="008760C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 </w:t>
      </w:r>
      <w:proofErr w:type="spellStart"/>
      <w:r>
        <w:rPr>
          <w:rFonts w:ascii="Times New Roman" w:hAnsi="Times New Roman" w:cs="Times New Roman"/>
          <w:sz w:val="24"/>
          <w:szCs w:val="24"/>
        </w:rPr>
        <w:t>Bochner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xml:space="preserve"> A. The psychology of culture shock. London: </w:t>
      </w:r>
      <w:proofErr w:type="spellStart"/>
      <w:r>
        <w:rPr>
          <w:rFonts w:ascii="Times New Roman" w:hAnsi="Times New Roman" w:cs="Times New Roman"/>
          <w:sz w:val="24"/>
          <w:szCs w:val="24"/>
        </w:rPr>
        <w:t>Routldge</w:t>
      </w:r>
      <w:proofErr w:type="spellEnd"/>
      <w:r>
        <w:rPr>
          <w:rFonts w:ascii="Times New Roman" w:hAnsi="Times New Roman" w:cs="Times New Roman"/>
          <w:sz w:val="24"/>
          <w:szCs w:val="24"/>
        </w:rPr>
        <w:t xml:space="preserve">; 2001. </w:t>
      </w:r>
    </w:p>
    <w:p w:rsidR="009D49E5" w:rsidRDefault="009D49E5" w:rsidP="009D49E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w:t>
      </w:r>
      <w:proofErr w:type="spellStart"/>
      <w:r>
        <w:rPr>
          <w:rFonts w:ascii="Times New Roman" w:hAnsi="Times New Roman" w:cs="Times New Roman"/>
          <w:sz w:val="24"/>
          <w:szCs w:val="24"/>
        </w:rPr>
        <w:t>Tovée</w:t>
      </w:r>
      <w:proofErr w:type="spellEnd"/>
      <w:r>
        <w:rPr>
          <w:rFonts w:ascii="Times New Roman" w:hAnsi="Times New Roman" w:cs="Times New Roman"/>
          <w:sz w:val="24"/>
          <w:szCs w:val="24"/>
        </w:rPr>
        <w:t xml:space="preserve"> MJ. Female physical attractiveness in Britain and Malaysia: A cross-cultural study. Body Image 2005</w:t>
      </w:r>
      <w:proofErr w:type="gramStart"/>
      <w:r>
        <w:rPr>
          <w:rFonts w:ascii="Times New Roman" w:hAnsi="Times New Roman" w:cs="Times New Roman"/>
          <w:sz w:val="24"/>
          <w:szCs w:val="24"/>
        </w:rPr>
        <w:t>;2:115</w:t>
      </w:r>
      <w:proofErr w:type="gramEnd"/>
      <w:r>
        <w:rPr>
          <w:rFonts w:ascii="Times New Roman" w:hAnsi="Times New Roman" w:cs="Times New Roman"/>
          <w:sz w:val="24"/>
          <w:szCs w:val="24"/>
        </w:rPr>
        <w:t>-128.</w:t>
      </w:r>
    </w:p>
    <w:p w:rsidR="009D49E5" w:rsidRDefault="009D49E5" w:rsidP="009D49E5">
      <w:pPr>
        <w:pStyle w:val="ListParagraph"/>
        <w:numPr>
          <w:ilvl w:val="0"/>
          <w:numId w:val="3"/>
        </w:numPr>
        <w:spacing w:after="0" w:line="480" w:lineRule="auto"/>
        <w:rPr>
          <w:rFonts w:ascii="Times New Roman" w:hAnsi="Times New Roman" w:cs="Times New Roman"/>
          <w:sz w:val="24"/>
          <w:szCs w:val="24"/>
        </w:rPr>
      </w:pPr>
      <w:r w:rsidRPr="009D49E5">
        <w:rPr>
          <w:rFonts w:ascii="Times New Roman" w:hAnsi="Times New Roman" w:cs="Times New Roman"/>
          <w:sz w:val="24"/>
          <w:szCs w:val="24"/>
        </w:rPr>
        <w:t xml:space="preserve">Swami V, </w:t>
      </w:r>
      <w:proofErr w:type="spellStart"/>
      <w:r w:rsidRPr="009D49E5">
        <w:rPr>
          <w:rFonts w:ascii="Times New Roman" w:hAnsi="Times New Roman" w:cs="Times New Roman"/>
          <w:sz w:val="24"/>
          <w:szCs w:val="24"/>
        </w:rPr>
        <w:t>Tovée</w:t>
      </w:r>
      <w:proofErr w:type="spellEnd"/>
      <w:r w:rsidRPr="009D49E5">
        <w:rPr>
          <w:rFonts w:ascii="Times New Roman" w:hAnsi="Times New Roman" w:cs="Times New Roman"/>
          <w:sz w:val="24"/>
          <w:szCs w:val="24"/>
        </w:rPr>
        <w:t xml:space="preserve"> M, Harris AS. An examination of ethnic differences in actual-ideal weight discrepancy and its correlates in a sample of Malaysian women. </w:t>
      </w:r>
      <w:proofErr w:type="spellStart"/>
      <w:r w:rsidRPr="009D49E5">
        <w:rPr>
          <w:rFonts w:ascii="Times New Roman" w:hAnsi="Times New Roman" w:cs="Times New Roman"/>
          <w:sz w:val="24"/>
          <w:szCs w:val="24"/>
        </w:rPr>
        <w:t>Int</w:t>
      </w:r>
      <w:proofErr w:type="spellEnd"/>
      <w:r w:rsidRPr="009D49E5">
        <w:rPr>
          <w:rFonts w:ascii="Times New Roman" w:hAnsi="Times New Roman" w:cs="Times New Roman"/>
          <w:sz w:val="24"/>
          <w:szCs w:val="24"/>
        </w:rPr>
        <w:t xml:space="preserve"> J </w:t>
      </w:r>
      <w:proofErr w:type="spellStart"/>
      <w:r w:rsidRPr="009D49E5">
        <w:rPr>
          <w:rFonts w:ascii="Times New Roman" w:hAnsi="Times New Roman" w:cs="Times New Roman"/>
          <w:sz w:val="24"/>
          <w:szCs w:val="24"/>
        </w:rPr>
        <w:t>Cultur</w:t>
      </w:r>
      <w:proofErr w:type="spellEnd"/>
      <w:r w:rsidRPr="009D49E5">
        <w:rPr>
          <w:rFonts w:ascii="Times New Roman" w:hAnsi="Times New Roman" w:cs="Times New Roman"/>
          <w:sz w:val="24"/>
          <w:szCs w:val="24"/>
        </w:rPr>
        <w:t xml:space="preserve"> Mental Health 2013</w:t>
      </w:r>
      <w:proofErr w:type="gramStart"/>
      <w:r w:rsidRPr="009D49E5">
        <w:rPr>
          <w:rFonts w:ascii="Times New Roman" w:hAnsi="Times New Roman" w:cs="Times New Roman"/>
          <w:sz w:val="24"/>
          <w:szCs w:val="24"/>
        </w:rPr>
        <w:t>;6:96</w:t>
      </w:r>
      <w:proofErr w:type="gramEnd"/>
      <w:r w:rsidRPr="009D49E5">
        <w:rPr>
          <w:rFonts w:ascii="Times New Roman" w:hAnsi="Times New Roman" w:cs="Times New Roman"/>
          <w:sz w:val="24"/>
          <w:szCs w:val="24"/>
        </w:rPr>
        <w:t xml:space="preserve">-107. </w:t>
      </w:r>
    </w:p>
    <w:p w:rsidR="009D49E5" w:rsidRDefault="009D49E5" w:rsidP="009D49E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Frederick D, </w:t>
      </w:r>
      <w:proofErr w:type="spellStart"/>
      <w:r>
        <w:rPr>
          <w:rFonts w:ascii="Times New Roman" w:hAnsi="Times New Roman" w:cs="Times New Roman"/>
          <w:sz w:val="24"/>
          <w:szCs w:val="24"/>
        </w:rPr>
        <w:t>Aavik</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Alcalay</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Allik</w:t>
      </w:r>
      <w:proofErr w:type="spellEnd"/>
      <w:r>
        <w:rPr>
          <w:rFonts w:ascii="Times New Roman" w:hAnsi="Times New Roman" w:cs="Times New Roman"/>
          <w:sz w:val="24"/>
          <w:szCs w:val="24"/>
        </w:rPr>
        <w:t xml:space="preserve"> J, Anderson D et al. The attractive female body weight and female body dissatisfaction in 26 countries across 10 major world regions: Results of the International Body Project I.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Psych Bull 2010</w:t>
      </w:r>
      <w:proofErr w:type="gramStart"/>
      <w:r>
        <w:rPr>
          <w:rFonts w:ascii="Times New Roman" w:hAnsi="Times New Roman" w:cs="Times New Roman"/>
          <w:sz w:val="24"/>
          <w:szCs w:val="24"/>
        </w:rPr>
        <w:t>;36:309</w:t>
      </w:r>
      <w:proofErr w:type="gramEnd"/>
      <w:r>
        <w:rPr>
          <w:rFonts w:ascii="Times New Roman" w:hAnsi="Times New Roman" w:cs="Times New Roman"/>
          <w:sz w:val="24"/>
          <w:szCs w:val="24"/>
        </w:rPr>
        <w:t>-325.</w:t>
      </w:r>
    </w:p>
    <w:p w:rsidR="00C10E60" w:rsidRDefault="00C10E60" w:rsidP="009D49E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Swami V, Chamorro-</w:t>
      </w:r>
      <w:proofErr w:type="spellStart"/>
      <w:r>
        <w:rPr>
          <w:rFonts w:ascii="Times New Roman" w:hAnsi="Times New Roman" w:cs="Times New Roman"/>
          <w:sz w:val="24"/>
          <w:szCs w:val="24"/>
        </w:rPr>
        <w:t>Premuzic</w:t>
      </w:r>
      <w:proofErr w:type="spellEnd"/>
      <w:r>
        <w:rPr>
          <w:rFonts w:ascii="Times New Roman" w:hAnsi="Times New Roman" w:cs="Times New Roman"/>
          <w:sz w:val="24"/>
          <w:szCs w:val="24"/>
        </w:rPr>
        <w:t xml:space="preserve"> T. Factor structure of the Body Appreciation Scale among women. Body Image 2008</w:t>
      </w:r>
      <w:proofErr w:type="gramStart"/>
      <w:r>
        <w:rPr>
          <w:rFonts w:ascii="Times New Roman" w:hAnsi="Times New Roman" w:cs="Times New Roman"/>
          <w:sz w:val="24"/>
          <w:szCs w:val="24"/>
        </w:rPr>
        <w:t>;5:409</w:t>
      </w:r>
      <w:proofErr w:type="gramEnd"/>
      <w:r>
        <w:rPr>
          <w:rFonts w:ascii="Times New Roman" w:hAnsi="Times New Roman" w:cs="Times New Roman"/>
          <w:sz w:val="24"/>
          <w:szCs w:val="24"/>
        </w:rPr>
        <w:t>-413.</w:t>
      </w:r>
    </w:p>
    <w:p w:rsidR="00C10E60" w:rsidRPr="009D49E5" w:rsidRDefault="00C10E60" w:rsidP="009D49E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Malaysian Ministry of Higher Education. Statistics of higher education of Malaysia. Kuala Lumpur: Malaysian Ministry of Higher Education, 2011. </w:t>
      </w:r>
    </w:p>
    <w:p w:rsidR="008760C2" w:rsidRDefault="008760C2"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Zlobina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Basabe</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Paez</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xml:space="preserve"> A. Sociocultural adjustment of immigrants: Universal and group-specific predictors. Intern J </w:t>
      </w:r>
      <w:proofErr w:type="spellStart"/>
      <w:r>
        <w:rPr>
          <w:rFonts w:ascii="Times New Roman" w:hAnsi="Times New Roman" w:cs="Times New Roman"/>
          <w:sz w:val="24"/>
          <w:szCs w:val="24"/>
        </w:rPr>
        <w:t>Intercul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w:t>
      </w:r>
      <w:proofErr w:type="spellEnd"/>
      <w:r>
        <w:rPr>
          <w:rFonts w:ascii="Times New Roman" w:hAnsi="Times New Roman" w:cs="Times New Roman"/>
          <w:sz w:val="24"/>
          <w:szCs w:val="24"/>
        </w:rPr>
        <w:t xml:space="preserve"> 2006</w:t>
      </w:r>
      <w:proofErr w:type="gramStart"/>
      <w:r>
        <w:rPr>
          <w:rFonts w:ascii="Times New Roman" w:hAnsi="Times New Roman" w:cs="Times New Roman"/>
          <w:sz w:val="24"/>
          <w:szCs w:val="24"/>
        </w:rPr>
        <w:t>;30:195</w:t>
      </w:r>
      <w:proofErr w:type="gramEnd"/>
      <w:r>
        <w:rPr>
          <w:rFonts w:ascii="Times New Roman" w:hAnsi="Times New Roman" w:cs="Times New Roman"/>
          <w:sz w:val="24"/>
          <w:szCs w:val="24"/>
        </w:rPr>
        <w:t>-221.</w:t>
      </w:r>
    </w:p>
    <w:p w:rsidR="00C40F12" w:rsidRDefault="00C40F1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 Kennedy A. Where’s the “culture” in cross-cultural transition? Comparative studies of sojourner adjustment. J Cross-Cultural </w:t>
      </w:r>
      <w:proofErr w:type="spellStart"/>
      <w:r>
        <w:rPr>
          <w:rFonts w:ascii="Times New Roman" w:hAnsi="Times New Roman" w:cs="Times New Roman"/>
          <w:sz w:val="24"/>
          <w:szCs w:val="24"/>
        </w:rPr>
        <w:t>Psychol</w:t>
      </w:r>
      <w:proofErr w:type="spellEnd"/>
      <w:r>
        <w:rPr>
          <w:rFonts w:ascii="Times New Roman" w:hAnsi="Times New Roman" w:cs="Times New Roman"/>
          <w:sz w:val="24"/>
          <w:szCs w:val="24"/>
        </w:rPr>
        <w:t xml:space="preserve"> 1993</w:t>
      </w:r>
      <w:proofErr w:type="gramStart"/>
      <w:r>
        <w:rPr>
          <w:rFonts w:ascii="Times New Roman" w:hAnsi="Times New Roman" w:cs="Times New Roman"/>
          <w:sz w:val="24"/>
          <w:szCs w:val="24"/>
        </w:rPr>
        <w:t>;24:221</w:t>
      </w:r>
      <w:proofErr w:type="gramEnd"/>
      <w:r>
        <w:rPr>
          <w:rFonts w:ascii="Times New Roman" w:hAnsi="Times New Roman" w:cs="Times New Roman"/>
          <w:sz w:val="24"/>
          <w:szCs w:val="24"/>
        </w:rPr>
        <w:t>-249.</w:t>
      </w:r>
    </w:p>
    <w:p w:rsidR="00C40F12" w:rsidRDefault="00C40F1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 Kennedy A. Acculturation strategies, psychological adjustment, and sociocultural competence during cross-cultural transitions. Intern J </w:t>
      </w:r>
      <w:proofErr w:type="spellStart"/>
      <w:r>
        <w:rPr>
          <w:rFonts w:ascii="Times New Roman" w:hAnsi="Times New Roman" w:cs="Times New Roman"/>
          <w:sz w:val="24"/>
          <w:szCs w:val="24"/>
        </w:rPr>
        <w:t>Intercult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w:t>
      </w:r>
      <w:proofErr w:type="spellEnd"/>
      <w:r>
        <w:rPr>
          <w:rFonts w:ascii="Times New Roman" w:hAnsi="Times New Roman" w:cs="Times New Roman"/>
          <w:sz w:val="24"/>
          <w:szCs w:val="24"/>
        </w:rPr>
        <w:t xml:space="preserve"> 1994</w:t>
      </w:r>
      <w:proofErr w:type="gramStart"/>
      <w:r>
        <w:rPr>
          <w:rFonts w:ascii="Times New Roman" w:hAnsi="Times New Roman" w:cs="Times New Roman"/>
          <w:sz w:val="24"/>
          <w:szCs w:val="24"/>
        </w:rPr>
        <w:t>;18:329</w:t>
      </w:r>
      <w:proofErr w:type="gramEnd"/>
      <w:r>
        <w:rPr>
          <w:rFonts w:ascii="Times New Roman" w:hAnsi="Times New Roman" w:cs="Times New Roman"/>
          <w:sz w:val="24"/>
          <w:szCs w:val="24"/>
        </w:rPr>
        <w:t>-343.</w:t>
      </w:r>
    </w:p>
    <w:p w:rsidR="00C40F12" w:rsidRDefault="00C40F1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Predictors of sociocultural adaptation among sojourning Malaysian students in Britain.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Psychol</w:t>
      </w:r>
      <w:proofErr w:type="spellEnd"/>
      <w:r>
        <w:rPr>
          <w:rFonts w:ascii="Times New Roman" w:hAnsi="Times New Roman" w:cs="Times New Roman"/>
          <w:sz w:val="24"/>
          <w:szCs w:val="24"/>
        </w:rPr>
        <w:t xml:space="preserve"> 2009</w:t>
      </w:r>
      <w:proofErr w:type="gramStart"/>
      <w:r>
        <w:rPr>
          <w:rFonts w:ascii="Times New Roman" w:hAnsi="Times New Roman" w:cs="Times New Roman"/>
          <w:sz w:val="24"/>
          <w:szCs w:val="24"/>
        </w:rPr>
        <w:t>;44:266</w:t>
      </w:r>
      <w:proofErr w:type="gramEnd"/>
      <w:r>
        <w:rPr>
          <w:rFonts w:ascii="Times New Roman" w:hAnsi="Times New Roman" w:cs="Times New Roman"/>
          <w:sz w:val="24"/>
          <w:szCs w:val="24"/>
        </w:rPr>
        <w:t>-273.</w:t>
      </w:r>
    </w:p>
    <w:p w:rsidR="00C40F12" w:rsidRDefault="00C40F1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w:t>
      </w:r>
      <w:proofErr w:type="spellStart"/>
      <w:r>
        <w:rPr>
          <w:rFonts w:ascii="Times New Roman" w:hAnsi="Times New Roman" w:cs="Times New Roman"/>
          <w:sz w:val="24"/>
          <w:szCs w:val="24"/>
        </w:rPr>
        <w:t>Arteche</w:t>
      </w:r>
      <w:proofErr w:type="spellEnd"/>
      <w:r>
        <w:rPr>
          <w:rFonts w:ascii="Times New Roman" w:hAnsi="Times New Roman" w:cs="Times New Roman"/>
          <w:sz w:val="24"/>
          <w:szCs w:val="24"/>
        </w:rPr>
        <w:t xml:space="preserve"> A, Chamorro-</w:t>
      </w:r>
      <w:proofErr w:type="spellStart"/>
      <w:r>
        <w:rPr>
          <w:rFonts w:ascii="Times New Roman" w:hAnsi="Times New Roman" w:cs="Times New Roman"/>
          <w:sz w:val="24"/>
          <w:szCs w:val="24"/>
        </w:rPr>
        <w:t>Premuzic</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xml:space="preserve"> A. Sociocultural adjustment among sojourning Malaysian students in Britain: A replication and path analytic extension.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Psychiatry </w:t>
      </w:r>
      <w:proofErr w:type="spellStart"/>
      <w:r>
        <w:rPr>
          <w:rFonts w:ascii="Times New Roman" w:hAnsi="Times New Roman" w:cs="Times New Roman"/>
          <w:sz w:val="24"/>
          <w:szCs w:val="24"/>
        </w:rPr>
        <w:t>Psychiatr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Epidemiol</w:t>
      </w:r>
      <w:proofErr w:type="spellEnd"/>
      <w:r>
        <w:rPr>
          <w:rFonts w:ascii="Times New Roman" w:hAnsi="Times New Roman" w:cs="Times New Roman"/>
          <w:sz w:val="24"/>
          <w:szCs w:val="24"/>
        </w:rPr>
        <w:t xml:space="preserve"> 2010</w:t>
      </w:r>
      <w:proofErr w:type="gramStart"/>
      <w:r>
        <w:rPr>
          <w:rFonts w:ascii="Times New Roman" w:hAnsi="Times New Roman" w:cs="Times New Roman"/>
          <w:sz w:val="24"/>
          <w:szCs w:val="24"/>
        </w:rPr>
        <w:t>;45:57</w:t>
      </w:r>
      <w:proofErr w:type="gramEnd"/>
      <w:r>
        <w:rPr>
          <w:rFonts w:ascii="Times New Roman" w:hAnsi="Times New Roman" w:cs="Times New Roman"/>
          <w:sz w:val="24"/>
          <w:szCs w:val="24"/>
        </w:rPr>
        <w:t>-65.</w:t>
      </w:r>
    </w:p>
    <w:p w:rsidR="00C40F12" w:rsidRDefault="00C40F12"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Ward C, </w:t>
      </w:r>
      <w:proofErr w:type="spellStart"/>
      <w:r>
        <w:rPr>
          <w:rFonts w:ascii="Times New Roman" w:hAnsi="Times New Roman" w:cs="Times New Roman"/>
          <w:sz w:val="24"/>
          <w:szCs w:val="24"/>
        </w:rPr>
        <w:t>Rana-Deuba</w:t>
      </w:r>
      <w:proofErr w:type="spellEnd"/>
      <w:r>
        <w:rPr>
          <w:rFonts w:ascii="Times New Roman" w:hAnsi="Times New Roman" w:cs="Times New Roman"/>
          <w:sz w:val="24"/>
          <w:szCs w:val="24"/>
        </w:rPr>
        <w:t xml:space="preserve"> A. Acculturation and adjustment revisited. J Cross-Cultural </w:t>
      </w:r>
      <w:proofErr w:type="spellStart"/>
      <w:r>
        <w:rPr>
          <w:rFonts w:ascii="Times New Roman" w:hAnsi="Times New Roman" w:cs="Times New Roman"/>
          <w:sz w:val="24"/>
          <w:szCs w:val="24"/>
        </w:rPr>
        <w:t>Psychol</w:t>
      </w:r>
      <w:proofErr w:type="spellEnd"/>
      <w:r>
        <w:rPr>
          <w:rFonts w:ascii="Times New Roman" w:hAnsi="Times New Roman" w:cs="Times New Roman"/>
          <w:sz w:val="24"/>
          <w:szCs w:val="24"/>
        </w:rPr>
        <w:t xml:space="preserve"> 1999</w:t>
      </w:r>
      <w:proofErr w:type="gramStart"/>
      <w:r>
        <w:rPr>
          <w:rFonts w:ascii="Times New Roman" w:hAnsi="Times New Roman" w:cs="Times New Roman"/>
          <w:sz w:val="24"/>
          <w:szCs w:val="24"/>
        </w:rPr>
        <w:t>;30:422</w:t>
      </w:r>
      <w:proofErr w:type="gramEnd"/>
      <w:r>
        <w:rPr>
          <w:rFonts w:ascii="Times New Roman" w:hAnsi="Times New Roman" w:cs="Times New Roman"/>
          <w:sz w:val="24"/>
          <w:szCs w:val="24"/>
        </w:rPr>
        <w:t>-442.</w:t>
      </w:r>
    </w:p>
    <w:p w:rsidR="006E2AAA" w:rsidRDefault="006E2AAA"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Garner DM. Eating Disorder Inventory-3: Professional manual. Lutz, FL: Psychological Assessment Resources, Inc.; 2004.</w:t>
      </w:r>
    </w:p>
    <w:p w:rsidR="004308D8" w:rsidRDefault="004308D8"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Clausen L, </w:t>
      </w:r>
      <w:proofErr w:type="spellStart"/>
      <w:r>
        <w:rPr>
          <w:rFonts w:ascii="Times New Roman" w:hAnsi="Times New Roman" w:cs="Times New Roman"/>
          <w:sz w:val="24"/>
          <w:szCs w:val="24"/>
        </w:rPr>
        <w:t>Rosenvinge</w:t>
      </w:r>
      <w:proofErr w:type="spellEnd"/>
      <w:r>
        <w:rPr>
          <w:rFonts w:ascii="Times New Roman" w:hAnsi="Times New Roman" w:cs="Times New Roman"/>
          <w:sz w:val="24"/>
          <w:szCs w:val="24"/>
        </w:rPr>
        <w:t xml:space="preserve"> JH, </w:t>
      </w:r>
      <w:proofErr w:type="spellStart"/>
      <w:r>
        <w:rPr>
          <w:rFonts w:ascii="Times New Roman" w:hAnsi="Times New Roman" w:cs="Times New Roman"/>
          <w:sz w:val="24"/>
          <w:szCs w:val="24"/>
        </w:rPr>
        <w:t>Friborg</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Rokkedal</w:t>
      </w:r>
      <w:proofErr w:type="spellEnd"/>
      <w:r>
        <w:rPr>
          <w:rFonts w:ascii="Times New Roman" w:hAnsi="Times New Roman" w:cs="Times New Roman"/>
          <w:sz w:val="24"/>
          <w:szCs w:val="24"/>
        </w:rPr>
        <w:t xml:space="preserve"> K. Validating the Eating Disorder Inventory-3 (EDI-3): A comparison between 561 female eating disorder patients and 878 female from the general population. J </w:t>
      </w:r>
      <w:proofErr w:type="spellStart"/>
      <w:r>
        <w:rPr>
          <w:rFonts w:ascii="Times New Roman" w:hAnsi="Times New Roman" w:cs="Times New Roman"/>
          <w:sz w:val="24"/>
          <w:szCs w:val="24"/>
        </w:rPr>
        <w:t>Psychopathol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Behav</w:t>
      </w:r>
      <w:proofErr w:type="spellEnd"/>
      <w:r>
        <w:rPr>
          <w:rFonts w:ascii="Times New Roman" w:hAnsi="Times New Roman" w:cs="Times New Roman"/>
          <w:sz w:val="24"/>
          <w:szCs w:val="24"/>
        </w:rPr>
        <w:t xml:space="preserve"> Assess 2011</w:t>
      </w:r>
      <w:proofErr w:type="gramStart"/>
      <w:r>
        <w:rPr>
          <w:rFonts w:ascii="Times New Roman" w:hAnsi="Times New Roman" w:cs="Times New Roman"/>
          <w:sz w:val="24"/>
          <w:szCs w:val="24"/>
        </w:rPr>
        <w:t>;33:101</w:t>
      </w:r>
      <w:proofErr w:type="gramEnd"/>
      <w:r>
        <w:rPr>
          <w:rFonts w:ascii="Times New Roman" w:hAnsi="Times New Roman" w:cs="Times New Roman"/>
          <w:sz w:val="24"/>
          <w:szCs w:val="24"/>
        </w:rPr>
        <w:t xml:space="preserve">-110. </w:t>
      </w:r>
    </w:p>
    <w:p w:rsidR="004308D8" w:rsidRDefault="004308D8"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Wildes</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Ringham</w:t>
      </w:r>
      <w:proofErr w:type="spellEnd"/>
      <w:r>
        <w:rPr>
          <w:rFonts w:ascii="Times New Roman" w:hAnsi="Times New Roman" w:cs="Times New Roman"/>
          <w:sz w:val="24"/>
          <w:szCs w:val="24"/>
        </w:rPr>
        <w:t xml:space="preserve"> RM, Marcus M. Emotion avoidance in patients with anorexia nervosa: Initial test of a functional model.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Eat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2010</w:t>
      </w:r>
      <w:proofErr w:type="gramStart"/>
      <w:r>
        <w:rPr>
          <w:rFonts w:ascii="Times New Roman" w:hAnsi="Times New Roman" w:cs="Times New Roman"/>
          <w:sz w:val="24"/>
          <w:szCs w:val="24"/>
        </w:rPr>
        <w:t>;43:51</w:t>
      </w:r>
      <w:proofErr w:type="gramEnd"/>
      <w:r>
        <w:rPr>
          <w:rFonts w:ascii="Times New Roman" w:hAnsi="Times New Roman" w:cs="Times New Roman"/>
          <w:sz w:val="24"/>
          <w:szCs w:val="24"/>
        </w:rPr>
        <w:t xml:space="preserve">-56. </w:t>
      </w:r>
    </w:p>
    <w:p w:rsidR="00AB47BE" w:rsidRDefault="00AB47BE"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Lim LL, </w:t>
      </w:r>
      <w:proofErr w:type="spellStart"/>
      <w:r>
        <w:rPr>
          <w:rFonts w:ascii="Times New Roman" w:hAnsi="Times New Roman" w:cs="Times New Roman"/>
          <w:sz w:val="24"/>
          <w:szCs w:val="24"/>
        </w:rPr>
        <w:t>Seubsman</w:t>
      </w:r>
      <w:proofErr w:type="spellEnd"/>
      <w:r>
        <w:rPr>
          <w:rFonts w:ascii="Times New Roman" w:hAnsi="Times New Roman" w:cs="Times New Roman"/>
          <w:sz w:val="24"/>
          <w:szCs w:val="24"/>
        </w:rPr>
        <w:t xml:space="preserve"> SA, Sleigh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Bain C. Validity of self-reported abdominal obesity in Thai adults: A comparison of waist circumference, waist-to-hip ratio, and waist-to-stature ratio.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Cardiovasc</w:t>
      </w:r>
      <w:proofErr w:type="spellEnd"/>
      <w:r>
        <w:rPr>
          <w:rFonts w:ascii="Times New Roman" w:hAnsi="Times New Roman" w:cs="Times New Roman"/>
          <w:sz w:val="24"/>
          <w:szCs w:val="24"/>
        </w:rPr>
        <w:t xml:space="preserve"> Dis 2012</w:t>
      </w:r>
      <w:proofErr w:type="gramStart"/>
      <w:r>
        <w:rPr>
          <w:rFonts w:ascii="Times New Roman" w:hAnsi="Times New Roman" w:cs="Times New Roman"/>
          <w:sz w:val="24"/>
          <w:szCs w:val="24"/>
        </w:rPr>
        <w:t>;22:42</w:t>
      </w:r>
      <w:proofErr w:type="gramEnd"/>
      <w:r>
        <w:rPr>
          <w:rFonts w:ascii="Times New Roman" w:hAnsi="Times New Roman" w:cs="Times New Roman"/>
          <w:sz w:val="24"/>
          <w:szCs w:val="24"/>
        </w:rPr>
        <w:t>-49.</w:t>
      </w:r>
    </w:p>
    <w:p w:rsidR="00AB47BE" w:rsidRDefault="00AB47BE"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Morris SB, </w:t>
      </w:r>
      <w:proofErr w:type="spellStart"/>
      <w:r>
        <w:rPr>
          <w:rFonts w:ascii="Times New Roman" w:hAnsi="Times New Roman" w:cs="Times New Roman"/>
          <w:sz w:val="24"/>
          <w:szCs w:val="24"/>
        </w:rPr>
        <w:t>DeShon</w:t>
      </w:r>
      <w:proofErr w:type="spellEnd"/>
      <w:r>
        <w:rPr>
          <w:rFonts w:ascii="Times New Roman" w:hAnsi="Times New Roman" w:cs="Times New Roman"/>
          <w:sz w:val="24"/>
          <w:szCs w:val="24"/>
        </w:rPr>
        <w:t xml:space="preserve"> RP. Combining effect size estimates in meta-analysis with repeated measures and independent-groups design. </w:t>
      </w:r>
      <w:proofErr w:type="spellStart"/>
      <w:r>
        <w:rPr>
          <w:rFonts w:ascii="Times New Roman" w:hAnsi="Times New Roman" w:cs="Times New Roman"/>
          <w:sz w:val="24"/>
          <w:szCs w:val="24"/>
        </w:rPr>
        <w:t>Psychol</w:t>
      </w:r>
      <w:proofErr w:type="spellEnd"/>
      <w:r>
        <w:rPr>
          <w:rFonts w:ascii="Times New Roman" w:hAnsi="Times New Roman" w:cs="Times New Roman"/>
          <w:sz w:val="24"/>
          <w:szCs w:val="24"/>
        </w:rPr>
        <w:t xml:space="preserve"> Methods 2002</w:t>
      </w:r>
      <w:proofErr w:type="gramStart"/>
      <w:r>
        <w:rPr>
          <w:rFonts w:ascii="Times New Roman" w:hAnsi="Times New Roman" w:cs="Times New Roman"/>
          <w:sz w:val="24"/>
          <w:szCs w:val="24"/>
        </w:rPr>
        <w:t>;7:105</w:t>
      </w:r>
      <w:proofErr w:type="gramEnd"/>
      <w:r>
        <w:rPr>
          <w:rFonts w:ascii="Times New Roman" w:hAnsi="Times New Roman" w:cs="Times New Roman"/>
          <w:sz w:val="24"/>
          <w:szCs w:val="24"/>
        </w:rPr>
        <w:t>-125.</w:t>
      </w:r>
    </w:p>
    <w:p w:rsidR="00A619AB" w:rsidRDefault="00A619AB"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Cohen J. Statistical power analysis for the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sciences (2nd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Hillsdale, NJ: Lawrence Erlbaum Associates; 1988.</w:t>
      </w:r>
    </w:p>
    <w:p w:rsidR="00A619AB" w:rsidRDefault="00A619AB"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Doris E, </w:t>
      </w:r>
      <w:proofErr w:type="spellStart"/>
      <w:r>
        <w:rPr>
          <w:rFonts w:ascii="Times New Roman" w:hAnsi="Times New Roman" w:cs="Times New Roman"/>
          <w:sz w:val="24"/>
          <w:szCs w:val="24"/>
        </w:rPr>
        <w:t>Shekriladze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Javakhishvili</w:t>
      </w:r>
      <w:proofErr w:type="spellEnd"/>
      <w:r>
        <w:rPr>
          <w:rFonts w:ascii="Times New Roman" w:hAnsi="Times New Roman" w:cs="Times New Roman"/>
          <w:sz w:val="24"/>
          <w:szCs w:val="24"/>
        </w:rPr>
        <w:t xml:space="preserve"> N, Jones R, Treasure J, </w:t>
      </w:r>
      <w:proofErr w:type="spellStart"/>
      <w:r>
        <w:rPr>
          <w:rFonts w:ascii="Times New Roman" w:hAnsi="Times New Roman" w:cs="Times New Roman"/>
          <w:sz w:val="24"/>
          <w:szCs w:val="24"/>
        </w:rPr>
        <w:t>Tchanturia</w:t>
      </w:r>
      <w:proofErr w:type="spellEnd"/>
      <w:r>
        <w:rPr>
          <w:rFonts w:ascii="Times New Roman" w:hAnsi="Times New Roman" w:cs="Times New Roman"/>
          <w:sz w:val="24"/>
          <w:szCs w:val="24"/>
        </w:rPr>
        <w:t xml:space="preserve"> K. Is culture change associated with eating disorders? A systematic review of the literature. Eat Weight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2015</w:t>
      </w:r>
      <w:proofErr w:type="gramStart"/>
      <w:r>
        <w:rPr>
          <w:rFonts w:ascii="Times New Roman" w:hAnsi="Times New Roman" w:cs="Times New Roman"/>
          <w:sz w:val="24"/>
          <w:szCs w:val="24"/>
        </w:rPr>
        <w:t>;20:149</w:t>
      </w:r>
      <w:proofErr w:type="gramEnd"/>
      <w:r>
        <w:rPr>
          <w:rFonts w:ascii="Times New Roman" w:hAnsi="Times New Roman" w:cs="Times New Roman"/>
          <w:sz w:val="24"/>
          <w:szCs w:val="24"/>
        </w:rPr>
        <w:t>-160.</w:t>
      </w:r>
    </w:p>
    <w:p w:rsidR="00EC52BB" w:rsidRDefault="00EC52BB"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Mahmud Y, Swami V. The influence of the hijab (Islamic head-cover) on perceptions of women’s attractiveness and intelligence. Body Image 2010</w:t>
      </w:r>
      <w:proofErr w:type="gramStart"/>
      <w:r>
        <w:rPr>
          <w:rFonts w:ascii="Times New Roman" w:hAnsi="Times New Roman" w:cs="Times New Roman"/>
          <w:sz w:val="24"/>
          <w:szCs w:val="24"/>
        </w:rPr>
        <w:t>;7:90</w:t>
      </w:r>
      <w:proofErr w:type="gramEnd"/>
      <w:r>
        <w:rPr>
          <w:rFonts w:ascii="Times New Roman" w:hAnsi="Times New Roman" w:cs="Times New Roman"/>
          <w:sz w:val="24"/>
          <w:szCs w:val="24"/>
        </w:rPr>
        <w:t>-93.</w:t>
      </w:r>
    </w:p>
    <w:p w:rsidR="00EC52BB" w:rsidRDefault="00EC52BB"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The influence of the hijab (Islamic head-cover) on interpersonal judgments of women: Replication and extension. In: </w:t>
      </w:r>
      <w:proofErr w:type="spellStart"/>
      <w:r>
        <w:rPr>
          <w:rFonts w:ascii="Times New Roman" w:hAnsi="Times New Roman" w:cs="Times New Roman"/>
          <w:sz w:val="24"/>
          <w:szCs w:val="24"/>
        </w:rPr>
        <w:t>Marich</w:t>
      </w:r>
      <w:proofErr w:type="spellEnd"/>
      <w:r>
        <w:rPr>
          <w:rFonts w:ascii="Times New Roman" w:hAnsi="Times New Roman" w:cs="Times New Roman"/>
          <w:sz w:val="24"/>
          <w:szCs w:val="24"/>
        </w:rPr>
        <w:t xml:space="preserve"> J, editor. Psychology of women. </w:t>
      </w:r>
      <w:proofErr w:type="spellStart"/>
      <w:r>
        <w:rPr>
          <w:rFonts w:ascii="Times New Roman" w:hAnsi="Times New Roman" w:cs="Times New Roman"/>
          <w:sz w:val="24"/>
          <w:szCs w:val="24"/>
        </w:rPr>
        <w:t>Hauppage</w:t>
      </w:r>
      <w:proofErr w:type="spellEnd"/>
      <w:r>
        <w:rPr>
          <w:rFonts w:ascii="Times New Roman" w:hAnsi="Times New Roman" w:cs="Times New Roman"/>
          <w:sz w:val="24"/>
          <w:szCs w:val="24"/>
        </w:rPr>
        <w:t>, NY: Nova Science Publishers; 2012, p. 128-140.</w:t>
      </w:r>
    </w:p>
    <w:p w:rsidR="00EC52BB" w:rsidRDefault="00EC52BB"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Preti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Girolamo</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Vilagut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Alonson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Graaf</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Bruffearts</w:t>
      </w:r>
      <w:proofErr w:type="spellEnd"/>
      <w:r>
        <w:rPr>
          <w:rFonts w:ascii="Times New Roman" w:hAnsi="Times New Roman" w:cs="Times New Roman"/>
          <w:sz w:val="24"/>
          <w:szCs w:val="24"/>
        </w:rPr>
        <w:t xml:space="preserve"> R, et al. The epidemiology of eating disorders in six European countries: Results of the </w:t>
      </w:r>
      <w:proofErr w:type="spellStart"/>
      <w:r>
        <w:rPr>
          <w:rFonts w:ascii="Times New Roman" w:hAnsi="Times New Roman" w:cs="Times New Roman"/>
          <w:sz w:val="24"/>
          <w:szCs w:val="24"/>
        </w:rPr>
        <w:t>ESEMeD</w:t>
      </w:r>
      <w:proofErr w:type="spellEnd"/>
      <w:r>
        <w:rPr>
          <w:rFonts w:ascii="Times New Roman" w:hAnsi="Times New Roman" w:cs="Times New Roman"/>
          <w:sz w:val="24"/>
          <w:szCs w:val="24"/>
        </w:rPr>
        <w:t xml:space="preserve">-WMH project. J </w:t>
      </w:r>
      <w:proofErr w:type="spellStart"/>
      <w:r>
        <w:rPr>
          <w:rFonts w:ascii="Times New Roman" w:hAnsi="Times New Roman" w:cs="Times New Roman"/>
          <w:sz w:val="24"/>
          <w:szCs w:val="24"/>
        </w:rPr>
        <w:t>Psychiatr</w:t>
      </w:r>
      <w:proofErr w:type="spellEnd"/>
      <w:r>
        <w:rPr>
          <w:rFonts w:ascii="Times New Roman" w:hAnsi="Times New Roman" w:cs="Times New Roman"/>
          <w:sz w:val="24"/>
          <w:szCs w:val="24"/>
        </w:rPr>
        <w:t xml:space="preserve"> Res 2009</w:t>
      </w:r>
      <w:proofErr w:type="gramStart"/>
      <w:r>
        <w:rPr>
          <w:rFonts w:ascii="Times New Roman" w:hAnsi="Times New Roman" w:cs="Times New Roman"/>
          <w:sz w:val="24"/>
          <w:szCs w:val="24"/>
        </w:rPr>
        <w:t>;43:1125</w:t>
      </w:r>
      <w:proofErr w:type="gramEnd"/>
      <w:r>
        <w:rPr>
          <w:rFonts w:ascii="Times New Roman" w:hAnsi="Times New Roman" w:cs="Times New Roman"/>
          <w:sz w:val="24"/>
          <w:szCs w:val="24"/>
        </w:rPr>
        <w:t>-1132.</w:t>
      </w:r>
    </w:p>
    <w:p w:rsidR="00EC52BB" w:rsidRDefault="00EC52BB" w:rsidP="00113015">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Wonderlich</w:t>
      </w:r>
      <w:proofErr w:type="spellEnd"/>
      <w:r>
        <w:rPr>
          <w:rFonts w:ascii="Times New Roman" w:hAnsi="Times New Roman" w:cs="Times New Roman"/>
          <w:sz w:val="24"/>
          <w:szCs w:val="24"/>
        </w:rPr>
        <w:t xml:space="preserve"> SA, Gordon KH, Mitchell JE, Crosby RD, Engel SG. The validity and clinical utility of binge eating disorder.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Eat </w:t>
      </w:r>
      <w:proofErr w:type="spellStart"/>
      <w:r>
        <w:rPr>
          <w:rFonts w:ascii="Times New Roman" w:hAnsi="Times New Roman" w:cs="Times New Roman"/>
          <w:sz w:val="24"/>
          <w:szCs w:val="24"/>
        </w:rPr>
        <w:t>Disord</w:t>
      </w:r>
      <w:proofErr w:type="spellEnd"/>
      <w:r>
        <w:rPr>
          <w:rFonts w:ascii="Times New Roman" w:hAnsi="Times New Roman" w:cs="Times New Roman"/>
          <w:sz w:val="24"/>
          <w:szCs w:val="24"/>
        </w:rPr>
        <w:t xml:space="preserve"> 2009</w:t>
      </w:r>
      <w:proofErr w:type="gramStart"/>
      <w:r>
        <w:rPr>
          <w:rFonts w:ascii="Times New Roman" w:hAnsi="Times New Roman" w:cs="Times New Roman"/>
          <w:sz w:val="24"/>
          <w:szCs w:val="24"/>
        </w:rPr>
        <w:t>;42:687</w:t>
      </w:r>
      <w:proofErr w:type="gramEnd"/>
      <w:r>
        <w:rPr>
          <w:rFonts w:ascii="Times New Roman" w:hAnsi="Times New Roman" w:cs="Times New Roman"/>
          <w:sz w:val="24"/>
          <w:szCs w:val="24"/>
        </w:rPr>
        <w:t>-705.</w:t>
      </w:r>
    </w:p>
    <w:p w:rsidR="005C6F36" w:rsidRDefault="005C6F36" w:rsidP="00113015">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Swami V, Kannan K,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xml:space="preserve"> A. Positive body image: Inter-ethnic and rural-urban differences among an indigenous sample from Malaysian Borneo.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Psychiatr</w:t>
      </w:r>
      <w:proofErr w:type="spellEnd"/>
      <w:r>
        <w:rPr>
          <w:rFonts w:ascii="Times New Roman" w:hAnsi="Times New Roman" w:cs="Times New Roman"/>
          <w:sz w:val="24"/>
          <w:szCs w:val="24"/>
        </w:rPr>
        <w:t xml:space="preserve"> 2012</w:t>
      </w:r>
      <w:proofErr w:type="gramStart"/>
      <w:r>
        <w:rPr>
          <w:rFonts w:ascii="Times New Roman" w:hAnsi="Times New Roman" w:cs="Times New Roman"/>
          <w:sz w:val="24"/>
          <w:szCs w:val="24"/>
        </w:rPr>
        <w:t>;58:568</w:t>
      </w:r>
      <w:proofErr w:type="gramEnd"/>
      <w:r>
        <w:rPr>
          <w:rFonts w:ascii="Times New Roman" w:hAnsi="Times New Roman" w:cs="Times New Roman"/>
          <w:sz w:val="24"/>
          <w:szCs w:val="24"/>
        </w:rPr>
        <w:t>-576.</w:t>
      </w:r>
      <w:bookmarkStart w:id="0" w:name="_GoBack"/>
      <w:bookmarkEnd w:id="0"/>
    </w:p>
    <w:p w:rsidR="00EC52BB" w:rsidRDefault="00EC52BB" w:rsidP="00EC52BB">
      <w:pPr>
        <w:spacing w:after="0" w:line="480" w:lineRule="auto"/>
        <w:rPr>
          <w:rFonts w:ascii="Times New Roman" w:hAnsi="Times New Roman" w:cs="Times New Roman"/>
          <w:sz w:val="24"/>
          <w:szCs w:val="24"/>
        </w:rPr>
      </w:pPr>
    </w:p>
    <w:p w:rsidR="00EC52BB" w:rsidRDefault="00EC52BB">
      <w:pPr>
        <w:rPr>
          <w:rFonts w:ascii="Times New Roman" w:hAnsi="Times New Roman" w:cs="Times New Roman"/>
          <w:sz w:val="24"/>
          <w:szCs w:val="24"/>
        </w:rPr>
      </w:pPr>
      <w:r>
        <w:rPr>
          <w:rFonts w:ascii="Times New Roman" w:hAnsi="Times New Roman" w:cs="Times New Roman"/>
          <w:sz w:val="24"/>
          <w:szCs w:val="24"/>
        </w:rPr>
        <w:br w:type="page"/>
      </w:r>
    </w:p>
    <w:p w:rsidR="00CB09C9" w:rsidRDefault="00E20E35" w:rsidP="0033388F">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Table 1. </w:t>
      </w:r>
      <w:r>
        <w:rPr>
          <w:rFonts w:ascii="Times New Roman" w:hAnsi="Times New Roman" w:cs="Times New Roman"/>
          <w:i/>
          <w:sz w:val="24"/>
          <w:szCs w:val="24"/>
        </w:rPr>
        <w:t>Means and Standard Deviations for the Eating Disorders Inventory-3 Subscales at Time Points 1 and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543"/>
        <w:gridCol w:w="1543"/>
        <w:gridCol w:w="1462"/>
        <w:gridCol w:w="1463"/>
      </w:tblGrid>
      <w:tr w:rsidR="00E20E35" w:rsidTr="0094084A">
        <w:tc>
          <w:tcPr>
            <w:tcW w:w="3005" w:type="dxa"/>
            <w:vMerge w:val="restart"/>
            <w:tcBorders>
              <w:top w:val="single" w:sz="4" w:space="0" w:color="auto"/>
            </w:tcBorders>
          </w:tcPr>
          <w:p w:rsidR="00E20E35" w:rsidRDefault="00E20E35" w:rsidP="0033388F">
            <w:pPr>
              <w:spacing w:line="480" w:lineRule="auto"/>
              <w:rPr>
                <w:rFonts w:ascii="Times New Roman" w:hAnsi="Times New Roman" w:cs="Times New Roman"/>
                <w:sz w:val="24"/>
                <w:szCs w:val="24"/>
              </w:rPr>
            </w:pPr>
            <w:r>
              <w:rPr>
                <w:rFonts w:ascii="Times New Roman" w:hAnsi="Times New Roman" w:cs="Times New Roman"/>
                <w:sz w:val="24"/>
                <w:szCs w:val="24"/>
              </w:rPr>
              <w:t>Variable</w:t>
            </w:r>
          </w:p>
        </w:tc>
        <w:tc>
          <w:tcPr>
            <w:tcW w:w="6011" w:type="dxa"/>
            <w:gridSpan w:val="4"/>
            <w:tcBorders>
              <w:top w:val="single" w:sz="4" w:space="0" w:color="auto"/>
              <w:bottom w:val="single" w:sz="4" w:space="0" w:color="auto"/>
            </w:tcBorders>
          </w:tcPr>
          <w:p w:rsidR="00E20E35" w:rsidRDefault="00E20E35" w:rsidP="0033388F">
            <w:pPr>
              <w:spacing w:line="480" w:lineRule="auto"/>
              <w:rPr>
                <w:rFonts w:ascii="Times New Roman" w:hAnsi="Times New Roman" w:cs="Times New Roman"/>
                <w:sz w:val="24"/>
                <w:szCs w:val="24"/>
              </w:rPr>
            </w:pPr>
            <w:r>
              <w:rPr>
                <w:rFonts w:ascii="Times New Roman" w:hAnsi="Times New Roman" w:cs="Times New Roman"/>
                <w:sz w:val="24"/>
                <w:szCs w:val="24"/>
              </w:rPr>
              <w:t>Time of Measurement</w:t>
            </w:r>
          </w:p>
        </w:tc>
      </w:tr>
      <w:tr w:rsidR="00E20E35" w:rsidTr="0094084A">
        <w:tc>
          <w:tcPr>
            <w:tcW w:w="3005" w:type="dxa"/>
            <w:vMerge/>
          </w:tcPr>
          <w:p w:rsidR="00E20E35" w:rsidRDefault="00E20E35" w:rsidP="0033388F">
            <w:pPr>
              <w:spacing w:line="480" w:lineRule="auto"/>
              <w:rPr>
                <w:rFonts w:ascii="Times New Roman" w:hAnsi="Times New Roman" w:cs="Times New Roman"/>
                <w:sz w:val="24"/>
                <w:szCs w:val="24"/>
              </w:rPr>
            </w:pPr>
          </w:p>
        </w:tc>
        <w:tc>
          <w:tcPr>
            <w:tcW w:w="3086" w:type="dxa"/>
            <w:gridSpan w:val="2"/>
            <w:tcBorders>
              <w:top w:val="single" w:sz="4" w:space="0" w:color="auto"/>
              <w:bottom w:val="single" w:sz="4" w:space="0" w:color="auto"/>
            </w:tcBorders>
          </w:tcPr>
          <w:p w:rsidR="00E20E35" w:rsidRDefault="00E20E35" w:rsidP="0033388F">
            <w:pPr>
              <w:spacing w:line="480" w:lineRule="auto"/>
              <w:rPr>
                <w:rFonts w:ascii="Times New Roman" w:hAnsi="Times New Roman" w:cs="Times New Roman"/>
                <w:sz w:val="24"/>
                <w:szCs w:val="24"/>
              </w:rPr>
            </w:pPr>
            <w:r>
              <w:rPr>
                <w:rFonts w:ascii="Times New Roman" w:hAnsi="Times New Roman" w:cs="Times New Roman"/>
                <w:sz w:val="24"/>
                <w:szCs w:val="24"/>
              </w:rPr>
              <w:t>Time 1 (2 months prior to transmigration)</w:t>
            </w:r>
          </w:p>
        </w:tc>
        <w:tc>
          <w:tcPr>
            <w:tcW w:w="2925" w:type="dxa"/>
            <w:gridSpan w:val="2"/>
            <w:tcBorders>
              <w:top w:val="single" w:sz="4" w:space="0" w:color="auto"/>
              <w:bottom w:val="single" w:sz="4" w:space="0" w:color="auto"/>
            </w:tcBorders>
          </w:tcPr>
          <w:p w:rsidR="00E20E35" w:rsidRDefault="00E20E35" w:rsidP="0033388F">
            <w:pPr>
              <w:spacing w:line="480" w:lineRule="auto"/>
              <w:rPr>
                <w:rFonts w:ascii="Times New Roman" w:hAnsi="Times New Roman" w:cs="Times New Roman"/>
                <w:sz w:val="24"/>
                <w:szCs w:val="24"/>
              </w:rPr>
            </w:pPr>
            <w:r>
              <w:rPr>
                <w:rFonts w:ascii="Times New Roman" w:hAnsi="Times New Roman" w:cs="Times New Roman"/>
                <w:sz w:val="24"/>
                <w:szCs w:val="24"/>
              </w:rPr>
              <w:t>Time 2 (4 months after transmigration)</w:t>
            </w:r>
          </w:p>
        </w:tc>
      </w:tr>
      <w:tr w:rsidR="007B57B4" w:rsidTr="0094084A">
        <w:tc>
          <w:tcPr>
            <w:tcW w:w="3005" w:type="dxa"/>
            <w:tcBorders>
              <w:bottom w:val="single" w:sz="4" w:space="0" w:color="auto"/>
            </w:tcBorders>
          </w:tcPr>
          <w:p w:rsidR="007B57B4" w:rsidRDefault="007B57B4" w:rsidP="0033388F">
            <w:pPr>
              <w:spacing w:line="480" w:lineRule="auto"/>
              <w:rPr>
                <w:rFonts w:ascii="Times New Roman" w:hAnsi="Times New Roman" w:cs="Times New Roman"/>
                <w:sz w:val="24"/>
                <w:szCs w:val="24"/>
              </w:rPr>
            </w:pPr>
          </w:p>
        </w:tc>
        <w:tc>
          <w:tcPr>
            <w:tcW w:w="1543" w:type="dxa"/>
            <w:tcBorders>
              <w:top w:val="single" w:sz="4" w:space="0" w:color="auto"/>
              <w:bottom w:val="single" w:sz="4" w:space="0" w:color="auto"/>
            </w:tcBorders>
          </w:tcPr>
          <w:p w:rsidR="007B57B4" w:rsidRPr="007B57B4" w:rsidRDefault="007B57B4" w:rsidP="0033388F">
            <w:pPr>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1543" w:type="dxa"/>
            <w:tcBorders>
              <w:top w:val="single" w:sz="4" w:space="0" w:color="auto"/>
              <w:bottom w:val="single" w:sz="4" w:space="0" w:color="auto"/>
            </w:tcBorders>
          </w:tcPr>
          <w:p w:rsidR="007B57B4" w:rsidRPr="007B57B4" w:rsidRDefault="007B57B4" w:rsidP="0033388F">
            <w:pPr>
              <w:spacing w:line="480" w:lineRule="auto"/>
              <w:rPr>
                <w:rFonts w:ascii="Times New Roman" w:hAnsi="Times New Roman" w:cs="Times New Roman"/>
                <w:i/>
                <w:sz w:val="24"/>
                <w:szCs w:val="24"/>
              </w:rPr>
            </w:pPr>
            <w:r>
              <w:rPr>
                <w:rFonts w:ascii="Times New Roman" w:hAnsi="Times New Roman" w:cs="Times New Roman"/>
                <w:i/>
                <w:sz w:val="24"/>
                <w:szCs w:val="24"/>
              </w:rPr>
              <w:t>SD</w:t>
            </w:r>
          </w:p>
        </w:tc>
        <w:tc>
          <w:tcPr>
            <w:tcW w:w="1462" w:type="dxa"/>
            <w:tcBorders>
              <w:top w:val="single" w:sz="4" w:space="0" w:color="auto"/>
              <w:bottom w:val="single" w:sz="4" w:space="0" w:color="auto"/>
            </w:tcBorders>
          </w:tcPr>
          <w:p w:rsidR="007B57B4" w:rsidRPr="007B57B4" w:rsidRDefault="007B57B4" w:rsidP="0033388F">
            <w:pPr>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1463" w:type="dxa"/>
            <w:tcBorders>
              <w:top w:val="single" w:sz="4" w:space="0" w:color="auto"/>
              <w:bottom w:val="single" w:sz="4" w:space="0" w:color="auto"/>
            </w:tcBorders>
          </w:tcPr>
          <w:p w:rsidR="007B57B4" w:rsidRPr="007B57B4" w:rsidRDefault="007B57B4" w:rsidP="0033388F">
            <w:pPr>
              <w:spacing w:line="480" w:lineRule="auto"/>
              <w:rPr>
                <w:rFonts w:ascii="Times New Roman" w:hAnsi="Times New Roman" w:cs="Times New Roman"/>
                <w:i/>
                <w:sz w:val="24"/>
                <w:szCs w:val="24"/>
              </w:rPr>
            </w:pPr>
            <w:r>
              <w:rPr>
                <w:rFonts w:ascii="Times New Roman" w:hAnsi="Times New Roman" w:cs="Times New Roman"/>
                <w:i/>
                <w:sz w:val="24"/>
                <w:szCs w:val="24"/>
              </w:rPr>
              <w:t>SD</w:t>
            </w:r>
          </w:p>
        </w:tc>
      </w:tr>
      <w:tr w:rsidR="007B57B4" w:rsidTr="0094084A">
        <w:tc>
          <w:tcPr>
            <w:tcW w:w="3005" w:type="dxa"/>
            <w:tcBorders>
              <w:top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Drive for thinness</w:t>
            </w:r>
          </w:p>
        </w:tc>
        <w:tc>
          <w:tcPr>
            <w:tcW w:w="1543" w:type="dxa"/>
            <w:tcBorders>
              <w:top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3.33</w:t>
            </w:r>
          </w:p>
        </w:tc>
        <w:tc>
          <w:tcPr>
            <w:tcW w:w="1543" w:type="dxa"/>
            <w:tcBorders>
              <w:top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1.16</w:t>
            </w:r>
          </w:p>
        </w:tc>
        <w:tc>
          <w:tcPr>
            <w:tcW w:w="1462" w:type="dxa"/>
            <w:tcBorders>
              <w:top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3.71</w:t>
            </w:r>
          </w:p>
        </w:tc>
        <w:tc>
          <w:tcPr>
            <w:tcW w:w="1463" w:type="dxa"/>
            <w:tcBorders>
              <w:top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1.18</w:t>
            </w:r>
          </w:p>
        </w:tc>
      </w:tr>
      <w:tr w:rsidR="007B57B4" w:rsidTr="0094084A">
        <w:tc>
          <w:tcPr>
            <w:tcW w:w="3005" w:type="dxa"/>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Body dissatisfaction</w:t>
            </w:r>
          </w:p>
        </w:tc>
        <w:tc>
          <w:tcPr>
            <w:tcW w:w="1543" w:type="dxa"/>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3.01</w:t>
            </w:r>
          </w:p>
        </w:tc>
        <w:tc>
          <w:tcPr>
            <w:tcW w:w="1543" w:type="dxa"/>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0.69</w:t>
            </w:r>
          </w:p>
        </w:tc>
        <w:tc>
          <w:tcPr>
            <w:tcW w:w="1462" w:type="dxa"/>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3.38</w:t>
            </w:r>
          </w:p>
        </w:tc>
        <w:tc>
          <w:tcPr>
            <w:tcW w:w="1463" w:type="dxa"/>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0.76</w:t>
            </w:r>
          </w:p>
        </w:tc>
      </w:tr>
      <w:tr w:rsidR="007B57B4" w:rsidTr="0094084A">
        <w:tc>
          <w:tcPr>
            <w:tcW w:w="3005" w:type="dxa"/>
            <w:tcBorders>
              <w:bottom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Bulimia symptoms</w:t>
            </w:r>
          </w:p>
        </w:tc>
        <w:tc>
          <w:tcPr>
            <w:tcW w:w="1543" w:type="dxa"/>
            <w:tcBorders>
              <w:bottom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2.23</w:t>
            </w:r>
          </w:p>
        </w:tc>
        <w:tc>
          <w:tcPr>
            <w:tcW w:w="1543" w:type="dxa"/>
            <w:tcBorders>
              <w:bottom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0.90</w:t>
            </w:r>
          </w:p>
        </w:tc>
        <w:tc>
          <w:tcPr>
            <w:tcW w:w="1462" w:type="dxa"/>
            <w:tcBorders>
              <w:bottom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2.45</w:t>
            </w:r>
          </w:p>
        </w:tc>
        <w:tc>
          <w:tcPr>
            <w:tcW w:w="1463" w:type="dxa"/>
            <w:tcBorders>
              <w:bottom w:val="single" w:sz="4" w:space="0" w:color="auto"/>
            </w:tcBorders>
          </w:tcPr>
          <w:p w:rsidR="007B57B4" w:rsidRDefault="007B57B4" w:rsidP="0033388F">
            <w:pPr>
              <w:spacing w:line="480" w:lineRule="auto"/>
              <w:rPr>
                <w:rFonts w:ascii="Times New Roman" w:hAnsi="Times New Roman" w:cs="Times New Roman"/>
                <w:sz w:val="24"/>
                <w:szCs w:val="24"/>
              </w:rPr>
            </w:pPr>
            <w:r>
              <w:rPr>
                <w:rFonts w:ascii="Times New Roman" w:hAnsi="Times New Roman" w:cs="Times New Roman"/>
                <w:sz w:val="24"/>
                <w:szCs w:val="24"/>
              </w:rPr>
              <w:t>0.85</w:t>
            </w:r>
          </w:p>
        </w:tc>
      </w:tr>
    </w:tbl>
    <w:p w:rsidR="00E20E35" w:rsidRPr="00E20E35" w:rsidRDefault="00E20E35" w:rsidP="0033388F">
      <w:pPr>
        <w:spacing w:after="0" w:line="480" w:lineRule="auto"/>
        <w:rPr>
          <w:rFonts w:ascii="Times New Roman" w:hAnsi="Times New Roman" w:cs="Times New Roman"/>
          <w:sz w:val="24"/>
          <w:szCs w:val="24"/>
        </w:rPr>
      </w:pPr>
    </w:p>
    <w:p w:rsidR="008F43C7" w:rsidRDefault="008F43C7">
      <w:pPr>
        <w:rPr>
          <w:rFonts w:ascii="Times New Roman" w:hAnsi="Times New Roman" w:cs="Times New Roman"/>
          <w:sz w:val="24"/>
          <w:szCs w:val="24"/>
        </w:rPr>
      </w:pPr>
      <w:r>
        <w:rPr>
          <w:rFonts w:ascii="Times New Roman" w:hAnsi="Times New Roman" w:cs="Times New Roman"/>
          <w:sz w:val="24"/>
          <w:szCs w:val="24"/>
        </w:rPr>
        <w:br w:type="page"/>
      </w:r>
    </w:p>
    <w:p w:rsidR="008F43C7" w:rsidRDefault="008F43C7" w:rsidP="00D32C90">
      <w:pPr>
        <w:spacing w:after="0" w:line="480" w:lineRule="auto"/>
        <w:rPr>
          <w:rFonts w:ascii="Times New Roman" w:hAnsi="Times New Roman" w:cs="Times New Roman"/>
          <w:sz w:val="24"/>
          <w:szCs w:val="24"/>
        </w:rPr>
        <w:sectPr w:rsidR="008F43C7" w:rsidSect="003766BD">
          <w:headerReference w:type="default" r:id="rId9"/>
          <w:pgSz w:w="11906" w:h="16838"/>
          <w:pgMar w:top="1440" w:right="1440" w:bottom="1440" w:left="1440" w:header="708" w:footer="708" w:gutter="0"/>
          <w:cols w:space="708"/>
          <w:titlePg/>
          <w:docGrid w:linePitch="360"/>
        </w:sectPr>
      </w:pPr>
    </w:p>
    <w:p w:rsidR="008F43C7" w:rsidRDefault="008F43C7" w:rsidP="008F43C7">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Table 2. </w:t>
      </w:r>
      <w:r>
        <w:rPr>
          <w:rFonts w:ascii="Times New Roman" w:hAnsi="Times New Roman" w:cs="Times New Roman"/>
          <w:i/>
          <w:sz w:val="24"/>
          <w:szCs w:val="24"/>
        </w:rPr>
        <w:t>Results of the Multiple Linear Regressions with Eating Disorder Inventory-3 Subscales as the Criterion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8"/>
        <w:gridCol w:w="567"/>
        <w:gridCol w:w="709"/>
        <w:gridCol w:w="851"/>
        <w:gridCol w:w="708"/>
        <w:gridCol w:w="709"/>
        <w:gridCol w:w="567"/>
        <w:gridCol w:w="709"/>
        <w:gridCol w:w="850"/>
        <w:gridCol w:w="870"/>
        <w:gridCol w:w="690"/>
        <w:gridCol w:w="567"/>
        <w:gridCol w:w="708"/>
        <w:gridCol w:w="851"/>
        <w:gridCol w:w="992"/>
      </w:tblGrid>
      <w:tr w:rsidR="008F43C7" w:rsidTr="00444469">
        <w:tc>
          <w:tcPr>
            <w:tcW w:w="2802" w:type="dxa"/>
            <w:tcBorders>
              <w:top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p>
        </w:tc>
        <w:tc>
          <w:tcPr>
            <w:tcW w:w="3543" w:type="dxa"/>
            <w:gridSpan w:val="5"/>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Drive for thinness</w:t>
            </w:r>
          </w:p>
        </w:tc>
        <w:tc>
          <w:tcPr>
            <w:tcW w:w="3705" w:type="dxa"/>
            <w:gridSpan w:val="5"/>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Body dissatisfaction</w:t>
            </w:r>
          </w:p>
        </w:tc>
        <w:tc>
          <w:tcPr>
            <w:tcW w:w="3808" w:type="dxa"/>
            <w:gridSpan w:val="5"/>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Bulimia symptoms</w:t>
            </w:r>
          </w:p>
        </w:tc>
      </w:tr>
      <w:tr w:rsidR="008F43C7" w:rsidTr="00444469">
        <w:tc>
          <w:tcPr>
            <w:tcW w:w="2802" w:type="dxa"/>
            <w:tcBorders>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p>
        </w:tc>
        <w:tc>
          <w:tcPr>
            <w:tcW w:w="708"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567"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709"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851" w:type="dxa"/>
            <w:tcBorders>
              <w:top w:val="single" w:sz="4" w:space="0" w:color="auto"/>
              <w:bottom w:val="single" w:sz="4" w:space="0" w:color="auto"/>
            </w:tcBorders>
          </w:tcPr>
          <w:p w:rsidR="008F43C7" w:rsidRPr="00EE694E"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t</w:t>
            </w:r>
          </w:p>
        </w:tc>
        <w:tc>
          <w:tcPr>
            <w:tcW w:w="708" w:type="dxa"/>
            <w:tcBorders>
              <w:top w:val="single" w:sz="4" w:space="0" w:color="auto"/>
              <w:bottom w:val="single" w:sz="4" w:space="0" w:color="auto"/>
            </w:tcBorders>
          </w:tcPr>
          <w:p w:rsidR="008F43C7" w:rsidRPr="00EE694E" w:rsidRDefault="008F43C7" w:rsidP="00444469">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p</w:t>
            </w:r>
          </w:p>
        </w:tc>
        <w:tc>
          <w:tcPr>
            <w:tcW w:w="709"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567"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709"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850" w:type="dxa"/>
            <w:tcBorders>
              <w:top w:val="single" w:sz="4" w:space="0" w:color="auto"/>
              <w:bottom w:val="single" w:sz="4" w:space="0" w:color="auto"/>
            </w:tcBorders>
          </w:tcPr>
          <w:p w:rsidR="008F43C7" w:rsidRPr="00EE694E"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t</w:t>
            </w:r>
          </w:p>
        </w:tc>
        <w:tc>
          <w:tcPr>
            <w:tcW w:w="870" w:type="dxa"/>
            <w:tcBorders>
              <w:top w:val="single" w:sz="4" w:space="0" w:color="auto"/>
              <w:bottom w:val="single" w:sz="4" w:space="0" w:color="auto"/>
            </w:tcBorders>
          </w:tcPr>
          <w:p w:rsidR="008F43C7" w:rsidRPr="00EE694E" w:rsidRDefault="008F43C7" w:rsidP="00444469">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p</w:t>
            </w:r>
          </w:p>
        </w:tc>
        <w:tc>
          <w:tcPr>
            <w:tcW w:w="690"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567"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708" w:type="dxa"/>
            <w:tcBorders>
              <w:top w:val="single" w:sz="4" w:space="0" w:color="auto"/>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851" w:type="dxa"/>
            <w:tcBorders>
              <w:top w:val="single" w:sz="4" w:space="0" w:color="auto"/>
              <w:bottom w:val="single" w:sz="4" w:space="0" w:color="auto"/>
            </w:tcBorders>
          </w:tcPr>
          <w:p w:rsidR="008F43C7" w:rsidRPr="00EE694E"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t</w:t>
            </w:r>
          </w:p>
        </w:tc>
        <w:tc>
          <w:tcPr>
            <w:tcW w:w="992" w:type="dxa"/>
            <w:tcBorders>
              <w:top w:val="single" w:sz="4" w:space="0" w:color="auto"/>
              <w:bottom w:val="single" w:sz="4" w:space="0" w:color="auto"/>
            </w:tcBorders>
          </w:tcPr>
          <w:p w:rsidR="008F43C7" w:rsidRPr="00EE694E" w:rsidRDefault="008F43C7" w:rsidP="00444469">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p</w:t>
            </w:r>
          </w:p>
        </w:tc>
      </w:tr>
      <w:tr w:rsidR="008F43C7" w:rsidTr="008F43C7">
        <w:tc>
          <w:tcPr>
            <w:tcW w:w="2802" w:type="dxa"/>
            <w:tcBorders>
              <w:top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Sociocultural adjustment</w:t>
            </w:r>
          </w:p>
        </w:tc>
        <w:tc>
          <w:tcPr>
            <w:tcW w:w="708" w:type="dxa"/>
            <w:tcBorders>
              <w:top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.46</w:t>
            </w:r>
          </w:p>
        </w:tc>
        <w:tc>
          <w:tcPr>
            <w:tcW w:w="567"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2.43</w:t>
            </w:r>
          </w:p>
        </w:tc>
        <w:tc>
          <w:tcPr>
            <w:tcW w:w="708"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.017</w:t>
            </w:r>
          </w:p>
        </w:tc>
        <w:tc>
          <w:tcPr>
            <w:tcW w:w="709"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2.15</w:t>
            </w:r>
          </w:p>
        </w:tc>
        <w:tc>
          <w:tcPr>
            <w:tcW w:w="870"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.034</w:t>
            </w:r>
          </w:p>
        </w:tc>
        <w:tc>
          <w:tcPr>
            <w:tcW w:w="690"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567"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1.99</w:t>
            </w:r>
          </w:p>
        </w:tc>
        <w:tc>
          <w:tcPr>
            <w:tcW w:w="992" w:type="dxa"/>
            <w:tcBorders>
              <w:top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.050</w:t>
            </w:r>
          </w:p>
        </w:tc>
      </w:tr>
      <w:tr w:rsidR="008F43C7" w:rsidTr="008F43C7">
        <w:tc>
          <w:tcPr>
            <w:tcW w:w="2802" w:type="dxa"/>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Cultural distance</w:t>
            </w:r>
          </w:p>
        </w:tc>
        <w:tc>
          <w:tcPr>
            <w:tcW w:w="708"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2.56</w:t>
            </w:r>
          </w:p>
        </w:tc>
        <w:tc>
          <w:tcPr>
            <w:tcW w:w="708"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.012</w:t>
            </w:r>
          </w:p>
        </w:tc>
        <w:tc>
          <w:tcPr>
            <w:tcW w:w="709"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1.04</w:t>
            </w:r>
          </w:p>
        </w:tc>
        <w:tc>
          <w:tcPr>
            <w:tcW w:w="870"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.299</w:t>
            </w:r>
          </w:p>
        </w:tc>
        <w:tc>
          <w:tcPr>
            <w:tcW w:w="690"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708"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.321</w:t>
            </w:r>
          </w:p>
        </w:tc>
      </w:tr>
      <w:tr w:rsidR="008F43C7" w:rsidTr="008F43C7">
        <w:tc>
          <w:tcPr>
            <w:tcW w:w="2802" w:type="dxa"/>
            <w:tcBorders>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Perceived discrimination</w:t>
            </w:r>
          </w:p>
        </w:tc>
        <w:tc>
          <w:tcPr>
            <w:tcW w:w="708" w:type="dxa"/>
            <w:tcBorders>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.88</w:t>
            </w:r>
          </w:p>
        </w:tc>
        <w:tc>
          <w:tcPr>
            <w:tcW w:w="567" w:type="dxa"/>
            <w:tcBorders>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709" w:type="dxa"/>
            <w:tcBorders>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851"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3.19</w:t>
            </w:r>
          </w:p>
        </w:tc>
        <w:tc>
          <w:tcPr>
            <w:tcW w:w="708" w:type="dxa"/>
            <w:tcBorders>
              <w:bottom w:val="single" w:sz="4" w:space="0" w:color="auto"/>
            </w:tcBorders>
          </w:tcPr>
          <w:p w:rsidR="008F43C7" w:rsidRDefault="008F43C7"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.002</w:t>
            </w:r>
          </w:p>
        </w:tc>
        <w:tc>
          <w:tcPr>
            <w:tcW w:w="709"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.87</w:t>
            </w:r>
          </w:p>
        </w:tc>
        <w:tc>
          <w:tcPr>
            <w:tcW w:w="567"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709"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850"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2.45</w:t>
            </w:r>
          </w:p>
        </w:tc>
        <w:tc>
          <w:tcPr>
            <w:tcW w:w="870"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.016</w:t>
            </w:r>
          </w:p>
        </w:tc>
        <w:tc>
          <w:tcPr>
            <w:tcW w:w="690"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567"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.48</w:t>
            </w:r>
          </w:p>
        </w:tc>
        <w:tc>
          <w:tcPr>
            <w:tcW w:w="708"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851"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0.30</w:t>
            </w:r>
          </w:p>
        </w:tc>
        <w:tc>
          <w:tcPr>
            <w:tcW w:w="992" w:type="dxa"/>
            <w:tcBorders>
              <w:bottom w:val="single" w:sz="4" w:space="0" w:color="auto"/>
            </w:tcBorders>
          </w:tcPr>
          <w:p w:rsidR="008F43C7" w:rsidRDefault="00454A2C" w:rsidP="0044446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.763</w:t>
            </w:r>
          </w:p>
        </w:tc>
      </w:tr>
    </w:tbl>
    <w:p w:rsidR="008F43C7" w:rsidRPr="00593209" w:rsidRDefault="008F43C7" w:rsidP="008F43C7">
      <w:pPr>
        <w:autoSpaceDE w:val="0"/>
        <w:autoSpaceDN w:val="0"/>
        <w:adjustRightInd w:val="0"/>
        <w:spacing w:after="0" w:line="480" w:lineRule="auto"/>
        <w:rPr>
          <w:rFonts w:ascii="Times New Roman" w:hAnsi="Times New Roman" w:cs="Times New Roman"/>
          <w:sz w:val="24"/>
          <w:szCs w:val="24"/>
        </w:rPr>
      </w:pPr>
    </w:p>
    <w:p w:rsidR="00D32C90" w:rsidRPr="004B60FA" w:rsidRDefault="00D32C90" w:rsidP="008F43C7">
      <w:pPr>
        <w:spacing w:after="0" w:line="480" w:lineRule="auto"/>
        <w:rPr>
          <w:rFonts w:ascii="Times New Roman" w:hAnsi="Times New Roman" w:cs="Times New Roman"/>
          <w:sz w:val="24"/>
          <w:szCs w:val="24"/>
        </w:rPr>
      </w:pPr>
    </w:p>
    <w:sectPr w:rsidR="00D32C90" w:rsidRPr="004B60FA" w:rsidSect="0059320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8C" w:rsidRDefault="00CB368C" w:rsidP="003766BD">
      <w:pPr>
        <w:spacing w:after="0" w:line="240" w:lineRule="auto"/>
      </w:pPr>
      <w:r>
        <w:separator/>
      </w:r>
    </w:p>
  </w:endnote>
  <w:endnote w:type="continuationSeparator" w:id="0">
    <w:p w:rsidR="00CB368C" w:rsidRDefault="00CB368C" w:rsidP="0037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8C" w:rsidRDefault="00CB368C" w:rsidP="003766BD">
      <w:pPr>
        <w:spacing w:after="0" w:line="240" w:lineRule="auto"/>
      </w:pPr>
      <w:r>
        <w:separator/>
      </w:r>
    </w:p>
  </w:footnote>
  <w:footnote w:type="continuationSeparator" w:id="0">
    <w:p w:rsidR="00CB368C" w:rsidRDefault="00CB368C" w:rsidP="0037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68940"/>
      <w:docPartObj>
        <w:docPartGallery w:val="Page Numbers (Top of Page)"/>
        <w:docPartUnique/>
      </w:docPartObj>
    </w:sdtPr>
    <w:sdtEndPr>
      <w:rPr>
        <w:noProof/>
      </w:rPr>
    </w:sdtEndPr>
    <w:sdtContent>
      <w:p w:rsidR="003766BD" w:rsidRDefault="003766BD" w:rsidP="003766BD">
        <w:pPr>
          <w:pStyle w:val="Header"/>
        </w:pPr>
        <w:r w:rsidRPr="003766BD">
          <w:rPr>
            <w:rFonts w:ascii="Times New Roman" w:hAnsi="Times New Roman" w:cs="Times New Roman"/>
            <w:sz w:val="24"/>
            <w:szCs w:val="24"/>
          </w:rPr>
          <w:t>Eating Disorders in Sojourning Students</w:t>
        </w:r>
        <w:r>
          <w:tab/>
        </w:r>
        <w:r>
          <w:tab/>
        </w:r>
        <w:r w:rsidRPr="003766BD">
          <w:rPr>
            <w:rFonts w:ascii="Times New Roman" w:hAnsi="Times New Roman" w:cs="Times New Roman"/>
            <w:sz w:val="24"/>
            <w:szCs w:val="24"/>
          </w:rPr>
          <w:fldChar w:fldCharType="begin"/>
        </w:r>
        <w:r w:rsidRPr="003766BD">
          <w:rPr>
            <w:rFonts w:ascii="Times New Roman" w:hAnsi="Times New Roman" w:cs="Times New Roman"/>
            <w:sz w:val="24"/>
            <w:szCs w:val="24"/>
          </w:rPr>
          <w:instrText xml:space="preserve"> PAGE   \* MERGEFORMAT </w:instrText>
        </w:r>
        <w:r w:rsidRPr="003766BD">
          <w:rPr>
            <w:rFonts w:ascii="Times New Roman" w:hAnsi="Times New Roman" w:cs="Times New Roman"/>
            <w:sz w:val="24"/>
            <w:szCs w:val="24"/>
          </w:rPr>
          <w:fldChar w:fldCharType="separate"/>
        </w:r>
        <w:r w:rsidR="005C6F36">
          <w:rPr>
            <w:rFonts w:ascii="Times New Roman" w:hAnsi="Times New Roman" w:cs="Times New Roman"/>
            <w:noProof/>
            <w:sz w:val="24"/>
            <w:szCs w:val="24"/>
          </w:rPr>
          <w:t>17</w:t>
        </w:r>
        <w:r w:rsidRPr="003766BD">
          <w:rPr>
            <w:rFonts w:ascii="Times New Roman" w:hAnsi="Times New Roman" w:cs="Times New Roman"/>
            <w:noProof/>
            <w:sz w:val="24"/>
            <w:szCs w:val="24"/>
          </w:rPr>
          <w:fldChar w:fldCharType="end"/>
        </w:r>
      </w:p>
    </w:sdtContent>
  </w:sdt>
  <w:p w:rsidR="003766BD" w:rsidRDefault="00376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739"/>
    <w:multiLevelType w:val="multilevel"/>
    <w:tmpl w:val="EC0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6748C"/>
    <w:multiLevelType w:val="multilevel"/>
    <w:tmpl w:val="D8E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E657A"/>
    <w:multiLevelType w:val="hybridMultilevel"/>
    <w:tmpl w:val="4A9EED0E"/>
    <w:lvl w:ilvl="0" w:tplc="96163A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36266"/>
    <w:multiLevelType w:val="hybridMultilevel"/>
    <w:tmpl w:val="D8DC1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0E7671"/>
    <w:multiLevelType w:val="multilevel"/>
    <w:tmpl w:val="49C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B3BC2"/>
    <w:multiLevelType w:val="multilevel"/>
    <w:tmpl w:val="8DE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F4706"/>
    <w:multiLevelType w:val="multilevel"/>
    <w:tmpl w:val="D33A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C0"/>
    <w:rsid w:val="00023265"/>
    <w:rsid w:val="000272BE"/>
    <w:rsid w:val="000652BC"/>
    <w:rsid w:val="000D0B1E"/>
    <w:rsid w:val="000F1AC0"/>
    <w:rsid w:val="000F5056"/>
    <w:rsid w:val="00113015"/>
    <w:rsid w:val="00133E4D"/>
    <w:rsid w:val="001523BF"/>
    <w:rsid w:val="001B33EF"/>
    <w:rsid w:val="001D7C63"/>
    <w:rsid w:val="001F03D0"/>
    <w:rsid w:val="00262BED"/>
    <w:rsid w:val="00264B88"/>
    <w:rsid w:val="002C7E4F"/>
    <w:rsid w:val="0033388F"/>
    <w:rsid w:val="003411B6"/>
    <w:rsid w:val="003766BD"/>
    <w:rsid w:val="0039061F"/>
    <w:rsid w:val="003C40C6"/>
    <w:rsid w:val="003E34F0"/>
    <w:rsid w:val="004308D8"/>
    <w:rsid w:val="0043556B"/>
    <w:rsid w:val="00454A2C"/>
    <w:rsid w:val="004B60FA"/>
    <w:rsid w:val="004E4815"/>
    <w:rsid w:val="00510986"/>
    <w:rsid w:val="00515FD9"/>
    <w:rsid w:val="005612A7"/>
    <w:rsid w:val="00593FB8"/>
    <w:rsid w:val="005C6F36"/>
    <w:rsid w:val="005D291F"/>
    <w:rsid w:val="00633582"/>
    <w:rsid w:val="006740F5"/>
    <w:rsid w:val="006967F9"/>
    <w:rsid w:val="006A48E1"/>
    <w:rsid w:val="006A729B"/>
    <w:rsid w:val="006E2AAA"/>
    <w:rsid w:val="00736B05"/>
    <w:rsid w:val="007B57B4"/>
    <w:rsid w:val="00865327"/>
    <w:rsid w:val="008760C2"/>
    <w:rsid w:val="00883D01"/>
    <w:rsid w:val="008A1962"/>
    <w:rsid w:val="008A4E29"/>
    <w:rsid w:val="008F43C7"/>
    <w:rsid w:val="00911C6A"/>
    <w:rsid w:val="00916DDC"/>
    <w:rsid w:val="0094084A"/>
    <w:rsid w:val="00942212"/>
    <w:rsid w:val="009749DA"/>
    <w:rsid w:val="0097544D"/>
    <w:rsid w:val="009B322B"/>
    <w:rsid w:val="009D49E5"/>
    <w:rsid w:val="00A17A6D"/>
    <w:rsid w:val="00A3027F"/>
    <w:rsid w:val="00A619AB"/>
    <w:rsid w:val="00AB47BE"/>
    <w:rsid w:val="00AE2895"/>
    <w:rsid w:val="00B43F33"/>
    <w:rsid w:val="00B7040E"/>
    <w:rsid w:val="00B95383"/>
    <w:rsid w:val="00BD2726"/>
    <w:rsid w:val="00BE6BC4"/>
    <w:rsid w:val="00C10E60"/>
    <w:rsid w:val="00C40F12"/>
    <w:rsid w:val="00C71564"/>
    <w:rsid w:val="00CB09C9"/>
    <w:rsid w:val="00CB368C"/>
    <w:rsid w:val="00CB7589"/>
    <w:rsid w:val="00CC3483"/>
    <w:rsid w:val="00CC7F5B"/>
    <w:rsid w:val="00CF3451"/>
    <w:rsid w:val="00D32C90"/>
    <w:rsid w:val="00D43A6C"/>
    <w:rsid w:val="00D51994"/>
    <w:rsid w:val="00DC1EEE"/>
    <w:rsid w:val="00DC6C4D"/>
    <w:rsid w:val="00E04216"/>
    <w:rsid w:val="00E20E35"/>
    <w:rsid w:val="00E36177"/>
    <w:rsid w:val="00EA7CED"/>
    <w:rsid w:val="00EB7F2A"/>
    <w:rsid w:val="00EC52BB"/>
    <w:rsid w:val="00EE2D29"/>
    <w:rsid w:val="00F20488"/>
    <w:rsid w:val="00FC67DB"/>
    <w:rsid w:val="00FD5D71"/>
    <w:rsid w:val="00FE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130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D49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BD"/>
  </w:style>
  <w:style w:type="paragraph" w:styleId="Footer">
    <w:name w:val="footer"/>
    <w:basedOn w:val="Normal"/>
    <w:link w:val="FooterChar"/>
    <w:uiPriority w:val="99"/>
    <w:unhideWhenUsed/>
    <w:rsid w:val="0037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BD"/>
  </w:style>
  <w:style w:type="paragraph" w:customStyle="1" w:styleId="svarticle">
    <w:name w:val="svarticle"/>
    <w:basedOn w:val="Normal"/>
    <w:rsid w:val="00942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2212"/>
    <w:rPr>
      <w:color w:val="0000FF"/>
      <w:u w:val="single"/>
    </w:rPr>
  </w:style>
  <w:style w:type="character" w:customStyle="1" w:styleId="apple-converted-space">
    <w:name w:val="apple-converted-space"/>
    <w:basedOn w:val="DefaultParagraphFont"/>
    <w:rsid w:val="00023265"/>
  </w:style>
  <w:style w:type="character" w:customStyle="1" w:styleId="citationref">
    <w:name w:val="citationref"/>
    <w:basedOn w:val="DefaultParagraphFont"/>
    <w:rsid w:val="006740F5"/>
  </w:style>
  <w:style w:type="character" w:styleId="Emphasis">
    <w:name w:val="Emphasis"/>
    <w:basedOn w:val="DefaultParagraphFont"/>
    <w:uiPriority w:val="20"/>
    <w:qFormat/>
    <w:rsid w:val="006740F5"/>
    <w:rPr>
      <w:i/>
      <w:iCs/>
    </w:rPr>
  </w:style>
  <w:style w:type="character" w:customStyle="1" w:styleId="authorname">
    <w:name w:val="authorname"/>
    <w:basedOn w:val="DefaultParagraphFont"/>
    <w:rsid w:val="00F20488"/>
  </w:style>
  <w:style w:type="character" w:customStyle="1" w:styleId="authornamesdetails">
    <w:name w:val="authornames_details"/>
    <w:basedOn w:val="DefaultParagraphFont"/>
    <w:rsid w:val="00F20488"/>
  </w:style>
  <w:style w:type="character" w:customStyle="1" w:styleId="authorsnameaffiliation">
    <w:name w:val="authorsname_affiliation"/>
    <w:basedOn w:val="DefaultParagraphFont"/>
    <w:rsid w:val="00F20488"/>
  </w:style>
  <w:style w:type="character" w:styleId="Strong">
    <w:name w:val="Strong"/>
    <w:basedOn w:val="DefaultParagraphFont"/>
    <w:uiPriority w:val="22"/>
    <w:qFormat/>
    <w:rsid w:val="00F20488"/>
    <w:rPr>
      <w:b/>
      <w:bCs/>
    </w:rPr>
  </w:style>
  <w:style w:type="character" w:customStyle="1" w:styleId="contacticon">
    <w:name w:val="contacticon"/>
    <w:basedOn w:val="DefaultParagraphFont"/>
    <w:rsid w:val="00F20488"/>
  </w:style>
  <w:style w:type="table" w:styleId="TableGrid">
    <w:name w:val="Table Grid"/>
    <w:basedOn w:val="TableNormal"/>
    <w:uiPriority w:val="59"/>
    <w:rsid w:val="00E2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E4D"/>
    <w:pPr>
      <w:ind w:left="720"/>
      <w:contextualSpacing/>
    </w:pPr>
  </w:style>
  <w:style w:type="character" w:customStyle="1" w:styleId="Heading2Char">
    <w:name w:val="Heading 2 Char"/>
    <w:basedOn w:val="DefaultParagraphFont"/>
    <w:link w:val="Heading2"/>
    <w:uiPriority w:val="9"/>
    <w:rsid w:val="001130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3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556B"/>
    <w:rPr>
      <w:rFonts w:asciiTheme="majorHAnsi" w:eastAsiaTheme="majorEastAsia" w:hAnsiTheme="majorHAnsi" w:cstheme="majorBidi"/>
      <w:color w:val="2E74B5" w:themeColor="accent1" w:themeShade="BF"/>
      <w:sz w:val="32"/>
      <w:szCs w:val="32"/>
    </w:rPr>
  </w:style>
  <w:style w:type="paragraph" w:customStyle="1" w:styleId="volissue">
    <w:name w:val="volissue"/>
    <w:basedOn w:val="Normal"/>
    <w:rsid w:val="00435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4308D8"/>
  </w:style>
  <w:style w:type="character" w:customStyle="1" w:styleId="fm-vol-iss-date">
    <w:name w:val="fm-vol-iss-date"/>
    <w:basedOn w:val="DefaultParagraphFont"/>
    <w:rsid w:val="004308D8"/>
  </w:style>
  <w:style w:type="character" w:customStyle="1" w:styleId="doi">
    <w:name w:val="doi"/>
    <w:basedOn w:val="DefaultParagraphFont"/>
    <w:rsid w:val="004308D8"/>
  </w:style>
  <w:style w:type="character" w:customStyle="1" w:styleId="fm-citation-ids-label">
    <w:name w:val="fm-citation-ids-label"/>
    <w:basedOn w:val="DefaultParagraphFont"/>
    <w:rsid w:val="004308D8"/>
  </w:style>
  <w:style w:type="character" w:customStyle="1" w:styleId="Heading3Char">
    <w:name w:val="Heading 3 Char"/>
    <w:basedOn w:val="DefaultParagraphFont"/>
    <w:link w:val="Heading3"/>
    <w:uiPriority w:val="9"/>
    <w:semiHidden/>
    <w:rsid w:val="009D49E5"/>
    <w:rPr>
      <w:rFonts w:asciiTheme="majorHAnsi" w:eastAsiaTheme="majorEastAsia" w:hAnsiTheme="majorHAnsi" w:cstheme="majorBidi"/>
      <w:b/>
      <w:bCs/>
      <w:color w:val="5B9BD5" w:themeColor="accent1"/>
    </w:rPr>
  </w:style>
  <w:style w:type="character" w:customStyle="1" w:styleId="subj-group">
    <w:name w:val="subj-group"/>
    <w:basedOn w:val="DefaultParagraphFont"/>
    <w:rsid w:val="009D49E5"/>
  </w:style>
  <w:style w:type="paragraph" w:styleId="BalloonText">
    <w:name w:val="Balloon Text"/>
    <w:basedOn w:val="Normal"/>
    <w:link w:val="BalloonTextChar"/>
    <w:uiPriority w:val="99"/>
    <w:semiHidden/>
    <w:unhideWhenUsed/>
    <w:rsid w:val="009D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130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D49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BD"/>
  </w:style>
  <w:style w:type="paragraph" w:styleId="Footer">
    <w:name w:val="footer"/>
    <w:basedOn w:val="Normal"/>
    <w:link w:val="FooterChar"/>
    <w:uiPriority w:val="99"/>
    <w:unhideWhenUsed/>
    <w:rsid w:val="0037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BD"/>
  </w:style>
  <w:style w:type="paragraph" w:customStyle="1" w:styleId="svarticle">
    <w:name w:val="svarticle"/>
    <w:basedOn w:val="Normal"/>
    <w:rsid w:val="00942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2212"/>
    <w:rPr>
      <w:color w:val="0000FF"/>
      <w:u w:val="single"/>
    </w:rPr>
  </w:style>
  <w:style w:type="character" w:customStyle="1" w:styleId="apple-converted-space">
    <w:name w:val="apple-converted-space"/>
    <w:basedOn w:val="DefaultParagraphFont"/>
    <w:rsid w:val="00023265"/>
  </w:style>
  <w:style w:type="character" w:customStyle="1" w:styleId="citationref">
    <w:name w:val="citationref"/>
    <w:basedOn w:val="DefaultParagraphFont"/>
    <w:rsid w:val="006740F5"/>
  </w:style>
  <w:style w:type="character" w:styleId="Emphasis">
    <w:name w:val="Emphasis"/>
    <w:basedOn w:val="DefaultParagraphFont"/>
    <w:uiPriority w:val="20"/>
    <w:qFormat/>
    <w:rsid w:val="006740F5"/>
    <w:rPr>
      <w:i/>
      <w:iCs/>
    </w:rPr>
  </w:style>
  <w:style w:type="character" w:customStyle="1" w:styleId="authorname">
    <w:name w:val="authorname"/>
    <w:basedOn w:val="DefaultParagraphFont"/>
    <w:rsid w:val="00F20488"/>
  </w:style>
  <w:style w:type="character" w:customStyle="1" w:styleId="authornamesdetails">
    <w:name w:val="authornames_details"/>
    <w:basedOn w:val="DefaultParagraphFont"/>
    <w:rsid w:val="00F20488"/>
  </w:style>
  <w:style w:type="character" w:customStyle="1" w:styleId="authorsnameaffiliation">
    <w:name w:val="authorsname_affiliation"/>
    <w:basedOn w:val="DefaultParagraphFont"/>
    <w:rsid w:val="00F20488"/>
  </w:style>
  <w:style w:type="character" w:styleId="Strong">
    <w:name w:val="Strong"/>
    <w:basedOn w:val="DefaultParagraphFont"/>
    <w:uiPriority w:val="22"/>
    <w:qFormat/>
    <w:rsid w:val="00F20488"/>
    <w:rPr>
      <w:b/>
      <w:bCs/>
    </w:rPr>
  </w:style>
  <w:style w:type="character" w:customStyle="1" w:styleId="contacticon">
    <w:name w:val="contacticon"/>
    <w:basedOn w:val="DefaultParagraphFont"/>
    <w:rsid w:val="00F20488"/>
  </w:style>
  <w:style w:type="table" w:styleId="TableGrid">
    <w:name w:val="Table Grid"/>
    <w:basedOn w:val="TableNormal"/>
    <w:uiPriority w:val="59"/>
    <w:rsid w:val="00E2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E4D"/>
    <w:pPr>
      <w:ind w:left="720"/>
      <w:contextualSpacing/>
    </w:pPr>
  </w:style>
  <w:style w:type="character" w:customStyle="1" w:styleId="Heading2Char">
    <w:name w:val="Heading 2 Char"/>
    <w:basedOn w:val="DefaultParagraphFont"/>
    <w:link w:val="Heading2"/>
    <w:uiPriority w:val="9"/>
    <w:rsid w:val="001130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3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556B"/>
    <w:rPr>
      <w:rFonts w:asciiTheme="majorHAnsi" w:eastAsiaTheme="majorEastAsia" w:hAnsiTheme="majorHAnsi" w:cstheme="majorBidi"/>
      <w:color w:val="2E74B5" w:themeColor="accent1" w:themeShade="BF"/>
      <w:sz w:val="32"/>
      <w:szCs w:val="32"/>
    </w:rPr>
  </w:style>
  <w:style w:type="paragraph" w:customStyle="1" w:styleId="volissue">
    <w:name w:val="volissue"/>
    <w:basedOn w:val="Normal"/>
    <w:rsid w:val="00435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4308D8"/>
  </w:style>
  <w:style w:type="character" w:customStyle="1" w:styleId="fm-vol-iss-date">
    <w:name w:val="fm-vol-iss-date"/>
    <w:basedOn w:val="DefaultParagraphFont"/>
    <w:rsid w:val="004308D8"/>
  </w:style>
  <w:style w:type="character" w:customStyle="1" w:styleId="doi">
    <w:name w:val="doi"/>
    <w:basedOn w:val="DefaultParagraphFont"/>
    <w:rsid w:val="004308D8"/>
  </w:style>
  <w:style w:type="character" w:customStyle="1" w:styleId="fm-citation-ids-label">
    <w:name w:val="fm-citation-ids-label"/>
    <w:basedOn w:val="DefaultParagraphFont"/>
    <w:rsid w:val="004308D8"/>
  </w:style>
  <w:style w:type="character" w:customStyle="1" w:styleId="Heading3Char">
    <w:name w:val="Heading 3 Char"/>
    <w:basedOn w:val="DefaultParagraphFont"/>
    <w:link w:val="Heading3"/>
    <w:uiPriority w:val="9"/>
    <w:semiHidden/>
    <w:rsid w:val="009D49E5"/>
    <w:rPr>
      <w:rFonts w:asciiTheme="majorHAnsi" w:eastAsiaTheme="majorEastAsia" w:hAnsiTheme="majorHAnsi" w:cstheme="majorBidi"/>
      <w:b/>
      <w:bCs/>
      <w:color w:val="5B9BD5" w:themeColor="accent1"/>
    </w:rPr>
  </w:style>
  <w:style w:type="character" w:customStyle="1" w:styleId="subj-group">
    <w:name w:val="subj-group"/>
    <w:basedOn w:val="DefaultParagraphFont"/>
    <w:rsid w:val="009D49E5"/>
  </w:style>
  <w:style w:type="paragraph" w:styleId="BalloonText">
    <w:name w:val="Balloon Text"/>
    <w:basedOn w:val="Normal"/>
    <w:link w:val="BalloonTextChar"/>
    <w:uiPriority w:val="99"/>
    <w:semiHidden/>
    <w:unhideWhenUsed/>
    <w:rsid w:val="009D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815">
      <w:bodyDiv w:val="1"/>
      <w:marLeft w:val="0"/>
      <w:marRight w:val="0"/>
      <w:marTop w:val="0"/>
      <w:marBottom w:val="0"/>
      <w:divBdr>
        <w:top w:val="none" w:sz="0" w:space="0" w:color="auto"/>
        <w:left w:val="none" w:sz="0" w:space="0" w:color="auto"/>
        <w:bottom w:val="none" w:sz="0" w:space="0" w:color="auto"/>
        <w:right w:val="none" w:sz="0" w:space="0" w:color="auto"/>
      </w:divBdr>
      <w:divsChild>
        <w:div w:id="301812842">
          <w:marLeft w:val="0"/>
          <w:marRight w:val="0"/>
          <w:marTop w:val="0"/>
          <w:marBottom w:val="166"/>
          <w:divBdr>
            <w:top w:val="none" w:sz="0" w:space="0" w:color="auto"/>
            <w:left w:val="none" w:sz="0" w:space="0" w:color="auto"/>
            <w:bottom w:val="none" w:sz="0" w:space="0" w:color="auto"/>
            <w:right w:val="none" w:sz="0" w:space="0" w:color="auto"/>
          </w:divBdr>
          <w:divsChild>
            <w:div w:id="330646973">
              <w:marLeft w:val="0"/>
              <w:marRight w:val="0"/>
              <w:marTop w:val="0"/>
              <w:marBottom w:val="0"/>
              <w:divBdr>
                <w:top w:val="none" w:sz="0" w:space="0" w:color="auto"/>
                <w:left w:val="none" w:sz="0" w:space="0" w:color="auto"/>
                <w:bottom w:val="none" w:sz="0" w:space="0" w:color="auto"/>
                <w:right w:val="none" w:sz="0" w:space="0" w:color="auto"/>
              </w:divBdr>
              <w:divsChild>
                <w:div w:id="1738165884">
                  <w:marLeft w:val="0"/>
                  <w:marRight w:val="0"/>
                  <w:marTop w:val="0"/>
                  <w:marBottom w:val="0"/>
                  <w:divBdr>
                    <w:top w:val="none" w:sz="0" w:space="0" w:color="auto"/>
                    <w:left w:val="none" w:sz="0" w:space="0" w:color="auto"/>
                    <w:bottom w:val="none" w:sz="0" w:space="0" w:color="auto"/>
                    <w:right w:val="none" w:sz="0" w:space="0" w:color="auto"/>
                  </w:divBdr>
                  <w:divsChild>
                    <w:div w:id="691339590">
                      <w:marLeft w:val="0"/>
                      <w:marRight w:val="0"/>
                      <w:marTop w:val="0"/>
                      <w:marBottom w:val="0"/>
                      <w:divBdr>
                        <w:top w:val="none" w:sz="0" w:space="0" w:color="auto"/>
                        <w:left w:val="none" w:sz="0" w:space="0" w:color="auto"/>
                        <w:bottom w:val="none" w:sz="0" w:space="0" w:color="auto"/>
                        <w:right w:val="none" w:sz="0" w:space="0" w:color="auto"/>
                      </w:divBdr>
                      <w:divsChild>
                        <w:div w:id="1957255782">
                          <w:marLeft w:val="0"/>
                          <w:marRight w:val="0"/>
                          <w:marTop w:val="0"/>
                          <w:marBottom w:val="0"/>
                          <w:divBdr>
                            <w:top w:val="none" w:sz="0" w:space="0" w:color="auto"/>
                            <w:left w:val="none" w:sz="0" w:space="0" w:color="auto"/>
                            <w:bottom w:val="none" w:sz="0" w:space="0" w:color="auto"/>
                            <w:right w:val="none" w:sz="0" w:space="0" w:color="auto"/>
                          </w:divBdr>
                        </w:div>
                        <w:div w:id="649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414">
                  <w:marLeft w:val="0"/>
                  <w:marRight w:val="0"/>
                  <w:marTop w:val="0"/>
                  <w:marBottom w:val="0"/>
                  <w:divBdr>
                    <w:top w:val="none" w:sz="0" w:space="0" w:color="auto"/>
                    <w:left w:val="none" w:sz="0" w:space="0" w:color="auto"/>
                    <w:bottom w:val="none" w:sz="0" w:space="0" w:color="auto"/>
                    <w:right w:val="none" w:sz="0" w:space="0" w:color="auto"/>
                  </w:divBdr>
                  <w:divsChild>
                    <w:div w:id="319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977">
          <w:marLeft w:val="0"/>
          <w:marRight w:val="0"/>
          <w:marTop w:val="166"/>
          <w:marBottom w:val="166"/>
          <w:divBdr>
            <w:top w:val="none" w:sz="0" w:space="0" w:color="auto"/>
            <w:left w:val="none" w:sz="0" w:space="0" w:color="auto"/>
            <w:bottom w:val="none" w:sz="0" w:space="0" w:color="auto"/>
            <w:right w:val="none" w:sz="0" w:space="0" w:color="auto"/>
          </w:divBdr>
          <w:divsChild>
            <w:div w:id="5161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4849">
      <w:bodyDiv w:val="1"/>
      <w:marLeft w:val="0"/>
      <w:marRight w:val="0"/>
      <w:marTop w:val="0"/>
      <w:marBottom w:val="0"/>
      <w:divBdr>
        <w:top w:val="none" w:sz="0" w:space="0" w:color="auto"/>
        <w:left w:val="none" w:sz="0" w:space="0" w:color="auto"/>
        <w:bottom w:val="none" w:sz="0" w:space="0" w:color="auto"/>
        <w:right w:val="none" w:sz="0" w:space="0" w:color="auto"/>
      </w:divBdr>
    </w:div>
    <w:div w:id="804394818">
      <w:bodyDiv w:val="1"/>
      <w:marLeft w:val="0"/>
      <w:marRight w:val="0"/>
      <w:marTop w:val="0"/>
      <w:marBottom w:val="0"/>
      <w:divBdr>
        <w:top w:val="none" w:sz="0" w:space="0" w:color="auto"/>
        <w:left w:val="none" w:sz="0" w:space="0" w:color="auto"/>
        <w:bottom w:val="none" w:sz="0" w:space="0" w:color="auto"/>
        <w:right w:val="none" w:sz="0" w:space="0" w:color="auto"/>
      </w:divBdr>
    </w:div>
    <w:div w:id="814882890">
      <w:bodyDiv w:val="1"/>
      <w:marLeft w:val="0"/>
      <w:marRight w:val="0"/>
      <w:marTop w:val="0"/>
      <w:marBottom w:val="0"/>
      <w:divBdr>
        <w:top w:val="none" w:sz="0" w:space="0" w:color="auto"/>
        <w:left w:val="none" w:sz="0" w:space="0" w:color="auto"/>
        <w:bottom w:val="none" w:sz="0" w:space="0" w:color="auto"/>
        <w:right w:val="none" w:sz="0" w:space="0" w:color="auto"/>
      </w:divBdr>
    </w:div>
    <w:div w:id="1290436573">
      <w:bodyDiv w:val="1"/>
      <w:marLeft w:val="0"/>
      <w:marRight w:val="0"/>
      <w:marTop w:val="0"/>
      <w:marBottom w:val="0"/>
      <w:divBdr>
        <w:top w:val="none" w:sz="0" w:space="0" w:color="auto"/>
        <w:left w:val="none" w:sz="0" w:space="0" w:color="auto"/>
        <w:bottom w:val="none" w:sz="0" w:space="0" w:color="auto"/>
        <w:right w:val="none" w:sz="0" w:space="0" w:color="auto"/>
      </w:divBdr>
      <w:divsChild>
        <w:div w:id="1932927454">
          <w:marLeft w:val="0"/>
          <w:marRight w:val="0"/>
          <w:marTop w:val="0"/>
          <w:marBottom w:val="0"/>
          <w:divBdr>
            <w:top w:val="single" w:sz="36" w:space="0" w:color="ECEBE9"/>
            <w:left w:val="single" w:sz="48" w:space="0" w:color="ECEBE9"/>
            <w:bottom w:val="none" w:sz="0" w:space="0" w:color="auto"/>
            <w:right w:val="single" w:sz="48" w:space="0" w:color="ECEBE9"/>
          </w:divBdr>
          <w:divsChild>
            <w:div w:id="1922175731">
              <w:marLeft w:val="0"/>
              <w:marRight w:val="0"/>
              <w:marTop w:val="0"/>
              <w:marBottom w:val="0"/>
              <w:divBdr>
                <w:top w:val="none" w:sz="0" w:space="0" w:color="auto"/>
                <w:left w:val="none" w:sz="0" w:space="0" w:color="auto"/>
                <w:bottom w:val="none" w:sz="0" w:space="0" w:color="auto"/>
                <w:right w:val="none" w:sz="0" w:space="0" w:color="auto"/>
              </w:divBdr>
              <w:divsChild>
                <w:div w:id="858354545">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1298606418">
          <w:marLeft w:val="0"/>
          <w:marRight w:val="0"/>
          <w:marTop w:val="0"/>
          <w:marBottom w:val="0"/>
          <w:divBdr>
            <w:top w:val="single" w:sz="36" w:space="0" w:color="ECEBE9"/>
            <w:left w:val="single" w:sz="48" w:space="0" w:color="ECEBE9"/>
            <w:bottom w:val="none" w:sz="0" w:space="0" w:color="auto"/>
            <w:right w:val="single" w:sz="48" w:space="0" w:color="ECEBE9"/>
          </w:divBdr>
          <w:divsChild>
            <w:div w:id="1836649251">
              <w:marLeft w:val="120"/>
              <w:marRight w:val="120"/>
              <w:marTop w:val="30"/>
              <w:marBottom w:val="0"/>
              <w:divBdr>
                <w:top w:val="none" w:sz="0" w:space="0" w:color="auto"/>
                <w:left w:val="none" w:sz="0" w:space="0" w:color="auto"/>
                <w:bottom w:val="none" w:sz="0" w:space="0" w:color="auto"/>
                <w:right w:val="none" w:sz="0" w:space="0" w:color="auto"/>
              </w:divBdr>
              <w:divsChild>
                <w:div w:id="1245410592">
                  <w:marLeft w:val="0"/>
                  <w:marRight w:val="0"/>
                  <w:marTop w:val="0"/>
                  <w:marBottom w:val="0"/>
                  <w:divBdr>
                    <w:top w:val="none" w:sz="0" w:space="0" w:color="auto"/>
                    <w:left w:val="none" w:sz="0" w:space="0" w:color="auto"/>
                    <w:bottom w:val="none" w:sz="0" w:space="0" w:color="auto"/>
                    <w:right w:val="none" w:sz="0" w:space="0" w:color="auto"/>
                  </w:divBdr>
                </w:div>
                <w:div w:id="1996840449">
                  <w:marLeft w:val="138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29355021">
      <w:bodyDiv w:val="1"/>
      <w:marLeft w:val="0"/>
      <w:marRight w:val="0"/>
      <w:marTop w:val="0"/>
      <w:marBottom w:val="0"/>
      <w:divBdr>
        <w:top w:val="none" w:sz="0" w:space="0" w:color="auto"/>
        <w:left w:val="none" w:sz="0" w:space="0" w:color="auto"/>
        <w:bottom w:val="none" w:sz="0" w:space="0" w:color="auto"/>
        <w:right w:val="none" w:sz="0" w:space="0" w:color="auto"/>
      </w:divBdr>
    </w:div>
    <w:div w:id="1678845250">
      <w:bodyDiv w:val="1"/>
      <w:marLeft w:val="0"/>
      <w:marRight w:val="0"/>
      <w:marTop w:val="0"/>
      <w:marBottom w:val="0"/>
      <w:divBdr>
        <w:top w:val="none" w:sz="0" w:space="0" w:color="auto"/>
        <w:left w:val="none" w:sz="0" w:space="0" w:color="auto"/>
        <w:bottom w:val="none" w:sz="0" w:space="0" w:color="auto"/>
        <w:right w:val="none" w:sz="0" w:space="0" w:color="auto"/>
      </w:divBdr>
      <w:divsChild>
        <w:div w:id="1226716894">
          <w:marLeft w:val="0"/>
          <w:marRight w:val="0"/>
          <w:marTop w:val="225"/>
          <w:marBottom w:val="180"/>
          <w:divBdr>
            <w:top w:val="single" w:sz="6" w:space="0" w:color="D7D7D7"/>
            <w:left w:val="none" w:sz="0" w:space="0" w:color="auto"/>
            <w:bottom w:val="single" w:sz="6" w:space="0" w:color="D7D7D7"/>
            <w:right w:val="none" w:sz="0" w:space="0" w:color="auto"/>
          </w:divBdr>
          <w:divsChild>
            <w:div w:id="911624221">
              <w:marLeft w:val="0"/>
              <w:marRight w:val="0"/>
              <w:marTop w:val="0"/>
              <w:marBottom w:val="0"/>
              <w:divBdr>
                <w:top w:val="none" w:sz="0" w:space="0" w:color="auto"/>
                <w:left w:val="none" w:sz="0" w:space="0" w:color="auto"/>
                <w:bottom w:val="none" w:sz="0" w:space="0" w:color="auto"/>
                <w:right w:val="none" w:sz="0" w:space="0" w:color="auto"/>
              </w:divBdr>
            </w:div>
            <w:div w:id="783578886">
              <w:marLeft w:val="0"/>
              <w:marRight w:val="0"/>
              <w:marTop w:val="0"/>
              <w:marBottom w:val="0"/>
              <w:divBdr>
                <w:top w:val="none" w:sz="0" w:space="0" w:color="auto"/>
                <w:left w:val="none" w:sz="0" w:space="0" w:color="auto"/>
                <w:bottom w:val="none" w:sz="0" w:space="0" w:color="auto"/>
                <w:right w:val="none" w:sz="0" w:space="0" w:color="auto"/>
              </w:divBdr>
            </w:div>
          </w:divsChild>
        </w:div>
        <w:div w:id="1600210584">
          <w:marLeft w:val="0"/>
          <w:marRight w:val="0"/>
          <w:marTop w:val="0"/>
          <w:marBottom w:val="0"/>
          <w:divBdr>
            <w:top w:val="none" w:sz="0" w:space="0" w:color="auto"/>
            <w:left w:val="none" w:sz="0" w:space="0" w:color="auto"/>
            <w:bottom w:val="none" w:sz="0" w:space="0" w:color="auto"/>
            <w:right w:val="none" w:sz="0" w:space="0" w:color="auto"/>
          </w:divBdr>
        </w:div>
      </w:divsChild>
    </w:div>
    <w:div w:id="1861625365">
      <w:bodyDiv w:val="1"/>
      <w:marLeft w:val="0"/>
      <w:marRight w:val="0"/>
      <w:marTop w:val="0"/>
      <w:marBottom w:val="0"/>
      <w:divBdr>
        <w:top w:val="none" w:sz="0" w:space="0" w:color="auto"/>
        <w:left w:val="none" w:sz="0" w:space="0" w:color="auto"/>
        <w:bottom w:val="none" w:sz="0" w:space="0" w:color="auto"/>
        <w:right w:val="none" w:sz="0" w:space="0" w:color="auto"/>
      </w:divBdr>
    </w:div>
    <w:div w:id="1894929535">
      <w:bodyDiv w:val="1"/>
      <w:marLeft w:val="0"/>
      <w:marRight w:val="0"/>
      <w:marTop w:val="0"/>
      <w:marBottom w:val="0"/>
      <w:divBdr>
        <w:top w:val="none" w:sz="0" w:space="0" w:color="auto"/>
        <w:left w:val="none" w:sz="0" w:space="0" w:color="auto"/>
        <w:bottom w:val="none" w:sz="0" w:space="0" w:color="auto"/>
        <w:right w:val="none" w:sz="0" w:space="0" w:color="auto"/>
      </w:divBdr>
      <w:divsChild>
        <w:div w:id="1798453198">
          <w:marLeft w:val="-150"/>
          <w:marRight w:val="0"/>
          <w:marTop w:val="0"/>
          <w:marBottom w:val="225"/>
          <w:divBdr>
            <w:top w:val="dashed" w:sz="6" w:space="4" w:color="666666"/>
            <w:left w:val="none" w:sz="0" w:space="0" w:color="auto"/>
            <w:bottom w:val="dashed" w:sz="6" w:space="8" w:color="666666"/>
            <w:right w:val="none" w:sz="0" w:space="0" w:color="auto"/>
          </w:divBdr>
          <w:divsChild>
            <w:div w:id="33695477">
              <w:marLeft w:val="0"/>
              <w:marRight w:val="0"/>
              <w:marTop w:val="0"/>
              <w:marBottom w:val="0"/>
              <w:divBdr>
                <w:top w:val="none" w:sz="0" w:space="0" w:color="auto"/>
                <w:left w:val="none" w:sz="0" w:space="0" w:color="auto"/>
                <w:bottom w:val="none" w:sz="0" w:space="0" w:color="auto"/>
                <w:right w:val="none" w:sz="0" w:space="0" w:color="auto"/>
              </w:divBdr>
            </w:div>
            <w:div w:id="364403137">
              <w:marLeft w:val="0"/>
              <w:marRight w:val="0"/>
              <w:marTop w:val="0"/>
              <w:marBottom w:val="0"/>
              <w:divBdr>
                <w:top w:val="none" w:sz="0" w:space="0" w:color="auto"/>
                <w:left w:val="none" w:sz="0" w:space="0" w:color="auto"/>
                <w:bottom w:val="none" w:sz="0" w:space="0" w:color="auto"/>
                <w:right w:val="none" w:sz="0" w:space="0" w:color="auto"/>
              </w:divBdr>
            </w:div>
            <w:div w:id="1673486737">
              <w:marLeft w:val="0"/>
              <w:marRight w:val="0"/>
              <w:marTop w:val="0"/>
              <w:marBottom w:val="0"/>
              <w:divBdr>
                <w:top w:val="none" w:sz="0" w:space="0" w:color="auto"/>
                <w:left w:val="none" w:sz="0" w:space="0" w:color="auto"/>
                <w:bottom w:val="none" w:sz="0" w:space="0" w:color="auto"/>
                <w:right w:val="none" w:sz="0" w:space="0" w:color="auto"/>
              </w:divBdr>
            </w:div>
            <w:div w:id="4207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E849-B27E-4027-A0E0-4B4BDE3A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19</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Viran</dc:creator>
  <cp:keywords/>
  <dc:description/>
  <cp:lastModifiedBy>Haulah Zacharia</cp:lastModifiedBy>
  <cp:revision>16</cp:revision>
  <dcterms:created xsi:type="dcterms:W3CDTF">2015-10-19T12:01:00Z</dcterms:created>
  <dcterms:modified xsi:type="dcterms:W3CDTF">2015-11-16T15:17:00Z</dcterms:modified>
</cp:coreProperties>
</file>