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70431" w14:textId="21C80B1F" w:rsidR="00570D3D" w:rsidRPr="00E265AC" w:rsidRDefault="00825D7E" w:rsidP="004F21AC">
      <w:pPr>
        <w:spacing w:line="480" w:lineRule="auto"/>
        <w:rPr>
          <w:sz w:val="28"/>
          <w:szCs w:val="28"/>
        </w:rPr>
      </w:pPr>
      <w:r w:rsidRPr="00E265AC">
        <w:rPr>
          <w:b/>
          <w:sz w:val="28"/>
          <w:szCs w:val="28"/>
        </w:rPr>
        <w:t xml:space="preserve">Internet-based cognitive </w:t>
      </w:r>
      <w:r w:rsidR="00353CD0" w:rsidRPr="00E265AC">
        <w:rPr>
          <w:b/>
          <w:sz w:val="28"/>
          <w:szCs w:val="28"/>
        </w:rPr>
        <w:t>behavioral</w:t>
      </w:r>
      <w:r w:rsidRPr="00E265AC">
        <w:rPr>
          <w:b/>
          <w:sz w:val="28"/>
          <w:szCs w:val="28"/>
        </w:rPr>
        <w:t xml:space="preserve"> therapy</w:t>
      </w:r>
      <w:r w:rsidR="00501DE3" w:rsidRPr="00E265AC">
        <w:rPr>
          <w:b/>
          <w:sz w:val="28"/>
          <w:szCs w:val="28"/>
        </w:rPr>
        <w:t xml:space="preserve"> positively</w:t>
      </w:r>
      <w:r w:rsidRPr="00E265AC">
        <w:rPr>
          <w:b/>
          <w:sz w:val="28"/>
          <w:szCs w:val="28"/>
        </w:rPr>
        <w:t xml:space="preserve"> </w:t>
      </w:r>
      <w:r w:rsidR="00147F4C" w:rsidRPr="00E265AC">
        <w:rPr>
          <w:b/>
          <w:sz w:val="28"/>
          <w:szCs w:val="28"/>
        </w:rPr>
        <w:t>influences the social representation</w:t>
      </w:r>
      <w:r w:rsidR="00AD5537" w:rsidRPr="00E265AC">
        <w:rPr>
          <w:b/>
          <w:sz w:val="28"/>
          <w:szCs w:val="28"/>
        </w:rPr>
        <w:t>s</w:t>
      </w:r>
      <w:r w:rsidR="00147F4C" w:rsidRPr="00E265AC">
        <w:rPr>
          <w:b/>
          <w:sz w:val="28"/>
          <w:szCs w:val="28"/>
        </w:rPr>
        <w:t xml:space="preserve"> of tinnitus</w:t>
      </w:r>
    </w:p>
    <w:p w14:paraId="03B894DC" w14:textId="77777777" w:rsidR="00570D3D" w:rsidRPr="00E265AC" w:rsidRDefault="00570D3D" w:rsidP="004F21AC">
      <w:pPr>
        <w:spacing w:line="480" w:lineRule="auto"/>
        <w:rPr>
          <w:b/>
        </w:rPr>
      </w:pPr>
    </w:p>
    <w:p w14:paraId="5B337338" w14:textId="4FCD00E5" w:rsidR="00570D3D" w:rsidRPr="00E265AC" w:rsidRDefault="00570D3D" w:rsidP="004F21AC">
      <w:pPr>
        <w:spacing w:line="480" w:lineRule="auto"/>
      </w:pPr>
      <w:r w:rsidRPr="00E265AC">
        <w:rPr>
          <w:b/>
        </w:rPr>
        <w:t>Vinaya Manchaiah</w:t>
      </w:r>
      <w:r w:rsidRPr="00E265AC">
        <w:rPr>
          <w:b/>
          <w:vertAlign w:val="superscript"/>
        </w:rPr>
        <w:t>1,2,3,4</w:t>
      </w:r>
      <w:r w:rsidR="0076782D" w:rsidRPr="00E265AC">
        <w:rPr>
          <w:b/>
          <w:vertAlign w:val="superscript"/>
        </w:rPr>
        <w:t>,5</w:t>
      </w:r>
      <w:r w:rsidRPr="00E265AC">
        <w:rPr>
          <w:b/>
        </w:rPr>
        <w:t xml:space="preserve"> Srikanth Chundu,</w:t>
      </w:r>
      <w:r w:rsidR="0076782D" w:rsidRPr="00E265AC">
        <w:rPr>
          <w:b/>
          <w:vertAlign w:val="superscript"/>
        </w:rPr>
        <w:t>6</w:t>
      </w:r>
      <w:r w:rsidRPr="00E265AC">
        <w:rPr>
          <w:b/>
        </w:rPr>
        <w:t xml:space="preserve"> Pierre Ratinaud,</w:t>
      </w:r>
      <w:r w:rsidR="0076782D" w:rsidRPr="00E265AC">
        <w:rPr>
          <w:b/>
          <w:vertAlign w:val="superscript"/>
        </w:rPr>
        <w:t>7</w:t>
      </w:r>
      <w:r w:rsidRPr="00E265AC">
        <w:rPr>
          <w:b/>
        </w:rPr>
        <w:t xml:space="preserve"> Gerhard Andersson,</w:t>
      </w:r>
      <w:r w:rsidRPr="00E265AC">
        <w:rPr>
          <w:b/>
          <w:vertAlign w:val="superscript"/>
        </w:rPr>
        <w:t>8,9</w:t>
      </w:r>
      <w:r w:rsidRPr="00E265AC">
        <w:rPr>
          <w:b/>
        </w:rPr>
        <w:t xml:space="preserve"> &amp; Eldre W. Beukes</w:t>
      </w:r>
      <w:r w:rsidR="0076782D" w:rsidRPr="00E265AC">
        <w:rPr>
          <w:b/>
          <w:vertAlign w:val="superscript"/>
        </w:rPr>
        <w:t>3</w:t>
      </w:r>
      <w:r w:rsidRPr="00E265AC">
        <w:rPr>
          <w:b/>
          <w:vertAlign w:val="superscript"/>
        </w:rPr>
        <w:t>,</w:t>
      </w:r>
      <w:r w:rsidR="0076782D" w:rsidRPr="00E265AC">
        <w:rPr>
          <w:b/>
          <w:vertAlign w:val="superscript"/>
        </w:rPr>
        <w:t>6</w:t>
      </w:r>
    </w:p>
    <w:p w14:paraId="5FD80721" w14:textId="77777777" w:rsidR="00570D3D" w:rsidRPr="00E265AC" w:rsidRDefault="00570D3D" w:rsidP="004F21AC">
      <w:pPr>
        <w:spacing w:line="480" w:lineRule="auto"/>
        <w:rPr>
          <w:b/>
        </w:rPr>
      </w:pPr>
    </w:p>
    <w:p w14:paraId="7040739E" w14:textId="77777777" w:rsidR="0076782D" w:rsidRPr="00E265AC" w:rsidRDefault="0076782D" w:rsidP="004F21AC">
      <w:pPr>
        <w:numPr>
          <w:ilvl w:val="0"/>
          <w:numId w:val="4"/>
        </w:numPr>
        <w:spacing w:line="480" w:lineRule="auto"/>
      </w:pPr>
      <w:r w:rsidRPr="00E265AC">
        <w:rPr>
          <w:color w:val="000000" w:themeColor="text1"/>
        </w:rPr>
        <w:t>Department of Otolaryngology–Head and Neck Surgery, University of Colorado School of Medicine, Aurora, Colorado, USA</w:t>
      </w:r>
    </w:p>
    <w:p w14:paraId="73A060F7" w14:textId="77777777" w:rsidR="0076782D" w:rsidRPr="00E265AC" w:rsidRDefault="0076782D" w:rsidP="004F21AC">
      <w:pPr>
        <w:numPr>
          <w:ilvl w:val="0"/>
          <w:numId w:val="4"/>
        </w:numPr>
        <w:spacing w:line="480" w:lineRule="auto"/>
      </w:pPr>
      <w:r w:rsidRPr="00E265AC">
        <w:rPr>
          <w:color w:val="000000" w:themeColor="text1"/>
        </w:rPr>
        <w:t>UCHealth Hearing and Balance, University of Colorado Hospital, Aurora, Colorado, USA</w:t>
      </w:r>
    </w:p>
    <w:p w14:paraId="0FD9E447" w14:textId="77777777" w:rsidR="0076782D" w:rsidRPr="00E265AC" w:rsidRDefault="0076782D" w:rsidP="004F21AC">
      <w:pPr>
        <w:numPr>
          <w:ilvl w:val="0"/>
          <w:numId w:val="4"/>
        </w:numPr>
        <w:spacing w:line="480" w:lineRule="auto"/>
      </w:pPr>
      <w:r w:rsidRPr="00E265AC">
        <w:rPr>
          <w:color w:val="000000" w:themeColor="text1"/>
        </w:rPr>
        <w:t>Virtual Hearing Lab, Collaborative Initiative between University of Colorado School of Medicine and University of Pretoria, Aurora, Colorado, USA</w:t>
      </w:r>
    </w:p>
    <w:p w14:paraId="6AB4EB93" w14:textId="77777777" w:rsidR="0076782D" w:rsidRPr="00E265AC" w:rsidRDefault="0076782D" w:rsidP="004F21AC">
      <w:pPr>
        <w:numPr>
          <w:ilvl w:val="0"/>
          <w:numId w:val="4"/>
        </w:numPr>
        <w:spacing w:line="480" w:lineRule="auto"/>
      </w:pPr>
      <w:r w:rsidRPr="00E265AC">
        <w:t>Department of Speech-Language Pathology and Audiology, University of Pretoria, Gauteng, South Africa</w:t>
      </w:r>
    </w:p>
    <w:p w14:paraId="39BE4C61" w14:textId="77777777" w:rsidR="0076782D" w:rsidRPr="00E265AC" w:rsidRDefault="0076782D" w:rsidP="004F21AC">
      <w:pPr>
        <w:numPr>
          <w:ilvl w:val="0"/>
          <w:numId w:val="4"/>
        </w:numPr>
        <w:spacing w:line="480" w:lineRule="auto"/>
      </w:pPr>
      <w:r w:rsidRPr="00E265AC">
        <w:t>Department of Speech and Hearing, School of Allied Health Sciences, Manipal, Karnataka, India</w:t>
      </w:r>
    </w:p>
    <w:p w14:paraId="1B7F3289" w14:textId="77777777" w:rsidR="00570D3D" w:rsidRPr="00E265AC" w:rsidRDefault="00570D3D" w:rsidP="004F21AC">
      <w:pPr>
        <w:numPr>
          <w:ilvl w:val="0"/>
          <w:numId w:val="4"/>
        </w:numPr>
        <w:suppressAutoHyphens/>
        <w:spacing w:line="480" w:lineRule="auto"/>
      </w:pPr>
      <w:r w:rsidRPr="00E265AC">
        <w:t>Vision and Hearing Sciences Research Group, School of Psychology and Sport Science, Anglia Ruskin University, Cambridge, United Kingdom</w:t>
      </w:r>
    </w:p>
    <w:p w14:paraId="79C27AF9" w14:textId="77777777" w:rsidR="00570D3D" w:rsidRPr="00E265AC" w:rsidRDefault="00570D3D" w:rsidP="004F21AC">
      <w:pPr>
        <w:numPr>
          <w:ilvl w:val="0"/>
          <w:numId w:val="4"/>
        </w:numPr>
        <w:suppressAutoHyphens/>
        <w:spacing w:line="480" w:lineRule="auto"/>
        <w:rPr>
          <w:lang w:val="fr-FR"/>
        </w:rPr>
      </w:pPr>
      <w:r w:rsidRPr="00E265AC">
        <w:rPr>
          <w:lang w:val="fr-FR"/>
        </w:rPr>
        <w:t>Laboratoire d'Études et de Recherches Appliquées en Sciences Sociales (LERASS), University of Toulouse, Toulouse, France</w:t>
      </w:r>
    </w:p>
    <w:p w14:paraId="34F48E0E" w14:textId="77777777" w:rsidR="00570D3D" w:rsidRPr="00E265AC" w:rsidRDefault="00570D3D" w:rsidP="004F21AC">
      <w:pPr>
        <w:numPr>
          <w:ilvl w:val="0"/>
          <w:numId w:val="4"/>
        </w:numPr>
        <w:suppressAutoHyphens/>
        <w:spacing w:line="480" w:lineRule="auto"/>
      </w:pPr>
      <w:r w:rsidRPr="00E265AC">
        <w:t>Department of Behavioral Sciences and Learning, Linköping University, Linköping, Sweden</w:t>
      </w:r>
    </w:p>
    <w:p w14:paraId="397248A2" w14:textId="77777777" w:rsidR="00570D3D" w:rsidRPr="00E265AC" w:rsidRDefault="00570D3D" w:rsidP="004F21AC">
      <w:pPr>
        <w:numPr>
          <w:ilvl w:val="0"/>
          <w:numId w:val="4"/>
        </w:numPr>
        <w:suppressAutoHyphens/>
        <w:spacing w:line="480" w:lineRule="auto"/>
      </w:pPr>
      <w:r w:rsidRPr="00E265AC">
        <w:rPr>
          <w:lang w:eastAsia="en-GB"/>
        </w:rPr>
        <w:t>Department of Clinical Neuroscience, Division of Psychiatry, Karolinska Institute, Stockholm, Sweden</w:t>
      </w:r>
    </w:p>
    <w:p w14:paraId="70594923" w14:textId="77777777" w:rsidR="00570D3D" w:rsidRPr="00E265AC" w:rsidRDefault="00570D3D" w:rsidP="004F21AC">
      <w:pPr>
        <w:spacing w:line="480" w:lineRule="auto"/>
        <w:rPr>
          <w:b/>
        </w:rPr>
      </w:pPr>
    </w:p>
    <w:p w14:paraId="2C57BF33" w14:textId="77A5A1B3" w:rsidR="00570D3D" w:rsidRPr="00E265AC" w:rsidRDefault="00570D3D" w:rsidP="004F21AC">
      <w:pPr>
        <w:spacing w:line="480" w:lineRule="auto"/>
        <w:outlineLvl w:val="0"/>
      </w:pPr>
      <w:r w:rsidRPr="00E265AC">
        <w:rPr>
          <w:b/>
        </w:rPr>
        <w:lastRenderedPageBreak/>
        <w:t>Corresponding author:</w:t>
      </w:r>
      <w:r w:rsidRPr="00E265AC">
        <w:t xml:space="preserve">  </w:t>
      </w:r>
      <w:r w:rsidRPr="00E265AC">
        <w:tab/>
        <w:t>Dr. Vinaya Manchaiah</w:t>
      </w:r>
    </w:p>
    <w:p w14:paraId="3D4EC831" w14:textId="15694654" w:rsidR="00570D3D" w:rsidRPr="00E265AC" w:rsidRDefault="00570D3D" w:rsidP="004F21AC">
      <w:pPr>
        <w:spacing w:line="480" w:lineRule="auto"/>
      </w:pPr>
      <w:r w:rsidRPr="00E265AC">
        <w:rPr>
          <w:b/>
        </w:rPr>
        <w:t>Communication address:</w:t>
      </w:r>
      <w:r w:rsidRPr="00E265AC">
        <w:t xml:space="preserve"> </w:t>
      </w:r>
      <w:r w:rsidRPr="00E265AC">
        <w:tab/>
      </w:r>
      <w:r w:rsidR="0076782D" w:rsidRPr="00E265AC">
        <w:rPr>
          <w:color w:val="333333"/>
          <w:shd w:val="clear" w:color="auto" w:fill="FCFCFC"/>
        </w:rPr>
        <w:t>Department of Otolaryngology – Head &amp; Neck Surgery</w:t>
      </w:r>
      <w:r w:rsidR="0076782D" w:rsidRPr="00E265AC">
        <w:t>,</w:t>
      </w:r>
      <w:r w:rsidRPr="00E265AC">
        <w:t xml:space="preserve"> </w:t>
      </w:r>
    </w:p>
    <w:p w14:paraId="6500D15F" w14:textId="77777777" w:rsidR="0076782D" w:rsidRPr="00E265AC" w:rsidRDefault="00570D3D" w:rsidP="004F21AC">
      <w:pPr>
        <w:spacing w:line="480" w:lineRule="auto"/>
        <w:ind w:left="2160" w:firstLine="720"/>
      </w:pPr>
      <w:r w:rsidRPr="00E265AC">
        <w:t>University</w:t>
      </w:r>
      <w:r w:rsidR="0076782D" w:rsidRPr="00E265AC">
        <w:t xml:space="preserve"> of Colorado School of Medicine</w:t>
      </w:r>
      <w:r w:rsidRPr="00E265AC">
        <w:t xml:space="preserve">, </w:t>
      </w:r>
    </w:p>
    <w:p w14:paraId="1262D047" w14:textId="34098DC8" w:rsidR="00570D3D" w:rsidRPr="00E265AC" w:rsidRDefault="0076782D" w:rsidP="004F21AC">
      <w:pPr>
        <w:spacing w:line="480" w:lineRule="auto"/>
        <w:ind w:left="2160" w:firstLine="720"/>
        <w:rPr>
          <w:lang w:val="it-IT"/>
        </w:rPr>
      </w:pPr>
      <w:r w:rsidRPr="00E265AC">
        <w:rPr>
          <w:lang w:val="it-IT"/>
        </w:rPr>
        <w:t>Aurora, Colorado 80045,</w:t>
      </w:r>
      <w:r w:rsidR="00570D3D" w:rsidRPr="00E265AC">
        <w:rPr>
          <w:lang w:val="it-IT"/>
        </w:rPr>
        <w:t xml:space="preserve"> USA</w:t>
      </w:r>
    </w:p>
    <w:p w14:paraId="73DCEA6A" w14:textId="43AC7F21" w:rsidR="00570D3D" w:rsidRPr="00E265AC" w:rsidRDefault="00570D3D" w:rsidP="004F21AC">
      <w:pPr>
        <w:spacing w:line="480" w:lineRule="auto"/>
        <w:rPr>
          <w:color w:val="0000FF"/>
          <w:u w:val="single"/>
          <w:lang w:val="it-IT"/>
        </w:rPr>
      </w:pPr>
      <w:r w:rsidRPr="00E265AC">
        <w:rPr>
          <w:b/>
          <w:lang w:val="it-IT"/>
        </w:rPr>
        <w:t>Email:</w:t>
      </w:r>
      <w:r w:rsidRPr="00E265AC">
        <w:rPr>
          <w:lang w:val="it-IT"/>
        </w:rPr>
        <w:t xml:space="preserve"> </w:t>
      </w:r>
      <w:r w:rsidRPr="00E265AC">
        <w:rPr>
          <w:lang w:val="it-IT"/>
        </w:rPr>
        <w:tab/>
      </w:r>
      <w:r w:rsidRPr="00E265AC">
        <w:rPr>
          <w:lang w:val="it-IT"/>
        </w:rPr>
        <w:tab/>
      </w:r>
      <w:r w:rsidRPr="00E265AC">
        <w:rPr>
          <w:lang w:val="it-IT"/>
        </w:rPr>
        <w:tab/>
      </w:r>
      <w:hyperlink r:id="rId8" w:history="1">
        <w:r w:rsidR="0076782D" w:rsidRPr="00E265AC">
          <w:rPr>
            <w:rStyle w:val="Hyperlink"/>
            <w:lang w:val="it-IT"/>
          </w:rPr>
          <w:t>vinaya.manchaiah@cuanschutz.edu</w:t>
        </w:r>
      </w:hyperlink>
      <w:r w:rsidRPr="00E265AC">
        <w:rPr>
          <w:lang w:val="it-IT"/>
        </w:rPr>
        <w:t xml:space="preserve"> </w:t>
      </w:r>
    </w:p>
    <w:p w14:paraId="7D19CE4E" w14:textId="09E7663A" w:rsidR="00570D3D" w:rsidRPr="00E265AC" w:rsidRDefault="00570D3D" w:rsidP="004F21AC">
      <w:pPr>
        <w:spacing w:line="480" w:lineRule="auto"/>
        <w:rPr>
          <w:b/>
        </w:rPr>
      </w:pPr>
      <w:r w:rsidRPr="00E265AC">
        <w:rPr>
          <w:b/>
        </w:rPr>
        <w:t xml:space="preserve">Tel: </w:t>
      </w:r>
      <w:r w:rsidRPr="00E265AC">
        <w:rPr>
          <w:b/>
        </w:rPr>
        <w:tab/>
      </w:r>
      <w:r w:rsidRPr="00E265AC">
        <w:tab/>
      </w:r>
      <w:r w:rsidRPr="00E265AC">
        <w:tab/>
      </w:r>
      <w:r w:rsidRPr="00E265AC">
        <w:tab/>
        <w:t>+1 (</w:t>
      </w:r>
      <w:r w:rsidR="0076782D" w:rsidRPr="00E265AC">
        <w:t>303</w:t>
      </w:r>
      <w:r w:rsidRPr="00E265AC">
        <w:t xml:space="preserve">) </w:t>
      </w:r>
      <w:r w:rsidR="0076782D" w:rsidRPr="00E265AC">
        <w:t>724</w:t>
      </w:r>
      <w:r w:rsidRPr="00E265AC">
        <w:t xml:space="preserve"> </w:t>
      </w:r>
      <w:r w:rsidR="0076782D" w:rsidRPr="00E265AC">
        <w:t>9316</w:t>
      </w:r>
    </w:p>
    <w:p w14:paraId="620C7275" w14:textId="0040549E" w:rsidR="00570D3D" w:rsidRPr="00E265AC" w:rsidRDefault="00570D3D" w:rsidP="004F21AC">
      <w:pPr>
        <w:spacing w:line="480" w:lineRule="auto"/>
        <w:rPr>
          <w:rFonts w:eastAsia="EB Garamond"/>
        </w:rPr>
      </w:pPr>
      <w:r w:rsidRPr="00E265AC">
        <w:rPr>
          <w:b/>
        </w:rPr>
        <w:t xml:space="preserve">Fax: </w:t>
      </w:r>
      <w:r w:rsidRPr="00E265AC">
        <w:rPr>
          <w:b/>
        </w:rPr>
        <w:tab/>
      </w:r>
      <w:r w:rsidRPr="00E265AC">
        <w:rPr>
          <w:b/>
        </w:rPr>
        <w:tab/>
      </w:r>
      <w:r w:rsidRPr="00E265AC">
        <w:rPr>
          <w:b/>
        </w:rPr>
        <w:tab/>
      </w:r>
      <w:r w:rsidRPr="00E265AC">
        <w:rPr>
          <w:b/>
        </w:rPr>
        <w:tab/>
      </w:r>
      <w:r w:rsidRPr="00E265AC">
        <w:t xml:space="preserve">+1 </w:t>
      </w:r>
      <w:r w:rsidR="0076782D" w:rsidRPr="00E265AC">
        <w:t>(303) 724 1961</w:t>
      </w:r>
    </w:p>
    <w:p w14:paraId="128FD08B" w14:textId="77777777" w:rsidR="00570D3D" w:rsidRPr="00E265AC" w:rsidRDefault="00570D3D" w:rsidP="004F21AC">
      <w:pPr>
        <w:spacing w:line="480" w:lineRule="auto"/>
        <w:rPr>
          <w:b/>
          <w:bCs/>
        </w:rPr>
      </w:pPr>
    </w:p>
    <w:p w14:paraId="39CDDBFD" w14:textId="77777777" w:rsidR="00D91194" w:rsidRPr="00E265AC" w:rsidRDefault="00D91194" w:rsidP="004F21AC">
      <w:pPr>
        <w:spacing w:line="480" w:lineRule="auto"/>
        <w:rPr>
          <w:bCs/>
        </w:rPr>
      </w:pPr>
    </w:p>
    <w:p w14:paraId="7575AE46" w14:textId="75F6E8E8" w:rsidR="00570D3D" w:rsidRPr="00E265AC" w:rsidRDefault="004F21AC" w:rsidP="004F21AC">
      <w:pPr>
        <w:spacing w:line="480" w:lineRule="auto"/>
        <w:rPr>
          <w:b/>
          <w:sz w:val="28"/>
          <w:szCs w:val="28"/>
        </w:rPr>
      </w:pPr>
      <w:r w:rsidRPr="00E265AC">
        <w:rPr>
          <w:b/>
          <w:sz w:val="28"/>
          <w:szCs w:val="28"/>
        </w:rPr>
        <w:br w:type="column"/>
      </w:r>
      <w:r w:rsidR="00570D3D" w:rsidRPr="00E265AC">
        <w:rPr>
          <w:b/>
          <w:sz w:val="28"/>
          <w:szCs w:val="28"/>
        </w:rPr>
        <w:lastRenderedPageBreak/>
        <w:t>Abstract</w:t>
      </w:r>
    </w:p>
    <w:p w14:paraId="2E15AA69" w14:textId="0CA4C648" w:rsidR="001E219B" w:rsidRPr="00E265AC" w:rsidRDefault="002D4C25" w:rsidP="004F21AC">
      <w:pPr>
        <w:spacing w:line="480" w:lineRule="auto"/>
        <w:rPr>
          <w:b/>
        </w:rPr>
      </w:pPr>
      <w:r w:rsidRPr="00E265AC">
        <w:rPr>
          <w:b/>
        </w:rPr>
        <w:t>Introduction</w:t>
      </w:r>
      <w:r w:rsidR="001E219B" w:rsidRPr="00E265AC">
        <w:rPr>
          <w:b/>
        </w:rPr>
        <w:t xml:space="preserve">: </w:t>
      </w:r>
      <w:r w:rsidR="001E219B" w:rsidRPr="00E265AC">
        <w:rPr>
          <w:bCs/>
        </w:rPr>
        <w:t>The aim of the current study was to examine changes in social representations of tinnitus as a result of Internet-based cognitive behavioral therapy (ICBT).</w:t>
      </w:r>
    </w:p>
    <w:p w14:paraId="62291E59" w14:textId="380FDFB0" w:rsidR="001E219B" w:rsidRPr="00E265AC" w:rsidRDefault="002D4C25" w:rsidP="004F21AC">
      <w:pPr>
        <w:spacing w:line="480" w:lineRule="auto"/>
        <w:rPr>
          <w:bCs/>
        </w:rPr>
      </w:pPr>
      <w:r w:rsidRPr="00E265AC">
        <w:rPr>
          <w:b/>
        </w:rPr>
        <w:t>Methods</w:t>
      </w:r>
      <w:r w:rsidR="001E219B" w:rsidRPr="00E265AC">
        <w:rPr>
          <w:b/>
        </w:rPr>
        <w:t>:</w:t>
      </w:r>
      <w:r w:rsidR="001E219B" w:rsidRPr="00E265AC">
        <w:rPr>
          <w:bCs/>
        </w:rPr>
        <w:t xml:space="preserve"> The study used a pre-post design. A total of 106 individuals with tinnitus</w:t>
      </w:r>
      <w:r w:rsidR="00794B6C" w:rsidRPr="00E265AC">
        <w:rPr>
          <w:bCs/>
        </w:rPr>
        <w:t xml:space="preserve"> (mean age 57.5 years)</w:t>
      </w:r>
      <w:r w:rsidR="001E219B" w:rsidRPr="00E265AC">
        <w:rPr>
          <w:bCs/>
        </w:rPr>
        <w:t xml:space="preserve"> completed a series of questionnaires before and after undertaking ICBT. A free association task was used to collect data. The data were analyzed using qualitative content analysis and also series of quantitative analyses using the </w:t>
      </w:r>
      <w:proofErr w:type="spellStart"/>
      <w:r w:rsidR="001E219B" w:rsidRPr="00E265AC">
        <w:rPr>
          <w:bCs/>
        </w:rPr>
        <w:t>IraMuTeQ</w:t>
      </w:r>
      <w:proofErr w:type="spellEnd"/>
      <w:r w:rsidR="001E219B" w:rsidRPr="00E265AC">
        <w:rPr>
          <w:bCs/>
        </w:rPr>
        <w:t xml:space="preserve"> software. </w:t>
      </w:r>
    </w:p>
    <w:p w14:paraId="5E7E1ED3" w14:textId="2989D998" w:rsidR="001E219B" w:rsidRPr="00E265AC" w:rsidRDefault="001E219B" w:rsidP="004F21AC">
      <w:pPr>
        <w:spacing w:line="480" w:lineRule="auto"/>
        <w:rPr>
          <w:bCs/>
        </w:rPr>
      </w:pPr>
      <w:r w:rsidRPr="00E265AC">
        <w:rPr>
          <w:b/>
        </w:rPr>
        <w:t>Results:</w:t>
      </w:r>
      <w:r w:rsidRPr="00E265AC">
        <w:rPr>
          <w:bCs/>
        </w:rPr>
        <w:t xml:space="preserve"> The most common categories reported by individuals with tinnitus before and after ICBT intervention varied. Examination of valance showed that the negative associations decreased from 81% to 56% and the positive and neutral connotations were increased after the intervention. Examination of the frequency of responses and similarities analysis did not reveal major changes following the intervention. However, the prototypical analysis, which considers both frequency of categories as well as their ranking, showed that more positive and less negative categories appeared in the central zone and in the first periphery following the ICBT intervention. </w:t>
      </w:r>
    </w:p>
    <w:p w14:paraId="76146AC4" w14:textId="5767B86E" w:rsidR="00570D3D" w:rsidRPr="00E265AC" w:rsidRDefault="002D4C25" w:rsidP="004F21AC">
      <w:pPr>
        <w:spacing w:line="480" w:lineRule="auto"/>
        <w:rPr>
          <w:bCs/>
        </w:rPr>
      </w:pPr>
      <w:r w:rsidRPr="00E265AC">
        <w:rPr>
          <w:b/>
        </w:rPr>
        <w:t>Discussion</w:t>
      </w:r>
      <w:r w:rsidR="001E219B" w:rsidRPr="00E265AC">
        <w:rPr>
          <w:b/>
        </w:rPr>
        <w:t>:</w:t>
      </w:r>
      <w:r w:rsidR="001E219B" w:rsidRPr="00E265AC">
        <w:rPr>
          <w:bCs/>
        </w:rPr>
        <w:t xml:space="preserve"> The study suggests that ICBT reduces the negativity associated with tinnitus and increases positivity. The results are consistent with what is seen in patient-reported outcome measures in clinical trials.</w:t>
      </w:r>
    </w:p>
    <w:p w14:paraId="7A4B6ED2" w14:textId="77777777" w:rsidR="001E219B" w:rsidRPr="00E265AC" w:rsidRDefault="001E219B" w:rsidP="004F21AC">
      <w:pPr>
        <w:spacing w:line="480" w:lineRule="auto"/>
        <w:rPr>
          <w:b/>
        </w:rPr>
      </w:pPr>
    </w:p>
    <w:p w14:paraId="7057586A" w14:textId="2EED8DF4" w:rsidR="00570D3D" w:rsidRPr="00E265AC" w:rsidRDefault="00570D3D" w:rsidP="004F21AC">
      <w:pPr>
        <w:spacing w:line="480" w:lineRule="auto"/>
        <w:rPr>
          <w:b/>
          <w:sz w:val="28"/>
          <w:szCs w:val="28"/>
        </w:rPr>
      </w:pPr>
      <w:r w:rsidRPr="00E265AC">
        <w:rPr>
          <w:b/>
          <w:sz w:val="28"/>
          <w:szCs w:val="28"/>
        </w:rPr>
        <w:t>Key Words</w:t>
      </w:r>
    </w:p>
    <w:p w14:paraId="61E7D8E9" w14:textId="6EE4094F" w:rsidR="00570D3D" w:rsidRPr="00E265AC" w:rsidRDefault="00570D3D" w:rsidP="004F21AC">
      <w:pPr>
        <w:spacing w:line="480" w:lineRule="auto"/>
        <w:rPr>
          <w:bCs/>
        </w:rPr>
      </w:pPr>
      <w:r w:rsidRPr="00E265AC">
        <w:rPr>
          <w:bCs/>
        </w:rPr>
        <w:t xml:space="preserve">Tinnitus, Social representations, </w:t>
      </w:r>
      <w:r w:rsidR="006F4298" w:rsidRPr="00E265AC">
        <w:rPr>
          <w:bCs/>
        </w:rPr>
        <w:t>Attitude, Free association, Intervention outcome</w:t>
      </w:r>
    </w:p>
    <w:p w14:paraId="5C024059" w14:textId="77777777" w:rsidR="00570D3D" w:rsidRPr="00E265AC" w:rsidRDefault="00570D3D" w:rsidP="004F21AC">
      <w:pPr>
        <w:spacing w:line="480" w:lineRule="auto"/>
        <w:rPr>
          <w:b/>
        </w:rPr>
      </w:pPr>
    </w:p>
    <w:p w14:paraId="2817B8DF" w14:textId="4BF1071B" w:rsidR="00570D3D" w:rsidRPr="00E265AC" w:rsidRDefault="004F21AC" w:rsidP="002D4C25">
      <w:pPr>
        <w:pStyle w:val="ListParagraph"/>
        <w:numPr>
          <w:ilvl w:val="0"/>
          <w:numId w:val="9"/>
        </w:numPr>
        <w:spacing w:line="480" w:lineRule="auto"/>
        <w:rPr>
          <w:b/>
          <w:sz w:val="28"/>
          <w:szCs w:val="28"/>
        </w:rPr>
      </w:pPr>
      <w:r w:rsidRPr="00E265AC">
        <w:rPr>
          <w:b/>
          <w:sz w:val="28"/>
          <w:szCs w:val="28"/>
        </w:rPr>
        <w:br w:type="column"/>
      </w:r>
      <w:r w:rsidR="00570D3D" w:rsidRPr="00E265AC">
        <w:rPr>
          <w:b/>
          <w:sz w:val="28"/>
          <w:szCs w:val="28"/>
        </w:rPr>
        <w:lastRenderedPageBreak/>
        <w:t>Introduction</w:t>
      </w:r>
    </w:p>
    <w:p w14:paraId="7C65C104" w14:textId="4611002C" w:rsidR="00570D3D" w:rsidRPr="00E265AC" w:rsidRDefault="00570D3D" w:rsidP="004F21AC">
      <w:pPr>
        <w:spacing w:line="480" w:lineRule="auto"/>
        <w:rPr>
          <w:bCs/>
        </w:rPr>
      </w:pPr>
      <w:r w:rsidRPr="00E265AC">
        <w:rPr>
          <w:bCs/>
        </w:rPr>
        <w:t>Tinnitus</w:t>
      </w:r>
      <w:r w:rsidR="008537E7" w:rsidRPr="00E265AC">
        <w:rPr>
          <w:bCs/>
        </w:rPr>
        <w:t xml:space="preserve"> is </w:t>
      </w:r>
      <w:r w:rsidR="003B0E2A" w:rsidRPr="00E265AC">
        <w:rPr>
          <w:bCs/>
        </w:rPr>
        <w:t>a</w:t>
      </w:r>
      <w:r w:rsidR="008537E7" w:rsidRPr="00E265AC">
        <w:rPr>
          <w:bCs/>
        </w:rPr>
        <w:t xml:space="preserve"> frequently occurring condition in adults with prevalence of 10-15% in </w:t>
      </w:r>
      <w:r w:rsidR="003B0E2A" w:rsidRPr="00E265AC">
        <w:rPr>
          <w:bCs/>
        </w:rPr>
        <w:t xml:space="preserve">the </w:t>
      </w:r>
      <w:r w:rsidR="008537E7" w:rsidRPr="00E265AC">
        <w:rPr>
          <w:bCs/>
        </w:rPr>
        <w:t>general population</w:t>
      </w:r>
      <w:r w:rsidR="005E6538" w:rsidRPr="00E265AC">
        <w:rPr>
          <w:bCs/>
        </w:rPr>
        <w:t xml:space="preserve"> (</w:t>
      </w:r>
      <w:r w:rsidR="00AC1780" w:rsidRPr="00E265AC">
        <w:rPr>
          <w:bCs/>
        </w:rPr>
        <w:t>e.g.</w:t>
      </w:r>
      <w:r w:rsidR="00353CD0" w:rsidRPr="00E265AC">
        <w:rPr>
          <w:bCs/>
        </w:rPr>
        <w:t>,</w:t>
      </w:r>
      <w:r w:rsidR="00AC1780" w:rsidRPr="00E265AC">
        <w:rPr>
          <w:bCs/>
        </w:rPr>
        <w:t xml:space="preserve"> M</w:t>
      </w:r>
      <w:r w:rsidR="00B4479D" w:rsidRPr="00E265AC">
        <w:rPr>
          <w:bCs/>
        </w:rPr>
        <w:t>cC</w:t>
      </w:r>
      <w:r w:rsidR="00AC1780" w:rsidRPr="00E265AC">
        <w:rPr>
          <w:bCs/>
        </w:rPr>
        <w:t>orm</w:t>
      </w:r>
      <w:r w:rsidR="00B4479D" w:rsidRPr="00E265AC">
        <w:rPr>
          <w:bCs/>
        </w:rPr>
        <w:t>a</w:t>
      </w:r>
      <w:r w:rsidR="00AC1780" w:rsidRPr="00E265AC">
        <w:rPr>
          <w:bCs/>
        </w:rPr>
        <w:t xml:space="preserve">ck et al, 2016; </w:t>
      </w:r>
      <w:proofErr w:type="spellStart"/>
      <w:r w:rsidR="005E6538" w:rsidRPr="00E265AC">
        <w:rPr>
          <w:color w:val="212121"/>
          <w:shd w:val="clear" w:color="auto" w:fill="FFFFFF"/>
        </w:rPr>
        <w:t>Shargorodsky</w:t>
      </w:r>
      <w:proofErr w:type="spellEnd"/>
      <w:r w:rsidR="005E6538" w:rsidRPr="00E265AC">
        <w:rPr>
          <w:color w:val="212121"/>
          <w:shd w:val="clear" w:color="auto" w:fill="FFFFFF"/>
        </w:rPr>
        <w:t>, et al., 2010)</w:t>
      </w:r>
      <w:r w:rsidR="008537E7" w:rsidRPr="00E265AC">
        <w:rPr>
          <w:bCs/>
        </w:rPr>
        <w:t xml:space="preserve">. </w:t>
      </w:r>
      <w:r w:rsidR="00B4479D" w:rsidRPr="00E265AC">
        <w:rPr>
          <w:bCs/>
        </w:rPr>
        <w:t>T</w:t>
      </w:r>
      <w:r w:rsidR="008537E7" w:rsidRPr="00E265AC">
        <w:rPr>
          <w:bCs/>
        </w:rPr>
        <w:t xml:space="preserve">here is </w:t>
      </w:r>
      <w:r w:rsidR="00B4479D" w:rsidRPr="00E265AC">
        <w:rPr>
          <w:bCs/>
        </w:rPr>
        <w:t xml:space="preserve">however </w:t>
      </w:r>
      <w:r w:rsidR="008537E7" w:rsidRPr="00E265AC">
        <w:rPr>
          <w:bCs/>
        </w:rPr>
        <w:t xml:space="preserve">no known cure for tinnitus. While there </w:t>
      </w:r>
      <w:r w:rsidR="0032005B" w:rsidRPr="00E265AC">
        <w:rPr>
          <w:bCs/>
        </w:rPr>
        <w:t>is a large variety of interventions available (</w:t>
      </w:r>
      <w:r w:rsidR="0032005B" w:rsidRPr="00E265AC">
        <w:rPr>
          <w:color w:val="212121"/>
          <w:shd w:val="clear" w:color="auto" w:fill="FFFFFF"/>
        </w:rPr>
        <w:t xml:space="preserve">Langguth, 2015), Cognitive Behavioral Therapy (CBT) has the most </w:t>
      </w:r>
      <w:r w:rsidR="00E44EB1" w:rsidRPr="00E265AC">
        <w:rPr>
          <w:color w:val="212121"/>
          <w:shd w:val="clear" w:color="auto" w:fill="FFFFFF"/>
        </w:rPr>
        <w:t xml:space="preserve">consistent </w:t>
      </w:r>
      <w:r w:rsidR="0032005B" w:rsidRPr="00E265AC">
        <w:rPr>
          <w:color w:val="212121"/>
          <w:shd w:val="clear" w:color="auto" w:fill="FFFFFF"/>
        </w:rPr>
        <w:t xml:space="preserve">research evidence for the management of tinnitus (for review see – Fuller et al., 2020). </w:t>
      </w:r>
      <w:r w:rsidR="00AF2B2A" w:rsidRPr="00E265AC">
        <w:rPr>
          <w:color w:val="212121"/>
          <w:shd w:val="clear" w:color="auto" w:fill="FFFFFF"/>
        </w:rPr>
        <w:t xml:space="preserve">Due to lack of trained professionals to deliver the CBT, </w:t>
      </w:r>
      <w:r w:rsidR="00E44EB1" w:rsidRPr="00E265AC">
        <w:rPr>
          <w:color w:val="212121"/>
          <w:shd w:val="clear" w:color="auto" w:fill="FFFFFF"/>
        </w:rPr>
        <w:t>it</w:t>
      </w:r>
      <w:r w:rsidR="00AF2B2A" w:rsidRPr="00E265AC">
        <w:rPr>
          <w:color w:val="212121"/>
          <w:shd w:val="clear" w:color="auto" w:fill="FFFFFF"/>
        </w:rPr>
        <w:t xml:space="preserve"> was converted to a</w:t>
      </w:r>
      <w:r w:rsidR="00E44EB1" w:rsidRPr="00E265AC">
        <w:rPr>
          <w:color w:val="212121"/>
          <w:shd w:val="clear" w:color="auto" w:fill="FFFFFF"/>
        </w:rPr>
        <w:t>n</w:t>
      </w:r>
      <w:r w:rsidR="00AF2B2A" w:rsidRPr="00E265AC">
        <w:rPr>
          <w:color w:val="212121"/>
          <w:shd w:val="clear" w:color="auto" w:fill="FFFFFF"/>
        </w:rPr>
        <w:t xml:space="preserve"> </w:t>
      </w:r>
      <w:r w:rsidR="00E44EB1" w:rsidRPr="00E265AC">
        <w:rPr>
          <w:color w:val="212121"/>
          <w:shd w:val="clear" w:color="auto" w:fill="FFFFFF"/>
        </w:rPr>
        <w:t>internet</w:t>
      </w:r>
      <w:r w:rsidR="00AF2B2A" w:rsidRPr="00E265AC">
        <w:rPr>
          <w:color w:val="212121"/>
          <w:shd w:val="clear" w:color="auto" w:fill="FFFFFF"/>
        </w:rPr>
        <w:t xml:space="preserve">-based self-help format </w:t>
      </w:r>
      <w:r w:rsidR="00B4479D" w:rsidRPr="00E265AC">
        <w:rPr>
          <w:color w:val="212121"/>
          <w:shd w:val="clear" w:color="auto" w:fill="FFFFFF"/>
        </w:rPr>
        <w:t>requiring minimal input</w:t>
      </w:r>
      <w:r w:rsidR="00353CD0" w:rsidRPr="00E265AC">
        <w:rPr>
          <w:color w:val="212121"/>
          <w:shd w:val="clear" w:color="auto" w:fill="FFFFFF"/>
        </w:rPr>
        <w:t xml:space="preserve"> </w:t>
      </w:r>
      <w:r w:rsidR="00AF2B2A" w:rsidRPr="00E265AC">
        <w:rPr>
          <w:color w:val="212121"/>
          <w:shd w:val="clear" w:color="auto" w:fill="FFFFFF"/>
        </w:rPr>
        <w:t>from trained professionals (</w:t>
      </w:r>
      <w:r w:rsidR="004E1925" w:rsidRPr="00E265AC">
        <w:rPr>
          <w:color w:val="212121"/>
          <w:shd w:val="clear" w:color="auto" w:fill="FFFFFF"/>
        </w:rPr>
        <w:t>Andersson et al., 2002</w:t>
      </w:r>
      <w:r w:rsidR="00AF2B2A" w:rsidRPr="00E265AC">
        <w:rPr>
          <w:color w:val="212121"/>
          <w:shd w:val="clear" w:color="auto" w:fill="FFFFFF"/>
        </w:rPr>
        <w:t>).</w:t>
      </w:r>
      <w:r w:rsidR="004E1925" w:rsidRPr="00E265AC">
        <w:rPr>
          <w:color w:val="212121"/>
          <w:shd w:val="clear" w:color="auto" w:fill="FFFFFF"/>
        </w:rPr>
        <w:t xml:space="preserve"> Since </w:t>
      </w:r>
      <w:r w:rsidR="00E44EB1" w:rsidRPr="00E265AC">
        <w:rPr>
          <w:color w:val="212121"/>
          <w:shd w:val="clear" w:color="auto" w:fill="FFFFFF"/>
        </w:rPr>
        <w:t xml:space="preserve">the </w:t>
      </w:r>
      <w:r w:rsidR="004E1925" w:rsidRPr="00E265AC">
        <w:rPr>
          <w:color w:val="212121"/>
          <w:shd w:val="clear" w:color="auto" w:fill="FFFFFF"/>
        </w:rPr>
        <w:t>first study in Sweden, several controlled studies have been performed across the globe and the efficacy and effectiveness of ICBT for tinnitus management has been established (for review see – Beukes et al., 2019).</w:t>
      </w:r>
    </w:p>
    <w:p w14:paraId="3CC9ACD1" w14:textId="479DD5E0" w:rsidR="00570D3D" w:rsidRPr="00E265AC" w:rsidRDefault="00570D3D" w:rsidP="004F21AC">
      <w:pPr>
        <w:spacing w:line="480" w:lineRule="auto"/>
        <w:rPr>
          <w:bCs/>
        </w:rPr>
      </w:pPr>
    </w:p>
    <w:p w14:paraId="59A1AABE" w14:textId="4AD8E145" w:rsidR="004E1925" w:rsidRPr="00E265AC" w:rsidRDefault="004E1925" w:rsidP="004F21AC">
      <w:pPr>
        <w:spacing w:line="480" w:lineRule="auto"/>
      </w:pPr>
      <w:r w:rsidRPr="00E265AC">
        <w:rPr>
          <w:bCs/>
        </w:rPr>
        <w:t xml:space="preserve">The outcome of interventions in clinical trials are generally measures using standardized patient-reported outcome measures (PROMs). </w:t>
      </w:r>
      <w:r w:rsidR="00FD7035" w:rsidRPr="00E265AC">
        <w:rPr>
          <w:bCs/>
        </w:rPr>
        <w:t xml:space="preserve">For example, measures of tinnitus distress such as Tinnitus Functional Index (TFI; Meikle et al., 2012) or the Tinnitus Handicap Inventory (THI; </w:t>
      </w:r>
      <w:r w:rsidR="00FD7035" w:rsidRPr="00E265AC">
        <w:rPr>
          <w:color w:val="212121"/>
          <w:shd w:val="clear" w:color="auto" w:fill="FFFFFF"/>
        </w:rPr>
        <w:t xml:space="preserve">Newman et al., 1996) are </w:t>
      </w:r>
      <w:r w:rsidR="00AD21D8" w:rsidRPr="00E265AC">
        <w:rPr>
          <w:color w:val="212121"/>
          <w:shd w:val="clear" w:color="auto" w:fill="FFFFFF"/>
        </w:rPr>
        <w:t xml:space="preserve">often </w:t>
      </w:r>
      <w:r w:rsidR="00FD7035" w:rsidRPr="00E265AC">
        <w:rPr>
          <w:color w:val="212121"/>
          <w:shd w:val="clear" w:color="auto" w:fill="FFFFFF"/>
        </w:rPr>
        <w:t xml:space="preserve">used as the </w:t>
      </w:r>
      <w:r w:rsidR="00B4479D" w:rsidRPr="00E265AC">
        <w:rPr>
          <w:color w:val="212121"/>
          <w:shd w:val="clear" w:color="auto" w:fill="FFFFFF"/>
        </w:rPr>
        <w:t xml:space="preserve">primary </w:t>
      </w:r>
      <w:r w:rsidR="00FD7035" w:rsidRPr="00E265AC">
        <w:rPr>
          <w:color w:val="212121"/>
          <w:shd w:val="clear" w:color="auto" w:fill="FFFFFF"/>
        </w:rPr>
        <w:t xml:space="preserve">outcome measures. </w:t>
      </w:r>
      <w:r w:rsidR="00FD7035" w:rsidRPr="00E265AC">
        <w:t xml:space="preserve">The key benefit of using the PROMs is that they are standardized so that the results between the individuals as well as between time-points can be easily compared. However, one of the key limitations of this approach is that not all items in the structured and standardized measures </w:t>
      </w:r>
      <w:r w:rsidR="00AD21D8" w:rsidRPr="00E265AC">
        <w:t>are</w:t>
      </w:r>
      <w:r w:rsidR="00FD7035" w:rsidRPr="00E265AC">
        <w:t xml:space="preserve"> applicable to all individuals. </w:t>
      </w:r>
      <w:r w:rsidR="00AD0095" w:rsidRPr="00E265AC">
        <w:t>S</w:t>
      </w:r>
      <w:r w:rsidR="00FD7035" w:rsidRPr="00E265AC">
        <w:t xml:space="preserve">ome individuals may not have </w:t>
      </w:r>
      <w:r w:rsidR="00AD21D8" w:rsidRPr="00E265AC">
        <w:t>the problems</w:t>
      </w:r>
      <w:r w:rsidR="001408A0" w:rsidRPr="00E265AC">
        <w:t xml:space="preserve"> addressed in some questions </w:t>
      </w:r>
      <w:r w:rsidR="00AD21D8" w:rsidRPr="00E265AC">
        <w:t xml:space="preserve">but are still </w:t>
      </w:r>
      <w:r w:rsidR="001408A0" w:rsidRPr="00E265AC">
        <w:t xml:space="preserve">forced to answer these questions. </w:t>
      </w:r>
      <w:r w:rsidR="00AD0095" w:rsidRPr="00E265AC">
        <w:t xml:space="preserve">Moreover, what individual patients think are most important when it comes to their treatment outcomes </w:t>
      </w:r>
      <w:r w:rsidR="00AD21D8" w:rsidRPr="00E265AC">
        <w:t xml:space="preserve">vary </w:t>
      </w:r>
      <w:r w:rsidR="00AD0095" w:rsidRPr="00E265AC">
        <w:t xml:space="preserve">(Rademaker et al., 2021). </w:t>
      </w:r>
      <w:r w:rsidR="00B4479D" w:rsidRPr="00E265AC">
        <w:t>Another</w:t>
      </w:r>
      <w:r w:rsidR="00353CD0" w:rsidRPr="00E265AC">
        <w:t xml:space="preserve"> </w:t>
      </w:r>
      <w:r w:rsidR="00FD7035" w:rsidRPr="00E265AC">
        <w:t>way of measuring outcome</w:t>
      </w:r>
      <w:r w:rsidR="00AD21D8" w:rsidRPr="00E265AC">
        <w:t>s</w:t>
      </w:r>
      <w:r w:rsidR="00FD7035" w:rsidRPr="00E265AC">
        <w:t xml:space="preserve"> of </w:t>
      </w:r>
      <w:r w:rsidR="00AD21D8" w:rsidRPr="00E265AC">
        <w:t xml:space="preserve">an </w:t>
      </w:r>
      <w:r w:rsidR="00FD7035" w:rsidRPr="00E265AC">
        <w:t xml:space="preserve">intervention is </w:t>
      </w:r>
      <w:r w:rsidR="00AD21D8" w:rsidRPr="00E265AC">
        <w:t xml:space="preserve">to </w:t>
      </w:r>
      <w:r w:rsidR="00FD7035" w:rsidRPr="00E265AC">
        <w:t>u</w:t>
      </w:r>
      <w:r w:rsidR="001408A0" w:rsidRPr="00E265AC">
        <w:t>s</w:t>
      </w:r>
      <w:r w:rsidR="00AD21D8" w:rsidRPr="00E265AC">
        <w:t>e</w:t>
      </w:r>
      <w:r w:rsidR="001408A0" w:rsidRPr="00E265AC">
        <w:t xml:space="preserve"> open-ended questions which may elicit more relevant responses. However, the main challenge in this approach is to analyze the open text data and compare them. In the past such data </w:t>
      </w:r>
      <w:r w:rsidR="00AD21D8" w:rsidRPr="00E265AC">
        <w:t xml:space="preserve">were </w:t>
      </w:r>
      <w:r w:rsidR="001408A0" w:rsidRPr="00E265AC">
        <w:t xml:space="preserve">generally analyzed </w:t>
      </w:r>
      <w:r w:rsidR="001408A0" w:rsidRPr="00E265AC">
        <w:lastRenderedPageBreak/>
        <w:t xml:space="preserve">using qualitative analysis techniques such as content analysis or thematic analysis. In </w:t>
      </w:r>
      <w:r w:rsidR="00AD21D8" w:rsidRPr="00E265AC">
        <w:t xml:space="preserve">a </w:t>
      </w:r>
      <w:r w:rsidR="001408A0" w:rsidRPr="00E265AC">
        <w:t xml:space="preserve">recent study, we used an automated linguistic analysis approach to analyze the response to open-ended questions and compared that with the PROMs (Manchaiah et al., 2021). The study results suggested </w:t>
      </w:r>
      <w:r w:rsidR="00AD21D8" w:rsidRPr="00E265AC">
        <w:t xml:space="preserve">that </w:t>
      </w:r>
      <w:r w:rsidR="001408A0" w:rsidRPr="00E265AC">
        <w:t xml:space="preserve">open-ended questions </w:t>
      </w:r>
      <w:r w:rsidR="00364D91" w:rsidRPr="00E265AC">
        <w:t xml:space="preserve">provide some additional information that was not captured in the PROMs and could be complement standard PROMs. Such an approach </w:t>
      </w:r>
      <w:r w:rsidR="00AD21D8" w:rsidRPr="00E265AC">
        <w:t xml:space="preserve">may serve as </w:t>
      </w:r>
      <w:r w:rsidR="00364D91" w:rsidRPr="00E265AC">
        <w:t xml:space="preserve">a new </w:t>
      </w:r>
      <w:r w:rsidR="00AD21D8" w:rsidRPr="00E265AC">
        <w:t xml:space="preserve">way to </w:t>
      </w:r>
      <w:r w:rsidR="00364D91" w:rsidRPr="00E265AC">
        <w:t>measur</w:t>
      </w:r>
      <w:r w:rsidR="00AD21D8" w:rsidRPr="00E265AC">
        <w:t>e</w:t>
      </w:r>
      <w:r w:rsidR="00364D91" w:rsidRPr="00E265AC">
        <w:t xml:space="preserve"> outcomes </w:t>
      </w:r>
      <w:r w:rsidR="00AD21D8" w:rsidRPr="00E265AC">
        <w:t xml:space="preserve">in </w:t>
      </w:r>
      <w:r w:rsidR="00364D91" w:rsidRPr="00E265AC">
        <w:t xml:space="preserve">clinical trials. </w:t>
      </w:r>
    </w:p>
    <w:p w14:paraId="77F08254" w14:textId="60C4CCD2" w:rsidR="00364D91" w:rsidRPr="00E265AC" w:rsidRDefault="00364D91" w:rsidP="004F21AC">
      <w:pPr>
        <w:spacing w:line="480" w:lineRule="auto"/>
      </w:pPr>
    </w:p>
    <w:p w14:paraId="76860E29" w14:textId="786F9E38" w:rsidR="00364D91" w:rsidRPr="00E265AC" w:rsidRDefault="00364D91" w:rsidP="004F21AC">
      <w:pPr>
        <w:spacing w:line="480" w:lineRule="auto"/>
        <w:rPr>
          <w:bCs/>
        </w:rPr>
      </w:pPr>
      <w:r w:rsidRPr="00E265AC">
        <w:t>The use of open-ended question is not tied to any</w:t>
      </w:r>
      <w:r w:rsidR="00DB7170" w:rsidRPr="00E265AC">
        <w:t xml:space="preserve"> specific</w:t>
      </w:r>
      <w:r w:rsidRPr="00E265AC">
        <w:t xml:space="preserve"> theoretical framework. </w:t>
      </w:r>
      <w:r w:rsidR="00A12D32" w:rsidRPr="00E265AC">
        <w:t>The question is posed in such a way that no prompt</w:t>
      </w:r>
      <w:r w:rsidR="00F54011" w:rsidRPr="00E265AC">
        <w:t xml:space="preserve"> is given</w:t>
      </w:r>
      <w:r w:rsidR="00A12D32" w:rsidRPr="00E265AC">
        <w:t xml:space="preserve">. For example, make a list of difficulties, which you have as a result of your tinnitus. Write down as many as you can think of. Moreover, some respondents may provide responses that are more </w:t>
      </w:r>
      <w:r w:rsidR="008F1E91" w:rsidRPr="00E265AC">
        <w:t>socially desirable which may not reflect their attitude</w:t>
      </w:r>
      <w:r w:rsidR="00DB7170" w:rsidRPr="00E265AC">
        <w:t>s</w:t>
      </w:r>
      <w:r w:rsidR="008F1E91" w:rsidRPr="00E265AC">
        <w:t xml:space="preserve"> or behavior</w:t>
      </w:r>
      <w:r w:rsidR="00DB7170" w:rsidRPr="00E265AC">
        <w:t>s</w:t>
      </w:r>
      <w:r w:rsidR="008F1E91" w:rsidRPr="00E265AC">
        <w:t xml:space="preserve"> (Edwards, 1957). In recent years, the use of Social Representations Theory (SRT) has become increasingly popular in</w:t>
      </w:r>
      <w:r w:rsidR="000B19B6" w:rsidRPr="00E265AC">
        <w:t xml:space="preserve"> research on</w:t>
      </w:r>
      <w:r w:rsidR="008F1E91" w:rsidRPr="00E265AC">
        <w:t xml:space="preserve"> health and disability (Manchaiah et al., 2019). Several recent studies have applied SRT in audiology to examine representations </w:t>
      </w:r>
      <w:r w:rsidR="000B19B6" w:rsidRPr="00E265AC">
        <w:t xml:space="preserve">in the </w:t>
      </w:r>
      <w:r w:rsidR="008F1E91" w:rsidRPr="00E265AC">
        <w:t>general population as well as people with hearing loss about hearing loss and hearing aids (</w:t>
      </w:r>
      <w:r w:rsidR="008F1E91" w:rsidRPr="00E265AC">
        <w:rPr>
          <w:color w:val="212121"/>
          <w:shd w:val="clear" w:color="auto" w:fill="FFFFFF"/>
        </w:rPr>
        <w:t>Chundu et al., 2020, 2021; Manchaiah et al., 2015</w:t>
      </w:r>
      <w:r w:rsidR="00AD5537" w:rsidRPr="00E265AC">
        <w:rPr>
          <w:color w:val="212121"/>
          <w:shd w:val="clear" w:color="auto" w:fill="FFFFFF"/>
        </w:rPr>
        <w:t>a</w:t>
      </w:r>
      <w:r w:rsidR="008F1E91" w:rsidRPr="00E265AC">
        <w:rPr>
          <w:color w:val="212121"/>
          <w:shd w:val="clear" w:color="auto" w:fill="FFFFFF"/>
        </w:rPr>
        <w:t>, 2015</w:t>
      </w:r>
      <w:r w:rsidR="00AD5537" w:rsidRPr="00E265AC">
        <w:rPr>
          <w:color w:val="212121"/>
          <w:shd w:val="clear" w:color="auto" w:fill="FFFFFF"/>
        </w:rPr>
        <w:t>b</w:t>
      </w:r>
      <w:r w:rsidR="008F1E91" w:rsidRPr="00E265AC">
        <w:rPr>
          <w:color w:val="212121"/>
          <w:shd w:val="clear" w:color="auto" w:fill="FFFFFF"/>
        </w:rPr>
        <w:t>, 202</w:t>
      </w:r>
      <w:r w:rsidR="00235AF7" w:rsidRPr="00E265AC">
        <w:rPr>
          <w:color w:val="212121"/>
          <w:shd w:val="clear" w:color="auto" w:fill="FFFFFF"/>
        </w:rPr>
        <w:t>3</w:t>
      </w:r>
      <w:r w:rsidR="008F1E91" w:rsidRPr="00E265AC">
        <w:t xml:space="preserve">). Moreover, in our recent study </w:t>
      </w:r>
      <w:r w:rsidR="000E209A" w:rsidRPr="00E265AC">
        <w:t xml:space="preserve">we applied this approach to examine the social representations of </w:t>
      </w:r>
      <w:r w:rsidR="000E209A" w:rsidRPr="00E265AC">
        <w:rPr>
          <w:bCs/>
        </w:rPr>
        <w:t xml:space="preserve">‘tinnitus’ and ‘health’ among individuals with tinnitus </w:t>
      </w:r>
      <w:r w:rsidR="00AC1685" w:rsidRPr="00E265AC">
        <w:rPr>
          <w:bCs/>
        </w:rPr>
        <w:t xml:space="preserve">(n=399) </w:t>
      </w:r>
      <w:r w:rsidR="000E209A" w:rsidRPr="00E265AC">
        <w:rPr>
          <w:bCs/>
        </w:rPr>
        <w:t>who are seeking online psychological interventions</w:t>
      </w:r>
      <w:r w:rsidR="00563779" w:rsidRPr="00E265AC">
        <w:rPr>
          <w:bCs/>
        </w:rPr>
        <w:t xml:space="preserve"> for bothersome tinnitus</w:t>
      </w:r>
      <w:r w:rsidR="000E209A" w:rsidRPr="00E265AC">
        <w:t xml:space="preserve"> (Manchaiah et al., 202</w:t>
      </w:r>
      <w:r w:rsidR="00235AF7" w:rsidRPr="00E265AC">
        <w:t>3</w:t>
      </w:r>
      <w:r w:rsidR="000E209A" w:rsidRPr="00E265AC">
        <w:t xml:space="preserve">). </w:t>
      </w:r>
      <w:r w:rsidR="000E209A" w:rsidRPr="00E265AC">
        <w:rPr>
          <w:bCs/>
        </w:rPr>
        <w:t xml:space="preserve">The most commonly occurring categories for tinnitus included: descriptions of tinnitus (18%), annoying (13.5%), persistent (8%), distracting (5%), and distressing (4%). The most commonly occurring categories for health included: content (12%), conditions (8%), active (7%), take control (6%), overweight (5%), and distressing (4%). </w:t>
      </w:r>
      <w:r w:rsidR="00F63EF1" w:rsidRPr="00E265AC">
        <w:rPr>
          <w:bCs/>
        </w:rPr>
        <w:t xml:space="preserve">Moreover, the </w:t>
      </w:r>
      <w:r w:rsidR="000E209A" w:rsidRPr="00E265AC">
        <w:rPr>
          <w:bCs/>
        </w:rPr>
        <w:t xml:space="preserve">responses to tinnitus had predominantly negative connotations (i.e., 76.9%) whereas a </w:t>
      </w:r>
      <w:r w:rsidR="00F63EF1" w:rsidRPr="00E265AC">
        <w:rPr>
          <w:bCs/>
        </w:rPr>
        <w:t xml:space="preserve">high percentage of </w:t>
      </w:r>
      <w:r w:rsidR="000E209A" w:rsidRPr="00E265AC">
        <w:rPr>
          <w:bCs/>
        </w:rPr>
        <w:t xml:space="preserve">responses towards their health was related to positive connotations (i.e., 46.4%). In this study, </w:t>
      </w:r>
      <w:r w:rsidR="000E209A" w:rsidRPr="00E265AC">
        <w:rPr>
          <w:bCs/>
        </w:rPr>
        <w:lastRenderedPageBreak/>
        <w:t xml:space="preserve">we used a free association task </w:t>
      </w:r>
      <w:r w:rsidR="00D07253" w:rsidRPr="00E265AC">
        <w:rPr>
          <w:bCs/>
        </w:rPr>
        <w:t xml:space="preserve">in which participants are </w:t>
      </w:r>
      <w:r w:rsidR="00C50B6E" w:rsidRPr="00E265AC">
        <w:rPr>
          <w:bCs/>
        </w:rPr>
        <w:t>prompted to think about tinnitus and come up with four to five words or phrases that c</w:t>
      </w:r>
      <w:r w:rsidR="00563779" w:rsidRPr="00E265AC">
        <w:rPr>
          <w:bCs/>
        </w:rPr>
        <w:t>ame</w:t>
      </w:r>
      <w:r w:rsidR="00C50B6E" w:rsidRPr="00E265AC">
        <w:rPr>
          <w:bCs/>
        </w:rPr>
        <w:t xml:space="preserve"> to their mind spontaneously. They </w:t>
      </w:r>
      <w:r w:rsidR="00563779" w:rsidRPr="00E265AC">
        <w:rPr>
          <w:bCs/>
        </w:rPr>
        <w:t>we</w:t>
      </w:r>
      <w:r w:rsidR="00C50B6E" w:rsidRPr="00E265AC">
        <w:rPr>
          <w:bCs/>
        </w:rPr>
        <w:t>re also asked to consider each word and rate each expression with positive, negative or neutral valance</w:t>
      </w:r>
      <w:r w:rsidR="00353CD0" w:rsidRPr="00E265AC">
        <w:rPr>
          <w:bCs/>
        </w:rPr>
        <w:t xml:space="preserve"> </w:t>
      </w:r>
      <w:r w:rsidR="00353CD0" w:rsidRPr="00E265AC">
        <w:rPr>
          <w:color w:val="212121"/>
          <w:shd w:val="clear" w:color="auto" w:fill="FFFFFF"/>
        </w:rPr>
        <w:t>(or connotation)</w:t>
      </w:r>
      <w:r w:rsidR="00C50B6E" w:rsidRPr="00E265AC">
        <w:rPr>
          <w:bCs/>
        </w:rPr>
        <w:t xml:space="preserve">. </w:t>
      </w:r>
      <w:r w:rsidR="00D07253" w:rsidRPr="00E265AC">
        <w:rPr>
          <w:color w:val="212121"/>
          <w:shd w:val="clear" w:color="auto" w:fill="FFFFFF"/>
        </w:rPr>
        <w:t xml:space="preserve">Considering the spontaneous nature of this task, it is </w:t>
      </w:r>
      <w:r w:rsidR="005F0FE2" w:rsidRPr="00E265AC">
        <w:rPr>
          <w:color w:val="212121"/>
          <w:shd w:val="clear" w:color="auto" w:fill="FFFFFF"/>
        </w:rPr>
        <w:t xml:space="preserve">assumed </w:t>
      </w:r>
      <w:r w:rsidR="00D07253" w:rsidRPr="00E265AC">
        <w:rPr>
          <w:color w:val="212121"/>
          <w:shd w:val="clear" w:color="auto" w:fill="FFFFFF"/>
        </w:rPr>
        <w:t xml:space="preserve">that </w:t>
      </w:r>
      <w:r w:rsidR="005F0FE2" w:rsidRPr="00E265AC">
        <w:rPr>
          <w:color w:val="212121"/>
          <w:shd w:val="clear" w:color="auto" w:fill="FFFFFF"/>
        </w:rPr>
        <w:t xml:space="preserve">the </w:t>
      </w:r>
      <w:r w:rsidR="00D07253" w:rsidRPr="00E265AC">
        <w:rPr>
          <w:color w:val="212121"/>
          <w:shd w:val="clear" w:color="auto" w:fill="FFFFFF"/>
        </w:rPr>
        <w:t>method help</w:t>
      </w:r>
      <w:r w:rsidR="00563779" w:rsidRPr="00E265AC">
        <w:rPr>
          <w:color w:val="212121"/>
          <w:shd w:val="clear" w:color="auto" w:fill="FFFFFF"/>
        </w:rPr>
        <w:t>s</w:t>
      </w:r>
      <w:r w:rsidR="00D07253" w:rsidRPr="00E265AC">
        <w:rPr>
          <w:color w:val="212121"/>
          <w:shd w:val="clear" w:color="auto" w:fill="FFFFFF"/>
        </w:rPr>
        <w:t xml:space="preserve"> examine semantic universe of </w:t>
      </w:r>
      <w:r w:rsidR="00D07253" w:rsidRPr="00E265AC">
        <w:rPr>
          <w:color w:val="000000"/>
          <w:shd w:val="clear" w:color="auto" w:fill="FFFFFF"/>
        </w:rPr>
        <w:t>participants and minimize social desirability bias (</w:t>
      </w:r>
      <w:proofErr w:type="spellStart"/>
      <w:r w:rsidR="00D07253" w:rsidRPr="00E265AC">
        <w:rPr>
          <w:color w:val="000000"/>
        </w:rPr>
        <w:t>Hovardas</w:t>
      </w:r>
      <w:proofErr w:type="spellEnd"/>
      <w:r w:rsidR="00D07253" w:rsidRPr="00E265AC">
        <w:rPr>
          <w:color w:val="000000"/>
        </w:rPr>
        <w:t xml:space="preserve"> &amp; </w:t>
      </w:r>
      <w:proofErr w:type="spellStart"/>
      <w:r w:rsidR="00D07253" w:rsidRPr="00E265AC">
        <w:rPr>
          <w:color w:val="000000"/>
        </w:rPr>
        <w:t>Korfiatis</w:t>
      </w:r>
      <w:proofErr w:type="spellEnd"/>
      <w:r w:rsidR="00D07253" w:rsidRPr="00E265AC">
        <w:rPr>
          <w:color w:val="000000"/>
        </w:rPr>
        <w:t>, 2006).</w:t>
      </w:r>
      <w:r w:rsidR="00C50B6E" w:rsidRPr="00E265AC">
        <w:rPr>
          <w:color w:val="000000"/>
        </w:rPr>
        <w:t xml:space="preserve"> This approach </w:t>
      </w:r>
      <w:r w:rsidR="00763277" w:rsidRPr="00E265AC">
        <w:rPr>
          <w:color w:val="000000"/>
        </w:rPr>
        <w:t xml:space="preserve">could potentially solve the problem of just using open-ended questions </w:t>
      </w:r>
      <w:r w:rsidR="00F63EF1" w:rsidRPr="00E265AC">
        <w:rPr>
          <w:color w:val="000000"/>
        </w:rPr>
        <w:t>without the</w:t>
      </w:r>
      <w:r w:rsidR="00763277" w:rsidRPr="00E265AC">
        <w:rPr>
          <w:color w:val="000000"/>
        </w:rPr>
        <w:t xml:space="preserve"> theoretical perspective as well as help overcome the social desirability bias to some degree. </w:t>
      </w:r>
    </w:p>
    <w:p w14:paraId="20506ACA" w14:textId="16C95DAA" w:rsidR="00574E4E" w:rsidRPr="00E265AC" w:rsidRDefault="00563779" w:rsidP="004F21AC">
      <w:pPr>
        <w:spacing w:line="480" w:lineRule="auto"/>
      </w:pPr>
      <w:r w:rsidRPr="00E265AC">
        <w:rPr>
          <w:bCs/>
        </w:rPr>
        <w:t>S</w:t>
      </w:r>
      <w:r w:rsidR="00763277" w:rsidRPr="00E265AC">
        <w:rPr>
          <w:bCs/>
        </w:rPr>
        <w:t xml:space="preserve">ocial representations are generally referred to as </w:t>
      </w:r>
      <w:r w:rsidR="00763277" w:rsidRPr="00E265AC">
        <w:t xml:space="preserve">“social psychological approach articulating individual thinking and feeling with collective interaction and communication” (Wagner, 2020). </w:t>
      </w:r>
      <w:r w:rsidR="00F63EF1" w:rsidRPr="00E265AC">
        <w:t xml:space="preserve">Unlike attitude theories, SRT helps understand the collective attitude considering their social environment and norms </w:t>
      </w:r>
      <w:r w:rsidR="00574E4E" w:rsidRPr="00E265AC">
        <w:t>(</w:t>
      </w:r>
      <w:proofErr w:type="spellStart"/>
      <w:r w:rsidR="00574E4E" w:rsidRPr="00E265AC">
        <w:t>Bidjari</w:t>
      </w:r>
      <w:proofErr w:type="spellEnd"/>
      <w:r w:rsidR="00574E4E" w:rsidRPr="00E265AC">
        <w:t>, 2011</w:t>
      </w:r>
      <w:r w:rsidR="00F63EF1" w:rsidRPr="00E265AC">
        <w:t>)</w:t>
      </w:r>
      <w:r w:rsidR="00574E4E" w:rsidRPr="00E265AC">
        <w:t>.</w:t>
      </w:r>
      <w:r w:rsidR="00A53BDA" w:rsidRPr="00E265AC">
        <w:t xml:space="preserve"> According to </w:t>
      </w:r>
      <w:r w:rsidR="00A93C3B" w:rsidRPr="00E265AC">
        <w:t xml:space="preserve">Moscovici, </w:t>
      </w:r>
      <w:r w:rsidR="00F63EF1" w:rsidRPr="00E265AC">
        <w:t xml:space="preserve"> </w:t>
      </w:r>
      <w:r w:rsidR="00A93C3B" w:rsidRPr="00E265AC">
        <w:t>s</w:t>
      </w:r>
      <w:r w:rsidR="00574E4E" w:rsidRPr="00E265AC">
        <w:t>ocial representations are</w:t>
      </w:r>
      <w:r w:rsidR="00F54011" w:rsidRPr="00E265AC">
        <w:t>:</w:t>
      </w:r>
      <w:r w:rsidR="00574E4E" w:rsidRPr="00E265AC">
        <w:t xml:space="preserve"> </w:t>
      </w:r>
      <w:r w:rsidR="00F54011" w:rsidRPr="00E265AC">
        <w:t>(</w:t>
      </w:r>
      <w:proofErr w:type="spellStart"/>
      <w:r w:rsidR="00F54011" w:rsidRPr="00E265AC">
        <w:t>i</w:t>
      </w:r>
      <w:proofErr w:type="spellEnd"/>
      <w:r w:rsidR="00F54011" w:rsidRPr="00E265AC">
        <w:t xml:space="preserve">) </w:t>
      </w:r>
      <w:r w:rsidR="00946041" w:rsidRPr="00E265AC">
        <w:t>“</w:t>
      </w:r>
      <w:r w:rsidR="00574E4E" w:rsidRPr="00E265AC">
        <w:t>a system of values, ideas, metaphors, beliefs, and practices</w:t>
      </w:r>
      <w:r w:rsidR="00946041" w:rsidRPr="00E265AC">
        <w:t>”</w:t>
      </w:r>
      <w:r w:rsidR="00383217" w:rsidRPr="00E265AC">
        <w:t xml:space="preserve"> </w:t>
      </w:r>
      <w:r w:rsidR="00875232" w:rsidRPr="00E265AC">
        <w:t>that he</w:t>
      </w:r>
      <w:r w:rsidR="004663D8" w:rsidRPr="00E265AC">
        <w:t>l</w:t>
      </w:r>
      <w:r w:rsidR="00875232" w:rsidRPr="00E265AC">
        <w:t xml:space="preserve">p to create </w:t>
      </w:r>
      <w:r w:rsidR="00E048F4" w:rsidRPr="00E265AC">
        <w:t>a “social order” and allow</w:t>
      </w:r>
      <w:r w:rsidR="00E006C1" w:rsidRPr="00E265AC">
        <w:t xml:space="preserve">s the members of the society </w:t>
      </w:r>
      <w:r w:rsidR="004663D8" w:rsidRPr="00E265AC">
        <w:t>to have a better understanding of the community they live in</w:t>
      </w:r>
      <w:r w:rsidR="00F54011" w:rsidRPr="00E265AC">
        <w:t>,</w:t>
      </w:r>
      <w:r w:rsidR="004663D8" w:rsidRPr="00E265AC">
        <w:t xml:space="preserve"> and </w:t>
      </w:r>
      <w:r w:rsidR="00F54011" w:rsidRPr="00E265AC">
        <w:t>(</w:t>
      </w:r>
      <w:r w:rsidR="00F327F7" w:rsidRPr="00E265AC">
        <w:t>ii)</w:t>
      </w:r>
      <w:r w:rsidR="004856A7" w:rsidRPr="00E265AC">
        <w:t xml:space="preserve"> allows</w:t>
      </w:r>
      <w:r w:rsidR="00B63C7B" w:rsidRPr="00E265AC">
        <w:t xml:space="preserve"> for exchange of information and ideas among the</w:t>
      </w:r>
      <w:r w:rsidR="00C301DB" w:rsidRPr="00E265AC">
        <w:t xml:space="preserve"> members of the </w:t>
      </w:r>
      <w:r w:rsidR="00AD3348" w:rsidRPr="00E265AC">
        <w:t>community</w:t>
      </w:r>
      <w:r w:rsidR="00B63C7B" w:rsidRPr="00E265AC">
        <w:t xml:space="preserve"> </w:t>
      </w:r>
      <w:r w:rsidR="0074385B" w:rsidRPr="00E265AC">
        <w:t xml:space="preserve">regarding a particular object </w:t>
      </w:r>
      <w:r w:rsidR="004856A7" w:rsidRPr="00E265AC">
        <w:t xml:space="preserve"> </w:t>
      </w:r>
      <w:r w:rsidR="00F374A6" w:rsidRPr="00E265AC">
        <w:t>(Moscovici, 1988)</w:t>
      </w:r>
      <w:r w:rsidR="00574E4E" w:rsidRPr="00E265AC">
        <w:t>. It is believed that social representations are hard to change</w:t>
      </w:r>
      <w:r w:rsidR="00C47B52" w:rsidRPr="00E265AC">
        <w:t xml:space="preserve">. Without a strong intervention it may take several decades for noticing social representations. However, strong influence of media and/or intervention can change the social representation of an object in a specific group </w:t>
      </w:r>
      <w:r w:rsidR="00574E4E" w:rsidRPr="00E265AC">
        <w:t>(</w:t>
      </w:r>
      <w:proofErr w:type="spellStart"/>
      <w:r w:rsidR="00574E4E" w:rsidRPr="00E265AC">
        <w:t>Jodelet</w:t>
      </w:r>
      <w:proofErr w:type="spellEnd"/>
      <w:r w:rsidR="00574E4E" w:rsidRPr="00E265AC">
        <w:t>, 2012)</w:t>
      </w:r>
      <w:r w:rsidR="00C47B52" w:rsidRPr="00E265AC">
        <w:t>. However, we are not aware of any studies that have examined the change in social representation</w:t>
      </w:r>
      <w:r w:rsidR="003F340A" w:rsidRPr="00E265AC">
        <w:t>s</w:t>
      </w:r>
      <w:r w:rsidR="00C47B52" w:rsidRPr="00E265AC">
        <w:t xml:space="preserve"> about health or disability following an intervention. If proven effective, this approach could add to the medical research methodology especially for the way in which we </w:t>
      </w:r>
      <w:r w:rsidR="00812750" w:rsidRPr="00E265AC">
        <w:t>measure</w:t>
      </w:r>
      <w:r w:rsidR="00C47B52" w:rsidRPr="00E265AC">
        <w:t xml:space="preserve"> outcomes in clinical trials. </w:t>
      </w:r>
    </w:p>
    <w:p w14:paraId="0BC222CF" w14:textId="5D644152" w:rsidR="00763277" w:rsidRPr="00E265AC" w:rsidRDefault="00763277" w:rsidP="004F21AC">
      <w:pPr>
        <w:spacing w:line="480" w:lineRule="auto"/>
        <w:rPr>
          <w:bCs/>
        </w:rPr>
      </w:pPr>
    </w:p>
    <w:p w14:paraId="44D750D2" w14:textId="4086D309" w:rsidR="00763277" w:rsidRPr="00E265AC" w:rsidRDefault="009351FD" w:rsidP="004F21AC">
      <w:pPr>
        <w:spacing w:line="480" w:lineRule="auto"/>
        <w:rPr>
          <w:bCs/>
        </w:rPr>
      </w:pPr>
      <w:r w:rsidRPr="00E265AC">
        <w:rPr>
          <w:bCs/>
        </w:rPr>
        <w:lastRenderedPageBreak/>
        <w:t>We have reported social representations of tinnitus before the ICBT in our recent publications (Beukes et al., 2022; Manchaiah et al., 2023). T</w:t>
      </w:r>
      <w:r w:rsidR="00763277" w:rsidRPr="00E265AC">
        <w:rPr>
          <w:bCs/>
        </w:rPr>
        <w:t>he aim of the current study was to examine change</w:t>
      </w:r>
      <w:r w:rsidR="00C6751A" w:rsidRPr="00E265AC">
        <w:rPr>
          <w:bCs/>
        </w:rPr>
        <w:t>s</w:t>
      </w:r>
      <w:r w:rsidR="00763277" w:rsidRPr="00E265AC">
        <w:rPr>
          <w:bCs/>
        </w:rPr>
        <w:t xml:space="preserve"> in social representation of tinnitus among individuals with tinnitus following </w:t>
      </w:r>
      <w:r w:rsidR="00563779" w:rsidRPr="00E265AC">
        <w:rPr>
          <w:bCs/>
        </w:rPr>
        <w:t xml:space="preserve">undertaking </w:t>
      </w:r>
      <w:r w:rsidR="00763277" w:rsidRPr="00E265AC">
        <w:rPr>
          <w:bCs/>
        </w:rPr>
        <w:t xml:space="preserve">ICBT. </w:t>
      </w:r>
    </w:p>
    <w:p w14:paraId="03FB0BDC" w14:textId="77777777" w:rsidR="00D23AE6" w:rsidRPr="00E265AC" w:rsidRDefault="00D23AE6" w:rsidP="004F21AC">
      <w:pPr>
        <w:spacing w:line="480" w:lineRule="auto"/>
        <w:rPr>
          <w:bCs/>
        </w:rPr>
      </w:pPr>
    </w:p>
    <w:p w14:paraId="03B8737E" w14:textId="081601E3" w:rsidR="00570D3D" w:rsidRPr="00E265AC" w:rsidRDefault="00570D3D" w:rsidP="002D4C25">
      <w:pPr>
        <w:pStyle w:val="ListParagraph"/>
        <w:numPr>
          <w:ilvl w:val="0"/>
          <w:numId w:val="9"/>
        </w:numPr>
        <w:spacing w:line="480" w:lineRule="auto"/>
        <w:rPr>
          <w:b/>
          <w:sz w:val="28"/>
          <w:szCs w:val="28"/>
        </w:rPr>
      </w:pPr>
      <w:r w:rsidRPr="00E265AC">
        <w:rPr>
          <w:b/>
          <w:sz w:val="28"/>
          <w:szCs w:val="28"/>
        </w:rPr>
        <w:t>Method</w:t>
      </w:r>
      <w:r w:rsidR="00794B6C" w:rsidRPr="00E265AC">
        <w:rPr>
          <w:b/>
          <w:sz w:val="28"/>
          <w:szCs w:val="28"/>
        </w:rPr>
        <w:t>s</w:t>
      </w:r>
    </w:p>
    <w:p w14:paraId="6DC80BB1" w14:textId="30851366" w:rsidR="006F4298" w:rsidRPr="00E265AC" w:rsidRDefault="002D4C25" w:rsidP="004F21AC">
      <w:pPr>
        <w:spacing w:line="480" w:lineRule="auto"/>
        <w:rPr>
          <w:b/>
        </w:rPr>
      </w:pPr>
      <w:r w:rsidRPr="00E265AC">
        <w:rPr>
          <w:b/>
        </w:rPr>
        <w:t xml:space="preserve">2.1 </w:t>
      </w:r>
      <w:r w:rsidR="006F4298" w:rsidRPr="00E265AC">
        <w:rPr>
          <w:b/>
        </w:rPr>
        <w:t>Study Design</w:t>
      </w:r>
    </w:p>
    <w:p w14:paraId="56335DF9" w14:textId="791FCB9B" w:rsidR="00570D3D" w:rsidRPr="00E265AC" w:rsidRDefault="006F4298" w:rsidP="004F21AC">
      <w:pPr>
        <w:spacing w:line="480" w:lineRule="auto"/>
        <w:rPr>
          <w:bCs/>
        </w:rPr>
      </w:pPr>
      <w:r w:rsidRPr="00E265AC">
        <w:rPr>
          <w:bCs/>
        </w:rPr>
        <w:t xml:space="preserve">The study used a </w:t>
      </w:r>
      <w:r w:rsidR="00C6751A" w:rsidRPr="00E265AC">
        <w:rPr>
          <w:bCs/>
        </w:rPr>
        <w:t>pre-post</w:t>
      </w:r>
      <w:r w:rsidRPr="00E265AC">
        <w:rPr>
          <w:bCs/>
        </w:rPr>
        <w:t xml:space="preserve"> design nested in three separate clinical trials of ICBT for tinnitus (</w:t>
      </w:r>
      <w:r w:rsidRPr="00E265AC">
        <w:t>Beukes et al., 2021a; 2021b, 2021c</w:t>
      </w:r>
      <w:r w:rsidRPr="00E265AC">
        <w:rPr>
          <w:bCs/>
        </w:rPr>
        <w:t xml:space="preserve">). </w:t>
      </w:r>
      <w:r w:rsidRPr="00E265AC">
        <w:rPr>
          <w:color w:val="000000"/>
        </w:rPr>
        <w:t>Ethical approval (IRB-FY17-209 and IRB-FY20-200-1) was obtained from the Institutional Review Board at Lamar University, Beaumont, Texas, United States.</w:t>
      </w:r>
    </w:p>
    <w:p w14:paraId="6C9B22AD" w14:textId="55BC65E8" w:rsidR="006F4298" w:rsidRPr="00E265AC" w:rsidRDefault="006F4298" w:rsidP="004F21AC">
      <w:pPr>
        <w:spacing w:line="480" w:lineRule="auto"/>
        <w:rPr>
          <w:bCs/>
        </w:rPr>
      </w:pPr>
    </w:p>
    <w:p w14:paraId="05B95693" w14:textId="2BF73F29" w:rsidR="008D1078" w:rsidRPr="00E265AC" w:rsidRDefault="002D4C25" w:rsidP="004F21AC">
      <w:pPr>
        <w:spacing w:line="480" w:lineRule="auto"/>
        <w:rPr>
          <w:b/>
        </w:rPr>
      </w:pPr>
      <w:r w:rsidRPr="00E265AC">
        <w:rPr>
          <w:b/>
        </w:rPr>
        <w:t xml:space="preserve">2.2 </w:t>
      </w:r>
      <w:r w:rsidR="008D1078" w:rsidRPr="00E265AC">
        <w:rPr>
          <w:b/>
        </w:rPr>
        <w:t>Data Collection</w:t>
      </w:r>
    </w:p>
    <w:p w14:paraId="323AF8E1" w14:textId="7C27C335" w:rsidR="008D1078" w:rsidRPr="00E265AC" w:rsidRDefault="008D1078" w:rsidP="004F21AC">
      <w:pPr>
        <w:spacing w:line="480" w:lineRule="auto"/>
      </w:pPr>
      <w:r w:rsidRPr="00E265AC">
        <w:rPr>
          <w:bCs/>
        </w:rPr>
        <w:t xml:space="preserve">All the data </w:t>
      </w:r>
      <w:r w:rsidR="00C6751A" w:rsidRPr="00E265AC">
        <w:rPr>
          <w:bCs/>
        </w:rPr>
        <w:t xml:space="preserve">were </w:t>
      </w:r>
      <w:r w:rsidRPr="00E265AC">
        <w:rPr>
          <w:bCs/>
        </w:rPr>
        <w:t xml:space="preserve">collected online using the </w:t>
      </w:r>
      <w:proofErr w:type="spellStart"/>
      <w:r w:rsidRPr="00E265AC">
        <w:rPr>
          <w:bCs/>
        </w:rPr>
        <w:t>ePlatform</w:t>
      </w:r>
      <w:proofErr w:type="spellEnd"/>
      <w:r w:rsidRPr="00E265AC">
        <w:rPr>
          <w:bCs/>
        </w:rPr>
        <w:t xml:space="preserve"> using a series of structured as well as open-ended questionnaires before and after the intervention. The structured outcome measures included the TFI</w:t>
      </w:r>
      <w:r w:rsidR="00794B6C" w:rsidRPr="00E265AC">
        <w:rPr>
          <w:bCs/>
        </w:rPr>
        <w:t xml:space="preserve"> (Meikle et al., 2012)</w:t>
      </w:r>
      <w:r w:rsidRPr="00E265AC">
        <w:rPr>
          <w:bCs/>
        </w:rPr>
        <w:t xml:space="preserve">, </w:t>
      </w:r>
      <w:r w:rsidRPr="00E265AC">
        <w:rPr>
          <w:color w:val="000000"/>
        </w:rPr>
        <w:t>as a measure of tinnitus</w:t>
      </w:r>
      <w:r w:rsidRPr="00E265AC">
        <w:t xml:space="preserve"> distress, Generalized Anxiety Disorder – 7 (GAD7; Spitzer et al., 2006) as a measure of anxiety, </w:t>
      </w:r>
      <w:r w:rsidRPr="00E265AC">
        <w:rPr>
          <w:color w:val="212121"/>
          <w:shd w:val="clear" w:color="auto" w:fill="FFFFFF"/>
        </w:rPr>
        <w:t xml:space="preserve">Patient Health Questionnaire-9 (PHQ9; Kroenke et al., 2001) </w:t>
      </w:r>
      <w:r w:rsidRPr="00E265AC">
        <w:t>as a measure of depression, Insomnia Severity Index (ISI</w:t>
      </w:r>
      <w:r w:rsidRPr="00E265AC">
        <w:rPr>
          <w:color w:val="212121"/>
          <w:shd w:val="clear" w:color="auto" w:fill="FFFFFF"/>
        </w:rPr>
        <w:t xml:space="preserve">) as a measure of insomnia, and the EQ-5D-5L Visual Analogue Scale (VAS) as a measure of health-related quality of life. The social representation data </w:t>
      </w:r>
      <w:r w:rsidR="00893393" w:rsidRPr="00E265AC">
        <w:rPr>
          <w:color w:val="212121"/>
          <w:shd w:val="clear" w:color="auto" w:fill="FFFFFF"/>
        </w:rPr>
        <w:t xml:space="preserve">were </w:t>
      </w:r>
      <w:r w:rsidRPr="00E265AC">
        <w:rPr>
          <w:color w:val="212121"/>
          <w:shd w:val="clear" w:color="auto" w:fill="FFFFFF"/>
        </w:rPr>
        <w:t>gathered using the free association task as used in several previous studies (Chundu et al., 2020, 2021; Germundsson et al., 2018; Manchaiah et al., 2015a, 2015b, 2017a, 2017b, 2019, 202</w:t>
      </w:r>
      <w:r w:rsidR="00235AF7" w:rsidRPr="00E265AC">
        <w:rPr>
          <w:color w:val="212121"/>
          <w:shd w:val="clear" w:color="auto" w:fill="FFFFFF"/>
        </w:rPr>
        <w:t>3</w:t>
      </w:r>
      <w:r w:rsidRPr="00E265AC">
        <w:rPr>
          <w:color w:val="212121"/>
          <w:shd w:val="clear" w:color="auto" w:fill="FFFFFF"/>
        </w:rPr>
        <w:t xml:space="preserve">). This </w:t>
      </w:r>
      <w:r w:rsidR="00893393" w:rsidRPr="00E265AC">
        <w:rPr>
          <w:color w:val="212121"/>
          <w:shd w:val="clear" w:color="auto" w:fill="FFFFFF"/>
        </w:rPr>
        <w:t xml:space="preserve">was done in </w:t>
      </w:r>
      <w:r w:rsidRPr="00E265AC">
        <w:rPr>
          <w:color w:val="212121"/>
          <w:shd w:val="clear" w:color="auto" w:fill="FFFFFF"/>
        </w:rPr>
        <w:t xml:space="preserve">two stages. First, participants were asked to think of 5 words or phrases that comes to their mind spontaneously when they think about tinnitus and type them in the order of importance (i.e., most important word/phrase in the beginning). In the second stage, </w:t>
      </w:r>
      <w:r w:rsidRPr="00E265AC">
        <w:rPr>
          <w:color w:val="212121"/>
          <w:shd w:val="clear" w:color="auto" w:fill="FFFFFF"/>
        </w:rPr>
        <w:lastRenderedPageBreak/>
        <w:t xml:space="preserve">participants were asked to consider each of the word or phrase and determine if they had positive, neutral or negative valance (or connotation). </w:t>
      </w:r>
    </w:p>
    <w:p w14:paraId="379E60BB" w14:textId="77777777" w:rsidR="008D1078" w:rsidRPr="00E265AC" w:rsidRDefault="008D1078" w:rsidP="004F21AC">
      <w:pPr>
        <w:spacing w:line="480" w:lineRule="auto"/>
        <w:rPr>
          <w:bCs/>
        </w:rPr>
      </w:pPr>
    </w:p>
    <w:p w14:paraId="3074C9F5" w14:textId="6F405073" w:rsidR="006F4298" w:rsidRPr="00E265AC" w:rsidRDefault="002D4C25" w:rsidP="004F21AC">
      <w:pPr>
        <w:spacing w:line="480" w:lineRule="auto"/>
        <w:rPr>
          <w:b/>
        </w:rPr>
      </w:pPr>
      <w:r w:rsidRPr="00E265AC">
        <w:rPr>
          <w:b/>
        </w:rPr>
        <w:t xml:space="preserve">2.3 </w:t>
      </w:r>
      <w:r w:rsidR="006F4298" w:rsidRPr="00E265AC">
        <w:rPr>
          <w:b/>
        </w:rPr>
        <w:t>Participants</w:t>
      </w:r>
    </w:p>
    <w:p w14:paraId="370B6C29" w14:textId="2D54E748" w:rsidR="006F4298" w:rsidRPr="00E265AC" w:rsidRDefault="00563779" w:rsidP="004F21AC">
      <w:pPr>
        <w:spacing w:line="480" w:lineRule="auto"/>
        <w:rPr>
          <w:bCs/>
        </w:rPr>
      </w:pPr>
      <w:r w:rsidRPr="00E265AC">
        <w:rPr>
          <w:bCs/>
        </w:rPr>
        <w:t xml:space="preserve">Of the 311 participants who </w:t>
      </w:r>
      <w:r w:rsidR="00015685" w:rsidRPr="00E265AC">
        <w:rPr>
          <w:bCs/>
        </w:rPr>
        <w:t>received</w:t>
      </w:r>
      <w:r w:rsidRPr="00E265AC">
        <w:rPr>
          <w:bCs/>
        </w:rPr>
        <w:t xml:space="preserve"> ICBT, </w:t>
      </w:r>
      <w:r w:rsidR="006F4298" w:rsidRPr="00E265AC">
        <w:rPr>
          <w:bCs/>
        </w:rPr>
        <w:t xml:space="preserve">106 </w:t>
      </w:r>
      <w:r w:rsidR="00BE33DF" w:rsidRPr="00E265AC">
        <w:rPr>
          <w:bCs/>
        </w:rPr>
        <w:t>participants (34.1%</w:t>
      </w:r>
      <w:r w:rsidR="00794B6C" w:rsidRPr="00E265AC">
        <w:rPr>
          <w:bCs/>
        </w:rPr>
        <w:t xml:space="preserve"> with mean age 57.5 years)</w:t>
      </w:r>
      <w:r w:rsidR="00BE33DF" w:rsidRPr="00E265AC">
        <w:rPr>
          <w:bCs/>
        </w:rPr>
        <w:t xml:space="preserve"> provided both pre- and post-data </w:t>
      </w:r>
      <w:r w:rsidR="00A46440" w:rsidRPr="00E265AC">
        <w:rPr>
          <w:bCs/>
        </w:rPr>
        <w:t xml:space="preserve">in </w:t>
      </w:r>
      <w:r w:rsidR="006F4298" w:rsidRPr="00E265AC">
        <w:rPr>
          <w:bCs/>
        </w:rPr>
        <w:t xml:space="preserve">the current study. </w:t>
      </w:r>
      <w:r w:rsidR="00927C7F" w:rsidRPr="00E265AC">
        <w:rPr>
          <w:bCs/>
          <w:color w:val="000000" w:themeColor="text1"/>
        </w:rPr>
        <w:t xml:space="preserve">The participants were recruited using a verity of recruitment methods including the advertising through a television broadcast, </w:t>
      </w:r>
      <w:r w:rsidR="00927C7F" w:rsidRPr="00E265AC">
        <w:rPr>
          <w:color w:val="000000" w:themeColor="text1"/>
          <w:shd w:val="clear" w:color="auto" w:fill="FFFFFF"/>
        </w:rPr>
        <w:t xml:space="preserve">promoting the study via tinnitus support groups in Texas and the American Tinnitus Association, and contracting the company </w:t>
      </w:r>
      <w:proofErr w:type="spellStart"/>
      <w:r w:rsidR="00927C7F" w:rsidRPr="00E265AC">
        <w:rPr>
          <w:color w:val="000000" w:themeColor="text1"/>
          <w:shd w:val="clear" w:color="auto" w:fill="FFFFFF"/>
        </w:rPr>
        <w:t>TrialFacts</w:t>
      </w:r>
      <w:proofErr w:type="spellEnd"/>
      <w:r w:rsidR="00927C7F" w:rsidRPr="00E265AC">
        <w:rPr>
          <w:color w:val="000000" w:themeColor="text1"/>
          <w:shd w:val="clear" w:color="auto" w:fill="FFFFFF"/>
        </w:rPr>
        <w:t xml:space="preserve"> (Beukes et al., 2021b, 2021c). </w:t>
      </w:r>
      <w:r w:rsidR="00BE33DF" w:rsidRPr="00E265AC">
        <w:rPr>
          <w:bCs/>
        </w:rPr>
        <w:t xml:space="preserve">Tables 1 and 2 provide the demographic as well as clinical variables </w:t>
      </w:r>
      <w:r w:rsidR="00A46440" w:rsidRPr="00E265AC">
        <w:rPr>
          <w:bCs/>
        </w:rPr>
        <w:t xml:space="preserve">for the </w:t>
      </w:r>
      <w:r w:rsidR="00BE33DF" w:rsidRPr="00E265AC">
        <w:rPr>
          <w:bCs/>
        </w:rPr>
        <w:t xml:space="preserve">study participants. The mean age and duration of tinnitus was 57.7 years and 13.3 years, respectively. </w:t>
      </w:r>
      <w:r w:rsidR="008C2F2D" w:rsidRPr="00E265AC">
        <w:rPr>
          <w:bCs/>
        </w:rPr>
        <w:t xml:space="preserve">Of the </w:t>
      </w:r>
      <w:r w:rsidR="00BE33DF" w:rsidRPr="00E265AC">
        <w:rPr>
          <w:bCs/>
        </w:rPr>
        <w:t xml:space="preserve">participants </w:t>
      </w:r>
      <w:r w:rsidR="008C2F2D" w:rsidRPr="00E265AC">
        <w:rPr>
          <w:bCs/>
        </w:rPr>
        <w:t xml:space="preserve">60% </w:t>
      </w:r>
      <w:r w:rsidR="00BE33DF" w:rsidRPr="00E265AC">
        <w:rPr>
          <w:bCs/>
        </w:rPr>
        <w:t xml:space="preserve">were female and 65% of had </w:t>
      </w:r>
      <w:r w:rsidR="008C2F2D" w:rsidRPr="00E265AC">
        <w:rPr>
          <w:bCs/>
        </w:rPr>
        <w:t xml:space="preserve">obtained </w:t>
      </w:r>
      <w:r w:rsidR="00BE33DF" w:rsidRPr="00E265AC">
        <w:rPr>
          <w:bCs/>
        </w:rPr>
        <w:t xml:space="preserve">a university degree. </w:t>
      </w:r>
      <w:r w:rsidR="00F65751" w:rsidRPr="00E265AC">
        <w:rPr>
          <w:bCs/>
        </w:rPr>
        <w:t>The mean tinnitus severity measured using the Tinnitus Functional Index (TFI) was 53</w:t>
      </w:r>
      <w:r w:rsidRPr="00E265AC">
        <w:rPr>
          <w:bCs/>
        </w:rPr>
        <w:t>/100 before undertaking the intervention</w:t>
      </w:r>
      <w:r w:rsidR="00F65751" w:rsidRPr="00E265AC">
        <w:rPr>
          <w:bCs/>
        </w:rPr>
        <w:t xml:space="preserve"> and 26.2</w:t>
      </w:r>
      <w:r w:rsidRPr="00E265AC">
        <w:rPr>
          <w:bCs/>
        </w:rPr>
        <w:t xml:space="preserve"> after </w:t>
      </w:r>
      <w:r w:rsidR="00353CD0" w:rsidRPr="00E265AC">
        <w:rPr>
          <w:bCs/>
        </w:rPr>
        <w:t>completing</w:t>
      </w:r>
      <w:r w:rsidRPr="00E265AC">
        <w:rPr>
          <w:bCs/>
        </w:rPr>
        <w:t xml:space="preserve"> the </w:t>
      </w:r>
      <w:r w:rsidR="00353CD0" w:rsidRPr="00E265AC">
        <w:rPr>
          <w:bCs/>
        </w:rPr>
        <w:t>8-week</w:t>
      </w:r>
      <w:r w:rsidRPr="00E265AC">
        <w:rPr>
          <w:bCs/>
        </w:rPr>
        <w:t xml:space="preserve"> ICBT intervention</w:t>
      </w:r>
      <w:r w:rsidR="00F65751" w:rsidRPr="00E265AC">
        <w:rPr>
          <w:bCs/>
        </w:rPr>
        <w:t xml:space="preserve">. </w:t>
      </w:r>
      <w:r w:rsidRPr="00E265AC">
        <w:rPr>
          <w:bCs/>
        </w:rPr>
        <w:t>C</w:t>
      </w:r>
      <w:r w:rsidR="00EA2235" w:rsidRPr="00E265AC">
        <w:rPr>
          <w:bCs/>
        </w:rPr>
        <w:t>hanges were noted in terms of anxiety, depression, insomnia, and quality of life</w:t>
      </w:r>
      <w:r w:rsidRPr="00E265AC">
        <w:rPr>
          <w:bCs/>
        </w:rPr>
        <w:t xml:space="preserve"> postintervention</w:t>
      </w:r>
      <w:r w:rsidR="00EA2235" w:rsidRPr="00E265AC">
        <w:rPr>
          <w:bCs/>
        </w:rPr>
        <w:t xml:space="preserve"> as</w:t>
      </w:r>
      <w:r w:rsidRPr="00E265AC">
        <w:rPr>
          <w:bCs/>
        </w:rPr>
        <w:t xml:space="preserve"> seen</w:t>
      </w:r>
      <w:r w:rsidR="00EA2235" w:rsidRPr="00E265AC">
        <w:rPr>
          <w:bCs/>
        </w:rPr>
        <w:t xml:space="preserve"> in Table 2. </w:t>
      </w:r>
    </w:p>
    <w:p w14:paraId="467538F9" w14:textId="1A178406" w:rsidR="006F4298" w:rsidRPr="00E265AC" w:rsidRDefault="006F4298" w:rsidP="004F21AC">
      <w:pPr>
        <w:spacing w:line="480" w:lineRule="auto"/>
        <w:rPr>
          <w:bCs/>
        </w:rPr>
      </w:pPr>
    </w:p>
    <w:p w14:paraId="3E2CA6C8" w14:textId="59C62D88" w:rsidR="00EA2235" w:rsidRPr="00E265AC" w:rsidRDefault="007F4BC2" w:rsidP="004F21AC">
      <w:pPr>
        <w:spacing w:line="480" w:lineRule="auto"/>
        <w:rPr>
          <w:b/>
        </w:rPr>
      </w:pPr>
      <w:r w:rsidRPr="00E265AC">
        <w:rPr>
          <w:b/>
        </w:rPr>
        <w:t>&lt;Table 1 here&gt;</w:t>
      </w:r>
    </w:p>
    <w:p w14:paraId="22CDA3AF" w14:textId="6B57E299" w:rsidR="007F4BC2" w:rsidRPr="00E265AC" w:rsidRDefault="007F4BC2" w:rsidP="004F21AC">
      <w:pPr>
        <w:spacing w:line="480" w:lineRule="auto"/>
        <w:rPr>
          <w:b/>
        </w:rPr>
      </w:pPr>
      <w:r w:rsidRPr="00E265AC">
        <w:rPr>
          <w:b/>
        </w:rPr>
        <w:t>&lt;Table 2 here&gt;</w:t>
      </w:r>
    </w:p>
    <w:p w14:paraId="6AC24B23" w14:textId="77777777" w:rsidR="007F4BC2" w:rsidRPr="00E265AC" w:rsidRDefault="007F4BC2" w:rsidP="004F21AC">
      <w:pPr>
        <w:spacing w:line="480" w:lineRule="auto"/>
      </w:pPr>
    </w:p>
    <w:p w14:paraId="6988E492" w14:textId="2920D930" w:rsidR="006F4298" w:rsidRPr="00E265AC" w:rsidRDefault="002D4C25" w:rsidP="004F21AC">
      <w:pPr>
        <w:spacing w:line="480" w:lineRule="auto"/>
        <w:rPr>
          <w:b/>
        </w:rPr>
      </w:pPr>
      <w:r w:rsidRPr="00E265AC">
        <w:rPr>
          <w:b/>
        </w:rPr>
        <w:t xml:space="preserve">2.4 </w:t>
      </w:r>
      <w:r w:rsidR="006F4298" w:rsidRPr="00E265AC">
        <w:rPr>
          <w:b/>
        </w:rPr>
        <w:t>Data Analysis</w:t>
      </w:r>
    </w:p>
    <w:p w14:paraId="09399B10" w14:textId="4C291A42" w:rsidR="00BD23A3" w:rsidRPr="00E265AC" w:rsidRDefault="00BD23A3" w:rsidP="004F21AC">
      <w:pPr>
        <w:spacing w:line="480" w:lineRule="auto"/>
        <w:rPr>
          <w:color w:val="000000"/>
        </w:rPr>
      </w:pPr>
      <w:r w:rsidRPr="00E265AC">
        <w:rPr>
          <w:color w:val="000000"/>
        </w:rPr>
        <w:t xml:space="preserve">The data were analyzed using </w:t>
      </w:r>
      <w:r w:rsidR="00882663" w:rsidRPr="00E265AC">
        <w:rPr>
          <w:color w:val="000000"/>
        </w:rPr>
        <w:t xml:space="preserve">a series of qualitative (content analysis) and quantitative (i.e., Chi square analysis, similarities analysis, and prototypical analysis) analyses which are commonly used in previous social representation studies in the area of health and disability </w:t>
      </w:r>
      <w:r w:rsidRPr="00E265AC">
        <w:rPr>
          <w:color w:val="000000"/>
        </w:rPr>
        <w:t>(</w:t>
      </w:r>
      <w:r w:rsidR="00882663" w:rsidRPr="00E265AC">
        <w:rPr>
          <w:color w:val="212121"/>
          <w:shd w:val="clear" w:color="auto" w:fill="FFFFFF"/>
        </w:rPr>
        <w:t xml:space="preserve">Chundu et al., 2020, 2021; </w:t>
      </w:r>
      <w:r w:rsidR="00C47B52" w:rsidRPr="00E265AC">
        <w:rPr>
          <w:color w:val="212121"/>
          <w:shd w:val="clear" w:color="auto" w:fill="FFFFFF"/>
        </w:rPr>
        <w:t xml:space="preserve">Germundsson et al., 2018; </w:t>
      </w:r>
      <w:r w:rsidR="00882663" w:rsidRPr="00E265AC">
        <w:rPr>
          <w:color w:val="212121"/>
          <w:shd w:val="clear" w:color="auto" w:fill="FFFFFF"/>
        </w:rPr>
        <w:t>Manchaiah et al., 2015</w:t>
      </w:r>
      <w:r w:rsidR="00AD5537" w:rsidRPr="00E265AC">
        <w:rPr>
          <w:color w:val="212121"/>
          <w:shd w:val="clear" w:color="auto" w:fill="FFFFFF"/>
        </w:rPr>
        <w:t>a</w:t>
      </w:r>
      <w:r w:rsidR="00882663" w:rsidRPr="00E265AC">
        <w:rPr>
          <w:color w:val="212121"/>
          <w:shd w:val="clear" w:color="auto" w:fill="FFFFFF"/>
        </w:rPr>
        <w:t>, 2015</w:t>
      </w:r>
      <w:r w:rsidR="00AD5537" w:rsidRPr="00E265AC">
        <w:rPr>
          <w:color w:val="212121"/>
          <w:shd w:val="clear" w:color="auto" w:fill="FFFFFF"/>
        </w:rPr>
        <w:t>b</w:t>
      </w:r>
      <w:r w:rsidR="00882663" w:rsidRPr="00E265AC">
        <w:rPr>
          <w:color w:val="212121"/>
          <w:shd w:val="clear" w:color="auto" w:fill="FFFFFF"/>
        </w:rPr>
        <w:t xml:space="preserve">, </w:t>
      </w:r>
      <w:r w:rsidR="00882663" w:rsidRPr="00E265AC">
        <w:rPr>
          <w:color w:val="212121"/>
          <w:shd w:val="clear" w:color="auto" w:fill="FFFFFF"/>
        </w:rPr>
        <w:lastRenderedPageBreak/>
        <w:t>2017a, 2017b, 2019, 202</w:t>
      </w:r>
      <w:r w:rsidR="00235AF7" w:rsidRPr="00E265AC">
        <w:rPr>
          <w:color w:val="212121"/>
          <w:shd w:val="clear" w:color="auto" w:fill="FFFFFF"/>
        </w:rPr>
        <w:t>3</w:t>
      </w:r>
      <w:r w:rsidRPr="00E265AC">
        <w:rPr>
          <w:color w:val="000000"/>
        </w:rPr>
        <w:t xml:space="preserve">). </w:t>
      </w:r>
      <w:r w:rsidR="00882663" w:rsidRPr="00E265AC">
        <w:rPr>
          <w:color w:val="000000"/>
        </w:rPr>
        <w:t xml:space="preserve">The quantitative analyses were conducted using the text analysis software </w:t>
      </w:r>
      <w:proofErr w:type="spellStart"/>
      <w:r w:rsidR="00882663" w:rsidRPr="00E265AC">
        <w:rPr>
          <w:color w:val="000000"/>
        </w:rPr>
        <w:t>IraMuTeQ</w:t>
      </w:r>
      <w:proofErr w:type="spellEnd"/>
      <w:r w:rsidR="00882663" w:rsidRPr="00E265AC">
        <w:rPr>
          <w:color w:val="000000"/>
        </w:rPr>
        <w:t xml:space="preserve">. Generally, multiple analyses methods are used in social representation studies to have multidimensional understanding of the data </w:t>
      </w:r>
      <w:r w:rsidRPr="00E265AC">
        <w:rPr>
          <w:color w:val="000000"/>
        </w:rPr>
        <w:t xml:space="preserve">(Manchaiah et al., 2019). </w:t>
      </w:r>
    </w:p>
    <w:p w14:paraId="01FE6213" w14:textId="77777777" w:rsidR="00BD23A3" w:rsidRPr="00E265AC" w:rsidRDefault="00BD23A3" w:rsidP="004F21AC">
      <w:pPr>
        <w:spacing w:line="480" w:lineRule="auto"/>
        <w:rPr>
          <w:color w:val="000000"/>
        </w:rPr>
      </w:pPr>
    </w:p>
    <w:p w14:paraId="17051B4B" w14:textId="478AE19C" w:rsidR="00BD23A3" w:rsidRPr="00E265AC" w:rsidRDefault="00BD23A3" w:rsidP="004F21AC">
      <w:pPr>
        <w:spacing w:line="480" w:lineRule="auto"/>
      </w:pPr>
      <w:r w:rsidRPr="00E265AC">
        <w:rPr>
          <w:b/>
          <w:bCs/>
          <w:i/>
          <w:iCs/>
          <w:color w:val="000000"/>
        </w:rPr>
        <w:t>Content analysis:</w:t>
      </w:r>
      <w:r w:rsidRPr="00E265AC">
        <w:rPr>
          <w:color w:val="000000"/>
        </w:rPr>
        <w:t xml:space="preserve"> </w:t>
      </w:r>
      <w:r w:rsidR="00882663" w:rsidRPr="00E265AC">
        <w:rPr>
          <w:color w:val="000000"/>
        </w:rPr>
        <w:t xml:space="preserve">The </w:t>
      </w:r>
      <w:r w:rsidRPr="00E265AC">
        <w:rPr>
          <w:color w:val="000000"/>
        </w:rPr>
        <w:t xml:space="preserve">qualitative content analysis </w:t>
      </w:r>
      <w:r w:rsidR="00882663" w:rsidRPr="00E265AC">
        <w:rPr>
          <w:color w:val="000000"/>
        </w:rPr>
        <w:t xml:space="preserve">as described by </w:t>
      </w:r>
      <w:proofErr w:type="spellStart"/>
      <w:r w:rsidRPr="00E265AC">
        <w:rPr>
          <w:color w:val="212121"/>
          <w:shd w:val="clear" w:color="auto" w:fill="FFFFFF"/>
        </w:rPr>
        <w:t>Graneheim</w:t>
      </w:r>
      <w:proofErr w:type="spellEnd"/>
      <w:r w:rsidRPr="00E265AC">
        <w:rPr>
          <w:color w:val="212121"/>
          <w:shd w:val="clear" w:color="auto" w:fill="FFFFFF"/>
        </w:rPr>
        <w:t xml:space="preserve"> &amp; Lundman</w:t>
      </w:r>
      <w:r w:rsidR="00882663" w:rsidRPr="00E265AC">
        <w:rPr>
          <w:color w:val="212121"/>
          <w:shd w:val="clear" w:color="auto" w:fill="FFFFFF"/>
        </w:rPr>
        <w:t xml:space="preserve"> (</w:t>
      </w:r>
      <w:r w:rsidRPr="00E265AC">
        <w:rPr>
          <w:color w:val="212121"/>
          <w:shd w:val="clear" w:color="auto" w:fill="FFFFFF"/>
        </w:rPr>
        <w:t>2004)</w:t>
      </w:r>
      <w:r w:rsidR="00882663" w:rsidRPr="00E265AC">
        <w:rPr>
          <w:color w:val="212121"/>
          <w:shd w:val="clear" w:color="auto" w:fill="FFFFFF"/>
        </w:rPr>
        <w:t xml:space="preserve"> was </w:t>
      </w:r>
      <w:r w:rsidR="00882663" w:rsidRPr="00E265AC">
        <w:rPr>
          <w:color w:val="000000"/>
        </w:rPr>
        <w:t>used to analyze the response to free-association task</w:t>
      </w:r>
      <w:r w:rsidRPr="00E265AC">
        <w:rPr>
          <w:color w:val="212121"/>
          <w:shd w:val="clear" w:color="auto" w:fill="FFFFFF"/>
        </w:rPr>
        <w:t xml:space="preserve">. This involved the grouping of similar words (e.g., </w:t>
      </w:r>
      <w:r w:rsidR="00882663" w:rsidRPr="00E265AC">
        <w:rPr>
          <w:color w:val="000000"/>
        </w:rPr>
        <w:t>annoying, irritation, nuisance</w:t>
      </w:r>
      <w:r w:rsidRPr="00E265AC">
        <w:rPr>
          <w:color w:val="000000"/>
        </w:rPr>
        <w:t>) into a category (e.g., a</w:t>
      </w:r>
      <w:r w:rsidR="00882663" w:rsidRPr="00E265AC">
        <w:rPr>
          <w:color w:val="000000"/>
        </w:rPr>
        <w:t>nnoying</w:t>
      </w:r>
      <w:r w:rsidRPr="00E265AC">
        <w:rPr>
          <w:color w:val="000000"/>
        </w:rPr>
        <w:t>).</w:t>
      </w:r>
    </w:p>
    <w:p w14:paraId="39F4BC0E" w14:textId="77777777" w:rsidR="00BD23A3" w:rsidRPr="00E265AC" w:rsidRDefault="00BD23A3" w:rsidP="004F21AC">
      <w:pPr>
        <w:spacing w:line="480" w:lineRule="auto"/>
        <w:rPr>
          <w:color w:val="000000"/>
        </w:rPr>
      </w:pPr>
    </w:p>
    <w:p w14:paraId="7CDF2B37" w14:textId="701C24D9" w:rsidR="00BD23A3" w:rsidRPr="00E265AC" w:rsidRDefault="00BD23A3" w:rsidP="004F21AC">
      <w:pPr>
        <w:spacing w:line="480" w:lineRule="auto"/>
      </w:pPr>
      <w:r w:rsidRPr="00E265AC">
        <w:rPr>
          <w:b/>
          <w:bCs/>
          <w:i/>
          <w:iCs/>
          <w:color w:val="000000"/>
        </w:rPr>
        <w:t>Chi square analysis:</w:t>
      </w:r>
      <w:r w:rsidRPr="00E265AC">
        <w:rPr>
          <w:color w:val="000000"/>
        </w:rPr>
        <w:t xml:space="preserve"> The frequency of positive, neutral, and negative </w:t>
      </w:r>
      <w:r w:rsidR="00816698" w:rsidRPr="00E265AC">
        <w:rPr>
          <w:color w:val="000000"/>
        </w:rPr>
        <w:t xml:space="preserve">valance for the words/phrases </w:t>
      </w:r>
      <w:r w:rsidRPr="00E265AC">
        <w:rPr>
          <w:color w:val="000000"/>
        </w:rPr>
        <w:t>were counted</w:t>
      </w:r>
      <w:r w:rsidR="00816698" w:rsidRPr="00E265AC">
        <w:rPr>
          <w:color w:val="000000"/>
        </w:rPr>
        <w:t xml:space="preserve"> and the associations between valance and pre-post responses were </w:t>
      </w:r>
      <w:proofErr w:type="spellStart"/>
      <w:r w:rsidR="00816698" w:rsidRPr="00E265AC">
        <w:rPr>
          <w:color w:val="000000"/>
        </w:rPr>
        <w:t>analysed</w:t>
      </w:r>
      <w:proofErr w:type="spellEnd"/>
      <w:r w:rsidR="00816698" w:rsidRPr="00E265AC">
        <w:rPr>
          <w:color w:val="000000"/>
        </w:rPr>
        <w:t xml:space="preserve"> using the 3 x 2 </w:t>
      </w:r>
      <w:r w:rsidRPr="00E265AC">
        <w:rPr>
          <w:color w:val="000000"/>
        </w:rPr>
        <w:t xml:space="preserve">Chi square analysis (3 x 2). </w:t>
      </w:r>
    </w:p>
    <w:p w14:paraId="1889DDC9" w14:textId="77777777" w:rsidR="00BD23A3" w:rsidRPr="00E265AC" w:rsidRDefault="00BD23A3" w:rsidP="004F21AC">
      <w:pPr>
        <w:spacing w:line="480" w:lineRule="auto"/>
        <w:rPr>
          <w:color w:val="000000"/>
        </w:rPr>
      </w:pPr>
    </w:p>
    <w:p w14:paraId="7C0E24C8" w14:textId="5DD9AA97" w:rsidR="00BD23A3" w:rsidRPr="00E265AC" w:rsidRDefault="00BD23A3" w:rsidP="004F21AC">
      <w:pPr>
        <w:spacing w:line="480" w:lineRule="auto"/>
        <w:rPr>
          <w:color w:val="000000"/>
        </w:rPr>
      </w:pPr>
      <w:r w:rsidRPr="00E265AC">
        <w:rPr>
          <w:b/>
          <w:bCs/>
          <w:i/>
          <w:iCs/>
          <w:color w:val="000000"/>
        </w:rPr>
        <w:t>Similarities analysis:</w:t>
      </w:r>
      <w:r w:rsidRPr="00E265AC">
        <w:rPr>
          <w:color w:val="000000"/>
        </w:rPr>
        <w:t xml:space="preserve"> </w:t>
      </w:r>
      <w:r w:rsidR="0024723D" w:rsidRPr="00E265AC">
        <w:rPr>
          <w:color w:val="000000"/>
        </w:rPr>
        <w:t xml:space="preserve">This analysis is also referred to as co-occurrence analysis that involves examining the </w:t>
      </w:r>
      <w:r w:rsidR="003B1EA6" w:rsidRPr="00E265AC">
        <w:rPr>
          <w:color w:val="000000"/>
        </w:rPr>
        <w:t xml:space="preserve">most </w:t>
      </w:r>
      <w:r w:rsidR="00F54011" w:rsidRPr="00E265AC">
        <w:rPr>
          <w:color w:val="000000"/>
        </w:rPr>
        <w:t>frequent c</w:t>
      </w:r>
      <w:r w:rsidR="003B1EA6" w:rsidRPr="00E265AC">
        <w:rPr>
          <w:color w:val="000000"/>
        </w:rPr>
        <w:t xml:space="preserve">ategories as well as their interrelation to each other. The analysis conducted using the </w:t>
      </w:r>
      <w:proofErr w:type="spellStart"/>
      <w:r w:rsidR="003B1EA6" w:rsidRPr="00E265AC">
        <w:rPr>
          <w:color w:val="000000"/>
        </w:rPr>
        <w:t>IraMuTeQ</w:t>
      </w:r>
      <w:proofErr w:type="spellEnd"/>
      <w:r w:rsidR="003B1EA6" w:rsidRPr="00E265AC">
        <w:rPr>
          <w:color w:val="000000"/>
        </w:rPr>
        <w:t xml:space="preserve"> software and is based on the mathematical graph theory</w:t>
      </w:r>
      <w:r w:rsidRPr="00E265AC">
        <w:rPr>
          <w:color w:val="000000"/>
        </w:rPr>
        <w:t xml:space="preserve"> (Flament, 1965)</w:t>
      </w:r>
      <w:r w:rsidR="003B1EA6" w:rsidRPr="00E265AC">
        <w:rPr>
          <w:color w:val="000000"/>
        </w:rPr>
        <w:t xml:space="preserve">. The software output results in a two-dimensional with nodes and connections to each other nodes. The nodes in the graph represent the categories. The size of the nodes represents its frequency of occurrence (i.e., larger the node higher frequency of the category). The lines in between the nodes show the interconnections (links) between the categories. The thickness of lines represents the strength of connection. This analysis considers the categories and its associations but fails to consider the ranking </w:t>
      </w:r>
      <w:r w:rsidRPr="00E265AC">
        <w:rPr>
          <w:color w:val="000000"/>
        </w:rPr>
        <w:t>of each word</w:t>
      </w:r>
      <w:r w:rsidR="003B1EA6" w:rsidRPr="00E265AC">
        <w:rPr>
          <w:color w:val="000000"/>
        </w:rPr>
        <w:t xml:space="preserve">/phrase </w:t>
      </w:r>
      <w:r w:rsidRPr="00E265AC">
        <w:rPr>
          <w:color w:val="000000"/>
        </w:rPr>
        <w:t xml:space="preserve">listed. </w:t>
      </w:r>
    </w:p>
    <w:p w14:paraId="45A618C6" w14:textId="77777777" w:rsidR="00BD23A3" w:rsidRPr="00E265AC" w:rsidRDefault="00BD23A3" w:rsidP="004F21AC">
      <w:pPr>
        <w:spacing w:line="480" w:lineRule="auto"/>
        <w:rPr>
          <w:color w:val="000000"/>
        </w:rPr>
      </w:pPr>
    </w:p>
    <w:p w14:paraId="2893C654" w14:textId="220B453A" w:rsidR="00DD0921" w:rsidRPr="00E265AC" w:rsidRDefault="00BD23A3" w:rsidP="004F21AC">
      <w:pPr>
        <w:spacing w:line="480" w:lineRule="auto"/>
        <w:rPr>
          <w:color w:val="000000"/>
        </w:rPr>
      </w:pPr>
      <w:r w:rsidRPr="00E265AC">
        <w:rPr>
          <w:b/>
          <w:bCs/>
          <w:i/>
          <w:iCs/>
          <w:color w:val="000000"/>
        </w:rPr>
        <w:t>Prototypical analysis:</w:t>
      </w:r>
      <w:r w:rsidRPr="00E265AC">
        <w:rPr>
          <w:color w:val="000000"/>
        </w:rPr>
        <w:t xml:space="preserve"> </w:t>
      </w:r>
      <w:r w:rsidR="00637200" w:rsidRPr="00E265AC">
        <w:rPr>
          <w:color w:val="000000"/>
        </w:rPr>
        <w:t xml:space="preserve">Unlike the similarities analysis, the prototypical analysis considers both frequency as well as </w:t>
      </w:r>
      <w:r w:rsidR="001C19A8" w:rsidRPr="00E265AC">
        <w:rPr>
          <w:color w:val="000000"/>
        </w:rPr>
        <w:t xml:space="preserve">ranking (i.e., importance of ratings) of words/phrases for free </w:t>
      </w:r>
      <w:r w:rsidR="001C19A8" w:rsidRPr="00E265AC">
        <w:rPr>
          <w:color w:val="000000"/>
        </w:rPr>
        <w:lastRenderedPageBreak/>
        <w:t xml:space="preserve">association task. This analysis helps understand both the content as well as structure of social representation and is considered as most important among all the analyses discussed above. </w:t>
      </w:r>
      <w:r w:rsidR="008D77E3" w:rsidRPr="00E265AC">
        <w:rPr>
          <w:color w:val="000000"/>
        </w:rPr>
        <w:t xml:space="preserve">The output of prototypical analysis are presented in 2 x 2 matrix as indicated in Table </w:t>
      </w:r>
      <w:r w:rsidR="004D0F64" w:rsidRPr="00E265AC">
        <w:rPr>
          <w:color w:val="000000"/>
        </w:rPr>
        <w:t>3</w:t>
      </w:r>
      <w:r w:rsidR="005C03E2" w:rsidRPr="00E265AC">
        <w:rPr>
          <w:color w:val="000000"/>
        </w:rPr>
        <w:t xml:space="preserve"> </w:t>
      </w:r>
      <w:r w:rsidRPr="00E265AC">
        <w:rPr>
          <w:color w:val="000000"/>
        </w:rPr>
        <w:t>(</w:t>
      </w:r>
      <w:proofErr w:type="spellStart"/>
      <w:r w:rsidRPr="00E265AC">
        <w:rPr>
          <w:color w:val="000000"/>
        </w:rPr>
        <w:t>Abric</w:t>
      </w:r>
      <w:proofErr w:type="spellEnd"/>
      <w:r w:rsidRPr="00E265AC">
        <w:rPr>
          <w:color w:val="000000"/>
        </w:rPr>
        <w:t xml:space="preserve">, 1994). </w:t>
      </w:r>
      <w:r w:rsidR="008D77E3" w:rsidRPr="00E265AC">
        <w:rPr>
          <w:color w:val="000000"/>
        </w:rPr>
        <w:t>The four zones include central zone, first peripheral zone, second peripheral zone and contrasted elements are in its order of important. In other words, the categories in the central zone a</w:t>
      </w:r>
      <w:r w:rsidR="008D1078" w:rsidRPr="00E265AC">
        <w:rPr>
          <w:color w:val="000000"/>
        </w:rPr>
        <w:t>r</w:t>
      </w:r>
      <w:r w:rsidR="008D77E3" w:rsidRPr="00E265AC">
        <w:rPr>
          <w:color w:val="000000"/>
        </w:rPr>
        <w:t>e considered as the core social representations and are very stable (</w:t>
      </w:r>
      <w:proofErr w:type="spellStart"/>
      <w:r w:rsidR="008D77E3" w:rsidRPr="00E265AC">
        <w:rPr>
          <w:color w:val="000000"/>
        </w:rPr>
        <w:t>Abric</w:t>
      </w:r>
      <w:proofErr w:type="spellEnd"/>
      <w:r w:rsidR="008D77E3" w:rsidRPr="00E265AC">
        <w:rPr>
          <w:color w:val="000000"/>
        </w:rPr>
        <w:t xml:space="preserve">, 2003). </w:t>
      </w:r>
      <w:r w:rsidR="008D1078" w:rsidRPr="00E265AC">
        <w:rPr>
          <w:color w:val="000000"/>
        </w:rPr>
        <w:t xml:space="preserve">They are created from shared practices and memories of a particular community. </w:t>
      </w:r>
      <w:r w:rsidR="008D77E3" w:rsidRPr="00E265AC">
        <w:rPr>
          <w:color w:val="000000"/>
        </w:rPr>
        <w:t xml:space="preserve">On the other hand, the peripheral elements are considered less stable as they vary across people and environments. </w:t>
      </w:r>
      <w:r w:rsidR="00A41CF5" w:rsidRPr="00E265AC">
        <w:rPr>
          <w:color w:val="000000"/>
        </w:rPr>
        <w:t>The contrasted elements highlight sub-group of population</w:t>
      </w:r>
      <w:r w:rsidR="008D1078" w:rsidRPr="00E265AC">
        <w:rPr>
          <w:color w:val="000000"/>
        </w:rPr>
        <w:t>s</w:t>
      </w:r>
      <w:r w:rsidR="00A41CF5" w:rsidRPr="00E265AC">
        <w:rPr>
          <w:color w:val="000000"/>
        </w:rPr>
        <w:t xml:space="preserve"> that has </w:t>
      </w:r>
      <w:r w:rsidR="005749A0" w:rsidRPr="00E265AC">
        <w:rPr>
          <w:color w:val="000000"/>
        </w:rPr>
        <w:t xml:space="preserve">a </w:t>
      </w:r>
      <w:r w:rsidR="00353CD0" w:rsidRPr="00E265AC">
        <w:rPr>
          <w:color w:val="000000"/>
        </w:rPr>
        <w:t>different priority</w:t>
      </w:r>
      <w:r w:rsidR="00A41CF5" w:rsidRPr="00E265AC">
        <w:rPr>
          <w:color w:val="000000"/>
        </w:rPr>
        <w:t xml:space="preserve"> than the general (majority) of the population</w:t>
      </w:r>
      <w:r w:rsidR="005749A0" w:rsidRPr="00E265AC">
        <w:rPr>
          <w:color w:val="000000"/>
        </w:rPr>
        <w:t xml:space="preserve"> (</w:t>
      </w:r>
      <w:proofErr w:type="spellStart"/>
      <w:r w:rsidR="005749A0" w:rsidRPr="00E265AC">
        <w:rPr>
          <w:color w:val="000000"/>
        </w:rPr>
        <w:t>Abric</w:t>
      </w:r>
      <w:proofErr w:type="spellEnd"/>
      <w:r w:rsidR="005749A0" w:rsidRPr="00E265AC">
        <w:rPr>
          <w:color w:val="000000"/>
        </w:rPr>
        <w:t>, 2003)</w:t>
      </w:r>
      <w:r w:rsidR="00A41CF5" w:rsidRPr="00E265AC">
        <w:rPr>
          <w:color w:val="000000"/>
        </w:rPr>
        <w:t>.</w:t>
      </w:r>
    </w:p>
    <w:p w14:paraId="15638DF4" w14:textId="77777777" w:rsidR="008D77E3" w:rsidRPr="00E265AC" w:rsidRDefault="008D77E3" w:rsidP="004F21AC">
      <w:pPr>
        <w:spacing w:line="480" w:lineRule="auto"/>
        <w:rPr>
          <w:color w:val="000000"/>
        </w:rPr>
      </w:pPr>
    </w:p>
    <w:p w14:paraId="6139CA83" w14:textId="3308CCB8" w:rsidR="007F4BC2" w:rsidRPr="00E265AC" w:rsidRDefault="007F4BC2" w:rsidP="004F21AC">
      <w:pPr>
        <w:spacing w:line="480" w:lineRule="auto"/>
        <w:rPr>
          <w:b/>
        </w:rPr>
      </w:pPr>
      <w:r w:rsidRPr="00E265AC">
        <w:rPr>
          <w:b/>
        </w:rPr>
        <w:t>&lt;Table 3 here&gt;</w:t>
      </w:r>
    </w:p>
    <w:p w14:paraId="009640A7" w14:textId="77777777" w:rsidR="007F4BC2" w:rsidRPr="00E265AC" w:rsidRDefault="007F4BC2" w:rsidP="004F21AC">
      <w:pPr>
        <w:spacing w:line="480" w:lineRule="auto"/>
        <w:rPr>
          <w:b/>
        </w:rPr>
      </w:pPr>
    </w:p>
    <w:p w14:paraId="4FD79084" w14:textId="4BCBD2FD" w:rsidR="00570D3D" w:rsidRPr="00E265AC" w:rsidRDefault="00570D3D" w:rsidP="002D4C25">
      <w:pPr>
        <w:pStyle w:val="ListParagraph"/>
        <w:numPr>
          <w:ilvl w:val="0"/>
          <w:numId w:val="9"/>
        </w:numPr>
        <w:spacing w:line="480" w:lineRule="auto"/>
        <w:rPr>
          <w:b/>
          <w:sz w:val="28"/>
          <w:szCs w:val="28"/>
        </w:rPr>
      </w:pPr>
      <w:r w:rsidRPr="00E265AC">
        <w:rPr>
          <w:b/>
          <w:sz w:val="28"/>
          <w:szCs w:val="28"/>
        </w:rPr>
        <w:t>Results</w:t>
      </w:r>
    </w:p>
    <w:p w14:paraId="1BD005E0" w14:textId="0561BEE3" w:rsidR="00570D3D" w:rsidRPr="00E265AC" w:rsidRDefault="002D4C25" w:rsidP="004F21AC">
      <w:pPr>
        <w:spacing w:line="480" w:lineRule="auto"/>
        <w:rPr>
          <w:b/>
        </w:rPr>
      </w:pPr>
      <w:r w:rsidRPr="00E265AC">
        <w:rPr>
          <w:b/>
        </w:rPr>
        <w:t xml:space="preserve">3.1 </w:t>
      </w:r>
      <w:r w:rsidR="00BD23A3" w:rsidRPr="00E265AC">
        <w:rPr>
          <w:b/>
        </w:rPr>
        <w:t>Content Analysis</w:t>
      </w:r>
    </w:p>
    <w:p w14:paraId="3CC62B53" w14:textId="1A9A4AD7" w:rsidR="00BD23A3" w:rsidRPr="00E265AC" w:rsidRDefault="006525D3" w:rsidP="004F21AC">
      <w:pPr>
        <w:spacing w:line="480" w:lineRule="auto"/>
        <w:rPr>
          <w:bCs/>
        </w:rPr>
      </w:pPr>
      <w:r w:rsidRPr="00E265AC">
        <w:rPr>
          <w:bCs/>
        </w:rPr>
        <w:t xml:space="preserve">The key categories </w:t>
      </w:r>
      <w:r w:rsidR="008931D8" w:rsidRPr="00E265AC">
        <w:rPr>
          <w:bCs/>
        </w:rPr>
        <w:t xml:space="preserve">that </w:t>
      </w:r>
      <w:r w:rsidRPr="00E265AC">
        <w:rPr>
          <w:bCs/>
        </w:rPr>
        <w:t xml:space="preserve">emerged from content analysis of responses to </w:t>
      </w:r>
      <w:r w:rsidR="008931D8" w:rsidRPr="00E265AC">
        <w:rPr>
          <w:bCs/>
        </w:rPr>
        <w:t xml:space="preserve">the </w:t>
      </w:r>
      <w:r w:rsidRPr="00E265AC">
        <w:rPr>
          <w:bCs/>
        </w:rPr>
        <w:t xml:space="preserve">free association task about tinnitus before and after ICBT are provided in Table 4. The most common categories pre-intervention were: description of tinnitus (15.7%), annoying (15%), persistent (7.8%), frustrating (4.7%), hearing difficulties (4.7%), distressing (4.5%), and distracting (4.1%). The most frequently occurring categories following the ICBT were: description of tinnitus (21%), annoying (11.7%), persistent (10.7%), accepting (6.9%), manageable (4%), and distracting (4%). Several categories that were present in pre-intervention were absent in post-intervention responses (i.e., </w:t>
      </w:r>
      <w:r w:rsidR="00DE0D8B" w:rsidRPr="00E265AC">
        <w:rPr>
          <w:bCs/>
        </w:rPr>
        <w:t>calming, determination, disturbing, life</w:t>
      </w:r>
      <w:r w:rsidRPr="00E265AC">
        <w:rPr>
          <w:bCs/>
        </w:rPr>
        <w:t>. Also, several new categories were emerged during post-intervention (i.e.,</w:t>
      </w:r>
      <w:r w:rsidR="00DE0D8B" w:rsidRPr="00E265AC">
        <w:rPr>
          <w:bCs/>
        </w:rPr>
        <w:t xml:space="preserve"> changing condition, hearing health, manageable, mental wellness, and take control</w:t>
      </w:r>
      <w:r w:rsidRPr="00E265AC">
        <w:rPr>
          <w:bCs/>
        </w:rPr>
        <w:t xml:space="preserve">). </w:t>
      </w:r>
    </w:p>
    <w:p w14:paraId="4FB72696" w14:textId="77777777" w:rsidR="00FD6E25" w:rsidRPr="00E265AC" w:rsidRDefault="00FD6E25" w:rsidP="004F21AC">
      <w:pPr>
        <w:spacing w:line="480" w:lineRule="auto"/>
      </w:pPr>
    </w:p>
    <w:p w14:paraId="051ABD0E" w14:textId="26388534" w:rsidR="007F4BC2" w:rsidRPr="00E265AC" w:rsidRDefault="007F4BC2" w:rsidP="004F21AC">
      <w:pPr>
        <w:spacing w:line="480" w:lineRule="auto"/>
        <w:rPr>
          <w:b/>
        </w:rPr>
      </w:pPr>
      <w:r w:rsidRPr="00E265AC">
        <w:rPr>
          <w:b/>
        </w:rPr>
        <w:t>&lt;Table 4 here&gt;</w:t>
      </w:r>
    </w:p>
    <w:p w14:paraId="618BE6ED" w14:textId="77777777" w:rsidR="007F4BC2" w:rsidRPr="00E265AC" w:rsidRDefault="007F4BC2" w:rsidP="004F21AC">
      <w:pPr>
        <w:spacing w:line="480" w:lineRule="auto"/>
        <w:rPr>
          <w:b/>
        </w:rPr>
      </w:pPr>
    </w:p>
    <w:p w14:paraId="2ECAA6A1" w14:textId="13B1BF48" w:rsidR="00BD23A3" w:rsidRPr="00E265AC" w:rsidRDefault="002D4C25" w:rsidP="004F21AC">
      <w:pPr>
        <w:spacing w:line="480" w:lineRule="auto"/>
        <w:rPr>
          <w:b/>
          <w:bCs/>
        </w:rPr>
      </w:pPr>
      <w:r w:rsidRPr="00E265AC">
        <w:rPr>
          <w:b/>
          <w:bCs/>
        </w:rPr>
        <w:t xml:space="preserve">3.2 </w:t>
      </w:r>
      <w:r w:rsidR="00BD23A3" w:rsidRPr="00E265AC">
        <w:rPr>
          <w:b/>
          <w:bCs/>
        </w:rPr>
        <w:t xml:space="preserve">Connotations </w:t>
      </w:r>
      <w:r w:rsidR="00D7658A" w:rsidRPr="00E265AC">
        <w:rPr>
          <w:b/>
          <w:bCs/>
        </w:rPr>
        <w:t>Associated with Free Association Responses</w:t>
      </w:r>
    </w:p>
    <w:p w14:paraId="38541D33" w14:textId="2744DCFE" w:rsidR="00BD23A3" w:rsidRPr="00E265AC" w:rsidRDefault="00130955" w:rsidP="004F21AC">
      <w:pPr>
        <w:spacing w:line="480" w:lineRule="auto"/>
      </w:pPr>
      <w:r w:rsidRPr="00E265AC">
        <w:t>Figure 1 shows the positive, neutral, and negative valance of free association task responses about tinnitus before or after the ICBT. The negative associations decreased from 81% to 56% after the intervention. Also, the positive and neutral connotations were increased from 8</w:t>
      </w:r>
      <w:r w:rsidR="00AD0095" w:rsidRPr="00E265AC">
        <w:t>%</w:t>
      </w:r>
      <w:r w:rsidRPr="00E265AC">
        <w:t xml:space="preserve"> and 1</w:t>
      </w:r>
      <w:r w:rsidR="00AD0095" w:rsidRPr="00E265AC">
        <w:t>1%</w:t>
      </w:r>
      <w:r w:rsidRPr="00E265AC">
        <w:t xml:space="preserve"> to 22</w:t>
      </w:r>
      <w:r w:rsidR="00AD0095" w:rsidRPr="00E265AC">
        <w:t>%</w:t>
      </w:r>
      <w:r w:rsidRPr="00E265AC">
        <w:t xml:space="preserve"> and 22</w:t>
      </w:r>
      <w:r w:rsidR="00AD0095" w:rsidRPr="00E265AC">
        <w:t>%</w:t>
      </w:r>
      <w:r w:rsidRPr="00E265AC">
        <w:t xml:space="preserve">, respectively after the intervention. The Chi square analysis showed a significant association (Chi square value = 77.3; </w:t>
      </w:r>
      <w:r w:rsidRPr="00E265AC">
        <w:rPr>
          <w:i/>
          <w:iCs/>
        </w:rPr>
        <w:t>p</w:t>
      </w:r>
      <w:r w:rsidRPr="00E265AC">
        <w:t xml:space="preserve"> &lt; .00001) between connotations and </w:t>
      </w:r>
      <w:r w:rsidR="008D1078" w:rsidRPr="00E265AC">
        <w:t xml:space="preserve">the </w:t>
      </w:r>
      <w:r w:rsidRPr="00E265AC">
        <w:t>timing of response</w:t>
      </w:r>
      <w:r w:rsidR="008D1078" w:rsidRPr="00E265AC">
        <w:t>s</w:t>
      </w:r>
      <w:r w:rsidRPr="00E265AC">
        <w:t xml:space="preserve"> (i.e., pre vs post intervention). </w:t>
      </w:r>
    </w:p>
    <w:p w14:paraId="66F52178" w14:textId="77777777" w:rsidR="00BD23A3" w:rsidRPr="00E265AC" w:rsidRDefault="00BD23A3" w:rsidP="004F21AC">
      <w:pPr>
        <w:spacing w:line="480" w:lineRule="auto"/>
      </w:pPr>
    </w:p>
    <w:p w14:paraId="4E69F487" w14:textId="350230DD" w:rsidR="007F4BC2" w:rsidRPr="00E265AC" w:rsidRDefault="007F4BC2" w:rsidP="004F21AC">
      <w:pPr>
        <w:spacing w:line="480" w:lineRule="auto"/>
        <w:rPr>
          <w:b/>
        </w:rPr>
      </w:pPr>
      <w:r w:rsidRPr="00E265AC">
        <w:rPr>
          <w:b/>
        </w:rPr>
        <w:t>&lt;Figure 1 here&gt;</w:t>
      </w:r>
    </w:p>
    <w:p w14:paraId="33BF1BF3" w14:textId="77777777" w:rsidR="007F4BC2" w:rsidRPr="00E265AC" w:rsidRDefault="007F4BC2" w:rsidP="004F21AC">
      <w:pPr>
        <w:spacing w:line="480" w:lineRule="auto"/>
        <w:rPr>
          <w:b/>
        </w:rPr>
      </w:pPr>
    </w:p>
    <w:p w14:paraId="3789664E" w14:textId="38AD9C82" w:rsidR="009B2B12" w:rsidRPr="00E265AC" w:rsidRDefault="002D4C25" w:rsidP="004F21AC">
      <w:pPr>
        <w:spacing w:line="480" w:lineRule="auto"/>
        <w:rPr>
          <w:b/>
          <w:bCs/>
        </w:rPr>
      </w:pPr>
      <w:r w:rsidRPr="00E265AC">
        <w:rPr>
          <w:b/>
          <w:bCs/>
        </w:rPr>
        <w:t xml:space="preserve">3.3 </w:t>
      </w:r>
      <w:r w:rsidR="009B2B12" w:rsidRPr="00E265AC">
        <w:rPr>
          <w:b/>
          <w:bCs/>
        </w:rPr>
        <w:t xml:space="preserve">Similarities </w:t>
      </w:r>
      <w:r w:rsidR="00BD23A3" w:rsidRPr="00E265AC">
        <w:rPr>
          <w:b/>
          <w:bCs/>
        </w:rPr>
        <w:t>A</w:t>
      </w:r>
      <w:r w:rsidR="009B2B12" w:rsidRPr="00E265AC">
        <w:rPr>
          <w:b/>
          <w:bCs/>
        </w:rPr>
        <w:t>nalysis</w:t>
      </w:r>
    </w:p>
    <w:p w14:paraId="20F121E6" w14:textId="5DD829D9" w:rsidR="00BD23A3" w:rsidRPr="00E265AC" w:rsidRDefault="003133AF" w:rsidP="004F21AC">
      <w:pPr>
        <w:spacing w:line="480" w:lineRule="auto"/>
      </w:pPr>
      <w:r w:rsidRPr="00E265AC">
        <w:t xml:space="preserve">The results of similarities analysis of responses to social representation before and after the intervention are presented in Figures 2 and 3, respectively. Both pre- and post-intervention similarities have three common dominant nodes which include the categories description of tinnitus, annoying, and persistent. However, the post-intervention similarities analysis has a new node representing the category accepting which is linked to categories such as hoping and coping strategies. </w:t>
      </w:r>
    </w:p>
    <w:p w14:paraId="1E143AEE" w14:textId="77777777" w:rsidR="00BD23A3" w:rsidRPr="00E265AC" w:rsidRDefault="00BD23A3" w:rsidP="004F21AC">
      <w:pPr>
        <w:spacing w:line="480" w:lineRule="auto"/>
      </w:pPr>
    </w:p>
    <w:p w14:paraId="75F9CD31" w14:textId="1969484A" w:rsidR="009B2B12" w:rsidRPr="00E265AC" w:rsidRDefault="007F4BC2" w:rsidP="004F21AC">
      <w:pPr>
        <w:spacing w:line="480" w:lineRule="auto"/>
        <w:rPr>
          <w:b/>
        </w:rPr>
      </w:pPr>
      <w:r w:rsidRPr="00E265AC">
        <w:rPr>
          <w:b/>
        </w:rPr>
        <w:t>&lt;Figure 2 here&gt;</w:t>
      </w:r>
    </w:p>
    <w:p w14:paraId="432DA37C" w14:textId="600E0AC8" w:rsidR="007F4BC2" w:rsidRPr="00E265AC" w:rsidRDefault="007F4BC2" w:rsidP="004F21AC">
      <w:pPr>
        <w:spacing w:line="480" w:lineRule="auto"/>
        <w:rPr>
          <w:b/>
        </w:rPr>
      </w:pPr>
      <w:r w:rsidRPr="00E265AC">
        <w:rPr>
          <w:b/>
        </w:rPr>
        <w:t>&lt;Figure 3 here&gt;</w:t>
      </w:r>
    </w:p>
    <w:p w14:paraId="1585A593" w14:textId="77777777" w:rsidR="007F4BC2" w:rsidRPr="00E265AC" w:rsidRDefault="007F4BC2" w:rsidP="004F21AC">
      <w:pPr>
        <w:spacing w:line="480" w:lineRule="auto"/>
      </w:pPr>
    </w:p>
    <w:p w14:paraId="3B6D2E4C" w14:textId="788049EC" w:rsidR="00BD23A3" w:rsidRPr="00E265AC" w:rsidRDefault="002D4C25" w:rsidP="004F21AC">
      <w:pPr>
        <w:spacing w:line="480" w:lineRule="auto"/>
        <w:rPr>
          <w:b/>
          <w:bCs/>
        </w:rPr>
      </w:pPr>
      <w:r w:rsidRPr="00E265AC">
        <w:rPr>
          <w:b/>
          <w:bCs/>
        </w:rPr>
        <w:t xml:space="preserve">3.4 </w:t>
      </w:r>
      <w:r w:rsidR="00BD23A3" w:rsidRPr="00E265AC">
        <w:rPr>
          <w:b/>
          <w:bCs/>
        </w:rPr>
        <w:t>Prototypical Analysis</w:t>
      </w:r>
    </w:p>
    <w:p w14:paraId="6695E0DD" w14:textId="17DEC256" w:rsidR="00BD23A3" w:rsidRPr="00E265AC" w:rsidRDefault="003133AF" w:rsidP="004F21AC">
      <w:pPr>
        <w:spacing w:line="480" w:lineRule="auto"/>
      </w:pPr>
      <w:r w:rsidRPr="00E265AC">
        <w:lastRenderedPageBreak/>
        <w:t>In earlier sections we discussed the content analysis in terms of key categories as well as its frequency. The similarities analysis considers both frequency of categories as well as its interconnectedness. However, the prototypical analysis presented in these sections considers both frequency as well as ranking</w:t>
      </w:r>
      <w:r w:rsidR="0086464C" w:rsidRPr="00E265AC">
        <w:t>. Tables 5 and 6 presents the results of prot</w:t>
      </w:r>
      <w:r w:rsidR="00B32386" w:rsidRPr="00E265AC">
        <w:t xml:space="preserve">otypical analysis before and after the intervention, respectively. </w:t>
      </w:r>
      <w:r w:rsidR="00907D4F" w:rsidRPr="00E265AC">
        <w:t xml:space="preserve">The central zone of both pre- and post-intervention includes categories description of tinnitus, annoying, and persistent. The categories frustrating, bothersome and debilitating that were present in pre-intervention were absent at post-intervention. </w:t>
      </w:r>
      <w:r w:rsidR="00A922D8" w:rsidRPr="00E265AC">
        <w:t xml:space="preserve">The pre-intervention categories in first periphery were generally negative (i.e., hearing difficulties, distressing, distracting, helplessness, and exhausting). However, more positive categories (i.e., manageable, distracting, mental wellness, take control) were emerged in first periphery of post-intervention. </w:t>
      </w:r>
      <w:r w:rsidR="00921DFB" w:rsidRPr="00E265AC">
        <w:t xml:space="preserve">Some changes were also noted in second periphery and contrasted elements in post-intervention when compared to pre-intervention results. </w:t>
      </w:r>
    </w:p>
    <w:p w14:paraId="5728228F" w14:textId="77777777" w:rsidR="00BD23A3" w:rsidRPr="00E265AC" w:rsidRDefault="00BD23A3" w:rsidP="004F21AC">
      <w:pPr>
        <w:spacing w:line="480" w:lineRule="auto"/>
        <w:rPr>
          <w:b/>
        </w:rPr>
      </w:pPr>
    </w:p>
    <w:p w14:paraId="15C09012" w14:textId="5B45EAFD" w:rsidR="007F4BC2" w:rsidRPr="00E265AC" w:rsidRDefault="007F4BC2" w:rsidP="004F21AC">
      <w:pPr>
        <w:spacing w:line="480" w:lineRule="auto"/>
        <w:rPr>
          <w:b/>
        </w:rPr>
      </w:pPr>
      <w:r w:rsidRPr="00E265AC">
        <w:rPr>
          <w:b/>
        </w:rPr>
        <w:t>&lt;Table 5 here&gt;</w:t>
      </w:r>
    </w:p>
    <w:p w14:paraId="1763CE38" w14:textId="02B8D9E5" w:rsidR="007F4BC2" w:rsidRPr="00E265AC" w:rsidRDefault="007F4BC2" w:rsidP="004F21AC">
      <w:pPr>
        <w:spacing w:line="480" w:lineRule="auto"/>
        <w:rPr>
          <w:b/>
        </w:rPr>
      </w:pPr>
      <w:r w:rsidRPr="00E265AC">
        <w:rPr>
          <w:b/>
        </w:rPr>
        <w:t>&lt;Table 6 here&gt;</w:t>
      </w:r>
    </w:p>
    <w:p w14:paraId="545304B3" w14:textId="77777777" w:rsidR="007F4BC2" w:rsidRPr="00E265AC" w:rsidRDefault="007F4BC2" w:rsidP="004F21AC">
      <w:pPr>
        <w:spacing w:line="480" w:lineRule="auto"/>
        <w:rPr>
          <w:b/>
          <w:sz w:val="28"/>
          <w:szCs w:val="28"/>
        </w:rPr>
      </w:pPr>
    </w:p>
    <w:p w14:paraId="4BBC4ADD" w14:textId="7868A387" w:rsidR="00570D3D" w:rsidRPr="00E265AC" w:rsidRDefault="00570D3D" w:rsidP="002D4C25">
      <w:pPr>
        <w:pStyle w:val="ListParagraph"/>
        <w:numPr>
          <w:ilvl w:val="0"/>
          <w:numId w:val="9"/>
        </w:numPr>
        <w:spacing w:line="480" w:lineRule="auto"/>
        <w:rPr>
          <w:b/>
          <w:sz w:val="28"/>
          <w:szCs w:val="28"/>
        </w:rPr>
      </w:pPr>
      <w:r w:rsidRPr="00E265AC">
        <w:rPr>
          <w:b/>
          <w:sz w:val="28"/>
          <w:szCs w:val="28"/>
        </w:rPr>
        <w:t>Discussion</w:t>
      </w:r>
    </w:p>
    <w:p w14:paraId="1190E6F1" w14:textId="79A8ADF5" w:rsidR="00570D3D" w:rsidRPr="00E265AC" w:rsidRDefault="000C3B49" w:rsidP="004F21AC">
      <w:pPr>
        <w:spacing w:line="480" w:lineRule="auto"/>
        <w:rPr>
          <w:bCs/>
        </w:rPr>
      </w:pPr>
      <w:r w:rsidRPr="00E265AC">
        <w:rPr>
          <w:bCs/>
        </w:rPr>
        <w:t xml:space="preserve">The current study examined the change in social representations of tinnitus following ICBT. This study used a new theoretical perspective as well as a methodology to examine the outcomes of ICBT. The data </w:t>
      </w:r>
      <w:r w:rsidR="008A4110" w:rsidRPr="00E265AC">
        <w:rPr>
          <w:bCs/>
        </w:rPr>
        <w:t xml:space="preserve">were </w:t>
      </w:r>
      <w:r w:rsidRPr="00E265AC">
        <w:rPr>
          <w:bCs/>
        </w:rPr>
        <w:t xml:space="preserve">analyzed using various approaches used in SRT and the key findings in relations to broader tinnitus literature are discussed below. </w:t>
      </w:r>
    </w:p>
    <w:p w14:paraId="7B06C445" w14:textId="4DA4948F" w:rsidR="000C3B49" w:rsidRPr="00E265AC" w:rsidRDefault="000C3B49" w:rsidP="004F21AC">
      <w:pPr>
        <w:spacing w:line="480" w:lineRule="auto"/>
        <w:rPr>
          <w:bCs/>
        </w:rPr>
      </w:pPr>
    </w:p>
    <w:p w14:paraId="6B1E1BB1" w14:textId="611B5533" w:rsidR="00B337E7" w:rsidRPr="00E265AC" w:rsidRDefault="00B337E7" w:rsidP="004F21AC">
      <w:pPr>
        <w:spacing w:line="480" w:lineRule="auto"/>
        <w:rPr>
          <w:bCs/>
        </w:rPr>
      </w:pPr>
      <w:r w:rsidRPr="00E265AC">
        <w:rPr>
          <w:bCs/>
        </w:rPr>
        <w:t xml:space="preserve">Examining the categories and frequencies (see Table 4) highlight some commonalities and differences in responses during pre- and post-intervention. </w:t>
      </w:r>
      <w:r w:rsidR="00FD1BB3" w:rsidRPr="00E265AC">
        <w:rPr>
          <w:bCs/>
        </w:rPr>
        <w:t xml:space="preserve">The </w:t>
      </w:r>
      <w:r w:rsidRPr="00E265AC">
        <w:rPr>
          <w:bCs/>
        </w:rPr>
        <w:t>description of tinnitus</w:t>
      </w:r>
      <w:r w:rsidR="00FD1BB3" w:rsidRPr="00E265AC">
        <w:rPr>
          <w:bCs/>
        </w:rPr>
        <w:t xml:space="preserve"> </w:t>
      </w:r>
      <w:r w:rsidR="008A4110" w:rsidRPr="00E265AC">
        <w:rPr>
          <w:bCs/>
        </w:rPr>
        <w:lastRenderedPageBreak/>
        <w:t xml:space="preserve">increased </w:t>
      </w:r>
      <w:r w:rsidR="00FD1BB3" w:rsidRPr="00E265AC">
        <w:rPr>
          <w:bCs/>
        </w:rPr>
        <w:t>post-intervention from</w:t>
      </w:r>
      <w:r w:rsidRPr="00E265AC">
        <w:rPr>
          <w:bCs/>
        </w:rPr>
        <w:t xml:space="preserve"> 15.7% </w:t>
      </w:r>
      <w:r w:rsidR="00FD1BB3" w:rsidRPr="00E265AC">
        <w:rPr>
          <w:bCs/>
        </w:rPr>
        <w:t>to</w:t>
      </w:r>
      <w:r w:rsidRPr="00E265AC">
        <w:rPr>
          <w:bCs/>
        </w:rPr>
        <w:t xml:space="preserve"> 21%</w:t>
      </w:r>
      <w:r w:rsidR="00FD1BB3" w:rsidRPr="00E265AC">
        <w:rPr>
          <w:bCs/>
        </w:rPr>
        <w:t>. This could be related to the focus of the intervention regarding accepting the tinnitus, being able to focus on it and listen to the sound (Beukes et al., 202</w:t>
      </w:r>
      <w:r w:rsidR="00353CD0" w:rsidRPr="00E265AC">
        <w:rPr>
          <w:bCs/>
        </w:rPr>
        <w:t>0</w:t>
      </w:r>
      <w:r w:rsidR="00FD1BB3" w:rsidRPr="00E265AC">
        <w:rPr>
          <w:bCs/>
        </w:rPr>
        <w:t>). Tinnitus was less commonly</w:t>
      </w:r>
      <w:r w:rsidRPr="00E265AC">
        <w:rPr>
          <w:bCs/>
        </w:rPr>
        <w:t xml:space="preserve"> annoying (15% before and 11.7% after),</w:t>
      </w:r>
      <w:r w:rsidR="00FD1BB3" w:rsidRPr="00E265AC">
        <w:rPr>
          <w:bCs/>
        </w:rPr>
        <w:t xml:space="preserve"> however described as</w:t>
      </w:r>
      <w:r w:rsidRPr="00E265AC">
        <w:rPr>
          <w:bCs/>
        </w:rPr>
        <w:t xml:space="preserve"> persistent</w:t>
      </w:r>
      <w:r w:rsidR="00FD1BB3" w:rsidRPr="00E265AC">
        <w:rPr>
          <w:bCs/>
        </w:rPr>
        <w:t xml:space="preserve"> more frequently</w:t>
      </w:r>
      <w:r w:rsidRPr="00E265AC">
        <w:rPr>
          <w:bCs/>
        </w:rPr>
        <w:t xml:space="preserve"> (7.8% before and 10.7% after). </w:t>
      </w:r>
      <w:r w:rsidR="00FD1BB3" w:rsidRPr="00E265AC">
        <w:rPr>
          <w:bCs/>
        </w:rPr>
        <w:t xml:space="preserve">This may again reflect participants indicating acceptance despite the nature of the tinnitus. </w:t>
      </w:r>
      <w:r w:rsidR="00727E69" w:rsidRPr="00E265AC">
        <w:rPr>
          <w:bCs/>
        </w:rPr>
        <w:t>It was encouraging that the</w:t>
      </w:r>
      <w:r w:rsidR="00353CD0" w:rsidRPr="00E265AC">
        <w:rPr>
          <w:bCs/>
        </w:rPr>
        <w:t xml:space="preserve"> </w:t>
      </w:r>
      <w:r w:rsidRPr="00E265AC">
        <w:rPr>
          <w:bCs/>
        </w:rPr>
        <w:t xml:space="preserve">most frequently occurring categories pre-intervention </w:t>
      </w:r>
      <w:r w:rsidR="00EA6C43" w:rsidRPr="00E265AC">
        <w:rPr>
          <w:bCs/>
        </w:rPr>
        <w:t>frustrating (4.7%), hearing difficulties (4.7%), distressing (4.5%), and distracting (4.1%)</w:t>
      </w:r>
      <w:r w:rsidRPr="00E265AC">
        <w:rPr>
          <w:bCs/>
        </w:rPr>
        <w:t>,</w:t>
      </w:r>
      <w:r w:rsidR="00727E69" w:rsidRPr="00E265AC">
        <w:rPr>
          <w:bCs/>
        </w:rPr>
        <w:t xml:space="preserve"> were less reported </w:t>
      </w:r>
      <w:r w:rsidR="00353CD0" w:rsidRPr="00E265AC">
        <w:rPr>
          <w:bCs/>
        </w:rPr>
        <w:t xml:space="preserve">frequently at </w:t>
      </w:r>
      <w:r w:rsidRPr="00E265AC">
        <w:rPr>
          <w:bCs/>
        </w:rPr>
        <w:t>pos</w:t>
      </w:r>
      <w:r w:rsidR="00727E69" w:rsidRPr="00E265AC">
        <w:rPr>
          <w:bCs/>
        </w:rPr>
        <w:t>t</w:t>
      </w:r>
      <w:r w:rsidRPr="00E265AC">
        <w:rPr>
          <w:bCs/>
        </w:rPr>
        <w:t>-intervention</w:t>
      </w:r>
      <w:r w:rsidR="00353CD0" w:rsidRPr="00E265AC">
        <w:rPr>
          <w:bCs/>
        </w:rPr>
        <w:t xml:space="preserve">. Also, categories </w:t>
      </w:r>
      <w:r w:rsidR="00EA6C43" w:rsidRPr="00E265AC">
        <w:rPr>
          <w:bCs/>
        </w:rPr>
        <w:t>accepting (6.9%), manageable (4%), and distracting (4%)</w:t>
      </w:r>
      <w:r w:rsidR="00727E69" w:rsidRPr="00E265AC">
        <w:rPr>
          <w:bCs/>
        </w:rPr>
        <w:t xml:space="preserve"> were the most </w:t>
      </w:r>
      <w:r w:rsidR="00353CD0" w:rsidRPr="00E265AC">
        <w:rPr>
          <w:bCs/>
        </w:rPr>
        <w:t>frequently</w:t>
      </w:r>
      <w:r w:rsidR="00727E69" w:rsidRPr="00E265AC">
        <w:rPr>
          <w:bCs/>
        </w:rPr>
        <w:t xml:space="preserve"> reported </w:t>
      </w:r>
      <w:r w:rsidR="00353CD0" w:rsidRPr="00E265AC">
        <w:rPr>
          <w:bCs/>
        </w:rPr>
        <w:t>at post-intervention</w:t>
      </w:r>
      <w:r w:rsidRPr="00E265AC">
        <w:rPr>
          <w:bCs/>
        </w:rPr>
        <w:t>.</w:t>
      </w:r>
      <w:r w:rsidR="00FD1BB3" w:rsidRPr="00E265AC">
        <w:rPr>
          <w:bCs/>
        </w:rPr>
        <w:t xml:space="preserve"> This reflects the effective nature of the intervention in achieving its goal in helping people accept and better manage their tinnitus</w:t>
      </w:r>
      <w:r w:rsidR="00353CD0" w:rsidRPr="00E265AC">
        <w:rPr>
          <w:bCs/>
        </w:rPr>
        <w:t xml:space="preserve"> (Beukes et al., 2021d)</w:t>
      </w:r>
      <w:r w:rsidR="00FD1BB3" w:rsidRPr="00E265AC">
        <w:rPr>
          <w:bCs/>
        </w:rPr>
        <w:t>.</w:t>
      </w:r>
      <w:r w:rsidRPr="00E265AC">
        <w:rPr>
          <w:bCs/>
        </w:rPr>
        <w:t xml:space="preserve"> Moreover, examination of similarities highlighted three common nodes (i.e., </w:t>
      </w:r>
      <w:r w:rsidRPr="00E265AC">
        <w:t>description of tinnitus, annoying, and persistent) during both pre- and post-intervention whereas the node accepting appeared in the post-intervention similarities analysis. These two analyses did not reveal any major changes in the kind of things that comes to mind when people think about their tinnitus and are consistent with main problems reported by individuals with tinnitus (Beukes et al., 20</w:t>
      </w:r>
      <w:r w:rsidR="0004615D" w:rsidRPr="00E265AC">
        <w:t>1</w:t>
      </w:r>
      <w:r w:rsidRPr="00E265AC">
        <w:t>8</w:t>
      </w:r>
      <w:r w:rsidR="0004615D" w:rsidRPr="00E265AC">
        <w:t>a</w:t>
      </w:r>
      <w:r w:rsidRPr="00E265AC">
        <w:t xml:space="preserve">; </w:t>
      </w:r>
      <w:r w:rsidRPr="00E265AC">
        <w:rPr>
          <w:color w:val="212121"/>
          <w:shd w:val="clear" w:color="auto" w:fill="FFFFFF"/>
        </w:rPr>
        <w:t>Manchaiah et al., 2018</w:t>
      </w:r>
      <w:r w:rsidR="0004615D" w:rsidRPr="00E265AC">
        <w:rPr>
          <w:color w:val="212121"/>
          <w:shd w:val="clear" w:color="auto" w:fill="FFFFFF"/>
        </w:rPr>
        <w:t>; Watt et al., 2018</w:t>
      </w:r>
      <w:r w:rsidRPr="00E265AC">
        <w:rPr>
          <w:color w:val="212121"/>
          <w:shd w:val="clear" w:color="auto" w:fill="FFFFFF"/>
        </w:rPr>
        <w:t xml:space="preserve">). </w:t>
      </w:r>
    </w:p>
    <w:p w14:paraId="452AD95A" w14:textId="17E12B89" w:rsidR="0004615D" w:rsidRPr="00E265AC" w:rsidRDefault="0004615D" w:rsidP="004F21AC">
      <w:pPr>
        <w:spacing w:line="480" w:lineRule="auto"/>
      </w:pPr>
    </w:p>
    <w:p w14:paraId="344FF871" w14:textId="77A6FD44" w:rsidR="0004615D" w:rsidRPr="00E265AC" w:rsidRDefault="0004615D" w:rsidP="004F21AC">
      <w:pPr>
        <w:spacing w:line="480" w:lineRule="auto"/>
      </w:pPr>
      <w:r w:rsidRPr="00E265AC">
        <w:t>Clinical studies as well as the examination of posts of individuals with tinnitus online have shown that they have negative emotions (</w:t>
      </w:r>
      <w:r w:rsidRPr="00E265AC">
        <w:rPr>
          <w:color w:val="000000"/>
          <w:shd w:val="clear" w:color="auto" w:fill="FFFFFF"/>
        </w:rPr>
        <w:t>Handscomb</w:t>
      </w:r>
      <w:r w:rsidRPr="00E265AC">
        <w:rPr>
          <w:color w:val="212121"/>
          <w:shd w:val="clear" w:color="auto" w:fill="FFFFFF"/>
        </w:rPr>
        <w:t xml:space="preserve"> et al., 2017; Kimball et al., 2019). On the contrary, some studies have also </w:t>
      </w:r>
      <w:r w:rsidR="00464E86" w:rsidRPr="00E265AC">
        <w:rPr>
          <w:color w:val="212121"/>
          <w:shd w:val="clear" w:color="auto" w:fill="FFFFFF"/>
        </w:rPr>
        <w:t>revealed</w:t>
      </w:r>
      <w:r w:rsidRPr="00E265AC">
        <w:rPr>
          <w:color w:val="212121"/>
          <w:shd w:val="clear" w:color="auto" w:fill="FFFFFF"/>
        </w:rPr>
        <w:t xml:space="preserve"> that some individuals with tinnitus report positive experiences (Beukes et al., 2018b; Manchaiah et al., 2015b). As there is no cure for tinnitus, the key question when planning rehabilitation is how </w:t>
      </w:r>
      <w:r w:rsidR="00CA387E" w:rsidRPr="00E265AC">
        <w:rPr>
          <w:color w:val="212121"/>
          <w:shd w:val="clear" w:color="auto" w:fill="FFFFFF"/>
        </w:rPr>
        <w:t>to</w:t>
      </w:r>
      <w:r w:rsidRPr="00E265AC">
        <w:rPr>
          <w:color w:val="212121"/>
          <w:shd w:val="clear" w:color="auto" w:fill="FFFFFF"/>
        </w:rPr>
        <w:t xml:space="preserve"> reduce negativity and increase positivity with acceptance and coping strategies to live well with tinnitus. Examination of </w:t>
      </w:r>
      <w:r w:rsidR="00CA387E" w:rsidRPr="00E265AC">
        <w:rPr>
          <w:color w:val="212121"/>
          <w:shd w:val="clear" w:color="auto" w:fill="FFFFFF"/>
        </w:rPr>
        <w:t xml:space="preserve">valence </w:t>
      </w:r>
      <w:r w:rsidRPr="00E265AC">
        <w:rPr>
          <w:color w:val="212121"/>
          <w:shd w:val="clear" w:color="auto" w:fill="FFFFFF"/>
        </w:rPr>
        <w:t xml:space="preserve">associated with free </w:t>
      </w:r>
      <w:r w:rsidR="00464E86" w:rsidRPr="00E265AC">
        <w:rPr>
          <w:color w:val="212121"/>
          <w:shd w:val="clear" w:color="auto" w:fill="FFFFFF"/>
        </w:rPr>
        <w:t>association</w:t>
      </w:r>
      <w:r w:rsidRPr="00E265AC">
        <w:rPr>
          <w:color w:val="212121"/>
          <w:shd w:val="clear" w:color="auto" w:fill="FFFFFF"/>
        </w:rPr>
        <w:t xml:space="preserve"> task in the current study suggested </w:t>
      </w:r>
      <w:r w:rsidRPr="00E265AC">
        <w:rPr>
          <w:color w:val="212121"/>
          <w:shd w:val="clear" w:color="auto" w:fill="FFFFFF"/>
        </w:rPr>
        <w:lastRenderedPageBreak/>
        <w:t xml:space="preserve">that </w:t>
      </w:r>
      <w:r w:rsidRPr="00E265AC">
        <w:t>negative associations decreased from 81% to 56% and the positive and neutral connotations increased after the intervention. Moreover, when looking at the prototypical analysis that considers both frequency of categories as well as its ranking showed that negative categories</w:t>
      </w:r>
      <w:r w:rsidR="00675C73" w:rsidRPr="00E265AC">
        <w:t xml:space="preserve"> (i.e., frustrating, bothersome, debilitating) </w:t>
      </w:r>
      <w:r w:rsidR="00464E86" w:rsidRPr="00E265AC">
        <w:t>were</w:t>
      </w:r>
      <w:r w:rsidR="000F0033" w:rsidRPr="00E265AC">
        <w:t xml:space="preserve"> not part of the central zone</w:t>
      </w:r>
      <w:r w:rsidR="00464E86" w:rsidRPr="00E265AC">
        <w:t xml:space="preserve"> </w:t>
      </w:r>
      <w:r w:rsidRPr="00E265AC">
        <w:t xml:space="preserve">and </w:t>
      </w:r>
      <w:r w:rsidR="00464E86" w:rsidRPr="00E265AC">
        <w:t xml:space="preserve">more positive categories were added to </w:t>
      </w:r>
      <w:r w:rsidRPr="00E265AC">
        <w:t>first periphery (i.e., manageable, distracting, mental wellness, take control) following the intervention.</w:t>
      </w:r>
      <w:r w:rsidR="00464E86" w:rsidRPr="00E265AC">
        <w:t xml:space="preserve"> These phenomenon of reducing negative thinking and strengthening positive thinking is important component of effective rehabilitation (</w:t>
      </w:r>
      <w:r w:rsidR="00464E86" w:rsidRPr="00E265AC">
        <w:rPr>
          <w:color w:val="000000"/>
          <w:shd w:val="clear" w:color="auto" w:fill="FFFFFF"/>
        </w:rPr>
        <w:t>Handscomb</w:t>
      </w:r>
      <w:r w:rsidR="00464E86" w:rsidRPr="00E265AC">
        <w:rPr>
          <w:color w:val="212121"/>
          <w:shd w:val="clear" w:color="auto" w:fill="FFFFFF"/>
        </w:rPr>
        <w:t xml:space="preserve"> et al., 2017), echoing the results of clinical trials (</w:t>
      </w:r>
      <w:r w:rsidR="00464E86" w:rsidRPr="00E265AC">
        <w:t>Beukes et al., 2021a; 2021b, 2021c</w:t>
      </w:r>
      <w:r w:rsidR="00464E86" w:rsidRPr="00E265AC">
        <w:rPr>
          <w:color w:val="212121"/>
          <w:shd w:val="clear" w:color="auto" w:fill="FFFFFF"/>
        </w:rPr>
        <w:t xml:space="preserve">). </w:t>
      </w:r>
      <w:r w:rsidR="00AD0095" w:rsidRPr="00E265AC">
        <w:rPr>
          <w:color w:val="212121"/>
          <w:shd w:val="clear" w:color="auto" w:fill="FFFFFF"/>
        </w:rPr>
        <w:t xml:space="preserve">Overall, the current study demonstrates that the ICBT may not change the type of things that comes to mind but rather influences the way in which they think about these aspects (i.e., more positive attitude towards them). </w:t>
      </w:r>
    </w:p>
    <w:p w14:paraId="263D8200" w14:textId="20B1059B" w:rsidR="00264F46" w:rsidRPr="00E265AC" w:rsidRDefault="00264F46" w:rsidP="004F21AC">
      <w:pPr>
        <w:spacing w:line="480" w:lineRule="auto"/>
        <w:rPr>
          <w:bCs/>
        </w:rPr>
      </w:pPr>
    </w:p>
    <w:p w14:paraId="22995B15" w14:textId="50992785" w:rsidR="00C47B52" w:rsidRPr="00E265AC" w:rsidRDefault="00264F46" w:rsidP="004F21AC">
      <w:pPr>
        <w:spacing w:line="480" w:lineRule="auto"/>
        <w:rPr>
          <w:bCs/>
        </w:rPr>
      </w:pPr>
      <w:r w:rsidRPr="00E265AC">
        <w:rPr>
          <w:bCs/>
        </w:rPr>
        <w:t xml:space="preserve">The study provides a new theoretical and methodological framework </w:t>
      </w:r>
      <w:r w:rsidR="00052FD0" w:rsidRPr="00E265AC">
        <w:rPr>
          <w:bCs/>
        </w:rPr>
        <w:t xml:space="preserve">for examining treatment </w:t>
      </w:r>
      <w:r w:rsidRPr="00E265AC">
        <w:rPr>
          <w:bCs/>
        </w:rPr>
        <w:t>outcome</w:t>
      </w:r>
      <w:r w:rsidR="00052FD0" w:rsidRPr="00E265AC">
        <w:rPr>
          <w:bCs/>
        </w:rPr>
        <w:t>s</w:t>
      </w:r>
      <w:r w:rsidRPr="00E265AC">
        <w:rPr>
          <w:bCs/>
        </w:rPr>
        <w:t xml:space="preserve">. However, it is noteworthy that the results can only be analyzed </w:t>
      </w:r>
      <w:r w:rsidR="00052FD0" w:rsidRPr="00E265AC">
        <w:rPr>
          <w:bCs/>
        </w:rPr>
        <w:t xml:space="preserve">on </w:t>
      </w:r>
      <w:r w:rsidRPr="00E265AC">
        <w:rPr>
          <w:bCs/>
        </w:rPr>
        <w:t>a group level and not at the individual level</w:t>
      </w:r>
      <w:r w:rsidR="00EA6C43" w:rsidRPr="00E265AC">
        <w:rPr>
          <w:bCs/>
        </w:rPr>
        <w:t xml:space="preserve"> (</w:t>
      </w:r>
      <w:proofErr w:type="spellStart"/>
      <w:r w:rsidR="00EA6C43" w:rsidRPr="00E265AC">
        <w:t>Bidjari</w:t>
      </w:r>
      <w:proofErr w:type="spellEnd"/>
      <w:r w:rsidR="00EA6C43" w:rsidRPr="00E265AC">
        <w:t>, 2011)</w:t>
      </w:r>
      <w:r w:rsidRPr="00E265AC">
        <w:rPr>
          <w:bCs/>
        </w:rPr>
        <w:t xml:space="preserve">. </w:t>
      </w:r>
      <w:r w:rsidR="003E2732" w:rsidRPr="00E265AC">
        <w:rPr>
          <w:bCs/>
        </w:rPr>
        <w:t>The change in social representation</w:t>
      </w:r>
      <w:r w:rsidR="00052FD0" w:rsidRPr="00E265AC">
        <w:rPr>
          <w:bCs/>
        </w:rPr>
        <w:t>s</w:t>
      </w:r>
      <w:r w:rsidR="003E2732" w:rsidRPr="00E265AC">
        <w:rPr>
          <w:bCs/>
        </w:rPr>
        <w:t xml:space="preserve"> does not mean any change in biological status of the individual. Rather the change is likely to have occurred in terms how the group collectively thinks and feels about their condition</w:t>
      </w:r>
      <w:r w:rsidR="00F374A6" w:rsidRPr="00E265AC">
        <w:rPr>
          <w:bCs/>
        </w:rPr>
        <w:t xml:space="preserve"> influencing their values and norms</w:t>
      </w:r>
      <w:r w:rsidR="003E2732" w:rsidRPr="00E265AC">
        <w:rPr>
          <w:bCs/>
        </w:rPr>
        <w:t xml:space="preserve">. This is precisely what the psychological approaches such as ICBT intends to achieve by changing the thought patterns and eventually behavior. In this context, the current study </w:t>
      </w:r>
      <w:r w:rsidR="00052FD0" w:rsidRPr="00E265AC">
        <w:rPr>
          <w:bCs/>
        </w:rPr>
        <w:t xml:space="preserve">- </w:t>
      </w:r>
      <w:r w:rsidR="003E2732" w:rsidRPr="00E265AC">
        <w:rPr>
          <w:bCs/>
        </w:rPr>
        <w:t xml:space="preserve">which used the free association task </w:t>
      </w:r>
      <w:r w:rsidR="00F374A6" w:rsidRPr="00E265AC">
        <w:rPr>
          <w:bCs/>
        </w:rPr>
        <w:t>that</w:t>
      </w:r>
      <w:r w:rsidR="003E2732" w:rsidRPr="00E265AC">
        <w:rPr>
          <w:bCs/>
        </w:rPr>
        <w:t xml:space="preserve"> elicits the </w:t>
      </w:r>
      <w:r w:rsidR="00EE0FDA" w:rsidRPr="00E265AC">
        <w:rPr>
          <w:bCs/>
        </w:rPr>
        <w:t xml:space="preserve">free-flowing thoughts </w:t>
      </w:r>
      <w:r w:rsidR="00052FD0" w:rsidRPr="00E265AC">
        <w:rPr>
          <w:bCs/>
        </w:rPr>
        <w:t xml:space="preserve">- </w:t>
      </w:r>
      <w:r w:rsidR="00EE0FDA" w:rsidRPr="00E265AC">
        <w:rPr>
          <w:bCs/>
        </w:rPr>
        <w:t xml:space="preserve">is likely to give clearer understanding of the changes in thought patterns as a result of intervention </w:t>
      </w:r>
      <w:r w:rsidR="00EA6C43" w:rsidRPr="00E265AC">
        <w:rPr>
          <w:bCs/>
        </w:rPr>
        <w:t>(</w:t>
      </w:r>
      <w:proofErr w:type="spellStart"/>
      <w:r w:rsidR="00EA6C43" w:rsidRPr="00E265AC">
        <w:rPr>
          <w:color w:val="000000"/>
        </w:rPr>
        <w:t>Hovardas</w:t>
      </w:r>
      <w:proofErr w:type="spellEnd"/>
      <w:r w:rsidR="00EA6C43" w:rsidRPr="00E265AC">
        <w:rPr>
          <w:color w:val="000000"/>
        </w:rPr>
        <w:t xml:space="preserve"> &amp; </w:t>
      </w:r>
      <w:proofErr w:type="spellStart"/>
      <w:r w:rsidR="00EA6C43" w:rsidRPr="00E265AC">
        <w:rPr>
          <w:color w:val="000000"/>
        </w:rPr>
        <w:t>Korfiatis</w:t>
      </w:r>
      <w:proofErr w:type="spellEnd"/>
      <w:r w:rsidR="00EA6C43" w:rsidRPr="00E265AC">
        <w:rPr>
          <w:color w:val="000000"/>
        </w:rPr>
        <w:t>, 2006)</w:t>
      </w:r>
      <w:r w:rsidR="00EE0FDA" w:rsidRPr="00E265AC">
        <w:rPr>
          <w:bCs/>
        </w:rPr>
        <w:t xml:space="preserve">. </w:t>
      </w:r>
      <w:r w:rsidR="000B6992" w:rsidRPr="00E265AC">
        <w:rPr>
          <w:bCs/>
        </w:rPr>
        <w:t xml:space="preserve">Overall, the study as well as another recent study (Manchaiah et al., 2021) </w:t>
      </w:r>
      <w:r w:rsidR="00831853" w:rsidRPr="00E265AC">
        <w:rPr>
          <w:bCs/>
        </w:rPr>
        <w:t xml:space="preserve">suggest </w:t>
      </w:r>
      <w:r w:rsidR="000B6992" w:rsidRPr="00E265AC">
        <w:rPr>
          <w:bCs/>
        </w:rPr>
        <w:t xml:space="preserve">that open-ended questions </w:t>
      </w:r>
      <w:r w:rsidR="00831853" w:rsidRPr="00E265AC">
        <w:rPr>
          <w:bCs/>
        </w:rPr>
        <w:t xml:space="preserve">can </w:t>
      </w:r>
      <w:r w:rsidR="000B6992" w:rsidRPr="00E265AC">
        <w:rPr>
          <w:bCs/>
        </w:rPr>
        <w:t>supplement the PROMs when measuring outcomes of clinical trials</w:t>
      </w:r>
      <w:r w:rsidR="00AD0095" w:rsidRPr="00E265AC">
        <w:rPr>
          <w:bCs/>
        </w:rPr>
        <w:t xml:space="preserve"> offering methodological triangulation</w:t>
      </w:r>
      <w:r w:rsidR="000B6992" w:rsidRPr="00E265AC">
        <w:rPr>
          <w:bCs/>
        </w:rPr>
        <w:t xml:space="preserve">. </w:t>
      </w:r>
    </w:p>
    <w:p w14:paraId="03005EE6" w14:textId="77777777" w:rsidR="00C47B52" w:rsidRPr="00E265AC" w:rsidRDefault="00C47B52" w:rsidP="004F21AC">
      <w:pPr>
        <w:spacing w:line="480" w:lineRule="auto"/>
        <w:rPr>
          <w:bCs/>
        </w:rPr>
      </w:pPr>
    </w:p>
    <w:p w14:paraId="0F0B12F3" w14:textId="17859F92" w:rsidR="00D23AE6" w:rsidRPr="00E265AC" w:rsidRDefault="002D4C25" w:rsidP="004F21AC">
      <w:pPr>
        <w:spacing w:line="480" w:lineRule="auto"/>
        <w:rPr>
          <w:b/>
        </w:rPr>
      </w:pPr>
      <w:r w:rsidRPr="00E265AC">
        <w:rPr>
          <w:b/>
        </w:rPr>
        <w:lastRenderedPageBreak/>
        <w:t xml:space="preserve">4.1 </w:t>
      </w:r>
      <w:r w:rsidR="00C47B52" w:rsidRPr="00E265AC">
        <w:rPr>
          <w:b/>
        </w:rPr>
        <w:t xml:space="preserve">Study </w:t>
      </w:r>
      <w:r w:rsidR="00D23AE6" w:rsidRPr="00E265AC">
        <w:rPr>
          <w:b/>
        </w:rPr>
        <w:t>Limitations</w:t>
      </w:r>
      <w:r w:rsidR="00C47B52" w:rsidRPr="00E265AC">
        <w:rPr>
          <w:b/>
        </w:rPr>
        <w:t xml:space="preserve"> and Future Directions</w:t>
      </w:r>
    </w:p>
    <w:p w14:paraId="093C9344" w14:textId="648D5C19" w:rsidR="00264F46" w:rsidRPr="00E265AC" w:rsidRDefault="00264F46" w:rsidP="004F21AC">
      <w:pPr>
        <w:spacing w:line="480" w:lineRule="auto"/>
        <w:rPr>
          <w:bCs/>
        </w:rPr>
      </w:pPr>
      <w:r w:rsidRPr="00E265AC">
        <w:rPr>
          <w:bCs/>
        </w:rPr>
        <w:t xml:space="preserve">The study is </w:t>
      </w:r>
      <w:r w:rsidR="00831853" w:rsidRPr="00E265AC">
        <w:rPr>
          <w:bCs/>
        </w:rPr>
        <w:t xml:space="preserve">to our knowledge </w:t>
      </w:r>
      <w:r w:rsidRPr="00E265AC">
        <w:rPr>
          <w:bCs/>
        </w:rPr>
        <w:t xml:space="preserve">the first to apply SRT and the free association task to examine the outcomes of health intervention. </w:t>
      </w:r>
      <w:r w:rsidR="009B20A8" w:rsidRPr="00E265AC">
        <w:rPr>
          <w:bCs/>
        </w:rPr>
        <w:t xml:space="preserve">ICBT is not a preferred management options for all individuals with tinnitus. As a results, only those who are looking for psychological interventions were included resulting in sampling bias. In addition, only one third of the study participants who started the clinical trial completed the outcome measures and provided the data for free association task. Therefore, the results should be viewed as preliminary. The study examined changes in social representations as a result of 8-week intense intervention on a small population. </w:t>
      </w:r>
      <w:r w:rsidR="0057494F" w:rsidRPr="00E265AC">
        <w:rPr>
          <w:bCs/>
        </w:rPr>
        <w:t xml:space="preserve">Future studies should aim to examine the effect of brief public health interventions on social representations </w:t>
      </w:r>
      <w:r w:rsidR="00831853" w:rsidRPr="00E265AC">
        <w:rPr>
          <w:bCs/>
        </w:rPr>
        <w:t xml:space="preserve">in </w:t>
      </w:r>
      <w:r w:rsidR="0057494F" w:rsidRPr="00E265AC">
        <w:rPr>
          <w:bCs/>
        </w:rPr>
        <w:t>large population</w:t>
      </w:r>
      <w:r w:rsidR="00831853" w:rsidRPr="00E265AC">
        <w:rPr>
          <w:bCs/>
        </w:rPr>
        <w:t>s</w:t>
      </w:r>
      <w:r w:rsidR="0057494F" w:rsidRPr="00E265AC">
        <w:rPr>
          <w:bCs/>
        </w:rPr>
        <w:t>.</w:t>
      </w:r>
      <w:r w:rsidR="0004615D" w:rsidRPr="00E265AC">
        <w:rPr>
          <w:bCs/>
        </w:rPr>
        <w:t xml:space="preserve"> Moreover, the SRT is not without controversies (</w:t>
      </w:r>
      <w:proofErr w:type="spellStart"/>
      <w:r w:rsidR="0004615D" w:rsidRPr="00E265AC">
        <w:t>Voelklein</w:t>
      </w:r>
      <w:proofErr w:type="spellEnd"/>
      <w:r w:rsidR="0004615D" w:rsidRPr="00E265AC">
        <w:t xml:space="preserve"> &amp; Howarth, 2005) and is likely to supplement the existing disabilities theories rather than replacing them (Manchaiah et al., 2019). </w:t>
      </w:r>
    </w:p>
    <w:p w14:paraId="7E697500" w14:textId="77777777" w:rsidR="00D23AE6" w:rsidRPr="00E265AC" w:rsidRDefault="00D23AE6" w:rsidP="004F21AC">
      <w:pPr>
        <w:spacing w:line="480" w:lineRule="auto"/>
        <w:rPr>
          <w:bCs/>
        </w:rPr>
      </w:pPr>
    </w:p>
    <w:p w14:paraId="3DE4C19A" w14:textId="2D4B0AB6" w:rsidR="00FD7DE6" w:rsidRPr="00E265AC" w:rsidRDefault="00FD7DE6" w:rsidP="004F21AC">
      <w:pPr>
        <w:spacing w:line="480" w:lineRule="auto"/>
        <w:rPr>
          <w:b/>
          <w:sz w:val="28"/>
          <w:szCs w:val="28"/>
        </w:rPr>
      </w:pPr>
      <w:r w:rsidRPr="00E265AC">
        <w:rPr>
          <w:b/>
          <w:sz w:val="28"/>
          <w:szCs w:val="28"/>
        </w:rPr>
        <w:t>Data Availability</w:t>
      </w:r>
      <w:r w:rsidR="002D4C25" w:rsidRPr="00E265AC">
        <w:rPr>
          <w:b/>
          <w:sz w:val="28"/>
          <w:szCs w:val="28"/>
        </w:rPr>
        <w:t xml:space="preserve"> Statement</w:t>
      </w:r>
    </w:p>
    <w:p w14:paraId="0BE40551" w14:textId="77777777" w:rsidR="00FD7DE6" w:rsidRPr="00E265AC" w:rsidRDefault="00FD7DE6" w:rsidP="004F21AC">
      <w:pPr>
        <w:spacing w:line="480" w:lineRule="auto"/>
        <w:rPr>
          <w:rFonts w:cstheme="minorHAnsi"/>
        </w:rPr>
      </w:pPr>
      <w:r w:rsidRPr="00E265AC">
        <w:rPr>
          <w:rFonts w:cstheme="minorHAnsi"/>
          <w:color w:val="212529"/>
        </w:rPr>
        <w:t>The data that support the findings of this study are openly available in </w:t>
      </w:r>
      <w:proofErr w:type="spellStart"/>
      <w:r w:rsidRPr="00E265AC">
        <w:rPr>
          <w:rFonts w:cstheme="minorHAnsi"/>
          <w:color w:val="212529"/>
        </w:rPr>
        <w:t>Figshare</w:t>
      </w:r>
      <w:proofErr w:type="spellEnd"/>
      <w:r w:rsidRPr="00E265AC">
        <w:rPr>
          <w:rFonts w:cstheme="minorHAnsi"/>
          <w:color w:val="212529"/>
        </w:rPr>
        <w:t xml:space="preserve"> at </w:t>
      </w:r>
      <w:hyperlink r:id="rId9" w:history="1">
        <w:r w:rsidRPr="00E265AC">
          <w:rPr>
            <w:rStyle w:val="Hyperlink"/>
            <w:rFonts w:cstheme="minorHAnsi"/>
          </w:rPr>
          <w:t>http://doi.org/10.6084/m9.figshare.15062733</w:t>
        </w:r>
      </w:hyperlink>
      <w:r w:rsidRPr="00E265AC">
        <w:rPr>
          <w:rFonts w:cstheme="minorHAnsi"/>
        </w:rPr>
        <w:t xml:space="preserve">  </w:t>
      </w:r>
    </w:p>
    <w:p w14:paraId="0B6CD438" w14:textId="70A1B9C8" w:rsidR="00FD7DE6" w:rsidRPr="00E265AC" w:rsidRDefault="00FD7DE6" w:rsidP="004F21AC">
      <w:pPr>
        <w:spacing w:line="480" w:lineRule="auto"/>
        <w:rPr>
          <w:b/>
        </w:rPr>
      </w:pPr>
    </w:p>
    <w:p w14:paraId="1A976566" w14:textId="77777777" w:rsidR="002D4C25" w:rsidRPr="00E265AC" w:rsidRDefault="002D4C25" w:rsidP="004F21AC">
      <w:pPr>
        <w:pStyle w:val="CommentText"/>
        <w:spacing w:line="480" w:lineRule="auto"/>
        <w:rPr>
          <w:b/>
          <w:bCs/>
          <w:sz w:val="28"/>
          <w:szCs w:val="28"/>
        </w:rPr>
      </w:pPr>
      <w:r w:rsidRPr="00E265AC">
        <w:rPr>
          <w:b/>
          <w:bCs/>
          <w:sz w:val="28"/>
          <w:szCs w:val="28"/>
        </w:rPr>
        <w:t>Ethics Statement</w:t>
      </w:r>
    </w:p>
    <w:p w14:paraId="354A6C73" w14:textId="77777777" w:rsidR="002D4C25" w:rsidRPr="00E265AC" w:rsidRDefault="002D4C25" w:rsidP="002D4C25">
      <w:pPr>
        <w:spacing w:line="480" w:lineRule="auto"/>
        <w:rPr>
          <w:bCs/>
        </w:rPr>
      </w:pPr>
      <w:r w:rsidRPr="00E265AC">
        <w:rPr>
          <w:color w:val="000000"/>
        </w:rPr>
        <w:t>Ethical approval (IRB-FY17-209 and IRB-FY20-200-1) was obtained from the Institutional Review Board at Lamar University, Beaumont, Texas, United States.</w:t>
      </w:r>
    </w:p>
    <w:p w14:paraId="1B2FF34E" w14:textId="77777777" w:rsidR="002D4C25" w:rsidRPr="00E265AC" w:rsidRDefault="002D4C25" w:rsidP="004F21AC">
      <w:pPr>
        <w:pStyle w:val="CommentText"/>
        <w:spacing w:line="480" w:lineRule="auto"/>
      </w:pPr>
    </w:p>
    <w:p w14:paraId="32AE0AC3" w14:textId="4D644821" w:rsidR="00FD7DE6" w:rsidRPr="00E265AC" w:rsidRDefault="00FD7DE6" w:rsidP="004F21AC">
      <w:pPr>
        <w:pStyle w:val="CommentText"/>
        <w:spacing w:line="480" w:lineRule="auto"/>
        <w:rPr>
          <w:b/>
          <w:bCs/>
          <w:sz w:val="28"/>
          <w:szCs w:val="28"/>
        </w:rPr>
      </w:pPr>
      <w:r w:rsidRPr="00E265AC">
        <w:rPr>
          <w:b/>
          <w:bCs/>
          <w:sz w:val="28"/>
          <w:szCs w:val="28"/>
        </w:rPr>
        <w:t>Funding</w:t>
      </w:r>
    </w:p>
    <w:p w14:paraId="076116A2" w14:textId="354FC339" w:rsidR="00FD7DE6" w:rsidRPr="00E265AC" w:rsidRDefault="00FD7DE6" w:rsidP="004F21AC">
      <w:pPr>
        <w:spacing w:line="480" w:lineRule="auto"/>
        <w:rPr>
          <w:rFonts w:eastAsiaTheme="minorHAnsi"/>
        </w:rPr>
      </w:pPr>
      <w:r w:rsidRPr="00E265AC">
        <w:rPr>
          <w:rFonts w:eastAsiaTheme="minorHAnsi"/>
        </w:rPr>
        <w:t>This work is partly funded by the National Institute on Deafness and Other Communication Disorders (NIDCD) of the National Institutes of Health (NIH) under the award number R21DC017214 for VM.</w:t>
      </w:r>
    </w:p>
    <w:p w14:paraId="50013ACC" w14:textId="77777777" w:rsidR="00FD7DE6" w:rsidRPr="00E265AC" w:rsidRDefault="00FD7DE6" w:rsidP="004F21AC">
      <w:pPr>
        <w:spacing w:line="480" w:lineRule="auto"/>
        <w:rPr>
          <w:b/>
        </w:rPr>
      </w:pPr>
    </w:p>
    <w:p w14:paraId="654D6DBD" w14:textId="07870115" w:rsidR="002D4C25" w:rsidRPr="00E265AC" w:rsidRDefault="002D4C25" w:rsidP="002D4C25">
      <w:pPr>
        <w:pStyle w:val="CommentText"/>
        <w:spacing w:line="480" w:lineRule="auto"/>
        <w:rPr>
          <w:b/>
          <w:bCs/>
          <w:sz w:val="28"/>
          <w:szCs w:val="28"/>
        </w:rPr>
      </w:pPr>
      <w:r w:rsidRPr="00E265AC">
        <w:rPr>
          <w:b/>
          <w:bCs/>
          <w:sz w:val="28"/>
          <w:szCs w:val="28"/>
        </w:rPr>
        <w:t xml:space="preserve">Author Contributions </w:t>
      </w:r>
    </w:p>
    <w:p w14:paraId="6677CCFD" w14:textId="1ED8FEBD" w:rsidR="002D4C25" w:rsidRPr="00E265AC" w:rsidRDefault="002D4C25" w:rsidP="002D4C25">
      <w:pPr>
        <w:pStyle w:val="CommentText"/>
        <w:spacing w:line="480" w:lineRule="auto"/>
      </w:pPr>
      <w:r w:rsidRPr="00E265AC">
        <w:t xml:space="preserve">VM, PR, GA and EWB conceptualized the study. VM and EWB collected data. VM, SC and PR performed analyses. VM wrote the draft manuscript. All authors contributed to the manuscript and agree the final content. </w:t>
      </w:r>
    </w:p>
    <w:p w14:paraId="04B6ADD4" w14:textId="77777777" w:rsidR="002D4C25" w:rsidRPr="00E265AC" w:rsidRDefault="002D4C25" w:rsidP="002D4C25">
      <w:pPr>
        <w:spacing w:line="480" w:lineRule="auto"/>
        <w:rPr>
          <w:b/>
          <w:sz w:val="28"/>
          <w:szCs w:val="28"/>
        </w:rPr>
      </w:pPr>
    </w:p>
    <w:p w14:paraId="554E9589" w14:textId="4C661EC1" w:rsidR="002D4C25" w:rsidRPr="00E265AC" w:rsidRDefault="002D4C25" w:rsidP="002D4C25">
      <w:pPr>
        <w:spacing w:line="480" w:lineRule="auto"/>
        <w:rPr>
          <w:b/>
          <w:sz w:val="28"/>
          <w:szCs w:val="28"/>
        </w:rPr>
      </w:pPr>
      <w:r w:rsidRPr="00E265AC">
        <w:rPr>
          <w:b/>
          <w:sz w:val="28"/>
          <w:szCs w:val="28"/>
        </w:rPr>
        <w:t>Conflict of Interest</w:t>
      </w:r>
    </w:p>
    <w:p w14:paraId="77465DC5" w14:textId="698BFBBC" w:rsidR="002D4C25" w:rsidRPr="00E265AC" w:rsidRDefault="002D4C25" w:rsidP="002D4C25">
      <w:pPr>
        <w:spacing w:line="480" w:lineRule="auto"/>
      </w:pPr>
      <w:r w:rsidRPr="00E265AC">
        <w:t>The authors declare that the research was conducted in the absence of any commercial or financial relationships that could be construed as a potential conflict of interest.</w:t>
      </w:r>
    </w:p>
    <w:p w14:paraId="37F44526" w14:textId="77777777" w:rsidR="002D4C25" w:rsidRPr="00E265AC" w:rsidRDefault="002D4C25" w:rsidP="004F21AC">
      <w:pPr>
        <w:spacing w:line="480" w:lineRule="auto"/>
        <w:rPr>
          <w:bCs/>
        </w:rPr>
      </w:pPr>
    </w:p>
    <w:p w14:paraId="33F5B401" w14:textId="0D43A610" w:rsidR="00A368F1" w:rsidRPr="00E265AC" w:rsidRDefault="00570D3D" w:rsidP="004F21AC">
      <w:pPr>
        <w:spacing w:line="480" w:lineRule="auto"/>
        <w:rPr>
          <w:b/>
          <w:sz w:val="28"/>
          <w:szCs w:val="28"/>
          <w:lang w:val="fr-FR"/>
        </w:rPr>
      </w:pPr>
      <w:proofErr w:type="spellStart"/>
      <w:r w:rsidRPr="00E265AC">
        <w:rPr>
          <w:b/>
          <w:sz w:val="28"/>
          <w:szCs w:val="28"/>
          <w:lang w:val="fr-FR"/>
        </w:rPr>
        <w:t>References</w:t>
      </w:r>
      <w:proofErr w:type="spellEnd"/>
    </w:p>
    <w:p w14:paraId="189A50F7" w14:textId="77777777" w:rsidR="004E1925" w:rsidRPr="00E265AC" w:rsidRDefault="004E1925" w:rsidP="004F21AC">
      <w:pPr>
        <w:spacing w:line="480" w:lineRule="auto"/>
        <w:rPr>
          <w:color w:val="000000" w:themeColor="text1"/>
          <w:lang w:val="fr-FR"/>
        </w:rPr>
      </w:pPr>
      <w:r w:rsidRPr="00E265AC">
        <w:rPr>
          <w:color w:val="000000" w:themeColor="text1"/>
          <w:lang w:val="fr-FR"/>
        </w:rPr>
        <w:t>Abric, J.C. (1994). Pratiques sociales et représentations, Paris, PUF. 4e éd.</w:t>
      </w:r>
    </w:p>
    <w:p w14:paraId="0CFAB931" w14:textId="77777777" w:rsidR="00921DFB" w:rsidRPr="00E265AC" w:rsidRDefault="00921DFB" w:rsidP="004F21AC">
      <w:pPr>
        <w:spacing w:line="480" w:lineRule="auto"/>
        <w:rPr>
          <w:color w:val="000000" w:themeColor="text1"/>
          <w:lang w:val="fr-FR"/>
        </w:rPr>
      </w:pPr>
    </w:p>
    <w:p w14:paraId="1210D409" w14:textId="77777777" w:rsidR="004E1925" w:rsidRPr="00E265AC" w:rsidRDefault="004E1925" w:rsidP="004F21AC">
      <w:pPr>
        <w:spacing w:line="480" w:lineRule="auto"/>
        <w:rPr>
          <w:color w:val="000000" w:themeColor="text1"/>
          <w:lang w:val="sv-SE"/>
        </w:rPr>
      </w:pPr>
      <w:r w:rsidRPr="00E265AC">
        <w:rPr>
          <w:color w:val="000000" w:themeColor="text1"/>
          <w:shd w:val="clear" w:color="auto" w:fill="FFFFFF"/>
          <w:lang w:val="fr-FR"/>
        </w:rPr>
        <w:t xml:space="preserve">Abric, J.-C. (2003). La recherche du noyau central et la zone muette des </w:t>
      </w:r>
      <w:proofErr w:type="spellStart"/>
      <w:r w:rsidRPr="00E265AC">
        <w:rPr>
          <w:color w:val="000000" w:themeColor="text1"/>
          <w:shd w:val="clear" w:color="auto" w:fill="FFFFFF"/>
          <w:lang w:val="fr-FR"/>
        </w:rPr>
        <w:t>representations</w:t>
      </w:r>
      <w:proofErr w:type="spellEnd"/>
      <w:r w:rsidRPr="00E265AC">
        <w:rPr>
          <w:color w:val="000000" w:themeColor="text1"/>
          <w:shd w:val="clear" w:color="auto" w:fill="FFFFFF"/>
          <w:lang w:val="fr-FR"/>
        </w:rPr>
        <w:t xml:space="preserve"> sociales. In J. C. Abric (</w:t>
      </w:r>
      <w:proofErr w:type="spellStart"/>
      <w:r w:rsidRPr="00E265AC">
        <w:rPr>
          <w:color w:val="000000" w:themeColor="text1"/>
          <w:shd w:val="clear" w:color="auto" w:fill="FFFFFF"/>
          <w:lang w:val="fr-FR"/>
        </w:rPr>
        <w:t>Org</w:t>
      </w:r>
      <w:proofErr w:type="spellEnd"/>
      <w:r w:rsidRPr="00E265AC">
        <w:rPr>
          <w:color w:val="000000" w:themeColor="text1"/>
          <w:shd w:val="clear" w:color="auto" w:fill="FFFFFF"/>
          <w:lang w:val="fr-FR"/>
        </w:rPr>
        <w:t xml:space="preserve">.) </w:t>
      </w:r>
      <w:r w:rsidRPr="00E265AC">
        <w:rPr>
          <w:color w:val="000000" w:themeColor="text1"/>
          <w:shd w:val="clear" w:color="auto" w:fill="FFFFFF"/>
          <w:lang w:val="sv-SE"/>
        </w:rPr>
        <w:t>Méthodes d’études des representations sociales (pp. 60-80). Ramonville Saint-Agne: Érès</w:t>
      </w:r>
    </w:p>
    <w:p w14:paraId="77A54CF4" w14:textId="3C973657" w:rsidR="00921DFB" w:rsidRPr="00E265AC" w:rsidRDefault="00921DFB" w:rsidP="004F21AC">
      <w:pPr>
        <w:spacing w:line="480" w:lineRule="auto"/>
        <w:rPr>
          <w:color w:val="000000" w:themeColor="text1"/>
          <w:lang w:val="sv-SE"/>
        </w:rPr>
      </w:pPr>
    </w:p>
    <w:p w14:paraId="42E49A06" w14:textId="04285167" w:rsidR="004E1925" w:rsidRPr="00E265AC" w:rsidRDefault="004E1925" w:rsidP="004F21AC">
      <w:pPr>
        <w:spacing w:line="480" w:lineRule="auto"/>
        <w:rPr>
          <w:color w:val="000000" w:themeColor="text1"/>
        </w:rPr>
      </w:pPr>
      <w:r w:rsidRPr="00E265AC">
        <w:rPr>
          <w:color w:val="000000" w:themeColor="text1"/>
          <w:shd w:val="clear" w:color="auto" w:fill="FFFFFF"/>
          <w:lang w:val="sv-SE"/>
        </w:rPr>
        <w:t xml:space="preserve">Andersson, G., Strömgren, T., Ström, L., &amp; Lyttkens, L. (2002). </w:t>
      </w:r>
      <w:r w:rsidRPr="00E265AC">
        <w:rPr>
          <w:color w:val="000000" w:themeColor="text1"/>
          <w:shd w:val="clear" w:color="auto" w:fill="FFFFFF"/>
        </w:rPr>
        <w:t>Randomized controlled trial of internet-based cognitive behavior therapy for distress associated with tinnitus. </w:t>
      </w:r>
      <w:r w:rsidRPr="00E265AC">
        <w:rPr>
          <w:i/>
          <w:iCs/>
          <w:color w:val="000000" w:themeColor="text1"/>
          <w:shd w:val="clear" w:color="auto" w:fill="FFFFFF"/>
        </w:rPr>
        <w:t xml:space="preserve">Psychosomatic </w:t>
      </w:r>
      <w:r w:rsidR="00AD0095" w:rsidRPr="00E265AC">
        <w:rPr>
          <w:i/>
          <w:iCs/>
          <w:color w:val="000000" w:themeColor="text1"/>
          <w:shd w:val="clear" w:color="auto" w:fill="FFFFFF"/>
        </w:rPr>
        <w:t>M</w:t>
      </w:r>
      <w:r w:rsidRPr="00E265AC">
        <w:rPr>
          <w:i/>
          <w:iCs/>
          <w:color w:val="000000" w:themeColor="text1"/>
          <w:shd w:val="clear" w:color="auto" w:fill="FFFFFF"/>
        </w:rPr>
        <w:t>edicine</w:t>
      </w:r>
      <w:r w:rsidRPr="00E265AC">
        <w:rPr>
          <w:color w:val="000000" w:themeColor="text1"/>
          <w:shd w:val="clear" w:color="auto" w:fill="FFFFFF"/>
        </w:rPr>
        <w:t>, </w:t>
      </w:r>
      <w:r w:rsidRPr="00E265AC">
        <w:rPr>
          <w:i/>
          <w:iCs/>
          <w:color w:val="000000" w:themeColor="text1"/>
          <w:shd w:val="clear" w:color="auto" w:fill="FFFFFF"/>
        </w:rPr>
        <w:t>64</w:t>
      </w:r>
      <w:r w:rsidRPr="00E265AC">
        <w:rPr>
          <w:color w:val="000000" w:themeColor="text1"/>
          <w:shd w:val="clear" w:color="auto" w:fill="FFFFFF"/>
        </w:rPr>
        <w:t>(5), 810–816. https://doi.org/10.1097/01.psy.0000031577.42041.f8</w:t>
      </w:r>
    </w:p>
    <w:p w14:paraId="0C8F732A" w14:textId="77777777" w:rsidR="00A368F1" w:rsidRPr="00E265AC" w:rsidRDefault="00A368F1" w:rsidP="004F21AC">
      <w:pPr>
        <w:spacing w:line="480" w:lineRule="auto"/>
      </w:pPr>
    </w:p>
    <w:p w14:paraId="7C27DF4E" w14:textId="5D6E4DF6" w:rsidR="0004615D" w:rsidRPr="00E265AC" w:rsidRDefault="0004615D" w:rsidP="004F21AC">
      <w:pPr>
        <w:spacing w:line="480" w:lineRule="auto"/>
      </w:pPr>
      <w:r w:rsidRPr="00E265AC">
        <w:rPr>
          <w:color w:val="212121"/>
          <w:shd w:val="clear" w:color="auto" w:fill="FFFFFF"/>
        </w:rPr>
        <w:t xml:space="preserve">Beukes, E. W., Manchaiah, V., Andersson, G., Allen, P. M., Terlizzi, P. M., &amp; Baguley, D. M. (2018a). Situationally influenced tinnitus coping strategies: a mixed methods </w:t>
      </w:r>
      <w:r w:rsidRPr="00E265AC">
        <w:rPr>
          <w:color w:val="212121"/>
          <w:shd w:val="clear" w:color="auto" w:fill="FFFFFF"/>
        </w:rPr>
        <w:lastRenderedPageBreak/>
        <w:t>approach. </w:t>
      </w:r>
      <w:r w:rsidRPr="00E265AC">
        <w:rPr>
          <w:i/>
          <w:iCs/>
          <w:color w:val="212121"/>
          <w:shd w:val="clear" w:color="auto" w:fill="FFFFFF"/>
        </w:rPr>
        <w:t xml:space="preserve">Disability and </w:t>
      </w:r>
      <w:r w:rsidR="00E04062" w:rsidRPr="00E265AC">
        <w:rPr>
          <w:i/>
          <w:iCs/>
          <w:color w:val="212121"/>
          <w:shd w:val="clear" w:color="auto" w:fill="FFFFFF"/>
        </w:rPr>
        <w:t>R</w:t>
      </w:r>
      <w:r w:rsidRPr="00E265AC">
        <w:rPr>
          <w:i/>
          <w:iCs/>
          <w:color w:val="212121"/>
          <w:shd w:val="clear" w:color="auto" w:fill="FFFFFF"/>
        </w:rPr>
        <w:t>ehabilitation</w:t>
      </w:r>
      <w:r w:rsidRPr="00E265AC">
        <w:rPr>
          <w:color w:val="212121"/>
          <w:shd w:val="clear" w:color="auto" w:fill="FFFFFF"/>
        </w:rPr>
        <w:t>, </w:t>
      </w:r>
      <w:r w:rsidRPr="00E265AC">
        <w:rPr>
          <w:i/>
          <w:iCs/>
          <w:color w:val="212121"/>
          <w:shd w:val="clear" w:color="auto" w:fill="FFFFFF"/>
        </w:rPr>
        <w:t>40</w:t>
      </w:r>
      <w:r w:rsidRPr="00E265AC">
        <w:rPr>
          <w:color w:val="212121"/>
          <w:shd w:val="clear" w:color="auto" w:fill="FFFFFF"/>
        </w:rPr>
        <w:t>(24), 2884–2894. https://doi.org/10.1080/09638288.2017.1362708</w:t>
      </w:r>
    </w:p>
    <w:p w14:paraId="67E8955D" w14:textId="77777777" w:rsidR="0004615D" w:rsidRPr="00E265AC" w:rsidRDefault="0004615D" w:rsidP="004F21AC">
      <w:pPr>
        <w:spacing w:line="480" w:lineRule="auto"/>
        <w:rPr>
          <w:color w:val="212121"/>
          <w:shd w:val="clear" w:color="auto" w:fill="FFFFFF"/>
        </w:rPr>
      </w:pPr>
    </w:p>
    <w:p w14:paraId="7641B7CB" w14:textId="657BE079" w:rsidR="00A368F1" w:rsidRPr="00E265AC" w:rsidRDefault="00A368F1" w:rsidP="004F21AC">
      <w:pPr>
        <w:spacing w:line="480" w:lineRule="auto"/>
      </w:pPr>
      <w:r w:rsidRPr="00E265AC">
        <w:rPr>
          <w:color w:val="212121"/>
          <w:shd w:val="clear" w:color="auto" w:fill="FFFFFF"/>
          <w:lang w:val="de-DE"/>
        </w:rPr>
        <w:t xml:space="preserve">Beukes, E. W., Manchaiah, V., </w:t>
      </w:r>
      <w:proofErr w:type="spellStart"/>
      <w:r w:rsidRPr="00E265AC">
        <w:rPr>
          <w:color w:val="212121"/>
          <w:shd w:val="clear" w:color="auto" w:fill="FFFFFF"/>
          <w:lang w:val="de-DE"/>
        </w:rPr>
        <w:t>Valien</w:t>
      </w:r>
      <w:proofErr w:type="spellEnd"/>
      <w:r w:rsidRPr="00E265AC">
        <w:rPr>
          <w:color w:val="212121"/>
          <w:shd w:val="clear" w:color="auto" w:fill="FFFFFF"/>
          <w:lang w:val="de-DE"/>
        </w:rPr>
        <w:t>, T. E., Baguley, D. M., Allen, P. M., &amp; Andersson, G. (2018</w:t>
      </w:r>
      <w:r w:rsidR="0004615D" w:rsidRPr="00E265AC">
        <w:rPr>
          <w:color w:val="212121"/>
          <w:shd w:val="clear" w:color="auto" w:fill="FFFFFF"/>
          <w:lang w:val="de-DE"/>
        </w:rPr>
        <w:t>b</w:t>
      </w:r>
      <w:r w:rsidRPr="00E265AC">
        <w:rPr>
          <w:color w:val="212121"/>
          <w:shd w:val="clear" w:color="auto" w:fill="FFFFFF"/>
          <w:lang w:val="de-DE"/>
        </w:rPr>
        <w:t xml:space="preserve">). </w:t>
      </w:r>
      <w:r w:rsidRPr="00E265AC">
        <w:rPr>
          <w:color w:val="212121"/>
          <w:shd w:val="clear" w:color="auto" w:fill="FFFFFF"/>
        </w:rPr>
        <w:t>Positive experiences related to living with tinnitus: A cross-sectional survey. </w:t>
      </w:r>
      <w:r w:rsidRPr="00E265AC">
        <w:rPr>
          <w:i/>
          <w:iCs/>
          <w:color w:val="212121"/>
          <w:shd w:val="clear" w:color="auto" w:fill="FFFFFF"/>
        </w:rPr>
        <w:t>Clinical Otolaryngology</w:t>
      </w:r>
      <w:r w:rsidRPr="00E265AC">
        <w:rPr>
          <w:color w:val="212121"/>
          <w:shd w:val="clear" w:color="auto" w:fill="FFFFFF"/>
        </w:rPr>
        <w:t>, </w:t>
      </w:r>
      <w:r w:rsidRPr="00E265AC">
        <w:rPr>
          <w:i/>
          <w:iCs/>
          <w:color w:val="212121"/>
          <w:shd w:val="clear" w:color="auto" w:fill="FFFFFF"/>
        </w:rPr>
        <w:t>43</w:t>
      </w:r>
      <w:r w:rsidRPr="00E265AC">
        <w:rPr>
          <w:color w:val="212121"/>
          <w:shd w:val="clear" w:color="auto" w:fill="FFFFFF"/>
        </w:rPr>
        <w:t>(2), 489–495. https://doi.org/10.1111/coa.13002</w:t>
      </w:r>
    </w:p>
    <w:p w14:paraId="335957B9" w14:textId="77777777" w:rsidR="00C47B52" w:rsidRPr="00E265AC" w:rsidRDefault="00C47B52" w:rsidP="004F21AC">
      <w:pPr>
        <w:spacing w:line="480" w:lineRule="auto"/>
      </w:pPr>
    </w:p>
    <w:p w14:paraId="7ADFFE51" w14:textId="5ECA50D6" w:rsidR="004E1925" w:rsidRPr="00E265AC" w:rsidRDefault="004E1925" w:rsidP="004F21AC">
      <w:pPr>
        <w:spacing w:line="480" w:lineRule="auto"/>
      </w:pPr>
      <w:r w:rsidRPr="00E265AC">
        <w:rPr>
          <w:color w:val="212121"/>
          <w:shd w:val="clear" w:color="auto" w:fill="FFFFFF"/>
        </w:rPr>
        <w:t>Beukes, E. W., Manchaiah, V., Allen, P. M., Baguley, D. M., &amp; Andersson, G. (2019). Internet-Based Interventions for Adults With Hearing Loss, Tinnitus, and Vestibular Disorders: A Systematic Review and Meta-Analysis. </w:t>
      </w:r>
      <w:r w:rsidRPr="00E265AC">
        <w:rPr>
          <w:i/>
          <w:iCs/>
          <w:color w:val="212121"/>
          <w:shd w:val="clear" w:color="auto" w:fill="FFFFFF"/>
        </w:rPr>
        <w:t>Trends in Hearing</w:t>
      </w:r>
      <w:r w:rsidRPr="00E265AC">
        <w:rPr>
          <w:color w:val="212121"/>
          <w:shd w:val="clear" w:color="auto" w:fill="FFFFFF"/>
        </w:rPr>
        <w:t>, </w:t>
      </w:r>
      <w:r w:rsidRPr="00E265AC">
        <w:rPr>
          <w:i/>
          <w:iCs/>
          <w:color w:val="212121"/>
          <w:shd w:val="clear" w:color="auto" w:fill="FFFFFF"/>
        </w:rPr>
        <w:t>23</w:t>
      </w:r>
      <w:r w:rsidRPr="00E265AC">
        <w:rPr>
          <w:color w:val="212121"/>
          <w:shd w:val="clear" w:color="auto" w:fill="FFFFFF"/>
        </w:rPr>
        <w:t>, 2331216519851749. https://doi.org/10.1177/2331216519851749</w:t>
      </w:r>
    </w:p>
    <w:p w14:paraId="569314B4" w14:textId="77777777" w:rsidR="004E1925" w:rsidRPr="00E265AC" w:rsidRDefault="004E1925" w:rsidP="004F21AC">
      <w:pPr>
        <w:spacing w:line="480" w:lineRule="auto"/>
        <w:rPr>
          <w:color w:val="212121"/>
          <w:shd w:val="clear" w:color="auto" w:fill="FFFFFF"/>
        </w:rPr>
      </w:pPr>
    </w:p>
    <w:p w14:paraId="76695CA8" w14:textId="77777777" w:rsidR="00353CD0" w:rsidRPr="00E265AC" w:rsidRDefault="00353CD0" w:rsidP="004F21AC">
      <w:pPr>
        <w:spacing w:line="480" w:lineRule="auto"/>
      </w:pPr>
      <w:r w:rsidRPr="00E265AC">
        <w:rPr>
          <w:rStyle w:val="personname"/>
          <w:lang w:val="en"/>
        </w:rPr>
        <w:t xml:space="preserve">Beukes, E.W., Fagelson, M.A., Aronson, E.P., Munoz, M.F., Andersson, G. &amp; </w:t>
      </w:r>
      <w:r w:rsidRPr="00E265AC">
        <w:rPr>
          <w:rStyle w:val="personname"/>
          <w:bCs/>
          <w:lang w:val="en"/>
        </w:rPr>
        <w:t xml:space="preserve">Manchaiah, V. </w:t>
      </w:r>
      <w:r w:rsidRPr="00E265AC">
        <w:rPr>
          <w:rStyle w:val="personname"/>
          <w:lang w:val="en"/>
        </w:rPr>
        <w:t>(</w:t>
      </w:r>
      <w:r w:rsidRPr="00E265AC">
        <w:t>2020</w:t>
      </w:r>
      <w:r w:rsidRPr="00E265AC">
        <w:rPr>
          <w:rStyle w:val="personname"/>
          <w:lang w:val="en"/>
        </w:rPr>
        <w:t xml:space="preserve">). </w:t>
      </w:r>
      <w:bookmarkStart w:id="0" w:name="OLE_LINK1"/>
      <w:bookmarkStart w:id="1" w:name="OLE_LINK2"/>
      <w:r w:rsidRPr="00E265AC">
        <w:rPr>
          <w:color w:val="000000" w:themeColor="text1"/>
          <w:shd w:val="clear" w:color="auto" w:fill="FFFFFF"/>
        </w:rPr>
        <w:t>Readability following cultural and linguistic adaptations of an Internet-base</w:t>
      </w:r>
      <w:r w:rsidRPr="00E265AC">
        <w:t xml:space="preserve">d Intervention for Tinnitus for use in the United States. </w:t>
      </w:r>
      <w:r w:rsidRPr="00E265AC">
        <w:rPr>
          <w:i/>
          <w:iCs/>
        </w:rPr>
        <w:t>American Journal of Audiology</w:t>
      </w:r>
      <w:bookmarkEnd w:id="0"/>
      <w:bookmarkEnd w:id="1"/>
      <w:r w:rsidRPr="00E265AC">
        <w:t xml:space="preserve">, 29(2), 97-109. </w:t>
      </w:r>
      <w:hyperlink r:id="rId10" w:history="1">
        <w:r w:rsidRPr="00E265AC">
          <w:rPr>
            <w:rStyle w:val="Hyperlink"/>
          </w:rPr>
          <w:t>https://doi.org/10.1044/2019_AJA-19-00014</w:t>
        </w:r>
      </w:hyperlink>
      <w:r w:rsidRPr="00E265AC">
        <w:t xml:space="preserve"> </w:t>
      </w:r>
    </w:p>
    <w:p w14:paraId="09ABD483" w14:textId="77777777" w:rsidR="00353CD0" w:rsidRPr="00E265AC" w:rsidRDefault="00353CD0" w:rsidP="004F21AC">
      <w:pPr>
        <w:spacing w:line="480" w:lineRule="auto"/>
      </w:pPr>
    </w:p>
    <w:p w14:paraId="522666E1" w14:textId="4314A286" w:rsidR="006F4298" w:rsidRPr="00E265AC" w:rsidRDefault="006F4298" w:rsidP="004F21AC">
      <w:pPr>
        <w:spacing w:line="480" w:lineRule="auto"/>
      </w:pPr>
      <w:r w:rsidRPr="00E265AC">
        <w:rPr>
          <w:color w:val="212121"/>
          <w:shd w:val="clear" w:color="auto" w:fill="FFFFFF"/>
        </w:rPr>
        <w:t>Beukes, E. W., Andersson, G., Fagelson, M., &amp; Manchaiah, V. (2021</w:t>
      </w:r>
      <w:r w:rsidR="00353CD0" w:rsidRPr="00E265AC">
        <w:rPr>
          <w:color w:val="212121"/>
          <w:shd w:val="clear" w:color="auto" w:fill="FFFFFF"/>
        </w:rPr>
        <w:t>a</w:t>
      </w:r>
      <w:r w:rsidRPr="00E265AC">
        <w:rPr>
          <w:color w:val="212121"/>
          <w:shd w:val="clear" w:color="auto" w:fill="FFFFFF"/>
        </w:rPr>
        <w:t>). Audiologist-Supported Internet-Based Cognitive Behavioral Therapy for Tinnitus in the United States: A Pilot Trial. </w:t>
      </w:r>
      <w:r w:rsidRPr="00E265AC">
        <w:rPr>
          <w:i/>
          <w:iCs/>
          <w:color w:val="212121"/>
          <w:shd w:val="clear" w:color="auto" w:fill="FFFFFF"/>
        </w:rPr>
        <w:t>American Journal of Audiology</w:t>
      </w:r>
      <w:r w:rsidRPr="00E265AC">
        <w:rPr>
          <w:color w:val="212121"/>
          <w:shd w:val="clear" w:color="auto" w:fill="FFFFFF"/>
        </w:rPr>
        <w:t>, </w:t>
      </w:r>
      <w:r w:rsidRPr="00E265AC">
        <w:rPr>
          <w:i/>
          <w:iCs/>
          <w:color w:val="212121"/>
          <w:shd w:val="clear" w:color="auto" w:fill="FFFFFF"/>
        </w:rPr>
        <w:t>30</w:t>
      </w:r>
      <w:r w:rsidRPr="00E265AC">
        <w:rPr>
          <w:color w:val="212121"/>
          <w:shd w:val="clear" w:color="auto" w:fill="FFFFFF"/>
        </w:rPr>
        <w:t xml:space="preserve">(3), 717–729. </w:t>
      </w:r>
      <w:hyperlink r:id="rId11" w:history="1">
        <w:r w:rsidRPr="00E265AC">
          <w:rPr>
            <w:rStyle w:val="Hyperlink"/>
            <w:shd w:val="clear" w:color="auto" w:fill="FFFFFF"/>
          </w:rPr>
          <w:t>https://doi.org/10.1044/2021_AJA-20-00222</w:t>
        </w:r>
      </w:hyperlink>
      <w:r w:rsidRPr="00E265AC">
        <w:rPr>
          <w:color w:val="212121"/>
          <w:shd w:val="clear" w:color="auto" w:fill="FFFFFF"/>
        </w:rPr>
        <w:t xml:space="preserve"> </w:t>
      </w:r>
    </w:p>
    <w:p w14:paraId="6C72B28E" w14:textId="77777777" w:rsidR="00A368F1" w:rsidRPr="00E265AC" w:rsidRDefault="00A368F1" w:rsidP="004F21AC">
      <w:pPr>
        <w:spacing w:line="480" w:lineRule="auto"/>
      </w:pPr>
    </w:p>
    <w:p w14:paraId="0738E68E" w14:textId="77777777" w:rsidR="00A368F1" w:rsidRPr="00E265AC" w:rsidRDefault="00A368F1" w:rsidP="004F21AC">
      <w:pPr>
        <w:spacing w:line="480" w:lineRule="auto"/>
        <w:rPr>
          <w:lang w:val="en"/>
        </w:rPr>
      </w:pPr>
      <w:r w:rsidRPr="00E265AC">
        <w:t xml:space="preserve">Beukes, E. W., Andersson, G., Fagelson, M. A., &amp; Manchaiah, V. (2021b). Internet-based audiologist-guided cognitive behavioral therapy tinnitus in the United States: A randomized </w:t>
      </w:r>
      <w:r w:rsidRPr="00E265AC">
        <w:lastRenderedPageBreak/>
        <w:t>controlled trial</w:t>
      </w:r>
      <w:r w:rsidRPr="00E265AC">
        <w:rPr>
          <w:i/>
          <w:iCs/>
        </w:rPr>
        <w:t>. Journal of Medical Internet Research</w:t>
      </w:r>
      <w:r w:rsidRPr="00E265AC">
        <w:rPr>
          <w:i/>
          <w:iCs/>
          <w:color w:val="000000"/>
        </w:rPr>
        <w:t xml:space="preserve">. </w:t>
      </w:r>
      <w:hyperlink r:id="rId12" w:history="1">
        <w:r w:rsidRPr="00E265AC">
          <w:rPr>
            <w:rStyle w:val="Hyperlink"/>
          </w:rPr>
          <w:t>https://preprints.jmir.org/preprint/27584</w:t>
        </w:r>
      </w:hyperlink>
    </w:p>
    <w:p w14:paraId="2CF17788" w14:textId="77777777" w:rsidR="00A368F1" w:rsidRPr="00E265AC" w:rsidRDefault="00A368F1" w:rsidP="004F21AC">
      <w:pPr>
        <w:pStyle w:val="ListParagraph"/>
        <w:spacing w:after="0" w:line="480" w:lineRule="auto"/>
        <w:ind w:left="0"/>
        <w:rPr>
          <w:rFonts w:ascii="Times New Roman" w:hAnsi="Times New Roman"/>
          <w:sz w:val="24"/>
          <w:szCs w:val="24"/>
          <w:lang w:val="en"/>
        </w:rPr>
      </w:pPr>
    </w:p>
    <w:p w14:paraId="46835ABF" w14:textId="13A9BA33" w:rsidR="00A368F1" w:rsidRPr="00E265AC" w:rsidRDefault="00A368F1" w:rsidP="004F21AC">
      <w:pPr>
        <w:spacing w:line="480" w:lineRule="auto"/>
        <w:rPr>
          <w:rStyle w:val="Hyperlink"/>
          <w:lang w:val="de-DE"/>
        </w:rPr>
      </w:pPr>
      <w:r w:rsidRPr="00E265AC">
        <w:t xml:space="preserve">Beukes, E. W., Andersson, G., Fagelson, M. A., &amp; Manchaiah, V. (2021c). Dismantling internet-based cognitive behavioral therapy for tinnitus. The contribution of applied relaxation: A randomized controlled trial. </w:t>
      </w:r>
      <w:r w:rsidRPr="00E265AC">
        <w:rPr>
          <w:i/>
          <w:iCs/>
        </w:rPr>
        <w:t>Internet Interventions,</w:t>
      </w:r>
      <w:r w:rsidRPr="00E265AC">
        <w:t xml:space="preserve"> </w:t>
      </w:r>
      <w:r w:rsidRPr="00E265AC">
        <w:rPr>
          <w:i/>
          <w:iCs/>
        </w:rPr>
        <w:t xml:space="preserve">25, </w:t>
      </w:r>
      <w:r w:rsidRPr="00E265AC">
        <w:t xml:space="preserve">100402. </w:t>
      </w:r>
      <w:hyperlink r:id="rId13" w:history="1">
        <w:r w:rsidRPr="00E265AC">
          <w:rPr>
            <w:rStyle w:val="Hyperlink"/>
            <w:lang w:val="de-DE"/>
          </w:rPr>
          <w:t>https://doi.org/10.1016/j.invent.2021.100402</w:t>
        </w:r>
      </w:hyperlink>
    </w:p>
    <w:p w14:paraId="7158EBF3" w14:textId="7B60B6AB" w:rsidR="00353CD0" w:rsidRPr="00E265AC" w:rsidRDefault="00353CD0" w:rsidP="004F21AC">
      <w:pPr>
        <w:spacing w:line="480" w:lineRule="auto"/>
        <w:rPr>
          <w:rStyle w:val="Hyperlink"/>
          <w:lang w:val="de-DE"/>
        </w:rPr>
      </w:pPr>
    </w:p>
    <w:p w14:paraId="38A64E79" w14:textId="77777777" w:rsidR="00E04062" w:rsidRPr="00E265AC" w:rsidRDefault="00E04062" w:rsidP="00E04062">
      <w:pPr>
        <w:spacing w:line="480" w:lineRule="auto"/>
      </w:pPr>
      <w:r w:rsidRPr="00E265AC">
        <w:rPr>
          <w:lang w:val="de-DE"/>
        </w:rPr>
        <w:t xml:space="preserve">Beukes, E., Andersson, G., Manchaiah, V. &amp; Kaldo, V. (2021d). </w:t>
      </w:r>
      <w:r w:rsidRPr="00E265AC">
        <w:rPr>
          <w:i/>
        </w:rPr>
        <w:t>Cognitive behavioral therapy for tinnitus.</w:t>
      </w:r>
      <w:r w:rsidRPr="00E265AC">
        <w:t xml:space="preserve"> San Diego, USA: Plural Publishing Inc.</w:t>
      </w:r>
    </w:p>
    <w:p w14:paraId="62EE6A4E" w14:textId="77777777" w:rsidR="00E04062" w:rsidRPr="00E265AC" w:rsidRDefault="00E04062" w:rsidP="004F21AC">
      <w:pPr>
        <w:spacing w:line="480" w:lineRule="auto"/>
      </w:pPr>
    </w:p>
    <w:p w14:paraId="450C670C" w14:textId="67DEA1B4" w:rsidR="009351FD" w:rsidRPr="00E265AC" w:rsidRDefault="009351FD" w:rsidP="004F21AC">
      <w:pPr>
        <w:spacing w:line="480" w:lineRule="auto"/>
      </w:pPr>
      <w:r w:rsidRPr="00E265AC">
        <w:t>Beukes, E.W., Chundu, S., Ratinaud, P., Andersson, G., &amp; Manchaiah, V. (</w:t>
      </w:r>
      <w:r w:rsidRPr="00E265AC">
        <w:rPr>
          <w:color w:val="1A1718"/>
        </w:rPr>
        <w:t>2022</w:t>
      </w:r>
      <w:r w:rsidRPr="00E265AC">
        <w:t xml:space="preserve">). Experiential characteristics among individuals with tinnitus seeking online psychological interventions: A cluster analysis. </w:t>
      </w:r>
      <w:r w:rsidRPr="00E265AC">
        <w:rPr>
          <w:i/>
          <w:iCs/>
        </w:rPr>
        <w:t>Brain Sciences</w:t>
      </w:r>
      <w:r w:rsidRPr="00E265AC">
        <w:t xml:space="preserve">, 12(9), 1221. </w:t>
      </w:r>
      <w:hyperlink r:id="rId14" w:history="1">
        <w:r w:rsidRPr="00E265AC">
          <w:rPr>
            <w:rStyle w:val="Hyperlink"/>
            <w:shd w:val="clear" w:color="auto" w:fill="FFFFFF"/>
          </w:rPr>
          <w:t>https://doi.org/10.3390/brainsci12091221</w:t>
        </w:r>
      </w:hyperlink>
      <w:r w:rsidRPr="00E265AC">
        <w:rPr>
          <w:rFonts w:ascii="Arial" w:hAnsi="Arial" w:cs="Arial"/>
          <w:color w:val="222222"/>
          <w:sz w:val="18"/>
          <w:szCs w:val="18"/>
          <w:shd w:val="clear" w:color="auto" w:fill="FFFFFF"/>
        </w:rPr>
        <w:t xml:space="preserve"> </w:t>
      </w:r>
    </w:p>
    <w:p w14:paraId="383D3006" w14:textId="370E320D" w:rsidR="00A368F1" w:rsidRPr="00E265AC" w:rsidRDefault="00A368F1" w:rsidP="004F21AC">
      <w:pPr>
        <w:pStyle w:val="ListParagraph"/>
        <w:spacing w:after="0" w:line="480" w:lineRule="auto"/>
        <w:ind w:left="0"/>
        <w:rPr>
          <w:rFonts w:ascii="Times New Roman" w:hAnsi="Times New Roman"/>
          <w:sz w:val="24"/>
          <w:szCs w:val="24"/>
          <w:lang w:val="en"/>
        </w:rPr>
      </w:pPr>
    </w:p>
    <w:p w14:paraId="24A04693" w14:textId="77777777" w:rsidR="00574E4E" w:rsidRPr="00E265AC" w:rsidRDefault="00574E4E" w:rsidP="004F21AC">
      <w:pPr>
        <w:spacing w:line="480" w:lineRule="auto"/>
      </w:pPr>
      <w:proofErr w:type="spellStart"/>
      <w:r w:rsidRPr="00E265AC">
        <w:t>Bidjari</w:t>
      </w:r>
      <w:proofErr w:type="spellEnd"/>
      <w:r w:rsidRPr="00E265AC">
        <w:t xml:space="preserve">, A.F. (2011). Attitude and Social Representation. </w:t>
      </w:r>
      <w:r w:rsidRPr="00E265AC">
        <w:rPr>
          <w:i/>
          <w:iCs/>
        </w:rPr>
        <w:t>Procedia - Social and Behavioral Sciences</w:t>
      </w:r>
      <w:r w:rsidRPr="00E265AC">
        <w:t xml:space="preserve">, 30, 1593-97. </w:t>
      </w:r>
      <w:hyperlink r:id="rId15" w:history="1">
        <w:r w:rsidRPr="00E265AC">
          <w:rPr>
            <w:rStyle w:val="Hyperlink"/>
          </w:rPr>
          <w:t>https://doi.org/10.1016/j.sbspro.2011.10.309</w:t>
        </w:r>
      </w:hyperlink>
      <w:r w:rsidRPr="00E265AC">
        <w:t xml:space="preserve"> </w:t>
      </w:r>
    </w:p>
    <w:p w14:paraId="36A2F510" w14:textId="77777777" w:rsidR="00574E4E" w:rsidRPr="00E265AC" w:rsidRDefault="00574E4E" w:rsidP="004F21AC">
      <w:pPr>
        <w:pStyle w:val="ListParagraph"/>
        <w:spacing w:after="0" w:line="480" w:lineRule="auto"/>
        <w:ind w:left="0"/>
        <w:rPr>
          <w:rFonts w:ascii="Times New Roman" w:hAnsi="Times New Roman"/>
          <w:sz w:val="24"/>
          <w:szCs w:val="24"/>
          <w:lang w:val="en"/>
        </w:rPr>
      </w:pPr>
    </w:p>
    <w:p w14:paraId="1E681978" w14:textId="2D3D7288" w:rsidR="00A368F1" w:rsidRPr="00E265AC" w:rsidRDefault="00A368F1" w:rsidP="004F21AC">
      <w:pPr>
        <w:pStyle w:val="ListParagraph"/>
        <w:spacing w:after="0" w:line="480" w:lineRule="auto"/>
        <w:ind w:left="0"/>
        <w:rPr>
          <w:rFonts w:ascii="Times New Roman" w:hAnsi="Times New Roman"/>
          <w:sz w:val="24"/>
          <w:szCs w:val="24"/>
        </w:rPr>
      </w:pPr>
      <w:r w:rsidRPr="00E265AC">
        <w:rPr>
          <w:rStyle w:val="personname"/>
          <w:rFonts w:ascii="Times New Roman" w:hAnsi="Times New Roman"/>
          <w:sz w:val="24"/>
          <w:szCs w:val="24"/>
          <w:lang w:val="en"/>
        </w:rPr>
        <w:t xml:space="preserve">Chundu, S., Manchaiah, V., Han, W., </w:t>
      </w:r>
      <w:proofErr w:type="spellStart"/>
      <w:r w:rsidRPr="00E265AC">
        <w:rPr>
          <w:rStyle w:val="personname"/>
          <w:rFonts w:ascii="Times New Roman" w:hAnsi="Times New Roman"/>
          <w:sz w:val="24"/>
          <w:szCs w:val="24"/>
          <w:lang w:val="en"/>
        </w:rPr>
        <w:t>Thammaiah</w:t>
      </w:r>
      <w:proofErr w:type="spellEnd"/>
      <w:r w:rsidRPr="00E265AC">
        <w:rPr>
          <w:rStyle w:val="personname"/>
          <w:rFonts w:ascii="Times New Roman" w:hAnsi="Times New Roman"/>
          <w:sz w:val="24"/>
          <w:szCs w:val="24"/>
          <w:lang w:val="en"/>
        </w:rPr>
        <w:t xml:space="preserve">, S., Ratinaud, P. &amp; Allen, P.M. (2020). Social representation of ‘hearing loss’ among people with hearing loss: An exploratory cross-cultural study. </w:t>
      </w:r>
      <w:r w:rsidRPr="00E265AC">
        <w:rPr>
          <w:rStyle w:val="personname"/>
          <w:rFonts w:ascii="Times New Roman" w:hAnsi="Times New Roman"/>
          <w:i/>
          <w:sz w:val="24"/>
          <w:szCs w:val="24"/>
          <w:lang w:val="en"/>
        </w:rPr>
        <w:t>Journal of the American Academy of Audiology</w:t>
      </w:r>
      <w:r w:rsidRPr="00E265AC">
        <w:rPr>
          <w:rStyle w:val="personname"/>
          <w:rFonts w:ascii="Times New Roman" w:hAnsi="Times New Roman"/>
          <w:sz w:val="24"/>
          <w:szCs w:val="24"/>
          <w:lang w:val="en"/>
        </w:rPr>
        <w:t>, 31(1), 725-739</w:t>
      </w:r>
      <w:r w:rsidRPr="00E265AC">
        <w:rPr>
          <w:rStyle w:val="personname"/>
          <w:rFonts w:ascii="Times New Roman" w:hAnsi="Times New Roman"/>
          <w:color w:val="000000"/>
          <w:sz w:val="24"/>
          <w:szCs w:val="24"/>
          <w:lang w:val="en"/>
        </w:rPr>
        <w:t xml:space="preserve">. </w:t>
      </w:r>
      <w:hyperlink r:id="rId16" w:history="1">
        <w:r w:rsidR="00B9418F" w:rsidRPr="00E265AC">
          <w:rPr>
            <w:rStyle w:val="Hyperlink"/>
            <w:rFonts w:ascii="Times New Roman" w:hAnsi="Times New Roman"/>
            <w:sz w:val="24"/>
            <w:szCs w:val="24"/>
            <w:shd w:val="clear" w:color="auto" w:fill="FFFFFF"/>
          </w:rPr>
          <w:t>https://doi.org/10.1055/s-0040-1719127</w:t>
        </w:r>
      </w:hyperlink>
      <w:r w:rsidR="00B9418F" w:rsidRPr="00E265AC">
        <w:rPr>
          <w:rFonts w:ascii="Times New Roman" w:hAnsi="Times New Roman"/>
          <w:color w:val="000000"/>
          <w:sz w:val="24"/>
          <w:szCs w:val="24"/>
          <w:shd w:val="clear" w:color="auto" w:fill="FFFFFF"/>
        </w:rPr>
        <w:t xml:space="preserve"> </w:t>
      </w:r>
    </w:p>
    <w:p w14:paraId="1AA5C86B" w14:textId="77777777" w:rsidR="00A368F1" w:rsidRPr="00E265AC" w:rsidRDefault="00A368F1" w:rsidP="004F21AC">
      <w:pPr>
        <w:pStyle w:val="ListParagraph"/>
        <w:spacing w:after="0" w:line="480" w:lineRule="auto"/>
        <w:ind w:left="0"/>
        <w:rPr>
          <w:rFonts w:ascii="Times New Roman" w:hAnsi="Times New Roman"/>
          <w:sz w:val="24"/>
          <w:szCs w:val="24"/>
        </w:rPr>
      </w:pPr>
    </w:p>
    <w:p w14:paraId="67DC020B" w14:textId="4B1AA087" w:rsidR="00B9418F" w:rsidRPr="00E265AC" w:rsidRDefault="00A368F1" w:rsidP="004F21AC">
      <w:pPr>
        <w:spacing w:line="480" w:lineRule="auto"/>
      </w:pPr>
      <w:r w:rsidRPr="00E265AC">
        <w:rPr>
          <w:rStyle w:val="personname"/>
          <w:lang w:val="en"/>
        </w:rPr>
        <w:lastRenderedPageBreak/>
        <w:t xml:space="preserve">Chundu, S., Allen, P.M., Han, W., Ratinaud, P., Krishna, R., &amp; Manchaiah, V. (2021). Social representation of ‘hearing aids’ among adults with hearing loss across countries: An exploratory study. </w:t>
      </w:r>
      <w:r w:rsidRPr="00E265AC">
        <w:rPr>
          <w:rStyle w:val="personname"/>
          <w:i/>
          <w:iCs/>
          <w:color w:val="000000" w:themeColor="text1"/>
          <w:lang w:val="en"/>
        </w:rPr>
        <w:t>International Journal of Audiology</w:t>
      </w:r>
      <w:r w:rsidRPr="00E265AC">
        <w:rPr>
          <w:rStyle w:val="personname"/>
          <w:color w:val="000000" w:themeColor="text1"/>
          <w:lang w:val="en"/>
        </w:rPr>
        <w:t xml:space="preserve">, Published Online. </w:t>
      </w:r>
      <w:hyperlink r:id="rId17" w:history="1">
        <w:r w:rsidR="00B9418F" w:rsidRPr="00E265AC">
          <w:rPr>
            <w:rStyle w:val="Hyperlink"/>
            <w:lang w:val="en"/>
          </w:rPr>
          <w:t>https://doi.org/</w:t>
        </w:r>
        <w:r w:rsidR="00B9418F" w:rsidRPr="00E265AC">
          <w:rPr>
            <w:rStyle w:val="Hyperlink"/>
            <w:shd w:val="clear" w:color="auto" w:fill="FFFFFF"/>
          </w:rPr>
          <w:t>10.1080/14992027.2021.1886349</w:t>
        </w:r>
      </w:hyperlink>
      <w:r w:rsidR="00B9418F" w:rsidRPr="00E265AC">
        <w:rPr>
          <w:color w:val="000000" w:themeColor="text1"/>
          <w:shd w:val="clear" w:color="auto" w:fill="FFFFFF"/>
        </w:rPr>
        <w:t xml:space="preserve"> </w:t>
      </w:r>
    </w:p>
    <w:p w14:paraId="489D6CAA" w14:textId="77777777" w:rsidR="00921DFB" w:rsidRPr="00E265AC" w:rsidRDefault="00921DFB" w:rsidP="004F21AC">
      <w:pPr>
        <w:spacing w:line="480" w:lineRule="auto"/>
      </w:pPr>
    </w:p>
    <w:p w14:paraId="60F5BEAC" w14:textId="5406FE1C" w:rsidR="008F1E91" w:rsidRPr="00E265AC" w:rsidRDefault="008F1E91" w:rsidP="004F21AC">
      <w:pPr>
        <w:spacing w:line="480" w:lineRule="auto"/>
        <w:rPr>
          <w:color w:val="000000" w:themeColor="text1"/>
          <w:lang w:val="fr-FR"/>
        </w:rPr>
      </w:pPr>
      <w:r w:rsidRPr="00E265AC">
        <w:rPr>
          <w:color w:val="000000" w:themeColor="text1"/>
          <w:shd w:val="clear" w:color="auto" w:fill="FFFFFF"/>
        </w:rPr>
        <w:t>Edwards, A. L. (</w:t>
      </w:r>
      <w:r w:rsidRPr="00E265AC">
        <w:rPr>
          <w:rStyle w:val="nlmyear"/>
          <w:color w:val="000000" w:themeColor="text1"/>
          <w:shd w:val="clear" w:color="auto" w:fill="FFFFFF"/>
        </w:rPr>
        <w:t>1957)</w:t>
      </w:r>
      <w:r w:rsidRPr="00E265AC">
        <w:rPr>
          <w:color w:val="000000" w:themeColor="text1"/>
          <w:shd w:val="clear" w:color="auto" w:fill="FFFFFF"/>
        </w:rPr>
        <w:t>. </w:t>
      </w:r>
      <w:r w:rsidRPr="00E265AC">
        <w:rPr>
          <w:rStyle w:val="nlmarticle-title"/>
          <w:color w:val="000000" w:themeColor="text1"/>
          <w:shd w:val="clear" w:color="auto" w:fill="FFFFFF"/>
        </w:rPr>
        <w:t>The social desirability variable in personality assessment and research</w:t>
      </w:r>
      <w:r w:rsidRPr="00E265AC">
        <w:rPr>
          <w:color w:val="000000" w:themeColor="text1"/>
          <w:shd w:val="clear" w:color="auto" w:fill="FFFFFF"/>
        </w:rPr>
        <w:t xml:space="preserve">. </w:t>
      </w:r>
      <w:r w:rsidRPr="00E265AC">
        <w:rPr>
          <w:i/>
          <w:iCs/>
          <w:color w:val="000000" w:themeColor="text1"/>
          <w:shd w:val="clear" w:color="auto" w:fill="FFFFFF"/>
          <w:lang w:val="fr-FR"/>
        </w:rPr>
        <w:t>Academic Medicine</w:t>
      </w:r>
      <w:r w:rsidRPr="00E265AC">
        <w:rPr>
          <w:color w:val="000000" w:themeColor="text1"/>
          <w:shd w:val="clear" w:color="auto" w:fill="FFFFFF"/>
          <w:lang w:val="fr-FR"/>
        </w:rPr>
        <w:t xml:space="preserve">, 33, </w:t>
      </w:r>
      <w:r w:rsidRPr="00E265AC">
        <w:rPr>
          <w:rStyle w:val="nlmfpage"/>
          <w:color w:val="000000" w:themeColor="text1"/>
          <w:shd w:val="clear" w:color="auto" w:fill="FFFFFF"/>
          <w:lang w:val="fr-FR"/>
        </w:rPr>
        <w:t>610</w:t>
      </w:r>
      <w:r w:rsidRPr="00E265AC">
        <w:rPr>
          <w:color w:val="000000" w:themeColor="text1"/>
          <w:shd w:val="clear" w:color="auto" w:fill="FFFFFF"/>
          <w:lang w:val="fr-FR"/>
        </w:rPr>
        <w:t>–6</w:t>
      </w:r>
      <w:r w:rsidRPr="00E265AC">
        <w:rPr>
          <w:rStyle w:val="nlmlpage"/>
          <w:color w:val="000000" w:themeColor="text1"/>
          <w:shd w:val="clear" w:color="auto" w:fill="FFFFFF"/>
          <w:lang w:val="fr-FR"/>
        </w:rPr>
        <w:t>11</w:t>
      </w:r>
      <w:r w:rsidRPr="00E265AC">
        <w:rPr>
          <w:color w:val="000000" w:themeColor="text1"/>
          <w:shd w:val="clear" w:color="auto" w:fill="FFFFFF"/>
          <w:lang w:val="fr-FR"/>
        </w:rPr>
        <w:t>.</w:t>
      </w:r>
    </w:p>
    <w:p w14:paraId="47B8C7B9" w14:textId="77777777" w:rsidR="008F1E91" w:rsidRPr="00E265AC" w:rsidRDefault="008F1E91" w:rsidP="004F21AC">
      <w:pPr>
        <w:spacing w:line="480" w:lineRule="auto"/>
        <w:rPr>
          <w:color w:val="000000" w:themeColor="text1"/>
          <w:lang w:val="fr-FR"/>
        </w:rPr>
      </w:pPr>
    </w:p>
    <w:p w14:paraId="1D97FE6D" w14:textId="417885FB" w:rsidR="00A368F1" w:rsidRPr="00E265AC" w:rsidRDefault="00A368F1" w:rsidP="004F21AC">
      <w:pPr>
        <w:spacing w:line="480" w:lineRule="auto"/>
        <w:rPr>
          <w:color w:val="000000" w:themeColor="text1"/>
          <w:lang w:val="sv-SE"/>
        </w:rPr>
      </w:pPr>
      <w:proofErr w:type="spellStart"/>
      <w:r w:rsidRPr="00E265AC">
        <w:rPr>
          <w:color w:val="000000" w:themeColor="text1"/>
          <w:lang w:val="fr-FR"/>
        </w:rPr>
        <w:t>Flament</w:t>
      </w:r>
      <w:proofErr w:type="spellEnd"/>
      <w:r w:rsidRPr="00E265AC">
        <w:rPr>
          <w:color w:val="000000" w:themeColor="text1"/>
          <w:lang w:val="fr-FR"/>
        </w:rPr>
        <w:t xml:space="preserve">, C. (1965). </w:t>
      </w:r>
      <w:proofErr w:type="spellStart"/>
      <w:r w:rsidRPr="00E265AC">
        <w:rPr>
          <w:i/>
          <w:iCs/>
          <w:color w:val="000000" w:themeColor="text1"/>
          <w:lang w:val="fr-FR"/>
        </w:rPr>
        <w:t>Theorie</w:t>
      </w:r>
      <w:proofErr w:type="spellEnd"/>
      <w:r w:rsidRPr="00E265AC">
        <w:rPr>
          <w:i/>
          <w:iCs/>
          <w:color w:val="000000" w:themeColor="text1"/>
          <w:lang w:val="fr-FR"/>
        </w:rPr>
        <w:t xml:space="preserve"> des Graphes et Structures Sociales</w:t>
      </w:r>
      <w:r w:rsidRPr="00E265AC">
        <w:rPr>
          <w:color w:val="000000" w:themeColor="text1"/>
          <w:lang w:val="fr-FR"/>
        </w:rPr>
        <w:t xml:space="preserve">. </w:t>
      </w:r>
      <w:r w:rsidRPr="00E265AC">
        <w:rPr>
          <w:color w:val="000000" w:themeColor="text1"/>
          <w:lang w:val="sv-SE"/>
        </w:rPr>
        <w:t xml:space="preserve">Paris, France: Gauthier-Villars. </w:t>
      </w:r>
    </w:p>
    <w:p w14:paraId="6B086B05" w14:textId="7A352BC1" w:rsidR="00A368F1" w:rsidRPr="00E265AC" w:rsidRDefault="00A368F1" w:rsidP="004F21AC">
      <w:pPr>
        <w:spacing w:line="480" w:lineRule="auto"/>
        <w:rPr>
          <w:color w:val="212121"/>
          <w:shd w:val="clear" w:color="auto" w:fill="FFFFFF"/>
          <w:lang w:val="sv-SE"/>
        </w:rPr>
      </w:pPr>
    </w:p>
    <w:p w14:paraId="5D9779CC" w14:textId="6B663EA7" w:rsidR="0032005B" w:rsidRPr="00E265AC" w:rsidRDefault="0032005B" w:rsidP="004F21AC">
      <w:pPr>
        <w:spacing w:line="480" w:lineRule="auto"/>
      </w:pPr>
      <w:r w:rsidRPr="00E265AC">
        <w:rPr>
          <w:color w:val="212121"/>
          <w:shd w:val="clear" w:color="auto" w:fill="FFFFFF"/>
          <w:lang w:val="sv-SE"/>
        </w:rPr>
        <w:t xml:space="preserve">Fuller, T., Cima, R., Langguth, B., Mazurek, B., Vlaeyen, J. W., &amp; Hoare, D. J. (2020). </w:t>
      </w:r>
      <w:r w:rsidRPr="00E265AC">
        <w:rPr>
          <w:color w:val="212121"/>
          <w:shd w:val="clear" w:color="auto" w:fill="FFFFFF"/>
        </w:rPr>
        <w:t xml:space="preserve">Cognitive </w:t>
      </w:r>
      <w:proofErr w:type="spellStart"/>
      <w:r w:rsidRPr="00E265AC">
        <w:rPr>
          <w:color w:val="212121"/>
          <w:shd w:val="clear" w:color="auto" w:fill="FFFFFF"/>
        </w:rPr>
        <w:t>behavioural</w:t>
      </w:r>
      <w:proofErr w:type="spellEnd"/>
      <w:r w:rsidRPr="00E265AC">
        <w:rPr>
          <w:color w:val="212121"/>
          <w:shd w:val="clear" w:color="auto" w:fill="FFFFFF"/>
        </w:rPr>
        <w:t xml:space="preserve"> therapy for tinnitus. </w:t>
      </w:r>
      <w:r w:rsidRPr="00E265AC">
        <w:rPr>
          <w:i/>
          <w:iCs/>
          <w:color w:val="212121"/>
          <w:shd w:val="clear" w:color="auto" w:fill="FFFFFF"/>
        </w:rPr>
        <w:t>The Cochrane Database of Systematic Reviews</w:t>
      </w:r>
      <w:r w:rsidRPr="00E265AC">
        <w:rPr>
          <w:color w:val="212121"/>
          <w:shd w:val="clear" w:color="auto" w:fill="FFFFFF"/>
        </w:rPr>
        <w:t>, </w:t>
      </w:r>
      <w:r w:rsidRPr="00E265AC">
        <w:rPr>
          <w:i/>
          <w:iCs/>
          <w:color w:val="212121"/>
          <w:shd w:val="clear" w:color="auto" w:fill="FFFFFF"/>
        </w:rPr>
        <w:t>1</w:t>
      </w:r>
      <w:r w:rsidRPr="00E265AC">
        <w:rPr>
          <w:color w:val="212121"/>
          <w:shd w:val="clear" w:color="auto" w:fill="FFFFFF"/>
        </w:rPr>
        <w:t>(1), CD012614. https://doi.org/10.1002/14651858.CD012614.pub2</w:t>
      </w:r>
    </w:p>
    <w:p w14:paraId="64DC81A6" w14:textId="77777777" w:rsidR="0032005B" w:rsidRPr="00E265AC" w:rsidRDefault="0032005B" w:rsidP="004F21AC">
      <w:pPr>
        <w:spacing w:line="480" w:lineRule="auto"/>
        <w:rPr>
          <w:color w:val="212121"/>
          <w:shd w:val="clear" w:color="auto" w:fill="FFFFFF"/>
        </w:rPr>
      </w:pPr>
    </w:p>
    <w:p w14:paraId="3CFE8D56" w14:textId="77777777" w:rsidR="00A368F1" w:rsidRPr="00E265AC" w:rsidRDefault="00A368F1" w:rsidP="004F21AC">
      <w:pPr>
        <w:spacing w:line="480" w:lineRule="auto"/>
      </w:pPr>
      <w:r w:rsidRPr="00E265AC">
        <w:rPr>
          <w:color w:val="212121"/>
          <w:shd w:val="clear" w:color="auto" w:fill="FFFFFF"/>
        </w:rPr>
        <w:t xml:space="preserve">Germundsson, P., Manchaiah, V., Ratinaud, P., </w:t>
      </w:r>
      <w:proofErr w:type="spellStart"/>
      <w:r w:rsidRPr="00E265AC">
        <w:rPr>
          <w:color w:val="212121"/>
          <w:shd w:val="clear" w:color="auto" w:fill="FFFFFF"/>
        </w:rPr>
        <w:t>Tympas</w:t>
      </w:r>
      <w:proofErr w:type="spellEnd"/>
      <w:r w:rsidRPr="00E265AC">
        <w:rPr>
          <w:color w:val="212121"/>
          <w:shd w:val="clear" w:color="auto" w:fill="FFFFFF"/>
        </w:rPr>
        <w:t xml:space="preserve">, A., &amp; </w:t>
      </w:r>
      <w:proofErr w:type="spellStart"/>
      <w:r w:rsidRPr="00E265AC">
        <w:rPr>
          <w:color w:val="212121"/>
          <w:shd w:val="clear" w:color="auto" w:fill="FFFFFF"/>
        </w:rPr>
        <w:t>Danermark</w:t>
      </w:r>
      <w:proofErr w:type="spellEnd"/>
      <w:r w:rsidRPr="00E265AC">
        <w:rPr>
          <w:color w:val="212121"/>
          <w:shd w:val="clear" w:color="auto" w:fill="FFFFFF"/>
        </w:rPr>
        <w:t>, B. (2018). Patterns in the social representation of "hearing loss" across countries: how do demographic factors influence this representation?. </w:t>
      </w:r>
      <w:r w:rsidRPr="00E265AC">
        <w:rPr>
          <w:i/>
          <w:iCs/>
          <w:color w:val="212121"/>
          <w:shd w:val="clear" w:color="auto" w:fill="FFFFFF"/>
        </w:rPr>
        <w:t>International Journal of Audiology</w:t>
      </w:r>
      <w:r w:rsidRPr="00E265AC">
        <w:rPr>
          <w:color w:val="212121"/>
          <w:shd w:val="clear" w:color="auto" w:fill="FFFFFF"/>
        </w:rPr>
        <w:t>, </w:t>
      </w:r>
      <w:r w:rsidRPr="00E265AC">
        <w:rPr>
          <w:i/>
          <w:iCs/>
          <w:color w:val="212121"/>
          <w:shd w:val="clear" w:color="auto" w:fill="FFFFFF"/>
        </w:rPr>
        <w:t>57</w:t>
      </w:r>
      <w:r w:rsidRPr="00E265AC">
        <w:rPr>
          <w:color w:val="212121"/>
          <w:shd w:val="clear" w:color="auto" w:fill="FFFFFF"/>
        </w:rPr>
        <w:t>(12), 925–932. https://doi.org/10.1080/14992027.2018.1516894</w:t>
      </w:r>
    </w:p>
    <w:p w14:paraId="0C80F316" w14:textId="77777777" w:rsidR="00A368F1" w:rsidRPr="00E265AC" w:rsidRDefault="00A368F1" w:rsidP="004F21AC">
      <w:pPr>
        <w:spacing w:line="480" w:lineRule="auto"/>
        <w:rPr>
          <w:color w:val="212121"/>
          <w:shd w:val="clear" w:color="auto" w:fill="FFFFFF"/>
        </w:rPr>
      </w:pPr>
    </w:p>
    <w:p w14:paraId="49FA5A79" w14:textId="77777777" w:rsidR="00A368F1" w:rsidRPr="00E265AC" w:rsidRDefault="00A368F1" w:rsidP="004F21AC">
      <w:pPr>
        <w:spacing w:line="480" w:lineRule="auto"/>
      </w:pPr>
      <w:proofErr w:type="spellStart"/>
      <w:r w:rsidRPr="00E265AC">
        <w:rPr>
          <w:color w:val="212121"/>
          <w:shd w:val="clear" w:color="auto" w:fill="FFFFFF"/>
        </w:rPr>
        <w:t>Graneheim</w:t>
      </w:r>
      <w:proofErr w:type="spellEnd"/>
      <w:r w:rsidRPr="00E265AC">
        <w:rPr>
          <w:color w:val="212121"/>
          <w:shd w:val="clear" w:color="auto" w:fill="FFFFFF"/>
        </w:rPr>
        <w:t>, U. H., &amp; Lundman, B. (2004). Qualitative content analysis in nursing research: concepts, procedures and measures to achieve trustworthiness. </w:t>
      </w:r>
      <w:r w:rsidRPr="00E265AC">
        <w:rPr>
          <w:i/>
          <w:iCs/>
          <w:color w:val="212121"/>
          <w:shd w:val="clear" w:color="auto" w:fill="FFFFFF"/>
        </w:rPr>
        <w:t>Nurse Education Today</w:t>
      </w:r>
      <w:r w:rsidRPr="00E265AC">
        <w:rPr>
          <w:color w:val="212121"/>
          <w:shd w:val="clear" w:color="auto" w:fill="FFFFFF"/>
        </w:rPr>
        <w:t>, </w:t>
      </w:r>
      <w:r w:rsidRPr="00E265AC">
        <w:rPr>
          <w:i/>
          <w:iCs/>
          <w:color w:val="212121"/>
          <w:shd w:val="clear" w:color="auto" w:fill="FFFFFF"/>
        </w:rPr>
        <w:t>24</w:t>
      </w:r>
      <w:r w:rsidRPr="00E265AC">
        <w:rPr>
          <w:color w:val="212121"/>
          <w:shd w:val="clear" w:color="auto" w:fill="FFFFFF"/>
        </w:rPr>
        <w:t>(2), 105–112. https://doi.org/10.1016/j.nedt.2003.10.001</w:t>
      </w:r>
    </w:p>
    <w:p w14:paraId="246DB8BD" w14:textId="77777777" w:rsidR="00A368F1" w:rsidRPr="00E265AC" w:rsidRDefault="00A368F1" w:rsidP="004F21AC">
      <w:pPr>
        <w:spacing w:line="480" w:lineRule="auto"/>
      </w:pPr>
    </w:p>
    <w:p w14:paraId="2054E9E7" w14:textId="6A55A39B" w:rsidR="00A368F1" w:rsidRPr="00E265AC" w:rsidRDefault="00A368F1" w:rsidP="004F21AC">
      <w:pPr>
        <w:spacing w:line="480" w:lineRule="auto"/>
      </w:pPr>
      <w:r w:rsidRPr="00E265AC">
        <w:rPr>
          <w:color w:val="000000"/>
          <w:shd w:val="clear" w:color="auto" w:fill="FFFFFF"/>
        </w:rPr>
        <w:lastRenderedPageBreak/>
        <w:t xml:space="preserve">Handscomb, L. E., Hall, D. A., Shorter, G. W., &amp; Hoare, D. J. (2017). Positive and </w:t>
      </w:r>
      <w:r w:rsidR="00AC5495" w:rsidRPr="00E265AC">
        <w:rPr>
          <w:color w:val="000000"/>
          <w:shd w:val="clear" w:color="auto" w:fill="FFFFFF"/>
        </w:rPr>
        <w:t>n</w:t>
      </w:r>
      <w:r w:rsidRPr="00E265AC">
        <w:rPr>
          <w:color w:val="000000"/>
          <w:shd w:val="clear" w:color="auto" w:fill="FFFFFF"/>
        </w:rPr>
        <w:t xml:space="preserve">egative </w:t>
      </w:r>
      <w:r w:rsidR="00AC5495" w:rsidRPr="00E265AC">
        <w:rPr>
          <w:color w:val="000000"/>
          <w:shd w:val="clear" w:color="auto" w:fill="FFFFFF"/>
        </w:rPr>
        <w:t>t</w:t>
      </w:r>
      <w:r w:rsidRPr="00E265AC">
        <w:rPr>
          <w:color w:val="000000"/>
          <w:shd w:val="clear" w:color="auto" w:fill="FFFFFF"/>
        </w:rPr>
        <w:t xml:space="preserve">hinking in </w:t>
      </w:r>
      <w:r w:rsidR="00AC5495" w:rsidRPr="00E265AC">
        <w:rPr>
          <w:color w:val="000000"/>
          <w:shd w:val="clear" w:color="auto" w:fill="FFFFFF"/>
        </w:rPr>
        <w:t>t</w:t>
      </w:r>
      <w:r w:rsidRPr="00E265AC">
        <w:rPr>
          <w:color w:val="000000"/>
          <w:shd w:val="clear" w:color="auto" w:fill="FFFFFF"/>
        </w:rPr>
        <w:t xml:space="preserve">innitus: Factor </w:t>
      </w:r>
      <w:r w:rsidR="00AC5495" w:rsidRPr="00E265AC">
        <w:rPr>
          <w:color w:val="000000"/>
          <w:shd w:val="clear" w:color="auto" w:fill="FFFFFF"/>
        </w:rPr>
        <w:t>s</w:t>
      </w:r>
      <w:r w:rsidRPr="00E265AC">
        <w:rPr>
          <w:color w:val="000000"/>
          <w:shd w:val="clear" w:color="auto" w:fill="FFFFFF"/>
        </w:rPr>
        <w:t xml:space="preserve">tructure of the </w:t>
      </w:r>
      <w:r w:rsidR="00AC5495" w:rsidRPr="00E265AC">
        <w:rPr>
          <w:color w:val="000000"/>
          <w:shd w:val="clear" w:color="auto" w:fill="FFFFFF"/>
        </w:rPr>
        <w:t>t</w:t>
      </w:r>
      <w:r w:rsidRPr="00E265AC">
        <w:rPr>
          <w:color w:val="000000"/>
          <w:shd w:val="clear" w:color="auto" w:fill="FFFFFF"/>
        </w:rPr>
        <w:t xml:space="preserve">innitus </w:t>
      </w:r>
      <w:r w:rsidR="00AC5495" w:rsidRPr="00E265AC">
        <w:rPr>
          <w:color w:val="000000"/>
          <w:shd w:val="clear" w:color="auto" w:fill="FFFFFF"/>
        </w:rPr>
        <w:t>c</w:t>
      </w:r>
      <w:r w:rsidRPr="00E265AC">
        <w:rPr>
          <w:color w:val="000000"/>
          <w:shd w:val="clear" w:color="auto" w:fill="FFFFFF"/>
        </w:rPr>
        <w:t xml:space="preserve">ognitions </w:t>
      </w:r>
      <w:r w:rsidR="00AC5495" w:rsidRPr="00E265AC">
        <w:rPr>
          <w:color w:val="000000"/>
          <w:shd w:val="clear" w:color="auto" w:fill="FFFFFF"/>
        </w:rPr>
        <w:t>q</w:t>
      </w:r>
      <w:r w:rsidRPr="00E265AC">
        <w:rPr>
          <w:color w:val="000000"/>
          <w:shd w:val="clear" w:color="auto" w:fill="FFFFFF"/>
        </w:rPr>
        <w:t>uestionnaire. </w:t>
      </w:r>
      <w:r w:rsidRPr="00E265AC">
        <w:rPr>
          <w:i/>
          <w:iCs/>
          <w:color w:val="000000"/>
          <w:shd w:val="clear" w:color="auto" w:fill="FFFFFF"/>
        </w:rPr>
        <w:t>Ear and Hearing</w:t>
      </w:r>
      <w:r w:rsidRPr="00E265AC">
        <w:rPr>
          <w:color w:val="000000"/>
          <w:shd w:val="clear" w:color="auto" w:fill="FFFFFF"/>
        </w:rPr>
        <w:t>, </w:t>
      </w:r>
      <w:r w:rsidRPr="00E265AC">
        <w:rPr>
          <w:i/>
          <w:iCs/>
          <w:color w:val="000000"/>
          <w:shd w:val="clear" w:color="auto" w:fill="FFFFFF"/>
        </w:rPr>
        <w:t>38</w:t>
      </w:r>
      <w:r w:rsidRPr="00E265AC">
        <w:rPr>
          <w:color w:val="000000"/>
          <w:shd w:val="clear" w:color="auto" w:fill="FFFFFF"/>
        </w:rPr>
        <w:t>(1), 126–132. https://doi.org/10.1097/AUD.0000000000000365</w:t>
      </w:r>
    </w:p>
    <w:p w14:paraId="749E0214" w14:textId="77777777" w:rsidR="00A368F1" w:rsidRPr="00E265AC" w:rsidRDefault="00A368F1" w:rsidP="004F21AC">
      <w:pPr>
        <w:spacing w:line="480" w:lineRule="auto"/>
        <w:rPr>
          <w:color w:val="000000"/>
        </w:rPr>
      </w:pPr>
    </w:p>
    <w:p w14:paraId="6CC2BE30" w14:textId="77777777" w:rsidR="00A368F1" w:rsidRPr="00E265AC" w:rsidRDefault="00A368F1" w:rsidP="004F21AC">
      <w:pPr>
        <w:spacing w:line="480" w:lineRule="auto"/>
      </w:pPr>
      <w:proofErr w:type="spellStart"/>
      <w:r w:rsidRPr="00E265AC">
        <w:t>Hovardas</w:t>
      </w:r>
      <w:proofErr w:type="spellEnd"/>
      <w:r w:rsidRPr="00E265AC">
        <w:t xml:space="preserve">, T., &amp; K. J. </w:t>
      </w:r>
      <w:proofErr w:type="spellStart"/>
      <w:r w:rsidRPr="00E265AC">
        <w:t>Korfiatis</w:t>
      </w:r>
      <w:proofErr w:type="spellEnd"/>
      <w:r w:rsidRPr="00E265AC">
        <w:t xml:space="preserve">. (2006). Word associations as a tool for assessing conceptual change in science education. </w:t>
      </w:r>
      <w:r w:rsidRPr="00E265AC">
        <w:rPr>
          <w:i/>
          <w:iCs/>
        </w:rPr>
        <w:t>Learning and Instruction</w:t>
      </w:r>
      <w:r w:rsidRPr="00E265AC">
        <w:t xml:space="preserve">, 16(5), 416–432. </w:t>
      </w:r>
      <w:proofErr w:type="spellStart"/>
      <w:r w:rsidRPr="00E265AC">
        <w:t>doi</w:t>
      </w:r>
      <w:proofErr w:type="spellEnd"/>
      <w:r w:rsidRPr="00E265AC">
        <w:t xml:space="preserve">: </w:t>
      </w:r>
      <w:r w:rsidRPr="00E265AC">
        <w:rPr>
          <w:color w:val="00007F"/>
        </w:rPr>
        <w:t>10.1016/j.learninstruc.2006.09.003</w:t>
      </w:r>
      <w:r w:rsidRPr="00E265AC">
        <w:t xml:space="preserve">. </w:t>
      </w:r>
    </w:p>
    <w:p w14:paraId="06071A46" w14:textId="42A3E7D0" w:rsidR="00A368F1" w:rsidRPr="00E265AC" w:rsidRDefault="00A368F1" w:rsidP="004F21AC">
      <w:pPr>
        <w:spacing w:line="480" w:lineRule="auto"/>
        <w:rPr>
          <w:color w:val="000000"/>
          <w:shd w:val="clear" w:color="auto" w:fill="FFFFFF"/>
        </w:rPr>
      </w:pPr>
    </w:p>
    <w:p w14:paraId="30A8EA5E" w14:textId="77777777" w:rsidR="00574E4E" w:rsidRPr="00E265AC" w:rsidRDefault="00574E4E" w:rsidP="004F21AC">
      <w:pPr>
        <w:spacing w:line="480" w:lineRule="auto"/>
      </w:pPr>
      <w:proofErr w:type="spellStart"/>
      <w:r w:rsidRPr="00E265AC">
        <w:t>Jodelet</w:t>
      </w:r>
      <w:proofErr w:type="spellEnd"/>
      <w:r w:rsidRPr="00E265AC">
        <w:t>, D. (2012). Interconnections between social representations and intervention.</w:t>
      </w:r>
    </w:p>
    <w:p w14:paraId="5B33DB0F" w14:textId="77777777" w:rsidR="00574E4E" w:rsidRPr="00E265AC" w:rsidRDefault="00574E4E" w:rsidP="004F21AC">
      <w:pPr>
        <w:spacing w:line="480" w:lineRule="auto"/>
      </w:pPr>
      <w:r w:rsidRPr="00E265AC">
        <w:t>In A. De Rosa (Ed.), Social representations in the 'social arena' (pp. 77-88). London: Routledge., 2012.</w:t>
      </w:r>
    </w:p>
    <w:p w14:paraId="2500F44D" w14:textId="77777777" w:rsidR="00574E4E" w:rsidRPr="00E265AC" w:rsidRDefault="00574E4E" w:rsidP="004F21AC">
      <w:pPr>
        <w:spacing w:line="480" w:lineRule="auto"/>
        <w:rPr>
          <w:color w:val="000000"/>
          <w:shd w:val="clear" w:color="auto" w:fill="FFFFFF"/>
        </w:rPr>
      </w:pPr>
    </w:p>
    <w:p w14:paraId="59879305" w14:textId="687D9DFD" w:rsidR="00A368F1" w:rsidRPr="00E265AC" w:rsidRDefault="00A368F1" w:rsidP="004F21AC">
      <w:pPr>
        <w:spacing w:line="480" w:lineRule="auto"/>
      </w:pPr>
      <w:r w:rsidRPr="00E265AC">
        <w:rPr>
          <w:color w:val="212121"/>
          <w:shd w:val="clear" w:color="auto" w:fill="FFFFFF"/>
        </w:rPr>
        <w:t xml:space="preserve">Kimball, S. H., Hamilton, T., Benear, E., &amp; Baldwin, J. (2019). Determining </w:t>
      </w:r>
      <w:r w:rsidR="00AC5495" w:rsidRPr="00E265AC">
        <w:rPr>
          <w:color w:val="212121"/>
          <w:shd w:val="clear" w:color="auto" w:fill="FFFFFF"/>
        </w:rPr>
        <w:t>e</w:t>
      </w:r>
      <w:r w:rsidRPr="00E265AC">
        <w:rPr>
          <w:color w:val="212121"/>
          <w:shd w:val="clear" w:color="auto" w:fill="FFFFFF"/>
        </w:rPr>
        <w:t xml:space="preserve">motional </w:t>
      </w:r>
      <w:r w:rsidR="00AC5495" w:rsidRPr="00E265AC">
        <w:rPr>
          <w:color w:val="212121"/>
          <w:shd w:val="clear" w:color="auto" w:fill="FFFFFF"/>
        </w:rPr>
        <w:t>t</w:t>
      </w:r>
      <w:r w:rsidRPr="00E265AC">
        <w:rPr>
          <w:color w:val="212121"/>
          <w:shd w:val="clear" w:color="auto" w:fill="FFFFFF"/>
        </w:rPr>
        <w:t xml:space="preserve">one and </w:t>
      </w:r>
      <w:r w:rsidR="00AC5495" w:rsidRPr="00E265AC">
        <w:rPr>
          <w:color w:val="212121"/>
          <w:shd w:val="clear" w:color="auto" w:fill="FFFFFF"/>
        </w:rPr>
        <w:t>v</w:t>
      </w:r>
      <w:r w:rsidRPr="00E265AC">
        <w:rPr>
          <w:color w:val="212121"/>
          <w:shd w:val="clear" w:color="auto" w:fill="FFFFFF"/>
        </w:rPr>
        <w:t xml:space="preserve">erbal </w:t>
      </w:r>
      <w:r w:rsidR="00AC5495" w:rsidRPr="00E265AC">
        <w:rPr>
          <w:color w:val="212121"/>
          <w:shd w:val="clear" w:color="auto" w:fill="FFFFFF"/>
        </w:rPr>
        <w:t>b</w:t>
      </w:r>
      <w:r w:rsidRPr="00E265AC">
        <w:rPr>
          <w:color w:val="212121"/>
          <w:shd w:val="clear" w:color="auto" w:fill="FFFFFF"/>
        </w:rPr>
        <w:t xml:space="preserve">ehavior in </w:t>
      </w:r>
      <w:r w:rsidR="00AC5495" w:rsidRPr="00E265AC">
        <w:rPr>
          <w:color w:val="212121"/>
          <w:shd w:val="clear" w:color="auto" w:fill="FFFFFF"/>
        </w:rPr>
        <w:t>p</w:t>
      </w:r>
      <w:r w:rsidRPr="00E265AC">
        <w:rPr>
          <w:color w:val="212121"/>
          <w:shd w:val="clear" w:color="auto" w:fill="FFFFFF"/>
        </w:rPr>
        <w:t xml:space="preserve">atients </w:t>
      </w:r>
      <w:r w:rsidR="00AC5495" w:rsidRPr="00E265AC">
        <w:rPr>
          <w:color w:val="212121"/>
          <w:shd w:val="clear" w:color="auto" w:fill="FFFFFF"/>
        </w:rPr>
        <w:t>w</w:t>
      </w:r>
      <w:r w:rsidRPr="00E265AC">
        <w:rPr>
          <w:color w:val="212121"/>
          <w:shd w:val="clear" w:color="auto" w:fill="FFFFFF"/>
        </w:rPr>
        <w:t xml:space="preserve">ith </w:t>
      </w:r>
      <w:r w:rsidR="00AC5495" w:rsidRPr="00E265AC">
        <w:rPr>
          <w:color w:val="212121"/>
          <w:shd w:val="clear" w:color="auto" w:fill="FFFFFF"/>
        </w:rPr>
        <w:t>t</w:t>
      </w:r>
      <w:r w:rsidRPr="00E265AC">
        <w:rPr>
          <w:color w:val="212121"/>
          <w:shd w:val="clear" w:color="auto" w:fill="FFFFFF"/>
        </w:rPr>
        <w:t xml:space="preserve">innitus and </w:t>
      </w:r>
      <w:r w:rsidR="00AC5495" w:rsidRPr="00E265AC">
        <w:rPr>
          <w:color w:val="212121"/>
          <w:shd w:val="clear" w:color="auto" w:fill="FFFFFF"/>
        </w:rPr>
        <w:t>h</w:t>
      </w:r>
      <w:r w:rsidRPr="00E265AC">
        <w:rPr>
          <w:color w:val="212121"/>
          <w:shd w:val="clear" w:color="auto" w:fill="FFFFFF"/>
        </w:rPr>
        <w:t xml:space="preserve">yperacusis: An </w:t>
      </w:r>
      <w:r w:rsidR="00AC5495" w:rsidRPr="00E265AC">
        <w:rPr>
          <w:color w:val="212121"/>
          <w:shd w:val="clear" w:color="auto" w:fill="FFFFFF"/>
        </w:rPr>
        <w:t>e</w:t>
      </w:r>
      <w:r w:rsidRPr="00E265AC">
        <w:rPr>
          <w:color w:val="212121"/>
          <w:shd w:val="clear" w:color="auto" w:fill="FFFFFF"/>
        </w:rPr>
        <w:t xml:space="preserve">xploratory </w:t>
      </w:r>
      <w:r w:rsidR="00AC5495" w:rsidRPr="00E265AC">
        <w:rPr>
          <w:color w:val="212121"/>
          <w:shd w:val="clear" w:color="auto" w:fill="FFFFFF"/>
        </w:rPr>
        <w:t>m</w:t>
      </w:r>
      <w:r w:rsidRPr="00E265AC">
        <w:rPr>
          <w:color w:val="212121"/>
          <w:shd w:val="clear" w:color="auto" w:fill="FFFFFF"/>
        </w:rPr>
        <w:t>ixed-</w:t>
      </w:r>
      <w:r w:rsidR="00AC5495" w:rsidRPr="00E265AC">
        <w:rPr>
          <w:color w:val="212121"/>
          <w:shd w:val="clear" w:color="auto" w:fill="FFFFFF"/>
        </w:rPr>
        <w:t>m</w:t>
      </w:r>
      <w:r w:rsidRPr="00E265AC">
        <w:rPr>
          <w:color w:val="212121"/>
          <w:shd w:val="clear" w:color="auto" w:fill="FFFFFF"/>
        </w:rPr>
        <w:t xml:space="preserve">ethods </w:t>
      </w:r>
      <w:r w:rsidR="00AC5495" w:rsidRPr="00E265AC">
        <w:rPr>
          <w:color w:val="212121"/>
          <w:shd w:val="clear" w:color="auto" w:fill="FFFFFF"/>
        </w:rPr>
        <w:t>s</w:t>
      </w:r>
      <w:r w:rsidRPr="00E265AC">
        <w:rPr>
          <w:color w:val="212121"/>
          <w:shd w:val="clear" w:color="auto" w:fill="FFFFFF"/>
        </w:rPr>
        <w:t>tudy. </w:t>
      </w:r>
      <w:r w:rsidRPr="00E265AC">
        <w:rPr>
          <w:i/>
          <w:iCs/>
          <w:color w:val="212121"/>
          <w:shd w:val="clear" w:color="auto" w:fill="FFFFFF"/>
        </w:rPr>
        <w:t xml:space="preserve">American </w:t>
      </w:r>
      <w:r w:rsidR="0004615D" w:rsidRPr="00E265AC">
        <w:rPr>
          <w:i/>
          <w:iCs/>
          <w:color w:val="212121"/>
          <w:shd w:val="clear" w:color="auto" w:fill="FFFFFF"/>
        </w:rPr>
        <w:t>J</w:t>
      </w:r>
      <w:r w:rsidRPr="00E265AC">
        <w:rPr>
          <w:i/>
          <w:iCs/>
          <w:color w:val="212121"/>
          <w:shd w:val="clear" w:color="auto" w:fill="FFFFFF"/>
        </w:rPr>
        <w:t xml:space="preserve">ournal of </w:t>
      </w:r>
      <w:r w:rsidR="0004615D" w:rsidRPr="00E265AC">
        <w:rPr>
          <w:i/>
          <w:iCs/>
          <w:color w:val="212121"/>
          <w:shd w:val="clear" w:color="auto" w:fill="FFFFFF"/>
        </w:rPr>
        <w:t>A</w:t>
      </w:r>
      <w:r w:rsidRPr="00E265AC">
        <w:rPr>
          <w:i/>
          <w:iCs/>
          <w:color w:val="212121"/>
          <w:shd w:val="clear" w:color="auto" w:fill="FFFFFF"/>
        </w:rPr>
        <w:t>udiology</w:t>
      </w:r>
      <w:r w:rsidRPr="00E265AC">
        <w:rPr>
          <w:color w:val="212121"/>
          <w:shd w:val="clear" w:color="auto" w:fill="FFFFFF"/>
        </w:rPr>
        <w:t>, </w:t>
      </w:r>
      <w:r w:rsidRPr="00E265AC">
        <w:rPr>
          <w:i/>
          <w:iCs/>
          <w:color w:val="212121"/>
          <w:shd w:val="clear" w:color="auto" w:fill="FFFFFF"/>
        </w:rPr>
        <w:t>28</w:t>
      </w:r>
      <w:r w:rsidRPr="00E265AC">
        <w:rPr>
          <w:color w:val="212121"/>
          <w:shd w:val="clear" w:color="auto" w:fill="FFFFFF"/>
        </w:rPr>
        <w:t>(3), 660–672. https://doi.org/10.1044/2019_AJA-18-0136</w:t>
      </w:r>
    </w:p>
    <w:p w14:paraId="771E3F24" w14:textId="6E7EA0D9" w:rsidR="00A368F1" w:rsidRPr="00E265AC" w:rsidRDefault="00A368F1" w:rsidP="004F21AC">
      <w:pPr>
        <w:pStyle w:val="ListParagraph"/>
        <w:spacing w:after="0" w:line="480" w:lineRule="auto"/>
        <w:ind w:left="0"/>
        <w:rPr>
          <w:rFonts w:ascii="Times New Roman" w:hAnsi="Times New Roman"/>
          <w:color w:val="000000"/>
          <w:sz w:val="24"/>
          <w:szCs w:val="24"/>
        </w:rPr>
      </w:pPr>
    </w:p>
    <w:p w14:paraId="1099572F" w14:textId="54D07639" w:rsidR="00FD7035" w:rsidRPr="00E265AC" w:rsidRDefault="00FD7035" w:rsidP="004F21AC">
      <w:pPr>
        <w:spacing w:line="480" w:lineRule="auto"/>
      </w:pPr>
      <w:r w:rsidRPr="00E265AC">
        <w:rPr>
          <w:color w:val="212121"/>
          <w:shd w:val="clear" w:color="auto" w:fill="FFFFFF"/>
        </w:rPr>
        <w:t>Kroenke, K., Spitzer, R. L., &amp; Williams, J. B. (2001). The PHQ-9: validity of a brief depression severity measure. </w:t>
      </w:r>
      <w:r w:rsidRPr="00E265AC">
        <w:rPr>
          <w:i/>
          <w:iCs/>
          <w:color w:val="212121"/>
          <w:shd w:val="clear" w:color="auto" w:fill="FFFFFF"/>
        </w:rPr>
        <w:t xml:space="preserve">Journal of </w:t>
      </w:r>
      <w:r w:rsidR="00E04062" w:rsidRPr="00E265AC">
        <w:rPr>
          <w:i/>
          <w:iCs/>
          <w:color w:val="212121"/>
          <w:shd w:val="clear" w:color="auto" w:fill="FFFFFF"/>
        </w:rPr>
        <w:t>G</w:t>
      </w:r>
      <w:r w:rsidRPr="00E265AC">
        <w:rPr>
          <w:i/>
          <w:iCs/>
          <w:color w:val="212121"/>
          <w:shd w:val="clear" w:color="auto" w:fill="FFFFFF"/>
        </w:rPr>
        <w:t xml:space="preserve">eneral </w:t>
      </w:r>
      <w:r w:rsidR="00E04062" w:rsidRPr="00E265AC">
        <w:rPr>
          <w:i/>
          <w:iCs/>
          <w:color w:val="212121"/>
          <w:shd w:val="clear" w:color="auto" w:fill="FFFFFF"/>
        </w:rPr>
        <w:t>I</w:t>
      </w:r>
      <w:r w:rsidRPr="00E265AC">
        <w:rPr>
          <w:i/>
          <w:iCs/>
          <w:color w:val="212121"/>
          <w:shd w:val="clear" w:color="auto" w:fill="FFFFFF"/>
        </w:rPr>
        <w:t xml:space="preserve">nternal </w:t>
      </w:r>
      <w:r w:rsidR="00E04062" w:rsidRPr="00E265AC">
        <w:rPr>
          <w:i/>
          <w:iCs/>
          <w:color w:val="212121"/>
          <w:shd w:val="clear" w:color="auto" w:fill="FFFFFF"/>
        </w:rPr>
        <w:t>M</w:t>
      </w:r>
      <w:r w:rsidRPr="00E265AC">
        <w:rPr>
          <w:i/>
          <w:iCs/>
          <w:color w:val="212121"/>
          <w:shd w:val="clear" w:color="auto" w:fill="FFFFFF"/>
        </w:rPr>
        <w:t>edicine</w:t>
      </w:r>
      <w:r w:rsidRPr="00E265AC">
        <w:rPr>
          <w:color w:val="212121"/>
          <w:shd w:val="clear" w:color="auto" w:fill="FFFFFF"/>
        </w:rPr>
        <w:t>, </w:t>
      </w:r>
      <w:r w:rsidRPr="00E265AC">
        <w:rPr>
          <w:i/>
          <w:iCs/>
          <w:color w:val="212121"/>
          <w:shd w:val="clear" w:color="auto" w:fill="FFFFFF"/>
        </w:rPr>
        <w:t>16</w:t>
      </w:r>
      <w:r w:rsidRPr="00E265AC">
        <w:rPr>
          <w:color w:val="212121"/>
          <w:shd w:val="clear" w:color="auto" w:fill="FFFFFF"/>
        </w:rPr>
        <w:t>(9), 606–613. https://doi.org/10.1046/j.1525-1497.2001.016009606.x</w:t>
      </w:r>
    </w:p>
    <w:p w14:paraId="470C3E11" w14:textId="77777777" w:rsidR="00FD7035" w:rsidRPr="00E265AC" w:rsidRDefault="00FD7035" w:rsidP="004F21AC">
      <w:pPr>
        <w:spacing w:line="480" w:lineRule="auto"/>
        <w:rPr>
          <w:color w:val="212121"/>
          <w:shd w:val="clear" w:color="auto" w:fill="FFFFFF"/>
        </w:rPr>
      </w:pPr>
    </w:p>
    <w:p w14:paraId="49475DAA" w14:textId="6BA22903" w:rsidR="005E6538" w:rsidRPr="00E265AC" w:rsidRDefault="005E6538" w:rsidP="004F21AC">
      <w:pPr>
        <w:spacing w:line="480" w:lineRule="auto"/>
      </w:pPr>
      <w:r w:rsidRPr="00E265AC">
        <w:rPr>
          <w:color w:val="212121"/>
          <w:shd w:val="clear" w:color="auto" w:fill="FFFFFF"/>
        </w:rPr>
        <w:t>Langguth B. (2015). Treatment of tinnitus. </w:t>
      </w:r>
      <w:r w:rsidRPr="00E265AC">
        <w:rPr>
          <w:i/>
          <w:iCs/>
          <w:color w:val="212121"/>
          <w:shd w:val="clear" w:color="auto" w:fill="FFFFFF"/>
        </w:rPr>
        <w:t>Current Opinion in Otolaryngology &amp; Head and Neck Surgery</w:t>
      </w:r>
      <w:r w:rsidRPr="00E265AC">
        <w:rPr>
          <w:color w:val="212121"/>
          <w:shd w:val="clear" w:color="auto" w:fill="FFFFFF"/>
        </w:rPr>
        <w:t>, </w:t>
      </w:r>
      <w:r w:rsidRPr="00E265AC">
        <w:rPr>
          <w:i/>
          <w:iCs/>
          <w:color w:val="212121"/>
          <w:shd w:val="clear" w:color="auto" w:fill="FFFFFF"/>
        </w:rPr>
        <w:t>23</w:t>
      </w:r>
      <w:r w:rsidRPr="00E265AC">
        <w:rPr>
          <w:color w:val="212121"/>
          <w:shd w:val="clear" w:color="auto" w:fill="FFFFFF"/>
        </w:rPr>
        <w:t>(5), 361–368. https://doi.org/10.1097/MOO.0000000000000185</w:t>
      </w:r>
    </w:p>
    <w:p w14:paraId="0890BDB3" w14:textId="77777777" w:rsidR="00A368F1" w:rsidRPr="00E265AC" w:rsidRDefault="00A368F1" w:rsidP="004F21AC">
      <w:pPr>
        <w:pStyle w:val="ListParagraph"/>
        <w:spacing w:after="0" w:line="480" w:lineRule="auto"/>
        <w:ind w:left="0"/>
        <w:rPr>
          <w:rFonts w:ascii="Times New Roman" w:hAnsi="Times New Roman"/>
          <w:sz w:val="24"/>
          <w:szCs w:val="24"/>
        </w:rPr>
      </w:pPr>
    </w:p>
    <w:p w14:paraId="33CA3007" w14:textId="7E773BEA" w:rsidR="00A368F1" w:rsidRPr="00E265AC" w:rsidRDefault="00A368F1" w:rsidP="004F21AC">
      <w:pPr>
        <w:pStyle w:val="ListParagraph"/>
        <w:spacing w:after="0" w:line="480" w:lineRule="auto"/>
        <w:ind w:left="0"/>
        <w:rPr>
          <w:rFonts w:ascii="Times New Roman" w:hAnsi="Times New Roman"/>
          <w:sz w:val="24"/>
          <w:szCs w:val="24"/>
        </w:rPr>
      </w:pPr>
      <w:r w:rsidRPr="00E265AC">
        <w:rPr>
          <w:rFonts w:ascii="Times New Roman" w:hAnsi="Times New Roman"/>
          <w:sz w:val="24"/>
          <w:szCs w:val="24"/>
        </w:rPr>
        <w:lastRenderedPageBreak/>
        <w:t xml:space="preserve">Manchaiah, V., </w:t>
      </w:r>
      <w:proofErr w:type="spellStart"/>
      <w:r w:rsidRPr="00E265AC">
        <w:rPr>
          <w:rFonts w:ascii="Times New Roman" w:hAnsi="Times New Roman"/>
          <w:sz w:val="24"/>
          <w:szCs w:val="24"/>
        </w:rPr>
        <w:t>Danermark</w:t>
      </w:r>
      <w:proofErr w:type="spellEnd"/>
      <w:r w:rsidRPr="00E265AC">
        <w:rPr>
          <w:rFonts w:ascii="Times New Roman" w:hAnsi="Times New Roman"/>
          <w:sz w:val="24"/>
          <w:szCs w:val="24"/>
        </w:rPr>
        <w:t>, B., Ahmadi, T., Tomé, D., Rajalakshmi, K., Zhao, F., Li, Q. &amp; Germundsson, P. (2015</w:t>
      </w:r>
      <w:r w:rsidR="00AD5537" w:rsidRPr="00E265AC">
        <w:rPr>
          <w:rFonts w:ascii="Times New Roman" w:hAnsi="Times New Roman"/>
          <w:sz w:val="24"/>
          <w:szCs w:val="24"/>
        </w:rPr>
        <w:t>a</w:t>
      </w:r>
      <w:r w:rsidRPr="00E265AC">
        <w:rPr>
          <w:rFonts w:ascii="Times New Roman" w:hAnsi="Times New Roman"/>
          <w:sz w:val="24"/>
          <w:szCs w:val="24"/>
        </w:rPr>
        <w:t xml:space="preserve">). Social representation of ‘hearing loss’: Cross-cultural exploratory study in India, Iran, Portugal and United Kingdom. </w:t>
      </w:r>
      <w:r w:rsidRPr="00E265AC">
        <w:rPr>
          <w:rFonts w:ascii="Times New Roman" w:hAnsi="Times New Roman"/>
          <w:i/>
          <w:sz w:val="24"/>
          <w:szCs w:val="24"/>
        </w:rPr>
        <w:t xml:space="preserve">Clinical Interventions in Aging, </w:t>
      </w:r>
      <w:r w:rsidRPr="00E265AC">
        <w:rPr>
          <w:rFonts w:ascii="Times New Roman" w:hAnsi="Times New Roman"/>
          <w:sz w:val="24"/>
          <w:szCs w:val="24"/>
        </w:rPr>
        <w:t>10, 1857-1872. DOI http://dx.doi.org/10.2147/CIA.S91076.</w:t>
      </w:r>
    </w:p>
    <w:p w14:paraId="6EA158A1" w14:textId="77777777" w:rsidR="00A368F1" w:rsidRPr="00E265AC" w:rsidRDefault="00A368F1" w:rsidP="004F21AC">
      <w:pPr>
        <w:pStyle w:val="ListParagraph"/>
        <w:spacing w:after="0" w:line="480" w:lineRule="auto"/>
        <w:ind w:left="0"/>
        <w:rPr>
          <w:rFonts w:ascii="Times New Roman" w:hAnsi="Times New Roman"/>
          <w:color w:val="7030A0"/>
          <w:sz w:val="24"/>
          <w:szCs w:val="24"/>
        </w:rPr>
      </w:pPr>
    </w:p>
    <w:p w14:paraId="3ED1FB65" w14:textId="7659FCA2" w:rsidR="00A368F1" w:rsidRPr="00E265AC" w:rsidRDefault="00A368F1" w:rsidP="004F21AC">
      <w:pPr>
        <w:pStyle w:val="ListParagraph"/>
        <w:spacing w:after="0" w:line="480" w:lineRule="auto"/>
        <w:ind w:left="0"/>
        <w:rPr>
          <w:rFonts w:ascii="Times New Roman" w:hAnsi="Times New Roman"/>
          <w:sz w:val="24"/>
          <w:szCs w:val="24"/>
        </w:rPr>
      </w:pPr>
      <w:r w:rsidRPr="00E265AC">
        <w:rPr>
          <w:rFonts w:ascii="Times New Roman" w:hAnsi="Times New Roman"/>
          <w:sz w:val="24"/>
          <w:szCs w:val="24"/>
        </w:rPr>
        <w:t xml:space="preserve">Manchaiah, V., </w:t>
      </w:r>
      <w:proofErr w:type="spellStart"/>
      <w:r w:rsidRPr="00E265AC">
        <w:rPr>
          <w:rFonts w:ascii="Times New Roman" w:hAnsi="Times New Roman"/>
          <w:sz w:val="24"/>
          <w:szCs w:val="24"/>
        </w:rPr>
        <w:t>Danermark</w:t>
      </w:r>
      <w:proofErr w:type="spellEnd"/>
      <w:r w:rsidRPr="00E265AC">
        <w:rPr>
          <w:rFonts w:ascii="Times New Roman" w:hAnsi="Times New Roman"/>
          <w:sz w:val="24"/>
          <w:szCs w:val="24"/>
        </w:rPr>
        <w:t>, B., Vinay., Ahmadi, T., Tomé, D., Rajalakshmi, K., &amp; Germundsson, P. (</w:t>
      </w:r>
      <w:r w:rsidRPr="00E265AC">
        <w:rPr>
          <w:rStyle w:val="personname"/>
          <w:rFonts w:ascii="Times New Roman" w:hAnsi="Times New Roman"/>
          <w:sz w:val="24"/>
          <w:szCs w:val="24"/>
        </w:rPr>
        <w:t>2015</w:t>
      </w:r>
      <w:r w:rsidR="00AD5537" w:rsidRPr="00E265AC">
        <w:rPr>
          <w:rStyle w:val="personname"/>
          <w:rFonts w:ascii="Times New Roman" w:hAnsi="Times New Roman"/>
          <w:sz w:val="24"/>
          <w:szCs w:val="24"/>
        </w:rPr>
        <w:t>b</w:t>
      </w:r>
      <w:r w:rsidRPr="00E265AC">
        <w:rPr>
          <w:rFonts w:ascii="Times New Roman" w:hAnsi="Times New Roman"/>
          <w:sz w:val="24"/>
          <w:szCs w:val="24"/>
        </w:rPr>
        <w:t xml:space="preserve">). Social representation of ‘hearing aids’: Cross-cultural study in India, Iran, Portugal and United Kingdom. </w:t>
      </w:r>
      <w:r w:rsidRPr="00E265AC">
        <w:rPr>
          <w:rFonts w:ascii="Times New Roman" w:hAnsi="Times New Roman"/>
          <w:i/>
          <w:sz w:val="24"/>
          <w:szCs w:val="24"/>
        </w:rPr>
        <w:t>Clinical Interventions in Aging</w:t>
      </w:r>
      <w:r w:rsidRPr="00E265AC">
        <w:rPr>
          <w:rFonts w:ascii="Times New Roman" w:hAnsi="Times New Roman"/>
          <w:sz w:val="24"/>
          <w:szCs w:val="24"/>
        </w:rPr>
        <w:t xml:space="preserve">, 10, 1601-1615. </w:t>
      </w:r>
      <w:hyperlink r:id="rId18" w:history="1">
        <w:r w:rsidR="00B9418F" w:rsidRPr="00E265AC">
          <w:rPr>
            <w:rStyle w:val="Hyperlink"/>
            <w:rFonts w:ascii="Times New Roman" w:hAnsi="Times New Roman"/>
            <w:sz w:val="24"/>
            <w:szCs w:val="24"/>
          </w:rPr>
          <w:t>http://dx.doi.org/10.2147/CIA.S86108</w:t>
        </w:r>
      </w:hyperlink>
      <w:r w:rsidRPr="00E265AC">
        <w:rPr>
          <w:rFonts w:ascii="Times New Roman" w:hAnsi="Times New Roman"/>
          <w:color w:val="FF0000"/>
          <w:sz w:val="24"/>
          <w:szCs w:val="24"/>
        </w:rPr>
        <w:t xml:space="preserve"> </w:t>
      </w:r>
    </w:p>
    <w:p w14:paraId="18A6228B" w14:textId="43D66415" w:rsidR="00A368F1" w:rsidRPr="00E265AC" w:rsidRDefault="00A368F1" w:rsidP="004F21AC">
      <w:pPr>
        <w:spacing w:line="480" w:lineRule="auto"/>
      </w:pPr>
    </w:p>
    <w:p w14:paraId="7419B4FB" w14:textId="0718430A" w:rsidR="00AD5537" w:rsidRPr="00E265AC" w:rsidRDefault="00AD5537" w:rsidP="004F21AC">
      <w:pPr>
        <w:spacing w:line="480" w:lineRule="auto"/>
      </w:pPr>
      <w:r w:rsidRPr="00E265AC">
        <w:rPr>
          <w:color w:val="212121"/>
          <w:shd w:val="clear" w:color="auto" w:fill="FFFFFF"/>
        </w:rPr>
        <w:t>Manchaiah, V., Baguley, D. M., Pyykkö, I., Kentala, E., &amp; Levo, H. (2015c). Positive experiences associated with acquired hearing loss, Ménière's disease, and tinnitus: a review. </w:t>
      </w:r>
      <w:r w:rsidRPr="00E265AC">
        <w:rPr>
          <w:i/>
          <w:iCs/>
          <w:color w:val="212121"/>
          <w:shd w:val="clear" w:color="auto" w:fill="FFFFFF"/>
        </w:rPr>
        <w:t xml:space="preserve">International </w:t>
      </w:r>
      <w:r w:rsidR="00E04062" w:rsidRPr="00E265AC">
        <w:rPr>
          <w:i/>
          <w:iCs/>
          <w:color w:val="212121"/>
          <w:shd w:val="clear" w:color="auto" w:fill="FFFFFF"/>
        </w:rPr>
        <w:t>J</w:t>
      </w:r>
      <w:r w:rsidRPr="00E265AC">
        <w:rPr>
          <w:i/>
          <w:iCs/>
          <w:color w:val="212121"/>
          <w:shd w:val="clear" w:color="auto" w:fill="FFFFFF"/>
        </w:rPr>
        <w:t xml:space="preserve">ournal of </w:t>
      </w:r>
      <w:r w:rsidR="00E04062" w:rsidRPr="00E265AC">
        <w:rPr>
          <w:i/>
          <w:iCs/>
          <w:color w:val="212121"/>
          <w:shd w:val="clear" w:color="auto" w:fill="FFFFFF"/>
        </w:rPr>
        <w:t>A</w:t>
      </w:r>
      <w:r w:rsidRPr="00E265AC">
        <w:rPr>
          <w:i/>
          <w:iCs/>
          <w:color w:val="212121"/>
          <w:shd w:val="clear" w:color="auto" w:fill="FFFFFF"/>
        </w:rPr>
        <w:t>udiology</w:t>
      </w:r>
      <w:r w:rsidRPr="00E265AC">
        <w:rPr>
          <w:color w:val="212121"/>
          <w:shd w:val="clear" w:color="auto" w:fill="FFFFFF"/>
        </w:rPr>
        <w:t>, </w:t>
      </w:r>
      <w:r w:rsidRPr="00E265AC">
        <w:rPr>
          <w:i/>
          <w:iCs/>
          <w:color w:val="212121"/>
          <w:shd w:val="clear" w:color="auto" w:fill="FFFFFF"/>
        </w:rPr>
        <w:t>54</w:t>
      </w:r>
      <w:r w:rsidRPr="00E265AC">
        <w:rPr>
          <w:color w:val="212121"/>
          <w:shd w:val="clear" w:color="auto" w:fill="FFFFFF"/>
        </w:rPr>
        <w:t>(1), 1–10. https://doi.org/10.3109/14992027.2014.953217</w:t>
      </w:r>
    </w:p>
    <w:p w14:paraId="12CA4084" w14:textId="77777777" w:rsidR="00AD5537" w:rsidRPr="00E265AC" w:rsidRDefault="00AD5537" w:rsidP="004F21AC">
      <w:pPr>
        <w:spacing w:line="480" w:lineRule="auto"/>
      </w:pPr>
    </w:p>
    <w:p w14:paraId="3887E199" w14:textId="77777777" w:rsidR="00A368F1" w:rsidRPr="00E265AC" w:rsidRDefault="00A368F1" w:rsidP="004F21AC">
      <w:pPr>
        <w:spacing w:line="480" w:lineRule="auto"/>
        <w:rPr>
          <w:color w:val="333333"/>
        </w:rPr>
      </w:pPr>
      <w:r w:rsidRPr="00E265AC">
        <w:t>Manchaiah, V., Zhao, F., Widen, S., Auzenne, J., Beukes, E.W., Ahmadi, T., Tomé, D., Mahadeva, D., Rajalakshmi, K. &amp; Germundsson, P. (</w:t>
      </w:r>
      <w:r w:rsidRPr="00E265AC">
        <w:rPr>
          <w:rStyle w:val="personname"/>
          <w:rFonts w:eastAsia="Calibri"/>
        </w:rPr>
        <w:t>2017a</w:t>
      </w:r>
      <w:r w:rsidRPr="00E265AC">
        <w:t xml:space="preserve">). Social representation of ‘music’ in young adults: A cross-cultural study. </w:t>
      </w:r>
      <w:r w:rsidRPr="00E265AC">
        <w:rPr>
          <w:i/>
        </w:rPr>
        <w:t>International Journal of Audiology</w:t>
      </w:r>
      <w:r w:rsidRPr="00E265AC">
        <w:t>, 56(1), 24-32.</w:t>
      </w:r>
      <w:r w:rsidRPr="00E265AC">
        <w:rPr>
          <w:color w:val="FF0000"/>
        </w:rPr>
        <w:t xml:space="preserve"> </w:t>
      </w:r>
      <w:hyperlink r:id="rId19" w:history="1">
        <w:r w:rsidRPr="00E265AC">
          <w:rPr>
            <w:rStyle w:val="Hyperlink"/>
          </w:rPr>
          <w:t>https://doi.org/10.1080/14992027.2016.1227481</w:t>
        </w:r>
      </w:hyperlink>
    </w:p>
    <w:p w14:paraId="4FE67FC6" w14:textId="77777777" w:rsidR="00A368F1" w:rsidRPr="00E265AC" w:rsidRDefault="00A368F1" w:rsidP="004F21AC">
      <w:pPr>
        <w:spacing w:line="480" w:lineRule="auto"/>
        <w:rPr>
          <w:color w:val="333333"/>
        </w:rPr>
      </w:pPr>
    </w:p>
    <w:p w14:paraId="58C0BCEC" w14:textId="201E2A43" w:rsidR="00A368F1" w:rsidRPr="00E265AC" w:rsidRDefault="00A368F1" w:rsidP="004F21AC">
      <w:pPr>
        <w:spacing w:line="480" w:lineRule="auto"/>
      </w:pPr>
      <w:r w:rsidRPr="00E265AC">
        <w:t xml:space="preserve">Manchaiah, V., Zhao, F., Widen, S., </w:t>
      </w:r>
      <w:r w:rsidRPr="00E265AC">
        <w:rPr>
          <w:u w:val="single"/>
        </w:rPr>
        <w:t>Auzenne, J.</w:t>
      </w:r>
      <w:r w:rsidRPr="00E265AC">
        <w:t>, Beukes, E.W., Ahmadi, T., Tomé, D., Mahadeva, D., Rajalakshmi, K., &amp; Germundsson, P. (</w:t>
      </w:r>
      <w:r w:rsidRPr="00E265AC">
        <w:rPr>
          <w:rStyle w:val="personname"/>
          <w:rFonts w:eastAsia="Calibri"/>
        </w:rPr>
        <w:t>2017b</w:t>
      </w:r>
      <w:r w:rsidRPr="00E265AC">
        <w:t xml:space="preserve">). Social representation of ‘loud music’ in adolescents and young adults: A cross-cultural study. </w:t>
      </w:r>
      <w:r w:rsidRPr="00E265AC">
        <w:rPr>
          <w:i/>
        </w:rPr>
        <w:t>Journal of the American Academy of Audiology</w:t>
      </w:r>
      <w:r w:rsidRPr="00E265AC">
        <w:t xml:space="preserve">, 28(6), 522-533. </w:t>
      </w:r>
      <w:hyperlink r:id="rId20" w:history="1">
        <w:r w:rsidR="00B9418F" w:rsidRPr="00E265AC">
          <w:rPr>
            <w:rStyle w:val="Hyperlink"/>
            <w:shd w:val="clear" w:color="auto" w:fill="FFFFFF"/>
          </w:rPr>
          <w:t>https://doi.org/10.3766/jaaa.16046</w:t>
        </w:r>
      </w:hyperlink>
      <w:r w:rsidRPr="00E265AC">
        <w:t xml:space="preserve"> </w:t>
      </w:r>
    </w:p>
    <w:p w14:paraId="751C9C72" w14:textId="77777777" w:rsidR="00A368F1" w:rsidRPr="00E265AC" w:rsidRDefault="00A368F1" w:rsidP="004F21AC">
      <w:pPr>
        <w:spacing w:line="480" w:lineRule="auto"/>
      </w:pPr>
    </w:p>
    <w:p w14:paraId="65AAC523" w14:textId="327D8710" w:rsidR="00A368F1" w:rsidRPr="00E265AC" w:rsidRDefault="00A368F1" w:rsidP="004F21AC">
      <w:pPr>
        <w:spacing w:line="480" w:lineRule="auto"/>
      </w:pPr>
      <w:r w:rsidRPr="00E265AC">
        <w:rPr>
          <w:color w:val="212121"/>
          <w:shd w:val="clear" w:color="auto" w:fill="FFFFFF"/>
        </w:rPr>
        <w:lastRenderedPageBreak/>
        <w:t xml:space="preserve">Manchaiah, V., Beukes, E. W., Granberg, S., </w:t>
      </w:r>
      <w:proofErr w:type="spellStart"/>
      <w:r w:rsidRPr="00E265AC">
        <w:rPr>
          <w:color w:val="212121"/>
          <w:shd w:val="clear" w:color="auto" w:fill="FFFFFF"/>
        </w:rPr>
        <w:t>Durisala</w:t>
      </w:r>
      <w:proofErr w:type="spellEnd"/>
      <w:r w:rsidRPr="00E265AC">
        <w:rPr>
          <w:color w:val="212121"/>
          <w:shd w:val="clear" w:color="auto" w:fill="FFFFFF"/>
        </w:rPr>
        <w:t xml:space="preserve">, N., Baguley, D. M., Allen, P. M., &amp; Andersson, G. (2018). Problems and </w:t>
      </w:r>
      <w:r w:rsidR="00AC5495" w:rsidRPr="00E265AC">
        <w:rPr>
          <w:color w:val="212121"/>
          <w:shd w:val="clear" w:color="auto" w:fill="FFFFFF"/>
        </w:rPr>
        <w:t>l</w:t>
      </w:r>
      <w:r w:rsidRPr="00E265AC">
        <w:rPr>
          <w:color w:val="212121"/>
          <w:shd w:val="clear" w:color="auto" w:fill="FFFFFF"/>
        </w:rPr>
        <w:t xml:space="preserve">ife </w:t>
      </w:r>
      <w:r w:rsidR="00AC5495" w:rsidRPr="00E265AC">
        <w:rPr>
          <w:color w:val="212121"/>
          <w:shd w:val="clear" w:color="auto" w:fill="FFFFFF"/>
        </w:rPr>
        <w:t>e</w:t>
      </w:r>
      <w:r w:rsidRPr="00E265AC">
        <w:rPr>
          <w:color w:val="212121"/>
          <w:shd w:val="clear" w:color="auto" w:fill="FFFFFF"/>
        </w:rPr>
        <w:t xml:space="preserve">ffects </w:t>
      </w:r>
      <w:r w:rsidR="00AC5495" w:rsidRPr="00E265AC">
        <w:rPr>
          <w:color w:val="212121"/>
          <w:shd w:val="clear" w:color="auto" w:fill="FFFFFF"/>
        </w:rPr>
        <w:t>e</w:t>
      </w:r>
      <w:r w:rsidRPr="00E265AC">
        <w:rPr>
          <w:color w:val="212121"/>
          <w:shd w:val="clear" w:color="auto" w:fill="FFFFFF"/>
        </w:rPr>
        <w:t xml:space="preserve">xperienced by </w:t>
      </w:r>
      <w:r w:rsidR="00AC5495" w:rsidRPr="00E265AC">
        <w:rPr>
          <w:color w:val="212121"/>
          <w:shd w:val="clear" w:color="auto" w:fill="FFFFFF"/>
        </w:rPr>
        <w:t>t</w:t>
      </w:r>
      <w:r w:rsidRPr="00E265AC">
        <w:rPr>
          <w:color w:val="212121"/>
          <w:shd w:val="clear" w:color="auto" w:fill="FFFFFF"/>
        </w:rPr>
        <w:t xml:space="preserve">innitus </w:t>
      </w:r>
      <w:r w:rsidR="00AC5495" w:rsidRPr="00E265AC">
        <w:rPr>
          <w:color w:val="212121"/>
          <w:shd w:val="clear" w:color="auto" w:fill="FFFFFF"/>
        </w:rPr>
        <w:t>r</w:t>
      </w:r>
      <w:r w:rsidRPr="00E265AC">
        <w:rPr>
          <w:color w:val="212121"/>
          <w:shd w:val="clear" w:color="auto" w:fill="FFFFFF"/>
        </w:rPr>
        <w:t xml:space="preserve">esearch </w:t>
      </w:r>
      <w:r w:rsidR="00AC5495" w:rsidRPr="00E265AC">
        <w:rPr>
          <w:color w:val="212121"/>
          <w:shd w:val="clear" w:color="auto" w:fill="FFFFFF"/>
        </w:rPr>
        <w:t>s</w:t>
      </w:r>
      <w:r w:rsidRPr="00E265AC">
        <w:rPr>
          <w:color w:val="212121"/>
          <w:shd w:val="clear" w:color="auto" w:fill="FFFFFF"/>
        </w:rPr>
        <w:t xml:space="preserve">tudy </w:t>
      </w:r>
      <w:r w:rsidR="00AC5495" w:rsidRPr="00E265AC">
        <w:rPr>
          <w:color w:val="212121"/>
          <w:shd w:val="clear" w:color="auto" w:fill="FFFFFF"/>
        </w:rPr>
        <w:t>v</w:t>
      </w:r>
      <w:r w:rsidRPr="00E265AC">
        <w:rPr>
          <w:color w:val="212121"/>
          <w:shd w:val="clear" w:color="auto" w:fill="FFFFFF"/>
        </w:rPr>
        <w:t xml:space="preserve">olunteers: An </w:t>
      </w:r>
      <w:r w:rsidR="00AC5495" w:rsidRPr="00E265AC">
        <w:rPr>
          <w:color w:val="212121"/>
          <w:shd w:val="clear" w:color="auto" w:fill="FFFFFF"/>
        </w:rPr>
        <w:t>e</w:t>
      </w:r>
      <w:r w:rsidRPr="00E265AC">
        <w:rPr>
          <w:color w:val="212121"/>
          <w:shd w:val="clear" w:color="auto" w:fill="FFFFFF"/>
        </w:rPr>
        <w:t xml:space="preserve">xploratory </w:t>
      </w:r>
      <w:r w:rsidR="00AC5495" w:rsidRPr="00E265AC">
        <w:rPr>
          <w:color w:val="212121"/>
          <w:shd w:val="clear" w:color="auto" w:fill="FFFFFF"/>
        </w:rPr>
        <w:t>s</w:t>
      </w:r>
      <w:r w:rsidRPr="00E265AC">
        <w:rPr>
          <w:color w:val="212121"/>
          <w:shd w:val="clear" w:color="auto" w:fill="FFFFFF"/>
        </w:rPr>
        <w:t xml:space="preserve">tudy </w:t>
      </w:r>
      <w:r w:rsidR="00AC5495" w:rsidRPr="00E265AC">
        <w:rPr>
          <w:color w:val="212121"/>
          <w:shd w:val="clear" w:color="auto" w:fill="FFFFFF"/>
        </w:rPr>
        <w:t>u</w:t>
      </w:r>
      <w:r w:rsidRPr="00E265AC">
        <w:rPr>
          <w:color w:val="212121"/>
          <w:shd w:val="clear" w:color="auto" w:fill="FFFFFF"/>
        </w:rPr>
        <w:t xml:space="preserve">sing the ICF </w:t>
      </w:r>
      <w:r w:rsidR="00AC5495" w:rsidRPr="00E265AC">
        <w:rPr>
          <w:color w:val="212121"/>
          <w:shd w:val="clear" w:color="auto" w:fill="FFFFFF"/>
        </w:rPr>
        <w:t>c</w:t>
      </w:r>
      <w:r w:rsidRPr="00E265AC">
        <w:rPr>
          <w:color w:val="212121"/>
          <w:shd w:val="clear" w:color="auto" w:fill="FFFFFF"/>
        </w:rPr>
        <w:t>lassification. </w:t>
      </w:r>
      <w:r w:rsidRPr="00E265AC">
        <w:rPr>
          <w:i/>
          <w:iCs/>
          <w:color w:val="212121"/>
          <w:shd w:val="clear" w:color="auto" w:fill="FFFFFF"/>
        </w:rPr>
        <w:t>Journal of the American Academy of Audiology</w:t>
      </w:r>
      <w:r w:rsidRPr="00E265AC">
        <w:rPr>
          <w:color w:val="212121"/>
          <w:shd w:val="clear" w:color="auto" w:fill="FFFFFF"/>
        </w:rPr>
        <w:t>, </w:t>
      </w:r>
      <w:r w:rsidRPr="00E265AC">
        <w:rPr>
          <w:i/>
          <w:iCs/>
          <w:color w:val="212121"/>
          <w:shd w:val="clear" w:color="auto" w:fill="FFFFFF"/>
        </w:rPr>
        <w:t>29</w:t>
      </w:r>
      <w:r w:rsidRPr="00E265AC">
        <w:rPr>
          <w:color w:val="212121"/>
          <w:shd w:val="clear" w:color="auto" w:fill="FFFFFF"/>
        </w:rPr>
        <w:t>(10), 936–947. https://doi.org/10.3766/jaaa.17094</w:t>
      </w:r>
    </w:p>
    <w:p w14:paraId="2E900100" w14:textId="77777777" w:rsidR="00A368F1" w:rsidRPr="00E265AC" w:rsidRDefault="00A368F1" w:rsidP="004F21AC">
      <w:pPr>
        <w:pStyle w:val="ListParagraph"/>
        <w:spacing w:after="0" w:line="480" w:lineRule="auto"/>
        <w:ind w:left="0"/>
        <w:rPr>
          <w:rFonts w:ascii="Times New Roman" w:hAnsi="Times New Roman"/>
          <w:sz w:val="24"/>
          <w:szCs w:val="24"/>
        </w:rPr>
      </w:pPr>
    </w:p>
    <w:p w14:paraId="65831D70" w14:textId="77777777" w:rsidR="00A368F1" w:rsidRPr="00E265AC" w:rsidRDefault="00A368F1" w:rsidP="004F21AC">
      <w:pPr>
        <w:pStyle w:val="ListParagraph"/>
        <w:spacing w:after="0" w:line="480" w:lineRule="auto"/>
        <w:ind w:left="0"/>
        <w:rPr>
          <w:rFonts w:ascii="Times New Roman" w:hAnsi="Times New Roman"/>
          <w:sz w:val="24"/>
          <w:szCs w:val="24"/>
        </w:rPr>
      </w:pPr>
      <w:r w:rsidRPr="00E265AC">
        <w:rPr>
          <w:rFonts w:ascii="Times New Roman" w:hAnsi="Times New Roman"/>
          <w:sz w:val="24"/>
          <w:szCs w:val="24"/>
        </w:rPr>
        <w:t xml:space="preserve">Manchaiah, V., </w:t>
      </w:r>
      <w:proofErr w:type="spellStart"/>
      <w:r w:rsidRPr="00E265AC">
        <w:rPr>
          <w:rFonts w:ascii="Times New Roman" w:hAnsi="Times New Roman"/>
          <w:sz w:val="24"/>
          <w:szCs w:val="24"/>
        </w:rPr>
        <w:t>Danermark</w:t>
      </w:r>
      <w:proofErr w:type="spellEnd"/>
      <w:r w:rsidRPr="00E265AC">
        <w:rPr>
          <w:rFonts w:ascii="Times New Roman" w:hAnsi="Times New Roman"/>
          <w:sz w:val="24"/>
          <w:szCs w:val="24"/>
        </w:rPr>
        <w:t xml:space="preserve">, B., Ratinaud, P. &amp; Germundsson, P. (2019). </w:t>
      </w:r>
      <w:r w:rsidRPr="00E265AC">
        <w:rPr>
          <w:rFonts w:ascii="Times New Roman" w:hAnsi="Times New Roman"/>
          <w:i/>
          <w:sz w:val="24"/>
          <w:szCs w:val="24"/>
          <w:shd w:val="clear" w:color="auto" w:fill="FFFFFF"/>
        </w:rPr>
        <w:t>Disability and Social Representation Theory: The Case of Hearing Loss</w:t>
      </w:r>
      <w:r w:rsidRPr="00E265AC">
        <w:rPr>
          <w:rFonts w:ascii="Times New Roman" w:hAnsi="Times New Roman"/>
          <w:i/>
          <w:sz w:val="24"/>
          <w:szCs w:val="24"/>
        </w:rPr>
        <w:t>.</w:t>
      </w:r>
      <w:r w:rsidRPr="00E265AC">
        <w:rPr>
          <w:rFonts w:ascii="Times New Roman" w:hAnsi="Times New Roman"/>
          <w:sz w:val="24"/>
          <w:szCs w:val="24"/>
        </w:rPr>
        <w:t xml:space="preserve"> Oxon, UK: Routledge.</w:t>
      </w:r>
    </w:p>
    <w:p w14:paraId="3DBC1136" w14:textId="77777777" w:rsidR="00A368F1" w:rsidRPr="00E265AC" w:rsidRDefault="00A368F1" w:rsidP="004F21AC">
      <w:pPr>
        <w:spacing w:line="480" w:lineRule="auto"/>
        <w:rPr>
          <w:color w:val="212121"/>
          <w:shd w:val="clear" w:color="auto" w:fill="FFFFFF"/>
        </w:rPr>
      </w:pPr>
    </w:p>
    <w:p w14:paraId="53F6C15F" w14:textId="32FE2C9D" w:rsidR="001408A0" w:rsidRPr="00E265AC" w:rsidRDefault="001408A0" w:rsidP="004F21AC">
      <w:pPr>
        <w:spacing w:line="480" w:lineRule="auto"/>
      </w:pPr>
      <w:r w:rsidRPr="00E265AC">
        <w:rPr>
          <w:color w:val="212121"/>
          <w:shd w:val="clear" w:color="auto" w:fill="FFFFFF"/>
        </w:rPr>
        <w:t>Manchaiah, V., Andersson, G., Fagelson, M. A., Boyd, R. L., &amp; Beukes, E. W. (2021). Use of open-ended questionnaires to examine the effects of tinnitus and its relation to patient-reported outcome measures. </w:t>
      </w:r>
      <w:r w:rsidRPr="00E265AC">
        <w:rPr>
          <w:i/>
          <w:iCs/>
          <w:color w:val="212121"/>
          <w:shd w:val="clear" w:color="auto" w:fill="FFFFFF"/>
        </w:rPr>
        <w:t>International journal of audiology</w:t>
      </w:r>
      <w:r w:rsidRPr="00E265AC">
        <w:rPr>
          <w:color w:val="212121"/>
          <w:shd w:val="clear" w:color="auto" w:fill="FFFFFF"/>
        </w:rPr>
        <w:t>, 1–8. Advance online publication. https://doi.org/10.1080/14992027.2021.1995790</w:t>
      </w:r>
    </w:p>
    <w:p w14:paraId="2056A98D" w14:textId="77777777" w:rsidR="000E209A" w:rsidRPr="00E265AC" w:rsidRDefault="000E209A" w:rsidP="004F21AC">
      <w:pPr>
        <w:spacing w:line="480" w:lineRule="auto"/>
      </w:pPr>
    </w:p>
    <w:p w14:paraId="6B41CE86" w14:textId="77777777" w:rsidR="009351FD" w:rsidRPr="00E265AC" w:rsidRDefault="009351FD" w:rsidP="004F21AC">
      <w:pPr>
        <w:spacing w:line="480" w:lineRule="auto"/>
      </w:pPr>
      <w:r w:rsidRPr="00E265AC">
        <w:t>Manchaiah, V., Chundu, C., Ratinaud, R., Anderson, G., &amp; Beukes, E.W. (</w:t>
      </w:r>
      <w:r w:rsidRPr="00E265AC">
        <w:rPr>
          <w:color w:val="1A1718"/>
        </w:rPr>
        <w:t>2023</w:t>
      </w:r>
      <w:r w:rsidRPr="00E265AC">
        <w:t xml:space="preserve">). Social representations of ‘tinnitus’ and ‘health’ among individuals with tinnitus seeking online psychological interventions. </w:t>
      </w:r>
      <w:r w:rsidRPr="00E265AC">
        <w:rPr>
          <w:i/>
          <w:iCs/>
        </w:rPr>
        <w:t xml:space="preserve">Audiology Research, </w:t>
      </w:r>
      <w:r w:rsidRPr="00E265AC">
        <w:t xml:space="preserve">13(2), 207-220. </w:t>
      </w:r>
      <w:hyperlink r:id="rId21" w:history="1">
        <w:r w:rsidRPr="00E265AC">
          <w:rPr>
            <w:rStyle w:val="Hyperlink"/>
            <w:shd w:val="clear" w:color="auto" w:fill="FFFFFF"/>
          </w:rPr>
          <w:t>https://doi.org/10.3390/audiolres13020020</w:t>
        </w:r>
      </w:hyperlink>
      <w:r w:rsidRPr="00E265AC">
        <w:rPr>
          <w:color w:val="222222"/>
          <w:shd w:val="clear" w:color="auto" w:fill="FFFFFF"/>
        </w:rPr>
        <w:t xml:space="preserve"> </w:t>
      </w:r>
    </w:p>
    <w:p w14:paraId="69F62E25" w14:textId="77777777" w:rsidR="009351FD" w:rsidRPr="00E265AC" w:rsidRDefault="009351FD" w:rsidP="004F21AC">
      <w:pPr>
        <w:spacing w:line="480" w:lineRule="auto"/>
        <w:rPr>
          <w:color w:val="222222"/>
          <w:shd w:val="clear" w:color="auto" w:fill="FFFFFF"/>
          <w:lang w:val="en-GB" w:eastAsia="en-GB"/>
        </w:rPr>
      </w:pPr>
    </w:p>
    <w:p w14:paraId="66CDF67B" w14:textId="45FF308B" w:rsidR="00353CD0" w:rsidRPr="00E265AC" w:rsidRDefault="00353CD0" w:rsidP="004F21AC">
      <w:pPr>
        <w:spacing w:line="480" w:lineRule="auto"/>
        <w:rPr>
          <w:color w:val="222222"/>
          <w:shd w:val="clear" w:color="auto" w:fill="FFFFFF"/>
          <w:lang w:val="en-GB" w:eastAsia="en-GB"/>
        </w:rPr>
      </w:pPr>
      <w:r w:rsidRPr="00E265AC">
        <w:rPr>
          <w:color w:val="222222"/>
          <w:shd w:val="clear" w:color="auto" w:fill="FFFFFF"/>
          <w:lang w:val="en-GB" w:eastAsia="en-GB"/>
        </w:rPr>
        <w:t>McCormack, A., Edmondson-Jones, M., Somerset, S., &amp; Hall, D. (2016). A systematic review of the reporting of tinnitus prevalence and severity. </w:t>
      </w:r>
      <w:r w:rsidRPr="00E265AC">
        <w:rPr>
          <w:i/>
          <w:iCs/>
          <w:color w:val="222222"/>
          <w:shd w:val="clear" w:color="auto" w:fill="FFFFFF"/>
          <w:lang w:val="en-GB" w:eastAsia="en-GB"/>
        </w:rPr>
        <w:t>Hearing Research</w:t>
      </w:r>
      <w:r w:rsidRPr="00E265AC">
        <w:rPr>
          <w:color w:val="222222"/>
          <w:shd w:val="clear" w:color="auto" w:fill="FFFFFF"/>
          <w:lang w:val="en-GB" w:eastAsia="en-GB"/>
        </w:rPr>
        <w:t>, </w:t>
      </w:r>
      <w:r w:rsidRPr="00E265AC">
        <w:rPr>
          <w:i/>
          <w:iCs/>
          <w:color w:val="222222"/>
          <w:shd w:val="clear" w:color="auto" w:fill="FFFFFF"/>
          <w:lang w:val="en-GB" w:eastAsia="en-GB"/>
        </w:rPr>
        <w:t>337</w:t>
      </w:r>
      <w:r w:rsidRPr="00E265AC">
        <w:rPr>
          <w:color w:val="222222"/>
          <w:shd w:val="clear" w:color="auto" w:fill="FFFFFF"/>
          <w:lang w:val="en-GB" w:eastAsia="en-GB"/>
        </w:rPr>
        <w:t>, 70-79.</w:t>
      </w:r>
    </w:p>
    <w:p w14:paraId="6EFA40E1" w14:textId="77777777" w:rsidR="00353CD0" w:rsidRPr="00E265AC" w:rsidRDefault="00353CD0" w:rsidP="004F21AC">
      <w:pPr>
        <w:spacing w:line="480" w:lineRule="auto"/>
        <w:rPr>
          <w:color w:val="222222"/>
          <w:shd w:val="clear" w:color="auto" w:fill="FFFFFF"/>
          <w:lang w:val="en-GB" w:eastAsia="en-GB"/>
        </w:rPr>
      </w:pPr>
    </w:p>
    <w:p w14:paraId="72ED22F3" w14:textId="0675C459" w:rsidR="00A368F1" w:rsidRPr="00E265AC" w:rsidRDefault="00A368F1" w:rsidP="004F21AC">
      <w:pPr>
        <w:spacing w:line="480" w:lineRule="auto"/>
      </w:pPr>
      <w:r w:rsidRPr="00E265AC">
        <w:t xml:space="preserve">Moscovici, S. (1988). Notes towards a description of Social Representations. </w:t>
      </w:r>
      <w:r w:rsidRPr="00E265AC">
        <w:rPr>
          <w:i/>
          <w:iCs/>
        </w:rPr>
        <w:t>European Journal of Social Psychology</w:t>
      </w:r>
      <w:r w:rsidRPr="00E265AC">
        <w:t>, 18(3), 211–250. doi:10.1002/</w:t>
      </w:r>
      <w:proofErr w:type="spellStart"/>
      <w:r w:rsidRPr="00E265AC">
        <w:t>ejsp</w:t>
      </w:r>
      <w:proofErr w:type="spellEnd"/>
      <w:r w:rsidRPr="00E265AC">
        <w:t xml:space="preserve">. 2420180303. </w:t>
      </w:r>
    </w:p>
    <w:p w14:paraId="30F1C7CB" w14:textId="26F9A3C1" w:rsidR="00A368F1" w:rsidRPr="00E265AC" w:rsidRDefault="00A368F1" w:rsidP="004F21AC">
      <w:pPr>
        <w:spacing w:line="480" w:lineRule="auto"/>
      </w:pPr>
    </w:p>
    <w:p w14:paraId="1A242BE0" w14:textId="40CBBFDA" w:rsidR="00FD7035" w:rsidRPr="00E265AC" w:rsidRDefault="00FD7035" w:rsidP="004F21AC">
      <w:pPr>
        <w:spacing w:line="480" w:lineRule="auto"/>
      </w:pPr>
      <w:r w:rsidRPr="00E265AC">
        <w:rPr>
          <w:color w:val="212121"/>
          <w:shd w:val="clear" w:color="auto" w:fill="FFFFFF"/>
        </w:rPr>
        <w:lastRenderedPageBreak/>
        <w:t>Newman, C. W., Jacobson, G. P., &amp; Spitzer, J. B. (1996). Development of the Tinnitus Handicap Inventory. </w:t>
      </w:r>
      <w:r w:rsidRPr="00E265AC">
        <w:rPr>
          <w:i/>
          <w:iCs/>
          <w:color w:val="212121"/>
          <w:shd w:val="clear" w:color="auto" w:fill="FFFFFF"/>
        </w:rPr>
        <w:t>Archives of Otolaryngology--Head &amp; Neck Surgery</w:t>
      </w:r>
      <w:r w:rsidRPr="00E265AC">
        <w:rPr>
          <w:color w:val="212121"/>
          <w:shd w:val="clear" w:color="auto" w:fill="FFFFFF"/>
        </w:rPr>
        <w:t>, </w:t>
      </w:r>
      <w:r w:rsidRPr="00E265AC">
        <w:rPr>
          <w:i/>
          <w:iCs/>
          <w:color w:val="212121"/>
          <w:shd w:val="clear" w:color="auto" w:fill="FFFFFF"/>
        </w:rPr>
        <w:t>122</w:t>
      </w:r>
      <w:r w:rsidRPr="00E265AC">
        <w:rPr>
          <w:color w:val="212121"/>
          <w:shd w:val="clear" w:color="auto" w:fill="FFFFFF"/>
        </w:rPr>
        <w:t>(2), 143–148. https://doi.org/10.1001/archotol.1996.01890140029007</w:t>
      </w:r>
    </w:p>
    <w:p w14:paraId="520BDD55" w14:textId="77777777" w:rsidR="00FD7035" w:rsidRPr="00E265AC" w:rsidRDefault="00FD7035" w:rsidP="004F21AC">
      <w:pPr>
        <w:spacing w:line="480" w:lineRule="auto"/>
      </w:pPr>
    </w:p>
    <w:p w14:paraId="5517BF69" w14:textId="1DD31960" w:rsidR="00AD0095" w:rsidRPr="00E265AC" w:rsidRDefault="00AD0095" w:rsidP="004F21AC">
      <w:pPr>
        <w:spacing w:line="480" w:lineRule="auto"/>
      </w:pPr>
      <w:r w:rsidRPr="00E265AC">
        <w:rPr>
          <w:color w:val="303030"/>
          <w:shd w:val="clear" w:color="auto" w:fill="FFFFFF"/>
          <w:lang w:val="sv-SE"/>
        </w:rPr>
        <w:t xml:space="preserve">Rademaker, M. M., Essers, B., Stokroos, R. J., Smit, A. L., &amp; Stegeman, I. (2021). </w:t>
      </w:r>
      <w:r w:rsidRPr="00E265AC">
        <w:rPr>
          <w:color w:val="303030"/>
          <w:shd w:val="clear" w:color="auto" w:fill="FFFFFF"/>
        </w:rPr>
        <w:t>What Tinnitus Therapy Outcome Measures Are Important for Patients? A Discrete Choice Experiment. </w:t>
      </w:r>
      <w:r w:rsidRPr="00E265AC">
        <w:rPr>
          <w:i/>
          <w:iCs/>
          <w:color w:val="303030"/>
          <w:shd w:val="clear" w:color="auto" w:fill="FFFFFF"/>
        </w:rPr>
        <w:t>Frontiers in Neurology</w:t>
      </w:r>
      <w:r w:rsidRPr="00E265AC">
        <w:rPr>
          <w:color w:val="303030"/>
          <w:shd w:val="clear" w:color="auto" w:fill="FFFFFF"/>
        </w:rPr>
        <w:t>, </w:t>
      </w:r>
      <w:r w:rsidRPr="00E265AC">
        <w:rPr>
          <w:i/>
          <w:iCs/>
          <w:color w:val="303030"/>
          <w:shd w:val="clear" w:color="auto" w:fill="FFFFFF"/>
        </w:rPr>
        <w:t>12</w:t>
      </w:r>
      <w:r w:rsidRPr="00E265AC">
        <w:rPr>
          <w:color w:val="303030"/>
          <w:shd w:val="clear" w:color="auto" w:fill="FFFFFF"/>
        </w:rPr>
        <w:t>, 668880. https://doi.org/10.3389/fneur.2021.668880</w:t>
      </w:r>
    </w:p>
    <w:p w14:paraId="54F49D00" w14:textId="77777777" w:rsidR="00AD0095" w:rsidRPr="00E265AC" w:rsidRDefault="00AD0095" w:rsidP="004F21AC">
      <w:pPr>
        <w:spacing w:line="480" w:lineRule="auto"/>
        <w:rPr>
          <w:color w:val="212121"/>
          <w:shd w:val="clear" w:color="auto" w:fill="FFFFFF"/>
        </w:rPr>
      </w:pPr>
    </w:p>
    <w:p w14:paraId="468A8D4A" w14:textId="327BDDB1" w:rsidR="00A368F1" w:rsidRPr="00E265AC" w:rsidRDefault="00A368F1" w:rsidP="004F21AC">
      <w:pPr>
        <w:spacing w:line="480" w:lineRule="auto"/>
      </w:pPr>
      <w:proofErr w:type="spellStart"/>
      <w:r w:rsidRPr="00E265AC">
        <w:rPr>
          <w:color w:val="212121"/>
          <w:shd w:val="clear" w:color="auto" w:fill="FFFFFF"/>
        </w:rPr>
        <w:t>Shargorodsky</w:t>
      </w:r>
      <w:proofErr w:type="spellEnd"/>
      <w:r w:rsidRPr="00E265AC">
        <w:rPr>
          <w:color w:val="212121"/>
          <w:shd w:val="clear" w:color="auto" w:fill="FFFFFF"/>
        </w:rPr>
        <w:t xml:space="preserve">, J., </w:t>
      </w:r>
      <w:proofErr w:type="spellStart"/>
      <w:r w:rsidRPr="00E265AC">
        <w:rPr>
          <w:color w:val="212121"/>
          <w:shd w:val="clear" w:color="auto" w:fill="FFFFFF"/>
        </w:rPr>
        <w:t>Curhan</w:t>
      </w:r>
      <w:proofErr w:type="spellEnd"/>
      <w:r w:rsidRPr="00E265AC">
        <w:rPr>
          <w:color w:val="212121"/>
          <w:shd w:val="clear" w:color="auto" w:fill="FFFFFF"/>
        </w:rPr>
        <w:t>, G. C., &amp; Farwell, W. R. (2010). Prevalence and characteristics of tinnitus among US adults. </w:t>
      </w:r>
      <w:r w:rsidRPr="00E265AC">
        <w:rPr>
          <w:i/>
          <w:iCs/>
          <w:color w:val="212121"/>
          <w:shd w:val="clear" w:color="auto" w:fill="FFFFFF"/>
        </w:rPr>
        <w:t>The American journal of medicine</w:t>
      </w:r>
      <w:r w:rsidRPr="00E265AC">
        <w:rPr>
          <w:color w:val="212121"/>
          <w:shd w:val="clear" w:color="auto" w:fill="FFFFFF"/>
        </w:rPr>
        <w:t>, </w:t>
      </w:r>
      <w:r w:rsidRPr="00E265AC">
        <w:rPr>
          <w:i/>
          <w:iCs/>
          <w:color w:val="212121"/>
          <w:shd w:val="clear" w:color="auto" w:fill="FFFFFF"/>
        </w:rPr>
        <w:t>123</w:t>
      </w:r>
      <w:r w:rsidRPr="00E265AC">
        <w:rPr>
          <w:color w:val="212121"/>
          <w:shd w:val="clear" w:color="auto" w:fill="FFFFFF"/>
        </w:rPr>
        <w:t>(8), 711–718. https://doi.org/10.1016/j.amjmed.2010.02.015</w:t>
      </w:r>
    </w:p>
    <w:p w14:paraId="1A5B759C" w14:textId="5969F563" w:rsidR="00A368F1" w:rsidRPr="00E265AC" w:rsidRDefault="00A368F1" w:rsidP="004F21AC">
      <w:pPr>
        <w:pStyle w:val="ListParagraph"/>
        <w:spacing w:after="0" w:line="480" w:lineRule="auto"/>
        <w:ind w:left="0"/>
        <w:rPr>
          <w:rFonts w:ascii="Times New Roman" w:hAnsi="Times New Roman"/>
          <w:sz w:val="24"/>
          <w:szCs w:val="24"/>
          <w:lang w:val="en"/>
        </w:rPr>
      </w:pPr>
    </w:p>
    <w:p w14:paraId="16A7E8EE" w14:textId="71DD8FB7" w:rsidR="00FD7035" w:rsidRPr="00E265AC" w:rsidRDefault="00FD7035" w:rsidP="004F21AC">
      <w:pPr>
        <w:spacing w:line="480" w:lineRule="auto"/>
      </w:pPr>
      <w:r w:rsidRPr="00E265AC">
        <w:rPr>
          <w:color w:val="212121"/>
          <w:shd w:val="clear" w:color="auto" w:fill="FFFFFF"/>
          <w:lang w:val="de-DE"/>
        </w:rPr>
        <w:t xml:space="preserve">Spitzer, R. L., </w:t>
      </w:r>
      <w:proofErr w:type="spellStart"/>
      <w:r w:rsidRPr="00E265AC">
        <w:rPr>
          <w:color w:val="212121"/>
          <w:shd w:val="clear" w:color="auto" w:fill="FFFFFF"/>
          <w:lang w:val="de-DE"/>
        </w:rPr>
        <w:t>Kroenke</w:t>
      </w:r>
      <w:proofErr w:type="spellEnd"/>
      <w:r w:rsidRPr="00E265AC">
        <w:rPr>
          <w:color w:val="212121"/>
          <w:shd w:val="clear" w:color="auto" w:fill="FFFFFF"/>
          <w:lang w:val="de-DE"/>
        </w:rPr>
        <w:t xml:space="preserve">, K., Williams, J. B., &amp; Löwe, B. (2006). </w:t>
      </w:r>
      <w:r w:rsidRPr="00E265AC">
        <w:rPr>
          <w:color w:val="212121"/>
          <w:shd w:val="clear" w:color="auto" w:fill="FFFFFF"/>
        </w:rPr>
        <w:t>A brief measure for assessing generalized anxiety disorder: the GAD-7. </w:t>
      </w:r>
      <w:r w:rsidRPr="00E265AC">
        <w:rPr>
          <w:i/>
          <w:iCs/>
          <w:color w:val="212121"/>
          <w:shd w:val="clear" w:color="auto" w:fill="FFFFFF"/>
        </w:rPr>
        <w:t>Archives of Internal Medicine</w:t>
      </w:r>
      <w:r w:rsidRPr="00E265AC">
        <w:rPr>
          <w:color w:val="212121"/>
          <w:shd w:val="clear" w:color="auto" w:fill="FFFFFF"/>
        </w:rPr>
        <w:t>, </w:t>
      </w:r>
      <w:r w:rsidRPr="00E265AC">
        <w:rPr>
          <w:i/>
          <w:iCs/>
          <w:color w:val="212121"/>
          <w:shd w:val="clear" w:color="auto" w:fill="FFFFFF"/>
        </w:rPr>
        <w:t>166</w:t>
      </w:r>
      <w:r w:rsidRPr="00E265AC">
        <w:rPr>
          <w:color w:val="212121"/>
          <w:shd w:val="clear" w:color="auto" w:fill="FFFFFF"/>
        </w:rPr>
        <w:t>(10), 1092–1097. https://doi.org/10.1001/archinte.166.10.1092</w:t>
      </w:r>
    </w:p>
    <w:p w14:paraId="583277FD" w14:textId="77777777" w:rsidR="00A368F1" w:rsidRPr="00E265AC" w:rsidRDefault="00A368F1" w:rsidP="004F21AC">
      <w:pPr>
        <w:spacing w:line="480" w:lineRule="auto"/>
      </w:pPr>
    </w:p>
    <w:p w14:paraId="2332001A" w14:textId="77777777" w:rsidR="00A368F1" w:rsidRPr="00E265AC" w:rsidRDefault="00A368F1" w:rsidP="004F21AC">
      <w:pPr>
        <w:spacing w:line="480" w:lineRule="auto"/>
      </w:pPr>
      <w:proofErr w:type="spellStart"/>
      <w:r w:rsidRPr="00E265AC">
        <w:t>Voelklein</w:t>
      </w:r>
      <w:proofErr w:type="spellEnd"/>
      <w:r w:rsidRPr="00E265AC">
        <w:t xml:space="preserve">, C., &amp; C. Howarth. (2005). A review of controversies about Social Representations Theory: A </w:t>
      </w:r>
      <w:proofErr w:type="spellStart"/>
      <w:r w:rsidRPr="00E265AC">
        <w:t>british</w:t>
      </w:r>
      <w:proofErr w:type="spellEnd"/>
      <w:r w:rsidRPr="00E265AC">
        <w:t xml:space="preserve"> debate. </w:t>
      </w:r>
      <w:r w:rsidRPr="00E265AC">
        <w:rPr>
          <w:i/>
          <w:iCs/>
        </w:rPr>
        <w:t>Culture and Psychology</w:t>
      </w:r>
      <w:r w:rsidRPr="00E265AC">
        <w:t xml:space="preserve">, 11(4), 431–454. doi:10.1177/1354067X05058586. </w:t>
      </w:r>
    </w:p>
    <w:p w14:paraId="503A9B18" w14:textId="77777777" w:rsidR="00A368F1" w:rsidRPr="00E265AC" w:rsidRDefault="00A368F1" w:rsidP="004F21AC">
      <w:pPr>
        <w:spacing w:line="480" w:lineRule="auto"/>
      </w:pPr>
    </w:p>
    <w:p w14:paraId="735CC3A7" w14:textId="77777777" w:rsidR="00A368F1" w:rsidRPr="00E265AC" w:rsidRDefault="00A368F1" w:rsidP="004F21AC">
      <w:pPr>
        <w:spacing w:line="480" w:lineRule="auto"/>
      </w:pPr>
      <w:r w:rsidRPr="00E265AC">
        <w:t>Wagner, W.  (2020). Social Representation Theory: An Historical Outline. Oxford Research Encyclopedia of Psychology. Retrieved 20 Aug. 2021, from https://oxfordre.com/psychology/view/10.1093/acrefore/9780190236557.001.0001/acrefore-9780190236557-e-606.</w:t>
      </w:r>
    </w:p>
    <w:p w14:paraId="48CAD900" w14:textId="77777777" w:rsidR="00A368F1" w:rsidRPr="00E265AC" w:rsidRDefault="00A368F1" w:rsidP="004F21AC">
      <w:pPr>
        <w:pStyle w:val="ListParagraph"/>
        <w:spacing w:after="0" w:line="480" w:lineRule="auto"/>
        <w:ind w:left="0"/>
        <w:rPr>
          <w:rFonts w:ascii="Times New Roman" w:hAnsi="Times New Roman"/>
          <w:sz w:val="24"/>
          <w:szCs w:val="24"/>
          <w:lang w:val="en"/>
        </w:rPr>
      </w:pPr>
    </w:p>
    <w:p w14:paraId="28F3AE3E" w14:textId="19023B60" w:rsidR="00A368F1" w:rsidRPr="00E265AC" w:rsidRDefault="00A368F1" w:rsidP="004F21AC">
      <w:pPr>
        <w:spacing w:line="480" w:lineRule="auto"/>
        <w:rPr>
          <w:color w:val="212121"/>
          <w:shd w:val="clear" w:color="auto" w:fill="FFFFFF"/>
        </w:rPr>
      </w:pPr>
      <w:r w:rsidRPr="00E265AC">
        <w:rPr>
          <w:color w:val="212121"/>
          <w:shd w:val="clear" w:color="auto" w:fill="FFFFFF"/>
        </w:rPr>
        <w:lastRenderedPageBreak/>
        <w:t xml:space="preserve">Watts, E. J., Fackrell, K., Smith, S., Sheldrake, J., Haider, H., &amp; Hoare, D. J. (2018). Why </w:t>
      </w:r>
      <w:r w:rsidR="00AC5495" w:rsidRPr="00E265AC">
        <w:rPr>
          <w:color w:val="212121"/>
          <w:shd w:val="clear" w:color="auto" w:fill="FFFFFF"/>
        </w:rPr>
        <w:t>i</w:t>
      </w:r>
      <w:r w:rsidRPr="00E265AC">
        <w:rPr>
          <w:color w:val="212121"/>
          <w:shd w:val="clear" w:color="auto" w:fill="FFFFFF"/>
        </w:rPr>
        <w:t xml:space="preserve">s </w:t>
      </w:r>
      <w:r w:rsidR="00AC5495" w:rsidRPr="00E265AC">
        <w:rPr>
          <w:color w:val="212121"/>
          <w:shd w:val="clear" w:color="auto" w:fill="FFFFFF"/>
        </w:rPr>
        <w:t>t</w:t>
      </w:r>
      <w:r w:rsidRPr="00E265AC">
        <w:rPr>
          <w:color w:val="212121"/>
          <w:shd w:val="clear" w:color="auto" w:fill="FFFFFF"/>
        </w:rPr>
        <w:t xml:space="preserve">innitus a </w:t>
      </w:r>
      <w:r w:rsidR="00AC5495" w:rsidRPr="00E265AC">
        <w:rPr>
          <w:color w:val="212121"/>
          <w:shd w:val="clear" w:color="auto" w:fill="FFFFFF"/>
        </w:rPr>
        <w:t>p</w:t>
      </w:r>
      <w:r w:rsidRPr="00E265AC">
        <w:rPr>
          <w:color w:val="212121"/>
          <w:shd w:val="clear" w:color="auto" w:fill="FFFFFF"/>
        </w:rPr>
        <w:t xml:space="preserve">roblem? A </w:t>
      </w:r>
      <w:r w:rsidR="00AC5495" w:rsidRPr="00E265AC">
        <w:rPr>
          <w:color w:val="212121"/>
          <w:shd w:val="clear" w:color="auto" w:fill="FFFFFF"/>
        </w:rPr>
        <w:t>q</w:t>
      </w:r>
      <w:r w:rsidRPr="00E265AC">
        <w:rPr>
          <w:color w:val="212121"/>
          <w:shd w:val="clear" w:color="auto" w:fill="FFFFFF"/>
        </w:rPr>
        <w:t xml:space="preserve">ualitative </w:t>
      </w:r>
      <w:r w:rsidR="00AC5495" w:rsidRPr="00E265AC">
        <w:rPr>
          <w:color w:val="212121"/>
          <w:shd w:val="clear" w:color="auto" w:fill="FFFFFF"/>
        </w:rPr>
        <w:t>a</w:t>
      </w:r>
      <w:r w:rsidRPr="00E265AC">
        <w:rPr>
          <w:color w:val="212121"/>
          <w:shd w:val="clear" w:color="auto" w:fill="FFFFFF"/>
        </w:rPr>
        <w:t xml:space="preserve">nalysis of </w:t>
      </w:r>
      <w:r w:rsidR="00AC5495" w:rsidRPr="00E265AC">
        <w:rPr>
          <w:color w:val="212121"/>
          <w:shd w:val="clear" w:color="auto" w:fill="FFFFFF"/>
        </w:rPr>
        <w:t>p</w:t>
      </w:r>
      <w:r w:rsidRPr="00E265AC">
        <w:rPr>
          <w:color w:val="212121"/>
          <w:shd w:val="clear" w:color="auto" w:fill="FFFFFF"/>
        </w:rPr>
        <w:t xml:space="preserve">roblems </w:t>
      </w:r>
      <w:r w:rsidR="00AC5495" w:rsidRPr="00E265AC">
        <w:rPr>
          <w:color w:val="212121"/>
          <w:shd w:val="clear" w:color="auto" w:fill="FFFFFF"/>
        </w:rPr>
        <w:t>r</w:t>
      </w:r>
      <w:r w:rsidRPr="00E265AC">
        <w:rPr>
          <w:color w:val="212121"/>
          <w:shd w:val="clear" w:color="auto" w:fill="FFFFFF"/>
        </w:rPr>
        <w:t xml:space="preserve">eported by </w:t>
      </w:r>
      <w:r w:rsidR="00AC5495" w:rsidRPr="00E265AC">
        <w:rPr>
          <w:color w:val="212121"/>
          <w:shd w:val="clear" w:color="auto" w:fill="FFFFFF"/>
        </w:rPr>
        <w:t>t</w:t>
      </w:r>
      <w:r w:rsidRPr="00E265AC">
        <w:rPr>
          <w:color w:val="212121"/>
          <w:shd w:val="clear" w:color="auto" w:fill="FFFFFF"/>
        </w:rPr>
        <w:t xml:space="preserve">innitus </w:t>
      </w:r>
      <w:r w:rsidR="00AC5495" w:rsidRPr="00E265AC">
        <w:rPr>
          <w:color w:val="212121"/>
          <w:shd w:val="clear" w:color="auto" w:fill="FFFFFF"/>
        </w:rPr>
        <w:t>p</w:t>
      </w:r>
      <w:r w:rsidRPr="00E265AC">
        <w:rPr>
          <w:color w:val="212121"/>
          <w:shd w:val="clear" w:color="auto" w:fill="FFFFFF"/>
        </w:rPr>
        <w:t>atients. </w:t>
      </w:r>
      <w:r w:rsidRPr="00E265AC">
        <w:rPr>
          <w:i/>
          <w:iCs/>
          <w:color w:val="212121"/>
          <w:shd w:val="clear" w:color="auto" w:fill="FFFFFF"/>
        </w:rPr>
        <w:t xml:space="preserve">Trends in </w:t>
      </w:r>
      <w:r w:rsidR="00AC5495" w:rsidRPr="00E265AC">
        <w:rPr>
          <w:i/>
          <w:iCs/>
          <w:color w:val="212121"/>
          <w:shd w:val="clear" w:color="auto" w:fill="FFFFFF"/>
        </w:rPr>
        <w:t>H</w:t>
      </w:r>
      <w:r w:rsidRPr="00E265AC">
        <w:rPr>
          <w:i/>
          <w:iCs/>
          <w:color w:val="212121"/>
          <w:shd w:val="clear" w:color="auto" w:fill="FFFFFF"/>
        </w:rPr>
        <w:t>earing</w:t>
      </w:r>
      <w:r w:rsidRPr="00E265AC">
        <w:rPr>
          <w:color w:val="212121"/>
          <w:shd w:val="clear" w:color="auto" w:fill="FFFFFF"/>
        </w:rPr>
        <w:t>, </w:t>
      </w:r>
      <w:r w:rsidRPr="00E265AC">
        <w:rPr>
          <w:i/>
          <w:iCs/>
          <w:color w:val="212121"/>
          <w:shd w:val="clear" w:color="auto" w:fill="FFFFFF"/>
        </w:rPr>
        <w:t>22</w:t>
      </w:r>
      <w:r w:rsidRPr="00E265AC">
        <w:rPr>
          <w:color w:val="212121"/>
          <w:shd w:val="clear" w:color="auto" w:fill="FFFFFF"/>
        </w:rPr>
        <w:t xml:space="preserve">, 2331216518812250. </w:t>
      </w:r>
      <w:hyperlink r:id="rId22" w:history="1">
        <w:r w:rsidR="004F21AC" w:rsidRPr="00E265AC">
          <w:rPr>
            <w:rStyle w:val="Hyperlink"/>
            <w:shd w:val="clear" w:color="auto" w:fill="FFFFFF"/>
          </w:rPr>
          <w:t>https://doi.org/10.1177/2331216518812250</w:t>
        </w:r>
      </w:hyperlink>
    </w:p>
    <w:p w14:paraId="532D2AC7" w14:textId="05AC9457" w:rsidR="004F21AC" w:rsidRPr="00E265AC" w:rsidRDefault="004F21AC" w:rsidP="004F21AC">
      <w:pPr>
        <w:spacing w:line="480" w:lineRule="auto"/>
        <w:rPr>
          <w:color w:val="212121"/>
          <w:shd w:val="clear" w:color="auto" w:fill="FFFFFF"/>
        </w:rPr>
      </w:pPr>
    </w:p>
    <w:p w14:paraId="590E05F1" w14:textId="77777777" w:rsidR="004F21AC" w:rsidRPr="00E265AC" w:rsidRDefault="004F21AC" w:rsidP="004F21AC">
      <w:pPr>
        <w:spacing w:line="480" w:lineRule="auto"/>
        <w:rPr>
          <w:b/>
          <w:sz w:val="28"/>
          <w:szCs w:val="28"/>
        </w:rPr>
      </w:pPr>
      <w:r w:rsidRPr="00E265AC">
        <w:rPr>
          <w:b/>
          <w:sz w:val="28"/>
          <w:szCs w:val="28"/>
        </w:rPr>
        <w:t xml:space="preserve"> </w:t>
      </w:r>
      <w:r w:rsidRPr="00E265AC">
        <w:rPr>
          <w:b/>
          <w:sz w:val="28"/>
          <w:szCs w:val="28"/>
        </w:rPr>
        <w:br/>
      </w:r>
    </w:p>
    <w:p w14:paraId="03B8CDEB" w14:textId="0A06C7CB" w:rsidR="004F21AC" w:rsidRPr="00E265AC" w:rsidRDefault="004F21AC" w:rsidP="004F21AC">
      <w:pPr>
        <w:spacing w:line="480" w:lineRule="auto"/>
        <w:rPr>
          <w:b/>
          <w:sz w:val="28"/>
          <w:szCs w:val="28"/>
        </w:rPr>
      </w:pPr>
      <w:r w:rsidRPr="00E265AC">
        <w:rPr>
          <w:b/>
          <w:sz w:val="28"/>
          <w:szCs w:val="28"/>
        </w:rPr>
        <w:br w:type="column"/>
      </w:r>
      <w:r w:rsidRPr="00E265AC">
        <w:rPr>
          <w:b/>
          <w:sz w:val="28"/>
          <w:szCs w:val="28"/>
        </w:rPr>
        <w:lastRenderedPageBreak/>
        <w:t>Figures</w:t>
      </w:r>
    </w:p>
    <w:p w14:paraId="3B826844" w14:textId="77777777" w:rsidR="004F21AC" w:rsidRPr="00E265AC" w:rsidRDefault="004F21AC" w:rsidP="004F21AC">
      <w:pPr>
        <w:spacing w:line="480" w:lineRule="auto"/>
        <w:rPr>
          <w:b/>
        </w:rPr>
      </w:pPr>
    </w:p>
    <w:p w14:paraId="68447C2C" w14:textId="412B7709" w:rsidR="004F21AC" w:rsidRPr="00E265AC" w:rsidRDefault="004F21AC" w:rsidP="004F21AC">
      <w:pPr>
        <w:spacing w:line="480" w:lineRule="auto"/>
        <w:rPr>
          <w:b/>
        </w:rPr>
      </w:pPr>
      <w:r w:rsidRPr="00E265AC">
        <w:rPr>
          <w:b/>
        </w:rPr>
        <w:t>Figure 1: Percentages of associations ranked positive, neutral and negative for responses to free association task about tinnitus pre- and post-intervention</w:t>
      </w:r>
    </w:p>
    <w:p w14:paraId="7149671A" w14:textId="382D00AC" w:rsidR="006A48A0" w:rsidRPr="00E265AC" w:rsidRDefault="006A48A0" w:rsidP="006A48A0">
      <w:r w:rsidRPr="00E265AC">
        <w:rPr>
          <w:noProof/>
          <w:lang w:val="sv-SE" w:eastAsia="sv-SE"/>
        </w:rPr>
        <w:drawing>
          <wp:inline distT="0" distB="0" distL="0" distR="0" wp14:anchorId="09B7F547" wp14:editId="610C83E6">
            <wp:extent cx="3530600" cy="2997200"/>
            <wp:effectExtent l="0" t="0" r="12700" b="12700"/>
            <wp:docPr id="1" name="Chart 1">
              <a:extLst xmlns:a="http://schemas.openxmlformats.org/drawingml/2006/main">
                <a:ext uri="{FF2B5EF4-FFF2-40B4-BE49-F238E27FC236}">
                  <a16:creationId xmlns:a16="http://schemas.microsoft.com/office/drawing/2014/main" id="{2E7977D2-199D-45A2-ABEE-E28E4E1C69F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8054722" w14:textId="77777777" w:rsidR="006A48A0" w:rsidRPr="00E265AC" w:rsidRDefault="006A48A0" w:rsidP="006A48A0">
      <w:pPr>
        <w:rPr>
          <w:b/>
          <w:bCs/>
        </w:rPr>
      </w:pPr>
    </w:p>
    <w:p w14:paraId="6D86B266" w14:textId="77777777" w:rsidR="006A48A0" w:rsidRPr="00E265AC" w:rsidRDefault="006A48A0" w:rsidP="006A48A0"/>
    <w:p w14:paraId="5BD0C65C" w14:textId="77777777" w:rsidR="004F21AC" w:rsidRPr="00E265AC" w:rsidRDefault="004F21AC" w:rsidP="004F21AC">
      <w:pPr>
        <w:spacing w:line="480" w:lineRule="auto"/>
      </w:pPr>
    </w:p>
    <w:p w14:paraId="7356AD22" w14:textId="3EEC3782" w:rsidR="004F21AC" w:rsidRPr="00E265AC" w:rsidRDefault="004F21AC" w:rsidP="004F21AC">
      <w:pPr>
        <w:spacing w:line="480" w:lineRule="auto"/>
        <w:rPr>
          <w:b/>
        </w:rPr>
      </w:pPr>
      <w:r w:rsidRPr="00E265AC">
        <w:rPr>
          <w:b/>
        </w:rPr>
        <w:t>Figure 2: Similarities analysis for tinnitus responses pre treatment</w:t>
      </w:r>
    </w:p>
    <w:p w14:paraId="4AE4FC77" w14:textId="77777777" w:rsidR="006A48A0" w:rsidRPr="00E265AC" w:rsidRDefault="006A48A0" w:rsidP="006A48A0"/>
    <w:p w14:paraId="4DB63E97" w14:textId="537B9F22" w:rsidR="006A48A0" w:rsidRPr="00E265AC" w:rsidRDefault="006A48A0" w:rsidP="006A48A0">
      <w:r w:rsidRPr="00E265AC">
        <w:rPr>
          <w:noProof/>
          <w:lang w:val="sv-SE" w:eastAsia="sv-SE"/>
        </w:rPr>
        <w:drawing>
          <wp:inline distT="0" distB="0" distL="0" distR="0" wp14:anchorId="1BEC14C1" wp14:editId="7D908C3E">
            <wp:extent cx="5731510" cy="2875280"/>
            <wp:effectExtent l="0" t="0" r="2540" b="1270"/>
            <wp:docPr id="2018599332"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8599332" name="Picture 1" descr="A diagram of a network&#10;&#10;Description automatically generat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31510" cy="2875280"/>
                    </a:xfrm>
                    <a:prstGeom prst="rect">
                      <a:avLst/>
                    </a:prstGeom>
                    <a:noFill/>
                    <a:ln>
                      <a:noFill/>
                    </a:ln>
                  </pic:spPr>
                </pic:pic>
              </a:graphicData>
            </a:graphic>
          </wp:inline>
        </w:drawing>
      </w:r>
    </w:p>
    <w:p w14:paraId="638C0D21" w14:textId="77777777" w:rsidR="006A48A0" w:rsidRPr="00E265AC" w:rsidRDefault="006A48A0" w:rsidP="006A48A0"/>
    <w:p w14:paraId="3C59F0F5" w14:textId="12B4D8C2" w:rsidR="004F21AC" w:rsidRPr="00E265AC" w:rsidRDefault="004F21AC" w:rsidP="004F21AC">
      <w:pPr>
        <w:spacing w:line="480" w:lineRule="auto"/>
      </w:pPr>
    </w:p>
    <w:p w14:paraId="2E98A472" w14:textId="1D459D6B" w:rsidR="004F21AC" w:rsidRPr="00E265AC" w:rsidRDefault="004F21AC" w:rsidP="004F21AC">
      <w:pPr>
        <w:spacing w:line="480" w:lineRule="auto"/>
        <w:rPr>
          <w:b/>
        </w:rPr>
      </w:pPr>
      <w:r w:rsidRPr="00E265AC">
        <w:rPr>
          <w:b/>
        </w:rPr>
        <w:t>Figure 3: Similarities analysis for tinnitus responses post treatment</w:t>
      </w:r>
    </w:p>
    <w:p w14:paraId="0CB69CFC" w14:textId="77777777" w:rsidR="006A48A0" w:rsidRPr="00E265AC" w:rsidRDefault="006A48A0" w:rsidP="006A48A0"/>
    <w:p w14:paraId="54B118D5" w14:textId="19342F14" w:rsidR="006A48A0" w:rsidRPr="00E265AC" w:rsidRDefault="006A48A0" w:rsidP="006A48A0">
      <w:r w:rsidRPr="00E265AC">
        <w:rPr>
          <w:noProof/>
          <w:lang w:val="sv-SE" w:eastAsia="sv-SE"/>
        </w:rPr>
        <w:drawing>
          <wp:inline distT="0" distB="0" distL="0" distR="0" wp14:anchorId="4E256C3F" wp14:editId="29F02A39">
            <wp:extent cx="5727700" cy="3130550"/>
            <wp:effectExtent l="0" t="0" r="6350" b="0"/>
            <wp:docPr id="202063114" name="Picture 3" descr="A network diagram of a network&#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63114" name="Picture 3" descr="A network diagram of a network&#10;&#10;Description automatically generated with medium confidenc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27700" cy="3130550"/>
                    </a:xfrm>
                    <a:prstGeom prst="rect">
                      <a:avLst/>
                    </a:prstGeom>
                    <a:noFill/>
                    <a:ln>
                      <a:noFill/>
                    </a:ln>
                  </pic:spPr>
                </pic:pic>
              </a:graphicData>
            </a:graphic>
          </wp:inline>
        </w:drawing>
      </w:r>
    </w:p>
    <w:p w14:paraId="08858FFD" w14:textId="3AA66A37" w:rsidR="004F21AC" w:rsidRPr="00E265AC" w:rsidRDefault="004F21AC" w:rsidP="004F21AC">
      <w:pPr>
        <w:spacing w:line="480" w:lineRule="auto"/>
      </w:pPr>
    </w:p>
    <w:p w14:paraId="0AA805EB" w14:textId="77777777" w:rsidR="00914440" w:rsidRPr="00E265AC" w:rsidRDefault="00914440" w:rsidP="00914440">
      <w:pPr>
        <w:rPr>
          <w:bCs/>
        </w:rPr>
      </w:pPr>
      <w:r w:rsidRPr="00E265AC">
        <w:rPr>
          <w:b/>
          <w:sz w:val="28"/>
          <w:szCs w:val="28"/>
        </w:rPr>
        <w:t>Tables</w:t>
      </w:r>
    </w:p>
    <w:p w14:paraId="6AF7CCC7" w14:textId="77777777" w:rsidR="00914440" w:rsidRPr="00E265AC" w:rsidRDefault="00914440" w:rsidP="00914440">
      <w:pPr>
        <w:rPr>
          <w:bCs/>
        </w:rPr>
      </w:pPr>
    </w:p>
    <w:p w14:paraId="3F77E847" w14:textId="77777777" w:rsidR="00914440" w:rsidRPr="00E265AC" w:rsidRDefault="00914440" w:rsidP="00914440">
      <w:pPr>
        <w:rPr>
          <w:b/>
        </w:rPr>
      </w:pPr>
      <w:r w:rsidRPr="00E265AC">
        <w:rPr>
          <w:b/>
        </w:rPr>
        <w:t>Table 1: Demographic details (n=106)</w:t>
      </w:r>
    </w:p>
    <w:p w14:paraId="25D81F9F" w14:textId="77777777" w:rsidR="006A48A0" w:rsidRPr="00E265AC" w:rsidRDefault="006A48A0" w:rsidP="006A48A0">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1677"/>
        <w:gridCol w:w="2837"/>
      </w:tblGrid>
      <w:tr w:rsidR="006A48A0" w:rsidRPr="00E265AC" w14:paraId="301A7A71" w14:textId="77777777" w:rsidTr="006A48A0">
        <w:tc>
          <w:tcPr>
            <w:tcW w:w="4502" w:type="dxa"/>
            <w:tcBorders>
              <w:top w:val="single" w:sz="4" w:space="0" w:color="auto"/>
              <w:left w:val="single" w:sz="4" w:space="0" w:color="auto"/>
              <w:bottom w:val="single" w:sz="4" w:space="0" w:color="auto"/>
              <w:right w:val="single" w:sz="4" w:space="0" w:color="auto"/>
            </w:tcBorders>
            <w:hideMark/>
          </w:tcPr>
          <w:p w14:paraId="6F41CB95" w14:textId="77777777" w:rsidR="006A48A0" w:rsidRPr="00E265AC" w:rsidRDefault="006A48A0">
            <w:pPr>
              <w:spacing w:line="256" w:lineRule="auto"/>
              <w:rPr>
                <w:b/>
              </w:rPr>
            </w:pPr>
            <w:r w:rsidRPr="00E265AC">
              <w:rPr>
                <w:b/>
              </w:rPr>
              <w:t>Variable</w:t>
            </w:r>
          </w:p>
        </w:tc>
        <w:tc>
          <w:tcPr>
            <w:tcW w:w="1677" w:type="dxa"/>
            <w:tcBorders>
              <w:top w:val="single" w:sz="4" w:space="0" w:color="auto"/>
              <w:left w:val="single" w:sz="4" w:space="0" w:color="auto"/>
              <w:bottom w:val="single" w:sz="4" w:space="0" w:color="auto"/>
              <w:right w:val="single" w:sz="4" w:space="0" w:color="auto"/>
            </w:tcBorders>
            <w:hideMark/>
          </w:tcPr>
          <w:p w14:paraId="4A2C1581" w14:textId="77777777" w:rsidR="006A48A0" w:rsidRPr="00E265AC" w:rsidRDefault="006A48A0">
            <w:pPr>
              <w:spacing w:line="256" w:lineRule="auto"/>
              <w:rPr>
                <w:b/>
              </w:rPr>
            </w:pPr>
            <w:r w:rsidRPr="00E265AC">
              <w:rPr>
                <w:b/>
              </w:rPr>
              <w:t>N (%)</w:t>
            </w:r>
          </w:p>
        </w:tc>
        <w:tc>
          <w:tcPr>
            <w:tcW w:w="2837" w:type="dxa"/>
            <w:tcBorders>
              <w:top w:val="single" w:sz="4" w:space="0" w:color="auto"/>
              <w:left w:val="single" w:sz="4" w:space="0" w:color="auto"/>
              <w:bottom w:val="single" w:sz="4" w:space="0" w:color="auto"/>
              <w:right w:val="single" w:sz="4" w:space="0" w:color="auto"/>
            </w:tcBorders>
            <w:hideMark/>
          </w:tcPr>
          <w:p w14:paraId="1841D1CE" w14:textId="77777777" w:rsidR="006A48A0" w:rsidRPr="00E265AC" w:rsidRDefault="006A48A0">
            <w:pPr>
              <w:spacing w:line="256" w:lineRule="auto"/>
              <w:rPr>
                <w:b/>
              </w:rPr>
            </w:pPr>
            <w:r w:rsidRPr="00E265AC">
              <w:rPr>
                <w:b/>
              </w:rPr>
              <w:t>Mean (SD); Range</w:t>
            </w:r>
          </w:p>
        </w:tc>
      </w:tr>
      <w:tr w:rsidR="006A48A0" w:rsidRPr="00E265AC" w14:paraId="7258D707" w14:textId="77777777" w:rsidTr="006A48A0">
        <w:tc>
          <w:tcPr>
            <w:tcW w:w="4502" w:type="dxa"/>
            <w:tcBorders>
              <w:top w:val="single" w:sz="4" w:space="0" w:color="auto"/>
              <w:left w:val="single" w:sz="4" w:space="0" w:color="auto"/>
              <w:bottom w:val="single" w:sz="4" w:space="0" w:color="auto"/>
              <w:right w:val="single" w:sz="4" w:space="0" w:color="auto"/>
            </w:tcBorders>
            <w:hideMark/>
          </w:tcPr>
          <w:p w14:paraId="02D81A25" w14:textId="77777777" w:rsidR="006A48A0" w:rsidRPr="00E265AC" w:rsidRDefault="006A48A0">
            <w:pPr>
              <w:spacing w:line="256" w:lineRule="auto"/>
              <w:rPr>
                <w:bCs/>
              </w:rPr>
            </w:pPr>
            <w:r w:rsidRPr="00E265AC">
              <w:rPr>
                <w:bCs/>
              </w:rPr>
              <w:t>Age (in years)</w:t>
            </w:r>
          </w:p>
        </w:tc>
        <w:tc>
          <w:tcPr>
            <w:tcW w:w="1677" w:type="dxa"/>
            <w:tcBorders>
              <w:top w:val="single" w:sz="4" w:space="0" w:color="auto"/>
              <w:left w:val="single" w:sz="4" w:space="0" w:color="auto"/>
              <w:bottom w:val="single" w:sz="4" w:space="0" w:color="auto"/>
              <w:right w:val="single" w:sz="4" w:space="0" w:color="auto"/>
            </w:tcBorders>
          </w:tcPr>
          <w:p w14:paraId="376FAFCB" w14:textId="77777777" w:rsidR="006A48A0" w:rsidRPr="00E265AC" w:rsidRDefault="006A48A0">
            <w:pPr>
              <w:spacing w:line="256" w:lineRule="auto"/>
              <w:rPr>
                <w:bCs/>
              </w:rPr>
            </w:pPr>
          </w:p>
        </w:tc>
        <w:tc>
          <w:tcPr>
            <w:tcW w:w="2837" w:type="dxa"/>
            <w:tcBorders>
              <w:top w:val="single" w:sz="4" w:space="0" w:color="auto"/>
              <w:left w:val="single" w:sz="4" w:space="0" w:color="auto"/>
              <w:bottom w:val="single" w:sz="4" w:space="0" w:color="auto"/>
              <w:right w:val="single" w:sz="4" w:space="0" w:color="auto"/>
            </w:tcBorders>
            <w:hideMark/>
          </w:tcPr>
          <w:p w14:paraId="52B7DAFC" w14:textId="77777777" w:rsidR="006A48A0" w:rsidRPr="00E265AC" w:rsidRDefault="006A48A0">
            <w:pPr>
              <w:spacing w:line="256" w:lineRule="auto"/>
              <w:rPr>
                <w:bCs/>
              </w:rPr>
            </w:pPr>
            <w:r w:rsidRPr="00E265AC">
              <w:rPr>
                <w:bCs/>
              </w:rPr>
              <w:t>57.7 (11.9); 23 to 84</w:t>
            </w:r>
          </w:p>
        </w:tc>
      </w:tr>
      <w:tr w:rsidR="006A48A0" w:rsidRPr="00E265AC" w14:paraId="403C4329" w14:textId="77777777" w:rsidTr="006A48A0">
        <w:tc>
          <w:tcPr>
            <w:tcW w:w="4502" w:type="dxa"/>
            <w:tcBorders>
              <w:top w:val="single" w:sz="4" w:space="0" w:color="auto"/>
              <w:left w:val="single" w:sz="4" w:space="0" w:color="auto"/>
              <w:bottom w:val="single" w:sz="4" w:space="0" w:color="auto"/>
              <w:right w:val="single" w:sz="4" w:space="0" w:color="auto"/>
            </w:tcBorders>
            <w:hideMark/>
          </w:tcPr>
          <w:p w14:paraId="553E0D72" w14:textId="77777777" w:rsidR="006A48A0" w:rsidRPr="00E265AC" w:rsidRDefault="006A48A0">
            <w:pPr>
              <w:spacing w:line="256" w:lineRule="auto"/>
              <w:rPr>
                <w:bCs/>
              </w:rPr>
            </w:pPr>
            <w:r w:rsidRPr="00E265AC">
              <w:rPr>
                <w:bCs/>
              </w:rPr>
              <w:t>Tinnitus duration (in years)</w:t>
            </w:r>
          </w:p>
        </w:tc>
        <w:tc>
          <w:tcPr>
            <w:tcW w:w="1677" w:type="dxa"/>
            <w:tcBorders>
              <w:top w:val="single" w:sz="4" w:space="0" w:color="auto"/>
              <w:left w:val="single" w:sz="4" w:space="0" w:color="auto"/>
              <w:bottom w:val="single" w:sz="4" w:space="0" w:color="auto"/>
              <w:right w:val="single" w:sz="4" w:space="0" w:color="auto"/>
            </w:tcBorders>
          </w:tcPr>
          <w:p w14:paraId="4896A974" w14:textId="77777777" w:rsidR="006A48A0" w:rsidRPr="00E265AC" w:rsidRDefault="006A48A0">
            <w:pPr>
              <w:spacing w:line="256" w:lineRule="auto"/>
              <w:rPr>
                <w:bCs/>
              </w:rPr>
            </w:pPr>
          </w:p>
        </w:tc>
        <w:tc>
          <w:tcPr>
            <w:tcW w:w="2837" w:type="dxa"/>
            <w:tcBorders>
              <w:top w:val="single" w:sz="4" w:space="0" w:color="auto"/>
              <w:left w:val="single" w:sz="4" w:space="0" w:color="auto"/>
              <w:bottom w:val="single" w:sz="4" w:space="0" w:color="auto"/>
              <w:right w:val="single" w:sz="4" w:space="0" w:color="auto"/>
            </w:tcBorders>
            <w:hideMark/>
          </w:tcPr>
          <w:p w14:paraId="56EF9537" w14:textId="77777777" w:rsidR="006A48A0" w:rsidRPr="00E265AC" w:rsidRDefault="006A48A0">
            <w:pPr>
              <w:spacing w:line="256" w:lineRule="auto"/>
              <w:rPr>
                <w:bCs/>
              </w:rPr>
            </w:pPr>
            <w:r w:rsidRPr="00E265AC">
              <w:rPr>
                <w:bCs/>
              </w:rPr>
              <w:t>13.3 (16.0); 0.08 to 70</w:t>
            </w:r>
          </w:p>
        </w:tc>
      </w:tr>
      <w:tr w:rsidR="006A48A0" w:rsidRPr="00E265AC" w14:paraId="74F19098" w14:textId="77777777" w:rsidTr="006A48A0">
        <w:tc>
          <w:tcPr>
            <w:tcW w:w="4502" w:type="dxa"/>
            <w:tcBorders>
              <w:top w:val="single" w:sz="4" w:space="0" w:color="auto"/>
              <w:left w:val="single" w:sz="4" w:space="0" w:color="auto"/>
              <w:bottom w:val="single" w:sz="4" w:space="0" w:color="auto"/>
              <w:right w:val="single" w:sz="4" w:space="0" w:color="auto"/>
            </w:tcBorders>
            <w:hideMark/>
          </w:tcPr>
          <w:p w14:paraId="62E9501D" w14:textId="77777777" w:rsidR="006A48A0" w:rsidRPr="00E265AC" w:rsidRDefault="006A48A0">
            <w:pPr>
              <w:spacing w:line="256" w:lineRule="auto"/>
              <w:rPr>
                <w:bCs/>
              </w:rPr>
            </w:pPr>
            <w:r w:rsidRPr="00E265AC">
              <w:rPr>
                <w:bCs/>
              </w:rPr>
              <w:t>Gender</w:t>
            </w:r>
          </w:p>
          <w:p w14:paraId="2BB348AB" w14:textId="77777777" w:rsidR="006A48A0" w:rsidRPr="00E265AC" w:rsidRDefault="006A48A0" w:rsidP="006A48A0">
            <w:pPr>
              <w:numPr>
                <w:ilvl w:val="0"/>
                <w:numId w:val="10"/>
              </w:numPr>
              <w:spacing w:line="256" w:lineRule="auto"/>
              <w:rPr>
                <w:bCs/>
              </w:rPr>
            </w:pPr>
            <w:r w:rsidRPr="00E265AC">
              <w:rPr>
                <w:bCs/>
              </w:rPr>
              <w:t>Female</w:t>
            </w:r>
          </w:p>
          <w:p w14:paraId="17F7A3B0" w14:textId="77777777" w:rsidR="006A48A0" w:rsidRPr="00E265AC" w:rsidRDefault="006A48A0" w:rsidP="006A48A0">
            <w:pPr>
              <w:numPr>
                <w:ilvl w:val="0"/>
                <w:numId w:val="10"/>
              </w:numPr>
              <w:spacing w:line="256" w:lineRule="auto"/>
              <w:rPr>
                <w:bCs/>
              </w:rPr>
            </w:pPr>
            <w:r w:rsidRPr="00E265AC">
              <w:rPr>
                <w:bCs/>
              </w:rPr>
              <w:t>Male</w:t>
            </w:r>
          </w:p>
        </w:tc>
        <w:tc>
          <w:tcPr>
            <w:tcW w:w="1677" w:type="dxa"/>
            <w:tcBorders>
              <w:top w:val="single" w:sz="4" w:space="0" w:color="auto"/>
              <w:left w:val="single" w:sz="4" w:space="0" w:color="auto"/>
              <w:bottom w:val="single" w:sz="4" w:space="0" w:color="auto"/>
              <w:right w:val="single" w:sz="4" w:space="0" w:color="auto"/>
            </w:tcBorders>
          </w:tcPr>
          <w:p w14:paraId="124F4911" w14:textId="77777777" w:rsidR="006A48A0" w:rsidRPr="00E265AC" w:rsidRDefault="006A48A0">
            <w:pPr>
              <w:spacing w:line="256" w:lineRule="auto"/>
              <w:rPr>
                <w:bCs/>
              </w:rPr>
            </w:pPr>
          </w:p>
          <w:p w14:paraId="06B2D883" w14:textId="77777777" w:rsidR="006A48A0" w:rsidRPr="00E265AC" w:rsidRDefault="006A48A0">
            <w:pPr>
              <w:spacing w:line="256" w:lineRule="auto"/>
              <w:rPr>
                <w:bCs/>
              </w:rPr>
            </w:pPr>
            <w:r w:rsidRPr="00E265AC">
              <w:rPr>
                <w:bCs/>
              </w:rPr>
              <w:t>64 (60.4%)</w:t>
            </w:r>
          </w:p>
          <w:p w14:paraId="1628CA12" w14:textId="77777777" w:rsidR="006A48A0" w:rsidRPr="00E265AC" w:rsidRDefault="006A48A0">
            <w:pPr>
              <w:spacing w:line="256" w:lineRule="auto"/>
              <w:rPr>
                <w:bCs/>
              </w:rPr>
            </w:pPr>
            <w:r w:rsidRPr="00E265AC">
              <w:rPr>
                <w:bCs/>
              </w:rPr>
              <w:t>42 (39.6%)</w:t>
            </w:r>
          </w:p>
        </w:tc>
        <w:tc>
          <w:tcPr>
            <w:tcW w:w="2837" w:type="dxa"/>
            <w:tcBorders>
              <w:top w:val="single" w:sz="4" w:space="0" w:color="auto"/>
              <w:left w:val="single" w:sz="4" w:space="0" w:color="auto"/>
              <w:bottom w:val="single" w:sz="4" w:space="0" w:color="auto"/>
              <w:right w:val="single" w:sz="4" w:space="0" w:color="auto"/>
            </w:tcBorders>
          </w:tcPr>
          <w:p w14:paraId="35DCDC06" w14:textId="77777777" w:rsidR="006A48A0" w:rsidRPr="00E265AC" w:rsidRDefault="006A48A0">
            <w:pPr>
              <w:spacing w:line="256" w:lineRule="auto"/>
              <w:rPr>
                <w:bCs/>
              </w:rPr>
            </w:pPr>
          </w:p>
        </w:tc>
      </w:tr>
      <w:tr w:rsidR="006A48A0" w:rsidRPr="00E265AC" w14:paraId="2FAA0490" w14:textId="77777777" w:rsidTr="006A48A0">
        <w:tc>
          <w:tcPr>
            <w:tcW w:w="4502" w:type="dxa"/>
            <w:tcBorders>
              <w:top w:val="single" w:sz="4" w:space="0" w:color="auto"/>
              <w:left w:val="single" w:sz="4" w:space="0" w:color="auto"/>
              <w:bottom w:val="single" w:sz="4" w:space="0" w:color="auto"/>
              <w:right w:val="single" w:sz="4" w:space="0" w:color="auto"/>
            </w:tcBorders>
            <w:hideMark/>
          </w:tcPr>
          <w:p w14:paraId="7244FCD2" w14:textId="77777777" w:rsidR="006A48A0" w:rsidRPr="00E265AC" w:rsidRDefault="006A48A0">
            <w:pPr>
              <w:spacing w:line="256" w:lineRule="auto"/>
              <w:rPr>
                <w:bCs/>
              </w:rPr>
            </w:pPr>
            <w:r w:rsidRPr="00E265AC">
              <w:rPr>
                <w:bCs/>
              </w:rPr>
              <w:t>Education</w:t>
            </w:r>
          </w:p>
          <w:p w14:paraId="5BA3E9D1" w14:textId="77777777" w:rsidR="006A48A0" w:rsidRPr="00E265AC" w:rsidRDefault="006A48A0" w:rsidP="006A48A0">
            <w:pPr>
              <w:numPr>
                <w:ilvl w:val="0"/>
                <w:numId w:val="11"/>
              </w:numPr>
              <w:spacing w:line="256" w:lineRule="auto"/>
              <w:rPr>
                <w:bCs/>
              </w:rPr>
            </w:pPr>
            <w:r w:rsidRPr="00E265AC">
              <w:rPr>
                <w:bCs/>
              </w:rPr>
              <w:t>High school</w:t>
            </w:r>
          </w:p>
          <w:p w14:paraId="3A4DD590" w14:textId="77777777" w:rsidR="006A48A0" w:rsidRPr="00E265AC" w:rsidRDefault="006A48A0" w:rsidP="006A48A0">
            <w:pPr>
              <w:numPr>
                <w:ilvl w:val="0"/>
                <w:numId w:val="11"/>
              </w:numPr>
              <w:spacing w:line="256" w:lineRule="auto"/>
              <w:rPr>
                <w:bCs/>
              </w:rPr>
            </w:pPr>
            <w:r w:rsidRPr="00E265AC">
              <w:rPr>
                <w:bCs/>
              </w:rPr>
              <w:t>Some college but not a degree</w:t>
            </w:r>
          </w:p>
          <w:p w14:paraId="5706B899" w14:textId="77777777" w:rsidR="006A48A0" w:rsidRPr="00E265AC" w:rsidRDefault="006A48A0" w:rsidP="006A48A0">
            <w:pPr>
              <w:numPr>
                <w:ilvl w:val="0"/>
                <w:numId w:val="11"/>
              </w:numPr>
              <w:spacing w:line="256" w:lineRule="auto"/>
              <w:rPr>
                <w:bCs/>
              </w:rPr>
            </w:pPr>
            <w:r w:rsidRPr="00E265AC">
              <w:rPr>
                <w:bCs/>
              </w:rPr>
              <w:t>A university degree</w:t>
            </w:r>
          </w:p>
        </w:tc>
        <w:tc>
          <w:tcPr>
            <w:tcW w:w="1677" w:type="dxa"/>
            <w:tcBorders>
              <w:top w:val="single" w:sz="4" w:space="0" w:color="auto"/>
              <w:left w:val="single" w:sz="4" w:space="0" w:color="auto"/>
              <w:bottom w:val="single" w:sz="4" w:space="0" w:color="auto"/>
              <w:right w:val="single" w:sz="4" w:space="0" w:color="auto"/>
            </w:tcBorders>
          </w:tcPr>
          <w:p w14:paraId="37E4A3C5" w14:textId="77777777" w:rsidR="006A48A0" w:rsidRPr="00E265AC" w:rsidRDefault="006A48A0">
            <w:pPr>
              <w:spacing w:line="256" w:lineRule="auto"/>
              <w:rPr>
                <w:bCs/>
              </w:rPr>
            </w:pPr>
          </w:p>
          <w:p w14:paraId="596B7C67" w14:textId="77777777" w:rsidR="006A48A0" w:rsidRPr="00E265AC" w:rsidRDefault="006A48A0">
            <w:pPr>
              <w:spacing w:line="256" w:lineRule="auto"/>
              <w:rPr>
                <w:bCs/>
              </w:rPr>
            </w:pPr>
            <w:r w:rsidRPr="00E265AC">
              <w:rPr>
                <w:bCs/>
              </w:rPr>
              <w:t>10 (9.4%)</w:t>
            </w:r>
          </w:p>
          <w:p w14:paraId="0B907255" w14:textId="77777777" w:rsidR="006A48A0" w:rsidRPr="00E265AC" w:rsidRDefault="006A48A0">
            <w:pPr>
              <w:spacing w:line="256" w:lineRule="auto"/>
              <w:rPr>
                <w:bCs/>
              </w:rPr>
            </w:pPr>
            <w:r w:rsidRPr="00E265AC">
              <w:rPr>
                <w:bCs/>
              </w:rPr>
              <w:t>27 (25.5%)</w:t>
            </w:r>
          </w:p>
          <w:p w14:paraId="3F7EE478" w14:textId="77777777" w:rsidR="006A48A0" w:rsidRPr="00E265AC" w:rsidRDefault="006A48A0">
            <w:pPr>
              <w:spacing w:line="256" w:lineRule="auto"/>
              <w:rPr>
                <w:bCs/>
              </w:rPr>
            </w:pPr>
            <w:r w:rsidRPr="00E265AC">
              <w:rPr>
                <w:bCs/>
              </w:rPr>
              <w:t>69 (65.1%)</w:t>
            </w:r>
          </w:p>
        </w:tc>
        <w:tc>
          <w:tcPr>
            <w:tcW w:w="2837" w:type="dxa"/>
            <w:tcBorders>
              <w:top w:val="single" w:sz="4" w:space="0" w:color="auto"/>
              <w:left w:val="single" w:sz="4" w:space="0" w:color="auto"/>
              <w:bottom w:val="single" w:sz="4" w:space="0" w:color="auto"/>
              <w:right w:val="single" w:sz="4" w:space="0" w:color="auto"/>
            </w:tcBorders>
          </w:tcPr>
          <w:p w14:paraId="020FB547" w14:textId="77777777" w:rsidR="006A48A0" w:rsidRPr="00E265AC" w:rsidRDefault="006A48A0">
            <w:pPr>
              <w:spacing w:line="256" w:lineRule="auto"/>
              <w:rPr>
                <w:bCs/>
              </w:rPr>
            </w:pPr>
          </w:p>
        </w:tc>
      </w:tr>
      <w:tr w:rsidR="006A48A0" w:rsidRPr="00E265AC" w14:paraId="04F1511D" w14:textId="77777777" w:rsidTr="006A48A0">
        <w:tc>
          <w:tcPr>
            <w:tcW w:w="4502" w:type="dxa"/>
            <w:tcBorders>
              <w:top w:val="single" w:sz="4" w:space="0" w:color="auto"/>
              <w:left w:val="single" w:sz="4" w:space="0" w:color="auto"/>
              <w:bottom w:val="single" w:sz="4" w:space="0" w:color="auto"/>
              <w:right w:val="single" w:sz="4" w:space="0" w:color="auto"/>
            </w:tcBorders>
            <w:hideMark/>
          </w:tcPr>
          <w:p w14:paraId="287DE2C1" w14:textId="77777777" w:rsidR="006A48A0" w:rsidRPr="00E265AC" w:rsidRDefault="006A48A0">
            <w:pPr>
              <w:spacing w:line="256" w:lineRule="auto"/>
              <w:rPr>
                <w:bCs/>
              </w:rPr>
            </w:pPr>
            <w:r w:rsidRPr="00E265AC">
              <w:rPr>
                <w:bCs/>
              </w:rPr>
              <w:t>Work status</w:t>
            </w:r>
          </w:p>
          <w:p w14:paraId="0070D9D0" w14:textId="77777777" w:rsidR="006A48A0" w:rsidRPr="00E265AC" w:rsidRDefault="006A48A0" w:rsidP="006A48A0">
            <w:pPr>
              <w:numPr>
                <w:ilvl w:val="0"/>
                <w:numId w:val="12"/>
              </w:numPr>
              <w:spacing w:line="256" w:lineRule="auto"/>
              <w:rPr>
                <w:bCs/>
              </w:rPr>
            </w:pPr>
            <w:r w:rsidRPr="00E265AC">
              <w:rPr>
                <w:bCs/>
              </w:rPr>
              <w:t>Entry level or unskilled</w:t>
            </w:r>
          </w:p>
          <w:p w14:paraId="0460AFEC" w14:textId="77777777" w:rsidR="006A48A0" w:rsidRPr="00E265AC" w:rsidRDefault="006A48A0" w:rsidP="006A48A0">
            <w:pPr>
              <w:numPr>
                <w:ilvl w:val="0"/>
                <w:numId w:val="12"/>
              </w:numPr>
              <w:spacing w:line="256" w:lineRule="auto"/>
              <w:rPr>
                <w:bCs/>
              </w:rPr>
            </w:pPr>
            <w:r w:rsidRPr="00E265AC">
              <w:rPr>
                <w:bCs/>
              </w:rPr>
              <w:t>Skilled or professional work</w:t>
            </w:r>
          </w:p>
          <w:p w14:paraId="0C499C6C" w14:textId="77777777" w:rsidR="006A48A0" w:rsidRPr="00E265AC" w:rsidRDefault="006A48A0" w:rsidP="006A48A0">
            <w:pPr>
              <w:numPr>
                <w:ilvl w:val="0"/>
                <w:numId w:val="12"/>
              </w:numPr>
              <w:spacing w:line="256" w:lineRule="auto"/>
              <w:rPr>
                <w:bCs/>
              </w:rPr>
            </w:pPr>
            <w:r w:rsidRPr="00E265AC">
              <w:rPr>
                <w:bCs/>
              </w:rPr>
              <w:t>Retired</w:t>
            </w:r>
          </w:p>
          <w:p w14:paraId="7F02963B" w14:textId="77777777" w:rsidR="006A48A0" w:rsidRPr="00E265AC" w:rsidRDefault="006A48A0" w:rsidP="006A48A0">
            <w:pPr>
              <w:numPr>
                <w:ilvl w:val="0"/>
                <w:numId w:val="12"/>
              </w:numPr>
              <w:spacing w:line="256" w:lineRule="auto"/>
              <w:rPr>
                <w:bCs/>
              </w:rPr>
            </w:pPr>
            <w:r w:rsidRPr="00E265AC">
              <w:rPr>
                <w:bCs/>
              </w:rPr>
              <w:t>Not working</w:t>
            </w:r>
          </w:p>
        </w:tc>
        <w:tc>
          <w:tcPr>
            <w:tcW w:w="1677" w:type="dxa"/>
            <w:tcBorders>
              <w:top w:val="single" w:sz="4" w:space="0" w:color="auto"/>
              <w:left w:val="single" w:sz="4" w:space="0" w:color="auto"/>
              <w:bottom w:val="single" w:sz="4" w:space="0" w:color="auto"/>
              <w:right w:val="single" w:sz="4" w:space="0" w:color="auto"/>
            </w:tcBorders>
          </w:tcPr>
          <w:p w14:paraId="214A62CF" w14:textId="77777777" w:rsidR="006A48A0" w:rsidRPr="00E265AC" w:rsidRDefault="006A48A0">
            <w:pPr>
              <w:spacing w:line="256" w:lineRule="auto"/>
              <w:rPr>
                <w:bCs/>
              </w:rPr>
            </w:pPr>
          </w:p>
          <w:p w14:paraId="3DBD512D" w14:textId="77777777" w:rsidR="006A48A0" w:rsidRPr="00E265AC" w:rsidRDefault="006A48A0">
            <w:pPr>
              <w:spacing w:line="256" w:lineRule="auto"/>
              <w:rPr>
                <w:bCs/>
              </w:rPr>
            </w:pPr>
            <w:r w:rsidRPr="00E265AC">
              <w:rPr>
                <w:bCs/>
              </w:rPr>
              <w:t>2 (1.9%)</w:t>
            </w:r>
          </w:p>
          <w:p w14:paraId="22E00B1C" w14:textId="77777777" w:rsidR="006A48A0" w:rsidRPr="00E265AC" w:rsidRDefault="006A48A0">
            <w:pPr>
              <w:spacing w:line="256" w:lineRule="auto"/>
              <w:rPr>
                <w:bCs/>
              </w:rPr>
            </w:pPr>
            <w:r w:rsidRPr="00E265AC">
              <w:rPr>
                <w:bCs/>
              </w:rPr>
              <w:t>63 (59.4%)</w:t>
            </w:r>
          </w:p>
          <w:p w14:paraId="0816E9E5" w14:textId="77777777" w:rsidR="006A48A0" w:rsidRPr="00E265AC" w:rsidRDefault="006A48A0">
            <w:pPr>
              <w:spacing w:line="256" w:lineRule="auto"/>
              <w:rPr>
                <w:bCs/>
              </w:rPr>
            </w:pPr>
            <w:r w:rsidRPr="00E265AC">
              <w:rPr>
                <w:bCs/>
              </w:rPr>
              <w:t>36 (34%)</w:t>
            </w:r>
          </w:p>
          <w:p w14:paraId="7217BCEC" w14:textId="77777777" w:rsidR="006A48A0" w:rsidRPr="00E265AC" w:rsidRDefault="006A48A0">
            <w:pPr>
              <w:spacing w:line="256" w:lineRule="auto"/>
              <w:rPr>
                <w:bCs/>
              </w:rPr>
            </w:pPr>
            <w:r w:rsidRPr="00E265AC">
              <w:rPr>
                <w:bCs/>
              </w:rPr>
              <w:t>5 (4.7%)</w:t>
            </w:r>
          </w:p>
        </w:tc>
        <w:tc>
          <w:tcPr>
            <w:tcW w:w="2837" w:type="dxa"/>
            <w:tcBorders>
              <w:top w:val="single" w:sz="4" w:space="0" w:color="auto"/>
              <w:left w:val="single" w:sz="4" w:space="0" w:color="auto"/>
              <w:bottom w:val="single" w:sz="4" w:space="0" w:color="auto"/>
              <w:right w:val="single" w:sz="4" w:space="0" w:color="auto"/>
            </w:tcBorders>
          </w:tcPr>
          <w:p w14:paraId="13B7958F" w14:textId="77777777" w:rsidR="006A48A0" w:rsidRPr="00E265AC" w:rsidRDefault="006A48A0">
            <w:pPr>
              <w:spacing w:line="256" w:lineRule="auto"/>
              <w:rPr>
                <w:bCs/>
              </w:rPr>
            </w:pPr>
          </w:p>
        </w:tc>
      </w:tr>
    </w:tbl>
    <w:p w14:paraId="38C187EC" w14:textId="77777777" w:rsidR="006A48A0" w:rsidRPr="00E265AC" w:rsidRDefault="006A48A0" w:rsidP="006A48A0">
      <w:pPr>
        <w:rPr>
          <w:b/>
          <w:bCs/>
        </w:rPr>
      </w:pPr>
    </w:p>
    <w:p w14:paraId="7B906F1A" w14:textId="77777777" w:rsidR="00914440" w:rsidRPr="00E265AC" w:rsidRDefault="00914440" w:rsidP="004F21AC">
      <w:pPr>
        <w:spacing w:line="480" w:lineRule="auto"/>
      </w:pPr>
    </w:p>
    <w:p w14:paraId="7F7483E2" w14:textId="7A4B8026" w:rsidR="00914440" w:rsidRPr="00E265AC" w:rsidRDefault="00914440" w:rsidP="004F21AC">
      <w:pPr>
        <w:spacing w:line="480" w:lineRule="auto"/>
        <w:rPr>
          <w:b/>
          <w:bCs/>
        </w:rPr>
      </w:pPr>
      <w:r w:rsidRPr="00E265AC">
        <w:rPr>
          <w:b/>
          <w:bCs/>
        </w:rPr>
        <w:lastRenderedPageBreak/>
        <w:t>Table 2: Demographic details of the outcome measures pre and post treatment. Lower scores indicate improve for all outcomes except for quality of life, where higher scores indicate improvements.</w:t>
      </w:r>
    </w:p>
    <w:p w14:paraId="263C75E9" w14:textId="77777777" w:rsidR="006A48A0" w:rsidRPr="00E265AC" w:rsidRDefault="006A48A0" w:rsidP="006A48A0">
      <w:pPr>
        <w:rPr>
          <w:b/>
          <w:bCs/>
        </w:rPr>
      </w:pPr>
    </w:p>
    <w:p w14:paraId="788431A0" w14:textId="77777777" w:rsidR="006A48A0" w:rsidRPr="00E265AC" w:rsidRDefault="006A48A0" w:rsidP="006A48A0">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5"/>
        <w:gridCol w:w="2183"/>
        <w:gridCol w:w="2358"/>
      </w:tblGrid>
      <w:tr w:rsidR="006A48A0" w:rsidRPr="00E265AC" w14:paraId="2F357C3A" w14:textId="77777777" w:rsidTr="006A48A0">
        <w:tc>
          <w:tcPr>
            <w:tcW w:w="4475" w:type="dxa"/>
            <w:tcBorders>
              <w:top w:val="single" w:sz="4" w:space="0" w:color="auto"/>
              <w:left w:val="single" w:sz="4" w:space="0" w:color="auto"/>
              <w:bottom w:val="single" w:sz="4" w:space="0" w:color="auto"/>
              <w:right w:val="single" w:sz="4" w:space="0" w:color="auto"/>
            </w:tcBorders>
            <w:hideMark/>
          </w:tcPr>
          <w:p w14:paraId="0270B9FF" w14:textId="77777777" w:rsidR="006A48A0" w:rsidRPr="00E265AC" w:rsidRDefault="006A48A0">
            <w:pPr>
              <w:spacing w:line="256" w:lineRule="auto"/>
              <w:rPr>
                <w:b/>
              </w:rPr>
            </w:pPr>
            <w:r w:rsidRPr="00E265AC">
              <w:rPr>
                <w:b/>
              </w:rPr>
              <w:t xml:space="preserve">Clinical variables </w:t>
            </w:r>
          </w:p>
        </w:tc>
        <w:tc>
          <w:tcPr>
            <w:tcW w:w="2183" w:type="dxa"/>
            <w:tcBorders>
              <w:top w:val="single" w:sz="4" w:space="0" w:color="auto"/>
              <w:left w:val="single" w:sz="4" w:space="0" w:color="auto"/>
              <w:bottom w:val="single" w:sz="4" w:space="0" w:color="auto"/>
              <w:right w:val="single" w:sz="4" w:space="0" w:color="auto"/>
            </w:tcBorders>
            <w:hideMark/>
          </w:tcPr>
          <w:p w14:paraId="399C0A48" w14:textId="77777777" w:rsidR="006A48A0" w:rsidRPr="00E265AC" w:rsidRDefault="006A48A0">
            <w:pPr>
              <w:spacing w:line="256" w:lineRule="auto"/>
              <w:rPr>
                <w:b/>
              </w:rPr>
            </w:pPr>
            <w:r w:rsidRPr="00E265AC">
              <w:rPr>
                <w:b/>
              </w:rPr>
              <w:t>Pre-intervention</w:t>
            </w:r>
          </w:p>
          <w:p w14:paraId="3243512A" w14:textId="77777777" w:rsidR="006A48A0" w:rsidRPr="00E265AC" w:rsidRDefault="006A48A0">
            <w:pPr>
              <w:spacing w:line="256" w:lineRule="auto"/>
              <w:rPr>
                <w:b/>
              </w:rPr>
            </w:pPr>
            <w:r w:rsidRPr="00E265AC">
              <w:rPr>
                <w:b/>
              </w:rPr>
              <w:t>Mean (SD), Range</w:t>
            </w:r>
          </w:p>
        </w:tc>
        <w:tc>
          <w:tcPr>
            <w:tcW w:w="2358" w:type="dxa"/>
            <w:tcBorders>
              <w:top w:val="single" w:sz="4" w:space="0" w:color="auto"/>
              <w:left w:val="single" w:sz="4" w:space="0" w:color="auto"/>
              <w:bottom w:val="single" w:sz="4" w:space="0" w:color="auto"/>
              <w:right w:val="single" w:sz="4" w:space="0" w:color="auto"/>
            </w:tcBorders>
            <w:hideMark/>
          </w:tcPr>
          <w:p w14:paraId="5B8D7D0A" w14:textId="77777777" w:rsidR="006A48A0" w:rsidRPr="00E265AC" w:rsidRDefault="006A48A0">
            <w:pPr>
              <w:spacing w:line="256" w:lineRule="auto"/>
              <w:rPr>
                <w:b/>
              </w:rPr>
            </w:pPr>
            <w:r w:rsidRPr="00E265AC">
              <w:rPr>
                <w:b/>
              </w:rPr>
              <w:t>Post-intervention</w:t>
            </w:r>
          </w:p>
          <w:p w14:paraId="5E02DF18" w14:textId="77777777" w:rsidR="006A48A0" w:rsidRPr="00E265AC" w:rsidRDefault="006A48A0">
            <w:pPr>
              <w:spacing w:line="256" w:lineRule="auto"/>
              <w:rPr>
                <w:b/>
              </w:rPr>
            </w:pPr>
            <w:r w:rsidRPr="00E265AC">
              <w:rPr>
                <w:b/>
              </w:rPr>
              <w:t>Mean (SD), Range</w:t>
            </w:r>
          </w:p>
        </w:tc>
      </w:tr>
      <w:tr w:rsidR="006A48A0" w:rsidRPr="00E265AC" w14:paraId="5C90B148" w14:textId="77777777" w:rsidTr="006A48A0">
        <w:tc>
          <w:tcPr>
            <w:tcW w:w="4475" w:type="dxa"/>
            <w:tcBorders>
              <w:top w:val="single" w:sz="4" w:space="0" w:color="auto"/>
              <w:left w:val="single" w:sz="4" w:space="0" w:color="auto"/>
              <w:bottom w:val="single" w:sz="4" w:space="0" w:color="auto"/>
              <w:right w:val="single" w:sz="4" w:space="0" w:color="auto"/>
            </w:tcBorders>
            <w:hideMark/>
          </w:tcPr>
          <w:p w14:paraId="31EB951D" w14:textId="77777777" w:rsidR="006A48A0" w:rsidRPr="00E265AC" w:rsidRDefault="006A48A0">
            <w:pPr>
              <w:spacing w:line="256" w:lineRule="auto"/>
              <w:rPr>
                <w:bCs/>
              </w:rPr>
            </w:pPr>
            <w:r w:rsidRPr="00E265AC">
              <w:rPr>
                <w:bCs/>
              </w:rPr>
              <w:t>Tinnitus severity (Tinnitus Functional Index; TFI)</w:t>
            </w:r>
          </w:p>
        </w:tc>
        <w:tc>
          <w:tcPr>
            <w:tcW w:w="2183" w:type="dxa"/>
            <w:tcBorders>
              <w:top w:val="single" w:sz="4" w:space="0" w:color="auto"/>
              <w:left w:val="single" w:sz="4" w:space="0" w:color="auto"/>
              <w:bottom w:val="single" w:sz="4" w:space="0" w:color="auto"/>
              <w:right w:val="single" w:sz="4" w:space="0" w:color="auto"/>
            </w:tcBorders>
            <w:hideMark/>
          </w:tcPr>
          <w:p w14:paraId="35C43D6C" w14:textId="77777777" w:rsidR="006A48A0" w:rsidRPr="00E265AC" w:rsidRDefault="006A48A0">
            <w:pPr>
              <w:spacing w:line="256" w:lineRule="auto"/>
              <w:rPr>
                <w:bCs/>
              </w:rPr>
            </w:pPr>
            <w:r w:rsidRPr="00E265AC">
              <w:rPr>
                <w:bCs/>
              </w:rPr>
              <w:t xml:space="preserve"> 53 (20.7); 7.2 to 95.6</w:t>
            </w:r>
          </w:p>
        </w:tc>
        <w:tc>
          <w:tcPr>
            <w:tcW w:w="2358" w:type="dxa"/>
            <w:tcBorders>
              <w:top w:val="single" w:sz="4" w:space="0" w:color="auto"/>
              <w:left w:val="single" w:sz="4" w:space="0" w:color="auto"/>
              <w:bottom w:val="single" w:sz="4" w:space="0" w:color="auto"/>
              <w:right w:val="single" w:sz="4" w:space="0" w:color="auto"/>
            </w:tcBorders>
            <w:hideMark/>
          </w:tcPr>
          <w:p w14:paraId="44752170" w14:textId="77777777" w:rsidR="006A48A0" w:rsidRPr="00E265AC" w:rsidRDefault="006A48A0">
            <w:pPr>
              <w:spacing w:line="256" w:lineRule="auto"/>
              <w:rPr>
                <w:bCs/>
              </w:rPr>
            </w:pPr>
            <w:r w:rsidRPr="00E265AC">
              <w:rPr>
                <w:bCs/>
              </w:rPr>
              <w:t>26.2 (19.7); 0.4 to 100</w:t>
            </w:r>
          </w:p>
        </w:tc>
      </w:tr>
      <w:tr w:rsidR="006A48A0" w:rsidRPr="00E265AC" w14:paraId="61DD3F5D" w14:textId="77777777" w:rsidTr="006A48A0">
        <w:tc>
          <w:tcPr>
            <w:tcW w:w="4475" w:type="dxa"/>
            <w:tcBorders>
              <w:top w:val="single" w:sz="4" w:space="0" w:color="auto"/>
              <w:left w:val="single" w:sz="4" w:space="0" w:color="auto"/>
              <w:bottom w:val="single" w:sz="4" w:space="0" w:color="auto"/>
              <w:right w:val="single" w:sz="4" w:space="0" w:color="auto"/>
            </w:tcBorders>
            <w:hideMark/>
          </w:tcPr>
          <w:p w14:paraId="35EE1111" w14:textId="77777777" w:rsidR="006A48A0" w:rsidRPr="00E265AC" w:rsidRDefault="006A48A0">
            <w:pPr>
              <w:spacing w:line="256" w:lineRule="auto"/>
              <w:rPr>
                <w:bCs/>
              </w:rPr>
            </w:pPr>
            <w:r w:rsidRPr="00E265AC">
              <w:rPr>
                <w:bCs/>
              </w:rPr>
              <w:t>Anxiety (Generalized Anxiety Disorder-7; GAD-7)</w:t>
            </w:r>
          </w:p>
        </w:tc>
        <w:tc>
          <w:tcPr>
            <w:tcW w:w="2183" w:type="dxa"/>
            <w:tcBorders>
              <w:top w:val="single" w:sz="4" w:space="0" w:color="auto"/>
              <w:left w:val="single" w:sz="4" w:space="0" w:color="auto"/>
              <w:bottom w:val="single" w:sz="4" w:space="0" w:color="auto"/>
              <w:right w:val="single" w:sz="4" w:space="0" w:color="auto"/>
            </w:tcBorders>
            <w:hideMark/>
          </w:tcPr>
          <w:p w14:paraId="091180F6" w14:textId="77777777" w:rsidR="006A48A0" w:rsidRPr="00E265AC" w:rsidRDefault="006A48A0">
            <w:pPr>
              <w:spacing w:line="256" w:lineRule="auto"/>
              <w:rPr>
                <w:bCs/>
              </w:rPr>
            </w:pPr>
            <w:r w:rsidRPr="00E265AC">
              <w:rPr>
                <w:bCs/>
              </w:rPr>
              <w:t>6.9 (5.2); 0 to 20</w:t>
            </w:r>
          </w:p>
        </w:tc>
        <w:tc>
          <w:tcPr>
            <w:tcW w:w="2358" w:type="dxa"/>
            <w:tcBorders>
              <w:top w:val="single" w:sz="4" w:space="0" w:color="auto"/>
              <w:left w:val="single" w:sz="4" w:space="0" w:color="auto"/>
              <w:bottom w:val="single" w:sz="4" w:space="0" w:color="auto"/>
              <w:right w:val="single" w:sz="4" w:space="0" w:color="auto"/>
            </w:tcBorders>
            <w:hideMark/>
          </w:tcPr>
          <w:p w14:paraId="7F8D114A" w14:textId="77777777" w:rsidR="006A48A0" w:rsidRPr="00E265AC" w:rsidRDefault="006A48A0">
            <w:pPr>
              <w:spacing w:line="256" w:lineRule="auto"/>
              <w:rPr>
                <w:bCs/>
              </w:rPr>
            </w:pPr>
            <w:r w:rsidRPr="00E265AC">
              <w:rPr>
                <w:bCs/>
              </w:rPr>
              <w:t>3.9 (4.5); 0 to 21</w:t>
            </w:r>
          </w:p>
        </w:tc>
      </w:tr>
      <w:tr w:rsidR="006A48A0" w:rsidRPr="00E265AC" w14:paraId="088E7E28" w14:textId="77777777" w:rsidTr="006A48A0">
        <w:tc>
          <w:tcPr>
            <w:tcW w:w="4475" w:type="dxa"/>
            <w:tcBorders>
              <w:top w:val="single" w:sz="4" w:space="0" w:color="auto"/>
              <w:left w:val="single" w:sz="4" w:space="0" w:color="auto"/>
              <w:bottom w:val="single" w:sz="4" w:space="0" w:color="auto"/>
              <w:right w:val="single" w:sz="4" w:space="0" w:color="auto"/>
            </w:tcBorders>
            <w:hideMark/>
          </w:tcPr>
          <w:p w14:paraId="7FD4B9CF" w14:textId="77777777" w:rsidR="006A48A0" w:rsidRPr="00E265AC" w:rsidRDefault="006A48A0">
            <w:pPr>
              <w:spacing w:line="256" w:lineRule="auto"/>
              <w:rPr>
                <w:bCs/>
                <w:lang w:val="fr-FR"/>
              </w:rPr>
            </w:pPr>
            <w:proofErr w:type="spellStart"/>
            <w:r w:rsidRPr="00E265AC">
              <w:rPr>
                <w:bCs/>
                <w:lang w:val="fr-FR"/>
              </w:rPr>
              <w:t>Depression</w:t>
            </w:r>
            <w:proofErr w:type="spellEnd"/>
            <w:r w:rsidRPr="00E265AC">
              <w:rPr>
                <w:bCs/>
                <w:lang w:val="fr-FR"/>
              </w:rPr>
              <w:t xml:space="preserve"> (Patient Health Questionnaire-9; PHQ-9)</w:t>
            </w:r>
          </w:p>
        </w:tc>
        <w:tc>
          <w:tcPr>
            <w:tcW w:w="2183" w:type="dxa"/>
            <w:tcBorders>
              <w:top w:val="single" w:sz="4" w:space="0" w:color="auto"/>
              <w:left w:val="single" w:sz="4" w:space="0" w:color="auto"/>
              <w:bottom w:val="single" w:sz="4" w:space="0" w:color="auto"/>
              <w:right w:val="single" w:sz="4" w:space="0" w:color="auto"/>
            </w:tcBorders>
            <w:hideMark/>
          </w:tcPr>
          <w:p w14:paraId="1EE9310A" w14:textId="77777777" w:rsidR="006A48A0" w:rsidRPr="00E265AC" w:rsidRDefault="006A48A0">
            <w:pPr>
              <w:spacing w:line="256" w:lineRule="auto"/>
              <w:rPr>
                <w:bCs/>
              </w:rPr>
            </w:pPr>
            <w:r w:rsidRPr="00E265AC">
              <w:rPr>
                <w:bCs/>
              </w:rPr>
              <w:t>7.0 (5.4); 0 to 24</w:t>
            </w:r>
          </w:p>
        </w:tc>
        <w:tc>
          <w:tcPr>
            <w:tcW w:w="2358" w:type="dxa"/>
            <w:tcBorders>
              <w:top w:val="single" w:sz="4" w:space="0" w:color="auto"/>
              <w:left w:val="single" w:sz="4" w:space="0" w:color="auto"/>
              <w:bottom w:val="single" w:sz="4" w:space="0" w:color="auto"/>
              <w:right w:val="single" w:sz="4" w:space="0" w:color="auto"/>
            </w:tcBorders>
            <w:hideMark/>
          </w:tcPr>
          <w:p w14:paraId="730B0367" w14:textId="77777777" w:rsidR="006A48A0" w:rsidRPr="00E265AC" w:rsidRDefault="006A48A0">
            <w:pPr>
              <w:spacing w:line="256" w:lineRule="auto"/>
              <w:rPr>
                <w:bCs/>
              </w:rPr>
            </w:pPr>
            <w:r w:rsidRPr="00E265AC">
              <w:rPr>
                <w:bCs/>
              </w:rPr>
              <w:t>3.9 (4.2); 0 to 27</w:t>
            </w:r>
          </w:p>
        </w:tc>
      </w:tr>
      <w:tr w:rsidR="006A48A0" w:rsidRPr="00E265AC" w14:paraId="19D3BF38" w14:textId="77777777" w:rsidTr="006A48A0">
        <w:tc>
          <w:tcPr>
            <w:tcW w:w="4475" w:type="dxa"/>
            <w:tcBorders>
              <w:top w:val="single" w:sz="4" w:space="0" w:color="auto"/>
              <w:left w:val="single" w:sz="4" w:space="0" w:color="auto"/>
              <w:bottom w:val="single" w:sz="4" w:space="0" w:color="auto"/>
              <w:right w:val="single" w:sz="4" w:space="0" w:color="auto"/>
            </w:tcBorders>
            <w:hideMark/>
          </w:tcPr>
          <w:p w14:paraId="5D8A8232" w14:textId="77777777" w:rsidR="006A48A0" w:rsidRPr="00E265AC" w:rsidRDefault="006A48A0">
            <w:pPr>
              <w:spacing w:line="256" w:lineRule="auto"/>
              <w:rPr>
                <w:bCs/>
                <w:lang w:val="it-IT"/>
              </w:rPr>
            </w:pPr>
            <w:proofErr w:type="spellStart"/>
            <w:r w:rsidRPr="00E265AC">
              <w:rPr>
                <w:bCs/>
                <w:lang w:val="it-IT"/>
              </w:rPr>
              <w:t>Insomnia</w:t>
            </w:r>
            <w:proofErr w:type="spellEnd"/>
            <w:r w:rsidRPr="00E265AC">
              <w:rPr>
                <w:bCs/>
                <w:lang w:val="it-IT"/>
              </w:rPr>
              <w:t xml:space="preserve"> (</w:t>
            </w:r>
            <w:proofErr w:type="spellStart"/>
            <w:r w:rsidRPr="00E265AC">
              <w:rPr>
                <w:bCs/>
                <w:lang w:val="it-IT"/>
              </w:rPr>
              <w:t>Insomnia</w:t>
            </w:r>
            <w:proofErr w:type="spellEnd"/>
            <w:r w:rsidRPr="00E265AC">
              <w:rPr>
                <w:bCs/>
                <w:lang w:val="it-IT"/>
              </w:rPr>
              <w:t xml:space="preserve"> </w:t>
            </w:r>
            <w:proofErr w:type="spellStart"/>
            <w:r w:rsidRPr="00E265AC">
              <w:rPr>
                <w:bCs/>
                <w:lang w:val="it-IT"/>
              </w:rPr>
              <w:t>Severity</w:t>
            </w:r>
            <w:proofErr w:type="spellEnd"/>
            <w:r w:rsidRPr="00E265AC">
              <w:rPr>
                <w:bCs/>
                <w:lang w:val="it-IT"/>
              </w:rPr>
              <w:t xml:space="preserve"> Index; ISI) </w:t>
            </w:r>
          </w:p>
        </w:tc>
        <w:tc>
          <w:tcPr>
            <w:tcW w:w="2183" w:type="dxa"/>
            <w:tcBorders>
              <w:top w:val="single" w:sz="4" w:space="0" w:color="auto"/>
              <w:left w:val="single" w:sz="4" w:space="0" w:color="auto"/>
              <w:bottom w:val="single" w:sz="4" w:space="0" w:color="auto"/>
              <w:right w:val="single" w:sz="4" w:space="0" w:color="auto"/>
            </w:tcBorders>
            <w:hideMark/>
          </w:tcPr>
          <w:p w14:paraId="25B1A4D0" w14:textId="77777777" w:rsidR="006A48A0" w:rsidRPr="00E265AC" w:rsidRDefault="006A48A0">
            <w:pPr>
              <w:spacing w:line="256" w:lineRule="auto"/>
              <w:rPr>
                <w:bCs/>
              </w:rPr>
            </w:pPr>
            <w:r w:rsidRPr="00E265AC">
              <w:rPr>
                <w:bCs/>
              </w:rPr>
              <w:t>11.0 (6.0); 1 to 27</w:t>
            </w:r>
          </w:p>
        </w:tc>
        <w:tc>
          <w:tcPr>
            <w:tcW w:w="2358" w:type="dxa"/>
            <w:tcBorders>
              <w:top w:val="single" w:sz="4" w:space="0" w:color="auto"/>
              <w:left w:val="single" w:sz="4" w:space="0" w:color="auto"/>
              <w:bottom w:val="single" w:sz="4" w:space="0" w:color="auto"/>
              <w:right w:val="single" w:sz="4" w:space="0" w:color="auto"/>
            </w:tcBorders>
            <w:hideMark/>
          </w:tcPr>
          <w:p w14:paraId="2B0C8193" w14:textId="77777777" w:rsidR="006A48A0" w:rsidRPr="00E265AC" w:rsidRDefault="006A48A0">
            <w:pPr>
              <w:spacing w:line="256" w:lineRule="auto"/>
              <w:rPr>
                <w:bCs/>
              </w:rPr>
            </w:pPr>
            <w:r w:rsidRPr="00E265AC">
              <w:rPr>
                <w:bCs/>
              </w:rPr>
              <w:t>6.7 (5.4); 0 to 28</w:t>
            </w:r>
          </w:p>
        </w:tc>
      </w:tr>
      <w:tr w:rsidR="006A48A0" w:rsidRPr="00E265AC" w14:paraId="74AE40DA" w14:textId="77777777" w:rsidTr="006A48A0">
        <w:tc>
          <w:tcPr>
            <w:tcW w:w="4475" w:type="dxa"/>
            <w:tcBorders>
              <w:top w:val="single" w:sz="4" w:space="0" w:color="auto"/>
              <w:left w:val="single" w:sz="4" w:space="0" w:color="auto"/>
              <w:bottom w:val="single" w:sz="4" w:space="0" w:color="auto"/>
              <w:right w:val="single" w:sz="4" w:space="0" w:color="auto"/>
            </w:tcBorders>
            <w:hideMark/>
          </w:tcPr>
          <w:p w14:paraId="6B5B8083" w14:textId="77777777" w:rsidR="006A48A0" w:rsidRPr="00E265AC" w:rsidRDefault="006A48A0">
            <w:pPr>
              <w:spacing w:line="256" w:lineRule="auto"/>
              <w:rPr>
                <w:bCs/>
              </w:rPr>
            </w:pPr>
            <w:r w:rsidRPr="00E265AC">
              <w:rPr>
                <w:bCs/>
              </w:rPr>
              <w:t>Quality of life (EQ-5D-5L VAS)</w:t>
            </w:r>
          </w:p>
        </w:tc>
        <w:tc>
          <w:tcPr>
            <w:tcW w:w="2183" w:type="dxa"/>
            <w:tcBorders>
              <w:top w:val="single" w:sz="4" w:space="0" w:color="auto"/>
              <w:left w:val="single" w:sz="4" w:space="0" w:color="auto"/>
              <w:bottom w:val="single" w:sz="4" w:space="0" w:color="auto"/>
              <w:right w:val="single" w:sz="4" w:space="0" w:color="auto"/>
            </w:tcBorders>
            <w:hideMark/>
          </w:tcPr>
          <w:p w14:paraId="305E1222" w14:textId="77777777" w:rsidR="006A48A0" w:rsidRPr="00E265AC" w:rsidRDefault="006A48A0">
            <w:pPr>
              <w:spacing w:line="256" w:lineRule="auto"/>
              <w:rPr>
                <w:bCs/>
              </w:rPr>
            </w:pPr>
            <w:r w:rsidRPr="00E265AC">
              <w:rPr>
                <w:bCs/>
              </w:rPr>
              <w:t>78.0 (14.1) 30 to 100</w:t>
            </w:r>
          </w:p>
        </w:tc>
        <w:tc>
          <w:tcPr>
            <w:tcW w:w="2358" w:type="dxa"/>
            <w:tcBorders>
              <w:top w:val="single" w:sz="4" w:space="0" w:color="auto"/>
              <w:left w:val="single" w:sz="4" w:space="0" w:color="auto"/>
              <w:bottom w:val="single" w:sz="4" w:space="0" w:color="auto"/>
              <w:right w:val="single" w:sz="4" w:space="0" w:color="auto"/>
            </w:tcBorders>
            <w:hideMark/>
          </w:tcPr>
          <w:p w14:paraId="23EA7599" w14:textId="77777777" w:rsidR="006A48A0" w:rsidRPr="00E265AC" w:rsidRDefault="006A48A0">
            <w:pPr>
              <w:spacing w:line="256" w:lineRule="auto"/>
              <w:rPr>
                <w:bCs/>
              </w:rPr>
            </w:pPr>
            <w:r w:rsidRPr="00E265AC">
              <w:rPr>
                <w:bCs/>
              </w:rPr>
              <w:t>81 (13); 20 to 99</w:t>
            </w:r>
          </w:p>
        </w:tc>
      </w:tr>
    </w:tbl>
    <w:p w14:paraId="5BFAD5F7" w14:textId="77777777" w:rsidR="006A48A0" w:rsidRPr="00E265AC" w:rsidRDefault="006A48A0" w:rsidP="006A48A0"/>
    <w:p w14:paraId="40EF5ECA" w14:textId="77777777" w:rsidR="006A48A0" w:rsidRPr="00E265AC" w:rsidRDefault="006A48A0" w:rsidP="006A48A0">
      <w:pPr>
        <w:rPr>
          <w:color w:val="000000"/>
        </w:rPr>
      </w:pPr>
    </w:p>
    <w:p w14:paraId="69725797" w14:textId="77777777" w:rsidR="00914440" w:rsidRPr="00E265AC" w:rsidRDefault="00914440" w:rsidP="004F21AC">
      <w:pPr>
        <w:spacing w:line="480" w:lineRule="auto"/>
        <w:rPr>
          <w:b/>
          <w:bCs/>
        </w:rPr>
      </w:pPr>
    </w:p>
    <w:p w14:paraId="60FA4BCE" w14:textId="3304F67B" w:rsidR="00914440" w:rsidRPr="00E265AC" w:rsidRDefault="00914440" w:rsidP="004F21AC">
      <w:pPr>
        <w:spacing w:line="480" w:lineRule="auto"/>
        <w:rPr>
          <w:rFonts w:ascii="Times" w:hAnsi="Times"/>
          <w:b/>
          <w:bCs/>
          <w:sz w:val="22"/>
          <w:szCs w:val="22"/>
        </w:rPr>
      </w:pPr>
      <w:r w:rsidRPr="00E265AC">
        <w:rPr>
          <w:b/>
          <w:bCs/>
          <w:color w:val="000000"/>
        </w:rPr>
        <w:t>Table 3:</w:t>
      </w:r>
      <w:r w:rsidRPr="00E265AC">
        <w:rPr>
          <w:color w:val="000000"/>
        </w:rPr>
        <w:t xml:space="preserve"> </w:t>
      </w:r>
      <w:r w:rsidRPr="00E265AC">
        <w:rPr>
          <w:rFonts w:ascii="Times" w:hAnsi="Times"/>
          <w:b/>
          <w:bCs/>
          <w:sz w:val="22"/>
          <w:szCs w:val="22"/>
        </w:rPr>
        <w:t>Matrix of hierarchical structure of associations showing the four zones</w:t>
      </w:r>
    </w:p>
    <w:p w14:paraId="67D7FFF2" w14:textId="77777777" w:rsidR="006A48A0" w:rsidRPr="00E265AC" w:rsidRDefault="006A48A0" w:rsidP="006A48A0">
      <w:pPr>
        <w:pStyle w:val="NormalWeb"/>
        <w:spacing w:before="0" w:beforeAutospacing="0" w:after="0" w:afterAutospacing="0"/>
        <w:rPr>
          <w:rFonts w:ascii="Times" w:hAnsi="Times"/>
          <w:b/>
          <w:bCs/>
          <w:sz w:val="22"/>
          <w:szCs w:val="22"/>
        </w:rPr>
      </w:pPr>
    </w:p>
    <w:p w14:paraId="6482E3BE" w14:textId="77777777" w:rsidR="006A48A0" w:rsidRPr="00E265AC" w:rsidRDefault="006A48A0" w:rsidP="006A48A0">
      <w:pPr>
        <w:pStyle w:val="NormalWeb"/>
        <w:spacing w:before="0" w:beforeAutospacing="0" w:after="0" w:afterAutospacing="0"/>
        <w:rPr>
          <w:rFonts w:ascii="Times" w:hAnsi="Times"/>
          <w:b/>
          <w:bCs/>
          <w:sz w:val="22"/>
          <w:szCs w:val="22"/>
        </w:rPr>
      </w:pPr>
    </w:p>
    <w:tbl>
      <w:tblPr>
        <w:tblStyle w:val="TableGrid"/>
        <w:tblW w:w="9355" w:type="dxa"/>
        <w:tblLook w:val="04A0" w:firstRow="1" w:lastRow="0" w:firstColumn="1" w:lastColumn="0" w:noHBand="0" w:noVBand="1"/>
      </w:tblPr>
      <w:tblGrid>
        <w:gridCol w:w="1345"/>
        <w:gridCol w:w="990"/>
        <w:gridCol w:w="3150"/>
        <w:gridCol w:w="3870"/>
      </w:tblGrid>
      <w:tr w:rsidR="006A48A0" w:rsidRPr="00E265AC" w14:paraId="629B160F" w14:textId="77777777" w:rsidTr="006A48A0">
        <w:tc>
          <w:tcPr>
            <w:tcW w:w="2335" w:type="dxa"/>
            <w:gridSpan w:val="2"/>
            <w:vMerge w:val="restart"/>
            <w:tcBorders>
              <w:top w:val="single" w:sz="4" w:space="0" w:color="auto"/>
              <w:left w:val="single" w:sz="4" w:space="0" w:color="auto"/>
              <w:bottom w:val="single" w:sz="4" w:space="0" w:color="auto"/>
              <w:right w:val="single" w:sz="4" w:space="0" w:color="auto"/>
            </w:tcBorders>
          </w:tcPr>
          <w:p w14:paraId="0C67E165" w14:textId="77777777" w:rsidR="006A48A0" w:rsidRPr="00E265AC" w:rsidRDefault="006A48A0">
            <w:pPr>
              <w:pStyle w:val="NormalWeb"/>
              <w:spacing w:before="0" w:beforeAutospacing="0" w:after="0" w:afterAutospacing="0"/>
              <w:rPr>
                <w:rFonts w:ascii="Times" w:hAnsi="Times"/>
                <w:b/>
                <w:bCs/>
                <w:sz w:val="22"/>
                <w:szCs w:val="22"/>
              </w:rPr>
            </w:pPr>
          </w:p>
        </w:tc>
        <w:tc>
          <w:tcPr>
            <w:tcW w:w="7020" w:type="dxa"/>
            <w:gridSpan w:val="2"/>
            <w:tcBorders>
              <w:top w:val="single" w:sz="4" w:space="0" w:color="auto"/>
              <w:left w:val="single" w:sz="4" w:space="0" w:color="auto"/>
              <w:bottom w:val="single" w:sz="4" w:space="0" w:color="auto"/>
              <w:right w:val="single" w:sz="4" w:space="0" w:color="auto"/>
            </w:tcBorders>
            <w:hideMark/>
          </w:tcPr>
          <w:p w14:paraId="083E8C5A" w14:textId="77777777" w:rsidR="006A48A0" w:rsidRPr="00E265AC" w:rsidRDefault="006A48A0">
            <w:pPr>
              <w:pStyle w:val="NormalWeb"/>
              <w:spacing w:before="0" w:beforeAutospacing="0" w:after="0" w:afterAutospacing="0"/>
              <w:jc w:val="center"/>
              <w:rPr>
                <w:rFonts w:ascii="Times" w:hAnsi="Times"/>
                <w:b/>
                <w:bCs/>
                <w:sz w:val="22"/>
                <w:szCs w:val="22"/>
              </w:rPr>
            </w:pPr>
            <w:r w:rsidRPr="00E265AC">
              <w:rPr>
                <w:rFonts w:ascii="Times" w:hAnsi="Times"/>
                <w:b/>
                <w:bCs/>
                <w:sz w:val="22"/>
                <w:szCs w:val="22"/>
              </w:rPr>
              <w:t>Rank</w:t>
            </w:r>
          </w:p>
        </w:tc>
      </w:tr>
      <w:tr w:rsidR="006A48A0" w:rsidRPr="00E265AC" w14:paraId="2940DF33" w14:textId="77777777" w:rsidTr="006A48A0">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2AA3495" w14:textId="77777777" w:rsidR="006A48A0" w:rsidRPr="00E265AC" w:rsidRDefault="006A48A0">
            <w:pPr>
              <w:rPr>
                <w:rFonts w:ascii="Times" w:hAnsi="Times"/>
                <w:b/>
                <w:bCs/>
                <w:sz w:val="22"/>
                <w:szCs w:val="22"/>
              </w:rPr>
            </w:pPr>
          </w:p>
        </w:tc>
        <w:tc>
          <w:tcPr>
            <w:tcW w:w="3150" w:type="dxa"/>
            <w:tcBorders>
              <w:top w:val="single" w:sz="4" w:space="0" w:color="auto"/>
              <w:left w:val="single" w:sz="4" w:space="0" w:color="auto"/>
              <w:bottom w:val="single" w:sz="4" w:space="0" w:color="auto"/>
              <w:right w:val="single" w:sz="4" w:space="0" w:color="auto"/>
            </w:tcBorders>
            <w:hideMark/>
          </w:tcPr>
          <w:p w14:paraId="06B030FE" w14:textId="77777777" w:rsidR="006A48A0" w:rsidRPr="00E265AC" w:rsidRDefault="006A48A0">
            <w:pPr>
              <w:pStyle w:val="NormalWeb"/>
              <w:spacing w:before="0" w:beforeAutospacing="0" w:after="0" w:afterAutospacing="0"/>
              <w:jc w:val="center"/>
              <w:rPr>
                <w:rFonts w:ascii="Times" w:hAnsi="Times"/>
                <w:b/>
                <w:bCs/>
                <w:sz w:val="22"/>
                <w:szCs w:val="22"/>
              </w:rPr>
            </w:pPr>
            <w:r w:rsidRPr="00E265AC">
              <w:rPr>
                <w:rFonts w:ascii="Times" w:hAnsi="Times"/>
                <w:b/>
                <w:bCs/>
                <w:sz w:val="22"/>
                <w:szCs w:val="22"/>
              </w:rPr>
              <w:t>Low</w:t>
            </w:r>
          </w:p>
        </w:tc>
        <w:tc>
          <w:tcPr>
            <w:tcW w:w="3870" w:type="dxa"/>
            <w:tcBorders>
              <w:top w:val="single" w:sz="4" w:space="0" w:color="auto"/>
              <w:left w:val="single" w:sz="4" w:space="0" w:color="auto"/>
              <w:bottom w:val="single" w:sz="4" w:space="0" w:color="auto"/>
              <w:right w:val="single" w:sz="4" w:space="0" w:color="auto"/>
            </w:tcBorders>
            <w:hideMark/>
          </w:tcPr>
          <w:p w14:paraId="3054334D" w14:textId="77777777" w:rsidR="006A48A0" w:rsidRPr="00E265AC" w:rsidRDefault="006A48A0">
            <w:pPr>
              <w:pStyle w:val="NormalWeb"/>
              <w:spacing w:before="0" w:beforeAutospacing="0" w:after="0" w:afterAutospacing="0"/>
              <w:jc w:val="center"/>
              <w:rPr>
                <w:rFonts w:ascii="Times" w:hAnsi="Times"/>
                <w:b/>
                <w:bCs/>
                <w:sz w:val="22"/>
                <w:szCs w:val="22"/>
              </w:rPr>
            </w:pPr>
            <w:r w:rsidRPr="00E265AC">
              <w:rPr>
                <w:rFonts w:ascii="Times" w:hAnsi="Times"/>
                <w:b/>
                <w:bCs/>
                <w:sz w:val="22"/>
                <w:szCs w:val="22"/>
              </w:rPr>
              <w:t>High</w:t>
            </w:r>
          </w:p>
        </w:tc>
      </w:tr>
      <w:tr w:rsidR="006A48A0" w:rsidRPr="00E265AC" w14:paraId="380ECE93" w14:textId="77777777" w:rsidTr="006A48A0">
        <w:tc>
          <w:tcPr>
            <w:tcW w:w="1345" w:type="dxa"/>
            <w:vMerge w:val="restart"/>
            <w:tcBorders>
              <w:top w:val="single" w:sz="4" w:space="0" w:color="auto"/>
              <w:left w:val="single" w:sz="4" w:space="0" w:color="auto"/>
              <w:bottom w:val="single" w:sz="4" w:space="0" w:color="auto"/>
              <w:right w:val="single" w:sz="4" w:space="0" w:color="auto"/>
            </w:tcBorders>
          </w:tcPr>
          <w:p w14:paraId="38BF7348" w14:textId="77777777" w:rsidR="006A48A0" w:rsidRPr="00E265AC" w:rsidRDefault="006A48A0">
            <w:pPr>
              <w:pStyle w:val="NormalWeb"/>
              <w:spacing w:before="0" w:beforeAutospacing="0" w:after="0" w:afterAutospacing="0"/>
              <w:jc w:val="center"/>
              <w:rPr>
                <w:rFonts w:ascii="Times" w:hAnsi="Times"/>
                <w:b/>
                <w:bCs/>
                <w:sz w:val="22"/>
                <w:szCs w:val="22"/>
              </w:rPr>
            </w:pPr>
          </w:p>
          <w:p w14:paraId="23B65D23" w14:textId="77777777" w:rsidR="006A48A0" w:rsidRPr="00E265AC" w:rsidRDefault="006A48A0">
            <w:pPr>
              <w:pStyle w:val="NormalWeb"/>
              <w:spacing w:before="0" w:beforeAutospacing="0" w:after="0" w:afterAutospacing="0"/>
              <w:jc w:val="center"/>
              <w:rPr>
                <w:rFonts w:ascii="Times" w:hAnsi="Times"/>
                <w:b/>
                <w:bCs/>
                <w:sz w:val="22"/>
                <w:szCs w:val="22"/>
              </w:rPr>
            </w:pPr>
          </w:p>
          <w:p w14:paraId="261FC23C" w14:textId="77777777" w:rsidR="006A48A0" w:rsidRPr="00E265AC" w:rsidRDefault="006A48A0">
            <w:pPr>
              <w:pStyle w:val="NormalWeb"/>
              <w:spacing w:before="0" w:beforeAutospacing="0" w:after="0" w:afterAutospacing="0"/>
              <w:jc w:val="center"/>
              <w:rPr>
                <w:rFonts w:ascii="Times" w:hAnsi="Times"/>
                <w:b/>
                <w:bCs/>
                <w:sz w:val="22"/>
                <w:szCs w:val="22"/>
              </w:rPr>
            </w:pPr>
          </w:p>
          <w:p w14:paraId="2B6B4C51" w14:textId="77777777" w:rsidR="006A48A0" w:rsidRPr="00E265AC" w:rsidRDefault="006A48A0">
            <w:pPr>
              <w:pStyle w:val="NormalWeb"/>
              <w:spacing w:before="0" w:beforeAutospacing="0" w:after="0" w:afterAutospacing="0"/>
              <w:jc w:val="center"/>
              <w:rPr>
                <w:rFonts w:ascii="Times" w:hAnsi="Times"/>
                <w:b/>
                <w:bCs/>
                <w:sz w:val="22"/>
                <w:szCs w:val="22"/>
              </w:rPr>
            </w:pPr>
            <w:r w:rsidRPr="00E265AC">
              <w:rPr>
                <w:rFonts w:ascii="Times" w:hAnsi="Times"/>
                <w:b/>
                <w:bCs/>
                <w:sz w:val="22"/>
                <w:szCs w:val="22"/>
              </w:rPr>
              <w:t>Frequency</w:t>
            </w:r>
          </w:p>
        </w:tc>
        <w:tc>
          <w:tcPr>
            <w:tcW w:w="990" w:type="dxa"/>
            <w:tcBorders>
              <w:top w:val="single" w:sz="4" w:space="0" w:color="auto"/>
              <w:left w:val="single" w:sz="4" w:space="0" w:color="auto"/>
              <w:bottom w:val="single" w:sz="4" w:space="0" w:color="auto"/>
              <w:right w:val="single" w:sz="4" w:space="0" w:color="auto"/>
            </w:tcBorders>
            <w:hideMark/>
          </w:tcPr>
          <w:p w14:paraId="4E5B9511" w14:textId="77777777" w:rsidR="006A48A0" w:rsidRPr="00E265AC" w:rsidRDefault="006A48A0">
            <w:pPr>
              <w:pStyle w:val="NormalWeb"/>
              <w:spacing w:before="0" w:beforeAutospacing="0" w:after="0" w:afterAutospacing="0"/>
              <w:jc w:val="center"/>
              <w:rPr>
                <w:rFonts w:ascii="Times" w:hAnsi="Times"/>
                <w:b/>
                <w:bCs/>
                <w:sz w:val="22"/>
                <w:szCs w:val="22"/>
              </w:rPr>
            </w:pPr>
            <w:r w:rsidRPr="00E265AC">
              <w:rPr>
                <w:rFonts w:ascii="Times" w:hAnsi="Times"/>
                <w:b/>
                <w:bCs/>
                <w:sz w:val="22"/>
                <w:szCs w:val="22"/>
              </w:rPr>
              <w:t>High</w:t>
            </w:r>
          </w:p>
        </w:tc>
        <w:tc>
          <w:tcPr>
            <w:tcW w:w="3150" w:type="dxa"/>
            <w:tcBorders>
              <w:top w:val="single" w:sz="4" w:space="0" w:color="auto"/>
              <w:left w:val="single" w:sz="4" w:space="0" w:color="auto"/>
              <w:bottom w:val="single" w:sz="4" w:space="0" w:color="auto"/>
              <w:right w:val="single" w:sz="4" w:space="0" w:color="auto"/>
            </w:tcBorders>
            <w:hideMark/>
          </w:tcPr>
          <w:p w14:paraId="2A729E9E" w14:textId="77777777" w:rsidR="006A48A0" w:rsidRPr="00E265AC" w:rsidRDefault="006A48A0">
            <w:pPr>
              <w:pStyle w:val="NormalWeb"/>
              <w:spacing w:before="0" w:beforeAutospacing="0" w:after="0" w:afterAutospacing="0"/>
              <w:rPr>
                <w:rFonts w:ascii="Times" w:hAnsi="Times"/>
                <w:b/>
                <w:bCs/>
                <w:sz w:val="22"/>
                <w:szCs w:val="22"/>
              </w:rPr>
            </w:pPr>
            <w:r w:rsidRPr="00E265AC">
              <w:rPr>
                <w:b/>
                <w:bCs/>
              </w:rPr>
              <w:t>Central nucleus zone:</w:t>
            </w:r>
            <w:r w:rsidRPr="00E265AC">
              <w:t xml:space="preserve"> Most frequently occurring and most important based on rank</w:t>
            </w:r>
          </w:p>
        </w:tc>
        <w:tc>
          <w:tcPr>
            <w:tcW w:w="3870" w:type="dxa"/>
            <w:tcBorders>
              <w:top w:val="single" w:sz="4" w:space="0" w:color="auto"/>
              <w:left w:val="single" w:sz="4" w:space="0" w:color="auto"/>
              <w:bottom w:val="single" w:sz="4" w:space="0" w:color="auto"/>
              <w:right w:val="single" w:sz="4" w:space="0" w:color="auto"/>
            </w:tcBorders>
            <w:hideMark/>
          </w:tcPr>
          <w:p w14:paraId="0A3BED64" w14:textId="77777777" w:rsidR="006A48A0" w:rsidRPr="00E265AC" w:rsidRDefault="006A48A0">
            <w:pPr>
              <w:pStyle w:val="NormalWeb"/>
              <w:spacing w:before="0" w:beforeAutospacing="0" w:after="0" w:afterAutospacing="0"/>
              <w:rPr>
                <w:rFonts w:ascii="Times" w:hAnsi="Times"/>
                <w:b/>
                <w:bCs/>
                <w:sz w:val="22"/>
                <w:szCs w:val="22"/>
              </w:rPr>
            </w:pPr>
            <w:r w:rsidRPr="00E265AC">
              <w:rPr>
                <w:b/>
                <w:bCs/>
              </w:rPr>
              <w:t>First peripheral zone:</w:t>
            </w:r>
            <w:r w:rsidRPr="00E265AC">
              <w:t xml:space="preserve"> Most frequently occurring categories </w:t>
            </w:r>
            <w:r w:rsidRPr="00E265AC">
              <w:rPr>
                <w:color w:val="000000"/>
              </w:rPr>
              <w:t>but less important in terms of its ranking</w:t>
            </w:r>
          </w:p>
        </w:tc>
      </w:tr>
      <w:tr w:rsidR="006A48A0" w:rsidRPr="00E265AC" w14:paraId="2F494383" w14:textId="77777777" w:rsidTr="006A48A0">
        <w:tc>
          <w:tcPr>
            <w:tcW w:w="0" w:type="auto"/>
            <w:vMerge/>
            <w:tcBorders>
              <w:top w:val="single" w:sz="4" w:space="0" w:color="auto"/>
              <w:left w:val="single" w:sz="4" w:space="0" w:color="auto"/>
              <w:bottom w:val="single" w:sz="4" w:space="0" w:color="auto"/>
              <w:right w:val="single" w:sz="4" w:space="0" w:color="auto"/>
            </w:tcBorders>
            <w:vAlign w:val="center"/>
            <w:hideMark/>
          </w:tcPr>
          <w:p w14:paraId="2B17AE8D" w14:textId="77777777" w:rsidR="006A48A0" w:rsidRPr="00E265AC" w:rsidRDefault="006A48A0">
            <w:pPr>
              <w:rPr>
                <w:rFonts w:ascii="Times" w:hAnsi="Times"/>
                <w:b/>
                <w:bCs/>
                <w:sz w:val="22"/>
                <w:szCs w:val="22"/>
              </w:rPr>
            </w:pPr>
          </w:p>
        </w:tc>
        <w:tc>
          <w:tcPr>
            <w:tcW w:w="990" w:type="dxa"/>
            <w:tcBorders>
              <w:top w:val="single" w:sz="4" w:space="0" w:color="auto"/>
              <w:left w:val="single" w:sz="4" w:space="0" w:color="auto"/>
              <w:bottom w:val="single" w:sz="4" w:space="0" w:color="auto"/>
              <w:right w:val="single" w:sz="4" w:space="0" w:color="auto"/>
            </w:tcBorders>
            <w:hideMark/>
          </w:tcPr>
          <w:p w14:paraId="46902632" w14:textId="77777777" w:rsidR="006A48A0" w:rsidRPr="00E265AC" w:rsidRDefault="006A48A0">
            <w:pPr>
              <w:pStyle w:val="NormalWeb"/>
              <w:spacing w:before="0" w:beforeAutospacing="0" w:after="0" w:afterAutospacing="0"/>
              <w:jc w:val="center"/>
              <w:rPr>
                <w:rFonts w:ascii="Times" w:hAnsi="Times"/>
                <w:b/>
                <w:bCs/>
                <w:sz w:val="22"/>
                <w:szCs w:val="22"/>
              </w:rPr>
            </w:pPr>
            <w:r w:rsidRPr="00E265AC">
              <w:rPr>
                <w:rFonts w:ascii="Times" w:hAnsi="Times"/>
                <w:b/>
                <w:bCs/>
                <w:sz w:val="22"/>
                <w:szCs w:val="22"/>
              </w:rPr>
              <w:t>Low</w:t>
            </w:r>
          </w:p>
        </w:tc>
        <w:tc>
          <w:tcPr>
            <w:tcW w:w="3150" w:type="dxa"/>
            <w:tcBorders>
              <w:top w:val="single" w:sz="4" w:space="0" w:color="auto"/>
              <w:left w:val="single" w:sz="4" w:space="0" w:color="auto"/>
              <w:bottom w:val="single" w:sz="4" w:space="0" w:color="auto"/>
              <w:right w:val="single" w:sz="4" w:space="0" w:color="auto"/>
            </w:tcBorders>
            <w:hideMark/>
          </w:tcPr>
          <w:p w14:paraId="2316373D" w14:textId="77777777" w:rsidR="006A48A0" w:rsidRPr="00E265AC" w:rsidRDefault="006A48A0">
            <w:pPr>
              <w:pStyle w:val="NormalWeb"/>
              <w:spacing w:before="0" w:beforeAutospacing="0" w:after="0" w:afterAutospacing="0"/>
              <w:rPr>
                <w:rFonts w:ascii="Times" w:hAnsi="Times"/>
                <w:b/>
                <w:bCs/>
                <w:sz w:val="22"/>
                <w:szCs w:val="22"/>
              </w:rPr>
            </w:pPr>
            <w:r w:rsidRPr="00E265AC">
              <w:rPr>
                <w:b/>
                <w:bCs/>
              </w:rPr>
              <w:t>Contrasted elements:</w:t>
            </w:r>
            <w:r w:rsidRPr="00E265AC">
              <w:t xml:space="preserve"> L</w:t>
            </w:r>
            <w:r w:rsidRPr="00E265AC">
              <w:rPr>
                <w:color w:val="000000"/>
              </w:rPr>
              <w:t>ow frequency categories but rated as most important in terms of its rankings</w:t>
            </w:r>
          </w:p>
        </w:tc>
        <w:tc>
          <w:tcPr>
            <w:tcW w:w="3870" w:type="dxa"/>
            <w:tcBorders>
              <w:top w:val="single" w:sz="4" w:space="0" w:color="auto"/>
              <w:left w:val="single" w:sz="4" w:space="0" w:color="auto"/>
              <w:bottom w:val="single" w:sz="4" w:space="0" w:color="auto"/>
              <w:right w:val="single" w:sz="4" w:space="0" w:color="auto"/>
            </w:tcBorders>
            <w:hideMark/>
          </w:tcPr>
          <w:p w14:paraId="2651E84B" w14:textId="77777777" w:rsidR="006A48A0" w:rsidRPr="00E265AC" w:rsidRDefault="006A48A0">
            <w:pPr>
              <w:pStyle w:val="NormalWeb"/>
              <w:spacing w:before="0" w:beforeAutospacing="0" w:after="0" w:afterAutospacing="0"/>
              <w:rPr>
                <w:rFonts w:ascii="Times" w:hAnsi="Times"/>
                <w:b/>
                <w:bCs/>
                <w:sz w:val="22"/>
                <w:szCs w:val="22"/>
              </w:rPr>
            </w:pPr>
            <w:r w:rsidRPr="00E265AC">
              <w:rPr>
                <w:b/>
                <w:bCs/>
              </w:rPr>
              <w:t>Second peripheral zone:</w:t>
            </w:r>
            <w:r w:rsidRPr="00E265AC">
              <w:t xml:space="preserve"> L</w:t>
            </w:r>
            <w:r w:rsidRPr="00E265AC">
              <w:rPr>
                <w:color w:val="000000"/>
              </w:rPr>
              <w:t>ess frequent as well as less important in terms of ranking</w:t>
            </w:r>
          </w:p>
        </w:tc>
      </w:tr>
    </w:tbl>
    <w:p w14:paraId="28AFD042" w14:textId="77777777" w:rsidR="006A48A0" w:rsidRPr="00E265AC" w:rsidRDefault="006A48A0" w:rsidP="006A48A0">
      <w:pPr>
        <w:rPr>
          <w:bCs/>
        </w:rPr>
      </w:pPr>
    </w:p>
    <w:p w14:paraId="74046B8B" w14:textId="77777777" w:rsidR="00914440" w:rsidRPr="00E265AC" w:rsidRDefault="00914440" w:rsidP="004F21AC">
      <w:pPr>
        <w:spacing w:line="480" w:lineRule="auto"/>
        <w:rPr>
          <w:rFonts w:ascii="Times" w:hAnsi="Times"/>
          <w:b/>
          <w:bCs/>
          <w:sz w:val="22"/>
          <w:szCs w:val="22"/>
        </w:rPr>
      </w:pPr>
    </w:p>
    <w:p w14:paraId="122815CD" w14:textId="257D7920" w:rsidR="00914440" w:rsidRPr="00E265AC" w:rsidRDefault="00914440" w:rsidP="004F21AC">
      <w:pPr>
        <w:spacing w:line="480" w:lineRule="auto"/>
        <w:rPr>
          <w:b/>
        </w:rPr>
      </w:pPr>
      <w:r w:rsidRPr="00E265AC">
        <w:rPr>
          <w:b/>
        </w:rPr>
        <w:t>Table 4: Key categories identified by content analysis for tinnitus pre- and post-intervention</w:t>
      </w:r>
    </w:p>
    <w:p w14:paraId="06D585E2" w14:textId="77777777" w:rsidR="006A48A0" w:rsidRPr="00E265AC" w:rsidRDefault="006A48A0" w:rsidP="006A48A0">
      <w:pPr>
        <w:pStyle w:val="Default"/>
        <w:rPr>
          <w:rFonts w:ascii="Times New Roman" w:hAnsi="Times New Roman" w:cs="Times New Roman"/>
          <w:color w:val="auto"/>
        </w:rPr>
      </w:pPr>
    </w:p>
    <w:p w14:paraId="487DD6BD" w14:textId="77777777" w:rsidR="006A48A0" w:rsidRPr="00E265AC" w:rsidRDefault="006A48A0" w:rsidP="006A48A0">
      <w:pPr>
        <w:pStyle w:val="Default"/>
        <w:rPr>
          <w:rFonts w:ascii="Times New Roman" w:hAnsi="Times New Roman" w:cs="Times New Roman"/>
          <w:color w:val="auto"/>
        </w:rPr>
      </w:pP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9"/>
        <w:gridCol w:w="1470"/>
        <w:gridCol w:w="1491"/>
      </w:tblGrid>
      <w:tr w:rsidR="006A48A0" w:rsidRPr="00E265AC" w14:paraId="4088C874" w14:textId="77777777">
        <w:trPr>
          <w:trHeight w:val="300"/>
        </w:trPr>
        <w:tc>
          <w:tcPr>
            <w:tcW w:w="7089" w:type="dxa"/>
            <w:vMerge w:val="restart"/>
            <w:tcBorders>
              <w:top w:val="single" w:sz="4" w:space="0" w:color="auto"/>
              <w:left w:val="single" w:sz="4" w:space="0" w:color="auto"/>
              <w:bottom w:val="single" w:sz="4" w:space="0" w:color="auto"/>
              <w:right w:val="single" w:sz="4" w:space="0" w:color="auto"/>
            </w:tcBorders>
            <w:noWrap/>
            <w:hideMark/>
          </w:tcPr>
          <w:p w14:paraId="1EA3EDE0" w14:textId="77777777" w:rsidR="006A48A0" w:rsidRPr="00E265AC" w:rsidRDefault="006A48A0">
            <w:pPr>
              <w:spacing w:line="256" w:lineRule="auto"/>
              <w:rPr>
                <w:b/>
                <w:bCs/>
                <w:color w:val="000000"/>
              </w:rPr>
            </w:pPr>
            <w:r w:rsidRPr="00E265AC">
              <w:rPr>
                <w:b/>
                <w:bCs/>
                <w:color w:val="000000"/>
              </w:rPr>
              <w:t>Category (examples)</w:t>
            </w:r>
          </w:p>
        </w:tc>
        <w:tc>
          <w:tcPr>
            <w:tcW w:w="2911" w:type="dxa"/>
            <w:gridSpan w:val="2"/>
            <w:tcBorders>
              <w:top w:val="single" w:sz="4" w:space="0" w:color="auto"/>
              <w:left w:val="single" w:sz="4" w:space="0" w:color="auto"/>
              <w:bottom w:val="single" w:sz="4" w:space="0" w:color="auto"/>
              <w:right w:val="single" w:sz="4" w:space="0" w:color="auto"/>
            </w:tcBorders>
            <w:noWrap/>
            <w:hideMark/>
          </w:tcPr>
          <w:p w14:paraId="11E95C5B" w14:textId="77777777" w:rsidR="006A48A0" w:rsidRPr="00E265AC" w:rsidRDefault="006A48A0">
            <w:pPr>
              <w:spacing w:line="256" w:lineRule="auto"/>
              <w:jc w:val="center"/>
              <w:rPr>
                <w:b/>
                <w:bCs/>
                <w:color w:val="000000"/>
              </w:rPr>
            </w:pPr>
            <w:r w:rsidRPr="00E265AC">
              <w:rPr>
                <w:b/>
                <w:bCs/>
                <w:color w:val="000000"/>
              </w:rPr>
              <w:t>Frequency of occurrence in Percentage</w:t>
            </w:r>
          </w:p>
        </w:tc>
      </w:tr>
      <w:tr w:rsidR="006A48A0" w:rsidRPr="00E265AC" w14:paraId="4F82B5B2" w14:textId="77777777">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7EE939" w14:textId="77777777" w:rsidR="006A48A0" w:rsidRPr="00E265AC" w:rsidRDefault="006A48A0">
            <w:pPr>
              <w:spacing w:line="256" w:lineRule="auto"/>
              <w:rPr>
                <w:b/>
                <w:bCs/>
                <w:color w:val="000000"/>
              </w:rPr>
            </w:pPr>
          </w:p>
        </w:tc>
        <w:tc>
          <w:tcPr>
            <w:tcW w:w="1420" w:type="dxa"/>
            <w:tcBorders>
              <w:top w:val="single" w:sz="4" w:space="0" w:color="auto"/>
              <w:left w:val="single" w:sz="4" w:space="0" w:color="auto"/>
              <w:bottom w:val="single" w:sz="4" w:space="0" w:color="auto"/>
              <w:right w:val="single" w:sz="4" w:space="0" w:color="auto"/>
            </w:tcBorders>
            <w:noWrap/>
            <w:hideMark/>
          </w:tcPr>
          <w:p w14:paraId="51C61CCD" w14:textId="77777777" w:rsidR="006A48A0" w:rsidRPr="00E265AC" w:rsidRDefault="006A48A0">
            <w:pPr>
              <w:spacing w:line="256" w:lineRule="auto"/>
              <w:rPr>
                <w:b/>
                <w:bCs/>
                <w:color w:val="000000"/>
              </w:rPr>
            </w:pPr>
            <w:r w:rsidRPr="00E265AC">
              <w:rPr>
                <w:b/>
                <w:bCs/>
                <w:color w:val="000000"/>
              </w:rPr>
              <w:t>Pre-intervention</w:t>
            </w:r>
          </w:p>
        </w:tc>
        <w:tc>
          <w:tcPr>
            <w:tcW w:w="1491" w:type="dxa"/>
            <w:tcBorders>
              <w:top w:val="single" w:sz="4" w:space="0" w:color="auto"/>
              <w:left w:val="single" w:sz="4" w:space="0" w:color="auto"/>
              <w:bottom w:val="single" w:sz="4" w:space="0" w:color="auto"/>
              <w:right w:val="single" w:sz="4" w:space="0" w:color="auto"/>
            </w:tcBorders>
            <w:noWrap/>
            <w:hideMark/>
          </w:tcPr>
          <w:p w14:paraId="384BD04C" w14:textId="77777777" w:rsidR="006A48A0" w:rsidRPr="00E265AC" w:rsidRDefault="006A48A0">
            <w:pPr>
              <w:spacing w:line="256" w:lineRule="auto"/>
              <w:rPr>
                <w:b/>
                <w:bCs/>
                <w:color w:val="000000"/>
              </w:rPr>
            </w:pPr>
            <w:r w:rsidRPr="00E265AC">
              <w:rPr>
                <w:b/>
                <w:bCs/>
                <w:color w:val="000000"/>
              </w:rPr>
              <w:t>Post-intervention</w:t>
            </w:r>
          </w:p>
        </w:tc>
      </w:tr>
      <w:tr w:rsidR="006A48A0" w:rsidRPr="00E265AC" w14:paraId="257C9E9D"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64814F72" w14:textId="77777777" w:rsidR="006A48A0" w:rsidRPr="00E265AC" w:rsidRDefault="006A48A0">
            <w:pPr>
              <w:spacing w:line="256" w:lineRule="auto"/>
              <w:rPr>
                <w:color w:val="000000"/>
              </w:rPr>
            </w:pPr>
            <w:r w:rsidRPr="00E265AC">
              <w:rPr>
                <w:color w:val="000000"/>
              </w:rPr>
              <w:lastRenderedPageBreak/>
              <w:t>Accepting (e.g., just deal with it, it is what it is, don’t think much)</w:t>
            </w:r>
          </w:p>
        </w:tc>
        <w:tc>
          <w:tcPr>
            <w:tcW w:w="1420" w:type="dxa"/>
            <w:tcBorders>
              <w:top w:val="single" w:sz="4" w:space="0" w:color="auto"/>
              <w:left w:val="single" w:sz="4" w:space="0" w:color="auto"/>
              <w:bottom w:val="single" w:sz="4" w:space="0" w:color="auto"/>
              <w:right w:val="single" w:sz="4" w:space="0" w:color="auto"/>
            </w:tcBorders>
            <w:noWrap/>
            <w:hideMark/>
          </w:tcPr>
          <w:p w14:paraId="4FD1A3D3" w14:textId="77777777" w:rsidR="006A48A0" w:rsidRPr="00E265AC" w:rsidRDefault="006A48A0">
            <w:pPr>
              <w:spacing w:line="256" w:lineRule="auto"/>
              <w:jc w:val="right"/>
              <w:rPr>
                <w:color w:val="000000"/>
              </w:rPr>
            </w:pPr>
            <w:r w:rsidRPr="00E265AC">
              <w:rPr>
                <w:color w:val="000000"/>
              </w:rPr>
              <w:t>3.3</w:t>
            </w:r>
          </w:p>
        </w:tc>
        <w:tc>
          <w:tcPr>
            <w:tcW w:w="1491" w:type="dxa"/>
            <w:tcBorders>
              <w:top w:val="single" w:sz="4" w:space="0" w:color="auto"/>
              <w:left w:val="single" w:sz="4" w:space="0" w:color="auto"/>
              <w:bottom w:val="single" w:sz="4" w:space="0" w:color="auto"/>
              <w:right w:val="single" w:sz="4" w:space="0" w:color="auto"/>
            </w:tcBorders>
            <w:noWrap/>
            <w:hideMark/>
          </w:tcPr>
          <w:p w14:paraId="3886C692" w14:textId="77777777" w:rsidR="006A48A0" w:rsidRPr="00E265AC" w:rsidRDefault="006A48A0">
            <w:pPr>
              <w:spacing w:line="256" w:lineRule="auto"/>
              <w:jc w:val="right"/>
              <w:rPr>
                <w:color w:val="000000"/>
              </w:rPr>
            </w:pPr>
            <w:r w:rsidRPr="00E265AC">
              <w:rPr>
                <w:color w:val="000000"/>
              </w:rPr>
              <w:t>6.9</w:t>
            </w:r>
          </w:p>
        </w:tc>
      </w:tr>
      <w:tr w:rsidR="006A48A0" w:rsidRPr="00E265AC" w14:paraId="7B9973D5"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38DDC321" w14:textId="77777777" w:rsidR="006A48A0" w:rsidRPr="00E265AC" w:rsidRDefault="006A48A0">
            <w:pPr>
              <w:spacing w:line="256" w:lineRule="auto"/>
              <w:rPr>
                <w:color w:val="000000"/>
                <w:lang w:val="de-DE"/>
              </w:rPr>
            </w:pPr>
            <w:proofErr w:type="spellStart"/>
            <w:r w:rsidRPr="00E265AC">
              <w:rPr>
                <w:color w:val="000000"/>
                <w:lang w:val="de-DE"/>
              </w:rPr>
              <w:t>Angering</w:t>
            </w:r>
            <w:proofErr w:type="spellEnd"/>
            <w:r w:rsidRPr="00E265AC">
              <w:rPr>
                <w:color w:val="000000"/>
                <w:lang w:val="de-DE"/>
              </w:rPr>
              <w:t xml:space="preserve"> (e.g., </w:t>
            </w:r>
            <w:proofErr w:type="spellStart"/>
            <w:r w:rsidRPr="00E265AC">
              <w:rPr>
                <w:color w:val="000000"/>
                <w:lang w:val="de-DE"/>
              </w:rPr>
              <w:t>anger</w:t>
            </w:r>
            <w:proofErr w:type="spellEnd"/>
            <w:r w:rsidRPr="00E265AC">
              <w:rPr>
                <w:color w:val="000000"/>
                <w:lang w:val="de-DE"/>
              </w:rPr>
              <w:t>, rage, hate)</w:t>
            </w:r>
          </w:p>
        </w:tc>
        <w:tc>
          <w:tcPr>
            <w:tcW w:w="1420" w:type="dxa"/>
            <w:tcBorders>
              <w:top w:val="single" w:sz="4" w:space="0" w:color="auto"/>
              <w:left w:val="single" w:sz="4" w:space="0" w:color="auto"/>
              <w:bottom w:val="single" w:sz="4" w:space="0" w:color="auto"/>
              <w:right w:val="single" w:sz="4" w:space="0" w:color="auto"/>
            </w:tcBorders>
            <w:noWrap/>
            <w:hideMark/>
          </w:tcPr>
          <w:p w14:paraId="2E939784" w14:textId="77777777" w:rsidR="006A48A0" w:rsidRPr="00E265AC" w:rsidRDefault="006A48A0">
            <w:pPr>
              <w:spacing w:line="256" w:lineRule="auto"/>
              <w:jc w:val="right"/>
              <w:rPr>
                <w:color w:val="000000"/>
              </w:rPr>
            </w:pPr>
            <w:r w:rsidRPr="00E265AC">
              <w:rPr>
                <w:color w:val="000000"/>
              </w:rPr>
              <w:t>1.4</w:t>
            </w:r>
          </w:p>
        </w:tc>
        <w:tc>
          <w:tcPr>
            <w:tcW w:w="1491" w:type="dxa"/>
            <w:tcBorders>
              <w:top w:val="single" w:sz="4" w:space="0" w:color="auto"/>
              <w:left w:val="single" w:sz="4" w:space="0" w:color="auto"/>
              <w:bottom w:val="single" w:sz="4" w:space="0" w:color="auto"/>
              <w:right w:val="single" w:sz="4" w:space="0" w:color="auto"/>
            </w:tcBorders>
            <w:noWrap/>
            <w:hideMark/>
          </w:tcPr>
          <w:p w14:paraId="6F286437" w14:textId="77777777" w:rsidR="006A48A0" w:rsidRPr="00E265AC" w:rsidRDefault="006A48A0">
            <w:pPr>
              <w:spacing w:line="256" w:lineRule="auto"/>
              <w:jc w:val="right"/>
              <w:rPr>
                <w:color w:val="000000"/>
              </w:rPr>
            </w:pPr>
            <w:r w:rsidRPr="00E265AC">
              <w:rPr>
                <w:color w:val="000000"/>
              </w:rPr>
              <w:t>0.8</w:t>
            </w:r>
          </w:p>
        </w:tc>
      </w:tr>
      <w:tr w:rsidR="006A48A0" w:rsidRPr="00E265AC" w14:paraId="104FE1ED"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48FDBB46" w14:textId="77777777" w:rsidR="006A48A0" w:rsidRPr="00E265AC" w:rsidRDefault="006A48A0">
            <w:pPr>
              <w:spacing w:line="256" w:lineRule="auto"/>
              <w:rPr>
                <w:color w:val="000000"/>
              </w:rPr>
            </w:pPr>
            <w:r w:rsidRPr="00E265AC">
              <w:rPr>
                <w:color w:val="000000"/>
              </w:rPr>
              <w:t xml:space="preserve">Annoying (e.g., annoying, irritation, nuisance) </w:t>
            </w:r>
          </w:p>
        </w:tc>
        <w:tc>
          <w:tcPr>
            <w:tcW w:w="1420" w:type="dxa"/>
            <w:tcBorders>
              <w:top w:val="single" w:sz="4" w:space="0" w:color="auto"/>
              <w:left w:val="single" w:sz="4" w:space="0" w:color="auto"/>
              <w:bottom w:val="single" w:sz="4" w:space="0" w:color="auto"/>
              <w:right w:val="single" w:sz="4" w:space="0" w:color="auto"/>
            </w:tcBorders>
            <w:noWrap/>
            <w:hideMark/>
          </w:tcPr>
          <w:p w14:paraId="490640E0" w14:textId="77777777" w:rsidR="006A48A0" w:rsidRPr="00E265AC" w:rsidRDefault="006A48A0">
            <w:pPr>
              <w:spacing w:line="256" w:lineRule="auto"/>
              <w:jc w:val="right"/>
              <w:rPr>
                <w:color w:val="000000"/>
              </w:rPr>
            </w:pPr>
            <w:r w:rsidRPr="00E265AC">
              <w:rPr>
                <w:color w:val="000000"/>
              </w:rPr>
              <w:t>15</w:t>
            </w:r>
          </w:p>
        </w:tc>
        <w:tc>
          <w:tcPr>
            <w:tcW w:w="1491" w:type="dxa"/>
            <w:tcBorders>
              <w:top w:val="single" w:sz="4" w:space="0" w:color="auto"/>
              <w:left w:val="single" w:sz="4" w:space="0" w:color="auto"/>
              <w:bottom w:val="single" w:sz="4" w:space="0" w:color="auto"/>
              <w:right w:val="single" w:sz="4" w:space="0" w:color="auto"/>
            </w:tcBorders>
            <w:noWrap/>
            <w:hideMark/>
          </w:tcPr>
          <w:p w14:paraId="0FF3A00E" w14:textId="77777777" w:rsidR="006A48A0" w:rsidRPr="00E265AC" w:rsidRDefault="006A48A0">
            <w:pPr>
              <w:spacing w:line="256" w:lineRule="auto"/>
              <w:jc w:val="right"/>
              <w:rPr>
                <w:color w:val="000000"/>
              </w:rPr>
            </w:pPr>
            <w:r w:rsidRPr="00E265AC">
              <w:rPr>
                <w:color w:val="000000"/>
              </w:rPr>
              <w:t>11.7</w:t>
            </w:r>
          </w:p>
        </w:tc>
      </w:tr>
      <w:tr w:rsidR="006A48A0" w:rsidRPr="00E265AC" w14:paraId="468AE9DD"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639AF459" w14:textId="77777777" w:rsidR="006A48A0" w:rsidRPr="00E265AC" w:rsidRDefault="006A48A0">
            <w:pPr>
              <w:spacing w:line="256" w:lineRule="auto"/>
              <w:rPr>
                <w:color w:val="000000"/>
              </w:rPr>
            </w:pPr>
            <w:r w:rsidRPr="00E265AC">
              <w:rPr>
                <w:color w:val="000000"/>
              </w:rPr>
              <w:t>Bothersome (e.g., bothersome, bothered, bothers me)</w:t>
            </w:r>
          </w:p>
        </w:tc>
        <w:tc>
          <w:tcPr>
            <w:tcW w:w="1420" w:type="dxa"/>
            <w:tcBorders>
              <w:top w:val="single" w:sz="4" w:space="0" w:color="auto"/>
              <w:left w:val="single" w:sz="4" w:space="0" w:color="auto"/>
              <w:bottom w:val="single" w:sz="4" w:space="0" w:color="auto"/>
              <w:right w:val="single" w:sz="4" w:space="0" w:color="auto"/>
            </w:tcBorders>
            <w:noWrap/>
            <w:hideMark/>
          </w:tcPr>
          <w:p w14:paraId="4A9CDD76" w14:textId="77777777" w:rsidR="006A48A0" w:rsidRPr="00E265AC" w:rsidRDefault="006A48A0">
            <w:pPr>
              <w:spacing w:line="256" w:lineRule="auto"/>
              <w:jc w:val="right"/>
              <w:rPr>
                <w:color w:val="000000"/>
              </w:rPr>
            </w:pPr>
            <w:r w:rsidRPr="00E265AC">
              <w:rPr>
                <w:color w:val="000000"/>
              </w:rPr>
              <w:t>3.3</w:t>
            </w:r>
          </w:p>
        </w:tc>
        <w:tc>
          <w:tcPr>
            <w:tcW w:w="1491" w:type="dxa"/>
            <w:tcBorders>
              <w:top w:val="single" w:sz="4" w:space="0" w:color="auto"/>
              <w:left w:val="single" w:sz="4" w:space="0" w:color="auto"/>
              <w:bottom w:val="single" w:sz="4" w:space="0" w:color="auto"/>
              <w:right w:val="single" w:sz="4" w:space="0" w:color="auto"/>
            </w:tcBorders>
            <w:noWrap/>
            <w:hideMark/>
          </w:tcPr>
          <w:p w14:paraId="7EE8DD9E" w14:textId="77777777" w:rsidR="006A48A0" w:rsidRPr="00E265AC" w:rsidRDefault="006A48A0">
            <w:pPr>
              <w:spacing w:line="256" w:lineRule="auto"/>
              <w:jc w:val="right"/>
              <w:rPr>
                <w:color w:val="000000"/>
              </w:rPr>
            </w:pPr>
            <w:r w:rsidRPr="00E265AC">
              <w:rPr>
                <w:color w:val="000000"/>
              </w:rPr>
              <w:t>1.8</w:t>
            </w:r>
          </w:p>
        </w:tc>
      </w:tr>
      <w:tr w:rsidR="006A48A0" w:rsidRPr="00E265AC" w14:paraId="4DBCE3E6"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5A3A99AD" w14:textId="77777777" w:rsidR="006A48A0" w:rsidRPr="00E265AC" w:rsidRDefault="006A48A0">
            <w:pPr>
              <w:spacing w:line="256" w:lineRule="auto"/>
              <w:rPr>
                <w:color w:val="000000"/>
              </w:rPr>
            </w:pPr>
            <w:r w:rsidRPr="00E265AC">
              <w:rPr>
                <w:color w:val="000000"/>
              </w:rPr>
              <w:t>Calming (e.g., relax, relief, prayer)</w:t>
            </w:r>
          </w:p>
        </w:tc>
        <w:tc>
          <w:tcPr>
            <w:tcW w:w="1420" w:type="dxa"/>
            <w:tcBorders>
              <w:top w:val="single" w:sz="4" w:space="0" w:color="auto"/>
              <w:left w:val="single" w:sz="4" w:space="0" w:color="auto"/>
              <w:bottom w:val="single" w:sz="4" w:space="0" w:color="auto"/>
              <w:right w:val="single" w:sz="4" w:space="0" w:color="auto"/>
            </w:tcBorders>
            <w:noWrap/>
            <w:hideMark/>
          </w:tcPr>
          <w:p w14:paraId="15266C40" w14:textId="77777777" w:rsidR="006A48A0" w:rsidRPr="00E265AC" w:rsidRDefault="006A48A0">
            <w:pPr>
              <w:spacing w:line="256" w:lineRule="auto"/>
              <w:jc w:val="right"/>
              <w:rPr>
                <w:color w:val="000000"/>
              </w:rPr>
            </w:pPr>
            <w:r w:rsidRPr="00E265AC">
              <w:rPr>
                <w:color w:val="000000"/>
              </w:rPr>
              <w:t>0.4</w:t>
            </w:r>
          </w:p>
        </w:tc>
        <w:tc>
          <w:tcPr>
            <w:tcW w:w="1491"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Pr>
          <w:p w14:paraId="7E138406" w14:textId="77777777" w:rsidR="006A48A0" w:rsidRPr="00E265AC" w:rsidRDefault="006A48A0">
            <w:pPr>
              <w:spacing w:line="256" w:lineRule="auto"/>
              <w:jc w:val="right"/>
              <w:rPr>
                <w:color w:val="000000"/>
              </w:rPr>
            </w:pPr>
          </w:p>
        </w:tc>
      </w:tr>
      <w:tr w:rsidR="006A48A0" w:rsidRPr="00E265AC" w14:paraId="11037EFA"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627FC2FF" w14:textId="77777777" w:rsidR="006A48A0" w:rsidRPr="00E265AC" w:rsidRDefault="006A48A0">
            <w:pPr>
              <w:spacing w:line="256" w:lineRule="auto"/>
              <w:rPr>
                <w:color w:val="000000"/>
              </w:rPr>
            </w:pPr>
            <w:r w:rsidRPr="00E265AC">
              <w:rPr>
                <w:color w:val="000000"/>
              </w:rPr>
              <w:t>Challenging (e.g., challenge, difficult, a struggle)</w:t>
            </w:r>
          </w:p>
        </w:tc>
        <w:tc>
          <w:tcPr>
            <w:tcW w:w="1420" w:type="dxa"/>
            <w:tcBorders>
              <w:top w:val="single" w:sz="4" w:space="0" w:color="auto"/>
              <w:left w:val="single" w:sz="4" w:space="0" w:color="auto"/>
              <w:bottom w:val="single" w:sz="4" w:space="0" w:color="auto"/>
              <w:right w:val="single" w:sz="4" w:space="0" w:color="auto"/>
            </w:tcBorders>
            <w:noWrap/>
            <w:hideMark/>
          </w:tcPr>
          <w:p w14:paraId="5A68A5AC" w14:textId="77777777" w:rsidR="006A48A0" w:rsidRPr="00E265AC" w:rsidRDefault="006A48A0">
            <w:pPr>
              <w:spacing w:line="256" w:lineRule="auto"/>
              <w:jc w:val="right"/>
              <w:rPr>
                <w:color w:val="000000"/>
              </w:rPr>
            </w:pPr>
            <w:r w:rsidRPr="00E265AC">
              <w:rPr>
                <w:color w:val="000000"/>
              </w:rPr>
              <w:t>1.8</w:t>
            </w:r>
          </w:p>
        </w:tc>
        <w:tc>
          <w:tcPr>
            <w:tcW w:w="1491" w:type="dxa"/>
            <w:tcBorders>
              <w:top w:val="single" w:sz="4" w:space="0" w:color="auto"/>
              <w:left w:val="single" w:sz="4" w:space="0" w:color="auto"/>
              <w:bottom w:val="single" w:sz="4" w:space="0" w:color="auto"/>
              <w:right w:val="single" w:sz="4" w:space="0" w:color="auto"/>
            </w:tcBorders>
            <w:noWrap/>
            <w:hideMark/>
          </w:tcPr>
          <w:p w14:paraId="7BA8AD0B" w14:textId="77777777" w:rsidR="006A48A0" w:rsidRPr="00E265AC" w:rsidRDefault="006A48A0">
            <w:pPr>
              <w:spacing w:line="256" w:lineRule="auto"/>
              <w:jc w:val="right"/>
              <w:rPr>
                <w:color w:val="000000"/>
              </w:rPr>
            </w:pPr>
            <w:r w:rsidRPr="00E265AC">
              <w:rPr>
                <w:color w:val="000000"/>
              </w:rPr>
              <w:t>1.8</w:t>
            </w:r>
          </w:p>
        </w:tc>
      </w:tr>
      <w:tr w:rsidR="006A48A0" w:rsidRPr="00E265AC" w14:paraId="205A263B"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4E2AF996" w14:textId="77777777" w:rsidR="006A48A0" w:rsidRPr="00E265AC" w:rsidRDefault="006A48A0">
            <w:pPr>
              <w:spacing w:line="256" w:lineRule="auto"/>
              <w:rPr>
                <w:color w:val="000000"/>
              </w:rPr>
            </w:pPr>
            <w:r w:rsidRPr="00E265AC">
              <w:rPr>
                <w:color w:val="000000"/>
              </w:rPr>
              <w:t>Conditions (e.g., lesion, brain health issue, condition)</w:t>
            </w:r>
          </w:p>
        </w:tc>
        <w:tc>
          <w:tcPr>
            <w:tcW w:w="142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Pr>
          <w:p w14:paraId="61B5D53E" w14:textId="77777777" w:rsidR="006A48A0" w:rsidRPr="00E265AC" w:rsidRDefault="006A48A0">
            <w:pPr>
              <w:spacing w:line="256" w:lineRule="auto"/>
              <w:jc w:val="right"/>
              <w:rPr>
                <w:color w:val="000000"/>
              </w:rPr>
            </w:pPr>
          </w:p>
        </w:tc>
        <w:tc>
          <w:tcPr>
            <w:tcW w:w="1491" w:type="dxa"/>
            <w:tcBorders>
              <w:top w:val="single" w:sz="4" w:space="0" w:color="auto"/>
              <w:left w:val="single" w:sz="4" w:space="0" w:color="auto"/>
              <w:bottom w:val="single" w:sz="4" w:space="0" w:color="auto"/>
              <w:right w:val="single" w:sz="4" w:space="0" w:color="auto"/>
            </w:tcBorders>
            <w:noWrap/>
            <w:hideMark/>
          </w:tcPr>
          <w:p w14:paraId="17C29EFE" w14:textId="77777777" w:rsidR="006A48A0" w:rsidRPr="00E265AC" w:rsidRDefault="006A48A0">
            <w:pPr>
              <w:spacing w:line="256" w:lineRule="auto"/>
              <w:jc w:val="right"/>
              <w:rPr>
                <w:color w:val="000000"/>
              </w:rPr>
            </w:pPr>
            <w:r w:rsidRPr="00E265AC">
              <w:rPr>
                <w:color w:val="000000"/>
              </w:rPr>
              <w:t>1.2</w:t>
            </w:r>
          </w:p>
        </w:tc>
      </w:tr>
      <w:tr w:rsidR="006A48A0" w:rsidRPr="00E265AC" w14:paraId="31351A2E"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3D796280" w14:textId="77777777" w:rsidR="006A48A0" w:rsidRPr="00E265AC" w:rsidRDefault="006A48A0">
            <w:pPr>
              <w:spacing w:line="256" w:lineRule="auto"/>
              <w:rPr>
                <w:color w:val="000000"/>
              </w:rPr>
            </w:pPr>
            <w:r w:rsidRPr="00E265AC">
              <w:rPr>
                <w:color w:val="000000"/>
              </w:rPr>
              <w:t xml:space="preserve">Coping strategies (e.g., cope with it, sing a song, don’t think about it) </w:t>
            </w:r>
          </w:p>
        </w:tc>
        <w:tc>
          <w:tcPr>
            <w:tcW w:w="1420" w:type="dxa"/>
            <w:tcBorders>
              <w:top w:val="single" w:sz="4" w:space="0" w:color="auto"/>
              <w:left w:val="single" w:sz="4" w:space="0" w:color="auto"/>
              <w:bottom w:val="single" w:sz="4" w:space="0" w:color="auto"/>
              <w:right w:val="single" w:sz="4" w:space="0" w:color="auto"/>
            </w:tcBorders>
            <w:noWrap/>
            <w:hideMark/>
          </w:tcPr>
          <w:p w14:paraId="74C4A3C2" w14:textId="77777777" w:rsidR="006A48A0" w:rsidRPr="00E265AC" w:rsidRDefault="006A48A0">
            <w:pPr>
              <w:spacing w:line="256" w:lineRule="auto"/>
              <w:jc w:val="right"/>
              <w:rPr>
                <w:color w:val="000000"/>
              </w:rPr>
            </w:pPr>
            <w:r w:rsidRPr="00E265AC">
              <w:rPr>
                <w:color w:val="000000"/>
              </w:rPr>
              <w:t>0.6</w:t>
            </w:r>
          </w:p>
        </w:tc>
        <w:tc>
          <w:tcPr>
            <w:tcW w:w="1491" w:type="dxa"/>
            <w:tcBorders>
              <w:top w:val="single" w:sz="4" w:space="0" w:color="auto"/>
              <w:left w:val="single" w:sz="4" w:space="0" w:color="auto"/>
              <w:bottom w:val="single" w:sz="4" w:space="0" w:color="auto"/>
              <w:right w:val="single" w:sz="4" w:space="0" w:color="auto"/>
            </w:tcBorders>
            <w:noWrap/>
            <w:hideMark/>
          </w:tcPr>
          <w:p w14:paraId="36CB52D2" w14:textId="77777777" w:rsidR="006A48A0" w:rsidRPr="00E265AC" w:rsidRDefault="006A48A0">
            <w:pPr>
              <w:spacing w:line="256" w:lineRule="auto"/>
              <w:jc w:val="right"/>
              <w:rPr>
                <w:color w:val="000000"/>
              </w:rPr>
            </w:pPr>
            <w:r w:rsidRPr="00E265AC">
              <w:rPr>
                <w:color w:val="000000"/>
              </w:rPr>
              <w:t>1.8</w:t>
            </w:r>
          </w:p>
        </w:tc>
      </w:tr>
      <w:tr w:rsidR="006A48A0" w:rsidRPr="00E265AC" w14:paraId="2B4BAD0C"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5D3A3305" w14:textId="77777777" w:rsidR="006A48A0" w:rsidRPr="00E265AC" w:rsidRDefault="006A48A0">
            <w:pPr>
              <w:spacing w:line="256" w:lineRule="auto"/>
              <w:rPr>
                <w:color w:val="000000"/>
              </w:rPr>
            </w:pPr>
            <w:r w:rsidRPr="00E265AC">
              <w:rPr>
                <w:color w:val="000000"/>
              </w:rPr>
              <w:t>Debilitating (e.g., disability, illness, handicap, impairing)</w:t>
            </w:r>
          </w:p>
        </w:tc>
        <w:tc>
          <w:tcPr>
            <w:tcW w:w="1420" w:type="dxa"/>
            <w:tcBorders>
              <w:top w:val="single" w:sz="4" w:space="0" w:color="auto"/>
              <w:left w:val="single" w:sz="4" w:space="0" w:color="auto"/>
              <w:bottom w:val="single" w:sz="4" w:space="0" w:color="auto"/>
              <w:right w:val="single" w:sz="4" w:space="0" w:color="auto"/>
            </w:tcBorders>
            <w:noWrap/>
            <w:hideMark/>
          </w:tcPr>
          <w:p w14:paraId="1CC43EA1" w14:textId="77777777" w:rsidR="006A48A0" w:rsidRPr="00E265AC" w:rsidRDefault="006A48A0">
            <w:pPr>
              <w:spacing w:line="256" w:lineRule="auto"/>
              <w:jc w:val="right"/>
              <w:rPr>
                <w:color w:val="000000"/>
              </w:rPr>
            </w:pPr>
            <w:r w:rsidRPr="00E265AC">
              <w:rPr>
                <w:color w:val="000000"/>
              </w:rPr>
              <w:t>2.7</w:t>
            </w:r>
          </w:p>
        </w:tc>
        <w:tc>
          <w:tcPr>
            <w:tcW w:w="1491" w:type="dxa"/>
            <w:tcBorders>
              <w:top w:val="single" w:sz="4" w:space="0" w:color="auto"/>
              <w:left w:val="single" w:sz="4" w:space="0" w:color="auto"/>
              <w:bottom w:val="single" w:sz="4" w:space="0" w:color="auto"/>
              <w:right w:val="single" w:sz="4" w:space="0" w:color="auto"/>
            </w:tcBorders>
            <w:noWrap/>
            <w:hideMark/>
          </w:tcPr>
          <w:p w14:paraId="2FA36AF9" w14:textId="77777777" w:rsidR="006A48A0" w:rsidRPr="00E265AC" w:rsidRDefault="006A48A0">
            <w:pPr>
              <w:spacing w:line="256" w:lineRule="auto"/>
              <w:jc w:val="right"/>
              <w:rPr>
                <w:color w:val="000000"/>
              </w:rPr>
            </w:pPr>
            <w:r w:rsidRPr="00E265AC">
              <w:rPr>
                <w:color w:val="000000"/>
              </w:rPr>
              <w:t>2.2</w:t>
            </w:r>
          </w:p>
        </w:tc>
      </w:tr>
      <w:tr w:rsidR="006A48A0" w:rsidRPr="00E265AC" w14:paraId="7D36F66E"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113A6FFE" w14:textId="77777777" w:rsidR="006A48A0" w:rsidRPr="00E265AC" w:rsidRDefault="006A48A0">
            <w:pPr>
              <w:spacing w:line="256" w:lineRule="auto"/>
              <w:rPr>
                <w:color w:val="000000"/>
              </w:rPr>
            </w:pPr>
            <w:r w:rsidRPr="00E265AC">
              <w:rPr>
                <w:color w:val="000000"/>
              </w:rPr>
              <w:t>Depressing (e.g., depression, depressing, suicide)</w:t>
            </w:r>
          </w:p>
        </w:tc>
        <w:tc>
          <w:tcPr>
            <w:tcW w:w="1420" w:type="dxa"/>
            <w:tcBorders>
              <w:top w:val="single" w:sz="4" w:space="0" w:color="auto"/>
              <w:left w:val="single" w:sz="4" w:space="0" w:color="auto"/>
              <w:bottom w:val="single" w:sz="4" w:space="0" w:color="auto"/>
              <w:right w:val="single" w:sz="4" w:space="0" w:color="auto"/>
            </w:tcBorders>
            <w:noWrap/>
            <w:hideMark/>
          </w:tcPr>
          <w:p w14:paraId="09E71375" w14:textId="77777777" w:rsidR="006A48A0" w:rsidRPr="00E265AC" w:rsidRDefault="006A48A0">
            <w:pPr>
              <w:spacing w:line="256" w:lineRule="auto"/>
              <w:jc w:val="right"/>
              <w:rPr>
                <w:color w:val="000000"/>
              </w:rPr>
            </w:pPr>
            <w:r w:rsidRPr="00E265AC">
              <w:rPr>
                <w:color w:val="000000"/>
              </w:rPr>
              <w:t>1.2</w:t>
            </w:r>
          </w:p>
        </w:tc>
        <w:tc>
          <w:tcPr>
            <w:tcW w:w="1491" w:type="dxa"/>
            <w:tcBorders>
              <w:top w:val="single" w:sz="4" w:space="0" w:color="auto"/>
              <w:left w:val="single" w:sz="4" w:space="0" w:color="auto"/>
              <w:bottom w:val="single" w:sz="4" w:space="0" w:color="auto"/>
              <w:right w:val="single" w:sz="4" w:space="0" w:color="auto"/>
            </w:tcBorders>
            <w:noWrap/>
            <w:hideMark/>
          </w:tcPr>
          <w:p w14:paraId="00E21B1E" w14:textId="77777777" w:rsidR="006A48A0" w:rsidRPr="00E265AC" w:rsidRDefault="006A48A0">
            <w:pPr>
              <w:spacing w:line="256" w:lineRule="auto"/>
              <w:jc w:val="right"/>
              <w:rPr>
                <w:color w:val="000000"/>
              </w:rPr>
            </w:pPr>
            <w:r w:rsidRPr="00E265AC">
              <w:rPr>
                <w:color w:val="000000"/>
              </w:rPr>
              <w:t>1.0</w:t>
            </w:r>
          </w:p>
        </w:tc>
      </w:tr>
      <w:tr w:rsidR="006A48A0" w:rsidRPr="00E265AC" w14:paraId="666AED5C"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4098E46E" w14:textId="77777777" w:rsidR="006A48A0" w:rsidRPr="00E265AC" w:rsidRDefault="006A48A0">
            <w:pPr>
              <w:spacing w:line="256" w:lineRule="auto"/>
              <w:rPr>
                <w:color w:val="000000"/>
              </w:rPr>
            </w:pPr>
            <w:r w:rsidRPr="00E265AC">
              <w:rPr>
                <w:color w:val="000000"/>
              </w:rPr>
              <w:t>A term describing the tinnitus (e.g., ringing, high-pitched, noise, buzz, loud, piercing)</w:t>
            </w:r>
          </w:p>
        </w:tc>
        <w:tc>
          <w:tcPr>
            <w:tcW w:w="1420" w:type="dxa"/>
            <w:tcBorders>
              <w:top w:val="single" w:sz="4" w:space="0" w:color="auto"/>
              <w:left w:val="single" w:sz="4" w:space="0" w:color="auto"/>
              <w:bottom w:val="single" w:sz="4" w:space="0" w:color="auto"/>
              <w:right w:val="single" w:sz="4" w:space="0" w:color="auto"/>
            </w:tcBorders>
            <w:noWrap/>
            <w:hideMark/>
          </w:tcPr>
          <w:p w14:paraId="448028C0" w14:textId="77777777" w:rsidR="006A48A0" w:rsidRPr="00E265AC" w:rsidRDefault="006A48A0">
            <w:pPr>
              <w:spacing w:line="256" w:lineRule="auto"/>
              <w:jc w:val="right"/>
              <w:rPr>
                <w:color w:val="000000"/>
              </w:rPr>
            </w:pPr>
            <w:r w:rsidRPr="00E265AC">
              <w:rPr>
                <w:color w:val="000000"/>
              </w:rPr>
              <w:t>15.7</w:t>
            </w:r>
          </w:p>
        </w:tc>
        <w:tc>
          <w:tcPr>
            <w:tcW w:w="1491" w:type="dxa"/>
            <w:tcBorders>
              <w:top w:val="single" w:sz="4" w:space="0" w:color="auto"/>
              <w:left w:val="single" w:sz="4" w:space="0" w:color="auto"/>
              <w:bottom w:val="single" w:sz="4" w:space="0" w:color="auto"/>
              <w:right w:val="single" w:sz="4" w:space="0" w:color="auto"/>
            </w:tcBorders>
            <w:noWrap/>
            <w:hideMark/>
          </w:tcPr>
          <w:p w14:paraId="03A830F6" w14:textId="77777777" w:rsidR="006A48A0" w:rsidRPr="00E265AC" w:rsidRDefault="006A48A0">
            <w:pPr>
              <w:spacing w:line="256" w:lineRule="auto"/>
              <w:jc w:val="right"/>
              <w:rPr>
                <w:color w:val="000000"/>
              </w:rPr>
            </w:pPr>
            <w:r w:rsidRPr="00E265AC">
              <w:rPr>
                <w:color w:val="000000"/>
              </w:rPr>
              <w:t>21.0</w:t>
            </w:r>
          </w:p>
        </w:tc>
      </w:tr>
      <w:tr w:rsidR="006A48A0" w:rsidRPr="00E265AC" w14:paraId="56AC2B1A"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2F20D1C4" w14:textId="77777777" w:rsidR="006A48A0" w:rsidRPr="00E265AC" w:rsidRDefault="006A48A0">
            <w:pPr>
              <w:spacing w:line="256" w:lineRule="auto"/>
              <w:rPr>
                <w:color w:val="000000"/>
              </w:rPr>
            </w:pPr>
            <w:r w:rsidRPr="00E265AC">
              <w:rPr>
                <w:color w:val="000000"/>
              </w:rPr>
              <w:t>Determination (e.g., cope, beatable with right mindset, I can overcome this)</w:t>
            </w:r>
          </w:p>
        </w:tc>
        <w:tc>
          <w:tcPr>
            <w:tcW w:w="1420" w:type="dxa"/>
            <w:tcBorders>
              <w:top w:val="single" w:sz="4" w:space="0" w:color="auto"/>
              <w:left w:val="single" w:sz="4" w:space="0" w:color="auto"/>
              <w:bottom w:val="single" w:sz="4" w:space="0" w:color="auto"/>
              <w:right w:val="single" w:sz="4" w:space="0" w:color="auto"/>
            </w:tcBorders>
            <w:noWrap/>
            <w:hideMark/>
          </w:tcPr>
          <w:p w14:paraId="191C22E6" w14:textId="77777777" w:rsidR="006A48A0" w:rsidRPr="00E265AC" w:rsidRDefault="006A48A0">
            <w:pPr>
              <w:spacing w:line="256" w:lineRule="auto"/>
              <w:jc w:val="right"/>
              <w:rPr>
                <w:color w:val="000000"/>
              </w:rPr>
            </w:pPr>
            <w:r w:rsidRPr="00E265AC">
              <w:rPr>
                <w:color w:val="000000"/>
              </w:rPr>
              <w:t>1.2</w:t>
            </w:r>
          </w:p>
        </w:tc>
        <w:tc>
          <w:tcPr>
            <w:tcW w:w="1491"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Pr>
          <w:p w14:paraId="67738B19" w14:textId="77777777" w:rsidR="006A48A0" w:rsidRPr="00E265AC" w:rsidRDefault="006A48A0">
            <w:pPr>
              <w:spacing w:line="256" w:lineRule="auto"/>
              <w:jc w:val="right"/>
              <w:rPr>
                <w:color w:val="000000"/>
              </w:rPr>
            </w:pPr>
          </w:p>
        </w:tc>
      </w:tr>
      <w:tr w:rsidR="006A48A0" w:rsidRPr="00E265AC" w14:paraId="54CB28D5"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25FE694D" w14:textId="77777777" w:rsidR="006A48A0" w:rsidRPr="00E265AC" w:rsidRDefault="006A48A0">
            <w:pPr>
              <w:spacing w:line="256" w:lineRule="auto"/>
              <w:rPr>
                <w:color w:val="000000"/>
              </w:rPr>
            </w:pPr>
            <w:r w:rsidRPr="00E265AC">
              <w:rPr>
                <w:color w:val="000000"/>
              </w:rPr>
              <w:t xml:space="preserve">Distracting (e.g., distraction, hard to concentrate, focusing </w:t>
            </w:r>
          </w:p>
        </w:tc>
        <w:tc>
          <w:tcPr>
            <w:tcW w:w="1420" w:type="dxa"/>
            <w:tcBorders>
              <w:top w:val="single" w:sz="4" w:space="0" w:color="auto"/>
              <w:left w:val="single" w:sz="4" w:space="0" w:color="auto"/>
              <w:bottom w:val="single" w:sz="4" w:space="0" w:color="auto"/>
              <w:right w:val="single" w:sz="4" w:space="0" w:color="auto"/>
            </w:tcBorders>
            <w:noWrap/>
            <w:hideMark/>
          </w:tcPr>
          <w:p w14:paraId="2C1A752F" w14:textId="77777777" w:rsidR="006A48A0" w:rsidRPr="00E265AC" w:rsidRDefault="006A48A0">
            <w:pPr>
              <w:spacing w:line="256" w:lineRule="auto"/>
              <w:jc w:val="right"/>
              <w:rPr>
                <w:color w:val="000000"/>
              </w:rPr>
            </w:pPr>
            <w:r w:rsidRPr="00E265AC">
              <w:rPr>
                <w:color w:val="000000"/>
              </w:rPr>
              <w:t>4.1</w:t>
            </w:r>
          </w:p>
        </w:tc>
        <w:tc>
          <w:tcPr>
            <w:tcW w:w="1491" w:type="dxa"/>
            <w:tcBorders>
              <w:top w:val="single" w:sz="4" w:space="0" w:color="auto"/>
              <w:left w:val="single" w:sz="4" w:space="0" w:color="auto"/>
              <w:bottom w:val="single" w:sz="4" w:space="0" w:color="auto"/>
              <w:right w:val="single" w:sz="4" w:space="0" w:color="auto"/>
            </w:tcBorders>
            <w:noWrap/>
            <w:hideMark/>
          </w:tcPr>
          <w:p w14:paraId="0E0E471F" w14:textId="77777777" w:rsidR="006A48A0" w:rsidRPr="00E265AC" w:rsidRDefault="006A48A0">
            <w:pPr>
              <w:spacing w:line="256" w:lineRule="auto"/>
              <w:jc w:val="right"/>
              <w:rPr>
                <w:color w:val="000000"/>
              </w:rPr>
            </w:pPr>
            <w:r w:rsidRPr="00E265AC">
              <w:rPr>
                <w:color w:val="000000"/>
              </w:rPr>
              <w:t>4.0</w:t>
            </w:r>
          </w:p>
        </w:tc>
      </w:tr>
      <w:tr w:rsidR="006A48A0" w:rsidRPr="00E265AC" w14:paraId="6666BC17"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10EA528B" w14:textId="77777777" w:rsidR="006A48A0" w:rsidRPr="00E265AC" w:rsidRDefault="006A48A0">
            <w:pPr>
              <w:spacing w:line="256" w:lineRule="auto"/>
              <w:rPr>
                <w:color w:val="000000"/>
              </w:rPr>
            </w:pPr>
            <w:r w:rsidRPr="00E265AC">
              <w:rPr>
                <w:color w:val="000000"/>
              </w:rPr>
              <w:t>Distressing (e.g., overwhelming, anxiety, panic)</w:t>
            </w:r>
          </w:p>
        </w:tc>
        <w:tc>
          <w:tcPr>
            <w:tcW w:w="1420" w:type="dxa"/>
            <w:tcBorders>
              <w:top w:val="single" w:sz="4" w:space="0" w:color="auto"/>
              <w:left w:val="single" w:sz="4" w:space="0" w:color="auto"/>
              <w:bottom w:val="single" w:sz="4" w:space="0" w:color="auto"/>
              <w:right w:val="single" w:sz="4" w:space="0" w:color="auto"/>
            </w:tcBorders>
            <w:noWrap/>
            <w:hideMark/>
          </w:tcPr>
          <w:p w14:paraId="086D45D6" w14:textId="77777777" w:rsidR="006A48A0" w:rsidRPr="00E265AC" w:rsidRDefault="006A48A0">
            <w:pPr>
              <w:spacing w:line="256" w:lineRule="auto"/>
              <w:jc w:val="right"/>
              <w:rPr>
                <w:color w:val="000000"/>
              </w:rPr>
            </w:pPr>
            <w:r w:rsidRPr="00E265AC">
              <w:rPr>
                <w:color w:val="000000"/>
              </w:rPr>
              <w:t>4.5</w:t>
            </w:r>
          </w:p>
        </w:tc>
        <w:tc>
          <w:tcPr>
            <w:tcW w:w="1491" w:type="dxa"/>
            <w:tcBorders>
              <w:top w:val="single" w:sz="4" w:space="0" w:color="auto"/>
              <w:left w:val="single" w:sz="4" w:space="0" w:color="auto"/>
              <w:bottom w:val="single" w:sz="4" w:space="0" w:color="auto"/>
              <w:right w:val="single" w:sz="4" w:space="0" w:color="auto"/>
            </w:tcBorders>
            <w:noWrap/>
            <w:hideMark/>
          </w:tcPr>
          <w:p w14:paraId="631CE414" w14:textId="77777777" w:rsidR="006A48A0" w:rsidRPr="00E265AC" w:rsidRDefault="006A48A0">
            <w:pPr>
              <w:spacing w:line="256" w:lineRule="auto"/>
              <w:jc w:val="right"/>
              <w:rPr>
                <w:color w:val="000000"/>
              </w:rPr>
            </w:pPr>
            <w:r w:rsidRPr="00E265AC">
              <w:rPr>
                <w:color w:val="000000"/>
              </w:rPr>
              <w:t>2.2</w:t>
            </w:r>
          </w:p>
        </w:tc>
      </w:tr>
      <w:tr w:rsidR="006A48A0" w:rsidRPr="00E265AC" w14:paraId="7055C08A"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0E4A9C9E" w14:textId="77777777" w:rsidR="006A48A0" w:rsidRPr="00E265AC" w:rsidRDefault="006A48A0">
            <w:pPr>
              <w:spacing w:line="256" w:lineRule="auto"/>
              <w:rPr>
                <w:color w:val="000000"/>
              </w:rPr>
            </w:pPr>
            <w:r w:rsidRPr="00E265AC">
              <w:rPr>
                <w:color w:val="000000"/>
              </w:rPr>
              <w:t>Disturbing (e.g., noise in my head, noise really bad, screaming)</w:t>
            </w:r>
          </w:p>
        </w:tc>
        <w:tc>
          <w:tcPr>
            <w:tcW w:w="1420" w:type="dxa"/>
            <w:tcBorders>
              <w:top w:val="single" w:sz="4" w:space="0" w:color="auto"/>
              <w:left w:val="single" w:sz="4" w:space="0" w:color="auto"/>
              <w:bottom w:val="single" w:sz="4" w:space="0" w:color="auto"/>
              <w:right w:val="single" w:sz="4" w:space="0" w:color="auto"/>
            </w:tcBorders>
            <w:noWrap/>
            <w:hideMark/>
          </w:tcPr>
          <w:p w14:paraId="5F672034" w14:textId="77777777" w:rsidR="006A48A0" w:rsidRPr="00E265AC" w:rsidRDefault="006A48A0">
            <w:pPr>
              <w:spacing w:line="256" w:lineRule="auto"/>
              <w:jc w:val="right"/>
              <w:rPr>
                <w:color w:val="000000"/>
              </w:rPr>
            </w:pPr>
            <w:r w:rsidRPr="00E265AC">
              <w:rPr>
                <w:color w:val="000000"/>
              </w:rPr>
              <w:t>0.4</w:t>
            </w:r>
          </w:p>
        </w:tc>
        <w:tc>
          <w:tcPr>
            <w:tcW w:w="1491"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Pr>
          <w:p w14:paraId="124B5DAF" w14:textId="77777777" w:rsidR="006A48A0" w:rsidRPr="00E265AC" w:rsidRDefault="006A48A0">
            <w:pPr>
              <w:spacing w:line="256" w:lineRule="auto"/>
              <w:jc w:val="right"/>
              <w:rPr>
                <w:color w:val="000000"/>
              </w:rPr>
            </w:pPr>
          </w:p>
        </w:tc>
      </w:tr>
      <w:tr w:rsidR="006A48A0" w:rsidRPr="00E265AC" w14:paraId="4F2FC5C0"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24C8504A" w14:textId="77777777" w:rsidR="006A48A0" w:rsidRPr="00E265AC" w:rsidRDefault="006A48A0">
            <w:pPr>
              <w:spacing w:line="256" w:lineRule="auto"/>
              <w:rPr>
                <w:color w:val="000000"/>
              </w:rPr>
            </w:pPr>
            <w:r w:rsidRPr="00E265AC">
              <w:rPr>
                <w:color w:val="000000"/>
              </w:rPr>
              <w:t>Exhausting (e.g., exhaustion, wearing, tiresome)</w:t>
            </w:r>
          </w:p>
        </w:tc>
        <w:tc>
          <w:tcPr>
            <w:tcW w:w="1420" w:type="dxa"/>
            <w:tcBorders>
              <w:top w:val="single" w:sz="4" w:space="0" w:color="auto"/>
              <w:left w:val="single" w:sz="4" w:space="0" w:color="auto"/>
              <w:bottom w:val="single" w:sz="4" w:space="0" w:color="auto"/>
              <w:right w:val="single" w:sz="4" w:space="0" w:color="auto"/>
            </w:tcBorders>
            <w:noWrap/>
            <w:hideMark/>
          </w:tcPr>
          <w:p w14:paraId="33BCFEED" w14:textId="77777777" w:rsidR="006A48A0" w:rsidRPr="00E265AC" w:rsidRDefault="006A48A0">
            <w:pPr>
              <w:spacing w:line="256" w:lineRule="auto"/>
              <w:jc w:val="right"/>
              <w:rPr>
                <w:color w:val="000000"/>
              </w:rPr>
            </w:pPr>
            <w:r w:rsidRPr="00E265AC">
              <w:rPr>
                <w:color w:val="000000"/>
              </w:rPr>
              <w:t>2.7</w:t>
            </w:r>
          </w:p>
        </w:tc>
        <w:tc>
          <w:tcPr>
            <w:tcW w:w="1491" w:type="dxa"/>
            <w:tcBorders>
              <w:top w:val="single" w:sz="4" w:space="0" w:color="auto"/>
              <w:left w:val="single" w:sz="4" w:space="0" w:color="auto"/>
              <w:bottom w:val="single" w:sz="4" w:space="0" w:color="auto"/>
              <w:right w:val="single" w:sz="4" w:space="0" w:color="auto"/>
            </w:tcBorders>
            <w:noWrap/>
            <w:hideMark/>
          </w:tcPr>
          <w:p w14:paraId="748C8DFB" w14:textId="77777777" w:rsidR="006A48A0" w:rsidRPr="00E265AC" w:rsidRDefault="006A48A0">
            <w:pPr>
              <w:spacing w:line="256" w:lineRule="auto"/>
              <w:jc w:val="right"/>
              <w:rPr>
                <w:color w:val="000000"/>
              </w:rPr>
            </w:pPr>
            <w:r w:rsidRPr="00E265AC">
              <w:rPr>
                <w:color w:val="000000"/>
              </w:rPr>
              <w:t>2.2</w:t>
            </w:r>
          </w:p>
        </w:tc>
      </w:tr>
      <w:tr w:rsidR="006A48A0" w:rsidRPr="00E265AC" w14:paraId="0F55B6D0"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76C2426B" w14:textId="77777777" w:rsidR="006A48A0" w:rsidRPr="00E265AC" w:rsidRDefault="006A48A0">
            <w:pPr>
              <w:spacing w:line="256" w:lineRule="auto"/>
              <w:rPr>
                <w:color w:val="000000"/>
              </w:rPr>
            </w:pPr>
            <w:r w:rsidRPr="00E265AC">
              <w:rPr>
                <w:color w:val="000000"/>
              </w:rPr>
              <w:t>Frightening (e.g., worry some, claustrophobic, scary)</w:t>
            </w:r>
          </w:p>
        </w:tc>
        <w:tc>
          <w:tcPr>
            <w:tcW w:w="1420" w:type="dxa"/>
            <w:tcBorders>
              <w:top w:val="single" w:sz="4" w:space="0" w:color="auto"/>
              <w:left w:val="single" w:sz="4" w:space="0" w:color="auto"/>
              <w:bottom w:val="single" w:sz="4" w:space="0" w:color="auto"/>
              <w:right w:val="single" w:sz="4" w:space="0" w:color="auto"/>
            </w:tcBorders>
            <w:noWrap/>
            <w:hideMark/>
          </w:tcPr>
          <w:p w14:paraId="157B03C0" w14:textId="77777777" w:rsidR="006A48A0" w:rsidRPr="00E265AC" w:rsidRDefault="006A48A0">
            <w:pPr>
              <w:spacing w:line="256" w:lineRule="auto"/>
              <w:jc w:val="right"/>
              <w:rPr>
                <w:color w:val="000000"/>
              </w:rPr>
            </w:pPr>
            <w:r w:rsidRPr="00E265AC">
              <w:rPr>
                <w:color w:val="000000"/>
              </w:rPr>
              <w:t>2.1</w:t>
            </w:r>
          </w:p>
        </w:tc>
        <w:tc>
          <w:tcPr>
            <w:tcW w:w="1491" w:type="dxa"/>
            <w:tcBorders>
              <w:top w:val="single" w:sz="4" w:space="0" w:color="auto"/>
              <w:left w:val="single" w:sz="4" w:space="0" w:color="auto"/>
              <w:bottom w:val="single" w:sz="4" w:space="0" w:color="auto"/>
              <w:right w:val="single" w:sz="4" w:space="0" w:color="auto"/>
            </w:tcBorders>
            <w:noWrap/>
            <w:hideMark/>
          </w:tcPr>
          <w:p w14:paraId="2B4BA069" w14:textId="77777777" w:rsidR="006A48A0" w:rsidRPr="00E265AC" w:rsidRDefault="006A48A0">
            <w:pPr>
              <w:spacing w:line="256" w:lineRule="auto"/>
              <w:jc w:val="right"/>
              <w:rPr>
                <w:color w:val="000000"/>
              </w:rPr>
            </w:pPr>
            <w:r w:rsidRPr="00E265AC">
              <w:rPr>
                <w:color w:val="000000"/>
              </w:rPr>
              <w:t>0.6</w:t>
            </w:r>
          </w:p>
        </w:tc>
      </w:tr>
      <w:tr w:rsidR="006A48A0" w:rsidRPr="00E265AC" w14:paraId="47EF867E"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6652F4CB" w14:textId="77777777" w:rsidR="006A48A0" w:rsidRPr="00E265AC" w:rsidRDefault="006A48A0">
            <w:pPr>
              <w:spacing w:line="256" w:lineRule="auto"/>
              <w:rPr>
                <w:color w:val="000000"/>
              </w:rPr>
            </w:pPr>
            <w:r w:rsidRPr="00E265AC">
              <w:rPr>
                <w:color w:val="000000"/>
              </w:rPr>
              <w:t>Frustrating (e.g., frustrated, frustrating, maddening)</w:t>
            </w:r>
          </w:p>
        </w:tc>
        <w:tc>
          <w:tcPr>
            <w:tcW w:w="1420" w:type="dxa"/>
            <w:tcBorders>
              <w:top w:val="single" w:sz="4" w:space="0" w:color="auto"/>
              <w:left w:val="single" w:sz="4" w:space="0" w:color="auto"/>
              <w:bottom w:val="single" w:sz="4" w:space="0" w:color="auto"/>
              <w:right w:val="single" w:sz="4" w:space="0" w:color="auto"/>
            </w:tcBorders>
            <w:noWrap/>
            <w:hideMark/>
          </w:tcPr>
          <w:p w14:paraId="17860889" w14:textId="77777777" w:rsidR="006A48A0" w:rsidRPr="00E265AC" w:rsidRDefault="006A48A0">
            <w:pPr>
              <w:spacing w:line="256" w:lineRule="auto"/>
              <w:jc w:val="right"/>
              <w:rPr>
                <w:color w:val="000000"/>
              </w:rPr>
            </w:pPr>
            <w:r w:rsidRPr="00E265AC">
              <w:rPr>
                <w:color w:val="000000"/>
              </w:rPr>
              <w:t>4.7</w:t>
            </w:r>
          </w:p>
        </w:tc>
        <w:tc>
          <w:tcPr>
            <w:tcW w:w="1491" w:type="dxa"/>
            <w:tcBorders>
              <w:top w:val="single" w:sz="4" w:space="0" w:color="auto"/>
              <w:left w:val="single" w:sz="4" w:space="0" w:color="auto"/>
              <w:bottom w:val="single" w:sz="4" w:space="0" w:color="auto"/>
              <w:right w:val="single" w:sz="4" w:space="0" w:color="auto"/>
            </w:tcBorders>
            <w:noWrap/>
            <w:hideMark/>
          </w:tcPr>
          <w:p w14:paraId="0C021BC2" w14:textId="77777777" w:rsidR="006A48A0" w:rsidRPr="00E265AC" w:rsidRDefault="006A48A0">
            <w:pPr>
              <w:spacing w:line="256" w:lineRule="auto"/>
              <w:jc w:val="right"/>
              <w:rPr>
                <w:color w:val="000000"/>
              </w:rPr>
            </w:pPr>
            <w:r w:rsidRPr="00E265AC">
              <w:rPr>
                <w:color w:val="000000"/>
              </w:rPr>
              <w:t>2.4</w:t>
            </w:r>
          </w:p>
        </w:tc>
      </w:tr>
      <w:tr w:rsidR="006A48A0" w:rsidRPr="00E265AC" w14:paraId="3918B7C3"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4B075F46" w14:textId="77777777" w:rsidR="006A48A0" w:rsidRPr="00E265AC" w:rsidRDefault="006A48A0">
            <w:pPr>
              <w:spacing w:line="256" w:lineRule="auto"/>
              <w:rPr>
                <w:color w:val="000000"/>
              </w:rPr>
            </w:pPr>
            <w:r w:rsidRPr="00E265AC">
              <w:rPr>
                <w:color w:val="000000"/>
              </w:rPr>
              <w:t>Hearing difficulties (e.g., can’t hear, hard to hear, repeat)</w:t>
            </w:r>
          </w:p>
        </w:tc>
        <w:tc>
          <w:tcPr>
            <w:tcW w:w="1420" w:type="dxa"/>
            <w:tcBorders>
              <w:top w:val="single" w:sz="4" w:space="0" w:color="auto"/>
              <w:left w:val="single" w:sz="4" w:space="0" w:color="auto"/>
              <w:bottom w:val="single" w:sz="4" w:space="0" w:color="auto"/>
              <w:right w:val="single" w:sz="4" w:space="0" w:color="auto"/>
            </w:tcBorders>
            <w:noWrap/>
            <w:hideMark/>
          </w:tcPr>
          <w:p w14:paraId="74DECF8D" w14:textId="77777777" w:rsidR="006A48A0" w:rsidRPr="00E265AC" w:rsidRDefault="006A48A0">
            <w:pPr>
              <w:spacing w:line="256" w:lineRule="auto"/>
              <w:jc w:val="right"/>
              <w:rPr>
                <w:color w:val="000000"/>
              </w:rPr>
            </w:pPr>
            <w:r w:rsidRPr="00E265AC">
              <w:rPr>
                <w:color w:val="000000"/>
              </w:rPr>
              <w:t>4.7</w:t>
            </w:r>
          </w:p>
        </w:tc>
        <w:tc>
          <w:tcPr>
            <w:tcW w:w="1491" w:type="dxa"/>
            <w:tcBorders>
              <w:top w:val="single" w:sz="4" w:space="0" w:color="auto"/>
              <w:left w:val="single" w:sz="4" w:space="0" w:color="auto"/>
              <w:bottom w:val="single" w:sz="4" w:space="0" w:color="auto"/>
              <w:right w:val="single" w:sz="4" w:space="0" w:color="auto"/>
            </w:tcBorders>
            <w:noWrap/>
            <w:hideMark/>
          </w:tcPr>
          <w:p w14:paraId="22CD4D3C" w14:textId="77777777" w:rsidR="006A48A0" w:rsidRPr="00E265AC" w:rsidRDefault="006A48A0">
            <w:pPr>
              <w:spacing w:line="256" w:lineRule="auto"/>
              <w:jc w:val="right"/>
              <w:rPr>
                <w:color w:val="000000"/>
              </w:rPr>
            </w:pPr>
            <w:r w:rsidRPr="00E265AC">
              <w:rPr>
                <w:color w:val="000000"/>
              </w:rPr>
              <w:t>1.8</w:t>
            </w:r>
          </w:p>
        </w:tc>
      </w:tr>
      <w:tr w:rsidR="006A48A0" w:rsidRPr="00E265AC" w14:paraId="4ED0EA44"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044E79D4" w14:textId="77777777" w:rsidR="006A48A0" w:rsidRPr="00E265AC" w:rsidRDefault="006A48A0">
            <w:pPr>
              <w:spacing w:line="256" w:lineRule="auto"/>
              <w:rPr>
                <w:color w:val="000000"/>
              </w:rPr>
            </w:pPr>
            <w:r w:rsidRPr="00E265AC">
              <w:rPr>
                <w:color w:val="000000"/>
              </w:rPr>
              <w:t>Hearing health (e.g., ear health, ears, hearing)</w:t>
            </w:r>
          </w:p>
        </w:tc>
        <w:tc>
          <w:tcPr>
            <w:tcW w:w="142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Pr>
          <w:p w14:paraId="51A46027" w14:textId="77777777" w:rsidR="006A48A0" w:rsidRPr="00E265AC" w:rsidRDefault="006A48A0">
            <w:pPr>
              <w:spacing w:line="256" w:lineRule="auto"/>
              <w:jc w:val="right"/>
              <w:rPr>
                <w:color w:val="000000"/>
              </w:rPr>
            </w:pPr>
          </w:p>
        </w:tc>
        <w:tc>
          <w:tcPr>
            <w:tcW w:w="1491"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2A09A378" w14:textId="77777777" w:rsidR="006A48A0" w:rsidRPr="00E265AC" w:rsidRDefault="006A48A0">
            <w:pPr>
              <w:spacing w:line="256" w:lineRule="auto"/>
              <w:jc w:val="right"/>
              <w:rPr>
                <w:color w:val="000000"/>
              </w:rPr>
            </w:pPr>
            <w:r w:rsidRPr="00E265AC">
              <w:rPr>
                <w:color w:val="000000"/>
              </w:rPr>
              <w:t>0.6</w:t>
            </w:r>
          </w:p>
        </w:tc>
      </w:tr>
      <w:tr w:rsidR="006A48A0" w:rsidRPr="00E265AC" w14:paraId="73E07E0E"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3FB80AF8" w14:textId="77777777" w:rsidR="006A48A0" w:rsidRPr="00E265AC" w:rsidRDefault="006A48A0">
            <w:pPr>
              <w:spacing w:line="256" w:lineRule="auto"/>
              <w:rPr>
                <w:color w:val="000000"/>
              </w:rPr>
            </w:pPr>
            <w:r w:rsidRPr="00E265AC">
              <w:rPr>
                <w:color w:val="000000"/>
              </w:rPr>
              <w:t>Helplessness (e.g., helpless, no cure, incurable)</w:t>
            </w:r>
          </w:p>
        </w:tc>
        <w:tc>
          <w:tcPr>
            <w:tcW w:w="1420" w:type="dxa"/>
            <w:tcBorders>
              <w:top w:val="single" w:sz="4" w:space="0" w:color="auto"/>
              <w:left w:val="single" w:sz="4" w:space="0" w:color="auto"/>
              <w:bottom w:val="single" w:sz="4" w:space="0" w:color="auto"/>
              <w:right w:val="single" w:sz="4" w:space="0" w:color="auto"/>
            </w:tcBorders>
            <w:noWrap/>
            <w:hideMark/>
          </w:tcPr>
          <w:p w14:paraId="1289A4E3" w14:textId="77777777" w:rsidR="006A48A0" w:rsidRPr="00E265AC" w:rsidRDefault="006A48A0">
            <w:pPr>
              <w:spacing w:line="256" w:lineRule="auto"/>
              <w:jc w:val="right"/>
              <w:rPr>
                <w:color w:val="000000"/>
              </w:rPr>
            </w:pPr>
            <w:r w:rsidRPr="00E265AC">
              <w:rPr>
                <w:color w:val="000000"/>
              </w:rPr>
              <w:t>2.9</w:t>
            </w:r>
          </w:p>
        </w:tc>
        <w:tc>
          <w:tcPr>
            <w:tcW w:w="1491" w:type="dxa"/>
            <w:tcBorders>
              <w:top w:val="single" w:sz="4" w:space="0" w:color="auto"/>
              <w:left w:val="single" w:sz="4" w:space="0" w:color="auto"/>
              <w:bottom w:val="single" w:sz="4" w:space="0" w:color="auto"/>
              <w:right w:val="single" w:sz="4" w:space="0" w:color="auto"/>
            </w:tcBorders>
            <w:noWrap/>
            <w:hideMark/>
          </w:tcPr>
          <w:p w14:paraId="4587554E" w14:textId="77777777" w:rsidR="006A48A0" w:rsidRPr="00E265AC" w:rsidRDefault="006A48A0">
            <w:pPr>
              <w:spacing w:line="256" w:lineRule="auto"/>
              <w:jc w:val="right"/>
              <w:rPr>
                <w:color w:val="000000"/>
              </w:rPr>
            </w:pPr>
            <w:r w:rsidRPr="00E265AC">
              <w:rPr>
                <w:color w:val="000000"/>
              </w:rPr>
              <w:t>1.0</w:t>
            </w:r>
          </w:p>
        </w:tc>
      </w:tr>
      <w:tr w:rsidR="006A48A0" w:rsidRPr="00E265AC" w14:paraId="1CABBE35"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0650CE6F" w14:textId="77777777" w:rsidR="006A48A0" w:rsidRPr="00E265AC" w:rsidRDefault="006A48A0">
            <w:pPr>
              <w:spacing w:line="256" w:lineRule="auto"/>
              <w:rPr>
                <w:color w:val="000000"/>
              </w:rPr>
            </w:pPr>
            <w:r w:rsidRPr="00E265AC">
              <w:rPr>
                <w:color w:val="000000"/>
              </w:rPr>
              <w:t>Hopeful (e.g., hope, coping, find improvement)</w:t>
            </w:r>
          </w:p>
        </w:tc>
        <w:tc>
          <w:tcPr>
            <w:tcW w:w="1420" w:type="dxa"/>
            <w:tcBorders>
              <w:top w:val="single" w:sz="4" w:space="0" w:color="auto"/>
              <w:left w:val="single" w:sz="4" w:space="0" w:color="auto"/>
              <w:bottom w:val="single" w:sz="4" w:space="0" w:color="auto"/>
              <w:right w:val="single" w:sz="4" w:space="0" w:color="auto"/>
            </w:tcBorders>
            <w:noWrap/>
            <w:hideMark/>
          </w:tcPr>
          <w:p w14:paraId="650C28CD" w14:textId="77777777" w:rsidR="006A48A0" w:rsidRPr="00E265AC" w:rsidRDefault="006A48A0">
            <w:pPr>
              <w:spacing w:line="256" w:lineRule="auto"/>
              <w:jc w:val="right"/>
              <w:rPr>
                <w:color w:val="000000"/>
              </w:rPr>
            </w:pPr>
            <w:r w:rsidRPr="00E265AC">
              <w:rPr>
                <w:color w:val="000000"/>
              </w:rPr>
              <w:t>1.2</w:t>
            </w:r>
          </w:p>
        </w:tc>
        <w:tc>
          <w:tcPr>
            <w:tcW w:w="1491" w:type="dxa"/>
            <w:tcBorders>
              <w:top w:val="single" w:sz="4" w:space="0" w:color="auto"/>
              <w:left w:val="single" w:sz="4" w:space="0" w:color="auto"/>
              <w:bottom w:val="single" w:sz="4" w:space="0" w:color="auto"/>
              <w:right w:val="single" w:sz="4" w:space="0" w:color="auto"/>
            </w:tcBorders>
            <w:noWrap/>
            <w:hideMark/>
          </w:tcPr>
          <w:p w14:paraId="1E862E52" w14:textId="77777777" w:rsidR="006A48A0" w:rsidRPr="00E265AC" w:rsidRDefault="006A48A0">
            <w:pPr>
              <w:spacing w:line="256" w:lineRule="auto"/>
              <w:jc w:val="right"/>
              <w:rPr>
                <w:color w:val="000000"/>
              </w:rPr>
            </w:pPr>
            <w:r w:rsidRPr="00E265AC">
              <w:rPr>
                <w:color w:val="000000"/>
              </w:rPr>
              <w:t>1.2</w:t>
            </w:r>
          </w:p>
        </w:tc>
      </w:tr>
      <w:tr w:rsidR="006A48A0" w:rsidRPr="00E265AC" w14:paraId="4FDCD916"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03ACB67F" w14:textId="77777777" w:rsidR="006A48A0" w:rsidRPr="00E265AC" w:rsidRDefault="006A48A0">
            <w:pPr>
              <w:spacing w:line="256" w:lineRule="auto"/>
              <w:rPr>
                <w:color w:val="000000"/>
              </w:rPr>
            </w:pPr>
            <w:r w:rsidRPr="00E265AC">
              <w:rPr>
                <w:color w:val="000000"/>
              </w:rPr>
              <w:t>Horrible (e.g., crazy, horror, horrible disease)</w:t>
            </w:r>
          </w:p>
        </w:tc>
        <w:tc>
          <w:tcPr>
            <w:tcW w:w="1420" w:type="dxa"/>
            <w:tcBorders>
              <w:top w:val="single" w:sz="4" w:space="0" w:color="auto"/>
              <w:left w:val="single" w:sz="4" w:space="0" w:color="auto"/>
              <w:bottom w:val="single" w:sz="4" w:space="0" w:color="auto"/>
              <w:right w:val="single" w:sz="4" w:space="0" w:color="auto"/>
            </w:tcBorders>
            <w:noWrap/>
            <w:hideMark/>
          </w:tcPr>
          <w:p w14:paraId="13E1E54E" w14:textId="77777777" w:rsidR="006A48A0" w:rsidRPr="00E265AC" w:rsidRDefault="006A48A0">
            <w:pPr>
              <w:spacing w:line="256" w:lineRule="auto"/>
              <w:jc w:val="right"/>
              <w:rPr>
                <w:color w:val="000000"/>
              </w:rPr>
            </w:pPr>
            <w:r w:rsidRPr="00E265AC">
              <w:rPr>
                <w:color w:val="000000"/>
              </w:rPr>
              <w:t>2.1</w:t>
            </w:r>
          </w:p>
        </w:tc>
        <w:tc>
          <w:tcPr>
            <w:tcW w:w="1491" w:type="dxa"/>
            <w:tcBorders>
              <w:top w:val="single" w:sz="4" w:space="0" w:color="auto"/>
              <w:left w:val="single" w:sz="4" w:space="0" w:color="auto"/>
              <w:bottom w:val="single" w:sz="4" w:space="0" w:color="auto"/>
              <w:right w:val="single" w:sz="4" w:space="0" w:color="auto"/>
            </w:tcBorders>
            <w:noWrap/>
            <w:hideMark/>
          </w:tcPr>
          <w:p w14:paraId="5C269988" w14:textId="77777777" w:rsidR="006A48A0" w:rsidRPr="00E265AC" w:rsidRDefault="006A48A0">
            <w:pPr>
              <w:spacing w:line="256" w:lineRule="auto"/>
              <w:jc w:val="right"/>
              <w:rPr>
                <w:color w:val="000000"/>
              </w:rPr>
            </w:pPr>
            <w:r w:rsidRPr="00E265AC">
              <w:rPr>
                <w:color w:val="000000"/>
              </w:rPr>
              <w:t>0.8</w:t>
            </w:r>
          </w:p>
        </w:tc>
      </w:tr>
      <w:tr w:rsidR="006A48A0" w:rsidRPr="00E265AC" w14:paraId="48E6F0D3"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6681034C" w14:textId="77777777" w:rsidR="006A48A0" w:rsidRPr="00E265AC" w:rsidRDefault="006A48A0">
            <w:pPr>
              <w:spacing w:line="256" w:lineRule="auto"/>
              <w:rPr>
                <w:color w:val="000000"/>
              </w:rPr>
            </w:pPr>
            <w:r w:rsidRPr="00E265AC">
              <w:rPr>
                <w:color w:val="000000"/>
              </w:rPr>
              <w:t>Insomnia (e.g., lack of sleep, sleep less, no sleep)</w:t>
            </w:r>
          </w:p>
        </w:tc>
        <w:tc>
          <w:tcPr>
            <w:tcW w:w="1420" w:type="dxa"/>
            <w:tcBorders>
              <w:top w:val="single" w:sz="4" w:space="0" w:color="auto"/>
              <w:left w:val="single" w:sz="4" w:space="0" w:color="auto"/>
              <w:bottom w:val="single" w:sz="4" w:space="0" w:color="auto"/>
              <w:right w:val="single" w:sz="4" w:space="0" w:color="auto"/>
            </w:tcBorders>
            <w:noWrap/>
            <w:hideMark/>
          </w:tcPr>
          <w:p w14:paraId="7E68606F" w14:textId="77777777" w:rsidR="006A48A0" w:rsidRPr="00E265AC" w:rsidRDefault="006A48A0">
            <w:pPr>
              <w:spacing w:line="256" w:lineRule="auto"/>
              <w:jc w:val="right"/>
              <w:rPr>
                <w:color w:val="000000"/>
              </w:rPr>
            </w:pPr>
            <w:r w:rsidRPr="00E265AC">
              <w:rPr>
                <w:color w:val="000000"/>
              </w:rPr>
              <w:t>1.4</w:t>
            </w:r>
          </w:p>
        </w:tc>
        <w:tc>
          <w:tcPr>
            <w:tcW w:w="1491" w:type="dxa"/>
            <w:tcBorders>
              <w:top w:val="single" w:sz="4" w:space="0" w:color="auto"/>
              <w:left w:val="single" w:sz="4" w:space="0" w:color="auto"/>
              <w:bottom w:val="single" w:sz="4" w:space="0" w:color="auto"/>
              <w:right w:val="single" w:sz="4" w:space="0" w:color="auto"/>
            </w:tcBorders>
            <w:noWrap/>
            <w:hideMark/>
          </w:tcPr>
          <w:p w14:paraId="05487CC3" w14:textId="77777777" w:rsidR="006A48A0" w:rsidRPr="00E265AC" w:rsidRDefault="006A48A0">
            <w:pPr>
              <w:spacing w:line="256" w:lineRule="auto"/>
              <w:jc w:val="right"/>
              <w:rPr>
                <w:color w:val="000000"/>
              </w:rPr>
            </w:pPr>
            <w:r w:rsidRPr="00E265AC">
              <w:rPr>
                <w:color w:val="000000"/>
              </w:rPr>
              <w:t>0.6</w:t>
            </w:r>
          </w:p>
        </w:tc>
      </w:tr>
      <w:tr w:rsidR="006A48A0" w:rsidRPr="00E265AC" w14:paraId="46997EED"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5EB19A07" w14:textId="77777777" w:rsidR="006A48A0" w:rsidRPr="00E265AC" w:rsidRDefault="006A48A0">
            <w:pPr>
              <w:spacing w:line="256" w:lineRule="auto"/>
              <w:rPr>
                <w:color w:val="000000"/>
              </w:rPr>
            </w:pPr>
            <w:r w:rsidRPr="00E265AC">
              <w:rPr>
                <w:color w:val="000000"/>
              </w:rPr>
              <w:t>Interfering (e.g., interfering, interruption, interference)</w:t>
            </w:r>
          </w:p>
        </w:tc>
        <w:tc>
          <w:tcPr>
            <w:tcW w:w="1420" w:type="dxa"/>
            <w:tcBorders>
              <w:top w:val="single" w:sz="4" w:space="0" w:color="auto"/>
              <w:left w:val="single" w:sz="4" w:space="0" w:color="auto"/>
              <w:bottom w:val="single" w:sz="4" w:space="0" w:color="auto"/>
              <w:right w:val="single" w:sz="4" w:space="0" w:color="auto"/>
            </w:tcBorders>
            <w:noWrap/>
            <w:hideMark/>
          </w:tcPr>
          <w:p w14:paraId="5E6EF467" w14:textId="77777777" w:rsidR="006A48A0" w:rsidRPr="00E265AC" w:rsidRDefault="006A48A0">
            <w:pPr>
              <w:spacing w:line="256" w:lineRule="auto"/>
              <w:jc w:val="right"/>
              <w:rPr>
                <w:color w:val="000000"/>
              </w:rPr>
            </w:pPr>
            <w:r w:rsidRPr="00E265AC">
              <w:rPr>
                <w:color w:val="000000"/>
              </w:rPr>
              <w:t>1.6</w:t>
            </w:r>
          </w:p>
        </w:tc>
        <w:tc>
          <w:tcPr>
            <w:tcW w:w="1491" w:type="dxa"/>
            <w:tcBorders>
              <w:top w:val="single" w:sz="4" w:space="0" w:color="auto"/>
              <w:left w:val="single" w:sz="4" w:space="0" w:color="auto"/>
              <w:bottom w:val="single" w:sz="4" w:space="0" w:color="auto"/>
              <w:right w:val="single" w:sz="4" w:space="0" w:color="auto"/>
            </w:tcBorders>
            <w:noWrap/>
            <w:hideMark/>
          </w:tcPr>
          <w:p w14:paraId="61A308E7" w14:textId="77777777" w:rsidR="006A48A0" w:rsidRPr="00E265AC" w:rsidRDefault="006A48A0">
            <w:pPr>
              <w:spacing w:line="256" w:lineRule="auto"/>
              <w:jc w:val="right"/>
              <w:rPr>
                <w:color w:val="000000"/>
              </w:rPr>
            </w:pPr>
            <w:r w:rsidRPr="00E265AC">
              <w:rPr>
                <w:color w:val="000000"/>
              </w:rPr>
              <w:t>0.8</w:t>
            </w:r>
          </w:p>
        </w:tc>
      </w:tr>
      <w:tr w:rsidR="006A48A0" w:rsidRPr="00E265AC" w14:paraId="47B08395"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09A7315A" w14:textId="77777777" w:rsidR="006A48A0" w:rsidRPr="00E265AC" w:rsidRDefault="006A48A0">
            <w:pPr>
              <w:spacing w:line="256" w:lineRule="auto"/>
              <w:rPr>
                <w:color w:val="000000"/>
              </w:rPr>
            </w:pPr>
            <w:r w:rsidRPr="00E265AC">
              <w:rPr>
                <w:color w:val="000000"/>
              </w:rPr>
              <w:t>Isolating (e.g., isolated, no one understands, inhibitive)</w:t>
            </w:r>
          </w:p>
        </w:tc>
        <w:tc>
          <w:tcPr>
            <w:tcW w:w="1420" w:type="dxa"/>
            <w:tcBorders>
              <w:top w:val="single" w:sz="4" w:space="0" w:color="auto"/>
              <w:left w:val="single" w:sz="4" w:space="0" w:color="auto"/>
              <w:bottom w:val="single" w:sz="4" w:space="0" w:color="auto"/>
              <w:right w:val="single" w:sz="4" w:space="0" w:color="auto"/>
            </w:tcBorders>
            <w:noWrap/>
            <w:hideMark/>
          </w:tcPr>
          <w:p w14:paraId="6E1D08B5" w14:textId="77777777" w:rsidR="006A48A0" w:rsidRPr="00E265AC" w:rsidRDefault="006A48A0">
            <w:pPr>
              <w:spacing w:line="256" w:lineRule="auto"/>
              <w:jc w:val="right"/>
              <w:rPr>
                <w:color w:val="000000"/>
              </w:rPr>
            </w:pPr>
            <w:r w:rsidRPr="00E265AC">
              <w:rPr>
                <w:color w:val="000000"/>
              </w:rPr>
              <w:t>1.6</w:t>
            </w:r>
          </w:p>
        </w:tc>
        <w:tc>
          <w:tcPr>
            <w:tcW w:w="1491" w:type="dxa"/>
            <w:tcBorders>
              <w:top w:val="single" w:sz="4" w:space="0" w:color="auto"/>
              <w:left w:val="single" w:sz="4" w:space="0" w:color="auto"/>
              <w:bottom w:val="single" w:sz="4" w:space="0" w:color="auto"/>
              <w:right w:val="single" w:sz="4" w:space="0" w:color="auto"/>
            </w:tcBorders>
            <w:noWrap/>
            <w:hideMark/>
          </w:tcPr>
          <w:p w14:paraId="6AE3FEBD" w14:textId="77777777" w:rsidR="006A48A0" w:rsidRPr="00E265AC" w:rsidRDefault="006A48A0">
            <w:pPr>
              <w:spacing w:line="256" w:lineRule="auto"/>
              <w:jc w:val="right"/>
              <w:rPr>
                <w:color w:val="000000"/>
              </w:rPr>
            </w:pPr>
            <w:r w:rsidRPr="00E265AC">
              <w:rPr>
                <w:color w:val="000000"/>
              </w:rPr>
              <w:t>0.6</w:t>
            </w:r>
          </w:p>
        </w:tc>
      </w:tr>
      <w:tr w:rsidR="006A48A0" w:rsidRPr="00E265AC" w14:paraId="1FFF6989"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59B4CCC2" w14:textId="77777777" w:rsidR="006A48A0" w:rsidRPr="00E265AC" w:rsidRDefault="006A48A0">
            <w:pPr>
              <w:spacing w:line="256" w:lineRule="auto"/>
              <w:rPr>
                <w:color w:val="000000"/>
              </w:rPr>
            </w:pPr>
            <w:r w:rsidRPr="00E265AC">
              <w:rPr>
                <w:color w:val="000000"/>
              </w:rPr>
              <w:t>Life changing (e.g., life changer, life ruined, reduced quality of life)</w:t>
            </w:r>
          </w:p>
        </w:tc>
        <w:tc>
          <w:tcPr>
            <w:tcW w:w="1420" w:type="dxa"/>
            <w:tcBorders>
              <w:top w:val="single" w:sz="4" w:space="0" w:color="auto"/>
              <w:left w:val="single" w:sz="4" w:space="0" w:color="auto"/>
              <w:bottom w:val="single" w:sz="4" w:space="0" w:color="auto"/>
              <w:right w:val="single" w:sz="4" w:space="0" w:color="auto"/>
            </w:tcBorders>
            <w:noWrap/>
            <w:hideMark/>
          </w:tcPr>
          <w:p w14:paraId="08202252" w14:textId="77777777" w:rsidR="006A48A0" w:rsidRPr="00E265AC" w:rsidRDefault="006A48A0">
            <w:pPr>
              <w:spacing w:line="256" w:lineRule="auto"/>
              <w:jc w:val="right"/>
              <w:rPr>
                <w:color w:val="000000"/>
              </w:rPr>
            </w:pPr>
            <w:r w:rsidRPr="00E265AC">
              <w:rPr>
                <w:color w:val="000000"/>
              </w:rPr>
              <w:t>1.2</w:t>
            </w:r>
          </w:p>
        </w:tc>
        <w:tc>
          <w:tcPr>
            <w:tcW w:w="1491"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Pr>
          <w:p w14:paraId="53D15038" w14:textId="77777777" w:rsidR="006A48A0" w:rsidRPr="00E265AC" w:rsidRDefault="006A48A0">
            <w:pPr>
              <w:spacing w:line="256" w:lineRule="auto"/>
              <w:jc w:val="right"/>
              <w:rPr>
                <w:color w:val="000000"/>
              </w:rPr>
            </w:pPr>
          </w:p>
        </w:tc>
      </w:tr>
      <w:tr w:rsidR="006A48A0" w:rsidRPr="00E265AC" w14:paraId="30EB1DD4"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2480638B" w14:textId="77777777" w:rsidR="006A48A0" w:rsidRPr="00E265AC" w:rsidRDefault="006A48A0">
            <w:pPr>
              <w:spacing w:line="256" w:lineRule="auto"/>
              <w:rPr>
                <w:color w:val="000000"/>
              </w:rPr>
            </w:pPr>
            <w:r w:rsidRPr="00E265AC">
              <w:rPr>
                <w:color w:val="000000"/>
              </w:rPr>
              <w:t>Loss of quiet (e.g., loss of silence, lack of peace, no quiet)</w:t>
            </w:r>
          </w:p>
        </w:tc>
        <w:tc>
          <w:tcPr>
            <w:tcW w:w="1420" w:type="dxa"/>
            <w:tcBorders>
              <w:top w:val="single" w:sz="4" w:space="0" w:color="auto"/>
              <w:left w:val="single" w:sz="4" w:space="0" w:color="auto"/>
              <w:bottom w:val="single" w:sz="4" w:space="0" w:color="auto"/>
              <w:right w:val="single" w:sz="4" w:space="0" w:color="auto"/>
            </w:tcBorders>
            <w:noWrap/>
            <w:hideMark/>
          </w:tcPr>
          <w:p w14:paraId="6C779CDE" w14:textId="77777777" w:rsidR="006A48A0" w:rsidRPr="00E265AC" w:rsidRDefault="006A48A0">
            <w:pPr>
              <w:spacing w:line="256" w:lineRule="auto"/>
              <w:jc w:val="right"/>
              <w:rPr>
                <w:color w:val="000000"/>
              </w:rPr>
            </w:pPr>
            <w:r w:rsidRPr="00E265AC">
              <w:rPr>
                <w:color w:val="000000"/>
              </w:rPr>
              <w:t>1.0</w:t>
            </w:r>
          </w:p>
        </w:tc>
        <w:tc>
          <w:tcPr>
            <w:tcW w:w="1491" w:type="dxa"/>
            <w:tcBorders>
              <w:top w:val="single" w:sz="4" w:space="0" w:color="auto"/>
              <w:left w:val="single" w:sz="4" w:space="0" w:color="auto"/>
              <w:bottom w:val="single" w:sz="4" w:space="0" w:color="auto"/>
              <w:right w:val="single" w:sz="4" w:space="0" w:color="auto"/>
            </w:tcBorders>
            <w:noWrap/>
            <w:hideMark/>
          </w:tcPr>
          <w:p w14:paraId="43C9D487" w14:textId="77777777" w:rsidR="006A48A0" w:rsidRPr="00E265AC" w:rsidRDefault="006A48A0">
            <w:pPr>
              <w:spacing w:line="256" w:lineRule="auto"/>
              <w:jc w:val="right"/>
              <w:rPr>
                <w:color w:val="000000"/>
              </w:rPr>
            </w:pPr>
            <w:r w:rsidRPr="00E265AC">
              <w:rPr>
                <w:color w:val="000000"/>
              </w:rPr>
              <w:t>1.4</w:t>
            </w:r>
          </w:p>
        </w:tc>
      </w:tr>
      <w:tr w:rsidR="006A48A0" w:rsidRPr="00E265AC" w14:paraId="19FE1390"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46E41F3D" w14:textId="77777777" w:rsidR="006A48A0" w:rsidRPr="00E265AC" w:rsidRDefault="006A48A0">
            <w:pPr>
              <w:spacing w:line="256" w:lineRule="auto"/>
              <w:rPr>
                <w:color w:val="000000"/>
                <w:lang w:val="fr-FR"/>
              </w:rPr>
            </w:pPr>
            <w:proofErr w:type="spellStart"/>
            <w:r w:rsidRPr="00E265AC">
              <w:rPr>
                <w:color w:val="000000"/>
                <w:lang w:val="fr-FR"/>
              </w:rPr>
              <w:t>Manageable</w:t>
            </w:r>
            <w:proofErr w:type="spellEnd"/>
            <w:r w:rsidRPr="00E265AC">
              <w:rPr>
                <w:color w:val="000000"/>
                <w:lang w:val="fr-FR"/>
              </w:rPr>
              <w:t xml:space="preserve"> (e.g., </w:t>
            </w:r>
            <w:proofErr w:type="spellStart"/>
            <w:r w:rsidRPr="00E265AC">
              <w:rPr>
                <w:color w:val="000000"/>
                <w:lang w:val="fr-FR"/>
              </w:rPr>
              <w:t>bearable</w:t>
            </w:r>
            <w:proofErr w:type="spellEnd"/>
            <w:r w:rsidRPr="00E265AC">
              <w:rPr>
                <w:color w:val="000000"/>
                <w:lang w:val="fr-FR"/>
              </w:rPr>
              <w:t xml:space="preserve">, </w:t>
            </w:r>
            <w:proofErr w:type="spellStart"/>
            <w:r w:rsidRPr="00E265AC">
              <w:rPr>
                <w:color w:val="000000"/>
                <w:lang w:val="fr-FR"/>
              </w:rPr>
              <w:t>manageable</w:t>
            </w:r>
            <w:proofErr w:type="spellEnd"/>
            <w:r w:rsidRPr="00E265AC">
              <w:rPr>
                <w:color w:val="000000"/>
                <w:lang w:val="fr-FR"/>
              </w:rPr>
              <w:t xml:space="preserve">, </w:t>
            </w:r>
            <w:proofErr w:type="spellStart"/>
            <w:r w:rsidRPr="00E265AC">
              <w:rPr>
                <w:color w:val="000000"/>
                <w:lang w:val="fr-FR"/>
              </w:rPr>
              <w:t>beatable</w:t>
            </w:r>
            <w:proofErr w:type="spellEnd"/>
            <w:r w:rsidRPr="00E265AC">
              <w:rPr>
                <w:color w:val="000000"/>
                <w:lang w:val="fr-FR"/>
              </w:rPr>
              <w:t>)</w:t>
            </w:r>
          </w:p>
        </w:tc>
        <w:tc>
          <w:tcPr>
            <w:tcW w:w="142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Pr>
          <w:p w14:paraId="388F3D1B" w14:textId="77777777" w:rsidR="006A48A0" w:rsidRPr="00E265AC" w:rsidRDefault="006A48A0">
            <w:pPr>
              <w:spacing w:line="256" w:lineRule="auto"/>
              <w:jc w:val="right"/>
              <w:rPr>
                <w:color w:val="000000"/>
                <w:lang w:val="fr-FR"/>
              </w:rPr>
            </w:pPr>
          </w:p>
        </w:tc>
        <w:tc>
          <w:tcPr>
            <w:tcW w:w="1491" w:type="dxa"/>
            <w:tcBorders>
              <w:top w:val="single" w:sz="4" w:space="0" w:color="auto"/>
              <w:left w:val="single" w:sz="4" w:space="0" w:color="auto"/>
              <w:bottom w:val="single" w:sz="4" w:space="0" w:color="auto"/>
              <w:right w:val="single" w:sz="4" w:space="0" w:color="auto"/>
            </w:tcBorders>
            <w:noWrap/>
            <w:hideMark/>
          </w:tcPr>
          <w:p w14:paraId="6A27F565" w14:textId="77777777" w:rsidR="006A48A0" w:rsidRPr="00E265AC" w:rsidRDefault="006A48A0">
            <w:pPr>
              <w:spacing w:line="256" w:lineRule="auto"/>
              <w:jc w:val="right"/>
              <w:rPr>
                <w:color w:val="000000"/>
              </w:rPr>
            </w:pPr>
            <w:r w:rsidRPr="00E265AC">
              <w:rPr>
                <w:color w:val="000000"/>
              </w:rPr>
              <w:t>4.0</w:t>
            </w:r>
          </w:p>
        </w:tc>
      </w:tr>
      <w:tr w:rsidR="006A48A0" w:rsidRPr="00E265AC" w14:paraId="5B695936"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4341360E" w14:textId="77777777" w:rsidR="006A48A0" w:rsidRPr="00E265AC" w:rsidRDefault="006A48A0">
            <w:pPr>
              <w:spacing w:line="256" w:lineRule="auto"/>
              <w:rPr>
                <w:color w:val="000000"/>
              </w:rPr>
            </w:pPr>
            <w:r w:rsidRPr="00E265AC">
              <w:rPr>
                <w:color w:val="000000"/>
              </w:rPr>
              <w:t>Mental wellness (e.g., relax, relaxation, breathing)</w:t>
            </w:r>
          </w:p>
        </w:tc>
        <w:tc>
          <w:tcPr>
            <w:tcW w:w="142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Pr>
          <w:p w14:paraId="37C3A083" w14:textId="77777777" w:rsidR="006A48A0" w:rsidRPr="00E265AC" w:rsidRDefault="006A48A0">
            <w:pPr>
              <w:spacing w:line="256" w:lineRule="auto"/>
              <w:jc w:val="right"/>
              <w:rPr>
                <w:color w:val="000000"/>
              </w:rPr>
            </w:pPr>
          </w:p>
        </w:tc>
        <w:tc>
          <w:tcPr>
            <w:tcW w:w="1491" w:type="dxa"/>
            <w:tcBorders>
              <w:top w:val="single" w:sz="4" w:space="0" w:color="auto"/>
              <w:left w:val="single" w:sz="4" w:space="0" w:color="auto"/>
              <w:bottom w:val="single" w:sz="4" w:space="0" w:color="auto"/>
              <w:right w:val="single" w:sz="4" w:space="0" w:color="auto"/>
            </w:tcBorders>
            <w:noWrap/>
            <w:hideMark/>
          </w:tcPr>
          <w:p w14:paraId="66F18ADE" w14:textId="77777777" w:rsidR="006A48A0" w:rsidRPr="00E265AC" w:rsidRDefault="006A48A0">
            <w:pPr>
              <w:spacing w:line="256" w:lineRule="auto"/>
              <w:jc w:val="right"/>
              <w:rPr>
                <w:color w:val="000000"/>
              </w:rPr>
            </w:pPr>
            <w:r w:rsidRPr="00E265AC">
              <w:rPr>
                <w:color w:val="000000"/>
              </w:rPr>
              <w:t>3.0</w:t>
            </w:r>
          </w:p>
        </w:tc>
      </w:tr>
      <w:tr w:rsidR="006A48A0" w:rsidRPr="00E265AC" w14:paraId="2BACBF64"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73906267" w14:textId="77777777" w:rsidR="006A48A0" w:rsidRPr="00E265AC" w:rsidRDefault="006A48A0">
            <w:pPr>
              <w:spacing w:line="256" w:lineRule="auto"/>
              <w:rPr>
                <w:color w:val="000000"/>
              </w:rPr>
            </w:pPr>
            <w:r w:rsidRPr="00E265AC">
              <w:rPr>
                <w:color w:val="000000"/>
              </w:rPr>
              <w:t>Miserable (e.g., sad, misery, bummer)</w:t>
            </w:r>
          </w:p>
        </w:tc>
        <w:tc>
          <w:tcPr>
            <w:tcW w:w="1420" w:type="dxa"/>
            <w:tcBorders>
              <w:top w:val="single" w:sz="4" w:space="0" w:color="auto"/>
              <w:left w:val="single" w:sz="4" w:space="0" w:color="auto"/>
              <w:bottom w:val="single" w:sz="4" w:space="0" w:color="auto"/>
              <w:right w:val="single" w:sz="4" w:space="0" w:color="auto"/>
            </w:tcBorders>
            <w:noWrap/>
            <w:hideMark/>
          </w:tcPr>
          <w:p w14:paraId="051BF7F1" w14:textId="77777777" w:rsidR="006A48A0" w:rsidRPr="00E265AC" w:rsidRDefault="006A48A0">
            <w:pPr>
              <w:spacing w:line="256" w:lineRule="auto"/>
              <w:jc w:val="right"/>
              <w:rPr>
                <w:color w:val="000000"/>
              </w:rPr>
            </w:pPr>
            <w:r w:rsidRPr="00E265AC">
              <w:rPr>
                <w:color w:val="000000"/>
              </w:rPr>
              <w:t>1.6</w:t>
            </w:r>
          </w:p>
        </w:tc>
        <w:tc>
          <w:tcPr>
            <w:tcW w:w="1491" w:type="dxa"/>
            <w:tcBorders>
              <w:top w:val="single" w:sz="4" w:space="0" w:color="auto"/>
              <w:left w:val="single" w:sz="4" w:space="0" w:color="auto"/>
              <w:bottom w:val="single" w:sz="4" w:space="0" w:color="auto"/>
              <w:right w:val="single" w:sz="4" w:space="0" w:color="auto"/>
            </w:tcBorders>
            <w:noWrap/>
            <w:hideMark/>
          </w:tcPr>
          <w:p w14:paraId="1D038908" w14:textId="77777777" w:rsidR="006A48A0" w:rsidRPr="00E265AC" w:rsidRDefault="006A48A0">
            <w:pPr>
              <w:spacing w:line="256" w:lineRule="auto"/>
              <w:jc w:val="right"/>
              <w:rPr>
                <w:color w:val="000000"/>
              </w:rPr>
            </w:pPr>
            <w:r w:rsidRPr="00E265AC">
              <w:rPr>
                <w:color w:val="000000"/>
              </w:rPr>
              <w:t>1.0</w:t>
            </w:r>
          </w:p>
        </w:tc>
      </w:tr>
      <w:tr w:rsidR="006A48A0" w:rsidRPr="00E265AC" w14:paraId="78414739"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1D371DBF" w14:textId="77777777" w:rsidR="006A48A0" w:rsidRPr="00E265AC" w:rsidRDefault="006A48A0">
            <w:pPr>
              <w:spacing w:line="256" w:lineRule="auto"/>
              <w:rPr>
                <w:color w:val="000000"/>
              </w:rPr>
            </w:pPr>
            <w:r w:rsidRPr="00E265AC">
              <w:rPr>
                <w:color w:val="000000"/>
              </w:rPr>
              <w:t>Natural process (e.g., aging, old age, old)</w:t>
            </w:r>
          </w:p>
        </w:tc>
        <w:tc>
          <w:tcPr>
            <w:tcW w:w="1420" w:type="dxa"/>
            <w:tcBorders>
              <w:top w:val="single" w:sz="4" w:space="0" w:color="auto"/>
              <w:left w:val="single" w:sz="4" w:space="0" w:color="auto"/>
              <w:bottom w:val="single" w:sz="4" w:space="0" w:color="auto"/>
              <w:right w:val="single" w:sz="4" w:space="0" w:color="auto"/>
            </w:tcBorders>
            <w:noWrap/>
            <w:hideMark/>
          </w:tcPr>
          <w:p w14:paraId="667CE7A0" w14:textId="77777777" w:rsidR="006A48A0" w:rsidRPr="00E265AC" w:rsidRDefault="006A48A0">
            <w:pPr>
              <w:spacing w:line="256" w:lineRule="auto"/>
              <w:jc w:val="right"/>
              <w:rPr>
                <w:color w:val="000000"/>
              </w:rPr>
            </w:pPr>
            <w:r w:rsidRPr="00E265AC">
              <w:rPr>
                <w:color w:val="000000"/>
              </w:rPr>
              <w:t>1.2</w:t>
            </w:r>
          </w:p>
        </w:tc>
        <w:tc>
          <w:tcPr>
            <w:tcW w:w="1491" w:type="dxa"/>
            <w:tcBorders>
              <w:top w:val="single" w:sz="4" w:space="0" w:color="auto"/>
              <w:left w:val="single" w:sz="4" w:space="0" w:color="auto"/>
              <w:bottom w:val="single" w:sz="4" w:space="0" w:color="auto"/>
              <w:right w:val="single" w:sz="4" w:space="0" w:color="auto"/>
            </w:tcBorders>
            <w:noWrap/>
            <w:hideMark/>
          </w:tcPr>
          <w:p w14:paraId="60CECAA7" w14:textId="77777777" w:rsidR="006A48A0" w:rsidRPr="00E265AC" w:rsidRDefault="006A48A0">
            <w:pPr>
              <w:spacing w:line="256" w:lineRule="auto"/>
              <w:jc w:val="right"/>
              <w:rPr>
                <w:color w:val="000000"/>
              </w:rPr>
            </w:pPr>
            <w:r w:rsidRPr="00E265AC">
              <w:rPr>
                <w:color w:val="000000"/>
              </w:rPr>
              <w:t>0.4</w:t>
            </w:r>
          </w:p>
        </w:tc>
      </w:tr>
      <w:tr w:rsidR="006A48A0" w:rsidRPr="00E265AC" w14:paraId="607C32D6"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7B565EBF" w14:textId="77777777" w:rsidR="006A48A0" w:rsidRPr="00E265AC" w:rsidRDefault="006A48A0">
            <w:pPr>
              <w:spacing w:line="256" w:lineRule="auto"/>
              <w:rPr>
                <w:color w:val="000000"/>
              </w:rPr>
            </w:pPr>
            <w:r w:rsidRPr="00E265AC">
              <w:rPr>
                <w:color w:val="000000"/>
              </w:rPr>
              <w:t>Need to stop (e.g., please stop, make it go away, when will it go away)</w:t>
            </w:r>
          </w:p>
        </w:tc>
        <w:tc>
          <w:tcPr>
            <w:tcW w:w="1420" w:type="dxa"/>
            <w:tcBorders>
              <w:top w:val="single" w:sz="4" w:space="0" w:color="auto"/>
              <w:left w:val="single" w:sz="4" w:space="0" w:color="auto"/>
              <w:bottom w:val="single" w:sz="4" w:space="0" w:color="auto"/>
              <w:right w:val="single" w:sz="4" w:space="0" w:color="auto"/>
            </w:tcBorders>
            <w:noWrap/>
            <w:hideMark/>
          </w:tcPr>
          <w:p w14:paraId="3B7DCE22" w14:textId="77777777" w:rsidR="006A48A0" w:rsidRPr="00E265AC" w:rsidRDefault="006A48A0">
            <w:pPr>
              <w:spacing w:line="256" w:lineRule="auto"/>
              <w:jc w:val="right"/>
              <w:rPr>
                <w:color w:val="000000"/>
              </w:rPr>
            </w:pPr>
            <w:r w:rsidRPr="00E265AC">
              <w:rPr>
                <w:color w:val="000000"/>
              </w:rPr>
              <w:t>0.4</w:t>
            </w:r>
          </w:p>
        </w:tc>
        <w:tc>
          <w:tcPr>
            <w:tcW w:w="1491" w:type="dxa"/>
            <w:tcBorders>
              <w:top w:val="single" w:sz="4" w:space="0" w:color="auto"/>
              <w:left w:val="single" w:sz="4" w:space="0" w:color="auto"/>
              <w:bottom w:val="single" w:sz="4" w:space="0" w:color="auto"/>
              <w:right w:val="single" w:sz="4" w:space="0" w:color="auto"/>
            </w:tcBorders>
            <w:noWrap/>
            <w:hideMark/>
          </w:tcPr>
          <w:p w14:paraId="6459B4DB" w14:textId="77777777" w:rsidR="006A48A0" w:rsidRPr="00E265AC" w:rsidRDefault="006A48A0">
            <w:pPr>
              <w:spacing w:line="256" w:lineRule="auto"/>
              <w:jc w:val="right"/>
              <w:rPr>
                <w:color w:val="000000"/>
              </w:rPr>
            </w:pPr>
            <w:r w:rsidRPr="00E265AC">
              <w:rPr>
                <w:color w:val="000000"/>
              </w:rPr>
              <w:t>0.8</w:t>
            </w:r>
          </w:p>
        </w:tc>
      </w:tr>
      <w:tr w:rsidR="006A48A0" w:rsidRPr="00E265AC" w14:paraId="3EBCD882"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17B7308F" w14:textId="77777777" w:rsidR="006A48A0" w:rsidRPr="00E265AC" w:rsidRDefault="006A48A0">
            <w:pPr>
              <w:spacing w:line="256" w:lineRule="auto"/>
              <w:rPr>
                <w:color w:val="000000"/>
              </w:rPr>
            </w:pPr>
            <w:r w:rsidRPr="00E265AC">
              <w:rPr>
                <w:color w:val="000000"/>
              </w:rPr>
              <w:t>Persistent (e.g., constant, never ending, persistent)</w:t>
            </w:r>
          </w:p>
        </w:tc>
        <w:tc>
          <w:tcPr>
            <w:tcW w:w="1420" w:type="dxa"/>
            <w:tcBorders>
              <w:top w:val="single" w:sz="4" w:space="0" w:color="auto"/>
              <w:left w:val="single" w:sz="4" w:space="0" w:color="auto"/>
              <w:bottom w:val="single" w:sz="4" w:space="0" w:color="auto"/>
              <w:right w:val="single" w:sz="4" w:space="0" w:color="auto"/>
            </w:tcBorders>
            <w:noWrap/>
            <w:hideMark/>
          </w:tcPr>
          <w:p w14:paraId="69CE983E" w14:textId="77777777" w:rsidR="006A48A0" w:rsidRPr="00E265AC" w:rsidRDefault="006A48A0">
            <w:pPr>
              <w:spacing w:line="256" w:lineRule="auto"/>
              <w:jc w:val="right"/>
              <w:rPr>
                <w:color w:val="000000"/>
              </w:rPr>
            </w:pPr>
            <w:r w:rsidRPr="00E265AC">
              <w:rPr>
                <w:color w:val="000000"/>
              </w:rPr>
              <w:t>7.8</w:t>
            </w:r>
          </w:p>
        </w:tc>
        <w:tc>
          <w:tcPr>
            <w:tcW w:w="1491" w:type="dxa"/>
            <w:tcBorders>
              <w:top w:val="single" w:sz="4" w:space="0" w:color="auto"/>
              <w:left w:val="single" w:sz="4" w:space="0" w:color="auto"/>
              <w:bottom w:val="single" w:sz="4" w:space="0" w:color="auto"/>
              <w:right w:val="single" w:sz="4" w:space="0" w:color="auto"/>
            </w:tcBorders>
            <w:noWrap/>
            <w:hideMark/>
          </w:tcPr>
          <w:p w14:paraId="35B36880" w14:textId="77777777" w:rsidR="006A48A0" w:rsidRPr="00E265AC" w:rsidRDefault="006A48A0">
            <w:pPr>
              <w:spacing w:line="256" w:lineRule="auto"/>
              <w:jc w:val="right"/>
              <w:rPr>
                <w:color w:val="000000"/>
              </w:rPr>
            </w:pPr>
            <w:r w:rsidRPr="00E265AC">
              <w:rPr>
                <w:color w:val="000000"/>
              </w:rPr>
              <w:t>10.7</w:t>
            </w:r>
          </w:p>
        </w:tc>
      </w:tr>
      <w:tr w:rsidR="006A48A0" w:rsidRPr="00E265AC" w14:paraId="012ED9B1"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6DCABD2E" w14:textId="77777777" w:rsidR="006A48A0" w:rsidRPr="00E265AC" w:rsidRDefault="006A48A0">
            <w:pPr>
              <w:spacing w:line="256" w:lineRule="auto"/>
              <w:rPr>
                <w:color w:val="000000"/>
              </w:rPr>
            </w:pPr>
            <w:r w:rsidRPr="00E265AC">
              <w:rPr>
                <w:color w:val="000000"/>
              </w:rPr>
              <w:t>Regret (e.g., regret not protecting hearing, poor choices, lesson learned)</w:t>
            </w:r>
          </w:p>
        </w:tc>
        <w:tc>
          <w:tcPr>
            <w:tcW w:w="1420" w:type="dxa"/>
            <w:tcBorders>
              <w:top w:val="single" w:sz="4" w:space="0" w:color="auto"/>
              <w:left w:val="single" w:sz="4" w:space="0" w:color="auto"/>
              <w:bottom w:val="single" w:sz="4" w:space="0" w:color="auto"/>
              <w:right w:val="single" w:sz="4" w:space="0" w:color="auto"/>
            </w:tcBorders>
            <w:noWrap/>
            <w:hideMark/>
          </w:tcPr>
          <w:p w14:paraId="15C87245" w14:textId="77777777" w:rsidR="006A48A0" w:rsidRPr="00E265AC" w:rsidRDefault="006A48A0">
            <w:pPr>
              <w:spacing w:line="256" w:lineRule="auto"/>
              <w:jc w:val="right"/>
              <w:rPr>
                <w:color w:val="000000"/>
              </w:rPr>
            </w:pPr>
            <w:r w:rsidRPr="00E265AC">
              <w:rPr>
                <w:color w:val="000000"/>
              </w:rPr>
              <w:t>0.8</w:t>
            </w:r>
          </w:p>
        </w:tc>
        <w:tc>
          <w:tcPr>
            <w:tcW w:w="1491" w:type="dxa"/>
            <w:tcBorders>
              <w:top w:val="single" w:sz="4" w:space="0" w:color="auto"/>
              <w:left w:val="single" w:sz="4" w:space="0" w:color="auto"/>
              <w:bottom w:val="single" w:sz="4" w:space="0" w:color="auto"/>
              <w:right w:val="single" w:sz="4" w:space="0" w:color="auto"/>
            </w:tcBorders>
            <w:noWrap/>
            <w:hideMark/>
          </w:tcPr>
          <w:p w14:paraId="45D46B8D" w14:textId="77777777" w:rsidR="006A48A0" w:rsidRPr="00E265AC" w:rsidRDefault="006A48A0">
            <w:pPr>
              <w:spacing w:line="256" w:lineRule="auto"/>
              <w:jc w:val="right"/>
              <w:rPr>
                <w:color w:val="000000"/>
              </w:rPr>
            </w:pPr>
            <w:r w:rsidRPr="00E265AC">
              <w:rPr>
                <w:color w:val="000000"/>
              </w:rPr>
              <w:t>0.4</w:t>
            </w:r>
          </w:p>
        </w:tc>
      </w:tr>
      <w:tr w:rsidR="006A48A0" w:rsidRPr="00E265AC" w14:paraId="1BE73D00"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7D620A21" w14:textId="77777777" w:rsidR="006A48A0" w:rsidRPr="00E265AC" w:rsidRDefault="006A48A0">
            <w:pPr>
              <w:spacing w:line="256" w:lineRule="auto"/>
              <w:rPr>
                <w:color w:val="000000"/>
              </w:rPr>
            </w:pPr>
            <w:r w:rsidRPr="00E265AC">
              <w:rPr>
                <w:color w:val="000000"/>
              </w:rPr>
              <w:t>Take control (e.g., in control of my emotions, it does not control me, proactive instead reactive)</w:t>
            </w:r>
          </w:p>
        </w:tc>
        <w:tc>
          <w:tcPr>
            <w:tcW w:w="142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tcPr>
          <w:p w14:paraId="352B81FC" w14:textId="77777777" w:rsidR="006A48A0" w:rsidRPr="00E265AC" w:rsidRDefault="006A48A0">
            <w:pPr>
              <w:spacing w:line="256" w:lineRule="auto"/>
              <w:jc w:val="right"/>
              <w:rPr>
                <w:color w:val="000000"/>
              </w:rPr>
            </w:pPr>
          </w:p>
        </w:tc>
        <w:tc>
          <w:tcPr>
            <w:tcW w:w="1491" w:type="dxa"/>
            <w:tcBorders>
              <w:top w:val="single" w:sz="4" w:space="0" w:color="auto"/>
              <w:left w:val="single" w:sz="4" w:space="0" w:color="auto"/>
              <w:bottom w:val="single" w:sz="4" w:space="0" w:color="auto"/>
              <w:right w:val="single" w:sz="4" w:space="0" w:color="auto"/>
            </w:tcBorders>
            <w:noWrap/>
            <w:hideMark/>
          </w:tcPr>
          <w:p w14:paraId="61267870" w14:textId="77777777" w:rsidR="006A48A0" w:rsidRPr="00E265AC" w:rsidRDefault="006A48A0">
            <w:pPr>
              <w:spacing w:line="256" w:lineRule="auto"/>
              <w:jc w:val="right"/>
              <w:rPr>
                <w:color w:val="000000"/>
              </w:rPr>
            </w:pPr>
            <w:r w:rsidRPr="00E265AC">
              <w:rPr>
                <w:color w:val="000000"/>
              </w:rPr>
              <w:t>2.8</w:t>
            </w:r>
          </w:p>
        </w:tc>
      </w:tr>
      <w:tr w:rsidR="006A48A0" w:rsidRPr="00E265AC" w14:paraId="07C32B2B"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111BFA73" w14:textId="77777777" w:rsidR="006A48A0" w:rsidRPr="00E265AC" w:rsidRDefault="006A48A0">
            <w:pPr>
              <w:spacing w:line="256" w:lineRule="auto"/>
              <w:rPr>
                <w:color w:val="000000"/>
              </w:rPr>
            </w:pPr>
            <w:r w:rsidRPr="00E265AC">
              <w:rPr>
                <w:color w:val="000000"/>
              </w:rPr>
              <w:t>Tormenting (e.g., torture, tormenting, a living hell)</w:t>
            </w:r>
          </w:p>
        </w:tc>
        <w:tc>
          <w:tcPr>
            <w:tcW w:w="1420" w:type="dxa"/>
            <w:tcBorders>
              <w:top w:val="single" w:sz="4" w:space="0" w:color="auto"/>
              <w:left w:val="single" w:sz="4" w:space="0" w:color="auto"/>
              <w:bottom w:val="single" w:sz="4" w:space="0" w:color="auto"/>
              <w:right w:val="single" w:sz="4" w:space="0" w:color="auto"/>
            </w:tcBorders>
            <w:noWrap/>
            <w:hideMark/>
          </w:tcPr>
          <w:p w14:paraId="7963D242" w14:textId="77777777" w:rsidR="006A48A0" w:rsidRPr="00E265AC" w:rsidRDefault="006A48A0">
            <w:pPr>
              <w:spacing w:line="256" w:lineRule="auto"/>
              <w:jc w:val="right"/>
              <w:rPr>
                <w:color w:val="000000"/>
              </w:rPr>
            </w:pPr>
            <w:r w:rsidRPr="00E265AC">
              <w:rPr>
                <w:color w:val="000000"/>
              </w:rPr>
              <w:t>1.2</w:t>
            </w:r>
          </w:p>
        </w:tc>
        <w:tc>
          <w:tcPr>
            <w:tcW w:w="1491" w:type="dxa"/>
            <w:tcBorders>
              <w:top w:val="single" w:sz="4" w:space="0" w:color="auto"/>
              <w:left w:val="single" w:sz="4" w:space="0" w:color="auto"/>
              <w:bottom w:val="single" w:sz="4" w:space="0" w:color="auto"/>
              <w:right w:val="single" w:sz="4" w:space="0" w:color="auto"/>
            </w:tcBorders>
            <w:noWrap/>
            <w:hideMark/>
          </w:tcPr>
          <w:p w14:paraId="05862EEF" w14:textId="77777777" w:rsidR="006A48A0" w:rsidRPr="00E265AC" w:rsidRDefault="006A48A0">
            <w:pPr>
              <w:spacing w:line="256" w:lineRule="auto"/>
              <w:jc w:val="right"/>
              <w:rPr>
                <w:color w:val="000000"/>
              </w:rPr>
            </w:pPr>
            <w:r w:rsidRPr="00E265AC">
              <w:rPr>
                <w:color w:val="000000"/>
              </w:rPr>
              <w:t>0.2</w:t>
            </w:r>
          </w:p>
        </w:tc>
      </w:tr>
      <w:tr w:rsidR="006A48A0" w:rsidRPr="00E265AC" w14:paraId="7061F205"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655BC7C4" w14:textId="77777777" w:rsidR="006A48A0" w:rsidRPr="00E265AC" w:rsidRDefault="006A48A0">
            <w:pPr>
              <w:spacing w:line="256" w:lineRule="auto"/>
              <w:rPr>
                <w:color w:val="000000"/>
              </w:rPr>
            </w:pPr>
            <w:r w:rsidRPr="00E265AC">
              <w:rPr>
                <w:color w:val="000000"/>
              </w:rPr>
              <w:t>Treatment (e.g., hearing aids, ear surgery, therapies that help</w:t>
            </w:r>
          </w:p>
        </w:tc>
        <w:tc>
          <w:tcPr>
            <w:tcW w:w="1420" w:type="dxa"/>
            <w:tcBorders>
              <w:top w:val="single" w:sz="4" w:space="0" w:color="auto"/>
              <w:left w:val="single" w:sz="4" w:space="0" w:color="auto"/>
              <w:bottom w:val="single" w:sz="4" w:space="0" w:color="auto"/>
              <w:right w:val="single" w:sz="4" w:space="0" w:color="auto"/>
            </w:tcBorders>
            <w:noWrap/>
            <w:hideMark/>
          </w:tcPr>
          <w:p w14:paraId="0D0B9E6C" w14:textId="77777777" w:rsidR="006A48A0" w:rsidRPr="00E265AC" w:rsidRDefault="006A48A0">
            <w:pPr>
              <w:spacing w:line="256" w:lineRule="auto"/>
              <w:jc w:val="right"/>
              <w:rPr>
                <w:color w:val="000000"/>
              </w:rPr>
            </w:pPr>
            <w:r w:rsidRPr="00E265AC">
              <w:rPr>
                <w:color w:val="000000"/>
              </w:rPr>
              <w:t>1.0</w:t>
            </w:r>
          </w:p>
        </w:tc>
        <w:tc>
          <w:tcPr>
            <w:tcW w:w="1491" w:type="dxa"/>
            <w:tcBorders>
              <w:top w:val="single" w:sz="4" w:space="0" w:color="auto"/>
              <w:left w:val="single" w:sz="4" w:space="0" w:color="auto"/>
              <w:bottom w:val="single" w:sz="4" w:space="0" w:color="auto"/>
              <w:right w:val="single" w:sz="4" w:space="0" w:color="auto"/>
            </w:tcBorders>
            <w:noWrap/>
            <w:hideMark/>
          </w:tcPr>
          <w:p w14:paraId="11C93E26" w14:textId="77777777" w:rsidR="006A48A0" w:rsidRPr="00E265AC" w:rsidRDefault="006A48A0">
            <w:pPr>
              <w:spacing w:line="256" w:lineRule="auto"/>
              <w:jc w:val="right"/>
              <w:rPr>
                <w:color w:val="000000"/>
              </w:rPr>
            </w:pPr>
            <w:r w:rsidRPr="00E265AC">
              <w:rPr>
                <w:color w:val="000000"/>
              </w:rPr>
              <w:t>1.2</w:t>
            </w:r>
          </w:p>
        </w:tc>
      </w:tr>
      <w:tr w:rsidR="006A48A0" w:rsidRPr="00E265AC" w14:paraId="677DF38F"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788EAF30" w14:textId="77777777" w:rsidR="006A48A0" w:rsidRPr="00E265AC" w:rsidRDefault="006A48A0">
            <w:pPr>
              <w:spacing w:line="256" w:lineRule="auto"/>
              <w:rPr>
                <w:color w:val="000000"/>
              </w:rPr>
            </w:pPr>
            <w:r w:rsidRPr="00E265AC">
              <w:rPr>
                <w:color w:val="000000"/>
              </w:rPr>
              <w:t xml:space="preserve">Unbearable (e.g., exasperating, unbearable, uncomfortable) </w:t>
            </w:r>
          </w:p>
        </w:tc>
        <w:tc>
          <w:tcPr>
            <w:tcW w:w="1420" w:type="dxa"/>
            <w:tcBorders>
              <w:top w:val="single" w:sz="4" w:space="0" w:color="auto"/>
              <w:left w:val="single" w:sz="4" w:space="0" w:color="auto"/>
              <w:bottom w:val="single" w:sz="4" w:space="0" w:color="auto"/>
              <w:right w:val="single" w:sz="4" w:space="0" w:color="auto"/>
            </w:tcBorders>
            <w:noWrap/>
            <w:hideMark/>
          </w:tcPr>
          <w:p w14:paraId="14E3AA91" w14:textId="77777777" w:rsidR="006A48A0" w:rsidRPr="00E265AC" w:rsidRDefault="006A48A0">
            <w:pPr>
              <w:spacing w:line="256" w:lineRule="auto"/>
              <w:jc w:val="right"/>
              <w:rPr>
                <w:color w:val="000000"/>
              </w:rPr>
            </w:pPr>
            <w:r w:rsidRPr="00E265AC">
              <w:rPr>
                <w:color w:val="000000"/>
              </w:rPr>
              <w:t>0.8</w:t>
            </w:r>
          </w:p>
        </w:tc>
        <w:tc>
          <w:tcPr>
            <w:tcW w:w="1491" w:type="dxa"/>
            <w:tcBorders>
              <w:top w:val="single" w:sz="4" w:space="0" w:color="auto"/>
              <w:left w:val="single" w:sz="4" w:space="0" w:color="auto"/>
              <w:bottom w:val="single" w:sz="4" w:space="0" w:color="auto"/>
              <w:right w:val="single" w:sz="4" w:space="0" w:color="auto"/>
            </w:tcBorders>
            <w:noWrap/>
            <w:hideMark/>
          </w:tcPr>
          <w:p w14:paraId="7D134654" w14:textId="77777777" w:rsidR="006A48A0" w:rsidRPr="00E265AC" w:rsidRDefault="006A48A0">
            <w:pPr>
              <w:spacing w:line="256" w:lineRule="auto"/>
              <w:jc w:val="right"/>
              <w:rPr>
                <w:color w:val="000000"/>
              </w:rPr>
            </w:pPr>
            <w:r w:rsidRPr="00E265AC">
              <w:rPr>
                <w:color w:val="000000"/>
              </w:rPr>
              <w:t>1.4</w:t>
            </w:r>
          </w:p>
        </w:tc>
      </w:tr>
      <w:tr w:rsidR="006A48A0" w:rsidRPr="00E265AC" w14:paraId="1DD429D3"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65F59647" w14:textId="77777777" w:rsidR="006A48A0" w:rsidRPr="00E265AC" w:rsidRDefault="006A48A0">
            <w:pPr>
              <w:spacing w:line="256" w:lineRule="auto"/>
              <w:rPr>
                <w:color w:val="000000"/>
              </w:rPr>
            </w:pPr>
            <w:r w:rsidRPr="00E265AC">
              <w:rPr>
                <w:color w:val="000000"/>
              </w:rPr>
              <w:t xml:space="preserve">Uncontrollable (e.g., uncontrollable, lack of control, losing control) </w:t>
            </w:r>
          </w:p>
        </w:tc>
        <w:tc>
          <w:tcPr>
            <w:tcW w:w="1420" w:type="dxa"/>
            <w:tcBorders>
              <w:top w:val="single" w:sz="4" w:space="0" w:color="auto"/>
              <w:left w:val="single" w:sz="4" w:space="0" w:color="auto"/>
              <w:bottom w:val="single" w:sz="4" w:space="0" w:color="auto"/>
              <w:right w:val="single" w:sz="4" w:space="0" w:color="auto"/>
            </w:tcBorders>
            <w:noWrap/>
            <w:hideMark/>
          </w:tcPr>
          <w:p w14:paraId="19932020" w14:textId="77777777" w:rsidR="006A48A0" w:rsidRPr="00E265AC" w:rsidRDefault="006A48A0">
            <w:pPr>
              <w:spacing w:line="256" w:lineRule="auto"/>
              <w:jc w:val="right"/>
              <w:rPr>
                <w:color w:val="000000"/>
              </w:rPr>
            </w:pPr>
            <w:r w:rsidRPr="00E265AC">
              <w:rPr>
                <w:color w:val="000000"/>
              </w:rPr>
              <w:t>1.6</w:t>
            </w:r>
          </w:p>
        </w:tc>
        <w:tc>
          <w:tcPr>
            <w:tcW w:w="1491" w:type="dxa"/>
            <w:tcBorders>
              <w:top w:val="single" w:sz="4" w:space="0" w:color="auto"/>
              <w:left w:val="single" w:sz="4" w:space="0" w:color="auto"/>
              <w:bottom w:val="single" w:sz="4" w:space="0" w:color="auto"/>
              <w:right w:val="single" w:sz="4" w:space="0" w:color="auto"/>
            </w:tcBorders>
            <w:noWrap/>
            <w:hideMark/>
          </w:tcPr>
          <w:p w14:paraId="3C44288B" w14:textId="77777777" w:rsidR="006A48A0" w:rsidRPr="00E265AC" w:rsidRDefault="006A48A0">
            <w:pPr>
              <w:spacing w:line="256" w:lineRule="auto"/>
              <w:jc w:val="right"/>
              <w:rPr>
                <w:color w:val="000000"/>
              </w:rPr>
            </w:pPr>
            <w:r w:rsidRPr="00E265AC">
              <w:rPr>
                <w:color w:val="000000"/>
              </w:rPr>
              <w:t>1.0</w:t>
            </w:r>
          </w:p>
        </w:tc>
      </w:tr>
      <w:tr w:rsidR="006A48A0" w:rsidRPr="00E265AC" w14:paraId="0F4A8608"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6F554882" w14:textId="77777777" w:rsidR="006A48A0" w:rsidRPr="00E265AC" w:rsidRDefault="006A48A0">
            <w:pPr>
              <w:spacing w:line="256" w:lineRule="auto"/>
              <w:rPr>
                <w:color w:val="000000"/>
              </w:rPr>
            </w:pPr>
            <w:r w:rsidRPr="00E265AC">
              <w:rPr>
                <w:color w:val="000000"/>
              </w:rPr>
              <w:t>Unfair (e.g., why me? unfair, not fair)</w:t>
            </w:r>
          </w:p>
        </w:tc>
        <w:tc>
          <w:tcPr>
            <w:tcW w:w="1420" w:type="dxa"/>
            <w:tcBorders>
              <w:top w:val="single" w:sz="4" w:space="0" w:color="auto"/>
              <w:left w:val="single" w:sz="4" w:space="0" w:color="auto"/>
              <w:bottom w:val="single" w:sz="4" w:space="0" w:color="auto"/>
              <w:right w:val="single" w:sz="4" w:space="0" w:color="auto"/>
            </w:tcBorders>
            <w:noWrap/>
            <w:hideMark/>
          </w:tcPr>
          <w:p w14:paraId="35CBA0A8" w14:textId="77777777" w:rsidR="006A48A0" w:rsidRPr="00E265AC" w:rsidRDefault="006A48A0">
            <w:pPr>
              <w:spacing w:line="256" w:lineRule="auto"/>
              <w:jc w:val="right"/>
              <w:rPr>
                <w:color w:val="000000"/>
              </w:rPr>
            </w:pPr>
            <w:r w:rsidRPr="00E265AC">
              <w:rPr>
                <w:color w:val="000000"/>
              </w:rPr>
              <w:t>0.8</w:t>
            </w:r>
          </w:p>
        </w:tc>
        <w:tc>
          <w:tcPr>
            <w:tcW w:w="1491" w:type="dxa"/>
            <w:tcBorders>
              <w:top w:val="single" w:sz="4" w:space="0" w:color="auto"/>
              <w:left w:val="single" w:sz="4" w:space="0" w:color="auto"/>
              <w:bottom w:val="single" w:sz="4" w:space="0" w:color="auto"/>
              <w:right w:val="single" w:sz="4" w:space="0" w:color="auto"/>
            </w:tcBorders>
            <w:noWrap/>
            <w:hideMark/>
          </w:tcPr>
          <w:p w14:paraId="5FDF2991" w14:textId="77777777" w:rsidR="006A48A0" w:rsidRPr="00E265AC" w:rsidRDefault="006A48A0">
            <w:pPr>
              <w:spacing w:line="256" w:lineRule="auto"/>
              <w:jc w:val="right"/>
              <w:rPr>
                <w:color w:val="000000"/>
              </w:rPr>
            </w:pPr>
            <w:r w:rsidRPr="00E265AC">
              <w:rPr>
                <w:color w:val="000000"/>
              </w:rPr>
              <w:t>0.8</w:t>
            </w:r>
          </w:p>
        </w:tc>
      </w:tr>
      <w:tr w:rsidR="006A48A0" w:rsidRPr="00E265AC" w14:paraId="38721E16" w14:textId="77777777">
        <w:trPr>
          <w:trHeight w:val="300"/>
        </w:trPr>
        <w:tc>
          <w:tcPr>
            <w:tcW w:w="7089" w:type="dxa"/>
            <w:tcBorders>
              <w:top w:val="single" w:sz="4" w:space="0" w:color="auto"/>
              <w:left w:val="single" w:sz="4" w:space="0" w:color="auto"/>
              <w:bottom w:val="single" w:sz="4" w:space="0" w:color="auto"/>
              <w:right w:val="single" w:sz="4" w:space="0" w:color="auto"/>
            </w:tcBorders>
            <w:noWrap/>
            <w:hideMark/>
          </w:tcPr>
          <w:p w14:paraId="39049907" w14:textId="77777777" w:rsidR="006A48A0" w:rsidRPr="00E265AC" w:rsidRDefault="006A48A0">
            <w:pPr>
              <w:spacing w:line="256" w:lineRule="auto"/>
              <w:rPr>
                <w:color w:val="000000"/>
              </w:rPr>
            </w:pPr>
            <w:proofErr w:type="spellStart"/>
            <w:r w:rsidRPr="00E265AC">
              <w:rPr>
                <w:color w:val="000000"/>
              </w:rPr>
              <w:lastRenderedPageBreak/>
              <w:t>Unintruding</w:t>
            </w:r>
            <w:proofErr w:type="spellEnd"/>
            <w:r w:rsidRPr="00E265AC">
              <w:rPr>
                <w:color w:val="000000"/>
              </w:rPr>
              <w:t xml:space="preserve"> (e.g., background noise masking, masked, in the background)</w:t>
            </w:r>
          </w:p>
        </w:tc>
        <w:tc>
          <w:tcPr>
            <w:tcW w:w="1420" w:type="dxa"/>
            <w:tcBorders>
              <w:top w:val="single" w:sz="4" w:space="0" w:color="auto"/>
              <w:left w:val="single" w:sz="4" w:space="0" w:color="auto"/>
              <w:bottom w:val="single" w:sz="4" w:space="0" w:color="auto"/>
              <w:right w:val="single" w:sz="4" w:space="0" w:color="auto"/>
            </w:tcBorders>
            <w:noWrap/>
            <w:hideMark/>
          </w:tcPr>
          <w:p w14:paraId="006F7D42" w14:textId="77777777" w:rsidR="006A48A0" w:rsidRPr="00E265AC" w:rsidRDefault="006A48A0">
            <w:pPr>
              <w:spacing w:line="256" w:lineRule="auto"/>
              <w:jc w:val="right"/>
              <w:rPr>
                <w:color w:val="000000"/>
              </w:rPr>
            </w:pPr>
            <w:r w:rsidRPr="00E265AC">
              <w:rPr>
                <w:color w:val="000000"/>
              </w:rPr>
              <w:t>0.8</w:t>
            </w:r>
          </w:p>
        </w:tc>
        <w:tc>
          <w:tcPr>
            <w:tcW w:w="1491" w:type="dxa"/>
            <w:tcBorders>
              <w:top w:val="single" w:sz="4" w:space="0" w:color="auto"/>
              <w:left w:val="single" w:sz="4" w:space="0" w:color="auto"/>
              <w:bottom w:val="single" w:sz="4" w:space="0" w:color="auto"/>
              <w:right w:val="single" w:sz="4" w:space="0" w:color="auto"/>
            </w:tcBorders>
            <w:noWrap/>
            <w:hideMark/>
          </w:tcPr>
          <w:p w14:paraId="50250D0A" w14:textId="77777777" w:rsidR="006A48A0" w:rsidRPr="00E265AC" w:rsidRDefault="006A48A0">
            <w:pPr>
              <w:spacing w:line="256" w:lineRule="auto"/>
              <w:jc w:val="right"/>
              <w:rPr>
                <w:color w:val="000000"/>
              </w:rPr>
            </w:pPr>
            <w:r w:rsidRPr="00E265AC">
              <w:rPr>
                <w:color w:val="000000"/>
              </w:rPr>
              <w:t>1.6</w:t>
            </w:r>
          </w:p>
        </w:tc>
      </w:tr>
    </w:tbl>
    <w:p w14:paraId="0CF9150D" w14:textId="77777777" w:rsidR="006A48A0" w:rsidRPr="00E265AC" w:rsidRDefault="006A48A0" w:rsidP="006A48A0"/>
    <w:p w14:paraId="4AA94C25" w14:textId="77777777" w:rsidR="006A48A0" w:rsidRPr="00E265AC" w:rsidRDefault="006A48A0" w:rsidP="006A48A0">
      <w:pPr>
        <w:rPr>
          <w:b/>
        </w:rPr>
      </w:pPr>
    </w:p>
    <w:p w14:paraId="2D82528C" w14:textId="5BDAF8AA" w:rsidR="00914440" w:rsidRPr="00E265AC" w:rsidRDefault="006A48A0" w:rsidP="006A48A0">
      <w:pPr>
        <w:spacing w:line="480" w:lineRule="auto"/>
        <w:rPr>
          <w:b/>
        </w:rPr>
      </w:pPr>
      <w:r w:rsidRPr="00E265AC">
        <w:rPr>
          <w:b/>
        </w:rPr>
        <w:br w:type="column"/>
      </w:r>
    </w:p>
    <w:p w14:paraId="2464348D" w14:textId="5EAC572B" w:rsidR="00914440" w:rsidRPr="00E265AC" w:rsidRDefault="00914440" w:rsidP="004F21AC">
      <w:pPr>
        <w:spacing w:line="480" w:lineRule="auto"/>
        <w:rPr>
          <w:b/>
        </w:rPr>
      </w:pPr>
      <w:r w:rsidRPr="00E265AC">
        <w:rPr>
          <w:b/>
        </w:rPr>
        <w:t>Table 5: Prototypical analysis of tinnitus responses pre-intervention</w:t>
      </w:r>
    </w:p>
    <w:p w14:paraId="4EFD7A6E" w14:textId="77777777" w:rsidR="006A48A0" w:rsidRPr="00E265AC" w:rsidRDefault="006A48A0" w:rsidP="006A48A0">
      <w:pPr>
        <w:rPr>
          <w:b/>
        </w:rPr>
      </w:pPr>
    </w:p>
    <w:p w14:paraId="6D4EA9D2" w14:textId="77777777" w:rsidR="006A48A0" w:rsidRPr="00E265AC" w:rsidRDefault="006A48A0" w:rsidP="006A48A0"/>
    <w:tbl>
      <w:tblPr>
        <w:tblW w:w="0" w:type="auto"/>
        <w:tblInd w:w="-5" w:type="dxa"/>
        <w:tblLayout w:type="fixed"/>
        <w:tblLook w:val="04A0" w:firstRow="1" w:lastRow="0" w:firstColumn="1" w:lastColumn="0" w:noHBand="0" w:noVBand="1"/>
      </w:tblPr>
      <w:tblGrid>
        <w:gridCol w:w="4510"/>
        <w:gridCol w:w="4516"/>
      </w:tblGrid>
      <w:tr w:rsidR="006A48A0" w:rsidRPr="00E265AC" w14:paraId="5A0B443F" w14:textId="77777777">
        <w:tc>
          <w:tcPr>
            <w:tcW w:w="4510" w:type="dxa"/>
            <w:tcBorders>
              <w:top w:val="single" w:sz="4" w:space="0" w:color="000000"/>
              <w:left w:val="single" w:sz="4" w:space="0" w:color="000000"/>
              <w:bottom w:val="single" w:sz="4" w:space="0" w:color="000000"/>
              <w:right w:val="nil"/>
            </w:tcBorders>
          </w:tcPr>
          <w:p w14:paraId="7DD5D1A6" w14:textId="77777777" w:rsidR="006A48A0" w:rsidRPr="00E265AC" w:rsidRDefault="006A48A0">
            <w:pPr>
              <w:spacing w:line="256" w:lineRule="auto"/>
            </w:pPr>
            <w:r w:rsidRPr="00E265AC">
              <w:rPr>
                <w:b/>
              </w:rPr>
              <w:t>Central Zone</w:t>
            </w:r>
          </w:p>
          <w:p w14:paraId="0ED8D0F5" w14:textId="77777777" w:rsidR="006A48A0" w:rsidRPr="00E265AC" w:rsidRDefault="006A48A0">
            <w:pPr>
              <w:spacing w:line="256" w:lineRule="auto"/>
              <w:rPr>
                <w:b/>
              </w:rPr>
            </w:pPr>
          </w:p>
          <w:p w14:paraId="2ED50007" w14:textId="77777777" w:rsidR="006A48A0" w:rsidRPr="00E265AC" w:rsidRDefault="006A48A0">
            <w:pPr>
              <w:spacing w:line="256" w:lineRule="auto"/>
            </w:pPr>
            <w:r w:rsidRPr="00E265AC">
              <w:t>Description of tinnitus</w:t>
            </w:r>
          </w:p>
          <w:p w14:paraId="3C6EC8C9" w14:textId="77777777" w:rsidR="006A48A0" w:rsidRPr="00E265AC" w:rsidRDefault="006A48A0">
            <w:pPr>
              <w:spacing w:line="256" w:lineRule="auto"/>
            </w:pPr>
            <w:r w:rsidRPr="00E265AC">
              <w:t>Annoying</w:t>
            </w:r>
          </w:p>
          <w:p w14:paraId="0119A25C" w14:textId="77777777" w:rsidR="006A48A0" w:rsidRPr="00E265AC" w:rsidRDefault="006A48A0">
            <w:pPr>
              <w:spacing w:line="256" w:lineRule="auto"/>
            </w:pPr>
            <w:r w:rsidRPr="00E265AC">
              <w:t>Persistent</w:t>
            </w:r>
          </w:p>
          <w:p w14:paraId="4F766702" w14:textId="77777777" w:rsidR="006A48A0" w:rsidRPr="00E265AC" w:rsidRDefault="006A48A0">
            <w:pPr>
              <w:spacing w:line="256" w:lineRule="auto"/>
            </w:pPr>
            <w:r w:rsidRPr="00E265AC">
              <w:t>Frustrating</w:t>
            </w:r>
          </w:p>
          <w:p w14:paraId="0C5A8B6D" w14:textId="77777777" w:rsidR="006A48A0" w:rsidRPr="00E265AC" w:rsidRDefault="006A48A0">
            <w:pPr>
              <w:spacing w:line="256" w:lineRule="auto"/>
            </w:pPr>
            <w:r w:rsidRPr="00E265AC">
              <w:t>Bothersome</w:t>
            </w:r>
          </w:p>
          <w:p w14:paraId="08A38F6C" w14:textId="77777777" w:rsidR="006A48A0" w:rsidRPr="00E265AC" w:rsidRDefault="006A48A0">
            <w:pPr>
              <w:spacing w:line="256" w:lineRule="auto"/>
            </w:pPr>
            <w:r w:rsidRPr="00E265AC">
              <w:t xml:space="preserve">Debilitating </w:t>
            </w:r>
          </w:p>
        </w:tc>
        <w:tc>
          <w:tcPr>
            <w:tcW w:w="4516" w:type="dxa"/>
            <w:tcBorders>
              <w:top w:val="single" w:sz="4" w:space="0" w:color="000000"/>
              <w:left w:val="single" w:sz="4" w:space="0" w:color="000000"/>
              <w:bottom w:val="single" w:sz="4" w:space="0" w:color="000000"/>
              <w:right w:val="single" w:sz="4" w:space="0" w:color="000000"/>
            </w:tcBorders>
          </w:tcPr>
          <w:p w14:paraId="05C1C5E7" w14:textId="77777777" w:rsidR="006A48A0" w:rsidRPr="00E265AC" w:rsidRDefault="006A48A0">
            <w:pPr>
              <w:spacing w:line="256" w:lineRule="auto"/>
            </w:pPr>
            <w:r w:rsidRPr="00E265AC">
              <w:rPr>
                <w:b/>
              </w:rPr>
              <w:t>First periphery</w:t>
            </w:r>
          </w:p>
          <w:p w14:paraId="75D1F413" w14:textId="77777777" w:rsidR="006A48A0" w:rsidRPr="00E265AC" w:rsidRDefault="006A48A0">
            <w:pPr>
              <w:spacing w:line="256" w:lineRule="auto"/>
              <w:rPr>
                <w:b/>
              </w:rPr>
            </w:pPr>
          </w:p>
          <w:p w14:paraId="128D6FD8" w14:textId="77777777" w:rsidR="006A48A0" w:rsidRPr="00E265AC" w:rsidRDefault="006A48A0">
            <w:pPr>
              <w:spacing w:line="256" w:lineRule="auto"/>
            </w:pPr>
            <w:r w:rsidRPr="00E265AC">
              <w:t>Hearing difficulties</w:t>
            </w:r>
          </w:p>
          <w:p w14:paraId="57087D85" w14:textId="77777777" w:rsidR="006A48A0" w:rsidRPr="00E265AC" w:rsidRDefault="006A48A0">
            <w:pPr>
              <w:spacing w:line="256" w:lineRule="auto"/>
            </w:pPr>
            <w:r w:rsidRPr="00E265AC">
              <w:t>Distressing</w:t>
            </w:r>
          </w:p>
          <w:p w14:paraId="7BC43F2A" w14:textId="77777777" w:rsidR="006A48A0" w:rsidRPr="00E265AC" w:rsidRDefault="006A48A0">
            <w:pPr>
              <w:spacing w:line="256" w:lineRule="auto"/>
            </w:pPr>
            <w:r w:rsidRPr="00E265AC">
              <w:t>Distracting</w:t>
            </w:r>
          </w:p>
          <w:p w14:paraId="32B82505" w14:textId="77777777" w:rsidR="006A48A0" w:rsidRPr="00E265AC" w:rsidRDefault="006A48A0">
            <w:pPr>
              <w:spacing w:line="256" w:lineRule="auto"/>
            </w:pPr>
            <w:r w:rsidRPr="00E265AC">
              <w:t>Accepting</w:t>
            </w:r>
          </w:p>
          <w:p w14:paraId="5D7106E8" w14:textId="77777777" w:rsidR="006A48A0" w:rsidRPr="00E265AC" w:rsidRDefault="006A48A0">
            <w:pPr>
              <w:spacing w:line="256" w:lineRule="auto"/>
            </w:pPr>
            <w:r w:rsidRPr="00E265AC">
              <w:t xml:space="preserve">Helplessness </w:t>
            </w:r>
          </w:p>
          <w:p w14:paraId="5422E72B" w14:textId="77777777" w:rsidR="006A48A0" w:rsidRPr="00E265AC" w:rsidRDefault="006A48A0">
            <w:pPr>
              <w:spacing w:line="256" w:lineRule="auto"/>
            </w:pPr>
            <w:r w:rsidRPr="00E265AC">
              <w:t>Exhausting</w:t>
            </w:r>
          </w:p>
        </w:tc>
      </w:tr>
      <w:tr w:rsidR="006A48A0" w:rsidRPr="00E265AC" w14:paraId="2DB397A6" w14:textId="77777777">
        <w:tc>
          <w:tcPr>
            <w:tcW w:w="4510" w:type="dxa"/>
            <w:tcBorders>
              <w:top w:val="single" w:sz="4" w:space="0" w:color="000000"/>
              <w:left w:val="single" w:sz="4" w:space="0" w:color="000000"/>
              <w:bottom w:val="single" w:sz="4" w:space="0" w:color="000000"/>
              <w:right w:val="nil"/>
            </w:tcBorders>
          </w:tcPr>
          <w:p w14:paraId="7D4606BD" w14:textId="77777777" w:rsidR="006A48A0" w:rsidRPr="00E265AC" w:rsidRDefault="006A48A0">
            <w:pPr>
              <w:spacing w:line="256" w:lineRule="auto"/>
            </w:pPr>
            <w:r w:rsidRPr="00E265AC">
              <w:rPr>
                <w:b/>
              </w:rPr>
              <w:t>Contrasted elements</w:t>
            </w:r>
          </w:p>
          <w:p w14:paraId="027D8969" w14:textId="77777777" w:rsidR="006A48A0" w:rsidRPr="00E265AC" w:rsidRDefault="006A48A0">
            <w:pPr>
              <w:spacing w:line="256" w:lineRule="auto"/>
              <w:rPr>
                <w:b/>
              </w:rPr>
            </w:pPr>
          </w:p>
          <w:p w14:paraId="250D214A" w14:textId="77777777" w:rsidR="006A48A0" w:rsidRPr="00E265AC" w:rsidRDefault="006A48A0">
            <w:pPr>
              <w:spacing w:line="256" w:lineRule="auto"/>
            </w:pPr>
            <w:r w:rsidRPr="00E265AC">
              <w:t>Angering</w:t>
            </w:r>
          </w:p>
          <w:p w14:paraId="03C2EACE" w14:textId="77777777" w:rsidR="006A48A0" w:rsidRPr="00E265AC" w:rsidRDefault="006A48A0">
            <w:pPr>
              <w:spacing w:line="256" w:lineRule="auto"/>
            </w:pPr>
            <w:r w:rsidRPr="00E265AC">
              <w:t>Tormenting</w:t>
            </w:r>
          </w:p>
          <w:p w14:paraId="67B69FEC" w14:textId="77777777" w:rsidR="006A48A0" w:rsidRPr="00E265AC" w:rsidRDefault="006A48A0">
            <w:pPr>
              <w:spacing w:line="256" w:lineRule="auto"/>
            </w:pPr>
            <w:r w:rsidRPr="00E265AC">
              <w:t>Loss of quiet</w:t>
            </w:r>
          </w:p>
          <w:p w14:paraId="64221EB0" w14:textId="77777777" w:rsidR="006A48A0" w:rsidRPr="00E265AC" w:rsidRDefault="006A48A0">
            <w:pPr>
              <w:spacing w:line="256" w:lineRule="auto"/>
            </w:pPr>
            <w:r w:rsidRPr="00E265AC">
              <w:t xml:space="preserve">Unbearable </w:t>
            </w:r>
          </w:p>
        </w:tc>
        <w:tc>
          <w:tcPr>
            <w:tcW w:w="4516" w:type="dxa"/>
            <w:tcBorders>
              <w:top w:val="single" w:sz="4" w:space="0" w:color="000000"/>
              <w:left w:val="single" w:sz="4" w:space="0" w:color="000000"/>
              <w:bottom w:val="single" w:sz="4" w:space="0" w:color="000000"/>
              <w:right w:val="single" w:sz="4" w:space="0" w:color="000000"/>
            </w:tcBorders>
          </w:tcPr>
          <w:p w14:paraId="0C002CBE" w14:textId="77777777" w:rsidR="006A48A0" w:rsidRPr="00E265AC" w:rsidRDefault="006A48A0">
            <w:pPr>
              <w:spacing w:line="256" w:lineRule="auto"/>
            </w:pPr>
            <w:r w:rsidRPr="00E265AC">
              <w:rPr>
                <w:b/>
              </w:rPr>
              <w:t>Second periphery</w:t>
            </w:r>
          </w:p>
          <w:p w14:paraId="7DC13097" w14:textId="77777777" w:rsidR="006A48A0" w:rsidRPr="00E265AC" w:rsidRDefault="006A48A0">
            <w:pPr>
              <w:spacing w:line="256" w:lineRule="auto"/>
              <w:rPr>
                <w:b/>
              </w:rPr>
            </w:pPr>
          </w:p>
          <w:p w14:paraId="7771FA34" w14:textId="77777777" w:rsidR="006A48A0" w:rsidRPr="00E265AC" w:rsidRDefault="006A48A0">
            <w:pPr>
              <w:spacing w:line="256" w:lineRule="auto"/>
            </w:pPr>
            <w:r w:rsidRPr="00E265AC">
              <w:t>Horrible</w:t>
            </w:r>
          </w:p>
          <w:p w14:paraId="6A9885B7" w14:textId="77777777" w:rsidR="006A48A0" w:rsidRPr="00E265AC" w:rsidRDefault="006A48A0">
            <w:pPr>
              <w:spacing w:line="256" w:lineRule="auto"/>
            </w:pPr>
            <w:r w:rsidRPr="00E265AC">
              <w:t>Frightening</w:t>
            </w:r>
          </w:p>
          <w:p w14:paraId="784E9BD0" w14:textId="77777777" w:rsidR="006A48A0" w:rsidRPr="00E265AC" w:rsidRDefault="006A48A0">
            <w:pPr>
              <w:spacing w:line="256" w:lineRule="auto"/>
            </w:pPr>
            <w:r w:rsidRPr="00E265AC">
              <w:t>Challenging</w:t>
            </w:r>
          </w:p>
          <w:p w14:paraId="7ABC6EB3" w14:textId="77777777" w:rsidR="006A48A0" w:rsidRPr="00E265AC" w:rsidRDefault="006A48A0">
            <w:pPr>
              <w:spacing w:line="256" w:lineRule="auto"/>
            </w:pPr>
            <w:r w:rsidRPr="00E265AC">
              <w:t>Uncontrollable</w:t>
            </w:r>
          </w:p>
          <w:p w14:paraId="29EFB7D9" w14:textId="77777777" w:rsidR="006A48A0" w:rsidRPr="00E265AC" w:rsidRDefault="006A48A0">
            <w:pPr>
              <w:spacing w:line="256" w:lineRule="auto"/>
            </w:pPr>
            <w:r w:rsidRPr="00E265AC">
              <w:t>Isolating</w:t>
            </w:r>
          </w:p>
          <w:p w14:paraId="6C6CCC2E" w14:textId="77777777" w:rsidR="006A48A0" w:rsidRPr="00E265AC" w:rsidRDefault="006A48A0">
            <w:pPr>
              <w:spacing w:line="256" w:lineRule="auto"/>
            </w:pPr>
            <w:r w:rsidRPr="00E265AC">
              <w:t>Interfering</w:t>
            </w:r>
          </w:p>
          <w:p w14:paraId="24E20470" w14:textId="77777777" w:rsidR="006A48A0" w:rsidRPr="00E265AC" w:rsidRDefault="006A48A0">
            <w:pPr>
              <w:spacing w:line="256" w:lineRule="auto"/>
            </w:pPr>
            <w:r w:rsidRPr="00E265AC">
              <w:t>Miserable</w:t>
            </w:r>
          </w:p>
          <w:p w14:paraId="0DD0FCC1" w14:textId="77777777" w:rsidR="006A48A0" w:rsidRPr="00E265AC" w:rsidRDefault="006A48A0">
            <w:pPr>
              <w:spacing w:line="256" w:lineRule="auto"/>
            </w:pPr>
            <w:r w:rsidRPr="00E265AC">
              <w:t>Insomnia</w:t>
            </w:r>
          </w:p>
          <w:p w14:paraId="257D3734" w14:textId="77777777" w:rsidR="006A48A0" w:rsidRPr="00E265AC" w:rsidRDefault="006A48A0">
            <w:pPr>
              <w:spacing w:line="256" w:lineRule="auto"/>
            </w:pPr>
            <w:r w:rsidRPr="00E265AC">
              <w:t>Helpful</w:t>
            </w:r>
          </w:p>
          <w:p w14:paraId="4FBB9D7B" w14:textId="77777777" w:rsidR="006A48A0" w:rsidRPr="00E265AC" w:rsidRDefault="006A48A0">
            <w:pPr>
              <w:spacing w:line="256" w:lineRule="auto"/>
            </w:pPr>
            <w:r w:rsidRPr="00E265AC">
              <w:t>Depression</w:t>
            </w:r>
          </w:p>
          <w:p w14:paraId="6B955E7C" w14:textId="77777777" w:rsidR="006A48A0" w:rsidRPr="00E265AC" w:rsidRDefault="006A48A0">
            <w:pPr>
              <w:spacing w:line="256" w:lineRule="auto"/>
            </w:pPr>
            <w:r w:rsidRPr="00E265AC">
              <w:t>Determination</w:t>
            </w:r>
          </w:p>
          <w:p w14:paraId="5C569CFA" w14:textId="77777777" w:rsidR="006A48A0" w:rsidRPr="00E265AC" w:rsidRDefault="006A48A0">
            <w:pPr>
              <w:spacing w:line="256" w:lineRule="auto"/>
            </w:pPr>
            <w:r w:rsidRPr="00E265AC">
              <w:t>Natural process</w:t>
            </w:r>
          </w:p>
          <w:p w14:paraId="01D10C40" w14:textId="77777777" w:rsidR="006A48A0" w:rsidRPr="00E265AC" w:rsidRDefault="006A48A0">
            <w:pPr>
              <w:spacing w:line="256" w:lineRule="auto"/>
            </w:pPr>
            <w:r w:rsidRPr="00E265AC">
              <w:t>Life changing</w:t>
            </w:r>
          </w:p>
          <w:p w14:paraId="4BCF962B" w14:textId="77777777" w:rsidR="006A48A0" w:rsidRPr="00E265AC" w:rsidRDefault="006A48A0">
            <w:pPr>
              <w:spacing w:line="256" w:lineRule="auto"/>
            </w:pPr>
            <w:r w:rsidRPr="00E265AC">
              <w:t>Treatment</w:t>
            </w:r>
          </w:p>
          <w:p w14:paraId="75C0BBD3" w14:textId="77777777" w:rsidR="006A48A0" w:rsidRPr="00E265AC" w:rsidRDefault="006A48A0">
            <w:pPr>
              <w:spacing w:line="256" w:lineRule="auto"/>
            </w:pPr>
            <w:proofErr w:type="spellStart"/>
            <w:r w:rsidRPr="00E265AC">
              <w:t>Unintruding</w:t>
            </w:r>
            <w:proofErr w:type="spellEnd"/>
          </w:p>
          <w:p w14:paraId="7DF27413" w14:textId="77777777" w:rsidR="006A48A0" w:rsidRPr="00E265AC" w:rsidRDefault="006A48A0">
            <w:pPr>
              <w:spacing w:line="256" w:lineRule="auto"/>
            </w:pPr>
            <w:r w:rsidRPr="00E265AC">
              <w:t>Regret</w:t>
            </w:r>
          </w:p>
          <w:p w14:paraId="595C08CB" w14:textId="77777777" w:rsidR="006A48A0" w:rsidRPr="00E265AC" w:rsidRDefault="006A48A0">
            <w:pPr>
              <w:spacing w:line="256" w:lineRule="auto"/>
            </w:pPr>
            <w:r w:rsidRPr="00E265AC">
              <w:t xml:space="preserve">Unfair </w:t>
            </w:r>
          </w:p>
          <w:p w14:paraId="3ACA3262" w14:textId="77777777" w:rsidR="006A48A0" w:rsidRPr="00E265AC" w:rsidRDefault="006A48A0">
            <w:pPr>
              <w:spacing w:line="256" w:lineRule="auto"/>
            </w:pPr>
            <w:r w:rsidRPr="00E265AC">
              <w:t>Coping strategies</w:t>
            </w:r>
          </w:p>
          <w:p w14:paraId="79FB9CE2" w14:textId="77777777" w:rsidR="006A48A0" w:rsidRPr="00E265AC" w:rsidRDefault="006A48A0">
            <w:pPr>
              <w:spacing w:line="256" w:lineRule="auto"/>
            </w:pPr>
            <w:r w:rsidRPr="00E265AC">
              <w:t>Calming</w:t>
            </w:r>
          </w:p>
          <w:p w14:paraId="44BE8EA6" w14:textId="77777777" w:rsidR="006A48A0" w:rsidRPr="00E265AC" w:rsidRDefault="006A48A0">
            <w:pPr>
              <w:spacing w:line="256" w:lineRule="auto"/>
            </w:pPr>
            <w:r w:rsidRPr="00E265AC">
              <w:t>Need to stop</w:t>
            </w:r>
          </w:p>
          <w:p w14:paraId="5D735C95" w14:textId="77777777" w:rsidR="006A48A0" w:rsidRPr="00E265AC" w:rsidRDefault="006A48A0">
            <w:pPr>
              <w:spacing w:line="256" w:lineRule="auto"/>
            </w:pPr>
            <w:r w:rsidRPr="00E265AC">
              <w:t>Disturbing</w:t>
            </w:r>
          </w:p>
        </w:tc>
      </w:tr>
    </w:tbl>
    <w:p w14:paraId="5DCD74C6" w14:textId="77777777" w:rsidR="006A48A0" w:rsidRPr="00E265AC" w:rsidRDefault="006A48A0" w:rsidP="006A48A0">
      <w:pPr>
        <w:rPr>
          <w:b/>
        </w:rPr>
      </w:pPr>
    </w:p>
    <w:p w14:paraId="3CD90ABA" w14:textId="2E05B5FC" w:rsidR="00914440" w:rsidRPr="00E265AC" w:rsidRDefault="006A48A0" w:rsidP="006A48A0">
      <w:pPr>
        <w:spacing w:line="480" w:lineRule="auto"/>
        <w:rPr>
          <w:b/>
        </w:rPr>
      </w:pPr>
      <w:r w:rsidRPr="00E265AC">
        <w:rPr>
          <w:b/>
        </w:rPr>
        <w:br w:type="column"/>
      </w:r>
    </w:p>
    <w:p w14:paraId="6F9C230B" w14:textId="1F2C3759" w:rsidR="00914440" w:rsidRPr="00E265AC" w:rsidRDefault="00914440" w:rsidP="004F21AC">
      <w:pPr>
        <w:spacing w:line="480" w:lineRule="auto"/>
      </w:pPr>
      <w:r w:rsidRPr="00E265AC">
        <w:rPr>
          <w:b/>
        </w:rPr>
        <w:t>Table 6: Prototypical analysis of tinnitus responses post-intervention</w:t>
      </w:r>
    </w:p>
    <w:p w14:paraId="445F9540" w14:textId="77777777" w:rsidR="006A48A0" w:rsidRPr="00E265AC" w:rsidRDefault="006A48A0" w:rsidP="006A48A0"/>
    <w:p w14:paraId="21ED9F21" w14:textId="77777777" w:rsidR="006A48A0" w:rsidRPr="00E265AC" w:rsidRDefault="006A48A0" w:rsidP="006A48A0"/>
    <w:tbl>
      <w:tblPr>
        <w:tblW w:w="0" w:type="auto"/>
        <w:tblInd w:w="-5" w:type="dxa"/>
        <w:tblLayout w:type="fixed"/>
        <w:tblLook w:val="04A0" w:firstRow="1" w:lastRow="0" w:firstColumn="1" w:lastColumn="0" w:noHBand="0" w:noVBand="1"/>
      </w:tblPr>
      <w:tblGrid>
        <w:gridCol w:w="4510"/>
        <w:gridCol w:w="4516"/>
      </w:tblGrid>
      <w:tr w:rsidR="006A48A0" w:rsidRPr="00E265AC" w14:paraId="0AF23A3D" w14:textId="77777777" w:rsidTr="006A48A0">
        <w:tc>
          <w:tcPr>
            <w:tcW w:w="4510" w:type="dxa"/>
            <w:tcBorders>
              <w:top w:val="single" w:sz="4" w:space="0" w:color="000000"/>
              <w:left w:val="single" w:sz="4" w:space="0" w:color="000000"/>
              <w:bottom w:val="single" w:sz="4" w:space="0" w:color="000000"/>
              <w:right w:val="nil"/>
            </w:tcBorders>
          </w:tcPr>
          <w:p w14:paraId="33FE7787" w14:textId="77777777" w:rsidR="006A48A0" w:rsidRPr="00E265AC" w:rsidRDefault="006A48A0">
            <w:pPr>
              <w:spacing w:line="256" w:lineRule="auto"/>
            </w:pPr>
            <w:r w:rsidRPr="00E265AC">
              <w:rPr>
                <w:b/>
              </w:rPr>
              <w:t>Central Zone</w:t>
            </w:r>
          </w:p>
          <w:p w14:paraId="443C34E8" w14:textId="77777777" w:rsidR="006A48A0" w:rsidRPr="00E265AC" w:rsidRDefault="006A48A0">
            <w:pPr>
              <w:spacing w:line="256" w:lineRule="auto"/>
              <w:rPr>
                <w:b/>
              </w:rPr>
            </w:pPr>
          </w:p>
          <w:p w14:paraId="54C69154" w14:textId="77777777" w:rsidR="006A48A0" w:rsidRPr="00E265AC" w:rsidRDefault="006A48A0">
            <w:pPr>
              <w:spacing w:line="256" w:lineRule="auto"/>
            </w:pPr>
            <w:r w:rsidRPr="00E265AC">
              <w:t>Description of tinnitus</w:t>
            </w:r>
          </w:p>
          <w:p w14:paraId="60C236AE" w14:textId="77777777" w:rsidR="006A48A0" w:rsidRPr="00E265AC" w:rsidRDefault="006A48A0">
            <w:pPr>
              <w:spacing w:line="256" w:lineRule="auto"/>
            </w:pPr>
            <w:r w:rsidRPr="00E265AC">
              <w:t>Annoying</w:t>
            </w:r>
          </w:p>
          <w:p w14:paraId="15B89205" w14:textId="77777777" w:rsidR="006A48A0" w:rsidRPr="00E265AC" w:rsidRDefault="006A48A0">
            <w:pPr>
              <w:spacing w:line="256" w:lineRule="auto"/>
            </w:pPr>
            <w:r w:rsidRPr="00E265AC">
              <w:t>Persistent</w:t>
            </w:r>
          </w:p>
          <w:p w14:paraId="64C6975E" w14:textId="77777777" w:rsidR="006A48A0" w:rsidRPr="00E265AC" w:rsidRDefault="006A48A0">
            <w:pPr>
              <w:spacing w:line="256" w:lineRule="auto"/>
            </w:pPr>
          </w:p>
        </w:tc>
        <w:tc>
          <w:tcPr>
            <w:tcW w:w="4516" w:type="dxa"/>
            <w:tcBorders>
              <w:top w:val="single" w:sz="4" w:space="0" w:color="000000"/>
              <w:left w:val="single" w:sz="4" w:space="0" w:color="000000"/>
              <w:bottom w:val="single" w:sz="4" w:space="0" w:color="000000"/>
              <w:right w:val="single" w:sz="4" w:space="0" w:color="000000"/>
            </w:tcBorders>
          </w:tcPr>
          <w:p w14:paraId="31A9CAEA" w14:textId="77777777" w:rsidR="006A48A0" w:rsidRPr="00E265AC" w:rsidRDefault="006A48A0">
            <w:pPr>
              <w:spacing w:line="256" w:lineRule="auto"/>
            </w:pPr>
            <w:r w:rsidRPr="00E265AC">
              <w:rPr>
                <w:b/>
              </w:rPr>
              <w:t>First periphery</w:t>
            </w:r>
          </w:p>
          <w:p w14:paraId="59DA3DB6" w14:textId="77777777" w:rsidR="006A48A0" w:rsidRPr="00E265AC" w:rsidRDefault="006A48A0">
            <w:pPr>
              <w:spacing w:line="256" w:lineRule="auto"/>
              <w:rPr>
                <w:b/>
              </w:rPr>
            </w:pPr>
          </w:p>
          <w:p w14:paraId="247E4CA1" w14:textId="77777777" w:rsidR="006A48A0" w:rsidRPr="00E265AC" w:rsidRDefault="006A48A0">
            <w:pPr>
              <w:spacing w:line="256" w:lineRule="auto"/>
            </w:pPr>
            <w:r w:rsidRPr="00E265AC">
              <w:t>Accepting</w:t>
            </w:r>
          </w:p>
          <w:p w14:paraId="1C4E8A57" w14:textId="77777777" w:rsidR="006A48A0" w:rsidRPr="00E265AC" w:rsidRDefault="006A48A0">
            <w:pPr>
              <w:spacing w:line="256" w:lineRule="auto"/>
            </w:pPr>
            <w:r w:rsidRPr="00E265AC">
              <w:t>Manageable</w:t>
            </w:r>
          </w:p>
          <w:p w14:paraId="0C1DFAE2" w14:textId="77777777" w:rsidR="006A48A0" w:rsidRPr="00E265AC" w:rsidRDefault="006A48A0">
            <w:pPr>
              <w:spacing w:line="256" w:lineRule="auto"/>
            </w:pPr>
            <w:r w:rsidRPr="00E265AC">
              <w:t>Distracting</w:t>
            </w:r>
          </w:p>
          <w:p w14:paraId="752E6A51" w14:textId="77777777" w:rsidR="006A48A0" w:rsidRPr="00E265AC" w:rsidRDefault="006A48A0">
            <w:pPr>
              <w:spacing w:line="256" w:lineRule="auto"/>
            </w:pPr>
            <w:r w:rsidRPr="00E265AC">
              <w:t>Mental wellness</w:t>
            </w:r>
          </w:p>
          <w:p w14:paraId="10B1AACD" w14:textId="77777777" w:rsidR="006A48A0" w:rsidRPr="00E265AC" w:rsidRDefault="006A48A0">
            <w:pPr>
              <w:spacing w:line="256" w:lineRule="auto"/>
            </w:pPr>
            <w:r w:rsidRPr="00E265AC">
              <w:t>Take control</w:t>
            </w:r>
          </w:p>
        </w:tc>
      </w:tr>
      <w:tr w:rsidR="006A48A0" w14:paraId="7A3B51EF" w14:textId="77777777" w:rsidTr="006A48A0">
        <w:tc>
          <w:tcPr>
            <w:tcW w:w="4510" w:type="dxa"/>
            <w:tcBorders>
              <w:top w:val="single" w:sz="4" w:space="0" w:color="000000"/>
              <w:left w:val="single" w:sz="4" w:space="0" w:color="000000"/>
              <w:bottom w:val="single" w:sz="4" w:space="0" w:color="000000"/>
              <w:right w:val="nil"/>
            </w:tcBorders>
          </w:tcPr>
          <w:p w14:paraId="09B0FFBE" w14:textId="77777777" w:rsidR="006A48A0" w:rsidRPr="00E265AC" w:rsidRDefault="006A48A0">
            <w:pPr>
              <w:spacing w:line="256" w:lineRule="auto"/>
            </w:pPr>
            <w:r w:rsidRPr="00E265AC">
              <w:rPr>
                <w:b/>
              </w:rPr>
              <w:t>Contrasted elements</w:t>
            </w:r>
          </w:p>
          <w:p w14:paraId="664FDDBC" w14:textId="77777777" w:rsidR="006A48A0" w:rsidRPr="00E265AC" w:rsidRDefault="006A48A0">
            <w:pPr>
              <w:spacing w:line="256" w:lineRule="auto"/>
              <w:rPr>
                <w:b/>
              </w:rPr>
            </w:pPr>
          </w:p>
          <w:p w14:paraId="20FA5A9A" w14:textId="77777777" w:rsidR="006A48A0" w:rsidRPr="00E265AC" w:rsidRDefault="006A48A0">
            <w:pPr>
              <w:spacing w:line="256" w:lineRule="auto"/>
            </w:pPr>
            <w:r w:rsidRPr="00E265AC">
              <w:t>Frustrating</w:t>
            </w:r>
          </w:p>
          <w:p w14:paraId="3F728F9A" w14:textId="77777777" w:rsidR="006A48A0" w:rsidRPr="00E265AC" w:rsidRDefault="006A48A0">
            <w:pPr>
              <w:spacing w:line="256" w:lineRule="auto"/>
            </w:pPr>
            <w:r w:rsidRPr="00E265AC">
              <w:t>Hearing difficulties</w:t>
            </w:r>
          </w:p>
          <w:p w14:paraId="28FBCFA1" w14:textId="77777777" w:rsidR="006A48A0" w:rsidRPr="00E265AC" w:rsidRDefault="006A48A0">
            <w:pPr>
              <w:spacing w:line="256" w:lineRule="auto"/>
            </w:pPr>
            <w:r w:rsidRPr="00E265AC">
              <w:t>Bothersome</w:t>
            </w:r>
          </w:p>
          <w:p w14:paraId="5F590E4E" w14:textId="77777777" w:rsidR="006A48A0" w:rsidRPr="00E265AC" w:rsidRDefault="006A48A0">
            <w:pPr>
              <w:spacing w:line="256" w:lineRule="auto"/>
            </w:pPr>
            <w:r w:rsidRPr="00E265AC">
              <w:t>Unbearable</w:t>
            </w:r>
          </w:p>
          <w:p w14:paraId="7686B6BA" w14:textId="77777777" w:rsidR="006A48A0" w:rsidRPr="00E265AC" w:rsidRDefault="006A48A0">
            <w:pPr>
              <w:spacing w:line="256" w:lineRule="auto"/>
            </w:pPr>
            <w:r w:rsidRPr="00E265AC">
              <w:t xml:space="preserve">Uncontrollable </w:t>
            </w:r>
          </w:p>
          <w:p w14:paraId="291CE918" w14:textId="77777777" w:rsidR="006A48A0" w:rsidRPr="00E265AC" w:rsidRDefault="006A48A0">
            <w:pPr>
              <w:spacing w:line="256" w:lineRule="auto"/>
            </w:pPr>
            <w:r w:rsidRPr="00E265AC">
              <w:t>Miserable</w:t>
            </w:r>
          </w:p>
          <w:p w14:paraId="55270A5F" w14:textId="77777777" w:rsidR="006A48A0" w:rsidRPr="00E265AC" w:rsidRDefault="006A48A0">
            <w:pPr>
              <w:spacing w:line="256" w:lineRule="auto"/>
            </w:pPr>
            <w:r w:rsidRPr="00E265AC">
              <w:t xml:space="preserve">Angering </w:t>
            </w:r>
          </w:p>
          <w:p w14:paraId="55C5B162" w14:textId="77777777" w:rsidR="006A48A0" w:rsidRPr="00E265AC" w:rsidRDefault="006A48A0">
            <w:pPr>
              <w:spacing w:line="256" w:lineRule="auto"/>
            </w:pPr>
            <w:r w:rsidRPr="00E265AC">
              <w:t>Insomnia</w:t>
            </w:r>
          </w:p>
          <w:p w14:paraId="1C32D266" w14:textId="77777777" w:rsidR="006A48A0" w:rsidRPr="00E265AC" w:rsidRDefault="006A48A0">
            <w:pPr>
              <w:spacing w:line="256" w:lineRule="auto"/>
            </w:pPr>
            <w:r w:rsidRPr="00E265AC">
              <w:t xml:space="preserve">Regret </w:t>
            </w:r>
          </w:p>
        </w:tc>
        <w:tc>
          <w:tcPr>
            <w:tcW w:w="4516" w:type="dxa"/>
            <w:tcBorders>
              <w:top w:val="single" w:sz="4" w:space="0" w:color="000000"/>
              <w:left w:val="single" w:sz="4" w:space="0" w:color="000000"/>
              <w:bottom w:val="single" w:sz="4" w:space="0" w:color="000000"/>
              <w:right w:val="single" w:sz="4" w:space="0" w:color="000000"/>
            </w:tcBorders>
          </w:tcPr>
          <w:p w14:paraId="64BE45B4" w14:textId="77777777" w:rsidR="006A48A0" w:rsidRPr="00E265AC" w:rsidRDefault="006A48A0">
            <w:pPr>
              <w:spacing w:line="256" w:lineRule="auto"/>
            </w:pPr>
            <w:r w:rsidRPr="00E265AC">
              <w:rPr>
                <w:b/>
              </w:rPr>
              <w:t>Second periphery</w:t>
            </w:r>
          </w:p>
          <w:p w14:paraId="7285027F" w14:textId="77777777" w:rsidR="006A48A0" w:rsidRPr="00E265AC" w:rsidRDefault="006A48A0">
            <w:pPr>
              <w:spacing w:line="256" w:lineRule="auto"/>
              <w:rPr>
                <w:b/>
              </w:rPr>
            </w:pPr>
          </w:p>
          <w:p w14:paraId="73BDC8DB" w14:textId="77777777" w:rsidR="006A48A0" w:rsidRPr="00E265AC" w:rsidRDefault="006A48A0">
            <w:pPr>
              <w:spacing w:line="256" w:lineRule="auto"/>
            </w:pPr>
            <w:r w:rsidRPr="00E265AC">
              <w:t>Distressing</w:t>
            </w:r>
          </w:p>
          <w:p w14:paraId="52CF6A2D" w14:textId="77777777" w:rsidR="006A48A0" w:rsidRPr="00E265AC" w:rsidRDefault="006A48A0">
            <w:pPr>
              <w:spacing w:line="256" w:lineRule="auto"/>
            </w:pPr>
            <w:r w:rsidRPr="00E265AC">
              <w:t>Debilitating</w:t>
            </w:r>
          </w:p>
          <w:p w14:paraId="7A291A7C" w14:textId="77777777" w:rsidR="006A48A0" w:rsidRPr="00E265AC" w:rsidRDefault="006A48A0">
            <w:pPr>
              <w:spacing w:line="256" w:lineRule="auto"/>
            </w:pPr>
            <w:r w:rsidRPr="00E265AC">
              <w:t xml:space="preserve">Exhausting </w:t>
            </w:r>
          </w:p>
          <w:p w14:paraId="15E9F498" w14:textId="77777777" w:rsidR="006A48A0" w:rsidRPr="00E265AC" w:rsidRDefault="006A48A0">
            <w:pPr>
              <w:spacing w:line="256" w:lineRule="auto"/>
            </w:pPr>
            <w:r w:rsidRPr="00E265AC">
              <w:t>Coping strategies</w:t>
            </w:r>
          </w:p>
          <w:p w14:paraId="4B593446" w14:textId="77777777" w:rsidR="006A48A0" w:rsidRPr="00E265AC" w:rsidRDefault="006A48A0">
            <w:pPr>
              <w:spacing w:line="256" w:lineRule="auto"/>
            </w:pPr>
            <w:r w:rsidRPr="00E265AC">
              <w:t>Challenging</w:t>
            </w:r>
          </w:p>
          <w:p w14:paraId="38373F17" w14:textId="77777777" w:rsidR="006A48A0" w:rsidRPr="00E265AC" w:rsidRDefault="006A48A0">
            <w:pPr>
              <w:spacing w:line="256" w:lineRule="auto"/>
            </w:pPr>
            <w:proofErr w:type="spellStart"/>
            <w:r w:rsidRPr="00E265AC">
              <w:t>Unintruding</w:t>
            </w:r>
            <w:proofErr w:type="spellEnd"/>
          </w:p>
          <w:p w14:paraId="3A7C3125" w14:textId="77777777" w:rsidR="006A48A0" w:rsidRPr="00E265AC" w:rsidRDefault="006A48A0">
            <w:pPr>
              <w:spacing w:line="256" w:lineRule="auto"/>
            </w:pPr>
            <w:r w:rsidRPr="00E265AC">
              <w:t>Loss of quiet</w:t>
            </w:r>
          </w:p>
          <w:p w14:paraId="49761F79" w14:textId="77777777" w:rsidR="006A48A0" w:rsidRPr="00E265AC" w:rsidRDefault="006A48A0">
            <w:pPr>
              <w:spacing w:line="256" w:lineRule="auto"/>
            </w:pPr>
            <w:r w:rsidRPr="00E265AC">
              <w:t>Hopeful</w:t>
            </w:r>
          </w:p>
          <w:p w14:paraId="53A2464A" w14:textId="77777777" w:rsidR="006A48A0" w:rsidRPr="00E265AC" w:rsidRDefault="006A48A0">
            <w:pPr>
              <w:spacing w:line="256" w:lineRule="auto"/>
            </w:pPr>
            <w:r w:rsidRPr="00E265AC">
              <w:t>Treatment</w:t>
            </w:r>
          </w:p>
          <w:p w14:paraId="136F5CDA" w14:textId="77777777" w:rsidR="006A48A0" w:rsidRPr="00E265AC" w:rsidRDefault="006A48A0">
            <w:pPr>
              <w:spacing w:line="256" w:lineRule="auto"/>
            </w:pPr>
            <w:r w:rsidRPr="00E265AC">
              <w:t>Condition</w:t>
            </w:r>
          </w:p>
          <w:p w14:paraId="3249D41D" w14:textId="77777777" w:rsidR="006A48A0" w:rsidRPr="00E265AC" w:rsidRDefault="006A48A0">
            <w:pPr>
              <w:spacing w:line="256" w:lineRule="auto"/>
            </w:pPr>
            <w:r w:rsidRPr="00E265AC">
              <w:t>Helplessness</w:t>
            </w:r>
          </w:p>
          <w:p w14:paraId="555B29DC" w14:textId="77777777" w:rsidR="006A48A0" w:rsidRPr="00E265AC" w:rsidRDefault="006A48A0">
            <w:pPr>
              <w:spacing w:line="256" w:lineRule="auto"/>
            </w:pPr>
            <w:r w:rsidRPr="00E265AC">
              <w:t>Depressing</w:t>
            </w:r>
          </w:p>
          <w:p w14:paraId="2561C825" w14:textId="77777777" w:rsidR="006A48A0" w:rsidRPr="00E265AC" w:rsidRDefault="006A48A0">
            <w:pPr>
              <w:spacing w:line="256" w:lineRule="auto"/>
            </w:pPr>
            <w:r w:rsidRPr="00E265AC">
              <w:t>Horrible</w:t>
            </w:r>
          </w:p>
          <w:p w14:paraId="33480A82" w14:textId="77777777" w:rsidR="006A48A0" w:rsidRPr="00E265AC" w:rsidRDefault="006A48A0">
            <w:pPr>
              <w:spacing w:line="256" w:lineRule="auto"/>
            </w:pPr>
            <w:r w:rsidRPr="00E265AC">
              <w:t xml:space="preserve">Interfering </w:t>
            </w:r>
          </w:p>
          <w:p w14:paraId="6DC7F99C" w14:textId="77777777" w:rsidR="006A48A0" w:rsidRPr="00E265AC" w:rsidRDefault="006A48A0">
            <w:pPr>
              <w:spacing w:line="256" w:lineRule="auto"/>
            </w:pPr>
            <w:r w:rsidRPr="00E265AC">
              <w:t>Need to stop</w:t>
            </w:r>
          </w:p>
          <w:p w14:paraId="2BBFD474" w14:textId="77777777" w:rsidR="006A48A0" w:rsidRPr="00E265AC" w:rsidRDefault="006A48A0">
            <w:pPr>
              <w:spacing w:line="256" w:lineRule="auto"/>
            </w:pPr>
            <w:r w:rsidRPr="00E265AC">
              <w:t>Unfair</w:t>
            </w:r>
          </w:p>
          <w:p w14:paraId="79462680" w14:textId="77777777" w:rsidR="006A48A0" w:rsidRPr="00E265AC" w:rsidRDefault="006A48A0">
            <w:pPr>
              <w:spacing w:line="256" w:lineRule="auto"/>
            </w:pPr>
            <w:r w:rsidRPr="00E265AC">
              <w:t>Isolating</w:t>
            </w:r>
          </w:p>
          <w:p w14:paraId="133FFDD4" w14:textId="77777777" w:rsidR="006A48A0" w:rsidRPr="00E265AC" w:rsidRDefault="006A48A0">
            <w:pPr>
              <w:spacing w:line="256" w:lineRule="auto"/>
            </w:pPr>
            <w:r w:rsidRPr="00E265AC">
              <w:t>Hearing health</w:t>
            </w:r>
          </w:p>
          <w:p w14:paraId="18F97546" w14:textId="77777777" w:rsidR="006A48A0" w:rsidRPr="00E265AC" w:rsidRDefault="006A48A0">
            <w:pPr>
              <w:spacing w:line="256" w:lineRule="auto"/>
            </w:pPr>
            <w:r w:rsidRPr="00E265AC">
              <w:t xml:space="preserve">Frighting </w:t>
            </w:r>
          </w:p>
          <w:p w14:paraId="3514CE4E" w14:textId="77777777" w:rsidR="006A48A0" w:rsidRDefault="006A48A0">
            <w:pPr>
              <w:spacing w:line="256" w:lineRule="auto"/>
            </w:pPr>
            <w:r w:rsidRPr="00E265AC">
              <w:t>Natural process</w:t>
            </w:r>
            <w:r>
              <w:t xml:space="preserve"> </w:t>
            </w:r>
          </w:p>
        </w:tc>
      </w:tr>
    </w:tbl>
    <w:p w14:paraId="50C34897" w14:textId="77777777" w:rsidR="006A48A0" w:rsidRDefault="006A48A0" w:rsidP="006A48A0"/>
    <w:p w14:paraId="6EC4B1FA" w14:textId="77777777" w:rsidR="006A48A0" w:rsidRDefault="006A48A0" w:rsidP="006A48A0"/>
    <w:p w14:paraId="013FDAEB" w14:textId="63262D25" w:rsidR="009B2B12" w:rsidRPr="00570D3D" w:rsidRDefault="009B2B12" w:rsidP="004F21AC">
      <w:pPr>
        <w:spacing w:line="480" w:lineRule="auto"/>
      </w:pPr>
    </w:p>
    <w:sectPr w:rsidR="009B2B12" w:rsidRPr="00570D3D" w:rsidSect="004F21AC">
      <w:headerReference w:type="even" r:id="rId26"/>
      <w:headerReference w:type="default" r:id="rId27"/>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E17AA" w14:textId="77777777" w:rsidR="002665E3" w:rsidRDefault="002665E3" w:rsidP="001D4C0A">
      <w:r>
        <w:separator/>
      </w:r>
    </w:p>
  </w:endnote>
  <w:endnote w:type="continuationSeparator" w:id="0">
    <w:p w14:paraId="0101698C" w14:textId="77777777" w:rsidR="002665E3" w:rsidRDefault="002665E3" w:rsidP="001D4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EB Garamond">
    <w:charset w:val="00"/>
    <w:family w:val="auto"/>
    <w:pitch w:val="variable"/>
    <w:sig w:usb0="E00002FF" w:usb1="0200041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FAD88" w14:textId="77777777" w:rsidR="002665E3" w:rsidRDefault="002665E3" w:rsidP="001D4C0A">
      <w:r>
        <w:separator/>
      </w:r>
    </w:p>
  </w:footnote>
  <w:footnote w:type="continuationSeparator" w:id="0">
    <w:p w14:paraId="13855A21" w14:textId="77777777" w:rsidR="002665E3" w:rsidRDefault="002665E3" w:rsidP="001D4C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02099042"/>
      <w:docPartObj>
        <w:docPartGallery w:val="Page Numbers (Top of Page)"/>
        <w:docPartUnique/>
      </w:docPartObj>
    </w:sdtPr>
    <w:sdtEndPr>
      <w:rPr>
        <w:rStyle w:val="PageNumber"/>
      </w:rPr>
    </w:sdtEndPr>
    <w:sdtContent>
      <w:p w14:paraId="4864DCF7" w14:textId="53CA81CC" w:rsidR="00AC1780" w:rsidRDefault="00AC1780" w:rsidP="00AC178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21CA90" w14:textId="77777777" w:rsidR="00AC1780" w:rsidRDefault="00AC1780" w:rsidP="001D4C0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15681022"/>
      <w:docPartObj>
        <w:docPartGallery w:val="Page Numbers (Top of Page)"/>
        <w:docPartUnique/>
      </w:docPartObj>
    </w:sdtPr>
    <w:sdtEndPr>
      <w:rPr>
        <w:rStyle w:val="PageNumber"/>
      </w:rPr>
    </w:sdtEndPr>
    <w:sdtContent>
      <w:p w14:paraId="5C6CAB53" w14:textId="71A21E89" w:rsidR="00AC1780" w:rsidRDefault="00AC1780" w:rsidP="00AC178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31853">
          <w:rPr>
            <w:rStyle w:val="PageNumber"/>
            <w:noProof/>
          </w:rPr>
          <w:t>16</w:t>
        </w:r>
        <w:r>
          <w:rPr>
            <w:rStyle w:val="PageNumber"/>
          </w:rPr>
          <w:fldChar w:fldCharType="end"/>
        </w:r>
      </w:p>
    </w:sdtContent>
  </w:sdt>
  <w:p w14:paraId="15EA668B" w14:textId="77777777" w:rsidR="00AC1780" w:rsidRDefault="00AC1780" w:rsidP="001D4C0A">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26"/>
    <w:lvl w:ilvl="0">
      <w:start w:val="1"/>
      <w:numFmt w:val="decimal"/>
      <w:lvlText w:val="%1."/>
      <w:lvlJc w:val="left"/>
      <w:pPr>
        <w:tabs>
          <w:tab w:val="num" w:pos="0"/>
        </w:tabs>
        <w:ind w:left="720" w:hanging="360"/>
      </w:pPr>
      <w:rPr>
        <w:rFonts w:hint="default"/>
        <w:lang w:eastAsia="en-GB"/>
      </w:rPr>
    </w:lvl>
  </w:abstractNum>
  <w:abstractNum w:abstractNumId="1" w15:restartNumberingAfterBreak="0">
    <w:nsid w:val="08100981"/>
    <w:multiLevelType w:val="hybridMultilevel"/>
    <w:tmpl w:val="AE06B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5E08F3"/>
    <w:multiLevelType w:val="hybridMultilevel"/>
    <w:tmpl w:val="C9E61FF8"/>
    <w:lvl w:ilvl="0" w:tplc="D860871E">
      <w:start w:val="1"/>
      <w:numFmt w:val="decimal"/>
      <w:lvlText w:val="%1."/>
      <w:lvlJc w:val="left"/>
      <w:pPr>
        <w:ind w:left="720" w:hanging="360"/>
      </w:pPr>
      <w:rPr>
        <w:rFonts w:ascii="Times New Roman" w:hAnsi="Times New Roman" w:cs="Times New Roman" w:hint="default"/>
        <w:b w:val="0"/>
        <w:i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EF397E"/>
    <w:multiLevelType w:val="hybridMultilevel"/>
    <w:tmpl w:val="89D677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E42F0C"/>
    <w:multiLevelType w:val="hybridMultilevel"/>
    <w:tmpl w:val="3AA2D2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85128B"/>
    <w:multiLevelType w:val="hybridMultilevel"/>
    <w:tmpl w:val="9A54FE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8B0D5B"/>
    <w:multiLevelType w:val="hybridMultilevel"/>
    <w:tmpl w:val="016038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E64B5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97293F"/>
    <w:multiLevelType w:val="hybridMultilevel"/>
    <w:tmpl w:val="E878C06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900625746">
    <w:abstractNumId w:val="6"/>
  </w:num>
  <w:num w:numId="2" w16cid:durableId="1416319704">
    <w:abstractNumId w:val="3"/>
  </w:num>
  <w:num w:numId="3" w16cid:durableId="1276910507">
    <w:abstractNumId w:val="4"/>
  </w:num>
  <w:num w:numId="4" w16cid:durableId="912279044">
    <w:abstractNumId w:val="0"/>
  </w:num>
  <w:num w:numId="5" w16cid:durableId="1266765447">
    <w:abstractNumId w:val="7"/>
  </w:num>
  <w:num w:numId="6" w16cid:durableId="1130902957">
    <w:abstractNumId w:val="2"/>
  </w:num>
  <w:num w:numId="7" w16cid:durableId="388267569">
    <w:abstractNumId w:val="1"/>
  </w:num>
  <w:num w:numId="8" w16cid:durableId="654340085">
    <w:abstractNumId w:val="8"/>
  </w:num>
  <w:num w:numId="9" w16cid:durableId="1402826067">
    <w:abstractNumId w:val="5"/>
  </w:num>
  <w:num w:numId="10" w16cid:durableId="1043019166">
    <w:abstractNumId w:val="3"/>
    <w:lvlOverride w:ilvl="0"/>
    <w:lvlOverride w:ilvl="1"/>
    <w:lvlOverride w:ilvl="2"/>
    <w:lvlOverride w:ilvl="3"/>
    <w:lvlOverride w:ilvl="4"/>
    <w:lvlOverride w:ilvl="5"/>
    <w:lvlOverride w:ilvl="6"/>
    <w:lvlOverride w:ilvl="7"/>
    <w:lvlOverride w:ilvl="8"/>
  </w:num>
  <w:num w:numId="11" w16cid:durableId="1343779570">
    <w:abstractNumId w:val="6"/>
    <w:lvlOverride w:ilvl="0"/>
    <w:lvlOverride w:ilvl="1"/>
    <w:lvlOverride w:ilvl="2"/>
    <w:lvlOverride w:ilvl="3"/>
    <w:lvlOverride w:ilvl="4"/>
    <w:lvlOverride w:ilvl="5"/>
    <w:lvlOverride w:ilvl="6"/>
    <w:lvlOverride w:ilvl="7"/>
    <w:lvlOverride w:ilvl="8"/>
  </w:num>
  <w:num w:numId="12" w16cid:durableId="21157440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07"/>
    <w:rsid w:val="00015685"/>
    <w:rsid w:val="000457C1"/>
    <w:rsid w:val="0004615D"/>
    <w:rsid w:val="00052FD0"/>
    <w:rsid w:val="00055A85"/>
    <w:rsid w:val="00056936"/>
    <w:rsid w:val="00070B50"/>
    <w:rsid w:val="00070E86"/>
    <w:rsid w:val="00090E20"/>
    <w:rsid w:val="000B19B6"/>
    <w:rsid w:val="000B6992"/>
    <w:rsid w:val="000C3B49"/>
    <w:rsid w:val="000C6C29"/>
    <w:rsid w:val="000E209A"/>
    <w:rsid w:val="000E3DD2"/>
    <w:rsid w:val="000F0033"/>
    <w:rsid w:val="00102CA6"/>
    <w:rsid w:val="001049E4"/>
    <w:rsid w:val="00107320"/>
    <w:rsid w:val="001141E9"/>
    <w:rsid w:val="00121931"/>
    <w:rsid w:val="00130955"/>
    <w:rsid w:val="00132A12"/>
    <w:rsid w:val="00137D16"/>
    <w:rsid w:val="001408A0"/>
    <w:rsid w:val="00147F4C"/>
    <w:rsid w:val="00157A6B"/>
    <w:rsid w:val="00171E8F"/>
    <w:rsid w:val="00172FDD"/>
    <w:rsid w:val="0017503C"/>
    <w:rsid w:val="00177376"/>
    <w:rsid w:val="001A4087"/>
    <w:rsid w:val="001C19A8"/>
    <w:rsid w:val="001D29FF"/>
    <w:rsid w:val="001D4C0A"/>
    <w:rsid w:val="001D6663"/>
    <w:rsid w:val="001D78C2"/>
    <w:rsid w:val="001E219B"/>
    <w:rsid w:val="001E31C9"/>
    <w:rsid w:val="001F4654"/>
    <w:rsid w:val="001F6006"/>
    <w:rsid w:val="00235AF7"/>
    <w:rsid w:val="00244C66"/>
    <w:rsid w:val="0024723D"/>
    <w:rsid w:val="00264F46"/>
    <w:rsid w:val="002665E3"/>
    <w:rsid w:val="00283D20"/>
    <w:rsid w:val="00293829"/>
    <w:rsid w:val="002D29C6"/>
    <w:rsid w:val="002D4C25"/>
    <w:rsid w:val="003012B3"/>
    <w:rsid w:val="00306C32"/>
    <w:rsid w:val="003133AF"/>
    <w:rsid w:val="0032005B"/>
    <w:rsid w:val="0032753D"/>
    <w:rsid w:val="003329CF"/>
    <w:rsid w:val="00344AE8"/>
    <w:rsid w:val="00353CD0"/>
    <w:rsid w:val="00364D91"/>
    <w:rsid w:val="00371850"/>
    <w:rsid w:val="00382006"/>
    <w:rsid w:val="00383217"/>
    <w:rsid w:val="003875D1"/>
    <w:rsid w:val="003A518F"/>
    <w:rsid w:val="003A5227"/>
    <w:rsid w:val="003A6924"/>
    <w:rsid w:val="003B0E0B"/>
    <w:rsid w:val="003B0E2A"/>
    <w:rsid w:val="003B1EA6"/>
    <w:rsid w:val="003E171B"/>
    <w:rsid w:val="003E2732"/>
    <w:rsid w:val="003F340A"/>
    <w:rsid w:val="003F5287"/>
    <w:rsid w:val="003F5826"/>
    <w:rsid w:val="003F7ADC"/>
    <w:rsid w:val="00425EF0"/>
    <w:rsid w:val="00436624"/>
    <w:rsid w:val="0044054E"/>
    <w:rsid w:val="00444006"/>
    <w:rsid w:val="004453CA"/>
    <w:rsid w:val="00445985"/>
    <w:rsid w:val="00464E86"/>
    <w:rsid w:val="004663D8"/>
    <w:rsid w:val="0048095C"/>
    <w:rsid w:val="004856A7"/>
    <w:rsid w:val="004863FC"/>
    <w:rsid w:val="0049480E"/>
    <w:rsid w:val="004B7870"/>
    <w:rsid w:val="004D0F64"/>
    <w:rsid w:val="004E1925"/>
    <w:rsid w:val="004F198E"/>
    <w:rsid w:val="004F21AC"/>
    <w:rsid w:val="004F501D"/>
    <w:rsid w:val="004F6B7F"/>
    <w:rsid w:val="004F738B"/>
    <w:rsid w:val="00501DE3"/>
    <w:rsid w:val="00534499"/>
    <w:rsid w:val="00537F87"/>
    <w:rsid w:val="00557F5D"/>
    <w:rsid w:val="00563779"/>
    <w:rsid w:val="00570D3D"/>
    <w:rsid w:val="005718B8"/>
    <w:rsid w:val="0057494F"/>
    <w:rsid w:val="005749A0"/>
    <w:rsid w:val="00574E4E"/>
    <w:rsid w:val="00585A07"/>
    <w:rsid w:val="005951D4"/>
    <w:rsid w:val="005A4623"/>
    <w:rsid w:val="005C03E2"/>
    <w:rsid w:val="005D08C2"/>
    <w:rsid w:val="005D4EC8"/>
    <w:rsid w:val="005E6538"/>
    <w:rsid w:val="005F0FE2"/>
    <w:rsid w:val="006068DF"/>
    <w:rsid w:val="00622581"/>
    <w:rsid w:val="00634148"/>
    <w:rsid w:val="00637200"/>
    <w:rsid w:val="00641727"/>
    <w:rsid w:val="006525D3"/>
    <w:rsid w:val="00656111"/>
    <w:rsid w:val="00675C73"/>
    <w:rsid w:val="006A48A0"/>
    <w:rsid w:val="006A7521"/>
    <w:rsid w:val="006B284E"/>
    <w:rsid w:val="006B3FA1"/>
    <w:rsid w:val="006C4359"/>
    <w:rsid w:val="006C61F5"/>
    <w:rsid w:val="006F11CB"/>
    <w:rsid w:val="006F323E"/>
    <w:rsid w:val="006F4298"/>
    <w:rsid w:val="00721E51"/>
    <w:rsid w:val="007225E6"/>
    <w:rsid w:val="00727E69"/>
    <w:rsid w:val="0074385B"/>
    <w:rsid w:val="007577A3"/>
    <w:rsid w:val="00763277"/>
    <w:rsid w:val="0076782D"/>
    <w:rsid w:val="00794B6C"/>
    <w:rsid w:val="007C5218"/>
    <w:rsid w:val="007D64E4"/>
    <w:rsid w:val="007E7845"/>
    <w:rsid w:val="007F4BC2"/>
    <w:rsid w:val="007F6376"/>
    <w:rsid w:val="007F6FED"/>
    <w:rsid w:val="007F711F"/>
    <w:rsid w:val="00812750"/>
    <w:rsid w:val="00816698"/>
    <w:rsid w:val="00825D7E"/>
    <w:rsid w:val="00831853"/>
    <w:rsid w:val="008537E7"/>
    <w:rsid w:val="0086464C"/>
    <w:rsid w:val="00875232"/>
    <w:rsid w:val="00882340"/>
    <w:rsid w:val="00882663"/>
    <w:rsid w:val="008931D8"/>
    <w:rsid w:val="00893393"/>
    <w:rsid w:val="008A4110"/>
    <w:rsid w:val="008A4A4C"/>
    <w:rsid w:val="008B09C8"/>
    <w:rsid w:val="008C2F2D"/>
    <w:rsid w:val="008D1078"/>
    <w:rsid w:val="008D3D5F"/>
    <w:rsid w:val="008D6B94"/>
    <w:rsid w:val="008D77E3"/>
    <w:rsid w:val="008D7EA9"/>
    <w:rsid w:val="008E7AFA"/>
    <w:rsid w:val="008F1E91"/>
    <w:rsid w:val="00904D05"/>
    <w:rsid w:val="00907849"/>
    <w:rsid w:val="00907D4F"/>
    <w:rsid w:val="00913AB8"/>
    <w:rsid w:val="00914440"/>
    <w:rsid w:val="00921DFB"/>
    <w:rsid w:val="00927C7F"/>
    <w:rsid w:val="009351FD"/>
    <w:rsid w:val="0093687F"/>
    <w:rsid w:val="009418FB"/>
    <w:rsid w:val="00946041"/>
    <w:rsid w:val="0097369A"/>
    <w:rsid w:val="00977C27"/>
    <w:rsid w:val="009A5038"/>
    <w:rsid w:val="009B20A8"/>
    <w:rsid w:val="009B2B12"/>
    <w:rsid w:val="009C329A"/>
    <w:rsid w:val="009D7B37"/>
    <w:rsid w:val="009E406F"/>
    <w:rsid w:val="009F6864"/>
    <w:rsid w:val="00A12D32"/>
    <w:rsid w:val="00A157DB"/>
    <w:rsid w:val="00A26D70"/>
    <w:rsid w:val="00A368F1"/>
    <w:rsid w:val="00A41CF5"/>
    <w:rsid w:val="00A441F1"/>
    <w:rsid w:val="00A46440"/>
    <w:rsid w:val="00A53BDA"/>
    <w:rsid w:val="00A566BF"/>
    <w:rsid w:val="00A7394C"/>
    <w:rsid w:val="00A776F3"/>
    <w:rsid w:val="00A922D8"/>
    <w:rsid w:val="00A92316"/>
    <w:rsid w:val="00A9293D"/>
    <w:rsid w:val="00A93C3B"/>
    <w:rsid w:val="00A96C8F"/>
    <w:rsid w:val="00AA5384"/>
    <w:rsid w:val="00AB545C"/>
    <w:rsid w:val="00AC1685"/>
    <w:rsid w:val="00AC1780"/>
    <w:rsid w:val="00AC5495"/>
    <w:rsid w:val="00AD0095"/>
    <w:rsid w:val="00AD21D8"/>
    <w:rsid w:val="00AD3348"/>
    <w:rsid w:val="00AD5537"/>
    <w:rsid w:val="00AD67DF"/>
    <w:rsid w:val="00AF2B2A"/>
    <w:rsid w:val="00B022AB"/>
    <w:rsid w:val="00B15C89"/>
    <w:rsid w:val="00B17D69"/>
    <w:rsid w:val="00B30C59"/>
    <w:rsid w:val="00B31703"/>
    <w:rsid w:val="00B32386"/>
    <w:rsid w:val="00B337E7"/>
    <w:rsid w:val="00B37570"/>
    <w:rsid w:val="00B4479D"/>
    <w:rsid w:val="00B52FBA"/>
    <w:rsid w:val="00B60E21"/>
    <w:rsid w:val="00B63C7B"/>
    <w:rsid w:val="00B655E4"/>
    <w:rsid w:val="00B8470B"/>
    <w:rsid w:val="00B910F6"/>
    <w:rsid w:val="00B9418F"/>
    <w:rsid w:val="00B9788D"/>
    <w:rsid w:val="00B97973"/>
    <w:rsid w:val="00BA160F"/>
    <w:rsid w:val="00BA582F"/>
    <w:rsid w:val="00BA6BDE"/>
    <w:rsid w:val="00BB5201"/>
    <w:rsid w:val="00BC62DF"/>
    <w:rsid w:val="00BD23A3"/>
    <w:rsid w:val="00BE33DF"/>
    <w:rsid w:val="00C01DEC"/>
    <w:rsid w:val="00C04DAB"/>
    <w:rsid w:val="00C24B34"/>
    <w:rsid w:val="00C301DB"/>
    <w:rsid w:val="00C34CF0"/>
    <w:rsid w:val="00C4581E"/>
    <w:rsid w:val="00C47B52"/>
    <w:rsid w:val="00C50B6E"/>
    <w:rsid w:val="00C6751A"/>
    <w:rsid w:val="00C70A83"/>
    <w:rsid w:val="00C71932"/>
    <w:rsid w:val="00C809C4"/>
    <w:rsid w:val="00CA387E"/>
    <w:rsid w:val="00CA62B5"/>
    <w:rsid w:val="00CD4B40"/>
    <w:rsid w:val="00CE6FD5"/>
    <w:rsid w:val="00D07253"/>
    <w:rsid w:val="00D0731A"/>
    <w:rsid w:val="00D120F4"/>
    <w:rsid w:val="00D23AE6"/>
    <w:rsid w:val="00D30E13"/>
    <w:rsid w:val="00D530E1"/>
    <w:rsid w:val="00D7658A"/>
    <w:rsid w:val="00D802EE"/>
    <w:rsid w:val="00D873F6"/>
    <w:rsid w:val="00D91194"/>
    <w:rsid w:val="00D97968"/>
    <w:rsid w:val="00DB0A18"/>
    <w:rsid w:val="00DB714E"/>
    <w:rsid w:val="00DB7170"/>
    <w:rsid w:val="00DC4021"/>
    <w:rsid w:val="00DD0921"/>
    <w:rsid w:val="00DD33A3"/>
    <w:rsid w:val="00DE0D8B"/>
    <w:rsid w:val="00E006C1"/>
    <w:rsid w:val="00E04062"/>
    <w:rsid w:val="00E048F4"/>
    <w:rsid w:val="00E15750"/>
    <w:rsid w:val="00E265AC"/>
    <w:rsid w:val="00E27673"/>
    <w:rsid w:val="00E30917"/>
    <w:rsid w:val="00E40A40"/>
    <w:rsid w:val="00E44EB1"/>
    <w:rsid w:val="00E83E33"/>
    <w:rsid w:val="00E95819"/>
    <w:rsid w:val="00E97613"/>
    <w:rsid w:val="00EA2235"/>
    <w:rsid w:val="00EA5BCD"/>
    <w:rsid w:val="00EA6C43"/>
    <w:rsid w:val="00EE0FDA"/>
    <w:rsid w:val="00F00BB8"/>
    <w:rsid w:val="00F063A1"/>
    <w:rsid w:val="00F118A7"/>
    <w:rsid w:val="00F24616"/>
    <w:rsid w:val="00F24B28"/>
    <w:rsid w:val="00F25DB1"/>
    <w:rsid w:val="00F327F7"/>
    <w:rsid w:val="00F3314A"/>
    <w:rsid w:val="00F374A6"/>
    <w:rsid w:val="00F42592"/>
    <w:rsid w:val="00F449D6"/>
    <w:rsid w:val="00F539F3"/>
    <w:rsid w:val="00F54011"/>
    <w:rsid w:val="00F63EF1"/>
    <w:rsid w:val="00F65751"/>
    <w:rsid w:val="00F6676E"/>
    <w:rsid w:val="00FA65C8"/>
    <w:rsid w:val="00FB392D"/>
    <w:rsid w:val="00FC76EE"/>
    <w:rsid w:val="00FC7833"/>
    <w:rsid w:val="00FD1BB3"/>
    <w:rsid w:val="00FD624E"/>
    <w:rsid w:val="00FD6A8E"/>
    <w:rsid w:val="00FD6E25"/>
    <w:rsid w:val="00FD7035"/>
    <w:rsid w:val="00FD7DE6"/>
    <w:rsid w:val="00FE6C04"/>
    <w:rsid w:val="00FF4830"/>
    <w:rsid w:val="00FF48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14724"/>
  <w15:chartTrackingRefBased/>
  <w15:docId w15:val="{77F2004A-3CA7-4CAC-AF53-B1BF73AA2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03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574E4E"/>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7394C"/>
    <w:rPr>
      <w:sz w:val="18"/>
      <w:szCs w:val="18"/>
    </w:rPr>
  </w:style>
  <w:style w:type="paragraph" w:styleId="CommentText">
    <w:name w:val="annotation text"/>
    <w:basedOn w:val="Normal"/>
    <w:link w:val="CommentTextChar"/>
    <w:uiPriority w:val="99"/>
    <w:unhideWhenUsed/>
    <w:rsid w:val="00A7394C"/>
  </w:style>
  <w:style w:type="character" w:customStyle="1" w:styleId="CommentTextChar">
    <w:name w:val="Comment Text Char"/>
    <w:basedOn w:val="DefaultParagraphFont"/>
    <w:link w:val="CommentText"/>
    <w:uiPriority w:val="99"/>
    <w:rsid w:val="00A7394C"/>
    <w:rPr>
      <w:rFonts w:ascii="Times New Roman" w:eastAsia="Times New Roman" w:hAnsi="Times New Roman" w:cs="Times New Roman"/>
      <w:sz w:val="24"/>
      <w:szCs w:val="24"/>
      <w:lang w:val="en-US"/>
    </w:rPr>
  </w:style>
  <w:style w:type="paragraph" w:customStyle="1" w:styleId="Default">
    <w:name w:val="Default"/>
    <w:rsid w:val="00C809C4"/>
    <w:pPr>
      <w:autoSpaceDE w:val="0"/>
      <w:autoSpaceDN w:val="0"/>
      <w:adjustRightInd w:val="0"/>
      <w:spacing w:after="0" w:line="240" w:lineRule="auto"/>
    </w:pPr>
    <w:rPr>
      <w:rFonts w:ascii="Gill Sans MT" w:eastAsia="Calibri" w:hAnsi="Gill Sans MT" w:cs="Gill Sans MT"/>
      <w:color w:val="000000"/>
      <w:sz w:val="24"/>
      <w:szCs w:val="24"/>
      <w:lang w:eastAsia="en-GB"/>
    </w:rPr>
  </w:style>
  <w:style w:type="character" w:styleId="Hyperlink">
    <w:name w:val="Hyperlink"/>
    <w:uiPriority w:val="99"/>
    <w:rsid w:val="00A368F1"/>
    <w:rPr>
      <w:color w:val="0000FF"/>
      <w:u w:val="single"/>
    </w:rPr>
  </w:style>
  <w:style w:type="character" w:customStyle="1" w:styleId="personname">
    <w:name w:val="person_name"/>
    <w:rsid w:val="00A368F1"/>
  </w:style>
  <w:style w:type="character" w:customStyle="1" w:styleId="generated">
    <w:name w:val="generated"/>
    <w:basedOn w:val="DefaultParagraphFont"/>
    <w:rsid w:val="00A368F1"/>
  </w:style>
  <w:style w:type="character" w:customStyle="1" w:styleId="ref-title">
    <w:name w:val="ref-title"/>
    <w:basedOn w:val="DefaultParagraphFont"/>
    <w:rsid w:val="00A368F1"/>
  </w:style>
  <w:style w:type="character" w:customStyle="1" w:styleId="ref-journal">
    <w:name w:val="ref-journal"/>
    <w:basedOn w:val="DefaultParagraphFont"/>
    <w:rsid w:val="00A368F1"/>
  </w:style>
  <w:style w:type="character" w:customStyle="1" w:styleId="ref-vol">
    <w:name w:val="ref-vol"/>
    <w:basedOn w:val="DefaultParagraphFont"/>
    <w:rsid w:val="00A368F1"/>
  </w:style>
  <w:style w:type="paragraph" w:styleId="ListParagraph">
    <w:name w:val="List Paragraph"/>
    <w:basedOn w:val="Normal"/>
    <w:uiPriority w:val="34"/>
    <w:qFormat/>
    <w:rsid w:val="00A368F1"/>
    <w:pPr>
      <w:suppressAutoHyphens/>
      <w:spacing w:after="200" w:line="276" w:lineRule="auto"/>
      <w:ind w:left="720"/>
      <w:contextualSpacing/>
    </w:pPr>
    <w:rPr>
      <w:rFonts w:ascii="Calibri" w:eastAsia="Calibri" w:hAnsi="Calibri"/>
      <w:sz w:val="22"/>
      <w:szCs w:val="22"/>
      <w:lang w:val="en-GB" w:eastAsia="zh-CN"/>
    </w:rPr>
  </w:style>
  <w:style w:type="character" w:customStyle="1" w:styleId="UnresolvedMention1">
    <w:name w:val="Unresolved Mention1"/>
    <w:basedOn w:val="DefaultParagraphFont"/>
    <w:uiPriority w:val="99"/>
    <w:semiHidden/>
    <w:unhideWhenUsed/>
    <w:rsid w:val="006F4298"/>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30955"/>
    <w:pPr>
      <w:spacing w:after="160"/>
    </w:pPr>
    <w:rPr>
      <w:rFonts w:asciiTheme="minorHAnsi" w:eastAsiaTheme="minorHAnsi" w:hAnsiTheme="minorHAnsi" w:cstheme="minorBidi"/>
      <w:b/>
      <w:bCs/>
      <w:sz w:val="20"/>
      <w:szCs w:val="20"/>
      <w:lang w:val="en-GB"/>
    </w:rPr>
  </w:style>
  <w:style w:type="character" w:customStyle="1" w:styleId="CommentSubjectChar">
    <w:name w:val="Comment Subject Char"/>
    <w:basedOn w:val="CommentTextChar"/>
    <w:link w:val="CommentSubject"/>
    <w:uiPriority w:val="99"/>
    <w:semiHidden/>
    <w:rsid w:val="00130955"/>
    <w:rPr>
      <w:rFonts w:ascii="Times New Roman" w:eastAsia="Times New Roman" w:hAnsi="Times New Roman" w:cs="Times New Roman"/>
      <w:b/>
      <w:bCs/>
      <w:sz w:val="20"/>
      <w:szCs w:val="20"/>
      <w:lang w:val="en-US"/>
    </w:rPr>
  </w:style>
  <w:style w:type="paragraph" w:styleId="Header">
    <w:name w:val="header"/>
    <w:basedOn w:val="Normal"/>
    <w:link w:val="HeaderChar"/>
    <w:uiPriority w:val="99"/>
    <w:unhideWhenUsed/>
    <w:rsid w:val="001D4C0A"/>
    <w:pPr>
      <w:tabs>
        <w:tab w:val="center" w:pos="4680"/>
        <w:tab w:val="right" w:pos="9360"/>
      </w:tabs>
    </w:pPr>
    <w:rPr>
      <w:rFonts w:asciiTheme="minorHAnsi" w:eastAsiaTheme="minorHAnsi" w:hAnsiTheme="minorHAnsi" w:cstheme="minorBidi"/>
      <w:sz w:val="22"/>
      <w:szCs w:val="22"/>
      <w:lang w:val="en-GB"/>
    </w:rPr>
  </w:style>
  <w:style w:type="character" w:customStyle="1" w:styleId="HeaderChar">
    <w:name w:val="Header Char"/>
    <w:basedOn w:val="DefaultParagraphFont"/>
    <w:link w:val="Header"/>
    <w:uiPriority w:val="99"/>
    <w:rsid w:val="001D4C0A"/>
  </w:style>
  <w:style w:type="character" w:styleId="PageNumber">
    <w:name w:val="page number"/>
    <w:basedOn w:val="DefaultParagraphFont"/>
    <w:uiPriority w:val="99"/>
    <w:semiHidden/>
    <w:unhideWhenUsed/>
    <w:rsid w:val="001D4C0A"/>
  </w:style>
  <w:style w:type="paragraph" w:styleId="NormalWeb">
    <w:name w:val="Normal (Web)"/>
    <w:basedOn w:val="Normal"/>
    <w:uiPriority w:val="99"/>
    <w:unhideWhenUsed/>
    <w:rsid w:val="008D77E3"/>
    <w:pPr>
      <w:spacing w:before="100" w:beforeAutospacing="1" w:after="100" w:afterAutospacing="1"/>
    </w:pPr>
  </w:style>
  <w:style w:type="table" w:styleId="TableGrid">
    <w:name w:val="Table Grid"/>
    <w:basedOn w:val="TableNormal"/>
    <w:uiPriority w:val="39"/>
    <w:rsid w:val="008D7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lmyear">
    <w:name w:val="nlm_year"/>
    <w:basedOn w:val="DefaultParagraphFont"/>
    <w:rsid w:val="008F1E91"/>
  </w:style>
  <w:style w:type="character" w:customStyle="1" w:styleId="nlmarticle-title">
    <w:name w:val="nlm_article-title"/>
    <w:basedOn w:val="DefaultParagraphFont"/>
    <w:rsid w:val="008F1E91"/>
  </w:style>
  <w:style w:type="character" w:customStyle="1" w:styleId="nlmfpage">
    <w:name w:val="nlm_fpage"/>
    <w:basedOn w:val="DefaultParagraphFont"/>
    <w:rsid w:val="008F1E91"/>
  </w:style>
  <w:style w:type="character" w:customStyle="1" w:styleId="nlmlpage">
    <w:name w:val="nlm_lpage"/>
    <w:basedOn w:val="DefaultParagraphFont"/>
    <w:rsid w:val="008F1E91"/>
  </w:style>
  <w:style w:type="character" w:customStyle="1" w:styleId="Heading1Char">
    <w:name w:val="Heading 1 Char"/>
    <w:basedOn w:val="DefaultParagraphFont"/>
    <w:link w:val="Heading1"/>
    <w:uiPriority w:val="9"/>
    <w:rsid w:val="00574E4E"/>
    <w:rPr>
      <w:rFonts w:ascii="Times New Roman" w:eastAsia="Times New Roman" w:hAnsi="Times New Roman" w:cs="Times New Roman"/>
      <w:b/>
      <w:bCs/>
      <w:kern w:val="36"/>
      <w:sz w:val="48"/>
      <w:szCs w:val="48"/>
      <w:lang w:val="en-US"/>
    </w:rPr>
  </w:style>
  <w:style w:type="paragraph" w:styleId="Revision">
    <w:name w:val="Revision"/>
    <w:hidden/>
    <w:uiPriority w:val="99"/>
    <w:semiHidden/>
    <w:rsid w:val="00AC1780"/>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C1780"/>
    <w:rPr>
      <w:sz w:val="18"/>
      <w:szCs w:val="18"/>
    </w:rPr>
  </w:style>
  <w:style w:type="character" w:customStyle="1" w:styleId="BalloonTextChar">
    <w:name w:val="Balloon Text Char"/>
    <w:basedOn w:val="DefaultParagraphFont"/>
    <w:link w:val="BalloonText"/>
    <w:uiPriority w:val="99"/>
    <w:semiHidden/>
    <w:rsid w:val="00AC1780"/>
    <w:rPr>
      <w:rFonts w:ascii="Times New Roman" w:eastAsia="Times New Roman" w:hAnsi="Times New Roman" w:cs="Times New Roman"/>
      <w:sz w:val="18"/>
      <w:szCs w:val="18"/>
      <w:lang w:val="en-US"/>
    </w:rPr>
  </w:style>
  <w:style w:type="character" w:styleId="UnresolvedMention">
    <w:name w:val="Unresolved Mention"/>
    <w:basedOn w:val="DefaultParagraphFont"/>
    <w:uiPriority w:val="99"/>
    <w:semiHidden/>
    <w:unhideWhenUsed/>
    <w:rsid w:val="0076782D"/>
    <w:rPr>
      <w:color w:val="605E5C"/>
      <w:shd w:val="clear" w:color="auto" w:fill="E1DFDD"/>
    </w:rPr>
  </w:style>
  <w:style w:type="character" w:styleId="LineNumber">
    <w:name w:val="line number"/>
    <w:basedOn w:val="DefaultParagraphFont"/>
    <w:uiPriority w:val="99"/>
    <w:semiHidden/>
    <w:unhideWhenUsed/>
    <w:rsid w:val="004F2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93483">
      <w:bodyDiv w:val="1"/>
      <w:marLeft w:val="0"/>
      <w:marRight w:val="0"/>
      <w:marTop w:val="0"/>
      <w:marBottom w:val="0"/>
      <w:divBdr>
        <w:top w:val="none" w:sz="0" w:space="0" w:color="auto"/>
        <w:left w:val="none" w:sz="0" w:space="0" w:color="auto"/>
        <w:bottom w:val="none" w:sz="0" w:space="0" w:color="auto"/>
        <w:right w:val="none" w:sz="0" w:space="0" w:color="auto"/>
      </w:divBdr>
    </w:div>
    <w:div w:id="57169873">
      <w:bodyDiv w:val="1"/>
      <w:marLeft w:val="0"/>
      <w:marRight w:val="0"/>
      <w:marTop w:val="0"/>
      <w:marBottom w:val="0"/>
      <w:divBdr>
        <w:top w:val="none" w:sz="0" w:space="0" w:color="auto"/>
        <w:left w:val="none" w:sz="0" w:space="0" w:color="auto"/>
        <w:bottom w:val="none" w:sz="0" w:space="0" w:color="auto"/>
        <w:right w:val="none" w:sz="0" w:space="0" w:color="auto"/>
      </w:divBdr>
    </w:div>
    <w:div w:id="111363881">
      <w:bodyDiv w:val="1"/>
      <w:marLeft w:val="0"/>
      <w:marRight w:val="0"/>
      <w:marTop w:val="0"/>
      <w:marBottom w:val="0"/>
      <w:divBdr>
        <w:top w:val="none" w:sz="0" w:space="0" w:color="auto"/>
        <w:left w:val="none" w:sz="0" w:space="0" w:color="auto"/>
        <w:bottom w:val="none" w:sz="0" w:space="0" w:color="auto"/>
        <w:right w:val="none" w:sz="0" w:space="0" w:color="auto"/>
      </w:divBdr>
    </w:div>
    <w:div w:id="281961821">
      <w:bodyDiv w:val="1"/>
      <w:marLeft w:val="0"/>
      <w:marRight w:val="0"/>
      <w:marTop w:val="0"/>
      <w:marBottom w:val="0"/>
      <w:divBdr>
        <w:top w:val="none" w:sz="0" w:space="0" w:color="auto"/>
        <w:left w:val="none" w:sz="0" w:space="0" w:color="auto"/>
        <w:bottom w:val="none" w:sz="0" w:space="0" w:color="auto"/>
        <w:right w:val="none" w:sz="0" w:space="0" w:color="auto"/>
      </w:divBdr>
      <w:divsChild>
        <w:div w:id="1998997820">
          <w:marLeft w:val="0"/>
          <w:marRight w:val="0"/>
          <w:marTop w:val="0"/>
          <w:marBottom w:val="120"/>
          <w:divBdr>
            <w:top w:val="none" w:sz="0" w:space="0" w:color="auto"/>
            <w:left w:val="none" w:sz="0" w:space="0" w:color="auto"/>
            <w:bottom w:val="none" w:sz="0" w:space="0" w:color="auto"/>
            <w:right w:val="none" w:sz="0" w:space="0" w:color="auto"/>
          </w:divBdr>
        </w:div>
      </w:divsChild>
    </w:div>
    <w:div w:id="307711053">
      <w:bodyDiv w:val="1"/>
      <w:marLeft w:val="0"/>
      <w:marRight w:val="0"/>
      <w:marTop w:val="0"/>
      <w:marBottom w:val="0"/>
      <w:divBdr>
        <w:top w:val="none" w:sz="0" w:space="0" w:color="auto"/>
        <w:left w:val="none" w:sz="0" w:space="0" w:color="auto"/>
        <w:bottom w:val="none" w:sz="0" w:space="0" w:color="auto"/>
        <w:right w:val="none" w:sz="0" w:space="0" w:color="auto"/>
      </w:divBdr>
    </w:div>
    <w:div w:id="346910815">
      <w:bodyDiv w:val="1"/>
      <w:marLeft w:val="0"/>
      <w:marRight w:val="0"/>
      <w:marTop w:val="0"/>
      <w:marBottom w:val="0"/>
      <w:divBdr>
        <w:top w:val="none" w:sz="0" w:space="0" w:color="auto"/>
        <w:left w:val="none" w:sz="0" w:space="0" w:color="auto"/>
        <w:bottom w:val="none" w:sz="0" w:space="0" w:color="auto"/>
        <w:right w:val="none" w:sz="0" w:space="0" w:color="auto"/>
      </w:divBdr>
    </w:div>
    <w:div w:id="349722903">
      <w:bodyDiv w:val="1"/>
      <w:marLeft w:val="0"/>
      <w:marRight w:val="0"/>
      <w:marTop w:val="0"/>
      <w:marBottom w:val="0"/>
      <w:divBdr>
        <w:top w:val="none" w:sz="0" w:space="0" w:color="auto"/>
        <w:left w:val="none" w:sz="0" w:space="0" w:color="auto"/>
        <w:bottom w:val="none" w:sz="0" w:space="0" w:color="auto"/>
        <w:right w:val="none" w:sz="0" w:space="0" w:color="auto"/>
      </w:divBdr>
    </w:div>
    <w:div w:id="501705125">
      <w:bodyDiv w:val="1"/>
      <w:marLeft w:val="0"/>
      <w:marRight w:val="0"/>
      <w:marTop w:val="0"/>
      <w:marBottom w:val="0"/>
      <w:divBdr>
        <w:top w:val="none" w:sz="0" w:space="0" w:color="auto"/>
        <w:left w:val="none" w:sz="0" w:space="0" w:color="auto"/>
        <w:bottom w:val="none" w:sz="0" w:space="0" w:color="auto"/>
        <w:right w:val="none" w:sz="0" w:space="0" w:color="auto"/>
      </w:divBdr>
    </w:div>
    <w:div w:id="705520372">
      <w:bodyDiv w:val="1"/>
      <w:marLeft w:val="0"/>
      <w:marRight w:val="0"/>
      <w:marTop w:val="0"/>
      <w:marBottom w:val="0"/>
      <w:divBdr>
        <w:top w:val="none" w:sz="0" w:space="0" w:color="auto"/>
        <w:left w:val="none" w:sz="0" w:space="0" w:color="auto"/>
        <w:bottom w:val="none" w:sz="0" w:space="0" w:color="auto"/>
        <w:right w:val="none" w:sz="0" w:space="0" w:color="auto"/>
      </w:divBdr>
      <w:divsChild>
        <w:div w:id="1792943915">
          <w:marLeft w:val="0"/>
          <w:marRight w:val="0"/>
          <w:marTop w:val="0"/>
          <w:marBottom w:val="0"/>
          <w:divBdr>
            <w:top w:val="none" w:sz="0" w:space="0" w:color="auto"/>
            <w:left w:val="none" w:sz="0" w:space="0" w:color="auto"/>
            <w:bottom w:val="none" w:sz="0" w:space="0" w:color="auto"/>
            <w:right w:val="none" w:sz="0" w:space="0" w:color="auto"/>
          </w:divBdr>
          <w:divsChild>
            <w:div w:id="982464041">
              <w:marLeft w:val="0"/>
              <w:marRight w:val="0"/>
              <w:marTop w:val="0"/>
              <w:marBottom w:val="0"/>
              <w:divBdr>
                <w:top w:val="none" w:sz="0" w:space="0" w:color="auto"/>
                <w:left w:val="none" w:sz="0" w:space="0" w:color="auto"/>
                <w:bottom w:val="none" w:sz="0" w:space="0" w:color="auto"/>
                <w:right w:val="none" w:sz="0" w:space="0" w:color="auto"/>
              </w:divBdr>
              <w:divsChild>
                <w:div w:id="66324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467989">
      <w:bodyDiv w:val="1"/>
      <w:marLeft w:val="0"/>
      <w:marRight w:val="0"/>
      <w:marTop w:val="0"/>
      <w:marBottom w:val="0"/>
      <w:divBdr>
        <w:top w:val="none" w:sz="0" w:space="0" w:color="auto"/>
        <w:left w:val="none" w:sz="0" w:space="0" w:color="auto"/>
        <w:bottom w:val="none" w:sz="0" w:space="0" w:color="auto"/>
        <w:right w:val="none" w:sz="0" w:space="0" w:color="auto"/>
      </w:divBdr>
      <w:divsChild>
        <w:div w:id="821387755">
          <w:marLeft w:val="0"/>
          <w:marRight w:val="0"/>
          <w:marTop w:val="0"/>
          <w:marBottom w:val="0"/>
          <w:divBdr>
            <w:top w:val="none" w:sz="0" w:space="0" w:color="auto"/>
            <w:left w:val="none" w:sz="0" w:space="0" w:color="auto"/>
            <w:bottom w:val="none" w:sz="0" w:space="0" w:color="auto"/>
            <w:right w:val="none" w:sz="0" w:space="0" w:color="auto"/>
          </w:divBdr>
          <w:divsChild>
            <w:div w:id="1968511172">
              <w:marLeft w:val="0"/>
              <w:marRight w:val="0"/>
              <w:marTop w:val="0"/>
              <w:marBottom w:val="0"/>
              <w:divBdr>
                <w:top w:val="none" w:sz="0" w:space="0" w:color="auto"/>
                <w:left w:val="none" w:sz="0" w:space="0" w:color="auto"/>
                <w:bottom w:val="none" w:sz="0" w:space="0" w:color="auto"/>
                <w:right w:val="none" w:sz="0" w:space="0" w:color="auto"/>
              </w:divBdr>
              <w:divsChild>
                <w:div w:id="139731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893277">
      <w:bodyDiv w:val="1"/>
      <w:marLeft w:val="0"/>
      <w:marRight w:val="0"/>
      <w:marTop w:val="0"/>
      <w:marBottom w:val="0"/>
      <w:divBdr>
        <w:top w:val="none" w:sz="0" w:space="0" w:color="auto"/>
        <w:left w:val="none" w:sz="0" w:space="0" w:color="auto"/>
        <w:bottom w:val="none" w:sz="0" w:space="0" w:color="auto"/>
        <w:right w:val="none" w:sz="0" w:space="0" w:color="auto"/>
      </w:divBdr>
    </w:div>
    <w:div w:id="763494455">
      <w:bodyDiv w:val="1"/>
      <w:marLeft w:val="0"/>
      <w:marRight w:val="0"/>
      <w:marTop w:val="0"/>
      <w:marBottom w:val="0"/>
      <w:divBdr>
        <w:top w:val="none" w:sz="0" w:space="0" w:color="auto"/>
        <w:left w:val="none" w:sz="0" w:space="0" w:color="auto"/>
        <w:bottom w:val="none" w:sz="0" w:space="0" w:color="auto"/>
        <w:right w:val="none" w:sz="0" w:space="0" w:color="auto"/>
      </w:divBdr>
    </w:div>
    <w:div w:id="801387544">
      <w:bodyDiv w:val="1"/>
      <w:marLeft w:val="0"/>
      <w:marRight w:val="0"/>
      <w:marTop w:val="0"/>
      <w:marBottom w:val="0"/>
      <w:divBdr>
        <w:top w:val="none" w:sz="0" w:space="0" w:color="auto"/>
        <w:left w:val="none" w:sz="0" w:space="0" w:color="auto"/>
        <w:bottom w:val="none" w:sz="0" w:space="0" w:color="auto"/>
        <w:right w:val="none" w:sz="0" w:space="0" w:color="auto"/>
      </w:divBdr>
    </w:div>
    <w:div w:id="861674747">
      <w:bodyDiv w:val="1"/>
      <w:marLeft w:val="0"/>
      <w:marRight w:val="0"/>
      <w:marTop w:val="0"/>
      <w:marBottom w:val="0"/>
      <w:divBdr>
        <w:top w:val="none" w:sz="0" w:space="0" w:color="auto"/>
        <w:left w:val="none" w:sz="0" w:space="0" w:color="auto"/>
        <w:bottom w:val="none" w:sz="0" w:space="0" w:color="auto"/>
        <w:right w:val="none" w:sz="0" w:space="0" w:color="auto"/>
      </w:divBdr>
    </w:div>
    <w:div w:id="944508269">
      <w:bodyDiv w:val="1"/>
      <w:marLeft w:val="0"/>
      <w:marRight w:val="0"/>
      <w:marTop w:val="0"/>
      <w:marBottom w:val="0"/>
      <w:divBdr>
        <w:top w:val="none" w:sz="0" w:space="0" w:color="auto"/>
        <w:left w:val="none" w:sz="0" w:space="0" w:color="auto"/>
        <w:bottom w:val="none" w:sz="0" w:space="0" w:color="auto"/>
        <w:right w:val="none" w:sz="0" w:space="0" w:color="auto"/>
      </w:divBdr>
    </w:div>
    <w:div w:id="987056756">
      <w:bodyDiv w:val="1"/>
      <w:marLeft w:val="0"/>
      <w:marRight w:val="0"/>
      <w:marTop w:val="0"/>
      <w:marBottom w:val="0"/>
      <w:divBdr>
        <w:top w:val="none" w:sz="0" w:space="0" w:color="auto"/>
        <w:left w:val="none" w:sz="0" w:space="0" w:color="auto"/>
        <w:bottom w:val="none" w:sz="0" w:space="0" w:color="auto"/>
        <w:right w:val="none" w:sz="0" w:space="0" w:color="auto"/>
      </w:divBdr>
    </w:div>
    <w:div w:id="1258635272">
      <w:bodyDiv w:val="1"/>
      <w:marLeft w:val="0"/>
      <w:marRight w:val="0"/>
      <w:marTop w:val="0"/>
      <w:marBottom w:val="0"/>
      <w:divBdr>
        <w:top w:val="none" w:sz="0" w:space="0" w:color="auto"/>
        <w:left w:val="none" w:sz="0" w:space="0" w:color="auto"/>
        <w:bottom w:val="none" w:sz="0" w:space="0" w:color="auto"/>
        <w:right w:val="none" w:sz="0" w:space="0" w:color="auto"/>
      </w:divBdr>
    </w:div>
    <w:div w:id="1264024129">
      <w:bodyDiv w:val="1"/>
      <w:marLeft w:val="0"/>
      <w:marRight w:val="0"/>
      <w:marTop w:val="0"/>
      <w:marBottom w:val="0"/>
      <w:divBdr>
        <w:top w:val="none" w:sz="0" w:space="0" w:color="auto"/>
        <w:left w:val="none" w:sz="0" w:space="0" w:color="auto"/>
        <w:bottom w:val="none" w:sz="0" w:space="0" w:color="auto"/>
        <w:right w:val="none" w:sz="0" w:space="0" w:color="auto"/>
      </w:divBdr>
    </w:div>
    <w:div w:id="1276449586">
      <w:bodyDiv w:val="1"/>
      <w:marLeft w:val="0"/>
      <w:marRight w:val="0"/>
      <w:marTop w:val="0"/>
      <w:marBottom w:val="0"/>
      <w:divBdr>
        <w:top w:val="none" w:sz="0" w:space="0" w:color="auto"/>
        <w:left w:val="none" w:sz="0" w:space="0" w:color="auto"/>
        <w:bottom w:val="none" w:sz="0" w:space="0" w:color="auto"/>
        <w:right w:val="none" w:sz="0" w:space="0" w:color="auto"/>
      </w:divBdr>
    </w:div>
    <w:div w:id="1624774892">
      <w:bodyDiv w:val="1"/>
      <w:marLeft w:val="0"/>
      <w:marRight w:val="0"/>
      <w:marTop w:val="0"/>
      <w:marBottom w:val="0"/>
      <w:divBdr>
        <w:top w:val="none" w:sz="0" w:space="0" w:color="auto"/>
        <w:left w:val="none" w:sz="0" w:space="0" w:color="auto"/>
        <w:bottom w:val="none" w:sz="0" w:space="0" w:color="auto"/>
        <w:right w:val="none" w:sz="0" w:space="0" w:color="auto"/>
      </w:divBdr>
    </w:div>
    <w:div w:id="1654213059">
      <w:bodyDiv w:val="1"/>
      <w:marLeft w:val="0"/>
      <w:marRight w:val="0"/>
      <w:marTop w:val="0"/>
      <w:marBottom w:val="0"/>
      <w:divBdr>
        <w:top w:val="none" w:sz="0" w:space="0" w:color="auto"/>
        <w:left w:val="none" w:sz="0" w:space="0" w:color="auto"/>
        <w:bottom w:val="none" w:sz="0" w:space="0" w:color="auto"/>
        <w:right w:val="none" w:sz="0" w:space="0" w:color="auto"/>
      </w:divBdr>
    </w:div>
    <w:div w:id="1718700381">
      <w:bodyDiv w:val="1"/>
      <w:marLeft w:val="0"/>
      <w:marRight w:val="0"/>
      <w:marTop w:val="0"/>
      <w:marBottom w:val="0"/>
      <w:divBdr>
        <w:top w:val="none" w:sz="0" w:space="0" w:color="auto"/>
        <w:left w:val="none" w:sz="0" w:space="0" w:color="auto"/>
        <w:bottom w:val="none" w:sz="0" w:space="0" w:color="auto"/>
        <w:right w:val="none" w:sz="0" w:space="0" w:color="auto"/>
      </w:divBdr>
    </w:div>
    <w:div w:id="1767001102">
      <w:bodyDiv w:val="1"/>
      <w:marLeft w:val="0"/>
      <w:marRight w:val="0"/>
      <w:marTop w:val="0"/>
      <w:marBottom w:val="0"/>
      <w:divBdr>
        <w:top w:val="none" w:sz="0" w:space="0" w:color="auto"/>
        <w:left w:val="none" w:sz="0" w:space="0" w:color="auto"/>
        <w:bottom w:val="none" w:sz="0" w:space="0" w:color="auto"/>
        <w:right w:val="none" w:sz="0" w:space="0" w:color="auto"/>
      </w:divBdr>
    </w:div>
    <w:div w:id="1769276615">
      <w:bodyDiv w:val="1"/>
      <w:marLeft w:val="0"/>
      <w:marRight w:val="0"/>
      <w:marTop w:val="0"/>
      <w:marBottom w:val="0"/>
      <w:divBdr>
        <w:top w:val="none" w:sz="0" w:space="0" w:color="auto"/>
        <w:left w:val="none" w:sz="0" w:space="0" w:color="auto"/>
        <w:bottom w:val="none" w:sz="0" w:space="0" w:color="auto"/>
        <w:right w:val="none" w:sz="0" w:space="0" w:color="auto"/>
      </w:divBdr>
    </w:div>
    <w:div w:id="1814641189">
      <w:bodyDiv w:val="1"/>
      <w:marLeft w:val="0"/>
      <w:marRight w:val="0"/>
      <w:marTop w:val="0"/>
      <w:marBottom w:val="0"/>
      <w:divBdr>
        <w:top w:val="none" w:sz="0" w:space="0" w:color="auto"/>
        <w:left w:val="none" w:sz="0" w:space="0" w:color="auto"/>
        <w:bottom w:val="none" w:sz="0" w:space="0" w:color="auto"/>
        <w:right w:val="none" w:sz="0" w:space="0" w:color="auto"/>
      </w:divBdr>
    </w:div>
    <w:div w:id="1820030862">
      <w:bodyDiv w:val="1"/>
      <w:marLeft w:val="0"/>
      <w:marRight w:val="0"/>
      <w:marTop w:val="0"/>
      <w:marBottom w:val="0"/>
      <w:divBdr>
        <w:top w:val="none" w:sz="0" w:space="0" w:color="auto"/>
        <w:left w:val="none" w:sz="0" w:space="0" w:color="auto"/>
        <w:bottom w:val="none" w:sz="0" w:space="0" w:color="auto"/>
        <w:right w:val="none" w:sz="0" w:space="0" w:color="auto"/>
      </w:divBdr>
    </w:div>
    <w:div w:id="1848446626">
      <w:bodyDiv w:val="1"/>
      <w:marLeft w:val="0"/>
      <w:marRight w:val="0"/>
      <w:marTop w:val="0"/>
      <w:marBottom w:val="0"/>
      <w:divBdr>
        <w:top w:val="none" w:sz="0" w:space="0" w:color="auto"/>
        <w:left w:val="none" w:sz="0" w:space="0" w:color="auto"/>
        <w:bottom w:val="none" w:sz="0" w:space="0" w:color="auto"/>
        <w:right w:val="none" w:sz="0" w:space="0" w:color="auto"/>
      </w:divBdr>
    </w:div>
    <w:div w:id="1850024627">
      <w:bodyDiv w:val="1"/>
      <w:marLeft w:val="0"/>
      <w:marRight w:val="0"/>
      <w:marTop w:val="0"/>
      <w:marBottom w:val="0"/>
      <w:divBdr>
        <w:top w:val="none" w:sz="0" w:space="0" w:color="auto"/>
        <w:left w:val="none" w:sz="0" w:space="0" w:color="auto"/>
        <w:bottom w:val="none" w:sz="0" w:space="0" w:color="auto"/>
        <w:right w:val="none" w:sz="0" w:space="0" w:color="auto"/>
      </w:divBdr>
    </w:div>
    <w:div w:id="1867795387">
      <w:bodyDiv w:val="1"/>
      <w:marLeft w:val="0"/>
      <w:marRight w:val="0"/>
      <w:marTop w:val="0"/>
      <w:marBottom w:val="0"/>
      <w:divBdr>
        <w:top w:val="none" w:sz="0" w:space="0" w:color="auto"/>
        <w:left w:val="none" w:sz="0" w:space="0" w:color="auto"/>
        <w:bottom w:val="none" w:sz="0" w:space="0" w:color="auto"/>
        <w:right w:val="none" w:sz="0" w:space="0" w:color="auto"/>
      </w:divBdr>
    </w:div>
    <w:div w:id="1912504187">
      <w:bodyDiv w:val="1"/>
      <w:marLeft w:val="0"/>
      <w:marRight w:val="0"/>
      <w:marTop w:val="0"/>
      <w:marBottom w:val="0"/>
      <w:divBdr>
        <w:top w:val="none" w:sz="0" w:space="0" w:color="auto"/>
        <w:left w:val="none" w:sz="0" w:space="0" w:color="auto"/>
        <w:bottom w:val="none" w:sz="0" w:space="0" w:color="auto"/>
        <w:right w:val="none" w:sz="0" w:space="0" w:color="auto"/>
      </w:divBdr>
    </w:div>
    <w:div w:id="1921210641">
      <w:bodyDiv w:val="1"/>
      <w:marLeft w:val="0"/>
      <w:marRight w:val="0"/>
      <w:marTop w:val="0"/>
      <w:marBottom w:val="0"/>
      <w:divBdr>
        <w:top w:val="none" w:sz="0" w:space="0" w:color="auto"/>
        <w:left w:val="none" w:sz="0" w:space="0" w:color="auto"/>
        <w:bottom w:val="none" w:sz="0" w:space="0" w:color="auto"/>
        <w:right w:val="none" w:sz="0" w:space="0" w:color="auto"/>
      </w:divBdr>
    </w:div>
    <w:div w:id="2038969198">
      <w:bodyDiv w:val="1"/>
      <w:marLeft w:val="0"/>
      <w:marRight w:val="0"/>
      <w:marTop w:val="0"/>
      <w:marBottom w:val="0"/>
      <w:divBdr>
        <w:top w:val="none" w:sz="0" w:space="0" w:color="auto"/>
        <w:left w:val="none" w:sz="0" w:space="0" w:color="auto"/>
        <w:bottom w:val="none" w:sz="0" w:space="0" w:color="auto"/>
        <w:right w:val="none" w:sz="0" w:space="0" w:color="auto"/>
      </w:divBdr>
    </w:div>
    <w:div w:id="212803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naya.manchaiah@cuanschutz.edu" TargetMode="External"/><Relationship Id="rId13" Type="http://schemas.openxmlformats.org/officeDocument/2006/relationships/hyperlink" Target="https://doi.org/10.1016/j.invent.2021.100402" TargetMode="External"/><Relationship Id="rId18" Type="http://schemas.openxmlformats.org/officeDocument/2006/relationships/hyperlink" Target="http://dx.doi.org/10.2147/CIA.S86108"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doi.org/10.3390/audiolres13020020" TargetMode="External"/><Relationship Id="rId7" Type="http://schemas.openxmlformats.org/officeDocument/2006/relationships/endnotes" Target="endnotes.xml"/><Relationship Id="rId12" Type="http://schemas.openxmlformats.org/officeDocument/2006/relationships/hyperlink" Target="https://preprints.jmir.org/preprint/27584" TargetMode="External"/><Relationship Id="rId17" Type="http://schemas.openxmlformats.org/officeDocument/2006/relationships/hyperlink" Target="https://doi.org/10.1080/14992027.2021.1886349"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doi.org/10.1055/s-0040-1719127" TargetMode="External"/><Relationship Id="rId20" Type="http://schemas.openxmlformats.org/officeDocument/2006/relationships/hyperlink" Target="https://doi.org/10.3766/jaaa.1604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44/2021_AJA-20-00222"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doi.org/10.1016/j.sbspro.2011.10.309" TargetMode="External"/><Relationship Id="rId23" Type="http://schemas.openxmlformats.org/officeDocument/2006/relationships/chart" Target="charts/chart1.xml"/><Relationship Id="rId28" Type="http://schemas.openxmlformats.org/officeDocument/2006/relationships/fontTable" Target="fontTable.xml"/><Relationship Id="rId10" Type="http://schemas.openxmlformats.org/officeDocument/2006/relationships/hyperlink" Target="https://doi.org/10.1044/2019_AJA-19-00014" TargetMode="External"/><Relationship Id="rId19" Type="http://schemas.openxmlformats.org/officeDocument/2006/relationships/hyperlink" Target="https://doi.org/10.1080/14992027.2016.1227481" TargetMode="External"/><Relationship Id="rId4" Type="http://schemas.openxmlformats.org/officeDocument/2006/relationships/settings" Target="settings.xml"/><Relationship Id="rId9" Type="http://schemas.openxmlformats.org/officeDocument/2006/relationships/hyperlink" Target="http://doi.org/10.6084/m9.figshare.15062733" TargetMode="External"/><Relationship Id="rId14" Type="http://schemas.openxmlformats.org/officeDocument/2006/relationships/hyperlink" Target="https://doi.org/10.3390/brainsci12091221" TargetMode="External"/><Relationship Id="rId22" Type="http://schemas.openxmlformats.org/officeDocument/2006/relationships/hyperlink" Target="https://doi.org/10.1177/2331216518812250" TargetMode="External"/><Relationship Id="rId27"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https://myaru-my.sharepoint.com/personal/sc96_aru_ac_uk/Documents/Research/Social%20representation%20-%20Srikanth/Social%20representation%20-%20Srikanth/SR%20Tinnitus/pre%20post%20connotations%20number%20and%20graph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0"/>
          <c:order val="0"/>
          <c:tx>
            <c:strRef>
              <c:f>Sheet2!$E$9</c:f>
              <c:strCache>
                <c:ptCount val="1"/>
                <c:pt idx="0">
                  <c:v>Negative</c:v>
                </c:pt>
              </c:strCache>
            </c:strRef>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2"/>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Sheet2!$F$8:$G$8</c:f>
              <c:strCache>
                <c:ptCount val="2"/>
                <c:pt idx="0">
                  <c:v>Pre-treatment</c:v>
                </c:pt>
                <c:pt idx="1">
                  <c:v>Post-treatment</c:v>
                </c:pt>
              </c:strCache>
            </c:strRef>
          </c:cat>
          <c:val>
            <c:numRef>
              <c:f>Sheet2!$F$9:$G$9</c:f>
              <c:numCache>
                <c:formatCode>0</c:formatCode>
                <c:ptCount val="2"/>
                <c:pt idx="0">
                  <c:v>81.132075471698116</c:v>
                </c:pt>
                <c:pt idx="1">
                  <c:v>56.226415094339622</c:v>
                </c:pt>
              </c:numCache>
            </c:numRef>
          </c:val>
          <c:extLst>
            <c:ext xmlns:c16="http://schemas.microsoft.com/office/drawing/2014/chart" uri="{C3380CC4-5D6E-409C-BE32-E72D297353CC}">
              <c16:uniqueId val="{00000000-3BD3-42D0-A26E-D9C33F5D0B42}"/>
            </c:ext>
          </c:extLst>
        </c:ser>
        <c:ser>
          <c:idx val="1"/>
          <c:order val="1"/>
          <c:tx>
            <c:strRef>
              <c:f>Sheet2!$E$10</c:f>
              <c:strCache>
                <c:ptCount val="1"/>
                <c:pt idx="0">
                  <c:v>Neutral</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2"/>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Sheet2!$F$8:$G$8</c:f>
              <c:strCache>
                <c:ptCount val="2"/>
                <c:pt idx="0">
                  <c:v>Pre-treatment</c:v>
                </c:pt>
                <c:pt idx="1">
                  <c:v>Post-treatment</c:v>
                </c:pt>
              </c:strCache>
            </c:strRef>
          </c:cat>
          <c:val>
            <c:numRef>
              <c:f>Sheet2!$F$10:$G$10</c:f>
              <c:numCache>
                <c:formatCode>0</c:formatCode>
                <c:ptCount val="2"/>
                <c:pt idx="0">
                  <c:v>10.754716981132075</c:v>
                </c:pt>
                <c:pt idx="1">
                  <c:v>22.264150943396228</c:v>
                </c:pt>
              </c:numCache>
            </c:numRef>
          </c:val>
          <c:extLst>
            <c:ext xmlns:c16="http://schemas.microsoft.com/office/drawing/2014/chart" uri="{C3380CC4-5D6E-409C-BE32-E72D297353CC}">
              <c16:uniqueId val="{00000001-3BD3-42D0-A26E-D9C33F5D0B42}"/>
            </c:ext>
          </c:extLst>
        </c:ser>
        <c:ser>
          <c:idx val="2"/>
          <c:order val="2"/>
          <c:tx>
            <c:strRef>
              <c:f>Sheet2!$E$11</c:f>
              <c:strCache>
                <c:ptCount val="1"/>
                <c:pt idx="0">
                  <c:v>Positive</c:v>
                </c:pt>
              </c:strCache>
            </c:strRef>
          </c:tx>
          <c:spPr>
            <a:solidFill>
              <a:schemeClr val="accent6">
                <a:lumMod val="7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Sheet2!$F$8:$G$8</c:f>
              <c:strCache>
                <c:ptCount val="2"/>
                <c:pt idx="0">
                  <c:v>Pre-treatment</c:v>
                </c:pt>
                <c:pt idx="1">
                  <c:v>Post-treatment</c:v>
                </c:pt>
              </c:strCache>
            </c:strRef>
          </c:cat>
          <c:val>
            <c:numRef>
              <c:f>Sheet2!$F$11:$G$11</c:f>
              <c:numCache>
                <c:formatCode>0</c:formatCode>
                <c:ptCount val="2"/>
                <c:pt idx="0">
                  <c:v>8.1132075471698109</c:v>
                </c:pt>
                <c:pt idx="1">
                  <c:v>21.509433962264151</c:v>
                </c:pt>
              </c:numCache>
            </c:numRef>
          </c:val>
          <c:extLst>
            <c:ext xmlns:c16="http://schemas.microsoft.com/office/drawing/2014/chart" uri="{C3380CC4-5D6E-409C-BE32-E72D297353CC}">
              <c16:uniqueId val="{00000002-3BD3-42D0-A26E-D9C33F5D0B42}"/>
            </c:ext>
          </c:extLst>
        </c:ser>
        <c:ser>
          <c:idx val="3"/>
          <c:order val="3"/>
          <c:tx>
            <c:strRef>
              <c:f>Sheet2!$E$12</c:f>
              <c:strCache>
                <c:ptCount val="1"/>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Sheet2!$F$8:$G$8</c:f>
              <c:strCache>
                <c:ptCount val="2"/>
                <c:pt idx="0">
                  <c:v>Pre-treatment</c:v>
                </c:pt>
                <c:pt idx="1">
                  <c:v>Post-treatment</c:v>
                </c:pt>
              </c:strCache>
            </c:strRef>
          </c:cat>
          <c:val>
            <c:numRef>
              <c:f>Sheet2!$F$12:$G$12</c:f>
              <c:numCache>
                <c:formatCode>General</c:formatCode>
                <c:ptCount val="2"/>
              </c:numCache>
            </c:numRef>
          </c:val>
          <c:extLst>
            <c:ext xmlns:c16="http://schemas.microsoft.com/office/drawing/2014/chart" uri="{C3380CC4-5D6E-409C-BE32-E72D297353CC}">
              <c16:uniqueId val="{00000003-3BD3-42D0-A26E-D9C33F5D0B42}"/>
            </c:ext>
          </c:extLst>
        </c:ser>
        <c:dLbls>
          <c:dLblPos val="ctr"/>
          <c:showLegendKey val="0"/>
          <c:showVal val="1"/>
          <c:showCatName val="0"/>
          <c:showSerName val="0"/>
          <c:showPercent val="0"/>
          <c:showBubbleSize val="0"/>
        </c:dLbls>
        <c:gapWidth val="300"/>
        <c:overlap val="100"/>
        <c:axId val="2130332559"/>
        <c:axId val="2130327567"/>
      </c:barChart>
      <c:catAx>
        <c:axId val="213033255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30327567"/>
        <c:crosses val="autoZero"/>
        <c:auto val="1"/>
        <c:lblAlgn val="ctr"/>
        <c:lblOffset val="100"/>
        <c:noMultiLvlLbl val="0"/>
      </c:catAx>
      <c:valAx>
        <c:axId val="213032756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Percentage of responses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30332559"/>
        <c:crosses val="autoZero"/>
        <c:crossBetween val="between"/>
        <c:majorUnit val="0.2"/>
      </c:valAx>
      <c:spPr>
        <a:noFill/>
        <a:ln>
          <a:noFill/>
        </a:ln>
        <a:effectLst/>
      </c:spPr>
    </c:plotArea>
    <c:legend>
      <c:legendPos val="b"/>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4895C-BBB1-4F90-8E59-F371B7C58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6412</Words>
  <Characters>36551</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Chundu, Srikanth</dc:creator>
  <cp:keywords/>
  <dc:description/>
  <cp:lastModifiedBy>Beukes, Eldre</cp:lastModifiedBy>
  <cp:revision>3</cp:revision>
  <dcterms:created xsi:type="dcterms:W3CDTF">2023-11-15T09:50:00Z</dcterms:created>
  <dcterms:modified xsi:type="dcterms:W3CDTF">2023-11-15T10:06:00Z</dcterms:modified>
</cp:coreProperties>
</file>